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heme="minorEastAsia" w:hAnsiTheme="minorEastAsia" w:eastAsiaTheme="minorEastAsia"/>
          <w:bCs/>
          <w:color w:val="auto"/>
          <w:sz w:val="32"/>
          <w:szCs w:val="32"/>
          <w:highlight w:val="none"/>
        </w:rPr>
      </w:pPr>
      <w:bookmarkStart w:id="622" w:name="_GoBack"/>
      <w:r>
        <w:rPr>
          <w:rFonts w:hint="eastAsia" w:asciiTheme="minorEastAsia" w:hAnsiTheme="minorEastAsia" w:eastAsiaTheme="minorEastAsia"/>
          <w:bCs/>
          <w:color w:val="auto"/>
          <w:sz w:val="30"/>
          <w:szCs w:val="30"/>
          <w:highlight w:val="none"/>
        </w:rPr>
        <w:t>GF—2015—0209</w:t>
      </w:r>
    </w:p>
    <w:p>
      <w:pPr>
        <w:spacing w:line="360" w:lineRule="auto"/>
        <w:ind w:firstLine="5737" w:firstLineChars="1905"/>
        <w:rPr>
          <w:rFonts w:asciiTheme="minorEastAsia" w:hAnsiTheme="minorEastAsia" w:eastAsiaTheme="minorEastAsia"/>
          <w:b/>
          <w:color w:val="auto"/>
          <w:sz w:val="30"/>
          <w:szCs w:val="30"/>
          <w:highlight w:val="none"/>
        </w:rPr>
      </w:pPr>
      <w:r>
        <w:rPr>
          <w:rFonts w:hint="eastAsia" w:asciiTheme="minorEastAsia" w:hAnsiTheme="minorEastAsia" w:eastAsiaTheme="minorEastAsia"/>
          <w:b/>
          <w:color w:val="auto"/>
          <w:sz w:val="30"/>
          <w:szCs w:val="30"/>
          <w:highlight w:val="none"/>
        </w:rPr>
        <w:t>合同编号：</w:t>
      </w:r>
    </w:p>
    <w:p>
      <w:pPr>
        <w:spacing w:line="360" w:lineRule="auto"/>
        <w:jc w:val="center"/>
        <w:rPr>
          <w:rFonts w:asciiTheme="minorEastAsia" w:hAnsiTheme="minorEastAsia" w:eastAsiaTheme="minorEastAsia"/>
          <w:b/>
          <w:color w:val="auto"/>
          <w:sz w:val="52"/>
          <w:szCs w:val="52"/>
          <w:highlight w:val="none"/>
        </w:rPr>
      </w:pPr>
    </w:p>
    <w:p>
      <w:pPr>
        <w:spacing w:line="360" w:lineRule="auto"/>
        <w:jc w:val="center"/>
        <w:rPr>
          <w:rFonts w:asciiTheme="minorEastAsia" w:hAnsiTheme="minorEastAsia" w:eastAsiaTheme="minorEastAsia"/>
          <w:b/>
          <w:color w:val="auto"/>
          <w:sz w:val="72"/>
          <w:szCs w:val="52"/>
          <w:highlight w:val="none"/>
        </w:rPr>
      </w:pPr>
      <w:r>
        <w:rPr>
          <w:rFonts w:hint="eastAsia" w:asciiTheme="minorEastAsia" w:hAnsiTheme="minorEastAsia" w:eastAsiaTheme="minorEastAsia"/>
          <w:b/>
          <w:color w:val="auto"/>
          <w:sz w:val="72"/>
          <w:szCs w:val="52"/>
          <w:highlight w:val="none"/>
        </w:rPr>
        <w:t>建设工程勘察设计合同</w:t>
      </w:r>
    </w:p>
    <w:p>
      <w:pPr>
        <w:spacing w:line="360" w:lineRule="auto"/>
        <w:jc w:val="center"/>
        <w:rPr>
          <w:rFonts w:asciiTheme="minorEastAsia" w:hAnsiTheme="minorEastAsia" w:eastAsiaTheme="minorEastAsia"/>
          <w:b/>
          <w:color w:val="auto"/>
          <w:sz w:val="72"/>
          <w:szCs w:val="52"/>
          <w:highlight w:val="none"/>
        </w:rPr>
      </w:pPr>
      <w:r>
        <w:rPr>
          <w:rFonts w:hint="eastAsia" w:asciiTheme="minorEastAsia" w:hAnsiTheme="minorEastAsia" w:eastAsiaTheme="minorEastAsia"/>
          <w:b/>
          <w:color w:val="auto"/>
          <w:sz w:val="72"/>
          <w:szCs w:val="52"/>
          <w:highlight w:val="none"/>
        </w:rPr>
        <w:t>示范文本</w:t>
      </w:r>
    </w:p>
    <w:p>
      <w:pPr>
        <w:spacing w:line="360" w:lineRule="auto"/>
        <w:jc w:val="center"/>
        <w:rPr>
          <w:rFonts w:asciiTheme="minorEastAsia" w:hAnsiTheme="minorEastAsia" w:eastAsiaTheme="minorEastAsia"/>
          <w:b/>
          <w:color w:val="auto"/>
          <w:sz w:val="52"/>
          <w:szCs w:val="52"/>
          <w:highlight w:val="none"/>
        </w:rPr>
      </w:pPr>
      <w:r>
        <w:rPr>
          <w:rFonts w:hint="eastAsia" w:asciiTheme="minorEastAsia" w:hAnsiTheme="minorEastAsia" w:eastAsiaTheme="minorEastAsia"/>
          <w:b/>
          <w:color w:val="auto"/>
          <w:sz w:val="72"/>
          <w:szCs w:val="52"/>
          <w:highlight w:val="none"/>
        </w:rPr>
        <w:t>（房屋建筑工程）</w:t>
      </w:r>
    </w:p>
    <w:p>
      <w:pPr>
        <w:spacing w:line="360" w:lineRule="auto"/>
        <w:jc w:val="center"/>
        <w:rPr>
          <w:rFonts w:asciiTheme="minorEastAsia" w:hAnsiTheme="minorEastAsia" w:eastAsiaTheme="minorEastAsia"/>
          <w:b/>
          <w:color w:val="auto"/>
          <w:sz w:val="52"/>
          <w:szCs w:val="52"/>
          <w:highlight w:val="none"/>
        </w:rPr>
      </w:pPr>
    </w:p>
    <w:p>
      <w:pPr>
        <w:spacing w:line="360" w:lineRule="auto"/>
        <w:rPr>
          <w:rFonts w:asciiTheme="minorEastAsia" w:hAnsiTheme="minorEastAsia" w:eastAsiaTheme="minorEastAsia"/>
          <w:b/>
          <w:color w:val="auto"/>
          <w:sz w:val="28"/>
          <w:szCs w:val="28"/>
          <w:highlight w:val="none"/>
        </w:rPr>
      </w:pPr>
    </w:p>
    <w:p>
      <w:pPr>
        <w:spacing w:line="360" w:lineRule="auto"/>
        <w:rPr>
          <w:rFonts w:asciiTheme="minorEastAsia" w:hAnsiTheme="minorEastAsia" w:eastAsiaTheme="minorEastAsia"/>
          <w:b/>
          <w:color w:val="auto"/>
          <w:sz w:val="28"/>
          <w:szCs w:val="28"/>
          <w:highlight w:val="none"/>
        </w:rPr>
      </w:pPr>
    </w:p>
    <w:p>
      <w:pPr>
        <w:spacing w:line="360" w:lineRule="auto"/>
        <w:rPr>
          <w:rFonts w:asciiTheme="minorEastAsia" w:hAnsiTheme="minorEastAsia" w:eastAsiaTheme="minorEastAsia"/>
          <w:b/>
          <w:color w:val="auto"/>
          <w:sz w:val="28"/>
          <w:szCs w:val="28"/>
          <w:highlight w:val="none"/>
        </w:rPr>
      </w:pPr>
    </w:p>
    <w:p>
      <w:pPr>
        <w:spacing w:line="360" w:lineRule="auto"/>
        <w:ind w:right="3559" w:rightChars="1695"/>
        <w:jc w:val="distribute"/>
        <w:rPr>
          <w:rFonts w:asciiTheme="minorEastAsia" w:hAnsiTheme="minorEastAsia" w:eastAsiaTheme="minorEastAsia"/>
          <w:b/>
          <w:color w:val="auto"/>
          <w:sz w:val="32"/>
          <w:szCs w:val="28"/>
          <w:highlight w:val="none"/>
        </w:rPr>
      </w:pPr>
      <w:r>
        <w:rPr>
          <w:rFonts w:asciiTheme="minorEastAsia" w:hAnsiTheme="minorEastAsia" w:eastAsiaTheme="minorEastAsia"/>
          <w:color w:val="auto"/>
          <w:highlight w:val="none"/>
        </w:rPr>
        <w:pict>
          <v:shape id="Text Box 20" o:spid="_x0000_s1026" o:spt="202" type="#_x0000_t202" style="position:absolute;left:0pt;margin-left:281.15pt;margin-top:15.6pt;height:36pt;width:57pt;z-index:251665408;mso-width-relative:page;mso-height-relative:page;" filled="f" stroked="t" coordsize="21600,21600" o:gfxdata="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gLnD/YAAAACgEAAA8AAAAAAAAA&#10;AQAgAAAAIgAAAGRycy9kb3ducmV2LnhtbFBLAQIUABQAAAAIAIdO4kA65MkLEQIAAA8EAAAOAAAA&#10;AAAAAAEAIAAAACcBAABkcnMvZTJvRG9jLnhtbFBLBQYAAAAABgAGAFkBAACqBQAAAAA=&#10;">
            <v:path/>
            <v:fill on="f" focussize="0,0"/>
            <v:stroke color="#FFFFFF" joinstyle="miter"/>
            <v:imagedata o:title=""/>
            <o:lock v:ext="edit"/>
            <v:textbox>
              <w:txbxContent>
                <w:p>
                  <w:pPr>
                    <w:rPr>
                      <w:b/>
                      <w:bCs/>
                      <w:sz w:val="32"/>
                    </w:rPr>
                  </w:pPr>
                  <w:r>
                    <w:rPr>
                      <w:rFonts w:hint="eastAsia"/>
                      <w:b/>
                      <w:bCs/>
                      <w:sz w:val="32"/>
                    </w:rPr>
                    <w:t>制定</w:t>
                  </w:r>
                </w:p>
              </w:txbxContent>
            </v:textbox>
          </v:shape>
        </w:pict>
      </w:r>
      <w:r>
        <w:rPr>
          <w:rFonts w:hint="eastAsia" w:asciiTheme="minorEastAsia" w:hAnsiTheme="minorEastAsia" w:eastAsiaTheme="minorEastAsia"/>
          <w:b/>
          <w:color w:val="auto"/>
          <w:sz w:val="32"/>
          <w:szCs w:val="28"/>
          <w:highlight w:val="none"/>
        </w:rPr>
        <w:t xml:space="preserve">          住房和城乡建设部</w:t>
      </w:r>
    </w:p>
    <w:p>
      <w:pPr>
        <w:spacing w:line="360" w:lineRule="auto"/>
        <w:ind w:right="3360" w:rightChars="1600"/>
        <w:rPr>
          <w:rFonts w:asciiTheme="minorEastAsia" w:hAnsiTheme="minorEastAsia" w:eastAsiaTheme="minorEastAsia"/>
          <w:b/>
          <w:color w:val="auto"/>
          <w:sz w:val="32"/>
          <w:highlight w:val="none"/>
        </w:rPr>
      </w:pPr>
      <w:r>
        <w:rPr>
          <w:rFonts w:hint="eastAsia" w:asciiTheme="minorEastAsia" w:hAnsiTheme="minorEastAsia" w:eastAsiaTheme="minorEastAsia"/>
          <w:b/>
          <w:color w:val="auto"/>
          <w:sz w:val="32"/>
          <w:szCs w:val="28"/>
          <w:highlight w:val="none"/>
        </w:rPr>
        <w:t xml:space="preserve">          国家工商行政管理总局</w:t>
      </w:r>
    </w:p>
    <w:p>
      <w:pPr>
        <w:pStyle w:val="273"/>
        <w:spacing w:before="0" w:line="360" w:lineRule="auto"/>
        <w:jc w:val="center"/>
        <w:rPr>
          <w:rFonts w:asciiTheme="minorEastAsia" w:hAnsiTheme="minorEastAsia" w:eastAsiaTheme="minorEastAsia"/>
          <w:color w:val="auto"/>
          <w:highlight w:val="none"/>
          <w:lang w:val="zh-CN"/>
        </w:rPr>
        <w:sectPr>
          <w:headerReference r:id="rId5" w:type="first"/>
          <w:footerReference r:id="rId8" w:type="first"/>
          <w:headerReference r:id="rId3" w:type="default"/>
          <w:footerReference r:id="rId6" w:type="default"/>
          <w:headerReference r:id="rId4" w:type="even"/>
          <w:footerReference r:id="rId7" w:type="even"/>
          <w:pgSz w:w="11905" w:h="16838"/>
          <w:pgMar w:top="1417" w:right="1417" w:bottom="1417" w:left="1417" w:header="720" w:footer="680" w:gutter="0"/>
          <w:pgNumType w:start="1"/>
          <w:cols w:space="720" w:num="1"/>
          <w:titlePg/>
          <w:docGrid w:linePitch="286" w:charSpace="0"/>
        </w:sectPr>
      </w:pPr>
      <w:bookmarkStart w:id="0" w:name="_Toc296503025"/>
      <w:bookmarkStart w:id="1" w:name="_Toc296890982"/>
    </w:p>
    <w:p>
      <w:pPr>
        <w:pStyle w:val="273"/>
        <w:spacing w:before="0" w:line="360" w:lineRule="auto"/>
        <w:jc w:val="center"/>
        <w:rPr>
          <w:rFonts w:asciiTheme="minorEastAsia" w:hAnsiTheme="minorEastAsia" w:eastAsiaTheme="minorEastAsia"/>
          <w:color w:val="auto"/>
          <w:highlight w:val="none"/>
          <w:lang w:val="zh-CN"/>
        </w:rPr>
      </w:pPr>
      <w:r>
        <w:rPr>
          <w:rFonts w:hint="eastAsia" w:asciiTheme="minorEastAsia" w:hAnsiTheme="minorEastAsia" w:eastAsiaTheme="minorEastAsia"/>
          <w:color w:val="auto"/>
          <w:highlight w:val="none"/>
          <w:lang w:val="zh-CN"/>
        </w:rPr>
        <w:t>说  明</w:t>
      </w:r>
    </w:p>
    <w:p>
      <w:pPr>
        <w:spacing w:line="360" w:lineRule="auto"/>
        <w:rPr>
          <w:rFonts w:asciiTheme="minorEastAsia" w:hAnsiTheme="minorEastAsia" w:eastAsiaTheme="minorEastAsia"/>
          <w:color w:val="auto"/>
          <w:highlight w:val="none"/>
          <w:lang w:val="zh-CN"/>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为了指导建设工程设计合同当事人的签约行为，维护合同当事人的合法权益，依据《中华人民共和国合同法》、《中华人民共和国建筑法》、《中华人民共和国招标投标法》以及相关法律法规，住房城乡建设部、工商总局对《建设工程设计合同（一）（民用建设工程设计合同）》（GF-2000-0209）进行了修订，制定了《建设工程设计合同示范文本（房屋建筑工程）》（GF-2015-0209）（以下简称《示范文本》）。为了便于合同当事人使用《示范文本》，现就有关问题说明如下：</w:t>
      </w:r>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一、《示范文本》的组成</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《示范文本》由合同协议书、通用合同条款和专用合同条款三部分组成。</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（一）合同协议书</w:t>
      </w:r>
    </w:p>
    <w:p>
      <w:pPr>
        <w:spacing w:line="360" w:lineRule="auto"/>
        <w:ind w:left="147" w:leftChars="70" w:firstLine="360" w:firstLineChars="1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《示范文本》合同协议书集中约定了合同当事人基本的合同权利义务。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（二）通用合同条款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通用合同条款是合同当事人根据《中华人民共和国建筑法》、《中华人民共和国合同法》等法律法规的规定，就工程设计的实施及相关事项，对合同当事人的权利义务作出的原则性约定。</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通用合同条款既考虑了现行法律法规对工程建设的有关要求，也考虑了工程设计管理的特殊需要。</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（三）专用合同条款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pPr>
        <w:spacing w:line="360" w:lineRule="auto"/>
        <w:ind w:right="25" w:rightChars="12"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1.专用合同条款的编号应与相应的通用合同条款的编号一致；</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2.合同当事人可以通过对专用合同条款的修改，满足具体房屋建筑工程的特殊要求，避免直接修改通用合同条款；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3.在专用合同条款中有横道线的地方，合同当事人可针对相应的通用合同条款进行细化、完善、补充、修改或另行约定；如无细化、完善、补充、修改或另行约定，则填写“无”或划“/”。</w:t>
      </w:r>
    </w:p>
    <w:p>
      <w:pPr>
        <w:spacing w:line="360" w:lineRule="auto"/>
        <w:ind w:firstLine="480"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Cs/>
          <w:color w:val="auto"/>
          <w:sz w:val="24"/>
          <w:szCs w:val="24"/>
          <w:highlight w:val="none"/>
        </w:rPr>
        <w:t>二、《示范文本》的性质和适用范围</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《示范文本》供合同双方当事人参照使用，可适用于方案设计招标投标、队伍比选等形式下的合同订立。</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示范文本》适用于建设用地规划许可证范围内的建筑物构筑物设计、室外工程设计、民用建筑修建的地下工程设计及住宅小区、工厂厂前区、工厂生活区、小区规划设计及单体设计等，以及所包含的相关专业的设计内容（总平面布置、竖向设计、各类管网管线设计、景观设计、室内外环境设计及建筑装饰、道路、消防、智能、安保、通信、防雷、人防、供配电、照明、废水治理、空调设施、抗震加固等）等工程设计活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br w:type="page"/>
      </w:r>
    </w:p>
    <w:p>
      <w:pPr>
        <w:pStyle w:val="273"/>
        <w:tabs>
          <w:tab w:val="right" w:leader="middleDot" w:pos="8400"/>
        </w:tabs>
        <w:spacing w:before="120" w:after="120" w:line="360" w:lineRule="auto"/>
        <w:jc w:val="center"/>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lang w:val="zh-CN"/>
        </w:rPr>
        <w:t>目  录</w:t>
      </w:r>
    </w:p>
    <w:p>
      <w:pPr>
        <w:pStyle w:val="32"/>
        <w:tabs>
          <w:tab w:val="right" w:leader="middleDot" w:pos="8400"/>
          <w:tab w:val="right" w:leader="dot" w:pos="8810"/>
        </w:tabs>
        <w:spacing w:line="360" w:lineRule="auto"/>
        <w:ind w:left="0" w:leftChars="0" w:firstLine="240" w:firstLineChars="100"/>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szCs w:val="24"/>
          <w:highlight w:val="none"/>
        </w:rPr>
        <w:fldChar w:fldCharType="begin"/>
      </w:r>
      <w:r>
        <w:rPr>
          <w:rFonts w:hint="eastAsia" w:asciiTheme="minorEastAsia" w:hAnsiTheme="minorEastAsia" w:eastAsiaTheme="minorEastAsia"/>
          <w:color w:val="auto"/>
          <w:sz w:val="24"/>
          <w:szCs w:val="24"/>
          <w:highlight w:val="none"/>
        </w:rPr>
        <w:instrText xml:space="preserve"> TOC \o "1-5" \h \z \u </w:instrText>
      </w:r>
      <w:r>
        <w:rPr>
          <w:rFonts w:hint="eastAsia" w:asciiTheme="minorEastAsia" w:hAnsiTheme="minorEastAsia" w:eastAsiaTheme="minorEastAsia"/>
          <w:color w:val="auto"/>
          <w:sz w:val="24"/>
          <w:szCs w:val="24"/>
          <w:highlight w:val="none"/>
        </w:rPr>
        <w:fldChar w:fldCharType="separate"/>
      </w:r>
      <w:r>
        <w:rPr>
          <w:color w:val="auto"/>
          <w:highlight w:val="none"/>
        </w:rPr>
        <w:fldChar w:fldCharType="begin"/>
      </w:r>
      <w:r>
        <w:rPr>
          <w:color w:val="auto"/>
          <w:highlight w:val="none"/>
        </w:rPr>
        <w:instrText xml:space="preserve"> HYPERLINK \l "_Toc351203480" </w:instrText>
      </w:r>
      <w:r>
        <w:rPr>
          <w:color w:val="auto"/>
          <w:highlight w:val="none"/>
        </w:rPr>
        <w:fldChar w:fldCharType="separate"/>
      </w:r>
      <w:r>
        <w:rPr>
          <w:rStyle w:val="75"/>
          <w:rFonts w:hint="eastAsia" w:asciiTheme="minorEastAsia" w:hAnsiTheme="minorEastAsia" w:eastAsiaTheme="minorEastAsia"/>
          <w:b/>
          <w:color w:val="auto"/>
          <w:sz w:val="24"/>
          <w:szCs w:val="24"/>
          <w:highlight w:val="none"/>
        </w:rPr>
        <w:t>第一部分 合同协议书</w:t>
      </w:r>
      <w:r>
        <w:rPr>
          <w:rStyle w:val="75"/>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bCs/>
          <w:color w:val="auto"/>
          <w:sz w:val="24"/>
          <w:szCs w:val="24"/>
          <w:highlight w:val="none"/>
        </w:rPr>
        <w:tab/>
      </w:r>
      <w:r>
        <w:rPr>
          <w:rFonts w:hint="eastAsia" w:asciiTheme="minorEastAsia" w:hAnsiTheme="minorEastAsia" w:eastAsiaTheme="minorEastAsia"/>
          <w:bCs/>
          <w:color w:val="auto"/>
          <w:sz w:val="24"/>
          <w:szCs w:val="24"/>
          <w:highlight w:val="none"/>
        </w:rPr>
        <w:t>7</w:t>
      </w:r>
    </w:p>
    <w:p>
      <w:pPr>
        <w:pStyle w:val="32"/>
        <w:tabs>
          <w:tab w:val="right" w:leader="middleDot" w:pos="8400"/>
          <w:tab w:val="right" w:leader="dot" w:pos="8810"/>
        </w:tabs>
        <w:spacing w:line="360" w:lineRule="auto"/>
        <w:ind w:left="0" w:leftChars="0" w:firstLine="198" w:firstLineChars="99"/>
        <w:rPr>
          <w:rFonts w:asciiTheme="minorEastAsia" w:hAnsiTheme="minorEastAsia" w:eastAsiaTheme="minorEastAsia"/>
          <w:b/>
          <w:color w:val="auto"/>
          <w:sz w:val="24"/>
          <w:szCs w:val="24"/>
          <w:highlight w:val="none"/>
        </w:rPr>
      </w:pPr>
      <w:r>
        <w:rPr>
          <w:color w:val="auto"/>
          <w:highlight w:val="none"/>
        </w:rPr>
        <w:fldChar w:fldCharType="begin"/>
      </w:r>
      <w:r>
        <w:rPr>
          <w:color w:val="auto"/>
          <w:highlight w:val="none"/>
        </w:rPr>
        <w:instrText xml:space="preserve"> HYPERLINK \l "_Toc351203494" </w:instrText>
      </w:r>
      <w:r>
        <w:rPr>
          <w:color w:val="auto"/>
          <w:highlight w:val="none"/>
        </w:rPr>
        <w:fldChar w:fldCharType="separate"/>
      </w:r>
      <w:r>
        <w:rPr>
          <w:rStyle w:val="75"/>
          <w:rFonts w:hint="eastAsia" w:asciiTheme="minorEastAsia" w:hAnsiTheme="minorEastAsia" w:eastAsiaTheme="minorEastAsia"/>
          <w:b/>
          <w:color w:val="auto"/>
          <w:sz w:val="24"/>
          <w:szCs w:val="24"/>
          <w:highlight w:val="none"/>
        </w:rPr>
        <w:t>第二部分 通用合同</w:t>
      </w:r>
      <w:bookmarkStart w:id="2" w:name="_Hlt278396651"/>
      <w:r>
        <w:rPr>
          <w:rStyle w:val="75"/>
          <w:rFonts w:hint="eastAsia" w:asciiTheme="minorEastAsia" w:hAnsiTheme="minorEastAsia" w:eastAsiaTheme="minorEastAsia"/>
          <w:b/>
          <w:color w:val="auto"/>
          <w:sz w:val="24"/>
          <w:szCs w:val="24"/>
          <w:highlight w:val="none"/>
        </w:rPr>
        <w:t>条</w:t>
      </w:r>
      <w:bookmarkEnd w:id="2"/>
      <w:r>
        <w:rPr>
          <w:rStyle w:val="75"/>
          <w:rFonts w:hint="eastAsia" w:asciiTheme="minorEastAsia" w:hAnsiTheme="minorEastAsia" w:eastAsiaTheme="minorEastAsia"/>
          <w:b/>
          <w:color w:val="auto"/>
          <w:sz w:val="24"/>
          <w:szCs w:val="24"/>
          <w:highlight w:val="none"/>
        </w:rPr>
        <w:t>款</w:t>
      </w:r>
      <w:r>
        <w:rPr>
          <w:rStyle w:val="75"/>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bCs/>
          <w:color w:val="auto"/>
          <w:sz w:val="24"/>
          <w:szCs w:val="24"/>
          <w:highlight w:val="none"/>
        </w:rPr>
        <w:tab/>
      </w:r>
      <w:r>
        <w:rPr>
          <w:rFonts w:hint="eastAsia" w:asciiTheme="minorEastAsia" w:hAnsiTheme="minorEastAsia" w:eastAsiaTheme="minorEastAsia"/>
          <w:bCs/>
          <w:color w:val="auto"/>
          <w:sz w:val="24"/>
          <w:szCs w:val="24"/>
          <w:highlight w:val="none"/>
        </w:rPr>
        <w:t>11</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"_Toc351203495"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 一般约定</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11</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"_Toc351203496"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1.1 词语定义与解释</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"_Toc351203497"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1.2 语言文字</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"_Toc351203498"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1.3 法律</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"_Toc351203499"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1.4 技术标准</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"_Toc351203500"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 合同文件的优先顺序</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"_Toc351203501"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1.6 联络</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"_Toc351203502"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 严禁贿赂</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"_Toc351203503"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1.8 保密</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"_Toc351203509"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 发包人</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18</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2.1 发包人一般义务</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2.2 发包人代表</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2.3 发包人决定</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2.4 支付合同价款</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"_Toc351203514"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2.5 设计文件接收</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 设计人</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19</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"_Toc351203519"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3.1 设计人一般义务</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"_Toc351203520"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3.2 项目负责人</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"_Toc351203521"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3.3 设计人人员</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"_Toc351203522"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3.4 设计分包</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"_Toc351203523"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3.5 联合体</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"_Toc351203532"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4. 工程设计</w:t>
      </w:r>
      <w:r>
        <w:rPr>
          <w:rStyle w:val="75"/>
          <w:rFonts w:hint="eastAsia" w:asciiTheme="minorEastAsia" w:hAnsiTheme="minorEastAsia" w:eastAsiaTheme="minorEastAsia"/>
          <w:color w:val="auto"/>
          <w:sz w:val="24"/>
          <w:szCs w:val="24"/>
          <w:highlight w:val="none"/>
        </w:rPr>
        <w:fldChar w:fldCharType="end"/>
      </w:r>
      <w:r>
        <w:rPr>
          <w:rStyle w:val="75"/>
          <w:rFonts w:hint="eastAsia" w:asciiTheme="minorEastAsia" w:hAnsiTheme="minorEastAsia" w:eastAsiaTheme="minorEastAsia"/>
          <w:color w:val="auto"/>
          <w:sz w:val="24"/>
          <w:szCs w:val="24"/>
          <w:highlight w:val="none"/>
        </w:rPr>
        <w:t>资料</w:t>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23</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"_Toc351203533"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4.1 提供工程设计资料</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"_Toc351203534"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4.2 逾期提供的责任</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"_Toc351203538"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 工程设计要求</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24</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"_Toc351203539"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5.1 工程设计一般要求</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5.2 工程设计保证措施</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5.3 工程设计文件的要求</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5.4 不合格工程设计文件的处理</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 工程设计进度与周期</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27</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6.1 工程设计进度计划</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"_Toc351203544"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6.2 工程设计开始</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"_Toc351203545"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6.3 工程设计进度延误</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6.4 暂停设计</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6.5 提前交付工程设计文件</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40"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r>
        <w:rPr>
          <w:color w:val="auto"/>
          <w:highlight w:val="none"/>
        </w:rPr>
        <w:fldChar w:fldCharType="begin"/>
      </w:r>
      <w:r>
        <w:rPr>
          <w:color w:val="auto"/>
          <w:highlight w:val="none"/>
        </w:rPr>
        <w:instrText xml:space="preserve"> HYPERLINK \l "_Toc351203562"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 工程设计文件交付</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31</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"_Toc351203562"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8. 工程设计文件审查</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32</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"_Toc351203562"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9. 施工现场配合服务</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34</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"_Toc351203562"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 合同价款与支付</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34</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10.1 合同价款组成</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10.2 合同价格形式</w:t>
      </w:r>
      <w:bookmarkStart w:id="3" w:name="_Hlt370150698"/>
      <w:bookmarkEnd w:id="3"/>
      <w:bookmarkStart w:id="4" w:name="_Hlt370150699"/>
      <w:bookmarkEnd w:id="4"/>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10.3 定金</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或预付款</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10.4 进度款支付</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10.5 合同价款的结算与支付</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Style w:val="75"/>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"_Toc351203546"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10.6 支付账户</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"_Toc351203567"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11. 工程设计变更与索赔</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37</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"_Toc351203577"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12. 专业责任与保险</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38</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"_Toc351203580"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13. 知识产权</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39</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14. 违约责任</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40</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"_Toc351203604"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14.1 发包人违约责任</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"_Toc351203605"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14.2 设计人违约责任</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 不可抗力</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41</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15.1 不可抗力的确认</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15.2 不可抗力的通知</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"_Toc351203610"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15.3 不可抗力后果的承担</w:t>
      </w:r>
      <w:r>
        <w:rPr>
          <w:rStyle w:val="75"/>
          <w:rFonts w:hint="eastAsia" w:asciiTheme="minorEastAsia" w:hAnsiTheme="minorEastAsia" w:eastAsiaTheme="minorEastAsia"/>
          <w:color w:val="auto"/>
          <w:sz w:val="24"/>
          <w:szCs w:val="24"/>
          <w:highlight w:val="none"/>
        </w:rPr>
        <w:fldChar w:fldCharType="end"/>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"_Toc351203607"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16. 合同解除</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43</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"_Toc351203626"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 争议解决</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43</w:t>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"_Toc351203627"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17.1 和解</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40"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r>
        <w:rPr>
          <w:color w:val="auto"/>
          <w:highlight w:val="none"/>
        </w:rPr>
        <w:fldChar w:fldCharType="begin"/>
      </w:r>
      <w:r>
        <w:rPr>
          <w:color w:val="auto"/>
          <w:highlight w:val="none"/>
        </w:rPr>
        <w:instrText xml:space="preserve"> HYPERLINK \l "_Toc351203628"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7.2 调解</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"_Toc351203629"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17.3 争议评审</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"_Toc351203630"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17.4 仲裁或诉讼</w:t>
      </w:r>
      <w:r>
        <w:rPr>
          <w:rStyle w:val="75"/>
          <w:rFonts w:hint="eastAsia" w:asciiTheme="minorEastAsia" w:hAnsiTheme="minorEastAsia" w:eastAsiaTheme="minorEastAsia"/>
          <w:color w:val="auto"/>
          <w:sz w:val="24"/>
          <w:szCs w:val="24"/>
          <w:highlight w:val="none"/>
        </w:rPr>
        <w:fldChar w:fldCharType="end"/>
      </w:r>
    </w:p>
    <w:p>
      <w:pPr>
        <w:pStyle w:val="31"/>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17.5 争议解决条款效力</w:t>
      </w:r>
      <w:r>
        <w:rPr>
          <w:rStyle w:val="75"/>
          <w:rFonts w:hint="eastAsia" w:asciiTheme="minorEastAsia" w:hAnsiTheme="minorEastAsia" w:eastAsiaTheme="minorEastAsia"/>
          <w:color w:val="auto"/>
          <w:sz w:val="24"/>
          <w:szCs w:val="24"/>
          <w:highlight w:val="none"/>
        </w:rPr>
        <w:fldChar w:fldCharType="end"/>
      </w:r>
    </w:p>
    <w:p>
      <w:pPr>
        <w:pStyle w:val="32"/>
        <w:tabs>
          <w:tab w:val="right" w:leader="middleDot" w:pos="8400"/>
        </w:tabs>
        <w:spacing w:line="360" w:lineRule="auto"/>
        <w:ind w:left="0" w:leftChars="0" w:firstLine="20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"_Toc351203632" </w:instrText>
      </w:r>
      <w:r>
        <w:rPr>
          <w:color w:val="auto"/>
          <w:highlight w:val="none"/>
        </w:rPr>
        <w:fldChar w:fldCharType="separate"/>
      </w:r>
      <w:r>
        <w:rPr>
          <w:rStyle w:val="75"/>
          <w:rFonts w:hint="eastAsia" w:asciiTheme="minorEastAsia" w:hAnsiTheme="minorEastAsia" w:eastAsiaTheme="minorEastAsia"/>
          <w:b/>
          <w:color w:val="auto"/>
          <w:sz w:val="24"/>
          <w:szCs w:val="24"/>
          <w:highlight w:val="none"/>
        </w:rPr>
        <w:t>第三部分 专用合同条款</w:t>
      </w:r>
      <w:r>
        <w:rPr>
          <w:rStyle w:val="75"/>
          <w:rFonts w:hint="eastAsia" w:asciiTheme="minorEastAsia" w:hAnsiTheme="minorEastAsia" w:eastAsiaTheme="minorEastAsia"/>
          <w:b/>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46</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 一般约定</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46</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"_Toc351203634"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2. 发包人</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48</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"_Toc351203635"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3. 设计人</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49</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5. 工程设计要求</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51</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6. 工程设计进度与周期</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51</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"_Toc351203639"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7. 工程设计文件交付</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52</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8. 工程设计文件审查</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53</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9. 施工现场配合服务</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53</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10. 合同价款与支付</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53</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"_Toc351203567"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11. 工程设计变更与索赔</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54</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"_Toc351203643"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12. 专业责任与保险</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55</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"_Toc351203645"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13. 知识产权</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55</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"_Toc351203648"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14. 违约责任</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55</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15. 不可抗力</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56</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"_Toc351203649"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16. 合同解除</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56</w:t>
      </w:r>
    </w:p>
    <w:p>
      <w:pPr>
        <w:tabs>
          <w:tab w:val="right" w:leader="middleDot" w:pos="8400"/>
        </w:tabs>
        <w:spacing w:line="360" w:lineRule="auto"/>
        <w:ind w:left="630" w:leftChars="300"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"_Toc351203651"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17. 争议解决</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57</w:t>
      </w:r>
    </w:p>
    <w:p>
      <w:pPr>
        <w:tabs>
          <w:tab w:val="right" w:leader="middleDot" w:pos="8400"/>
        </w:tabs>
        <w:spacing w:line="360" w:lineRule="auto"/>
        <w:ind w:left="630" w:leftChars="300" w:firstLine="240"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18. 其他</w:t>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57</w:t>
      </w:r>
    </w:p>
    <w:p>
      <w:pPr>
        <w:pStyle w:val="43"/>
        <w:tabs>
          <w:tab w:val="right" w:leader="middleDot" w:pos="8400"/>
        </w:tabs>
        <w:spacing w:line="360" w:lineRule="auto"/>
        <w:ind w:firstLine="210" w:firstLineChars="100"/>
        <w:rPr>
          <w:rFonts w:asciiTheme="minorEastAsia" w:hAnsiTheme="minorEastAsia" w:eastAsiaTheme="minorEastAsia"/>
          <w:color w:val="auto"/>
          <w:sz w:val="24"/>
          <w:szCs w:val="24"/>
          <w:highlight w:val="none"/>
        </w:rPr>
      </w:pPr>
      <w:r>
        <w:rPr>
          <w:color w:val="auto"/>
          <w:highlight w:val="none"/>
        </w:rPr>
        <w:fldChar w:fldCharType="begin"/>
      </w:r>
      <w:r>
        <w:rPr>
          <w:color w:val="auto"/>
          <w:highlight w:val="none"/>
        </w:rPr>
        <w:instrText xml:space="preserve"> HYPERLINK \l "_Toc351203652" </w:instrText>
      </w:r>
      <w:r>
        <w:rPr>
          <w:color w:val="auto"/>
          <w:highlight w:val="none"/>
        </w:rPr>
        <w:fldChar w:fldCharType="separate"/>
      </w:r>
      <w:r>
        <w:rPr>
          <w:rStyle w:val="75"/>
          <w:rFonts w:hint="eastAsia" w:asciiTheme="minorEastAsia" w:hAnsiTheme="minorEastAsia" w:eastAsiaTheme="minorEastAsia"/>
          <w:color w:val="auto"/>
          <w:sz w:val="24"/>
          <w:szCs w:val="24"/>
          <w:highlight w:val="none"/>
        </w:rPr>
        <w:t>附件</w:t>
      </w:r>
      <w:r>
        <w:rPr>
          <w:rStyle w:val="75"/>
          <w:rFonts w:hint="eastAsia" w:asciiTheme="minorEastAsia" w:hAnsiTheme="minorEastAsia" w:eastAsiaTheme="minorEastAsia"/>
          <w:color w:val="auto"/>
          <w:sz w:val="24"/>
          <w:szCs w:val="24"/>
          <w:highlight w:val="none"/>
        </w:rPr>
        <w:fldChar w:fldCharType="end"/>
      </w:r>
      <w:r>
        <w:rPr>
          <w:rFonts w:hint="eastAsia" w:asciiTheme="minorEastAsia" w:hAnsiTheme="minorEastAsia" w:eastAsiaTheme="minorEastAsia"/>
          <w:color w:val="auto"/>
          <w:sz w:val="24"/>
          <w:szCs w:val="24"/>
          <w:highlight w:val="none"/>
        </w:rPr>
        <w:tab/>
      </w:r>
      <w:r>
        <w:rPr>
          <w:rFonts w:hint="eastAsia" w:asciiTheme="minorEastAsia" w:hAnsiTheme="minorEastAsia" w:eastAsiaTheme="minorEastAsia"/>
          <w:color w:val="auto"/>
          <w:sz w:val="24"/>
          <w:szCs w:val="24"/>
          <w:highlight w:val="none"/>
        </w:rPr>
        <w:t>58</w:t>
      </w:r>
    </w:p>
    <w:p>
      <w:pPr>
        <w:tabs>
          <w:tab w:val="right" w:leader="middleDot" w:pos="8400"/>
        </w:tabs>
        <w:spacing w:line="360" w:lineRule="auto"/>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4"/>
          <w:szCs w:val="24"/>
          <w:highlight w:val="none"/>
        </w:rPr>
        <w:fldChar w:fldCharType="end"/>
      </w:r>
    </w:p>
    <w:p>
      <w:pPr>
        <w:spacing w:line="360" w:lineRule="auto"/>
        <w:rPr>
          <w:rFonts w:asciiTheme="minorEastAsia" w:hAnsiTheme="minorEastAsia" w:eastAsiaTheme="minorEastAsia"/>
          <w:color w:val="auto"/>
          <w:sz w:val="28"/>
          <w:szCs w:val="28"/>
          <w:highlight w:val="none"/>
        </w:rPr>
      </w:pPr>
    </w:p>
    <w:p>
      <w:pPr>
        <w:widowControl/>
        <w:jc w:val="lef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br w:type="page"/>
      </w:r>
    </w:p>
    <w:p>
      <w:pPr>
        <w:pStyle w:val="4"/>
        <w:spacing w:line="360" w:lineRule="auto"/>
        <w:jc w:val="center"/>
        <w:rPr>
          <w:rFonts w:asciiTheme="minorEastAsia" w:hAnsiTheme="minorEastAsia" w:eastAsiaTheme="minorEastAsia"/>
          <w:b w:val="0"/>
          <w:color w:val="auto"/>
          <w:sz w:val="44"/>
          <w:szCs w:val="44"/>
          <w:highlight w:val="none"/>
        </w:rPr>
      </w:pPr>
      <w:bookmarkStart w:id="5" w:name="_Toc351203480"/>
      <w:r>
        <w:rPr>
          <w:rFonts w:hint="eastAsia" w:asciiTheme="minorEastAsia" w:hAnsiTheme="minorEastAsia" w:eastAsiaTheme="minorEastAsia"/>
          <w:color w:val="auto"/>
          <w:sz w:val="44"/>
          <w:szCs w:val="44"/>
          <w:highlight w:val="none"/>
        </w:rPr>
        <w:t>第一部分 合同协议书</w:t>
      </w:r>
      <w:bookmarkEnd w:id="0"/>
      <w:bookmarkEnd w:id="1"/>
      <w:bookmarkEnd w:id="5"/>
    </w:p>
    <w:p>
      <w:pPr>
        <w:spacing w:line="360" w:lineRule="auto"/>
        <w:rPr>
          <w:rFonts w:asciiTheme="minorEastAsia" w:hAnsiTheme="minorEastAsia" w:eastAsiaTheme="minorEastAsia"/>
          <w:b/>
          <w:color w:val="auto"/>
          <w:sz w:val="24"/>
          <w:szCs w:val="24"/>
          <w:highlight w:val="none"/>
          <w:u w:val="single"/>
        </w:rPr>
      </w:pPr>
      <w:r>
        <w:rPr>
          <w:rFonts w:hint="eastAsia" w:asciiTheme="minorEastAsia" w:hAnsiTheme="minorEastAsia" w:eastAsiaTheme="minorEastAsia"/>
          <w:b/>
          <w:color w:val="auto"/>
          <w:sz w:val="24"/>
          <w:szCs w:val="24"/>
          <w:highlight w:val="none"/>
        </w:rPr>
        <w:t>发包人（全称）：</w:t>
      </w:r>
      <w:r>
        <w:rPr>
          <w:rFonts w:hint="eastAsia" w:asciiTheme="minorEastAsia" w:hAnsiTheme="minorEastAsia" w:eastAsiaTheme="minorEastAsia"/>
          <w:b/>
          <w:color w:val="auto"/>
          <w:sz w:val="24"/>
          <w:szCs w:val="24"/>
          <w:highlight w:val="none"/>
          <w:u w:val="single"/>
        </w:rPr>
        <w:t>广东省代建项目管理局       </w:t>
      </w:r>
    </w:p>
    <w:p>
      <w:pPr>
        <w:spacing w:line="360" w:lineRule="auto"/>
        <w:rPr>
          <w:rFonts w:asciiTheme="minorEastAsia" w:hAnsiTheme="minorEastAsia" w:eastAsiaTheme="minorEastAsia"/>
          <w:b/>
          <w:color w:val="auto"/>
          <w:sz w:val="24"/>
          <w:szCs w:val="24"/>
          <w:highlight w:val="none"/>
          <w:u w:val="single"/>
        </w:rPr>
      </w:pPr>
      <w:r>
        <w:rPr>
          <w:rFonts w:hint="eastAsia" w:asciiTheme="minorEastAsia" w:hAnsiTheme="minorEastAsia" w:eastAsiaTheme="minorEastAsia"/>
          <w:b/>
          <w:color w:val="auto"/>
          <w:sz w:val="24"/>
          <w:szCs w:val="24"/>
          <w:highlight w:val="none"/>
        </w:rPr>
        <w:t>设计人（全称）：</w:t>
      </w:r>
      <w:r>
        <w:rPr>
          <w:rFonts w:hint="eastAsia" w:asciiTheme="minorEastAsia" w:hAnsiTheme="minorEastAsia" w:eastAsiaTheme="minorEastAsia"/>
          <w:b/>
          <w:color w:val="auto"/>
          <w:sz w:val="24"/>
          <w:szCs w:val="24"/>
          <w:highlight w:val="none"/>
          <w:u w:val="single"/>
        </w:rPr>
        <w:t>                    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根据《中华人民共和国民法典》、《中华人民共和国建筑法》及有关法律规定，遵循平等、自愿、公平和诚实信用的原则，双方就</w:t>
      </w:r>
      <w:r>
        <w:rPr>
          <w:rFonts w:hint="eastAsia" w:asciiTheme="minorEastAsia" w:hAnsiTheme="minorEastAsia" w:eastAsiaTheme="minorEastAsia"/>
          <w:color w:val="auto"/>
          <w:sz w:val="24"/>
          <w:szCs w:val="24"/>
          <w:highlight w:val="none"/>
          <w:u w:val="single"/>
        </w:rPr>
        <w:t>广东省计量科学研究院知识城检测基地项目方案设计、初步设计</w:t>
      </w:r>
      <w:r>
        <w:rPr>
          <w:rFonts w:hint="eastAsia" w:asciiTheme="minorEastAsia" w:hAnsiTheme="minorEastAsia" w:eastAsiaTheme="minorEastAsia"/>
          <w:color w:val="auto"/>
          <w:sz w:val="24"/>
          <w:szCs w:val="24"/>
          <w:highlight w:val="none"/>
        </w:rPr>
        <w:t>及有关事项协商一致，共同达成如下协议：</w:t>
      </w:r>
    </w:p>
    <w:p>
      <w:pPr>
        <w:pStyle w:val="5"/>
        <w:spacing w:before="120" w:after="120" w:line="360" w:lineRule="auto"/>
        <w:rPr>
          <w:rFonts w:asciiTheme="minorEastAsia" w:hAnsiTheme="minorEastAsia" w:eastAsiaTheme="minorEastAsia"/>
          <w:bCs w:val="0"/>
          <w:color w:val="auto"/>
          <w:sz w:val="24"/>
          <w:szCs w:val="24"/>
          <w:highlight w:val="none"/>
        </w:rPr>
      </w:pPr>
      <w:bookmarkStart w:id="6" w:name="_Toc351203481"/>
      <w:r>
        <w:rPr>
          <w:rFonts w:hint="eastAsia" w:asciiTheme="minorEastAsia" w:hAnsiTheme="minorEastAsia" w:eastAsiaTheme="minorEastAsia"/>
          <w:b w:val="0"/>
          <w:color w:val="auto"/>
          <w:sz w:val="24"/>
          <w:szCs w:val="24"/>
          <w:highlight w:val="none"/>
        </w:rPr>
        <w:t>一、工程概况</w:t>
      </w:r>
      <w:bookmarkEnd w:id="6"/>
    </w:p>
    <w:p>
      <w:pPr>
        <w:spacing w:line="360" w:lineRule="auto"/>
        <w:ind w:firstLine="470" w:firstLineChars="196"/>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bCs/>
          <w:color w:val="auto"/>
          <w:sz w:val="24"/>
          <w:szCs w:val="24"/>
          <w:highlight w:val="none"/>
        </w:rPr>
        <w:t>1.工程名称</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u w:val="single"/>
        </w:rPr>
        <w:t>广东省计量科学研究院知识城检测基地项目方案设计、初步设计</w:t>
      </w:r>
      <w:r>
        <w:rPr>
          <w:rFonts w:hint="eastAsia" w:asciiTheme="minorEastAsia" w:hAnsiTheme="minorEastAsia" w:eastAsiaTheme="minorEastAsia"/>
          <w:color w:val="auto"/>
          <w:sz w:val="24"/>
          <w:szCs w:val="24"/>
          <w:highlight w:val="none"/>
        </w:rPr>
        <w:t>。</w:t>
      </w:r>
    </w:p>
    <w:p>
      <w:pPr>
        <w:spacing w:line="360" w:lineRule="auto"/>
        <w:ind w:firstLine="470"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2.工程地点：</w:t>
      </w:r>
      <w:r>
        <w:rPr>
          <w:rFonts w:hint="eastAsia" w:asciiTheme="minorEastAsia" w:hAnsiTheme="minorEastAsia" w:eastAsiaTheme="minorEastAsia"/>
          <w:color w:val="auto"/>
          <w:sz w:val="24"/>
          <w:szCs w:val="24"/>
          <w:highlight w:val="none"/>
          <w:u w:val="single"/>
        </w:rPr>
        <w:t>知识城新一代信息技术创新园区内，广河北辅路以北，东方纵横项目东侧。</w:t>
      </w:r>
    </w:p>
    <w:p>
      <w:pPr>
        <w:spacing w:line="360" w:lineRule="auto"/>
        <w:ind w:firstLine="470" w:firstLineChars="196"/>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3.规划占地面积：</w:t>
      </w:r>
      <w:r>
        <w:rPr>
          <w:rFonts w:hint="eastAsia" w:asciiTheme="minorEastAsia" w:hAnsiTheme="minorEastAsia" w:eastAsiaTheme="minorEastAsia"/>
          <w:color w:val="auto"/>
          <w:sz w:val="24"/>
          <w:szCs w:val="24"/>
          <w:highlight w:val="none"/>
          <w:u w:val="single"/>
        </w:rPr>
        <w:t>总建筑面积59165平方米，其中，计量测试实验室42084平方米，附属用房7470平方米（包括仪器收发等其他辅助室5900平方米、食堂642平方米、学术交流室200平方米、门卫室100平方米、档案室628平方米），人防工程及地下停车库建筑面积9611平方米。</w:t>
      </w:r>
    </w:p>
    <w:p>
      <w:pPr>
        <w:spacing w:line="360" w:lineRule="auto"/>
        <w:ind w:firstLine="470"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4.建筑功能：、、等。</w:t>
      </w:r>
    </w:p>
    <w:p>
      <w:pPr>
        <w:spacing w:line="360" w:lineRule="auto"/>
        <w:ind w:firstLine="470" w:firstLineChars="196"/>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rPr>
        <w:t>5.投资估算：约元人民币。</w:t>
      </w:r>
    </w:p>
    <w:p>
      <w:pPr>
        <w:spacing w:before="120" w:after="120" w:line="360" w:lineRule="auto"/>
        <w:ind w:firstLine="470" w:firstLineChars="196"/>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二、工程</w:t>
      </w:r>
      <w:r>
        <w:rPr>
          <w:rFonts w:hint="eastAsia" w:asciiTheme="minorEastAsia" w:hAnsiTheme="minorEastAsia" w:eastAsiaTheme="minorEastAsia"/>
          <w:bCs/>
          <w:strike/>
          <w:color w:val="auto"/>
          <w:sz w:val="24"/>
          <w:szCs w:val="24"/>
          <w:highlight w:val="none"/>
        </w:rPr>
        <w:t>勘察</w:t>
      </w:r>
      <w:r>
        <w:rPr>
          <w:rFonts w:hint="eastAsia" w:asciiTheme="minorEastAsia" w:hAnsiTheme="minorEastAsia" w:eastAsiaTheme="minorEastAsia"/>
          <w:bCs/>
          <w:color w:val="auto"/>
          <w:sz w:val="24"/>
          <w:szCs w:val="24"/>
          <w:highlight w:val="none"/>
        </w:rPr>
        <w:t>设计范围、阶段与服务内容</w:t>
      </w:r>
    </w:p>
    <w:p>
      <w:pPr>
        <w:spacing w:line="360" w:lineRule="auto"/>
        <w:ind w:firstLine="470" w:firstLineChars="196"/>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1.工程</w:t>
      </w:r>
      <w:r>
        <w:rPr>
          <w:rFonts w:hint="eastAsia" w:asciiTheme="minorEastAsia" w:hAnsiTheme="minorEastAsia" w:eastAsiaTheme="minorEastAsia"/>
          <w:bCs/>
          <w:strike/>
          <w:color w:val="auto"/>
          <w:sz w:val="24"/>
          <w:szCs w:val="24"/>
          <w:highlight w:val="none"/>
        </w:rPr>
        <w:t>勘察</w:t>
      </w:r>
      <w:r>
        <w:rPr>
          <w:rFonts w:hint="eastAsia" w:asciiTheme="minorEastAsia" w:hAnsiTheme="minorEastAsia" w:eastAsiaTheme="minorEastAsia"/>
          <w:bCs/>
          <w:color w:val="auto"/>
          <w:sz w:val="24"/>
          <w:szCs w:val="24"/>
          <w:highlight w:val="none"/>
        </w:rPr>
        <w:t>设计范围：</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bCs/>
          <w:color w:val="auto"/>
          <w:sz w:val="24"/>
          <w:szCs w:val="24"/>
          <w:highlight w:val="none"/>
        </w:rPr>
        <w:t>。</w:t>
      </w:r>
    </w:p>
    <w:p>
      <w:pPr>
        <w:spacing w:line="360" w:lineRule="auto"/>
        <w:ind w:firstLine="470"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2.工程设计阶段：</w:t>
      </w:r>
    </w:p>
    <w:p>
      <w:pPr>
        <w:spacing w:line="360" w:lineRule="auto"/>
        <w:ind w:firstLine="470" w:firstLineChars="19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br w:type="page"/>
      </w:r>
    </w:p>
    <w:tbl>
      <w:tblPr>
        <w:tblStyle w:val="63"/>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97"/>
        <w:gridCol w:w="543"/>
        <w:gridCol w:w="567"/>
        <w:gridCol w:w="733"/>
        <w:gridCol w:w="709"/>
        <w:gridCol w:w="700"/>
        <w:gridCol w:w="854"/>
        <w:gridCol w:w="1117"/>
        <w:gridCol w:w="928"/>
        <w:gridCol w:w="54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 w:hRule="atLeast"/>
          <w:jc w:val="center"/>
        </w:trPr>
        <w:tc>
          <w:tcPr>
            <w:tcW w:w="1588" w:type="dxa"/>
            <w:gridSpan w:val="2"/>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项目名称</w:t>
            </w:r>
          </w:p>
        </w:tc>
        <w:tc>
          <w:tcPr>
            <w:tcW w:w="7441" w:type="dxa"/>
            <w:gridSpan w:val="10"/>
            <w:tcBorders>
              <w:right w:val="single" w:color="auto" w:sz="4" w:space="0"/>
            </w:tcBorders>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588" w:type="dxa"/>
            <w:gridSpan w:val="2"/>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建设规模</w:t>
            </w:r>
          </w:p>
        </w:tc>
        <w:tc>
          <w:tcPr>
            <w:tcW w:w="5223" w:type="dxa"/>
            <w:gridSpan w:val="7"/>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设计阶段及内容</w:t>
            </w:r>
          </w:p>
        </w:tc>
        <w:tc>
          <w:tcPr>
            <w:tcW w:w="928" w:type="dxa"/>
            <w:vMerge w:val="restart"/>
            <w:textDirection w:val="tbRlV"/>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总投资额（亿元人民币）</w:t>
            </w:r>
          </w:p>
        </w:tc>
        <w:tc>
          <w:tcPr>
            <w:tcW w:w="540" w:type="dxa"/>
            <w:vMerge w:val="restart"/>
            <w:textDirection w:val="tbRlV"/>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费率（％）</w:t>
            </w:r>
          </w:p>
        </w:tc>
        <w:tc>
          <w:tcPr>
            <w:tcW w:w="750" w:type="dxa"/>
            <w:vMerge w:val="restart"/>
            <w:tcBorders>
              <w:right w:val="single" w:color="auto" w:sz="4" w:space="0"/>
            </w:tcBorders>
            <w:textDirection w:val="tbRlV"/>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合同价款（万元人民币）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91" w:type="dxa"/>
            <w:vMerge w:val="restart"/>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规划高度（m）</w:t>
            </w:r>
          </w:p>
        </w:tc>
        <w:tc>
          <w:tcPr>
            <w:tcW w:w="797" w:type="dxa"/>
            <w:vMerge w:val="restart"/>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建筑</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面积（m</w:t>
            </w:r>
            <w:r>
              <w:rPr>
                <w:rFonts w:hint="eastAsia" w:asciiTheme="minorEastAsia" w:hAnsiTheme="minorEastAsia" w:eastAsiaTheme="minorEastAsia"/>
                <w:color w:val="auto"/>
                <w:szCs w:val="21"/>
                <w:highlight w:val="none"/>
                <w:vertAlign w:val="superscript"/>
              </w:rPr>
              <w:t>2</w:t>
            </w:r>
            <w:r>
              <w:rPr>
                <w:rFonts w:hint="eastAsia" w:asciiTheme="minorEastAsia" w:hAnsiTheme="minorEastAsia" w:eastAsiaTheme="minorEastAsia"/>
                <w:color w:val="auto"/>
                <w:szCs w:val="21"/>
                <w:highlight w:val="none"/>
              </w:rPr>
              <w:t>）</w:t>
            </w:r>
          </w:p>
        </w:tc>
        <w:tc>
          <w:tcPr>
            <w:tcW w:w="5223" w:type="dxa"/>
            <w:gridSpan w:val="7"/>
            <w:vAlign w:val="center"/>
          </w:tcPr>
          <w:p>
            <w:pPr>
              <w:spacing w:line="360" w:lineRule="auto"/>
              <w:ind w:left="-53" w:leftChars="-25" w:right="-53" w:rightChars="-25" w:firstLine="680"/>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各阶段提交设计成果文件版次</w:t>
            </w:r>
          </w:p>
        </w:tc>
        <w:tc>
          <w:tcPr>
            <w:tcW w:w="928"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540"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750" w:type="dxa"/>
            <w:vMerge w:val="continue"/>
            <w:tcBorders>
              <w:right w:val="single" w:color="auto" w:sz="4" w:space="0"/>
            </w:tcBorders>
          </w:tcPr>
          <w:p>
            <w:pPr>
              <w:spacing w:line="360" w:lineRule="auto"/>
              <w:ind w:left="-53" w:leftChars="-25" w:right="-53" w:rightChars="-25" w:firstLine="680"/>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91"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797"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1843" w:type="dxa"/>
            <w:gridSpan w:val="3"/>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sym w:font="Wingdings 2" w:char="F052"/>
            </w:r>
            <w:r>
              <w:rPr>
                <w:rFonts w:hint="eastAsia" w:asciiTheme="minorEastAsia" w:hAnsiTheme="minorEastAsia" w:eastAsiaTheme="minorEastAsia"/>
                <w:color w:val="auto"/>
                <w:szCs w:val="21"/>
                <w:highlight w:val="none"/>
              </w:rPr>
              <w:t>方案优化</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设计</w:t>
            </w:r>
          </w:p>
        </w:tc>
        <w:tc>
          <w:tcPr>
            <w:tcW w:w="709"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sym w:font="Wingdings 2" w:char="F052"/>
            </w:r>
            <w:r>
              <w:rPr>
                <w:rFonts w:hint="eastAsia" w:asciiTheme="minorEastAsia" w:hAnsiTheme="minorEastAsia" w:eastAsiaTheme="minorEastAsia"/>
                <w:color w:val="auto"/>
                <w:szCs w:val="21"/>
                <w:highlight w:val="none"/>
              </w:rPr>
              <w:t>初步设计</w:t>
            </w:r>
          </w:p>
        </w:tc>
        <w:tc>
          <w:tcPr>
            <w:tcW w:w="1554" w:type="dxa"/>
            <w:gridSpan w:val="2"/>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sym w:font="Wingdings 2" w:char="F052"/>
            </w:r>
            <w:r>
              <w:rPr>
                <w:rFonts w:hint="eastAsia" w:asciiTheme="minorEastAsia" w:hAnsiTheme="minorEastAsia" w:eastAsiaTheme="minorEastAsia"/>
                <w:color w:val="auto"/>
                <w:szCs w:val="21"/>
                <w:highlight w:val="none"/>
              </w:rPr>
              <w:t>施工图</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设计（</w:t>
            </w:r>
            <w:r>
              <w:rPr>
                <w:rFonts w:hint="eastAsia" w:hAnsi="宋体"/>
                <w:color w:val="auto"/>
                <w:sz w:val="24"/>
                <w:highlight w:val="none"/>
                <w:u w:val="single"/>
              </w:rPr>
              <w:t>基坑工程、</w:t>
            </w:r>
            <w:r>
              <w:rPr>
                <w:rFonts w:hint="eastAsia" w:ascii="Cambria Math" w:hAnsi="Cambria Math" w:cs="Cambria Math"/>
                <w:b/>
                <w:bCs/>
                <w:color w:val="auto"/>
                <w:sz w:val="24"/>
                <w:szCs w:val="24"/>
                <w:highlight w:val="none"/>
                <w:u w:val="single"/>
              </w:rPr>
              <w:t>土方工程</w:t>
            </w:r>
            <w:r>
              <w:rPr>
                <w:rFonts w:hint="eastAsia" w:asciiTheme="minorEastAsia" w:hAnsiTheme="minorEastAsia" w:eastAsiaTheme="minorEastAsia"/>
                <w:color w:val="auto"/>
                <w:szCs w:val="21"/>
                <w:highlight w:val="none"/>
              </w:rPr>
              <w:t>）</w:t>
            </w:r>
          </w:p>
        </w:tc>
        <w:tc>
          <w:tcPr>
            <w:tcW w:w="1117"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竣工图审查</w:t>
            </w:r>
          </w:p>
        </w:tc>
        <w:tc>
          <w:tcPr>
            <w:tcW w:w="928"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540"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750" w:type="dxa"/>
            <w:vMerge w:val="continue"/>
            <w:tcBorders>
              <w:right w:val="single" w:color="auto" w:sz="4" w:space="0"/>
            </w:tcBorders>
          </w:tcPr>
          <w:p>
            <w:pPr>
              <w:spacing w:line="360" w:lineRule="auto"/>
              <w:ind w:left="-53" w:leftChars="-25" w:right="-53" w:rightChars="-25" w:firstLine="680"/>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91"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797" w:type="dxa"/>
            <w:vMerge w:val="continue"/>
            <w:vAlign w:val="center"/>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543"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w:t>
            </w:r>
          </w:p>
        </w:tc>
        <w:tc>
          <w:tcPr>
            <w:tcW w:w="567"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p>
        </w:tc>
        <w:tc>
          <w:tcPr>
            <w:tcW w:w="733"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w:t>
            </w:r>
          </w:p>
        </w:tc>
        <w:tc>
          <w:tcPr>
            <w:tcW w:w="709"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w:t>
            </w:r>
          </w:p>
        </w:tc>
        <w:tc>
          <w:tcPr>
            <w:tcW w:w="700"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w:t>
            </w:r>
          </w:p>
        </w:tc>
        <w:tc>
          <w:tcPr>
            <w:tcW w:w="854"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6</w:t>
            </w:r>
          </w:p>
        </w:tc>
        <w:tc>
          <w:tcPr>
            <w:tcW w:w="1117"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版</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次</w:t>
            </w:r>
          </w:p>
          <w:p>
            <w:pPr>
              <w:spacing w:line="360" w:lineRule="auto"/>
              <w:ind w:left="-53" w:leftChars="-25" w:right="-53" w:rightChars="-25"/>
              <w:jc w:val="center"/>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7</w:t>
            </w:r>
          </w:p>
        </w:tc>
        <w:tc>
          <w:tcPr>
            <w:tcW w:w="928"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540" w:type="dxa"/>
            <w:vMerge w:val="continue"/>
          </w:tcPr>
          <w:p>
            <w:pPr>
              <w:spacing w:line="360" w:lineRule="auto"/>
              <w:ind w:left="-53" w:leftChars="-25" w:right="-53" w:rightChars="-25" w:firstLine="680"/>
              <w:rPr>
                <w:rFonts w:asciiTheme="minorEastAsia" w:hAnsiTheme="minorEastAsia" w:eastAsiaTheme="minorEastAsia"/>
                <w:color w:val="auto"/>
                <w:szCs w:val="21"/>
                <w:highlight w:val="none"/>
              </w:rPr>
            </w:pPr>
          </w:p>
        </w:tc>
        <w:tc>
          <w:tcPr>
            <w:tcW w:w="750" w:type="dxa"/>
            <w:vMerge w:val="continue"/>
            <w:tcBorders>
              <w:right w:val="single" w:color="auto" w:sz="4" w:space="0"/>
            </w:tcBorders>
          </w:tcPr>
          <w:p>
            <w:pPr>
              <w:spacing w:line="360" w:lineRule="auto"/>
              <w:ind w:left="-53" w:leftChars="-25" w:right="-53" w:rightChars="-25" w:firstLine="680"/>
              <w:rPr>
                <w:rFonts w:asciiTheme="minorEastAsia" w:hAnsiTheme="minorEastAsia" w:eastAsiaTheme="minor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791"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p>
        </w:tc>
        <w:tc>
          <w:tcPr>
            <w:tcW w:w="797"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p>
        </w:tc>
        <w:tc>
          <w:tcPr>
            <w:tcW w:w="5223" w:type="dxa"/>
            <w:gridSpan w:val="7"/>
          </w:tcPr>
          <w:p>
            <w:pPr>
              <w:pStyle w:val="313"/>
              <w:spacing w:line="360" w:lineRule="auto"/>
              <w:ind w:left="-53" w:leftChars="-25" w:right="-53" w:rightChars="-25"/>
              <w:rPr>
                <w:rFonts w:asciiTheme="minorEastAsia" w:hAnsiTheme="minorEastAsia" w:eastAsiaTheme="minorEastAsia"/>
                <w:color w:val="auto"/>
                <w:kern w:val="2"/>
                <w:sz w:val="21"/>
                <w:szCs w:val="21"/>
                <w:highlight w:val="none"/>
              </w:rPr>
            </w:pPr>
            <w:r>
              <w:rPr>
                <w:rFonts w:hint="eastAsia" w:asciiTheme="minorEastAsia" w:hAnsiTheme="minorEastAsia" w:eastAsiaTheme="minorEastAsia"/>
                <w:color w:val="auto"/>
                <w:kern w:val="2"/>
                <w:sz w:val="21"/>
                <w:szCs w:val="21"/>
                <w:highlight w:val="none"/>
              </w:rPr>
              <w:t>提交设计成果文件版次说明、设计内容见下本合同条款及附件</w:t>
            </w:r>
          </w:p>
        </w:tc>
        <w:tc>
          <w:tcPr>
            <w:tcW w:w="928" w:type="dxa"/>
            <w:vAlign w:val="center"/>
          </w:tcPr>
          <w:p>
            <w:pPr>
              <w:snapToGrid w:val="0"/>
              <w:spacing w:line="360" w:lineRule="auto"/>
              <w:ind w:left="-53" w:leftChars="-25" w:right="-53" w:rightChars="-25"/>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以政府批准的概算为准</w:t>
            </w:r>
          </w:p>
        </w:tc>
        <w:tc>
          <w:tcPr>
            <w:tcW w:w="540" w:type="dxa"/>
            <w:vAlign w:val="center"/>
          </w:tcPr>
          <w:p>
            <w:pPr>
              <w:spacing w:line="360" w:lineRule="auto"/>
              <w:ind w:left="-53" w:leftChars="-25" w:right="-53" w:rightChars="-25"/>
              <w:jc w:val="center"/>
              <w:rPr>
                <w:rFonts w:asciiTheme="minorEastAsia" w:hAnsiTheme="minorEastAsia" w:eastAsiaTheme="minorEastAsia"/>
                <w:color w:val="auto"/>
                <w:szCs w:val="21"/>
                <w:highlight w:val="none"/>
              </w:rPr>
            </w:pPr>
          </w:p>
        </w:tc>
        <w:tc>
          <w:tcPr>
            <w:tcW w:w="750" w:type="dxa"/>
            <w:vAlign w:val="center"/>
          </w:tcPr>
          <w:p>
            <w:pPr>
              <w:snapToGrid w:val="0"/>
              <w:spacing w:line="360" w:lineRule="auto"/>
              <w:ind w:left="-53" w:leftChars="-25" w:right="-53" w:rightChars="-25"/>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(含方案设计及初步设计费万、</w:t>
            </w:r>
            <w:r>
              <w:rPr>
                <w:rFonts w:asciiTheme="minorEastAsia" w:hAnsiTheme="minorEastAsia" w:eastAsiaTheme="minorEastAsia"/>
                <w:color w:val="auto"/>
                <w:szCs w:val="21"/>
                <w:highlight w:val="none"/>
              </w:rPr>
              <w:t>BIM</w:t>
            </w:r>
            <w:r>
              <w:rPr>
                <w:rFonts w:hint="eastAsia" w:asciiTheme="minorEastAsia" w:hAnsiTheme="minorEastAsia" w:eastAsiaTheme="minorEastAsia"/>
                <w:color w:val="auto"/>
                <w:szCs w:val="21"/>
                <w:highlight w:val="none"/>
              </w:rPr>
              <w:t>费万）</w:t>
            </w:r>
          </w:p>
        </w:tc>
      </w:tr>
    </w:tbl>
    <w:p>
      <w:pPr>
        <w:spacing w:line="360" w:lineRule="auto"/>
        <w:ind w:firstLine="470" w:firstLineChars="196"/>
        <w:rPr>
          <w:rFonts w:asciiTheme="minorEastAsia" w:hAnsiTheme="minorEastAsia" w:eastAsiaTheme="minorEastAsia"/>
          <w:bCs/>
          <w:color w:val="auto"/>
          <w:sz w:val="24"/>
          <w:szCs w:val="24"/>
          <w:highlight w:val="none"/>
          <w:u w:val="single"/>
        </w:rPr>
      </w:pPr>
    </w:p>
    <w:p>
      <w:pPr>
        <w:spacing w:line="360" w:lineRule="auto"/>
        <w:ind w:firstLine="480" w:firstLineChars="200"/>
        <w:jc w:val="left"/>
        <w:rPr>
          <w:rFonts w:ascii="宋体" w:hAnsi="宋体"/>
          <w:color w:val="auto"/>
          <w:sz w:val="24"/>
          <w:highlight w:val="none"/>
          <w:u w:val="single"/>
        </w:rPr>
      </w:pPr>
      <w:bookmarkStart w:id="7" w:name="_Toc351203482"/>
      <w:r>
        <w:rPr>
          <w:rFonts w:hint="eastAsia" w:ascii="宋体" w:hAnsi="宋体"/>
          <w:bCs/>
          <w:color w:val="auto"/>
          <w:sz w:val="24"/>
          <w:szCs w:val="24"/>
          <w:highlight w:val="none"/>
        </w:rPr>
        <w:t>3.工程设计服务内容：</w:t>
      </w:r>
      <w:r>
        <w:rPr>
          <w:rFonts w:hint="eastAsia" w:ascii="宋体" w:hAnsi="宋体"/>
          <w:color w:val="auto"/>
          <w:sz w:val="24"/>
          <w:highlight w:val="none"/>
          <w:u w:val="single"/>
        </w:rPr>
        <w:t>根据基础资料等要求，完成项目建设范围所涉及建设内容的方案设计及初步设计工作。</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（1）方案设计阶段：</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① 对中标方案进行调整和优化，提供完整的设计方案及效果图，直至取得甲方确认。</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② 提供调整后的方案设计说明及图纸、效果图。</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③ 按照限额设计要求，完成本项目招标范围内工程投资方案设计估算等造价文件的编制及相关配合报审工作，还包括各阶段方案比选、技术选型比选的投资分析、协助竣工图审核等。</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④ 准备一套主要材料样板（方案深度）。</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⑤ 方案设计完成后，送甲方审查认可，并协助甲方按规定报政府主管部门审查。</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⑥提交的方案设计文件取得政府主管部门同意批文，并按本合同条款规定提供方案设计成果。</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⑦建筑方案满足使用单位功能需求，符合项目建议书、可行性研究报告、相关文件及函的要求。</w:t>
      </w:r>
    </w:p>
    <w:p>
      <w:pPr>
        <w:pStyle w:val="33"/>
        <w:spacing w:line="360" w:lineRule="auto"/>
        <w:ind w:firstLine="480" w:firstLineChars="200"/>
        <w:rPr>
          <w:rFonts w:hAnsi="宋体" w:eastAsia="宋体"/>
          <w:color w:val="auto"/>
          <w:kern w:val="2"/>
          <w:sz w:val="24"/>
          <w:szCs w:val="22"/>
          <w:highlight w:val="none"/>
          <w:u w:val="single"/>
        </w:rPr>
      </w:pPr>
      <w:r>
        <w:rPr>
          <w:rFonts w:hint="eastAsia" w:hAnsi="宋体" w:eastAsia="宋体"/>
          <w:color w:val="auto"/>
          <w:kern w:val="2"/>
          <w:sz w:val="24"/>
          <w:szCs w:val="22"/>
          <w:highlight w:val="none"/>
          <w:u w:val="single"/>
        </w:rPr>
        <w:t>⑧ 编制规划报建资料，为规划部门确定用地边界、容积率、绿地率、建筑密度、建筑高度等用地规划指标，最终调整地块现状控规指标，并为批复工程设计方案、《建设工程规划许可证》等提供依据。</w:t>
      </w:r>
    </w:p>
    <w:p>
      <w:pPr>
        <w:pStyle w:val="33"/>
        <w:spacing w:line="360" w:lineRule="auto"/>
        <w:ind w:firstLine="480" w:firstLineChars="200"/>
        <w:rPr>
          <w:rFonts w:hAnsi="宋体" w:eastAsia="宋体"/>
          <w:color w:val="auto"/>
          <w:kern w:val="2"/>
          <w:sz w:val="24"/>
          <w:szCs w:val="22"/>
          <w:highlight w:val="none"/>
          <w:u w:val="single"/>
        </w:rPr>
      </w:pPr>
      <w:r>
        <w:rPr>
          <w:rFonts w:hint="eastAsia" w:hAnsi="宋体" w:eastAsia="宋体"/>
          <w:color w:val="auto"/>
          <w:kern w:val="2"/>
          <w:sz w:val="24"/>
          <w:szCs w:val="22"/>
          <w:highlight w:val="none"/>
          <w:u w:val="single"/>
        </w:rPr>
        <w:t>⑨</w:t>
      </w:r>
      <w:r>
        <w:rPr>
          <w:rFonts w:hint="eastAsia" w:hAnsi="宋体" w:eastAsia="宋体"/>
          <w:color w:val="auto"/>
          <w:kern w:val="2"/>
          <w:sz w:val="24"/>
          <w:szCs w:val="22"/>
          <w:highlight w:val="none"/>
          <w:u w:val="single"/>
        </w:rPr>
        <w:t>配合可研报告编制单位完善方案优化。</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（2）初步设计阶段</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① 根据批准后的设计方案完成所有专业的初步设计文件。包括但不限于：规划用地范围内的规划、总图、建筑、基坑开挖与支护、结构、电气、给排水、通风与空调、装饰装修（含室内外）、建筑智能化系统、消防、景观园林、绿色建筑、燃气、电梯</w:t>
      </w:r>
      <w:r>
        <w:rPr>
          <w:rFonts w:ascii="宋体" w:hAnsi="宋体"/>
          <w:color w:val="auto"/>
          <w:sz w:val="24"/>
          <w:highlight w:val="none"/>
          <w:u w:val="single"/>
        </w:rPr>
        <w:t>(</w:t>
      </w:r>
      <w:r>
        <w:rPr>
          <w:rFonts w:hint="eastAsia" w:ascii="宋体" w:hAnsi="宋体"/>
          <w:color w:val="auto"/>
          <w:sz w:val="24"/>
          <w:highlight w:val="none"/>
          <w:u w:val="single"/>
        </w:rPr>
        <w:t>升降梯及自动扶梯</w:t>
      </w:r>
      <w:r>
        <w:rPr>
          <w:rFonts w:ascii="宋体" w:hAnsi="宋体"/>
          <w:color w:val="auto"/>
          <w:sz w:val="24"/>
          <w:highlight w:val="none"/>
          <w:u w:val="single"/>
        </w:rPr>
        <w:t>)</w:t>
      </w:r>
      <w:r>
        <w:rPr>
          <w:rFonts w:hint="eastAsia" w:ascii="宋体" w:hAnsi="宋体"/>
          <w:color w:val="auto"/>
          <w:sz w:val="24"/>
          <w:highlight w:val="none"/>
          <w:u w:val="single"/>
        </w:rPr>
        <w:t>、钢结构、幕墙、室外道路、交通组织设计、人防工程、</w:t>
      </w:r>
      <w:r>
        <w:rPr>
          <w:rFonts w:ascii="宋体" w:hAnsi="宋体"/>
          <w:color w:val="auto"/>
          <w:sz w:val="24"/>
          <w:highlight w:val="none"/>
          <w:u w:val="single"/>
        </w:rPr>
        <w:t>BIM</w:t>
      </w:r>
      <w:r>
        <w:rPr>
          <w:rFonts w:hint="eastAsia" w:ascii="宋体" w:hAnsi="宋体"/>
          <w:color w:val="auto"/>
          <w:sz w:val="24"/>
          <w:highlight w:val="none"/>
          <w:u w:val="single"/>
        </w:rPr>
        <w:t>设计、海绵城市设计、古树后续资源设计、截洪沟工程设计、场地平整设计、管线综合设计等；</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② 初步设计文件完成后，送甲方审查认可，并协助甲方按规定报政府主管部门审查，并按审查意见修改初步设计文件，直至审查通过。</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③提供调整后的方案设计说明及图纸、效果图。</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④ 提交的初步设计文件取得政府主管部门同意批文，并按本合同条款规定提供初步设计成果后，完成本项目招标范围内初步设计概算等造价文件的编制并获得政府投资主管部门的批复。</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⑤ 交通组织方案：做好交通组织设计方案及围蔽施工方案的设计工作。</w:t>
      </w:r>
    </w:p>
    <w:p>
      <w:pPr>
        <w:pStyle w:val="33"/>
        <w:spacing w:line="360" w:lineRule="auto"/>
        <w:ind w:firstLine="480" w:firstLineChars="200"/>
        <w:rPr>
          <w:rFonts w:hAnsi="宋体" w:eastAsia="宋体"/>
          <w:color w:val="auto"/>
          <w:kern w:val="2"/>
          <w:sz w:val="24"/>
          <w:szCs w:val="22"/>
          <w:highlight w:val="none"/>
          <w:u w:val="single"/>
        </w:rPr>
      </w:pPr>
      <w:r>
        <w:rPr>
          <w:rFonts w:hint="eastAsia" w:hAnsi="宋体" w:eastAsia="宋体"/>
          <w:color w:val="auto"/>
          <w:kern w:val="2"/>
          <w:sz w:val="24"/>
          <w:szCs w:val="22"/>
          <w:highlight w:val="none"/>
          <w:u w:val="single"/>
        </w:rPr>
        <w:t>⑥负责基坑工程施工图设计（含基坑开挖及支护）、负责土方工程施工图设计（含土方平衡方案），负责标高论证。要求在确保基坑、土方等安全可靠的前提下做到经济合理、施工便捷，并按照专家意见修改完善，作为基坑支护、开挖及土方施工依据。</w:t>
      </w:r>
    </w:p>
    <w:p>
      <w:pPr>
        <w:pStyle w:val="33"/>
        <w:spacing w:line="360" w:lineRule="auto"/>
        <w:ind w:firstLine="480" w:firstLineChars="200"/>
        <w:rPr>
          <w:rFonts w:hAnsi="宋体" w:eastAsia="宋体"/>
          <w:color w:val="auto"/>
          <w:kern w:val="2"/>
          <w:sz w:val="24"/>
          <w:szCs w:val="22"/>
          <w:highlight w:val="none"/>
          <w:u w:val="single"/>
        </w:rPr>
      </w:pPr>
      <w:r>
        <w:rPr>
          <w:rFonts w:hint="eastAsia" w:hAnsi="宋体" w:eastAsia="宋体"/>
          <w:color w:val="auto"/>
          <w:kern w:val="2"/>
          <w:sz w:val="24"/>
          <w:szCs w:val="22"/>
          <w:highlight w:val="none"/>
          <w:u w:val="single"/>
        </w:rPr>
        <w:t>⑦</w:t>
      </w:r>
      <w:r>
        <w:rPr>
          <w:rFonts w:hint="eastAsia" w:hAnsi="宋体" w:eastAsia="宋体"/>
          <w:color w:val="auto"/>
          <w:kern w:val="2"/>
          <w:sz w:val="24"/>
          <w:szCs w:val="22"/>
          <w:highlight w:val="none"/>
          <w:u w:val="single"/>
        </w:rPr>
        <w:t>配合编制施工图预算（承担基坑工程、基坑支护、场地土方平衡等施工图预算编制配合）。</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(3)施工阶段工作：提供后续工艺设计单位及施工图设计单位的配合工作，按招标人要求（如有）对已确认的方案设计、初步设计进行调整，并有对施工图设计成果评价和把控的责任。如施工服务阶段涉及重大设计方案变更，乙方须配合甲方及施工图设计单位做好相关工作，以及“负责施工图设计文件和施工图深化设计文件审核（与使用需求的符合性、与方案设计和初步设计各专业的符合性及经济合理性、其他相关配套专业符合性等设计服务）。</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(4)建筑节能与新技术的应用及设计：包括节能、环保、绿色建筑、海绵城市、BIM等专项工程设计，项目设计全过程须应用BIM技术。</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(5)BIM技术运用：整个设计过程运用BIM建筑信息模型，包括有关模型，及相关文档、数据，模型深度应符合各阶段设计深度要求，运用BIM检查初步设计、施工图设计中的错、漏、碰、缺，利用BIM技术进行管线综合平衡设计，要求实现项目参与各方在同一平台上项目信息数据共享，实现设计工作中的沟通与协调，协助业主进行全程可视化交流服务，重点难点节点展示及深化设计复核等工作，在BIM中插入、提取、更新和修改信息，确保各方协同作业，建立运营维护模型，指导实际运行、维护管理工作，要求BIM全地形建模。BIM模型成果文件需上传到广东省代建项目管理局BIM协同管理平台上，且BIM技术要求必须达到《广东省代建项目管理局BIM实施管理标准及实施导则》的要求，BIM完成情况纳入合同履约诚信考核。</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(6)其他工作：</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1）造价文件编制工作：按照限额设计要求，完成本项目招标范围内工程投资方案设计估算、初步设计概算等造价文件的编制及相关配合报审工作，协助发包人取得发展改革部门的批复意见。还包括各阶段方案比选、技术选型比选的投资分析、协助施工阶段的设计变更造价变化分析、协助竣工图审核等。接受并配合发包人委托的第三方造价咨询单位对各阶段造价文件的审核。</w:t>
      </w:r>
    </w:p>
    <w:p>
      <w:pPr>
        <w:spacing w:line="360" w:lineRule="auto"/>
        <w:ind w:firstLine="470" w:firstLineChars="196"/>
        <w:rPr>
          <w:rFonts w:ascii="宋体" w:hAnsi="宋体" w:cs="宋体"/>
          <w:color w:val="auto"/>
          <w:sz w:val="24"/>
          <w:highlight w:val="none"/>
          <w:u w:val="single"/>
        </w:rPr>
      </w:pPr>
      <w:r>
        <w:rPr>
          <w:rFonts w:hint="eastAsia" w:ascii="宋体" w:hAnsi="宋体"/>
          <w:color w:val="auto"/>
          <w:sz w:val="24"/>
          <w:highlight w:val="none"/>
          <w:u w:val="single"/>
        </w:rPr>
        <w:t>2）技术配合工作：协助招标人办理用地规划、用地预审手续批复等工作，招标人后续各类招标工作配合、施工图设计配合、设计变更配合、施工配合、现场服务、竣工验收及概算清理、竣工图编制配合、专题研究等；配合设计审查（概念方案审查、设计方案审查、初步设计审查）及相关配套设计服务等设计服务；投资分解，以分部工程为单位，依据经批复的可研估算编制限额设计投资目标，作为方案设计和初步设计阶段限额设计的依据，负责配合编制基坑工程、基坑支护、场地土方平衡等部分的施工图预算，并确保上述施工图预算控制在经批准的初步设计概算范围内，协助甲方完成对项目其余施工图图纸预算审核工作。</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3）报建配合工作：协助建设单位向规划部门办理《建设项目选址意见书》、《建设项目用地预审意见》、《建设用地规划许可证》、《建设用地批准书》、工程设计方案、管线综合规划、《建设工程规划许可证》等报建报批手续，负责上述规划报建手续所需的相关技术文件的编制，以及购买相关书面文件和电子文件、地形图、各类证照（含公示牌等）、各阶段测量及放线册、周边水域水文资料等的费用，承包单位应根据规划部门的意见对有关申报资料进行修改和补充，建设单位配合承包单位完善有关资料。</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4）各专业报建报审工作：在编制各阶段设计成果文件过程中，根据项目属地规划、住建等建设行政主管部门对工程建设报批报建的有关规定和要求，以及按照使用单位对实际功能的需求和发包人的有关要求，在现行政策规定下完成各项报批报建成果文件的编制。工作范围包括并不限于规划设计、管线综合、消防、人防、景观立面、交通组织、环保节能、绿色建筑等（具体以项目属地建设行政主管部门和招标人要求为准）。</w:t>
      </w:r>
    </w:p>
    <w:p>
      <w:pPr>
        <w:spacing w:line="360" w:lineRule="auto"/>
        <w:ind w:firstLine="470" w:firstLineChars="196"/>
        <w:rPr>
          <w:rFonts w:ascii="宋体" w:hAnsi="宋体"/>
          <w:color w:val="auto"/>
          <w:sz w:val="24"/>
          <w:highlight w:val="none"/>
          <w:u w:val="single"/>
        </w:rPr>
      </w:pPr>
      <w:r>
        <w:rPr>
          <w:rFonts w:ascii="宋体" w:hAnsi="宋体"/>
          <w:color w:val="auto"/>
          <w:sz w:val="24"/>
          <w:highlight w:val="none"/>
          <w:u w:val="single"/>
        </w:rPr>
        <w:t>5</w:t>
      </w:r>
      <w:r>
        <w:rPr>
          <w:rFonts w:hint="eastAsia" w:ascii="宋体" w:hAnsi="宋体"/>
          <w:color w:val="auto"/>
          <w:sz w:val="24"/>
          <w:highlight w:val="none"/>
          <w:u w:val="single"/>
        </w:rPr>
        <w:t>）设计文件修改、完善工作：中标人应根据政府相关行政主管部门、行业主管部门的审批意见无条件地修改、完善各阶段的设计成果文件，确保其满足相关的审批要求；中标人应根据施工图审查单位的审查、招标人的设计评审、招标人组织的专业人士的意见对设计成果文件进行修改、完善。</w:t>
      </w:r>
    </w:p>
    <w:p>
      <w:pPr>
        <w:spacing w:line="360" w:lineRule="auto"/>
        <w:ind w:firstLine="470" w:firstLineChars="196"/>
        <w:rPr>
          <w:rFonts w:ascii="宋体" w:hAnsi="宋体"/>
          <w:color w:val="auto"/>
          <w:sz w:val="24"/>
          <w:highlight w:val="none"/>
          <w:u w:val="single"/>
        </w:rPr>
      </w:pPr>
      <w:r>
        <w:rPr>
          <w:rFonts w:ascii="宋体" w:hAnsi="宋体"/>
          <w:color w:val="auto"/>
          <w:sz w:val="24"/>
          <w:highlight w:val="none"/>
          <w:u w:val="single"/>
        </w:rPr>
        <w:t>6</w:t>
      </w:r>
      <w:r>
        <w:rPr>
          <w:rFonts w:hint="eastAsia" w:ascii="宋体" w:hAnsi="宋体"/>
          <w:color w:val="auto"/>
          <w:sz w:val="24"/>
          <w:highlight w:val="none"/>
          <w:u w:val="single"/>
        </w:rPr>
        <w:t>)设计配合工作包括临水（临时外水）、临电（临时外电）、施工总平面等设计工作；</w:t>
      </w:r>
    </w:p>
    <w:p>
      <w:pPr>
        <w:spacing w:line="360" w:lineRule="auto"/>
        <w:ind w:firstLine="470" w:firstLineChars="196"/>
        <w:rPr>
          <w:rFonts w:ascii="宋体" w:hAnsi="宋体"/>
          <w:color w:val="auto"/>
          <w:sz w:val="24"/>
          <w:highlight w:val="none"/>
          <w:u w:val="single"/>
        </w:rPr>
      </w:pPr>
      <w:r>
        <w:rPr>
          <w:rFonts w:ascii="宋体" w:hAnsi="宋体"/>
          <w:color w:val="auto"/>
          <w:sz w:val="24"/>
          <w:highlight w:val="none"/>
          <w:u w:val="single"/>
        </w:rPr>
        <w:t>7</w:t>
      </w:r>
      <w:r>
        <w:rPr>
          <w:rFonts w:hint="eastAsia" w:ascii="宋体" w:hAnsi="宋体"/>
          <w:color w:val="auto"/>
          <w:sz w:val="24"/>
          <w:highlight w:val="none"/>
          <w:u w:val="single"/>
        </w:rPr>
        <w:t>)现场服务：现场指导与监督、施工配合（含派设计代表驻现场），及时处理现场设计问题。</w:t>
      </w:r>
    </w:p>
    <w:p>
      <w:pPr>
        <w:spacing w:line="360" w:lineRule="auto"/>
        <w:ind w:firstLine="470" w:firstLineChars="196"/>
        <w:rPr>
          <w:rFonts w:ascii="宋体" w:hAnsi="宋体"/>
          <w:color w:val="auto"/>
          <w:sz w:val="24"/>
          <w:highlight w:val="none"/>
          <w:u w:val="single"/>
        </w:rPr>
      </w:pPr>
      <w:r>
        <w:rPr>
          <w:rFonts w:ascii="宋体" w:hAnsi="宋体"/>
          <w:color w:val="auto"/>
          <w:sz w:val="24"/>
          <w:highlight w:val="none"/>
          <w:u w:val="single"/>
        </w:rPr>
        <w:t>8</w:t>
      </w:r>
      <w:r>
        <w:rPr>
          <w:rFonts w:hint="eastAsia" w:ascii="宋体" w:hAnsi="宋体"/>
          <w:color w:val="auto"/>
          <w:sz w:val="24"/>
          <w:highlight w:val="none"/>
          <w:u w:val="single"/>
        </w:rPr>
        <w:t>)用于材料、设备、施工等招标内容的技术文件编制；</w:t>
      </w:r>
    </w:p>
    <w:p>
      <w:pPr>
        <w:spacing w:line="360" w:lineRule="auto"/>
        <w:ind w:firstLine="470" w:firstLineChars="196"/>
        <w:rPr>
          <w:rFonts w:ascii="宋体" w:hAnsi="宋体"/>
          <w:color w:val="auto"/>
          <w:sz w:val="24"/>
          <w:highlight w:val="none"/>
          <w:u w:val="single"/>
        </w:rPr>
      </w:pPr>
      <w:r>
        <w:rPr>
          <w:rFonts w:ascii="宋体" w:hAnsi="宋体"/>
          <w:color w:val="auto"/>
          <w:sz w:val="24"/>
          <w:highlight w:val="none"/>
          <w:u w:val="single"/>
        </w:rPr>
        <w:t>9</w:t>
      </w:r>
      <w:r>
        <w:rPr>
          <w:rFonts w:hint="eastAsia" w:ascii="宋体" w:hAnsi="宋体"/>
          <w:color w:val="auto"/>
          <w:sz w:val="24"/>
          <w:highlight w:val="none"/>
          <w:u w:val="single"/>
        </w:rPr>
        <w:t>)协助提供工程实体质量监督抽测及监测等咨询工作的招标要求（包括技术要求及清单、预算）等；</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w:t>
      </w:r>
      <w:r>
        <w:rPr>
          <w:rFonts w:ascii="宋体" w:hAnsi="宋体"/>
          <w:color w:val="auto"/>
          <w:sz w:val="24"/>
          <w:highlight w:val="none"/>
          <w:u w:val="single"/>
        </w:rPr>
        <w:t>0</w:t>
      </w:r>
      <w:r>
        <w:rPr>
          <w:rFonts w:hint="eastAsia" w:ascii="宋体" w:hAnsi="宋体"/>
          <w:color w:val="auto"/>
          <w:sz w:val="24"/>
          <w:highlight w:val="none"/>
          <w:u w:val="single"/>
        </w:rPr>
        <w:t>）负责复核招标人提供的现状地形图等。</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w:t>
      </w:r>
      <w:r>
        <w:rPr>
          <w:rFonts w:ascii="宋体" w:hAnsi="宋体"/>
          <w:color w:val="auto"/>
          <w:sz w:val="24"/>
          <w:highlight w:val="none"/>
          <w:u w:val="single"/>
        </w:rPr>
        <w:t>1</w:t>
      </w:r>
      <w:r>
        <w:rPr>
          <w:rFonts w:hint="eastAsia" w:ascii="宋体" w:hAnsi="宋体"/>
          <w:color w:val="auto"/>
          <w:sz w:val="24"/>
          <w:highlight w:val="none"/>
          <w:u w:val="single"/>
        </w:rPr>
        <w:t>）负责把关复核施工图中外观及外立面部分、主材及相关用材部分、精装修等部分，以及招标人其他施工图复核要求。</w:t>
      </w:r>
    </w:p>
    <w:p>
      <w:pPr>
        <w:spacing w:line="360" w:lineRule="auto"/>
        <w:ind w:firstLine="470" w:firstLineChars="196"/>
        <w:rPr>
          <w:rFonts w:ascii="宋体" w:hAnsi="宋体"/>
          <w:color w:val="auto"/>
          <w:sz w:val="24"/>
          <w:highlight w:val="none"/>
          <w:u w:val="single"/>
        </w:rPr>
      </w:pPr>
      <w:r>
        <w:rPr>
          <w:rFonts w:hint="eastAsia" w:ascii="宋体" w:hAnsi="宋体"/>
          <w:color w:val="auto"/>
          <w:sz w:val="24"/>
          <w:highlight w:val="none"/>
          <w:u w:val="single"/>
        </w:rPr>
        <w:t>(7)配合工作</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1）若设计过程中有需要前往外地考察同类项目并借鉴其经验，设计单位应予以协助和配合，考察费用按设计费的5%列支，如有结余则归设计单位所有。</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2）参加各类协调、论证、评审等会议，项目负责人及各专业负责人须到会，负责会议有关汇报文件、展示文件的制作和汇报。</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3）参加由建设单位组织的专家评审，评审专家劳务费用由承包单位负责。</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4）对材料、设备的选型提出合理化建议。</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5）对下一阶段EPC单位的招标工作提出合理化建议，配合施工图设计单位的工作开展，配合有关资料的收集、整理和归档。</w:t>
      </w:r>
    </w:p>
    <w:p>
      <w:pPr>
        <w:pStyle w:val="62"/>
        <w:spacing w:line="360" w:lineRule="auto"/>
        <w:ind w:left="0" w:leftChars="0" w:firstLine="0" w:firstLineChars="0"/>
        <w:rPr>
          <w:rFonts w:ascii="宋体" w:hAnsi="宋体"/>
          <w:color w:val="auto"/>
          <w:kern w:val="2"/>
          <w:sz w:val="24"/>
          <w:szCs w:val="22"/>
          <w:highlight w:val="none"/>
          <w:u w:val="single"/>
        </w:rPr>
      </w:pPr>
      <w:r>
        <w:rPr>
          <w:rFonts w:hint="eastAsia" w:ascii="宋体" w:hAnsi="宋体"/>
          <w:color w:val="auto"/>
          <w:kern w:val="2"/>
          <w:sz w:val="24"/>
          <w:szCs w:val="22"/>
          <w:highlight w:val="none"/>
        </w:rPr>
        <w:t xml:space="preserve">    </w:t>
      </w:r>
      <w:r>
        <w:rPr>
          <w:rFonts w:ascii="宋体" w:hAnsi="宋体"/>
          <w:color w:val="auto"/>
          <w:kern w:val="2"/>
          <w:sz w:val="24"/>
          <w:szCs w:val="22"/>
          <w:highlight w:val="none"/>
          <w:u w:val="single"/>
        </w:rPr>
        <w:t>6</w:t>
      </w:r>
      <w:r>
        <w:rPr>
          <w:rFonts w:hint="eastAsia" w:ascii="宋体" w:hAnsi="宋体"/>
          <w:color w:val="auto"/>
          <w:kern w:val="2"/>
          <w:sz w:val="24"/>
          <w:szCs w:val="22"/>
          <w:highlight w:val="none"/>
          <w:u w:val="single"/>
        </w:rPr>
        <w:t>）各阶段设计文件深度要求必须满足《建筑工程设计文件编制深度规定》的要求，各专业还应该满足各专业工程设计文件编制深度规范或规定的要求。</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u w:val="single"/>
        </w:rPr>
        <w:t>各阶段的设计工作的服务深度需满足现行国家、省、市有关规范规定以及有关职能审批部门的要求。</w:t>
      </w:r>
      <w:r>
        <w:rPr>
          <w:rFonts w:hint="eastAsia" w:ascii="宋体" w:hAnsi="宋体" w:cs="宋体"/>
          <w:b/>
          <w:bCs/>
          <w:color w:val="auto"/>
          <w:sz w:val="24"/>
          <w:highlight w:val="none"/>
          <w:u w:val="single"/>
        </w:rPr>
        <w:t>具体工作内容及要求详见本项目项目建议书、可行性研究报告及合同条款的有关约定。</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w:t>
      </w:r>
      <w:bookmarkEnd w:id="7"/>
      <w:r>
        <w:rPr>
          <w:rFonts w:hint="eastAsia" w:asciiTheme="minorEastAsia" w:hAnsiTheme="minorEastAsia" w:eastAsiaTheme="minorEastAsia"/>
          <w:b/>
          <w:color w:val="auto"/>
          <w:sz w:val="24"/>
          <w:szCs w:val="24"/>
          <w:highlight w:val="none"/>
        </w:rPr>
        <w:t>工程设计周期</w:t>
      </w:r>
    </w:p>
    <w:p>
      <w:pPr>
        <w:spacing w:line="360" w:lineRule="auto"/>
        <w:ind w:firstLine="4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计划开始设计日期：</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年</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月</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日。</w:t>
      </w:r>
    </w:p>
    <w:p>
      <w:pPr>
        <w:spacing w:line="360" w:lineRule="auto"/>
        <w:ind w:firstLine="4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计划完成设计日期：</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年</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月</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rPr>
        <w:t>日。</w:t>
      </w:r>
    </w:p>
    <w:p>
      <w:pPr>
        <w:spacing w:line="360" w:lineRule="auto"/>
        <w:ind w:firstLine="459"/>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具体工程设计周期：</w:t>
      </w:r>
    </w:p>
    <w:p>
      <w:pPr>
        <w:spacing w:line="360" w:lineRule="auto"/>
        <w:ind w:firstLine="314" w:firstLineChars="131"/>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u w:val="single"/>
        </w:rPr>
        <w:t>承包人应在中标通知书发出生   个日历天内配合招标人及使用单位确定设计方案；方案确定后   个日历天内完成初步设计及概算编制工作；经初步设计专家评审后，按专家评审意见   个日历天完成初步设计文件的修改及专家确认工作；配合全过程造价咨询单位在   个日历天内完成初步设计概算审核及定稿工作。如果延误工程，则按专用合同条款14.1.4条等条款承担违约责任。</w:t>
      </w:r>
    </w:p>
    <w:p>
      <w:pPr>
        <w:pStyle w:val="5"/>
        <w:spacing w:before="120" w:after="120" w:line="360" w:lineRule="auto"/>
        <w:rPr>
          <w:rFonts w:asciiTheme="minorEastAsia" w:hAnsiTheme="minorEastAsia" w:eastAsiaTheme="minorEastAsia"/>
          <w:bCs w:val="0"/>
          <w:color w:val="auto"/>
          <w:sz w:val="24"/>
          <w:szCs w:val="24"/>
          <w:highlight w:val="none"/>
        </w:rPr>
      </w:pPr>
      <w:bookmarkStart w:id="8" w:name="_Toc351203484"/>
      <w:r>
        <w:rPr>
          <w:rFonts w:hint="eastAsia" w:asciiTheme="minorEastAsia" w:hAnsiTheme="minorEastAsia" w:eastAsiaTheme="minorEastAsia"/>
          <w:b w:val="0"/>
          <w:color w:val="auto"/>
          <w:sz w:val="24"/>
          <w:szCs w:val="24"/>
          <w:highlight w:val="none"/>
        </w:rPr>
        <w:t>四、合同价格形式与签约合同价</w:t>
      </w:r>
      <w:bookmarkEnd w:id="8"/>
      <w:r>
        <w:rPr>
          <w:rFonts w:hint="eastAsia" w:asciiTheme="minorEastAsia" w:hAnsiTheme="minorEastAsia" w:eastAsiaTheme="minorEastAsia"/>
          <w:b w:val="0"/>
          <w:color w:val="auto"/>
          <w:sz w:val="24"/>
          <w:szCs w:val="24"/>
          <w:highlight w:val="none"/>
        </w:rPr>
        <w:tab/>
      </w:r>
    </w:p>
    <w:p>
      <w:pPr>
        <w:snapToGrid w:val="0"/>
        <w:spacing w:line="360" w:lineRule="auto"/>
        <w:ind w:firstLine="480" w:firstLineChars="200"/>
        <w:jc w:val="left"/>
        <w:rPr>
          <w:rFonts w:ascii="宋体" w:hAnsi="宋体"/>
          <w:color w:val="auto"/>
          <w:sz w:val="24"/>
          <w:highlight w:val="none"/>
          <w:u w:val="single"/>
        </w:rPr>
      </w:pPr>
      <w:r>
        <w:rPr>
          <w:rFonts w:hint="eastAsia" w:asciiTheme="minorEastAsia" w:hAnsiTheme="minorEastAsia" w:eastAsiaTheme="minorEastAsia"/>
          <w:color w:val="auto"/>
          <w:sz w:val="24"/>
          <w:szCs w:val="24"/>
          <w:highlight w:val="none"/>
        </w:rPr>
        <w:t>1.设计费计取的原则：</w:t>
      </w:r>
      <w:r>
        <w:rPr>
          <w:rFonts w:hint="eastAsia" w:asciiTheme="minorEastAsia" w:hAnsiTheme="minorEastAsia" w:eastAsiaTheme="minorEastAsia"/>
          <w:color w:val="auto"/>
          <w:sz w:val="24"/>
          <w:szCs w:val="24"/>
          <w:highlight w:val="none"/>
          <w:u w:val="single"/>
        </w:rPr>
        <w:t>本项目采用限额设计，项目设计费实行市场调节价，设计费总额暂以工程费用限额     万元人民币元为收费计费额计算</w:t>
      </w:r>
      <w:r>
        <w:rPr>
          <w:rFonts w:hint="eastAsia" w:asciiTheme="minorEastAsia" w:hAnsiTheme="minorEastAsia" w:eastAsiaTheme="minorEastAsia"/>
          <w:color w:val="auto"/>
          <w:sz w:val="24"/>
          <w:szCs w:val="24"/>
          <w:highlight w:val="none"/>
        </w:rPr>
        <w:t>；</w:t>
      </w:r>
      <w:r>
        <w:rPr>
          <w:rFonts w:ascii="宋体" w:hAnsi="宋体"/>
          <w:color w:val="auto"/>
          <w:sz w:val="24"/>
          <w:highlight w:val="none"/>
          <w:u w:val="single"/>
        </w:rPr>
        <w:t>取得概算批复后，最终设计费按批复概算建安工程费</w:t>
      </w:r>
      <w:r>
        <w:rPr>
          <w:rFonts w:hint="eastAsia" w:ascii="宋体" w:hAnsi="宋体"/>
          <w:color w:val="auto"/>
          <w:sz w:val="24"/>
          <w:highlight w:val="none"/>
          <w:u w:val="single"/>
        </w:rPr>
        <w:t>与《广东省发展改革委关于广东省计量科学研究院知识城检测基地项目立项的复函》中建安工程费进行等比例换算，并签订设计费包干价的补充协议，以此作为工程设计费进度款支付及结算依据，同时，对设计费进度款支付情况进行复核，多退少补。设计费等比例换算方法为，根据投标人的工程设计费费率（中标工程设计费费率</w:t>
      </w:r>
      <w:r>
        <w:rPr>
          <w:rFonts w:ascii="宋体" w:hAnsi="宋体"/>
          <w:color w:val="auto"/>
          <w:sz w:val="24"/>
          <w:highlight w:val="none"/>
          <w:u w:val="single"/>
        </w:rPr>
        <w:t>=中标设计费金额/</w:t>
      </w:r>
      <w:r>
        <w:rPr>
          <w:rFonts w:hint="eastAsia" w:ascii="宋体" w:hAnsi="宋体"/>
          <w:color w:val="auto"/>
          <w:sz w:val="24"/>
          <w:highlight w:val="none"/>
          <w:u w:val="single"/>
        </w:rPr>
        <w:t>《广东省发展改革委关于广东省计量科学研究院知识城检测基地项目立项的复函》</w:t>
      </w:r>
      <w:r>
        <w:rPr>
          <w:rFonts w:ascii="宋体" w:hAnsi="宋体"/>
          <w:color w:val="auto"/>
          <w:sz w:val="24"/>
          <w:highlight w:val="none"/>
          <w:u w:val="single"/>
        </w:rPr>
        <w:t>中建安工程费</w:t>
      </w:r>
      <w:r>
        <w:rPr>
          <w:rFonts w:hint="eastAsia" w:ascii="宋体" w:hAnsi="宋体"/>
          <w:color w:val="auto"/>
          <w:sz w:val="24"/>
          <w:highlight w:val="none"/>
          <w:u w:val="single"/>
        </w:rPr>
        <w:t>），工程设计费包干结算金额</w:t>
      </w:r>
      <w:r>
        <w:rPr>
          <w:rFonts w:ascii="宋体" w:hAnsi="宋体"/>
          <w:color w:val="auto"/>
          <w:sz w:val="24"/>
          <w:highlight w:val="none"/>
          <w:u w:val="single"/>
        </w:rPr>
        <w:t>=批复概算建安工程费</w:t>
      </w:r>
      <w:r>
        <w:rPr>
          <w:rFonts w:hint="eastAsia" w:ascii="宋体" w:hAnsi="宋体"/>
          <w:color w:val="auto"/>
          <w:sz w:val="24"/>
          <w:highlight w:val="none"/>
          <w:u w:val="single"/>
        </w:rPr>
        <w:t>×中标工程设计费费率。</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注：方案设计和初步设计阶段工作量占全部设计工作量的50%（全部设计工作量包括方案设计、初步设计和施工图设计三阶段）</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工程设计费</w:t>
      </w:r>
      <w:r>
        <w:rPr>
          <w:rFonts w:hint="eastAsia" w:asciiTheme="minorEastAsia" w:hAnsiTheme="minorEastAsia" w:eastAsiaTheme="minorEastAsia"/>
          <w:color w:val="auto"/>
          <w:sz w:val="24"/>
          <w:highlight w:val="none"/>
        </w:rPr>
        <w:t>计费方式为总价包干</w:t>
      </w:r>
      <w:r>
        <w:rPr>
          <w:rFonts w:hint="eastAsia" w:cs="宋体" w:asciiTheme="minorEastAsia" w:hAnsiTheme="minorEastAsia" w:eastAsiaTheme="minorEastAsia"/>
          <w:color w:val="auto"/>
          <w:sz w:val="24"/>
          <w:szCs w:val="24"/>
          <w:highlight w:val="none"/>
        </w:rPr>
        <w:t>，设计费已包含了完成本项目设计工作内容的全部费用，包含并不限于后续项目变更的设计工作量，项目概算内产生的变更调整等均不再另行增加设计费</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2.签约合同价为：</w:t>
      </w:r>
    </w:p>
    <w:p>
      <w:pPr>
        <w:spacing w:line="360" w:lineRule="auto"/>
        <w:ind w:firstLine="600" w:firstLineChars="2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人民币（大写）（¥元）。</w:t>
      </w:r>
    </w:p>
    <w:p>
      <w:pPr>
        <w:spacing w:line="360" w:lineRule="auto"/>
        <w:ind w:firstLine="6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其中：设计费（大写）（¥元）</w:t>
      </w:r>
      <w:r>
        <w:rPr>
          <w:rFonts w:hint="eastAsia" w:ascii="宋体" w:hAnsi="宋体"/>
          <w:color w:val="auto"/>
          <w:sz w:val="24"/>
          <w:szCs w:val="24"/>
          <w:highlight w:val="none"/>
        </w:rPr>
        <w:t>BIM技术应用费</w:t>
      </w:r>
      <w:r>
        <w:rPr>
          <w:rFonts w:hint="eastAsia" w:asciiTheme="minorEastAsia" w:hAnsiTheme="minorEastAsia" w:eastAsiaTheme="minorEastAsia"/>
          <w:color w:val="auto"/>
          <w:sz w:val="24"/>
          <w:szCs w:val="24"/>
          <w:highlight w:val="none"/>
        </w:rPr>
        <w:t>（大写）（¥元）。</w:t>
      </w:r>
    </w:p>
    <w:p>
      <w:pPr>
        <w:spacing w:line="360" w:lineRule="auto"/>
        <w:ind w:firstLine="600" w:firstLineChars="2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设计费计费方式为总价包干，合同价总价包含方案设计费、初步设计费和施工图设计费以及：（1）办理《建设工程规划许可证》和《规划验收合格证》测量放线册和验线册的费用，以及办理《建设工程规划许可证》所需的安全评价等手续（若有）的费用；（2）绿建审查所需的各项检验检测费用；（3）用于项目的各类专家评审费用；（4）各类证照工本费、测量控制点购买费等费用；（5）外出参观考察的调研费；（6）驻场人员服务费。</w:t>
      </w:r>
    </w:p>
    <w:p>
      <w:pPr>
        <w:pStyle w:val="5"/>
        <w:spacing w:before="120" w:after="120" w:line="360" w:lineRule="auto"/>
        <w:rPr>
          <w:rFonts w:asciiTheme="minorEastAsia" w:hAnsiTheme="minorEastAsia" w:eastAsiaTheme="minorEastAsia"/>
          <w:b w:val="0"/>
          <w:color w:val="auto"/>
          <w:sz w:val="24"/>
          <w:szCs w:val="24"/>
          <w:highlight w:val="none"/>
        </w:rPr>
      </w:pPr>
      <w:bookmarkStart w:id="9" w:name="_Toc351203485"/>
      <w:r>
        <w:rPr>
          <w:rFonts w:hint="eastAsia" w:asciiTheme="minorEastAsia" w:hAnsiTheme="minorEastAsia" w:eastAsiaTheme="minorEastAsia"/>
          <w:b w:val="0"/>
          <w:color w:val="auto"/>
          <w:sz w:val="24"/>
          <w:szCs w:val="24"/>
          <w:highlight w:val="none"/>
        </w:rPr>
        <w:t>五、</w:t>
      </w:r>
      <w:bookmarkEnd w:id="9"/>
      <w:r>
        <w:rPr>
          <w:rFonts w:hint="eastAsia" w:asciiTheme="minorEastAsia" w:hAnsiTheme="minorEastAsia" w:eastAsiaTheme="minorEastAsia"/>
          <w:b w:val="0"/>
          <w:color w:val="auto"/>
          <w:sz w:val="24"/>
          <w:szCs w:val="24"/>
          <w:highlight w:val="none"/>
        </w:rPr>
        <w:t>发包人代表与设计人项目负责人</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发包人代表：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设计人项目负责人：</w:t>
      </w:r>
      <w:r>
        <w:rPr>
          <w:rFonts w:hint="eastAsia" w:asciiTheme="minorEastAsia" w:hAnsiTheme="minorEastAsia" w:eastAsiaTheme="minorEastAsia"/>
          <w:color w:val="auto"/>
          <w:sz w:val="24"/>
          <w:szCs w:val="24"/>
          <w:highlight w:val="none"/>
          <w:u w:val="single"/>
        </w:rPr>
        <w:t>                     </w:t>
      </w:r>
      <w:r>
        <w:rPr>
          <w:rFonts w:hint="eastAsia" w:asciiTheme="minorEastAsia" w:hAnsiTheme="minorEastAsia" w:eastAsiaTheme="minorEastAsia"/>
          <w:color w:val="auto"/>
          <w:sz w:val="24"/>
          <w:szCs w:val="24"/>
          <w:highlight w:val="none"/>
        </w:rPr>
        <w:t>。</w:t>
      </w:r>
    </w:p>
    <w:p>
      <w:pPr>
        <w:pStyle w:val="5"/>
        <w:spacing w:before="120" w:after="120" w:line="360" w:lineRule="auto"/>
        <w:rPr>
          <w:rFonts w:asciiTheme="minorEastAsia" w:hAnsiTheme="minorEastAsia" w:eastAsiaTheme="minorEastAsia"/>
          <w:bCs w:val="0"/>
          <w:color w:val="auto"/>
          <w:sz w:val="24"/>
          <w:szCs w:val="24"/>
          <w:highlight w:val="none"/>
        </w:rPr>
      </w:pPr>
      <w:bookmarkStart w:id="10" w:name="_Toc351203486"/>
      <w:r>
        <w:rPr>
          <w:rFonts w:hint="eastAsia" w:asciiTheme="minorEastAsia" w:hAnsiTheme="minorEastAsia" w:eastAsiaTheme="minorEastAsia"/>
          <w:b w:val="0"/>
          <w:color w:val="auto"/>
          <w:sz w:val="24"/>
          <w:szCs w:val="24"/>
          <w:highlight w:val="none"/>
        </w:rPr>
        <w:t>六、合同文件构成</w:t>
      </w:r>
      <w:bookmarkEnd w:id="10"/>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本协议书与下列文件一起构成合同文件：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（1）专用合同条款及其附件； </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（2）通用合同条款； </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（3）中标通知书（如果有）；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（4）投标函及其附录（如果有）；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（5）发包人要求；</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（6）技术标准；</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（7）发包人提供的上一阶段图纸（如果有）；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（8）其他合同文件。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在合同履行过程中形成的与合同有关的文件均构成合同文件组成部分。</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上述各项合同文件包括合同当事人就该项合同文件所作出的补充和修改，属于同一类内容的文件，应以最新签署的为准。</w:t>
      </w:r>
    </w:p>
    <w:p>
      <w:pPr>
        <w:pStyle w:val="5"/>
        <w:spacing w:before="120" w:after="120" w:line="360" w:lineRule="auto"/>
        <w:rPr>
          <w:rFonts w:asciiTheme="minorEastAsia" w:hAnsiTheme="minorEastAsia" w:eastAsiaTheme="minorEastAsia"/>
          <w:b w:val="0"/>
          <w:bCs w:val="0"/>
          <w:color w:val="auto"/>
          <w:sz w:val="24"/>
          <w:szCs w:val="24"/>
          <w:highlight w:val="none"/>
        </w:rPr>
      </w:pPr>
      <w:bookmarkStart w:id="11" w:name="_Toc351203487"/>
      <w:r>
        <w:rPr>
          <w:rFonts w:hint="eastAsia" w:asciiTheme="minorEastAsia" w:hAnsiTheme="minorEastAsia" w:eastAsiaTheme="minorEastAsia"/>
          <w:b w:val="0"/>
          <w:color w:val="auto"/>
          <w:sz w:val="24"/>
          <w:szCs w:val="24"/>
          <w:highlight w:val="none"/>
        </w:rPr>
        <w:t>七、承诺</w:t>
      </w:r>
      <w:bookmarkEnd w:id="11"/>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1.发包人承诺按照法律规定履行项目审批手续，按照合同约定提供设计依据，并按合同约定的期限和方式支付合同价款。</w:t>
      </w:r>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2.设计人承诺按照法律和技术标准规定及合同约定提供工程设计服务。</w:t>
      </w:r>
    </w:p>
    <w:p>
      <w:pPr>
        <w:spacing w:line="360" w:lineRule="auto"/>
        <w:ind w:firstLine="480" w:firstLineChars="200"/>
        <w:rPr>
          <w:rFonts w:ascii="宋体" w:hAnsi="宋体"/>
          <w:bCs/>
          <w:color w:val="auto"/>
          <w:sz w:val="24"/>
          <w:szCs w:val="24"/>
          <w:highlight w:val="none"/>
        </w:rPr>
      </w:pPr>
      <w:r>
        <w:rPr>
          <w:rFonts w:hint="eastAsia" w:asciiTheme="minorEastAsia" w:hAnsiTheme="minorEastAsia" w:eastAsiaTheme="minorEastAsia"/>
          <w:bCs/>
          <w:color w:val="auto"/>
          <w:sz w:val="24"/>
          <w:szCs w:val="24"/>
          <w:highlight w:val="none"/>
        </w:rPr>
        <w:t>3.交易服务费由发包人支付，</w:t>
      </w:r>
      <w:bookmarkStart w:id="12" w:name="_Toc351203488"/>
      <w:r>
        <w:rPr>
          <w:rFonts w:hint="eastAsia" w:ascii="宋体" w:hAnsi="宋体"/>
          <w:bCs/>
          <w:color w:val="auto"/>
          <w:sz w:val="24"/>
          <w:szCs w:val="24"/>
          <w:highlight w:val="none"/>
        </w:rPr>
        <w:t>承包人代缴广州交易集团有限公司交易服务费，由广州交易集团有限公司向承包人开具增值税发票，其费用在承包人第一次请款时一并申请。</w:t>
      </w:r>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color w:val="auto"/>
          <w:sz w:val="24"/>
          <w:szCs w:val="24"/>
          <w:highlight w:val="none"/>
        </w:rPr>
        <w:t xml:space="preserve"> 八、词语含义</w:t>
      </w:r>
      <w:bookmarkEnd w:id="12"/>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本协议书中词语含义与第二部分通用合同条款中赋予的含义相同。</w:t>
      </w:r>
    </w:p>
    <w:p>
      <w:pPr>
        <w:pStyle w:val="5"/>
        <w:spacing w:before="120" w:after="120" w:line="360" w:lineRule="auto"/>
        <w:rPr>
          <w:rFonts w:asciiTheme="minorEastAsia" w:hAnsiTheme="minorEastAsia" w:eastAsiaTheme="minorEastAsia"/>
          <w:bCs w:val="0"/>
          <w:color w:val="auto"/>
          <w:sz w:val="24"/>
          <w:szCs w:val="24"/>
          <w:highlight w:val="none"/>
        </w:rPr>
      </w:pPr>
      <w:bookmarkStart w:id="13" w:name="_Toc351203490"/>
      <w:r>
        <w:rPr>
          <w:rFonts w:hint="eastAsia" w:asciiTheme="minorEastAsia" w:hAnsiTheme="minorEastAsia" w:eastAsiaTheme="minorEastAsia"/>
          <w:b w:val="0"/>
          <w:color w:val="auto"/>
          <w:sz w:val="24"/>
          <w:szCs w:val="24"/>
          <w:highlight w:val="none"/>
        </w:rPr>
        <w:t>九、签订地点</w:t>
      </w:r>
      <w:bookmarkEnd w:id="13"/>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本合同在签订。</w:t>
      </w:r>
    </w:p>
    <w:p>
      <w:pPr>
        <w:pStyle w:val="5"/>
        <w:spacing w:before="120" w:after="120" w:line="360" w:lineRule="auto"/>
        <w:rPr>
          <w:rFonts w:asciiTheme="minorEastAsia" w:hAnsiTheme="minorEastAsia" w:eastAsiaTheme="minorEastAsia"/>
          <w:bCs w:val="0"/>
          <w:color w:val="auto"/>
          <w:sz w:val="24"/>
          <w:szCs w:val="24"/>
          <w:highlight w:val="none"/>
        </w:rPr>
      </w:pPr>
      <w:bookmarkStart w:id="14" w:name="_Toc351203491"/>
      <w:r>
        <w:rPr>
          <w:rFonts w:hint="eastAsia" w:asciiTheme="minorEastAsia" w:hAnsiTheme="minorEastAsia" w:eastAsiaTheme="minorEastAsia"/>
          <w:b w:val="0"/>
          <w:color w:val="auto"/>
          <w:sz w:val="24"/>
          <w:szCs w:val="24"/>
          <w:highlight w:val="none"/>
        </w:rPr>
        <w:t>十、补充协议</w:t>
      </w:r>
      <w:bookmarkEnd w:id="14"/>
    </w:p>
    <w:p>
      <w:pPr>
        <w:spacing w:line="360" w:lineRule="auto"/>
        <w:ind w:firstLine="480" w:firstLineChars="200"/>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Cs/>
          <w:color w:val="auto"/>
          <w:sz w:val="24"/>
          <w:szCs w:val="24"/>
          <w:highlight w:val="none"/>
        </w:rPr>
        <w:t>本合同未尽事宜，在不违背《中华人民共和国招标投标法》等法律规定及招投标文件的前提下，合同当事人另行签订补充协议，补充协议是合同的组成部分。</w:t>
      </w:r>
    </w:p>
    <w:p>
      <w:pPr>
        <w:pStyle w:val="5"/>
        <w:spacing w:before="120" w:after="120" w:line="360" w:lineRule="auto"/>
        <w:rPr>
          <w:rFonts w:asciiTheme="minorEastAsia" w:hAnsiTheme="minorEastAsia" w:eastAsiaTheme="minorEastAsia"/>
          <w:bCs w:val="0"/>
          <w:color w:val="auto"/>
          <w:sz w:val="24"/>
          <w:szCs w:val="24"/>
          <w:highlight w:val="none"/>
        </w:rPr>
      </w:pPr>
      <w:bookmarkStart w:id="15" w:name="_Toc351203492"/>
      <w:r>
        <w:rPr>
          <w:rFonts w:hint="eastAsia" w:asciiTheme="minorEastAsia" w:hAnsiTheme="minorEastAsia" w:eastAsiaTheme="minorEastAsia"/>
          <w:b w:val="0"/>
          <w:color w:val="auto"/>
          <w:sz w:val="24"/>
          <w:szCs w:val="24"/>
          <w:highlight w:val="none"/>
        </w:rPr>
        <w:t>十一、合同生效</w:t>
      </w:r>
      <w:bookmarkEnd w:id="15"/>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本合同自</w:t>
      </w:r>
      <w:r>
        <w:rPr>
          <w:rFonts w:hint="eastAsia" w:asciiTheme="minorEastAsia" w:hAnsiTheme="minorEastAsia" w:eastAsiaTheme="minorEastAsia"/>
          <w:bCs/>
          <w:color w:val="auto"/>
          <w:sz w:val="24"/>
          <w:szCs w:val="24"/>
          <w:highlight w:val="none"/>
          <w:u w:val="single"/>
        </w:rPr>
        <w:t xml:space="preserve">  合同双方当事人签字盖章之日起   </w:t>
      </w:r>
      <w:r>
        <w:rPr>
          <w:rFonts w:hint="eastAsia" w:asciiTheme="minorEastAsia" w:hAnsiTheme="minorEastAsia" w:eastAsiaTheme="minorEastAsia"/>
          <w:bCs/>
          <w:color w:val="auto"/>
          <w:sz w:val="24"/>
          <w:szCs w:val="24"/>
          <w:highlight w:val="none"/>
        </w:rPr>
        <w:t>生效。</w:t>
      </w:r>
    </w:p>
    <w:p>
      <w:pPr>
        <w:pStyle w:val="5"/>
        <w:spacing w:before="120" w:after="120" w:line="360" w:lineRule="auto"/>
        <w:rPr>
          <w:rFonts w:asciiTheme="minorEastAsia" w:hAnsiTheme="minorEastAsia" w:eastAsiaTheme="minorEastAsia"/>
          <w:bCs w:val="0"/>
          <w:color w:val="auto"/>
          <w:sz w:val="24"/>
          <w:szCs w:val="24"/>
          <w:highlight w:val="none"/>
        </w:rPr>
      </w:pPr>
      <w:bookmarkStart w:id="16" w:name="_Toc351203493"/>
      <w:r>
        <w:rPr>
          <w:rFonts w:hint="eastAsia" w:asciiTheme="minorEastAsia" w:hAnsiTheme="minorEastAsia" w:eastAsiaTheme="minorEastAsia"/>
          <w:b w:val="0"/>
          <w:color w:val="auto"/>
          <w:sz w:val="24"/>
          <w:szCs w:val="24"/>
          <w:highlight w:val="none"/>
        </w:rPr>
        <w:t>十二、合同份数</w:t>
      </w:r>
      <w:bookmarkEnd w:id="16"/>
    </w:p>
    <w:p>
      <w:pPr>
        <w:spacing w:line="360" w:lineRule="auto"/>
        <w:ind w:firstLine="480" w:firstLineChars="200"/>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本合同正本一式</w:t>
      </w:r>
      <w:r>
        <w:rPr>
          <w:rFonts w:hint="eastAsia" w:asciiTheme="minorEastAsia" w:hAnsiTheme="minorEastAsia" w:eastAsiaTheme="minorEastAsia"/>
          <w:bCs/>
          <w:color w:val="auto"/>
          <w:sz w:val="24"/>
          <w:szCs w:val="24"/>
          <w:highlight w:val="none"/>
          <w:u w:val="single"/>
        </w:rPr>
        <w:t xml:space="preserve">  贰  </w:t>
      </w:r>
      <w:r>
        <w:rPr>
          <w:rFonts w:hint="eastAsia" w:asciiTheme="minorEastAsia" w:hAnsiTheme="minorEastAsia" w:eastAsiaTheme="minorEastAsia"/>
          <w:bCs/>
          <w:color w:val="auto"/>
          <w:sz w:val="24"/>
          <w:szCs w:val="24"/>
          <w:highlight w:val="none"/>
        </w:rPr>
        <w:t>份、副本一式</w:t>
      </w:r>
      <w:r>
        <w:rPr>
          <w:rFonts w:hint="eastAsia" w:asciiTheme="minorEastAsia" w:hAnsiTheme="minorEastAsia" w:eastAsiaTheme="minorEastAsia"/>
          <w:bCs/>
          <w:color w:val="auto"/>
          <w:sz w:val="24"/>
          <w:szCs w:val="24"/>
          <w:highlight w:val="none"/>
          <w:u w:val="single"/>
        </w:rPr>
        <w:t xml:space="preserve"> 拾   </w:t>
      </w:r>
      <w:r>
        <w:rPr>
          <w:rFonts w:hint="eastAsia" w:asciiTheme="minorEastAsia" w:hAnsiTheme="minorEastAsia" w:eastAsiaTheme="minorEastAsia"/>
          <w:bCs/>
          <w:color w:val="auto"/>
          <w:sz w:val="24"/>
          <w:szCs w:val="24"/>
          <w:highlight w:val="none"/>
        </w:rPr>
        <w:t>份，均具有同等法律效力，发包人执正本</w:t>
      </w:r>
      <w:r>
        <w:rPr>
          <w:rFonts w:hint="eastAsia" w:asciiTheme="minorEastAsia" w:hAnsiTheme="minorEastAsia" w:eastAsiaTheme="minorEastAsia"/>
          <w:bCs/>
          <w:color w:val="auto"/>
          <w:sz w:val="24"/>
          <w:szCs w:val="24"/>
          <w:highlight w:val="none"/>
          <w:u w:val="single"/>
        </w:rPr>
        <w:t xml:space="preserve">  壹  </w:t>
      </w:r>
      <w:r>
        <w:rPr>
          <w:rFonts w:hint="eastAsia" w:asciiTheme="minorEastAsia" w:hAnsiTheme="minorEastAsia" w:eastAsiaTheme="minorEastAsia"/>
          <w:bCs/>
          <w:color w:val="auto"/>
          <w:sz w:val="24"/>
          <w:szCs w:val="24"/>
          <w:highlight w:val="none"/>
        </w:rPr>
        <w:t>份、副本</w:t>
      </w:r>
      <w:r>
        <w:rPr>
          <w:rFonts w:hint="eastAsia" w:asciiTheme="minorEastAsia" w:hAnsiTheme="minorEastAsia" w:eastAsiaTheme="minorEastAsia"/>
          <w:bCs/>
          <w:color w:val="auto"/>
          <w:sz w:val="24"/>
          <w:szCs w:val="24"/>
          <w:highlight w:val="none"/>
          <w:u w:val="single"/>
        </w:rPr>
        <w:t xml:space="preserve">  捌  </w:t>
      </w:r>
      <w:r>
        <w:rPr>
          <w:rFonts w:hint="eastAsia" w:asciiTheme="minorEastAsia" w:hAnsiTheme="minorEastAsia" w:eastAsiaTheme="minorEastAsia"/>
          <w:bCs/>
          <w:color w:val="auto"/>
          <w:sz w:val="24"/>
          <w:szCs w:val="24"/>
          <w:highlight w:val="none"/>
        </w:rPr>
        <w:t>份，设计人执正本</w:t>
      </w:r>
      <w:r>
        <w:rPr>
          <w:rFonts w:hint="eastAsia" w:asciiTheme="minorEastAsia" w:hAnsiTheme="minorEastAsia" w:eastAsiaTheme="minorEastAsia"/>
          <w:bCs/>
          <w:color w:val="auto"/>
          <w:sz w:val="24"/>
          <w:szCs w:val="24"/>
          <w:highlight w:val="none"/>
          <w:u w:val="single"/>
        </w:rPr>
        <w:t xml:space="preserve">  壹  </w:t>
      </w:r>
      <w:r>
        <w:rPr>
          <w:rFonts w:hint="eastAsia" w:asciiTheme="minorEastAsia" w:hAnsiTheme="minorEastAsia" w:eastAsiaTheme="minorEastAsia"/>
          <w:bCs/>
          <w:color w:val="auto"/>
          <w:sz w:val="24"/>
          <w:szCs w:val="24"/>
          <w:highlight w:val="none"/>
        </w:rPr>
        <w:t>份、副本</w:t>
      </w:r>
      <w:r>
        <w:rPr>
          <w:rFonts w:hint="eastAsia" w:asciiTheme="minorEastAsia" w:hAnsiTheme="minorEastAsia" w:eastAsiaTheme="minorEastAsia"/>
          <w:bCs/>
          <w:color w:val="auto"/>
          <w:sz w:val="24"/>
          <w:szCs w:val="24"/>
          <w:highlight w:val="none"/>
          <w:u w:val="single"/>
        </w:rPr>
        <w:t xml:space="preserve">  贰   </w:t>
      </w:r>
      <w:r>
        <w:rPr>
          <w:rFonts w:hint="eastAsia" w:asciiTheme="minorEastAsia" w:hAnsiTheme="minorEastAsia" w:eastAsiaTheme="minorEastAsia"/>
          <w:bCs/>
          <w:color w:val="auto"/>
          <w:sz w:val="24"/>
          <w:szCs w:val="24"/>
          <w:highlight w:val="none"/>
        </w:rPr>
        <w:t>份。</w:t>
      </w:r>
    </w:p>
    <w:p>
      <w:pPr>
        <w:spacing w:line="360" w:lineRule="auto"/>
        <w:rPr>
          <w:rFonts w:asciiTheme="minorEastAsia" w:hAnsiTheme="minorEastAsia" w:eastAsiaTheme="minorEastAsia"/>
          <w:color w:val="auto"/>
          <w:sz w:val="24"/>
          <w:szCs w:val="24"/>
          <w:highlight w:val="none"/>
        </w:rPr>
      </w:pP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发包人：广东省代建项目管理局  设计人：  （盖章）</w:t>
      </w:r>
    </w:p>
    <w:p>
      <w:pPr>
        <w:spacing w:line="360" w:lineRule="auto"/>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 xml:space="preserve">            （盖章）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法定代表人或其委托代理人：  法定代表人或其委托代理人：</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（签字）                    （签字）</w:t>
      </w:r>
    </w:p>
    <w:p>
      <w:pPr>
        <w:spacing w:line="360" w:lineRule="auto"/>
        <w:rPr>
          <w:rFonts w:asciiTheme="minorEastAsia" w:hAnsiTheme="minorEastAsia" w:eastAsiaTheme="minorEastAsia"/>
          <w:color w:val="auto"/>
          <w:sz w:val="24"/>
          <w:szCs w:val="24"/>
          <w:highlight w:val="none"/>
          <w:u w:val="single"/>
        </w:rPr>
      </w:pPr>
    </w:p>
    <w:p>
      <w:pPr>
        <w:tabs>
          <w:tab w:val="left" w:pos="4410"/>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组织机构代码：</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 xml:space="preserve">  组织机构代码：</w:t>
      </w:r>
      <w:r>
        <w:rPr>
          <w:rFonts w:hint="eastAsia" w:asciiTheme="minorEastAsia" w:hAnsiTheme="minorEastAsia" w:eastAsiaTheme="minorEastAsia"/>
          <w:color w:val="auto"/>
          <w:sz w:val="24"/>
          <w:szCs w:val="24"/>
          <w:highlight w:val="none"/>
          <w:u w:val="single"/>
        </w:rPr>
        <w:t xml:space="preserve">          </w:t>
      </w:r>
    </w:p>
    <w:p>
      <w:pPr>
        <w:tabs>
          <w:tab w:val="left" w:pos="4410"/>
        </w:tabs>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纳税人识别码：  纳税人识别码：</w:t>
      </w:r>
    </w:p>
    <w:p>
      <w:pPr>
        <w:spacing w:line="360" w:lineRule="auto"/>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地  址：</w:t>
      </w:r>
      <w:r>
        <w:rPr>
          <w:rFonts w:hint="eastAsia" w:asciiTheme="minorEastAsia" w:hAnsiTheme="minorEastAsia" w:eastAsiaTheme="minorEastAsia"/>
          <w:color w:val="auto"/>
          <w:sz w:val="24"/>
          <w:szCs w:val="24"/>
          <w:highlight w:val="none"/>
          <w:u w:val="single"/>
        </w:rPr>
        <w:t xml:space="preserve">广州市黄埔大道西   </w:t>
      </w:r>
      <w:r>
        <w:rPr>
          <w:rFonts w:hint="eastAsia" w:asciiTheme="minorEastAsia" w:hAnsiTheme="minorEastAsia" w:eastAsiaTheme="minorEastAsia"/>
          <w:color w:val="auto"/>
          <w:sz w:val="24"/>
          <w:szCs w:val="24"/>
          <w:highlight w:val="none"/>
        </w:rPr>
        <w:t xml:space="preserve">  地  址：</w:t>
      </w:r>
      <w:r>
        <w:rPr>
          <w:rFonts w:hint="eastAsia" w:asciiTheme="minorEastAsia" w:hAnsiTheme="minorEastAsia" w:eastAsiaTheme="minorEastAsia"/>
          <w:color w:val="auto"/>
          <w:sz w:val="24"/>
          <w:szCs w:val="24"/>
          <w:highlight w:val="none"/>
          <w:u w:val="single"/>
        </w:rPr>
        <w:t xml:space="preserve">        </w:t>
      </w:r>
    </w:p>
    <w:p>
      <w:pPr>
        <w:spacing w:line="360" w:lineRule="auto"/>
        <w:ind w:firstLine="960" w:firstLineChars="4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 xml:space="preserve">108号11楼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邮政编码：</w:t>
      </w:r>
      <w:r>
        <w:rPr>
          <w:rFonts w:hint="eastAsia" w:asciiTheme="minorEastAsia" w:hAnsiTheme="minorEastAsia" w:eastAsiaTheme="minorEastAsia"/>
          <w:color w:val="auto"/>
          <w:sz w:val="24"/>
          <w:szCs w:val="24"/>
          <w:highlight w:val="none"/>
          <w:u w:val="single"/>
        </w:rPr>
        <w:t xml:space="preserve"> 510060         </w:t>
      </w:r>
      <w:r>
        <w:rPr>
          <w:rFonts w:hint="eastAsia" w:asciiTheme="minorEastAsia" w:hAnsiTheme="minorEastAsia" w:eastAsiaTheme="minorEastAsia"/>
          <w:color w:val="auto"/>
          <w:sz w:val="24"/>
          <w:szCs w:val="24"/>
          <w:highlight w:val="none"/>
        </w:rPr>
        <w:t xml:space="preserve">  邮政编码：</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法定代表人：</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 xml:space="preserve">  法定代表人：</w:t>
      </w:r>
      <w:r>
        <w:rPr>
          <w:rFonts w:hint="eastAsia" w:asciiTheme="minorEastAsia" w:hAnsiTheme="minorEastAsia" w:eastAsiaTheme="minorEastAsia"/>
          <w:color w:val="auto"/>
          <w:sz w:val="24"/>
          <w:szCs w:val="24"/>
          <w:highlight w:val="none"/>
          <w:u w:val="single"/>
        </w:rPr>
        <w:t xml:space="preserve">      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委托代理人：</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 xml:space="preserve">  委托代理人：</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  话：</w:t>
      </w:r>
      <w:r>
        <w:rPr>
          <w:rFonts w:hint="eastAsia" w:asciiTheme="minorEastAsia" w:hAnsiTheme="minorEastAsia" w:eastAsiaTheme="minorEastAsia"/>
          <w:color w:val="auto"/>
          <w:sz w:val="24"/>
          <w:szCs w:val="24"/>
          <w:highlight w:val="none"/>
          <w:u w:val="single"/>
        </w:rPr>
        <w:t xml:space="preserve">020-8362082    </w:t>
      </w:r>
      <w:r>
        <w:rPr>
          <w:rFonts w:hint="eastAsia" w:asciiTheme="minorEastAsia" w:hAnsiTheme="minorEastAsia" w:eastAsiaTheme="minorEastAsia"/>
          <w:color w:val="auto"/>
          <w:sz w:val="24"/>
          <w:szCs w:val="24"/>
          <w:highlight w:val="none"/>
        </w:rPr>
        <w:t xml:space="preserve">  电  话：</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传  真：</w:t>
      </w:r>
      <w:r>
        <w:rPr>
          <w:rFonts w:hint="eastAsia" w:asciiTheme="minorEastAsia" w:hAnsiTheme="minorEastAsia" w:eastAsiaTheme="minorEastAsia"/>
          <w:color w:val="auto"/>
          <w:sz w:val="24"/>
          <w:szCs w:val="24"/>
          <w:highlight w:val="none"/>
          <w:u w:val="single"/>
        </w:rPr>
        <w:t xml:space="preserve">020-83620823   </w:t>
      </w:r>
      <w:r>
        <w:rPr>
          <w:rFonts w:hint="eastAsia" w:asciiTheme="minorEastAsia" w:hAnsiTheme="minorEastAsia" w:eastAsiaTheme="minorEastAsia"/>
          <w:color w:val="auto"/>
          <w:sz w:val="24"/>
          <w:szCs w:val="24"/>
          <w:highlight w:val="none"/>
        </w:rPr>
        <w:t xml:space="preserve">  传  真：</w:t>
      </w:r>
      <w:r>
        <w:rPr>
          <w:rFonts w:hint="eastAsia" w:asciiTheme="minorEastAsia" w:hAnsiTheme="minorEastAsia" w:eastAsiaTheme="minorEastAsia"/>
          <w:color w:val="auto"/>
          <w:sz w:val="24"/>
          <w:szCs w:val="24"/>
          <w:highlight w:val="none"/>
          <w:u w:val="single"/>
        </w:rPr>
        <w:t xml:space="preserve">  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电子信箱：  电子信箱：</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开户银行：</w:t>
      </w: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 xml:space="preserve">  开户银行：</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账  号：</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 xml:space="preserve">   账  号：</w:t>
      </w: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时  间：年月日     时  间：年月日</w:t>
      </w:r>
    </w:p>
    <w:p>
      <w:pPr>
        <w:spacing w:line="360" w:lineRule="auto"/>
        <w:rPr>
          <w:rFonts w:asciiTheme="minorEastAsia" w:hAnsiTheme="minorEastAsia" w:eastAsiaTheme="minorEastAsia"/>
          <w:color w:val="auto"/>
          <w:highlight w:val="none"/>
        </w:rPr>
      </w:pPr>
    </w:p>
    <w:p>
      <w:pPr>
        <w:pStyle w:val="4"/>
        <w:spacing w:line="360" w:lineRule="auto"/>
        <w:jc w:val="center"/>
        <w:rPr>
          <w:rFonts w:asciiTheme="minorEastAsia" w:hAnsiTheme="minorEastAsia" w:eastAsiaTheme="minorEastAsia"/>
          <w:color w:val="auto"/>
          <w:sz w:val="44"/>
          <w:szCs w:val="44"/>
          <w:highlight w:val="none"/>
        </w:rPr>
      </w:pPr>
      <w:bookmarkStart w:id="17" w:name="_Toc351203494"/>
      <w:r>
        <w:rPr>
          <w:rFonts w:hint="eastAsia" w:asciiTheme="minorEastAsia" w:hAnsiTheme="minorEastAsia" w:eastAsiaTheme="minorEastAsia"/>
          <w:color w:val="auto"/>
          <w:sz w:val="44"/>
          <w:szCs w:val="44"/>
          <w:highlight w:val="none"/>
        </w:rPr>
        <w:br w:type="page"/>
      </w:r>
      <w:r>
        <w:rPr>
          <w:rFonts w:hint="eastAsia" w:asciiTheme="minorEastAsia" w:hAnsiTheme="minorEastAsia" w:eastAsiaTheme="minorEastAsia"/>
          <w:color w:val="auto"/>
          <w:sz w:val="44"/>
          <w:szCs w:val="44"/>
          <w:highlight w:val="none"/>
        </w:rPr>
        <w:t>第二部分 通用合同条款</w:t>
      </w:r>
      <w:bookmarkEnd w:id="17"/>
      <w:bookmarkStart w:id="18" w:name="_Toc337558727"/>
    </w:p>
    <w:p>
      <w:pPr>
        <w:pStyle w:val="5"/>
        <w:spacing w:before="120" w:after="120" w:line="360" w:lineRule="auto"/>
        <w:rPr>
          <w:rFonts w:asciiTheme="minorEastAsia" w:hAnsiTheme="minorEastAsia" w:eastAsiaTheme="minorEastAsia"/>
          <w:b w:val="0"/>
          <w:color w:val="auto"/>
          <w:sz w:val="24"/>
          <w:szCs w:val="24"/>
          <w:highlight w:val="none"/>
        </w:rPr>
      </w:pPr>
      <w:bookmarkStart w:id="19" w:name="_Toc351203495"/>
      <w:r>
        <w:rPr>
          <w:rFonts w:hint="eastAsia" w:asciiTheme="minorEastAsia" w:hAnsiTheme="minorEastAsia" w:eastAsiaTheme="minorEastAsia"/>
          <w:b w:val="0"/>
          <w:color w:val="auto"/>
          <w:sz w:val="24"/>
          <w:szCs w:val="24"/>
          <w:highlight w:val="none"/>
        </w:rPr>
        <w:t>1.</w:t>
      </w:r>
      <w:bookmarkStart w:id="20" w:name="_Toc303538973"/>
      <w:bookmarkEnd w:id="20"/>
      <w:bookmarkStart w:id="21" w:name="_Toc303538972"/>
      <w:bookmarkEnd w:id="21"/>
      <w:bookmarkStart w:id="22" w:name="_Toc303538976"/>
      <w:bookmarkEnd w:id="22"/>
      <w:bookmarkStart w:id="23" w:name="_Toc303538975"/>
      <w:bookmarkEnd w:id="23"/>
      <w:bookmarkStart w:id="24" w:name="_Toc303538974"/>
      <w:bookmarkEnd w:id="24"/>
      <w:bookmarkStart w:id="25" w:name="_Toc296503027"/>
      <w:bookmarkStart w:id="26" w:name="_Toc296346528"/>
      <w:r>
        <w:rPr>
          <w:rFonts w:hint="eastAsia" w:asciiTheme="minorEastAsia" w:hAnsiTheme="minorEastAsia" w:eastAsiaTheme="minorEastAsia"/>
          <w:b w:val="0"/>
          <w:color w:val="auto"/>
          <w:sz w:val="24"/>
          <w:szCs w:val="24"/>
          <w:highlight w:val="none"/>
        </w:rPr>
        <w:t xml:space="preserve"> 一般约定</w:t>
      </w:r>
      <w:bookmarkEnd w:id="18"/>
      <w:bookmarkEnd w:id="19"/>
      <w:bookmarkEnd w:id="25"/>
      <w:bookmarkEnd w:id="26"/>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27" w:name="_Toc296503028"/>
      <w:bookmarkStart w:id="28" w:name="_Toc337558728"/>
      <w:bookmarkStart w:id="29" w:name="_Toc296346529"/>
      <w:bookmarkStart w:id="30" w:name="_Toc351203496"/>
      <w:r>
        <w:rPr>
          <w:rFonts w:hint="eastAsia" w:asciiTheme="minorEastAsia" w:hAnsiTheme="minorEastAsia" w:eastAsiaTheme="minorEastAsia"/>
          <w:b w:val="0"/>
          <w:color w:val="auto"/>
          <w:sz w:val="24"/>
          <w:szCs w:val="24"/>
          <w:highlight w:val="none"/>
        </w:rPr>
        <w:t>1.1 词语定义</w:t>
      </w:r>
      <w:bookmarkEnd w:id="27"/>
      <w:bookmarkEnd w:id="28"/>
      <w:bookmarkEnd w:id="29"/>
      <w:r>
        <w:rPr>
          <w:rFonts w:hint="eastAsia" w:asciiTheme="minorEastAsia" w:hAnsiTheme="minorEastAsia" w:eastAsiaTheme="minorEastAsia"/>
          <w:b w:val="0"/>
          <w:color w:val="auto"/>
          <w:sz w:val="24"/>
          <w:szCs w:val="24"/>
          <w:highlight w:val="none"/>
        </w:rPr>
        <w:t>与解释</w:t>
      </w:r>
      <w:bookmarkEnd w:id="30"/>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合同协议书、通用合同条款、专用合同条款中的下列词语具有本款所赋予的含义：</w:t>
      </w:r>
    </w:p>
    <w:p>
      <w:pPr>
        <w:autoSpaceDE w:val="0"/>
        <w:autoSpaceDN w:val="0"/>
        <w:adjustRightInd w:val="0"/>
        <w:spacing w:line="360" w:lineRule="auto"/>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    1.1.1 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1.1.1.1 合同：是指根据法律规定和合同当事人约定具有约束力的文件，构成合同的文件包括合同协议书、专用合同条款</w:t>
      </w:r>
      <w:r>
        <w:rPr>
          <w:rFonts w:hint="eastAsia" w:asciiTheme="minorEastAsia" w:hAnsiTheme="minorEastAsia" w:eastAsiaTheme="minorEastAsia"/>
          <w:color w:val="auto"/>
          <w:sz w:val="24"/>
          <w:szCs w:val="24"/>
          <w:highlight w:val="none"/>
        </w:rPr>
        <w:t>及其附件</w:t>
      </w:r>
      <w:r>
        <w:rPr>
          <w:rFonts w:hint="eastAsia" w:asciiTheme="minorEastAsia" w:hAnsiTheme="minorEastAsia" w:eastAsiaTheme="minorEastAsia"/>
          <w:color w:val="auto"/>
          <w:kern w:val="0"/>
          <w:sz w:val="24"/>
          <w:szCs w:val="24"/>
          <w:highlight w:val="none"/>
        </w:rPr>
        <w:t>、通用合同条款、中标通知书（如果有）、投标函及其附录（如果有）、发包人要求、技术标准、发包人提供的上一阶段图纸（如果有）以及其他合同文件。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1.1.1.2 合同协议书：是指构成合同的由发包人和设计人共同签署的称为“合同协议书”的书面文件。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1.1.1.3 中标通知书：是指构成合同的由发包人通知设计人中标的书面文件。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1.1.1.4 投标函：是指构成合同的由设计人填写并签署的用于投标的称为“投标函”的文件。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1.1.1.5 投标函附录：是指构成合同的附在投标函后的称为“投标函附录”的文件。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1.1.1.6 发包人要求：是指构成合同文件组成部分的，由发包人就工程项目的目的、范围、功能要求及工程设计文件审查的范围和内容等提出相应要求的书面文件，又称设计任务书。</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1.1.1.7 技术标准：是指构成合同的设计应当遵守的或指导设计的国家、行业或地方的技术标准和要求，以及合同约定的技术标准和要求。</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1.1.1.8 其他合同文件：是指经合同当事人约定的与工程设计有关的具有合同约束力的文件或书面协议。合同当事人可以在专用合同条款中进行约定。</w:t>
      </w:r>
    </w:p>
    <w:p>
      <w:pPr>
        <w:autoSpaceDE w:val="0"/>
        <w:autoSpaceDN w:val="0"/>
        <w:adjustRightInd w:val="0"/>
        <w:spacing w:line="360" w:lineRule="auto"/>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    1.1.2 合同当事人及其他相关方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1.1.2.1 合同当事人：是指发包人和（或）设计人。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1.1.2.2 发包人：是指与设计人签订合同协议书的当事人及取得该当事人资格的合法继承人。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1.1.2.3 设计人：是指与发包人签订合同协议书的，具有相应工程设计资质的当事人及取得该当事人资格的合法继承人。</w:t>
      </w:r>
    </w:p>
    <w:p>
      <w:pPr>
        <w:spacing w:line="360" w:lineRule="auto"/>
        <w:ind w:firstLine="468" w:firstLineChars="195"/>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1.1.2.4 分包人：</w:t>
      </w:r>
      <w:bookmarkStart w:id="31" w:name="#go5"/>
      <w:bookmarkEnd w:id="31"/>
      <w:r>
        <w:rPr>
          <w:rFonts w:hint="eastAsia" w:asciiTheme="minorEastAsia" w:hAnsiTheme="minorEastAsia" w:eastAsiaTheme="minorEastAsia"/>
          <w:color w:val="auto"/>
          <w:kern w:val="0"/>
          <w:sz w:val="24"/>
          <w:szCs w:val="24"/>
          <w:highlight w:val="none"/>
        </w:rPr>
        <w:t>是指按照法律规定和合同约定，分包部分工程设计工作，并与设计人签订分包合同的具有相应资质的法人。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1.1.2.5 发包人代表：是指由发包人指定负责工程设计方面在发包人授权范围内行使发包人权利的人。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1.1.2.6 项目负责人：是指由设计人任命负责工程设计，在设计人授权范围内负责合同履行，且按照法律规定具有相应资格的项目主持人。</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1.1.2.7 联合体：是指两个以上设计人联合，以一个设计人身份为发包人提供工程设计服务的临时性组织。</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1.1.3 工程设计服务、资料与文件</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1.1.3.1 工程设计服务：是指设计人按照合同约定履行的服务，包括工程设计基本服务、工程设计其他服务。</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1.1.3.2 工程设计基本服务：是指设计人根据发包人的委托，提供编制房屋建筑工程方案设计文件、初步设计文件（含初步设计概算）、</w:t>
      </w:r>
      <w:r>
        <w:rPr>
          <w:rFonts w:hint="eastAsia" w:asciiTheme="minorEastAsia" w:hAnsiTheme="minorEastAsia" w:eastAsiaTheme="minorEastAsia"/>
          <w:strike/>
          <w:color w:val="auto"/>
          <w:kern w:val="0"/>
          <w:sz w:val="24"/>
          <w:szCs w:val="24"/>
          <w:highlight w:val="none"/>
        </w:rPr>
        <w:t>施工图设计文件服务，并相应提供设计技术交底、解决施工中的设计技术问题、</w:t>
      </w:r>
      <w:r>
        <w:rPr>
          <w:rFonts w:hint="eastAsia" w:asciiTheme="minorEastAsia" w:hAnsiTheme="minorEastAsia" w:eastAsiaTheme="minorEastAsia"/>
          <w:color w:val="auto"/>
          <w:kern w:val="0"/>
          <w:sz w:val="24"/>
          <w:szCs w:val="24"/>
          <w:highlight w:val="none"/>
        </w:rPr>
        <w:t>参加竣工验收等服务。基本服务费用包含在设计费中。</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1.1.3.3 工程设计其他服务：是指发包人根据工程设计实际需要，要求设计人另行提供且发包人应当单独支付费用的服务，包括总体设计服务、主体设计协调服务、采用标准设计和复用设计服务、非标准设备设计文件编制服务、竣工图编制服务等。</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1.1.3.4 暂停设计：是指发生设计人不能按照合同约定履行全部或部分义务情形而暂时中断工程设计服务的行为。</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1.1.3.5 工程设计资料：是指</w:t>
      </w:r>
      <w:r>
        <w:rPr>
          <w:rFonts w:hint="eastAsia" w:cs="Courier New" w:asciiTheme="minorEastAsia" w:hAnsiTheme="minorEastAsia" w:eastAsiaTheme="minorEastAsia"/>
          <w:color w:val="auto"/>
          <w:sz w:val="24"/>
          <w:szCs w:val="24"/>
          <w:highlight w:val="none"/>
        </w:rPr>
        <w:t>根据合同约定，发包人向设计人提供的用于完成工程设计范围与内容所需要的资料。</w:t>
      </w:r>
    </w:p>
    <w:p>
      <w:pPr>
        <w:pStyle w:val="37"/>
        <w:spacing w:line="360" w:lineRule="auto"/>
        <w:ind w:left="0" w:leftChars="0" w:firstLine="456" w:firstLineChars="190"/>
        <w:rPr>
          <w:rFonts w:cs="Courier New"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1.1.3.6 工程</w:t>
      </w:r>
      <w:r>
        <w:rPr>
          <w:rFonts w:hint="eastAsia" w:cs="Courier New" w:asciiTheme="minorEastAsia" w:hAnsiTheme="minorEastAsia" w:eastAsiaTheme="minorEastAsia"/>
          <w:color w:val="auto"/>
          <w:sz w:val="24"/>
          <w:szCs w:val="24"/>
          <w:highlight w:val="none"/>
        </w:rPr>
        <w:t>设计文件：指按照合同约定和技术要求，由设计人向发包人提供的阶段性成果、最终工作成果等，且应当采用合同中双方约定的载体。</w:t>
      </w:r>
    </w:p>
    <w:p>
      <w:pPr>
        <w:pStyle w:val="37"/>
        <w:spacing w:after="0" w:line="360" w:lineRule="auto"/>
        <w:ind w:left="0" w:leftChars="0"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1.1.4 日期和期限</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1.1.4.1 开始设计日期：包括计划开始设计日期和实际开始设计日期。计划开始设计日期是指合同协议书约定的开始设计日期；实际开始设计日期是指发包人发出的开始设计通知中载明的开始设计日期。</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1.1.4.2 完成设计日期：包括计划完成设计日期和实际完成设计日期。计划完成设计日期是指合同协议书约定的完成设计及相关服务的日期；实际完成设计日期是指设计人交付全部或阶段性设计成果及提供相关服务日期。 </w:t>
      </w:r>
    </w:p>
    <w:p>
      <w:pPr>
        <w:spacing w:line="360" w:lineRule="auto"/>
        <w:ind w:firstLine="487" w:firstLineChars="203"/>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1.1.4.3 设计周期又称设计工期：是指在合同协议书约定的设计人完成工程设计及相关服务所需的期限，包括按照合同约定所作的期限变更。</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1.1.4.4 基准日期：招标发包的工程设计以投标截止日前28天的日期为基准日期，直接发包的工程设计以合同签订日前28天的日期为基准日期。</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1.1.4.5 天：除特别指明外，均指日历天。合同中按天计算时间的，开始当天不计入，从次日开始计算，期限最后一天的截止时间为当天24:00时。</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1.1.5 合同价格</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1.1.5.1 签约合同价：是指</w:t>
      </w:r>
      <w:r>
        <w:rPr>
          <w:rFonts w:hint="eastAsia" w:asciiTheme="minorEastAsia" w:hAnsiTheme="minorEastAsia" w:eastAsiaTheme="minorEastAsia"/>
          <w:color w:val="auto"/>
          <w:sz w:val="24"/>
          <w:szCs w:val="24"/>
          <w:highlight w:val="none"/>
        </w:rPr>
        <w:t>发包人和设计人在合同协议书中确定的总金额。</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1.1.5.2 合同价格又称设计费：是指发包人用于支付设计人按照合同约定完成工程设计范围内全部工作的金额，包括合同履行过程中按合同约定发生的价格变化。</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1.1.6 其他</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1.1.6.1 书面形式：是指合同书、信件和数据电文（包括电报、电传、传真、电子数据交换和电子邮件）等可以有形地表现所载内容的形式。</w:t>
      </w:r>
    </w:p>
    <w:p>
      <w:pPr>
        <w:pStyle w:val="6"/>
        <w:spacing w:before="120" w:after="120" w:line="360" w:lineRule="auto"/>
        <w:rPr>
          <w:rFonts w:asciiTheme="minorEastAsia" w:hAnsiTheme="minorEastAsia" w:eastAsiaTheme="minorEastAsia"/>
          <w:b w:val="0"/>
          <w:color w:val="auto"/>
          <w:sz w:val="24"/>
          <w:szCs w:val="24"/>
          <w:highlight w:val="none"/>
        </w:rPr>
      </w:pPr>
      <w:bookmarkStart w:id="32" w:name="_Toc296346530"/>
      <w:bookmarkStart w:id="33" w:name="_Toc296503029"/>
      <w:bookmarkStart w:id="34" w:name="_Toc337558729"/>
      <w:bookmarkStart w:id="35" w:name="_Toc351203497"/>
      <w:r>
        <w:rPr>
          <w:rFonts w:hint="eastAsia" w:asciiTheme="minorEastAsia" w:hAnsiTheme="minorEastAsia" w:eastAsiaTheme="minorEastAsia"/>
          <w:b w:val="0"/>
          <w:color w:val="auto"/>
          <w:sz w:val="24"/>
          <w:szCs w:val="24"/>
          <w:highlight w:val="none"/>
        </w:rPr>
        <w:t>1.2 语言文字</w:t>
      </w:r>
      <w:bookmarkEnd w:id="32"/>
      <w:bookmarkEnd w:id="33"/>
      <w:bookmarkEnd w:id="34"/>
      <w:bookmarkEnd w:id="35"/>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合同以中国的汉语简体文字编写、解释和说明。合同当事人在专用合同条款中约定使用两种以上语言时，汉语为优先解释和说明合同的语言。</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36" w:name="_Toc351203498"/>
      <w:bookmarkStart w:id="37" w:name="_Toc296503030"/>
      <w:bookmarkStart w:id="38" w:name="_Toc337558730"/>
      <w:bookmarkStart w:id="39" w:name="_Toc296346531"/>
      <w:r>
        <w:rPr>
          <w:rFonts w:hint="eastAsia" w:asciiTheme="minorEastAsia" w:hAnsiTheme="minorEastAsia" w:eastAsiaTheme="minorEastAsia"/>
          <w:b w:val="0"/>
          <w:color w:val="auto"/>
          <w:sz w:val="24"/>
          <w:szCs w:val="24"/>
          <w:highlight w:val="none"/>
        </w:rPr>
        <w:t>1.3 法律</w:t>
      </w:r>
      <w:bookmarkEnd w:id="36"/>
      <w:bookmarkEnd w:id="37"/>
      <w:bookmarkEnd w:id="38"/>
      <w:bookmarkEnd w:id="39"/>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合同当事人可以在专用合同条款中约定合同适用的其他规范性文件。</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40" w:name="_Toc351203499"/>
      <w:r>
        <w:rPr>
          <w:rFonts w:hint="eastAsia" w:asciiTheme="minorEastAsia" w:hAnsiTheme="minorEastAsia" w:eastAsiaTheme="minorEastAsia"/>
          <w:b w:val="0"/>
          <w:color w:val="auto"/>
          <w:sz w:val="24"/>
          <w:szCs w:val="24"/>
          <w:highlight w:val="none"/>
        </w:rPr>
        <w:t>1.4 技术标准</w:t>
      </w:r>
      <w:bookmarkEnd w:id="40"/>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1.4.1 适用于工程的现行有效的国家标准、行业标准、工程所在地的地方性标准，以及相应的规范、规程等，合同当事人有特别要求的，应在专用合同条款中约定。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 发包人要求使用国外技术标准的，发包人与设计人在专用合同条款中约定原文版本和中文译本提供方及提供标准的名称、份数、时间及费用承担等事项。</w:t>
      </w:r>
    </w:p>
    <w:p>
      <w:pPr>
        <w:autoSpaceDE w:val="0"/>
        <w:autoSpaceDN w:val="0"/>
        <w:adjustRightInd w:val="0"/>
        <w:spacing w:line="360" w:lineRule="auto"/>
        <w:ind w:firstLine="64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1.4.3 发包人对工程的技术标准、功能要求高于或严于现行国家、行业或地方标准的，应当在专用合同条款中予以明确。除专用合同条款另有约定外，应视为设计人在签订合同前已充分预见前述技术标准和功能要求的复杂程度，签约合同价中已包含由此产生的设计费用。</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41" w:name="_Toc351203500"/>
      <w:r>
        <w:rPr>
          <w:rFonts w:hint="eastAsia" w:asciiTheme="minorEastAsia" w:hAnsiTheme="minorEastAsia" w:eastAsiaTheme="minorEastAsia"/>
          <w:b w:val="0"/>
          <w:color w:val="auto"/>
          <w:sz w:val="24"/>
          <w:szCs w:val="24"/>
          <w:highlight w:val="none"/>
        </w:rPr>
        <w:t>1</w:t>
      </w:r>
      <w:bookmarkStart w:id="42" w:name="_Toc296346532"/>
      <w:bookmarkStart w:id="43" w:name="_Toc296503031"/>
      <w:bookmarkStart w:id="44" w:name="_Toc337558731"/>
      <w:r>
        <w:rPr>
          <w:rFonts w:hint="eastAsia" w:asciiTheme="minorEastAsia" w:hAnsiTheme="minorEastAsia" w:eastAsiaTheme="minorEastAsia"/>
          <w:b w:val="0"/>
          <w:color w:val="auto"/>
          <w:sz w:val="24"/>
          <w:szCs w:val="24"/>
          <w:highlight w:val="none"/>
        </w:rPr>
        <w:t>.5 合同文件的优先顺序</w:t>
      </w:r>
      <w:bookmarkEnd w:id="41"/>
    </w:p>
    <w:bookmarkEnd w:id="42"/>
    <w:bookmarkEnd w:id="43"/>
    <w:bookmarkEnd w:id="44"/>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组成合同的各项文件应互相解释，互为说明。除专用合同条款另有约定外，解释合同文件的优先顺序如下：</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（1）合同协议书；</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（2）专用合同条款</w:t>
      </w:r>
      <w:r>
        <w:rPr>
          <w:rFonts w:hint="eastAsia" w:asciiTheme="minorEastAsia" w:hAnsiTheme="minorEastAsia" w:eastAsiaTheme="minorEastAsia"/>
          <w:color w:val="auto"/>
          <w:sz w:val="24"/>
          <w:szCs w:val="24"/>
          <w:highlight w:val="none"/>
        </w:rPr>
        <w:t>及其附件</w:t>
      </w:r>
      <w:r>
        <w:rPr>
          <w:rFonts w:hint="eastAsia" w:asciiTheme="minorEastAsia" w:hAnsiTheme="minorEastAsia" w:eastAsiaTheme="minorEastAsia"/>
          <w:color w:val="auto"/>
          <w:kern w:val="0"/>
          <w:sz w:val="24"/>
          <w:szCs w:val="24"/>
          <w:highlight w:val="none"/>
        </w:rPr>
        <w:t xml:space="preserve">；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（3）通用合同条款；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（4）中标通知书（如果有）；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（5）投标函及其附录（如果有）；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（6）发包人要求；</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（7）技术标准；</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（8）发包人提供的上一阶段图纸（如果有）；</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（9）其他合同文件。</w:t>
      </w:r>
    </w:p>
    <w:p>
      <w:pPr>
        <w:spacing w:line="360" w:lineRule="auto"/>
        <w:ind w:firstLine="511" w:firstLineChars="213"/>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上述各项合同文件包括合同当事人就该项合同文件所作出的补充和修改，属于同一类内容的文件，应以最新签署的为准。</w:t>
      </w:r>
    </w:p>
    <w:p>
      <w:pPr>
        <w:spacing w:line="360" w:lineRule="auto"/>
        <w:ind w:firstLine="511" w:firstLineChars="213"/>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在合同履行过程中形成的与合同有关的文件均构成合同文件组成部分，并根据其性质确定优先解释顺序。</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45" w:name="_Toc351203502"/>
      <w:r>
        <w:rPr>
          <w:rFonts w:hint="eastAsia" w:asciiTheme="minorEastAsia" w:hAnsiTheme="minorEastAsia" w:eastAsiaTheme="minorEastAsia"/>
          <w:b w:val="0"/>
          <w:color w:val="auto"/>
          <w:sz w:val="24"/>
          <w:szCs w:val="24"/>
          <w:highlight w:val="none"/>
        </w:rPr>
        <w:t>1</w:t>
      </w:r>
      <w:bookmarkStart w:id="46" w:name="_Toc296346534"/>
      <w:bookmarkStart w:id="47" w:name="_Toc337558733"/>
      <w:bookmarkStart w:id="48" w:name="_Toc296503033"/>
      <w:r>
        <w:rPr>
          <w:rFonts w:hint="eastAsia" w:asciiTheme="minorEastAsia" w:hAnsiTheme="minorEastAsia" w:eastAsiaTheme="minorEastAsia"/>
          <w:b w:val="0"/>
          <w:color w:val="auto"/>
          <w:sz w:val="24"/>
          <w:szCs w:val="24"/>
          <w:highlight w:val="none"/>
        </w:rPr>
        <w:t>.6 联络</w:t>
      </w:r>
      <w:bookmarkEnd w:id="45"/>
    </w:p>
    <w:bookmarkEnd w:id="46"/>
    <w:bookmarkEnd w:id="47"/>
    <w:bookmarkEnd w:id="48"/>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1.6.1 与合同有关的通知、批准、证明、证书、指示、指令、要求、请求、同意、确定和决定等，均应采用书面形式，并应在合同约定的期限内送达接收人和送达地点。</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1.6.2 发包人和设计人应在专用合同条款中约定各自的送达接收人、送达地点、电子邮箱。任何一方合同当事人指定的接收人或送达地点或电子邮箱发生变动的，应提前3天以书面形式通知对方，否则视为未发生变动。</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1.6.3 发包人和设计人应当及时签收另一方送达至送达地点和指定接收人的来往信函，如确有充分证据证明一方无正当理由拒不签收的，视为拒绝签收一方认可往来信函的内容。</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49" w:name="_Toc351203503"/>
      <w:r>
        <w:rPr>
          <w:rFonts w:hint="eastAsia" w:asciiTheme="minorEastAsia" w:hAnsiTheme="minorEastAsia" w:eastAsiaTheme="minorEastAsia"/>
          <w:b w:val="0"/>
          <w:color w:val="auto"/>
          <w:sz w:val="24"/>
          <w:szCs w:val="24"/>
          <w:highlight w:val="none"/>
        </w:rPr>
        <w:t>1</w:t>
      </w:r>
      <w:bookmarkStart w:id="50" w:name="_Toc296346536"/>
      <w:bookmarkStart w:id="51" w:name="_Toc337558734"/>
      <w:bookmarkStart w:id="52" w:name="_Toc296503035"/>
      <w:r>
        <w:rPr>
          <w:rFonts w:hint="eastAsia" w:asciiTheme="minorEastAsia" w:hAnsiTheme="minorEastAsia" w:eastAsiaTheme="minorEastAsia"/>
          <w:b w:val="0"/>
          <w:color w:val="auto"/>
          <w:sz w:val="24"/>
          <w:szCs w:val="24"/>
          <w:highlight w:val="none"/>
        </w:rPr>
        <w:t>.7 严禁贿赂</w:t>
      </w:r>
      <w:bookmarkEnd w:id="49"/>
    </w:p>
    <w:bookmarkEnd w:id="50"/>
    <w:bookmarkEnd w:id="51"/>
    <w:bookmarkEnd w:id="52"/>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合同当事人不得以贿赂或变相贿赂的方式，谋取非法利益或损害对方权益。因一方合同当事人的贿赂造成对方损失的，应赔偿损失，并承担相应的法律责任。</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w:t>
      </w:r>
      <w:bookmarkStart w:id="53" w:name="_Toc337558738"/>
      <w:r>
        <w:rPr>
          <w:rFonts w:hint="eastAsia" w:asciiTheme="minorEastAsia" w:hAnsiTheme="minorEastAsia" w:eastAsiaTheme="minorEastAsia"/>
          <w:b w:val="0"/>
          <w:color w:val="auto"/>
          <w:sz w:val="24"/>
          <w:szCs w:val="24"/>
          <w:highlight w:val="none"/>
        </w:rPr>
        <w:t>.8 保密</w:t>
      </w:r>
    </w:p>
    <w:bookmarkEnd w:id="53"/>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除法律规定或合同另有约定外，未经发包人同意，设计人不得将发包人提供的图纸、文件以及声明需要保密的资料信息等商业秘密泄露给第三方。</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除法律规定或合同另有约定外，未经设计人同意，发包人不得将设计人提供的技术文件、技术成果、技术秘密及声明需要保密的资料信息等商业秘密泄露给第三方。</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保密期限由发包人与设计人在专用合同条款中约定。</w:t>
      </w:r>
    </w:p>
    <w:p>
      <w:pPr>
        <w:pStyle w:val="5"/>
        <w:spacing w:before="120" w:after="120" w:line="360" w:lineRule="auto"/>
        <w:rPr>
          <w:rFonts w:asciiTheme="minorEastAsia" w:hAnsiTheme="minorEastAsia" w:eastAsiaTheme="minorEastAsia"/>
          <w:b w:val="0"/>
          <w:color w:val="auto"/>
          <w:sz w:val="24"/>
          <w:szCs w:val="24"/>
          <w:highlight w:val="none"/>
        </w:rPr>
      </w:pPr>
      <w:bookmarkStart w:id="54" w:name="_Toc351203509"/>
      <w:r>
        <w:rPr>
          <w:rFonts w:hint="eastAsia" w:asciiTheme="minorEastAsia" w:hAnsiTheme="minorEastAsia" w:eastAsiaTheme="minorEastAsia"/>
          <w:b w:val="0"/>
          <w:color w:val="auto"/>
          <w:sz w:val="24"/>
          <w:szCs w:val="24"/>
          <w:highlight w:val="none"/>
        </w:rPr>
        <w:t>2</w:t>
      </w:r>
      <w:bookmarkStart w:id="55" w:name="_Toc296503038"/>
      <w:bookmarkStart w:id="56" w:name="_Toc296346539"/>
      <w:bookmarkStart w:id="57" w:name="_Toc337558739"/>
      <w:bookmarkStart w:id="58" w:name="OLE_LINK1"/>
      <w:r>
        <w:rPr>
          <w:rFonts w:hint="eastAsia" w:asciiTheme="minorEastAsia" w:hAnsiTheme="minorEastAsia" w:eastAsiaTheme="minorEastAsia"/>
          <w:b w:val="0"/>
          <w:color w:val="auto"/>
          <w:sz w:val="24"/>
          <w:szCs w:val="24"/>
          <w:highlight w:val="none"/>
        </w:rPr>
        <w:t>. 发包人</w:t>
      </w:r>
      <w:bookmarkEnd w:id="54"/>
    </w:p>
    <w:bookmarkEnd w:id="55"/>
    <w:bookmarkEnd w:id="56"/>
    <w:bookmarkEnd w:id="57"/>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59" w:name="_Toc351203510"/>
      <w:r>
        <w:rPr>
          <w:rFonts w:hint="eastAsia" w:asciiTheme="minorEastAsia" w:hAnsiTheme="minorEastAsia" w:eastAsiaTheme="minorEastAsia"/>
          <w:b w:val="0"/>
          <w:color w:val="auto"/>
          <w:sz w:val="24"/>
          <w:szCs w:val="24"/>
          <w:highlight w:val="none"/>
        </w:rPr>
        <w:t>2</w:t>
      </w:r>
      <w:bookmarkStart w:id="60" w:name="_Toc337558740"/>
      <w:bookmarkStart w:id="61" w:name="_Toc296503039"/>
      <w:bookmarkStart w:id="62" w:name="_Toc296346540"/>
      <w:r>
        <w:rPr>
          <w:rFonts w:hint="eastAsia" w:asciiTheme="minorEastAsia" w:hAnsiTheme="minorEastAsia" w:eastAsiaTheme="minorEastAsia"/>
          <w:b w:val="0"/>
          <w:color w:val="auto"/>
          <w:sz w:val="24"/>
          <w:szCs w:val="24"/>
          <w:highlight w:val="none"/>
        </w:rPr>
        <w:t xml:space="preserve">.1 </w:t>
      </w:r>
      <w:bookmarkEnd w:id="59"/>
      <w:r>
        <w:rPr>
          <w:rFonts w:hint="eastAsia" w:asciiTheme="minorEastAsia" w:hAnsiTheme="minorEastAsia" w:eastAsiaTheme="minorEastAsia"/>
          <w:b w:val="0"/>
          <w:color w:val="auto"/>
          <w:sz w:val="24"/>
          <w:szCs w:val="24"/>
          <w:highlight w:val="none"/>
        </w:rPr>
        <w:t>发包人一般义务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2.1.1 发包人应遵守法律，并办理法律规定由其办理的许可、核准或备案，包括但不限于建设用地规划许可证、建设工程规划许可证、建设工程方案设计批准</w:t>
      </w:r>
      <w:r>
        <w:rPr>
          <w:rFonts w:hint="eastAsia" w:asciiTheme="minorEastAsia" w:hAnsiTheme="minorEastAsia" w:eastAsiaTheme="minorEastAsia"/>
          <w:strike/>
          <w:color w:val="auto"/>
          <w:kern w:val="0"/>
          <w:sz w:val="24"/>
          <w:szCs w:val="24"/>
          <w:highlight w:val="none"/>
        </w:rPr>
        <w:t>、施工图设计审查</w:t>
      </w:r>
      <w:r>
        <w:rPr>
          <w:rFonts w:hint="eastAsia" w:asciiTheme="minorEastAsia" w:hAnsiTheme="minorEastAsia" w:eastAsiaTheme="minorEastAsia"/>
          <w:color w:val="auto"/>
          <w:kern w:val="0"/>
          <w:sz w:val="24"/>
          <w:szCs w:val="24"/>
          <w:highlight w:val="none"/>
        </w:rPr>
        <w:t>等许可、核准或备案。</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cs="Courier New" w:asciiTheme="minorEastAsia" w:hAnsiTheme="minorEastAsia" w:eastAsiaTheme="minorEastAsia"/>
          <w:color w:val="auto"/>
          <w:sz w:val="24"/>
          <w:szCs w:val="24"/>
          <w:highlight w:val="none"/>
        </w:rPr>
        <w:t>发包人负责本项目各阶段设计文件向规划设计管理部门的送审报批工作，并负责将报批结果书面通知设计人。</w:t>
      </w:r>
      <w:r>
        <w:rPr>
          <w:rFonts w:hint="eastAsia" w:asciiTheme="minorEastAsia" w:hAnsiTheme="minorEastAsia" w:eastAsiaTheme="minorEastAsia"/>
          <w:color w:val="auto"/>
          <w:kern w:val="0"/>
          <w:sz w:val="24"/>
          <w:szCs w:val="24"/>
          <w:highlight w:val="none"/>
        </w:rPr>
        <w:t>因发包人原因未能及时办理完毕前述许可、核准或备案手续，导致设计工作量增加和（或）设计周期延长时，由发包人承担由此增加的设计费用和（或）延长的设计周期。</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2.1.2 发包人应当负责工程设计的所有外部关系（包括但不限于当地政府主管部门等）的协调，为设计人履行合同提供必要的外部条件。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2.1.3 专用合同条款约定的其他义务。</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63" w:name="_Toc351203511"/>
      <w:r>
        <w:rPr>
          <w:rFonts w:hint="eastAsia" w:asciiTheme="minorEastAsia" w:hAnsiTheme="minorEastAsia" w:eastAsiaTheme="minorEastAsia"/>
          <w:b w:val="0"/>
          <w:color w:val="auto"/>
          <w:sz w:val="24"/>
          <w:szCs w:val="24"/>
          <w:highlight w:val="none"/>
        </w:rPr>
        <w:t>2.2 发包人代表</w:t>
      </w:r>
      <w:bookmarkEnd w:id="63"/>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在专用合同条款中明确其负责工程设计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在专用合同条款约定的期限内提前书面通知设计人。</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发包人代表不能按照合同约定履行其职责及义务，并导致合同无法继续正常履行的，设计人可以要求发包人撤换发包人代表。</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2.3 发包人决定</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 xml:space="preserve">2.3.1 </w:t>
      </w:r>
      <w:r>
        <w:rPr>
          <w:rFonts w:hint="eastAsia" w:asciiTheme="minorEastAsia" w:hAnsiTheme="minorEastAsia" w:eastAsiaTheme="minorEastAsia"/>
          <w:color w:val="auto"/>
          <w:sz w:val="24"/>
          <w:szCs w:val="24"/>
          <w:highlight w:val="none"/>
        </w:rPr>
        <w:t>发包人在法律允许的范围内有权对设计人的设计工作、设计项目和/或设计文件作出处理决定，设计人应按照发包人的决定执行，涉及设计周期和（或）设计费用等问题按本合同第11条〔工程设计变更与索赔〕的约定处理。</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2.3.2 发包人应在专用合同条款约定的期限内对设计人书面提出的事项作出书面决定，如发包人不在确定时间内作出书面决定，设计人的设计周期相应延长。</w:t>
      </w:r>
    </w:p>
    <w:bookmarkEnd w:id="58"/>
    <w:bookmarkEnd w:id="60"/>
    <w:bookmarkEnd w:id="61"/>
    <w:bookmarkEnd w:id="62"/>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2</w:t>
      </w:r>
      <w:bookmarkStart w:id="64" w:name="_Toc296503042"/>
      <w:bookmarkStart w:id="65" w:name="_Toc296346543"/>
      <w:bookmarkStart w:id="66" w:name="_Toc337558745"/>
      <w:r>
        <w:rPr>
          <w:rFonts w:hint="eastAsia" w:asciiTheme="minorEastAsia" w:hAnsiTheme="minorEastAsia" w:eastAsiaTheme="minorEastAsia"/>
          <w:b w:val="0"/>
          <w:color w:val="auto"/>
          <w:sz w:val="24"/>
          <w:szCs w:val="24"/>
          <w:highlight w:val="none"/>
        </w:rPr>
        <w:t xml:space="preserve">.4 </w:t>
      </w:r>
      <w:bookmarkEnd w:id="64"/>
      <w:bookmarkEnd w:id="65"/>
      <w:bookmarkEnd w:id="66"/>
      <w:bookmarkStart w:id="67" w:name="_Toc351203515"/>
      <w:r>
        <w:rPr>
          <w:rFonts w:hint="eastAsia" w:asciiTheme="minorEastAsia" w:hAnsiTheme="minorEastAsia" w:eastAsiaTheme="minorEastAsia"/>
          <w:b w:val="0"/>
          <w:color w:val="auto"/>
          <w:sz w:val="24"/>
          <w:szCs w:val="24"/>
          <w:highlight w:val="none"/>
        </w:rPr>
        <w:t>支付合同价款</w:t>
      </w:r>
      <w:bookmarkEnd w:id="67"/>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发包人应按合同约定向设计人及时足额支付合同价款。</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68" w:name="_Toc351203516"/>
      <w:r>
        <w:rPr>
          <w:rFonts w:hint="eastAsia" w:asciiTheme="minorEastAsia" w:hAnsiTheme="minorEastAsia" w:eastAsiaTheme="minorEastAsia"/>
          <w:b w:val="0"/>
          <w:color w:val="auto"/>
          <w:sz w:val="24"/>
          <w:szCs w:val="24"/>
          <w:highlight w:val="none"/>
        </w:rPr>
        <w:t xml:space="preserve">2.5 </w:t>
      </w:r>
      <w:bookmarkEnd w:id="68"/>
      <w:r>
        <w:rPr>
          <w:rFonts w:hint="eastAsia" w:asciiTheme="minorEastAsia" w:hAnsiTheme="minorEastAsia" w:eastAsiaTheme="minorEastAsia"/>
          <w:b w:val="0"/>
          <w:color w:val="auto"/>
          <w:sz w:val="24"/>
          <w:szCs w:val="24"/>
          <w:highlight w:val="none"/>
        </w:rPr>
        <w:t>设计文件接收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发包人应按合同约定及时接收设计人提交的工程设计文件。</w:t>
      </w:r>
    </w:p>
    <w:p>
      <w:pPr>
        <w:pStyle w:val="5"/>
        <w:keepNext w:val="0"/>
        <w:keepLines w:val="0"/>
        <w:spacing w:before="120" w:after="120" w:line="360" w:lineRule="auto"/>
        <w:rPr>
          <w:rFonts w:asciiTheme="minorEastAsia" w:hAnsiTheme="minorEastAsia" w:eastAsiaTheme="minorEastAsia"/>
          <w:b w:val="0"/>
          <w:color w:val="auto"/>
          <w:sz w:val="24"/>
          <w:szCs w:val="24"/>
          <w:highlight w:val="none"/>
        </w:rPr>
      </w:pPr>
      <w:bookmarkStart w:id="69" w:name="_Toc351203518"/>
      <w:r>
        <w:rPr>
          <w:rFonts w:hint="eastAsia" w:asciiTheme="minorEastAsia" w:hAnsiTheme="minorEastAsia" w:eastAsiaTheme="minorEastAsia"/>
          <w:b w:val="0"/>
          <w:color w:val="auto"/>
          <w:sz w:val="24"/>
          <w:szCs w:val="24"/>
          <w:highlight w:val="none"/>
        </w:rPr>
        <w:t>3</w:t>
      </w:r>
      <w:bookmarkStart w:id="70" w:name="_Toc296346546"/>
      <w:bookmarkStart w:id="71" w:name="_Toc296503045"/>
      <w:bookmarkStart w:id="72" w:name="_Toc337558746"/>
      <w:r>
        <w:rPr>
          <w:rFonts w:hint="eastAsia" w:asciiTheme="minorEastAsia" w:hAnsiTheme="minorEastAsia" w:eastAsiaTheme="minorEastAsia"/>
          <w:b w:val="0"/>
          <w:color w:val="auto"/>
          <w:sz w:val="24"/>
          <w:szCs w:val="24"/>
          <w:highlight w:val="none"/>
        </w:rPr>
        <w:t>. 设计人</w:t>
      </w:r>
      <w:bookmarkEnd w:id="69"/>
    </w:p>
    <w:bookmarkEnd w:id="70"/>
    <w:bookmarkEnd w:id="71"/>
    <w:bookmarkEnd w:id="72"/>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73" w:name="_Toc351203519"/>
      <w:r>
        <w:rPr>
          <w:rFonts w:hint="eastAsia" w:asciiTheme="minorEastAsia" w:hAnsiTheme="minorEastAsia" w:eastAsiaTheme="minorEastAsia"/>
          <w:b w:val="0"/>
          <w:color w:val="auto"/>
          <w:sz w:val="24"/>
          <w:szCs w:val="24"/>
          <w:highlight w:val="none"/>
        </w:rPr>
        <w:t>3</w:t>
      </w:r>
      <w:bookmarkStart w:id="74" w:name="_Toc296346547"/>
      <w:bookmarkStart w:id="75" w:name="_Toc337558747"/>
      <w:bookmarkStart w:id="76" w:name="_Toc296503046"/>
      <w:r>
        <w:rPr>
          <w:rFonts w:hint="eastAsia" w:asciiTheme="minorEastAsia" w:hAnsiTheme="minorEastAsia" w:eastAsiaTheme="minorEastAsia"/>
          <w:b w:val="0"/>
          <w:color w:val="auto"/>
          <w:sz w:val="24"/>
          <w:szCs w:val="24"/>
          <w:highlight w:val="none"/>
        </w:rPr>
        <w:t>.1 设计人一般义务</w:t>
      </w:r>
      <w:bookmarkEnd w:id="73"/>
    </w:p>
    <w:bookmarkEnd w:id="74"/>
    <w:bookmarkEnd w:id="75"/>
    <w:bookmarkEnd w:id="76"/>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3.1.1 设计人应遵守法律和有关技术标准的强制性规定，完成合同约定范围内的房屋建筑工程方案设计、初步设计</w:t>
      </w:r>
      <w:r>
        <w:rPr>
          <w:rFonts w:hint="eastAsia" w:asciiTheme="minorEastAsia" w:hAnsiTheme="minorEastAsia" w:eastAsiaTheme="minorEastAsia"/>
          <w:strike/>
          <w:color w:val="auto"/>
          <w:kern w:val="0"/>
          <w:sz w:val="24"/>
          <w:szCs w:val="24"/>
          <w:highlight w:val="none"/>
        </w:rPr>
        <w:t>、施工图设计</w:t>
      </w:r>
      <w:r>
        <w:rPr>
          <w:rFonts w:hint="eastAsia" w:asciiTheme="minorEastAsia" w:hAnsiTheme="minorEastAsia" w:eastAsiaTheme="minorEastAsia"/>
          <w:color w:val="auto"/>
          <w:kern w:val="0"/>
          <w:sz w:val="24"/>
          <w:szCs w:val="24"/>
          <w:highlight w:val="none"/>
        </w:rPr>
        <w:t>，提供符合技术标准及合同要求的工程设计文件，提供施工配合服务。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当按照专用合同条款约定配合发包人办理有关许可、核准或备案手续的，因设计人原因造成发包人未能及时办理许可、核准或备案手续，导致设计工作量增加和（或）设计周期延长时，由设计人自行承担由此增加的设计费用和（或）设计周期延长的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3.1.2 设计人应当完成合同约定的工程设计其他服务。</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3.1.3 专用合同条款约定的其他义务。</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77" w:name="_Toc351203520"/>
      <w:r>
        <w:rPr>
          <w:rFonts w:hint="eastAsia" w:asciiTheme="minorEastAsia" w:hAnsiTheme="minorEastAsia" w:eastAsiaTheme="minorEastAsia"/>
          <w:b w:val="0"/>
          <w:color w:val="auto"/>
          <w:sz w:val="24"/>
          <w:szCs w:val="24"/>
          <w:highlight w:val="none"/>
        </w:rPr>
        <w:t>3</w:t>
      </w:r>
      <w:bookmarkStart w:id="78" w:name="_Toc296503047"/>
      <w:bookmarkStart w:id="79" w:name="_Toc337558748"/>
      <w:bookmarkStart w:id="80" w:name="_Toc296346548"/>
      <w:r>
        <w:rPr>
          <w:rFonts w:hint="eastAsia" w:asciiTheme="minorEastAsia" w:hAnsiTheme="minorEastAsia" w:eastAsiaTheme="minorEastAsia"/>
          <w:b w:val="0"/>
          <w:color w:val="auto"/>
          <w:sz w:val="24"/>
          <w:szCs w:val="24"/>
          <w:highlight w:val="none"/>
        </w:rPr>
        <w:t xml:space="preserve">.2 </w:t>
      </w:r>
      <w:bookmarkEnd w:id="77"/>
      <w:r>
        <w:rPr>
          <w:rFonts w:hint="eastAsia" w:asciiTheme="minorEastAsia" w:hAnsiTheme="minorEastAsia" w:eastAsiaTheme="minorEastAsia"/>
          <w:b w:val="0"/>
          <w:color w:val="auto"/>
          <w:sz w:val="24"/>
          <w:szCs w:val="24"/>
          <w:highlight w:val="none"/>
        </w:rPr>
        <w:t>项目负责人</w:t>
      </w:r>
    </w:p>
    <w:bookmarkEnd w:id="78"/>
    <w:bookmarkEnd w:id="79"/>
    <w:bookmarkEnd w:id="80"/>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3.2.1 项目负责人应为合同当事人所确认的人选，并在专用合同条款中明确项目负责人的姓名、执业资格及等级、注册执业证书编号、联系方式及授权范围等事项，项目负责人经设计人授权后代表设计人负责履行合同。</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3.2.2 设计人需要更换项目负责人的，应在专用合同条款约定的期限内提前书面通知发包人，并征得发包人书面同意。通知中应当载明继任项目负责人的注册执业资格、管理经验等资料，继任项目负责人继续履行第3.2.1项约定的职责。未经发包人书面同意，设计人不得擅自更换项目负责人。设计人擅自更换项目负责人的，应按照专用合同条款的约定承担违约责任。对于设计人项目负责人确因患病、与设计人解除或终止劳动关系、工伤等原因更换项目负责人的，发包人无正当理由不得拒绝更换。</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3.2.3 发包人有权书面通知设计人更换其认为不称职的项目负责人，通知中应当载明要求更换的理由。对于发包人有理由的更换要求，设计人应在收到书面更换通知后在专用合同条款约定的期限内进行更换，并将新任命的项目负责人的注册执业资格、管理经验等资料书面通知发包人。继任项目负责人继续履行第3.2.1项约定的职责。设计人无正当理由拒绝更换项目负责人的，应按照专用合同条款的约定承担违约责任。</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81" w:name="_Toc351203521"/>
      <w:r>
        <w:rPr>
          <w:rFonts w:hint="eastAsia" w:asciiTheme="minorEastAsia" w:hAnsiTheme="minorEastAsia" w:eastAsiaTheme="minorEastAsia"/>
          <w:b w:val="0"/>
          <w:color w:val="auto"/>
          <w:sz w:val="24"/>
          <w:szCs w:val="24"/>
          <w:highlight w:val="none"/>
        </w:rPr>
        <w:t>3</w:t>
      </w:r>
      <w:bookmarkStart w:id="82" w:name="_Toc296503048"/>
      <w:bookmarkStart w:id="83" w:name="_Toc296346549"/>
      <w:bookmarkStart w:id="84" w:name="_Toc337558749"/>
      <w:r>
        <w:rPr>
          <w:rFonts w:hint="eastAsia" w:asciiTheme="minorEastAsia" w:hAnsiTheme="minorEastAsia" w:eastAsiaTheme="minorEastAsia"/>
          <w:b w:val="0"/>
          <w:color w:val="auto"/>
          <w:sz w:val="24"/>
          <w:szCs w:val="24"/>
          <w:highlight w:val="none"/>
        </w:rPr>
        <w:t xml:space="preserve">.3 </w:t>
      </w:r>
      <w:bookmarkEnd w:id="82"/>
      <w:bookmarkEnd w:id="83"/>
      <w:r>
        <w:rPr>
          <w:rFonts w:hint="eastAsia" w:asciiTheme="minorEastAsia" w:hAnsiTheme="minorEastAsia" w:eastAsiaTheme="minorEastAsia"/>
          <w:b w:val="0"/>
          <w:color w:val="auto"/>
          <w:sz w:val="24"/>
          <w:szCs w:val="24"/>
          <w:highlight w:val="none"/>
        </w:rPr>
        <w:t>设计人人员</w:t>
      </w:r>
      <w:bookmarkEnd w:id="81"/>
    </w:p>
    <w:bookmarkEnd w:id="84"/>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3.3.1 除专用合同条款对期限另有约定外，设计人应在接到开始设计通知后7天内，向发包人提交设计人项目管理机构及人员安排的报告，其内容应包括建筑、结构、给排水、暖通、电气等专业负责人名单及其岗位、注册执业资格等。</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3.3.2 设计人委派到工程设计中的设计人员应相对稳定。设计过程中如有变动，设计人应及时向发包人提交工程设计人员变动情况的报告。设计人更换专业负责人时，应提前7天书面通知发包人，除专业负责人无法正常履职情形外，还应征得发包人书面同意。通知中应当载明继任人员的注册执业资格、执业经验等资料。</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3.3.3 发包人对于设计人主要设计人员的资格或能力有异议的，设计人应提供资料证明被质疑人员有能力完成其岗位工作或不存在发包人所质疑的情形。发包人要求撤换不能按照合同约定履行职责及义务的主要设计人员的，设计人认为发包人有理由的，应当撤换。设计人无正当理由拒绝撤换的，应按照专用合同条款的约定承担违约责任。</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85" w:name="_Toc351203523"/>
      <w:r>
        <w:rPr>
          <w:rFonts w:hint="eastAsia" w:asciiTheme="minorEastAsia" w:hAnsiTheme="minorEastAsia" w:eastAsiaTheme="minorEastAsia"/>
          <w:b w:val="0"/>
          <w:color w:val="auto"/>
          <w:sz w:val="24"/>
          <w:szCs w:val="24"/>
          <w:highlight w:val="none"/>
        </w:rPr>
        <w:t>3</w:t>
      </w:r>
      <w:bookmarkStart w:id="86" w:name="_Toc337558751"/>
      <w:bookmarkStart w:id="87" w:name="_Toc296503051"/>
      <w:bookmarkStart w:id="88" w:name="_Toc296346552"/>
      <w:r>
        <w:rPr>
          <w:rFonts w:hint="eastAsia" w:asciiTheme="minorEastAsia" w:hAnsiTheme="minorEastAsia" w:eastAsiaTheme="minorEastAsia"/>
          <w:b w:val="0"/>
          <w:color w:val="auto"/>
          <w:sz w:val="24"/>
          <w:szCs w:val="24"/>
          <w:highlight w:val="none"/>
        </w:rPr>
        <w:t>.4 设计分包</w:t>
      </w:r>
      <w:bookmarkEnd w:id="85"/>
    </w:p>
    <w:bookmarkEnd w:id="86"/>
    <w:bookmarkEnd w:id="87"/>
    <w:bookmarkEnd w:id="88"/>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3.4.1 设计分包的一般约定</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不得将其承包的全部工程设计转包给第三人，或将其承包的全部工程设计肢解后以分包的名义转包给第三人。设计人不得将工程主体结构、关键性工作及专用合同条款中禁止分包的工程设计分包给第三人，工程主体结构、关键性工作的范围由合同当事人按照法律规定在专用合同条款中予以明确。设计人不得进行违法分包。</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3.4.2 设计分包的确定</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按专用合同条款的约定或经过发包人书面同意后进行分包，确定分包人。按照合同约定或经过发包人书面同意后进行分包的，设计人应确保分包人具有相应的资质和能力。工程设计分包不减轻或免除设计人的责任和义务，设计人和分包人就分包工程设计向发包人承担连带责任。</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3.4.3 设计分包管理</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设计人应按照专用合同条款的约定向发包人提交分包人的主要工程设计人员名单、注册执业资格及执业经历等。</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3.4.4 分包工程设计费</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（1）除本项第（2）目约定的情况或专用合同条款另有约定外，分包工程设计费由设计人与分包人结算，未经设计人同意，发包人不得向分包人支付分包工程设计费；</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（2）生效的法院判决书或仲裁裁决书要求发包人向分包人支付分包工程设计费的，发包人有权从应付设计人合同价款中扣除该部分费用。</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89" w:name="_Toc351203526"/>
      <w:r>
        <w:rPr>
          <w:rFonts w:hint="eastAsia" w:asciiTheme="minorEastAsia" w:hAnsiTheme="minorEastAsia" w:eastAsiaTheme="minorEastAsia"/>
          <w:b w:val="0"/>
          <w:color w:val="auto"/>
          <w:sz w:val="24"/>
          <w:szCs w:val="24"/>
          <w:highlight w:val="none"/>
        </w:rPr>
        <w:t>3.5 联合体</w:t>
      </w:r>
      <w:bookmarkEnd w:id="89"/>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3.5.1 联合体各方应共同与发包人签订合同协议书。联合体各方应为履行合同向发包人承担连带责任。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3.5.2 联合体协议，应当约定联合体各成员工作分工，经发包人确认后作为合同附件。在履行合同过程中，未经发包人同意，不得修改联合体协议。</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3.5.3 联合体牵头人负责与发包人联系，并接受指示，负责组织联合体各成员全面履行合同。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3.5.4 发包人向联合体支付设计费用的方式在专用合同条款中约定。</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4. 工程设计资料</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4.1 提供工程设计资料</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发包人应当在工程设计前或专用合同条款附件2约定的时间向设计人提供工程设计所必需的工程设计资料，并对所提供资料的真实性、准确性和完整性负责。</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按照法律规定确需在工程设计开始后方能提供的设计资料，发包人应及时地在相应工程设计文件提交给发包人前的合理期限内提供，合理期限应以不影响设计人的正常设计为限。</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Cs/>
          <w:color w:val="auto"/>
          <w:sz w:val="24"/>
          <w:szCs w:val="24"/>
          <w:highlight w:val="none"/>
        </w:rPr>
        <w:t>4.2 逾期提供的责任</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发包人提交上述文件和资料超过约定期限的，超过约定期限15天以内，设计人按本合同约定的交付工程设计文件时间相应顺延；超过约定期限15天以外时，设计人有权重新确定提交工程设计文件的时间。工程设计资料逾期提供导致增加了设计工作量的，设计人可以要求发包人另行支付相应设计费用，并相应延长设计周期。</w:t>
      </w:r>
    </w:p>
    <w:p>
      <w:pPr>
        <w:pStyle w:val="5"/>
        <w:spacing w:before="120" w:after="120" w:line="360" w:lineRule="auto"/>
        <w:rPr>
          <w:rFonts w:asciiTheme="minorEastAsia" w:hAnsiTheme="minorEastAsia" w:eastAsiaTheme="minorEastAsia"/>
          <w:b w:val="0"/>
          <w:color w:val="auto"/>
          <w:sz w:val="24"/>
          <w:szCs w:val="24"/>
          <w:highlight w:val="none"/>
        </w:rPr>
      </w:pPr>
      <w:bookmarkStart w:id="90" w:name="_Toc351203532"/>
      <w:bookmarkStart w:id="91" w:name="_Toc337558758"/>
      <w:r>
        <w:rPr>
          <w:rFonts w:hint="eastAsia" w:asciiTheme="minorEastAsia" w:hAnsiTheme="minorEastAsia" w:eastAsiaTheme="minorEastAsia"/>
          <w:b w:val="0"/>
          <w:color w:val="auto"/>
          <w:sz w:val="24"/>
          <w:szCs w:val="24"/>
          <w:highlight w:val="none"/>
        </w:rPr>
        <w:t>5. 工程设计</w:t>
      </w:r>
      <w:bookmarkEnd w:id="90"/>
      <w:r>
        <w:rPr>
          <w:rFonts w:hint="eastAsia" w:asciiTheme="minorEastAsia" w:hAnsiTheme="minorEastAsia" w:eastAsiaTheme="minorEastAsia"/>
          <w:b w:val="0"/>
          <w:color w:val="auto"/>
          <w:sz w:val="24"/>
          <w:szCs w:val="24"/>
          <w:highlight w:val="none"/>
        </w:rPr>
        <w:t>要求</w:t>
      </w:r>
    </w:p>
    <w:bookmarkEnd w:id="91"/>
    <w:p>
      <w:pPr>
        <w:pStyle w:val="6"/>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bookmarkStart w:id="92" w:name="_Toc351203533"/>
      <w:bookmarkStart w:id="93" w:name="_Toc337558759"/>
      <w:r>
        <w:rPr>
          <w:rFonts w:hint="eastAsia" w:asciiTheme="minorEastAsia" w:hAnsiTheme="minorEastAsia" w:eastAsiaTheme="minorEastAsia"/>
          <w:b w:val="0"/>
          <w:color w:val="auto"/>
          <w:sz w:val="24"/>
          <w:szCs w:val="24"/>
          <w:highlight w:val="none"/>
        </w:rPr>
        <w:t>5.1 工程设计一般要求</w:t>
      </w:r>
    </w:p>
    <w:p>
      <w:pPr>
        <w:pStyle w:val="6"/>
        <w:spacing w:before="0" w:after="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5.1.1 对发包人的要求</w:t>
      </w:r>
    </w:p>
    <w:p>
      <w:pPr>
        <w:pStyle w:val="6"/>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5.1.1.1 发包人应当遵守法律和技术标准，不得以任何理由要求设计人违反法律和工程质量、安全标准进行工程设计，降低工程质量。</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5.1.1.2 发包人要求进行主要技术指标控制的，钢材用量、混凝土用量等主要技术指标控制值应当符合有关工程设计标准的要求，且应当在工程设计开始前书面向设计人提出，经发包人与设计人协商一致后以书面形式确定作为本合同附件。</w:t>
      </w:r>
    </w:p>
    <w:p>
      <w:pPr>
        <w:spacing w:line="360" w:lineRule="auto"/>
        <w:ind w:firstLine="562"/>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5.1.1.3 发包人应当严格遵守主要技术指标控制的前提条件，由于发包人的原因导致工程设计文件超出主要技术指标控制值的，发包人承担相应责任。</w:t>
      </w:r>
    </w:p>
    <w:p>
      <w:pPr>
        <w:pStyle w:val="6"/>
        <w:keepNext w:val="0"/>
        <w:keepLines w:val="0"/>
        <w:spacing w:before="0" w:after="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5.1.2 对设计人的要求</w:t>
      </w:r>
    </w:p>
    <w:p>
      <w:pPr>
        <w:pStyle w:val="6"/>
        <w:keepNext w:val="0"/>
        <w:keepLines w:val="0"/>
        <w:spacing w:before="0" w:after="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5.1.2.1 设计人应当按法律和技术标准的强制性规定及发包人要求进行工程设计。有关工程设计的特殊标准或要求由合同当事人在专用合同条款中约定。</w:t>
      </w:r>
      <w:bookmarkEnd w:id="92"/>
    </w:p>
    <w:p>
      <w:pPr>
        <w:spacing w:line="360" w:lineRule="auto"/>
        <w:ind w:firstLine="65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kern w:val="0"/>
          <w:sz w:val="24"/>
          <w:szCs w:val="24"/>
          <w:highlight w:val="none"/>
        </w:rPr>
        <w:t>设计人发现发包人提供的工程设计资料有问题的，设计人应当及时通知发包人并经发包人确认。</w:t>
      </w:r>
    </w:p>
    <w:bookmarkEnd w:id="93"/>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5.1.2.2 除合同另有约定外，设计人完成设计工作所应遵守的法律以及技术标准，均应视为在基准日期适用的版本。基准日期之后，前述版本发生重大变化，或者有新的法律以及技术标准实施的，设计人应就推荐性标准向发包人提出遵守新标准的建议，对强制性的规定或标准应当遵照执行。因发包人采纳设计人的建议或遵守基准日期后新的强制性的规定或标准，导致增加设计费用和（或）设计周期延长的，由发包人承担。</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5.1.2.3 设计人应当根据建筑工程的使用功能和专业技术协调要求，合理确定基础类型、结构体系、结构布置、使用荷载及综合管线等。</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5.1.2.4 设计人应当严格执行其双方书面确认的主要技术指标控制值，由于设计人的原因导致工程设计文件超出在专用合同条款中约定的主要技术指标控制值比例的，设计人应当承担相应的违约责任。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5.1.2.5 设计人在工程设计中选用的材料、设备，应当注明其规格、型号、性能等技术指标及适应性，满足质量、安全、节能、环保等要求。</w:t>
      </w:r>
    </w:p>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5.2 工程设计保证措施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5.2.1 发包人的保证措施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发包人应按照法律规定及合同约定完成与工程设计有关的各项工作。</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5.2.2 设计人的保证措施</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设计人应做好工程设计的质量与技术管理工作，建立健全工程设计质量保证体系，加强工程设计全过程的质量控制，建立完整的设计文件的设计、复核、审核、会签和批准制度，明确各阶段的责任人。</w:t>
      </w:r>
    </w:p>
    <w:p>
      <w:pPr>
        <w:pStyle w:val="6"/>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color w:val="auto"/>
          <w:sz w:val="24"/>
          <w:szCs w:val="24"/>
          <w:highlight w:val="none"/>
        </w:rPr>
        <w:t>5.3 工程设计文件的要求</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5.3.1 工程设计文件的编制应符合法律、技术标准的强制性规定及合同的要求。</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5.3.2 工程设计依据应完整、准确、可靠，设计方案论证充分，计算成果可靠，并能够实施。</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5.3.3 工程设计文件的深度应满足本合同相应设计阶段的规定要求，并符合国家和行业现行有效的相关规定。</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5.3.4 工程设计文件必须保证工程质量和施工安全等方面的要求，按照有关法律法规规定在工程设计文件中提出保障施工作业人员安全和预防生产安全事故的措施建议。</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5.3.5 应根据法律、技术标准要求，保证房屋建筑工程的合理使用寿命年限，并应在工程设计文件中注明相应的合理使用寿命年限。</w:t>
      </w:r>
    </w:p>
    <w:p>
      <w:pPr>
        <w:pStyle w:val="6"/>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bookmarkStart w:id="94" w:name="_Toc351203536"/>
      <w:bookmarkStart w:id="95" w:name="_Toc337558762"/>
      <w:r>
        <w:rPr>
          <w:rFonts w:hint="eastAsia" w:asciiTheme="minorEastAsia" w:hAnsiTheme="minorEastAsia" w:eastAsiaTheme="minorEastAsia"/>
          <w:b w:val="0"/>
          <w:color w:val="auto"/>
          <w:sz w:val="24"/>
          <w:szCs w:val="24"/>
          <w:highlight w:val="none"/>
        </w:rPr>
        <w:t>5.4 不合格工程设计文件的处理</w:t>
      </w:r>
      <w:bookmarkEnd w:id="94"/>
    </w:p>
    <w:bookmarkEnd w:id="95"/>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5.4.1 因设计人原因造成工程设计文件不合格的，发包人有权要求设计人采取补救措施，直至达到合同要求的质量标准，并按第14.2款〔设计人违约责任〕的约定承担责任。 </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5.4.2 因发包人原因造成工程设计文件不合格的，设计人应当采取补救措施，直至达到合同要求的质量标准，由此增加的设计费用和（或）设计周期的延长由发包人承担。</w:t>
      </w:r>
    </w:p>
    <w:p>
      <w:pPr>
        <w:pStyle w:val="5"/>
        <w:spacing w:before="120" w:after="120" w:line="360" w:lineRule="auto"/>
        <w:rPr>
          <w:rFonts w:asciiTheme="minorEastAsia" w:hAnsiTheme="minorEastAsia" w:eastAsiaTheme="minorEastAsia"/>
          <w:b w:val="0"/>
          <w:color w:val="auto"/>
          <w:sz w:val="24"/>
          <w:szCs w:val="24"/>
          <w:highlight w:val="none"/>
        </w:rPr>
      </w:pPr>
      <w:bookmarkStart w:id="96" w:name="_Toc351203542"/>
      <w:bookmarkStart w:id="97" w:name="_Toc337558767"/>
      <w:r>
        <w:rPr>
          <w:rFonts w:hint="eastAsia" w:asciiTheme="minorEastAsia" w:hAnsiTheme="minorEastAsia" w:eastAsiaTheme="minorEastAsia"/>
          <w:b w:val="0"/>
          <w:color w:val="auto"/>
          <w:sz w:val="24"/>
          <w:szCs w:val="24"/>
          <w:highlight w:val="none"/>
        </w:rPr>
        <w:t>6. 工程设计进度</w:t>
      </w:r>
      <w:bookmarkEnd w:id="96"/>
      <w:r>
        <w:rPr>
          <w:rFonts w:hint="eastAsia" w:asciiTheme="minorEastAsia" w:hAnsiTheme="minorEastAsia" w:eastAsiaTheme="minorEastAsia"/>
          <w:b w:val="0"/>
          <w:color w:val="auto"/>
          <w:sz w:val="24"/>
          <w:szCs w:val="24"/>
          <w:highlight w:val="none"/>
        </w:rPr>
        <w:t>与周期</w:t>
      </w:r>
    </w:p>
    <w:bookmarkEnd w:id="97"/>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98" w:name="_Toc351203544"/>
      <w:bookmarkStart w:id="99" w:name="_Toc337558769"/>
      <w:bookmarkStart w:id="100" w:name="_Toc296346567"/>
      <w:bookmarkStart w:id="101" w:name="_Toc296503066"/>
      <w:r>
        <w:rPr>
          <w:rFonts w:hint="eastAsia" w:asciiTheme="minorEastAsia" w:hAnsiTheme="minorEastAsia" w:eastAsiaTheme="minorEastAsia"/>
          <w:b w:val="0"/>
          <w:color w:val="auto"/>
          <w:sz w:val="24"/>
          <w:szCs w:val="24"/>
          <w:highlight w:val="none"/>
        </w:rPr>
        <w:t>6.1 工程设计进度计划</w:t>
      </w:r>
      <w:bookmarkEnd w:id="98"/>
    </w:p>
    <w:bookmarkEnd w:id="99"/>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6.1.1 工程设计进度计划的编制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按照专用合同条款约定提交工程设计进度计划，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工程设计进度计划中的设计周期应由发包人与设计人协商确定，明确约定各阶段设计任务的完成时间区间，</w:t>
      </w:r>
      <w:r>
        <w:rPr>
          <w:rFonts w:hint="eastAsia" w:asciiTheme="minorEastAsia" w:hAnsiTheme="minorEastAsia" w:eastAsiaTheme="minorEastAsia"/>
          <w:color w:val="auto"/>
          <w:sz w:val="24"/>
          <w:szCs w:val="24"/>
          <w:highlight w:val="none"/>
        </w:rPr>
        <w:t>包括各阶段设计过程中设计人与发包人的交流时间，但不包括相关政府部门对设计成果的审批时间及发包人的审查时间。</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6.1.2 工程设计进度计划的修订</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工程设计进度计划不符合合同要求或与工程设计的实际进度不一致的，设计人应向发包人提交修订的工程设计进度计划，并附具有关措施和相关资料。除专用合同条款对期限另有约定外，发包人应在收到修订的工程设计进度计划后5天内完成审核和批准或提出修改意见，否则视为发包人同意设计人提交的修订的工程设计进度计划。</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02" w:name="_Toc351203545"/>
      <w:bookmarkStart w:id="103" w:name="_Toc337558770"/>
      <w:r>
        <w:rPr>
          <w:rFonts w:hint="eastAsia" w:asciiTheme="minorEastAsia" w:hAnsiTheme="minorEastAsia" w:eastAsiaTheme="minorEastAsia"/>
          <w:b w:val="0"/>
          <w:color w:val="auto"/>
          <w:sz w:val="24"/>
          <w:szCs w:val="24"/>
          <w:highlight w:val="none"/>
        </w:rPr>
        <w:t xml:space="preserve">6.2 </w:t>
      </w:r>
      <w:bookmarkEnd w:id="102"/>
      <w:r>
        <w:rPr>
          <w:rFonts w:hint="eastAsia" w:asciiTheme="minorEastAsia" w:hAnsiTheme="minorEastAsia" w:eastAsiaTheme="minorEastAsia"/>
          <w:b w:val="0"/>
          <w:color w:val="auto"/>
          <w:sz w:val="24"/>
          <w:szCs w:val="24"/>
          <w:highlight w:val="none"/>
        </w:rPr>
        <w:t>工程设计开始</w:t>
      </w:r>
    </w:p>
    <w:bookmarkEnd w:id="103"/>
    <w:p>
      <w:pPr>
        <w:adjustRightInd w:val="0"/>
        <w:spacing w:line="360" w:lineRule="auto"/>
        <w:ind w:firstLine="501" w:firstLineChars="209"/>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按照法律规定获得工程设计所需的许可。发包人发出的开始设计通知应符合法律规定，一般应在计划开始设计日期7天前向设计人发出开始工程设计工作通知，工程设计周期自开始设计通知中载明的开始设计的日期起算。</w:t>
      </w:r>
    </w:p>
    <w:p>
      <w:pPr>
        <w:autoSpaceDE w:val="0"/>
        <w:autoSpaceDN w:val="0"/>
        <w:adjustRightInd w:val="0"/>
        <w:spacing w:line="360" w:lineRule="auto"/>
        <w:ind w:firstLine="504" w:firstLineChars="21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设计人应当在收到发包人提供的工程设计资料及专用合同条款约定的定金或预付款后，开始工程设计工作。</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各设计阶段的开始时间均以设计人收到的发包人发出开始设计工作的书面通知书中载明的</w:t>
      </w:r>
      <w:r>
        <w:rPr>
          <w:rFonts w:hint="eastAsia" w:asciiTheme="minorEastAsia" w:hAnsiTheme="minorEastAsia" w:eastAsiaTheme="minorEastAsia"/>
          <w:color w:val="auto"/>
          <w:kern w:val="0"/>
          <w:sz w:val="24"/>
          <w:szCs w:val="24"/>
          <w:highlight w:val="none"/>
        </w:rPr>
        <w:t>开始设计的日期起算。</w:t>
      </w:r>
    </w:p>
    <w:bookmarkEnd w:id="100"/>
    <w:bookmarkEnd w:id="101"/>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04" w:name="_Toc351203547"/>
      <w:bookmarkStart w:id="105" w:name="_Toc296346574"/>
      <w:bookmarkStart w:id="106" w:name="_Toc296503073"/>
      <w:bookmarkStart w:id="107" w:name="_Toc337558772"/>
      <w:r>
        <w:rPr>
          <w:rFonts w:hint="eastAsia" w:asciiTheme="minorEastAsia" w:hAnsiTheme="minorEastAsia" w:eastAsiaTheme="minorEastAsia"/>
          <w:b w:val="0"/>
          <w:color w:val="auto"/>
          <w:sz w:val="24"/>
          <w:szCs w:val="24"/>
          <w:highlight w:val="none"/>
        </w:rPr>
        <w:t>6.3 工程设计进度延误</w:t>
      </w:r>
      <w:bookmarkEnd w:id="104"/>
    </w:p>
    <w:bookmarkEnd w:id="105"/>
    <w:bookmarkEnd w:id="106"/>
    <w:bookmarkEnd w:id="107"/>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6.3.1 因发包人原因导致工程设计进度延误</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在合同履行过程中，发包人导致工程设计进度延误的情形主要有： </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（1）发包人未能按合同约定提供工程设计资料或所提供的工程设计资料不符合合同约定或存在错误或疏漏的；</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（2）发包人未能按合同约定日期足额支付定金或预付款、进度款的；</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（3）发包人提出影响设计周期的设计变更要求的；</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（4）专用合同条款中约定的其他情形。</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因发包人原因未按计划开始设计日期开始设计的，发包人应按实际开始设计日期顺延完成设计日期。</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除专用合同条款对期限另有约定外，</w:t>
      </w:r>
      <w:r>
        <w:rPr>
          <w:rFonts w:hint="eastAsia" w:cs="Courier New" w:asciiTheme="minorEastAsia" w:hAnsiTheme="minorEastAsia" w:eastAsiaTheme="minorEastAsia"/>
          <w:color w:val="auto"/>
          <w:sz w:val="24"/>
          <w:szCs w:val="24"/>
          <w:highlight w:val="none"/>
        </w:rPr>
        <w:t>设计人应在发生上述情形后5天内向发包人发出要求延期的书面通知，在发生该情形后10天内提交要求延期的详细说明供发包人审查。</w:t>
      </w:r>
      <w:r>
        <w:rPr>
          <w:rFonts w:hint="eastAsia" w:asciiTheme="minorEastAsia" w:hAnsiTheme="minorEastAsia" w:eastAsiaTheme="minorEastAsia"/>
          <w:color w:val="auto"/>
          <w:kern w:val="0"/>
          <w:sz w:val="24"/>
          <w:szCs w:val="24"/>
          <w:highlight w:val="none"/>
        </w:rPr>
        <w:t>除专用合同条款对期限另有约定外，</w:t>
      </w:r>
      <w:r>
        <w:rPr>
          <w:rFonts w:hint="eastAsia" w:cs="Courier New" w:asciiTheme="minorEastAsia" w:hAnsiTheme="minorEastAsia" w:eastAsiaTheme="minorEastAsia"/>
          <w:color w:val="auto"/>
          <w:sz w:val="24"/>
          <w:szCs w:val="24"/>
          <w:highlight w:val="none"/>
        </w:rPr>
        <w:t>发包人收到设计人要求延期的详细说明后，应在5天内进行审查并就是否延长设计周期及延期天数向设计人进行书面答复。</w:t>
      </w:r>
    </w:p>
    <w:p>
      <w:pPr>
        <w:spacing w:line="360" w:lineRule="auto"/>
        <w:ind w:firstLine="480" w:firstLineChars="200"/>
        <w:jc w:val="left"/>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如果发包人在收到设计人</w:t>
      </w:r>
      <w:r>
        <w:rPr>
          <w:rFonts w:hint="eastAsia" w:asciiTheme="minorEastAsia" w:hAnsiTheme="minorEastAsia" w:eastAsiaTheme="minorEastAsia"/>
          <w:color w:val="auto"/>
          <w:kern w:val="0"/>
          <w:sz w:val="24"/>
          <w:szCs w:val="24"/>
          <w:highlight w:val="none"/>
        </w:rPr>
        <w:t>提交要求</w:t>
      </w:r>
      <w:r>
        <w:rPr>
          <w:rFonts w:hint="eastAsia" w:cs="Courier New" w:asciiTheme="minorEastAsia" w:hAnsiTheme="minorEastAsia" w:eastAsiaTheme="minorEastAsia"/>
          <w:color w:val="auto"/>
          <w:sz w:val="24"/>
          <w:szCs w:val="24"/>
          <w:highlight w:val="none"/>
        </w:rPr>
        <w:t>延期的详细说明后，在约定的期限内未予答复，则视为设计人要求的延期已被发包人批准。如果设计人未能按本款约定的时间内发出要求延期的通知并提交详细资料，则发包人可拒绝作出任何延期的决定。</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发包人上述工程设计进度延误情形</w:t>
      </w:r>
      <w:r>
        <w:rPr>
          <w:rFonts w:hint="eastAsia" w:asciiTheme="minorEastAsia" w:hAnsiTheme="minorEastAsia" w:eastAsiaTheme="minorEastAsia"/>
          <w:color w:val="auto"/>
          <w:sz w:val="24"/>
          <w:szCs w:val="24"/>
          <w:highlight w:val="none"/>
        </w:rPr>
        <w:t>导致增加了设计工作量的，发包人应当另行支付相应设计费用。</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6.3.2 因设计人原因导致工程设计进度延误</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bookmarkStart w:id="108" w:name="_Toc296346577"/>
      <w:bookmarkStart w:id="109" w:name="_Toc296503076"/>
      <w:r>
        <w:rPr>
          <w:rFonts w:hint="eastAsia" w:asciiTheme="minorEastAsia" w:hAnsiTheme="minorEastAsia" w:eastAsiaTheme="minorEastAsia"/>
          <w:color w:val="auto"/>
          <w:kern w:val="0"/>
          <w:sz w:val="24"/>
          <w:szCs w:val="24"/>
          <w:highlight w:val="none"/>
        </w:rPr>
        <w:t>因</w:t>
      </w:r>
      <w:bookmarkEnd w:id="108"/>
      <w:bookmarkEnd w:id="109"/>
      <w:r>
        <w:rPr>
          <w:rFonts w:hint="eastAsia" w:asciiTheme="minorEastAsia" w:hAnsiTheme="minorEastAsia" w:eastAsiaTheme="minorEastAsia"/>
          <w:color w:val="auto"/>
          <w:kern w:val="0"/>
          <w:sz w:val="24"/>
          <w:szCs w:val="24"/>
          <w:highlight w:val="none"/>
        </w:rPr>
        <w:t>设计人原因导致工程设计进度延误的，设计人应当按照第14.2款〔设计人违约责任〕承担责任。设计人支付逾期完成工程设计违约金后，不免除设计人继续完成工程设计的义务。</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10" w:name="_Toc351203550"/>
      <w:bookmarkStart w:id="111" w:name="_Toc337558775"/>
      <w:bookmarkStart w:id="112" w:name="_Toc296346578"/>
      <w:bookmarkStart w:id="113" w:name="_Toc296503077"/>
      <w:r>
        <w:rPr>
          <w:rFonts w:hint="eastAsia" w:asciiTheme="minorEastAsia" w:hAnsiTheme="minorEastAsia" w:eastAsiaTheme="minorEastAsia"/>
          <w:b w:val="0"/>
          <w:color w:val="auto"/>
          <w:sz w:val="24"/>
          <w:szCs w:val="24"/>
          <w:highlight w:val="none"/>
        </w:rPr>
        <w:t>6.4 暂停</w:t>
      </w:r>
      <w:bookmarkEnd w:id="110"/>
      <w:r>
        <w:rPr>
          <w:rFonts w:hint="eastAsia" w:asciiTheme="minorEastAsia" w:hAnsiTheme="minorEastAsia" w:eastAsiaTheme="minorEastAsia"/>
          <w:b w:val="0"/>
          <w:color w:val="auto"/>
          <w:sz w:val="24"/>
          <w:szCs w:val="24"/>
          <w:highlight w:val="none"/>
        </w:rPr>
        <w:t>设计</w:t>
      </w:r>
    </w:p>
    <w:bookmarkEnd w:id="111"/>
    <w:bookmarkEnd w:id="112"/>
    <w:bookmarkEnd w:id="113"/>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6.4.1 发包人原因引起的暂停设计</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因发包人原因引起暂停设计的，发包人应及时下达暂停设计指示。</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因发包人原因引起的暂停设计，发包人应承担由此增加的设计费用和（或）延长的设计周期。</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6.4.2 设计人原因引起的暂停设计</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设计人原因引起的暂停设计，设计人应当尽快向发包人发出书面通知并按第14.2款〔设计人违约责任〕承担责任，且设计人在收到发包人复工指示后15天内仍未复工的，视为设计人无法继续履行合同的情形，设计人应按第16条〔合同解除〕的约定承担责任。</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6.4.3 其他原因引起的暂停设计</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当出现非设计人原因造成的暂停设计，设计人应当尽快向发包人发出书面通知。</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在上述情形下设计人的设计服务暂停，设计人的设计周期应当相应延长，复工应有发包人与设计人共同确认的合理期限。</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当发生本项约定的情况，导致设计人增加设计工作量的，发包人应当另行支付相应设计费用。</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6.4.4 暂停设计后的复工</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暂停设计后，发包人和设计人应采取有效措施积极消除暂停设计的影响。当工程具备复工条件时，发包人向设计人发出复工通知，设计人应按照复工通知要求复工。</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除设计人原因导致暂停设计外，设计人暂停设计后复工所增加的设计工作量，发包人应当另行支付相应设计费用。</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14" w:name="_Toc351203551"/>
      <w:r>
        <w:rPr>
          <w:rFonts w:hint="eastAsia" w:asciiTheme="minorEastAsia" w:hAnsiTheme="minorEastAsia" w:eastAsiaTheme="minorEastAsia"/>
          <w:b w:val="0"/>
          <w:color w:val="auto"/>
          <w:sz w:val="24"/>
          <w:szCs w:val="24"/>
          <w:highlight w:val="none"/>
        </w:rPr>
        <w:t>6.5 提前</w:t>
      </w:r>
      <w:bookmarkEnd w:id="114"/>
      <w:r>
        <w:rPr>
          <w:rFonts w:hint="eastAsia" w:asciiTheme="minorEastAsia" w:hAnsiTheme="minorEastAsia" w:eastAsiaTheme="minorEastAsia"/>
          <w:b w:val="0"/>
          <w:color w:val="auto"/>
          <w:sz w:val="24"/>
          <w:szCs w:val="24"/>
          <w:highlight w:val="none"/>
        </w:rPr>
        <w:t>交付工程设计文件</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6.5.1 发包人要求设计人提前交付工程设计文件的，发包人应向设计人下达提前交付工程设计文件指示，设计人应向发包人提交提前交付工程设计文件建议书，提前交付工程设计文件建议书应包括实施的方案、缩短的时间、增加的合同价格等内容。发包人接受该提前交付工程设计文件建议书的，发包人和设计人协商采取加快工程设计进度的措施，并修订工程设计进度计划，由此增加的设计费用由发包人承担。设计人认为提前交付工程设计文件的指示无法执行的，应向发包人提出书面异议，发包人应在收到异议后7天内予以答复。任何情况下，发包人不得压缩合理设计周期。</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6.5.2 发包人要求设计人提前交付工程设计文件，或设计人提出提前交付工程设计文件的建议能够给发包人带来效益的，合同当事人可以在专用合同条款中约定提前交付工程设计文件的奖励。</w:t>
      </w:r>
    </w:p>
    <w:p>
      <w:pPr>
        <w:pStyle w:val="5"/>
        <w:spacing w:before="120" w:after="120" w:line="360" w:lineRule="auto"/>
        <w:rPr>
          <w:rFonts w:asciiTheme="minorEastAsia" w:hAnsiTheme="minorEastAsia" w:eastAsiaTheme="minorEastAsia"/>
          <w:b w:val="0"/>
          <w:color w:val="auto"/>
          <w:sz w:val="24"/>
          <w:szCs w:val="24"/>
          <w:highlight w:val="none"/>
        </w:rPr>
      </w:pPr>
      <w:bookmarkStart w:id="115" w:name="_Toc296346584"/>
      <w:bookmarkStart w:id="116" w:name="_Toc296503083"/>
      <w:r>
        <w:rPr>
          <w:rFonts w:hint="eastAsia" w:asciiTheme="minorEastAsia" w:hAnsiTheme="minorEastAsia" w:eastAsiaTheme="minorEastAsia"/>
          <w:b w:val="0"/>
          <w:color w:val="auto"/>
          <w:sz w:val="24"/>
          <w:szCs w:val="24"/>
          <w:highlight w:val="none"/>
        </w:rPr>
        <w:t>7. 工程设计文件交付</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7.1 工程设计文件交付的内容</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7.1.1 工程设计图纸及设计说明。</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7.1.2 发包人可以要求设计人提交专用合同条款约定的具体形式的</w:t>
      </w:r>
      <w:r>
        <w:rPr>
          <w:rFonts w:hint="eastAsia" w:cs="Courier New" w:asciiTheme="minorEastAsia" w:hAnsiTheme="minorEastAsia" w:eastAsiaTheme="minorEastAsia"/>
          <w:color w:val="auto"/>
          <w:sz w:val="24"/>
          <w:szCs w:val="24"/>
          <w:highlight w:val="none"/>
        </w:rPr>
        <w:t>电子版设计文件</w:t>
      </w:r>
      <w:r>
        <w:rPr>
          <w:rFonts w:hint="eastAsia" w:asciiTheme="minorEastAsia" w:hAnsiTheme="minorEastAsia" w:eastAsiaTheme="minorEastAsia"/>
          <w:color w:val="auto"/>
          <w:kern w:val="0"/>
          <w:sz w:val="24"/>
          <w:szCs w:val="24"/>
          <w:highlight w:val="none"/>
        </w:rPr>
        <w:t>。</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7.2 工程设计文件的交付方式</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设计人交付工程设计文件给发包人，发包人应当出具书面签收单，内容包括图纸名称、图纸内容、图纸形式、份数、提交和签收日期、提交人与接收人的亲笔签名。</w:t>
      </w:r>
    </w:p>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7.3 工程设计文件交付的时间和份数</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工程设计文件交付的名称、时间和份数在专用合同条款附件3中约定。</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8. 工程设计文件审查</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8.1 设计人的工程设计文件应报发包人审查同意。审查的范围和内容在发包人要求中约定。审查的具体标准应符合法律规定、技术标准要求和本合同约定。</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除专用合同条款对期限另有约定外，自发包人收到设计人的工程设计文件以及设计人的通知之日起，发包人对设计人的工程设计文件审查期不超过15天。</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发包人不同意工程设计文件的，应以书面形式通知设计人，并说明不符合合同要求的具体内容。设计人应根据发包人的书面说明，对工程设计文件进行修改后重新报送发包人审查，审查期重新起算。</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合同约定的审查期满，发包人没有做出审查结论也没有提出异议的，视为设计人的工程设计文件已获发包人同意。</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8.2 设计人的工程设计文件不需要政府有关部门审查或批准的，设计人应当严格按照经发包人审查同意的工程设计文件进行修改，如果发包人的修改意见超出或更改了发包人要求，发包人应当根据第11条〔工程设计变更与索赔〕的约定，向设计人另行支付费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8.3 工程</w:t>
      </w:r>
      <w:r>
        <w:rPr>
          <w:rStyle w:val="77"/>
          <w:rFonts w:hint="eastAsia" w:asciiTheme="minorEastAsia" w:hAnsiTheme="minorEastAsia" w:eastAsiaTheme="minorEastAsia"/>
          <w:vanish/>
          <w:color w:val="auto"/>
          <w:sz w:val="24"/>
          <w:szCs w:val="24"/>
          <w:highlight w:val="none"/>
        </w:rPr>
        <w:t>（</w:t>
      </w:r>
      <w:r>
        <w:rPr>
          <w:rFonts w:hint="eastAsia" w:asciiTheme="minorEastAsia" w:hAnsiTheme="minorEastAsia" w:eastAsiaTheme="minorEastAsia"/>
          <w:color w:val="auto"/>
          <w:sz w:val="24"/>
          <w:szCs w:val="24"/>
          <w:highlight w:val="none"/>
        </w:rPr>
        <w:t>设计文件需政府有关部门审查或批准的，发包人应在审查同意设计人的工程设计文件后在专用合同条款约定的期限内，向政府有关部门报送工程设计文件，设计人应予以协助。</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对于政府有关部门的审查意见，不需要修改发包人要求的，设计人需按该审查意见修改设计人的工程设计文件；需要修改发包人要求的，发包人应重新提出发包人要求，设计人应根据新提出的发包人要求修改设计人的工程设计文件，发包人应当根据第11条〔工程设计变更与索赔〕的约定，向设计人另行支付费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8.4 发包人需要组织审查会议对工程设计文件进行审查的，审查会议的审查形式和时间安排，在专用合同条款中约定。发包人负责组织工程设计文件审查会议，并承担会议费用及发包人的上级单位、政府有关部门参加的审查会议的费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设计人按第7条〔工程设计文件交付〕的约定向发包人提交工程设计文件，有义务参加发包人组织的设计审查会议，向审查者介绍、解答、解释其工程设计文件，并提供有关补充资料。</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发包人有义务向设计人提供设计审查会议的批准文件和纪要。设计人有义务按照相关设计审查会议批准的文件和纪要，并依据合同约定及相关技术标准，对工程设计文件进行修改、补充和完善。</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8.5 因设计人原因，未能按第7条〔工程设计文件交付〕约定的时间向发包人提交工程设计文件，致使工程设计文件审查无法进行或无法按期进行，造成设计周期延长、窝工损失及发包人增加费用的，设计人应</w:t>
      </w:r>
      <w:r>
        <w:rPr>
          <w:rFonts w:hint="eastAsia" w:asciiTheme="minorEastAsia" w:hAnsiTheme="minorEastAsia" w:eastAsiaTheme="minorEastAsia"/>
          <w:color w:val="auto"/>
          <w:kern w:val="0"/>
          <w:sz w:val="24"/>
          <w:szCs w:val="24"/>
          <w:highlight w:val="none"/>
        </w:rPr>
        <w:t>按第14.2款〔设计人违约责任〕的约定承担责任</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因发包人原因，致使工程设计文件审查无法进行或无法按期进行，造成设计周期延长、窝工损失及设计人增加的费用，由发包人承担。</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 xml:space="preserve">8.6 </w:t>
      </w:r>
      <w:r>
        <w:rPr>
          <w:rFonts w:hint="eastAsia" w:asciiTheme="minorEastAsia" w:hAnsiTheme="minorEastAsia" w:eastAsiaTheme="minorEastAsia"/>
          <w:color w:val="auto"/>
          <w:kern w:val="0"/>
          <w:sz w:val="24"/>
          <w:szCs w:val="24"/>
          <w:highlight w:val="none"/>
        </w:rPr>
        <w:t xml:space="preserve">因设计人原因造成工程设计文件不合格致使工程设计文件审查无法通过的，发包人有权要求设计人采取补救措施，直至达到合同要求的质量标准，并按第14.2款〔设计人违约责任〕的约定承担责任。 </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因发包人原因造成工程设计文件不合格致使工程设计文件审查无法通过的，由此增加的设计费用和（或）延长的设计周期由发包人承担。</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8.7 工程设计文件的审查，不减轻或免除设计人依据法律应当承担的责任。</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9. 施工现场配合服务</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9.1 除专用合同条款另有约定外，发包人应为设计人派赴现场的工作人员提供工作、生活等方面的便利条件。</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9.2 设计人应当提供设计技术交底、解决施工中设计技术问题和竣工验收服务。如果发包人在专用合同条款约定的施工现场服务时限外仍要求设计人负责上述工作的，发包人应按所需工作量向设计人另行支付服务费用。</w:t>
      </w:r>
    </w:p>
    <w:p>
      <w:pPr>
        <w:pStyle w:val="5"/>
        <w:keepNext w:val="0"/>
        <w:keepLines w:val="0"/>
        <w:autoSpaceDE w:val="0"/>
        <w:autoSpaceDN w:val="0"/>
        <w:spacing w:before="120" w:after="120" w:line="360" w:lineRule="auto"/>
        <w:rPr>
          <w:rFonts w:asciiTheme="minorEastAsia" w:hAnsiTheme="minorEastAsia" w:eastAsiaTheme="minorEastAsia"/>
          <w:b w:val="0"/>
          <w:color w:val="auto"/>
          <w:sz w:val="24"/>
          <w:szCs w:val="24"/>
          <w:highlight w:val="none"/>
        </w:rPr>
      </w:pPr>
      <w:bookmarkStart w:id="117" w:name="_Toc351203567"/>
      <w:r>
        <w:rPr>
          <w:rFonts w:hint="eastAsia" w:asciiTheme="minorEastAsia" w:hAnsiTheme="minorEastAsia" w:eastAsiaTheme="minorEastAsia"/>
          <w:b w:val="0"/>
          <w:color w:val="auto"/>
          <w:sz w:val="24"/>
          <w:szCs w:val="24"/>
          <w:highlight w:val="none"/>
        </w:rPr>
        <w:t>10. 合同价款与支付</w:t>
      </w:r>
    </w:p>
    <w:p>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color w:val="auto"/>
          <w:sz w:val="24"/>
          <w:szCs w:val="24"/>
          <w:highlight w:val="none"/>
        </w:rPr>
        <w:t>10.1 合同价款组成</w:t>
      </w:r>
    </w:p>
    <w:p>
      <w:pPr>
        <w:pStyle w:val="6"/>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发包人和设计人应当在专用合同条款中明确约定合同价款各组成部分的具体数额，主要包括：</w:t>
      </w:r>
    </w:p>
    <w:p>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（1）工程设计基本服务费用；</w:t>
      </w:r>
    </w:p>
    <w:p>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r>
        <w:rPr>
          <w:rFonts w:hint="eastAsia" w:asciiTheme="minorEastAsia" w:hAnsiTheme="minorEastAsia" w:eastAsiaTheme="minorEastAsia"/>
          <w:b w:val="0"/>
          <w:bCs w:val="0"/>
          <w:color w:val="auto"/>
          <w:kern w:val="0"/>
          <w:sz w:val="24"/>
          <w:szCs w:val="24"/>
          <w:highlight w:val="none"/>
        </w:rPr>
        <w:t>（2）工程设计其他服务费用；</w:t>
      </w:r>
    </w:p>
    <w:p>
      <w:pPr>
        <w:autoSpaceDE w:val="0"/>
        <w:autoSpaceDN w:val="0"/>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bCs/>
          <w:color w:val="auto"/>
          <w:kern w:val="0"/>
          <w:sz w:val="24"/>
          <w:szCs w:val="24"/>
          <w:highlight w:val="none"/>
        </w:rPr>
        <w:t>（3）</w:t>
      </w:r>
      <w:r>
        <w:rPr>
          <w:rFonts w:hint="eastAsia" w:cs="Courier New" w:asciiTheme="minorEastAsia" w:hAnsiTheme="minorEastAsia" w:eastAsiaTheme="minorEastAsia"/>
          <w:color w:val="auto"/>
          <w:kern w:val="0"/>
          <w:sz w:val="24"/>
          <w:szCs w:val="24"/>
          <w:highlight w:val="none"/>
        </w:rPr>
        <w:t>在未签订合同前发包人已经同意或接受或已经使用的设计人为发包人所做的各项工作的相应费用等。</w:t>
      </w:r>
    </w:p>
    <w:p>
      <w:pPr>
        <w:pStyle w:val="6"/>
        <w:keepNext w:val="0"/>
        <w:keepLines w:val="0"/>
        <w:autoSpaceDE w:val="0"/>
        <w:autoSpaceDN w:val="0"/>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10.2 合同价格形式</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发包人和设计人应在合同协议书中选择下列一种合同价格形式： </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（1）单价合同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单价合同是指合同当事人约定以建筑面积（包括地上建筑面积和地下建筑面积）每平方米单价或实际投资总额的一定比例等进行合同价格计算、调整和确认的建设工程设计合同，</w:t>
      </w:r>
      <w:r>
        <w:rPr>
          <w:rFonts w:hint="eastAsia" w:asciiTheme="minorEastAsia" w:hAnsiTheme="minorEastAsia" w:eastAsiaTheme="minorEastAsia"/>
          <w:color w:val="auto"/>
          <w:sz w:val="24"/>
          <w:szCs w:val="24"/>
          <w:highlight w:val="none"/>
        </w:rPr>
        <w:t>在约定的范围内合同单价不作调整</w:t>
      </w:r>
      <w:r>
        <w:rPr>
          <w:rFonts w:hint="eastAsia" w:asciiTheme="minorEastAsia" w:hAnsiTheme="minorEastAsia" w:eastAsiaTheme="minorEastAsia"/>
          <w:color w:val="auto"/>
          <w:kern w:val="0"/>
          <w:sz w:val="24"/>
          <w:szCs w:val="24"/>
          <w:highlight w:val="none"/>
        </w:rPr>
        <w:t>。合同当事人应在专用合同条款中约定单价包含的风险范围和风险费用的计算方法</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kern w:val="0"/>
          <w:sz w:val="24"/>
          <w:szCs w:val="24"/>
          <w:highlight w:val="none"/>
        </w:rPr>
        <w:t>并约定风险范围以外的合同价格的调整方法。</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（2）总价合同</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总价合同是指合同当事人约定以发包人提供的上一阶段工程设计文件及有关条件进行合同价格计算、调整和确认的建设工程设计合同，</w:t>
      </w:r>
      <w:r>
        <w:rPr>
          <w:rFonts w:hint="eastAsia" w:asciiTheme="minorEastAsia" w:hAnsiTheme="minorEastAsia" w:eastAsiaTheme="minorEastAsia"/>
          <w:color w:val="auto"/>
          <w:sz w:val="24"/>
          <w:szCs w:val="24"/>
          <w:highlight w:val="none"/>
        </w:rPr>
        <w:t>在约定的范围内合同总价不作调整</w:t>
      </w:r>
      <w:r>
        <w:rPr>
          <w:rFonts w:hint="eastAsia" w:asciiTheme="minorEastAsia" w:hAnsiTheme="minorEastAsia" w:eastAsiaTheme="minorEastAsia"/>
          <w:color w:val="auto"/>
          <w:kern w:val="0"/>
          <w:sz w:val="24"/>
          <w:szCs w:val="24"/>
          <w:highlight w:val="none"/>
        </w:rPr>
        <w:t>。合同当事人应在专用合同条款中约定总价包含的风险范围和风险费用的计算方法，并约定风险范围以外的合同价格的调整方法。</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（3）其它价格形式</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合同当事人可在专用合同条款中约定其他合同价格形式。</w:t>
      </w:r>
    </w:p>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10.3 定金或预付款</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 xml:space="preserve">10.3.1 </w:t>
      </w:r>
      <w:r>
        <w:rPr>
          <w:rFonts w:hint="eastAsia" w:asciiTheme="minorEastAsia" w:hAnsiTheme="minorEastAsia" w:eastAsiaTheme="minorEastAsia"/>
          <w:color w:val="auto"/>
          <w:kern w:val="0"/>
          <w:sz w:val="24"/>
          <w:szCs w:val="24"/>
          <w:highlight w:val="none"/>
        </w:rPr>
        <w:t>定金或预付款的比例</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定金或预付款的比例不应超过合同总价款的10%。预付款的比例由发包人与设计人协商确定，一般不低于合同总价款的10%。</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10.3.2 定金或预付款的支付</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定金或预付款的支付按照专用合同条款约定执行，但最迟应在开始设计通知载明的开始设计日期前专用合同条款约定的期限内支付。</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发包人逾期支付定金或预付款超过专用合同条款约定的期限的，设计人有权向发包人发出要求支付定金或预付款的催告通知，发包人收到通知后7天内仍未支付的，设计人有权不开始设计工作或暂停设计工作。</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10.4 进度款支付</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10.4.1 发包人应当按照专用合同条款约定的付款条件及时向设计人支付进度款。</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10.4.2 进度付款的修正</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在对已付进度款进行汇总和复核中发现错误、遗漏或重复的，发包人和设计人均有权提出修正申请。经发包人和设计人同意的修正，应在下期进度付款中支付或扣除。</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10.5 合同价款的结算与支付</w:t>
      </w:r>
    </w:p>
    <w:p>
      <w:pPr>
        <w:spacing w:line="360" w:lineRule="auto"/>
        <w:ind w:firstLine="480" w:firstLineChars="200"/>
        <w:rPr>
          <w:rFonts w:asciiTheme="minorEastAsia" w:hAnsiTheme="minorEastAsia" w:eastAsiaTheme="minorEastAsia"/>
          <w:bCs/>
          <w:color w:val="auto"/>
          <w:kern w:val="0"/>
          <w:sz w:val="24"/>
          <w:szCs w:val="24"/>
          <w:highlight w:val="none"/>
        </w:rPr>
      </w:pPr>
      <w:r>
        <w:rPr>
          <w:rFonts w:hint="eastAsia" w:asciiTheme="minorEastAsia" w:hAnsiTheme="minorEastAsia" w:eastAsiaTheme="minorEastAsia"/>
          <w:bCs/>
          <w:color w:val="auto"/>
          <w:kern w:val="0"/>
          <w:sz w:val="24"/>
          <w:szCs w:val="24"/>
          <w:highlight w:val="none"/>
        </w:rPr>
        <w:t>10.5.1 对于采取固定总价形式的合同，发包人应当按照专用合同条款约定及时支付尾款。</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10.5.2 对于采取固定单价形式的合同，发包人与设计人应当按照专用合同条款约定的结算方式及时结清工程设计费，并将结清未支付的款项一次性支付给设计人。</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10.5.3 对于采取其他价格形式的，也应按专用合同条款的约定及时结算和支付。</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10.6 支付账户</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发包人应将合同价款支付至合同协议书中约定的设计人账户。</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11. 工程设计变更与索赔</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 发包人变更工程设计的内容、规模、功能、条件等，应当向设计人提供书面要求，设计人在不违反法律规定以及技术标准强制性规定的前提下应当按照发包人要求变更工程设计。</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11.2 </w:t>
      </w:r>
      <w:r>
        <w:rPr>
          <w:rFonts w:hint="eastAsia" w:cs="宋体" w:asciiTheme="minorEastAsia" w:hAnsiTheme="minorEastAsia" w:eastAsiaTheme="minorEastAsia"/>
          <w:color w:val="auto"/>
          <w:kern w:val="0"/>
          <w:sz w:val="24"/>
          <w:szCs w:val="24"/>
          <w:highlight w:val="none"/>
        </w:rPr>
        <w:t>发包人变更工程设计的内容、规模、功能、条件或因提交的设计资料存在错误或作较大修改时，发包人应按设计人所耗工作量向设计人增付设计费，</w:t>
      </w:r>
      <w:r>
        <w:rPr>
          <w:rFonts w:hint="eastAsia" w:asciiTheme="minorEastAsia" w:hAnsiTheme="minorEastAsia" w:eastAsiaTheme="minorEastAsia"/>
          <w:color w:val="auto"/>
          <w:kern w:val="0"/>
          <w:sz w:val="24"/>
          <w:szCs w:val="24"/>
          <w:highlight w:val="none"/>
        </w:rPr>
        <w:t>设计人可按本条约定和专用合同条款的约定，与发包人协商对合同价格和/或完工时间做可共同接受的修改。</w:t>
      </w:r>
    </w:p>
    <w:p>
      <w:pPr>
        <w:spacing w:line="360" w:lineRule="auto"/>
        <w:ind w:firstLine="480" w:firstLineChars="200"/>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11.3 </w:t>
      </w:r>
      <w:r>
        <w:rPr>
          <w:rFonts w:hint="eastAsia" w:asciiTheme="minorEastAsia" w:hAnsiTheme="minorEastAsia" w:eastAsiaTheme="minorEastAsia"/>
          <w:color w:val="auto"/>
          <w:sz w:val="24"/>
          <w:szCs w:val="24"/>
          <w:highlight w:val="none"/>
        </w:rPr>
        <w:t>如果由于发包人要求更改而造成的项目复杂性的变更或性质的变更使得设计人的设计工作减少，发包人</w:t>
      </w:r>
      <w:r>
        <w:rPr>
          <w:rFonts w:hint="eastAsia" w:asciiTheme="minorEastAsia" w:hAnsiTheme="minorEastAsia" w:eastAsiaTheme="minorEastAsia"/>
          <w:color w:val="auto"/>
          <w:kern w:val="0"/>
          <w:sz w:val="24"/>
          <w:szCs w:val="24"/>
          <w:highlight w:val="none"/>
        </w:rPr>
        <w:t>可按本条约定和专用合同条款的约定，与设计人协商对合同价格和/或完工时间做可共同接受的修改。</w:t>
      </w:r>
    </w:p>
    <w:p>
      <w:pPr>
        <w:spacing w:line="360" w:lineRule="auto"/>
        <w:ind w:firstLine="480" w:firstLineChars="200"/>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11.4 基准日期后，与工程设计服务有关的法律、技术标准的强制性规定的颁布及修改，由此增加的设计费用和（或）延长的设计周期由发包人承担。</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11.5 如果发生设计人认为有理由提出增加合同价款或延长设计周期的要求事项，除专用合同条款对期限另有约定外，设计人应于该事项发生后5天内书面通知发包人。除专用合同条款对期限另有约定外，在该事项发生后10天内，设计人应向发包人提供证明设计人要求的书面声明，其中包括设计人关于因该事项引起的合同价款和设计周期的变化的详细计算。除专用合同条款对期限另有约定外，发包人应在接到设计人书面声明后的5天内，予以书面答复。逾期未答复的，视为发包人同意设计人关于增加合同价款或延长设计周期的要求。</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12. 专业责任与保险</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12.1 设计人应运用一切合理的专业技术和经验知识，按照公认的职业标准尽其全部职责和谨慎、勤勉地履行其在本合同项下的责任和义务。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12.2 除专用合同条款另有约定外，设计人应具有发包人认可的、履行本合同所需要的工程设计责任保险并使其于合同责任期内保持有效。</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12.3 工程设计责任保险应承担由于设计人的疏忽或过失而引发的工程质量事故所造成的建设工程本身的物质损失以及第三者人身伤亡、财产损失或费用的赔偿责任。</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13. 知识产权</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13.1 除专用合同条款另有约定外，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13.2 除专用合同条款另有约定外，设计人为实施工程所编制的文件的著作权属于设计人，发包人可因实施工程的运行、调试、维修、改造等目的而复制、使用此类文件，但不能擅自修改或用于与合同无关的其他事项。未经设计人书面同意，发包人不得为了合同以外的目的而复制、使用上述文件或将之提供给任何第三方。</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13.3 合同当事人保证在履行合同过程中不侵犯对方及第三方的知识产权。设计人在工程设计时，因侵犯他人的专利权或其他知识产权所引起的责任，由设计人承担；因发包人提供的工程设计资料导致侵权的，由发包人承担责任。</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13.4 合同当事人双方均有权在不损害对方利益和保密约定的前提下，在自己宣传用的印刷品或其他出版物上，或申报奖项时等情形下公布有关项目的文字和图片材料。</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13.5 除专用合同条款另有约定外，设计人在合同签订前和签订时已确定采用的专利、专有技术的使用费应包含在签约合同价中。</w:t>
      </w:r>
    </w:p>
    <w:bookmarkEnd w:id="115"/>
    <w:bookmarkEnd w:id="116"/>
    <w:bookmarkEnd w:id="117"/>
    <w:p>
      <w:pPr>
        <w:pStyle w:val="5"/>
        <w:spacing w:before="120" w:after="120" w:line="360" w:lineRule="auto"/>
        <w:rPr>
          <w:rFonts w:asciiTheme="minorEastAsia" w:hAnsiTheme="minorEastAsia" w:eastAsiaTheme="minorEastAsia"/>
          <w:b w:val="0"/>
          <w:color w:val="auto"/>
          <w:sz w:val="24"/>
          <w:szCs w:val="24"/>
          <w:highlight w:val="none"/>
        </w:rPr>
      </w:pPr>
      <w:bookmarkStart w:id="118" w:name="_Toc351203603"/>
      <w:bookmarkStart w:id="119" w:name="_Toc337558820"/>
      <w:r>
        <w:rPr>
          <w:rFonts w:hint="eastAsia" w:asciiTheme="minorEastAsia" w:hAnsiTheme="minorEastAsia" w:eastAsiaTheme="minorEastAsia"/>
          <w:b w:val="0"/>
          <w:color w:val="auto"/>
          <w:sz w:val="24"/>
          <w:szCs w:val="24"/>
          <w:highlight w:val="none"/>
        </w:rPr>
        <w:t>14. 违约</w:t>
      </w:r>
      <w:bookmarkEnd w:id="118"/>
      <w:r>
        <w:rPr>
          <w:rFonts w:hint="eastAsia" w:asciiTheme="minorEastAsia" w:hAnsiTheme="minorEastAsia" w:eastAsiaTheme="minorEastAsia"/>
          <w:b w:val="0"/>
          <w:color w:val="auto"/>
          <w:sz w:val="24"/>
          <w:szCs w:val="24"/>
          <w:highlight w:val="none"/>
        </w:rPr>
        <w:t>责任</w:t>
      </w:r>
    </w:p>
    <w:bookmarkEnd w:id="119"/>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20" w:name="_Toc296503129"/>
      <w:bookmarkStart w:id="121" w:name="_Toc296346630"/>
      <w:bookmarkStart w:id="122" w:name="_Toc351203604"/>
      <w:bookmarkStart w:id="123" w:name="_Toc337558821"/>
      <w:r>
        <w:rPr>
          <w:rFonts w:hint="eastAsia" w:asciiTheme="minorEastAsia" w:hAnsiTheme="minorEastAsia" w:eastAsiaTheme="minorEastAsia"/>
          <w:b w:val="0"/>
          <w:color w:val="auto"/>
          <w:sz w:val="24"/>
          <w:szCs w:val="24"/>
          <w:highlight w:val="none"/>
        </w:rPr>
        <w:t>14.1 发</w:t>
      </w:r>
      <w:bookmarkEnd w:id="120"/>
      <w:bookmarkEnd w:id="121"/>
      <w:r>
        <w:rPr>
          <w:rFonts w:hint="eastAsia" w:asciiTheme="minorEastAsia" w:hAnsiTheme="minorEastAsia" w:eastAsiaTheme="minorEastAsia"/>
          <w:b w:val="0"/>
          <w:color w:val="auto"/>
          <w:sz w:val="24"/>
          <w:szCs w:val="24"/>
          <w:highlight w:val="none"/>
        </w:rPr>
        <w:t>包人违约</w:t>
      </w:r>
      <w:bookmarkEnd w:id="122"/>
      <w:r>
        <w:rPr>
          <w:rFonts w:hint="eastAsia" w:asciiTheme="minorEastAsia" w:hAnsiTheme="minorEastAsia" w:eastAsiaTheme="minorEastAsia"/>
          <w:b w:val="0"/>
          <w:color w:val="auto"/>
          <w:sz w:val="24"/>
          <w:szCs w:val="24"/>
          <w:highlight w:val="none"/>
        </w:rPr>
        <w:t>责任</w:t>
      </w:r>
    </w:p>
    <w:bookmarkEnd w:id="123"/>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14.1.1 合同生效后，发包人因非设计人原因要求终止或解除合同，设计人未开始设计工作的，不退还发包人已付的定金或发包人按照专用合同条款的约定向设计人支付违约金；已开始设计工作的，发包人应按照设计人已完成的实际工作量计算设计费，完成工作量不足一半时，按该阶段设计费的一半支付设计费；超过一半时，按该阶段设计费的全部支付设计费。</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 xml:space="preserve">14.1.2 </w:t>
      </w:r>
      <w:r>
        <w:rPr>
          <w:rFonts w:hint="eastAsia" w:asciiTheme="minorEastAsia" w:hAnsiTheme="minorEastAsia" w:eastAsiaTheme="minorEastAsia"/>
          <w:color w:val="auto"/>
          <w:kern w:val="0"/>
          <w:sz w:val="24"/>
          <w:szCs w:val="24"/>
          <w:highlight w:val="none"/>
        </w:rPr>
        <w:t>发包人未按专用合同条款约定的金额和期限向设计人支付设计费的，应按专用合同条款约定向设计人支付违约金。逾期超过15天时，设计人有权书面通知发包人中止设计工作。自中止设计工作之日起15天内发包人支付相应费用的，设计人应及时根据发包人要求恢复设计工作；自中止设计工作之日起超过15天后发包人支付相应费用的，设计人有权确定重新恢复设计工作的时间，且设计周期相应延长。</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14.1.3 发包人的上级或设计审批部门对设计文件不进行审批或本合同工程停建、缓建，发包人应在事件发生之日起15天内按本合同第16条</w:t>
      </w:r>
      <w:r>
        <w:rPr>
          <w:rFonts w:hint="eastAsia" w:asciiTheme="minorEastAsia" w:hAnsiTheme="minorEastAsia" w:eastAsiaTheme="minorEastAsia"/>
          <w:color w:val="auto"/>
          <w:sz w:val="24"/>
          <w:szCs w:val="24"/>
          <w:highlight w:val="none"/>
        </w:rPr>
        <w:t>〔合同解除〕</w:t>
      </w:r>
      <w:r>
        <w:rPr>
          <w:rFonts w:hint="eastAsia" w:asciiTheme="minorEastAsia" w:hAnsiTheme="minorEastAsia" w:eastAsiaTheme="minorEastAsia"/>
          <w:color w:val="auto"/>
          <w:kern w:val="0"/>
          <w:sz w:val="24"/>
          <w:szCs w:val="24"/>
          <w:highlight w:val="none"/>
        </w:rPr>
        <w:t>的约定向设计人结算并支付设计费。</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14.1.4 发包人擅自将设计人的设计文件用于本工程以外的工程或交第三方使用时，应承担相应法律责任，并应赔偿设计人因此遭受的损失。</w:t>
      </w:r>
    </w:p>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24" w:name="_Toc351203605"/>
      <w:bookmarkStart w:id="125" w:name="_Toc296503131"/>
      <w:bookmarkStart w:id="126" w:name="_Toc337558822"/>
      <w:bookmarkStart w:id="127" w:name="_Toc296346632"/>
      <w:r>
        <w:rPr>
          <w:rFonts w:hint="eastAsia" w:asciiTheme="minorEastAsia" w:hAnsiTheme="minorEastAsia" w:eastAsiaTheme="minorEastAsia"/>
          <w:b w:val="0"/>
          <w:color w:val="auto"/>
          <w:sz w:val="24"/>
          <w:szCs w:val="24"/>
          <w:highlight w:val="none"/>
        </w:rPr>
        <w:t>14.2 设计人违约</w:t>
      </w:r>
      <w:bookmarkEnd w:id="124"/>
      <w:r>
        <w:rPr>
          <w:rFonts w:hint="eastAsia" w:asciiTheme="minorEastAsia" w:hAnsiTheme="minorEastAsia" w:eastAsiaTheme="minorEastAsia"/>
          <w:b w:val="0"/>
          <w:color w:val="auto"/>
          <w:sz w:val="24"/>
          <w:szCs w:val="24"/>
          <w:highlight w:val="none"/>
        </w:rPr>
        <w:t>责任</w:t>
      </w:r>
    </w:p>
    <w:bookmarkEnd w:id="125"/>
    <w:bookmarkEnd w:id="126"/>
    <w:bookmarkEnd w:id="127"/>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14.2.1 合同生效后，设计人因自身原因要求终止或解除合同，设计人应按发包人已支付的定金金额双倍返还给发包人或设计人按照专用合同条款约定向发包人支付违约金。</w:t>
      </w:r>
    </w:p>
    <w:p>
      <w:pPr>
        <w:spacing w:line="360" w:lineRule="auto"/>
        <w:ind w:firstLine="480" w:firstLineChars="200"/>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14.2.2 由于设计人原因，未按专用合同条款附件3约定的时间交付工程设计文件的，应按专用合同条款的约定向发包人支付违约金，前述违约金经双方确认后可在发包人应付设计费中扣减。</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14.2.3 设计人对工程设计文件出现的遗漏或错误负责修改或补充。由于设计人原因产生的设计问题造成工程质量事故或其他事故时，设计人除负责采取补救措施外，应当通过所投建设工程设计责任保险向发包人承担赔偿责任或者根据直接经济损失程度按专用合同条款约定向发包人支付赔偿金。</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14.2.4 由于设计人原因，工程设计文件超出发包人与设计人书面约定的主要技术指标控制值比例的，设计人应当按照专用合同条款的约定承担违约责任。</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14.2.5 设计人未经发包人同意擅自对工程设计进行分包的，发包人有权要求设计人解除未经发包人同意的设计分包合同，设计人应当按照专用合同条款的约定承担违约责任。</w:t>
      </w:r>
    </w:p>
    <w:p>
      <w:pPr>
        <w:pStyle w:val="5"/>
        <w:keepNext w:val="0"/>
        <w:keepLines w:val="0"/>
        <w:spacing w:before="120" w:after="120" w:line="360" w:lineRule="auto"/>
        <w:rPr>
          <w:rFonts w:asciiTheme="minorEastAsia" w:hAnsiTheme="minorEastAsia" w:eastAsiaTheme="minorEastAsia"/>
          <w:b w:val="0"/>
          <w:color w:val="auto"/>
          <w:sz w:val="24"/>
          <w:szCs w:val="24"/>
          <w:highlight w:val="none"/>
        </w:rPr>
      </w:pPr>
      <w:bookmarkStart w:id="128" w:name="_Toc296346617"/>
      <w:bookmarkStart w:id="129" w:name="_Toc296503116"/>
      <w:bookmarkStart w:id="130" w:name="_Toc337558823"/>
      <w:bookmarkStart w:id="131" w:name="_Toc351203607"/>
      <w:r>
        <w:rPr>
          <w:rFonts w:hint="eastAsia" w:asciiTheme="minorEastAsia" w:hAnsiTheme="minorEastAsia" w:eastAsiaTheme="minorEastAsia"/>
          <w:b w:val="0"/>
          <w:color w:val="auto"/>
          <w:sz w:val="24"/>
          <w:szCs w:val="24"/>
          <w:highlight w:val="none"/>
        </w:rPr>
        <w:t>15. 不可抗力</w:t>
      </w:r>
      <w:bookmarkEnd w:id="128"/>
      <w:bookmarkEnd w:id="129"/>
      <w:bookmarkEnd w:id="130"/>
      <w:bookmarkEnd w:id="131"/>
    </w:p>
    <w:p>
      <w:pPr>
        <w:pStyle w:val="6"/>
        <w:keepNext w:val="0"/>
        <w:keepLines w:val="0"/>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bookmarkStart w:id="132" w:name="_Toc351203608"/>
      <w:bookmarkStart w:id="133" w:name="_Toc337558824"/>
      <w:bookmarkStart w:id="134" w:name="_Toc296503117"/>
      <w:bookmarkStart w:id="135" w:name="_Toc296346618"/>
      <w:r>
        <w:rPr>
          <w:rFonts w:hint="eastAsia" w:asciiTheme="minorEastAsia" w:hAnsiTheme="minorEastAsia" w:eastAsiaTheme="minorEastAsia"/>
          <w:b w:val="0"/>
          <w:color w:val="auto"/>
          <w:sz w:val="24"/>
          <w:szCs w:val="24"/>
          <w:highlight w:val="none"/>
        </w:rPr>
        <w:t>15.1 不可抗力的确认</w:t>
      </w:r>
      <w:bookmarkEnd w:id="132"/>
    </w:p>
    <w:bookmarkEnd w:id="133"/>
    <w:bookmarkEnd w:id="134"/>
    <w:bookmarkEnd w:id="135"/>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不可抗力发生后，发包人和设计人应收集证明不可抗力发生及不可抗力造成损失的证据，并及时认真统计所造成的损失。合同当事人对是否属于不可抗力或其损失发生争议时，按第17条〔争议解决〕的约定处理。</w:t>
      </w:r>
    </w:p>
    <w:p>
      <w:pPr>
        <w:pStyle w:val="6"/>
        <w:spacing w:before="120" w:after="120" w:line="360" w:lineRule="auto"/>
        <w:ind w:firstLine="480" w:firstLineChars="200"/>
        <w:rPr>
          <w:rFonts w:asciiTheme="minorEastAsia" w:hAnsiTheme="minorEastAsia" w:eastAsiaTheme="minorEastAsia"/>
          <w:b w:val="0"/>
          <w:bCs w:val="0"/>
          <w:color w:val="auto"/>
          <w:kern w:val="0"/>
          <w:sz w:val="24"/>
          <w:szCs w:val="24"/>
          <w:highlight w:val="none"/>
        </w:rPr>
      </w:pPr>
      <w:bookmarkStart w:id="136" w:name="_Toc351203609"/>
      <w:bookmarkStart w:id="137" w:name="_Toc296346619"/>
      <w:bookmarkStart w:id="138" w:name="_Toc296503118"/>
      <w:bookmarkStart w:id="139" w:name="_Toc337558825"/>
      <w:r>
        <w:rPr>
          <w:rFonts w:hint="eastAsia" w:asciiTheme="minorEastAsia" w:hAnsiTheme="minorEastAsia" w:eastAsiaTheme="minorEastAsia"/>
          <w:b w:val="0"/>
          <w:color w:val="auto"/>
          <w:sz w:val="24"/>
          <w:szCs w:val="24"/>
          <w:highlight w:val="none"/>
        </w:rPr>
        <w:t>15.2 不可抗力的通知</w:t>
      </w:r>
      <w:bookmarkEnd w:id="136"/>
    </w:p>
    <w:bookmarkEnd w:id="137"/>
    <w:bookmarkEnd w:id="138"/>
    <w:bookmarkEnd w:id="139"/>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合同一方当事人遇到不可抗力事件，使其履行合同义务受到阻碍时，应立即通知合同另一方当事人，书面说明不可抗力和受阻碍的详细情况，并在合理期限内提供必要的证明。</w:t>
      </w:r>
    </w:p>
    <w:p>
      <w:pPr>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不可抗力持续发生的，合同一方当事人应及时向合同另一方当事人提交中间报告，说明不可抗力和履行合同受阻的情况，并于不可抗力事件结束后28天内提交最终报告及有关资料。</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40" w:name="_Toc351203610"/>
      <w:bookmarkStart w:id="141" w:name="_Toc296346620"/>
      <w:bookmarkStart w:id="142" w:name="_Toc296503119"/>
      <w:bookmarkStart w:id="143" w:name="_Toc337558826"/>
      <w:r>
        <w:rPr>
          <w:rFonts w:hint="eastAsia" w:asciiTheme="minorEastAsia" w:hAnsiTheme="minorEastAsia" w:eastAsiaTheme="minorEastAsia"/>
          <w:b w:val="0"/>
          <w:color w:val="auto"/>
          <w:sz w:val="24"/>
          <w:szCs w:val="24"/>
          <w:highlight w:val="none"/>
        </w:rPr>
        <w:t>15.3 不可抗力后果的承担</w:t>
      </w:r>
      <w:bookmarkEnd w:id="140"/>
    </w:p>
    <w:bookmarkEnd w:id="141"/>
    <w:bookmarkEnd w:id="142"/>
    <w:bookmarkEnd w:id="143"/>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不可抗力引起的后果及造成的损失由合同当事人按照法律规定及合同约定各自承担。不可抗力发生前已完成的工程设计应当按照合同约定进行支付。</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因合同一方迟延履行合同义务，在迟延履行期间遭遇不可抗力的，不免除其违约责任。</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16. 合同解除</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16.1 发包人与设计人协商一致，可以解除合同。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16.2 有下列情形之一的，合同当事人一方或双方可以解除合同：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（1）设计人工程设计文件存在重大质量问题，经发包人催告后,在合理期限内修改后仍不能满足国家现行深度要求或不能达到合同约定的设计质量要求的，发包人可以解除合同；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（2）发包人未按合同约定支付设计费用，经设计人催告后，在30天内仍未支付的，设计人可以解除合同；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（3）暂停设计期限已连续超过180天，专用合同条款另有约定的除外；</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（4）因不可抗力致使合同无法履行；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（5）因一方违约致使合同无法实际履行或实际履行已无必要；</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（6）因本工程项目条件发生重大变化，使合同无法继续履行。</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16.3 任何一方因故需解除合同时，应提前30天书面通知对方，对合同中的遗留问题应取得一致意见并形成书面协议。</w:t>
      </w:r>
    </w:p>
    <w:p>
      <w:pPr>
        <w:spacing w:line="360" w:lineRule="auto"/>
        <w:ind w:firstLine="480" w:firstLineChars="200"/>
        <w:rPr>
          <w:rFonts w:cs="Courier New" w:asciiTheme="minorEastAsia" w:hAnsiTheme="minorEastAsia" w:eastAsiaTheme="minorEastAsia"/>
          <w:color w:val="auto"/>
          <w:sz w:val="24"/>
          <w:szCs w:val="24"/>
          <w:highlight w:val="none"/>
        </w:rPr>
      </w:pPr>
      <w:r>
        <w:rPr>
          <w:rFonts w:hint="eastAsia" w:cs="Courier New" w:asciiTheme="minorEastAsia" w:hAnsiTheme="minorEastAsia" w:eastAsiaTheme="minorEastAsia"/>
          <w:color w:val="auto"/>
          <w:sz w:val="24"/>
          <w:szCs w:val="24"/>
          <w:highlight w:val="none"/>
        </w:rPr>
        <w:t>16.4 合同解除后，发包人除应按第14.1.1项的约定及专用合同条款约定期限内向设计人支付已完工作的设计费外，应当向设计人支付由于非设计人原因合同解除导致设计人增加的设计费用，违约一方应当承担相应的违约责任。</w:t>
      </w:r>
    </w:p>
    <w:p>
      <w:pPr>
        <w:pStyle w:val="5"/>
        <w:keepNext w:val="0"/>
        <w:keepLines w:val="0"/>
        <w:spacing w:before="120" w:after="120" w:line="360" w:lineRule="auto"/>
        <w:rPr>
          <w:rFonts w:asciiTheme="minorEastAsia" w:hAnsiTheme="minorEastAsia" w:eastAsiaTheme="minorEastAsia"/>
          <w:b w:val="0"/>
          <w:color w:val="auto"/>
          <w:sz w:val="24"/>
          <w:szCs w:val="24"/>
          <w:highlight w:val="none"/>
        </w:rPr>
      </w:pPr>
      <w:bookmarkStart w:id="144" w:name="_Toc351203626"/>
      <w:bookmarkStart w:id="145" w:name="_Toc337558840"/>
      <w:bookmarkStart w:id="146" w:name="_Toc296503146"/>
      <w:bookmarkStart w:id="147" w:name="_Toc296346647"/>
      <w:r>
        <w:rPr>
          <w:rFonts w:hint="eastAsia" w:asciiTheme="minorEastAsia" w:hAnsiTheme="minorEastAsia" w:eastAsiaTheme="minorEastAsia"/>
          <w:b w:val="0"/>
          <w:color w:val="auto"/>
          <w:sz w:val="24"/>
          <w:szCs w:val="24"/>
          <w:highlight w:val="none"/>
        </w:rPr>
        <w:t>17. 争议解决</w:t>
      </w:r>
      <w:bookmarkEnd w:id="144"/>
    </w:p>
    <w:bookmarkEnd w:id="145"/>
    <w:bookmarkEnd w:id="146"/>
    <w:bookmarkEnd w:id="147"/>
    <w:p>
      <w:pPr>
        <w:pStyle w:val="6"/>
        <w:keepNext w:val="0"/>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48" w:name="_Toc351203627"/>
      <w:bookmarkStart w:id="149" w:name="_Toc296346648"/>
      <w:bookmarkStart w:id="150" w:name="_Toc337558841"/>
      <w:bookmarkStart w:id="151" w:name="_Toc296503147"/>
      <w:r>
        <w:rPr>
          <w:rFonts w:hint="eastAsia" w:asciiTheme="minorEastAsia" w:hAnsiTheme="minorEastAsia" w:eastAsiaTheme="minorEastAsia"/>
          <w:b w:val="0"/>
          <w:color w:val="auto"/>
          <w:sz w:val="24"/>
          <w:szCs w:val="24"/>
          <w:highlight w:val="none"/>
        </w:rPr>
        <w:t>17.1 和解</w:t>
      </w:r>
      <w:bookmarkEnd w:id="148"/>
    </w:p>
    <w:bookmarkEnd w:id="149"/>
    <w:bookmarkEnd w:id="150"/>
    <w:bookmarkEnd w:id="151"/>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合同当事人可以就争议自行和解，自行和解达成协议的经双方签字并盖章后作为合同补充文件，双方均应遵照执行。</w:t>
      </w:r>
    </w:p>
    <w:p>
      <w:pPr>
        <w:spacing w:line="360" w:lineRule="auto"/>
        <w:ind w:firstLine="480" w:firstLineChars="200"/>
        <w:rPr>
          <w:rFonts w:asciiTheme="minorEastAsia" w:hAnsiTheme="minorEastAsia" w:eastAsiaTheme="minorEastAsia"/>
          <w:color w:val="auto"/>
          <w:kern w:val="0"/>
          <w:sz w:val="24"/>
          <w:szCs w:val="24"/>
          <w:highlight w:val="none"/>
        </w:rPr>
      </w:pPr>
      <w:bookmarkStart w:id="152" w:name="_Toc351203628"/>
      <w:bookmarkStart w:id="153" w:name="_Toc296503148"/>
      <w:bookmarkStart w:id="154" w:name="_Toc337558842"/>
      <w:bookmarkStart w:id="155" w:name="_Toc296346649"/>
      <w:r>
        <w:rPr>
          <w:rFonts w:hint="eastAsia" w:asciiTheme="minorEastAsia" w:hAnsiTheme="minorEastAsia" w:eastAsiaTheme="minorEastAsia"/>
          <w:bCs/>
          <w:color w:val="auto"/>
          <w:sz w:val="24"/>
          <w:szCs w:val="24"/>
          <w:highlight w:val="none"/>
        </w:rPr>
        <w:t>17.2 调解</w:t>
      </w:r>
      <w:bookmarkEnd w:id="152"/>
    </w:p>
    <w:bookmarkEnd w:id="153"/>
    <w:bookmarkEnd w:id="154"/>
    <w:bookmarkEnd w:id="155"/>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合同当事人可以就争议请求相关行政主管部门、行业协会或其他第三方进行调解，调解达成协议的，经双方签字并盖章后作为合同补充文件，双方均应遵照执行。</w:t>
      </w:r>
    </w:p>
    <w:p>
      <w:pPr>
        <w:spacing w:line="360" w:lineRule="auto"/>
        <w:ind w:firstLine="480" w:firstLineChars="200"/>
        <w:rPr>
          <w:rFonts w:asciiTheme="minorEastAsia" w:hAnsiTheme="minorEastAsia" w:eastAsiaTheme="minorEastAsia"/>
          <w:color w:val="auto"/>
          <w:kern w:val="0"/>
          <w:sz w:val="24"/>
          <w:szCs w:val="24"/>
          <w:highlight w:val="none"/>
        </w:rPr>
      </w:pPr>
      <w:bookmarkStart w:id="156" w:name="_Toc351203629"/>
      <w:bookmarkStart w:id="157" w:name="_Toc296503149"/>
      <w:bookmarkStart w:id="158" w:name="_Toc337558843"/>
      <w:bookmarkStart w:id="159" w:name="_Toc296346650"/>
      <w:r>
        <w:rPr>
          <w:rFonts w:hint="eastAsia" w:asciiTheme="minorEastAsia" w:hAnsiTheme="minorEastAsia" w:eastAsiaTheme="minorEastAsia"/>
          <w:bCs/>
          <w:color w:val="auto"/>
          <w:sz w:val="24"/>
          <w:szCs w:val="24"/>
          <w:highlight w:val="none"/>
        </w:rPr>
        <w:t>17.3 争议评审</w:t>
      </w:r>
      <w:bookmarkEnd w:id="156"/>
    </w:p>
    <w:bookmarkEnd w:id="157"/>
    <w:bookmarkEnd w:id="158"/>
    <w:bookmarkEnd w:id="159"/>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合同当事人在专用合同条款中约定采取争议评审方式解决争议以及评审规则，并按下列约定执行： </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17.3.1 争议评审小组的确定</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除专用合同条款另有约定外，评审所发生的费用由发包人和设计人各承担一半。</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17.3.2 争议评审小组的决定</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合同当事人可在任何时间将与合同有关的任何争议共同提请争议评审小组进行评审。争议评审小组应秉持客观、公正原则，充分听取合同当事人的意见，依据相关法律、技术标准及行业惯例等，自收到争议评审申请报告后14天内作出书面决定，并说明理由。合同当事人可以在专用合同条款中对本事项另行约定。</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17.3.3 争议评审小组决定的效力</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争议评审小组作出的书面决定经合同当事人签字确认后，对双方具有约束力，双方应遵照执行。</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任何一方当事人不接受争议评审小组决定或不履行争议评审小组决定的，双方可选择采用其他争议解决方式。</w:t>
      </w:r>
    </w:p>
    <w:p>
      <w:pPr>
        <w:spacing w:line="360" w:lineRule="auto"/>
        <w:ind w:firstLine="480" w:firstLineChars="200"/>
        <w:rPr>
          <w:rFonts w:asciiTheme="minorEastAsia" w:hAnsiTheme="minorEastAsia" w:eastAsiaTheme="minorEastAsia"/>
          <w:color w:val="auto"/>
          <w:kern w:val="0"/>
          <w:sz w:val="24"/>
          <w:szCs w:val="24"/>
          <w:highlight w:val="none"/>
        </w:rPr>
      </w:pPr>
      <w:bookmarkStart w:id="160" w:name="_Toc351203630"/>
      <w:bookmarkStart w:id="161" w:name="_Toc296503150"/>
      <w:bookmarkStart w:id="162" w:name="_Toc337558844"/>
      <w:bookmarkStart w:id="163" w:name="_Toc296346651"/>
      <w:r>
        <w:rPr>
          <w:rFonts w:hint="eastAsia" w:asciiTheme="minorEastAsia" w:hAnsiTheme="minorEastAsia" w:eastAsiaTheme="minorEastAsia"/>
          <w:bCs/>
          <w:color w:val="auto"/>
          <w:sz w:val="24"/>
          <w:szCs w:val="24"/>
          <w:highlight w:val="none"/>
        </w:rPr>
        <w:t>17.4 仲裁或诉讼</w:t>
      </w:r>
      <w:bookmarkEnd w:id="160"/>
    </w:p>
    <w:bookmarkEnd w:id="161"/>
    <w:bookmarkEnd w:id="162"/>
    <w:bookmarkEnd w:id="163"/>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因合同及合同有关事项产生的争议，合同当事人可以在专用合同条款中约定以下一种方式解决争议：</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（1）向约定的仲裁委员会申请仲裁；</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（2）向有管辖权的人民法院起诉。</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bookmarkStart w:id="164" w:name="_Toc351203631"/>
      <w:bookmarkStart w:id="165" w:name="_Toc296346653"/>
      <w:bookmarkStart w:id="166" w:name="_Toc337558845"/>
      <w:bookmarkStart w:id="167" w:name="_Toc296503152"/>
      <w:r>
        <w:rPr>
          <w:rFonts w:hint="eastAsia" w:asciiTheme="minorEastAsia" w:hAnsiTheme="minorEastAsia" w:eastAsiaTheme="minorEastAsia"/>
          <w:b w:val="0"/>
          <w:color w:val="auto"/>
          <w:sz w:val="24"/>
          <w:szCs w:val="24"/>
          <w:highlight w:val="none"/>
        </w:rPr>
        <w:t>17.5争议解决条款效力</w:t>
      </w:r>
      <w:bookmarkEnd w:id="164"/>
    </w:p>
    <w:bookmarkEnd w:id="165"/>
    <w:bookmarkEnd w:id="166"/>
    <w:bookmarkEnd w:id="167"/>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合同有关争议解决的条款独立存在，合同的变更、解除、终止、无效或者被撤销均不影响其效力。 </w:t>
      </w:r>
    </w:p>
    <w:p>
      <w:pPr>
        <w:pStyle w:val="4"/>
        <w:spacing w:line="360" w:lineRule="auto"/>
        <w:jc w:val="center"/>
        <w:rPr>
          <w:rFonts w:asciiTheme="minorEastAsia" w:hAnsiTheme="minorEastAsia" w:eastAsiaTheme="minorEastAsia"/>
          <w:color w:val="auto"/>
          <w:sz w:val="44"/>
          <w:szCs w:val="44"/>
          <w:highlight w:val="none"/>
        </w:rPr>
      </w:pPr>
      <w:bookmarkStart w:id="168" w:name="_Toc351203632"/>
      <w:r>
        <w:rPr>
          <w:rFonts w:hint="eastAsia" w:asciiTheme="minorEastAsia" w:hAnsiTheme="minorEastAsia" w:eastAsiaTheme="minorEastAsia"/>
          <w:color w:val="auto"/>
          <w:sz w:val="44"/>
          <w:szCs w:val="44"/>
          <w:highlight w:val="none"/>
        </w:rPr>
        <w:br w:type="page"/>
      </w:r>
      <w:r>
        <w:rPr>
          <w:rFonts w:hint="eastAsia" w:asciiTheme="minorEastAsia" w:hAnsiTheme="minorEastAsia" w:eastAsiaTheme="minorEastAsia"/>
          <w:color w:val="auto"/>
          <w:sz w:val="44"/>
          <w:szCs w:val="44"/>
          <w:highlight w:val="none"/>
        </w:rPr>
        <w:t>第三部分 专用合同条款</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 一般约定</w:t>
      </w:r>
    </w:p>
    <w:p>
      <w:pPr>
        <w:tabs>
          <w:tab w:val="center" w:pos="4710"/>
        </w:tabs>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 词语定义与解释</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1.1.1 合同</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kern w:val="0"/>
          <w:sz w:val="24"/>
          <w:szCs w:val="24"/>
          <w:highlight w:val="none"/>
        </w:rPr>
        <w:t>1.1.1.8 其他合同文件包括：</w:t>
      </w:r>
      <w:r>
        <w:rPr>
          <w:rFonts w:hint="eastAsia" w:asciiTheme="minorEastAsia" w:hAnsiTheme="minorEastAsia" w:eastAsiaTheme="minorEastAsia"/>
          <w:color w:val="auto"/>
          <w:sz w:val="24"/>
          <w:szCs w:val="24"/>
          <w:highlight w:val="none"/>
          <w:u w:val="single"/>
        </w:rPr>
        <w:t xml:space="preserve">  发包人提供的该项目设计任务书、□规划部门出具有规划审批意见及修建性详规   </w:t>
      </w:r>
      <w:r>
        <w:rPr>
          <w:rFonts w:hint="eastAsia" w:asciiTheme="minorEastAsia" w:hAnsiTheme="minorEastAsia" w:eastAsiaTheme="minorEastAsia"/>
          <w:color w:val="auto"/>
          <w:sz w:val="24"/>
          <w:szCs w:val="24"/>
          <w:highlight w:val="none"/>
        </w:rPr>
        <w:t>。</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1.3 法律 </w:t>
      </w:r>
    </w:p>
    <w:p>
      <w:pPr>
        <w:autoSpaceDE w:val="0"/>
        <w:autoSpaceDN w:val="0"/>
        <w:adjustRightInd w:val="0"/>
        <w:spacing w:line="360" w:lineRule="auto"/>
        <w:ind w:firstLine="595" w:firstLineChars="248"/>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适用于合同的其他规范性文件：</w:t>
      </w:r>
      <w:r>
        <w:rPr>
          <w:rFonts w:hint="eastAsia" w:asciiTheme="minorEastAsia" w:hAnsiTheme="minorEastAsia" w:eastAsiaTheme="minorEastAsia"/>
          <w:color w:val="auto"/>
          <w:sz w:val="24"/>
          <w:szCs w:val="24"/>
          <w:highlight w:val="none"/>
          <w:u w:val="single"/>
        </w:rPr>
        <w:t>《中华人民共和国招标投标法》、《中华人民共和国</w:t>
      </w:r>
      <w:r>
        <w:rPr>
          <w:rFonts w:hint="eastAsia" w:asciiTheme="minorEastAsia" w:hAnsiTheme="minorEastAsia" w:eastAsiaTheme="minorEastAsia"/>
          <w:color w:val="auto"/>
          <w:sz w:val="24"/>
          <w:szCs w:val="24"/>
          <w:highlight w:val="none"/>
          <w:u w:val="single"/>
        </w:rPr>
        <w:t>民法典</w:t>
      </w:r>
      <w:r>
        <w:rPr>
          <w:rFonts w:hint="eastAsia" w:asciiTheme="minorEastAsia" w:hAnsiTheme="minorEastAsia" w:eastAsiaTheme="minorEastAsia"/>
          <w:color w:val="auto"/>
          <w:sz w:val="24"/>
          <w:szCs w:val="24"/>
          <w:highlight w:val="none"/>
          <w:u w:val="single"/>
        </w:rPr>
        <w:t>》、《中华人民共和国建筑法》。国家、广东省及</w:t>
      </w:r>
      <w:r>
        <w:rPr>
          <w:rFonts w:hint="eastAsia" w:asciiTheme="minorEastAsia" w:hAnsiTheme="minorEastAsia" w:eastAsiaTheme="minorEastAsia"/>
          <w:color w:val="auto"/>
          <w:sz w:val="24"/>
          <w:szCs w:val="24"/>
          <w:highlight w:val="none"/>
          <w:u w:val="single"/>
        </w:rPr>
        <w:t>广州</w:t>
      </w:r>
      <w:r>
        <w:rPr>
          <w:rFonts w:hint="eastAsia" w:asciiTheme="minorEastAsia" w:hAnsiTheme="minorEastAsia" w:eastAsiaTheme="minorEastAsia"/>
          <w:color w:val="auto"/>
          <w:sz w:val="24"/>
          <w:szCs w:val="24"/>
          <w:highlight w:val="none"/>
          <w:u w:val="single"/>
        </w:rPr>
        <w:t xml:space="preserve">市有关建设工程勘察设计管理法规和规章，包括但不限于《建设工程勘察设计管理条例》、《建设工程质量管理条例》、《建设工程设计文件编制深度的规定(2016年版)》等  </w:t>
      </w:r>
      <w:r>
        <w:rPr>
          <w:rFonts w:hint="eastAsia" w:asciiTheme="minorEastAsia" w:hAnsiTheme="minorEastAsia" w:eastAsiaTheme="minorEastAsia"/>
          <w:color w:val="auto"/>
          <w:sz w:val="24"/>
          <w:szCs w:val="24"/>
          <w:highlight w:val="none"/>
        </w:rPr>
        <w:t>。</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 技术标准</w:t>
      </w:r>
    </w:p>
    <w:p>
      <w:pPr>
        <w:spacing w:line="360" w:lineRule="auto"/>
        <w:ind w:firstLine="595" w:firstLineChars="248"/>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1.4.1 适用于工程的技术标准包括：</w:t>
      </w:r>
    </w:p>
    <w:p>
      <w:pPr>
        <w:spacing w:line="360" w:lineRule="auto"/>
        <w:ind w:firstLine="595" w:firstLineChars="248"/>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工程设计标准：需满足</w:t>
      </w:r>
      <w:r>
        <w:rPr>
          <w:rFonts w:hint="eastAsia" w:asciiTheme="minorEastAsia" w:hAnsiTheme="minorEastAsia" w:eastAsiaTheme="minorEastAsia"/>
          <w:color w:val="auto"/>
          <w:sz w:val="24"/>
          <w:szCs w:val="24"/>
          <w:highlight w:val="none"/>
          <w:u w:val="single"/>
        </w:rPr>
        <w:t xml:space="preserve">《建设工程设计文件编制深度的规定(2016年版)》、《市政公用工程设计文件编制深度的规定(2013年版)》和相应设计阶段及其它国家现行规范要求  </w:t>
      </w:r>
      <w:r>
        <w:rPr>
          <w:rFonts w:hint="eastAsia" w:asciiTheme="minorEastAsia" w:hAnsiTheme="minorEastAsia" w:eastAsiaTheme="minorEastAsia"/>
          <w:color w:val="auto"/>
          <w:sz w:val="24"/>
          <w:szCs w:val="24"/>
          <w:highlight w:val="none"/>
        </w:rPr>
        <w:t>。</w:t>
      </w:r>
    </w:p>
    <w:p>
      <w:pPr>
        <w:spacing w:line="360" w:lineRule="auto"/>
        <w:ind w:left="596" w:leftChars="284"/>
        <w:rPr>
          <w:rFonts w:asciiTheme="minorEastAsia" w:hAnsiTheme="minorEastAsia" w:eastAsiaTheme="minorEastAsia"/>
          <w:color w:val="auto"/>
          <w:sz w:val="24"/>
          <w:szCs w:val="24"/>
          <w:highlight w:val="none"/>
        </w:rPr>
      </w:pPr>
    </w:p>
    <w:p>
      <w:pPr>
        <w:spacing w:line="360" w:lineRule="auto"/>
        <w:ind w:firstLine="566" w:firstLineChars="236"/>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1.4.2 国外技术标准原文版本和中文译本的提供方：</w:t>
      </w:r>
      <w:r>
        <w:rPr>
          <w:rFonts w:hint="eastAsia" w:asciiTheme="minorEastAsia" w:hAnsiTheme="minorEastAsia" w:eastAsiaTheme="minorEastAsia"/>
          <w:color w:val="auto"/>
          <w:kern w:val="0"/>
          <w:sz w:val="24"/>
          <w:szCs w:val="24"/>
          <w:highlight w:val="none"/>
          <w:u w:val="single"/>
        </w:rPr>
        <w:t xml:space="preserve">  由</w:t>
      </w:r>
      <w:r>
        <w:rPr>
          <w:rFonts w:hint="eastAsia" w:asciiTheme="minorEastAsia" w:hAnsiTheme="minorEastAsia" w:eastAsiaTheme="minorEastAsia"/>
          <w:color w:val="auto"/>
          <w:sz w:val="24"/>
          <w:szCs w:val="24"/>
          <w:highlight w:val="none"/>
          <w:u w:val="single"/>
        </w:rPr>
        <w:t xml:space="preserve">设计人提供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kern w:val="0"/>
          <w:sz w:val="24"/>
          <w:szCs w:val="24"/>
          <w:highlight w:val="none"/>
          <w:u w:val="single"/>
        </w:rPr>
      </w:pPr>
      <w:r>
        <w:rPr>
          <w:rFonts w:hint="eastAsia" w:asciiTheme="minorEastAsia" w:hAnsiTheme="minorEastAsia" w:eastAsiaTheme="minorEastAsia"/>
          <w:color w:val="auto"/>
          <w:kern w:val="0"/>
          <w:sz w:val="24"/>
          <w:szCs w:val="24"/>
          <w:highlight w:val="none"/>
        </w:rPr>
        <w:t>提供国外技术标准的名称：;</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提供国外技术标准的份数：；</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提供国外技术标准的时间：；</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提供国外技术标准的费用承担：</w:t>
      </w:r>
      <w:r>
        <w:rPr>
          <w:rFonts w:hint="eastAsia" w:asciiTheme="minorEastAsia" w:hAnsiTheme="minorEastAsia" w:eastAsiaTheme="minorEastAsia"/>
          <w:color w:val="auto"/>
          <w:kern w:val="0"/>
          <w:sz w:val="24"/>
          <w:szCs w:val="24"/>
          <w:highlight w:val="none"/>
          <w:u w:val="single"/>
        </w:rPr>
        <w:t xml:space="preserve">  由</w:t>
      </w:r>
      <w:r>
        <w:rPr>
          <w:rFonts w:hint="eastAsia" w:asciiTheme="minorEastAsia" w:hAnsiTheme="minorEastAsia" w:eastAsiaTheme="minorEastAsia"/>
          <w:color w:val="auto"/>
          <w:sz w:val="24"/>
          <w:szCs w:val="24"/>
          <w:highlight w:val="none"/>
          <w:u w:val="single"/>
        </w:rPr>
        <w:t xml:space="preserve">设计人承担  </w:t>
      </w:r>
      <w:r>
        <w:rPr>
          <w:rFonts w:hint="eastAsia" w:asciiTheme="minorEastAsia" w:hAnsiTheme="minorEastAsia" w:eastAsiaTheme="minorEastAsia"/>
          <w:color w:val="auto"/>
          <w:kern w:val="0"/>
          <w:sz w:val="24"/>
          <w:szCs w:val="24"/>
          <w:highlight w:val="none"/>
        </w:rPr>
        <w:t>。</w:t>
      </w:r>
    </w:p>
    <w:p>
      <w:pPr>
        <w:spacing w:line="360" w:lineRule="auto"/>
        <w:ind w:firstLine="566" w:firstLineChars="236"/>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1.4.3 发包人对工程的技术标准和功能要求的特殊要求：</w:t>
      </w:r>
      <w:r>
        <w:rPr>
          <w:rFonts w:hint="eastAsia" w:ascii="宋体" w:hAnsi="宋体"/>
          <w:color w:val="auto"/>
          <w:sz w:val="24"/>
          <w:szCs w:val="24"/>
          <w:highlight w:val="none"/>
          <w:u w:val="single"/>
        </w:rPr>
        <w:t>本项目</w:t>
      </w:r>
      <w:r>
        <w:rPr>
          <w:rFonts w:hint="eastAsia" w:ascii="宋体" w:hAnsi="宋体" w:cs="宋体"/>
          <w:color w:val="auto"/>
          <w:sz w:val="24"/>
          <w:highlight w:val="none"/>
          <w:u w:val="single"/>
        </w:rPr>
        <w:t>要求一次验收合格，</w:t>
      </w:r>
      <w:r>
        <w:rPr>
          <w:rFonts w:hint="eastAsia" w:asciiTheme="minorEastAsia" w:hAnsiTheme="minorEastAsia" w:eastAsiaTheme="minorEastAsia"/>
          <w:color w:val="auto"/>
          <w:sz w:val="24"/>
          <w:szCs w:val="24"/>
          <w:highlight w:val="none"/>
          <w:u w:val="single"/>
        </w:rPr>
        <w:t>绿色建筑设计（二星），需满足工程报建及海绵城市的相关要求</w:t>
      </w:r>
      <w:r>
        <w:rPr>
          <w:rFonts w:hint="eastAsia" w:asciiTheme="minorEastAsia" w:hAnsiTheme="minorEastAsia" w:eastAsiaTheme="minorEastAsia"/>
          <w:color w:val="auto"/>
          <w:sz w:val="24"/>
          <w:szCs w:val="24"/>
          <w:highlight w:val="none"/>
        </w:rPr>
        <w:t>。</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1.5 合同文件的优先顺序</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合同文件组成及优先顺序为：</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1、广东省、项目所在地政府及有关主管部门关于广东省计量科学研究院知识城检测基地项目的有关文件；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2、合同实施期间双方签订的合同补充协议或修正文件；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3、合同实施期间，发包人组织的专家研讨论证会的会议纪要或相关汇总文件；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4、合同书（含附件）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5、设计方案中标通知书；</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6、设计招标文件及其附件；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7、设计方案投标文件及其附件；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8、发包人针对本项目工程建设而制订的各项管理制度；</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9、组成合同的其他文件</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在合同履行过程中形成的与合同有关的文件均构成合同文件组成部份。</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上述各项合同文件包括合同当事人就该项合同文件所作出的补充和修改，属于同一类内容的文件，应以最新签署的为准。</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1.6 联络</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1.6.1 发包人和设计人应当在</w:t>
      </w:r>
      <w:r>
        <w:rPr>
          <w:rFonts w:hint="eastAsia" w:asciiTheme="minorEastAsia" w:hAnsiTheme="minorEastAsia" w:eastAsiaTheme="minorEastAsia"/>
          <w:color w:val="auto"/>
          <w:sz w:val="24"/>
          <w:szCs w:val="24"/>
          <w:highlight w:val="none"/>
          <w:u w:val="single"/>
        </w:rPr>
        <w:t> 5   个日历天</w:t>
      </w:r>
      <w:r>
        <w:rPr>
          <w:rFonts w:hint="eastAsia" w:asciiTheme="minorEastAsia" w:hAnsiTheme="minorEastAsia" w:eastAsiaTheme="minorEastAsia"/>
          <w:color w:val="auto"/>
          <w:kern w:val="0"/>
          <w:sz w:val="24"/>
          <w:szCs w:val="24"/>
          <w:highlight w:val="none"/>
        </w:rPr>
        <w:t>内将与合同有关的通知、批准、证明、证书、指示、指令、要求、请求、同意、确定和决定等书面函件送达对方当事人。</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1.6.2 发包人与设计人联系信息</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发包人接收文件的地点：</w:t>
      </w:r>
      <w:r>
        <w:rPr>
          <w:rFonts w:hint="eastAsia" w:asciiTheme="minorEastAsia" w:hAnsiTheme="minorEastAsia" w:eastAsiaTheme="minorEastAsia"/>
          <w:color w:val="auto"/>
          <w:sz w:val="24"/>
          <w:szCs w:val="24"/>
          <w:highlight w:val="none"/>
          <w:u w:val="single"/>
        </w:rPr>
        <w:t xml:space="preserve">              </w:t>
      </w:r>
      <w:r>
        <w:rPr>
          <w:rFonts w:hint="eastAsia" w:asciiTheme="minorEastAsia" w:hAnsiTheme="minorEastAsia" w:eastAsiaTheme="minorEastAsia"/>
          <w:color w:val="auto"/>
          <w:kern w:val="0"/>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kern w:val="0"/>
          <w:sz w:val="24"/>
          <w:szCs w:val="24"/>
          <w:highlight w:val="none"/>
        </w:rPr>
        <w:t>发包人指定的接收人为：</w:t>
      </w:r>
      <w:r>
        <w:rPr>
          <w:rFonts w:hint="eastAsia" w:asciiTheme="minorEastAsia" w:hAnsiTheme="minorEastAsia" w:eastAsiaTheme="minorEastAsia"/>
          <w:color w:val="auto"/>
          <w:sz w:val="24"/>
          <w:szCs w:val="24"/>
          <w:highlight w:val="none"/>
          <w:u w:val="single"/>
        </w:rPr>
        <w:t xml:space="preserve"> 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发包人指定的联系电话及传真号码：</w:t>
      </w:r>
      <w:r>
        <w:rPr>
          <w:rFonts w:hint="eastAsia" w:asciiTheme="minorEastAsia" w:hAnsiTheme="minorEastAsia" w:eastAsiaTheme="minorEastAsia"/>
          <w:color w:val="auto"/>
          <w:sz w:val="24"/>
          <w:szCs w:val="24"/>
          <w:highlight w:val="none"/>
          <w:u w:val="single"/>
        </w:rPr>
        <w:t xml:space="preserve">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发包人指定的电子邮箱：。</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设计人接收文件的地点：</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kern w:val="0"/>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kern w:val="0"/>
          <w:sz w:val="24"/>
          <w:szCs w:val="24"/>
          <w:highlight w:val="none"/>
        </w:rPr>
        <w:t>设计人指定的接收人为：</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设计人指定的联系电话及传真号码：</w:t>
      </w:r>
      <w:r>
        <w:rPr>
          <w:rFonts w:hint="eastAsia" w:asciiTheme="minorEastAsia" w:hAnsiTheme="minorEastAsia" w:eastAsiaTheme="minorEastAsia"/>
          <w:color w:val="auto"/>
          <w:sz w:val="24"/>
          <w:szCs w:val="24"/>
          <w:highlight w:val="none"/>
          <w:u w:val="single"/>
        </w:rPr>
        <w:t xml:space="preserve">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设计人</w:t>
      </w:r>
      <w:r>
        <w:rPr>
          <w:rFonts w:hint="eastAsia" w:asciiTheme="minorEastAsia" w:hAnsiTheme="minorEastAsia" w:eastAsiaTheme="minorEastAsia"/>
          <w:color w:val="auto"/>
          <w:kern w:val="0"/>
          <w:sz w:val="24"/>
          <w:szCs w:val="24"/>
          <w:highlight w:val="none"/>
        </w:rPr>
        <w:t>指定的电子邮箱：。</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1.7 严禁贿赂</w:t>
      </w:r>
    </w:p>
    <w:p>
      <w:pPr>
        <w:pStyle w:val="6"/>
        <w:spacing w:before="120" w:after="120" w:line="360" w:lineRule="auto"/>
        <w:ind w:firstLine="482"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详见件4：省代建工作人员十不准</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1.8 保密</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保密期限：</w:t>
      </w:r>
      <w:r>
        <w:rPr>
          <w:rFonts w:hint="eastAsia" w:asciiTheme="minorEastAsia" w:hAnsiTheme="minorEastAsia" w:eastAsiaTheme="minorEastAsia"/>
          <w:color w:val="auto"/>
          <w:kern w:val="0"/>
          <w:sz w:val="24"/>
          <w:szCs w:val="24"/>
          <w:highlight w:val="none"/>
          <w:u w:val="single"/>
        </w:rPr>
        <w:t xml:space="preserve">长期，设计人的保密义务在本协议期满、解除或终止后仍然有效。   </w:t>
      </w:r>
      <w:r>
        <w:rPr>
          <w:rFonts w:hint="eastAsia" w:asciiTheme="minorEastAsia" w:hAnsiTheme="minorEastAsia" w:eastAsiaTheme="minorEastAsia"/>
          <w:color w:val="auto"/>
          <w:kern w:val="0"/>
          <w:sz w:val="24"/>
          <w:szCs w:val="24"/>
          <w:highlight w:val="none"/>
        </w:rPr>
        <w:t>。</w:t>
      </w:r>
    </w:p>
    <w:p>
      <w:pPr>
        <w:pStyle w:val="5"/>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2. 发包人</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2.1 发包人一般义务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2.1.3 发包人其他义务：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1）发包人按本合同规定的内容，在规定的时间内向设计人提交资料及文件，并对其完整性、正确性及时限负责，发包人不得要求设计人违反国家有关标准进行设计。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2）发包人对设计人提出的付款申请复核无误后进行支付，并按合同指定银行将合同价款分别汇至设计人的账户。</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3）发包人负责组织按基本建设程序规定的外部评审及确认活动，并根据时间表的规定将必要的审批件交付设计人。</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发包人负责组织设计人、监理单位、施工单位进行施工前的工程设计技术交底（应由监理单位负责组织的活动除外）。发包人应为设计人派驻施工现场的代表及其它赴现场处理有关设计问题的各方工作人员提供必要的现场办公场地。</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发包人驻场代表在发包人授权范围内向设计人发出的任何书面形式的函件，与发包人发出的函件具有同等效力。发包人驻场代表的指令、通知应由其本人签字后，以书面形式交给设计负责人或设计人驻场代表，设计负责人或设计人驻场代表应立即在回执上签署姓名和收到时间，指令、通知同时生效。</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6）发包人驻场代表是发包人的履约代表，设计人发出的任何书面形式的文件经发包人驻场代表签收后即视为已送达发包人。</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7）发包人参与设计人要求进行的设计协调会议，协助解决设计中出现的商务与技术问题。</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8）因发包人原因而造成项目建设内容、建设规模、建设标准发生变化，以致造成设计人设计返工时，发包人承担相应的义务。若发包人负责提供材料的，应根据设计人提出的工程用料计划，按时提供各种材料及其产品合格证明，派人与设计人员一起验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 xml:space="preserve">9）发包人及设计咨询（监理）单位在收到设计人有关设计问题及确认问题的函件后，应在5个工作日内给予书面答复 </w:t>
      </w:r>
      <w:r>
        <w:rPr>
          <w:rFonts w:hint="eastAsia" w:asciiTheme="minorEastAsia" w:hAnsiTheme="minorEastAsia" w:eastAsiaTheme="minorEastAsia"/>
          <w:color w:val="auto"/>
          <w:sz w:val="24"/>
          <w:szCs w:val="24"/>
          <w:highlight w:val="none"/>
        </w:rPr>
        <w:t>。</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2.2 发包人代表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按专用条款中“一般约定”中第1.6条规定。</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发包人对项目负责人的授权范围如下：</w:t>
      </w:r>
      <w:r>
        <w:rPr>
          <w:rFonts w:hint="eastAsia" w:asciiTheme="minorEastAsia" w:hAnsiTheme="minorEastAsia" w:eastAsiaTheme="minorEastAsia"/>
          <w:color w:val="auto"/>
          <w:sz w:val="24"/>
          <w:szCs w:val="24"/>
          <w:highlight w:val="none"/>
          <w:u w:val="single"/>
        </w:rPr>
        <w:t xml:space="preserve">代表发包人行使发包人的权利、责任和义务，在合同范围内沟通与协调发包人与各参建单位的关系，负责对参建单位各类往来文件的签署与确认。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发包人更换发包人代表的，应当提前</w:t>
      </w:r>
      <w:r>
        <w:rPr>
          <w:rFonts w:hint="eastAsia" w:asciiTheme="minorEastAsia" w:hAnsiTheme="minorEastAsia" w:eastAsiaTheme="minorEastAsia"/>
          <w:color w:val="auto"/>
          <w:sz w:val="24"/>
          <w:szCs w:val="24"/>
          <w:highlight w:val="none"/>
          <w:u w:val="single"/>
        </w:rPr>
        <w:t xml:space="preserve">   5   </w:t>
      </w:r>
      <w:r>
        <w:rPr>
          <w:rFonts w:hint="eastAsia" w:asciiTheme="minorEastAsia" w:hAnsiTheme="minorEastAsia" w:eastAsiaTheme="minorEastAsia"/>
          <w:color w:val="auto"/>
          <w:sz w:val="24"/>
          <w:szCs w:val="24"/>
          <w:highlight w:val="none"/>
        </w:rPr>
        <w:t>个日历天书面通知设计人。</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2.3 发包人决定</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2.3.2 发包人应在</w:t>
      </w:r>
      <w:r>
        <w:rPr>
          <w:rFonts w:hint="eastAsia" w:asciiTheme="minorEastAsia" w:hAnsiTheme="minorEastAsia" w:eastAsiaTheme="minorEastAsia"/>
          <w:color w:val="auto"/>
          <w:sz w:val="24"/>
          <w:szCs w:val="24"/>
          <w:highlight w:val="none"/>
          <w:u w:val="single"/>
        </w:rPr>
        <w:t>5个日历天</w:t>
      </w:r>
      <w:r>
        <w:rPr>
          <w:rFonts w:hint="eastAsia" w:asciiTheme="minorEastAsia" w:hAnsiTheme="minorEastAsia" w:eastAsiaTheme="minorEastAsia"/>
          <w:color w:val="auto"/>
          <w:sz w:val="24"/>
          <w:szCs w:val="24"/>
          <w:highlight w:val="none"/>
        </w:rPr>
        <w:t>内对设计人书面提出的事项作出书面决定。</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2.4 合同支付价款</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按专用条款中“合同价款与支付”中第10.4条规定。</w:t>
      </w:r>
    </w:p>
    <w:p>
      <w:pPr>
        <w:pStyle w:val="5"/>
        <w:keepLines w:val="0"/>
        <w:spacing w:before="120" w:after="120" w:line="360" w:lineRule="auto"/>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 设计人</w:t>
      </w:r>
    </w:p>
    <w:p>
      <w:pPr>
        <w:pStyle w:val="6"/>
        <w:keepLines w:val="0"/>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3.1 设计人一般义务</w:t>
      </w:r>
    </w:p>
    <w:p>
      <w:pPr>
        <w:keepNext/>
        <w:spacing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3.1.1 设计人</w:t>
      </w:r>
      <w:r>
        <w:rPr>
          <w:rFonts w:hint="eastAsia" w:asciiTheme="minorEastAsia" w:hAnsiTheme="minorEastAsia" w:eastAsiaTheme="minorEastAsia"/>
          <w:color w:val="auto"/>
          <w:sz w:val="24"/>
          <w:szCs w:val="24"/>
          <w:highlight w:val="none"/>
          <w:u w:val="single"/>
        </w:rPr>
        <w:t xml:space="preserve">   需    </w:t>
      </w:r>
      <w:r>
        <w:rPr>
          <w:rFonts w:hint="eastAsia" w:asciiTheme="minorEastAsia" w:hAnsiTheme="minorEastAsia" w:eastAsiaTheme="minorEastAsia"/>
          <w:color w:val="auto"/>
          <w:sz w:val="24"/>
          <w:szCs w:val="24"/>
          <w:highlight w:val="none"/>
        </w:rPr>
        <w:t>（需/不需）</w:t>
      </w:r>
      <w:r>
        <w:rPr>
          <w:rFonts w:hint="eastAsia" w:asciiTheme="minorEastAsia" w:hAnsiTheme="minorEastAsia" w:eastAsiaTheme="minorEastAsia"/>
          <w:color w:val="auto"/>
          <w:kern w:val="0"/>
          <w:sz w:val="24"/>
          <w:szCs w:val="24"/>
          <w:highlight w:val="none"/>
        </w:rPr>
        <w:t>配合发包人办理有关许可、批准或备案手续。</w:t>
      </w:r>
    </w:p>
    <w:p>
      <w:pPr>
        <w:spacing w:after="120"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3.1.3 设计人其他义务：</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设计人交付的成果必须符合本项目所在国家和地区颁发的法律法规、规范、规定、规程、标准、规划和要求，并符合立项文件及招标文件的规定，必须达到《建筑工程设计文件编制深度规定》（2016年版）的要求，设计人须按合同规定的内容、进度及份数向发包人交付质量合格的设计资料并对其负责。</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2）设计人交付的成果必须签署齐全，图文清楚，图面清晰，完整齐全。</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3）设计人提交给发包人的设计成果文件，必须经过有注册资格人员的验证和签名，加盖设计人出图专用章和注册章，必要时须在成果文件上标注专业负责人的身份号码，设计人必须对改造后的结构安全负全责。</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4）设计人应在各阶段施工开始前，按约定的设计分工，参与组织工程设计图纸技术交底活动，答复有关技术问题。</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5）设计人应向发包人提供本项目涉及到的详细的设计规范、规定及标准，所需的国家或地方标准图，由发包人进行备案。</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6）设计人应配合发包人组织各阶段相关专业（课题）的专家研讨论证，配合发包人开展施工招标和设备、材料采购预询价、技术谈判及招标等工作。</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7）设计人应积极配合设计咨询（监理）单位开展工作，提供必要的技术和经济资料。</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8）设计人交付设计文件后，按规定参加有关的设计审查，并根据审查结论负责作必要调整补充。</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9）按发包人的要求完成各项目的工程报批手续所需的设计文件数据。</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10）设计人对于发包人提出的书面意见，应在3个工作日内给予书面答复。</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11）在设计各阶段，设计人应根据发包人或政府主管部门的意见，5天内修改、完善设计，负责完成由于设计失误未获政府主管部门批准而出现的反复修改的工作。</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12）设计人应积极主动进行与项目有关的内、外协调工作，积极配合与规划、市政、交通等部门和单位的协调，保证设计文件通过主管部门的审查。</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13）设计人应接受发包人根据合同和进度计划进行的各种设计跟踪、工作检查和协调要求。</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14）设计人根据设计开展情况编制月工作汇报和下月进度计划，提供有关设计信息，协助发包人掌握设计工作的整体进展情况。发包人有权要求修改、调整进度计划并要求设计人执行。</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15）设计人应按照发包人、设计勘察评标委员会、设计咨询（监理）单位、施工图审查机构及政府审查部门的评审意见修改工作或成果，进行设计深化、优化，不另行收费。</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16）</w:t>
      </w:r>
      <w:r>
        <w:rPr>
          <w:rFonts w:hint="eastAsia" w:asciiTheme="minorEastAsia" w:hAnsiTheme="minorEastAsia" w:eastAsiaTheme="minorEastAsia"/>
          <w:color w:val="auto"/>
          <w:sz w:val="24"/>
          <w:szCs w:val="24"/>
          <w:highlight w:val="none"/>
          <w:u w:val="single"/>
        </w:rPr>
        <w:t>基坑及土方部分</w:t>
      </w:r>
      <w:r>
        <w:rPr>
          <w:rFonts w:hint="eastAsia" w:asciiTheme="minorEastAsia" w:hAnsiTheme="minorEastAsia" w:eastAsiaTheme="minorEastAsia"/>
          <w:color w:val="auto"/>
          <w:sz w:val="24"/>
          <w:szCs w:val="24"/>
          <w:highlight w:val="none"/>
          <w:u w:val="single"/>
        </w:rPr>
        <w:t>施工阶段，设计人应对项目组人员进行适当调整、驻场专业设计人员，及时为施工现场提供服务。</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17）设计人参加现场设计和服务管理的人员要求详见第九章《人员管理》。</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18）设计人应根据工程进展情况或发包人的要求，派出各专业人员向发包人及施工单位进行设计交底、处理有关设计问题、解决工程中涉及到的与设计有关问题和参加各类验收。设计人提供的现场服务，至工程竣工验收合格止。</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19）如果设计人由于自身原因未能在发包人规定的时间内完成，设计人支付误期赔偿费给发包人用于另行聘请设计人员。误期赔偿费按本合同违约责任相关约定处理。这些误期赔偿费不应解除设计人完成合同规定的其他责任、义务和职责。</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20）设计项目组必须在发包人指定的办公地点集中办公，服从发包人统一管理。设计项目组办公场所房租、办公设备、交通设备以及设计人员住宿、餐饮等后勤服务均由设计人自行解决。</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21） 考虑到该项目的重要性、特殊性、复杂性，发包人将设计人的人员落实、驻场人员的到位作为设计管理工作考核的重点。如设计人的人员投入、驻场工作的安排、落实，未能达到要求，设计人应当承担相应的违约责任。</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22）发包人可以随时指示设计人暂停合同项目的全部或某一部分，在暂停期间，设计人应保护、保管并保证该项目不致产生任何损失和损害。如果设计人因暂停和复工而遭受延误和招致增加费用，设计人应向发包人发出通知。如果暂停是为弥补设计人的缺陷，则设计人无权得到延长期或费用。</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23）设计项目的缺陷通知期限自工程竣工起计24个月。</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24）设计人所用工具、设备及车辆的安全问题，以及这些运输工具停泊在发包人处所、施工现场或沿着这些地方行驶时的安全事宜，概由设计人负责。其间若对上述发包人处所造成任何损失或损坏，设计人须向发包人作出赔偿。</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25）发包人及其雇员或代理人对设计人或其雇员的受伤或死亡，以及任何财物蒙受损失或损坏无须负上任何法律责任，除非该伤亡事件是由发包人责任所致。</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26）由于设计人或其任何雇员责任，以致第三者蒙受损失、受伤及死亡，概由设计人负赔偿责任（因发包人或其任何雇员责任而引致的受伤或死亡除外）。</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27）若因设计人或其任何雇员的责任，以致发包人或发包人的任何雇员受伤及死亡，以及财物蒙受损失或损坏，设计人必须对发包人作出赔偿。</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28）若发包人提出要求，设计人必须针对本合同规定索偿、诉求及责任，向一家发包人认可（即发包人不会无理拒绝认可）的保险公司投保。在合同期内，必须保持保单有效。设计人必须将保单连同已付保金的收据，在合同期内交由发包人代表保管。</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29）保险：为保障本合同的顺利履行，设计人应购买工程的</w:t>
      </w:r>
      <w:r>
        <w:rPr>
          <w:rFonts w:hint="eastAsia" w:asciiTheme="minorEastAsia" w:hAnsiTheme="minorEastAsia" w:eastAsiaTheme="minorEastAsia"/>
          <w:strike/>
          <w:color w:val="auto"/>
          <w:sz w:val="24"/>
          <w:szCs w:val="24"/>
          <w:highlight w:val="none"/>
          <w:u w:val="single"/>
        </w:rPr>
        <w:t>建设工程勘察责任保险、</w:t>
      </w:r>
      <w:r>
        <w:rPr>
          <w:rFonts w:hint="eastAsia" w:asciiTheme="minorEastAsia" w:hAnsiTheme="minorEastAsia" w:eastAsiaTheme="minorEastAsia"/>
          <w:color w:val="auto"/>
          <w:sz w:val="24"/>
          <w:szCs w:val="24"/>
          <w:highlight w:val="none"/>
          <w:u w:val="single"/>
        </w:rPr>
        <w:t>建设工程设计责任保险，并按照法律法规的规定为其工作业人员购买工伤保险、人身意外伤害险和其他保险，确保咨询人员及工作人员在工作时间区域内如遭受意外伤害由商业保险进行理赔，不涉及至发包人；发包人不承担与此相关的任何费用及责任。合同签订后60日内，设计人须把购买的保险单报发包人备案，否则，发包人有权延期支付服务费。</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工程设计责任保险应承担由于设计人设计工作的疏忽或过失而引发的工程质量事故所造成的建设工程本身的物质损失以及第三者人身伤亡、财产损失或费用的赔偿责任。</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30）当设计人被判破产，发包人可以随时循简易程序，书面通知设计人终止合同，设计人无权获得任何补偿。</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31）本项目履约担保金额为中标价款的10%，中标人须在收到中标通知书后的20日内提交履约保函。履约保函应以由在中国注册的国有商业银行或股份制商业银行的支行及其以上级别的银行开具的银行保函的形式提供。为取得履约保函所需的费用，由中标人自行负责。履约保函的担保期限从提供履约担保之日起至工程竣工验收合格且缺陷责任期满之日止。</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32）设计人应委托经发包人认可的具有造价咨询（管理）专业资质单位编制本项目的估算书、初步设计概算、设计变更预算等；</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33）设计人应提供初步设计与可行性研究报告、施工图与初步设计在建设规模、标准、内容等方面的符合性对比分析报告（含投资差异分析），确保施工图设计符合初步设计要求、初步设计符合可行性研究报告的要求。</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34）对发包人进行的审计或审计调查工作设计人应配合，并应根据意见和建议作出相应的调整。</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35）设计人同意遵守并执行发包人制订并颁布代建项目的相关管理办法。</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36）设计人须参与由发包人组织，使用单位、设计人、施工、监理单位组成固定资产交接小组，先进行项目实物移交，后进行档案资料移交。</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37）设计人应按照发包人要求，对发包人的人员以及其他联合体成员（如有）进行BIM模型操作的培训。</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38）提供BIM技术的应用服务，包含且不限于核查初步设计和施工图设计、检查管线平衡设计、检查错漏碰缺、检查工程量清单编制、检查设计变更、检查竣工图编制，建立发包人与设计、监理、施工方协同工作模型，将此模型导入发包人委托的第三方平台“BIM协同管理平台”，建立运营维护模型，指导实际运行、维护管理工作。</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3.2 项目负责人</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 xml:space="preserve">3.2.1 </w:t>
      </w:r>
      <w:r>
        <w:rPr>
          <w:rFonts w:hint="eastAsia" w:asciiTheme="minorEastAsia" w:hAnsiTheme="minorEastAsia" w:eastAsiaTheme="minorEastAsia"/>
          <w:color w:val="auto"/>
          <w:sz w:val="24"/>
          <w:szCs w:val="24"/>
          <w:highlight w:val="none"/>
        </w:rPr>
        <w:t>项目负责人</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姓    名：</w:t>
      </w:r>
      <w:r>
        <w:rPr>
          <w:rFonts w:hint="eastAsia" w:asciiTheme="minorEastAsia" w:hAnsiTheme="minorEastAsia" w:eastAsiaTheme="minorEastAsia"/>
          <w:color w:val="auto"/>
          <w:sz w:val="24"/>
          <w:szCs w:val="24"/>
          <w:highlight w:val="none"/>
          <w:u w:val="single"/>
        </w:rPr>
        <w:t xml:space="preserve">  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执业资格及等级：</w:t>
      </w:r>
      <w:r>
        <w:rPr>
          <w:rFonts w:hint="eastAsia" w:asciiTheme="minorEastAsia" w:hAnsiTheme="minorEastAsia" w:eastAsiaTheme="minorEastAsia"/>
          <w:color w:val="auto"/>
          <w:sz w:val="24"/>
          <w:szCs w:val="24"/>
          <w:highlight w:val="none"/>
          <w:u w:val="single"/>
        </w:rPr>
        <w:t xml:space="preserve">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注册证书号：</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联系电话：</w:t>
      </w:r>
      <w:r>
        <w:rPr>
          <w:rFonts w:hint="eastAsia" w:asciiTheme="minorEastAsia" w:hAnsiTheme="minorEastAsia" w:eastAsiaTheme="minorEastAsia"/>
          <w:color w:val="auto"/>
          <w:sz w:val="24"/>
          <w:szCs w:val="24"/>
          <w:highlight w:val="none"/>
          <w:u w:val="single"/>
        </w:rPr>
        <w:t xml:space="preserve">  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电子信箱：</w:t>
      </w:r>
      <w:r>
        <w:rPr>
          <w:rFonts w:hint="eastAsia" w:asciiTheme="minorEastAsia" w:hAnsiTheme="minorEastAsia" w:eastAsiaTheme="minorEastAsia"/>
          <w:color w:val="auto"/>
          <w:sz w:val="24"/>
          <w:szCs w:val="24"/>
          <w:highlight w:val="none"/>
          <w:u w:val="single"/>
        </w:rPr>
        <w:t xml:space="preserve">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通信地址：</w:t>
      </w:r>
      <w:r>
        <w:rPr>
          <w:rFonts w:hint="eastAsia" w:asciiTheme="minorEastAsia" w:hAnsiTheme="minorEastAsia" w:eastAsiaTheme="minorEastAsia"/>
          <w:color w:val="auto"/>
          <w:sz w:val="24"/>
          <w:szCs w:val="24"/>
          <w:highlight w:val="none"/>
          <w:u w:val="single"/>
        </w:rPr>
        <w:t xml:space="preserve">         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3.2.2 设计人更换项目负责人的，应提前</w:t>
      </w:r>
      <w:r>
        <w:rPr>
          <w:rFonts w:hint="eastAsia" w:asciiTheme="minorEastAsia" w:hAnsiTheme="minorEastAsia" w:eastAsiaTheme="minorEastAsia"/>
          <w:color w:val="auto"/>
          <w:sz w:val="24"/>
          <w:szCs w:val="24"/>
          <w:highlight w:val="none"/>
          <w:u w:val="single"/>
        </w:rPr>
        <w:t xml:space="preserve"> 15  个日历天</w:t>
      </w:r>
      <w:r>
        <w:rPr>
          <w:rFonts w:hint="eastAsia" w:asciiTheme="minorEastAsia" w:hAnsiTheme="minorEastAsia" w:eastAsiaTheme="minorEastAsia"/>
          <w:color w:val="auto"/>
          <w:sz w:val="24"/>
          <w:szCs w:val="24"/>
          <w:highlight w:val="none"/>
        </w:rPr>
        <w:t>书面通知发包人。</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设计人擅自更换项目负责人的违约责任：</w:t>
      </w:r>
      <w:r>
        <w:rPr>
          <w:rFonts w:hint="eastAsia" w:asciiTheme="minorEastAsia" w:hAnsiTheme="minorEastAsia" w:eastAsiaTheme="minorEastAsia"/>
          <w:color w:val="auto"/>
          <w:sz w:val="24"/>
          <w:szCs w:val="24"/>
          <w:highlight w:val="none"/>
          <w:u w:val="single"/>
        </w:rPr>
        <w:t xml:space="preserve">     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 xml:space="preserve">                                           </w:t>
      </w:r>
      <w:r>
        <w:rPr>
          <w:rFonts w:hint="eastAsia" w:asciiTheme="minorEastAsia" w:hAnsiTheme="minorEastAsia" w:eastAsiaTheme="minorEastAsia"/>
          <w:color w:val="auto"/>
          <w:sz w:val="24"/>
          <w:szCs w:val="24"/>
          <w:highlight w:val="none"/>
        </w:rPr>
        <w:t>。</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    3.2.3 设计人应在收到书面更换通知后</w:t>
      </w:r>
      <w:r>
        <w:rPr>
          <w:rFonts w:hint="eastAsia" w:asciiTheme="minorEastAsia" w:hAnsiTheme="minorEastAsia" w:eastAsiaTheme="minorEastAsia"/>
          <w:color w:val="auto"/>
          <w:sz w:val="24"/>
          <w:szCs w:val="24"/>
          <w:highlight w:val="none"/>
          <w:u w:val="single"/>
        </w:rPr>
        <w:t xml:space="preserve">   5   个日历</w:t>
      </w:r>
      <w:r>
        <w:rPr>
          <w:rFonts w:hint="eastAsia" w:asciiTheme="minorEastAsia" w:hAnsiTheme="minorEastAsia" w:eastAsiaTheme="minorEastAsia"/>
          <w:color w:val="auto"/>
          <w:sz w:val="24"/>
          <w:szCs w:val="24"/>
          <w:highlight w:val="none"/>
        </w:rPr>
        <w:t>天内更换项目负责人。</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设计人无正当理由拒绝更换项目负责人的违约责任：</w:t>
      </w:r>
    </w:p>
    <w:p>
      <w:pPr>
        <w:spacing w:line="360" w:lineRule="auto"/>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 xml:space="preserve">                                                         </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 xml:space="preserve">                             </w:t>
      </w:r>
      <w:r>
        <w:rPr>
          <w:rFonts w:hint="eastAsia" w:asciiTheme="minorEastAsia" w:hAnsiTheme="minorEastAsia" w:eastAsiaTheme="minorEastAsia"/>
          <w:color w:val="auto"/>
          <w:sz w:val="24"/>
          <w:szCs w:val="24"/>
          <w:highlight w:val="none"/>
        </w:rPr>
        <w:t>。</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3.3 设计人人员</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详见附件4：专业设计及驻场服务人员表</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3.3.1 设计人提交项目管理机构及人员安排报告的期限</w:t>
      </w:r>
      <w:r>
        <w:rPr>
          <w:rFonts w:hint="eastAsia" w:asciiTheme="minorEastAsia" w:hAnsiTheme="minorEastAsia" w:eastAsiaTheme="minorEastAsia"/>
          <w:color w:val="auto"/>
          <w:sz w:val="24"/>
          <w:szCs w:val="24"/>
          <w:highlight w:val="none"/>
          <w:u w:val="single"/>
        </w:rPr>
        <w:t xml:space="preserve">5个日历天 </w:t>
      </w:r>
      <w:r>
        <w:rPr>
          <w:rFonts w:hint="eastAsia" w:asciiTheme="minorEastAsia" w:hAnsiTheme="minorEastAsia" w:eastAsiaTheme="minorEastAsia"/>
          <w:color w:val="auto"/>
          <w:sz w:val="24"/>
          <w:szCs w:val="24"/>
          <w:highlight w:val="none"/>
        </w:rPr>
        <w:t>。</w:t>
      </w:r>
    </w:p>
    <w:p>
      <w:pPr>
        <w:spacing w:line="360" w:lineRule="auto"/>
        <w:ind w:left="300" w:leftChars="143" w:firstLine="240"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3.3.4 对设计人人员的其它要求：</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专业设计人员和驻场服务人员必须根据本项目设计工作的进展情况，按照发包人的指令在发包人规定的时间和指定的场所集中设计和提供驻场服务，凡人员不到位或不完全到位的，设计单位应按本合同的约定承担违约责任。</w:t>
      </w:r>
    </w:p>
    <w:p>
      <w:pPr>
        <w:spacing w:line="360" w:lineRule="auto"/>
        <w:ind w:firstLine="42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strike/>
          <w:color w:val="auto"/>
          <w:highlight w:val="none"/>
        </w:rPr>
        <w:t>□</w:t>
      </w:r>
      <w:r>
        <w:rPr>
          <w:rFonts w:hint="eastAsia" w:asciiTheme="minorEastAsia" w:hAnsiTheme="minorEastAsia" w:eastAsiaTheme="minorEastAsia"/>
          <w:color w:val="auto"/>
          <w:sz w:val="24"/>
          <w:szCs w:val="24"/>
          <w:highlight w:val="none"/>
          <w:u w:val="single"/>
        </w:rPr>
        <w:t>2）在本合同履行期间，设计人在明确分工各负其责的基础上，设计人承诺为本合同约定项目指定的项目负责人</w:t>
      </w:r>
      <w:r>
        <w:rPr>
          <w:rFonts w:hint="eastAsia" w:asciiTheme="minorEastAsia" w:hAnsiTheme="minorEastAsia" w:eastAsiaTheme="minorEastAsia"/>
          <w:color w:val="auto"/>
          <w:sz w:val="24"/>
          <w:szCs w:val="24"/>
          <w:highlight w:val="none"/>
          <w:u w:val="single"/>
        </w:rPr>
        <w:t>必须符合招标文件约定及投标承诺</w:t>
      </w:r>
      <w:r>
        <w:rPr>
          <w:rFonts w:hint="eastAsia" w:asciiTheme="minorEastAsia" w:hAnsiTheme="minorEastAsia" w:eastAsiaTheme="minorEastAsia"/>
          <w:color w:val="auto"/>
          <w:sz w:val="24"/>
          <w:szCs w:val="24"/>
          <w:highlight w:val="none"/>
          <w:u w:val="single"/>
        </w:rPr>
        <w:t>。设计人保证驻场设计代表能够全权代表设计人，并向发包人出具相应的授权文件。合同履行期间不得更换项目负责人，如更换项目负责人必须经发包人批准。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3）设计人承诺为本合同约定项目指定的各专业设计负责人为</w:t>
      </w:r>
      <w:r>
        <w:rPr>
          <w:rFonts w:hint="eastAsia" w:asciiTheme="minorEastAsia" w:hAnsiTheme="minorEastAsia" w:eastAsiaTheme="minorEastAsia"/>
          <w:color w:val="auto"/>
          <w:sz w:val="24"/>
          <w:szCs w:val="24"/>
          <w:highlight w:val="none"/>
          <w:u w:val="single"/>
        </w:rPr>
        <w:t>符合招标文件约定及投标承诺。</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4）项目设计负责人、各专业设计负责人、驻场设计代表的经验、能力和健康状况应能胜任所承担任务的设计、组织、计划、协调工作。</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 设计人必须保证参与本合同约定项目设计人员的稳定性，在本合同履行期内，设计人在合同附件中承诺投入的人员原则上不得更换，确须更换的应事先征得发包人同意后方可撤回，并按本合同得有关约定承担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发包人认为项目设计负责人、各专业之间负责人、驻场设计代表不称职时，可向设计人发出书面更换人员通知，设计人应当在收到发包人的书面通知后5天内更换，更换人员的资历不得低于本合同相应条款对各类设计人员资历规定的要求，且更换人员须先经过发包人确认。若设计人对发包人要求更换人员有异议时，可申请复议一次，若经复议后发包人仍然要求更换，则设计人应无条件进行更换，否则视设计人该人员从发包人发出更换通知的时间开始擅自离岗。</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7）设计人必须加强设计人员职业操守的教育，本合同约定项目设计人员需共同遵守设计人员职业道德守则，并严格遵守以下规定：</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（1）严防重产值、轻质量倾向，确保公众人身及财产安全；</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 禁止向发包人及施工单位推销材料、设备，或以倾向性、排他性设计变相推销；</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（3）禁止与材料、设备供应商串通，设计中选用价高质次的材料、设备；</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（4）禁止与材料、设备供应商串通，在材料、设备的监造或调试过程中对不合格材料、设备产品进行包庇或以次充好，提高产品验收级别；</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（5）禁止与施工单位串通，对不合格材料、设备、产品、工程进行包庇及验收；</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（6）禁止与施工单位串通，对材料用量、工程量进行虚假签认；</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（7）禁止与施工单位串通，不合理提高施工难度及增加材料用量，以增大施工费用，获取不正当收益。</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8）凡违背以上规定者，一经查实，发包人有权向有关部门反映情况，追究设计人及有关责任人相关责任，要求赔偿相关损失。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9) 项目设计负责人的姓名、职务、职责应在设计人设计人员架构表内明确。</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10)  设计人依据合同发出的通知，以书面形式由项目设计负责人和设计负责人签字后送交发包人驻场代表，发包人驻场代表在回执上签署姓名和收到时间，通知同时生效。</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11) 项目设计负责人和驻场设计代表按发包人认可的设计详细进度计划和发包人依据合同付出的指令要求组织设计，并应保证设计信息的准确、安全。</w:t>
      </w:r>
    </w:p>
    <w:p>
      <w:pPr>
        <w:spacing w:line="360" w:lineRule="auto"/>
        <w:ind w:left="300" w:leftChars="143" w:firstLine="240" w:firstLineChars="1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12) 每一项目设计负责人和驻场代表均是设计人的履约代表，发包人发出的任何书面形式的文件经任一项目设计负责人和驻场设计代表签收，即视为已送达设计人。</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3.4 设计分包</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3.4.1 设计分包的一般约定</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禁止设计分包的工程包括：</w:t>
      </w:r>
      <w:r>
        <w:rPr>
          <w:rFonts w:hint="eastAsia" w:asciiTheme="minorEastAsia" w:hAnsiTheme="minorEastAsia" w:eastAsiaTheme="minorEastAsia"/>
          <w:color w:val="auto"/>
          <w:sz w:val="24"/>
          <w:szCs w:val="24"/>
          <w:highlight w:val="none"/>
          <w:u w:val="single"/>
        </w:rPr>
        <w:t xml:space="preserve">主体结构、关键性工作  </w:t>
      </w:r>
      <w:r>
        <w:rPr>
          <w:rFonts w:hint="eastAsia" w:asciiTheme="minorEastAsia" w:hAnsiTheme="minorEastAsia" w:eastAsiaTheme="minorEastAsia"/>
          <w:color w:val="auto"/>
          <w:sz w:val="24"/>
          <w:szCs w:val="24"/>
          <w:highlight w:val="none"/>
        </w:rPr>
        <w:t>。</w:t>
      </w:r>
    </w:p>
    <w:p>
      <w:pPr>
        <w:spacing w:line="360" w:lineRule="auto"/>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主体结构、关键性工作的范围：</w:t>
      </w:r>
      <w:r>
        <w:rPr>
          <w:rFonts w:hint="eastAsia" w:asciiTheme="minorEastAsia" w:hAnsiTheme="minorEastAsia" w:eastAsiaTheme="minorEastAsia"/>
          <w:color w:val="auto"/>
          <w:sz w:val="24"/>
          <w:szCs w:val="24"/>
          <w:highlight w:val="none"/>
          <w:u w:val="single"/>
        </w:rPr>
        <w:t xml:space="preserve">包含并不限于建筑、结构等符合设计人专业设计资质要求或设计能力的工作   </w:t>
      </w:r>
      <w:r>
        <w:rPr>
          <w:rFonts w:hint="eastAsia" w:asciiTheme="minorEastAsia" w:hAnsiTheme="minorEastAsia" w:eastAsiaTheme="minorEastAsia"/>
          <w:color w:val="auto"/>
          <w:sz w:val="24"/>
          <w:szCs w:val="24"/>
          <w:highlight w:val="none"/>
        </w:rPr>
        <w:t>。</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    3.4.2设计分包的确定</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允许分包的专业工程包括：</w:t>
      </w:r>
      <w:r>
        <w:rPr>
          <w:rFonts w:hint="eastAsia" w:asciiTheme="minorEastAsia" w:hAnsiTheme="minorEastAsia" w:eastAsiaTheme="minorEastAsia"/>
          <w:color w:val="auto"/>
          <w:sz w:val="24"/>
          <w:szCs w:val="24"/>
          <w:highlight w:val="none"/>
          <w:u w:val="single"/>
        </w:rPr>
        <w:t xml:space="preserve">设计人所承接的专项设计内容，由于设计人本身的资质及所属设计人员的限制，经发包人认可，由设计人直接将该项设计内容分包给专业设计单位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其他关于分包的约定：</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1）由设计人与专项设计分包单位签订设计分包合同，并报发包人备案 。</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专项施工图设计阶段，实行专项设计分包方自身管理、设计人总协调管理、发包人管理的三级管理模式。在此管理阶段专项分包方为主设计方，承担主要的设计责任，设计人为协作设计方，承担次要的设计责任，设计人就该部分对总体设计方案设计思想及技术路线贯彻与总体设计的协调负责出具施工图的审核意见，并报发包人备案，设计人承担相应连带管理责任。在此设计阶段的违约及绩效考核方面相应地按此设计责任进行比例划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3）在施工图设计阶段、施工招标及施工阶段，专项设计分包单位要接受发包人对其进行管理和协调。</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本项目中，设计人应保证按规划及建筑功能要求、配套设施要求完成合同约定的专业专项设计。限于专业资质、业务范围问题不能设计人进行的专项设计，由设计人在本设计合同签订前报发包人同意后进行分包，专项分包设计费由设计人按设计合作协议承担。</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5）设计人应在本合同生效后十日内将所有专业分包单位的基本情况、资质、分包内容、费用等列表报发包人审查及备案。</w:t>
      </w:r>
    </w:p>
    <w:p>
      <w:pPr>
        <w:spacing w:line="360" w:lineRule="auto"/>
        <w:ind w:firstLine="424" w:firstLineChars="177"/>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3.4.3 设计人向发包人提交有关分包人资料包括：</w:t>
      </w:r>
      <w:r>
        <w:rPr>
          <w:rFonts w:hint="eastAsia" w:asciiTheme="minorEastAsia" w:hAnsiTheme="minorEastAsia" w:eastAsiaTheme="minorEastAsia"/>
          <w:color w:val="auto"/>
          <w:sz w:val="24"/>
          <w:szCs w:val="24"/>
          <w:highlight w:val="none"/>
          <w:u w:val="single"/>
        </w:rPr>
        <w:t xml:space="preserve">  分包人的企业资质以及相关人员安排等  </w:t>
      </w:r>
      <w:r>
        <w:rPr>
          <w:rFonts w:hint="eastAsia" w:asciiTheme="minorEastAsia" w:hAnsiTheme="minorEastAsia" w:eastAsiaTheme="minorEastAsia"/>
          <w:color w:val="auto"/>
          <w:sz w:val="24"/>
          <w:szCs w:val="24"/>
          <w:highlight w:val="none"/>
        </w:rPr>
        <w:t>。</w:t>
      </w:r>
    </w:p>
    <w:p>
      <w:pPr>
        <w:spacing w:line="360" w:lineRule="auto"/>
        <w:ind w:firstLine="424" w:firstLineChars="177"/>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3.4.4 分包工程设计费支付方式： </w:t>
      </w:r>
      <w:r>
        <w:rPr>
          <w:rFonts w:hint="eastAsia" w:asciiTheme="minorEastAsia" w:hAnsiTheme="minorEastAsia" w:eastAsiaTheme="minorEastAsia"/>
          <w:color w:val="auto"/>
          <w:sz w:val="24"/>
          <w:szCs w:val="24"/>
          <w:highlight w:val="none"/>
          <w:u w:val="single"/>
        </w:rPr>
        <w:t xml:space="preserve">  分包工程费用包含在合同价中，由设计人支付给分包人，如设计人未按期支付，发包人有权停止下期设计费支付并有权对设计人进行处罚，并可从未支付的设计费中扣除费用支付给分包人</w:t>
      </w:r>
      <w:r>
        <w:rPr>
          <w:rFonts w:hint="eastAsia" w:asciiTheme="minorEastAsia" w:hAnsiTheme="minorEastAsia" w:eastAsiaTheme="minorEastAsia"/>
          <w:color w:val="auto"/>
          <w:sz w:val="24"/>
          <w:szCs w:val="24"/>
          <w:highlight w:val="none"/>
        </w:rPr>
        <w:t>。</w:t>
      </w:r>
    </w:p>
    <w:p>
      <w:pPr>
        <w:pStyle w:val="6"/>
        <w:keepNext w:val="0"/>
        <w:keepLines w:val="0"/>
        <w:spacing w:before="120" w:after="120" w:line="360" w:lineRule="auto"/>
        <w:ind w:firstLine="424" w:firstLineChars="177"/>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3.5 联合体</w:t>
      </w:r>
    </w:p>
    <w:p>
      <w:pPr>
        <w:spacing w:line="360" w:lineRule="auto"/>
        <w:ind w:firstLine="424" w:firstLineChars="177"/>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3.5.4 发包人向联合体支付设计费用的方式：</w:t>
      </w:r>
      <w:r>
        <w:rPr>
          <w:rFonts w:hint="eastAsia" w:asciiTheme="minorEastAsia" w:hAnsiTheme="minorEastAsia" w:eastAsiaTheme="minorEastAsia"/>
          <w:color w:val="auto"/>
          <w:sz w:val="24"/>
          <w:szCs w:val="24"/>
          <w:highlight w:val="none"/>
          <w:u w:val="single"/>
        </w:rPr>
        <w:t xml:space="preserve">  按通用条款    </w:t>
      </w:r>
      <w:r>
        <w:rPr>
          <w:rFonts w:hint="eastAsia" w:asciiTheme="minorEastAsia" w:hAnsiTheme="minorEastAsia" w:eastAsiaTheme="minorEastAsia"/>
          <w:color w:val="auto"/>
          <w:sz w:val="24"/>
          <w:szCs w:val="24"/>
          <w:highlight w:val="none"/>
        </w:rPr>
        <w:t>。</w:t>
      </w:r>
    </w:p>
    <w:p>
      <w:pPr>
        <w:pStyle w:val="5"/>
        <w:spacing w:before="120" w:after="120" w:line="360" w:lineRule="auto"/>
        <w:ind w:firstLine="424" w:firstLineChars="177"/>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 工程设计要求</w:t>
      </w:r>
    </w:p>
    <w:p>
      <w:pPr>
        <w:pStyle w:val="6"/>
        <w:spacing w:before="120" w:after="120" w:line="360" w:lineRule="auto"/>
        <w:ind w:firstLine="424" w:firstLineChars="177"/>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5.1 工程设计一般要求</w:t>
      </w:r>
    </w:p>
    <w:p>
      <w:pPr>
        <w:spacing w:line="360" w:lineRule="auto"/>
        <w:ind w:firstLine="424" w:firstLineChars="177"/>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5.1.2.1 工程设计的特殊标准或要求：。</w:t>
      </w:r>
    </w:p>
    <w:p>
      <w:pPr>
        <w:spacing w:line="360" w:lineRule="auto"/>
        <w:ind w:firstLine="424" w:firstLineChars="177"/>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5.1.2.2 工程设计适用的技术标准：。</w:t>
      </w:r>
    </w:p>
    <w:p>
      <w:pPr>
        <w:spacing w:line="360" w:lineRule="auto"/>
        <w:ind w:firstLine="424" w:firstLineChars="177"/>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5.1.2.4 工程设计文件的</w:t>
      </w:r>
      <w:r>
        <w:rPr>
          <w:rFonts w:hint="eastAsia" w:asciiTheme="minorEastAsia" w:hAnsiTheme="minorEastAsia" w:eastAsiaTheme="minorEastAsia"/>
          <w:color w:val="auto"/>
          <w:kern w:val="0"/>
          <w:sz w:val="24"/>
          <w:szCs w:val="24"/>
          <w:highlight w:val="none"/>
        </w:rPr>
        <w:t>主要技术指标控制值</w:t>
      </w:r>
      <w:r>
        <w:rPr>
          <w:rFonts w:hint="eastAsia" w:asciiTheme="minorEastAsia" w:hAnsiTheme="minorEastAsia" w:eastAsiaTheme="minorEastAsia"/>
          <w:color w:val="auto"/>
          <w:sz w:val="24"/>
          <w:szCs w:val="24"/>
          <w:highlight w:val="none"/>
        </w:rPr>
        <w:t>及比例：</w:t>
      </w:r>
      <w:r>
        <w:rPr>
          <w:rFonts w:hint="eastAsia" w:asciiTheme="minorEastAsia" w:hAnsiTheme="minorEastAsia" w:eastAsiaTheme="minorEastAsia"/>
          <w:color w:val="auto"/>
          <w:sz w:val="24"/>
          <w:szCs w:val="24"/>
          <w:highlight w:val="none"/>
          <w:u w:val="single"/>
        </w:rPr>
        <w:t>在保证设计质量的前提下，全过程实行限额设计,在包含完整批复初步设计概算全部建设内容的前提下，必须按照政府主管部门确定的投资额度和要求严格控制，进行投资分解和分析，</w:t>
      </w:r>
      <w:r>
        <w:rPr>
          <w:rFonts w:hint="eastAsia" w:asciiTheme="minorEastAsia" w:hAnsiTheme="minorEastAsia" w:eastAsiaTheme="minorEastAsia"/>
          <w:color w:val="auto"/>
          <w:sz w:val="24"/>
          <w:szCs w:val="24"/>
          <w:highlight w:val="none"/>
          <w:u w:val="single"/>
        </w:rPr>
        <w:t>实行投资控制，严格控制方案设计阶段、初步设计阶段等</w:t>
      </w:r>
      <w:r>
        <w:rPr>
          <w:rFonts w:hint="eastAsia" w:asciiTheme="minorEastAsia" w:hAnsiTheme="minorEastAsia" w:eastAsiaTheme="minorEastAsia"/>
          <w:color w:val="auto"/>
          <w:sz w:val="24"/>
          <w:szCs w:val="24"/>
          <w:highlight w:val="none"/>
          <w:u w:val="single"/>
        </w:rPr>
        <w:t xml:space="preserve">，确保工程概、预算不突破投资目标。 </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 xml:space="preserve">1）方案设计阶段：设计人依据设计方案成果编制造价估算文件，完成估算编制后，方案阶段成果应与可行性研究成果进行对比和分析，对超出限额的部分进行说明和分析，提出修改指引和意见并报送发包人。 </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初步设计阶段：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5.1.2.8其它要求：BIM应用技术要求</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（1）按《省属代建项目设计阶段BIM应用管理指引》要求，通过各专业施工图汇总来模拟建造实体，提前检查初步设计、施工图</w:t>
      </w:r>
      <w:r>
        <w:rPr>
          <w:rFonts w:hint="eastAsia" w:asciiTheme="minorEastAsia" w:hAnsiTheme="minorEastAsia" w:eastAsiaTheme="minorEastAsia"/>
          <w:color w:val="auto"/>
          <w:sz w:val="24"/>
          <w:szCs w:val="24"/>
          <w:highlight w:val="none"/>
          <w:u w:val="single"/>
        </w:rPr>
        <w:t>（基坑工程、土方工程）</w:t>
      </w:r>
      <w:r>
        <w:rPr>
          <w:rFonts w:hint="eastAsia" w:asciiTheme="minorEastAsia" w:hAnsiTheme="minorEastAsia" w:eastAsiaTheme="minorEastAsia"/>
          <w:color w:val="auto"/>
          <w:sz w:val="24"/>
          <w:szCs w:val="24"/>
          <w:highlight w:val="none"/>
          <w:u w:val="single"/>
        </w:rPr>
        <w:t>设计中存在的错、漏、碰、缺，减少返工、误工，实现工程多专业协同工作；</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（2）施工阶段（</w:t>
      </w:r>
      <w:r>
        <w:rPr>
          <w:rFonts w:hint="eastAsia" w:asciiTheme="minorEastAsia" w:hAnsiTheme="minorEastAsia" w:eastAsiaTheme="minorEastAsia"/>
          <w:color w:val="auto"/>
          <w:sz w:val="24"/>
          <w:szCs w:val="24"/>
          <w:highlight w:val="none"/>
          <w:u w:val="single"/>
        </w:rPr>
        <w:t>基坑工程、土方工程）</w:t>
      </w:r>
      <w:r>
        <w:rPr>
          <w:rFonts w:hint="eastAsia" w:asciiTheme="minorEastAsia" w:hAnsiTheme="minorEastAsia" w:eastAsiaTheme="minorEastAsia"/>
          <w:color w:val="auto"/>
          <w:sz w:val="24"/>
          <w:szCs w:val="24"/>
          <w:highlight w:val="none"/>
          <w:u w:val="single"/>
        </w:rPr>
        <w:t>，通过模型与实际施工情况的对比，迅速了解项目进度及成本的偏差情况，评估变更可行性，实现对工程的精确管控；</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（3）用于运营维护管理工作。</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5.3 工程设计文件的要求</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5.3.3 工程设计文件深度规定：</w:t>
      </w:r>
      <w:r>
        <w:rPr>
          <w:rFonts w:hint="eastAsia" w:asciiTheme="minorEastAsia" w:hAnsiTheme="minorEastAsia" w:eastAsiaTheme="minorEastAsia"/>
          <w:color w:val="auto"/>
          <w:sz w:val="24"/>
          <w:szCs w:val="24"/>
          <w:highlight w:val="none"/>
          <w:u w:val="single"/>
        </w:rPr>
        <w:t xml:space="preserve">   需满足《建设工程设计文件编制深度的规定(2016年版)》、《市政公用工程设计文件编制深度的规定(2013年版)》，若设计期间国家执地新的标准，则按国家现行的相关规定执行    </w:t>
      </w:r>
      <w:r>
        <w:rPr>
          <w:rFonts w:hint="eastAsia" w:asciiTheme="minorEastAsia" w:hAnsiTheme="minorEastAsia" w:eastAsiaTheme="minorEastAsia"/>
          <w:color w:val="auto"/>
          <w:sz w:val="24"/>
          <w:szCs w:val="24"/>
          <w:highlight w:val="none"/>
        </w:rPr>
        <w:t xml:space="preserve">。 </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5.3.5 建筑物及其功能设施的合理使用寿命年限：</w:t>
      </w:r>
      <w:r>
        <w:rPr>
          <w:rFonts w:hint="eastAsia" w:asciiTheme="minorEastAsia" w:hAnsiTheme="minorEastAsia" w:eastAsiaTheme="minorEastAsia"/>
          <w:color w:val="auto"/>
          <w:sz w:val="24"/>
          <w:szCs w:val="24"/>
          <w:highlight w:val="none"/>
          <w:u w:val="single"/>
        </w:rPr>
        <w:t xml:space="preserve">  按国家现和行相关规定执行   </w:t>
      </w:r>
      <w:r>
        <w:rPr>
          <w:rFonts w:hint="eastAsia" w:asciiTheme="minorEastAsia" w:hAnsiTheme="minorEastAsia" w:eastAsiaTheme="minorEastAsia"/>
          <w:color w:val="auto"/>
          <w:sz w:val="24"/>
          <w:szCs w:val="24"/>
          <w:highlight w:val="none"/>
        </w:rPr>
        <w:t>。</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6. 工程设计进度与周期</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6.1 工程设计进度计划</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6.1.1 工程设计进度计划的编制</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合</w:t>
      </w:r>
      <w:r>
        <w:rPr>
          <w:rFonts w:hint="eastAsia" w:asciiTheme="minorEastAsia" w:hAnsiTheme="minorEastAsia" w:eastAsiaTheme="minorEastAsia"/>
          <w:color w:val="auto"/>
          <w:kern w:val="0"/>
          <w:sz w:val="24"/>
          <w:szCs w:val="24"/>
          <w:highlight w:val="none"/>
        </w:rPr>
        <w:t>同当事人约定的工程设计进度计划提交的时间：</w:t>
      </w:r>
      <w:r>
        <w:rPr>
          <w:rFonts w:hint="eastAsia" w:asciiTheme="minorEastAsia" w:hAnsiTheme="minorEastAsia" w:eastAsiaTheme="minorEastAsia"/>
          <w:color w:val="auto"/>
          <w:kern w:val="0"/>
          <w:sz w:val="24"/>
          <w:szCs w:val="24"/>
          <w:highlight w:val="none"/>
          <w:u w:val="single"/>
        </w:rPr>
        <w:t>设计人应在合同签订后7天内向发包人提交一份详细的进度计划。当进度计划与实际进度不符时，设计人还应提交一份修订的进度计划</w:t>
      </w:r>
      <w:r>
        <w:rPr>
          <w:rFonts w:hint="eastAsia" w:asciiTheme="minorEastAsia" w:hAnsiTheme="minorEastAsia" w:eastAsiaTheme="minorEastAsia"/>
          <w:color w:val="auto"/>
          <w:kern w:val="0"/>
          <w:sz w:val="24"/>
          <w:szCs w:val="24"/>
          <w:highlight w:val="none"/>
        </w:rPr>
        <w:t>。</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合</w:t>
      </w:r>
      <w:r>
        <w:rPr>
          <w:rFonts w:hint="eastAsia" w:asciiTheme="minorEastAsia" w:hAnsiTheme="minorEastAsia" w:eastAsiaTheme="minorEastAsia"/>
          <w:color w:val="auto"/>
          <w:kern w:val="0"/>
          <w:sz w:val="24"/>
          <w:szCs w:val="24"/>
          <w:highlight w:val="none"/>
        </w:rPr>
        <w:t>同当事人约定的工程设计进度计划应包括的内容：</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1）工作顺序和各个阶段的预期时间安排、出图计划；</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2）需要设计咨询（监理）单位、发</w:t>
      </w:r>
      <w:r>
        <w:rPr>
          <w:rFonts w:hint="eastAsia" w:asciiTheme="minorEastAsia" w:hAnsiTheme="minorEastAsia" w:eastAsiaTheme="minorEastAsia"/>
          <w:color w:val="auto"/>
          <w:sz w:val="24"/>
          <w:szCs w:val="24"/>
          <w:highlight w:val="none"/>
          <w:u w:val="single"/>
        </w:rPr>
        <w:t>包人、施工图审查机构、</w:t>
      </w:r>
      <w:r>
        <w:rPr>
          <w:rFonts w:hint="eastAsia" w:asciiTheme="minorEastAsia" w:hAnsiTheme="minorEastAsia" w:eastAsiaTheme="minorEastAsia"/>
          <w:color w:val="auto"/>
          <w:sz w:val="24"/>
          <w:szCs w:val="24"/>
          <w:highlight w:val="none"/>
          <w:u w:val="single"/>
        </w:rPr>
        <w:t>政府审查部门进行审查、批准的期限；</w:t>
      </w:r>
    </w:p>
    <w:p>
      <w:pPr>
        <w:autoSpaceDE w:val="0"/>
        <w:autoSpaceDN w:val="0"/>
        <w:adjustRightInd w:val="0"/>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3）合同和技术规范中规定的各项检验和试验的顺序和时间安排</w:t>
      </w:r>
      <w:r>
        <w:rPr>
          <w:rFonts w:hint="eastAsia" w:asciiTheme="minorEastAsia" w:hAnsiTheme="minorEastAsia" w:eastAsiaTheme="minorEastAsia"/>
          <w:color w:val="auto"/>
          <w:sz w:val="24"/>
          <w:szCs w:val="24"/>
          <w:highlight w:val="none"/>
        </w:rPr>
        <w:t>。</w:t>
      </w:r>
    </w:p>
    <w:p>
      <w:pPr>
        <w:autoSpaceDE w:val="0"/>
        <w:autoSpaceDN w:val="0"/>
        <w:adjustRightInd w:val="0"/>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 xml:space="preserve">6.1.2 </w:t>
      </w:r>
      <w:r>
        <w:rPr>
          <w:rFonts w:hint="eastAsia" w:asciiTheme="minorEastAsia" w:hAnsiTheme="minorEastAsia" w:eastAsiaTheme="minorEastAsia"/>
          <w:color w:val="auto"/>
          <w:kern w:val="0"/>
          <w:sz w:val="24"/>
          <w:szCs w:val="24"/>
          <w:highlight w:val="none"/>
        </w:rPr>
        <w:t>工程设计进度计划的修订</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发包人在收到工程设计进度计划后确认或提出修改意见的期限：</w:t>
      </w:r>
      <w:r>
        <w:rPr>
          <w:rFonts w:hint="eastAsia" w:asciiTheme="minorEastAsia" w:hAnsiTheme="minorEastAsia" w:eastAsiaTheme="minorEastAsia"/>
          <w:color w:val="auto"/>
          <w:kern w:val="0"/>
          <w:sz w:val="24"/>
          <w:szCs w:val="24"/>
          <w:highlight w:val="none"/>
          <w:u w:val="single"/>
        </w:rPr>
        <w:t>5个日历天</w:t>
      </w:r>
      <w:r>
        <w:rPr>
          <w:rFonts w:hint="eastAsia" w:asciiTheme="minorEastAsia" w:hAnsiTheme="minorEastAsia" w:eastAsiaTheme="minorEastAsia"/>
          <w:color w:val="auto"/>
          <w:sz w:val="24"/>
          <w:szCs w:val="24"/>
          <w:highlight w:val="none"/>
        </w:rPr>
        <w:t>。</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6.3 工程设计进度延误</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6.3.1 </w:t>
      </w:r>
      <w:r>
        <w:rPr>
          <w:rFonts w:hint="eastAsia" w:asciiTheme="minorEastAsia" w:hAnsiTheme="minorEastAsia" w:eastAsiaTheme="minorEastAsia"/>
          <w:color w:val="auto"/>
          <w:kern w:val="0"/>
          <w:sz w:val="24"/>
          <w:szCs w:val="24"/>
          <w:highlight w:val="none"/>
        </w:rPr>
        <w:t>因发包人原因导致工程设计进度延误</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（4）因发包人原因导致工程设计进度延误的其他情形：</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设计人应在发生</w:t>
      </w:r>
      <w:r>
        <w:rPr>
          <w:rFonts w:hint="eastAsia" w:asciiTheme="minorEastAsia" w:hAnsiTheme="minorEastAsia" w:eastAsiaTheme="minorEastAsia"/>
          <w:color w:val="auto"/>
          <w:kern w:val="0"/>
          <w:sz w:val="24"/>
          <w:szCs w:val="24"/>
          <w:highlight w:val="none"/>
        </w:rPr>
        <w:t>进度延误的情形</w:t>
      </w:r>
      <w:r>
        <w:rPr>
          <w:rFonts w:hint="eastAsia" w:asciiTheme="minorEastAsia" w:hAnsiTheme="minorEastAsia" w:eastAsiaTheme="minorEastAsia"/>
          <w:color w:val="auto"/>
          <w:sz w:val="24"/>
          <w:szCs w:val="24"/>
          <w:highlight w:val="none"/>
        </w:rPr>
        <w:t>后</w:t>
      </w:r>
      <w:r>
        <w:rPr>
          <w:rFonts w:hint="eastAsia" w:asciiTheme="minorEastAsia" w:hAnsiTheme="minorEastAsia" w:eastAsiaTheme="minorEastAsia"/>
          <w:color w:val="auto"/>
          <w:sz w:val="24"/>
          <w:szCs w:val="24"/>
          <w:highlight w:val="none"/>
          <w:u w:val="single"/>
        </w:rPr>
        <w:t xml:space="preserve"> 2  </w:t>
      </w:r>
      <w:r>
        <w:rPr>
          <w:rFonts w:hint="eastAsia" w:asciiTheme="minorEastAsia" w:hAnsiTheme="minorEastAsia" w:eastAsiaTheme="minorEastAsia"/>
          <w:color w:val="auto"/>
          <w:sz w:val="24"/>
          <w:szCs w:val="24"/>
          <w:highlight w:val="none"/>
        </w:rPr>
        <w:t>个日历天内向发包人发出要求延期的书面通知，在发生该情形后</w:t>
      </w:r>
      <w:r>
        <w:rPr>
          <w:rFonts w:hint="eastAsia" w:asciiTheme="minorEastAsia" w:hAnsiTheme="minorEastAsia" w:eastAsiaTheme="minorEastAsia"/>
          <w:color w:val="auto"/>
          <w:sz w:val="24"/>
          <w:szCs w:val="24"/>
          <w:highlight w:val="none"/>
          <w:u w:val="single"/>
        </w:rPr>
        <w:t xml:space="preserve">  2  </w:t>
      </w:r>
      <w:r>
        <w:rPr>
          <w:rFonts w:hint="eastAsia" w:asciiTheme="minorEastAsia" w:hAnsiTheme="minorEastAsia" w:eastAsiaTheme="minorEastAsia"/>
          <w:color w:val="auto"/>
          <w:sz w:val="24"/>
          <w:szCs w:val="24"/>
          <w:highlight w:val="none"/>
        </w:rPr>
        <w:t>个日历天内提交要求延期的详细说明。</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发包人收到设计人要求延期的详细说明后，应在</w:t>
      </w:r>
      <w:r>
        <w:rPr>
          <w:rFonts w:hint="eastAsia" w:asciiTheme="minorEastAsia" w:hAnsiTheme="minorEastAsia" w:eastAsiaTheme="minorEastAsia"/>
          <w:color w:val="auto"/>
          <w:sz w:val="24"/>
          <w:szCs w:val="24"/>
          <w:highlight w:val="none"/>
          <w:u w:val="single"/>
        </w:rPr>
        <w:t xml:space="preserve">  5  </w:t>
      </w:r>
      <w:r>
        <w:rPr>
          <w:rFonts w:hint="eastAsia" w:asciiTheme="minorEastAsia" w:hAnsiTheme="minorEastAsia" w:eastAsiaTheme="minorEastAsia"/>
          <w:color w:val="auto"/>
          <w:sz w:val="24"/>
          <w:szCs w:val="24"/>
          <w:highlight w:val="none"/>
        </w:rPr>
        <w:t>个日历天内进行审查并书面答复。</w:t>
      </w:r>
    </w:p>
    <w:p>
      <w:pPr>
        <w:pStyle w:val="6"/>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6.5 提前交付工程设计文件</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6.5.2 提前交付工程设计文件的奖励：</w:t>
      </w:r>
      <w:r>
        <w:rPr>
          <w:rFonts w:hint="eastAsia" w:asciiTheme="minorEastAsia" w:hAnsiTheme="minorEastAsia" w:eastAsiaTheme="minorEastAsia"/>
          <w:color w:val="auto"/>
          <w:sz w:val="24"/>
          <w:szCs w:val="24"/>
          <w:highlight w:val="none"/>
          <w:u w:val="single"/>
        </w:rPr>
        <w:t xml:space="preserve">   /  </w:t>
      </w:r>
      <w:r>
        <w:rPr>
          <w:rFonts w:hint="eastAsia" w:asciiTheme="minorEastAsia" w:hAnsiTheme="minorEastAsia" w:eastAsiaTheme="minorEastAsia"/>
          <w:color w:val="auto"/>
          <w:sz w:val="24"/>
          <w:szCs w:val="24"/>
          <w:highlight w:val="none"/>
        </w:rPr>
        <w:t>。</w:t>
      </w:r>
    </w:p>
    <w:p>
      <w:pPr>
        <w:spacing w:before="120" w:after="120"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 工程设计文件交付</w:t>
      </w:r>
    </w:p>
    <w:p>
      <w:pPr>
        <w:spacing w:before="120" w:after="120"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7.1 工程设计文件交付的内容</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7.1.2 发包人要求设计人提交电子版设计文件的具体形式为：</w:t>
      </w:r>
      <w:r>
        <w:rPr>
          <w:rFonts w:hint="eastAsia" w:asciiTheme="minorEastAsia" w:hAnsiTheme="minorEastAsia" w:eastAsiaTheme="minorEastAsia"/>
          <w:color w:val="auto"/>
          <w:sz w:val="24"/>
          <w:szCs w:val="24"/>
          <w:highlight w:val="none"/>
          <w:u w:val="single"/>
        </w:rPr>
        <w:t xml:space="preserve">   详见附件  ：《各阶段、各版次设计成果文件组成及要求》</w:t>
      </w:r>
      <w:r>
        <w:rPr>
          <w:rFonts w:hint="eastAsia" w:asciiTheme="minorEastAsia" w:hAnsiTheme="minorEastAsia" w:eastAsiaTheme="minorEastAsia"/>
          <w:color w:val="auto"/>
          <w:sz w:val="24"/>
          <w:szCs w:val="24"/>
          <w:highlight w:val="none"/>
        </w:rPr>
        <w:t xml:space="preserve">。 </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8. 工程设计文件审查</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8.1 发包人对设计人的设计文件审查期限不超过</w:t>
      </w:r>
      <w:r>
        <w:rPr>
          <w:rFonts w:hint="eastAsia" w:asciiTheme="minorEastAsia" w:hAnsiTheme="minorEastAsia" w:eastAsiaTheme="minorEastAsia"/>
          <w:color w:val="auto"/>
          <w:sz w:val="24"/>
          <w:szCs w:val="24"/>
          <w:highlight w:val="none"/>
          <w:u w:val="single"/>
        </w:rPr>
        <w:t xml:space="preserve">  20  个日历天（因设计人原因导致审查不能通过审查的，设计人的设计周期不调整，且根据合同条款追究设计人的设计责任）</w:t>
      </w:r>
      <w:r>
        <w:rPr>
          <w:rFonts w:hint="eastAsia" w:asciiTheme="minorEastAsia" w:hAnsiTheme="minorEastAsia" w:eastAsiaTheme="minorEastAsia"/>
          <w:color w:val="auto"/>
          <w:sz w:val="24"/>
          <w:szCs w:val="24"/>
          <w:highlight w:val="none"/>
        </w:rPr>
        <w:t>。</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8.4 工程设计审查形式及时间安排：</w:t>
      </w:r>
      <w:r>
        <w:rPr>
          <w:rFonts w:hint="eastAsia" w:asciiTheme="minorEastAsia" w:hAnsiTheme="minorEastAsia" w:eastAsiaTheme="minorEastAsia"/>
          <w:color w:val="auto"/>
          <w:sz w:val="24"/>
          <w:szCs w:val="24"/>
          <w:highlight w:val="none"/>
          <w:u w:val="single"/>
        </w:rPr>
        <w:t xml:space="preserve">  根据设计的不同阶段，由发包人提供资料委托查关专业的专家或专业的审图机构对设计人提交的设计文件进行审查，具体时间安排由发包人确定后通知设计人，设计人不得有异议  </w:t>
      </w:r>
      <w:r>
        <w:rPr>
          <w:rFonts w:hint="eastAsia" w:asciiTheme="minorEastAsia" w:hAnsiTheme="minorEastAsia" w:eastAsiaTheme="minorEastAsia"/>
          <w:color w:val="auto"/>
          <w:sz w:val="24"/>
          <w:szCs w:val="24"/>
          <w:highlight w:val="none"/>
        </w:rPr>
        <w:t>。</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10. 合同价款与支付</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10.1设计取费标准</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工程设计费计费方式为总价包干。合同设计费已包含本合同约定项目的全部设计费用，设计文件修改费用，招标配合费用，驻场服务费用，设计调研费，各类报建、报审、报验收的费用，</w:t>
      </w:r>
      <w:r>
        <w:rPr>
          <w:rFonts w:hint="eastAsia" w:asciiTheme="minorEastAsia" w:hAnsiTheme="minorEastAsia" w:eastAsiaTheme="minorEastAsia"/>
          <w:strike/>
          <w:color w:val="auto"/>
          <w:sz w:val="24"/>
          <w:szCs w:val="24"/>
          <w:highlight w:val="none"/>
          <w:u w:val="single"/>
        </w:rPr>
        <w:t>竣工图审查费用，</w:t>
      </w:r>
      <w:r>
        <w:rPr>
          <w:rFonts w:hint="eastAsia" w:asciiTheme="minorEastAsia" w:hAnsiTheme="minorEastAsia" w:eastAsiaTheme="minorEastAsia"/>
          <w:color w:val="auto"/>
          <w:sz w:val="24"/>
          <w:szCs w:val="24"/>
          <w:highlight w:val="none"/>
          <w:u w:val="single"/>
        </w:rPr>
        <w:t>设计变更费用以及设计人委托有工程造价咨询资质单位编制估算、初步设计概算的费用等。发包人不再支付合同中指明费用内的任何其他费用。如发包人要求设计人提供本合同外的服务，费用另行协商。</w:t>
      </w:r>
    </w:p>
    <w:p>
      <w:pPr>
        <w:spacing w:line="360" w:lineRule="auto"/>
        <w:ind w:firstLine="480" w:firstLineChars="200"/>
        <w:jc w:val="left"/>
        <w:rPr>
          <w:rFonts w:asciiTheme="minorEastAsia" w:hAnsiTheme="minorEastAsia" w:eastAsiaTheme="minorEastAsia"/>
          <w:bCs/>
          <w:color w:val="auto"/>
          <w:sz w:val="24"/>
          <w:szCs w:val="24"/>
          <w:highlight w:val="none"/>
        </w:rPr>
      </w:pPr>
      <w:r>
        <w:rPr>
          <w:rFonts w:hint="eastAsia" w:asciiTheme="minorEastAsia" w:hAnsiTheme="minorEastAsia" w:eastAsiaTheme="minorEastAsia"/>
          <w:bCs/>
          <w:color w:val="auto"/>
          <w:sz w:val="24"/>
          <w:szCs w:val="24"/>
          <w:highlight w:val="none"/>
        </w:rPr>
        <w:t>10.4</w:t>
      </w:r>
      <w:r>
        <w:rPr>
          <w:rFonts w:hint="eastAsia" w:asciiTheme="minorEastAsia" w:hAnsiTheme="minorEastAsia" w:eastAsiaTheme="minorEastAsia"/>
          <w:b/>
          <w:color w:val="auto"/>
          <w:sz w:val="24"/>
          <w:szCs w:val="24"/>
          <w:highlight w:val="none"/>
        </w:rPr>
        <w:t>进度款支付</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10.4.1方案设计</w:t>
      </w:r>
      <w:r>
        <w:rPr>
          <w:rFonts w:hint="eastAsia" w:cs="宋体" w:asciiTheme="minorEastAsia" w:hAnsiTheme="minorEastAsia" w:eastAsiaTheme="minorEastAsia"/>
          <w:color w:val="auto"/>
          <w:kern w:val="1"/>
          <w:sz w:val="24"/>
          <w:szCs w:val="24"/>
          <w:highlight w:val="none"/>
        </w:rPr>
        <w:t>投标经济补偿费</w:t>
      </w:r>
      <w:r>
        <w:rPr>
          <w:rFonts w:hint="eastAsia" w:asciiTheme="minorEastAsia" w:hAnsiTheme="minorEastAsia" w:eastAsiaTheme="minorEastAsia"/>
          <w:color w:val="auto"/>
          <w:sz w:val="24"/>
          <w:szCs w:val="24"/>
          <w:highlight w:val="none"/>
        </w:rPr>
        <w:t>合计人民币万元，其中：</w:t>
      </w:r>
    </w:p>
    <w:p>
      <w:pPr>
        <w:spacing w:line="360" w:lineRule="auto"/>
        <w:ind w:firstLine="480" w:firstLineChars="200"/>
        <w:rPr>
          <w:rFonts w:cs="宋体" w:asciiTheme="minorEastAsia" w:hAnsiTheme="minorEastAsia" w:eastAsiaTheme="minorEastAsia"/>
          <w:color w:val="auto"/>
          <w:kern w:val="1"/>
          <w:sz w:val="24"/>
          <w:szCs w:val="24"/>
          <w:highlight w:val="none"/>
        </w:rPr>
      </w:pPr>
      <w:r>
        <w:rPr>
          <w:rFonts w:hint="eastAsia" w:cs="宋体" w:asciiTheme="minorEastAsia" w:hAnsiTheme="minorEastAsia" w:eastAsiaTheme="minorEastAsia"/>
          <w:color w:val="auto"/>
          <w:kern w:val="1"/>
          <w:sz w:val="24"/>
          <w:szCs w:val="24"/>
          <w:highlight w:val="none"/>
        </w:rPr>
        <w:t>□本项目不设投标补偿。</w:t>
      </w:r>
    </w:p>
    <w:p>
      <w:pPr>
        <w:spacing w:line="360" w:lineRule="auto"/>
        <w:ind w:firstLine="480" w:firstLineChars="200"/>
        <w:rPr>
          <w:rFonts w:cs="宋体" w:asciiTheme="minorEastAsia" w:hAnsiTheme="minorEastAsia" w:eastAsiaTheme="minorEastAsia"/>
          <w:color w:val="auto"/>
          <w:kern w:val="1"/>
          <w:sz w:val="24"/>
          <w:szCs w:val="24"/>
          <w:highlight w:val="none"/>
        </w:rPr>
      </w:pPr>
      <w:r>
        <w:rPr>
          <w:rFonts w:hint="eastAsia" w:cs="宋体" w:asciiTheme="minorEastAsia" w:hAnsiTheme="minorEastAsia" w:eastAsiaTheme="minorEastAsia"/>
          <w:color w:val="auto"/>
          <w:kern w:val="1"/>
          <w:sz w:val="24"/>
          <w:szCs w:val="24"/>
          <w:highlight w:val="none"/>
        </w:rPr>
        <w:t>√适用于中标人支付经济补偿：</w:t>
      </w:r>
    </w:p>
    <w:p>
      <w:pPr>
        <w:spacing w:line="360" w:lineRule="auto"/>
        <w:ind w:firstLine="480" w:firstLineChars="200"/>
        <w:rPr>
          <w:rFonts w:cs="宋体" w:asciiTheme="minorEastAsia" w:hAnsiTheme="minorEastAsia" w:eastAsiaTheme="minorEastAsia"/>
          <w:bCs/>
          <w:color w:val="auto"/>
          <w:kern w:val="1"/>
          <w:sz w:val="24"/>
          <w:szCs w:val="24"/>
          <w:highlight w:val="none"/>
        </w:rPr>
      </w:pPr>
      <w:r>
        <w:rPr>
          <w:rFonts w:hint="eastAsia" w:cs="宋体" w:asciiTheme="minorEastAsia" w:hAnsiTheme="minorEastAsia" w:eastAsiaTheme="minorEastAsia"/>
          <w:bCs/>
          <w:color w:val="auto"/>
          <w:kern w:val="1"/>
          <w:sz w:val="24"/>
          <w:szCs w:val="24"/>
          <w:highlight w:val="none"/>
        </w:rPr>
        <w:t>(1) 全部的投标经济补偿费包含在本项目设计费中，承包人根据评标委员会对投标人的设计方案评审排序，承包人在签订合同后，由承包人向发包人申请，承包人在收到招标人的第一笔付款后，对评标阶段方案评审排名</w:t>
      </w:r>
      <w:r>
        <w:rPr>
          <w:rFonts w:hint="eastAsia" w:cs="宋体" w:asciiTheme="minorEastAsia" w:hAnsiTheme="minorEastAsia" w:eastAsiaTheme="minorEastAsia"/>
          <w:bCs/>
          <w:color w:val="auto"/>
          <w:kern w:val="1"/>
          <w:sz w:val="24"/>
          <w:szCs w:val="24"/>
          <w:highlight w:val="none"/>
        </w:rPr>
        <w:t>1-6</w:t>
      </w:r>
      <w:r>
        <w:rPr>
          <w:rFonts w:hint="eastAsia" w:cs="宋体" w:asciiTheme="minorEastAsia" w:hAnsiTheme="minorEastAsia" w:eastAsiaTheme="minorEastAsia"/>
          <w:bCs/>
          <w:color w:val="auto"/>
          <w:kern w:val="1"/>
          <w:sz w:val="24"/>
          <w:szCs w:val="24"/>
          <w:highlight w:val="none"/>
        </w:rPr>
        <w:t>名投标人的设计方案给予补偿。其余未中标人费用自理，发包人不再给予未中标人投标补偿。</w:t>
      </w:r>
    </w:p>
    <w:p>
      <w:pPr>
        <w:spacing w:line="360" w:lineRule="auto"/>
        <w:ind w:firstLine="480" w:firstLineChars="200"/>
        <w:rPr>
          <w:rFonts w:cs="宋体" w:asciiTheme="minorEastAsia" w:hAnsiTheme="minorEastAsia" w:eastAsiaTheme="minorEastAsia"/>
          <w:bCs/>
          <w:color w:val="auto"/>
          <w:kern w:val="1"/>
          <w:sz w:val="24"/>
          <w:szCs w:val="24"/>
          <w:highlight w:val="none"/>
        </w:rPr>
      </w:pPr>
      <w:r>
        <w:rPr>
          <w:rFonts w:hint="eastAsia" w:cs="宋体" w:asciiTheme="minorEastAsia" w:hAnsiTheme="minorEastAsia" w:eastAsiaTheme="minorEastAsia"/>
          <w:bCs/>
          <w:color w:val="auto"/>
          <w:kern w:val="1"/>
          <w:sz w:val="24"/>
          <w:szCs w:val="24"/>
          <w:highlight w:val="none"/>
        </w:rPr>
        <w:t>如果投标人不足</w:t>
      </w:r>
      <w:r>
        <w:rPr>
          <w:rFonts w:hint="eastAsia" w:cs="宋体" w:asciiTheme="minorEastAsia" w:hAnsiTheme="minorEastAsia" w:eastAsiaTheme="minorEastAsia"/>
          <w:bCs/>
          <w:color w:val="auto"/>
          <w:kern w:val="1"/>
          <w:sz w:val="24"/>
          <w:szCs w:val="24"/>
          <w:highlight w:val="none"/>
        </w:rPr>
        <w:t>6名</w:t>
      </w:r>
      <w:r>
        <w:rPr>
          <w:rFonts w:hint="eastAsia" w:cs="宋体" w:asciiTheme="minorEastAsia" w:hAnsiTheme="minorEastAsia" w:eastAsiaTheme="minorEastAsia"/>
          <w:bCs/>
          <w:color w:val="auto"/>
          <w:kern w:val="1"/>
          <w:sz w:val="24"/>
          <w:szCs w:val="24"/>
          <w:highlight w:val="none"/>
        </w:rPr>
        <w:t>或者</w:t>
      </w:r>
      <w:r>
        <w:rPr>
          <w:rFonts w:hint="eastAsia" w:cs="宋体" w:asciiTheme="minorEastAsia" w:hAnsiTheme="minorEastAsia" w:eastAsiaTheme="minorEastAsia"/>
          <w:bCs/>
          <w:color w:val="auto"/>
          <w:kern w:val="1"/>
          <w:sz w:val="24"/>
          <w:szCs w:val="24"/>
          <w:highlight w:val="none"/>
        </w:rPr>
        <w:t>前6名</w:t>
      </w:r>
      <w:r>
        <w:rPr>
          <w:rFonts w:hint="eastAsia" w:cs="宋体" w:asciiTheme="minorEastAsia" w:hAnsiTheme="minorEastAsia" w:eastAsiaTheme="minorEastAsia"/>
          <w:bCs/>
          <w:color w:val="auto"/>
          <w:kern w:val="1"/>
          <w:sz w:val="24"/>
          <w:szCs w:val="24"/>
          <w:highlight w:val="none"/>
        </w:rPr>
        <w:t>中有被废标的，所剩余的投标经济补偿费支付给中标人。</w:t>
      </w:r>
    </w:p>
    <w:p>
      <w:pPr>
        <w:spacing w:line="360" w:lineRule="auto"/>
        <w:ind w:firstLine="480" w:firstLineChars="200"/>
        <w:rPr>
          <w:rFonts w:cs="宋体" w:asciiTheme="minorEastAsia" w:hAnsiTheme="minorEastAsia" w:eastAsiaTheme="minorEastAsia"/>
          <w:bCs/>
          <w:color w:val="auto"/>
          <w:kern w:val="1"/>
          <w:sz w:val="24"/>
          <w:szCs w:val="24"/>
          <w:highlight w:val="none"/>
        </w:rPr>
      </w:pPr>
      <w:r>
        <w:rPr>
          <w:rFonts w:hint="eastAsia" w:cs="宋体" w:asciiTheme="minorEastAsia" w:hAnsiTheme="minorEastAsia" w:eastAsiaTheme="minorEastAsia"/>
          <w:bCs/>
          <w:color w:val="auto"/>
          <w:kern w:val="1"/>
          <w:sz w:val="24"/>
          <w:szCs w:val="24"/>
          <w:highlight w:val="none"/>
        </w:rPr>
        <w:t>对出现无效标情形的投标人，将不作投标经济补偿，该部分投标经济补偿费支付给中标人。</w:t>
      </w:r>
    </w:p>
    <w:p>
      <w:pPr>
        <w:spacing w:line="360" w:lineRule="auto"/>
        <w:ind w:firstLine="480" w:firstLineChars="200"/>
        <w:rPr>
          <w:rFonts w:cs="宋体" w:asciiTheme="minorEastAsia" w:hAnsiTheme="minorEastAsia" w:eastAsiaTheme="minorEastAsia"/>
          <w:bCs/>
          <w:color w:val="auto"/>
          <w:kern w:val="1"/>
          <w:sz w:val="24"/>
          <w:szCs w:val="24"/>
          <w:highlight w:val="none"/>
        </w:rPr>
      </w:pPr>
      <w:r>
        <w:rPr>
          <w:rFonts w:hint="eastAsia" w:cs="宋体" w:asciiTheme="minorEastAsia" w:hAnsiTheme="minorEastAsia" w:eastAsiaTheme="minorEastAsia"/>
          <w:bCs/>
          <w:color w:val="auto"/>
          <w:kern w:val="1"/>
          <w:sz w:val="24"/>
          <w:szCs w:val="24"/>
          <w:highlight w:val="none"/>
        </w:rPr>
        <w:t>招标人和中标人有权在实施方案中参考使用获得经济补偿的所有投标方案成果内容。</w:t>
      </w:r>
    </w:p>
    <w:p>
      <w:pPr>
        <w:spacing w:line="360" w:lineRule="auto"/>
        <w:ind w:firstLine="480" w:firstLineChars="200"/>
        <w:rPr>
          <w:rFonts w:cs="宋体" w:asciiTheme="minorEastAsia" w:hAnsiTheme="minorEastAsia" w:eastAsiaTheme="minorEastAsia"/>
          <w:bCs/>
          <w:color w:val="auto"/>
          <w:kern w:val="1"/>
          <w:sz w:val="24"/>
          <w:szCs w:val="24"/>
          <w:highlight w:val="none"/>
        </w:rPr>
      </w:pPr>
      <w:r>
        <w:rPr>
          <w:rFonts w:hint="eastAsia" w:cs="宋体" w:asciiTheme="minorEastAsia" w:hAnsiTheme="minorEastAsia" w:eastAsiaTheme="minorEastAsia"/>
          <w:bCs/>
          <w:color w:val="auto"/>
          <w:kern w:val="1"/>
          <w:sz w:val="24"/>
          <w:szCs w:val="24"/>
          <w:highlight w:val="none"/>
        </w:rPr>
        <w:t>(2)方案设计投标经济补偿费总额</w:t>
      </w:r>
      <w:r>
        <w:rPr>
          <w:rFonts w:hint="eastAsia" w:cs="宋体" w:asciiTheme="minorEastAsia" w:hAnsiTheme="minorEastAsia" w:eastAsiaTheme="minorEastAsia"/>
          <w:bCs/>
          <w:color w:val="auto"/>
          <w:kern w:val="1"/>
          <w:sz w:val="24"/>
          <w:szCs w:val="24"/>
          <w:highlight w:val="none"/>
          <w:u w:val="single"/>
        </w:rPr>
        <w:t xml:space="preserve">    </w:t>
      </w:r>
      <w:r>
        <w:rPr>
          <w:rFonts w:hint="eastAsia" w:cs="宋体" w:asciiTheme="minorEastAsia" w:hAnsiTheme="minorEastAsia" w:eastAsiaTheme="minorEastAsia"/>
          <w:bCs/>
          <w:color w:val="auto"/>
          <w:kern w:val="1"/>
          <w:sz w:val="24"/>
          <w:szCs w:val="24"/>
          <w:highlight w:val="none"/>
        </w:rPr>
        <w:t>万元，其补偿方式如下（</w:t>
      </w:r>
      <w:r>
        <w:rPr>
          <w:rFonts w:hint="eastAsia" w:asciiTheme="minorEastAsia" w:hAnsiTheme="minorEastAsia" w:eastAsiaTheme="minorEastAsia"/>
          <w:bCs/>
          <w:color w:val="auto"/>
          <w:sz w:val="24"/>
          <w:szCs w:val="24"/>
          <w:highlight w:val="none"/>
        </w:rPr>
        <w:t>以招标公告数据为准</w:t>
      </w:r>
      <w:r>
        <w:rPr>
          <w:rFonts w:hint="eastAsia" w:cs="宋体" w:asciiTheme="minorEastAsia" w:hAnsiTheme="minorEastAsia" w:eastAsiaTheme="minorEastAsia"/>
          <w:bCs/>
          <w:color w:val="auto"/>
          <w:kern w:val="1"/>
          <w:sz w:val="24"/>
          <w:szCs w:val="24"/>
          <w:highlight w:val="none"/>
        </w:rPr>
        <w:t>）：</w:t>
      </w:r>
    </w:p>
    <w:tbl>
      <w:tblPr>
        <w:tblStyle w:val="63"/>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536"/>
        <w:gridCol w:w="1581"/>
        <w:gridCol w:w="3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排列名次</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投标人名称</w:t>
            </w: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补偿金额（元）</w:t>
            </w: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440" w:type="dxa"/>
            <w:vAlign w:val="center"/>
          </w:tcPr>
          <w:p>
            <w:pPr>
              <w:spacing w:line="360" w:lineRule="auto"/>
              <w:jc w:val="center"/>
              <w:rPr>
                <w:rFonts w:asciiTheme="minorEastAsia" w:hAnsiTheme="minorEastAsia" w:eastAsiaTheme="minorEastAsia"/>
                <w:color w:val="auto"/>
                <w:sz w:val="24"/>
                <w:szCs w:val="24"/>
                <w:highlight w:val="none"/>
              </w:rPr>
            </w:pPr>
          </w:p>
        </w:tc>
        <w:tc>
          <w:tcPr>
            <w:tcW w:w="2536"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合  计</w:t>
            </w:r>
          </w:p>
        </w:tc>
        <w:tc>
          <w:tcPr>
            <w:tcW w:w="1581" w:type="dxa"/>
            <w:vAlign w:val="center"/>
          </w:tcPr>
          <w:p>
            <w:pPr>
              <w:spacing w:line="360" w:lineRule="auto"/>
              <w:jc w:val="center"/>
              <w:rPr>
                <w:rFonts w:asciiTheme="minorEastAsia" w:hAnsiTheme="minorEastAsia" w:eastAsiaTheme="minorEastAsia"/>
                <w:color w:val="auto"/>
                <w:sz w:val="24"/>
                <w:szCs w:val="24"/>
                <w:highlight w:val="none"/>
              </w:rPr>
            </w:pPr>
          </w:p>
        </w:tc>
        <w:tc>
          <w:tcPr>
            <w:tcW w:w="3037" w:type="dxa"/>
            <w:vAlign w:val="center"/>
          </w:tcPr>
          <w:p>
            <w:pPr>
              <w:spacing w:line="360" w:lineRule="auto"/>
              <w:jc w:val="center"/>
              <w:rPr>
                <w:rFonts w:asciiTheme="minorEastAsia" w:hAnsiTheme="minorEastAsia" w:eastAsiaTheme="minorEastAsia"/>
                <w:color w:val="auto"/>
                <w:sz w:val="24"/>
                <w:szCs w:val="24"/>
                <w:highlight w:val="none"/>
              </w:rPr>
            </w:pPr>
          </w:p>
        </w:tc>
      </w:tr>
    </w:tbl>
    <w:p>
      <w:pPr>
        <w:spacing w:line="360" w:lineRule="auto"/>
        <w:ind w:left="479" w:leftChars="202" w:hanging="55" w:hangingChars="23"/>
        <w:rPr>
          <w:rFonts w:ascii="宋体" w:hAnsi="宋体"/>
          <w:b/>
          <w:color w:val="auto"/>
          <w:sz w:val="24"/>
          <w:szCs w:val="24"/>
          <w:highlight w:val="none"/>
        </w:rPr>
      </w:pPr>
      <w:r>
        <w:rPr>
          <w:rFonts w:hint="eastAsia" w:ascii="宋体" w:hAnsi="宋体"/>
          <w:b/>
          <w:color w:val="auto"/>
          <w:sz w:val="24"/>
          <w:szCs w:val="24"/>
          <w:highlight w:val="none"/>
        </w:rPr>
        <w:t>10.4.2设计费（含投标经济补偿费部分）支付进度详见下表：</w:t>
      </w:r>
    </w:p>
    <w:tbl>
      <w:tblPr>
        <w:tblStyle w:val="63"/>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230"/>
        <w:gridCol w:w="3234"/>
        <w:gridCol w:w="180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19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服务名称</w:t>
            </w: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期次</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支付节点</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支付比例（</w:t>
            </w:r>
            <w:r>
              <w:rPr>
                <w:rFonts w:cs="宋体"/>
                <w:color w:val="auto"/>
                <w:kern w:val="0"/>
                <w:szCs w:val="21"/>
                <w:highlight w:val="none"/>
              </w:rPr>
              <w:t>%</w:t>
            </w:r>
            <w:r>
              <w:rPr>
                <w:rFonts w:hint="eastAsia" w:ascii="宋体" w:hAnsi="宋体" w:cs="宋体"/>
                <w:color w:val="auto"/>
                <w:kern w:val="0"/>
                <w:szCs w:val="21"/>
                <w:highlight w:val="none"/>
              </w:rPr>
              <w:t>）</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94" w:type="dxa"/>
            <w:vMerge w:val="restart"/>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基本设计费（</w:t>
            </w:r>
            <w:r>
              <w:rPr>
                <w:rFonts w:cs="宋体"/>
                <w:color w:val="auto"/>
                <w:kern w:val="0"/>
                <w:szCs w:val="21"/>
                <w:highlight w:val="none"/>
              </w:rPr>
              <w:t>100%</w:t>
            </w:r>
            <w:r>
              <w:rPr>
                <w:rFonts w:hint="eastAsia" w:ascii="宋体" w:hAnsi="宋体" w:cs="宋体"/>
                <w:color w:val="auto"/>
                <w:kern w:val="0"/>
                <w:szCs w:val="21"/>
                <w:highlight w:val="none"/>
              </w:rPr>
              <w:t>）</w:t>
            </w: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第</w:t>
            </w:r>
            <w:r>
              <w:rPr>
                <w:rFonts w:cs="宋体"/>
                <w:color w:val="auto"/>
                <w:kern w:val="0"/>
                <w:szCs w:val="21"/>
                <w:highlight w:val="none"/>
              </w:rPr>
              <w:t>1</w:t>
            </w:r>
            <w:r>
              <w:rPr>
                <w:rFonts w:hint="eastAsia" w:ascii="宋体" w:hAnsi="宋体" w:cs="宋体"/>
                <w:color w:val="auto"/>
                <w:kern w:val="0"/>
                <w:szCs w:val="21"/>
                <w:highlight w:val="none"/>
              </w:rPr>
              <w:t>期</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签订合同并提交履约保函</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基数×</w:t>
            </w:r>
            <w:r>
              <w:rPr>
                <w:rFonts w:ascii="宋体" w:hAnsi="宋体" w:cs="宋体"/>
                <w:color w:val="auto"/>
                <w:kern w:val="0"/>
                <w:szCs w:val="21"/>
                <w:highlight w:val="none"/>
              </w:rPr>
              <w:t>10%</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首付款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94" w:type="dxa"/>
            <w:vMerge w:val="continue"/>
            <w:noWrap/>
            <w:vAlign w:val="center"/>
          </w:tcPr>
          <w:p>
            <w:pPr>
              <w:widowControl/>
              <w:jc w:val="left"/>
              <w:rPr>
                <w:rFonts w:ascii="宋体" w:hAnsi="宋体" w:cs="宋体"/>
                <w:color w:val="auto"/>
                <w:kern w:val="0"/>
                <w:szCs w:val="21"/>
                <w:highlight w:val="none"/>
              </w:rPr>
            </w:pP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第</w:t>
            </w:r>
            <w:r>
              <w:rPr>
                <w:rFonts w:cs="宋体"/>
                <w:color w:val="auto"/>
                <w:kern w:val="0"/>
                <w:szCs w:val="21"/>
                <w:highlight w:val="none"/>
              </w:rPr>
              <w:t>2</w:t>
            </w:r>
            <w:r>
              <w:rPr>
                <w:rFonts w:hint="eastAsia" w:ascii="宋体" w:hAnsi="宋体" w:cs="宋体"/>
                <w:color w:val="auto"/>
                <w:kern w:val="0"/>
                <w:szCs w:val="21"/>
                <w:highlight w:val="none"/>
              </w:rPr>
              <w:t>期</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取得项目《建设工程规划许可证》</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基数×</w:t>
            </w:r>
            <w:r>
              <w:rPr>
                <w:rFonts w:ascii="宋体" w:hAnsi="宋体" w:cs="宋体"/>
                <w:color w:val="auto"/>
                <w:kern w:val="0"/>
                <w:szCs w:val="21"/>
                <w:highlight w:val="none"/>
              </w:rPr>
              <w:t>30%×A</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方案设计阶段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94" w:type="dxa"/>
            <w:vMerge w:val="continue"/>
            <w:noWrap/>
            <w:vAlign w:val="center"/>
          </w:tcPr>
          <w:p>
            <w:pPr>
              <w:widowControl/>
              <w:jc w:val="left"/>
              <w:rPr>
                <w:rFonts w:ascii="宋体" w:hAnsi="宋体" w:cs="宋体"/>
                <w:color w:val="auto"/>
                <w:kern w:val="0"/>
                <w:szCs w:val="21"/>
                <w:highlight w:val="none"/>
              </w:rPr>
            </w:pP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第</w:t>
            </w:r>
            <w:r>
              <w:rPr>
                <w:rFonts w:cs="宋体"/>
                <w:color w:val="auto"/>
                <w:kern w:val="0"/>
                <w:szCs w:val="21"/>
                <w:highlight w:val="none"/>
              </w:rPr>
              <w:t>3</w:t>
            </w:r>
            <w:r>
              <w:rPr>
                <w:rFonts w:hint="eastAsia" w:ascii="宋体" w:hAnsi="宋体" w:cs="宋体"/>
                <w:color w:val="auto"/>
                <w:kern w:val="0"/>
                <w:szCs w:val="21"/>
                <w:highlight w:val="none"/>
              </w:rPr>
              <w:t>期</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取得发改部门对初步设计概算的批复</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基数×</w:t>
            </w:r>
            <w:r>
              <w:rPr>
                <w:rFonts w:ascii="宋体" w:hAnsi="宋体" w:cs="宋体"/>
                <w:color w:val="auto"/>
                <w:kern w:val="0"/>
                <w:szCs w:val="21"/>
                <w:highlight w:val="none"/>
              </w:rPr>
              <w:t>40%×A+F</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初步设计阶段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94" w:type="dxa"/>
            <w:vMerge w:val="continue"/>
            <w:noWrap/>
            <w:vAlign w:val="center"/>
          </w:tcPr>
          <w:p>
            <w:pPr>
              <w:widowControl/>
              <w:jc w:val="left"/>
              <w:rPr>
                <w:rFonts w:ascii="宋体" w:hAnsi="宋体" w:cs="宋体"/>
                <w:color w:val="auto"/>
                <w:kern w:val="0"/>
                <w:szCs w:val="21"/>
                <w:highlight w:val="none"/>
              </w:rPr>
            </w:pP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第</w:t>
            </w:r>
            <w:r>
              <w:rPr>
                <w:rFonts w:cs="宋体"/>
                <w:color w:val="auto"/>
                <w:kern w:val="0"/>
                <w:szCs w:val="21"/>
                <w:highlight w:val="none"/>
              </w:rPr>
              <w:t>4</w:t>
            </w:r>
            <w:r>
              <w:rPr>
                <w:rFonts w:hint="eastAsia" w:ascii="宋体" w:hAnsi="宋体" w:cs="宋体"/>
                <w:color w:val="auto"/>
                <w:kern w:val="0"/>
                <w:szCs w:val="21"/>
                <w:highlight w:val="none"/>
              </w:rPr>
              <w:t>期</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完成对施工图设计单位的成果审核，取得施工图审查合格报告</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基数×</w:t>
            </w:r>
            <w:r>
              <w:rPr>
                <w:rFonts w:ascii="宋体" w:hAnsi="宋体" w:cs="宋体"/>
                <w:color w:val="auto"/>
                <w:kern w:val="0"/>
                <w:szCs w:val="21"/>
                <w:highlight w:val="none"/>
              </w:rPr>
              <w:t>10%×A</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施工图配合阶段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194" w:type="dxa"/>
            <w:vMerge w:val="continue"/>
            <w:noWrap/>
            <w:vAlign w:val="center"/>
          </w:tcPr>
          <w:p>
            <w:pPr>
              <w:widowControl/>
              <w:jc w:val="left"/>
              <w:rPr>
                <w:rFonts w:ascii="宋体" w:hAnsi="宋体" w:cs="宋体"/>
                <w:color w:val="auto"/>
                <w:kern w:val="0"/>
                <w:szCs w:val="21"/>
                <w:highlight w:val="none"/>
              </w:rPr>
            </w:pP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第</w:t>
            </w:r>
            <w:r>
              <w:rPr>
                <w:rFonts w:cs="宋体"/>
                <w:color w:val="auto"/>
                <w:kern w:val="0"/>
                <w:szCs w:val="21"/>
                <w:highlight w:val="none"/>
              </w:rPr>
              <w:t>5</w:t>
            </w:r>
            <w:r>
              <w:rPr>
                <w:rFonts w:hint="eastAsia" w:ascii="宋体" w:hAnsi="宋体" w:cs="宋体"/>
                <w:color w:val="auto"/>
                <w:kern w:val="0"/>
                <w:szCs w:val="21"/>
                <w:highlight w:val="none"/>
              </w:rPr>
              <w:t>期</w:t>
            </w:r>
          </w:p>
        </w:tc>
        <w:tc>
          <w:tcPr>
            <w:tcW w:w="3234"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合同结算经省政府财政部门审定</w:t>
            </w:r>
          </w:p>
        </w:tc>
        <w:tc>
          <w:tcPr>
            <w:tcW w:w="180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基数×</w:t>
            </w:r>
            <w:r>
              <w:rPr>
                <w:rFonts w:ascii="宋体" w:hAnsi="宋体" w:cs="宋体"/>
                <w:color w:val="auto"/>
                <w:kern w:val="0"/>
                <w:szCs w:val="21"/>
                <w:highlight w:val="none"/>
              </w:rPr>
              <w:t>10%或按省政府财政部门审定应付金额</w:t>
            </w:r>
          </w:p>
        </w:tc>
        <w:tc>
          <w:tcPr>
            <w:tcW w:w="1185"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结算款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94" w:type="dxa"/>
            <w:vMerge w:val="continue"/>
            <w:noWrap/>
            <w:vAlign w:val="center"/>
          </w:tcPr>
          <w:p>
            <w:pPr>
              <w:widowControl/>
              <w:jc w:val="left"/>
              <w:rPr>
                <w:rFonts w:ascii="宋体" w:hAnsi="宋体" w:cs="宋体"/>
                <w:color w:val="auto"/>
                <w:kern w:val="0"/>
                <w:szCs w:val="21"/>
                <w:highlight w:val="none"/>
              </w:rPr>
            </w:pPr>
          </w:p>
        </w:tc>
        <w:tc>
          <w:tcPr>
            <w:tcW w:w="1230" w:type="dxa"/>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总计</w:t>
            </w:r>
          </w:p>
        </w:tc>
        <w:tc>
          <w:tcPr>
            <w:tcW w:w="3234" w:type="dxa"/>
            <w:noWrap/>
            <w:vAlign w:val="center"/>
          </w:tcPr>
          <w:p>
            <w:pPr>
              <w:widowControl/>
              <w:jc w:val="center"/>
              <w:rPr>
                <w:rFonts w:cs="宋体"/>
                <w:color w:val="auto"/>
                <w:kern w:val="0"/>
                <w:szCs w:val="21"/>
                <w:highlight w:val="none"/>
              </w:rPr>
            </w:pPr>
            <w:r>
              <w:rPr>
                <w:rFonts w:cs="宋体"/>
                <w:color w:val="auto"/>
                <w:kern w:val="0"/>
                <w:szCs w:val="21"/>
                <w:highlight w:val="none"/>
              </w:rPr>
              <w:t>　</w:t>
            </w:r>
          </w:p>
        </w:tc>
        <w:tc>
          <w:tcPr>
            <w:tcW w:w="1800" w:type="dxa"/>
            <w:noWrap/>
            <w:vAlign w:val="center"/>
          </w:tcPr>
          <w:p>
            <w:pPr>
              <w:widowControl/>
              <w:jc w:val="center"/>
              <w:rPr>
                <w:rFonts w:cs="宋体"/>
                <w:color w:val="auto"/>
                <w:kern w:val="0"/>
                <w:szCs w:val="21"/>
                <w:highlight w:val="none"/>
              </w:rPr>
            </w:pPr>
            <w:r>
              <w:rPr>
                <w:rFonts w:cs="宋体"/>
                <w:color w:val="auto"/>
                <w:kern w:val="0"/>
                <w:szCs w:val="21"/>
                <w:highlight w:val="none"/>
              </w:rPr>
              <w:t>100</w:t>
            </w:r>
          </w:p>
        </w:tc>
        <w:tc>
          <w:tcPr>
            <w:tcW w:w="1185" w:type="dxa"/>
            <w:noWrap/>
            <w:vAlign w:val="center"/>
          </w:tcPr>
          <w:p>
            <w:pPr>
              <w:widowControl/>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w:t>
            </w:r>
          </w:p>
        </w:tc>
      </w:tr>
    </w:tbl>
    <w:p>
      <w:pPr>
        <w:spacing w:line="360" w:lineRule="auto"/>
        <w:ind w:firstLine="240" w:firstLineChars="100"/>
        <w:rPr>
          <w:rFonts w:ascii="宋体" w:hAnsi="宋体"/>
          <w:color w:val="auto"/>
          <w:sz w:val="24"/>
          <w:szCs w:val="24"/>
          <w:highlight w:val="none"/>
        </w:rPr>
      </w:pPr>
      <w:r>
        <w:rPr>
          <w:rFonts w:hint="eastAsia" w:ascii="宋体" w:hAnsi="宋体"/>
          <w:color w:val="auto"/>
          <w:sz w:val="24"/>
          <w:szCs w:val="24"/>
          <w:highlight w:val="none"/>
        </w:rPr>
        <w:t>注: 基数为合同设计费总额（不含BIM 设计费）扣除合同约定的方案补偿费。A为设计阶段合同履约评价得分对应的暂付设计费支付比例。F为设计阶段合同履约评价综合得分对应的暂付设计费余额应返还金额。暂付设计费余额为设计阶段全额设计费与该阶段暂付设计费的差额。具体详见《附件12: 省代建局直接管理项目设计单位履约评价实施细则》。</w:t>
      </w:r>
    </w:p>
    <w:p>
      <w:pPr>
        <w:spacing w:line="360" w:lineRule="auto"/>
        <w:ind w:left="479" w:leftChars="202" w:hanging="55" w:hangingChars="23"/>
        <w:rPr>
          <w:rFonts w:ascii="宋体" w:hAnsi="宋体"/>
          <w:b/>
          <w:color w:val="auto"/>
          <w:sz w:val="24"/>
          <w:szCs w:val="24"/>
          <w:highlight w:val="none"/>
        </w:rPr>
      </w:pPr>
      <w:r>
        <w:rPr>
          <w:rFonts w:hint="eastAsia" w:ascii="宋体" w:hAnsi="宋体"/>
          <w:b/>
          <w:color w:val="auto"/>
          <w:sz w:val="24"/>
          <w:szCs w:val="24"/>
          <w:highlight w:val="none"/>
        </w:rPr>
        <w:t>10.4.3  BIM费用支付进度详见下表：</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835"/>
        <w:gridCol w:w="4506"/>
        <w:gridCol w:w="142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期次</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支付节点</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支付比例（</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vMerge w:val="restart"/>
            <w:tcBorders>
              <w:top w:val="single" w:color="auto" w:sz="4" w:space="0"/>
              <w:left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BIM费用（</w:t>
            </w:r>
            <w:r>
              <w:rPr>
                <w:rFonts w:ascii="Times New Roman" w:hAnsi="Times New Roman"/>
                <w:color w:val="auto"/>
                <w:sz w:val="21"/>
                <w:szCs w:val="21"/>
                <w:highlight w:val="none"/>
              </w:rPr>
              <w:t>100%</w:t>
            </w:r>
            <w:r>
              <w:rPr>
                <w:rFonts w:hint="eastAsia" w:ascii="Times New Roman" w:hAnsi="Times New Roman"/>
                <w:color w:val="auto"/>
                <w:sz w:val="21"/>
                <w:szCs w:val="21"/>
                <w:highlight w:val="none"/>
              </w:rPr>
              <w:t>）</w:t>
            </w: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第</w:t>
            </w:r>
            <w:r>
              <w:rPr>
                <w:rFonts w:ascii="Times New Roman" w:hAnsi="Times New Roman"/>
                <w:color w:val="auto"/>
                <w:sz w:val="21"/>
                <w:szCs w:val="21"/>
                <w:highlight w:val="none"/>
              </w:rPr>
              <w:t>1</w:t>
            </w:r>
            <w:r>
              <w:rPr>
                <w:rFonts w:hint="eastAsia" w:ascii="Times New Roman" w:hAnsi="Times New Roman"/>
                <w:color w:val="auto"/>
                <w:sz w:val="21"/>
                <w:szCs w:val="21"/>
                <w:highlight w:val="none"/>
              </w:rPr>
              <w:t>期</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rPr>
                <w:rFonts w:ascii="Times New Roman" w:hAnsi="Times New Roman"/>
                <w:color w:val="auto"/>
                <w:sz w:val="21"/>
                <w:szCs w:val="21"/>
                <w:highlight w:val="none"/>
              </w:rPr>
            </w:pPr>
            <w:r>
              <w:rPr>
                <w:rFonts w:hint="eastAsia" w:ascii="Times New Roman" w:hAnsi="Times New Roman"/>
                <w:color w:val="auto"/>
                <w:sz w:val="21"/>
                <w:szCs w:val="21"/>
                <w:highlight w:val="none"/>
              </w:rPr>
              <w:t>提交本项目《方案设计阶段与初步设计阶段BIM实施方案》，经甲方相关部门或甲方委托的第三方BIM顾问确认后</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ascii="Times New Roman" w:hAnsi="Times New Roman"/>
                <w:color w:val="auto"/>
                <w:sz w:val="21"/>
                <w:szCs w:val="21"/>
                <w:highlight w:val="none"/>
              </w:rPr>
              <w:t>15</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jc w:val="center"/>
        </w:trPr>
        <w:tc>
          <w:tcPr>
            <w:tcW w:w="630" w:type="pct"/>
            <w:vMerge w:val="continue"/>
            <w:tcBorders>
              <w:left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第</w:t>
            </w:r>
            <w:r>
              <w:rPr>
                <w:rFonts w:ascii="Times New Roman" w:hAnsi="Times New Roman"/>
                <w:color w:val="auto"/>
                <w:sz w:val="21"/>
                <w:szCs w:val="21"/>
                <w:highlight w:val="none"/>
              </w:rPr>
              <w:t>2</w:t>
            </w:r>
            <w:r>
              <w:rPr>
                <w:rFonts w:hint="eastAsia" w:ascii="Times New Roman" w:hAnsi="Times New Roman"/>
                <w:color w:val="auto"/>
                <w:sz w:val="21"/>
                <w:szCs w:val="21"/>
                <w:highlight w:val="none"/>
              </w:rPr>
              <w:t>期</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rPr>
                <w:rFonts w:ascii="Times New Roman" w:hAnsi="Times New Roman"/>
                <w:color w:val="auto"/>
                <w:sz w:val="21"/>
                <w:szCs w:val="21"/>
                <w:highlight w:val="none"/>
              </w:rPr>
            </w:pPr>
            <w:r>
              <w:rPr>
                <w:rFonts w:hint="eastAsia" w:ascii="Times New Roman" w:hAnsi="Times New Roman"/>
                <w:color w:val="auto"/>
                <w:sz w:val="21"/>
                <w:szCs w:val="21"/>
                <w:highlight w:val="none"/>
              </w:rPr>
              <w:t>方案设计阶段BIM成果完成提交，经甲方相关部门或甲方委托的第三方BIM顾问确认后</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vMerge w:val="continue"/>
            <w:tcBorders>
              <w:left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第</w:t>
            </w:r>
            <w:r>
              <w:rPr>
                <w:rFonts w:ascii="Times New Roman" w:hAnsi="Times New Roman"/>
                <w:color w:val="auto"/>
                <w:sz w:val="21"/>
                <w:szCs w:val="21"/>
                <w:highlight w:val="none"/>
              </w:rPr>
              <w:t>3</w:t>
            </w:r>
            <w:r>
              <w:rPr>
                <w:rFonts w:hint="eastAsia" w:ascii="Times New Roman" w:hAnsi="Times New Roman"/>
                <w:color w:val="auto"/>
                <w:sz w:val="21"/>
                <w:szCs w:val="21"/>
                <w:highlight w:val="none"/>
              </w:rPr>
              <w:t>期</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rPr>
                <w:rFonts w:ascii="Times New Roman" w:hAnsi="Times New Roman"/>
                <w:color w:val="auto"/>
                <w:sz w:val="21"/>
                <w:szCs w:val="21"/>
                <w:highlight w:val="none"/>
              </w:rPr>
            </w:pPr>
            <w:r>
              <w:rPr>
                <w:rFonts w:hint="eastAsia" w:ascii="Times New Roman" w:hAnsi="Times New Roman"/>
                <w:color w:val="auto"/>
                <w:sz w:val="21"/>
                <w:szCs w:val="21"/>
                <w:highlight w:val="none"/>
              </w:rPr>
              <w:t>初步设计阶段BIM成果完成提交，经甲方相关部门或甲方委托的第三方BIM顾问确认后</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30</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vMerge w:val="continue"/>
            <w:tcBorders>
              <w:left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第</w:t>
            </w:r>
            <w:r>
              <w:rPr>
                <w:rFonts w:ascii="Times New Roman" w:hAnsi="Times New Roman"/>
                <w:color w:val="auto"/>
                <w:sz w:val="21"/>
                <w:szCs w:val="21"/>
                <w:highlight w:val="none"/>
              </w:rPr>
              <w:t>4</w:t>
            </w:r>
            <w:r>
              <w:rPr>
                <w:rFonts w:hint="eastAsia" w:ascii="Times New Roman" w:hAnsi="Times New Roman"/>
                <w:color w:val="auto"/>
                <w:sz w:val="21"/>
                <w:szCs w:val="21"/>
                <w:highlight w:val="none"/>
              </w:rPr>
              <w:t>期</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rPr>
                <w:rFonts w:ascii="Times New Roman" w:hAnsi="Times New Roman"/>
                <w:color w:val="auto"/>
                <w:sz w:val="21"/>
                <w:szCs w:val="21"/>
                <w:highlight w:val="none"/>
              </w:rPr>
            </w:pPr>
            <w:r>
              <w:rPr>
                <w:rFonts w:hint="eastAsia" w:ascii="Times New Roman" w:hAnsi="Times New Roman"/>
                <w:color w:val="auto"/>
                <w:sz w:val="21"/>
                <w:szCs w:val="21"/>
                <w:highlight w:val="none"/>
              </w:rPr>
              <w:t>施工图设计阶段，配合施工阶段设计单位完成BIM成果提交，经甲方相关部门或甲方委托的第三方BIM顾问确认后</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20</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施工图配合阶段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vMerge w:val="continue"/>
            <w:tcBorders>
              <w:left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第五期</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rPr>
                <w:rFonts w:ascii="Times New Roman" w:hAnsi="Times New Roman"/>
                <w:color w:val="auto"/>
                <w:sz w:val="21"/>
                <w:szCs w:val="21"/>
                <w:highlight w:val="none"/>
              </w:rPr>
            </w:pPr>
            <w:r>
              <w:rPr>
                <w:rFonts w:hint="eastAsia" w:ascii="Times New Roman" w:hAnsi="Times New Roman"/>
                <w:color w:val="auto"/>
                <w:sz w:val="21"/>
                <w:szCs w:val="21"/>
                <w:highlight w:val="none"/>
              </w:rPr>
              <w:t>累计支付至结算阶段审定的BIM服务费合同额的100%</w:t>
            </w: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ascii="Times New Roman" w:hAnsi="Times New Roman"/>
                <w:color w:val="auto"/>
                <w:sz w:val="21"/>
                <w:szCs w:val="21"/>
                <w:highlight w:val="none"/>
              </w:rPr>
              <w:t>5</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30" w:type="pct"/>
            <w:vMerge w:val="continue"/>
            <w:tcBorders>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总计</w:t>
            </w:r>
          </w:p>
        </w:tc>
        <w:tc>
          <w:tcPr>
            <w:tcW w:w="2425"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c>
          <w:tcPr>
            <w:tcW w:w="76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r>
              <w:rPr>
                <w:rFonts w:ascii="Times New Roman" w:hAnsi="Times New Roman"/>
                <w:color w:val="auto"/>
                <w:sz w:val="21"/>
                <w:szCs w:val="21"/>
                <w:highlight w:val="none"/>
              </w:rPr>
              <w:t>100</w:t>
            </w:r>
          </w:p>
        </w:tc>
        <w:tc>
          <w:tcPr>
            <w:tcW w:w="727" w:type="pct"/>
            <w:tcBorders>
              <w:top w:val="single" w:color="auto" w:sz="4" w:space="0"/>
              <w:left w:val="single" w:color="auto" w:sz="4" w:space="0"/>
              <w:bottom w:val="single" w:color="auto" w:sz="4" w:space="0"/>
              <w:right w:val="single" w:color="auto" w:sz="4" w:space="0"/>
            </w:tcBorders>
            <w:noWrap/>
            <w:vAlign w:val="center"/>
          </w:tcPr>
          <w:p>
            <w:pPr>
              <w:pStyle w:val="424"/>
              <w:jc w:val="center"/>
              <w:rPr>
                <w:rFonts w:ascii="Times New Roman" w:hAnsi="Times New Roman"/>
                <w:color w:val="auto"/>
                <w:sz w:val="21"/>
                <w:szCs w:val="21"/>
                <w:highlight w:val="none"/>
              </w:rPr>
            </w:pPr>
          </w:p>
        </w:tc>
      </w:tr>
    </w:tbl>
    <w:p>
      <w:pPr>
        <w:pStyle w:val="372"/>
        <w:rPr>
          <w:rFonts w:asciiTheme="minorEastAsia" w:hAnsiTheme="minorEastAsia" w:eastAsiaTheme="minorEastAsia"/>
          <w:bCs/>
          <w:color w:val="auto"/>
          <w:highlight w:val="none"/>
        </w:rPr>
      </w:pPr>
      <w:r>
        <w:rPr>
          <w:rFonts w:hint="eastAsia" w:asciiTheme="minorEastAsia" w:hAnsiTheme="minorEastAsia" w:eastAsiaTheme="minorEastAsia"/>
          <w:bCs/>
          <w:color w:val="auto"/>
          <w:highlight w:val="none"/>
        </w:rPr>
        <w:t>说明：</w:t>
      </w:r>
    </w:p>
    <w:p>
      <w:pPr>
        <w:spacing w:line="360" w:lineRule="auto"/>
        <w:ind w:firstLine="420"/>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rPr>
        <w:t>1本项目设计费总额中包括投标时对投标单位的投标补偿费用及最终选定未中标人设计方案的补偿费用，详见本项目的设计</w:t>
      </w:r>
      <w:r>
        <w:rPr>
          <w:rFonts w:hint="eastAsia" w:asciiTheme="minorEastAsia" w:hAnsiTheme="minorEastAsia" w:eastAsiaTheme="minorEastAsia"/>
          <w:strike/>
          <w:color w:val="auto"/>
          <w:sz w:val="24"/>
          <w:szCs w:val="24"/>
          <w:highlight w:val="none"/>
        </w:rPr>
        <w:t>勘察</w:t>
      </w:r>
      <w:r>
        <w:rPr>
          <w:rFonts w:hint="eastAsia" w:asciiTheme="minorEastAsia" w:hAnsiTheme="minorEastAsia" w:eastAsiaTheme="minorEastAsia"/>
          <w:color w:val="auto"/>
          <w:sz w:val="24"/>
          <w:szCs w:val="24"/>
          <w:highlight w:val="none"/>
        </w:rPr>
        <w:t>招标文件。本条中所指最终设计费及其比例均包含中标单位的投标补偿费用及未中标人设计方案的补偿费用。</w:t>
      </w:r>
    </w:p>
    <w:p>
      <w:pPr>
        <w:spacing w:line="360" w:lineRule="auto"/>
        <w:ind w:firstLine="42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2发包人支付的设计费中包含了设计人履行合同所需的所有支出，设计人每次办理款项申请时须开据发票（税金由设计人自理），并按发包人的要求提供进度款申请资料。</w:t>
      </w:r>
    </w:p>
    <w:p>
      <w:pPr>
        <w:spacing w:line="360" w:lineRule="auto"/>
        <w:ind w:firstLine="42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 设计费结算以广东省财政厅审定为准。</w:t>
      </w:r>
    </w:p>
    <w:p>
      <w:pPr>
        <w:spacing w:line="360" w:lineRule="auto"/>
        <w:ind w:firstLine="42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pPr>
        <w:spacing w:line="360" w:lineRule="auto"/>
        <w:ind w:firstLine="42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上述所有的支付时间不包含政府部门审批时间，设计人已清楚明白本项目工程款的拨付程序，并理解因政府部门审核请款手续对时间等方面的影响与发包人无关，故非发包人原因造成的工程款支付拖延，不得向发包人要求计付拖延工程款期间的利息及因此导致的其他损失。设计人应委派专人负责跟进报酬支付呈批过程的相关事务。</w:t>
      </w:r>
    </w:p>
    <w:p>
      <w:pPr>
        <w:spacing w:line="360" w:lineRule="auto"/>
        <w:ind w:firstLine="424" w:firstLineChars="177"/>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6本项目如发生因为规划或其他政策因素导致的部分内容不实施或延期实施，已实施部分按完成工作量计算；在服务期内需要延期的，不增加延期设计费及勘察费。</w:t>
      </w:r>
    </w:p>
    <w:p>
      <w:pPr>
        <w:spacing w:line="360" w:lineRule="auto"/>
        <w:ind w:firstLine="424" w:firstLineChars="177"/>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kern w:val="0"/>
          <w:sz w:val="24"/>
          <w:szCs w:val="24"/>
          <w:highlight w:val="none"/>
        </w:rPr>
        <w:t>10.5</w:t>
      </w:r>
      <w:r>
        <w:rPr>
          <w:rFonts w:hint="eastAsia" w:asciiTheme="minorEastAsia" w:hAnsiTheme="minorEastAsia" w:eastAsiaTheme="minorEastAsia"/>
          <w:b/>
          <w:color w:val="auto"/>
          <w:sz w:val="24"/>
          <w:szCs w:val="24"/>
          <w:highlight w:val="none"/>
        </w:rPr>
        <w:t>合同价款的结算与支付</w:t>
      </w:r>
    </w:p>
    <w:p>
      <w:pPr>
        <w:spacing w:line="360" w:lineRule="auto"/>
        <w:ind w:firstLine="424" w:firstLineChars="177"/>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10.5.1</w:t>
      </w:r>
      <w:r>
        <w:rPr>
          <w:rFonts w:hint="eastAsia" w:asciiTheme="minorEastAsia" w:hAnsiTheme="minorEastAsia" w:eastAsiaTheme="minorEastAsia"/>
          <w:color w:val="auto"/>
          <w:sz w:val="24"/>
          <w:szCs w:val="24"/>
          <w:highlight w:val="none"/>
          <w:u w:val="single"/>
        </w:rPr>
        <w:t>工程设计费计费方式为总价包干，设计费已包含了完成本项目设计工作内容的全部费用，包含并不限于后续项目变更的设计工作量，项目概算内产生的变更调整等均不再另行增加设计费。设计费最终结算价须经省政府财政部门审核。</w:t>
      </w:r>
    </w:p>
    <w:p>
      <w:pPr>
        <w:spacing w:before="120" w:after="120" w:line="360" w:lineRule="auto"/>
        <w:ind w:firstLine="426" w:firstLineChars="177"/>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11. 工程设计变更与索赔</w:t>
      </w:r>
    </w:p>
    <w:p>
      <w:pPr>
        <w:spacing w:line="360" w:lineRule="auto"/>
        <w:ind w:firstLine="424" w:firstLineChars="177"/>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11.5 设计人应于认为有理由提出增加合同价款或延长设计周期的要求事项发生后</w:t>
      </w:r>
      <w:r>
        <w:rPr>
          <w:rFonts w:hint="eastAsia" w:asciiTheme="minorEastAsia" w:hAnsiTheme="minorEastAsia" w:eastAsiaTheme="minorEastAsia"/>
          <w:color w:val="auto"/>
          <w:kern w:val="0"/>
          <w:sz w:val="24"/>
          <w:szCs w:val="24"/>
          <w:highlight w:val="none"/>
          <w:u w:val="single"/>
        </w:rPr>
        <w:t xml:space="preserve">  5  </w:t>
      </w:r>
      <w:r>
        <w:rPr>
          <w:rFonts w:hint="eastAsia" w:asciiTheme="minorEastAsia" w:hAnsiTheme="minorEastAsia" w:eastAsiaTheme="minorEastAsia"/>
          <w:color w:val="auto"/>
          <w:kern w:val="0"/>
          <w:sz w:val="24"/>
          <w:szCs w:val="24"/>
          <w:highlight w:val="none"/>
        </w:rPr>
        <w:t>个日历天内书面通知发包人。</w:t>
      </w:r>
    </w:p>
    <w:p>
      <w:pPr>
        <w:spacing w:line="360" w:lineRule="auto"/>
        <w:ind w:firstLine="424" w:firstLineChars="177"/>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设计人应在该事项发生后</w:t>
      </w:r>
      <w:r>
        <w:rPr>
          <w:rFonts w:hint="eastAsia" w:asciiTheme="minorEastAsia" w:hAnsiTheme="minorEastAsia" w:eastAsiaTheme="minorEastAsia"/>
          <w:color w:val="auto"/>
          <w:kern w:val="0"/>
          <w:sz w:val="24"/>
          <w:szCs w:val="24"/>
          <w:highlight w:val="none"/>
          <w:u w:val="single"/>
        </w:rPr>
        <w:t xml:space="preserve">  5  </w:t>
      </w:r>
      <w:r>
        <w:rPr>
          <w:rFonts w:hint="eastAsia" w:asciiTheme="minorEastAsia" w:hAnsiTheme="minorEastAsia" w:eastAsiaTheme="minorEastAsia"/>
          <w:color w:val="auto"/>
          <w:kern w:val="0"/>
          <w:sz w:val="24"/>
          <w:szCs w:val="24"/>
          <w:highlight w:val="none"/>
        </w:rPr>
        <w:t>个日历天内向发包人提供证明设计人要求的书面声明。</w:t>
      </w:r>
    </w:p>
    <w:p>
      <w:pPr>
        <w:spacing w:line="360" w:lineRule="auto"/>
        <w:ind w:firstLine="424" w:firstLineChars="177"/>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发包人应在接到设计人书面声明后的</w:t>
      </w:r>
      <w:r>
        <w:rPr>
          <w:rFonts w:hint="eastAsia" w:asciiTheme="minorEastAsia" w:hAnsiTheme="minorEastAsia" w:eastAsiaTheme="minorEastAsia"/>
          <w:color w:val="auto"/>
          <w:kern w:val="0"/>
          <w:sz w:val="24"/>
          <w:szCs w:val="24"/>
          <w:highlight w:val="none"/>
          <w:u w:val="single"/>
        </w:rPr>
        <w:t xml:space="preserve">  5  </w:t>
      </w:r>
      <w:r>
        <w:rPr>
          <w:rFonts w:hint="eastAsia" w:asciiTheme="minorEastAsia" w:hAnsiTheme="minorEastAsia" w:eastAsiaTheme="minorEastAsia"/>
          <w:color w:val="auto"/>
          <w:kern w:val="0"/>
          <w:sz w:val="24"/>
          <w:szCs w:val="24"/>
          <w:highlight w:val="none"/>
        </w:rPr>
        <w:t>个日历天内，予以书面答复。</w:t>
      </w:r>
    </w:p>
    <w:p>
      <w:pPr>
        <w:spacing w:line="360" w:lineRule="auto"/>
        <w:ind w:firstLine="424" w:firstLineChars="177"/>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11.6</w:t>
      </w:r>
      <w:r>
        <w:rPr>
          <w:rFonts w:hint="eastAsia" w:asciiTheme="minorEastAsia" w:hAnsiTheme="minorEastAsia" w:eastAsiaTheme="minorEastAsia"/>
          <w:color w:val="auto"/>
          <w:sz w:val="24"/>
          <w:szCs w:val="24"/>
          <w:highlight w:val="none"/>
          <w:u w:val="single"/>
        </w:rPr>
        <w:t>发包人</w:t>
      </w:r>
      <w:r>
        <w:rPr>
          <w:rFonts w:hint="eastAsia" w:asciiTheme="minorEastAsia" w:hAnsiTheme="minorEastAsia" w:eastAsiaTheme="minorEastAsia"/>
          <w:color w:val="auto"/>
          <w:kern w:val="0"/>
          <w:sz w:val="24"/>
          <w:szCs w:val="24"/>
          <w:highlight w:val="none"/>
        </w:rPr>
        <w:t>索赔</w:t>
      </w:r>
    </w:p>
    <w:p>
      <w:pPr>
        <w:spacing w:line="360" w:lineRule="auto"/>
        <w:ind w:firstLine="424" w:firstLineChars="177"/>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11.6.1设计未能按合同约定履行自己的各项义务或发生错误，发包人按如下约定向设计人索赔：</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1）发包人将自己的索赔意向书面通知设计人，并要求设计人在限期内纠正自己的违约行为</w:t>
      </w:r>
      <w:r>
        <w:rPr>
          <w:rFonts w:hint="eastAsia" w:asciiTheme="minorEastAsia" w:hAnsiTheme="minorEastAsia" w:eastAsiaTheme="minorEastAsia"/>
          <w:color w:val="auto"/>
          <w:kern w:val="0"/>
          <w:sz w:val="24"/>
          <w:szCs w:val="24"/>
          <w:highlight w:val="none"/>
        </w:rPr>
        <w:t>（包括按发包人要求交纳违约金）</w:t>
      </w:r>
      <w:r>
        <w:rPr>
          <w:rFonts w:hint="eastAsia" w:asciiTheme="minorEastAsia" w:hAnsiTheme="minorEastAsia" w:eastAsiaTheme="minorEastAsia"/>
          <w:color w:val="auto"/>
          <w:kern w:val="0"/>
          <w:sz w:val="24"/>
          <w:szCs w:val="24"/>
          <w:highlight w:val="none"/>
        </w:rPr>
        <w:t>，否则，发包人将考虑启用履约保函。</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2）限期届满，设计人没有采取纠正行为或者纠正行为不能使发包人满意的，发包人将索赔意向书面通知约定的保函出函银行。</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3）发包人向银行发出书面索赔意向七天内，设计人依然没有用实际行动纠正自己的违约行为或者纠正行为不能使发包人满意或者纠正行为无法弥补发包人的损失，则发包人直接向银行发出正式书面索赔通知。</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4）如果通过向银行索赔的方式依然不能完全弥补发包人的损失，则发包人有权在应支付给设计人的</w:t>
      </w:r>
      <w:r>
        <w:rPr>
          <w:rFonts w:hint="eastAsia" w:asciiTheme="minorEastAsia" w:hAnsiTheme="minorEastAsia" w:eastAsiaTheme="minorEastAsia"/>
          <w:strike/>
          <w:color w:val="auto"/>
          <w:kern w:val="0"/>
          <w:sz w:val="24"/>
          <w:szCs w:val="24"/>
          <w:highlight w:val="none"/>
        </w:rPr>
        <w:t>勘察</w:t>
      </w:r>
      <w:r>
        <w:rPr>
          <w:rFonts w:hint="eastAsia" w:asciiTheme="minorEastAsia" w:hAnsiTheme="minorEastAsia" w:eastAsiaTheme="minorEastAsia"/>
          <w:color w:val="auto"/>
          <w:kern w:val="0"/>
          <w:sz w:val="24"/>
          <w:szCs w:val="24"/>
          <w:highlight w:val="none"/>
        </w:rPr>
        <w:t>、设计费中直接扣取。</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5）如果通过向银行索赔以及直接扣取</w:t>
      </w:r>
      <w:r>
        <w:rPr>
          <w:rFonts w:hint="eastAsia" w:asciiTheme="minorEastAsia" w:hAnsiTheme="minorEastAsia" w:eastAsiaTheme="minorEastAsia"/>
          <w:strike/>
          <w:color w:val="auto"/>
          <w:kern w:val="0"/>
          <w:sz w:val="24"/>
          <w:szCs w:val="24"/>
          <w:highlight w:val="none"/>
        </w:rPr>
        <w:t>勘察</w:t>
      </w:r>
      <w:r>
        <w:rPr>
          <w:rFonts w:hint="eastAsia" w:asciiTheme="minorEastAsia" w:hAnsiTheme="minorEastAsia" w:eastAsiaTheme="minorEastAsia"/>
          <w:color w:val="auto"/>
          <w:kern w:val="0"/>
          <w:sz w:val="24"/>
          <w:szCs w:val="24"/>
          <w:highlight w:val="none"/>
        </w:rPr>
        <w:t>、设计费等方式依然不能完全弥补发包人损失的，设计人必须在发包人规定的时间内以现金形式支付剩余索赔额。</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11.6.2在任何索赔期间，不论索赔是否有据，均不能免除设计人按合同约定应履行的合同义务。设计人不得以此为借口，拒不履行或拖延合同的履行，否则发包人有权终止合同并要求设计人赔偿由此而给发包人造成的全部损失。</w:t>
      </w:r>
    </w:p>
    <w:p>
      <w:pPr>
        <w:spacing w:before="120" w:after="120"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 专业责任与保险</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12.2 设计人</w:t>
      </w:r>
      <w:r>
        <w:rPr>
          <w:rFonts w:hint="eastAsia" w:asciiTheme="minorEastAsia" w:hAnsiTheme="minorEastAsia" w:eastAsiaTheme="minorEastAsia"/>
          <w:color w:val="auto"/>
          <w:sz w:val="24"/>
          <w:szCs w:val="24"/>
          <w:highlight w:val="none"/>
          <w:u w:val="single"/>
        </w:rPr>
        <w:t xml:space="preserve"> 需   </w:t>
      </w:r>
      <w:r>
        <w:rPr>
          <w:rFonts w:hint="eastAsia" w:asciiTheme="minorEastAsia" w:hAnsiTheme="minorEastAsia" w:eastAsiaTheme="minorEastAsia"/>
          <w:color w:val="auto"/>
          <w:sz w:val="24"/>
          <w:szCs w:val="24"/>
          <w:highlight w:val="none"/>
        </w:rPr>
        <w:t>（需/不需）有发包人认可的工程设计责任保险。</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13. 知识产权</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13.1 关于发包人提供给设计人的图纸、发包人为实施工程自行编制或委托编制的技术规格以及反映发包人关于合同要求或其他类似性质的文件的著作权的归属：</w:t>
      </w:r>
      <w:r>
        <w:rPr>
          <w:rFonts w:hint="eastAsia" w:asciiTheme="minorEastAsia" w:hAnsiTheme="minorEastAsia" w:eastAsiaTheme="minorEastAsia"/>
          <w:color w:val="auto"/>
          <w:sz w:val="24"/>
          <w:szCs w:val="24"/>
          <w:highlight w:val="none"/>
          <w:u w:val="single"/>
        </w:rPr>
        <w:t xml:space="preserve">归发包人所有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关于发包人提供的上述文件的使用限制的要求：</w:t>
      </w:r>
      <w:r>
        <w:rPr>
          <w:rFonts w:hint="eastAsia" w:asciiTheme="minorEastAsia" w:hAnsiTheme="minorEastAsia" w:eastAsiaTheme="minorEastAsia"/>
          <w:color w:val="auto"/>
          <w:sz w:val="24"/>
          <w:szCs w:val="24"/>
          <w:highlight w:val="none"/>
          <w:u w:val="single"/>
        </w:rPr>
        <w:t xml:space="preserve"> 设计人仅可以在实施项目时使用，合同履行完成后，设计人不再拥有使用上述文件的权利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13.2 关于设计人为实施工程所编制文件的著作权的归属：</w:t>
      </w:r>
      <w:r>
        <w:rPr>
          <w:rFonts w:hint="eastAsia" w:asciiTheme="minorEastAsia" w:hAnsiTheme="minorEastAsia" w:eastAsiaTheme="minorEastAsia"/>
          <w:color w:val="auto"/>
          <w:sz w:val="24"/>
          <w:szCs w:val="24"/>
          <w:highlight w:val="none"/>
          <w:u w:val="single"/>
        </w:rPr>
        <w:t>知识产权归发包人和设计人共有，其中设计署名权归设计人所有；设计人可在展览或书刊中进行展示、介绍及讨论其设计模型、外观图片、装饰效果图，但不得享有知识产权中的其他权利。设计人承诺自本合同签订之日起，为本项目所做的全部工作的成果，包括方案设计、初步设计、</w:t>
      </w:r>
      <w:r>
        <w:rPr>
          <w:rFonts w:hint="eastAsia" w:asciiTheme="minorEastAsia" w:hAnsiTheme="minorEastAsia" w:eastAsiaTheme="minorEastAsia"/>
          <w:color w:val="auto"/>
          <w:sz w:val="24"/>
          <w:szCs w:val="24"/>
          <w:highlight w:val="none"/>
          <w:u w:val="single"/>
        </w:rPr>
        <w:t>施工图设计（基坑工程、土方工程）</w:t>
      </w:r>
      <w:r>
        <w:rPr>
          <w:rFonts w:hint="eastAsia" w:asciiTheme="minorEastAsia" w:hAnsiTheme="minorEastAsia" w:eastAsiaTheme="minorEastAsia"/>
          <w:color w:val="auto"/>
          <w:sz w:val="24"/>
          <w:szCs w:val="24"/>
          <w:highlight w:val="none"/>
          <w:u w:val="single"/>
        </w:rPr>
        <w:t>及其他设计文件、资料等不再用于其他任何项目的设计，否则发包人有权向设计人追究相关责任。发包人在出版作品的书刊或展览时，如有需要表明设计者，引用上述署名格式。发包人全部设计文件、资料等的完全使用权，并在本合同执行完毕后继续拥有合法使用以上设计文件、资料等的权利</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关于设计人提供的上述文件的使用限制的要求：</w:t>
      </w:r>
      <w:r>
        <w:rPr>
          <w:rFonts w:hint="eastAsia" w:asciiTheme="minorEastAsia" w:hAnsiTheme="minorEastAsia" w:eastAsiaTheme="minorEastAsia"/>
          <w:color w:val="auto"/>
          <w:sz w:val="24"/>
          <w:szCs w:val="24"/>
          <w:highlight w:val="none"/>
          <w:u w:val="single"/>
        </w:rPr>
        <w:t xml:space="preserve">无  </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13.5 设计人在设计过程中所采用的专利、专有技术的使用费的承担方式：</w:t>
      </w:r>
      <w:r>
        <w:rPr>
          <w:rFonts w:hint="eastAsia" w:asciiTheme="minorEastAsia" w:hAnsiTheme="minorEastAsia" w:eastAsiaTheme="minorEastAsia"/>
          <w:color w:val="auto"/>
          <w:sz w:val="24"/>
          <w:szCs w:val="24"/>
          <w:highlight w:val="none"/>
          <w:u w:val="single"/>
        </w:rPr>
        <w:t xml:space="preserve">由设计人自行承担   </w:t>
      </w:r>
      <w:r>
        <w:rPr>
          <w:rFonts w:hint="eastAsia" w:asciiTheme="minorEastAsia" w:hAnsiTheme="minorEastAsia" w:eastAsiaTheme="minorEastAsia"/>
          <w:color w:val="auto"/>
          <w:kern w:val="0"/>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13.6 </w:t>
      </w:r>
      <w:r>
        <w:rPr>
          <w:rFonts w:hint="eastAsia" w:asciiTheme="minorEastAsia" w:hAnsiTheme="minorEastAsia" w:eastAsiaTheme="minorEastAsia"/>
          <w:color w:val="auto"/>
          <w:sz w:val="24"/>
          <w:szCs w:val="24"/>
          <w:highlight w:val="none"/>
          <w:u w:val="single"/>
        </w:rPr>
        <w:t>设计人应保护发包人的知识产权，不得向第三人泄漏、转让发包人提交的产品图纸等技术经济资料。如发生以上情况并给发包人造成经济损失，设计人应负法律责任，发包人有权向设计人索赔。</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14. 违约责任</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14.1 发包人违约责任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14.1.1 发包人支付设计人的违约金：</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1）发包人不按合同约定向政府部门办理进度款支付申请的，除应支付本合同约定的进度款外，还应按同期银行贷款利率给设计人利息（设计人未提供齐全进度款支付申请材料的情况除外）。</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u w:val="single"/>
        </w:rPr>
        <w:t xml:space="preserve">2）发包人无正当理由不向政府部门办理设计人竣工结算款支付申请的，除应支付设计人竣工结算款外，还应按同期银行贷款利率给设计人计付拖欠款项期间的利息   </w:t>
      </w:r>
      <w:r>
        <w:rPr>
          <w:rFonts w:hint="eastAsia" w:asciiTheme="minorEastAsia" w:hAnsiTheme="minorEastAsia" w:eastAsiaTheme="minorEastAsia"/>
          <w:color w:val="auto"/>
          <w:sz w:val="24"/>
          <w:szCs w:val="24"/>
          <w:highlight w:val="none"/>
        </w:rPr>
        <w:t>。</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14.2 设计人违约责任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14.1.1</w:t>
      </w:r>
      <w:r>
        <w:rPr>
          <w:rFonts w:hint="eastAsia" w:asciiTheme="minorEastAsia" w:hAnsiTheme="minorEastAsia" w:eastAsiaTheme="minorEastAsia"/>
          <w:color w:val="auto"/>
          <w:sz w:val="24"/>
          <w:szCs w:val="24"/>
          <w:highlight w:val="none"/>
          <w:u w:val="single"/>
        </w:rPr>
        <w:t>设计人违反本合同的约定，应当按约定向发包人承担相应的违约责任。设计人承担违约责任的形式包括：</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1）限期改正。设计人未履行或未按时履行或未按质履行义务时，必须在发包人限定的时间内履行义务。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2）一般违约责任。设计人被发包人要求按本合同约定承担一般违约责任时，必须向发包人交纳违约金人民币1万元/次。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3）严重违约责任。设计人被发包人要求按本合同约定承担严重违约责任时，必须向发包人交纳违约金人民币3万元/次。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部分解除合同。发包人向设计人发出部分解除合同的通知后，本合同部分解除即生效，设计人必须在三天内停止被解除部分合同的工作，五天内配合发包人完成现场工作和有关资料的交接，所交接资料必须完整。设计人无特殊原因未在规定期限内完成交接和离场，或交接资料不完整的，发包人有权视情况全部解除合同；因设计人拒交或延误交接现场工作和有关资料而引致发包人工期延误及其他方面的损失，发包人有权拒绝支付本合同价款并要求设计人赔偿实际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解除合同。发包人向设计人发出解除合同的通知后，本合同即解除，设计人必须在三天内停止全部工作，五天内配合发包人完成现场工作和有关资料的交接，并于完成交接工作当天内离场。设计人应保证所移交的资料齐全完整，设计人无特殊原因未在规定期限内完成交接和离场或所移交的资料不完整的，引致发包人工期延误和其他方面的损失，发包人有权拒绝支付本合同价款并要求设计人赔偿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6）赔偿损失。因设计人违约或工作失误给发包人造成损失的，由设计人向发包人赔偿与违约有直接或间接因果关系的所有损失，赔偿金为实际损失的100％。但不超过发包人支付给设计人费用的2倍。</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14.1.2</w:t>
      </w:r>
      <w:r>
        <w:rPr>
          <w:rFonts w:hint="eastAsia" w:asciiTheme="minorEastAsia" w:hAnsiTheme="minorEastAsia" w:eastAsiaTheme="minorEastAsia"/>
          <w:color w:val="auto"/>
          <w:sz w:val="24"/>
          <w:szCs w:val="24"/>
          <w:highlight w:val="none"/>
          <w:u w:val="single"/>
        </w:rPr>
        <w:t>累计出现三次限期纠正责任，发包人有权追加设计人一次一般违约责任；累计出现三次一般违约责任，发包人有权追加设计人一次严重违约责任；累计三次严重违约责任，发包人有权单方面部分或全部解除合同。</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14.1.3</w:t>
      </w:r>
      <w:r>
        <w:rPr>
          <w:rFonts w:hint="eastAsia" w:asciiTheme="minorEastAsia" w:hAnsiTheme="minorEastAsia" w:eastAsiaTheme="minorEastAsia"/>
          <w:color w:val="auto"/>
          <w:sz w:val="24"/>
          <w:szCs w:val="24"/>
          <w:highlight w:val="none"/>
          <w:u w:val="single"/>
        </w:rPr>
        <w:t>本合同解除后，设计人已经完成的设计成果在发包人支付于工作量对应的设计费后，全部归发包人享有，发包人有权于其他设计人签订设计协议，其他设计人可以取代设计人在本合同中的地位，承接设计人的一切权利义务，有权在设计人已经完成设计成果的基础上继续设计，设计人不得有异议，其他设计人不必支付设计人任何报酬。</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rPr>
        <w:t>14.1.4</w:t>
      </w:r>
      <w:r>
        <w:rPr>
          <w:rFonts w:hint="eastAsia" w:asciiTheme="minorEastAsia" w:hAnsiTheme="minorEastAsia" w:eastAsiaTheme="minorEastAsia"/>
          <w:color w:val="auto"/>
          <w:sz w:val="24"/>
          <w:szCs w:val="24"/>
          <w:highlight w:val="none"/>
          <w:u w:val="single"/>
        </w:rPr>
        <w:t>当发包人认为设计人无正当理由而不履行或没有充分履行其相关义务时，发包人有权书面通知设计人，指明设计人无履行的内容并要求设计人按如下约定承担违约责任：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1）设计管理方面的违约责任：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①设计人无故要求终止或解除合同，按严重违约处理，赔偿相当于约定的设计费总额两倍的损失给发包人，并承担由此造成的拖延工期的损失。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②设计人转包和私自分包设计任务，按严重违约处理。情节严重的，发包人有权单方面解除合同，赔偿相当于约定的设计费总额两倍的损失给发包人，并承担由此造成的拖延工期的损失。同时，发包人将扣除转包（分包）部分的全额设计费用，设计人应承担由此造成的工期、技术及其他一切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③设计人承诺主动支持发包人及设计咨询（监理）单位的工作，对发包人及设计咨询（监理）单位的指令和书面通知，若无正当理由又未提前报告、得到认可，而公开或变相拒不执行，第一次按一般违约处理；第二次以后，每违反一次按一次严重违约处理。同时，设计人还要承担由此造成的一切经济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④设计人没有按照合同的约定做好设计协调工作，发包人有权根据实际情况决定其承担违约责任的形式并要求其承担比原来计划多开支的费用，设计人不得提出任何异议。</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2）设计成果方面的违约责任：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①设计人由于自身原因造成逾期交付设计文件的处理：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A）一次性逾期2天以内的，给予书面通报批评并限期改正；一次性逾期3天以内（或累计达5天以内）的，记一次一般违约，并向发包人交纳违约金人民币1万元/次；一次性逾期5天以内（或累计达10天以内）的，记一次严重违约，并向发包人交纳违约金人民币3万元/次；一次性逾期10天以内（或累计达15天以内）的，发包人有权部分解除合同；一次性逾期超过10（或累计超过15天）的，发包人有权全部解除合同，设计人赔偿相当于约定的设计费总额两倍的损失给发包人，并赔偿由此造成发包人的一切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B）设计人未能按合同约定及工作计划完成“五图一书”、建筑方案设计、初步设计、</w:t>
      </w:r>
      <w:r>
        <w:rPr>
          <w:rFonts w:hint="eastAsia" w:asciiTheme="minorEastAsia" w:hAnsiTheme="minorEastAsia" w:eastAsiaTheme="minorEastAsia"/>
          <w:color w:val="auto"/>
          <w:sz w:val="24"/>
          <w:szCs w:val="24"/>
          <w:highlight w:val="none"/>
          <w:u w:val="single"/>
        </w:rPr>
        <w:t>施工图设计</w:t>
      </w:r>
      <w:r>
        <w:rPr>
          <w:rFonts w:hint="eastAsia" w:asciiTheme="minorEastAsia" w:hAnsiTheme="minorEastAsia" w:eastAsiaTheme="minorEastAsia"/>
          <w:color w:val="auto"/>
          <w:sz w:val="24"/>
          <w:szCs w:val="24"/>
          <w:highlight w:val="none"/>
          <w:u w:val="single"/>
        </w:rPr>
        <w:t>（基坑工程、土方工程）</w:t>
      </w:r>
      <w:r>
        <w:rPr>
          <w:rFonts w:hint="eastAsia" w:asciiTheme="minorEastAsia" w:hAnsiTheme="minorEastAsia" w:eastAsiaTheme="minorEastAsia"/>
          <w:color w:val="auto"/>
          <w:sz w:val="24"/>
          <w:szCs w:val="24"/>
          <w:highlight w:val="none"/>
          <w:u w:val="single"/>
        </w:rPr>
        <w:t>，</w:t>
      </w:r>
      <w:r>
        <w:rPr>
          <w:rFonts w:hint="eastAsia" w:asciiTheme="minorEastAsia" w:hAnsiTheme="minorEastAsia" w:eastAsiaTheme="minorEastAsia"/>
          <w:color w:val="auto"/>
          <w:sz w:val="24"/>
          <w:szCs w:val="24"/>
          <w:highlight w:val="none"/>
          <w:u w:val="single"/>
        </w:rPr>
        <w:t>每逾期一天，需向发包人交纳违约金人民币1万元/天。设计人必须根据实际情况调整工作计划，并报发包人审批，如在后续工作中，设计人能按调整的计划完成，已赔偿金额可作为奖金返还给设计人。逾期超过30天发包人有权全部解除合同，设计人赔偿相当于约定的设计费总额两倍的损失给发包人，并赔偿由此造成发包人的一切损失。</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②因建设规划方案重大功能性调整造成逾期交付设计文件处理：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一次性逾期不超过20天（或累计达30天以内）的，发包人或设计咨询（监理）单位予以书面确认，但发包人不予支付赶工费，工期不得顺延；一次性逾期超过20天（或累计超过40天）的，设计人应优先采用追回工期的办法，赶工费用双方另行协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③设计人的设计质量不符合合同约定或设计文件出现遗漏或错误，按如下约定处理：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A)在设计过程中发现设计人的设计质量不符合合同约定或设计文件出现遗漏或错误的，给予限期改正，并按附件5《设计错误分类》中</w:t>
      </w:r>
      <w:r>
        <w:rPr>
          <w:rFonts w:hint="eastAsia" w:cs="宋体" w:asciiTheme="minorEastAsia" w:hAnsiTheme="minorEastAsia" w:eastAsiaTheme="minorEastAsia"/>
          <w:color w:val="auto"/>
          <w:spacing w:val="1"/>
          <w:sz w:val="24"/>
          <w:szCs w:val="24"/>
          <w:highlight w:val="none"/>
          <w:u w:val="single"/>
        </w:rPr>
        <w:t>Ⅰ类</w:t>
      </w:r>
      <w:r>
        <w:rPr>
          <w:rFonts w:hint="eastAsia" w:cs="宋体" w:asciiTheme="minorEastAsia" w:hAnsiTheme="minorEastAsia" w:eastAsiaTheme="minorEastAsia"/>
          <w:color w:val="auto"/>
          <w:sz w:val="24"/>
          <w:szCs w:val="24"/>
          <w:highlight w:val="none"/>
          <w:u w:val="single"/>
        </w:rPr>
        <w:t>错误对应2次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Ⅱ</w:t>
      </w:r>
      <w:r>
        <w:rPr>
          <w:rFonts w:hint="eastAsia" w:cs="宋体" w:asciiTheme="minorEastAsia" w:hAnsiTheme="minorEastAsia" w:eastAsiaTheme="minorEastAsia"/>
          <w:color w:val="auto"/>
          <w:sz w:val="24"/>
          <w:szCs w:val="24"/>
          <w:highlight w:val="none"/>
          <w:u w:val="single"/>
        </w:rPr>
        <w:t>类错对应1次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Ⅲ类</w:t>
      </w:r>
      <w:r>
        <w:rPr>
          <w:rFonts w:hint="eastAsia" w:cs="宋体" w:asciiTheme="minorEastAsia" w:hAnsiTheme="minorEastAsia" w:eastAsiaTheme="minorEastAsia"/>
          <w:color w:val="auto"/>
          <w:sz w:val="24"/>
          <w:szCs w:val="24"/>
          <w:highlight w:val="none"/>
          <w:u w:val="single"/>
        </w:rPr>
        <w:t>错误对应2次一般</w:t>
      </w:r>
      <w:r>
        <w:rPr>
          <w:rFonts w:hint="eastAsia" w:asciiTheme="minorEastAsia" w:hAnsiTheme="minorEastAsia" w:eastAsiaTheme="minorEastAsia"/>
          <w:color w:val="auto"/>
          <w:sz w:val="24"/>
          <w:szCs w:val="24"/>
          <w:highlight w:val="none"/>
          <w:u w:val="single"/>
        </w:rPr>
        <w:t>违约责任，</w:t>
      </w:r>
      <w:r>
        <w:rPr>
          <w:rFonts w:hint="eastAsia" w:cs="宋体" w:asciiTheme="minorEastAsia" w:hAnsiTheme="minorEastAsia" w:eastAsiaTheme="minorEastAsia"/>
          <w:color w:val="auto"/>
          <w:spacing w:val="1"/>
          <w:sz w:val="24"/>
          <w:szCs w:val="24"/>
          <w:highlight w:val="none"/>
          <w:u w:val="single"/>
        </w:rPr>
        <w:t>Ⅳ类</w:t>
      </w:r>
      <w:r>
        <w:rPr>
          <w:rFonts w:hint="eastAsia" w:cs="宋体" w:asciiTheme="minorEastAsia" w:hAnsiTheme="minorEastAsia" w:eastAsiaTheme="minorEastAsia"/>
          <w:color w:val="auto"/>
          <w:sz w:val="24"/>
          <w:szCs w:val="24"/>
          <w:highlight w:val="none"/>
          <w:u w:val="single"/>
        </w:rPr>
        <w:t>错误对应1次一般</w:t>
      </w:r>
      <w:r>
        <w:rPr>
          <w:rFonts w:hint="eastAsia" w:asciiTheme="minorEastAsia" w:hAnsiTheme="minorEastAsia" w:eastAsiaTheme="minorEastAsia"/>
          <w:color w:val="auto"/>
          <w:sz w:val="24"/>
          <w:szCs w:val="24"/>
          <w:highlight w:val="none"/>
          <w:u w:val="single"/>
        </w:rPr>
        <w:t>违约责任。由此造成设计文件逾期交付的，按本章</w:t>
      </w:r>
      <w:r>
        <w:rPr>
          <w:rFonts w:hint="eastAsia" w:asciiTheme="minorEastAsia" w:hAnsiTheme="minorEastAsia" w:eastAsiaTheme="minorEastAsia"/>
          <w:color w:val="auto"/>
          <w:sz w:val="24"/>
          <w:szCs w:val="24"/>
          <w:highlight w:val="none"/>
          <w:u w:val="single"/>
        </w:rPr>
        <w:t>14.1.4条</w:t>
      </w:r>
      <w:r>
        <w:rPr>
          <w:rFonts w:hint="eastAsia" w:asciiTheme="minorEastAsia" w:hAnsiTheme="minorEastAsia" w:eastAsiaTheme="minorEastAsia"/>
          <w:color w:val="auto"/>
          <w:sz w:val="24"/>
          <w:szCs w:val="24"/>
          <w:highlight w:val="none"/>
          <w:u w:val="single"/>
        </w:rPr>
        <w:t>的约定处理。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B）在对设计文件进行评审或审查时发现设计人的设计质量不符合合同约定或设计文件出现遗漏或错误的，并按附件5《设计错误分类》中</w:t>
      </w:r>
      <w:r>
        <w:rPr>
          <w:rFonts w:hint="eastAsia" w:cs="宋体" w:asciiTheme="minorEastAsia" w:hAnsiTheme="minorEastAsia" w:eastAsiaTheme="minorEastAsia"/>
          <w:color w:val="auto"/>
          <w:spacing w:val="1"/>
          <w:sz w:val="24"/>
          <w:szCs w:val="24"/>
          <w:highlight w:val="none"/>
          <w:u w:val="single"/>
        </w:rPr>
        <w:t>Ⅰ类</w:t>
      </w:r>
      <w:r>
        <w:rPr>
          <w:rFonts w:hint="eastAsia" w:cs="宋体" w:asciiTheme="minorEastAsia" w:hAnsiTheme="minorEastAsia" w:eastAsiaTheme="minorEastAsia"/>
          <w:color w:val="auto"/>
          <w:sz w:val="24"/>
          <w:szCs w:val="24"/>
          <w:highlight w:val="none"/>
          <w:u w:val="single"/>
        </w:rPr>
        <w:t>错误对应2次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Ⅱ</w:t>
      </w:r>
      <w:r>
        <w:rPr>
          <w:rFonts w:hint="eastAsia" w:cs="宋体" w:asciiTheme="minorEastAsia" w:hAnsiTheme="minorEastAsia" w:eastAsiaTheme="minorEastAsia"/>
          <w:color w:val="auto"/>
          <w:sz w:val="24"/>
          <w:szCs w:val="24"/>
          <w:highlight w:val="none"/>
          <w:u w:val="single"/>
        </w:rPr>
        <w:t>类错对应1次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Ⅲ类</w:t>
      </w:r>
      <w:r>
        <w:rPr>
          <w:rFonts w:hint="eastAsia" w:cs="宋体" w:asciiTheme="minorEastAsia" w:hAnsiTheme="minorEastAsia" w:eastAsiaTheme="minorEastAsia"/>
          <w:color w:val="auto"/>
          <w:sz w:val="24"/>
          <w:szCs w:val="24"/>
          <w:highlight w:val="none"/>
          <w:u w:val="single"/>
        </w:rPr>
        <w:t>错误对应2次一般</w:t>
      </w:r>
      <w:r>
        <w:rPr>
          <w:rFonts w:hint="eastAsia" w:asciiTheme="minorEastAsia" w:hAnsiTheme="minorEastAsia" w:eastAsiaTheme="minorEastAsia"/>
          <w:color w:val="auto"/>
          <w:sz w:val="24"/>
          <w:szCs w:val="24"/>
          <w:highlight w:val="none"/>
          <w:u w:val="single"/>
        </w:rPr>
        <w:t>违约责任，</w:t>
      </w:r>
      <w:r>
        <w:rPr>
          <w:rFonts w:hint="eastAsia" w:cs="宋体" w:asciiTheme="minorEastAsia" w:hAnsiTheme="minorEastAsia" w:eastAsiaTheme="minorEastAsia"/>
          <w:color w:val="auto"/>
          <w:spacing w:val="1"/>
          <w:sz w:val="24"/>
          <w:szCs w:val="24"/>
          <w:highlight w:val="none"/>
          <w:u w:val="single"/>
        </w:rPr>
        <w:t>Ⅳ类</w:t>
      </w:r>
      <w:r>
        <w:rPr>
          <w:rFonts w:hint="eastAsia" w:cs="宋体" w:asciiTheme="minorEastAsia" w:hAnsiTheme="minorEastAsia" w:eastAsiaTheme="minorEastAsia"/>
          <w:color w:val="auto"/>
          <w:sz w:val="24"/>
          <w:szCs w:val="24"/>
          <w:highlight w:val="none"/>
          <w:u w:val="single"/>
        </w:rPr>
        <w:t>错误对应1次一般</w:t>
      </w:r>
      <w:r>
        <w:rPr>
          <w:rFonts w:hint="eastAsia" w:asciiTheme="minorEastAsia" w:hAnsiTheme="minorEastAsia" w:eastAsiaTheme="minorEastAsia"/>
          <w:color w:val="auto"/>
          <w:sz w:val="24"/>
          <w:szCs w:val="24"/>
          <w:highlight w:val="none"/>
          <w:u w:val="single"/>
        </w:rPr>
        <w:t>违约责任；因此造成设计文件逾期交付的，按本章14.1.4条的约定处理。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C）在后续设计或施工时发现设计人的设计质量不符合合同约定或设计文件出现遗漏或错误的，发包人有权根据实际情况决定其承担违约责任的形式并要求设计人赔偿损失，并按附件5《设计错误分类》中</w:t>
      </w:r>
      <w:r>
        <w:rPr>
          <w:rFonts w:hint="eastAsia" w:cs="宋体" w:asciiTheme="minorEastAsia" w:hAnsiTheme="minorEastAsia" w:eastAsiaTheme="minorEastAsia"/>
          <w:color w:val="auto"/>
          <w:spacing w:val="1"/>
          <w:sz w:val="24"/>
          <w:szCs w:val="24"/>
          <w:highlight w:val="none"/>
          <w:u w:val="single"/>
        </w:rPr>
        <w:t>Ⅰ类</w:t>
      </w:r>
      <w:r>
        <w:rPr>
          <w:rFonts w:hint="eastAsia" w:cs="宋体" w:asciiTheme="minorEastAsia" w:hAnsiTheme="minorEastAsia" w:eastAsiaTheme="minorEastAsia"/>
          <w:color w:val="auto"/>
          <w:sz w:val="24"/>
          <w:szCs w:val="24"/>
          <w:highlight w:val="none"/>
          <w:u w:val="single"/>
        </w:rPr>
        <w:t>错误对应2次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Ⅱ</w:t>
      </w:r>
      <w:r>
        <w:rPr>
          <w:rFonts w:hint="eastAsia" w:cs="宋体" w:asciiTheme="minorEastAsia" w:hAnsiTheme="minorEastAsia" w:eastAsiaTheme="minorEastAsia"/>
          <w:color w:val="auto"/>
          <w:sz w:val="24"/>
          <w:szCs w:val="24"/>
          <w:highlight w:val="none"/>
          <w:u w:val="single"/>
        </w:rPr>
        <w:t>类错对应1次</w:t>
      </w:r>
      <w:r>
        <w:rPr>
          <w:rFonts w:hint="eastAsia" w:asciiTheme="minorEastAsia" w:hAnsiTheme="minorEastAsia" w:eastAsiaTheme="minorEastAsia"/>
          <w:color w:val="auto"/>
          <w:sz w:val="24"/>
          <w:szCs w:val="24"/>
          <w:highlight w:val="none"/>
          <w:u w:val="single"/>
        </w:rPr>
        <w:t>严重违约责任，</w:t>
      </w:r>
      <w:r>
        <w:rPr>
          <w:rFonts w:hint="eastAsia" w:cs="宋体" w:asciiTheme="minorEastAsia" w:hAnsiTheme="minorEastAsia" w:eastAsiaTheme="minorEastAsia"/>
          <w:color w:val="auto"/>
          <w:spacing w:val="1"/>
          <w:sz w:val="24"/>
          <w:szCs w:val="24"/>
          <w:highlight w:val="none"/>
          <w:u w:val="single"/>
        </w:rPr>
        <w:t>Ⅲ类</w:t>
      </w:r>
      <w:r>
        <w:rPr>
          <w:rFonts w:hint="eastAsia" w:cs="宋体" w:asciiTheme="minorEastAsia" w:hAnsiTheme="minorEastAsia" w:eastAsiaTheme="minorEastAsia"/>
          <w:color w:val="auto"/>
          <w:sz w:val="24"/>
          <w:szCs w:val="24"/>
          <w:highlight w:val="none"/>
          <w:u w:val="single"/>
        </w:rPr>
        <w:t>错误对应2次一般</w:t>
      </w:r>
      <w:r>
        <w:rPr>
          <w:rFonts w:hint="eastAsia" w:asciiTheme="minorEastAsia" w:hAnsiTheme="minorEastAsia" w:eastAsiaTheme="minorEastAsia"/>
          <w:color w:val="auto"/>
          <w:sz w:val="24"/>
          <w:szCs w:val="24"/>
          <w:highlight w:val="none"/>
          <w:u w:val="single"/>
        </w:rPr>
        <w:t>违约责任，</w:t>
      </w:r>
      <w:r>
        <w:rPr>
          <w:rFonts w:hint="eastAsia" w:cs="宋体" w:asciiTheme="minorEastAsia" w:hAnsiTheme="minorEastAsia" w:eastAsiaTheme="minorEastAsia"/>
          <w:color w:val="auto"/>
          <w:spacing w:val="1"/>
          <w:sz w:val="24"/>
          <w:szCs w:val="24"/>
          <w:highlight w:val="none"/>
          <w:u w:val="single"/>
        </w:rPr>
        <w:t>Ⅳ类</w:t>
      </w:r>
      <w:r>
        <w:rPr>
          <w:rFonts w:hint="eastAsia" w:cs="宋体" w:asciiTheme="minorEastAsia" w:hAnsiTheme="minorEastAsia" w:eastAsiaTheme="minorEastAsia"/>
          <w:color w:val="auto"/>
          <w:sz w:val="24"/>
          <w:szCs w:val="24"/>
          <w:highlight w:val="none"/>
          <w:u w:val="single"/>
        </w:rPr>
        <w:t>错误对应1次一般</w:t>
      </w:r>
      <w:r>
        <w:rPr>
          <w:rFonts w:hint="eastAsia" w:asciiTheme="minorEastAsia" w:hAnsiTheme="minorEastAsia" w:eastAsiaTheme="minorEastAsia"/>
          <w:color w:val="auto"/>
          <w:sz w:val="24"/>
          <w:szCs w:val="24"/>
          <w:highlight w:val="none"/>
          <w:u w:val="single"/>
        </w:rPr>
        <w:t>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D）因设计人的设计质量不符合合同约定或设计文件出现遗漏或错误造成一般质量事故或工期延误3天以上5天以内的，按一般违约处理，设计人应负责修改或补充设计文件并免收直接受影响工程部分的设计费。</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E）由于设计人设计错误造成工程严重质量事故或工期延误超过5天的，按严重违约处理，设计人除负责采取补救措施外，应免收直接受影响工程部分的设计费，给发包人造成损失的，应全额向发包人支付赔偿金。</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3）投资控制方面的违约责任：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①设计人未取得发包人同意超投资限额设计的，超过30万元须限期改正，超过50万元须承担一般违约责任，超过100万元须承担严重违约责任，超过200万元按部分解除合同处理，超过400万元按解除合同处理。此外，扣减等同超限额部分金额设计费，同时设计人还要承担由此造成的一切经济责任和法律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4）人员投入方面的违约责任：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①设计人在合同附件中承诺投入的人员没有按发包人的指令按时到位的，必须在发包人规定的时间限期到位，如不在发包人规定的时间到位，发包人有权根据实际情况决定设计人承担违约责任的形式，设计人不得提出任何异议。</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②在本合同履行期内设计人要求更换人员的，按以下约定处理：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A）未经发包人同意的，更换一般设计人员须向发包人支付违约金人民币3万元/人次；更换专业设计负责人须向发包人支付违约金人民币9万元/人次；更换项目总负责人（或设计负责人）须向发包人支付违约金人民币15万元/人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B）因设计人原因，导致发包人对投入本项目的一般设计人员履约不满意的，有权要求设计人更换具备同等资历和能力的人员，同时，有权要求设计人支付违约金人民币2万元/人次；</w:t>
      </w:r>
      <w:r>
        <w:rPr>
          <w:rFonts w:hint="eastAsia" w:asciiTheme="minorEastAsia" w:hAnsiTheme="minorEastAsia" w:eastAsiaTheme="minorEastAsia"/>
          <w:color w:val="auto"/>
          <w:sz w:val="24"/>
          <w:szCs w:val="24"/>
          <w:highlight w:val="none"/>
          <w:u w:val="single"/>
        </w:rPr>
        <w:t>发包人对投入本项目的专业设计负责人履约不满意的，有权要求设计人更换具备同等资历和能力的人员，同时，有权要求设计人支付违约金人民币6万元/人次；</w:t>
      </w:r>
      <w:r>
        <w:rPr>
          <w:rFonts w:hint="eastAsia" w:asciiTheme="minorEastAsia" w:hAnsiTheme="minorEastAsia" w:eastAsiaTheme="minorEastAsia"/>
          <w:color w:val="auto"/>
          <w:sz w:val="24"/>
          <w:szCs w:val="24"/>
          <w:highlight w:val="none"/>
          <w:u w:val="single"/>
        </w:rPr>
        <w:t>发包人对投入本项目的项目总负责人（或设计负责人）履约不满意的，有权有权要求设计人更换具备同等资历和能力的人员，同时，有权要求设计人支付违约金人民币10万元/人次；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C）</w:t>
      </w:r>
      <w:r>
        <w:rPr>
          <w:rFonts w:hint="eastAsia" w:asciiTheme="minorEastAsia" w:hAnsiTheme="minorEastAsia" w:eastAsiaTheme="minorEastAsia"/>
          <w:color w:val="auto"/>
          <w:sz w:val="24"/>
          <w:szCs w:val="24"/>
          <w:highlight w:val="none"/>
          <w:u w:val="single"/>
        </w:rPr>
        <w:t>经发包人同意的，更换一般设计人员，发包人有权要求设计人支付违约金人民币1万元/人次；更换专业设计负责人，发包人有权要求设计人支付违约金人民币3万元/人次；更换</w:t>
      </w:r>
      <w:r>
        <w:rPr>
          <w:rFonts w:hint="eastAsia" w:asciiTheme="minorEastAsia" w:hAnsiTheme="minorEastAsia" w:eastAsiaTheme="minorEastAsia"/>
          <w:color w:val="auto"/>
          <w:sz w:val="24"/>
          <w:szCs w:val="24"/>
          <w:highlight w:val="none"/>
          <w:u w:val="single"/>
        </w:rPr>
        <w:t>项目总负责人（或设计负责人），</w:t>
      </w:r>
      <w:r>
        <w:rPr>
          <w:rFonts w:hint="eastAsia" w:asciiTheme="minorEastAsia" w:hAnsiTheme="minorEastAsia" w:eastAsiaTheme="minorEastAsia"/>
          <w:color w:val="auto"/>
          <w:sz w:val="24"/>
          <w:szCs w:val="24"/>
          <w:highlight w:val="none"/>
          <w:u w:val="single"/>
        </w:rPr>
        <w:t>发包人有权要求设计人支付违约金人民币5万元/人次。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D)因不可抗力事件（如重病、重伤、失踪、死亡等）造成设计人员岗位空缺的，设计人必须在出现空缺之日起五日内予以补充，但无须向发包人支付违约金。逾期未予以补充的，按照本章</w:t>
      </w:r>
      <w:r>
        <w:rPr>
          <w:rFonts w:hint="eastAsia" w:asciiTheme="minorEastAsia" w:hAnsiTheme="minorEastAsia" w:eastAsiaTheme="minorEastAsia"/>
          <w:color w:val="auto"/>
          <w:sz w:val="24"/>
          <w:szCs w:val="24"/>
          <w:highlight w:val="none"/>
          <w:u w:val="single"/>
        </w:rPr>
        <w:t>14.1.4</w:t>
      </w:r>
      <w:r>
        <w:rPr>
          <w:rFonts w:hint="eastAsia" w:asciiTheme="minorEastAsia" w:hAnsiTheme="minorEastAsia" w:eastAsiaTheme="minorEastAsia"/>
          <w:color w:val="auto"/>
          <w:sz w:val="24"/>
          <w:szCs w:val="24"/>
          <w:highlight w:val="none"/>
          <w:u w:val="single"/>
        </w:rPr>
        <w:t>条处理。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5）其他方面的违约责任：</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设计人违反本合同其他条款的约定或者履约时与其承诺不符，发包人有权根据实际情况决定其承担违约责任的形式，设计人不得提出任何异议。</w:t>
      </w:r>
    </w:p>
    <w:p>
      <w:pPr>
        <w:spacing w:line="360" w:lineRule="auto"/>
        <w:ind w:firstLine="480" w:firstLineChars="200"/>
        <w:rPr>
          <w:rFonts w:cs="宋体" w:asciiTheme="minorEastAsia" w:hAnsiTheme="minorEastAsia" w:eastAsiaTheme="minorEastAsia"/>
          <w:snapToGrid w:val="0"/>
          <w:color w:val="auto"/>
          <w:sz w:val="24"/>
          <w:szCs w:val="24"/>
          <w:highlight w:val="none"/>
          <w:u w:val="single"/>
        </w:rPr>
      </w:pPr>
      <w:r>
        <w:rPr>
          <w:rFonts w:hint="eastAsia" w:asciiTheme="minorEastAsia" w:hAnsiTheme="minorEastAsia" w:eastAsiaTheme="minorEastAsia"/>
          <w:color w:val="auto"/>
          <w:sz w:val="24"/>
          <w:szCs w:val="24"/>
          <w:highlight w:val="none"/>
          <w:u w:val="single"/>
        </w:rPr>
        <w:t>①</w:t>
      </w:r>
      <w:r>
        <w:rPr>
          <w:rFonts w:hint="eastAsia" w:cs="宋体" w:asciiTheme="minorEastAsia" w:hAnsiTheme="minorEastAsia" w:eastAsiaTheme="minorEastAsia"/>
          <w:snapToGrid w:val="0"/>
          <w:color w:val="auto"/>
          <w:sz w:val="24"/>
          <w:szCs w:val="24"/>
          <w:highlight w:val="none"/>
          <w:u w:val="single"/>
        </w:rPr>
        <w:t>设计人应支持、服从发包人的管理工作，对发包人的指令和书面通知，若无正当理由又未提前报告、得到认可，而公开或变相拒不执行的，第一次承担一般违约责任1次；第三次以后，每发生一次承担严重违约1次，</w:t>
      </w:r>
      <w:r>
        <w:rPr>
          <w:rFonts w:hint="eastAsia" w:cs="宋体" w:asciiTheme="minorEastAsia" w:hAnsiTheme="minorEastAsia" w:eastAsiaTheme="minorEastAsia"/>
          <w:bCs/>
          <w:snapToGrid w:val="0"/>
          <w:color w:val="auto"/>
          <w:sz w:val="24"/>
          <w:szCs w:val="24"/>
          <w:highlight w:val="none"/>
          <w:u w:val="single"/>
        </w:rPr>
        <w:t>情节特别严重的，发包人有权部分解除合同或解除合同</w:t>
      </w:r>
      <w:r>
        <w:rPr>
          <w:rFonts w:hint="eastAsia" w:cs="宋体" w:asciiTheme="minorEastAsia" w:hAnsiTheme="minorEastAsia" w:eastAsiaTheme="minorEastAsia"/>
          <w:snapToGrid w:val="0"/>
          <w:color w:val="auto"/>
          <w:sz w:val="24"/>
          <w:szCs w:val="24"/>
          <w:highlight w:val="none"/>
          <w:u w:val="single"/>
        </w:rPr>
        <w:t>。</w:t>
      </w:r>
    </w:p>
    <w:p>
      <w:pPr>
        <w:spacing w:line="360" w:lineRule="auto"/>
        <w:ind w:firstLine="480" w:firstLineChars="200"/>
        <w:rPr>
          <w:rFonts w:cs="宋体" w:asciiTheme="minorEastAsia" w:hAnsiTheme="minorEastAsia" w:eastAsiaTheme="minorEastAsia"/>
          <w:snapToGrid w:val="0"/>
          <w:color w:val="auto"/>
          <w:sz w:val="24"/>
          <w:szCs w:val="24"/>
          <w:highlight w:val="none"/>
          <w:u w:val="single"/>
        </w:rPr>
      </w:pPr>
      <w:r>
        <w:rPr>
          <w:rFonts w:hint="eastAsia" w:cs="宋体" w:asciiTheme="minorEastAsia" w:hAnsiTheme="minorEastAsia" w:eastAsiaTheme="minorEastAsia"/>
          <w:snapToGrid w:val="0"/>
          <w:color w:val="auto"/>
          <w:sz w:val="24"/>
          <w:szCs w:val="24"/>
          <w:highlight w:val="none"/>
          <w:u w:val="single"/>
        </w:rPr>
        <w:t>②对于发包人通知设计人（包括设计人分包单位）参加的会议（包括但不限于进场会、现场问题处理会议、工程验收会议、结算问题处理会议、质保期工作的相关会议等），被通知人员（包括但不限于设计人法定代表人、经报发包人批准同意的设计人法定代表人授权人、项目负责人等）未经发包人书面同意自行缺席的，每缺席一人次设计人承担1次一般违约责任。</w:t>
      </w:r>
    </w:p>
    <w:p>
      <w:pPr>
        <w:spacing w:line="360" w:lineRule="auto"/>
        <w:ind w:firstLine="480" w:firstLineChars="200"/>
        <w:rPr>
          <w:rFonts w:cs="宋体" w:asciiTheme="minorEastAsia" w:hAnsiTheme="minorEastAsia" w:eastAsiaTheme="minorEastAsia"/>
          <w:snapToGrid w:val="0"/>
          <w:color w:val="auto"/>
          <w:sz w:val="24"/>
          <w:szCs w:val="24"/>
          <w:highlight w:val="none"/>
          <w:u w:val="single"/>
        </w:rPr>
      </w:pPr>
      <w:r>
        <w:rPr>
          <w:rFonts w:hint="eastAsia" w:cs="宋体" w:asciiTheme="minorEastAsia" w:hAnsiTheme="minorEastAsia" w:eastAsiaTheme="minorEastAsia"/>
          <w:snapToGrid w:val="0"/>
          <w:color w:val="auto"/>
          <w:sz w:val="24"/>
          <w:szCs w:val="24"/>
          <w:highlight w:val="none"/>
          <w:u w:val="single"/>
        </w:rPr>
        <w:t>③设计人未能按合同约定及时提供招标配合服务，或其招标配合服务未能达到合同约定的要求，导致发包人的招标工作不能按时顺利进行的，每确认1次，设计人承担一般违约责任1次。</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cs="宋体" w:asciiTheme="minorEastAsia" w:hAnsiTheme="minorEastAsia" w:eastAsiaTheme="minorEastAsia"/>
          <w:snapToGrid w:val="0"/>
          <w:color w:val="auto"/>
          <w:sz w:val="24"/>
          <w:szCs w:val="24"/>
          <w:highlight w:val="none"/>
          <w:u w:val="single"/>
        </w:rPr>
        <w:t>④设计人未能按合同约定投入人员或投入人员</w:t>
      </w:r>
      <w:r>
        <w:rPr>
          <w:rFonts w:hint="eastAsia" w:cs="宋体" w:asciiTheme="minorEastAsia" w:hAnsiTheme="minorEastAsia" w:eastAsiaTheme="minorEastAsia"/>
          <w:strike/>
          <w:snapToGrid w:val="0"/>
          <w:color w:val="auto"/>
          <w:sz w:val="24"/>
          <w:szCs w:val="24"/>
          <w:highlight w:val="none"/>
          <w:u w:val="single"/>
        </w:rPr>
        <w:t>（含勘察人员）</w:t>
      </w:r>
      <w:r>
        <w:rPr>
          <w:rFonts w:hint="eastAsia" w:cs="宋体" w:asciiTheme="minorEastAsia" w:hAnsiTheme="minorEastAsia" w:eastAsiaTheme="minorEastAsia"/>
          <w:snapToGrid w:val="0"/>
          <w:color w:val="auto"/>
          <w:sz w:val="24"/>
          <w:szCs w:val="24"/>
          <w:highlight w:val="none"/>
          <w:u w:val="single"/>
        </w:rPr>
        <w:t>没有按时到位的人员为一般设计人员的，每出现1人次，设计人承担一般违约责任1次；如该没有投入或者没有按时到位的人员为设计专业负责人的，每出现1人次，设计人承担严重违约责任1次。设计人要求更换人员的，需征得发包人同意。设计人在发包人规定的宽限期内仍未将人员投入到位的，发包人有权另请他人接替其工作并书面通知设计人，另请他人的费用从应支付给设计人的</w:t>
      </w:r>
      <w:r>
        <w:rPr>
          <w:rFonts w:hint="eastAsia" w:cs="宋体" w:asciiTheme="minorEastAsia" w:hAnsiTheme="minorEastAsia" w:eastAsiaTheme="minorEastAsia"/>
          <w:strike/>
          <w:snapToGrid w:val="0"/>
          <w:color w:val="auto"/>
          <w:sz w:val="24"/>
          <w:szCs w:val="24"/>
          <w:highlight w:val="none"/>
          <w:u w:val="single"/>
        </w:rPr>
        <w:t>勘察</w:t>
      </w:r>
      <w:r>
        <w:rPr>
          <w:rFonts w:hint="eastAsia" w:cs="宋体" w:asciiTheme="minorEastAsia" w:hAnsiTheme="minorEastAsia" w:eastAsiaTheme="minorEastAsia"/>
          <w:snapToGrid w:val="0"/>
          <w:color w:val="auto"/>
          <w:sz w:val="24"/>
          <w:szCs w:val="24"/>
          <w:highlight w:val="none"/>
          <w:u w:val="single"/>
        </w:rPr>
        <w:t>、设计费中扣减。</w:t>
      </w:r>
      <w:r>
        <w:rPr>
          <w:rFonts w:hint="eastAsia" w:cs="宋体" w:asciiTheme="minorEastAsia" w:hAnsiTheme="minorEastAsia" w:eastAsiaTheme="minorEastAsia"/>
          <w:color w:val="auto"/>
          <w:kern w:val="1"/>
          <w:sz w:val="24"/>
          <w:szCs w:val="24"/>
          <w:highlight w:val="none"/>
          <w:u w:val="single"/>
        </w:rPr>
        <w:t>因不可抗力事件（如重病、重伤、失踪、死亡等）造成设计人员岗位空缺的，设计人必须在出现空缺之日起五日内予以补充，但无须向发包人支付违约金。逾期未予以补充的，按照</w:t>
      </w:r>
      <w:r>
        <w:rPr>
          <w:rFonts w:hint="eastAsia" w:cs="宋体" w:asciiTheme="minorEastAsia" w:hAnsiTheme="minorEastAsia" w:eastAsiaTheme="minorEastAsia"/>
          <w:snapToGrid w:val="0"/>
          <w:color w:val="auto"/>
          <w:sz w:val="24"/>
          <w:szCs w:val="24"/>
          <w:highlight w:val="none"/>
          <w:u w:val="single"/>
        </w:rPr>
        <w:t>没有按时到位</w:t>
      </w:r>
      <w:r>
        <w:rPr>
          <w:rFonts w:hint="eastAsia" w:cs="宋体" w:asciiTheme="minorEastAsia" w:hAnsiTheme="minorEastAsia" w:eastAsiaTheme="minorEastAsia"/>
          <w:color w:val="auto"/>
          <w:kern w:val="1"/>
          <w:sz w:val="24"/>
          <w:szCs w:val="24"/>
          <w:highlight w:val="none"/>
          <w:u w:val="single"/>
        </w:rPr>
        <w:t>处理。</w:t>
      </w:r>
    </w:p>
    <w:p>
      <w:pPr>
        <w:spacing w:line="360" w:lineRule="auto"/>
        <w:ind w:firstLine="480" w:firstLineChars="20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6）</w:t>
      </w:r>
      <w:r>
        <w:rPr>
          <w:rFonts w:hint="eastAsia" w:asciiTheme="minorEastAsia" w:hAnsiTheme="minorEastAsia" w:eastAsiaTheme="minorEastAsia"/>
          <w:color w:val="auto"/>
          <w:sz w:val="24"/>
          <w:szCs w:val="24"/>
          <w:highlight w:val="none"/>
          <w:u w:val="single"/>
        </w:rPr>
        <w:t>上述违约事项发生后，设计人需按发包人指定的方式及时交纳违约金，如设计人不按要求交纳的，发包人有权</w:t>
      </w:r>
      <w:r>
        <w:rPr>
          <w:rFonts w:hint="eastAsia" w:asciiTheme="minorEastAsia" w:hAnsiTheme="minorEastAsia" w:eastAsiaTheme="minorEastAsia"/>
          <w:color w:val="auto"/>
          <w:sz w:val="24"/>
          <w:szCs w:val="24"/>
          <w:highlight w:val="none"/>
          <w:u w:val="single"/>
        </w:rPr>
        <w:t>从履约担保中扣除。履约担保不足的，相应扣减项目设计费。项目设计费不足的，发包人可继续向设计人提出索赔要求。</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 xml:space="preserve">15. 不可抗力 </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15.1 不可抗力的确认</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除通用合同条款约定的不可抗力事件之外，视为不可抗力的其他情形：</w:t>
      </w:r>
      <w:r>
        <w:rPr>
          <w:rFonts w:hint="eastAsia" w:asciiTheme="minorEastAsia" w:hAnsiTheme="minorEastAsia" w:eastAsiaTheme="minorEastAsia"/>
          <w:color w:val="auto"/>
          <w:kern w:val="0"/>
          <w:sz w:val="24"/>
          <w:szCs w:val="24"/>
          <w:highlight w:val="none"/>
          <w:u w:val="single"/>
        </w:rPr>
        <w:t xml:space="preserve">  重病、重伤、失踪、死亡等       </w:t>
      </w:r>
      <w:r>
        <w:rPr>
          <w:rFonts w:hint="eastAsia" w:asciiTheme="minorEastAsia" w:hAnsiTheme="minorEastAsia" w:eastAsiaTheme="minorEastAsia"/>
          <w:color w:val="auto"/>
          <w:kern w:val="0"/>
          <w:sz w:val="24"/>
          <w:szCs w:val="24"/>
          <w:highlight w:val="none"/>
        </w:rPr>
        <w:t>。</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15.3不可抗力后果的承担</w:t>
      </w:r>
    </w:p>
    <w:p>
      <w:pPr>
        <w:spacing w:line="360" w:lineRule="auto"/>
        <w:ind w:firstLine="480" w:firstLineChars="200"/>
        <w:jc w:val="left"/>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因不可抗力事件导致的费用损失，由甲、乙双方各自承担自己的损失；对不可抗力事件导致的工期延误，除非一次影响工期延误大于30天，否则竣工日期不变，分段工期或者节点工期可以延误，但设计人应当在下一个节点或分段竣工日前赶回。</w:t>
      </w:r>
    </w:p>
    <w:p>
      <w:pPr>
        <w:spacing w:before="120" w:after="120"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 xml:space="preserve">16. 合同解除 </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 xml:space="preserve">16.2 </w:t>
      </w:r>
      <w:r>
        <w:rPr>
          <w:rFonts w:hint="eastAsia" w:cs="Courier New" w:asciiTheme="minorEastAsia" w:hAnsiTheme="minorEastAsia" w:eastAsiaTheme="minorEastAsia"/>
          <w:color w:val="auto"/>
          <w:sz w:val="24"/>
          <w:szCs w:val="24"/>
          <w:highlight w:val="none"/>
        </w:rPr>
        <w:t>有下列情形之一的，可以解除合同：</w:t>
      </w:r>
    </w:p>
    <w:p>
      <w:pPr>
        <w:spacing w:line="360" w:lineRule="auto"/>
        <w:ind w:firstLine="480" w:firstLineChars="20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（3）暂停设计期限已连续超过</w:t>
      </w:r>
      <w:r>
        <w:rPr>
          <w:rFonts w:hint="eastAsia" w:asciiTheme="minorEastAsia" w:hAnsiTheme="minorEastAsia" w:eastAsiaTheme="minorEastAsia"/>
          <w:color w:val="auto"/>
          <w:kern w:val="0"/>
          <w:sz w:val="24"/>
          <w:szCs w:val="24"/>
          <w:highlight w:val="none"/>
          <w:u w:val="single"/>
        </w:rPr>
        <w:t xml:space="preserve">  180  </w:t>
      </w:r>
      <w:r>
        <w:rPr>
          <w:rFonts w:hint="eastAsia" w:asciiTheme="minorEastAsia" w:hAnsiTheme="minorEastAsia" w:eastAsiaTheme="minorEastAsia"/>
          <w:color w:val="auto"/>
          <w:kern w:val="0"/>
          <w:sz w:val="24"/>
          <w:szCs w:val="24"/>
          <w:highlight w:val="none"/>
        </w:rPr>
        <w:t>个日历天。</w:t>
      </w:r>
    </w:p>
    <w:p>
      <w:pPr>
        <w:spacing w:line="360" w:lineRule="auto"/>
        <w:ind w:firstLine="480" w:firstLineChars="200"/>
        <w:jc w:val="left"/>
        <w:rPr>
          <w:rFonts w:asciiTheme="minorEastAsia" w:hAnsiTheme="minorEastAsia" w:eastAsiaTheme="minorEastAsia"/>
          <w:color w:val="auto"/>
          <w:kern w:val="0"/>
          <w:sz w:val="24"/>
          <w:szCs w:val="24"/>
          <w:highlight w:val="none"/>
          <w:u w:val="single"/>
        </w:rPr>
      </w:pPr>
      <w:r>
        <w:rPr>
          <w:rFonts w:hint="eastAsia" w:asciiTheme="minorEastAsia" w:hAnsiTheme="minorEastAsia" w:eastAsiaTheme="minorEastAsia"/>
          <w:color w:val="auto"/>
          <w:kern w:val="0"/>
          <w:sz w:val="24"/>
          <w:szCs w:val="24"/>
          <w:highlight w:val="none"/>
        </w:rPr>
        <w:t xml:space="preserve">16.4 </w:t>
      </w:r>
      <w:r>
        <w:rPr>
          <w:rFonts w:hint="eastAsia" w:cs="Courier New" w:asciiTheme="minorEastAsia" w:hAnsiTheme="minorEastAsia" w:eastAsiaTheme="minorEastAsia"/>
          <w:color w:val="auto"/>
          <w:sz w:val="24"/>
          <w:szCs w:val="24"/>
          <w:highlight w:val="none"/>
        </w:rPr>
        <w:t>发包人向设计人支付已完工作设计费的期限为</w:t>
      </w:r>
      <w:r>
        <w:rPr>
          <w:rFonts w:hint="eastAsia" w:cs="Courier New" w:asciiTheme="minorEastAsia" w:hAnsiTheme="minorEastAsia" w:eastAsiaTheme="minorEastAsia"/>
          <w:color w:val="auto"/>
          <w:sz w:val="24"/>
          <w:szCs w:val="24"/>
          <w:highlight w:val="none"/>
          <w:u w:val="single"/>
        </w:rPr>
        <w:t xml:space="preserve">  180  </w:t>
      </w:r>
      <w:r>
        <w:rPr>
          <w:rFonts w:hint="eastAsia" w:asciiTheme="minorEastAsia" w:hAnsiTheme="minorEastAsia" w:eastAsiaTheme="minorEastAsia"/>
          <w:color w:val="auto"/>
          <w:kern w:val="0"/>
          <w:sz w:val="24"/>
          <w:szCs w:val="24"/>
          <w:highlight w:val="none"/>
        </w:rPr>
        <w:t>个日历天</w:t>
      </w:r>
      <w:r>
        <w:rPr>
          <w:rFonts w:hint="eastAsia" w:cs="Courier New" w:asciiTheme="minorEastAsia" w:hAnsiTheme="minorEastAsia" w:eastAsiaTheme="minorEastAsia"/>
          <w:color w:val="auto"/>
          <w:sz w:val="24"/>
          <w:szCs w:val="24"/>
          <w:highlight w:val="none"/>
        </w:rPr>
        <w:t>内。</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17. 争议解决</w:t>
      </w:r>
    </w:p>
    <w:p>
      <w:pPr>
        <w:spacing w:before="120"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17.4 仲裁或诉讼</w:t>
      </w:r>
    </w:p>
    <w:p>
      <w:pPr>
        <w:spacing w:after="120"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因合同及合同有关事项发生的争议，按下列第</w:t>
      </w:r>
      <w:r>
        <w:rPr>
          <w:rFonts w:hint="eastAsia" w:asciiTheme="minorEastAsia" w:hAnsiTheme="minorEastAsia" w:eastAsiaTheme="minorEastAsia"/>
          <w:color w:val="auto"/>
          <w:sz w:val="24"/>
          <w:szCs w:val="24"/>
          <w:highlight w:val="none"/>
          <w:u w:val="single"/>
        </w:rPr>
        <w:t xml:space="preserve">   （1）  </w:t>
      </w:r>
      <w:r>
        <w:rPr>
          <w:rFonts w:hint="eastAsia" w:asciiTheme="minorEastAsia" w:hAnsiTheme="minorEastAsia" w:eastAsiaTheme="minorEastAsia"/>
          <w:color w:val="auto"/>
          <w:sz w:val="24"/>
          <w:szCs w:val="24"/>
          <w:highlight w:val="none"/>
        </w:rPr>
        <w:t>种方式解决：</w:t>
      </w:r>
    </w:p>
    <w:p>
      <w:pPr>
        <w:spacing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（1）向</w:t>
      </w:r>
      <w:r>
        <w:rPr>
          <w:rFonts w:hint="eastAsia" w:asciiTheme="minorEastAsia" w:hAnsiTheme="minorEastAsia" w:eastAsiaTheme="minorEastAsia"/>
          <w:color w:val="auto"/>
          <w:sz w:val="24"/>
          <w:szCs w:val="24"/>
          <w:highlight w:val="none"/>
          <w:u w:val="single"/>
        </w:rPr>
        <w:t xml:space="preserve">    广州市   </w:t>
      </w:r>
      <w:r>
        <w:rPr>
          <w:rFonts w:hint="eastAsia" w:asciiTheme="minorEastAsia" w:hAnsiTheme="minorEastAsia" w:eastAsiaTheme="minorEastAsia"/>
          <w:color w:val="auto"/>
          <w:sz w:val="24"/>
          <w:szCs w:val="24"/>
          <w:highlight w:val="none"/>
        </w:rPr>
        <w:t>人民法院起诉；</w:t>
      </w:r>
    </w:p>
    <w:p>
      <w:pPr>
        <w:pStyle w:val="5"/>
        <w:spacing w:before="120" w:after="120" w:line="360" w:lineRule="auto"/>
        <w:ind w:firstLine="480" w:firstLineChars="200"/>
        <w:rPr>
          <w:rFonts w:asciiTheme="minorEastAsia" w:hAnsiTheme="minorEastAsia" w:eastAsiaTheme="minorEastAsia"/>
          <w:b w:val="0"/>
          <w:color w:val="auto"/>
          <w:sz w:val="24"/>
          <w:szCs w:val="24"/>
          <w:highlight w:val="none"/>
        </w:rPr>
      </w:pPr>
      <w:r>
        <w:rPr>
          <w:rFonts w:hint="eastAsia" w:asciiTheme="minorEastAsia" w:hAnsiTheme="minorEastAsia" w:eastAsiaTheme="minorEastAsia"/>
          <w:b w:val="0"/>
          <w:color w:val="auto"/>
          <w:sz w:val="24"/>
          <w:szCs w:val="24"/>
          <w:highlight w:val="none"/>
        </w:rPr>
        <w:t>18. 其他（如果没有，填“无”）</w:t>
      </w:r>
    </w:p>
    <w:p>
      <w:pPr>
        <w:spacing w:line="360" w:lineRule="auto"/>
        <w:ind w:firstLine="480" w:firstLineChars="200"/>
        <w:jc w:val="left"/>
        <w:rPr>
          <w:rFonts w:asciiTheme="minorEastAsia" w:hAnsiTheme="minorEastAsia" w:eastAsiaTheme="minorEastAsia"/>
          <w:color w:val="auto"/>
          <w:sz w:val="24"/>
          <w:szCs w:val="24"/>
          <w:highlight w:val="none"/>
          <w:u w:val="single"/>
        </w:rPr>
      </w:pP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color w:val="auto"/>
          <w:sz w:val="24"/>
          <w:szCs w:val="24"/>
          <w:highlight w:val="none"/>
        </w:rPr>
      </w:pPr>
    </w:p>
    <w:bookmarkEnd w:id="168"/>
    <w:p>
      <w:pPr>
        <w:spacing w:line="360" w:lineRule="auto"/>
        <w:jc w:val="left"/>
        <w:rPr>
          <w:rFonts w:asciiTheme="minorEastAsia" w:hAnsiTheme="minorEastAsia" w:eastAsiaTheme="minorEastAsia"/>
          <w:b/>
          <w:color w:val="auto"/>
          <w:sz w:val="24"/>
          <w:szCs w:val="24"/>
          <w:highlight w:val="none"/>
        </w:rPr>
      </w:pPr>
      <w:bookmarkStart w:id="169" w:name="_Toc351203652"/>
      <w:r>
        <w:rPr>
          <w:rFonts w:hint="eastAsia" w:asciiTheme="minorEastAsia" w:hAnsiTheme="minorEastAsia" w:eastAsiaTheme="minorEastAsia"/>
          <w:b/>
          <w:color w:val="auto"/>
          <w:sz w:val="24"/>
          <w:szCs w:val="24"/>
          <w:highlight w:val="none"/>
        </w:rPr>
        <w:t>附件</w:t>
      </w:r>
      <w:bookmarkEnd w:id="169"/>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附件1：工程设计范围、阶段与服务内容</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附件2：发包人向设计人提交的有关资料及文件一览表</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附件3：设计人向发包人交付的工程设计文件目录</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附件4：专业设计及驻场服务人员表</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附件5: 设计错误分类</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附件6: 廉政合同</w:t>
      </w:r>
    </w:p>
    <w:p>
      <w:pPr>
        <w:spacing w:line="360" w:lineRule="auto"/>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附件7: 银行保函格式</w:t>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附件8: B</w:t>
      </w:r>
      <w:r>
        <w:rPr>
          <w:rFonts w:asciiTheme="minorEastAsia" w:hAnsiTheme="minorEastAsia" w:eastAsiaTheme="minorEastAsia"/>
          <w:color w:val="auto"/>
          <w:sz w:val="24"/>
          <w:szCs w:val="24"/>
          <w:highlight w:val="none"/>
        </w:rPr>
        <w:t>IM</w:t>
      </w:r>
      <w:r>
        <w:rPr>
          <w:rFonts w:hint="eastAsia" w:asciiTheme="minorEastAsia" w:hAnsiTheme="minorEastAsia" w:eastAsiaTheme="minorEastAsia"/>
          <w:color w:val="auto"/>
          <w:sz w:val="24"/>
          <w:szCs w:val="24"/>
          <w:highlight w:val="none"/>
        </w:rPr>
        <w:t>实施导则</w:t>
      </w:r>
      <w:r>
        <w:rPr>
          <w:rFonts w:asciiTheme="minorEastAsia" w:hAnsiTheme="minorEastAsia" w:eastAsiaTheme="minorEastAsia"/>
          <w:color w:val="auto"/>
          <w:sz w:val="24"/>
          <w:szCs w:val="24"/>
          <w:highlight w:val="none"/>
        </w:rPr>
        <w:fldChar w:fldCharType="begin"/>
      </w:r>
      <w:r>
        <w:rPr>
          <w:rFonts w:asciiTheme="minorEastAsia" w:hAnsiTheme="minorEastAsia" w:eastAsiaTheme="minorEastAsia"/>
          <w:color w:val="auto"/>
          <w:sz w:val="24"/>
          <w:szCs w:val="24"/>
          <w:highlight w:val="none"/>
        </w:rPr>
        <w:instrText xml:space="preserve">ADDIN CNKISM.UserStyle</w:instrText>
      </w:r>
      <w:r>
        <w:rPr>
          <w:rFonts w:asciiTheme="minorEastAsia" w:hAnsiTheme="minorEastAsia" w:eastAsiaTheme="minorEastAsia"/>
          <w:color w:val="auto"/>
          <w:sz w:val="24"/>
          <w:szCs w:val="24"/>
          <w:highlight w:val="none"/>
        </w:rPr>
        <w:fldChar w:fldCharType="end"/>
      </w:r>
    </w:p>
    <w:p>
      <w:pPr>
        <w:spacing w:before="120" w:after="120"/>
        <w:rPr>
          <w:rFonts w:ascii="宋体" w:hAnsi="宋体"/>
          <w:color w:val="auto"/>
          <w:sz w:val="30"/>
          <w:szCs w:val="30"/>
          <w:highlight w:val="none"/>
        </w:rPr>
      </w:pPr>
      <w:r>
        <w:rPr>
          <w:rFonts w:hint="eastAsia" w:asciiTheme="minorEastAsia" w:hAnsiTheme="minorEastAsia" w:eastAsiaTheme="minorEastAsia"/>
          <w:color w:val="auto"/>
          <w:sz w:val="24"/>
          <w:szCs w:val="24"/>
          <w:highlight w:val="none"/>
        </w:rPr>
        <w:t>附件9:</w:t>
      </w:r>
      <w:r>
        <w:rPr>
          <w:rFonts w:hint="eastAsia" w:ascii="宋体" w:hAnsi="宋体"/>
          <w:color w:val="auto"/>
          <w:sz w:val="24"/>
          <w:szCs w:val="24"/>
          <w:highlight w:val="none"/>
        </w:rPr>
        <w:t xml:space="preserve"> B</w:t>
      </w:r>
      <w:r>
        <w:rPr>
          <w:rFonts w:ascii="宋体" w:hAnsi="宋体"/>
          <w:color w:val="auto"/>
          <w:sz w:val="24"/>
          <w:szCs w:val="24"/>
          <w:highlight w:val="none"/>
        </w:rPr>
        <w:t>IM</w:t>
      </w:r>
      <w:r>
        <w:rPr>
          <w:rFonts w:hint="eastAsia" w:ascii="宋体" w:hAnsi="宋体"/>
          <w:color w:val="auto"/>
          <w:sz w:val="24"/>
          <w:szCs w:val="24"/>
          <w:highlight w:val="none"/>
        </w:rPr>
        <w:t>实施管理标准</w:t>
      </w:r>
      <w:r>
        <w:rPr>
          <w:rFonts w:ascii="宋体" w:hAnsi="宋体"/>
          <w:color w:val="auto"/>
          <w:sz w:val="30"/>
          <w:szCs w:val="30"/>
          <w:highlight w:val="none"/>
        </w:rPr>
        <w:fldChar w:fldCharType="begin"/>
      </w:r>
      <w:r>
        <w:rPr>
          <w:rFonts w:ascii="宋体" w:hAnsi="宋体"/>
          <w:color w:val="auto"/>
          <w:sz w:val="30"/>
          <w:szCs w:val="30"/>
          <w:highlight w:val="none"/>
        </w:rPr>
        <w:instrText xml:space="preserve">ADDIN CNKISM.UserStyle</w:instrText>
      </w:r>
      <w:r>
        <w:rPr>
          <w:rFonts w:ascii="宋体" w:hAnsi="宋体"/>
          <w:color w:val="auto"/>
          <w:sz w:val="30"/>
          <w:szCs w:val="30"/>
          <w:highlight w:val="none"/>
        </w:rPr>
        <w:fldChar w:fldCharType="end"/>
      </w:r>
    </w:p>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附件10: 省代建局直接管理项目设计单位履约评价实施细则</w:t>
      </w: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szCs w:val="24"/>
          <w:highlight w:val="none"/>
        </w:rPr>
        <w:br w:type="page"/>
      </w:r>
      <w:bookmarkStart w:id="170" w:name="_Toc278231956"/>
      <w:bookmarkStart w:id="171" w:name="_Toc278309716"/>
      <w:r>
        <w:rPr>
          <w:rFonts w:hint="eastAsia" w:asciiTheme="minorEastAsia" w:hAnsiTheme="minorEastAsia" w:eastAsiaTheme="minorEastAsia"/>
          <w:b/>
          <w:color w:val="auto"/>
          <w:sz w:val="24"/>
          <w:szCs w:val="24"/>
          <w:highlight w:val="none"/>
        </w:rPr>
        <w:t>附件1：工程设计范围、阶段与服务内容</w:t>
      </w:r>
    </w:p>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工程设计范围、阶段与服务内容</w:t>
      </w:r>
      <w:bookmarkEnd w:id="170"/>
      <w:bookmarkEnd w:id="171"/>
    </w:p>
    <w:p>
      <w:pPr>
        <w:spacing w:line="360" w:lineRule="auto"/>
        <w:ind w:firstLine="451" w:firstLineChars="187"/>
        <w:rPr>
          <w:rFonts w:asciiTheme="minorEastAsia" w:hAnsiTheme="minorEastAsia" w:eastAsiaTheme="minorEastAsia"/>
          <w:b/>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发包人与设计人可根据项目的具体情况，选择确定本附件内容。</w:t>
      </w:r>
    </w:p>
    <w:p>
      <w:pPr>
        <w:spacing w:line="360" w:lineRule="auto"/>
        <w:ind w:firstLine="482"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rPr>
        <w:t>一、本工程设计范围</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（1）方案修改及完善：根据现行《建筑工程设计文件编制深度规定》</w:t>
      </w:r>
      <w:r>
        <w:rPr>
          <w:rFonts w:hint="eastAsia" w:asciiTheme="minorEastAsia" w:hAnsiTheme="minorEastAsia" w:eastAsiaTheme="minorEastAsia"/>
          <w:snapToGrid w:val="0"/>
          <w:color w:val="auto"/>
          <w:kern w:val="0"/>
          <w:sz w:val="24"/>
          <w:szCs w:val="24"/>
          <w:highlight w:val="none"/>
          <w:u w:val="single"/>
        </w:rPr>
        <w:t>、《市政公用工程设计文件编制深度规定》</w:t>
      </w:r>
      <w:r>
        <w:rPr>
          <w:rFonts w:hint="eastAsia" w:asciiTheme="minorEastAsia" w:hAnsiTheme="minorEastAsia" w:eastAsiaTheme="minorEastAsia"/>
          <w:snapToGrid w:val="0"/>
          <w:color w:val="auto"/>
          <w:kern w:val="0"/>
          <w:sz w:val="24"/>
          <w:szCs w:val="24"/>
          <w:highlight w:val="none"/>
        </w:rPr>
        <w:t>中关于方案设计应达到的设计深度要求，同时根据专家评审意见及有关职能部门提出的修改意见，对发包人选定的设计方案进行修改和完善。</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（2）规划方案审查：</w:t>
      </w:r>
      <w:r>
        <w:rPr>
          <w:rFonts w:hint="eastAsia" w:asciiTheme="minorEastAsia" w:hAnsiTheme="minorEastAsia" w:eastAsiaTheme="minorEastAsia"/>
          <w:snapToGrid w:val="0"/>
          <w:color w:val="auto"/>
          <w:kern w:val="0"/>
          <w:sz w:val="24"/>
          <w:szCs w:val="24"/>
          <w:highlight w:val="none"/>
          <w:u w:val="single"/>
        </w:rPr>
        <w:t xml:space="preserve">         红线 </w:t>
      </w:r>
      <w:r>
        <w:rPr>
          <w:rFonts w:hint="eastAsia" w:asciiTheme="minorEastAsia" w:hAnsiTheme="minorEastAsia" w:eastAsiaTheme="minorEastAsia"/>
          <w:snapToGrid w:val="0"/>
          <w:color w:val="auto"/>
          <w:kern w:val="0"/>
          <w:sz w:val="24"/>
          <w:szCs w:val="24"/>
          <w:highlight w:val="none"/>
        </w:rPr>
        <w:t>范围内</w:t>
      </w:r>
      <w:r>
        <w:rPr>
          <w:rFonts w:hint="eastAsia" w:asciiTheme="minorEastAsia" w:hAnsiTheme="minorEastAsia" w:eastAsiaTheme="minorEastAsia"/>
          <w:b/>
          <w:snapToGrid w:val="0"/>
          <w:color w:val="auto"/>
          <w:kern w:val="0"/>
          <w:sz w:val="24"/>
          <w:szCs w:val="24"/>
          <w:highlight w:val="none"/>
          <w:u w:val="single"/>
        </w:rPr>
        <w:t>（具体以发包人书面要求为准）</w:t>
      </w:r>
      <w:r>
        <w:rPr>
          <w:rFonts w:hint="eastAsia" w:asciiTheme="minorEastAsia" w:hAnsiTheme="minorEastAsia" w:eastAsiaTheme="minorEastAsia"/>
          <w:snapToGrid w:val="0"/>
          <w:color w:val="auto"/>
          <w:kern w:val="0"/>
          <w:sz w:val="24"/>
          <w:szCs w:val="24"/>
          <w:highlight w:val="none"/>
        </w:rPr>
        <w:t>总平面及竖向规划设计、管线综合设计、建筑布局、交通组织、景观绿化、建筑立面、环境节能保护等。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（3）室外市政、园林工程设计：</w:t>
      </w:r>
      <w:r>
        <w:rPr>
          <w:rFonts w:hint="eastAsia" w:asciiTheme="minorEastAsia" w:hAnsiTheme="minorEastAsia" w:eastAsiaTheme="minorEastAsia"/>
          <w:bCs/>
          <w:snapToGrid w:val="0"/>
          <w:color w:val="auto"/>
          <w:kern w:val="0"/>
          <w:sz w:val="24"/>
          <w:szCs w:val="24"/>
          <w:highlight w:val="none"/>
        </w:rPr>
        <w:t>本项目</w:t>
      </w:r>
      <w:r>
        <w:rPr>
          <w:rFonts w:hint="eastAsia" w:asciiTheme="minorEastAsia" w:hAnsiTheme="minorEastAsia" w:eastAsiaTheme="minorEastAsia"/>
          <w:snapToGrid w:val="0"/>
          <w:color w:val="auto"/>
          <w:kern w:val="0"/>
          <w:sz w:val="24"/>
          <w:szCs w:val="24"/>
          <w:highlight w:val="none"/>
        </w:rPr>
        <w:t>范围内的道路、园林景观绿化、停车场、供电系统、照明系统、广播音响系统、安全防范监视系统、大屏幕显示系统、标识系统、室外给排水系统、自动喷淋系统、消防系统等的设计，以及室外各种管线综合平衡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（4）建筑设计：本项目范围内的建筑设计、室内装修设计（含标识系统）。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（5）结构设计：本项目范围内建筑体的结构设计、基坑支护设计、幕墙等装修工程的结构设计等。大、中型项目要做装配式建筑的方案比选。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6）电气设计：建筑内部高低压变配电系统、动力、照明配电、消防应急照明和疏散指示系统采用智能消防应急照明疏散指示逃生系统、防雷及接地等，室外配套工程配电和照明工程（含泛光照明），红线内电力等管线平衡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（7）建筑智能化系统设计：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1）通信网络系统：包括计算机网络系统、电话（语音）网络系统、综合布线系统、有线电视及卫星电视接收系统、公共广播及消防广播系统、信息发布（含大屏幕电子公告）、引导系统、手机信号覆盖系统、室内手机信号屏蔽系统、无线上网系统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2）电子会议系统； </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3）新闻发布系统；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4）建筑设备监控系统；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5）安全防范系统：包括入侵报警系统、视频监控系统、出入口控制系统、电子巡更系统、停车场管理系统、智能卡系统、安全防范系统集成（设计范围内的所有建筑、公众区域、停车场、出入口通道等区域的安保设计）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6）智能化系统集成；</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 xml:space="preserve">  7）弱电防雷系统；</w:t>
      </w:r>
    </w:p>
    <w:p>
      <w:pPr>
        <w:adjustRightInd w:val="0"/>
        <w:snapToGrid w:val="0"/>
        <w:spacing w:line="360" w:lineRule="auto"/>
        <w:ind w:firstLine="480" w:firstLineChars="200"/>
        <w:rPr>
          <w:rFonts w:asciiTheme="minorEastAsia" w:hAnsiTheme="minorEastAsia" w:eastAsiaTheme="minorEastAsia"/>
          <w:bCs/>
          <w:snapToGrid w:val="0"/>
          <w:color w:val="auto"/>
          <w:kern w:val="0"/>
          <w:sz w:val="24"/>
          <w:szCs w:val="24"/>
          <w:highlight w:val="none"/>
          <w:bdr w:val="single" w:color="auto" w:sz="4" w:space="0"/>
        </w:rPr>
      </w:pPr>
      <w:r>
        <w:rPr>
          <w:rFonts w:hint="eastAsia" w:asciiTheme="minorEastAsia" w:hAnsiTheme="minorEastAsia" w:eastAsiaTheme="minorEastAsia"/>
          <w:snapToGrid w:val="0"/>
          <w:color w:val="auto"/>
          <w:kern w:val="0"/>
          <w:sz w:val="24"/>
          <w:szCs w:val="24"/>
          <w:highlight w:val="none"/>
        </w:rPr>
        <w:t xml:space="preserve">  8）机房工程；</w:t>
      </w:r>
    </w:p>
    <w:p>
      <w:pPr>
        <w:adjustRightInd w:val="0"/>
        <w:snapToGrid w:val="0"/>
        <w:spacing w:line="360" w:lineRule="auto"/>
        <w:ind w:firstLine="480" w:firstLineChars="200"/>
        <w:rPr>
          <w:rFonts w:asciiTheme="minorEastAsia" w:hAnsiTheme="minorEastAsia" w:eastAsiaTheme="minorEastAsia"/>
          <w:bCs/>
          <w:snapToGrid w:val="0"/>
          <w:color w:val="auto"/>
          <w:kern w:val="0"/>
          <w:sz w:val="24"/>
          <w:szCs w:val="24"/>
          <w:highlight w:val="none"/>
          <w:bdr w:val="single" w:color="auto" w:sz="4" w:space="0"/>
        </w:rPr>
      </w:pPr>
      <w:r>
        <w:rPr>
          <w:rFonts w:hint="eastAsia" w:asciiTheme="minorEastAsia" w:hAnsiTheme="minorEastAsia" w:eastAsiaTheme="minorEastAsia"/>
          <w:snapToGrid w:val="0"/>
          <w:color w:val="auto"/>
          <w:kern w:val="0"/>
          <w:sz w:val="24"/>
          <w:szCs w:val="24"/>
          <w:highlight w:val="none"/>
        </w:rPr>
        <w:t xml:space="preserve">  9）监控中心。</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u w:val="single"/>
        </w:rPr>
      </w:pPr>
      <w:r>
        <w:rPr>
          <w:rFonts w:hint="eastAsia" w:asciiTheme="minorEastAsia" w:hAnsiTheme="minorEastAsia" w:eastAsiaTheme="minorEastAsia"/>
          <w:snapToGrid w:val="0"/>
          <w:color w:val="auto"/>
          <w:kern w:val="0"/>
          <w:sz w:val="24"/>
          <w:szCs w:val="24"/>
          <w:highlight w:val="none"/>
        </w:rPr>
        <w:t>（8）给排水设计</w:t>
      </w:r>
      <w:r>
        <w:rPr>
          <w:rFonts w:hint="eastAsia" w:asciiTheme="minorEastAsia" w:hAnsiTheme="minorEastAsia" w:eastAsiaTheme="minorEastAsia"/>
          <w:snapToGrid w:val="0"/>
          <w:color w:val="auto"/>
          <w:kern w:val="0"/>
          <w:sz w:val="24"/>
          <w:szCs w:val="24"/>
          <w:highlight w:val="none"/>
          <w:u w:val="single"/>
        </w:rPr>
        <w:t>（含外水接入、接出部分，需设计接至主管部门指定接口）</w:t>
      </w:r>
      <w:r>
        <w:rPr>
          <w:rFonts w:hint="eastAsia" w:asciiTheme="minorEastAsia" w:hAnsiTheme="minorEastAsia" w:eastAsiaTheme="minorEastAsia"/>
          <w:snapToGrid w:val="0"/>
          <w:color w:val="auto"/>
          <w:kern w:val="0"/>
          <w:sz w:val="24"/>
          <w:szCs w:val="24"/>
          <w:highlight w:val="none"/>
        </w:rPr>
        <w:t>：建筑给水、排水系统设计（包含直饮水供水系统）、</w:t>
      </w:r>
      <w:r>
        <w:rPr>
          <w:rFonts w:hint="eastAsia" w:asciiTheme="minorEastAsia" w:hAnsiTheme="minorEastAsia" w:eastAsiaTheme="minorEastAsia"/>
          <w:snapToGrid w:val="0"/>
          <w:color w:val="auto"/>
          <w:kern w:val="0"/>
          <w:sz w:val="24"/>
          <w:szCs w:val="24"/>
          <w:highlight w:val="none"/>
          <w:u w:val="single"/>
        </w:rPr>
        <w:t>集中热水供应系统、用地内外与市政管线接驳等设计</w:t>
      </w:r>
      <w:r>
        <w:rPr>
          <w:rFonts w:hint="eastAsia" w:asciiTheme="minorEastAsia" w:hAnsiTheme="minorEastAsia" w:eastAsiaTheme="minorEastAsia"/>
          <w:snapToGrid w:val="0"/>
          <w:color w:val="auto"/>
          <w:kern w:val="0"/>
          <w:sz w:val="24"/>
          <w:szCs w:val="24"/>
          <w:highlight w:val="none"/>
        </w:rPr>
        <w:t>。</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（9）空调通风设计：包括不限于建筑物内部通风系统、建筑物内部空气调节系统、中央洗尘系统、集中供冷供热系统等的设计。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（10）消防设计：消火栓系统、自动喷淋系统、气体灭火系统、防排烟系统、火灾自动报警及联动控制系统。</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（11）人防工程设计。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（12）电梯工程设计与相关配合。</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（13）市政道路专业设计。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（14）市政管线专业设计。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（15）按照项目的灯光、声学等特殊工艺设计要求进行建筑、结构及其配套设备专业的设计与相关配合。</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（16）管线综合平衡设计：各种专业设备、系统的管线在建筑物内、外的路由平衡设计。建筑物内、外的管线综合平衡设计以专篇形式提交。</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（17）设备选型意见：就拟采用的专用机电设备、专用电子设备（如大屏幕显示系统、广播音响系统等）的选型于施工图设计开始前向发包人提出书面意见并提供相关设备的技术参数规格书，但不设计专用设备。</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（18）建筑节能、绿色建筑设计和申报、验收，以及新技术应用的研究和设计。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（19）编制方案设计投资估算。</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（20）编制初步设计概算。</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（21）编制设计变更预算。</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（22）在规划红线范围内，设计人应保证按规划及建筑功能要求、配套设施要求完成本合同工程造价中包含的全部项目的专业专项</w:t>
      </w:r>
      <w:r>
        <w:rPr>
          <w:rFonts w:hint="eastAsia" w:asciiTheme="minorEastAsia" w:hAnsiTheme="minorEastAsia" w:eastAsiaTheme="minorEastAsia"/>
          <w:strike/>
          <w:snapToGrid w:val="0"/>
          <w:color w:val="auto"/>
          <w:kern w:val="0"/>
          <w:sz w:val="24"/>
          <w:szCs w:val="24"/>
          <w:highlight w:val="none"/>
        </w:rPr>
        <w:t>勘察、</w:t>
      </w:r>
      <w:r>
        <w:rPr>
          <w:rFonts w:hint="eastAsia" w:asciiTheme="minorEastAsia" w:hAnsiTheme="minorEastAsia" w:eastAsiaTheme="minorEastAsia"/>
          <w:snapToGrid w:val="0"/>
          <w:color w:val="auto"/>
          <w:kern w:val="0"/>
          <w:sz w:val="24"/>
          <w:szCs w:val="24"/>
          <w:highlight w:val="none"/>
        </w:rPr>
        <w:t>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（23）对于专项分包</w:t>
      </w:r>
      <w:r>
        <w:rPr>
          <w:rFonts w:hint="eastAsia" w:asciiTheme="minorEastAsia" w:hAnsiTheme="minorEastAsia" w:eastAsiaTheme="minorEastAsia"/>
          <w:strike/>
          <w:snapToGrid w:val="0"/>
          <w:color w:val="auto"/>
          <w:kern w:val="0"/>
          <w:sz w:val="24"/>
          <w:szCs w:val="24"/>
          <w:highlight w:val="none"/>
        </w:rPr>
        <w:t>勘察、</w:t>
      </w:r>
      <w:r>
        <w:rPr>
          <w:rFonts w:hint="eastAsia" w:asciiTheme="minorEastAsia" w:hAnsiTheme="minorEastAsia" w:eastAsiaTheme="minorEastAsia"/>
          <w:snapToGrid w:val="0"/>
          <w:color w:val="auto"/>
          <w:kern w:val="0"/>
          <w:sz w:val="24"/>
          <w:szCs w:val="24"/>
          <w:highlight w:val="none"/>
        </w:rPr>
        <w:t>设计文件，须由设计人及专项分包单位人员校核并会签盖章确认。</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（24）提供主要设备材料表及技术要求书，配合发包人的招标工作。</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地震评估、环境评估、防雷评估、风洞试验、振动台试验、点试验、消防性能化分析及有关专项试验、研究与论证不在设计人设计范畴内，但设计人应配合发包人工作。</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u w:val="single"/>
        </w:rPr>
      </w:pPr>
      <w:r>
        <w:rPr>
          <w:rFonts w:hint="eastAsia" w:asciiTheme="minorEastAsia" w:hAnsiTheme="minorEastAsia" w:eastAsiaTheme="minorEastAsia"/>
          <w:snapToGrid w:val="0"/>
          <w:color w:val="auto"/>
          <w:kern w:val="0"/>
          <w:sz w:val="24"/>
          <w:szCs w:val="24"/>
          <w:highlight w:val="none"/>
        </w:rPr>
        <w:t>（25）幕墙工程</w:t>
      </w:r>
      <w:r>
        <w:rPr>
          <w:rFonts w:hint="eastAsia" w:asciiTheme="minorEastAsia" w:hAnsiTheme="minorEastAsia" w:eastAsiaTheme="minorEastAsia"/>
          <w:snapToGrid w:val="0"/>
          <w:color w:val="auto"/>
          <w:kern w:val="0"/>
          <w:sz w:val="24"/>
          <w:szCs w:val="24"/>
          <w:highlight w:val="none"/>
          <w:u w:val="single"/>
        </w:rPr>
        <w:t>（如有）。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（26）</w:t>
      </w:r>
      <w:r>
        <w:rPr>
          <w:rFonts w:hint="eastAsia" w:asciiTheme="minorEastAsia" w:hAnsiTheme="minorEastAsia" w:eastAsiaTheme="minorEastAsia"/>
          <w:color w:val="auto"/>
          <w:sz w:val="24"/>
          <w:szCs w:val="24"/>
          <w:highlight w:val="none"/>
        </w:rPr>
        <w:t>环保工程设计。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（27）防雷设计。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（28）</w:t>
      </w:r>
      <w:r>
        <w:rPr>
          <w:rFonts w:hint="eastAsia" w:asciiTheme="minorEastAsia" w:hAnsiTheme="minorEastAsia" w:eastAsiaTheme="minorEastAsia"/>
          <w:color w:val="auto"/>
          <w:sz w:val="24"/>
          <w:szCs w:val="24"/>
          <w:highlight w:val="none"/>
        </w:rPr>
        <w:t>标识导引系统设计</w:t>
      </w:r>
      <w:r>
        <w:rPr>
          <w:rFonts w:hint="eastAsia" w:asciiTheme="minorEastAsia" w:hAnsiTheme="minorEastAsia" w:eastAsiaTheme="minorEastAsia"/>
          <w:snapToGrid w:val="0"/>
          <w:color w:val="auto"/>
          <w:kern w:val="0"/>
          <w:sz w:val="24"/>
          <w:szCs w:val="24"/>
          <w:highlight w:val="none"/>
        </w:rPr>
        <w:t>。</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（29）擦窗机设计。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（30）临水、临电、施工围墙、施工便道、施工总平面等工程设计。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（31）建设单位的驻地办公场所设计（临时板房、景观绿化、旗杆等）。</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（32）本项目实施过程中所涉及的现有设施拆除、管线迁改等内容的设计。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（33）机械停车设计。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（34）厨房设计。</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（35）项目前期摸查报告编制（</w:t>
      </w:r>
      <w:r>
        <w:rPr>
          <w:rFonts w:hint="eastAsia" w:asciiTheme="minorEastAsia" w:hAnsiTheme="minorEastAsia" w:eastAsiaTheme="minorEastAsia"/>
          <w:color w:val="auto"/>
          <w:sz w:val="24"/>
          <w:szCs w:val="24"/>
          <w:highlight w:val="none"/>
        </w:rPr>
        <w:t>项目建设范围内及周边管线、地上建（构）筑物、交通、市政配套、地形地貌等前期摸查</w:t>
      </w:r>
      <w:r>
        <w:rPr>
          <w:rFonts w:hint="eastAsia" w:asciiTheme="minorEastAsia" w:hAnsiTheme="minorEastAsia" w:eastAsiaTheme="minorEastAsia"/>
          <w:snapToGrid w:val="0"/>
          <w:color w:val="auto"/>
          <w:kern w:val="0"/>
          <w:sz w:val="24"/>
          <w:szCs w:val="24"/>
          <w:highlight w:val="none"/>
        </w:rPr>
        <w:t>），项目各阶段设计重点、难点分析报告。</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（36）其他：</w:t>
      </w:r>
    </w:p>
    <w:p>
      <w:pPr>
        <w:adjustRightInd w:val="0"/>
        <w:snapToGrid w:val="0"/>
        <w:spacing w:line="360" w:lineRule="auto"/>
        <w:ind w:firstLine="480" w:firstLineChars="200"/>
        <w:rPr>
          <w:rFonts w:asciiTheme="minorEastAsia" w:hAnsiTheme="minorEastAsia" w:eastAsiaTheme="minorEastAsia"/>
          <w:snapToGrid w:val="0"/>
          <w:color w:val="auto"/>
          <w:kern w:val="0"/>
          <w:sz w:val="24"/>
          <w:szCs w:val="24"/>
          <w:highlight w:val="none"/>
        </w:rPr>
      </w:pPr>
      <w:r>
        <w:rPr>
          <w:rFonts w:hint="eastAsia" w:asciiTheme="minorEastAsia" w:hAnsiTheme="minorEastAsia" w:eastAsiaTheme="minorEastAsia"/>
          <w:snapToGrid w:val="0"/>
          <w:color w:val="auto"/>
          <w:kern w:val="0"/>
          <w:sz w:val="24"/>
          <w:szCs w:val="24"/>
          <w:highlight w:val="none"/>
        </w:rPr>
        <w:t>1）需进行全过程BIM设计，并在BIM模型的基础上导出全部图纸，并需无偿向发包人提供相应格式的电子文件（BIM费用包含于设计费中，不另行支付）；</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snapToGrid w:val="0"/>
          <w:color w:val="auto"/>
          <w:kern w:val="0"/>
          <w:sz w:val="24"/>
          <w:szCs w:val="24"/>
          <w:highlight w:val="none"/>
        </w:rPr>
        <w:t>2）负责网上填报各阶段报建相关资料，并负责纸质报送材料的整理组卷盖章工作。</w:t>
      </w:r>
    </w:p>
    <w:p>
      <w:pPr>
        <w:spacing w:line="360" w:lineRule="auto"/>
        <w:ind w:firstLine="482"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rPr>
        <w:t>二、本工程设计阶段划分</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MS Mincho" w:hAnsi="MS Mincho" w:eastAsia="MS Mincho" w:cs="MS Mincho"/>
          <w:color w:val="auto"/>
          <w:sz w:val="24"/>
          <w:szCs w:val="24"/>
          <w:highlight w:val="none"/>
        </w:rPr>
        <w:t>☑</w:t>
      </w:r>
      <w:r>
        <w:rPr>
          <w:rFonts w:hint="eastAsia" w:asciiTheme="minorEastAsia" w:hAnsiTheme="minorEastAsia" w:eastAsiaTheme="minorEastAsia"/>
          <w:color w:val="auto"/>
          <w:sz w:val="24"/>
          <w:szCs w:val="24"/>
          <w:highlight w:val="none"/>
        </w:rPr>
        <w:t>方案设计阶段、</w:t>
      </w:r>
      <w:r>
        <w:rPr>
          <w:rFonts w:hint="eastAsia" w:ascii="MS Mincho" w:hAnsi="MS Mincho" w:eastAsia="MS Mincho" w:cs="MS Mincho"/>
          <w:color w:val="auto"/>
          <w:sz w:val="24"/>
          <w:szCs w:val="24"/>
          <w:highlight w:val="none"/>
        </w:rPr>
        <w:t>☑</w:t>
      </w:r>
      <w:r>
        <w:rPr>
          <w:rFonts w:hint="eastAsia" w:asciiTheme="minorEastAsia" w:hAnsiTheme="minorEastAsia" w:eastAsiaTheme="minorEastAsia"/>
          <w:color w:val="auto"/>
          <w:sz w:val="24"/>
          <w:szCs w:val="24"/>
          <w:highlight w:val="none"/>
        </w:rPr>
        <w:t>初步设计、</w:t>
      </w:r>
      <w:r>
        <w:rPr>
          <w:rFonts w:hint="eastAsia" w:ascii="MS Mincho" w:hAnsi="MS Mincho" w:eastAsia="MS Mincho" w:cs="MS Mincho"/>
          <w:color w:val="auto"/>
          <w:sz w:val="24"/>
          <w:szCs w:val="24"/>
          <w:highlight w:val="none"/>
        </w:rPr>
        <w:t>☑</w:t>
      </w:r>
      <w:r>
        <w:rPr>
          <w:rFonts w:hint="eastAsia" w:asciiTheme="minorEastAsia" w:hAnsiTheme="minorEastAsia" w:eastAsiaTheme="minorEastAsia"/>
          <w:color w:val="auto"/>
          <w:sz w:val="24"/>
          <w:szCs w:val="24"/>
          <w:highlight w:val="none"/>
        </w:rPr>
        <w:t>施工图设计（</w:t>
      </w:r>
      <w:r>
        <w:rPr>
          <w:rFonts w:hint="eastAsia"/>
          <w:b/>
          <w:bCs/>
          <w:color w:val="auto"/>
          <w:sz w:val="27"/>
          <w:szCs w:val="27"/>
          <w:highlight w:val="none"/>
          <w:u w:val="single"/>
          <w:shd w:val="clear" w:color="auto" w:fill="FFFFFF"/>
        </w:rPr>
        <w:t>基坑工程、基坑支护、场地土方平衡等施工图</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rPr>
        <w:t>、</w:t>
      </w:r>
      <w:r>
        <w:rPr>
          <w:rFonts w:hint="eastAsia" w:ascii="MS Mincho" w:hAnsi="MS Mincho" w:eastAsia="MS Mincho" w:cs="MS Mincho"/>
          <w:color w:val="auto"/>
          <w:sz w:val="24"/>
          <w:szCs w:val="24"/>
          <w:highlight w:val="none"/>
        </w:rPr>
        <w:t>☑</w:t>
      </w:r>
      <w:r>
        <w:rPr>
          <w:rFonts w:hint="eastAsia" w:asciiTheme="minorEastAsia" w:hAnsiTheme="minorEastAsia" w:eastAsiaTheme="minorEastAsia"/>
          <w:color w:val="auto"/>
          <w:sz w:val="24"/>
          <w:szCs w:val="24"/>
          <w:highlight w:val="none"/>
        </w:rPr>
        <w:t>施工配合四个阶段。</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三、各阶段服务内容</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1.方案设计阶段</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（1）与发包人及发包人聘用的顾问充分沟通，深入研究项目基础资料，协助发包人提出本项目的发展规划和市场潜力；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（2）完成总体规划和方案设计，提供满足深度的方案设计图纸，并制作符合政府部门要求的规划意见书与设计方案报批文件，协助发包人进行报批工作；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（3）根据政府部门的审批意见在本合同约定的范围内对设计方案进行修改和必要的调整，以通过政府部门审查批准； </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w:t>
      </w:r>
      <w:r>
        <w:rPr>
          <w:rFonts w:asciiTheme="minorEastAsia" w:hAnsiTheme="minorEastAsia" w:eastAsiaTheme="minorEastAsia"/>
          <w:b/>
          <w:color w:val="auto"/>
          <w:sz w:val="24"/>
          <w:szCs w:val="24"/>
          <w:highlight w:val="none"/>
        </w:rPr>
        <w:t>4）设计人依据设计方案成果编制造价估算文件，完成估算编制后，方案阶段成果应与可行性研究成果进行对比和分析，对超出限额的部分进行说明和分析，提出修改指引和意见并报送</w:t>
      </w:r>
      <w:r>
        <w:rPr>
          <w:rFonts w:hint="eastAsia" w:asciiTheme="minorEastAsia" w:hAnsiTheme="minorEastAsia" w:eastAsiaTheme="minorEastAsia"/>
          <w:b/>
          <w:color w:val="auto"/>
          <w:sz w:val="24"/>
          <w:szCs w:val="24"/>
          <w:highlight w:val="none"/>
        </w:rPr>
        <w:t>发包人</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5）协调景观、交通、精装修等各专业顾问公司的工作，对其设计方案和技术经济指标进行审核，提供咨询意见。在保证与该项目总体方案设计相一致的情况下，接受经发包人确认的顾问公司的合理化建议并对方案进行调整；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（6）配合发包人进行人防、消防、交通、绿化及市政管网等方面的咨询工作；</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（7）负责完成人防、消防等规划方案，协助发包人完成报批工作。</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2.初步设计阶段</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（1）负责完成并制作建筑、结构、给排水、暖通空调、电气、动力、室外管线综合等专业的初步设计文件，设计内容和深度应满足政府相关规定； </w:t>
      </w:r>
    </w:p>
    <w:p>
      <w:pPr>
        <w:spacing w:line="360" w:lineRule="auto"/>
        <w:ind w:firstLine="480"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szCs w:val="24"/>
          <w:highlight w:val="none"/>
        </w:rPr>
        <w:t>（2）</w:t>
      </w:r>
      <w:r>
        <w:rPr>
          <w:rFonts w:hint="eastAsia" w:asciiTheme="minorEastAsia" w:hAnsiTheme="minorEastAsia" w:eastAsiaTheme="minorEastAsia"/>
          <w:b/>
          <w:color w:val="auto"/>
          <w:sz w:val="24"/>
          <w:szCs w:val="24"/>
          <w:highlight w:val="none"/>
        </w:rPr>
        <w:t>初步设计过程中，设计人应对主要总规划、建筑方案、结构形式、工艺流程、主要设备指标等提出技术和经济方面的比选方案。用以制定专业设计原则进行方案设计及材料设备选型，以单位工程作为评价，做好专业内的平衡和调整，提出节约投资的措施。初步设计文件确定后，设计人对概算文件进行对比和分析，对超出限额的部分进行说明和分析，提出修改指引和意见供发包人参考。</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（3）制作报政府相关部门进行初步设计审查的设计图纸，配合发包人进行交通、园林、人防、消防、供电、市政、气象等各部门的报审工作，提供相关的工程用量参数，并负责有关解释和修改。</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3.施工图设计阶段</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（1）负责完成并制作</w:t>
      </w:r>
      <w:r>
        <w:rPr>
          <w:rFonts w:hint="eastAsia" w:asciiTheme="minorEastAsia" w:hAnsiTheme="minorEastAsia" w:eastAsiaTheme="minorEastAsia"/>
          <w:strike/>
          <w:color w:val="auto"/>
          <w:sz w:val="24"/>
          <w:szCs w:val="24"/>
          <w:highlight w:val="none"/>
        </w:rPr>
        <w:t>总图、建筑、结构、机电、室外管线综合等全部专业的</w:t>
      </w:r>
      <w:r>
        <w:rPr>
          <w:rFonts w:hint="eastAsia"/>
          <w:b/>
          <w:bCs/>
          <w:color w:val="auto"/>
          <w:sz w:val="27"/>
          <w:szCs w:val="27"/>
          <w:highlight w:val="none"/>
          <w:u w:val="single"/>
          <w:shd w:val="clear" w:color="auto" w:fill="FFFFFF"/>
        </w:rPr>
        <w:t>基坑工程、基坑支护、场地土方平衡等</w:t>
      </w:r>
      <w:r>
        <w:rPr>
          <w:rFonts w:hint="eastAsia" w:asciiTheme="minorEastAsia" w:hAnsiTheme="minorEastAsia" w:eastAsiaTheme="minorEastAsia"/>
          <w:color w:val="auto"/>
          <w:sz w:val="24"/>
          <w:szCs w:val="24"/>
          <w:highlight w:val="none"/>
        </w:rPr>
        <w:t xml:space="preserve">施工图设计文件；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（2）对发包人的审核修改意见进行修改、完善，保证其设计意图的最终实现；</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上述施工图预算完成编制后，由造价咨询单位负责预算与初步设计概算进行对比和分析，设计人应对超出或需要调整的设计内容，在不影响工程功能水平、工程质量、工程运营维护成本、全寿命周期费用等情况下，进行设计优化，确保预算不超出设计限额和工程总投资额。</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（4）根据项目开发进度要求及时提供</w:t>
      </w:r>
      <w:r>
        <w:rPr>
          <w:rFonts w:hint="eastAsia"/>
          <w:b/>
          <w:bCs/>
          <w:color w:val="auto"/>
          <w:sz w:val="27"/>
          <w:szCs w:val="27"/>
          <w:highlight w:val="none"/>
          <w:u w:val="single"/>
          <w:shd w:val="clear" w:color="auto" w:fill="FFFFFF"/>
        </w:rPr>
        <w:t>基坑工程、基坑支护、场地土方平衡等阶段</w:t>
      </w:r>
      <w:r>
        <w:rPr>
          <w:rFonts w:hint="eastAsia" w:asciiTheme="minorEastAsia" w:hAnsiTheme="minorEastAsia" w:eastAsiaTheme="minorEastAsia"/>
          <w:color w:val="auto"/>
          <w:sz w:val="24"/>
          <w:szCs w:val="24"/>
          <w:highlight w:val="none"/>
        </w:rPr>
        <w:t>报审图纸，协助发包人进行报审工作，根据审查结果在本合同约定的范围内进行修改调整，直至审查通过，并最终向发包人提交正式的</w:t>
      </w:r>
      <w:r>
        <w:rPr>
          <w:rFonts w:hint="eastAsia"/>
          <w:b/>
          <w:bCs/>
          <w:color w:val="auto"/>
          <w:sz w:val="27"/>
          <w:szCs w:val="27"/>
          <w:highlight w:val="none"/>
          <w:u w:val="single"/>
          <w:shd w:val="clear" w:color="auto" w:fill="FFFFFF"/>
        </w:rPr>
        <w:t>基坑工程、基坑支护、场地土方平衡等</w:t>
      </w:r>
      <w:r>
        <w:rPr>
          <w:rFonts w:hint="eastAsia" w:asciiTheme="minorEastAsia" w:hAnsiTheme="minorEastAsia" w:eastAsiaTheme="minorEastAsia"/>
          <w:color w:val="auto"/>
          <w:sz w:val="24"/>
          <w:szCs w:val="24"/>
          <w:highlight w:val="none"/>
        </w:rPr>
        <w:t xml:space="preserve">施工图设计文件；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（5）协助发包人进行工程招标答疑（涉及</w:t>
      </w:r>
      <w:r>
        <w:rPr>
          <w:rFonts w:hint="eastAsia"/>
          <w:b/>
          <w:bCs/>
          <w:color w:val="auto"/>
          <w:sz w:val="27"/>
          <w:szCs w:val="27"/>
          <w:highlight w:val="none"/>
          <w:u w:val="single"/>
          <w:shd w:val="clear" w:color="auto" w:fill="FFFFFF"/>
        </w:rPr>
        <w:t>基坑工程、基坑支护、场地土方平衡等部分</w:t>
      </w:r>
      <w:r>
        <w:rPr>
          <w:rFonts w:hint="eastAsia" w:asciiTheme="minorEastAsia" w:hAnsiTheme="minorEastAsia" w:eastAsiaTheme="minorEastAsia"/>
          <w:color w:val="auto"/>
          <w:sz w:val="24"/>
          <w:szCs w:val="24"/>
          <w:highlight w:val="none"/>
        </w:rPr>
        <w:t>）。</w:t>
      </w:r>
    </w:p>
    <w:p>
      <w:pPr>
        <w:spacing w:line="360" w:lineRule="auto"/>
        <w:ind w:firstLine="482"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4.施工配合阶段</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（1）负责工程设计交底，解答施工过程中施工承包人有关施工图的问题，项目负责人及各专业设计负责人，及时对施工中与设计有关的问题做出回应，保证设计满足施工要求；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（2）根据发包人要求，及时参加与设计有关的专题会，现场解决技术问题；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（3）协助发包人处理工程洽商和设计变更，负责有关设计修改，及时办理相关手续；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（4）参与与设计人相关的必要的验收以及项目竣工验收工作，并及时办理相关手续；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（5）提供产品选型、设备加工订货、建筑材料选择以及分包商考察等技术咨询工作； </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（6）应发包人要求协助审核各分包商的设计文件是否满足接口条件并签署意见，以保证其与总体设计协调一致，并满足工程要求。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（7）现场服务：</w:t>
      </w:r>
      <w:r>
        <w:rPr>
          <w:rFonts w:hint="eastAsia" w:asciiTheme="minorEastAsia" w:hAnsiTheme="minorEastAsia" w:eastAsiaTheme="minorEastAsia"/>
          <w:color w:val="auto"/>
          <w:sz w:val="24"/>
          <w:szCs w:val="24"/>
          <w:highlight w:val="none"/>
          <w:u w:val="single"/>
        </w:rPr>
        <w:t>指派设计人员常驻</w:t>
      </w:r>
      <w:r>
        <w:rPr>
          <w:rFonts w:hint="eastAsia" w:asciiTheme="minorEastAsia" w:hAnsiTheme="minorEastAsia" w:eastAsiaTheme="minorEastAsia"/>
          <w:bCs/>
          <w:color w:val="auto"/>
          <w:sz w:val="24"/>
          <w:szCs w:val="24"/>
          <w:highlight w:val="none"/>
          <w:u w:val="single"/>
        </w:rPr>
        <w:t>项目</w:t>
      </w:r>
      <w:r>
        <w:rPr>
          <w:rFonts w:hint="eastAsia" w:asciiTheme="minorEastAsia" w:hAnsiTheme="minorEastAsia" w:eastAsiaTheme="minorEastAsia"/>
          <w:color w:val="auto"/>
          <w:sz w:val="24"/>
          <w:szCs w:val="24"/>
          <w:highlight w:val="none"/>
        </w:rPr>
        <w:t>，按设计方分工责任分配组织进行，配合发包人进行现场巡查，直至工程竣工验收合格为止。当建设过程中对设计文件有疑问，设计方在接到通知后，应及时派出专业工程师解决。属于一般设计问题，若无特殊情况，应在一天内解决。属于重大设计问题，可在5天内书面提出解决意见。对设计图纸与现场不符之处，应及时提出解决办法。</w:t>
      </w:r>
    </w:p>
    <w:p>
      <w:pPr>
        <w:spacing w:line="360" w:lineRule="auto"/>
        <w:ind w:firstLine="480" w:firstLineChars="200"/>
        <w:rPr>
          <w:rFonts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8）</w:t>
      </w:r>
      <w:r>
        <w:rPr>
          <w:rFonts w:hint="eastAsia" w:asciiTheme="minorEastAsia" w:hAnsiTheme="minorEastAsia" w:eastAsiaTheme="minorEastAsia"/>
          <w:b/>
          <w:color w:val="auto"/>
          <w:sz w:val="24"/>
          <w:szCs w:val="24"/>
          <w:highlight w:val="none"/>
        </w:rPr>
        <w:t>加强设计变更管理，应严格控制变更的发生，对非发生不可的变更，应尽量提前。设计人应先对工程重大设计变更方案进行造价估算，开展价值工程研究，向发包人报送新旧设计方案行造价估算、施工工艺、功能等方面对比分析，供发包人参考使用。发包人同意后，设计人才可以出正式设计变更文件。并由造价咨询单位对设计变更造价进行动态管理。</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配合发包人进行施工招标和设备、材料采购招标工作，要考虑工程实施的需要，在计划、工期上要根据工程总体策划考虑工程招投标、设备采购、施工组织所需要的时间，提前交付设计文件。其招标文件技术部分由设计人负责编写。</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（9）提供设备、材料订货清单，同时原则上须向发包人推荐三家以上供应商及提供相关资料，所提供的供应商和相关资料不能带有倾向性和排他性。</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（10）对设备、材料订货有关性能、参数、规格确认，以及协助参与对已订设备、材料的验收工作。</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（11）协助制订设备系统的调试计划和参与设备试车调试。</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（12）参与工程的报建与各类验收，参与编写工程总结。</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（13）项目负责人应该参加发包人或监理单位召开的协调会、调度会。</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（14） 根据工程进展情况和需要，对一些特殊工程，设计方向发包人提供施工组织设计的书面建议，配合编写工程施工技术标准（施工作业指导书），对设计各部分所应满足的规范、标准进行总说明，对各条文进行摘录汇编。若对超规范（标准）之处，应初拟技术标准，以供专家论证后执行。</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（15）施工单位编制竣工图完成后，设计方应组织各专业人员审核竣工图纸的完整性和准确性，各级审核人员应签名确认。</w:t>
      </w:r>
    </w:p>
    <w:p>
      <w:pPr>
        <w:spacing w:beforeLines="50" w:afterLines="50" w:line="360" w:lineRule="auto"/>
        <w:jc w:val="left"/>
        <w:rPr>
          <w:rFonts w:asciiTheme="minorEastAsia" w:hAnsiTheme="minorEastAsia" w:eastAsiaTheme="minorEastAsia"/>
          <w:color w:val="auto"/>
          <w:sz w:val="24"/>
          <w:szCs w:val="24"/>
          <w:highlight w:val="none"/>
        </w:rPr>
      </w:pPr>
    </w:p>
    <w:p>
      <w:pPr>
        <w:spacing w:line="360" w:lineRule="auto"/>
        <w:jc w:val="left"/>
        <w:rPr>
          <w:rFonts w:asciiTheme="minorEastAsia" w:hAnsiTheme="minorEastAsia" w:eastAsiaTheme="minorEastAsia"/>
          <w:b/>
          <w:color w:val="auto"/>
          <w:sz w:val="24"/>
          <w:szCs w:val="24"/>
          <w:highlight w:val="none"/>
        </w:rPr>
      </w:pPr>
      <w:bookmarkStart w:id="172" w:name="_Toc278231958"/>
      <w:bookmarkStart w:id="173" w:name="_Toc278309718"/>
      <w:r>
        <w:rPr>
          <w:rFonts w:hint="eastAsia" w:asciiTheme="minorEastAsia" w:hAnsiTheme="minorEastAsia" w:eastAsiaTheme="minorEastAsia"/>
          <w:b/>
          <w:color w:val="auto"/>
          <w:sz w:val="24"/>
          <w:szCs w:val="24"/>
          <w:highlight w:val="none"/>
        </w:rPr>
        <w:br w:type="page"/>
      </w:r>
      <w:r>
        <w:rPr>
          <w:rFonts w:hint="eastAsia" w:asciiTheme="minorEastAsia" w:hAnsiTheme="minorEastAsia" w:eastAsiaTheme="minorEastAsia"/>
          <w:b/>
          <w:color w:val="auto"/>
          <w:sz w:val="24"/>
          <w:szCs w:val="24"/>
          <w:highlight w:val="none"/>
        </w:rPr>
        <w:t>附件2：发包人向设计人提交有关资料及文件一览表</w:t>
      </w:r>
    </w:p>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发包人向设计人提交有关资料及文件</w:t>
      </w:r>
      <w:bookmarkEnd w:id="172"/>
      <w:bookmarkEnd w:id="173"/>
      <w:r>
        <w:rPr>
          <w:rFonts w:hint="eastAsia" w:asciiTheme="minorEastAsia" w:hAnsiTheme="minorEastAsia" w:eastAsiaTheme="minorEastAsia"/>
          <w:color w:val="auto"/>
          <w:sz w:val="24"/>
          <w:szCs w:val="24"/>
          <w:highlight w:val="none"/>
        </w:rPr>
        <w:t>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720"/>
        <w:gridCol w:w="2885"/>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pPr>
              <w:spacing w:line="360" w:lineRule="auto"/>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序号</w:t>
            </w:r>
          </w:p>
        </w:tc>
        <w:tc>
          <w:tcPr>
            <w:tcW w:w="3785" w:type="dxa"/>
            <w:vAlign w:val="center"/>
          </w:tcPr>
          <w:p>
            <w:pPr>
              <w:spacing w:line="360" w:lineRule="auto"/>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资料及文件名称</w:t>
            </w:r>
          </w:p>
        </w:tc>
        <w:tc>
          <w:tcPr>
            <w:tcW w:w="720" w:type="dxa"/>
            <w:vAlign w:val="center"/>
          </w:tcPr>
          <w:p>
            <w:pPr>
              <w:spacing w:line="360" w:lineRule="auto"/>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份数</w:t>
            </w:r>
          </w:p>
        </w:tc>
        <w:tc>
          <w:tcPr>
            <w:tcW w:w="2885" w:type="dxa"/>
            <w:vAlign w:val="center"/>
          </w:tcPr>
          <w:p>
            <w:pPr>
              <w:spacing w:line="360" w:lineRule="auto"/>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提交日期</w:t>
            </w:r>
          </w:p>
        </w:tc>
        <w:tc>
          <w:tcPr>
            <w:tcW w:w="1087" w:type="dxa"/>
            <w:vAlign w:val="center"/>
          </w:tcPr>
          <w:p>
            <w:pPr>
              <w:spacing w:line="360" w:lineRule="auto"/>
              <w:jc w:val="center"/>
              <w:rPr>
                <w:rFonts w:asciiTheme="minorEastAsia" w:hAnsiTheme="minorEastAsia" w:eastAsiaTheme="minorEastAsia"/>
                <w:b/>
                <w:bCs/>
                <w:color w:val="auto"/>
                <w:sz w:val="24"/>
                <w:szCs w:val="24"/>
                <w:highlight w:val="none"/>
              </w:rPr>
            </w:pPr>
            <w:r>
              <w:rPr>
                <w:rFonts w:hint="eastAsia" w:asciiTheme="minorEastAsia" w:hAnsiTheme="minorEastAsia" w:eastAsiaTheme="minorEastAsia"/>
                <w:b/>
                <w:bCs/>
                <w:color w:val="auto"/>
                <w:sz w:val="24"/>
                <w:szCs w:val="24"/>
                <w:highlight w:val="none"/>
              </w:rPr>
              <w:t>有关事宜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项目立项报告和审批文件</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方案开始3天前</w:t>
            </w:r>
          </w:p>
        </w:tc>
        <w:tc>
          <w:tcPr>
            <w:tcW w:w="1087" w:type="dxa"/>
            <w:vMerge w:val="restart"/>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发包人要求即设计任务书（含对建筑、结构、给水排水、暖通空调、建筑电气、总图等专业的具体要求）</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建筑红线图，建筑钉桩图</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当地规划部门的规划意见书</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工程勘察报告</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方案设计开始前3天提供初步勘察报告；初步设计开始3天前提供详细勘察报告</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各阶段主管部门的审批意见</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下一个阶段设计开始3天前提供上一个阶段审批意见</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方案设计确认单（含初设开工令）</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初步设计开始3天前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8</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工程所在地地形图（1/500）电子版及区域位置图</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初步设计开始3天前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9</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初步设计确认单（含施工图开工令）</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施工图设计开始3天前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10</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市政条件（包括给排水、暖通、电力、道路、热力、通讯等）</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4" w:hRule="atLeast"/>
        </w:trPr>
        <w:tc>
          <w:tcPr>
            <w:tcW w:w="638" w:type="dxa"/>
            <w:vAlign w:val="center"/>
          </w:tcPr>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w:t>
            </w:r>
          </w:p>
        </w:tc>
        <w:tc>
          <w:tcPr>
            <w:tcW w:w="37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其它设计资料</w:t>
            </w:r>
          </w:p>
        </w:tc>
        <w:tc>
          <w:tcPr>
            <w:tcW w:w="720"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2885" w:type="dxa"/>
            <w:vAlign w:val="center"/>
          </w:tcPr>
          <w:p>
            <w:pP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各设计阶段设计开始3天前</w:t>
            </w:r>
          </w:p>
        </w:tc>
        <w:tc>
          <w:tcPr>
            <w:tcW w:w="1087" w:type="dxa"/>
            <w:vMerge w:val="continue"/>
            <w:vAlign w:val="center"/>
          </w:tcPr>
          <w:p>
            <w:pPr>
              <w:spacing w:line="360" w:lineRule="auto"/>
              <w:jc w:val="center"/>
              <w:rPr>
                <w:rFonts w:asciiTheme="minorEastAsia" w:hAnsiTheme="minorEastAsia" w:eastAsiaTheme="minorEastAsia"/>
                <w:color w:val="auto"/>
                <w:sz w:val="24"/>
                <w:szCs w:val="24"/>
                <w:highlight w:val="none"/>
              </w:rPr>
            </w:pPr>
          </w:p>
        </w:tc>
      </w:tr>
    </w:tbl>
    <w:p>
      <w:pPr>
        <w:spacing w:afterLines="50" w:line="360" w:lineRule="auto"/>
        <w:rPr>
          <w:rFonts w:asciiTheme="minorEastAsia" w:hAnsiTheme="minorEastAsia" w:eastAsiaTheme="minorEastAsia"/>
          <w:bCs/>
          <w:color w:val="auto"/>
          <w:kern w:val="0"/>
          <w:sz w:val="24"/>
          <w:szCs w:val="24"/>
          <w:highlight w:val="none"/>
        </w:rPr>
      </w:pPr>
      <w:bookmarkStart w:id="174" w:name="_Toc278309719"/>
      <w:bookmarkStart w:id="175" w:name="_Toc278231959"/>
      <w:r>
        <w:rPr>
          <w:rFonts w:hint="eastAsia" w:cs="Courier New" w:asciiTheme="minorEastAsia" w:hAnsiTheme="minorEastAsia" w:eastAsiaTheme="minorEastAsia"/>
          <w:color w:val="auto"/>
          <w:kern w:val="0"/>
          <w:sz w:val="24"/>
          <w:szCs w:val="24"/>
          <w:highlight w:val="none"/>
        </w:rPr>
        <w:t>（上表内容仅供参考，发包人和设计人应当根据项目具体情况详细列举）</w:t>
      </w:r>
    </w:p>
    <w:p>
      <w:pPr>
        <w:widowControl/>
        <w:jc w:val="left"/>
        <w:rPr>
          <w:rFonts w:asciiTheme="minorEastAsia" w:hAnsiTheme="minorEastAsia" w:eastAsiaTheme="minorEastAsia"/>
          <w:b/>
          <w:color w:val="auto"/>
          <w:sz w:val="24"/>
          <w:szCs w:val="24"/>
          <w:highlight w:val="none"/>
        </w:rPr>
      </w:pPr>
      <w:r>
        <w:rPr>
          <w:rFonts w:asciiTheme="minorEastAsia" w:hAnsiTheme="minorEastAsia" w:eastAsiaTheme="minorEastAsia"/>
          <w:b/>
          <w:color w:val="auto"/>
          <w:sz w:val="24"/>
          <w:szCs w:val="24"/>
          <w:highlight w:val="none"/>
        </w:rPr>
        <w:br w:type="page"/>
      </w:r>
    </w:p>
    <w:p>
      <w:pPr>
        <w:spacing w:line="360" w:lineRule="auto"/>
        <w:jc w:val="left"/>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附件3 ：各阶段、各版次设计成果文件组成及要求</w:t>
      </w:r>
    </w:p>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各阶段、各版次设计成果文件组成及要求</w:t>
      </w:r>
      <w:bookmarkEnd w:id="174"/>
      <w:bookmarkEnd w:id="175"/>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一、版次1设计成果文件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1文件：方案的修改和完善（包括估算书），为根据中华人民共和国建设部颁布的《建筑工程设计文件编制深度规定》（2016年版）中关于方案设计应达到的设计深度要求，同时根据专家评审意见及政府职能部门提出的修改意见，对在设计招标阶段最终选定的设计方案进行修改和完善，最终完成的经发包人确认的方案设计成果文件。为发包人组织政府有关部门、各专业相关专家、设计人共同参与的论证后，经政府和发包方最终确定的方案设计文件，由设计说明书、设计图纸及其电子文件、透视图（效果图）及其电子文件、模型等五部分组成。文件（不限于此）按照下列次序编排：</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封面（写明方案的名称、方案编制单位、编制时间）。</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扉页（写明方案编制单位法定代表人、技术总负责人、项目总负责人（或设计负责人）的姓名，并经上述人员签署或授权盖章）。</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方案设计文件目录。</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方案设计说明书，内容包括工程规模和设计标准、建筑总平面设计说明、单体建筑方案设计构思说明、结构选型方案说明、消防安全系统说明、主要内外建筑与装饰材料说明和主要技术经济指标说明等。</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方案设计图纸，图纸内容为总平面规划图、</w:t>
      </w:r>
      <w:r>
        <w:rPr>
          <w:rFonts w:hint="eastAsia" w:asciiTheme="minorEastAsia" w:hAnsiTheme="minorEastAsia" w:eastAsiaTheme="minorEastAsia"/>
          <w:bCs/>
          <w:color w:val="auto"/>
          <w:sz w:val="24"/>
          <w:szCs w:val="24"/>
          <w:highlight w:val="none"/>
        </w:rPr>
        <w:t>项目</w:t>
      </w:r>
      <w:r>
        <w:rPr>
          <w:rFonts w:hint="eastAsia" w:asciiTheme="minorEastAsia" w:hAnsiTheme="minorEastAsia" w:eastAsiaTheme="minorEastAsia"/>
          <w:color w:val="auto"/>
          <w:sz w:val="24"/>
          <w:szCs w:val="24"/>
          <w:highlight w:val="none"/>
        </w:rPr>
        <w:t>总平面设计图、交通分析图、绿化及环境设计图；建筑各层平面图、建筑各主要立面图与剖面图，；室内外装修设计方案图；下述展板中的图纸缩印本；其他在方案论证过程中提出的需补充说明的图纸。</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方案投资估算（含非标设备、材料、构配件的报价）。</w:t>
      </w:r>
    </w:p>
    <w:p>
      <w:pPr>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上述1～6部分装订成册（下称方案文本），方案文本规格为A2。</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展示图规格为A1(594mm×841mm)，展示图均应贴裱在1000mm×700mm的轻质板上。</w:t>
      </w:r>
      <w:r>
        <w:rPr>
          <w:rFonts w:hint="eastAsia" w:asciiTheme="minorEastAsia" w:hAnsiTheme="minorEastAsia" w:eastAsiaTheme="minorEastAsia"/>
          <w:color w:val="auto"/>
          <w:sz w:val="24"/>
          <w:szCs w:val="24"/>
          <w:highlight w:val="none"/>
          <w:u w:val="single"/>
        </w:rPr>
        <w:t>图纸内容为</w:t>
      </w:r>
      <w:r>
        <w:rPr>
          <w:rFonts w:hint="eastAsia" w:asciiTheme="minorEastAsia" w:hAnsiTheme="minorEastAsia" w:eastAsiaTheme="minorEastAsia"/>
          <w:bCs/>
          <w:color w:val="auto"/>
          <w:sz w:val="24"/>
          <w:szCs w:val="24"/>
          <w:highlight w:val="none"/>
          <w:u w:val="single"/>
        </w:rPr>
        <w:t>项目</w:t>
      </w:r>
      <w:r>
        <w:rPr>
          <w:rFonts w:hint="eastAsia" w:asciiTheme="minorEastAsia" w:hAnsiTheme="minorEastAsia" w:eastAsiaTheme="minorEastAsia"/>
          <w:color w:val="auto"/>
          <w:sz w:val="24"/>
          <w:szCs w:val="24"/>
          <w:highlight w:val="none"/>
          <w:u w:val="single"/>
        </w:rPr>
        <w:t>鸟瞰透视图</w:t>
      </w:r>
      <w:r>
        <w:rPr>
          <w:rFonts w:hint="eastAsia" w:asciiTheme="minorEastAsia" w:hAnsiTheme="minorEastAsia" w:eastAsiaTheme="minorEastAsia"/>
          <w:color w:val="auto"/>
          <w:sz w:val="24"/>
          <w:szCs w:val="24"/>
          <w:highlight w:val="none"/>
        </w:rPr>
        <w:t>、建筑透视图、夜景透视图、总平面规划图、总平面设计图、主要平面图（4张）、立面图（4张）和剖面图（4张），设计概念分析图（2张）等，以能清晰表达设计意图为原则。</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u w:val="single"/>
        </w:rPr>
      </w:pPr>
      <w:r>
        <w:rPr>
          <w:rFonts w:hint="eastAsia" w:asciiTheme="minorEastAsia" w:hAnsiTheme="minorEastAsia" w:eastAsiaTheme="minorEastAsia"/>
          <w:color w:val="auto"/>
          <w:sz w:val="24"/>
          <w:szCs w:val="24"/>
          <w:highlight w:val="none"/>
          <w:u w:val="single"/>
        </w:rPr>
        <w:t>包括建筑总平面设计和单体建筑方案设计的实体模型，比例1：500为宜。</w:t>
      </w:r>
    </w:p>
    <w:p>
      <w:pPr>
        <w:numPr>
          <w:ilvl w:val="0"/>
          <w:numId w:val="3"/>
        </w:numPr>
        <w:tabs>
          <w:tab w:val="left" w:pos="420"/>
          <w:tab w:val="clear" w:pos="644"/>
        </w:tabs>
        <w:spacing w:line="360" w:lineRule="auto"/>
        <w:ind w:left="17" w:leftChars="8" w:firstLine="456" w:firstLineChars="190"/>
        <w:rPr>
          <w:rFonts w:asciiTheme="minorEastAsia" w:hAnsiTheme="minorEastAsia" w:eastAsiaTheme="minorEastAsia"/>
          <w:color w:val="auto"/>
          <w:sz w:val="24"/>
          <w:szCs w:val="24"/>
          <w:highlight w:val="none"/>
          <w:u w:val="single"/>
        </w:rPr>
      </w:pPr>
      <w:r>
        <w:rPr>
          <w:rFonts w:hint="eastAsia" w:cs="宋体" w:asciiTheme="minorEastAsia" w:hAnsiTheme="minorEastAsia" w:eastAsiaTheme="minorEastAsia"/>
          <w:snapToGrid w:val="0"/>
          <w:color w:val="auto"/>
          <w:kern w:val="0"/>
          <w:sz w:val="24"/>
          <w:szCs w:val="24"/>
          <w:highlight w:val="none"/>
        </w:rPr>
        <w:t>设计人应向发包人提交方案设计报建所需要的设计成果文件图纸及文本文件、电子文档光盘；文件均须加盖</w:t>
      </w:r>
      <w:r>
        <w:rPr>
          <w:rFonts w:hint="eastAsia" w:cs="宋体" w:asciiTheme="minorEastAsia" w:hAnsiTheme="minorEastAsia" w:eastAsiaTheme="minorEastAsia"/>
          <w:b/>
          <w:snapToGrid w:val="0"/>
          <w:color w:val="auto"/>
          <w:kern w:val="0"/>
          <w:sz w:val="24"/>
          <w:szCs w:val="24"/>
          <w:highlight w:val="none"/>
        </w:rPr>
        <w:t>设计单位出图章、注册建筑师章</w:t>
      </w:r>
      <w:r>
        <w:rPr>
          <w:rFonts w:hint="eastAsia" w:cs="宋体" w:asciiTheme="minorEastAsia" w:hAnsiTheme="minorEastAsia" w:eastAsiaTheme="minorEastAsia"/>
          <w:snapToGrid w:val="0"/>
          <w:color w:val="auto"/>
          <w:kern w:val="0"/>
          <w:sz w:val="24"/>
          <w:szCs w:val="24"/>
          <w:highlight w:val="none"/>
        </w:rPr>
        <w:t>。</w:t>
      </w:r>
    </w:p>
    <w:p>
      <w:pPr>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版次1设计成果文件的份数要求：</w:t>
      </w:r>
    </w:p>
    <w:p>
      <w:pPr>
        <w:numPr>
          <w:ilvl w:val="0"/>
          <w:numId w:val="4"/>
        </w:numPr>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方案论证过程中，设计人按每次专家的论证意见调整优化设计方案，按上述方案文本要求制作方案文本12份/次，电子文档光盘（含方案文本的全部内容）4份/次。</w:t>
      </w:r>
    </w:p>
    <w:p>
      <w:pPr>
        <w:numPr>
          <w:ilvl w:val="0"/>
          <w:numId w:val="4"/>
        </w:numPr>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方案最终确认后，设计人最终制作方案文本12份，及过程文件（如有）电子文档光盘（含方案文本的全部内容）4份，第7项的展示图各4份，模型1个。</w:t>
      </w:r>
    </w:p>
    <w:p>
      <w:pPr>
        <w:numPr>
          <w:ilvl w:val="0"/>
          <w:numId w:val="4"/>
        </w:numPr>
        <w:spacing w:line="360" w:lineRule="auto"/>
        <w:ind w:left="17" w:leftChars="8" w:firstLine="456" w:firstLineChars="19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上述设计成果份数若不足使用，可根据发包人需求增加，最终份数以25份为限（相关费用包含在总费用中，不做增加）。</w:t>
      </w:r>
    </w:p>
    <w:p>
      <w:pPr>
        <w:numPr>
          <w:ilvl w:val="255"/>
          <w:numId w:val="0"/>
        </w:num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二、版次2设计成果文件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2文件：为向项目所在地规划局进行规划报建的“五图一书”，以及专项设计/咨询专项分包人提交的前期咨询文件等设计成果文件。为向项目所在地规划局进行规划报建的文件，按照项目所在地规划局的规划报建要求和报审图纸深度要求进行编制，提供如下文件（不限于此）（文件需按项目所在地规划局的要求加盖相应的图章，如规划报建章、设计单位规划出图章等）：</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1、总平面规划图（包括基地区位图和各项技术经济指标等）。</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2、绿地系统规划图。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3、道路交通系统规划图。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4、竖向规划图。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5、《规划方案说明书》（含估算书）。</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6、管线综合规划图。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7、电子磁盘报批文件。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版次2设计成果文件的份数要求：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按“五图一书”的报建要求，提交第1～5项成果各8份/次（每次指报审过程中的换图或重报，下同），第7项成果4份/次，报审批出后制作本版次最终设计成果的电子文档光盘4份。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按“管线综合规划报建”（如有）的要求，提交第6项成果各8份/次，第7项成果4份/次, 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i/>
          <w:color w:val="auto"/>
          <w:sz w:val="24"/>
          <w:szCs w:val="24"/>
          <w:highlight w:val="none"/>
        </w:rPr>
      </w:pPr>
      <w:r>
        <w:rPr>
          <w:rFonts w:hint="eastAsia" w:asciiTheme="minorEastAsia" w:hAnsiTheme="minorEastAsia" w:eastAsiaTheme="minorEastAsia"/>
          <w:color w:val="auto"/>
          <w:sz w:val="24"/>
          <w:szCs w:val="24"/>
          <w:highlight w:val="none"/>
        </w:rPr>
        <w:t>三、版次3设计成果文件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3文件：为向项目所在地规划局和相关政府主管部门进行单体方案报建（专业报建）的设计成果文件（包括估算书）。为向项目所在地规划局和相关政府主管部门进行单体方案报建（专业报建）所需要的文件，按照项目所在地规划局和相关政府主管部门的报建要求和报审图纸深度要求进行编制，提供如下文件（不限于此）（文件需按项目所在地规划局或相关政府主管部门的要求加盖相应的图章，如设计单位出图章、报建特许人章、注册建筑师章等）：</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1、现况地形图上绘制的总平面图。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2、总平面（包括各项技术经济指标）。</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3、建筑平、立、剖面图。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4、设计说明。</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5、电子磁盘报批文件。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6、工程估算书。</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版次3设计成果文件的份数要求：</w:t>
      </w:r>
    </w:p>
    <w:p>
      <w:pPr>
        <w:numPr>
          <w:ilvl w:val="0"/>
          <w:numId w:val="5"/>
        </w:num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按“建筑方案报建”的要求，提交第1～4项成果各份8/次，第5项成果4份/次，报建批出后制作最终设计成果的电子文档光盘4份。</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i/>
          <w:color w:val="auto"/>
          <w:sz w:val="24"/>
          <w:szCs w:val="24"/>
          <w:highlight w:val="none"/>
        </w:rPr>
      </w:pPr>
      <w:r>
        <w:rPr>
          <w:rFonts w:hint="eastAsia" w:asciiTheme="minorEastAsia" w:hAnsiTheme="minorEastAsia" w:eastAsiaTheme="minorEastAsia"/>
          <w:color w:val="auto"/>
          <w:sz w:val="24"/>
          <w:szCs w:val="24"/>
          <w:highlight w:val="none"/>
        </w:rPr>
        <w:t>四、版次4设计成果文件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4文件：为初步设计成果文件（包括文本说明、图纸、工程造价控制所需的工程量分解文件及概算书），根据中华人民共和国建设部颁布的《建筑工程设计文件编制深度规定》（2016年版）中关于初步设计应达到的设计深度要求进行编制，且此文件符合初步设计审查的各项要求。初步设计文件按建设部批准的《建筑工程设计文件编制深度规定》和广东省住房和城乡建设厅行政主管部门对初步设计文件审查的要求进行编制，提供如下文件（不限于此）（文件需按广东省住房和城乡建设厅的要求装订和加盖相应的图章和签名，如设计单位出图章、注册建筑师章、注册结构工程师章等），为满足项目初步设计概算审批的政府部门要求，发包人有权要求设计人增加设计深度，设计人必须无条件配合。另包括发包方需要的招投标技术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1、设计说明书（由设计总说明、各专业的说明书组成）。</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2、设计图纸（由各专业设计图纸组成，且包含本项目室内外各工程初步设计、特殊专业初步设计图。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3、设计概算、工程量清单。</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4、结构计算书。</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5、效果图（包括各主要部位室内外效果图）。</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版次4设计成果文件的份数要求：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1、第1～3项成果按广东省住房和城乡建设厅的要求装订成册（下称初步设计文本）12份/次。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2、第4项独立成册12份/次。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3、效果图各一式3份/次。</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4、初步设计报审批出后制作本版次最终设计成果的电子文档光盘4份。</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i/>
          <w:color w:val="auto"/>
          <w:sz w:val="24"/>
          <w:szCs w:val="24"/>
          <w:highlight w:val="none"/>
        </w:rPr>
      </w:pPr>
      <w:r>
        <w:rPr>
          <w:rFonts w:hint="eastAsia" w:asciiTheme="minorEastAsia" w:hAnsiTheme="minorEastAsia" w:eastAsiaTheme="minorEastAsia"/>
          <w:color w:val="auto"/>
          <w:sz w:val="24"/>
          <w:szCs w:val="24"/>
          <w:highlight w:val="none"/>
        </w:rPr>
        <w:t>五、版次5设计成果文件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版次5文件：为初步设计修改文件（包括文本说明、图纸、工程造价控制所需的工程量分解文件及概算书）</w:t>
      </w:r>
      <w:r>
        <w:rPr>
          <w:rFonts w:hint="eastAsia" w:asciiTheme="minorEastAsia" w:hAnsiTheme="minorEastAsia" w:eastAsiaTheme="minorEastAsia"/>
          <w:color w:val="auto"/>
          <w:sz w:val="24"/>
          <w:szCs w:val="24"/>
          <w:highlight w:val="none"/>
        </w:rPr>
        <w:t>，以及发包人需要的招标技术文件</w:t>
      </w:r>
      <w:r>
        <w:rPr>
          <w:rFonts w:hint="eastAsia" w:asciiTheme="minorEastAsia" w:hAnsiTheme="minorEastAsia" w:eastAsiaTheme="minorEastAsia"/>
          <w:bCs/>
          <w:color w:val="auto"/>
          <w:sz w:val="24"/>
          <w:szCs w:val="24"/>
          <w:highlight w:val="none"/>
        </w:rPr>
        <w:t>。</w:t>
      </w:r>
      <w:r>
        <w:rPr>
          <w:rFonts w:hint="eastAsia" w:asciiTheme="minorEastAsia" w:hAnsiTheme="minorEastAsia" w:eastAsiaTheme="minorEastAsia"/>
          <w:color w:val="auto"/>
          <w:sz w:val="24"/>
          <w:szCs w:val="24"/>
          <w:highlight w:val="none"/>
        </w:rPr>
        <w:t>该版次在版次4设计成果文件的基础上进行修改深化，以及对初步设计审批意见的修改、修正概算文件等（不限于此）。修正概算深度参照预算的格式执行。</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版次5设计成果文件的份数要求：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1、修正后的初步设计文本（发包人需要的招标技术文件）12份（内容及要求同版次4）。</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初步设计概算经局内定稿并征求使用单位意见后，需向省发展改革委报送纸质概算2份、电子光盘1套（光盘中含初步设计，初步设计概算，询价文件、合同扫描件等相关依据文件电子版）。报送省发展改革委审批后，前期工作部需留存初步设计及概算文本4套、概算审核报告文本2份、电子光盘各1套，其中2套初步设计及概算、1份概算审核报告及光盘移交局档案室存档，1套初步设计及概算文本移交计划财务部，1套初步设计及概算、概算审核报告文本由前期工作部统筹使用。</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六、版次6设计成果文件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版次6文件：</w:t>
      </w:r>
      <w:r>
        <w:rPr>
          <w:rFonts w:hint="eastAsia" w:asciiTheme="minorEastAsia" w:hAnsiTheme="minorEastAsia" w:eastAsiaTheme="minorEastAsia"/>
          <w:color w:val="auto"/>
          <w:sz w:val="24"/>
          <w:szCs w:val="24"/>
          <w:highlight w:val="none"/>
        </w:rPr>
        <w:t>为施工图设计文件（包括图纸、计算书、工程造价控制所需的工程量分解文件和工程量清单），根据中华人民共和国建设部颁布的《建筑工程设计文件编制深度规定》（2016年版）中关于施工图设计应达到的设计深度要求进行编制，且此文件符合</w:t>
      </w:r>
      <w:r>
        <w:rPr>
          <w:rFonts w:hint="eastAsia" w:asciiTheme="minorEastAsia" w:hAnsiTheme="minorEastAsia" w:eastAsiaTheme="minorEastAsia"/>
          <w:bCs/>
          <w:color w:val="auto"/>
          <w:sz w:val="24"/>
          <w:szCs w:val="24"/>
          <w:highlight w:val="none"/>
        </w:rPr>
        <w:t>向</w:t>
      </w:r>
      <w:r>
        <w:rPr>
          <w:rFonts w:hint="eastAsia" w:asciiTheme="minorEastAsia" w:hAnsiTheme="minorEastAsia" w:eastAsiaTheme="minorEastAsia"/>
          <w:color w:val="auto"/>
          <w:sz w:val="24"/>
          <w:szCs w:val="24"/>
          <w:highlight w:val="none"/>
        </w:rPr>
        <w:t>项目所在地规划局</w:t>
      </w:r>
      <w:r>
        <w:rPr>
          <w:rFonts w:hint="eastAsia" w:asciiTheme="minorEastAsia" w:hAnsiTheme="minorEastAsia" w:eastAsiaTheme="minorEastAsia"/>
          <w:bCs/>
          <w:color w:val="auto"/>
          <w:sz w:val="24"/>
          <w:szCs w:val="24"/>
          <w:highlight w:val="none"/>
        </w:rPr>
        <w:t>和相关政府主管部门提交的施工图报建（专业报建）所需的设计成果文件及</w:t>
      </w:r>
      <w:r>
        <w:rPr>
          <w:rFonts w:hint="eastAsia" w:asciiTheme="minorEastAsia" w:hAnsiTheme="minorEastAsia" w:eastAsiaTheme="minorEastAsia"/>
          <w:color w:val="auto"/>
          <w:sz w:val="24"/>
          <w:szCs w:val="24"/>
          <w:highlight w:val="none"/>
        </w:rPr>
        <w:t>施工图设计审查的各项要求。为向项目所在地规划局及相关政府主管部门进行单体施工图报建（专业报建）所需要的文件，按照项目所在地规划局和相关政府主管部门的报建要求和报审图纸深度要求进行编制，提供如下文件（不限于此）（文件需按项目所在地规划局和相关政府主管部门的要求加盖相应的图章，如设计单位出图章、报建特许人章、注册建筑师章等）：</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1、总平面（包括各项技术经济指标）。</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2、建筑构造说明。</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3、建筑平、立、剖面图，</w:t>
      </w:r>
      <w:r>
        <w:rPr>
          <w:rFonts w:hint="eastAsia" w:asciiTheme="minorEastAsia" w:hAnsiTheme="minorEastAsia" w:eastAsiaTheme="minorEastAsia"/>
          <w:color w:val="auto"/>
          <w:sz w:val="24"/>
          <w:szCs w:val="24"/>
          <w:highlight w:val="none"/>
          <w:u w:val="single"/>
        </w:rPr>
        <w:t>施工用地围蔽设计图</w:t>
      </w:r>
      <w:r>
        <w:rPr>
          <w:rFonts w:hint="eastAsia" w:asciiTheme="minorEastAsia" w:hAnsiTheme="minorEastAsia" w:eastAsiaTheme="minorEastAsia"/>
          <w:color w:val="auto"/>
          <w:sz w:val="24"/>
          <w:szCs w:val="24"/>
          <w:highlight w:val="none"/>
        </w:rPr>
        <w:t>。</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4、各专业报批设计文件。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5、电子磁盘报批文件。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6、基坑支护施工图（包含主管部门技术审查所需的说明书、计算书及其它必要文件）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版次5设计成果文件的份数要求：</w:t>
      </w:r>
    </w:p>
    <w:p>
      <w:pPr>
        <w:numPr>
          <w:ilvl w:val="0"/>
          <w:numId w:val="6"/>
        </w:num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按“建筑施工图报建”的要求，提交第1～4项成果各份8/次，第4项成果4份/次, 规划局报建批出后制作最终设计成果的电子文档光盘4份。</w:t>
      </w:r>
    </w:p>
    <w:p>
      <w:pPr>
        <w:numPr>
          <w:ilvl w:val="0"/>
          <w:numId w:val="6"/>
        </w:num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专业报建（交通、市政、人防、消防、环保、卫生、绿化、防雷等）所需设计成果文件各专业部门4份/次。各专业部门报建批出后制作最终设计成果的电子文档光盘每专业报建部门成果各4份。</w:t>
      </w:r>
    </w:p>
    <w:p>
      <w:pPr>
        <w:numPr>
          <w:ilvl w:val="0"/>
          <w:numId w:val="6"/>
        </w:num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按施工图深度标准设计的基坑支护施工图及相关技术文件用于论证及审查12份/次。</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七、版次7设计成果文件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7文件：经政府主管部门审批备案和发包方确认，用于现场施工的施工图为施工图修改设计文件，按建设部批准的《建筑工程设计文件编制深度规定》和项目所在地建委对施工图审查的要求进行编制，提供如下文件（不限于此）（文件需按市建委的要求加盖相应的图章和签名，如设计单位出图章、注册建筑师章、注册结构工程师章等）：</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1、总平面。</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2、建筑、节能、结构、给排水、电气、空调等各专业设计图纸（含室内外各项工程设计、各专项专业设计施工图、施工深化图和室内外装修设计）及设计说明（设计内容按本合同相关条款的约定）。</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3、结构、空调等各专业计算书及相关的设计计算、试验等设计文件资料。</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版次7设计成果文件的份数要求：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1、在报送施工图审查时提供第1～3项成果10份/次，及过程文件（如有）电子文档光盘4份。</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在施工图审查及备案通过后，提供用于现场施工的施工图，前期工作部原则上留存加盖施工图审查章的第1～2项成果14份/次，第3项成果4份/次，电子文档光盘4份（每次是指不同专业或同一专业不同阶段提交的不同部位的施工图）。其中对所提交的图纸提出以下的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套图纸、光盘加盖省代建局设计专用章后移交局档案室存档，1套图纸加盖使用单位公章后报送住建部门进行消防设计审查，其余施工图根据项目建设管理模式开展移交工作。若使用单位根据自身工作需要提出图纸留存需求，总份数根据使用单位需求另行增加，总体不超18套。归档的必须按市城市建设档案馆有关《建设工程文件的整理及档案移交规定》的折叠方法及归档要求装订移交；</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对于传统模式的直管项目，在取得施工图审查合格书后，先将2套图纸、2套光盘移交计划财务部编制工程量清单与招标控制价；施工总承包单位产生后，由项目建设管理部结合自身工作进度提出移交时间需求，前期工作部根据需求将剩余10套图纸、1套光盘一次性移交项目建设管理部。若需加晒图纸，由所需部室自行与设计单位协商解决</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对于EPC模式的直管项目，在取得施工图审查合格书后，由前期工作部将施工图纸同步移交计划财务部与项目建设管理部，其中2套图纸、2套光盘移交计划财务部，10套图纸、1套光盘移交项目建设管理部。若需加晒图纸，由所需部室自行与设计单位协商解决。</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施工图设计全部完成后制作本版次设计成果（包括计算书和各项测试文件书面资料）及最终模型（如有）的电子文档光盘4份。</w:t>
      </w:r>
    </w:p>
    <w:p>
      <w:pPr>
        <w:spacing w:line="360" w:lineRule="auto"/>
        <w:ind w:firstLine="480" w:firstLineChars="200"/>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八、版次8设计成果文件</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bCs/>
          <w:color w:val="auto"/>
          <w:sz w:val="24"/>
          <w:szCs w:val="24"/>
          <w:highlight w:val="none"/>
        </w:rPr>
        <w:t>版次8文件：设计人将编制竣工图所需的电子版图纸（包括报政府竣工备案的电子文件、设计变更电子文件等）提供给发包方及本项目的施工单位，并对施工单位编制的竣工图纸进行签字盖章确认。其中项目所有专项验收所需的设计文件（包括图纸、设计说明等）由设计人编制，具体数量按相关验收部门要求。</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注：报建报批所需设计文件由发包人根据工程进度和相关主管部门要求通知设计人提交，设计人需确保相关资料在2天内备齐。</w:t>
      </w:r>
    </w:p>
    <w:p>
      <w:pPr>
        <w:spacing w:line="360" w:lineRule="auto"/>
        <w:ind w:firstLine="480" w:firstLineChars="200"/>
        <w:rPr>
          <w:rFonts w:asciiTheme="minorEastAsia" w:hAnsiTheme="minorEastAsia" w:eastAsiaTheme="minorEastAsia"/>
          <w:color w:val="auto"/>
          <w:sz w:val="24"/>
          <w:szCs w:val="24"/>
          <w:highlight w:val="none"/>
        </w:rPr>
      </w:pPr>
    </w:p>
    <w:p>
      <w:pPr>
        <w:spacing w:beforeLines="50" w:afterLines="50" w:line="360" w:lineRule="auto"/>
        <w:ind w:firstLine="480" w:firstLineChars="20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九、上述设计成果份数若不足使用，可根据发包人需求增加，最终份数以20份为限（相关费用包含在总费用中，不做增加）</w:t>
      </w:r>
    </w:p>
    <w:p>
      <w:pPr>
        <w:spacing w:beforeLines="50" w:afterLines="50" w:line="360" w:lineRule="auto"/>
        <w:jc w:val="left"/>
        <w:rPr>
          <w:rFonts w:asciiTheme="minorEastAsia" w:hAnsiTheme="minorEastAsia" w:eastAsiaTheme="minorEastAsia"/>
          <w:color w:val="auto"/>
          <w:sz w:val="24"/>
          <w:szCs w:val="24"/>
          <w:highlight w:val="none"/>
        </w:rPr>
      </w:pPr>
    </w:p>
    <w:p>
      <w:pPr>
        <w:spacing w:beforeLines="50" w:afterLines="50" w:line="360" w:lineRule="auto"/>
        <w:jc w:val="left"/>
        <w:rPr>
          <w:rFonts w:asciiTheme="minorEastAsia" w:hAnsiTheme="minorEastAsia" w:eastAsiaTheme="minorEastAsia"/>
          <w:color w:val="auto"/>
          <w:sz w:val="24"/>
          <w:szCs w:val="24"/>
          <w:highlight w:val="none"/>
        </w:rPr>
      </w:pPr>
    </w:p>
    <w:p>
      <w:pPr>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br w:type="page"/>
      </w:r>
      <w:r>
        <w:rPr>
          <w:rFonts w:hint="eastAsia" w:asciiTheme="minorEastAsia" w:hAnsiTheme="minorEastAsia" w:eastAsiaTheme="minorEastAsia"/>
          <w:b/>
          <w:color w:val="auto"/>
          <w:sz w:val="24"/>
          <w:szCs w:val="24"/>
          <w:highlight w:val="none"/>
        </w:rPr>
        <w:t xml:space="preserve">附件4 ：专业设计及驻场服务人员表 </w:t>
      </w:r>
    </w:p>
    <w:p>
      <w:pPr>
        <w:spacing w:line="360" w:lineRule="auto"/>
        <w:jc w:val="cente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专业设计及驻场服务人员表</w:t>
      </w:r>
    </w:p>
    <w:p>
      <w:pPr>
        <w:spacing w:line="360" w:lineRule="auto"/>
        <w:rPr>
          <w:rFonts w:asciiTheme="minorEastAsia" w:hAnsiTheme="minorEastAsia" w:eastAsiaTheme="minorEastAsia"/>
          <w:color w:val="auto"/>
          <w:sz w:val="24"/>
          <w:szCs w:val="24"/>
          <w:highlight w:val="none"/>
        </w:rPr>
      </w:pP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 设计人承诺投入的人员为专业设计人员或驻场服务人员。</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1）方案深化设计阶段需要委派主要驻场技术人员不少于</w:t>
      </w:r>
      <w:r>
        <w:rPr>
          <w:rFonts w:hint="eastAsia" w:asciiTheme="minorEastAsia" w:hAnsiTheme="minorEastAsia" w:eastAsiaTheme="minorEastAsia"/>
          <w:color w:val="auto"/>
          <w:sz w:val="24"/>
          <w:szCs w:val="24"/>
          <w:highlight w:val="none"/>
        </w:rPr>
        <w:t>2名</w:t>
      </w:r>
      <w:r>
        <w:rPr>
          <w:rFonts w:hint="eastAsia" w:asciiTheme="minorEastAsia" w:hAnsiTheme="minorEastAsia" w:eastAsiaTheme="minorEastAsia"/>
          <w:color w:val="auto"/>
          <w:sz w:val="24"/>
          <w:szCs w:val="24"/>
          <w:highlight w:val="none"/>
        </w:rPr>
        <w:t>工程师。</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2）初步设计</w:t>
      </w:r>
      <w:r>
        <w:rPr>
          <w:rFonts w:hint="eastAsia" w:asciiTheme="minorEastAsia" w:hAnsiTheme="minorEastAsia" w:eastAsiaTheme="minorEastAsia"/>
          <w:color w:val="auto"/>
          <w:sz w:val="24"/>
          <w:szCs w:val="24"/>
          <w:highlight w:val="none"/>
        </w:rPr>
        <w:t>、施工图纸（</w:t>
      </w:r>
      <w:r>
        <w:rPr>
          <w:rFonts w:hint="eastAsia" w:asciiTheme="minorEastAsia" w:hAnsiTheme="minorEastAsia" w:eastAsiaTheme="minorEastAsia"/>
          <w:color w:val="auto"/>
          <w:sz w:val="24"/>
          <w:szCs w:val="24"/>
          <w:highlight w:val="none"/>
          <w:u w:val="single"/>
        </w:rPr>
        <w:t>基坑工程、土方工程</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rPr>
        <w:t>设计阶段需要委派各专业主要驻场技术人员不少于</w:t>
      </w:r>
      <w:r>
        <w:rPr>
          <w:rFonts w:hint="eastAsia" w:asciiTheme="minorEastAsia" w:hAnsiTheme="minorEastAsia" w:eastAsiaTheme="minorEastAsia"/>
          <w:color w:val="auto"/>
          <w:sz w:val="24"/>
          <w:szCs w:val="24"/>
          <w:highlight w:val="none"/>
        </w:rPr>
        <w:t>2名</w:t>
      </w:r>
      <w:r>
        <w:rPr>
          <w:rFonts w:hint="eastAsia" w:asciiTheme="minorEastAsia" w:hAnsiTheme="minorEastAsia" w:eastAsiaTheme="minorEastAsia"/>
          <w:color w:val="auto"/>
          <w:sz w:val="24"/>
          <w:szCs w:val="24"/>
          <w:highlight w:val="none"/>
        </w:rPr>
        <w:t>工程师。</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3）施工阶段（</w:t>
      </w:r>
      <w:r>
        <w:rPr>
          <w:rFonts w:hint="eastAsia" w:asciiTheme="minorEastAsia" w:hAnsiTheme="minorEastAsia" w:eastAsiaTheme="minorEastAsia"/>
          <w:color w:val="auto"/>
          <w:sz w:val="24"/>
          <w:szCs w:val="24"/>
          <w:highlight w:val="none"/>
          <w:u w:val="single"/>
        </w:rPr>
        <w:t>基坑工程、土方工程</w:t>
      </w:r>
      <w:r>
        <w:rPr>
          <w:rFonts w:hint="eastAsia" w:asciiTheme="minorEastAsia" w:hAnsiTheme="minorEastAsia" w:eastAsiaTheme="minorEastAsia"/>
          <w:color w:val="auto"/>
          <w:sz w:val="24"/>
          <w:szCs w:val="24"/>
          <w:highlight w:val="none"/>
        </w:rPr>
        <w:t>）需要委派各专业主要驻场技术人员不少于2名。</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其中：</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建筑\结构工程专业工程师1名；</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机电工程专业工程师1名。</w:t>
      </w:r>
    </w:p>
    <w:p>
      <w:pPr>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各阶段拟委派本项目的主要驻场技术人员应在设计合同签订后7天内书面提供，同阶段派驻人员可以填写1～4人轮班替换，未经发包人同意，设计人不得随意变更驻场人员及数量。报送表格形式参照下表：</w:t>
      </w:r>
    </w:p>
    <w:tbl>
      <w:tblPr>
        <w:tblStyle w:val="63"/>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50"/>
        <w:gridCol w:w="658"/>
        <w:gridCol w:w="735"/>
        <w:gridCol w:w="1868"/>
        <w:gridCol w:w="1597"/>
        <w:gridCol w:w="761"/>
        <w:gridCol w:w="1181"/>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序号</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姓名</w:t>
            </w:r>
          </w:p>
        </w:tc>
        <w:tc>
          <w:tcPr>
            <w:tcW w:w="65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性别</w:t>
            </w:r>
          </w:p>
        </w:tc>
        <w:tc>
          <w:tcPr>
            <w:tcW w:w="735"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年龄</w:t>
            </w:r>
          </w:p>
        </w:tc>
        <w:tc>
          <w:tcPr>
            <w:tcW w:w="186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在本项目担任职务</w:t>
            </w:r>
          </w:p>
        </w:tc>
        <w:tc>
          <w:tcPr>
            <w:tcW w:w="1597"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技术职称</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专业</w:t>
            </w:r>
          </w:p>
        </w:tc>
        <w:tc>
          <w:tcPr>
            <w:tcW w:w="1181"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驻场阶段</w:t>
            </w:r>
          </w:p>
        </w:tc>
        <w:tc>
          <w:tcPr>
            <w:tcW w:w="788" w:type="dxa"/>
            <w:tcBorders>
              <w:top w:val="single" w:color="auto" w:sz="4" w:space="0"/>
              <w:left w:val="single" w:color="auto" w:sz="4" w:space="0"/>
              <w:bottom w:val="single" w:color="auto" w:sz="4" w:space="0"/>
              <w:right w:val="single" w:color="auto" w:sz="4" w:space="0"/>
            </w:tcBorders>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65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35"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86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597"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6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1181"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788" w:type="dxa"/>
            <w:tcBorders>
              <w:top w:val="single" w:color="auto" w:sz="4" w:space="0"/>
              <w:left w:val="single" w:color="auto" w:sz="4" w:space="0"/>
              <w:bottom w:val="single" w:color="auto" w:sz="4" w:space="0"/>
              <w:right w:val="single" w:color="auto" w:sz="4" w:space="0"/>
            </w:tcBorders>
          </w:tcPr>
          <w:p>
            <w:pPr>
              <w:spacing w:line="360" w:lineRule="auto"/>
              <w:ind w:left="-105" w:leftChars="-50" w:right="-105" w:rightChars="-50"/>
              <w:rPr>
                <w:rFonts w:asciiTheme="minorEastAsia" w:hAnsiTheme="minorEastAsia" w:eastAsiaTheme="minorEastAsia"/>
                <w:color w:val="auto"/>
                <w:sz w:val="24"/>
                <w:szCs w:val="24"/>
                <w:highlight w:val="none"/>
              </w:rPr>
            </w:pPr>
          </w:p>
        </w:tc>
      </w:tr>
    </w:tbl>
    <w:p>
      <w:pPr>
        <w:spacing w:line="360" w:lineRule="auto"/>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各阶段拟委派本项目的主要技术人员及个人业绩、资历情况，按下列格式提供作为合同的附件二：拟委派本项目主要技术人员一览表</w:t>
      </w:r>
    </w:p>
    <w:tbl>
      <w:tblPr>
        <w:tblStyle w:val="63"/>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619"/>
        <w:gridCol w:w="5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84" w:type="dxa"/>
            <w:vAlign w:val="center"/>
          </w:tcPr>
          <w:p>
            <w:pPr>
              <w:spacing w:line="360" w:lineRule="auto"/>
              <w:ind w:left="-105" w:leftChars="-50" w:right="-105" w:rightChars="-5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姓名</w:t>
            </w:r>
          </w:p>
        </w:tc>
        <w:tc>
          <w:tcPr>
            <w:tcW w:w="2619" w:type="dxa"/>
            <w:vAlign w:val="center"/>
          </w:tcPr>
          <w:p>
            <w:pPr>
              <w:pStyle w:val="36"/>
              <w:spacing w:line="360" w:lineRule="auto"/>
              <w:ind w:left="-105" w:leftChars="-50" w:right="-105" w:rightChars="-50"/>
              <w:jc w:val="center"/>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专业</w:t>
            </w:r>
          </w:p>
        </w:tc>
        <w:tc>
          <w:tcPr>
            <w:tcW w:w="5435" w:type="dxa"/>
            <w:vAlign w:val="center"/>
          </w:tcPr>
          <w:p>
            <w:pPr>
              <w:spacing w:line="360" w:lineRule="auto"/>
              <w:ind w:left="11" w:leftChars="-50" w:right="-105" w:rightChars="-50" w:hanging="116" w:hangingChars="48"/>
              <w:jc w:val="center"/>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项目负责人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建筑专业负责人（可由项目负责人兼任）</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结构专业负责人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基坑支护技术负责人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给排水专业负责人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电气专业负责人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暖通空调专业负责人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4"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c>
          <w:tcPr>
            <w:tcW w:w="2619"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概预算专业负责人</w:t>
            </w:r>
          </w:p>
        </w:tc>
        <w:tc>
          <w:tcPr>
            <w:tcW w:w="5435" w:type="dxa"/>
            <w:vAlign w:val="center"/>
          </w:tcPr>
          <w:p>
            <w:pPr>
              <w:spacing w:line="360" w:lineRule="auto"/>
              <w:ind w:left="-105" w:leftChars="-50" w:right="-105" w:rightChars="-50"/>
              <w:rPr>
                <w:rFonts w:asciiTheme="minorEastAsia" w:hAnsiTheme="minorEastAsia" w:eastAsiaTheme="minorEastAsia"/>
                <w:color w:val="auto"/>
                <w:sz w:val="24"/>
                <w:szCs w:val="24"/>
                <w:highlight w:val="none"/>
              </w:rPr>
            </w:pPr>
          </w:p>
        </w:tc>
      </w:tr>
    </w:tbl>
    <w:p>
      <w:pPr>
        <w:spacing w:line="360" w:lineRule="auto"/>
        <w:rPr>
          <w:rFonts w:asciiTheme="minorEastAsia" w:hAnsiTheme="minorEastAsia" w:eastAsiaTheme="minorEastAsia"/>
          <w:color w:val="auto"/>
          <w:sz w:val="24"/>
          <w:szCs w:val="24"/>
          <w:highlight w:val="none"/>
        </w:rPr>
      </w:pPr>
    </w:p>
    <w:p>
      <w:pPr>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br w:type="page"/>
      </w:r>
      <w:r>
        <w:rPr>
          <w:rFonts w:hint="eastAsia" w:asciiTheme="minorEastAsia" w:hAnsiTheme="minorEastAsia" w:eastAsiaTheme="minorEastAsia"/>
          <w:b/>
          <w:color w:val="auto"/>
          <w:sz w:val="24"/>
          <w:szCs w:val="24"/>
          <w:highlight w:val="none"/>
        </w:rPr>
        <w:t xml:space="preserve"> 附件5：设计错误分类</w:t>
      </w:r>
    </w:p>
    <w:p>
      <w:pPr>
        <w:spacing w:line="360" w:lineRule="auto"/>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设计错误分类</w:t>
      </w:r>
    </w:p>
    <w:p>
      <w:pPr>
        <w:spacing w:line="360" w:lineRule="auto"/>
        <w:jc w:val="center"/>
        <w:rPr>
          <w:rFonts w:asciiTheme="minorEastAsia" w:hAnsiTheme="minorEastAsia" w:eastAsiaTheme="minorEastAsia"/>
          <w:color w:val="auto"/>
          <w:sz w:val="24"/>
          <w:szCs w:val="24"/>
          <w:highlight w:val="none"/>
        </w:rPr>
      </w:pPr>
    </w:p>
    <w:p>
      <w:pPr>
        <w:spacing w:line="360" w:lineRule="auto"/>
        <w:ind w:firstLine="488" w:firstLineChars="201"/>
        <w:rPr>
          <w:rFonts w:cs="宋体"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pacing w:val="1"/>
          <w:sz w:val="24"/>
          <w:szCs w:val="24"/>
          <w:highlight w:val="none"/>
        </w:rPr>
        <w:t>Ⅰ类</w:t>
      </w:r>
      <w:r>
        <w:rPr>
          <w:rFonts w:hint="eastAsia" w:cs="宋体" w:asciiTheme="minorEastAsia" w:hAnsiTheme="minorEastAsia" w:eastAsiaTheme="minorEastAsia"/>
          <w:b/>
          <w:color w:val="auto"/>
          <w:sz w:val="24"/>
          <w:szCs w:val="24"/>
          <w:highlight w:val="none"/>
        </w:rPr>
        <w:t>错误</w:t>
      </w:r>
    </w:p>
    <w:p>
      <w:pPr>
        <w:spacing w:line="360" w:lineRule="auto"/>
        <w:ind w:firstLine="478"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指设计文</w:t>
      </w:r>
      <w:r>
        <w:rPr>
          <w:rFonts w:hint="eastAsia" w:cs="宋体" w:asciiTheme="minorEastAsia" w:hAnsiTheme="minorEastAsia" w:eastAsiaTheme="minorEastAsia"/>
          <w:color w:val="auto"/>
          <w:sz w:val="24"/>
          <w:szCs w:val="24"/>
          <w:highlight w:val="none"/>
        </w:rPr>
        <w:t>件中存在原则性或方案性的错误，并将导致工程决策错误，或造成不能正常使用、</w:t>
      </w:r>
      <w:r>
        <w:rPr>
          <w:rFonts w:hint="eastAsia" w:cs="宋体" w:asciiTheme="minorEastAsia" w:hAnsiTheme="minorEastAsia" w:eastAsiaTheme="minorEastAsia"/>
          <w:color w:val="auto"/>
          <w:spacing w:val="-2"/>
          <w:sz w:val="24"/>
          <w:szCs w:val="24"/>
          <w:highlight w:val="none"/>
        </w:rPr>
        <w:t>返工，或造成重大经济损失，或造成安全事故，如：</w:t>
      </w:r>
      <w:r>
        <w:rPr>
          <w:rFonts w:hint="eastAsia" w:cs="宋体" w:asciiTheme="minorEastAsia" w:hAnsiTheme="minorEastAsia" w:eastAsiaTheme="minorEastAsia"/>
          <w:color w:val="auto"/>
          <w:spacing w:val="-9"/>
          <w:sz w:val="24"/>
          <w:szCs w:val="24"/>
          <w:highlight w:val="none"/>
        </w:rPr>
        <w:t>1</w:t>
      </w:r>
      <w:r>
        <w:rPr>
          <w:rFonts w:hint="eastAsia" w:cs="宋体" w:asciiTheme="minorEastAsia" w:hAnsiTheme="minorEastAsia" w:eastAsiaTheme="minorEastAsia"/>
          <w:color w:val="auto"/>
          <w:spacing w:val="-3"/>
          <w:sz w:val="24"/>
          <w:szCs w:val="24"/>
          <w:highlight w:val="none"/>
        </w:rPr>
        <w:t>、违反国家有关</w:t>
      </w:r>
      <w:r>
        <w:rPr>
          <w:rFonts w:hint="eastAsia" w:cs="宋体" w:asciiTheme="minorEastAsia" w:hAnsiTheme="minorEastAsia" w:eastAsiaTheme="minorEastAsia"/>
          <w:color w:val="auto"/>
          <w:spacing w:val="-2"/>
          <w:sz w:val="24"/>
          <w:szCs w:val="24"/>
          <w:highlight w:val="none"/>
        </w:rPr>
        <w:t>法律、法规及政策，或选用</w:t>
      </w:r>
      <w:r>
        <w:rPr>
          <w:rFonts w:hint="eastAsia" w:cs="宋体" w:asciiTheme="minorEastAsia" w:hAnsiTheme="minorEastAsia" w:eastAsiaTheme="minorEastAsia"/>
          <w:color w:val="auto"/>
          <w:sz w:val="24"/>
          <w:szCs w:val="24"/>
          <w:highlight w:val="none"/>
        </w:rPr>
        <w:t>无效的标准规范；</w:t>
      </w:r>
      <w:r>
        <w:rPr>
          <w:rFonts w:hint="eastAsia" w:cs="宋体" w:asciiTheme="minorEastAsia" w:hAnsiTheme="minorEastAsia" w:eastAsiaTheme="minorEastAsia"/>
          <w:color w:val="auto"/>
          <w:spacing w:val="1"/>
          <w:sz w:val="24"/>
          <w:szCs w:val="24"/>
          <w:highlight w:val="none"/>
        </w:rPr>
        <w:t>2</w:t>
      </w:r>
      <w:r>
        <w:rPr>
          <w:rFonts w:hint="eastAsia" w:cs="宋体" w:asciiTheme="minorEastAsia" w:hAnsiTheme="minorEastAsia" w:eastAsiaTheme="minorEastAsia"/>
          <w:color w:val="auto"/>
          <w:sz w:val="24"/>
          <w:szCs w:val="24"/>
          <w:highlight w:val="none"/>
        </w:rPr>
        <w:t>、不符合合同要求的用途或目的或规定的规模；</w:t>
      </w:r>
      <w:r>
        <w:rPr>
          <w:rFonts w:hint="eastAsia" w:cs="宋体" w:asciiTheme="minorEastAsia" w:hAnsiTheme="minorEastAsia" w:eastAsiaTheme="minorEastAsia"/>
          <w:color w:val="auto"/>
          <w:spacing w:val="3"/>
          <w:sz w:val="24"/>
          <w:szCs w:val="24"/>
          <w:highlight w:val="none"/>
        </w:rPr>
        <w:t>3</w:t>
      </w:r>
      <w:r>
        <w:rPr>
          <w:rFonts w:hint="eastAsia" w:cs="宋体" w:asciiTheme="minorEastAsia" w:hAnsiTheme="minorEastAsia" w:eastAsiaTheme="minorEastAsia"/>
          <w:color w:val="auto"/>
          <w:spacing w:val="1"/>
          <w:sz w:val="24"/>
          <w:szCs w:val="24"/>
          <w:highlight w:val="none"/>
        </w:rPr>
        <w:t>、不</w:t>
      </w:r>
      <w:r>
        <w:rPr>
          <w:rFonts w:hint="eastAsia" w:cs="宋体" w:asciiTheme="minorEastAsia" w:hAnsiTheme="minorEastAsia" w:eastAsiaTheme="minorEastAsia"/>
          <w:color w:val="auto"/>
          <w:sz w:val="24"/>
          <w:szCs w:val="24"/>
          <w:highlight w:val="none"/>
        </w:rPr>
        <w:t>满足城市规划对项目控制性指标的规定和要求；</w:t>
      </w:r>
      <w:r>
        <w:rPr>
          <w:rFonts w:hint="eastAsia" w:cs="宋体" w:asciiTheme="minorEastAsia" w:hAnsiTheme="minorEastAsia" w:eastAsiaTheme="minorEastAsia"/>
          <w:color w:val="auto"/>
          <w:spacing w:val="2"/>
          <w:sz w:val="24"/>
          <w:szCs w:val="24"/>
          <w:highlight w:val="none"/>
        </w:rPr>
        <w:t>4</w:t>
      </w:r>
      <w:r>
        <w:rPr>
          <w:rFonts w:hint="eastAsia" w:cs="宋体" w:asciiTheme="minorEastAsia" w:hAnsiTheme="minorEastAsia" w:eastAsiaTheme="minorEastAsia"/>
          <w:color w:val="auto"/>
          <w:sz w:val="24"/>
          <w:szCs w:val="24"/>
          <w:highlight w:val="none"/>
        </w:rPr>
        <w:t>、违反国家现行技术规范、规定、标准的强制性条文；</w:t>
      </w:r>
      <w:r>
        <w:rPr>
          <w:rFonts w:hint="eastAsia" w:cs="宋体" w:asciiTheme="minorEastAsia" w:hAnsiTheme="minorEastAsia" w:eastAsiaTheme="minorEastAsia"/>
          <w:color w:val="auto"/>
          <w:spacing w:val="5"/>
          <w:sz w:val="24"/>
          <w:szCs w:val="24"/>
          <w:highlight w:val="none"/>
        </w:rPr>
        <w:t>5</w:t>
      </w:r>
      <w:r>
        <w:rPr>
          <w:rFonts w:hint="eastAsia" w:cs="宋体" w:asciiTheme="minorEastAsia" w:hAnsiTheme="minorEastAsia" w:eastAsiaTheme="minorEastAsia"/>
          <w:color w:val="auto"/>
          <w:spacing w:val="1"/>
          <w:sz w:val="24"/>
          <w:szCs w:val="24"/>
          <w:highlight w:val="none"/>
        </w:rPr>
        <w:t>、设</w:t>
      </w:r>
      <w:r>
        <w:rPr>
          <w:rFonts w:hint="eastAsia" w:cs="宋体" w:asciiTheme="minorEastAsia" w:hAnsiTheme="minorEastAsia" w:eastAsiaTheme="minorEastAsia"/>
          <w:color w:val="auto"/>
          <w:sz w:val="24"/>
          <w:szCs w:val="24"/>
          <w:highlight w:val="none"/>
        </w:rPr>
        <w:t>计方案不正确；6、主要部位设计错误并影响安全性能或使用功能，或结构施工图设计没有计算书；</w:t>
      </w:r>
      <w:r>
        <w:rPr>
          <w:rFonts w:hint="eastAsia" w:cs="宋体" w:asciiTheme="minorEastAsia" w:hAnsiTheme="minorEastAsia" w:eastAsiaTheme="minorEastAsia"/>
          <w:color w:val="auto"/>
          <w:spacing w:val="7"/>
          <w:sz w:val="24"/>
          <w:szCs w:val="24"/>
          <w:highlight w:val="none"/>
        </w:rPr>
        <w:t>7</w:t>
      </w:r>
      <w:r>
        <w:rPr>
          <w:rFonts w:hint="eastAsia" w:cs="宋体" w:asciiTheme="minorEastAsia" w:hAnsiTheme="minorEastAsia" w:eastAsiaTheme="minorEastAsia"/>
          <w:color w:val="auto"/>
          <w:sz w:val="24"/>
          <w:szCs w:val="24"/>
          <w:highlight w:val="none"/>
        </w:rPr>
        <w:t>、出现因设计责任引起的一类变更；</w:t>
      </w:r>
      <w:r>
        <w:rPr>
          <w:rFonts w:hint="eastAsia" w:cs="宋体" w:asciiTheme="minorEastAsia" w:hAnsiTheme="minorEastAsia" w:eastAsiaTheme="minorEastAsia"/>
          <w:color w:val="auto"/>
          <w:spacing w:val="1"/>
          <w:sz w:val="24"/>
          <w:szCs w:val="24"/>
          <w:highlight w:val="none"/>
        </w:rPr>
        <w:t>8、</w:t>
      </w:r>
      <w:r>
        <w:rPr>
          <w:rFonts w:hint="eastAsia" w:cs="宋体" w:asciiTheme="minorEastAsia" w:hAnsiTheme="minorEastAsia" w:eastAsiaTheme="minorEastAsia"/>
          <w:color w:val="auto"/>
          <w:sz w:val="24"/>
          <w:szCs w:val="24"/>
          <w:highlight w:val="none"/>
        </w:rPr>
        <w:t>造价文件严重失实。</w:t>
      </w:r>
    </w:p>
    <w:p>
      <w:pPr>
        <w:spacing w:line="360" w:lineRule="auto"/>
        <w:ind w:firstLine="486"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具体</w:t>
      </w:r>
      <w:r>
        <w:rPr>
          <w:rFonts w:hint="eastAsia" w:cs="宋体" w:asciiTheme="minorEastAsia" w:hAnsiTheme="minorEastAsia" w:eastAsiaTheme="minorEastAsia"/>
          <w:color w:val="auto"/>
          <w:sz w:val="24"/>
          <w:szCs w:val="24"/>
          <w:highlight w:val="none"/>
        </w:rPr>
        <w:t>按照专业又可分为：</w:t>
      </w:r>
    </w:p>
    <w:p>
      <w:pPr>
        <w:spacing w:line="360" w:lineRule="auto"/>
        <w:ind w:firstLine="482"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严重违反规范</w:t>
      </w:r>
      <w:r>
        <w:rPr>
          <w:rFonts w:hint="eastAsia" w:cs="宋体" w:asciiTheme="minorEastAsia" w:hAnsiTheme="minorEastAsia" w:eastAsiaTheme="minorEastAsia"/>
          <w:color w:val="auto"/>
          <w:spacing w:val="1"/>
          <w:sz w:val="24"/>
          <w:szCs w:val="24"/>
          <w:highlight w:val="none"/>
        </w:rPr>
        <w:t>、标准、规</w:t>
      </w:r>
      <w:r>
        <w:rPr>
          <w:rFonts w:hint="eastAsia" w:cs="宋体" w:asciiTheme="minorEastAsia" w:hAnsiTheme="minorEastAsia" w:eastAsiaTheme="minorEastAsia"/>
          <w:color w:val="auto"/>
          <w:sz w:val="24"/>
          <w:szCs w:val="24"/>
          <w:highlight w:val="none"/>
        </w:rPr>
        <w:t>定，有可能造成严重影响安全和使用的错误，如：</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建筑专业：规范中消防间距不够，而又未采取措施</w:t>
      </w:r>
      <w:r>
        <w:rPr>
          <w:rFonts w:hint="eastAsia" w:cs="宋体" w:asciiTheme="minorEastAsia" w:hAnsiTheme="minorEastAsia" w:eastAsiaTheme="minorEastAsia"/>
          <w:color w:val="auto"/>
          <w:spacing w:val="-2"/>
          <w:sz w:val="24"/>
          <w:szCs w:val="24"/>
          <w:highlight w:val="none"/>
        </w:rPr>
        <w:t>；规划中日照间距不够；防火分区面积超</w:t>
      </w:r>
      <w:r>
        <w:rPr>
          <w:rFonts w:hint="eastAsia" w:cs="宋体" w:asciiTheme="minorEastAsia" w:hAnsiTheme="minorEastAsia" w:eastAsiaTheme="minorEastAsia"/>
          <w:color w:val="auto"/>
          <w:sz w:val="24"/>
          <w:szCs w:val="24"/>
          <w:highlight w:val="none"/>
        </w:rPr>
        <w:t>规定，电梯/</w:t>
      </w:r>
      <w:r>
        <w:rPr>
          <w:rFonts w:hint="eastAsia" w:cs="宋体" w:asciiTheme="minorEastAsia" w:hAnsiTheme="minorEastAsia" w:eastAsiaTheme="minorEastAsia"/>
          <w:color w:val="auto"/>
          <w:spacing w:val="1"/>
          <w:sz w:val="24"/>
          <w:szCs w:val="24"/>
          <w:highlight w:val="none"/>
        </w:rPr>
        <w:t>楼</w:t>
      </w:r>
      <w:r>
        <w:rPr>
          <w:rFonts w:hint="eastAsia" w:cs="宋体" w:asciiTheme="minorEastAsia" w:hAnsiTheme="minorEastAsia" w:eastAsiaTheme="minorEastAsia"/>
          <w:color w:val="auto"/>
          <w:sz w:val="24"/>
          <w:szCs w:val="24"/>
          <w:highlight w:val="none"/>
        </w:rPr>
        <w:t>梯厅不符合防火要求等。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结构专业：结构</w:t>
      </w:r>
      <w:r>
        <w:rPr>
          <w:rFonts w:hint="eastAsia" w:cs="宋体" w:asciiTheme="minorEastAsia" w:hAnsiTheme="minorEastAsia" w:eastAsiaTheme="minorEastAsia"/>
          <w:color w:val="auto"/>
          <w:spacing w:val="2"/>
          <w:sz w:val="24"/>
          <w:szCs w:val="24"/>
          <w:highlight w:val="none"/>
        </w:rPr>
        <w:t>(</w:t>
      </w:r>
      <w:r>
        <w:rPr>
          <w:rFonts w:hint="eastAsia" w:cs="宋体" w:asciiTheme="minorEastAsia" w:hAnsiTheme="minorEastAsia" w:eastAsiaTheme="minorEastAsia"/>
          <w:color w:val="auto"/>
          <w:spacing w:val="-3"/>
          <w:sz w:val="24"/>
          <w:szCs w:val="24"/>
          <w:highlight w:val="none"/>
        </w:rPr>
        <w:t>含基础</w:t>
      </w:r>
      <w:r>
        <w:rPr>
          <w:rFonts w:hint="eastAsia" w:cs="宋体" w:asciiTheme="minorEastAsia" w:hAnsiTheme="minorEastAsia" w:eastAsiaTheme="minorEastAsia"/>
          <w:color w:val="auto"/>
          <w:sz w:val="24"/>
          <w:szCs w:val="24"/>
          <w:highlight w:val="none"/>
        </w:rPr>
        <w:t>)</w:t>
      </w:r>
      <w:r>
        <w:rPr>
          <w:rFonts w:hint="eastAsia" w:cs="宋体" w:asciiTheme="minorEastAsia" w:hAnsiTheme="minorEastAsia" w:eastAsiaTheme="minorEastAsia"/>
          <w:color w:val="auto"/>
          <w:spacing w:val="-3"/>
          <w:sz w:val="24"/>
          <w:szCs w:val="24"/>
          <w:highlight w:val="none"/>
        </w:rPr>
        <w:t>选型错误；计算原则错误；未考虑抗</w:t>
      </w:r>
      <w:r>
        <w:rPr>
          <w:rFonts w:hint="eastAsia" w:cs="宋体" w:asciiTheme="minorEastAsia" w:hAnsiTheme="minorEastAsia" w:eastAsiaTheme="minorEastAsia"/>
          <w:color w:val="auto"/>
          <w:spacing w:val="-2"/>
          <w:sz w:val="24"/>
          <w:szCs w:val="24"/>
          <w:highlight w:val="none"/>
        </w:rPr>
        <w:t>震设计；建筑物长度超过规范</w:t>
      </w:r>
      <w:r>
        <w:rPr>
          <w:rFonts w:hint="eastAsia" w:cs="宋体" w:asciiTheme="minorEastAsia" w:hAnsiTheme="minorEastAsia" w:eastAsiaTheme="minorEastAsia"/>
          <w:color w:val="auto"/>
          <w:spacing w:val="1"/>
          <w:sz w:val="24"/>
          <w:szCs w:val="24"/>
          <w:highlight w:val="none"/>
        </w:rPr>
        <w:t>要</w:t>
      </w:r>
      <w:r>
        <w:rPr>
          <w:rFonts w:hint="eastAsia" w:cs="宋体" w:asciiTheme="minorEastAsia" w:hAnsiTheme="minorEastAsia" w:eastAsiaTheme="minorEastAsia"/>
          <w:color w:val="auto"/>
          <w:sz w:val="24"/>
          <w:szCs w:val="24"/>
          <w:highlight w:val="none"/>
        </w:rPr>
        <w:t>求而未采取任何措施等。</w:t>
      </w:r>
    </w:p>
    <w:p>
      <w:pPr>
        <w:autoSpaceDE w:val="0"/>
        <w:autoSpaceDN w:val="0"/>
        <w:spacing w:line="360" w:lineRule="auto"/>
        <w:ind w:firstLine="45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8"/>
          <w:sz w:val="24"/>
          <w:szCs w:val="24"/>
          <w:highlight w:val="none"/>
        </w:rPr>
        <w:t>给排水专业：</w:t>
      </w:r>
      <w:r>
        <w:rPr>
          <w:rFonts w:hint="eastAsia" w:cs="宋体" w:asciiTheme="minorEastAsia" w:hAnsiTheme="minorEastAsia" w:eastAsiaTheme="minorEastAsia"/>
          <w:color w:val="auto"/>
          <w:spacing w:val="-7"/>
          <w:sz w:val="24"/>
          <w:szCs w:val="24"/>
          <w:highlight w:val="none"/>
        </w:rPr>
        <w:t>规范要求的消防设施未设计；</w:t>
      </w:r>
      <w:r>
        <w:rPr>
          <w:rFonts w:hint="eastAsia" w:cs="宋体" w:asciiTheme="minorEastAsia" w:hAnsiTheme="minorEastAsia" w:eastAsiaTheme="minorEastAsia"/>
          <w:color w:val="auto"/>
          <w:spacing w:val="-9"/>
          <w:sz w:val="24"/>
          <w:szCs w:val="24"/>
          <w:highlight w:val="none"/>
        </w:rPr>
        <w:t>消防水量、</w:t>
      </w:r>
      <w:r>
        <w:rPr>
          <w:rFonts w:hint="eastAsia" w:cs="宋体" w:asciiTheme="minorEastAsia" w:hAnsiTheme="minorEastAsia" w:eastAsiaTheme="minorEastAsia"/>
          <w:color w:val="auto"/>
          <w:spacing w:val="-7"/>
          <w:sz w:val="24"/>
          <w:szCs w:val="24"/>
          <w:highlight w:val="none"/>
        </w:rPr>
        <w:t>水压达不到规范要求；</w:t>
      </w:r>
      <w:r>
        <w:rPr>
          <w:rFonts w:hint="eastAsia" w:cs="宋体" w:asciiTheme="minorEastAsia" w:hAnsiTheme="minorEastAsia" w:eastAsiaTheme="minorEastAsia"/>
          <w:color w:val="auto"/>
          <w:spacing w:val="-9"/>
          <w:sz w:val="24"/>
          <w:szCs w:val="24"/>
          <w:highlight w:val="none"/>
        </w:rPr>
        <w:t>生活</w:t>
      </w:r>
      <w:r>
        <w:rPr>
          <w:rFonts w:hint="eastAsia" w:cs="宋体" w:asciiTheme="minorEastAsia" w:hAnsiTheme="minorEastAsia" w:eastAsiaTheme="minorEastAsia"/>
          <w:color w:val="auto"/>
          <w:spacing w:val="-8"/>
          <w:sz w:val="24"/>
          <w:szCs w:val="24"/>
          <w:highlight w:val="none"/>
        </w:rPr>
        <w:t>给水水量、</w:t>
      </w:r>
      <w:r>
        <w:rPr>
          <w:rFonts w:hint="eastAsia" w:cs="宋体" w:asciiTheme="minorEastAsia" w:hAnsiTheme="minorEastAsia" w:eastAsiaTheme="minorEastAsia"/>
          <w:color w:val="auto"/>
          <w:spacing w:val="1"/>
          <w:sz w:val="24"/>
          <w:szCs w:val="24"/>
          <w:highlight w:val="none"/>
        </w:rPr>
        <w:t>水压</w:t>
      </w:r>
      <w:r>
        <w:rPr>
          <w:rFonts w:hint="eastAsia" w:cs="宋体" w:asciiTheme="minorEastAsia" w:hAnsiTheme="minorEastAsia" w:eastAsiaTheme="minorEastAsia"/>
          <w:color w:val="auto"/>
          <w:sz w:val="24"/>
          <w:szCs w:val="24"/>
          <w:highlight w:val="none"/>
        </w:rPr>
        <w:t>达不到规范要求等。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暖通专业：规范要求的防火排烟设施未设计，排烟</w:t>
      </w:r>
      <w:r>
        <w:rPr>
          <w:rFonts w:hint="eastAsia" w:cs="宋体" w:asciiTheme="minorEastAsia" w:hAnsiTheme="minorEastAsia" w:eastAsiaTheme="minorEastAsia"/>
          <w:color w:val="auto"/>
          <w:spacing w:val="-2"/>
          <w:sz w:val="24"/>
          <w:szCs w:val="24"/>
          <w:highlight w:val="none"/>
        </w:rPr>
        <w:t>风量达不到规范要求，又未采取必要的措</w:t>
      </w:r>
      <w:r>
        <w:rPr>
          <w:rFonts w:hint="eastAsia" w:cs="宋体" w:asciiTheme="minorEastAsia" w:hAnsiTheme="minorEastAsia" w:eastAsiaTheme="minorEastAsia"/>
          <w:color w:val="auto"/>
          <w:sz w:val="24"/>
          <w:szCs w:val="24"/>
          <w:highlight w:val="none"/>
        </w:rPr>
        <w:t>施等。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电气专业：变配电、电话、电视、消防、广播音响</w:t>
      </w:r>
      <w:r>
        <w:rPr>
          <w:rFonts w:hint="eastAsia" w:cs="宋体" w:asciiTheme="minorEastAsia" w:hAnsiTheme="minorEastAsia" w:eastAsiaTheme="minorEastAsia"/>
          <w:color w:val="auto"/>
          <w:spacing w:val="-2"/>
          <w:sz w:val="24"/>
          <w:szCs w:val="24"/>
          <w:highlight w:val="none"/>
        </w:rPr>
        <w:t>等系统及各种机房平、剖面设备布置等严</w:t>
      </w:r>
      <w:r>
        <w:rPr>
          <w:rFonts w:hint="eastAsia" w:cs="宋体" w:asciiTheme="minorEastAsia" w:hAnsiTheme="minorEastAsia" w:eastAsiaTheme="minorEastAsia"/>
          <w:color w:val="auto"/>
          <w:spacing w:val="1"/>
          <w:sz w:val="24"/>
          <w:szCs w:val="24"/>
          <w:highlight w:val="none"/>
        </w:rPr>
        <w:t>重违反</w:t>
      </w:r>
      <w:r>
        <w:rPr>
          <w:rFonts w:hint="eastAsia" w:cs="宋体" w:asciiTheme="minorEastAsia" w:hAnsiTheme="minorEastAsia" w:eastAsiaTheme="minorEastAsia"/>
          <w:color w:val="auto"/>
          <w:sz w:val="24"/>
          <w:szCs w:val="24"/>
          <w:highlight w:val="none"/>
        </w:rPr>
        <w:t>规范、标准、规定；配电方案有严重缺陷等。</w:t>
      </w:r>
    </w:p>
    <w:p>
      <w:pPr>
        <w:autoSpaceDE w:val="0"/>
        <w:autoSpaceDN w:val="0"/>
        <w:spacing w:line="360" w:lineRule="auto"/>
        <w:ind w:firstLine="482" w:firstLineChars="201"/>
        <w:rPr>
          <w:rFonts w:cs="宋体" w:asciiTheme="minorEastAsia" w:hAnsiTheme="minorEastAsia" w:eastAsiaTheme="minorEastAsia"/>
          <w:color w:val="auto"/>
          <w:spacing w:val="-1"/>
          <w:sz w:val="24"/>
          <w:szCs w:val="24"/>
          <w:highlight w:val="none"/>
        </w:rPr>
      </w:pPr>
      <w:r>
        <w:rPr>
          <w:rFonts w:hint="eastAsia" w:cs="宋体" w:asciiTheme="minorEastAsia" w:hAnsiTheme="minorEastAsia" w:eastAsiaTheme="minorEastAsia"/>
          <w:color w:val="auto"/>
          <w:sz w:val="24"/>
          <w:szCs w:val="24"/>
          <w:highlight w:val="none"/>
        </w:rPr>
        <w:t>造价专业：提交给发包人的造价文件，经核查后，偏差大于±</w:t>
      </w:r>
      <w:r>
        <w:rPr>
          <w:rFonts w:hint="eastAsia" w:cs="宋体" w:asciiTheme="minorEastAsia" w:hAnsiTheme="minorEastAsia" w:eastAsiaTheme="minorEastAsia"/>
          <w:color w:val="auto"/>
          <w:spacing w:val="-1"/>
          <w:sz w:val="24"/>
          <w:szCs w:val="24"/>
          <w:highlight w:val="none"/>
        </w:rPr>
        <w:t>30%的。</w:t>
      </w:r>
    </w:p>
    <w:p>
      <w:pPr>
        <w:autoSpaceDE w:val="0"/>
        <w:autoSpaceDN w:val="0"/>
        <w:spacing w:line="360" w:lineRule="auto"/>
        <w:ind w:firstLine="488" w:firstLineChars="201"/>
        <w:rPr>
          <w:rFonts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pacing w:val="1"/>
          <w:sz w:val="24"/>
          <w:szCs w:val="24"/>
          <w:highlight w:val="none"/>
        </w:rPr>
        <w:t>Ⅱ</w:t>
      </w:r>
      <w:r>
        <w:rPr>
          <w:rFonts w:hint="eastAsia" w:cs="宋体" w:asciiTheme="minorEastAsia" w:hAnsiTheme="minorEastAsia" w:eastAsiaTheme="minorEastAsia"/>
          <w:b/>
          <w:color w:val="auto"/>
          <w:sz w:val="24"/>
          <w:szCs w:val="24"/>
          <w:highlight w:val="none"/>
        </w:rPr>
        <w:t>类错误</w:t>
      </w:r>
    </w:p>
    <w:p>
      <w:pPr>
        <w:autoSpaceDE w:val="0"/>
        <w:autoSpaceDN w:val="0"/>
        <w:spacing w:line="360" w:lineRule="auto"/>
        <w:ind w:firstLine="470"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指设计文件中存在错误，有可能造成施工困难、使用困难或较大经济损失</w:t>
      </w:r>
      <w:r>
        <w:rPr>
          <w:rFonts w:hint="eastAsia" w:cs="宋体" w:asciiTheme="minorEastAsia" w:hAnsiTheme="minorEastAsia" w:eastAsiaTheme="minorEastAsia"/>
          <w:color w:val="auto"/>
          <w:spacing w:val="7"/>
          <w:sz w:val="24"/>
          <w:szCs w:val="24"/>
          <w:highlight w:val="none"/>
        </w:rPr>
        <w:t>,</w:t>
      </w:r>
      <w:r>
        <w:rPr>
          <w:rFonts w:hint="eastAsia" w:cs="宋体" w:asciiTheme="minorEastAsia" w:hAnsiTheme="minorEastAsia" w:eastAsiaTheme="minorEastAsia"/>
          <w:color w:val="auto"/>
          <w:spacing w:val="-3"/>
          <w:sz w:val="24"/>
          <w:szCs w:val="24"/>
          <w:highlight w:val="none"/>
        </w:rPr>
        <w:t>如：</w:t>
      </w:r>
      <w:r>
        <w:rPr>
          <w:rFonts w:hint="eastAsia" w:cs="宋体" w:asciiTheme="minorEastAsia" w:hAnsiTheme="minorEastAsia" w:eastAsiaTheme="minorEastAsia"/>
          <w:color w:val="auto"/>
          <w:sz w:val="24"/>
          <w:szCs w:val="24"/>
          <w:highlight w:val="none"/>
        </w:rPr>
        <w:t>1</w:t>
      </w:r>
      <w:r>
        <w:rPr>
          <w:rFonts w:hint="eastAsia" w:cs="宋体" w:asciiTheme="minorEastAsia" w:hAnsiTheme="minorEastAsia" w:eastAsiaTheme="minorEastAsia"/>
          <w:color w:val="auto"/>
          <w:spacing w:val="-4"/>
          <w:sz w:val="24"/>
          <w:szCs w:val="24"/>
          <w:highlight w:val="none"/>
        </w:rPr>
        <w:t>、违反</w:t>
      </w:r>
      <w:r>
        <w:rPr>
          <w:rFonts w:hint="eastAsia" w:cs="宋体" w:asciiTheme="minorEastAsia" w:hAnsiTheme="minorEastAsia" w:eastAsiaTheme="minorEastAsia"/>
          <w:color w:val="auto"/>
          <w:spacing w:val="-2"/>
          <w:sz w:val="24"/>
          <w:szCs w:val="24"/>
          <w:highlight w:val="none"/>
        </w:rPr>
        <w:t>国家</w:t>
      </w:r>
      <w:r>
        <w:rPr>
          <w:rFonts w:hint="eastAsia" w:cs="宋体" w:asciiTheme="minorEastAsia" w:hAnsiTheme="minorEastAsia" w:eastAsiaTheme="minorEastAsia"/>
          <w:color w:val="auto"/>
          <w:spacing w:val="-1"/>
          <w:sz w:val="24"/>
          <w:szCs w:val="24"/>
          <w:highlight w:val="none"/>
        </w:rPr>
        <w:t>现行技术规范、规定、标准的重要条文；</w:t>
      </w:r>
      <w:r>
        <w:rPr>
          <w:rFonts w:hint="eastAsia" w:cs="宋体" w:asciiTheme="minorEastAsia" w:hAnsiTheme="minorEastAsia" w:eastAsiaTheme="minorEastAsia"/>
          <w:color w:val="auto"/>
          <w:spacing w:val="-8"/>
          <w:sz w:val="24"/>
          <w:szCs w:val="24"/>
          <w:highlight w:val="none"/>
        </w:rPr>
        <w:t>2</w:t>
      </w:r>
      <w:r>
        <w:rPr>
          <w:rFonts w:hint="eastAsia" w:cs="宋体" w:asciiTheme="minorEastAsia" w:hAnsiTheme="minorEastAsia" w:eastAsiaTheme="minorEastAsia"/>
          <w:color w:val="auto"/>
          <w:spacing w:val="-1"/>
          <w:sz w:val="24"/>
          <w:szCs w:val="24"/>
          <w:highlight w:val="none"/>
        </w:rPr>
        <w:t>、设计漏项；</w:t>
      </w:r>
      <w:r>
        <w:rPr>
          <w:rFonts w:hint="eastAsia" w:cs="宋体" w:asciiTheme="minorEastAsia" w:hAnsiTheme="minorEastAsia" w:eastAsiaTheme="minorEastAsia"/>
          <w:color w:val="auto"/>
          <w:spacing w:val="-3"/>
          <w:sz w:val="24"/>
          <w:szCs w:val="24"/>
          <w:highlight w:val="none"/>
        </w:rPr>
        <w:t>3</w:t>
      </w:r>
      <w:r>
        <w:rPr>
          <w:rFonts w:hint="eastAsia" w:cs="宋体" w:asciiTheme="minorEastAsia" w:hAnsiTheme="minorEastAsia" w:eastAsiaTheme="minorEastAsia"/>
          <w:color w:val="auto"/>
          <w:spacing w:val="-1"/>
          <w:sz w:val="24"/>
          <w:szCs w:val="24"/>
          <w:highlight w:val="none"/>
        </w:rPr>
        <w:t>、选用淘汰的设备</w:t>
      </w:r>
      <w:r>
        <w:rPr>
          <w:rFonts w:hint="eastAsia" w:cs="宋体" w:asciiTheme="minorEastAsia" w:hAnsiTheme="minorEastAsia" w:eastAsiaTheme="minorEastAsia"/>
          <w:color w:val="auto"/>
          <w:spacing w:val="-4"/>
          <w:sz w:val="24"/>
          <w:szCs w:val="24"/>
          <w:highlight w:val="none"/>
        </w:rPr>
        <w:t>;</w:t>
      </w:r>
      <w:r>
        <w:rPr>
          <w:rFonts w:hint="eastAsia" w:cs="宋体" w:asciiTheme="minorEastAsia" w:hAnsiTheme="minorEastAsia" w:eastAsiaTheme="minorEastAsia"/>
          <w:color w:val="auto"/>
          <w:spacing w:val="-1"/>
          <w:sz w:val="24"/>
          <w:szCs w:val="24"/>
          <w:highlight w:val="none"/>
        </w:rPr>
        <w:t>4、出现因设计责任</w:t>
      </w:r>
      <w:r>
        <w:rPr>
          <w:rFonts w:hint="eastAsia" w:cs="宋体" w:asciiTheme="minorEastAsia" w:hAnsiTheme="minorEastAsia" w:eastAsiaTheme="minorEastAsia"/>
          <w:color w:val="auto"/>
          <w:sz w:val="24"/>
          <w:szCs w:val="24"/>
          <w:highlight w:val="none"/>
        </w:rPr>
        <w:t>引起的二类变更；5</w:t>
      </w:r>
      <w:r>
        <w:rPr>
          <w:rFonts w:hint="eastAsia" w:cs="宋体" w:asciiTheme="minorEastAsia" w:hAnsiTheme="minorEastAsia" w:eastAsiaTheme="minorEastAsia"/>
          <w:color w:val="auto"/>
          <w:spacing w:val="1"/>
          <w:sz w:val="24"/>
          <w:szCs w:val="24"/>
          <w:highlight w:val="none"/>
        </w:rPr>
        <w:t>、</w:t>
      </w:r>
      <w:r>
        <w:rPr>
          <w:rFonts w:hint="eastAsia" w:cs="宋体" w:asciiTheme="minorEastAsia" w:hAnsiTheme="minorEastAsia" w:eastAsiaTheme="minorEastAsia"/>
          <w:color w:val="auto"/>
          <w:sz w:val="24"/>
          <w:szCs w:val="24"/>
          <w:highlight w:val="none"/>
        </w:rPr>
        <w:t>造价文件失实较严重。</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具体</w:t>
      </w:r>
      <w:r>
        <w:rPr>
          <w:rFonts w:hint="eastAsia" w:cs="宋体" w:asciiTheme="minorEastAsia" w:hAnsiTheme="minorEastAsia" w:eastAsiaTheme="minorEastAsia"/>
          <w:color w:val="auto"/>
          <w:sz w:val="24"/>
          <w:szCs w:val="24"/>
          <w:highlight w:val="none"/>
        </w:rPr>
        <w:t>按照专业又可分为：</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A</w:t>
      </w:r>
      <w:r>
        <w:rPr>
          <w:rFonts w:hint="eastAsia" w:cs="宋体" w:asciiTheme="minorEastAsia" w:hAnsiTheme="minorEastAsia" w:eastAsiaTheme="minorEastAsia"/>
          <w:color w:val="auto"/>
          <w:spacing w:val="1"/>
          <w:sz w:val="24"/>
          <w:szCs w:val="24"/>
          <w:highlight w:val="none"/>
        </w:rPr>
        <w:t>、设计</w:t>
      </w:r>
      <w:r>
        <w:rPr>
          <w:rFonts w:hint="eastAsia" w:cs="宋体" w:asciiTheme="minorEastAsia" w:hAnsiTheme="minorEastAsia" w:eastAsiaTheme="minorEastAsia"/>
          <w:color w:val="auto"/>
          <w:sz w:val="24"/>
          <w:szCs w:val="24"/>
          <w:highlight w:val="none"/>
        </w:rPr>
        <w:t>存在错误，有可能造成施工困难、使用困难或较大经济损失，如：</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建筑专业：总</w:t>
      </w:r>
      <w:r>
        <w:rPr>
          <w:rFonts w:hint="eastAsia" w:cs="宋体" w:asciiTheme="minorEastAsia" w:hAnsiTheme="minorEastAsia" w:eastAsiaTheme="minorEastAsia"/>
          <w:color w:val="auto"/>
          <w:sz w:val="24"/>
          <w:szCs w:val="24"/>
          <w:highlight w:val="none"/>
        </w:rPr>
        <w:t>平面竖向设计错误；轴线错误或对不上，楼梯碰头；视线计算错误等。</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结构专业：计算</w:t>
      </w:r>
      <w:r>
        <w:rPr>
          <w:rFonts w:hint="eastAsia" w:cs="宋体" w:asciiTheme="minorEastAsia" w:hAnsiTheme="minorEastAsia" w:eastAsiaTheme="minorEastAsia"/>
          <w:color w:val="auto"/>
          <w:sz w:val="24"/>
          <w:szCs w:val="24"/>
          <w:highlight w:val="none"/>
        </w:rPr>
        <w:t>书未经校对；结构构件安全储备不足；结构与建筑节点不一致等。</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给排水专业</w:t>
      </w:r>
      <w:r>
        <w:rPr>
          <w:rFonts w:hint="eastAsia" w:cs="宋体" w:asciiTheme="minorEastAsia" w:hAnsiTheme="minorEastAsia" w:eastAsiaTheme="minorEastAsia"/>
          <w:color w:val="auto"/>
          <w:sz w:val="24"/>
          <w:szCs w:val="24"/>
          <w:highlight w:val="none"/>
        </w:rPr>
        <w:t>：由于设计的水塔或水箱高度不够，造成水压不足，出水量不能满足使用要求；</w:t>
      </w:r>
      <w:r>
        <w:rPr>
          <w:rFonts w:hint="eastAsia" w:cs="宋体" w:asciiTheme="minorEastAsia" w:hAnsiTheme="minorEastAsia" w:eastAsiaTheme="minorEastAsia"/>
          <w:color w:val="auto"/>
          <w:spacing w:val="1"/>
          <w:sz w:val="24"/>
          <w:szCs w:val="24"/>
          <w:highlight w:val="none"/>
        </w:rPr>
        <w:t>高层建筑</w:t>
      </w:r>
      <w:r>
        <w:rPr>
          <w:rFonts w:hint="eastAsia" w:cs="宋体" w:asciiTheme="minorEastAsia" w:hAnsiTheme="minorEastAsia" w:eastAsiaTheme="minorEastAsia"/>
          <w:color w:val="auto"/>
          <w:sz w:val="24"/>
          <w:szCs w:val="24"/>
          <w:highlight w:val="none"/>
        </w:rPr>
        <w:t>消防减压、止回等设计不当等。</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暖通专业：冷</w:t>
      </w:r>
      <w:r>
        <w:rPr>
          <w:rFonts w:hint="eastAsia" w:cs="宋体" w:asciiTheme="minorEastAsia" w:hAnsiTheme="minorEastAsia" w:eastAsiaTheme="minorEastAsia"/>
          <w:color w:val="auto"/>
          <w:sz w:val="24"/>
          <w:szCs w:val="24"/>
          <w:highlight w:val="none"/>
        </w:rPr>
        <w:t>、热负荷计算有重大错误或系统选择不当；膨胀水箱高度低于采暖系统等。</w:t>
      </w:r>
    </w:p>
    <w:p>
      <w:pPr>
        <w:autoSpaceDE w:val="0"/>
        <w:autoSpaceDN w:val="0"/>
        <w:spacing w:line="360" w:lineRule="auto"/>
        <w:ind w:firstLine="470"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电气专业：选用国家已公布的机电淘汰产品；供配电系统的控制保护</w:t>
      </w:r>
      <w:r>
        <w:rPr>
          <w:rFonts w:hint="eastAsia" w:cs="宋体" w:asciiTheme="minorEastAsia" w:hAnsiTheme="minorEastAsia" w:eastAsiaTheme="minorEastAsia"/>
          <w:color w:val="auto"/>
          <w:spacing w:val="-2"/>
          <w:sz w:val="24"/>
          <w:szCs w:val="24"/>
          <w:highlight w:val="none"/>
        </w:rPr>
        <w:t>，自动控制和自动调节</w:t>
      </w:r>
      <w:r>
        <w:rPr>
          <w:rFonts w:hint="eastAsia" w:cs="宋体" w:asciiTheme="minorEastAsia" w:hAnsiTheme="minorEastAsia" w:eastAsiaTheme="minorEastAsia"/>
          <w:color w:val="auto"/>
          <w:spacing w:val="-1"/>
          <w:sz w:val="24"/>
          <w:szCs w:val="24"/>
          <w:highlight w:val="none"/>
        </w:rPr>
        <w:t>原理图，</w:t>
      </w:r>
      <w:r>
        <w:rPr>
          <w:rFonts w:hint="eastAsia" w:cs="宋体" w:asciiTheme="minorEastAsia" w:hAnsiTheme="minorEastAsia" w:eastAsiaTheme="minorEastAsia"/>
          <w:color w:val="auto"/>
          <w:sz w:val="24"/>
          <w:szCs w:val="24"/>
          <w:highlight w:val="none"/>
        </w:rPr>
        <w:t>各站弱电设备之间线路连接图等设计不周或有严重错误；低压配电柜开关与所保护电缆</w:t>
      </w:r>
      <w:r>
        <w:rPr>
          <w:rFonts w:hint="eastAsia" w:cs="宋体" w:asciiTheme="minorEastAsia" w:hAnsiTheme="minorEastAsia" w:eastAsiaTheme="minorEastAsia"/>
          <w:color w:val="auto"/>
          <w:spacing w:val="1"/>
          <w:sz w:val="24"/>
          <w:szCs w:val="24"/>
          <w:highlight w:val="none"/>
        </w:rPr>
        <w:t>选型不</w:t>
      </w:r>
      <w:r>
        <w:rPr>
          <w:rFonts w:hint="eastAsia" w:cs="宋体" w:asciiTheme="minorEastAsia" w:hAnsiTheme="minorEastAsia" w:eastAsiaTheme="minorEastAsia"/>
          <w:color w:val="auto"/>
          <w:sz w:val="24"/>
          <w:szCs w:val="24"/>
          <w:highlight w:val="none"/>
        </w:rPr>
        <w:t>匹配，电缆母线容量不匹配等。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造价专业：提交给发包人的造价文件，经核查后，偏差大于±20%</w:t>
      </w:r>
      <w:r>
        <w:rPr>
          <w:rFonts w:hint="eastAsia" w:cs="宋体" w:asciiTheme="minorEastAsia" w:hAnsiTheme="minorEastAsia" w:eastAsiaTheme="minorEastAsia"/>
          <w:color w:val="auto"/>
          <w:spacing w:val="1"/>
          <w:sz w:val="24"/>
          <w:szCs w:val="24"/>
          <w:highlight w:val="none"/>
        </w:rPr>
        <w:t>的。</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B</w:t>
      </w:r>
      <w:r>
        <w:rPr>
          <w:rFonts w:hint="eastAsia" w:cs="宋体" w:asciiTheme="minorEastAsia" w:hAnsiTheme="minorEastAsia" w:eastAsiaTheme="minorEastAsia"/>
          <w:color w:val="auto"/>
          <w:spacing w:val="1"/>
          <w:sz w:val="24"/>
          <w:szCs w:val="24"/>
          <w:highlight w:val="none"/>
        </w:rPr>
        <w:t>、严重影</w:t>
      </w:r>
      <w:r>
        <w:rPr>
          <w:rFonts w:hint="eastAsia" w:cs="宋体" w:asciiTheme="minorEastAsia" w:hAnsiTheme="minorEastAsia" w:eastAsiaTheme="minorEastAsia"/>
          <w:color w:val="auto"/>
          <w:sz w:val="24"/>
          <w:szCs w:val="24"/>
          <w:highlight w:val="none"/>
        </w:rPr>
        <w:t>响报建：如计容积率面积（包含各个分部）超过允许的误差范围；平立剖面对不</w:t>
      </w:r>
      <w:r>
        <w:rPr>
          <w:rFonts w:hint="eastAsia" w:cs="宋体" w:asciiTheme="minorEastAsia" w:hAnsiTheme="minorEastAsia" w:eastAsiaTheme="minorEastAsia"/>
          <w:color w:val="auto"/>
          <w:spacing w:val="1"/>
          <w:sz w:val="24"/>
          <w:szCs w:val="24"/>
          <w:highlight w:val="none"/>
        </w:rPr>
        <w:t>上；</w:t>
      </w:r>
      <w:r>
        <w:rPr>
          <w:rFonts w:hint="eastAsia" w:cs="宋体" w:asciiTheme="minorEastAsia" w:hAnsiTheme="minorEastAsia" w:eastAsiaTheme="minorEastAsia"/>
          <w:color w:val="auto"/>
          <w:sz w:val="24"/>
          <w:szCs w:val="24"/>
          <w:highlight w:val="none"/>
        </w:rPr>
        <w:t>民防单元面积超过规范。</w:t>
      </w:r>
    </w:p>
    <w:p>
      <w:pPr>
        <w:autoSpaceDE w:val="0"/>
        <w:autoSpaceDN w:val="0"/>
        <w:spacing w:line="360" w:lineRule="auto"/>
        <w:ind w:firstLine="488" w:firstLineChars="201"/>
        <w:rPr>
          <w:rFonts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pacing w:val="1"/>
          <w:sz w:val="24"/>
          <w:szCs w:val="24"/>
          <w:highlight w:val="none"/>
        </w:rPr>
        <w:t>Ⅲ类</w:t>
      </w:r>
      <w:r>
        <w:rPr>
          <w:rFonts w:hint="eastAsia" w:cs="宋体" w:asciiTheme="minorEastAsia" w:hAnsiTheme="minorEastAsia" w:eastAsiaTheme="minorEastAsia"/>
          <w:b/>
          <w:color w:val="auto"/>
          <w:sz w:val="24"/>
          <w:szCs w:val="24"/>
          <w:highlight w:val="none"/>
        </w:rPr>
        <w:t>错误：</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设计中局部细节存在不合理或缺点，但对工程决策和质量无重大影响，如：</w:t>
      </w:r>
      <w:r>
        <w:rPr>
          <w:rFonts w:hint="eastAsia" w:cs="宋体" w:asciiTheme="minorEastAsia" w:hAnsiTheme="minorEastAsia" w:eastAsiaTheme="minorEastAsia"/>
          <w:color w:val="auto"/>
          <w:spacing w:val="-3"/>
          <w:sz w:val="24"/>
          <w:szCs w:val="24"/>
          <w:highlight w:val="none"/>
        </w:rPr>
        <w:t>1</w:t>
      </w:r>
      <w:r>
        <w:rPr>
          <w:rFonts w:hint="eastAsia" w:cs="宋体" w:asciiTheme="minorEastAsia" w:hAnsiTheme="minorEastAsia" w:eastAsiaTheme="minorEastAsia"/>
          <w:color w:val="auto"/>
          <w:spacing w:val="-1"/>
          <w:sz w:val="24"/>
          <w:szCs w:val="24"/>
          <w:highlight w:val="none"/>
        </w:rPr>
        <w:t>、违</w:t>
      </w:r>
      <w:r>
        <w:rPr>
          <w:rFonts w:hint="eastAsia" w:cs="宋体" w:asciiTheme="minorEastAsia" w:hAnsiTheme="minorEastAsia" w:eastAsiaTheme="minorEastAsia"/>
          <w:color w:val="auto"/>
          <w:sz w:val="24"/>
          <w:szCs w:val="24"/>
          <w:highlight w:val="none"/>
        </w:rPr>
        <w:t>反国家现行技术规范、规定、标准的一般条文；</w:t>
      </w:r>
      <w:r>
        <w:rPr>
          <w:rFonts w:hint="eastAsia" w:cs="宋体" w:asciiTheme="minorEastAsia" w:hAnsiTheme="minorEastAsia" w:eastAsiaTheme="minorEastAsia"/>
          <w:color w:val="auto"/>
          <w:spacing w:val="-1"/>
          <w:sz w:val="24"/>
          <w:szCs w:val="24"/>
          <w:highlight w:val="none"/>
        </w:rPr>
        <w:t>2</w:t>
      </w:r>
      <w:r>
        <w:rPr>
          <w:rFonts w:hint="eastAsia" w:cs="宋体" w:asciiTheme="minorEastAsia" w:hAnsiTheme="minorEastAsia" w:eastAsiaTheme="minorEastAsia"/>
          <w:color w:val="auto"/>
          <w:sz w:val="24"/>
          <w:szCs w:val="24"/>
          <w:highlight w:val="none"/>
        </w:rPr>
        <w:t>、设计的流程、系统、平面布置不够合理；</w:t>
      </w:r>
      <w:r>
        <w:rPr>
          <w:rFonts w:hint="eastAsia" w:cs="宋体" w:asciiTheme="minorEastAsia" w:hAnsiTheme="minorEastAsia" w:eastAsiaTheme="minorEastAsia"/>
          <w:color w:val="auto"/>
          <w:spacing w:val="-2"/>
          <w:sz w:val="24"/>
          <w:szCs w:val="24"/>
          <w:highlight w:val="none"/>
        </w:rPr>
        <w:t>3</w:t>
      </w:r>
      <w:r>
        <w:rPr>
          <w:rFonts w:hint="eastAsia" w:cs="宋体" w:asciiTheme="minorEastAsia" w:hAnsiTheme="minorEastAsia" w:eastAsiaTheme="minorEastAsia"/>
          <w:color w:val="auto"/>
          <w:spacing w:val="-1"/>
          <w:sz w:val="24"/>
          <w:szCs w:val="24"/>
          <w:highlight w:val="none"/>
        </w:rPr>
        <w:t>、</w:t>
      </w:r>
      <w:r>
        <w:rPr>
          <w:rFonts w:hint="eastAsia" w:cs="宋体" w:asciiTheme="minorEastAsia" w:hAnsiTheme="minorEastAsia" w:eastAsiaTheme="minorEastAsia"/>
          <w:color w:val="auto"/>
          <w:sz w:val="24"/>
          <w:szCs w:val="24"/>
          <w:highlight w:val="none"/>
        </w:rPr>
        <w:t>设备、构造、材料等选用不当；</w:t>
      </w:r>
      <w:r>
        <w:rPr>
          <w:rFonts w:hint="eastAsia" w:cs="宋体" w:asciiTheme="minorEastAsia" w:hAnsiTheme="minorEastAsia" w:eastAsiaTheme="minorEastAsia"/>
          <w:color w:val="auto"/>
          <w:spacing w:val="-2"/>
          <w:sz w:val="24"/>
          <w:szCs w:val="24"/>
          <w:highlight w:val="none"/>
        </w:rPr>
        <w:t>4</w:t>
      </w:r>
      <w:r>
        <w:rPr>
          <w:rFonts w:hint="eastAsia" w:cs="宋体" w:asciiTheme="minorEastAsia" w:hAnsiTheme="minorEastAsia" w:eastAsiaTheme="minorEastAsia"/>
          <w:color w:val="auto"/>
          <w:sz w:val="24"/>
          <w:szCs w:val="24"/>
          <w:highlight w:val="none"/>
        </w:rPr>
        <w:t>、重要的数据、计量单位、尺寸出错；</w:t>
      </w:r>
      <w:r>
        <w:rPr>
          <w:rFonts w:hint="eastAsia" w:cs="宋体" w:asciiTheme="minorEastAsia" w:hAnsiTheme="minorEastAsia" w:eastAsiaTheme="minorEastAsia"/>
          <w:color w:val="auto"/>
          <w:spacing w:val="-2"/>
          <w:sz w:val="24"/>
          <w:szCs w:val="24"/>
          <w:highlight w:val="none"/>
        </w:rPr>
        <w:t>5</w:t>
      </w:r>
      <w:r>
        <w:rPr>
          <w:rFonts w:hint="eastAsia" w:cs="宋体" w:asciiTheme="minorEastAsia" w:hAnsiTheme="minorEastAsia" w:eastAsiaTheme="minorEastAsia"/>
          <w:color w:val="auto"/>
          <w:spacing w:val="-1"/>
          <w:sz w:val="24"/>
          <w:szCs w:val="24"/>
          <w:highlight w:val="none"/>
        </w:rPr>
        <w:t>、不符</w:t>
      </w:r>
      <w:r>
        <w:rPr>
          <w:rFonts w:hint="eastAsia" w:cs="宋体" w:asciiTheme="minorEastAsia" w:hAnsiTheme="minorEastAsia" w:eastAsiaTheme="minorEastAsia"/>
          <w:color w:val="auto"/>
          <w:sz w:val="24"/>
          <w:szCs w:val="24"/>
          <w:highlight w:val="none"/>
        </w:rPr>
        <w:t>合国家对工程设计文件内容深度及格式的规定要求;6、出现因设计责任引起的三类变更；6</w:t>
      </w:r>
      <w:r>
        <w:rPr>
          <w:rFonts w:hint="eastAsia" w:cs="宋体" w:asciiTheme="minorEastAsia" w:hAnsiTheme="minorEastAsia" w:eastAsiaTheme="minorEastAsia"/>
          <w:color w:val="auto"/>
          <w:spacing w:val="-1"/>
          <w:sz w:val="24"/>
          <w:szCs w:val="24"/>
          <w:highlight w:val="none"/>
        </w:rPr>
        <w:t>、</w:t>
      </w:r>
      <w:r>
        <w:rPr>
          <w:rFonts w:hint="eastAsia" w:cs="宋体" w:asciiTheme="minorEastAsia" w:hAnsiTheme="minorEastAsia" w:eastAsiaTheme="minorEastAsia"/>
          <w:color w:val="auto"/>
          <w:sz w:val="24"/>
          <w:szCs w:val="24"/>
          <w:highlight w:val="none"/>
        </w:rPr>
        <w:t>造价文件失实。</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具体</w:t>
      </w:r>
      <w:r>
        <w:rPr>
          <w:rFonts w:hint="eastAsia" w:cs="宋体" w:asciiTheme="minorEastAsia" w:hAnsiTheme="minorEastAsia" w:eastAsiaTheme="minorEastAsia"/>
          <w:color w:val="auto"/>
          <w:sz w:val="24"/>
          <w:szCs w:val="24"/>
          <w:highlight w:val="none"/>
        </w:rPr>
        <w:t>按照专业又可分为：</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A</w:t>
      </w:r>
      <w:r>
        <w:rPr>
          <w:rFonts w:hint="eastAsia" w:cs="宋体" w:asciiTheme="minorEastAsia" w:hAnsiTheme="minorEastAsia" w:eastAsiaTheme="minorEastAsia"/>
          <w:color w:val="auto"/>
          <w:spacing w:val="1"/>
          <w:sz w:val="24"/>
          <w:szCs w:val="24"/>
          <w:highlight w:val="none"/>
        </w:rPr>
        <w:t>、局部违</w:t>
      </w:r>
      <w:r>
        <w:rPr>
          <w:rFonts w:hint="eastAsia" w:cs="宋体" w:asciiTheme="minorEastAsia" w:hAnsiTheme="minorEastAsia" w:eastAsiaTheme="minorEastAsia"/>
          <w:color w:val="auto"/>
          <w:sz w:val="24"/>
          <w:szCs w:val="24"/>
          <w:highlight w:val="none"/>
        </w:rPr>
        <w:t>反规范、标准、规定，但容易修正、且返工量不大，如：</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建筑专业：栏杆的高度及强度不符合要求；消防电</w:t>
      </w:r>
      <w:r>
        <w:rPr>
          <w:rFonts w:hint="eastAsia" w:cs="宋体" w:asciiTheme="minorEastAsia" w:hAnsiTheme="minorEastAsia" w:eastAsiaTheme="minorEastAsia"/>
          <w:color w:val="auto"/>
          <w:spacing w:val="-2"/>
          <w:sz w:val="24"/>
          <w:szCs w:val="24"/>
          <w:highlight w:val="none"/>
        </w:rPr>
        <w:t>梯不合防火要求，疏散门宽度不够、管道</w:t>
      </w:r>
      <w:r>
        <w:rPr>
          <w:rFonts w:hint="eastAsia" w:cs="宋体" w:asciiTheme="minorEastAsia" w:hAnsiTheme="minorEastAsia" w:eastAsiaTheme="minorEastAsia"/>
          <w:color w:val="auto"/>
          <w:spacing w:val="1"/>
          <w:sz w:val="24"/>
          <w:szCs w:val="24"/>
          <w:highlight w:val="none"/>
        </w:rPr>
        <w:t>井不</w:t>
      </w:r>
      <w:r>
        <w:rPr>
          <w:rFonts w:hint="eastAsia" w:cs="宋体" w:asciiTheme="minorEastAsia" w:hAnsiTheme="minorEastAsia" w:eastAsiaTheme="minorEastAsia"/>
          <w:color w:val="auto"/>
          <w:sz w:val="24"/>
          <w:szCs w:val="24"/>
          <w:highlight w:val="none"/>
        </w:rPr>
        <w:t>合防火规范等。</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结构</w:t>
      </w:r>
      <w:r>
        <w:rPr>
          <w:rFonts w:hint="eastAsia" w:cs="宋体" w:asciiTheme="minorEastAsia" w:hAnsiTheme="minorEastAsia" w:eastAsiaTheme="minorEastAsia"/>
          <w:color w:val="auto"/>
          <w:sz w:val="24"/>
          <w:szCs w:val="24"/>
          <w:highlight w:val="none"/>
        </w:rPr>
        <w:t>专业：按简支计算的梁、支座与梁柱整体连接构造用负筋不够；悬挑构件配筋错误等。</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给排水专</w:t>
      </w:r>
      <w:r>
        <w:rPr>
          <w:rFonts w:hint="eastAsia" w:cs="宋体" w:asciiTheme="minorEastAsia" w:hAnsiTheme="minorEastAsia" w:eastAsiaTheme="minorEastAsia"/>
          <w:color w:val="auto"/>
          <w:sz w:val="24"/>
          <w:szCs w:val="24"/>
          <w:highlight w:val="none"/>
        </w:rPr>
        <w:t>业：生活饮用水管理与非饮用水道连接，未采取防回流污染措施等。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暖通专业：管道井不符合防火规定；穿越防火墙未</w:t>
      </w:r>
      <w:r>
        <w:rPr>
          <w:rFonts w:hint="eastAsia" w:cs="宋体" w:asciiTheme="minorEastAsia" w:hAnsiTheme="minorEastAsia" w:eastAsiaTheme="minorEastAsia"/>
          <w:color w:val="auto"/>
          <w:spacing w:val="-2"/>
          <w:sz w:val="24"/>
          <w:szCs w:val="24"/>
          <w:highlight w:val="none"/>
        </w:rPr>
        <w:t>装防火阀；风管材料及保温材料不符合防</w:t>
      </w:r>
      <w:r>
        <w:rPr>
          <w:rFonts w:hint="eastAsia" w:cs="宋体" w:asciiTheme="minorEastAsia" w:hAnsiTheme="minorEastAsia" w:eastAsiaTheme="minorEastAsia"/>
          <w:color w:val="auto"/>
          <w:spacing w:val="1"/>
          <w:sz w:val="24"/>
          <w:szCs w:val="24"/>
          <w:highlight w:val="none"/>
        </w:rPr>
        <w:t>火要</w:t>
      </w:r>
      <w:r>
        <w:rPr>
          <w:rFonts w:hint="eastAsia" w:cs="宋体" w:asciiTheme="minorEastAsia" w:hAnsiTheme="minorEastAsia" w:eastAsiaTheme="minorEastAsia"/>
          <w:color w:val="auto"/>
          <w:sz w:val="24"/>
          <w:szCs w:val="24"/>
          <w:highlight w:val="none"/>
        </w:rPr>
        <w:t>求等。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电气专业：低压配电级数超过三级；照明系统中单</w:t>
      </w:r>
      <w:r>
        <w:rPr>
          <w:rFonts w:hint="eastAsia" w:cs="宋体" w:asciiTheme="minorEastAsia" w:hAnsiTheme="minorEastAsia" w:eastAsiaTheme="minorEastAsia"/>
          <w:color w:val="auto"/>
          <w:spacing w:val="-2"/>
          <w:sz w:val="24"/>
          <w:szCs w:val="24"/>
          <w:highlight w:val="none"/>
        </w:rPr>
        <w:t xml:space="preserve">向回路灯和插座数量超过 </w:t>
      </w:r>
      <w:r>
        <w:rPr>
          <w:rFonts w:hint="eastAsia" w:cs="宋体" w:asciiTheme="minorEastAsia" w:hAnsiTheme="minorEastAsia" w:eastAsiaTheme="minorEastAsia"/>
          <w:color w:val="auto"/>
          <w:spacing w:val="1"/>
          <w:sz w:val="24"/>
          <w:szCs w:val="24"/>
          <w:highlight w:val="none"/>
        </w:rPr>
        <w:t>25</w:t>
      </w:r>
      <w:r>
        <w:rPr>
          <w:rFonts w:hint="eastAsia" w:cs="宋体" w:asciiTheme="minorEastAsia" w:hAnsiTheme="minorEastAsia" w:eastAsiaTheme="minorEastAsia"/>
          <w:color w:val="auto"/>
          <w:spacing w:val="-2"/>
          <w:sz w:val="24"/>
          <w:szCs w:val="24"/>
          <w:highlight w:val="none"/>
        </w:rPr>
        <w:t>个；烟、温</w:t>
      </w:r>
      <w:r>
        <w:rPr>
          <w:rFonts w:hint="eastAsia" w:cs="宋体" w:asciiTheme="minorEastAsia" w:hAnsiTheme="minorEastAsia" w:eastAsiaTheme="minorEastAsia"/>
          <w:color w:val="auto"/>
          <w:spacing w:val="1"/>
          <w:sz w:val="24"/>
          <w:szCs w:val="24"/>
          <w:highlight w:val="none"/>
        </w:rPr>
        <w:t>感探测器位</w:t>
      </w:r>
      <w:r>
        <w:rPr>
          <w:rFonts w:hint="eastAsia" w:cs="宋体" w:asciiTheme="minorEastAsia" w:hAnsiTheme="minorEastAsia" w:eastAsiaTheme="minorEastAsia"/>
          <w:color w:val="auto"/>
          <w:sz w:val="24"/>
          <w:szCs w:val="24"/>
          <w:highlight w:val="none"/>
        </w:rPr>
        <w:t>置；自动喷淋、排烟防火等系统连锁方式局部违反规范、标准、规定；双电源未考虑</w:t>
      </w:r>
      <w:r>
        <w:rPr>
          <w:rFonts w:hint="eastAsia" w:cs="宋体" w:asciiTheme="minorEastAsia" w:hAnsiTheme="minorEastAsia" w:eastAsiaTheme="minorEastAsia"/>
          <w:color w:val="auto"/>
          <w:spacing w:val="1"/>
          <w:sz w:val="24"/>
          <w:szCs w:val="24"/>
          <w:highlight w:val="none"/>
        </w:rPr>
        <w:t>末</w:t>
      </w:r>
      <w:r>
        <w:rPr>
          <w:rFonts w:hint="eastAsia" w:cs="宋体" w:asciiTheme="minorEastAsia" w:hAnsiTheme="minorEastAsia" w:eastAsiaTheme="minorEastAsia"/>
          <w:color w:val="auto"/>
          <w:sz w:val="24"/>
          <w:szCs w:val="24"/>
          <w:highlight w:val="none"/>
        </w:rPr>
        <w:t>端切换等。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造价专业：提交给发包人的造价文件，经核查后，偏差大于±10%</w:t>
      </w:r>
      <w:r>
        <w:rPr>
          <w:rFonts w:hint="eastAsia" w:cs="宋体" w:asciiTheme="minorEastAsia" w:hAnsiTheme="minorEastAsia" w:eastAsiaTheme="minorEastAsia"/>
          <w:color w:val="auto"/>
          <w:spacing w:val="1"/>
          <w:sz w:val="24"/>
          <w:szCs w:val="24"/>
          <w:highlight w:val="none"/>
        </w:rPr>
        <w:t>的。</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B</w:t>
      </w:r>
      <w:r>
        <w:rPr>
          <w:rFonts w:hint="eastAsia" w:cs="宋体" w:asciiTheme="minorEastAsia" w:hAnsiTheme="minorEastAsia" w:eastAsiaTheme="minorEastAsia"/>
          <w:color w:val="auto"/>
          <w:spacing w:val="1"/>
          <w:sz w:val="24"/>
          <w:szCs w:val="24"/>
          <w:highlight w:val="none"/>
        </w:rPr>
        <w:t>、设计不</w:t>
      </w:r>
      <w:r>
        <w:rPr>
          <w:rFonts w:hint="eastAsia" w:cs="宋体" w:asciiTheme="minorEastAsia" w:hAnsiTheme="minorEastAsia" w:eastAsiaTheme="minorEastAsia"/>
          <w:color w:val="auto"/>
          <w:sz w:val="24"/>
          <w:szCs w:val="24"/>
          <w:highlight w:val="none"/>
        </w:rPr>
        <w:t>周、构造或用料不当，有可能造成影响局部使用效果，或重要部位尺寸错误，有</w:t>
      </w:r>
      <w:r>
        <w:rPr>
          <w:rFonts w:hint="eastAsia" w:cs="宋体" w:asciiTheme="minorEastAsia" w:hAnsiTheme="minorEastAsia" w:eastAsiaTheme="minorEastAsia"/>
          <w:color w:val="auto"/>
          <w:spacing w:val="1"/>
          <w:sz w:val="24"/>
          <w:szCs w:val="24"/>
          <w:highlight w:val="none"/>
        </w:rPr>
        <w:t>可能</w:t>
      </w:r>
      <w:r>
        <w:rPr>
          <w:rFonts w:hint="eastAsia" w:cs="宋体" w:asciiTheme="minorEastAsia" w:hAnsiTheme="minorEastAsia" w:eastAsiaTheme="minorEastAsia"/>
          <w:color w:val="auto"/>
          <w:sz w:val="24"/>
          <w:szCs w:val="24"/>
          <w:highlight w:val="none"/>
        </w:rPr>
        <w:t>造成严重后果，如：</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建筑专业：</w:t>
      </w:r>
      <w:r>
        <w:rPr>
          <w:rFonts w:hint="eastAsia" w:cs="宋体" w:asciiTheme="minorEastAsia" w:hAnsiTheme="minorEastAsia" w:eastAsiaTheme="minorEastAsia"/>
          <w:color w:val="auto"/>
          <w:spacing w:val="-2"/>
          <w:sz w:val="24"/>
          <w:szCs w:val="24"/>
          <w:highlight w:val="none"/>
        </w:rPr>
        <w:t>结构承重部分在建筑图中未完全反映或错误；</w:t>
      </w:r>
      <w:r>
        <w:rPr>
          <w:rFonts w:hint="eastAsia" w:cs="宋体" w:asciiTheme="minorEastAsia" w:hAnsiTheme="minorEastAsia" w:eastAsiaTheme="minorEastAsia"/>
          <w:color w:val="auto"/>
          <w:spacing w:val="-4"/>
          <w:sz w:val="24"/>
          <w:szCs w:val="24"/>
          <w:highlight w:val="none"/>
        </w:rPr>
        <w:t>声光</w:t>
      </w:r>
      <w:r>
        <w:rPr>
          <w:rFonts w:hint="eastAsia" w:cs="宋体" w:asciiTheme="minorEastAsia" w:hAnsiTheme="minorEastAsia" w:eastAsiaTheme="minorEastAsia"/>
          <w:color w:val="auto"/>
          <w:spacing w:val="-3"/>
          <w:sz w:val="24"/>
          <w:szCs w:val="24"/>
          <w:highlight w:val="none"/>
        </w:rPr>
        <w:t>热防水防潮等的技术处理欠妥</w:t>
      </w:r>
      <w:r>
        <w:rPr>
          <w:rFonts w:hint="eastAsia" w:cs="宋体" w:asciiTheme="minorEastAsia" w:hAnsiTheme="minorEastAsia" w:eastAsiaTheme="minorEastAsia"/>
          <w:color w:val="auto"/>
          <w:sz w:val="24"/>
          <w:szCs w:val="24"/>
          <w:highlight w:val="none"/>
        </w:rPr>
        <w:t>等。</w:t>
      </w:r>
    </w:p>
    <w:p>
      <w:pPr>
        <w:autoSpaceDE w:val="0"/>
        <w:autoSpaceDN w:val="0"/>
        <w:spacing w:line="360" w:lineRule="auto"/>
        <w:ind w:firstLine="470"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结构专业</w:t>
      </w:r>
      <w:r>
        <w:rPr>
          <w:rFonts w:hint="eastAsia" w:cs="宋体" w:asciiTheme="minorEastAsia" w:hAnsiTheme="minorEastAsia" w:eastAsiaTheme="minorEastAsia"/>
          <w:color w:val="auto"/>
          <w:sz w:val="24"/>
          <w:szCs w:val="24"/>
          <w:highlight w:val="none"/>
        </w:rPr>
        <w:t>:</w:t>
      </w:r>
      <w:r>
        <w:rPr>
          <w:rFonts w:hint="eastAsia" w:cs="宋体" w:asciiTheme="minorEastAsia" w:hAnsiTheme="minorEastAsia" w:eastAsiaTheme="minorEastAsia"/>
          <w:color w:val="auto"/>
          <w:spacing w:val="-3"/>
          <w:sz w:val="24"/>
          <w:szCs w:val="24"/>
          <w:highlight w:val="none"/>
        </w:rPr>
        <w:t>各种门</w:t>
      </w:r>
      <w:r>
        <w:rPr>
          <w:rFonts w:hint="eastAsia" w:cs="宋体" w:asciiTheme="minorEastAsia" w:hAnsiTheme="minorEastAsia" w:eastAsiaTheme="minorEastAsia"/>
          <w:color w:val="auto"/>
          <w:spacing w:val="-1"/>
          <w:sz w:val="24"/>
          <w:szCs w:val="24"/>
          <w:highlight w:val="none"/>
        </w:rPr>
        <w:t>/</w:t>
      </w:r>
      <w:r>
        <w:rPr>
          <w:rFonts w:hint="eastAsia" w:cs="宋体" w:asciiTheme="minorEastAsia" w:hAnsiTheme="minorEastAsia" w:eastAsiaTheme="minorEastAsia"/>
          <w:color w:val="auto"/>
          <w:spacing w:val="-3"/>
          <w:sz w:val="24"/>
          <w:szCs w:val="24"/>
          <w:highlight w:val="none"/>
        </w:rPr>
        <w:t>窗洞高度不符合建筑设计要求，</w:t>
      </w:r>
      <w:r>
        <w:rPr>
          <w:rFonts w:hint="eastAsia" w:cs="宋体" w:asciiTheme="minorEastAsia" w:hAnsiTheme="minorEastAsia" w:eastAsiaTheme="minorEastAsia"/>
          <w:color w:val="auto"/>
          <w:spacing w:val="-2"/>
          <w:sz w:val="24"/>
          <w:szCs w:val="24"/>
          <w:highlight w:val="none"/>
        </w:rPr>
        <w:t>严重影响使用要求；</w:t>
      </w:r>
      <w:r>
        <w:rPr>
          <w:rFonts w:hint="eastAsia" w:cs="宋体" w:asciiTheme="minorEastAsia" w:hAnsiTheme="minorEastAsia" w:eastAsiaTheme="minorEastAsia"/>
          <w:color w:val="auto"/>
          <w:spacing w:val="-4"/>
          <w:sz w:val="24"/>
          <w:szCs w:val="24"/>
          <w:highlight w:val="none"/>
        </w:rPr>
        <w:t>存</w:t>
      </w:r>
      <w:r>
        <w:rPr>
          <w:rFonts w:hint="eastAsia" w:cs="宋体" w:asciiTheme="minorEastAsia" w:hAnsiTheme="minorEastAsia" w:eastAsiaTheme="minorEastAsia"/>
          <w:color w:val="auto"/>
          <w:spacing w:val="-3"/>
          <w:sz w:val="24"/>
          <w:szCs w:val="24"/>
          <w:highlight w:val="none"/>
        </w:rPr>
        <w:t>在明显的未设计部</w:t>
      </w:r>
      <w:r>
        <w:rPr>
          <w:rFonts w:hint="eastAsia" w:cs="宋体" w:asciiTheme="minorEastAsia" w:hAnsiTheme="minorEastAsia" w:eastAsiaTheme="minorEastAsia"/>
          <w:color w:val="auto"/>
          <w:sz w:val="24"/>
          <w:szCs w:val="24"/>
          <w:highlight w:val="none"/>
        </w:rPr>
        <w:t>分，影响现场进度；结构标高与建筑面层要求不</w:t>
      </w:r>
      <w:r>
        <w:rPr>
          <w:rFonts w:hint="eastAsia" w:cs="宋体" w:asciiTheme="minorEastAsia" w:hAnsiTheme="minorEastAsia" w:eastAsiaTheme="minorEastAsia"/>
          <w:color w:val="auto"/>
          <w:spacing w:val="-1"/>
          <w:sz w:val="24"/>
          <w:szCs w:val="24"/>
          <w:highlight w:val="none"/>
        </w:rPr>
        <w:t>符；阳台</w:t>
      </w:r>
      <w:r>
        <w:rPr>
          <w:rFonts w:hint="eastAsia" w:cs="宋体" w:asciiTheme="minorEastAsia" w:hAnsiTheme="minorEastAsia" w:eastAsiaTheme="minorEastAsia"/>
          <w:color w:val="auto"/>
          <w:sz w:val="24"/>
          <w:szCs w:val="24"/>
          <w:highlight w:val="none"/>
        </w:rPr>
        <w:t>、雨蓬的倾覆安全不够，钢筋混凝土构</w:t>
      </w:r>
      <w:r>
        <w:rPr>
          <w:rFonts w:hint="eastAsia" w:cs="宋体" w:asciiTheme="minorEastAsia" w:hAnsiTheme="minorEastAsia" w:eastAsiaTheme="minorEastAsia"/>
          <w:color w:val="auto"/>
          <w:spacing w:val="1"/>
          <w:sz w:val="24"/>
          <w:szCs w:val="24"/>
          <w:highlight w:val="none"/>
        </w:rPr>
        <w:t>件配筋与</w:t>
      </w:r>
      <w:r>
        <w:rPr>
          <w:rFonts w:hint="eastAsia" w:cs="宋体" w:asciiTheme="minorEastAsia" w:hAnsiTheme="minorEastAsia" w:eastAsiaTheme="minorEastAsia"/>
          <w:color w:val="auto"/>
          <w:sz w:val="24"/>
          <w:szCs w:val="24"/>
          <w:highlight w:val="none"/>
        </w:rPr>
        <w:t>计算书不符；应设置构造钢筋的部位不设或少设。</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给排水专业:</w:t>
      </w:r>
      <w:r>
        <w:rPr>
          <w:rFonts w:hint="eastAsia" w:cs="宋体" w:asciiTheme="minorEastAsia" w:hAnsiTheme="minorEastAsia" w:eastAsiaTheme="minorEastAsia"/>
          <w:color w:val="auto"/>
          <w:spacing w:val="1"/>
          <w:sz w:val="24"/>
          <w:szCs w:val="24"/>
          <w:highlight w:val="none"/>
        </w:rPr>
        <w:t>选用</w:t>
      </w:r>
      <w:r>
        <w:rPr>
          <w:rFonts w:hint="eastAsia" w:cs="宋体" w:asciiTheme="minorEastAsia" w:hAnsiTheme="minorEastAsia" w:eastAsiaTheme="minorEastAsia"/>
          <w:color w:val="auto"/>
          <w:sz w:val="24"/>
          <w:szCs w:val="24"/>
          <w:highlight w:val="none"/>
        </w:rPr>
        <w:t>了已淘汰的耗能大的设备。热交换间未考虑检修条件等。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暖通专业:</w:t>
      </w:r>
      <w:r>
        <w:rPr>
          <w:rFonts w:hint="eastAsia" w:cs="宋体" w:asciiTheme="minorEastAsia" w:hAnsiTheme="minorEastAsia" w:eastAsiaTheme="minorEastAsia"/>
          <w:color w:val="auto"/>
          <w:spacing w:val="1"/>
          <w:sz w:val="24"/>
          <w:szCs w:val="24"/>
          <w:highlight w:val="none"/>
        </w:rPr>
        <w:t>选用了已</w:t>
      </w:r>
      <w:r>
        <w:rPr>
          <w:rFonts w:hint="eastAsia" w:cs="宋体" w:asciiTheme="minorEastAsia" w:hAnsiTheme="minorEastAsia" w:eastAsiaTheme="minorEastAsia"/>
          <w:color w:val="auto"/>
          <w:sz w:val="24"/>
          <w:szCs w:val="24"/>
          <w:highlight w:val="none"/>
        </w:rPr>
        <w:t>淘汰的产品；机房布置未考虑检修条件；地下室的机房未考虑设备进出</w:t>
      </w:r>
      <w:r>
        <w:rPr>
          <w:rFonts w:hint="eastAsia" w:cs="宋体" w:asciiTheme="minorEastAsia" w:hAnsiTheme="minorEastAsia" w:eastAsiaTheme="minorEastAsia"/>
          <w:color w:val="auto"/>
          <w:spacing w:val="1"/>
          <w:sz w:val="24"/>
          <w:szCs w:val="24"/>
          <w:highlight w:val="none"/>
        </w:rPr>
        <w:t>孔；风机</w:t>
      </w:r>
      <w:r>
        <w:rPr>
          <w:rFonts w:hint="eastAsia" w:cs="宋体" w:asciiTheme="minorEastAsia" w:hAnsiTheme="minorEastAsia" w:eastAsiaTheme="minorEastAsia"/>
          <w:color w:val="auto"/>
          <w:sz w:val="24"/>
          <w:szCs w:val="24"/>
          <w:highlight w:val="none"/>
        </w:rPr>
        <w:t>的消声、减震处理不当等。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电气专业:</w:t>
      </w:r>
      <w:r>
        <w:rPr>
          <w:rFonts w:hint="eastAsia" w:cs="宋体" w:asciiTheme="minorEastAsia" w:hAnsiTheme="minorEastAsia" w:eastAsiaTheme="minorEastAsia"/>
          <w:color w:val="auto"/>
          <w:spacing w:val="1"/>
          <w:sz w:val="24"/>
          <w:szCs w:val="24"/>
          <w:highlight w:val="none"/>
        </w:rPr>
        <w:t>强、弱电</w:t>
      </w:r>
      <w:r>
        <w:rPr>
          <w:rFonts w:hint="eastAsia" w:cs="宋体" w:asciiTheme="minorEastAsia" w:hAnsiTheme="minorEastAsia" w:eastAsiaTheme="minorEastAsia"/>
          <w:color w:val="auto"/>
          <w:sz w:val="24"/>
          <w:szCs w:val="24"/>
          <w:highlight w:val="none"/>
        </w:rPr>
        <w:t>各种线路布局，设备选型不当，安装图和非标准图制作尺寸以及安装不符等。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C</w:t>
      </w:r>
      <w:r>
        <w:rPr>
          <w:rFonts w:hint="eastAsia" w:cs="宋体" w:asciiTheme="minorEastAsia" w:hAnsiTheme="minorEastAsia" w:eastAsiaTheme="minorEastAsia"/>
          <w:color w:val="auto"/>
          <w:spacing w:val="1"/>
          <w:sz w:val="24"/>
          <w:szCs w:val="24"/>
          <w:highlight w:val="none"/>
        </w:rPr>
        <w:t>、工种配</w:t>
      </w:r>
      <w:r>
        <w:rPr>
          <w:rFonts w:hint="eastAsia" w:cs="宋体" w:asciiTheme="minorEastAsia" w:hAnsiTheme="minorEastAsia" w:eastAsiaTheme="minorEastAsia"/>
          <w:color w:val="auto"/>
          <w:sz w:val="24"/>
          <w:szCs w:val="24"/>
          <w:highlight w:val="none"/>
        </w:rPr>
        <w:t>合严重错误或局部遗漏有可能造成影响使用，或造成施工返工，如梁上预埋孔洞</w:t>
      </w:r>
      <w:r>
        <w:rPr>
          <w:rFonts w:hint="eastAsia" w:cs="宋体" w:asciiTheme="minorEastAsia" w:hAnsiTheme="minorEastAsia" w:eastAsiaTheme="minorEastAsia"/>
          <w:color w:val="auto"/>
          <w:spacing w:val="1"/>
          <w:sz w:val="24"/>
          <w:szCs w:val="24"/>
          <w:highlight w:val="none"/>
        </w:rPr>
        <w:t>严重</w:t>
      </w:r>
      <w:r>
        <w:rPr>
          <w:rFonts w:hint="eastAsia" w:cs="宋体" w:asciiTheme="minorEastAsia" w:hAnsiTheme="minorEastAsia" w:eastAsiaTheme="minorEastAsia"/>
          <w:color w:val="auto"/>
          <w:sz w:val="24"/>
          <w:szCs w:val="24"/>
          <w:highlight w:val="none"/>
        </w:rPr>
        <w:t>影响结构安全。</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D</w:t>
      </w:r>
      <w:r>
        <w:rPr>
          <w:rFonts w:hint="eastAsia" w:cs="宋体" w:asciiTheme="minorEastAsia" w:hAnsiTheme="minorEastAsia" w:eastAsiaTheme="minorEastAsia"/>
          <w:color w:val="auto"/>
          <w:spacing w:val="1"/>
          <w:sz w:val="24"/>
          <w:szCs w:val="24"/>
          <w:highlight w:val="none"/>
        </w:rPr>
        <w:t>、结构专</w:t>
      </w:r>
      <w:r>
        <w:rPr>
          <w:rFonts w:hint="eastAsia" w:cs="宋体" w:asciiTheme="minorEastAsia" w:hAnsiTheme="minorEastAsia" w:eastAsiaTheme="minorEastAsia"/>
          <w:color w:val="auto"/>
          <w:sz w:val="24"/>
          <w:szCs w:val="24"/>
          <w:highlight w:val="none"/>
        </w:rPr>
        <w:t>业计算、构造层层加码，造成严重浪费者。如设计荷载取用过大，实际配筋又大</w:t>
      </w:r>
      <w:r>
        <w:rPr>
          <w:rFonts w:hint="eastAsia" w:cs="宋体" w:asciiTheme="minorEastAsia" w:hAnsiTheme="minorEastAsia" w:eastAsiaTheme="minorEastAsia"/>
          <w:color w:val="auto"/>
          <w:spacing w:val="1"/>
          <w:sz w:val="24"/>
          <w:szCs w:val="24"/>
          <w:highlight w:val="none"/>
        </w:rPr>
        <w:t>于计</w:t>
      </w:r>
      <w:r>
        <w:rPr>
          <w:rFonts w:hint="eastAsia" w:cs="宋体" w:asciiTheme="minorEastAsia" w:hAnsiTheme="minorEastAsia" w:eastAsiaTheme="minorEastAsia"/>
          <w:color w:val="auto"/>
          <w:sz w:val="24"/>
          <w:szCs w:val="24"/>
          <w:highlight w:val="none"/>
        </w:rPr>
        <w:t>算要求很多等。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E</w:t>
      </w:r>
      <w:r>
        <w:rPr>
          <w:rFonts w:hint="eastAsia" w:cs="宋体" w:asciiTheme="minorEastAsia" w:hAnsiTheme="minorEastAsia" w:eastAsiaTheme="minorEastAsia"/>
          <w:color w:val="auto"/>
          <w:spacing w:val="1"/>
          <w:sz w:val="24"/>
          <w:szCs w:val="24"/>
          <w:highlight w:val="none"/>
        </w:rPr>
        <w:t>、影响报</w:t>
      </w:r>
      <w:r>
        <w:rPr>
          <w:rFonts w:hint="eastAsia" w:cs="宋体" w:asciiTheme="minorEastAsia" w:hAnsiTheme="minorEastAsia" w:eastAsiaTheme="minorEastAsia"/>
          <w:color w:val="auto"/>
          <w:sz w:val="24"/>
          <w:szCs w:val="24"/>
          <w:highlight w:val="none"/>
        </w:rPr>
        <w:t>建工作的进行；各配套设施建筑或功能区未详细标明或建筑标识不清，影响面积</w:t>
      </w:r>
      <w:r>
        <w:rPr>
          <w:rFonts w:hint="eastAsia" w:cs="宋体" w:asciiTheme="minorEastAsia" w:hAnsiTheme="minorEastAsia" w:eastAsiaTheme="minorEastAsia"/>
          <w:color w:val="auto"/>
          <w:spacing w:val="1"/>
          <w:sz w:val="24"/>
          <w:szCs w:val="24"/>
          <w:highlight w:val="none"/>
        </w:rPr>
        <w:t>查</w:t>
      </w:r>
      <w:r>
        <w:rPr>
          <w:rFonts w:hint="eastAsia" w:cs="宋体" w:asciiTheme="minorEastAsia" w:hAnsiTheme="minorEastAsia" w:eastAsiaTheme="minorEastAsia"/>
          <w:color w:val="auto"/>
          <w:sz w:val="24"/>
          <w:szCs w:val="24"/>
          <w:highlight w:val="none"/>
        </w:rPr>
        <w:t>丈及验收。</w:t>
      </w:r>
    </w:p>
    <w:p>
      <w:pPr>
        <w:autoSpaceDE w:val="0"/>
        <w:autoSpaceDN w:val="0"/>
        <w:spacing w:line="360" w:lineRule="auto"/>
        <w:ind w:firstLine="488" w:firstLineChars="201"/>
        <w:rPr>
          <w:rFonts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pacing w:val="1"/>
          <w:sz w:val="24"/>
          <w:szCs w:val="24"/>
          <w:highlight w:val="none"/>
        </w:rPr>
        <w:t>Ⅳ类</w:t>
      </w:r>
      <w:r>
        <w:rPr>
          <w:rFonts w:hint="eastAsia" w:cs="宋体" w:asciiTheme="minorEastAsia" w:hAnsiTheme="minorEastAsia" w:eastAsiaTheme="minorEastAsia"/>
          <w:b/>
          <w:color w:val="auto"/>
          <w:sz w:val="24"/>
          <w:szCs w:val="24"/>
          <w:highlight w:val="none"/>
        </w:rPr>
        <w:t>错误：</w:t>
      </w:r>
    </w:p>
    <w:p>
      <w:pPr>
        <w:autoSpaceDE w:val="0"/>
        <w:autoSpaceDN w:val="0"/>
        <w:spacing w:line="360" w:lineRule="auto"/>
        <w:ind w:firstLine="46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4"/>
          <w:sz w:val="24"/>
          <w:szCs w:val="24"/>
          <w:highlight w:val="none"/>
        </w:rPr>
        <w:t>指设计文件编制上的差错，如</w:t>
      </w:r>
      <w:r>
        <w:rPr>
          <w:rFonts w:hint="eastAsia" w:cs="宋体" w:asciiTheme="minorEastAsia" w:hAnsiTheme="minorEastAsia" w:eastAsiaTheme="minorEastAsia"/>
          <w:color w:val="auto"/>
          <w:sz w:val="24"/>
          <w:szCs w:val="24"/>
          <w:highlight w:val="none"/>
        </w:rPr>
        <w:t>1</w:t>
      </w:r>
      <w:r>
        <w:rPr>
          <w:rFonts w:hint="eastAsia" w:cs="宋体" w:asciiTheme="minorEastAsia" w:hAnsiTheme="minorEastAsia" w:eastAsiaTheme="minorEastAsia"/>
          <w:color w:val="auto"/>
          <w:spacing w:val="-4"/>
          <w:sz w:val="24"/>
          <w:szCs w:val="24"/>
          <w:highlight w:val="none"/>
        </w:rPr>
        <w:t>、说明表达错误；</w:t>
      </w:r>
      <w:r>
        <w:rPr>
          <w:rFonts w:hint="eastAsia" w:cs="宋体" w:asciiTheme="minorEastAsia" w:hAnsiTheme="minorEastAsia" w:eastAsiaTheme="minorEastAsia"/>
          <w:color w:val="auto"/>
          <w:spacing w:val="-1"/>
          <w:sz w:val="24"/>
          <w:szCs w:val="24"/>
          <w:highlight w:val="none"/>
        </w:rPr>
        <w:t>2</w:t>
      </w:r>
      <w:r>
        <w:rPr>
          <w:rFonts w:hint="eastAsia" w:cs="宋体" w:asciiTheme="minorEastAsia" w:hAnsiTheme="minorEastAsia" w:eastAsiaTheme="minorEastAsia"/>
          <w:color w:val="auto"/>
          <w:spacing w:val="-4"/>
          <w:sz w:val="24"/>
          <w:szCs w:val="24"/>
          <w:highlight w:val="none"/>
        </w:rPr>
        <w:t>、不重要的数据、计量单位、尺寸出错；</w:t>
      </w:r>
    </w:p>
    <w:p>
      <w:pPr>
        <w:autoSpaceDE w:val="0"/>
        <w:autoSpaceDN w:val="0"/>
        <w:spacing w:line="360" w:lineRule="auto"/>
        <w:ind w:firstLine="478"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3</w:t>
      </w:r>
      <w:r>
        <w:rPr>
          <w:rFonts w:hint="eastAsia" w:cs="宋体" w:asciiTheme="minorEastAsia" w:hAnsiTheme="minorEastAsia" w:eastAsiaTheme="minorEastAsia"/>
          <w:color w:val="auto"/>
          <w:spacing w:val="-2"/>
          <w:sz w:val="24"/>
          <w:szCs w:val="24"/>
          <w:highlight w:val="none"/>
        </w:rPr>
        <w:t>、不重要的尺寸线、剖面线、引出线等漏划；</w:t>
      </w:r>
      <w:r>
        <w:rPr>
          <w:rFonts w:hint="eastAsia" w:cs="宋体" w:asciiTheme="minorEastAsia" w:hAnsiTheme="minorEastAsia" w:eastAsiaTheme="minorEastAsia"/>
          <w:color w:val="auto"/>
          <w:spacing w:val="-9"/>
          <w:sz w:val="24"/>
          <w:szCs w:val="24"/>
          <w:highlight w:val="none"/>
        </w:rPr>
        <w:t>4</w:t>
      </w:r>
      <w:r>
        <w:rPr>
          <w:rFonts w:hint="eastAsia" w:cs="宋体" w:asciiTheme="minorEastAsia" w:hAnsiTheme="minorEastAsia" w:eastAsiaTheme="minorEastAsia"/>
          <w:color w:val="auto"/>
          <w:spacing w:val="-2"/>
          <w:sz w:val="24"/>
          <w:szCs w:val="24"/>
          <w:highlight w:val="none"/>
        </w:rPr>
        <w:t>、出现因设计责任引起的四类变更；</w:t>
      </w:r>
      <w:r>
        <w:rPr>
          <w:rFonts w:hint="eastAsia" w:cs="宋体" w:asciiTheme="minorEastAsia" w:hAnsiTheme="minorEastAsia" w:eastAsiaTheme="minorEastAsia"/>
          <w:color w:val="auto"/>
          <w:spacing w:val="-7"/>
          <w:sz w:val="24"/>
          <w:szCs w:val="24"/>
          <w:highlight w:val="none"/>
        </w:rPr>
        <w:t>5</w:t>
      </w:r>
      <w:r>
        <w:rPr>
          <w:rFonts w:hint="eastAsia" w:cs="宋体" w:asciiTheme="minorEastAsia" w:hAnsiTheme="minorEastAsia" w:eastAsiaTheme="minorEastAsia"/>
          <w:color w:val="auto"/>
          <w:spacing w:val="-3"/>
          <w:sz w:val="24"/>
          <w:szCs w:val="24"/>
          <w:highlight w:val="none"/>
        </w:rPr>
        <w:t>、造</w:t>
      </w:r>
      <w:r>
        <w:rPr>
          <w:rFonts w:hint="eastAsia" w:cs="宋体" w:asciiTheme="minorEastAsia" w:hAnsiTheme="minorEastAsia" w:eastAsiaTheme="minorEastAsia"/>
          <w:color w:val="auto"/>
          <w:spacing w:val="-2"/>
          <w:sz w:val="24"/>
          <w:szCs w:val="24"/>
          <w:highlight w:val="none"/>
        </w:rPr>
        <w:t>价文件</w:t>
      </w:r>
      <w:r>
        <w:rPr>
          <w:rFonts w:hint="eastAsia" w:cs="宋体" w:asciiTheme="minorEastAsia" w:hAnsiTheme="minorEastAsia" w:eastAsiaTheme="minorEastAsia"/>
          <w:color w:val="auto"/>
          <w:spacing w:val="1"/>
          <w:sz w:val="24"/>
          <w:szCs w:val="24"/>
          <w:highlight w:val="none"/>
        </w:rPr>
        <w:t>失实</w:t>
      </w:r>
      <w:r>
        <w:rPr>
          <w:rFonts w:hint="eastAsia" w:cs="宋体" w:asciiTheme="minorEastAsia" w:hAnsiTheme="minorEastAsia" w:eastAsiaTheme="minorEastAsia"/>
          <w:color w:val="auto"/>
          <w:sz w:val="24"/>
          <w:szCs w:val="24"/>
          <w:highlight w:val="none"/>
        </w:rPr>
        <w:t>较轻。</w:t>
      </w:r>
    </w:p>
    <w:p>
      <w:pPr>
        <w:autoSpaceDE w:val="0"/>
        <w:autoSpaceDN w:val="0"/>
        <w:spacing w:line="360" w:lineRule="auto"/>
        <w:ind w:firstLine="486"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1"/>
          <w:sz w:val="24"/>
          <w:szCs w:val="24"/>
          <w:highlight w:val="none"/>
        </w:rPr>
        <w:t>按照</w:t>
      </w:r>
      <w:r>
        <w:rPr>
          <w:rFonts w:hint="eastAsia" w:cs="宋体" w:asciiTheme="minorEastAsia" w:hAnsiTheme="minorEastAsia" w:eastAsiaTheme="minorEastAsia"/>
          <w:color w:val="auto"/>
          <w:sz w:val="24"/>
          <w:szCs w:val="24"/>
          <w:highlight w:val="none"/>
        </w:rPr>
        <w:t>专业具体分为：</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A</w:t>
      </w:r>
      <w:r>
        <w:rPr>
          <w:rFonts w:hint="eastAsia" w:cs="宋体" w:asciiTheme="minorEastAsia" w:hAnsiTheme="minorEastAsia" w:eastAsiaTheme="minorEastAsia"/>
          <w:color w:val="auto"/>
          <w:spacing w:val="1"/>
          <w:sz w:val="24"/>
          <w:szCs w:val="24"/>
          <w:highlight w:val="none"/>
        </w:rPr>
        <w:t>、容易修</w:t>
      </w:r>
      <w:r>
        <w:rPr>
          <w:rFonts w:hint="eastAsia" w:cs="宋体" w:asciiTheme="minorEastAsia" w:hAnsiTheme="minorEastAsia" w:eastAsiaTheme="minorEastAsia"/>
          <w:color w:val="auto"/>
          <w:sz w:val="24"/>
          <w:szCs w:val="24"/>
          <w:highlight w:val="none"/>
        </w:rPr>
        <w:t>正、且不造成使用或安全缺陷，但会给建设单位、施工单位带来麻烦，如：</w:t>
      </w:r>
    </w:p>
    <w:p>
      <w:pPr>
        <w:autoSpaceDE w:val="0"/>
        <w:autoSpaceDN w:val="0"/>
        <w:spacing w:line="360" w:lineRule="auto"/>
        <w:ind w:firstLine="470" w:firstLineChars="201"/>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pacing w:val="-3"/>
          <w:sz w:val="24"/>
          <w:szCs w:val="24"/>
          <w:highlight w:val="none"/>
        </w:rPr>
        <w:t>建筑、结构、水、暖、电各专业；图纸目录不全、表达不够清楚、平</w:t>
      </w:r>
      <w:r>
        <w:rPr>
          <w:rFonts w:hint="eastAsia" w:cs="宋体" w:asciiTheme="minorEastAsia" w:hAnsiTheme="minorEastAsia" w:eastAsiaTheme="minorEastAsia"/>
          <w:color w:val="auto"/>
          <w:spacing w:val="-2"/>
          <w:sz w:val="24"/>
          <w:szCs w:val="24"/>
          <w:highlight w:val="none"/>
        </w:rPr>
        <w:t>立剖面图不一致、一般</w:t>
      </w:r>
      <w:r>
        <w:rPr>
          <w:rFonts w:hint="eastAsia" w:cs="宋体" w:asciiTheme="minorEastAsia" w:hAnsiTheme="minorEastAsia" w:eastAsiaTheme="minorEastAsia"/>
          <w:color w:val="auto"/>
          <w:spacing w:val="-1"/>
          <w:sz w:val="24"/>
          <w:szCs w:val="24"/>
          <w:highlight w:val="none"/>
        </w:rPr>
        <w:t>性尺寸错</w:t>
      </w:r>
      <w:r>
        <w:rPr>
          <w:rFonts w:hint="eastAsia" w:cs="宋体" w:asciiTheme="minorEastAsia" w:hAnsiTheme="minorEastAsia" w:eastAsiaTheme="minorEastAsia"/>
          <w:color w:val="auto"/>
          <w:sz w:val="24"/>
          <w:szCs w:val="24"/>
          <w:highlight w:val="none"/>
        </w:rPr>
        <w:t>误或不全、图例或符号不合规定、平面图与系统图不一致等。又如：设计文件、计算书</w:t>
      </w:r>
      <w:r>
        <w:rPr>
          <w:rFonts w:hint="eastAsia" w:cs="宋体" w:asciiTheme="minorEastAsia" w:hAnsiTheme="minorEastAsia" w:eastAsiaTheme="minorEastAsia"/>
          <w:color w:val="auto"/>
          <w:spacing w:val="-1"/>
          <w:sz w:val="24"/>
          <w:szCs w:val="24"/>
          <w:highlight w:val="none"/>
        </w:rPr>
        <w:t>及存档材</w:t>
      </w:r>
      <w:r>
        <w:rPr>
          <w:rFonts w:hint="eastAsia" w:cs="宋体" w:asciiTheme="minorEastAsia" w:hAnsiTheme="minorEastAsia" w:eastAsiaTheme="minorEastAsia"/>
          <w:color w:val="auto"/>
          <w:sz w:val="24"/>
          <w:szCs w:val="24"/>
          <w:highlight w:val="none"/>
        </w:rPr>
        <w:t>料的完整性不够；设计说明、图纸目录不全、图例符号表达不合规定；系统图与平面图</w:t>
      </w:r>
      <w:r>
        <w:rPr>
          <w:rFonts w:hint="eastAsia" w:cs="宋体" w:asciiTheme="minorEastAsia" w:hAnsiTheme="minorEastAsia" w:eastAsiaTheme="minorEastAsia"/>
          <w:color w:val="auto"/>
          <w:spacing w:val="1"/>
          <w:sz w:val="24"/>
          <w:szCs w:val="24"/>
          <w:highlight w:val="none"/>
        </w:rPr>
        <w:t>的一致性</w:t>
      </w:r>
      <w:r>
        <w:rPr>
          <w:rFonts w:hint="eastAsia" w:cs="宋体" w:asciiTheme="minorEastAsia" w:hAnsiTheme="minorEastAsia" w:eastAsiaTheme="minorEastAsia"/>
          <w:color w:val="auto"/>
          <w:sz w:val="24"/>
          <w:szCs w:val="24"/>
          <w:highlight w:val="none"/>
        </w:rPr>
        <w:t>的错、漏、碰、缺等。</w:t>
      </w:r>
    </w:p>
    <w:p>
      <w:pPr>
        <w:autoSpaceDE w:val="0"/>
        <w:autoSpaceDN w:val="0"/>
        <w:spacing w:line="360" w:lineRule="auto"/>
        <w:ind w:firstLine="482" w:firstLineChars="201"/>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造价专业：提交给发包人的造价文件，经核查后，偏差大于±50%</w:t>
      </w:r>
      <w:r>
        <w:rPr>
          <w:rFonts w:hint="eastAsia" w:cs="宋体" w:asciiTheme="minorEastAsia" w:hAnsiTheme="minorEastAsia" w:eastAsiaTheme="minorEastAsia"/>
          <w:color w:val="auto"/>
          <w:spacing w:val="1"/>
          <w:sz w:val="24"/>
          <w:szCs w:val="24"/>
          <w:highlight w:val="none"/>
        </w:rPr>
        <w:t>的。</w:t>
      </w:r>
    </w:p>
    <w:p>
      <w:pPr>
        <w:spacing w:line="360" w:lineRule="auto"/>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B</w:t>
      </w:r>
      <w:r>
        <w:rPr>
          <w:rFonts w:hint="eastAsia" w:cs="宋体" w:asciiTheme="minorEastAsia" w:hAnsiTheme="minorEastAsia" w:eastAsiaTheme="minorEastAsia"/>
          <w:color w:val="auto"/>
          <w:spacing w:val="1"/>
          <w:sz w:val="24"/>
          <w:szCs w:val="24"/>
          <w:highlight w:val="none"/>
        </w:rPr>
        <w:t>、工种配</w:t>
      </w:r>
      <w:r>
        <w:rPr>
          <w:rFonts w:hint="eastAsia" w:cs="宋体" w:asciiTheme="minorEastAsia" w:hAnsiTheme="minorEastAsia" w:eastAsiaTheme="minorEastAsia"/>
          <w:color w:val="auto"/>
          <w:sz w:val="24"/>
          <w:szCs w:val="24"/>
          <w:highlight w:val="none"/>
        </w:rPr>
        <w:t>合中的一般性错误，容易修正，且不致造成影响使用效果或安全。</w:t>
      </w:r>
    </w:p>
    <w:p>
      <w:pPr>
        <w:spacing w:line="360" w:lineRule="auto"/>
        <w:rPr>
          <w:rFonts w:cs="宋体" w:asciiTheme="minorEastAsia" w:hAnsiTheme="minorEastAsia" w:eastAsiaTheme="minorEastAsia"/>
          <w:b/>
          <w:strike/>
          <w:color w:val="auto"/>
          <w:sz w:val="24"/>
          <w:szCs w:val="24"/>
          <w:highlight w:val="none"/>
        </w:rPr>
      </w:pPr>
    </w:p>
    <w:p>
      <w:pPr>
        <w:spacing w:line="440" w:lineRule="exact"/>
        <w:rPr>
          <w:rFonts w:eastAsia="仿宋_GB2312"/>
          <w:color w:val="auto"/>
          <w:sz w:val="30"/>
          <w:szCs w:val="30"/>
          <w:highlight w:val="none"/>
        </w:rPr>
      </w:pPr>
      <w:r>
        <w:rPr>
          <w:rFonts w:hint="eastAsia" w:asciiTheme="minorEastAsia" w:hAnsiTheme="minorEastAsia" w:eastAsiaTheme="minorEastAsia"/>
          <w:b/>
          <w:color w:val="auto"/>
          <w:sz w:val="24"/>
          <w:szCs w:val="24"/>
          <w:highlight w:val="none"/>
        </w:rPr>
        <w:br w:type="page"/>
      </w:r>
      <w:r>
        <w:rPr>
          <w:rFonts w:hint="eastAsia" w:asciiTheme="minorEastAsia" w:hAnsiTheme="minorEastAsia" w:eastAsiaTheme="minorEastAsia"/>
          <w:b/>
          <w:color w:val="auto"/>
          <w:sz w:val="24"/>
          <w:szCs w:val="24"/>
          <w:highlight w:val="none"/>
        </w:rPr>
        <w:t>附件6：</w:t>
      </w:r>
      <w:r>
        <w:rPr>
          <w:rFonts w:hint="eastAsia" w:eastAsia="仿宋_GB2312"/>
          <w:color w:val="auto"/>
          <w:sz w:val="30"/>
          <w:szCs w:val="30"/>
          <w:highlight w:val="none"/>
        </w:rPr>
        <w:t> </w:t>
      </w:r>
      <w:r>
        <w:rPr>
          <w:rFonts w:hint="eastAsia" w:asciiTheme="minorEastAsia" w:hAnsiTheme="minorEastAsia" w:eastAsiaTheme="minorEastAsia"/>
          <w:b/>
          <w:color w:val="auto"/>
          <w:sz w:val="24"/>
          <w:szCs w:val="24"/>
          <w:highlight w:val="none"/>
        </w:rPr>
        <w:t>廉政合同</w:t>
      </w:r>
      <w:r>
        <w:rPr>
          <w:rFonts w:hint="eastAsia" w:eastAsia="仿宋_GB2312"/>
          <w:color w:val="auto"/>
          <w:sz w:val="30"/>
          <w:szCs w:val="30"/>
          <w:highlight w:val="none"/>
        </w:rPr>
        <w:t> </w:t>
      </w:r>
    </w:p>
    <w:p>
      <w:pPr>
        <w:rPr>
          <w:color w:val="auto"/>
          <w:highlight w:val="none"/>
        </w:rPr>
      </w:pPr>
      <w:r>
        <w:rPr>
          <w:rFonts w:hint="eastAsia"/>
          <w:color w:val="auto"/>
          <w:highlight w:val="none"/>
        </w:rPr>
        <w:t>  </w:t>
      </w:r>
    </w:p>
    <w:p>
      <w:pPr>
        <w:adjustRightInd w:val="0"/>
        <w:snapToGrid w:val="0"/>
        <w:spacing w:line="300" w:lineRule="exact"/>
        <w:jc w:val="center"/>
        <w:outlineLvl w:val="1"/>
        <w:rPr>
          <w:rFonts w:ascii="宋体" w:hAnsi="宋体"/>
          <w:b/>
          <w:snapToGrid w:val="0"/>
          <w:color w:val="auto"/>
          <w:kern w:val="0"/>
          <w:sz w:val="32"/>
          <w:szCs w:val="32"/>
          <w:highlight w:val="none"/>
        </w:rPr>
      </w:pPr>
      <w:r>
        <w:rPr>
          <w:rFonts w:hint="eastAsia" w:ascii="宋体" w:hAnsi="宋体"/>
          <w:b/>
          <w:snapToGrid w:val="0"/>
          <w:color w:val="auto"/>
          <w:kern w:val="0"/>
          <w:sz w:val="32"/>
          <w:szCs w:val="32"/>
          <w:highlight w:val="none"/>
        </w:rPr>
        <w:t>廉洁合同</w:t>
      </w:r>
    </w:p>
    <w:p>
      <w:pPr>
        <w:adjustRightInd w:val="0"/>
        <w:snapToGrid w:val="0"/>
        <w:spacing w:line="300" w:lineRule="exact"/>
        <w:rPr>
          <w:rFonts w:ascii="宋体" w:hAnsi="宋体"/>
          <w:snapToGrid w:val="0"/>
          <w:color w:val="auto"/>
          <w:kern w:val="0"/>
          <w:szCs w:val="32"/>
          <w:highlight w:val="none"/>
        </w:rPr>
      </w:pPr>
    </w:p>
    <w:p>
      <w:pPr>
        <w:adjustRightInd w:val="0"/>
        <w:snapToGrid w:val="0"/>
        <w:spacing w:line="300" w:lineRule="exact"/>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甲方（发包人）：</w:t>
      </w:r>
      <w:r>
        <w:rPr>
          <w:rFonts w:hint="eastAsia" w:ascii="宋体" w:hAnsi="宋体"/>
          <w:snapToGrid w:val="0"/>
          <w:color w:val="auto"/>
          <w:kern w:val="0"/>
          <w:sz w:val="24"/>
          <w:szCs w:val="24"/>
          <w:highlight w:val="none"/>
          <w:u w:val="single"/>
        </w:rPr>
        <w:t>广东省代建项目管理局</w:t>
      </w:r>
    </w:p>
    <w:p>
      <w:pPr>
        <w:adjustRightInd w:val="0"/>
        <w:snapToGrid w:val="0"/>
        <w:spacing w:line="300" w:lineRule="exact"/>
        <w:rPr>
          <w:rFonts w:ascii="宋体" w:hAnsi="宋体"/>
          <w:snapToGrid w:val="0"/>
          <w:color w:val="auto"/>
          <w:kern w:val="0"/>
          <w:sz w:val="24"/>
          <w:szCs w:val="24"/>
          <w:highlight w:val="none"/>
          <w:u w:val="single"/>
        </w:rPr>
      </w:pPr>
      <w:r>
        <w:rPr>
          <w:rFonts w:hint="eastAsia" w:ascii="宋体" w:hAnsi="宋体"/>
          <w:snapToGrid w:val="0"/>
          <w:color w:val="auto"/>
          <w:kern w:val="0"/>
          <w:sz w:val="24"/>
          <w:szCs w:val="24"/>
          <w:highlight w:val="none"/>
        </w:rPr>
        <w:t>乙方（承包人）：</w:t>
      </w: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为切实规范甲乙双方的各项建筑活动，预防本工程违法违纪等腐败现象的发生，保障工程建设优质、安全和廉洁，根据</w:t>
      </w:r>
      <w:r>
        <w:rPr>
          <w:rFonts w:hint="eastAsia"/>
          <w:color w:val="auto"/>
          <w:sz w:val="24"/>
          <w:highlight w:val="none"/>
        </w:rPr>
        <w:t>国家</w:t>
      </w:r>
      <w:r>
        <w:rPr>
          <w:rFonts w:hint="eastAsia" w:ascii="宋体" w:hAnsi="宋体"/>
          <w:snapToGrid w:val="0"/>
          <w:color w:val="auto"/>
          <w:kern w:val="0"/>
          <w:sz w:val="24"/>
          <w:szCs w:val="24"/>
          <w:highlight w:val="none"/>
        </w:rPr>
        <w:t>和省、市</w:t>
      </w:r>
      <w:r>
        <w:rPr>
          <w:rFonts w:hint="eastAsia"/>
          <w:color w:val="auto"/>
          <w:sz w:val="24"/>
          <w:highlight w:val="none"/>
        </w:rPr>
        <w:t>工程建设相关法律法规和廉政建设责任制规定</w:t>
      </w:r>
      <w:r>
        <w:rPr>
          <w:rFonts w:hint="eastAsia" w:ascii="宋体" w:hAnsi="宋体"/>
          <w:color w:val="auto"/>
          <w:sz w:val="24"/>
          <w:highlight w:val="none"/>
        </w:rPr>
        <w:t>，特订立协议书。</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第一条 甲乙双方责任</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（一）严格遵守国家和省、市有关法律法规、相关政策，以及廉政建设的各项约定。</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（二）严格执行建设工程项目承发包合同文件，自觉按合同办事。</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三）建筑活动必须坚持公开、公平、公正、诚信、透明的原则（除法律法规另有规定者外），不得为获取不正当的利益，损害国家、集体和对方利益，不得违反国家、省、市和甲方有关工程建设管理的规章制度。</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（四）发现对方在建筑活动中存在违规、违纪、违法行为的，有权向其上级主管部门或纪检监察、检察等有关机关举报。</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（五）甲乙双方单位监督部门应充分发挥各自职能作用，积极互动形成纵向监督合力，依照本协议书规定，对本工程廉洁从业情况实施监督，及时制止不廉洁行为的发生。</w:t>
      </w:r>
    </w:p>
    <w:p>
      <w:pPr>
        <w:adjustRightInd w:val="0"/>
        <w:snapToGrid w:val="0"/>
        <w:spacing w:line="300" w:lineRule="exact"/>
        <w:ind w:firstLine="470" w:firstLineChars="196"/>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第二条 甲方责任</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甲方领导干部和从事该工程建设的管理人员，在建筑活动中须严格遵守以下廉洁从业规定：</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1.不准向乙方和相关单位或个人索取钱物或接受回扣、礼金、各种有价证券、信用卡和好处费、感谢费以及其它支付凭证等。</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2.不准接受可能影响公正执行公务的乙方和相关单位或个人的礼物馈赠、宴请、各种形式俱乐部会员资格、高消费娱乐活动。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3.不准在乙方和相关单位报销任何应由甲方或个人负担的费用。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4.不准要求、暗示或接受乙方和相关单位或个人为自己、配偶、子女、其他亲属朋友及身边工作人员的装修住房、婚丧嫁娶、工作安排、学习培训、经商办企业以及出国（境）、旅游、度假等支付费用。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5.不准向乙方介绍配偶、子女、其他亲属朋友及身边工作人员参与同甲方项目工程合同有关的设备、材料、工程分包、劳务等经济活动。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6.不得以任何理由向乙方和相关单位推荐分包单位和要求或暗示乙方购买项目工程合同规定外的材料、设备等。</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第三条 乙方责任</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与甲方保持正常的业务交往，遵守以下规定：</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1.不准以任何理由向甲方人员行贿或赠送回扣、礼金、各种有价证券、信用卡和好处费、感谢费及其它支付凭证等。</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2.不准以任何理由为甲方人员组织有可能影响公正执行公务的宴请、各种形式俱乐部及高消费娱乐等活动。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3.不准以任何理由为甲方或个人报销应由对方或个人支付的费用。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4.不准暗示或要求为甲方人员及其配偶、子女、其他亲属朋友及身边工作人员的装修住房、婚丧嫁娶、工作安排、学习培训、经商办企业以及出国（境）、旅游、度假提供方便和支付费用。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5.不准介绍和安排甲方人员及其配偶、子女、其他亲属朋友及身边工作人员参与同甲方工程项目有关的设备、材料、工程分包、劳务等经济活动。</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ascii="宋体" w:hAnsi="宋体" w:cs="宋体"/>
          <w:color w:val="auto"/>
          <w:sz w:val="24"/>
          <w:szCs w:val="24"/>
          <w:highlight w:val="none"/>
        </w:rPr>
        <w:t>6.乙方不得与甲方及其工作人员亲属经营的企业存在业务关联或利益输送。</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第四条 违约责任</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（一）甲方违约责任</w:t>
      </w:r>
    </w:p>
    <w:p>
      <w:pPr>
        <w:adjustRightInd w:val="0"/>
        <w:snapToGrid w:val="0"/>
        <w:spacing w:line="300" w:lineRule="exact"/>
        <w:ind w:firstLine="480" w:firstLineChars="200"/>
        <w:rPr>
          <w:rFonts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1.甲方</w:t>
      </w:r>
      <w:r>
        <w:rPr>
          <w:rFonts w:hint="eastAsia" w:ascii="宋体" w:hAnsi="宋体"/>
          <w:bCs/>
          <w:snapToGrid w:val="0"/>
          <w:color w:val="auto"/>
          <w:kern w:val="0"/>
          <w:sz w:val="24"/>
          <w:szCs w:val="24"/>
          <w:highlight w:val="none"/>
        </w:rPr>
        <w:t>不履行或不完全履行本协议书有关责任义务给乙方造成损失的，在乙方提交足够证据并经查证属实的情况下，甲方赔偿其直接经济损失。</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2.甲方人员出现受贿等严重违法违纪违规行为的，按照管理权限，依据有关法律法规和规定给予党纪、政纪处分或组织处理；涉嫌犯罪的，移交司法机关追究刑事责任。</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（二）乙方违约责任</w:t>
      </w:r>
    </w:p>
    <w:p>
      <w:pPr>
        <w:adjustRightInd w:val="0"/>
        <w:snapToGrid w:val="0"/>
        <w:spacing w:line="300" w:lineRule="exact"/>
        <w:ind w:firstLine="480" w:firstLineChars="200"/>
        <w:rPr>
          <w:rFonts w:ascii="宋体" w:hAnsi="宋体"/>
          <w:bCs/>
          <w:snapToGrid w:val="0"/>
          <w:color w:val="auto"/>
          <w:kern w:val="0"/>
          <w:sz w:val="24"/>
          <w:szCs w:val="24"/>
          <w:highlight w:val="none"/>
        </w:rPr>
      </w:pPr>
      <w:r>
        <w:rPr>
          <w:rFonts w:hint="eastAsia" w:ascii="宋体" w:hAnsi="宋体"/>
          <w:snapToGrid w:val="0"/>
          <w:color w:val="auto"/>
          <w:kern w:val="0"/>
          <w:sz w:val="24"/>
          <w:szCs w:val="24"/>
          <w:highlight w:val="none"/>
        </w:rPr>
        <w:t>1.</w:t>
      </w:r>
      <w:r>
        <w:rPr>
          <w:rFonts w:hint="eastAsia" w:ascii="宋体" w:hAnsi="宋体"/>
          <w:bCs/>
          <w:snapToGrid w:val="0"/>
          <w:color w:val="auto"/>
          <w:kern w:val="0"/>
          <w:sz w:val="24"/>
          <w:szCs w:val="24"/>
          <w:highlight w:val="none"/>
        </w:rPr>
        <w:t>乙方不履行或不完全履行本协议书有关责任义务的，</w:t>
      </w:r>
      <w:r>
        <w:rPr>
          <w:rFonts w:hint="eastAsia" w:ascii="宋体" w:hAnsi="宋体"/>
          <w:snapToGrid w:val="0"/>
          <w:color w:val="auto"/>
          <w:kern w:val="0"/>
          <w:sz w:val="24"/>
          <w:szCs w:val="24"/>
          <w:highlight w:val="none"/>
        </w:rPr>
        <w:t>按本工程合同</w:t>
      </w:r>
      <w:r>
        <w:rPr>
          <w:rFonts w:hint="eastAsia" w:ascii="宋体" w:hAnsi="宋体"/>
          <w:bCs/>
          <w:snapToGrid w:val="0"/>
          <w:color w:val="auto"/>
          <w:kern w:val="0"/>
          <w:sz w:val="24"/>
          <w:szCs w:val="24"/>
          <w:highlight w:val="none"/>
        </w:rPr>
        <w:t>规定须承担一次一般违约责任。情节较轻的，可给予书面警告；情节较重的，须承担一次严重违约责任。</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bCs/>
          <w:snapToGrid w:val="0"/>
          <w:color w:val="auto"/>
          <w:kern w:val="0"/>
          <w:sz w:val="24"/>
          <w:szCs w:val="24"/>
          <w:highlight w:val="none"/>
        </w:rPr>
        <w:t>2.乙方</w:t>
      </w:r>
      <w:r>
        <w:rPr>
          <w:rFonts w:hint="eastAsia" w:ascii="宋体" w:hAnsi="宋体"/>
          <w:snapToGrid w:val="0"/>
          <w:color w:val="auto"/>
          <w:kern w:val="0"/>
          <w:sz w:val="24"/>
          <w:szCs w:val="24"/>
          <w:highlight w:val="none"/>
        </w:rPr>
        <w:t>出现严重违法违纪违规行为的，甲方将上报检察或监察机关依法查处，并提请建设行政主管部门根据相关规定给予限制或者取消其从事建筑活动的资格等处罚。</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第五条 本协议书作为工程</w:t>
      </w:r>
      <w:r>
        <w:rPr>
          <w:rFonts w:hint="eastAsia" w:ascii="宋体" w:hAnsi="宋体"/>
          <w:strike/>
          <w:snapToGrid w:val="0"/>
          <w:color w:val="auto"/>
          <w:kern w:val="0"/>
          <w:sz w:val="24"/>
          <w:szCs w:val="24"/>
          <w:highlight w:val="none"/>
        </w:rPr>
        <w:t>勘察</w:t>
      </w:r>
      <w:r>
        <w:rPr>
          <w:rFonts w:hint="eastAsia" w:ascii="宋体" w:hAnsi="宋体"/>
          <w:snapToGrid w:val="0"/>
          <w:color w:val="auto"/>
          <w:kern w:val="0"/>
          <w:sz w:val="24"/>
          <w:szCs w:val="24"/>
          <w:highlight w:val="none"/>
        </w:rPr>
        <w:t>设计合同的附件，与工程</w:t>
      </w:r>
      <w:r>
        <w:rPr>
          <w:rFonts w:hint="eastAsia" w:ascii="宋体" w:hAnsi="宋体"/>
          <w:strike/>
          <w:snapToGrid w:val="0"/>
          <w:color w:val="auto"/>
          <w:kern w:val="0"/>
          <w:sz w:val="24"/>
          <w:szCs w:val="24"/>
          <w:highlight w:val="none"/>
        </w:rPr>
        <w:t>勘察</w:t>
      </w:r>
      <w:r>
        <w:rPr>
          <w:rFonts w:hint="eastAsia" w:ascii="宋体" w:hAnsi="宋体"/>
          <w:snapToGrid w:val="0"/>
          <w:color w:val="auto"/>
          <w:kern w:val="0"/>
          <w:sz w:val="24"/>
          <w:szCs w:val="24"/>
          <w:highlight w:val="none"/>
        </w:rPr>
        <w:t>设计合同具有同等法律效力。经双方签字盖章后生效。</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第六条 本协议书有效期为双方签字盖章之日起至所属工程项目</w:t>
      </w:r>
      <w:r>
        <w:rPr>
          <w:rFonts w:hint="eastAsia" w:ascii="宋体" w:hAnsi="宋体"/>
          <w:strike/>
          <w:snapToGrid w:val="0"/>
          <w:color w:val="auto"/>
          <w:kern w:val="0"/>
          <w:sz w:val="24"/>
          <w:szCs w:val="24"/>
          <w:highlight w:val="none"/>
        </w:rPr>
        <w:t>勘察</w:t>
      </w:r>
      <w:r>
        <w:rPr>
          <w:rFonts w:hint="eastAsia" w:ascii="宋体" w:hAnsi="宋体"/>
          <w:snapToGrid w:val="0"/>
          <w:color w:val="auto"/>
          <w:kern w:val="0"/>
          <w:sz w:val="24"/>
          <w:szCs w:val="24"/>
          <w:highlight w:val="none"/>
        </w:rPr>
        <w:t>设计合同履行完毕时止。</w:t>
      </w:r>
    </w:p>
    <w:p>
      <w:pPr>
        <w:adjustRightInd w:val="0"/>
        <w:snapToGrid w:val="0"/>
        <w:spacing w:line="300" w:lineRule="exact"/>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第七条 未尽事宜，由双方协商解决。</w:t>
      </w: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ind w:firstLine="1500"/>
        <w:rPr>
          <w:rFonts w:ascii="宋体" w:hAnsi="宋体"/>
          <w:snapToGrid w:val="0"/>
          <w:color w:val="auto"/>
          <w:kern w:val="0"/>
          <w:sz w:val="24"/>
          <w:szCs w:val="24"/>
          <w:highlight w:val="none"/>
        </w:rPr>
      </w:pPr>
      <w:r>
        <w:rPr>
          <w:rFonts w:hint="eastAsia" w:ascii="宋体" w:hAnsi="宋体"/>
          <w:snapToGrid w:val="0"/>
          <w:color w:val="auto"/>
          <w:spacing w:val="-20"/>
          <w:kern w:val="0"/>
          <w:sz w:val="24"/>
          <w:szCs w:val="24"/>
          <w:highlight w:val="none"/>
        </w:rPr>
        <w:t>甲方：                                                  乙方：</w:t>
      </w:r>
    </w:p>
    <w:p>
      <w:pPr>
        <w:adjustRightInd w:val="0"/>
        <w:snapToGrid w:val="0"/>
        <w:spacing w:line="300" w:lineRule="exact"/>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（盖章）                            （盖章）</w:t>
      </w: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法定代表人：                          法定代表人：</w:t>
      </w: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或委托代理人：                         或委托代理人：</w:t>
      </w: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p>
    <w:p>
      <w:pPr>
        <w:adjustRightInd w:val="0"/>
        <w:snapToGrid w:val="0"/>
        <w:spacing w:line="300" w:lineRule="exact"/>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20  年  月  日                       20  年  月  日</w:t>
      </w:r>
    </w:p>
    <w:p>
      <w:pPr>
        <w:adjustRightInd w:val="0"/>
        <w:snapToGrid w:val="0"/>
        <w:spacing w:line="360" w:lineRule="auto"/>
        <w:rPr>
          <w:rFonts w:ascii="宋体" w:hAnsi="宋体"/>
          <w:snapToGrid w:val="0"/>
          <w:color w:val="auto"/>
          <w:kern w:val="0"/>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p>
    <w:p>
      <w:pPr>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附件</w:t>
      </w:r>
      <w:r>
        <w:rPr>
          <w:rFonts w:hint="eastAsia" w:asciiTheme="minorEastAsia" w:hAnsiTheme="minorEastAsia" w:eastAsiaTheme="minorEastAsia"/>
          <w:b/>
          <w:color w:val="auto"/>
          <w:sz w:val="24"/>
          <w:szCs w:val="24"/>
          <w:highlight w:val="none"/>
        </w:rPr>
        <w:t xml:space="preserve">7：银行保函格式              </w:t>
      </w:r>
    </w:p>
    <w:p>
      <w:pPr>
        <w:adjustRightInd w:val="0"/>
        <w:snapToGrid w:val="0"/>
        <w:spacing w:line="360" w:lineRule="auto"/>
        <w:ind w:firstLine="482" w:firstLineChars="200"/>
        <w:jc w:val="center"/>
        <w:rPr>
          <w:rFonts w:cs="宋体" w:asciiTheme="minorEastAsia" w:hAnsiTheme="minorEastAsia" w:eastAsiaTheme="minorEastAsia"/>
          <w:b/>
          <w:color w:val="auto"/>
          <w:sz w:val="24"/>
          <w:szCs w:val="24"/>
          <w:highlight w:val="none"/>
        </w:rPr>
      </w:pPr>
      <w:r>
        <w:rPr>
          <w:rFonts w:hint="eastAsia" w:cs="宋体" w:asciiTheme="minorEastAsia" w:hAnsiTheme="minorEastAsia" w:eastAsiaTheme="minorEastAsia"/>
          <w:b/>
          <w:color w:val="auto"/>
          <w:sz w:val="24"/>
          <w:szCs w:val="24"/>
          <w:highlight w:val="none"/>
        </w:rPr>
        <w:t>（独立）履约保函</w:t>
      </w:r>
    </w:p>
    <w:p>
      <w:pPr>
        <w:adjustRightInd w:val="0"/>
        <w:snapToGrid w:val="0"/>
        <w:spacing w:line="360" w:lineRule="auto"/>
        <w:ind w:firstLine="480" w:firstLineChars="200"/>
        <w:jc w:val="right"/>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保函编号：</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p>
    <w:p>
      <w:pPr>
        <w:adjustRightInd w:val="0"/>
        <w:snapToGrid w:val="0"/>
        <w:spacing w:line="360" w:lineRule="auto"/>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致：广东省代建项目管理局</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鉴于****（下称“委托人”）在贵单位的*****项目中标，我行同意为委托人出具履约保函，为委托人履行****合同（以下称“合同”）担保，以使你方得到履约保函的保障。</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一、本保函为见索即付保函。我行保证在收到贵单位于保函担保期间内送达的依本保函约定的索赔文件后，在 7 个工作日内无条件和不可改变地向贵单位支付金额最高不超过人民币（币种）****元（大写）的履约担保金（索赔可分次索赔，累计金额不超过最高金额），并放弃向你方提出任何异议和追索的权利。</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二、贵单位的索赔文件应符合下述条件：</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（一）贵单位法定代表人或其授权代表签字并加盖单位公章；</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（二）在保函担保期间内送达我行；</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（三）明确的索赔金额（不得超过本保函第一条所列之限额）；</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（四）贵单位出具的委托人违约事项说明。</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三、本保函担保期间为 年 月 日至 年 月 日，除非你方提前终止或解除本保函，本保函于下述任一事项发生之时立即失效，我行在本保函项下的担保义务即刻解除：</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（一）本保函担保期间届满；</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（二）委托人履行了合同项下全部义务；</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（三）我行担保的义务履行完毕。</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五、保函失效后请将本保函退回我行注销。无论正本最终退回与否，不影响本保函依上述约定自动失效。</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六、本保函项下的所有权利和义务受中华人民共和国法律管辖和制约，我行在保函项下做出的付款承诺决不反悔。</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担保银行（公章）：              负责人（签章）：</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 xml:space="preserve">单位地址：                     传真： </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联系人：                       联系电话：</w:t>
      </w:r>
    </w:p>
    <w:p>
      <w:pPr>
        <w:adjustRightInd w:val="0"/>
        <w:snapToGrid w:val="0"/>
        <w:spacing w:line="360" w:lineRule="auto"/>
        <w:ind w:firstLine="480" w:firstLineChars="20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开立日期：     年     月    日</w:t>
      </w:r>
    </w:p>
    <w:p>
      <w:pPr>
        <w:widowControl/>
        <w:jc w:val="left"/>
        <w:rPr>
          <w:rFonts w:cs="宋体" w:asciiTheme="minorEastAsia" w:hAnsiTheme="minorEastAsia" w:eastAsiaTheme="minorEastAsia"/>
          <w:color w:val="auto"/>
          <w:sz w:val="24"/>
          <w:szCs w:val="24"/>
          <w:highlight w:val="none"/>
        </w:rPr>
      </w:pPr>
      <w:r>
        <w:rPr>
          <w:rFonts w:cs="宋体" w:asciiTheme="minorEastAsia" w:hAnsiTheme="minorEastAsia" w:eastAsiaTheme="minorEastAsia"/>
          <w:color w:val="auto"/>
          <w:sz w:val="24"/>
          <w:szCs w:val="24"/>
          <w:highlight w:val="none"/>
        </w:rPr>
        <w:br w:type="page"/>
      </w:r>
    </w:p>
    <w:p>
      <w:pPr>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附件8：</w:t>
      </w:r>
      <w:bookmarkStart w:id="176" w:name="_Hlk66807300"/>
      <w:r>
        <w:rPr>
          <w:rFonts w:hint="eastAsia" w:asciiTheme="minorEastAsia" w:hAnsiTheme="minorEastAsia" w:eastAsiaTheme="minorEastAsia"/>
          <w:b/>
          <w:color w:val="auto"/>
          <w:sz w:val="24"/>
          <w:szCs w:val="24"/>
          <w:highlight w:val="none"/>
        </w:rPr>
        <w:t>B</w:t>
      </w:r>
      <w:r>
        <w:rPr>
          <w:rFonts w:asciiTheme="minorEastAsia" w:hAnsiTheme="minorEastAsia" w:eastAsiaTheme="minorEastAsia"/>
          <w:b/>
          <w:color w:val="auto"/>
          <w:sz w:val="24"/>
          <w:szCs w:val="24"/>
          <w:highlight w:val="none"/>
        </w:rPr>
        <w:t>IM</w:t>
      </w:r>
      <w:r>
        <w:rPr>
          <w:rFonts w:hint="eastAsia" w:asciiTheme="minorEastAsia" w:hAnsiTheme="minorEastAsia" w:eastAsiaTheme="minorEastAsia"/>
          <w:b/>
          <w:color w:val="auto"/>
          <w:sz w:val="24"/>
          <w:szCs w:val="24"/>
          <w:highlight w:val="none"/>
        </w:rPr>
        <w:t>实施导则</w:t>
      </w:r>
      <w:r>
        <w:rPr>
          <w:rFonts w:asciiTheme="minorEastAsia" w:hAnsiTheme="minorEastAsia" w:eastAsiaTheme="minorEastAsia"/>
          <w:b/>
          <w:color w:val="auto"/>
          <w:sz w:val="24"/>
          <w:szCs w:val="24"/>
          <w:highlight w:val="none"/>
        </w:rPr>
        <w:fldChar w:fldCharType="begin"/>
      </w:r>
      <w:r>
        <w:rPr>
          <w:rFonts w:asciiTheme="minorEastAsia" w:hAnsiTheme="minorEastAsia" w:eastAsiaTheme="minorEastAsia"/>
          <w:b/>
          <w:color w:val="auto"/>
          <w:sz w:val="24"/>
          <w:szCs w:val="24"/>
          <w:highlight w:val="none"/>
        </w:rPr>
        <w:instrText xml:space="preserve">ADDIN CNKISM.UserStyle</w:instrText>
      </w:r>
      <w:r>
        <w:rPr>
          <w:rFonts w:asciiTheme="minorEastAsia" w:hAnsiTheme="minorEastAsia" w:eastAsiaTheme="minorEastAsia"/>
          <w:b/>
          <w:color w:val="auto"/>
          <w:sz w:val="24"/>
          <w:szCs w:val="24"/>
          <w:highlight w:val="none"/>
        </w:rPr>
        <w:fldChar w:fldCharType="end"/>
      </w:r>
    </w:p>
    <w:p>
      <w:pPr>
        <w:rPr>
          <w:color w:val="auto"/>
          <w:highlight w:val="none"/>
        </w:rPr>
      </w:pPr>
      <w:bookmarkStart w:id="177" w:name="_Hlk54541827"/>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B</w:t>
      </w:r>
      <w:r>
        <w:rPr>
          <w:rFonts w:ascii="仿宋" w:hAnsi="仿宋" w:eastAsia="仿宋"/>
          <w:color w:val="auto"/>
          <w:sz w:val="44"/>
          <w:szCs w:val="44"/>
          <w:highlight w:val="none"/>
        </w:rPr>
        <w:t>IM</w:t>
      </w:r>
      <w:r>
        <w:rPr>
          <w:rFonts w:hint="eastAsia" w:ascii="仿宋" w:hAnsi="仿宋" w:eastAsia="仿宋"/>
          <w:color w:val="auto"/>
          <w:sz w:val="44"/>
          <w:szCs w:val="44"/>
          <w:highlight w:val="none"/>
        </w:rPr>
        <w:t>实施导则</w:t>
      </w:r>
    </w:p>
    <w:p>
      <w:pPr>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2</w:t>
      </w:r>
      <w:r>
        <w:rPr>
          <w:rFonts w:ascii="仿宋" w:hAnsi="仿宋" w:eastAsia="仿宋"/>
          <w:color w:val="auto"/>
          <w:sz w:val="44"/>
          <w:szCs w:val="44"/>
          <w:highlight w:val="none"/>
        </w:rPr>
        <w:t>020</w:t>
      </w:r>
      <w:r>
        <w:rPr>
          <w:rFonts w:hint="eastAsia" w:ascii="仿宋" w:hAnsi="仿宋" w:eastAsia="仿宋"/>
          <w:color w:val="auto"/>
          <w:sz w:val="44"/>
          <w:szCs w:val="44"/>
          <w:highlight w:val="none"/>
        </w:rPr>
        <w:t>_V1.0版</w:t>
      </w: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rPr>
          <w:rFonts w:ascii="仿宋" w:hAnsi="仿宋" w:eastAsia="仿宋"/>
          <w:color w:val="auto"/>
          <w:sz w:val="44"/>
          <w:szCs w:val="44"/>
          <w:highlight w:val="none"/>
        </w:rPr>
      </w:pPr>
    </w:p>
    <w:p>
      <w:pPr>
        <w:jc w:val="center"/>
        <w:rPr>
          <w:rFonts w:ascii="仿宋" w:hAnsi="仿宋" w:eastAsia="仿宋"/>
          <w:color w:val="auto"/>
          <w:sz w:val="44"/>
          <w:szCs w:val="44"/>
          <w:highlight w:val="none"/>
        </w:rPr>
      </w:pPr>
      <w:r>
        <w:rPr>
          <w:rFonts w:hint="eastAsia" w:ascii="仿宋" w:hAnsi="仿宋" w:eastAsia="仿宋"/>
          <w:color w:val="auto"/>
          <w:sz w:val="44"/>
          <w:szCs w:val="44"/>
          <w:highlight w:val="none"/>
        </w:rPr>
        <w:t>广东省代建项目管理局</w:t>
      </w:r>
    </w:p>
    <w:p>
      <w:pPr>
        <w:jc w:val="center"/>
        <w:rPr>
          <w:rFonts w:ascii="仿宋" w:hAnsi="仿宋" w:eastAsia="仿宋"/>
          <w:color w:val="auto"/>
          <w:sz w:val="44"/>
          <w:szCs w:val="44"/>
          <w:highlight w:val="none"/>
        </w:rPr>
        <w:sectPr>
          <w:footerReference r:id="rId10" w:type="first"/>
          <w:footerReference r:id="rId9" w:type="default"/>
          <w:pgSz w:w="11905" w:h="16838"/>
          <w:pgMar w:top="1417" w:right="1417" w:bottom="1417" w:left="1417" w:header="720" w:footer="680" w:gutter="0"/>
          <w:pgNumType w:start="1"/>
          <w:cols w:space="720" w:num="1"/>
          <w:docGrid w:linePitch="286" w:charSpace="0"/>
        </w:sectPr>
      </w:pPr>
      <w:r>
        <w:rPr>
          <w:rFonts w:hint="eastAsia" w:ascii="仿宋" w:hAnsi="仿宋" w:eastAsia="仿宋"/>
          <w:color w:val="auto"/>
          <w:sz w:val="44"/>
          <w:szCs w:val="44"/>
          <w:highlight w:val="none"/>
        </w:rPr>
        <w:t>2020年10月</w:t>
      </w:r>
    </w:p>
    <w:p>
      <w:pPr>
        <w:rPr>
          <w:color w:val="auto"/>
          <w:highlight w:val="none"/>
        </w:rPr>
      </w:pPr>
      <w:bookmarkStart w:id="178" w:name="_Toc26294"/>
      <w:bookmarkStart w:id="179" w:name="_Toc29736"/>
      <w:bookmarkStart w:id="180" w:name="_Toc511603764"/>
      <w:bookmarkStart w:id="181" w:name="_Toc4047"/>
      <w:bookmarkStart w:id="182" w:name="_Toc31924"/>
      <w:bookmarkStart w:id="183" w:name="_Toc14514"/>
      <w:bookmarkStart w:id="184" w:name="_Toc30284"/>
      <w:bookmarkStart w:id="185" w:name="_Toc28267"/>
      <w:bookmarkStart w:id="186" w:name="_Toc9514"/>
      <w:bookmarkStart w:id="187" w:name="_Toc19204"/>
      <w:bookmarkStart w:id="188" w:name="_Toc18428"/>
      <w:r>
        <w:rPr>
          <w:rFonts w:hint="eastAsia"/>
          <w:color w:val="auto"/>
          <w:highlight w:val="none"/>
        </w:rPr>
        <w:t xml:space="preserve">目   </w:t>
      </w:r>
      <w:bookmarkEnd w:id="178"/>
      <w:bookmarkEnd w:id="179"/>
      <w:bookmarkEnd w:id="180"/>
      <w:bookmarkEnd w:id="181"/>
      <w:r>
        <w:rPr>
          <w:rFonts w:hint="eastAsia"/>
          <w:color w:val="auto"/>
          <w:highlight w:val="none"/>
        </w:rPr>
        <w:t>次</w:t>
      </w:r>
      <w:bookmarkEnd w:id="182"/>
      <w:bookmarkEnd w:id="183"/>
      <w:bookmarkEnd w:id="184"/>
      <w:bookmarkEnd w:id="185"/>
      <w:bookmarkEnd w:id="186"/>
      <w:bookmarkEnd w:id="187"/>
      <w:bookmarkEnd w:id="188"/>
    </w:p>
    <w:p>
      <w:pPr>
        <w:rPr>
          <w:color w:val="auto"/>
          <w:highlight w:val="none"/>
        </w:rPr>
      </w:pPr>
      <w:r>
        <w:rPr>
          <w:color w:val="auto"/>
          <w:highlight w:val="none"/>
        </w:rPr>
        <w:fldChar w:fldCharType="begin"/>
      </w:r>
      <w:r>
        <w:rPr>
          <w:color w:val="auto"/>
          <w:highlight w:val="none"/>
        </w:rPr>
        <w:instrText xml:space="preserve"> TOC \o "1-2" \u </w:instrText>
      </w:r>
      <w:r>
        <w:rPr>
          <w:color w:val="auto"/>
          <w:highlight w:val="none"/>
        </w:rPr>
        <w:fldChar w:fldCharType="separate"/>
      </w:r>
      <w:r>
        <w:rPr>
          <w:color w:val="auto"/>
          <w:highlight w:val="none"/>
        </w:rPr>
        <w:t>1 模型体现及应用点</w:t>
      </w:r>
      <w:r>
        <w:rPr>
          <w:color w:val="auto"/>
          <w:highlight w:val="none"/>
        </w:rPr>
        <w:tab/>
      </w:r>
      <w:r>
        <w:rPr>
          <w:color w:val="auto"/>
          <w:highlight w:val="none"/>
        </w:rPr>
        <w:fldChar w:fldCharType="begin"/>
      </w:r>
      <w:r>
        <w:rPr>
          <w:color w:val="auto"/>
          <w:highlight w:val="none"/>
        </w:rPr>
        <w:instrText xml:space="preserve"> PAGEREF _Toc62460186 \h </w:instrText>
      </w:r>
      <w:r>
        <w:rPr>
          <w:color w:val="auto"/>
          <w:highlight w:val="none"/>
        </w:rPr>
        <w:fldChar w:fldCharType="separate"/>
      </w:r>
      <w:r>
        <w:rPr>
          <w:color w:val="auto"/>
          <w:highlight w:val="none"/>
        </w:rPr>
        <w:t>94</w:t>
      </w:r>
      <w:r>
        <w:rPr>
          <w:color w:val="auto"/>
          <w:highlight w:val="none"/>
        </w:rPr>
        <w:fldChar w:fldCharType="end"/>
      </w:r>
    </w:p>
    <w:p>
      <w:pPr>
        <w:rPr>
          <w:color w:val="auto"/>
          <w:highlight w:val="none"/>
        </w:rPr>
      </w:pPr>
      <w:r>
        <w:rPr>
          <w:color w:val="auto"/>
          <w:highlight w:val="none"/>
        </w:rPr>
        <w:t>1.1 BIM模型阶段化体现</w:t>
      </w:r>
      <w:r>
        <w:rPr>
          <w:color w:val="auto"/>
          <w:highlight w:val="none"/>
        </w:rPr>
        <w:tab/>
      </w:r>
      <w:r>
        <w:rPr>
          <w:color w:val="auto"/>
          <w:highlight w:val="none"/>
        </w:rPr>
        <w:fldChar w:fldCharType="begin"/>
      </w:r>
      <w:r>
        <w:rPr>
          <w:color w:val="auto"/>
          <w:highlight w:val="none"/>
        </w:rPr>
        <w:instrText xml:space="preserve"> PAGEREF _Toc62460187 \h </w:instrText>
      </w:r>
      <w:r>
        <w:rPr>
          <w:color w:val="auto"/>
          <w:highlight w:val="none"/>
        </w:rPr>
        <w:fldChar w:fldCharType="separate"/>
      </w:r>
      <w:r>
        <w:rPr>
          <w:color w:val="auto"/>
          <w:highlight w:val="none"/>
        </w:rPr>
        <w:t>94</w:t>
      </w:r>
      <w:r>
        <w:rPr>
          <w:color w:val="auto"/>
          <w:highlight w:val="none"/>
        </w:rPr>
        <w:fldChar w:fldCharType="end"/>
      </w:r>
    </w:p>
    <w:p>
      <w:pPr>
        <w:rPr>
          <w:color w:val="auto"/>
          <w:highlight w:val="none"/>
        </w:rPr>
      </w:pPr>
      <w:r>
        <w:rPr>
          <w:color w:val="auto"/>
          <w:highlight w:val="none"/>
        </w:rPr>
        <w:t>1.2 BIM模型阶段应用点分析</w:t>
      </w:r>
      <w:r>
        <w:rPr>
          <w:color w:val="auto"/>
          <w:highlight w:val="none"/>
        </w:rPr>
        <w:tab/>
      </w:r>
      <w:r>
        <w:rPr>
          <w:color w:val="auto"/>
          <w:highlight w:val="none"/>
        </w:rPr>
        <w:fldChar w:fldCharType="begin"/>
      </w:r>
      <w:r>
        <w:rPr>
          <w:color w:val="auto"/>
          <w:highlight w:val="none"/>
        </w:rPr>
        <w:instrText xml:space="preserve"> PAGEREF _Toc62460188 \h </w:instrText>
      </w:r>
      <w:r>
        <w:rPr>
          <w:color w:val="auto"/>
          <w:highlight w:val="none"/>
        </w:rPr>
        <w:fldChar w:fldCharType="separate"/>
      </w:r>
      <w:r>
        <w:rPr>
          <w:color w:val="auto"/>
          <w:highlight w:val="none"/>
        </w:rPr>
        <w:t>94</w:t>
      </w:r>
      <w:r>
        <w:rPr>
          <w:color w:val="auto"/>
          <w:highlight w:val="none"/>
        </w:rPr>
        <w:fldChar w:fldCharType="end"/>
      </w:r>
    </w:p>
    <w:p>
      <w:pPr>
        <w:rPr>
          <w:color w:val="auto"/>
          <w:highlight w:val="none"/>
        </w:rPr>
      </w:pPr>
      <w:r>
        <w:rPr>
          <w:color w:val="auto"/>
          <w:highlight w:val="none"/>
        </w:rPr>
        <w:t>2 BIM模型实施管理</w:t>
      </w:r>
      <w:r>
        <w:rPr>
          <w:color w:val="auto"/>
          <w:highlight w:val="none"/>
        </w:rPr>
        <w:tab/>
      </w:r>
      <w:r>
        <w:rPr>
          <w:color w:val="auto"/>
          <w:highlight w:val="none"/>
        </w:rPr>
        <w:fldChar w:fldCharType="begin"/>
      </w:r>
      <w:r>
        <w:rPr>
          <w:color w:val="auto"/>
          <w:highlight w:val="none"/>
        </w:rPr>
        <w:instrText xml:space="preserve"> PAGEREF _Toc62460189 \h </w:instrText>
      </w:r>
      <w:r>
        <w:rPr>
          <w:color w:val="auto"/>
          <w:highlight w:val="none"/>
        </w:rPr>
        <w:fldChar w:fldCharType="separate"/>
      </w:r>
      <w:r>
        <w:rPr>
          <w:color w:val="auto"/>
          <w:highlight w:val="none"/>
        </w:rPr>
        <w:t>99</w:t>
      </w:r>
      <w:r>
        <w:rPr>
          <w:color w:val="auto"/>
          <w:highlight w:val="none"/>
        </w:rPr>
        <w:fldChar w:fldCharType="end"/>
      </w:r>
    </w:p>
    <w:p>
      <w:pPr>
        <w:rPr>
          <w:color w:val="auto"/>
          <w:highlight w:val="none"/>
        </w:rPr>
      </w:pPr>
      <w:r>
        <w:rPr>
          <w:color w:val="auto"/>
          <w:highlight w:val="none"/>
        </w:rPr>
        <w:t>2.1 项目文档管理</w:t>
      </w:r>
      <w:r>
        <w:rPr>
          <w:color w:val="auto"/>
          <w:highlight w:val="none"/>
        </w:rPr>
        <w:tab/>
      </w:r>
      <w:r>
        <w:rPr>
          <w:color w:val="auto"/>
          <w:highlight w:val="none"/>
        </w:rPr>
        <w:fldChar w:fldCharType="begin"/>
      </w:r>
      <w:r>
        <w:rPr>
          <w:color w:val="auto"/>
          <w:highlight w:val="none"/>
        </w:rPr>
        <w:instrText xml:space="preserve"> PAGEREF _Toc62460190 \h </w:instrText>
      </w:r>
      <w:r>
        <w:rPr>
          <w:color w:val="auto"/>
          <w:highlight w:val="none"/>
        </w:rPr>
        <w:fldChar w:fldCharType="separate"/>
      </w:r>
      <w:r>
        <w:rPr>
          <w:color w:val="auto"/>
          <w:highlight w:val="none"/>
        </w:rPr>
        <w:t>99</w:t>
      </w:r>
      <w:r>
        <w:rPr>
          <w:color w:val="auto"/>
          <w:highlight w:val="none"/>
        </w:rPr>
        <w:fldChar w:fldCharType="end"/>
      </w:r>
    </w:p>
    <w:p>
      <w:pPr>
        <w:rPr>
          <w:color w:val="auto"/>
          <w:highlight w:val="none"/>
        </w:rPr>
      </w:pPr>
      <w:r>
        <w:rPr>
          <w:color w:val="auto"/>
          <w:highlight w:val="none"/>
        </w:rPr>
        <w:t>2.2 模型命名管理</w:t>
      </w:r>
      <w:r>
        <w:rPr>
          <w:color w:val="auto"/>
          <w:highlight w:val="none"/>
        </w:rPr>
        <w:tab/>
      </w:r>
      <w:r>
        <w:rPr>
          <w:color w:val="auto"/>
          <w:highlight w:val="none"/>
        </w:rPr>
        <w:fldChar w:fldCharType="begin"/>
      </w:r>
      <w:r>
        <w:rPr>
          <w:color w:val="auto"/>
          <w:highlight w:val="none"/>
        </w:rPr>
        <w:instrText xml:space="preserve"> PAGEREF _Toc62460191 \h </w:instrText>
      </w:r>
      <w:r>
        <w:rPr>
          <w:color w:val="auto"/>
          <w:highlight w:val="none"/>
        </w:rPr>
        <w:fldChar w:fldCharType="separate"/>
      </w:r>
      <w:r>
        <w:rPr>
          <w:color w:val="auto"/>
          <w:highlight w:val="none"/>
        </w:rPr>
        <w:t>100</w:t>
      </w:r>
      <w:r>
        <w:rPr>
          <w:color w:val="auto"/>
          <w:highlight w:val="none"/>
        </w:rPr>
        <w:fldChar w:fldCharType="end"/>
      </w:r>
    </w:p>
    <w:p>
      <w:pPr>
        <w:rPr>
          <w:color w:val="auto"/>
          <w:highlight w:val="none"/>
        </w:rPr>
      </w:pPr>
      <w:r>
        <w:rPr>
          <w:color w:val="auto"/>
          <w:highlight w:val="none"/>
        </w:rPr>
        <w:t>2.3 模型拆分管理</w:t>
      </w:r>
      <w:r>
        <w:rPr>
          <w:color w:val="auto"/>
          <w:highlight w:val="none"/>
        </w:rPr>
        <w:tab/>
      </w:r>
      <w:r>
        <w:rPr>
          <w:color w:val="auto"/>
          <w:highlight w:val="none"/>
        </w:rPr>
        <w:fldChar w:fldCharType="begin"/>
      </w:r>
      <w:r>
        <w:rPr>
          <w:color w:val="auto"/>
          <w:highlight w:val="none"/>
        </w:rPr>
        <w:instrText xml:space="preserve"> PAGEREF _Toc62460192 \h </w:instrText>
      </w:r>
      <w:r>
        <w:rPr>
          <w:color w:val="auto"/>
          <w:highlight w:val="none"/>
        </w:rPr>
        <w:fldChar w:fldCharType="separate"/>
      </w:r>
      <w:r>
        <w:rPr>
          <w:color w:val="auto"/>
          <w:highlight w:val="none"/>
        </w:rPr>
        <w:t>102</w:t>
      </w:r>
      <w:r>
        <w:rPr>
          <w:color w:val="auto"/>
          <w:highlight w:val="none"/>
        </w:rPr>
        <w:fldChar w:fldCharType="end"/>
      </w:r>
    </w:p>
    <w:p>
      <w:pPr>
        <w:rPr>
          <w:color w:val="auto"/>
          <w:highlight w:val="none"/>
        </w:rPr>
      </w:pPr>
      <w:r>
        <w:rPr>
          <w:color w:val="auto"/>
          <w:highlight w:val="none"/>
        </w:rPr>
        <w:t>2.4 模型图形管理</w:t>
      </w:r>
      <w:r>
        <w:rPr>
          <w:color w:val="auto"/>
          <w:highlight w:val="none"/>
        </w:rPr>
        <w:tab/>
      </w:r>
      <w:r>
        <w:rPr>
          <w:color w:val="auto"/>
          <w:highlight w:val="none"/>
        </w:rPr>
        <w:fldChar w:fldCharType="begin"/>
      </w:r>
      <w:r>
        <w:rPr>
          <w:color w:val="auto"/>
          <w:highlight w:val="none"/>
        </w:rPr>
        <w:instrText xml:space="preserve"> PAGEREF _Toc62460193 \h </w:instrText>
      </w:r>
      <w:r>
        <w:rPr>
          <w:color w:val="auto"/>
          <w:highlight w:val="none"/>
        </w:rPr>
        <w:fldChar w:fldCharType="separate"/>
      </w:r>
      <w:r>
        <w:rPr>
          <w:color w:val="auto"/>
          <w:highlight w:val="none"/>
        </w:rPr>
        <w:t>102</w:t>
      </w:r>
      <w:r>
        <w:rPr>
          <w:color w:val="auto"/>
          <w:highlight w:val="none"/>
        </w:rPr>
        <w:fldChar w:fldCharType="end"/>
      </w:r>
    </w:p>
    <w:p>
      <w:pPr>
        <w:rPr>
          <w:color w:val="auto"/>
          <w:highlight w:val="none"/>
        </w:rPr>
      </w:pPr>
      <w:r>
        <w:rPr>
          <w:color w:val="auto"/>
          <w:highlight w:val="none"/>
        </w:rPr>
        <w:t>2.5 单位坐标设置</w:t>
      </w:r>
      <w:r>
        <w:rPr>
          <w:color w:val="auto"/>
          <w:highlight w:val="none"/>
        </w:rPr>
        <w:tab/>
      </w:r>
      <w:r>
        <w:rPr>
          <w:color w:val="auto"/>
          <w:highlight w:val="none"/>
        </w:rPr>
        <w:fldChar w:fldCharType="begin"/>
      </w:r>
      <w:r>
        <w:rPr>
          <w:color w:val="auto"/>
          <w:highlight w:val="none"/>
        </w:rPr>
        <w:instrText xml:space="preserve"> PAGEREF _Toc62460194 \h </w:instrText>
      </w:r>
      <w:r>
        <w:rPr>
          <w:color w:val="auto"/>
          <w:highlight w:val="none"/>
        </w:rPr>
        <w:fldChar w:fldCharType="separate"/>
      </w:r>
      <w:r>
        <w:rPr>
          <w:color w:val="auto"/>
          <w:highlight w:val="none"/>
        </w:rPr>
        <w:t>103</w:t>
      </w:r>
      <w:r>
        <w:rPr>
          <w:color w:val="auto"/>
          <w:highlight w:val="none"/>
        </w:rPr>
        <w:fldChar w:fldCharType="end"/>
      </w:r>
    </w:p>
    <w:p>
      <w:pPr>
        <w:rPr>
          <w:color w:val="auto"/>
          <w:highlight w:val="none"/>
        </w:rPr>
      </w:pPr>
      <w:r>
        <w:rPr>
          <w:color w:val="auto"/>
          <w:highlight w:val="none"/>
        </w:rPr>
        <w:t>2.6 模型信息管理</w:t>
      </w:r>
      <w:r>
        <w:rPr>
          <w:color w:val="auto"/>
          <w:highlight w:val="none"/>
        </w:rPr>
        <w:tab/>
      </w:r>
      <w:r>
        <w:rPr>
          <w:color w:val="auto"/>
          <w:highlight w:val="none"/>
        </w:rPr>
        <w:fldChar w:fldCharType="begin"/>
      </w:r>
      <w:r>
        <w:rPr>
          <w:color w:val="auto"/>
          <w:highlight w:val="none"/>
        </w:rPr>
        <w:instrText xml:space="preserve"> PAGEREF _Toc62460195 \h </w:instrText>
      </w:r>
      <w:r>
        <w:rPr>
          <w:color w:val="auto"/>
          <w:highlight w:val="none"/>
        </w:rPr>
        <w:fldChar w:fldCharType="separate"/>
      </w:r>
      <w:r>
        <w:rPr>
          <w:color w:val="auto"/>
          <w:highlight w:val="none"/>
        </w:rPr>
        <w:t>103</w:t>
      </w:r>
      <w:r>
        <w:rPr>
          <w:color w:val="auto"/>
          <w:highlight w:val="none"/>
        </w:rPr>
        <w:fldChar w:fldCharType="end"/>
      </w:r>
    </w:p>
    <w:p>
      <w:pPr>
        <w:rPr>
          <w:color w:val="auto"/>
          <w:highlight w:val="none"/>
        </w:rPr>
      </w:pPr>
      <w:r>
        <w:rPr>
          <w:color w:val="auto"/>
          <w:highlight w:val="none"/>
        </w:rPr>
        <w:t>3 项目控制</w:t>
      </w:r>
      <w:r>
        <w:rPr>
          <w:color w:val="auto"/>
          <w:highlight w:val="none"/>
        </w:rPr>
        <w:tab/>
      </w:r>
      <w:r>
        <w:rPr>
          <w:color w:val="auto"/>
          <w:highlight w:val="none"/>
        </w:rPr>
        <w:fldChar w:fldCharType="begin"/>
      </w:r>
      <w:r>
        <w:rPr>
          <w:color w:val="auto"/>
          <w:highlight w:val="none"/>
        </w:rPr>
        <w:instrText xml:space="preserve"> PAGEREF _Toc62460196 \h </w:instrText>
      </w:r>
      <w:r>
        <w:rPr>
          <w:color w:val="auto"/>
          <w:highlight w:val="none"/>
        </w:rPr>
        <w:fldChar w:fldCharType="separate"/>
      </w:r>
      <w:r>
        <w:rPr>
          <w:color w:val="auto"/>
          <w:highlight w:val="none"/>
        </w:rPr>
        <w:t>104</w:t>
      </w:r>
      <w:r>
        <w:rPr>
          <w:color w:val="auto"/>
          <w:highlight w:val="none"/>
        </w:rPr>
        <w:fldChar w:fldCharType="end"/>
      </w:r>
    </w:p>
    <w:p>
      <w:pPr>
        <w:rPr>
          <w:color w:val="auto"/>
          <w:highlight w:val="none"/>
        </w:rPr>
      </w:pPr>
      <w:r>
        <w:rPr>
          <w:color w:val="auto"/>
          <w:highlight w:val="none"/>
        </w:rPr>
        <w:t>3.1 质量控制</w:t>
      </w:r>
      <w:r>
        <w:rPr>
          <w:color w:val="auto"/>
          <w:highlight w:val="none"/>
        </w:rPr>
        <w:tab/>
      </w:r>
      <w:r>
        <w:rPr>
          <w:color w:val="auto"/>
          <w:highlight w:val="none"/>
        </w:rPr>
        <w:fldChar w:fldCharType="begin"/>
      </w:r>
      <w:r>
        <w:rPr>
          <w:color w:val="auto"/>
          <w:highlight w:val="none"/>
        </w:rPr>
        <w:instrText xml:space="preserve"> PAGEREF _Toc62460197 \h </w:instrText>
      </w:r>
      <w:r>
        <w:rPr>
          <w:color w:val="auto"/>
          <w:highlight w:val="none"/>
        </w:rPr>
        <w:fldChar w:fldCharType="separate"/>
      </w:r>
      <w:r>
        <w:rPr>
          <w:color w:val="auto"/>
          <w:highlight w:val="none"/>
        </w:rPr>
        <w:t>104</w:t>
      </w:r>
      <w:r>
        <w:rPr>
          <w:color w:val="auto"/>
          <w:highlight w:val="none"/>
        </w:rPr>
        <w:fldChar w:fldCharType="end"/>
      </w:r>
    </w:p>
    <w:p>
      <w:pPr>
        <w:rPr>
          <w:color w:val="auto"/>
          <w:highlight w:val="none"/>
        </w:rPr>
      </w:pPr>
      <w:r>
        <w:rPr>
          <w:color w:val="auto"/>
          <w:highlight w:val="none"/>
        </w:rPr>
        <w:t>3.2 进度控制</w:t>
      </w:r>
      <w:r>
        <w:rPr>
          <w:color w:val="auto"/>
          <w:highlight w:val="none"/>
        </w:rPr>
        <w:tab/>
      </w:r>
      <w:r>
        <w:rPr>
          <w:color w:val="auto"/>
          <w:highlight w:val="none"/>
        </w:rPr>
        <w:fldChar w:fldCharType="begin"/>
      </w:r>
      <w:r>
        <w:rPr>
          <w:color w:val="auto"/>
          <w:highlight w:val="none"/>
        </w:rPr>
        <w:instrText xml:space="preserve"> PAGEREF _Toc62460198 \h </w:instrText>
      </w:r>
      <w:r>
        <w:rPr>
          <w:color w:val="auto"/>
          <w:highlight w:val="none"/>
        </w:rPr>
        <w:fldChar w:fldCharType="separate"/>
      </w:r>
      <w:r>
        <w:rPr>
          <w:color w:val="auto"/>
          <w:highlight w:val="none"/>
        </w:rPr>
        <w:t>106</w:t>
      </w:r>
      <w:r>
        <w:rPr>
          <w:color w:val="auto"/>
          <w:highlight w:val="none"/>
        </w:rPr>
        <w:fldChar w:fldCharType="end"/>
      </w:r>
    </w:p>
    <w:p>
      <w:pPr>
        <w:rPr>
          <w:color w:val="auto"/>
          <w:highlight w:val="none"/>
        </w:rPr>
      </w:pPr>
      <w:r>
        <w:rPr>
          <w:color w:val="auto"/>
          <w:highlight w:val="none"/>
        </w:rPr>
        <w:t>4 交付成果要求</w:t>
      </w:r>
      <w:r>
        <w:rPr>
          <w:color w:val="auto"/>
          <w:highlight w:val="none"/>
        </w:rPr>
        <w:tab/>
      </w:r>
      <w:r>
        <w:rPr>
          <w:color w:val="auto"/>
          <w:highlight w:val="none"/>
        </w:rPr>
        <w:fldChar w:fldCharType="begin"/>
      </w:r>
      <w:r>
        <w:rPr>
          <w:color w:val="auto"/>
          <w:highlight w:val="none"/>
        </w:rPr>
        <w:instrText xml:space="preserve"> PAGEREF _Toc62460199 \h </w:instrText>
      </w:r>
      <w:r>
        <w:rPr>
          <w:color w:val="auto"/>
          <w:highlight w:val="none"/>
        </w:rPr>
        <w:fldChar w:fldCharType="separate"/>
      </w:r>
      <w:r>
        <w:rPr>
          <w:color w:val="auto"/>
          <w:highlight w:val="none"/>
        </w:rPr>
        <w:t>108</w:t>
      </w:r>
      <w:r>
        <w:rPr>
          <w:color w:val="auto"/>
          <w:highlight w:val="none"/>
        </w:rPr>
        <w:fldChar w:fldCharType="end"/>
      </w:r>
    </w:p>
    <w:p>
      <w:pPr>
        <w:rPr>
          <w:color w:val="auto"/>
          <w:highlight w:val="none"/>
        </w:rPr>
      </w:pPr>
      <w:r>
        <w:rPr>
          <w:color w:val="auto"/>
          <w:highlight w:val="none"/>
        </w:rPr>
        <w:t>4.1 模型提交成果要求</w:t>
      </w:r>
      <w:r>
        <w:rPr>
          <w:color w:val="auto"/>
          <w:highlight w:val="none"/>
        </w:rPr>
        <w:tab/>
      </w:r>
      <w:r>
        <w:rPr>
          <w:color w:val="auto"/>
          <w:highlight w:val="none"/>
        </w:rPr>
        <w:fldChar w:fldCharType="begin"/>
      </w:r>
      <w:r>
        <w:rPr>
          <w:color w:val="auto"/>
          <w:highlight w:val="none"/>
        </w:rPr>
        <w:instrText xml:space="preserve"> PAGEREF _Toc62460200 \h </w:instrText>
      </w:r>
      <w:r>
        <w:rPr>
          <w:color w:val="auto"/>
          <w:highlight w:val="none"/>
        </w:rPr>
        <w:fldChar w:fldCharType="separate"/>
      </w:r>
      <w:r>
        <w:rPr>
          <w:color w:val="auto"/>
          <w:highlight w:val="none"/>
        </w:rPr>
        <w:t>108</w:t>
      </w:r>
      <w:r>
        <w:rPr>
          <w:color w:val="auto"/>
          <w:highlight w:val="none"/>
        </w:rPr>
        <w:fldChar w:fldCharType="end"/>
      </w:r>
    </w:p>
    <w:p>
      <w:pPr>
        <w:rPr>
          <w:color w:val="auto"/>
          <w:highlight w:val="none"/>
        </w:rPr>
      </w:pPr>
      <w:r>
        <w:rPr>
          <w:color w:val="auto"/>
          <w:highlight w:val="none"/>
        </w:rPr>
        <w:t>4.2 成果交付格式</w:t>
      </w:r>
      <w:r>
        <w:rPr>
          <w:color w:val="auto"/>
          <w:highlight w:val="none"/>
        </w:rPr>
        <w:tab/>
      </w:r>
      <w:r>
        <w:rPr>
          <w:color w:val="auto"/>
          <w:highlight w:val="none"/>
        </w:rPr>
        <w:fldChar w:fldCharType="begin"/>
      </w:r>
      <w:r>
        <w:rPr>
          <w:color w:val="auto"/>
          <w:highlight w:val="none"/>
        </w:rPr>
        <w:instrText xml:space="preserve"> PAGEREF _Toc62460201 \h </w:instrText>
      </w:r>
      <w:r>
        <w:rPr>
          <w:color w:val="auto"/>
          <w:highlight w:val="none"/>
        </w:rPr>
        <w:fldChar w:fldCharType="separate"/>
      </w:r>
      <w:r>
        <w:rPr>
          <w:color w:val="auto"/>
          <w:highlight w:val="none"/>
        </w:rPr>
        <w:t>108</w:t>
      </w:r>
      <w:r>
        <w:rPr>
          <w:color w:val="auto"/>
          <w:highlight w:val="none"/>
        </w:rPr>
        <w:fldChar w:fldCharType="end"/>
      </w:r>
    </w:p>
    <w:p>
      <w:pPr>
        <w:rPr>
          <w:color w:val="auto"/>
          <w:highlight w:val="none"/>
        </w:rPr>
      </w:pPr>
      <w:r>
        <w:rPr>
          <w:color w:val="auto"/>
          <w:highlight w:val="none"/>
        </w:rPr>
        <w:t>4.3 成果交付内容</w:t>
      </w:r>
      <w:r>
        <w:rPr>
          <w:color w:val="auto"/>
          <w:highlight w:val="none"/>
        </w:rPr>
        <w:tab/>
      </w:r>
      <w:r>
        <w:rPr>
          <w:color w:val="auto"/>
          <w:highlight w:val="none"/>
        </w:rPr>
        <w:fldChar w:fldCharType="begin"/>
      </w:r>
      <w:r>
        <w:rPr>
          <w:color w:val="auto"/>
          <w:highlight w:val="none"/>
        </w:rPr>
        <w:instrText xml:space="preserve"> PAGEREF _Toc62460202 \h </w:instrText>
      </w:r>
      <w:r>
        <w:rPr>
          <w:color w:val="auto"/>
          <w:highlight w:val="none"/>
        </w:rPr>
        <w:fldChar w:fldCharType="separate"/>
      </w:r>
      <w:r>
        <w:rPr>
          <w:color w:val="auto"/>
          <w:highlight w:val="none"/>
        </w:rPr>
        <w:t>109</w:t>
      </w:r>
      <w:r>
        <w:rPr>
          <w:color w:val="auto"/>
          <w:highlight w:val="none"/>
        </w:rPr>
        <w:fldChar w:fldCharType="end"/>
      </w:r>
    </w:p>
    <w:p>
      <w:pPr>
        <w:rPr>
          <w:color w:val="auto"/>
          <w:highlight w:val="none"/>
        </w:rPr>
      </w:pPr>
      <w:r>
        <w:rPr>
          <w:color w:val="auto"/>
          <w:highlight w:val="none"/>
        </w:rPr>
        <w:t>4.4 成果评价</w:t>
      </w:r>
      <w:r>
        <w:rPr>
          <w:color w:val="auto"/>
          <w:highlight w:val="none"/>
        </w:rPr>
        <w:tab/>
      </w:r>
      <w:r>
        <w:rPr>
          <w:color w:val="auto"/>
          <w:highlight w:val="none"/>
        </w:rPr>
        <w:fldChar w:fldCharType="begin"/>
      </w:r>
      <w:r>
        <w:rPr>
          <w:color w:val="auto"/>
          <w:highlight w:val="none"/>
        </w:rPr>
        <w:instrText xml:space="preserve"> PAGEREF _Toc62460203 \h </w:instrText>
      </w:r>
      <w:r>
        <w:rPr>
          <w:color w:val="auto"/>
          <w:highlight w:val="none"/>
        </w:rPr>
        <w:fldChar w:fldCharType="separate"/>
      </w:r>
      <w:r>
        <w:rPr>
          <w:color w:val="auto"/>
          <w:highlight w:val="none"/>
        </w:rPr>
        <w:t>109</w:t>
      </w:r>
      <w:r>
        <w:rPr>
          <w:color w:val="auto"/>
          <w:highlight w:val="none"/>
        </w:rPr>
        <w:fldChar w:fldCharType="end"/>
      </w:r>
    </w:p>
    <w:p>
      <w:pPr>
        <w:rPr>
          <w:color w:val="auto"/>
          <w:highlight w:val="none"/>
        </w:rPr>
      </w:pPr>
      <w:r>
        <w:rPr>
          <w:color w:val="auto"/>
          <w:highlight w:val="none"/>
        </w:rPr>
        <w:t>5 协同平台要求</w:t>
      </w:r>
      <w:r>
        <w:rPr>
          <w:color w:val="auto"/>
          <w:highlight w:val="none"/>
        </w:rPr>
        <w:tab/>
      </w:r>
      <w:r>
        <w:rPr>
          <w:color w:val="auto"/>
          <w:highlight w:val="none"/>
        </w:rPr>
        <w:fldChar w:fldCharType="begin"/>
      </w:r>
      <w:r>
        <w:rPr>
          <w:color w:val="auto"/>
          <w:highlight w:val="none"/>
        </w:rPr>
        <w:instrText xml:space="preserve"> PAGEREF _Toc62460204 \h </w:instrText>
      </w:r>
      <w:r>
        <w:rPr>
          <w:color w:val="auto"/>
          <w:highlight w:val="none"/>
        </w:rPr>
        <w:fldChar w:fldCharType="separate"/>
      </w:r>
      <w:r>
        <w:rPr>
          <w:color w:val="auto"/>
          <w:highlight w:val="none"/>
        </w:rPr>
        <w:t>111</w:t>
      </w:r>
      <w:r>
        <w:rPr>
          <w:color w:val="auto"/>
          <w:highlight w:val="none"/>
        </w:rPr>
        <w:fldChar w:fldCharType="end"/>
      </w:r>
    </w:p>
    <w:p>
      <w:pPr>
        <w:rPr>
          <w:color w:val="auto"/>
          <w:highlight w:val="none"/>
        </w:rPr>
      </w:pPr>
      <w:r>
        <w:rPr>
          <w:color w:val="auto"/>
          <w:highlight w:val="none"/>
        </w:rPr>
        <w:t>5.1 BIM协同平台架构</w:t>
      </w:r>
      <w:r>
        <w:rPr>
          <w:color w:val="auto"/>
          <w:highlight w:val="none"/>
        </w:rPr>
        <w:tab/>
      </w:r>
      <w:r>
        <w:rPr>
          <w:color w:val="auto"/>
          <w:highlight w:val="none"/>
        </w:rPr>
        <w:fldChar w:fldCharType="begin"/>
      </w:r>
      <w:r>
        <w:rPr>
          <w:color w:val="auto"/>
          <w:highlight w:val="none"/>
        </w:rPr>
        <w:instrText xml:space="preserve"> PAGEREF _Toc62460205 \h </w:instrText>
      </w:r>
      <w:r>
        <w:rPr>
          <w:color w:val="auto"/>
          <w:highlight w:val="none"/>
        </w:rPr>
        <w:fldChar w:fldCharType="separate"/>
      </w:r>
      <w:r>
        <w:rPr>
          <w:color w:val="auto"/>
          <w:highlight w:val="none"/>
        </w:rPr>
        <w:t>111</w:t>
      </w:r>
      <w:r>
        <w:rPr>
          <w:color w:val="auto"/>
          <w:highlight w:val="none"/>
        </w:rPr>
        <w:fldChar w:fldCharType="end"/>
      </w:r>
    </w:p>
    <w:p>
      <w:pPr>
        <w:rPr>
          <w:color w:val="auto"/>
          <w:highlight w:val="none"/>
        </w:rPr>
      </w:pPr>
      <w:r>
        <w:rPr>
          <w:color w:val="auto"/>
          <w:highlight w:val="none"/>
        </w:rPr>
        <w:t>5.2 协同平台的功能</w:t>
      </w:r>
      <w:r>
        <w:rPr>
          <w:color w:val="auto"/>
          <w:highlight w:val="none"/>
        </w:rPr>
        <w:tab/>
      </w:r>
      <w:r>
        <w:rPr>
          <w:color w:val="auto"/>
          <w:highlight w:val="none"/>
        </w:rPr>
        <w:fldChar w:fldCharType="begin"/>
      </w:r>
      <w:r>
        <w:rPr>
          <w:color w:val="auto"/>
          <w:highlight w:val="none"/>
        </w:rPr>
        <w:instrText xml:space="preserve"> PAGEREF _Toc62460206 \h </w:instrText>
      </w:r>
      <w:r>
        <w:rPr>
          <w:color w:val="auto"/>
          <w:highlight w:val="none"/>
        </w:rPr>
        <w:fldChar w:fldCharType="separate"/>
      </w:r>
      <w:r>
        <w:rPr>
          <w:color w:val="auto"/>
          <w:highlight w:val="none"/>
        </w:rPr>
        <w:t>111</w:t>
      </w:r>
      <w:r>
        <w:rPr>
          <w:color w:val="auto"/>
          <w:highlight w:val="none"/>
        </w:rPr>
        <w:fldChar w:fldCharType="end"/>
      </w:r>
    </w:p>
    <w:p>
      <w:pPr>
        <w:rPr>
          <w:color w:val="auto"/>
          <w:highlight w:val="none"/>
        </w:rPr>
      </w:pPr>
      <w:r>
        <w:rPr>
          <w:color w:val="auto"/>
          <w:highlight w:val="none"/>
        </w:rPr>
        <w:t>5.3 各参与方协同工作职责与工作内容</w:t>
      </w:r>
      <w:r>
        <w:rPr>
          <w:color w:val="auto"/>
          <w:highlight w:val="none"/>
        </w:rPr>
        <w:tab/>
      </w:r>
      <w:r>
        <w:rPr>
          <w:color w:val="auto"/>
          <w:highlight w:val="none"/>
        </w:rPr>
        <w:fldChar w:fldCharType="begin"/>
      </w:r>
      <w:r>
        <w:rPr>
          <w:color w:val="auto"/>
          <w:highlight w:val="none"/>
        </w:rPr>
        <w:instrText xml:space="preserve"> PAGEREF _Toc62460207 \h </w:instrText>
      </w:r>
      <w:r>
        <w:rPr>
          <w:color w:val="auto"/>
          <w:highlight w:val="none"/>
        </w:rPr>
        <w:fldChar w:fldCharType="separate"/>
      </w:r>
      <w:r>
        <w:rPr>
          <w:color w:val="auto"/>
          <w:highlight w:val="none"/>
        </w:rPr>
        <w:t>112</w:t>
      </w:r>
      <w:r>
        <w:rPr>
          <w:color w:val="auto"/>
          <w:highlight w:val="none"/>
        </w:rPr>
        <w:fldChar w:fldCharType="end"/>
      </w:r>
    </w:p>
    <w:p>
      <w:pPr>
        <w:rPr>
          <w:color w:val="auto"/>
          <w:highlight w:val="none"/>
        </w:rPr>
      </w:pPr>
      <w:r>
        <w:rPr>
          <w:color w:val="auto"/>
          <w:highlight w:val="none"/>
        </w:rPr>
        <w:t>6 软件标准</w:t>
      </w:r>
      <w:r>
        <w:rPr>
          <w:color w:val="auto"/>
          <w:highlight w:val="none"/>
        </w:rPr>
        <w:tab/>
      </w:r>
      <w:r>
        <w:rPr>
          <w:color w:val="auto"/>
          <w:highlight w:val="none"/>
        </w:rPr>
        <w:fldChar w:fldCharType="begin"/>
      </w:r>
      <w:r>
        <w:rPr>
          <w:color w:val="auto"/>
          <w:highlight w:val="none"/>
        </w:rPr>
        <w:instrText xml:space="preserve"> PAGEREF _Toc62460208 \h </w:instrText>
      </w:r>
      <w:r>
        <w:rPr>
          <w:color w:val="auto"/>
          <w:highlight w:val="none"/>
        </w:rPr>
        <w:fldChar w:fldCharType="separate"/>
      </w:r>
      <w:r>
        <w:rPr>
          <w:color w:val="auto"/>
          <w:highlight w:val="none"/>
        </w:rPr>
        <w:t>114</w:t>
      </w:r>
      <w:r>
        <w:rPr>
          <w:color w:val="auto"/>
          <w:highlight w:val="none"/>
        </w:rPr>
        <w:fldChar w:fldCharType="end"/>
      </w:r>
    </w:p>
    <w:p>
      <w:pPr>
        <w:rPr>
          <w:color w:val="auto"/>
          <w:highlight w:val="none"/>
        </w:rPr>
      </w:pPr>
      <w:r>
        <w:rPr>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_Toc62460209 \h </w:instrText>
      </w:r>
      <w:r>
        <w:rPr>
          <w:color w:val="auto"/>
          <w:highlight w:val="none"/>
        </w:rPr>
        <w:fldChar w:fldCharType="separate"/>
      </w:r>
      <w:r>
        <w:rPr>
          <w:color w:val="auto"/>
          <w:highlight w:val="none"/>
        </w:rPr>
        <w:t>115</w:t>
      </w:r>
      <w:r>
        <w:rPr>
          <w:color w:val="auto"/>
          <w:highlight w:val="none"/>
        </w:rPr>
        <w:fldChar w:fldCharType="end"/>
      </w:r>
    </w:p>
    <w:p>
      <w:pPr>
        <w:rPr>
          <w:color w:val="auto"/>
          <w:highlight w:val="none"/>
        </w:rPr>
      </w:pPr>
      <w:r>
        <w:rPr>
          <w:color w:val="auto"/>
          <w:highlight w:val="none"/>
        </w:rPr>
        <w:t>附表1  BIM项目工作职责分配表</w:t>
      </w:r>
      <w:r>
        <w:rPr>
          <w:color w:val="auto"/>
          <w:highlight w:val="none"/>
        </w:rPr>
        <w:tab/>
      </w:r>
      <w:r>
        <w:rPr>
          <w:color w:val="auto"/>
          <w:highlight w:val="none"/>
        </w:rPr>
        <w:fldChar w:fldCharType="begin"/>
      </w:r>
      <w:r>
        <w:rPr>
          <w:color w:val="auto"/>
          <w:highlight w:val="none"/>
        </w:rPr>
        <w:instrText xml:space="preserve"> PAGEREF _Toc62460210 \h </w:instrText>
      </w:r>
      <w:r>
        <w:rPr>
          <w:color w:val="auto"/>
          <w:highlight w:val="none"/>
        </w:rPr>
        <w:fldChar w:fldCharType="separate"/>
      </w:r>
      <w:r>
        <w:rPr>
          <w:color w:val="auto"/>
          <w:highlight w:val="none"/>
        </w:rPr>
        <w:t>115</w:t>
      </w:r>
      <w:r>
        <w:rPr>
          <w:color w:val="auto"/>
          <w:highlight w:val="none"/>
        </w:rPr>
        <w:fldChar w:fldCharType="end"/>
      </w:r>
    </w:p>
    <w:p>
      <w:pPr>
        <w:rPr>
          <w:color w:val="auto"/>
          <w:highlight w:val="none"/>
        </w:rPr>
      </w:pPr>
      <w:r>
        <w:rPr>
          <w:color w:val="auto"/>
          <w:highlight w:val="none"/>
        </w:rPr>
        <w:t>附表2  各阶段BIM实施总计划样表</w:t>
      </w:r>
      <w:r>
        <w:rPr>
          <w:color w:val="auto"/>
          <w:highlight w:val="none"/>
        </w:rPr>
        <w:tab/>
      </w:r>
      <w:r>
        <w:rPr>
          <w:color w:val="auto"/>
          <w:highlight w:val="none"/>
        </w:rPr>
        <w:fldChar w:fldCharType="begin"/>
      </w:r>
      <w:r>
        <w:rPr>
          <w:color w:val="auto"/>
          <w:highlight w:val="none"/>
        </w:rPr>
        <w:instrText xml:space="preserve"> PAGEREF _Toc62460211 \h </w:instrText>
      </w:r>
      <w:r>
        <w:rPr>
          <w:color w:val="auto"/>
          <w:highlight w:val="none"/>
        </w:rPr>
        <w:fldChar w:fldCharType="separate"/>
      </w:r>
      <w:r>
        <w:rPr>
          <w:color w:val="auto"/>
          <w:highlight w:val="none"/>
        </w:rPr>
        <w:t>117</w:t>
      </w:r>
      <w:r>
        <w:rPr>
          <w:color w:val="auto"/>
          <w:highlight w:val="none"/>
        </w:rPr>
        <w:fldChar w:fldCharType="end"/>
      </w:r>
    </w:p>
    <w:p>
      <w:pPr>
        <w:rPr>
          <w:color w:val="auto"/>
          <w:highlight w:val="none"/>
        </w:rPr>
      </w:pPr>
      <w:r>
        <w:rPr>
          <w:color w:val="auto"/>
          <w:highlight w:val="none"/>
        </w:rPr>
        <w:t>附表3  各阶段BIM模型精度要求</w:t>
      </w:r>
      <w:r>
        <w:rPr>
          <w:color w:val="auto"/>
          <w:highlight w:val="none"/>
        </w:rPr>
        <w:tab/>
      </w:r>
      <w:r>
        <w:rPr>
          <w:color w:val="auto"/>
          <w:highlight w:val="none"/>
        </w:rPr>
        <w:fldChar w:fldCharType="begin"/>
      </w:r>
      <w:r>
        <w:rPr>
          <w:color w:val="auto"/>
          <w:highlight w:val="none"/>
        </w:rPr>
        <w:instrText xml:space="preserve"> PAGEREF _Toc62460212 \h </w:instrText>
      </w:r>
      <w:r>
        <w:rPr>
          <w:color w:val="auto"/>
          <w:highlight w:val="none"/>
        </w:rPr>
        <w:fldChar w:fldCharType="separate"/>
      </w:r>
      <w:r>
        <w:rPr>
          <w:color w:val="auto"/>
          <w:highlight w:val="none"/>
        </w:rPr>
        <w:t>118</w:t>
      </w:r>
      <w:r>
        <w:rPr>
          <w:color w:val="auto"/>
          <w:highlight w:val="none"/>
        </w:rPr>
        <w:fldChar w:fldCharType="end"/>
      </w:r>
    </w:p>
    <w:p>
      <w:pPr>
        <w:rPr>
          <w:color w:val="auto"/>
          <w:highlight w:val="none"/>
        </w:rPr>
      </w:pPr>
      <w:r>
        <w:rPr>
          <w:color w:val="auto"/>
          <w:highlight w:val="none"/>
        </w:rPr>
        <w:t>附表4  项目各阶段BIM实施应用点</w:t>
      </w:r>
      <w:r>
        <w:rPr>
          <w:color w:val="auto"/>
          <w:highlight w:val="none"/>
        </w:rPr>
        <w:tab/>
      </w:r>
      <w:r>
        <w:rPr>
          <w:color w:val="auto"/>
          <w:highlight w:val="none"/>
        </w:rPr>
        <w:fldChar w:fldCharType="begin"/>
      </w:r>
      <w:r>
        <w:rPr>
          <w:color w:val="auto"/>
          <w:highlight w:val="none"/>
        </w:rPr>
        <w:instrText xml:space="preserve"> PAGEREF _Toc62460213 \h </w:instrText>
      </w:r>
      <w:r>
        <w:rPr>
          <w:color w:val="auto"/>
          <w:highlight w:val="none"/>
        </w:rPr>
        <w:fldChar w:fldCharType="separate"/>
      </w:r>
      <w:r>
        <w:rPr>
          <w:color w:val="auto"/>
          <w:highlight w:val="none"/>
        </w:rPr>
        <w:t>136</w:t>
      </w:r>
      <w:r>
        <w:rPr>
          <w:color w:val="auto"/>
          <w:highlight w:val="none"/>
        </w:rPr>
        <w:fldChar w:fldCharType="end"/>
      </w:r>
    </w:p>
    <w:p>
      <w:pPr>
        <w:rPr>
          <w:color w:val="auto"/>
          <w:highlight w:val="none"/>
        </w:rPr>
      </w:pPr>
      <w:r>
        <w:rPr>
          <w:color w:val="auto"/>
          <w:highlight w:val="none"/>
        </w:rPr>
        <w:t>附表5  项目BIM团队工作职责</w:t>
      </w:r>
      <w:r>
        <w:rPr>
          <w:color w:val="auto"/>
          <w:highlight w:val="none"/>
        </w:rPr>
        <w:tab/>
      </w:r>
      <w:r>
        <w:rPr>
          <w:color w:val="auto"/>
          <w:highlight w:val="none"/>
        </w:rPr>
        <w:fldChar w:fldCharType="begin"/>
      </w:r>
      <w:r>
        <w:rPr>
          <w:color w:val="auto"/>
          <w:highlight w:val="none"/>
        </w:rPr>
        <w:instrText xml:space="preserve"> PAGEREF _Toc62460214 \h </w:instrText>
      </w:r>
      <w:r>
        <w:rPr>
          <w:color w:val="auto"/>
          <w:highlight w:val="none"/>
        </w:rPr>
        <w:fldChar w:fldCharType="separate"/>
      </w:r>
      <w:r>
        <w:rPr>
          <w:color w:val="auto"/>
          <w:highlight w:val="none"/>
        </w:rPr>
        <w:t>137</w:t>
      </w:r>
      <w:r>
        <w:rPr>
          <w:color w:val="auto"/>
          <w:highlight w:val="none"/>
        </w:rPr>
        <w:fldChar w:fldCharType="end"/>
      </w:r>
    </w:p>
    <w:p>
      <w:pPr>
        <w:rPr>
          <w:color w:val="auto"/>
          <w:highlight w:val="none"/>
        </w:rPr>
      </w:pPr>
      <w:r>
        <w:rPr>
          <w:color w:val="auto"/>
          <w:highlight w:val="none"/>
        </w:rPr>
        <w:t>附表6  BIM实施计划及工作内容</w:t>
      </w:r>
      <w:r>
        <w:rPr>
          <w:color w:val="auto"/>
          <w:highlight w:val="none"/>
        </w:rPr>
        <w:tab/>
      </w:r>
      <w:r>
        <w:rPr>
          <w:color w:val="auto"/>
          <w:highlight w:val="none"/>
        </w:rPr>
        <w:fldChar w:fldCharType="begin"/>
      </w:r>
      <w:r>
        <w:rPr>
          <w:color w:val="auto"/>
          <w:highlight w:val="none"/>
        </w:rPr>
        <w:instrText xml:space="preserve"> PAGEREF _Toc62460215 \h </w:instrText>
      </w:r>
      <w:r>
        <w:rPr>
          <w:color w:val="auto"/>
          <w:highlight w:val="none"/>
        </w:rPr>
        <w:fldChar w:fldCharType="separate"/>
      </w:r>
      <w:r>
        <w:rPr>
          <w:color w:val="auto"/>
          <w:highlight w:val="none"/>
        </w:rPr>
        <w:t>138</w:t>
      </w:r>
      <w:r>
        <w:rPr>
          <w:color w:val="auto"/>
          <w:highlight w:val="none"/>
        </w:rPr>
        <w:fldChar w:fldCharType="end"/>
      </w:r>
    </w:p>
    <w:p>
      <w:pPr>
        <w:rPr>
          <w:color w:val="auto"/>
          <w:highlight w:val="none"/>
        </w:rPr>
      </w:pPr>
      <w:r>
        <w:rPr>
          <w:color w:val="auto"/>
          <w:highlight w:val="none"/>
        </w:rPr>
        <w:t>附表7  BIM现场协调管理</w:t>
      </w:r>
      <w:r>
        <w:rPr>
          <w:color w:val="auto"/>
          <w:highlight w:val="none"/>
        </w:rPr>
        <w:tab/>
      </w:r>
      <w:r>
        <w:rPr>
          <w:color w:val="auto"/>
          <w:highlight w:val="none"/>
        </w:rPr>
        <w:fldChar w:fldCharType="begin"/>
      </w:r>
      <w:r>
        <w:rPr>
          <w:color w:val="auto"/>
          <w:highlight w:val="none"/>
        </w:rPr>
        <w:instrText xml:space="preserve"> PAGEREF _Toc62460216 \h </w:instrText>
      </w:r>
      <w:r>
        <w:rPr>
          <w:color w:val="auto"/>
          <w:highlight w:val="none"/>
        </w:rPr>
        <w:fldChar w:fldCharType="separate"/>
      </w:r>
      <w:r>
        <w:rPr>
          <w:color w:val="auto"/>
          <w:highlight w:val="none"/>
        </w:rPr>
        <w:t>139</w:t>
      </w:r>
      <w:r>
        <w:rPr>
          <w:color w:val="auto"/>
          <w:highlight w:val="none"/>
        </w:rPr>
        <w:fldChar w:fldCharType="end"/>
      </w:r>
    </w:p>
    <w:p>
      <w:pPr>
        <w:rPr>
          <w:color w:val="auto"/>
          <w:highlight w:val="none"/>
        </w:rPr>
      </w:pPr>
      <w:r>
        <w:rPr>
          <w:color w:val="auto"/>
          <w:highlight w:val="none"/>
        </w:rPr>
        <w:t>附图</w:t>
      </w:r>
      <w:r>
        <w:rPr>
          <w:color w:val="auto"/>
          <w:highlight w:val="none"/>
        </w:rPr>
        <w:tab/>
      </w:r>
      <w:r>
        <w:rPr>
          <w:color w:val="auto"/>
          <w:highlight w:val="none"/>
        </w:rPr>
        <w:fldChar w:fldCharType="begin"/>
      </w:r>
      <w:r>
        <w:rPr>
          <w:color w:val="auto"/>
          <w:highlight w:val="none"/>
        </w:rPr>
        <w:instrText xml:space="preserve"> PAGEREF _Toc62460217 \h </w:instrText>
      </w:r>
      <w:r>
        <w:rPr>
          <w:color w:val="auto"/>
          <w:highlight w:val="none"/>
        </w:rPr>
        <w:fldChar w:fldCharType="separate"/>
      </w:r>
      <w:r>
        <w:rPr>
          <w:color w:val="auto"/>
          <w:highlight w:val="none"/>
        </w:rPr>
        <w:t>140</w:t>
      </w:r>
      <w:r>
        <w:rPr>
          <w:color w:val="auto"/>
          <w:highlight w:val="none"/>
        </w:rPr>
        <w:fldChar w:fldCharType="end"/>
      </w:r>
    </w:p>
    <w:p>
      <w:pPr>
        <w:rPr>
          <w:color w:val="auto"/>
          <w:highlight w:val="none"/>
        </w:rPr>
      </w:pPr>
      <w:r>
        <w:rPr>
          <w:color w:val="auto"/>
          <w:highlight w:val="none"/>
        </w:rPr>
        <w:t>附图1  代建局BIM项目管理组织结构</w:t>
      </w:r>
      <w:r>
        <w:rPr>
          <w:color w:val="auto"/>
          <w:highlight w:val="none"/>
        </w:rPr>
        <w:tab/>
      </w:r>
      <w:r>
        <w:rPr>
          <w:color w:val="auto"/>
          <w:highlight w:val="none"/>
        </w:rPr>
        <w:fldChar w:fldCharType="begin"/>
      </w:r>
      <w:r>
        <w:rPr>
          <w:color w:val="auto"/>
          <w:highlight w:val="none"/>
        </w:rPr>
        <w:instrText xml:space="preserve"> PAGEREF _Toc62460218 \h </w:instrText>
      </w:r>
      <w:r>
        <w:rPr>
          <w:color w:val="auto"/>
          <w:highlight w:val="none"/>
        </w:rPr>
        <w:fldChar w:fldCharType="separate"/>
      </w:r>
      <w:r>
        <w:rPr>
          <w:color w:val="auto"/>
          <w:highlight w:val="none"/>
        </w:rPr>
        <w:t>140</w:t>
      </w:r>
      <w:r>
        <w:rPr>
          <w:color w:val="auto"/>
          <w:highlight w:val="none"/>
        </w:rPr>
        <w:fldChar w:fldCharType="end"/>
      </w:r>
    </w:p>
    <w:p>
      <w:pPr>
        <w:rPr>
          <w:color w:val="auto"/>
          <w:highlight w:val="none"/>
        </w:rPr>
      </w:pPr>
      <w:r>
        <w:rPr>
          <w:color w:val="auto"/>
          <w:highlight w:val="none"/>
        </w:rPr>
        <w:t>附图2  代建局内部管理流程</w:t>
      </w:r>
      <w:r>
        <w:rPr>
          <w:color w:val="auto"/>
          <w:highlight w:val="none"/>
        </w:rPr>
        <w:tab/>
      </w:r>
      <w:r>
        <w:rPr>
          <w:color w:val="auto"/>
          <w:highlight w:val="none"/>
        </w:rPr>
        <w:fldChar w:fldCharType="begin"/>
      </w:r>
      <w:r>
        <w:rPr>
          <w:color w:val="auto"/>
          <w:highlight w:val="none"/>
        </w:rPr>
        <w:instrText xml:space="preserve"> PAGEREF _Toc62460219 \h </w:instrText>
      </w:r>
      <w:r>
        <w:rPr>
          <w:color w:val="auto"/>
          <w:highlight w:val="none"/>
        </w:rPr>
        <w:fldChar w:fldCharType="separate"/>
      </w:r>
      <w:r>
        <w:rPr>
          <w:color w:val="auto"/>
          <w:highlight w:val="none"/>
        </w:rPr>
        <w:t>140</w:t>
      </w:r>
      <w:r>
        <w:rPr>
          <w:color w:val="auto"/>
          <w:highlight w:val="none"/>
        </w:rPr>
        <w:fldChar w:fldCharType="end"/>
      </w:r>
    </w:p>
    <w:p>
      <w:pPr>
        <w:rPr>
          <w:color w:val="auto"/>
          <w:highlight w:val="none"/>
        </w:rPr>
      </w:pPr>
      <w:r>
        <w:rPr>
          <w:color w:val="auto"/>
          <w:highlight w:val="none"/>
        </w:rPr>
        <w:t>附图3  代建局项目BIM管理流程</w:t>
      </w:r>
      <w:r>
        <w:rPr>
          <w:color w:val="auto"/>
          <w:highlight w:val="none"/>
        </w:rPr>
        <w:tab/>
      </w:r>
      <w:r>
        <w:rPr>
          <w:color w:val="auto"/>
          <w:highlight w:val="none"/>
        </w:rPr>
        <w:fldChar w:fldCharType="begin"/>
      </w:r>
      <w:r>
        <w:rPr>
          <w:color w:val="auto"/>
          <w:highlight w:val="none"/>
        </w:rPr>
        <w:instrText xml:space="preserve"> PAGEREF _Toc62460220 \h </w:instrText>
      </w:r>
      <w:r>
        <w:rPr>
          <w:color w:val="auto"/>
          <w:highlight w:val="none"/>
        </w:rPr>
        <w:fldChar w:fldCharType="separate"/>
      </w:r>
      <w:r>
        <w:rPr>
          <w:color w:val="auto"/>
          <w:highlight w:val="none"/>
        </w:rPr>
        <w:t>141</w:t>
      </w:r>
      <w:r>
        <w:rPr>
          <w:color w:val="auto"/>
          <w:highlight w:val="none"/>
        </w:rPr>
        <w:fldChar w:fldCharType="end"/>
      </w:r>
    </w:p>
    <w:p>
      <w:pPr>
        <w:rPr>
          <w:color w:val="auto"/>
          <w:highlight w:val="none"/>
        </w:rPr>
      </w:pPr>
      <w:r>
        <w:rPr>
          <w:color w:val="auto"/>
          <w:highlight w:val="none"/>
        </w:rPr>
        <w:t>附图4  设计阶段BIM应用流程</w:t>
      </w:r>
      <w:r>
        <w:rPr>
          <w:color w:val="auto"/>
          <w:highlight w:val="none"/>
        </w:rPr>
        <w:tab/>
      </w:r>
      <w:r>
        <w:rPr>
          <w:color w:val="auto"/>
          <w:highlight w:val="none"/>
        </w:rPr>
        <w:fldChar w:fldCharType="begin"/>
      </w:r>
      <w:r>
        <w:rPr>
          <w:color w:val="auto"/>
          <w:highlight w:val="none"/>
        </w:rPr>
        <w:instrText xml:space="preserve"> PAGEREF _Toc62460221 \h </w:instrText>
      </w:r>
      <w:r>
        <w:rPr>
          <w:color w:val="auto"/>
          <w:highlight w:val="none"/>
        </w:rPr>
        <w:fldChar w:fldCharType="separate"/>
      </w:r>
      <w:r>
        <w:rPr>
          <w:color w:val="auto"/>
          <w:highlight w:val="none"/>
        </w:rPr>
        <w:t>142</w:t>
      </w:r>
      <w:r>
        <w:rPr>
          <w:color w:val="auto"/>
          <w:highlight w:val="none"/>
        </w:rPr>
        <w:fldChar w:fldCharType="end"/>
      </w:r>
    </w:p>
    <w:p>
      <w:pPr>
        <w:rPr>
          <w:color w:val="auto"/>
          <w:highlight w:val="none"/>
        </w:rPr>
      </w:pPr>
      <w:r>
        <w:rPr>
          <w:color w:val="auto"/>
          <w:highlight w:val="none"/>
        </w:rPr>
        <w:t>附图5  方案设计阶段BIM应用流程</w:t>
      </w:r>
      <w:r>
        <w:rPr>
          <w:color w:val="auto"/>
          <w:highlight w:val="none"/>
        </w:rPr>
        <w:tab/>
      </w:r>
      <w:r>
        <w:rPr>
          <w:color w:val="auto"/>
          <w:highlight w:val="none"/>
        </w:rPr>
        <w:fldChar w:fldCharType="begin"/>
      </w:r>
      <w:r>
        <w:rPr>
          <w:color w:val="auto"/>
          <w:highlight w:val="none"/>
        </w:rPr>
        <w:instrText xml:space="preserve"> PAGEREF _Toc62460222 \h </w:instrText>
      </w:r>
      <w:r>
        <w:rPr>
          <w:color w:val="auto"/>
          <w:highlight w:val="none"/>
        </w:rPr>
        <w:fldChar w:fldCharType="separate"/>
      </w:r>
      <w:r>
        <w:rPr>
          <w:color w:val="auto"/>
          <w:highlight w:val="none"/>
        </w:rPr>
        <w:t>143</w:t>
      </w:r>
      <w:r>
        <w:rPr>
          <w:color w:val="auto"/>
          <w:highlight w:val="none"/>
        </w:rPr>
        <w:fldChar w:fldCharType="end"/>
      </w:r>
    </w:p>
    <w:p>
      <w:pPr>
        <w:rPr>
          <w:color w:val="auto"/>
          <w:highlight w:val="none"/>
        </w:rPr>
      </w:pPr>
      <w:r>
        <w:rPr>
          <w:color w:val="auto"/>
          <w:highlight w:val="none"/>
        </w:rPr>
        <w:t>附图6  初步设计阶段BIM应用流程</w:t>
      </w:r>
      <w:r>
        <w:rPr>
          <w:color w:val="auto"/>
          <w:highlight w:val="none"/>
        </w:rPr>
        <w:tab/>
      </w:r>
      <w:r>
        <w:rPr>
          <w:color w:val="auto"/>
          <w:highlight w:val="none"/>
        </w:rPr>
        <w:fldChar w:fldCharType="begin"/>
      </w:r>
      <w:r>
        <w:rPr>
          <w:color w:val="auto"/>
          <w:highlight w:val="none"/>
        </w:rPr>
        <w:instrText xml:space="preserve"> PAGEREF _Toc62460223 \h </w:instrText>
      </w:r>
      <w:r>
        <w:rPr>
          <w:color w:val="auto"/>
          <w:highlight w:val="none"/>
        </w:rPr>
        <w:fldChar w:fldCharType="separate"/>
      </w:r>
      <w:r>
        <w:rPr>
          <w:color w:val="auto"/>
          <w:highlight w:val="none"/>
        </w:rPr>
        <w:t>144</w:t>
      </w:r>
      <w:r>
        <w:rPr>
          <w:color w:val="auto"/>
          <w:highlight w:val="none"/>
        </w:rPr>
        <w:fldChar w:fldCharType="end"/>
      </w:r>
    </w:p>
    <w:p>
      <w:pPr>
        <w:rPr>
          <w:color w:val="auto"/>
          <w:highlight w:val="none"/>
        </w:rPr>
      </w:pPr>
      <w:r>
        <w:rPr>
          <w:color w:val="auto"/>
          <w:highlight w:val="none"/>
        </w:rPr>
        <w:t>附图7  施工图设计阶段BIM应用流程</w:t>
      </w:r>
      <w:r>
        <w:rPr>
          <w:color w:val="auto"/>
          <w:highlight w:val="none"/>
        </w:rPr>
        <w:tab/>
      </w:r>
      <w:r>
        <w:rPr>
          <w:color w:val="auto"/>
          <w:highlight w:val="none"/>
        </w:rPr>
        <w:fldChar w:fldCharType="begin"/>
      </w:r>
      <w:r>
        <w:rPr>
          <w:color w:val="auto"/>
          <w:highlight w:val="none"/>
        </w:rPr>
        <w:instrText xml:space="preserve"> PAGEREF _Toc62460224 \h </w:instrText>
      </w:r>
      <w:r>
        <w:rPr>
          <w:color w:val="auto"/>
          <w:highlight w:val="none"/>
        </w:rPr>
        <w:fldChar w:fldCharType="separate"/>
      </w:r>
      <w:r>
        <w:rPr>
          <w:color w:val="auto"/>
          <w:highlight w:val="none"/>
        </w:rPr>
        <w:t>145</w:t>
      </w:r>
      <w:r>
        <w:rPr>
          <w:color w:val="auto"/>
          <w:highlight w:val="none"/>
        </w:rPr>
        <w:fldChar w:fldCharType="end"/>
      </w:r>
    </w:p>
    <w:p>
      <w:pPr>
        <w:rPr>
          <w:color w:val="auto"/>
          <w:highlight w:val="none"/>
        </w:rPr>
      </w:pPr>
      <w:r>
        <w:rPr>
          <w:color w:val="auto"/>
          <w:highlight w:val="none"/>
        </w:rPr>
        <w:t>附图8  施工阶段项目实施总体流程</w:t>
      </w:r>
      <w:r>
        <w:rPr>
          <w:color w:val="auto"/>
          <w:highlight w:val="none"/>
        </w:rPr>
        <w:tab/>
      </w:r>
      <w:r>
        <w:rPr>
          <w:color w:val="auto"/>
          <w:highlight w:val="none"/>
        </w:rPr>
        <w:fldChar w:fldCharType="begin"/>
      </w:r>
      <w:r>
        <w:rPr>
          <w:color w:val="auto"/>
          <w:highlight w:val="none"/>
        </w:rPr>
        <w:instrText xml:space="preserve"> PAGEREF _Toc62460225 \h </w:instrText>
      </w:r>
      <w:r>
        <w:rPr>
          <w:color w:val="auto"/>
          <w:highlight w:val="none"/>
        </w:rPr>
        <w:fldChar w:fldCharType="separate"/>
      </w:r>
      <w:r>
        <w:rPr>
          <w:color w:val="auto"/>
          <w:highlight w:val="none"/>
        </w:rPr>
        <w:t>146</w:t>
      </w:r>
      <w:r>
        <w:rPr>
          <w:color w:val="auto"/>
          <w:highlight w:val="none"/>
        </w:rPr>
        <w:fldChar w:fldCharType="end"/>
      </w:r>
    </w:p>
    <w:p>
      <w:pPr>
        <w:rPr>
          <w:color w:val="auto"/>
          <w:highlight w:val="none"/>
        </w:rPr>
      </w:pPr>
      <w:r>
        <w:rPr>
          <w:color w:val="auto"/>
          <w:highlight w:val="none"/>
        </w:rPr>
        <w:t>附图9  项目BIM团队组织架构</w:t>
      </w:r>
      <w:r>
        <w:rPr>
          <w:color w:val="auto"/>
          <w:highlight w:val="none"/>
        </w:rPr>
        <w:tab/>
      </w:r>
      <w:r>
        <w:rPr>
          <w:color w:val="auto"/>
          <w:highlight w:val="none"/>
        </w:rPr>
        <w:fldChar w:fldCharType="begin"/>
      </w:r>
      <w:r>
        <w:rPr>
          <w:color w:val="auto"/>
          <w:highlight w:val="none"/>
        </w:rPr>
        <w:instrText xml:space="preserve"> PAGEREF _Toc62460226 \h </w:instrText>
      </w:r>
      <w:r>
        <w:rPr>
          <w:color w:val="auto"/>
          <w:highlight w:val="none"/>
        </w:rPr>
        <w:fldChar w:fldCharType="separate"/>
      </w:r>
      <w:r>
        <w:rPr>
          <w:color w:val="auto"/>
          <w:highlight w:val="none"/>
        </w:rPr>
        <w:t>147</w:t>
      </w:r>
      <w:r>
        <w:rPr>
          <w:color w:val="auto"/>
          <w:highlight w:val="none"/>
        </w:rPr>
        <w:fldChar w:fldCharType="end"/>
      </w:r>
    </w:p>
    <w:p>
      <w:pPr>
        <w:rPr>
          <w:color w:val="auto"/>
          <w:highlight w:val="none"/>
        </w:rPr>
      </w:pPr>
      <w:r>
        <w:rPr>
          <w:color w:val="auto"/>
          <w:highlight w:val="none"/>
        </w:rPr>
        <w:t>附图10  BIM前期准备工作</w:t>
      </w:r>
      <w:r>
        <w:rPr>
          <w:color w:val="auto"/>
          <w:highlight w:val="none"/>
        </w:rPr>
        <w:tab/>
      </w:r>
      <w:r>
        <w:rPr>
          <w:color w:val="auto"/>
          <w:highlight w:val="none"/>
        </w:rPr>
        <w:fldChar w:fldCharType="begin"/>
      </w:r>
      <w:r>
        <w:rPr>
          <w:color w:val="auto"/>
          <w:highlight w:val="none"/>
        </w:rPr>
        <w:instrText xml:space="preserve"> PAGEREF _Toc62460227 \h </w:instrText>
      </w:r>
      <w:r>
        <w:rPr>
          <w:color w:val="auto"/>
          <w:highlight w:val="none"/>
        </w:rPr>
        <w:fldChar w:fldCharType="separate"/>
      </w:r>
      <w:r>
        <w:rPr>
          <w:color w:val="auto"/>
          <w:highlight w:val="none"/>
        </w:rPr>
        <w:t>147</w:t>
      </w:r>
      <w:r>
        <w:rPr>
          <w:color w:val="auto"/>
          <w:highlight w:val="none"/>
        </w:rPr>
        <w:fldChar w:fldCharType="end"/>
      </w:r>
    </w:p>
    <w:p>
      <w:pPr>
        <w:rPr>
          <w:color w:val="auto"/>
          <w:highlight w:val="none"/>
        </w:rPr>
      </w:pPr>
      <w:r>
        <w:rPr>
          <w:color w:val="auto"/>
          <w:highlight w:val="none"/>
        </w:rPr>
        <w:t>附图11  BIM模型会审工作流程</w:t>
      </w:r>
      <w:r>
        <w:rPr>
          <w:color w:val="auto"/>
          <w:highlight w:val="none"/>
        </w:rPr>
        <w:tab/>
      </w:r>
      <w:r>
        <w:rPr>
          <w:color w:val="auto"/>
          <w:highlight w:val="none"/>
        </w:rPr>
        <w:fldChar w:fldCharType="begin"/>
      </w:r>
      <w:r>
        <w:rPr>
          <w:color w:val="auto"/>
          <w:highlight w:val="none"/>
        </w:rPr>
        <w:instrText xml:space="preserve"> PAGEREF _Toc62460228 \h </w:instrText>
      </w:r>
      <w:r>
        <w:rPr>
          <w:color w:val="auto"/>
          <w:highlight w:val="none"/>
        </w:rPr>
        <w:fldChar w:fldCharType="separate"/>
      </w:r>
      <w:r>
        <w:rPr>
          <w:color w:val="auto"/>
          <w:highlight w:val="none"/>
        </w:rPr>
        <w:t>148</w:t>
      </w:r>
      <w:r>
        <w:rPr>
          <w:color w:val="auto"/>
          <w:highlight w:val="none"/>
        </w:rPr>
        <w:fldChar w:fldCharType="end"/>
      </w:r>
    </w:p>
    <w:p>
      <w:pPr>
        <w:rPr>
          <w:color w:val="auto"/>
          <w:highlight w:val="none"/>
        </w:rPr>
      </w:pPr>
      <w:r>
        <w:rPr>
          <w:color w:val="auto"/>
          <w:highlight w:val="none"/>
        </w:rPr>
        <w:t>附图12  BIM深化设计管理流程</w:t>
      </w:r>
      <w:r>
        <w:rPr>
          <w:color w:val="auto"/>
          <w:highlight w:val="none"/>
        </w:rPr>
        <w:tab/>
      </w:r>
      <w:r>
        <w:rPr>
          <w:color w:val="auto"/>
          <w:highlight w:val="none"/>
        </w:rPr>
        <w:fldChar w:fldCharType="begin"/>
      </w:r>
      <w:r>
        <w:rPr>
          <w:color w:val="auto"/>
          <w:highlight w:val="none"/>
        </w:rPr>
        <w:instrText xml:space="preserve"> PAGEREF _Toc62460229 \h </w:instrText>
      </w:r>
      <w:r>
        <w:rPr>
          <w:color w:val="auto"/>
          <w:highlight w:val="none"/>
        </w:rPr>
        <w:fldChar w:fldCharType="separate"/>
      </w:r>
      <w:r>
        <w:rPr>
          <w:color w:val="auto"/>
          <w:highlight w:val="none"/>
        </w:rPr>
        <w:t>148</w:t>
      </w:r>
      <w:r>
        <w:rPr>
          <w:color w:val="auto"/>
          <w:highlight w:val="none"/>
        </w:rPr>
        <w:fldChar w:fldCharType="end"/>
      </w:r>
    </w:p>
    <w:p>
      <w:pPr>
        <w:rPr>
          <w:color w:val="auto"/>
          <w:highlight w:val="none"/>
        </w:rPr>
      </w:pPr>
      <w:r>
        <w:rPr>
          <w:color w:val="auto"/>
          <w:highlight w:val="none"/>
        </w:rPr>
        <w:t>附图13  运维管理系统架构</w:t>
      </w:r>
      <w:r>
        <w:rPr>
          <w:color w:val="auto"/>
          <w:highlight w:val="none"/>
        </w:rPr>
        <w:tab/>
      </w:r>
      <w:r>
        <w:rPr>
          <w:color w:val="auto"/>
          <w:highlight w:val="none"/>
        </w:rPr>
        <w:fldChar w:fldCharType="begin"/>
      </w:r>
      <w:r>
        <w:rPr>
          <w:color w:val="auto"/>
          <w:highlight w:val="none"/>
        </w:rPr>
        <w:instrText xml:space="preserve"> PAGEREF _Toc62460230 \h </w:instrText>
      </w:r>
      <w:r>
        <w:rPr>
          <w:color w:val="auto"/>
          <w:highlight w:val="none"/>
        </w:rPr>
        <w:fldChar w:fldCharType="separate"/>
      </w:r>
      <w:r>
        <w:rPr>
          <w:color w:val="auto"/>
          <w:highlight w:val="none"/>
        </w:rPr>
        <w:t>149</w:t>
      </w:r>
      <w:r>
        <w:rPr>
          <w:color w:val="auto"/>
          <w:highlight w:val="none"/>
        </w:rPr>
        <w:fldChar w:fldCharType="end"/>
      </w:r>
    </w:p>
    <w:p>
      <w:pPr>
        <w:rPr>
          <w:color w:val="auto"/>
          <w:highlight w:val="none"/>
        </w:rPr>
      </w:pPr>
      <w:r>
        <w:rPr>
          <w:color w:val="auto"/>
          <w:highlight w:val="none"/>
        </w:rPr>
        <w:t>附图14  协同平台架构</w:t>
      </w:r>
      <w:r>
        <w:rPr>
          <w:color w:val="auto"/>
          <w:highlight w:val="none"/>
        </w:rPr>
        <w:tab/>
      </w:r>
      <w:r>
        <w:rPr>
          <w:color w:val="auto"/>
          <w:highlight w:val="none"/>
        </w:rPr>
        <w:fldChar w:fldCharType="begin"/>
      </w:r>
      <w:r>
        <w:rPr>
          <w:color w:val="auto"/>
          <w:highlight w:val="none"/>
        </w:rPr>
        <w:instrText xml:space="preserve"> PAGEREF _Toc62460231 \h </w:instrText>
      </w:r>
      <w:r>
        <w:rPr>
          <w:color w:val="auto"/>
          <w:highlight w:val="none"/>
        </w:rPr>
        <w:fldChar w:fldCharType="separate"/>
      </w:r>
      <w:r>
        <w:rPr>
          <w:color w:val="auto"/>
          <w:highlight w:val="none"/>
        </w:rPr>
        <w:t>149</w:t>
      </w:r>
      <w:r>
        <w:rPr>
          <w:color w:val="auto"/>
          <w:highlight w:val="none"/>
        </w:rPr>
        <w:fldChar w:fldCharType="end"/>
      </w:r>
    </w:p>
    <w:p>
      <w:pPr>
        <w:rPr>
          <w:color w:val="auto"/>
          <w:highlight w:val="none"/>
        </w:rPr>
      </w:pPr>
      <w:r>
        <w:rPr>
          <w:color w:val="auto"/>
          <w:highlight w:val="none"/>
        </w:rPr>
        <w:t>附图15  BIM协同平台架构</w:t>
      </w:r>
      <w:r>
        <w:rPr>
          <w:color w:val="auto"/>
          <w:highlight w:val="none"/>
        </w:rPr>
        <w:tab/>
      </w:r>
      <w:r>
        <w:rPr>
          <w:color w:val="auto"/>
          <w:highlight w:val="none"/>
        </w:rPr>
        <w:fldChar w:fldCharType="begin"/>
      </w:r>
      <w:r>
        <w:rPr>
          <w:color w:val="auto"/>
          <w:highlight w:val="none"/>
        </w:rPr>
        <w:instrText xml:space="preserve"> PAGEREF _Toc62460232 \h </w:instrText>
      </w:r>
      <w:r>
        <w:rPr>
          <w:color w:val="auto"/>
          <w:highlight w:val="none"/>
        </w:rPr>
        <w:fldChar w:fldCharType="separate"/>
      </w:r>
      <w:r>
        <w:rPr>
          <w:color w:val="auto"/>
          <w:highlight w:val="none"/>
        </w:rPr>
        <w:t>150</w:t>
      </w:r>
      <w:r>
        <w:rPr>
          <w:color w:val="auto"/>
          <w:highlight w:val="none"/>
        </w:rPr>
        <w:fldChar w:fldCharType="end"/>
      </w:r>
    </w:p>
    <w:p>
      <w:pPr>
        <w:rPr>
          <w:color w:val="auto"/>
          <w:highlight w:val="none"/>
        </w:rPr>
        <w:sectPr>
          <w:headerReference r:id="rId11" w:type="default"/>
          <w:footerReference r:id="rId12" w:type="default"/>
          <w:type w:val="nextColumn"/>
          <w:pgSz w:w="11905" w:h="16838"/>
          <w:pgMar w:top="1417" w:right="1417" w:bottom="1417" w:left="1417" w:header="720" w:footer="680" w:gutter="0"/>
          <w:cols w:space="720" w:num="1"/>
          <w:titlePg/>
          <w:docGrid w:linePitch="312" w:charSpace="0"/>
        </w:sectPr>
      </w:pPr>
      <w:r>
        <w:rPr>
          <w:color w:val="auto"/>
          <w:highlight w:val="none"/>
        </w:rPr>
        <w:fldChar w:fldCharType="end"/>
      </w:r>
    </w:p>
    <w:bookmarkEnd w:id="177"/>
    <w:p>
      <w:pPr>
        <w:rPr>
          <w:color w:val="auto"/>
          <w:highlight w:val="none"/>
        </w:rPr>
      </w:pPr>
      <w:bookmarkStart w:id="189" w:name="_bookmark18"/>
      <w:bookmarkEnd w:id="189"/>
      <w:bookmarkStart w:id="190" w:name="_bookmark13"/>
      <w:bookmarkEnd w:id="190"/>
      <w:bookmarkStart w:id="191" w:name="_bookmark4"/>
      <w:bookmarkEnd w:id="191"/>
      <w:bookmarkStart w:id="192" w:name="_bookmark10"/>
      <w:bookmarkEnd w:id="192"/>
      <w:bookmarkStart w:id="193" w:name="_bookmark12"/>
      <w:bookmarkEnd w:id="193"/>
      <w:bookmarkStart w:id="194" w:name="_bookmark2"/>
      <w:bookmarkEnd w:id="194"/>
      <w:bookmarkStart w:id="195" w:name="_bookmark9"/>
      <w:bookmarkEnd w:id="195"/>
      <w:bookmarkStart w:id="196" w:name="_bookmark16"/>
      <w:bookmarkEnd w:id="196"/>
      <w:bookmarkStart w:id="197" w:name="_bookmark17"/>
      <w:bookmarkEnd w:id="197"/>
      <w:bookmarkStart w:id="198" w:name="_bookmark3"/>
      <w:bookmarkEnd w:id="198"/>
      <w:r>
        <w:rPr>
          <w:color w:val="auto"/>
          <w:highlight w:val="none"/>
        </w:rPr>
        <w:tab/>
      </w:r>
      <w:bookmarkStart w:id="199" w:name="_Toc62460186"/>
      <w:bookmarkStart w:id="200" w:name="_Toc20"/>
      <w:r>
        <w:rPr>
          <w:rFonts w:hint="eastAsia"/>
          <w:color w:val="auto"/>
          <w:highlight w:val="none"/>
        </w:rPr>
        <w:t>模型体现</w:t>
      </w:r>
      <w:r>
        <w:rPr>
          <w:color w:val="auto"/>
          <w:highlight w:val="none"/>
        </w:rPr>
        <w:t>及应用点</w:t>
      </w:r>
      <w:bookmarkEnd w:id="199"/>
      <w:bookmarkEnd w:id="200"/>
    </w:p>
    <w:p>
      <w:pPr>
        <w:rPr>
          <w:color w:val="auto"/>
          <w:highlight w:val="none"/>
        </w:rPr>
      </w:pPr>
      <w:bookmarkStart w:id="201" w:name="_Toc20401"/>
      <w:bookmarkStart w:id="202" w:name="_Toc62460187"/>
      <w:r>
        <w:rPr>
          <w:color w:val="auto"/>
          <w:highlight w:val="none"/>
        </w:rPr>
        <w:t>BIM模型阶段化体现</w:t>
      </w:r>
      <w:bookmarkEnd w:id="201"/>
      <w:bookmarkEnd w:id="202"/>
    </w:p>
    <w:p>
      <w:pPr>
        <w:rPr>
          <w:color w:val="auto"/>
          <w:highlight w:val="none"/>
        </w:rPr>
      </w:pPr>
      <w:bookmarkStart w:id="203" w:name="_Toc7230"/>
      <w:r>
        <w:rPr>
          <w:color w:val="auto"/>
          <w:highlight w:val="none"/>
        </w:rPr>
        <w:t>在项目初始阶段，针对项目的特点和应用重点选择项目BIM目标，各阶段BIM模型体现如下表所示。</w:t>
      </w:r>
      <w:bookmarkEnd w:id="203"/>
    </w:p>
    <w:p>
      <w:pPr>
        <w:rPr>
          <w:color w:val="auto"/>
          <w:highlight w:val="none"/>
        </w:rPr>
      </w:pPr>
      <w:r>
        <w:rPr>
          <w:color w:val="auto"/>
          <w:highlight w:val="none"/>
        </w:rPr>
        <w:t>表1.1  各阶段BIM模型体现</w:t>
      </w:r>
    </w:p>
    <w:tbl>
      <w:tblPr>
        <w:tblStyle w:val="63"/>
        <w:tblW w:w="9171" w:type="dxa"/>
        <w:jc w:val="center"/>
        <w:tblLayout w:type="fixed"/>
        <w:tblCellMar>
          <w:top w:w="0" w:type="dxa"/>
          <w:left w:w="0" w:type="dxa"/>
          <w:bottom w:w="0" w:type="dxa"/>
          <w:right w:w="0" w:type="dxa"/>
        </w:tblCellMar>
      </w:tblPr>
      <w:tblGrid>
        <w:gridCol w:w="1065"/>
        <w:gridCol w:w="788"/>
        <w:gridCol w:w="1022"/>
        <w:gridCol w:w="1030"/>
        <w:gridCol w:w="859"/>
        <w:gridCol w:w="1014"/>
        <w:gridCol w:w="897"/>
        <w:gridCol w:w="897"/>
        <w:gridCol w:w="1599"/>
      </w:tblGrid>
      <w:tr>
        <w:tblPrEx>
          <w:tblCellMar>
            <w:top w:w="0" w:type="dxa"/>
            <w:left w:w="0" w:type="dxa"/>
            <w:bottom w:w="0" w:type="dxa"/>
            <w:right w:w="0" w:type="dxa"/>
          </w:tblCellMar>
        </w:tblPrEx>
        <w:trPr>
          <w:trHeight w:val="454" w:hRule="atLeast"/>
          <w:jc w:val="center"/>
        </w:trPr>
        <w:tc>
          <w:tcPr>
            <w:tcW w:w="106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阶段</w:t>
            </w:r>
          </w:p>
        </w:tc>
        <w:tc>
          <w:tcPr>
            <w:tcW w:w="788"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建筑</w:t>
            </w:r>
          </w:p>
        </w:tc>
        <w:tc>
          <w:tcPr>
            <w:tcW w:w="1022"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结构</w:t>
            </w:r>
          </w:p>
        </w:tc>
        <w:tc>
          <w:tcPr>
            <w:tcW w:w="4697" w:type="dxa"/>
            <w:gridSpan w:val="5"/>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机电</w:t>
            </w:r>
          </w:p>
        </w:tc>
        <w:tc>
          <w:tcPr>
            <w:tcW w:w="159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重点</w:t>
            </w:r>
          </w:p>
        </w:tc>
      </w:tr>
      <w:tr>
        <w:tblPrEx>
          <w:tblCellMar>
            <w:top w:w="0" w:type="dxa"/>
            <w:left w:w="0" w:type="dxa"/>
            <w:bottom w:w="0" w:type="dxa"/>
            <w:right w:w="0" w:type="dxa"/>
          </w:tblCellMar>
        </w:tblPrEx>
        <w:trPr>
          <w:trHeight w:val="454" w:hRule="atLeast"/>
          <w:jc w:val="center"/>
        </w:trPr>
        <w:tc>
          <w:tcPr>
            <w:tcW w:w="106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8"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22"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暖通</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消防</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给排水</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强电</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弱电</w:t>
            </w:r>
          </w:p>
        </w:tc>
        <w:tc>
          <w:tcPr>
            <w:tcW w:w="1599" w:type="dxa"/>
            <w:vMerge w:val="continue"/>
            <w:tcBorders>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方案设计</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面积，功能</w:t>
            </w: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初设</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协调，深化</w:t>
            </w: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施工图</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施工详图</w:t>
            </w: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管线综合</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管线深化</w:t>
            </w: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施工BIM应用管理</w:t>
            </w:r>
          </w:p>
        </w:tc>
      </w:tr>
      <w:tr>
        <w:tblPrEx>
          <w:tblCellMar>
            <w:top w:w="0" w:type="dxa"/>
            <w:left w:w="0" w:type="dxa"/>
            <w:bottom w:w="0" w:type="dxa"/>
            <w:right w:w="0" w:type="dxa"/>
          </w:tblCellMar>
        </w:tblPrEx>
        <w:trPr>
          <w:trHeight w:val="454" w:hRule="atLeast"/>
          <w:jc w:val="center"/>
        </w:trPr>
        <w:tc>
          <w:tcPr>
            <w:tcW w:w="106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竣工</w:t>
            </w:r>
          </w:p>
        </w:tc>
        <w:tc>
          <w:tcPr>
            <w:tcW w:w="78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3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89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t>
            </w:r>
          </w:p>
        </w:tc>
        <w:tc>
          <w:tcPr>
            <w:tcW w:w="15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信息完整性</w:t>
            </w:r>
          </w:p>
        </w:tc>
      </w:tr>
    </w:tbl>
    <w:p>
      <w:pPr>
        <w:rPr>
          <w:color w:val="auto"/>
          <w:highlight w:val="none"/>
        </w:rPr>
      </w:pPr>
      <w:bookmarkStart w:id="204" w:name="_Toc15959"/>
      <w:bookmarkStart w:id="205" w:name="_Toc62460188"/>
      <w:r>
        <w:rPr>
          <w:color w:val="auto"/>
          <w:highlight w:val="none"/>
        </w:rPr>
        <w:t>BIM模型阶段应用点分析</w:t>
      </w:r>
      <w:bookmarkEnd w:id="204"/>
      <w:bookmarkEnd w:id="205"/>
    </w:p>
    <w:p>
      <w:pPr>
        <w:rPr>
          <w:color w:val="auto"/>
          <w:highlight w:val="none"/>
        </w:rPr>
      </w:pPr>
      <w:bookmarkStart w:id="206" w:name="_Toc21246"/>
      <w:r>
        <w:rPr>
          <w:color w:val="auto"/>
          <w:highlight w:val="none"/>
        </w:rPr>
        <w:t>设计阶段</w:t>
      </w:r>
      <w:bookmarkEnd w:id="206"/>
    </w:p>
    <w:p>
      <w:pPr>
        <w:rPr>
          <w:color w:val="auto"/>
          <w:highlight w:val="none"/>
        </w:rPr>
      </w:pPr>
      <w:bookmarkStart w:id="207" w:name="_Toc11679"/>
      <w:r>
        <w:rPr>
          <w:color w:val="auto"/>
          <w:highlight w:val="none"/>
        </w:rPr>
        <w:t>1  概念设计阶段</w:t>
      </w:r>
      <w:bookmarkEnd w:id="207"/>
    </w:p>
    <w:p>
      <w:pPr>
        <w:rPr>
          <w:color w:val="auto"/>
          <w:highlight w:val="none"/>
        </w:rPr>
      </w:pPr>
      <w:r>
        <w:rPr>
          <w:color w:val="auto"/>
          <w:highlight w:val="none"/>
        </w:rPr>
        <w:t>1）对设计理念进行可视化进行表达；</w:t>
      </w:r>
    </w:p>
    <w:p>
      <w:pPr>
        <w:rPr>
          <w:color w:val="auto"/>
          <w:highlight w:val="none"/>
        </w:rPr>
      </w:pPr>
      <w:r>
        <w:rPr>
          <w:color w:val="auto"/>
          <w:highlight w:val="none"/>
        </w:rPr>
        <w:t>2）通过参数化对风、光、日照进行模拟分析；</w:t>
      </w:r>
    </w:p>
    <w:p>
      <w:pPr>
        <w:rPr>
          <w:color w:val="auto"/>
          <w:highlight w:val="none"/>
        </w:rPr>
      </w:pPr>
      <w:r>
        <w:rPr>
          <w:color w:val="auto"/>
          <w:highlight w:val="none"/>
        </w:rPr>
        <w:t>3）强化对设计理念的准确理解</w:t>
      </w:r>
      <w:r>
        <w:rPr>
          <w:rFonts w:hint="eastAsia"/>
          <w:color w:val="auto"/>
          <w:highlight w:val="none"/>
        </w:rPr>
        <w:t>；</w:t>
      </w:r>
    </w:p>
    <w:p>
      <w:pPr>
        <w:rPr>
          <w:color w:val="auto"/>
          <w:highlight w:val="none"/>
        </w:rPr>
      </w:pPr>
      <w:r>
        <w:rPr>
          <w:rFonts w:hint="eastAsia"/>
          <w:color w:val="auto"/>
          <w:highlight w:val="none"/>
        </w:rPr>
        <w:t>3）</w:t>
      </w:r>
      <w:r>
        <w:rPr>
          <w:color w:val="auto"/>
          <w:highlight w:val="none"/>
        </w:rPr>
        <w:t>。</w:t>
      </w:r>
    </w:p>
    <w:p>
      <w:pPr>
        <w:rPr>
          <w:color w:val="auto"/>
          <w:highlight w:val="none"/>
        </w:rPr>
      </w:pPr>
      <w:bookmarkStart w:id="208" w:name="_Toc30638"/>
      <w:r>
        <w:rPr>
          <w:color w:val="auto"/>
          <w:highlight w:val="none"/>
        </w:rPr>
        <w:t>2  方案设计阶段</w:t>
      </w:r>
      <w:bookmarkEnd w:id="208"/>
    </w:p>
    <w:p>
      <w:pPr>
        <w:rPr>
          <w:color w:val="auto"/>
          <w:highlight w:val="none"/>
        </w:rPr>
      </w:pPr>
      <w:r>
        <w:rPr>
          <w:color w:val="auto"/>
          <w:highlight w:val="none"/>
        </w:rPr>
        <w:t>1）利用可视化对设计方案进行比对和优化；</w:t>
      </w:r>
    </w:p>
    <w:p>
      <w:pPr>
        <w:rPr>
          <w:color w:val="auto"/>
          <w:highlight w:val="none"/>
        </w:rPr>
      </w:pPr>
      <w:r>
        <w:rPr>
          <w:color w:val="auto"/>
          <w:highlight w:val="none"/>
        </w:rPr>
        <w:t>2）利用参数化进行性能分析和方案分析；</w:t>
      </w:r>
    </w:p>
    <w:p>
      <w:pPr>
        <w:rPr>
          <w:color w:val="auto"/>
          <w:highlight w:val="none"/>
        </w:rPr>
      </w:pPr>
      <w:r>
        <w:rPr>
          <w:color w:val="auto"/>
          <w:highlight w:val="none"/>
        </w:rPr>
        <w:t>3）统计和计算设计中各种数据；</w:t>
      </w:r>
    </w:p>
    <w:p>
      <w:pPr>
        <w:rPr>
          <w:color w:val="auto"/>
          <w:highlight w:val="none"/>
        </w:rPr>
      </w:pPr>
      <w:r>
        <w:rPr>
          <w:color w:val="auto"/>
          <w:highlight w:val="none"/>
        </w:rPr>
        <w:t>4）实现多专业协同设计。</w:t>
      </w:r>
    </w:p>
    <w:p>
      <w:pPr>
        <w:rPr>
          <w:color w:val="auto"/>
          <w:highlight w:val="none"/>
        </w:rPr>
      </w:pPr>
      <w:bookmarkStart w:id="209" w:name="_Toc24735"/>
      <w:r>
        <w:rPr>
          <w:color w:val="auto"/>
          <w:highlight w:val="none"/>
        </w:rPr>
        <w:t>3  施工图设计阶段</w:t>
      </w:r>
      <w:bookmarkEnd w:id="209"/>
    </w:p>
    <w:p>
      <w:pPr>
        <w:rPr>
          <w:color w:val="auto"/>
          <w:highlight w:val="none"/>
        </w:rPr>
      </w:pPr>
      <w:r>
        <w:rPr>
          <w:color w:val="auto"/>
          <w:highlight w:val="none"/>
        </w:rPr>
        <w:t>1）通过模型进行施工图深化；</w:t>
      </w:r>
    </w:p>
    <w:p>
      <w:pPr>
        <w:rPr>
          <w:color w:val="auto"/>
          <w:highlight w:val="none"/>
        </w:rPr>
      </w:pPr>
      <w:r>
        <w:rPr>
          <w:color w:val="auto"/>
          <w:highlight w:val="none"/>
        </w:rPr>
        <w:t>2）通过参数化提高设计出图效率；</w:t>
      </w:r>
    </w:p>
    <w:p>
      <w:pPr>
        <w:rPr>
          <w:color w:val="auto"/>
          <w:highlight w:val="none"/>
        </w:rPr>
      </w:pPr>
      <w:r>
        <w:rPr>
          <w:color w:val="auto"/>
          <w:highlight w:val="none"/>
        </w:rPr>
        <w:t>3）通过模型进行设计交底</w:t>
      </w:r>
      <w:r>
        <w:rPr>
          <w:rFonts w:hint="eastAsia"/>
          <w:color w:val="auto"/>
          <w:highlight w:val="none"/>
        </w:rPr>
        <w:t>；</w:t>
      </w:r>
    </w:p>
    <w:p>
      <w:pPr>
        <w:rPr>
          <w:color w:val="auto"/>
          <w:highlight w:val="none"/>
        </w:rPr>
      </w:pPr>
      <w:r>
        <w:rPr>
          <w:color w:val="auto"/>
          <w:highlight w:val="none"/>
        </w:rPr>
        <w:t>4）实现多方设计协同</w:t>
      </w:r>
      <w:r>
        <w:rPr>
          <w:rFonts w:hint="eastAsia"/>
          <w:color w:val="auto"/>
          <w:highlight w:val="none"/>
        </w:rPr>
        <w:t>。</w:t>
      </w:r>
    </w:p>
    <w:p>
      <w:pPr>
        <w:rPr>
          <w:color w:val="auto"/>
          <w:highlight w:val="none"/>
        </w:rPr>
      </w:pPr>
      <w:bookmarkStart w:id="210" w:name="_Toc4513"/>
      <w:r>
        <w:rPr>
          <w:color w:val="auto"/>
          <w:highlight w:val="none"/>
        </w:rPr>
        <w:t>4  机电管线路由优化</w:t>
      </w:r>
      <w:bookmarkEnd w:id="210"/>
    </w:p>
    <w:p>
      <w:pPr>
        <w:rPr>
          <w:color w:val="auto"/>
          <w:highlight w:val="none"/>
        </w:rPr>
      </w:pPr>
      <w:r>
        <w:rPr>
          <w:color w:val="auto"/>
          <w:highlight w:val="none"/>
        </w:rPr>
        <w:t>1）通过参数化进行路由路径分析</w:t>
      </w:r>
      <w:r>
        <w:rPr>
          <w:rFonts w:hint="eastAsia"/>
          <w:color w:val="auto"/>
          <w:highlight w:val="none"/>
        </w:rPr>
        <w:t>；</w:t>
      </w:r>
    </w:p>
    <w:p>
      <w:pPr>
        <w:rPr>
          <w:color w:val="auto"/>
          <w:highlight w:val="none"/>
        </w:rPr>
      </w:pPr>
      <w:r>
        <w:rPr>
          <w:color w:val="auto"/>
          <w:highlight w:val="none"/>
        </w:rPr>
        <w:t>2）通过模型可视化表达管线优化结果</w:t>
      </w:r>
      <w:r>
        <w:rPr>
          <w:rFonts w:hint="eastAsia"/>
          <w:color w:val="auto"/>
          <w:highlight w:val="none"/>
        </w:rPr>
        <w:t>。</w:t>
      </w:r>
    </w:p>
    <w:p>
      <w:pPr>
        <w:rPr>
          <w:color w:val="auto"/>
          <w:highlight w:val="none"/>
        </w:rPr>
      </w:pPr>
      <w:bookmarkStart w:id="211" w:name="_Toc14222"/>
      <w:r>
        <w:rPr>
          <w:color w:val="auto"/>
          <w:highlight w:val="none"/>
        </w:rPr>
        <w:t>5  设备安装模拟</w:t>
      </w:r>
      <w:bookmarkEnd w:id="211"/>
    </w:p>
    <w:p>
      <w:pPr>
        <w:rPr>
          <w:color w:val="auto"/>
          <w:highlight w:val="none"/>
        </w:rPr>
      </w:pPr>
      <w:r>
        <w:rPr>
          <w:color w:val="auto"/>
          <w:highlight w:val="none"/>
        </w:rPr>
        <w:t>1）通过参数化模拟设备安装</w:t>
      </w:r>
      <w:r>
        <w:rPr>
          <w:rFonts w:hint="eastAsia"/>
          <w:color w:val="auto"/>
          <w:highlight w:val="none"/>
        </w:rPr>
        <w:t>；</w:t>
      </w:r>
    </w:p>
    <w:p>
      <w:pPr>
        <w:rPr>
          <w:color w:val="auto"/>
          <w:highlight w:val="none"/>
        </w:rPr>
      </w:pPr>
      <w:r>
        <w:rPr>
          <w:color w:val="auto"/>
          <w:highlight w:val="none"/>
        </w:rPr>
        <w:t>2）通过模型可视化指导设备安装施工</w:t>
      </w:r>
      <w:r>
        <w:rPr>
          <w:rFonts w:hint="eastAsia"/>
          <w:color w:val="auto"/>
          <w:highlight w:val="none"/>
        </w:rPr>
        <w:t>。</w:t>
      </w:r>
    </w:p>
    <w:p>
      <w:pPr>
        <w:rPr>
          <w:color w:val="auto"/>
          <w:highlight w:val="none"/>
        </w:rPr>
      </w:pPr>
      <w:bookmarkStart w:id="212" w:name="_Toc26014"/>
      <w:r>
        <w:rPr>
          <w:color w:val="auto"/>
          <w:highlight w:val="none"/>
        </w:rPr>
        <w:t>6  施工交底</w:t>
      </w:r>
      <w:bookmarkEnd w:id="212"/>
    </w:p>
    <w:p>
      <w:pPr>
        <w:rPr>
          <w:color w:val="auto"/>
          <w:highlight w:val="none"/>
        </w:rPr>
      </w:pPr>
      <w:r>
        <w:rPr>
          <w:color w:val="auto"/>
          <w:highlight w:val="none"/>
        </w:rPr>
        <w:t>1）通过模型进行多方交互</w:t>
      </w:r>
      <w:r>
        <w:rPr>
          <w:rFonts w:hint="eastAsia"/>
          <w:color w:val="auto"/>
          <w:highlight w:val="none"/>
        </w:rPr>
        <w:t>；</w:t>
      </w:r>
    </w:p>
    <w:p>
      <w:pPr>
        <w:rPr>
          <w:color w:val="auto"/>
          <w:highlight w:val="none"/>
        </w:rPr>
      </w:pPr>
      <w:r>
        <w:rPr>
          <w:color w:val="auto"/>
          <w:highlight w:val="none"/>
        </w:rPr>
        <w:t>2）通过参数化进行数据交底</w:t>
      </w:r>
      <w:r>
        <w:rPr>
          <w:rFonts w:hint="eastAsia"/>
          <w:color w:val="auto"/>
          <w:highlight w:val="none"/>
        </w:rPr>
        <w:t>。</w:t>
      </w:r>
    </w:p>
    <w:p>
      <w:pPr>
        <w:rPr>
          <w:color w:val="auto"/>
          <w:highlight w:val="none"/>
        </w:rPr>
      </w:pPr>
      <w:bookmarkStart w:id="213" w:name="_Toc23513"/>
      <w:r>
        <w:rPr>
          <w:rFonts w:hint="eastAsia"/>
          <w:color w:val="auto"/>
          <w:highlight w:val="none"/>
        </w:rPr>
        <w:t>7规划报批BIM审查</w:t>
      </w:r>
      <w:bookmarkEnd w:id="213"/>
    </w:p>
    <w:p>
      <w:pPr>
        <w:rPr>
          <w:color w:val="auto"/>
          <w:highlight w:val="none"/>
        </w:rPr>
      </w:pPr>
      <w:r>
        <w:rPr>
          <w:color w:val="auto"/>
          <w:highlight w:val="none"/>
        </w:rPr>
        <w:t>1）</w:t>
      </w:r>
      <w:r>
        <w:rPr>
          <w:rFonts w:hint="eastAsia"/>
          <w:color w:val="auto"/>
          <w:highlight w:val="none"/>
        </w:rPr>
        <w:t>规划信息录入；</w:t>
      </w:r>
    </w:p>
    <w:p>
      <w:pPr>
        <w:rPr>
          <w:color w:val="auto"/>
          <w:highlight w:val="none"/>
        </w:rPr>
      </w:pPr>
      <w:r>
        <w:rPr>
          <w:color w:val="auto"/>
          <w:highlight w:val="none"/>
        </w:rPr>
        <w:t>2）</w:t>
      </w:r>
      <w:r>
        <w:rPr>
          <w:rFonts w:hint="eastAsia"/>
          <w:color w:val="auto"/>
          <w:highlight w:val="none"/>
        </w:rPr>
        <w:t>规划信息满足设计方案BIM报批系统对于BIM审查的要求。</w:t>
      </w:r>
    </w:p>
    <w:p>
      <w:pPr>
        <w:rPr>
          <w:color w:val="auto"/>
          <w:highlight w:val="none"/>
        </w:rPr>
      </w:pPr>
      <w:bookmarkStart w:id="214" w:name="_Toc6168"/>
      <w:r>
        <w:rPr>
          <w:color w:val="auto"/>
          <w:highlight w:val="none"/>
        </w:rPr>
        <w:t xml:space="preserve">8  </w:t>
      </w:r>
      <w:r>
        <w:rPr>
          <w:rFonts w:hint="eastAsia"/>
          <w:color w:val="auto"/>
          <w:highlight w:val="none"/>
        </w:rPr>
        <w:t>施工图BIM审查</w:t>
      </w:r>
      <w:bookmarkEnd w:id="214"/>
    </w:p>
    <w:p>
      <w:pPr>
        <w:rPr>
          <w:color w:val="auto"/>
          <w:highlight w:val="none"/>
        </w:rPr>
      </w:pPr>
      <w:r>
        <w:rPr>
          <w:color w:val="auto"/>
          <w:highlight w:val="none"/>
        </w:rPr>
        <w:t>1）</w:t>
      </w:r>
      <w:r>
        <w:rPr>
          <w:rFonts w:hint="eastAsia"/>
          <w:color w:val="auto"/>
          <w:highlight w:val="none"/>
        </w:rPr>
        <w:t>施工图信息录入；</w:t>
      </w:r>
    </w:p>
    <w:p>
      <w:pPr>
        <w:rPr>
          <w:color w:val="auto"/>
          <w:highlight w:val="none"/>
        </w:rPr>
      </w:pPr>
      <w:r>
        <w:rPr>
          <w:color w:val="auto"/>
          <w:highlight w:val="none"/>
        </w:rPr>
        <w:t>2）</w:t>
      </w:r>
      <w:r>
        <w:rPr>
          <w:rFonts w:hint="eastAsia"/>
          <w:color w:val="auto"/>
          <w:highlight w:val="none"/>
        </w:rPr>
        <w:t>施工图信息满足施工图审查平台对于BIM审查的要求。</w:t>
      </w:r>
    </w:p>
    <w:p>
      <w:pPr>
        <w:rPr>
          <w:color w:val="auto"/>
          <w:highlight w:val="none"/>
        </w:rPr>
      </w:pPr>
      <w:bookmarkStart w:id="215" w:name="_Toc26104"/>
      <w:r>
        <w:rPr>
          <w:color w:val="auto"/>
          <w:highlight w:val="none"/>
        </w:rPr>
        <w:t xml:space="preserve">9  </w:t>
      </w:r>
      <w:r>
        <w:rPr>
          <w:rFonts w:hint="eastAsia"/>
          <w:color w:val="auto"/>
          <w:highlight w:val="none"/>
        </w:rPr>
        <w:t>对接CIM平台</w:t>
      </w:r>
      <w:bookmarkEnd w:id="215"/>
    </w:p>
    <w:p>
      <w:pPr>
        <w:rPr>
          <w:color w:val="auto"/>
          <w:highlight w:val="none"/>
        </w:rPr>
      </w:pPr>
      <w:r>
        <w:rPr>
          <w:color w:val="auto"/>
          <w:highlight w:val="none"/>
        </w:rPr>
        <w:t>1）</w:t>
      </w:r>
      <w:r>
        <w:rPr>
          <w:rFonts w:hint="eastAsia"/>
          <w:color w:val="auto"/>
          <w:highlight w:val="none"/>
        </w:rPr>
        <w:t>CIM平台数据传递；</w:t>
      </w:r>
    </w:p>
    <w:p>
      <w:pPr>
        <w:rPr>
          <w:color w:val="auto"/>
          <w:highlight w:val="none"/>
        </w:rPr>
      </w:pPr>
      <w:r>
        <w:rPr>
          <w:color w:val="auto"/>
          <w:highlight w:val="none"/>
        </w:rPr>
        <w:t>2）</w:t>
      </w:r>
      <w:r>
        <w:rPr>
          <w:rFonts w:hint="eastAsia"/>
          <w:color w:val="auto"/>
          <w:highlight w:val="none"/>
        </w:rPr>
        <w:t>基于CIM平台的数据管理及应用。</w:t>
      </w:r>
    </w:p>
    <w:p>
      <w:pPr>
        <w:rPr>
          <w:color w:val="auto"/>
          <w:highlight w:val="none"/>
        </w:rPr>
      </w:pPr>
      <w:bookmarkStart w:id="216" w:name="_Toc5681"/>
      <w:r>
        <w:rPr>
          <w:color w:val="auto"/>
          <w:highlight w:val="none"/>
        </w:rPr>
        <w:t>实施阶段</w:t>
      </w:r>
      <w:bookmarkEnd w:id="216"/>
    </w:p>
    <w:p>
      <w:pPr>
        <w:rPr>
          <w:color w:val="auto"/>
          <w:highlight w:val="none"/>
        </w:rPr>
      </w:pPr>
      <w:bookmarkStart w:id="217" w:name="_Toc4840"/>
      <w:r>
        <w:rPr>
          <w:color w:val="auto"/>
          <w:highlight w:val="none"/>
        </w:rPr>
        <w:t>1  施工准备阶段</w:t>
      </w:r>
      <w:bookmarkEnd w:id="217"/>
    </w:p>
    <w:p>
      <w:pPr>
        <w:rPr>
          <w:color w:val="auto"/>
          <w:highlight w:val="none"/>
        </w:rPr>
      </w:pPr>
      <w:r>
        <w:rPr>
          <w:color w:val="auto"/>
          <w:highlight w:val="none"/>
        </w:rPr>
        <w:t>1）土建基槽开挖</w:t>
      </w:r>
    </w:p>
    <w:p>
      <w:pPr>
        <w:rPr>
          <w:color w:val="auto"/>
          <w:highlight w:val="none"/>
        </w:rPr>
      </w:pPr>
      <w:r>
        <w:rPr>
          <w:color w:val="auto"/>
          <w:highlight w:val="none"/>
        </w:rPr>
        <w:t>（1）通过模型进行可视化表达</w:t>
      </w:r>
      <w:r>
        <w:rPr>
          <w:rFonts w:hint="eastAsia"/>
          <w:color w:val="auto"/>
          <w:highlight w:val="none"/>
        </w:rPr>
        <w:t>；</w:t>
      </w:r>
    </w:p>
    <w:p>
      <w:pPr>
        <w:rPr>
          <w:color w:val="auto"/>
          <w:highlight w:val="none"/>
        </w:rPr>
      </w:pPr>
      <w:r>
        <w:rPr>
          <w:color w:val="auto"/>
          <w:highlight w:val="none"/>
        </w:rPr>
        <w:t>（2）通过参数化进行土方量统计。</w:t>
      </w:r>
    </w:p>
    <w:p>
      <w:pPr>
        <w:rPr>
          <w:color w:val="auto"/>
          <w:highlight w:val="none"/>
        </w:rPr>
      </w:pPr>
      <w:r>
        <w:rPr>
          <w:color w:val="auto"/>
          <w:highlight w:val="none"/>
        </w:rPr>
        <w:t>2）结构洞口预留预埋</w:t>
      </w:r>
    </w:p>
    <w:p>
      <w:pPr>
        <w:rPr>
          <w:color w:val="auto"/>
          <w:highlight w:val="none"/>
        </w:rPr>
      </w:pPr>
      <w:r>
        <w:rPr>
          <w:color w:val="auto"/>
          <w:highlight w:val="none"/>
        </w:rPr>
        <w:t>（1）通过模型实现多方协同</w:t>
      </w:r>
      <w:r>
        <w:rPr>
          <w:rFonts w:hint="eastAsia"/>
          <w:color w:val="auto"/>
          <w:highlight w:val="none"/>
        </w:rPr>
        <w:t>；</w:t>
      </w:r>
    </w:p>
    <w:p>
      <w:pPr>
        <w:rPr>
          <w:color w:val="auto"/>
          <w:highlight w:val="none"/>
        </w:rPr>
      </w:pPr>
      <w:r>
        <w:rPr>
          <w:color w:val="auto"/>
          <w:highlight w:val="none"/>
        </w:rPr>
        <w:t>（2）通过参数化精确洞口预留预埋。</w:t>
      </w:r>
    </w:p>
    <w:p>
      <w:pPr>
        <w:rPr>
          <w:color w:val="auto"/>
          <w:highlight w:val="none"/>
        </w:rPr>
      </w:pPr>
      <w:r>
        <w:rPr>
          <w:color w:val="auto"/>
          <w:highlight w:val="none"/>
        </w:rPr>
        <w:t>3）机电管线碰撞分析</w:t>
      </w:r>
    </w:p>
    <w:p>
      <w:pPr>
        <w:rPr>
          <w:color w:val="auto"/>
          <w:highlight w:val="none"/>
        </w:rPr>
      </w:pPr>
      <w:r>
        <w:rPr>
          <w:color w:val="auto"/>
          <w:highlight w:val="none"/>
        </w:rPr>
        <w:t>（1）通过参数化进行碰撞检查；</w:t>
      </w:r>
    </w:p>
    <w:p>
      <w:pPr>
        <w:rPr>
          <w:color w:val="auto"/>
          <w:highlight w:val="none"/>
        </w:rPr>
      </w:pPr>
      <w:r>
        <w:rPr>
          <w:color w:val="auto"/>
          <w:highlight w:val="none"/>
        </w:rPr>
        <w:t>（2）通过模型可视化表达碰撞结果；</w:t>
      </w:r>
    </w:p>
    <w:p>
      <w:pPr>
        <w:rPr>
          <w:color w:val="auto"/>
          <w:highlight w:val="none"/>
        </w:rPr>
      </w:pPr>
      <w:r>
        <w:rPr>
          <w:color w:val="auto"/>
          <w:highlight w:val="none"/>
        </w:rPr>
        <w:t>（3）通过模型进行统计分析。</w:t>
      </w:r>
    </w:p>
    <w:p>
      <w:pPr>
        <w:rPr>
          <w:color w:val="auto"/>
          <w:highlight w:val="none"/>
        </w:rPr>
      </w:pPr>
      <w:r>
        <w:rPr>
          <w:color w:val="auto"/>
          <w:highlight w:val="none"/>
        </w:rPr>
        <w:t>4）机电管线路由优化</w:t>
      </w:r>
    </w:p>
    <w:p>
      <w:pPr>
        <w:rPr>
          <w:color w:val="auto"/>
          <w:highlight w:val="none"/>
        </w:rPr>
      </w:pPr>
      <w:r>
        <w:rPr>
          <w:color w:val="auto"/>
          <w:highlight w:val="none"/>
        </w:rPr>
        <w:t>（1）通过参数化进行路由路径分析</w:t>
      </w:r>
      <w:r>
        <w:rPr>
          <w:rFonts w:hint="eastAsia"/>
          <w:color w:val="auto"/>
          <w:highlight w:val="none"/>
        </w:rPr>
        <w:t>；</w:t>
      </w:r>
    </w:p>
    <w:p>
      <w:pPr>
        <w:rPr>
          <w:color w:val="auto"/>
          <w:highlight w:val="none"/>
        </w:rPr>
      </w:pPr>
      <w:r>
        <w:rPr>
          <w:color w:val="auto"/>
          <w:highlight w:val="none"/>
        </w:rPr>
        <w:t>（2）通过模型可视化表达管线优化结果。</w:t>
      </w:r>
    </w:p>
    <w:p>
      <w:pPr>
        <w:rPr>
          <w:color w:val="auto"/>
          <w:highlight w:val="none"/>
        </w:rPr>
      </w:pPr>
      <w:r>
        <w:rPr>
          <w:color w:val="auto"/>
          <w:highlight w:val="none"/>
        </w:rPr>
        <w:t>5）设备安装模拟</w:t>
      </w:r>
    </w:p>
    <w:p>
      <w:pPr>
        <w:rPr>
          <w:color w:val="auto"/>
          <w:highlight w:val="none"/>
        </w:rPr>
      </w:pPr>
      <w:r>
        <w:rPr>
          <w:color w:val="auto"/>
          <w:highlight w:val="none"/>
        </w:rPr>
        <w:t>（1）通过参数化模拟设备安装</w:t>
      </w:r>
      <w:r>
        <w:rPr>
          <w:rFonts w:hint="eastAsia"/>
          <w:color w:val="auto"/>
          <w:highlight w:val="none"/>
        </w:rPr>
        <w:t>；</w:t>
      </w:r>
    </w:p>
    <w:p>
      <w:pPr>
        <w:rPr>
          <w:color w:val="auto"/>
          <w:highlight w:val="none"/>
        </w:rPr>
      </w:pPr>
      <w:r>
        <w:rPr>
          <w:color w:val="auto"/>
          <w:highlight w:val="none"/>
        </w:rPr>
        <w:t>（2）通过模型可视化指导设备安装施工。</w:t>
      </w:r>
    </w:p>
    <w:p>
      <w:pPr>
        <w:rPr>
          <w:color w:val="auto"/>
          <w:highlight w:val="none"/>
        </w:rPr>
      </w:pPr>
      <w:r>
        <w:rPr>
          <w:rFonts w:hint="eastAsia"/>
          <w:color w:val="auto"/>
          <w:highlight w:val="none"/>
        </w:rPr>
        <w:t>6</w:t>
      </w:r>
      <w:r>
        <w:rPr>
          <w:color w:val="auto"/>
          <w:highlight w:val="none"/>
        </w:rPr>
        <w:t>）</w:t>
      </w:r>
      <w:r>
        <w:rPr>
          <w:rFonts w:hint="eastAsia"/>
          <w:color w:val="auto"/>
          <w:highlight w:val="none"/>
        </w:rPr>
        <w:t>施工现场BIM总平面布置模拟</w:t>
      </w:r>
    </w:p>
    <w:p>
      <w:pPr>
        <w:rPr>
          <w:color w:val="auto"/>
          <w:highlight w:val="none"/>
        </w:rPr>
      </w:pPr>
      <w:r>
        <w:rPr>
          <w:color w:val="auto"/>
          <w:highlight w:val="none"/>
        </w:rPr>
        <w:t>（1）通过模型</w:t>
      </w:r>
      <w:r>
        <w:rPr>
          <w:rFonts w:hint="eastAsia"/>
          <w:color w:val="auto"/>
          <w:highlight w:val="none"/>
        </w:rPr>
        <w:t>合理规划施工现场总平面布置；</w:t>
      </w:r>
    </w:p>
    <w:p>
      <w:pPr>
        <w:rPr>
          <w:color w:val="auto"/>
          <w:highlight w:val="none"/>
        </w:rPr>
      </w:pPr>
      <w:r>
        <w:rPr>
          <w:color w:val="auto"/>
          <w:highlight w:val="none"/>
        </w:rPr>
        <w:t>（2）</w:t>
      </w:r>
      <w:r>
        <w:rPr>
          <w:rFonts w:hint="eastAsia"/>
          <w:color w:val="auto"/>
          <w:highlight w:val="none"/>
        </w:rPr>
        <w:t>利用总平模型，优化现场临时建筑、车辆、设备及人员之间的空间关系</w:t>
      </w:r>
      <w:r>
        <w:rPr>
          <w:color w:val="auto"/>
          <w:highlight w:val="none"/>
        </w:rPr>
        <w:t>。</w:t>
      </w:r>
    </w:p>
    <w:p>
      <w:pPr>
        <w:rPr>
          <w:color w:val="auto"/>
          <w:highlight w:val="none"/>
        </w:rPr>
      </w:pPr>
      <w:bookmarkStart w:id="218" w:name="_Toc9165"/>
      <w:r>
        <w:rPr>
          <w:color w:val="auto"/>
          <w:highlight w:val="none"/>
        </w:rPr>
        <w:t>2  施工阶段</w:t>
      </w:r>
      <w:bookmarkEnd w:id="218"/>
    </w:p>
    <w:p>
      <w:pPr>
        <w:rPr>
          <w:color w:val="auto"/>
          <w:highlight w:val="none"/>
        </w:rPr>
      </w:pPr>
      <w:r>
        <w:rPr>
          <w:color w:val="auto"/>
          <w:highlight w:val="none"/>
        </w:rPr>
        <w:t>1）施工进度管理</w:t>
      </w:r>
    </w:p>
    <w:p>
      <w:pPr>
        <w:rPr>
          <w:color w:val="auto"/>
          <w:highlight w:val="none"/>
        </w:rPr>
      </w:pPr>
      <w:r>
        <w:rPr>
          <w:color w:val="auto"/>
          <w:highlight w:val="none"/>
        </w:rPr>
        <w:t>（1）通过参数化关联施工进度数据；</w:t>
      </w:r>
    </w:p>
    <w:p>
      <w:pPr>
        <w:rPr>
          <w:color w:val="auto"/>
          <w:highlight w:val="none"/>
        </w:rPr>
      </w:pPr>
      <w:r>
        <w:rPr>
          <w:color w:val="auto"/>
          <w:highlight w:val="none"/>
        </w:rPr>
        <w:t>（2）通过模型准确表达施工进度状况；</w:t>
      </w:r>
    </w:p>
    <w:p>
      <w:pPr>
        <w:rPr>
          <w:color w:val="auto"/>
          <w:highlight w:val="none"/>
        </w:rPr>
      </w:pPr>
      <w:r>
        <w:rPr>
          <w:color w:val="auto"/>
          <w:highlight w:val="none"/>
        </w:rPr>
        <w:t>（3）建立施工进度自动预警系统。</w:t>
      </w:r>
    </w:p>
    <w:p>
      <w:pPr>
        <w:rPr>
          <w:color w:val="auto"/>
          <w:highlight w:val="none"/>
        </w:rPr>
      </w:pPr>
      <w:r>
        <w:rPr>
          <w:color w:val="auto"/>
          <w:highlight w:val="none"/>
        </w:rPr>
        <w:t>2）施工变更管理</w:t>
      </w:r>
    </w:p>
    <w:p>
      <w:pPr>
        <w:rPr>
          <w:color w:val="auto"/>
          <w:highlight w:val="none"/>
        </w:rPr>
      </w:pPr>
      <w:r>
        <w:rPr>
          <w:color w:val="auto"/>
          <w:highlight w:val="none"/>
        </w:rPr>
        <w:t>（1）通过模型实现变更内容的直观表达；</w:t>
      </w:r>
    </w:p>
    <w:p>
      <w:pPr>
        <w:rPr>
          <w:color w:val="auto"/>
          <w:highlight w:val="none"/>
        </w:rPr>
      </w:pPr>
      <w:r>
        <w:rPr>
          <w:color w:val="auto"/>
          <w:highlight w:val="none"/>
        </w:rPr>
        <w:t>（2）通过参数化实现变更的数据统计；</w:t>
      </w:r>
    </w:p>
    <w:p>
      <w:pPr>
        <w:rPr>
          <w:color w:val="auto"/>
          <w:highlight w:val="none"/>
        </w:rPr>
      </w:pPr>
      <w:r>
        <w:rPr>
          <w:color w:val="auto"/>
          <w:highlight w:val="none"/>
        </w:rPr>
        <w:t>（3）强化施工变更的规范化管理。</w:t>
      </w:r>
    </w:p>
    <w:p>
      <w:pPr>
        <w:rPr>
          <w:color w:val="auto"/>
          <w:highlight w:val="none"/>
        </w:rPr>
      </w:pPr>
      <w:r>
        <w:rPr>
          <w:color w:val="auto"/>
          <w:highlight w:val="none"/>
        </w:rPr>
        <w:t>3）施工工艺指导</w:t>
      </w:r>
    </w:p>
    <w:p>
      <w:pPr>
        <w:rPr>
          <w:color w:val="auto"/>
          <w:highlight w:val="none"/>
        </w:rPr>
      </w:pPr>
      <w:r>
        <w:rPr>
          <w:color w:val="auto"/>
          <w:highlight w:val="none"/>
        </w:rPr>
        <w:t>（1）通过参数化实现精确定位；</w:t>
      </w:r>
    </w:p>
    <w:p>
      <w:pPr>
        <w:rPr>
          <w:color w:val="auto"/>
          <w:highlight w:val="none"/>
        </w:rPr>
      </w:pPr>
      <w:r>
        <w:rPr>
          <w:color w:val="auto"/>
          <w:highlight w:val="none"/>
        </w:rPr>
        <w:t>（2）通过模拟进行施工指导；</w:t>
      </w:r>
    </w:p>
    <w:p>
      <w:pPr>
        <w:rPr>
          <w:color w:val="auto"/>
          <w:highlight w:val="none"/>
        </w:rPr>
      </w:pPr>
      <w:r>
        <w:rPr>
          <w:color w:val="auto"/>
          <w:highlight w:val="none"/>
        </w:rPr>
        <w:t>（3）提高施工效率与品质。</w:t>
      </w:r>
    </w:p>
    <w:p>
      <w:pPr>
        <w:rPr>
          <w:color w:val="auto"/>
          <w:highlight w:val="none"/>
        </w:rPr>
      </w:pPr>
      <w:r>
        <w:rPr>
          <w:color w:val="auto"/>
          <w:highlight w:val="none"/>
        </w:rPr>
        <w:t>4）施工安全管理</w:t>
      </w:r>
    </w:p>
    <w:p>
      <w:pPr>
        <w:rPr>
          <w:color w:val="auto"/>
          <w:highlight w:val="none"/>
        </w:rPr>
      </w:pPr>
      <w:r>
        <w:rPr>
          <w:color w:val="auto"/>
          <w:highlight w:val="none"/>
        </w:rPr>
        <w:t>（1）通过参数化进行施工现场安全模拟；</w:t>
      </w:r>
    </w:p>
    <w:p>
      <w:pPr>
        <w:rPr>
          <w:color w:val="auto"/>
          <w:highlight w:val="none"/>
        </w:rPr>
      </w:pPr>
      <w:r>
        <w:rPr>
          <w:color w:val="auto"/>
          <w:highlight w:val="none"/>
        </w:rPr>
        <w:t>（2）通过模拟结果的可视化进行现场安全指导；</w:t>
      </w:r>
    </w:p>
    <w:p>
      <w:pPr>
        <w:rPr>
          <w:color w:val="auto"/>
          <w:highlight w:val="none"/>
        </w:rPr>
      </w:pPr>
      <w:r>
        <w:rPr>
          <w:color w:val="auto"/>
          <w:highlight w:val="none"/>
        </w:rPr>
        <w:t>（3）降低施工安全风险，提高安全保障。</w:t>
      </w:r>
    </w:p>
    <w:p>
      <w:pPr>
        <w:rPr>
          <w:color w:val="auto"/>
          <w:highlight w:val="none"/>
        </w:rPr>
      </w:pPr>
      <w:r>
        <w:rPr>
          <w:color w:val="auto"/>
          <w:highlight w:val="none"/>
        </w:rPr>
        <w:t>5）施工质量管理</w:t>
      </w:r>
    </w:p>
    <w:p>
      <w:pPr>
        <w:rPr>
          <w:color w:val="auto"/>
          <w:highlight w:val="none"/>
        </w:rPr>
      </w:pPr>
      <w:r>
        <w:rPr>
          <w:color w:val="auto"/>
          <w:highlight w:val="none"/>
        </w:rPr>
        <w:t>（1）通过参数化实现质量精确管理；</w:t>
      </w:r>
    </w:p>
    <w:p>
      <w:pPr>
        <w:rPr>
          <w:color w:val="auto"/>
          <w:highlight w:val="none"/>
        </w:rPr>
      </w:pPr>
      <w:r>
        <w:rPr>
          <w:color w:val="auto"/>
          <w:highlight w:val="none"/>
        </w:rPr>
        <w:t>（2）通过可视化确定空间部位；</w:t>
      </w:r>
    </w:p>
    <w:p>
      <w:pPr>
        <w:rPr>
          <w:color w:val="auto"/>
          <w:highlight w:val="none"/>
        </w:rPr>
      </w:pPr>
      <w:r>
        <w:rPr>
          <w:color w:val="auto"/>
          <w:highlight w:val="none"/>
        </w:rPr>
        <w:t>（3）提高施工品质，建立优秀供应商体系。</w:t>
      </w:r>
    </w:p>
    <w:p>
      <w:pPr>
        <w:rPr>
          <w:color w:val="auto"/>
          <w:highlight w:val="none"/>
        </w:rPr>
      </w:pPr>
      <w:r>
        <w:rPr>
          <w:rFonts w:hint="eastAsia"/>
          <w:color w:val="auto"/>
          <w:highlight w:val="none"/>
        </w:rPr>
        <w:t>6</w:t>
      </w:r>
      <w:r>
        <w:rPr>
          <w:color w:val="auto"/>
          <w:highlight w:val="none"/>
        </w:rPr>
        <w:t>）施工</w:t>
      </w:r>
      <w:r>
        <w:rPr>
          <w:rFonts w:hint="eastAsia"/>
          <w:color w:val="auto"/>
          <w:highlight w:val="none"/>
        </w:rPr>
        <w:t>成本</w:t>
      </w:r>
      <w:r>
        <w:rPr>
          <w:color w:val="auto"/>
          <w:highlight w:val="none"/>
        </w:rPr>
        <w:t>管理</w:t>
      </w:r>
    </w:p>
    <w:p>
      <w:pPr>
        <w:rPr>
          <w:color w:val="auto"/>
          <w:highlight w:val="none"/>
        </w:rPr>
      </w:pPr>
      <w:r>
        <w:rPr>
          <w:color w:val="auto"/>
          <w:highlight w:val="none"/>
        </w:rPr>
        <w:t>（1）</w:t>
      </w:r>
      <w:r>
        <w:rPr>
          <w:rFonts w:hint="eastAsia"/>
          <w:color w:val="auto"/>
          <w:highlight w:val="none"/>
        </w:rPr>
        <w:t>基于施工模型实现一模多量，高效计量工程量</w:t>
      </w:r>
      <w:r>
        <w:rPr>
          <w:color w:val="auto"/>
          <w:highlight w:val="none"/>
        </w:rPr>
        <w:t>；</w:t>
      </w:r>
    </w:p>
    <w:p>
      <w:pPr>
        <w:rPr>
          <w:color w:val="auto"/>
          <w:highlight w:val="none"/>
        </w:rPr>
      </w:pPr>
      <w:r>
        <w:rPr>
          <w:color w:val="auto"/>
          <w:highlight w:val="none"/>
        </w:rPr>
        <w:t>（2）</w:t>
      </w:r>
      <w:r>
        <w:rPr>
          <w:rFonts w:hint="eastAsia"/>
          <w:color w:val="auto"/>
          <w:highlight w:val="none"/>
        </w:rPr>
        <w:t>设计、施工阶段多量对比，多维度控制项目造价</w:t>
      </w:r>
      <w:r>
        <w:rPr>
          <w:color w:val="auto"/>
          <w:highlight w:val="none"/>
        </w:rPr>
        <w:t>；</w:t>
      </w:r>
    </w:p>
    <w:p>
      <w:pPr>
        <w:rPr>
          <w:color w:val="auto"/>
          <w:highlight w:val="none"/>
        </w:rPr>
      </w:pPr>
      <w:r>
        <w:rPr>
          <w:color w:val="auto"/>
          <w:highlight w:val="none"/>
        </w:rPr>
        <w:t>（3）</w:t>
      </w:r>
      <w:r>
        <w:rPr>
          <w:rFonts w:hint="eastAsia"/>
          <w:color w:val="auto"/>
          <w:highlight w:val="none"/>
        </w:rPr>
        <w:t>变更工程量跟踪统计，动态核算项目成本</w:t>
      </w:r>
      <w:r>
        <w:rPr>
          <w:color w:val="auto"/>
          <w:highlight w:val="none"/>
        </w:rPr>
        <w:t>。</w:t>
      </w:r>
    </w:p>
    <w:p>
      <w:pPr>
        <w:rPr>
          <w:color w:val="auto"/>
          <w:highlight w:val="none"/>
        </w:rPr>
      </w:pPr>
      <w:r>
        <w:rPr>
          <w:rFonts w:hint="eastAsia"/>
          <w:color w:val="auto"/>
          <w:highlight w:val="none"/>
        </w:rPr>
        <w:t>7</w:t>
      </w:r>
      <w:r>
        <w:rPr>
          <w:color w:val="auto"/>
          <w:highlight w:val="none"/>
        </w:rPr>
        <w:t xml:space="preserve">）施工交底BIM </w:t>
      </w:r>
    </w:p>
    <w:p>
      <w:pPr>
        <w:rPr>
          <w:color w:val="auto"/>
          <w:highlight w:val="none"/>
        </w:rPr>
      </w:pPr>
      <w:r>
        <w:rPr>
          <w:color w:val="auto"/>
          <w:highlight w:val="none"/>
        </w:rPr>
        <w:t>（1）通过模型进行多方交互</w:t>
      </w:r>
      <w:r>
        <w:rPr>
          <w:rFonts w:hint="eastAsia"/>
          <w:color w:val="auto"/>
          <w:highlight w:val="none"/>
        </w:rPr>
        <w:t>；</w:t>
      </w:r>
    </w:p>
    <w:p>
      <w:pPr>
        <w:rPr>
          <w:color w:val="auto"/>
          <w:highlight w:val="none"/>
        </w:rPr>
      </w:pPr>
      <w:r>
        <w:rPr>
          <w:color w:val="auto"/>
          <w:highlight w:val="none"/>
        </w:rPr>
        <w:t>（2）通过参数化进行数据交底。</w:t>
      </w:r>
    </w:p>
    <w:p>
      <w:pPr>
        <w:rPr>
          <w:color w:val="auto"/>
          <w:highlight w:val="none"/>
        </w:rPr>
      </w:pPr>
      <w:bookmarkStart w:id="219" w:name="_Toc3698"/>
      <w:r>
        <w:rPr>
          <w:color w:val="auto"/>
          <w:highlight w:val="none"/>
        </w:rPr>
        <w:t>3  竣工阶段</w:t>
      </w:r>
      <w:bookmarkEnd w:id="219"/>
    </w:p>
    <w:p>
      <w:pPr>
        <w:rPr>
          <w:color w:val="auto"/>
          <w:highlight w:val="none"/>
        </w:rPr>
      </w:pPr>
      <w:r>
        <w:rPr>
          <w:color w:val="auto"/>
          <w:highlight w:val="none"/>
        </w:rPr>
        <w:t>1）阶段竣工交付</w:t>
      </w:r>
    </w:p>
    <w:p>
      <w:pPr>
        <w:rPr>
          <w:color w:val="auto"/>
          <w:highlight w:val="none"/>
        </w:rPr>
      </w:pPr>
      <w:r>
        <w:rPr>
          <w:color w:val="auto"/>
          <w:highlight w:val="none"/>
        </w:rPr>
        <w:t>（1）可视化阶段竣工成果交付；</w:t>
      </w:r>
    </w:p>
    <w:p>
      <w:pPr>
        <w:rPr>
          <w:color w:val="auto"/>
          <w:highlight w:val="none"/>
        </w:rPr>
      </w:pPr>
      <w:r>
        <w:rPr>
          <w:color w:val="auto"/>
          <w:highlight w:val="none"/>
        </w:rPr>
        <w:t>（2）通过参数化实现交付成果比对；</w:t>
      </w:r>
    </w:p>
    <w:p>
      <w:pPr>
        <w:rPr>
          <w:color w:val="auto"/>
          <w:highlight w:val="none"/>
        </w:rPr>
      </w:pPr>
      <w:r>
        <w:rPr>
          <w:color w:val="auto"/>
          <w:highlight w:val="none"/>
        </w:rPr>
        <w:t>（3）完成阶段性交付成果，为最终综合竣工交付做好准备。</w:t>
      </w:r>
    </w:p>
    <w:p>
      <w:pPr>
        <w:rPr>
          <w:color w:val="auto"/>
          <w:highlight w:val="none"/>
        </w:rPr>
      </w:pPr>
      <w:r>
        <w:rPr>
          <w:color w:val="auto"/>
          <w:highlight w:val="none"/>
        </w:rPr>
        <w:t>2）综合竣工交付</w:t>
      </w:r>
    </w:p>
    <w:p>
      <w:pPr>
        <w:rPr>
          <w:color w:val="auto"/>
          <w:highlight w:val="none"/>
        </w:rPr>
      </w:pPr>
      <w:r>
        <w:rPr>
          <w:color w:val="auto"/>
          <w:highlight w:val="none"/>
        </w:rPr>
        <w:t>（1）可视化综合竣工成果交付；</w:t>
      </w:r>
    </w:p>
    <w:p>
      <w:pPr>
        <w:rPr>
          <w:color w:val="auto"/>
          <w:highlight w:val="none"/>
        </w:rPr>
      </w:pPr>
      <w:r>
        <w:rPr>
          <w:color w:val="auto"/>
          <w:highlight w:val="none"/>
        </w:rPr>
        <w:t>（2）通过参数化实现交付成果比对；</w:t>
      </w:r>
    </w:p>
    <w:p>
      <w:pPr>
        <w:rPr>
          <w:color w:val="auto"/>
          <w:highlight w:val="none"/>
        </w:rPr>
      </w:pPr>
      <w:r>
        <w:rPr>
          <w:color w:val="auto"/>
          <w:highlight w:val="none"/>
        </w:rPr>
        <w:t>3）强化综合竣工交付水平，为下阶段运维奠定数据基础。</w:t>
      </w:r>
    </w:p>
    <w:p>
      <w:pPr>
        <w:rPr>
          <w:color w:val="auto"/>
          <w:highlight w:val="none"/>
        </w:rPr>
      </w:pPr>
      <w:r>
        <w:rPr>
          <w:rFonts w:hint="eastAsia"/>
          <w:color w:val="auto"/>
          <w:highlight w:val="none"/>
        </w:rPr>
        <w:t>4</w:t>
      </w:r>
      <w:r>
        <w:rPr>
          <w:color w:val="auto"/>
          <w:highlight w:val="none"/>
        </w:rPr>
        <w:t>）</w:t>
      </w:r>
      <w:r>
        <w:rPr>
          <w:rFonts w:hint="eastAsia"/>
          <w:color w:val="auto"/>
          <w:highlight w:val="none"/>
        </w:rPr>
        <w:t>三维数字化竣工验收交付</w:t>
      </w:r>
    </w:p>
    <w:p>
      <w:pPr>
        <w:rPr>
          <w:color w:val="auto"/>
          <w:highlight w:val="none"/>
        </w:rPr>
      </w:pPr>
      <w:r>
        <w:rPr>
          <w:color w:val="auto"/>
          <w:highlight w:val="none"/>
        </w:rPr>
        <w:t>（1）</w:t>
      </w:r>
      <w:r>
        <w:rPr>
          <w:rFonts w:hint="eastAsia"/>
          <w:color w:val="auto"/>
          <w:highlight w:val="none"/>
        </w:rPr>
        <w:t>竣工验收备案信息录入；</w:t>
      </w:r>
    </w:p>
    <w:p>
      <w:pPr>
        <w:rPr>
          <w:color w:val="auto"/>
          <w:highlight w:val="none"/>
        </w:rPr>
      </w:pPr>
      <w:r>
        <w:rPr>
          <w:color w:val="auto"/>
          <w:highlight w:val="none"/>
        </w:rPr>
        <w:t>（2）</w:t>
      </w:r>
      <w:r>
        <w:rPr>
          <w:rFonts w:hint="eastAsia"/>
          <w:color w:val="auto"/>
          <w:highlight w:val="none"/>
        </w:rPr>
        <w:t>竣工验收备案信息满足竣工验收管理系统的管理要求。</w:t>
      </w:r>
    </w:p>
    <w:p>
      <w:pPr>
        <w:rPr>
          <w:color w:val="auto"/>
          <w:highlight w:val="none"/>
        </w:rPr>
      </w:pPr>
      <w:bookmarkStart w:id="220" w:name="_Toc7995"/>
      <w:r>
        <w:rPr>
          <w:color w:val="auto"/>
          <w:highlight w:val="none"/>
        </w:rPr>
        <w:t>运营维护阶段</w:t>
      </w:r>
      <w:bookmarkEnd w:id="220"/>
    </w:p>
    <w:p>
      <w:pPr>
        <w:rPr>
          <w:color w:val="auto"/>
          <w:highlight w:val="none"/>
        </w:rPr>
      </w:pPr>
      <w:bookmarkStart w:id="221" w:name="_Toc16548"/>
      <w:r>
        <w:rPr>
          <w:color w:val="auto"/>
          <w:highlight w:val="none"/>
        </w:rPr>
        <w:t xml:space="preserve">1  </w:t>
      </w:r>
      <w:r>
        <w:rPr>
          <w:rFonts w:hint="eastAsia"/>
          <w:color w:val="auto"/>
          <w:highlight w:val="none"/>
        </w:rPr>
        <w:t>运维模型移交</w:t>
      </w:r>
      <w:bookmarkEnd w:id="221"/>
    </w:p>
    <w:p>
      <w:pPr>
        <w:rPr>
          <w:color w:val="auto"/>
          <w:highlight w:val="none"/>
        </w:rPr>
      </w:pPr>
      <w:r>
        <w:rPr>
          <w:rFonts w:hint="eastAsia"/>
          <w:color w:val="auto"/>
          <w:highlight w:val="none"/>
        </w:rPr>
        <w:t>根据运维单位的要求，整理BIM竣工模型信息及格式要求后，向运维单位进行BIM成果移交。</w:t>
      </w:r>
    </w:p>
    <w:p>
      <w:pPr>
        <w:rPr>
          <w:color w:val="auto"/>
          <w:highlight w:val="none"/>
        </w:rPr>
      </w:pPr>
      <w:bookmarkStart w:id="222" w:name="_Toc20297"/>
      <w:r>
        <w:rPr>
          <w:rFonts w:hint="eastAsia"/>
          <w:color w:val="auto"/>
          <w:highlight w:val="none"/>
        </w:rPr>
        <w:t>2运维数据维护</w:t>
      </w:r>
      <w:bookmarkEnd w:id="222"/>
    </w:p>
    <w:p>
      <w:pPr>
        <w:rPr>
          <w:color w:val="auto"/>
          <w:highlight w:val="none"/>
        </w:rPr>
        <w:sectPr>
          <w:footerReference r:id="rId13" w:type="default"/>
          <w:pgSz w:w="11905" w:h="16838"/>
          <w:pgMar w:top="1417" w:right="1417" w:bottom="1417" w:left="1417" w:header="720" w:footer="680" w:gutter="0"/>
          <w:cols w:space="720" w:num="1"/>
          <w:titlePg/>
        </w:sectPr>
      </w:pPr>
      <w:r>
        <w:rPr>
          <w:rFonts w:hint="eastAsia"/>
          <w:color w:val="auto"/>
          <w:highlight w:val="none"/>
        </w:rPr>
        <w:t>与运维单位进行实时沟通和回访，线上处理运维单位提出的问题并根据合同要求进行模型信息维护和更新。</w:t>
      </w:r>
    </w:p>
    <w:p>
      <w:pPr>
        <w:rPr>
          <w:color w:val="auto"/>
          <w:highlight w:val="none"/>
        </w:rPr>
      </w:pPr>
      <w:bookmarkStart w:id="223" w:name="_bookmark23"/>
      <w:bookmarkEnd w:id="223"/>
      <w:bookmarkStart w:id="224" w:name="_Toc16430"/>
      <w:bookmarkStart w:id="225" w:name="_Toc62460189"/>
      <w:r>
        <w:rPr>
          <w:color w:val="auto"/>
          <w:highlight w:val="none"/>
        </w:rPr>
        <w:t>BI</w:t>
      </w:r>
      <w:bookmarkStart w:id="226" w:name="_bookmark24"/>
      <w:bookmarkEnd w:id="226"/>
      <w:r>
        <w:rPr>
          <w:color w:val="auto"/>
          <w:highlight w:val="none"/>
        </w:rPr>
        <w:t>M模型实施管理</w:t>
      </w:r>
      <w:bookmarkEnd w:id="224"/>
      <w:bookmarkEnd w:id="225"/>
    </w:p>
    <w:p>
      <w:pPr>
        <w:rPr>
          <w:color w:val="auto"/>
          <w:highlight w:val="none"/>
        </w:rPr>
      </w:pPr>
      <w:bookmarkStart w:id="227" w:name="_Toc30386"/>
      <w:bookmarkStart w:id="228" w:name="_Toc62460190"/>
      <w:r>
        <w:rPr>
          <w:color w:val="auto"/>
          <w:highlight w:val="none"/>
        </w:rPr>
        <w:t>项目文档管理</w:t>
      </w:r>
      <w:bookmarkEnd w:id="227"/>
      <w:bookmarkEnd w:id="228"/>
    </w:p>
    <w:p>
      <w:pPr>
        <w:rPr>
          <w:color w:val="auto"/>
          <w:highlight w:val="none"/>
        </w:rPr>
      </w:pPr>
      <w:bookmarkStart w:id="229" w:name="_Toc22653"/>
      <w:r>
        <w:rPr>
          <w:color w:val="auto"/>
          <w:highlight w:val="none"/>
        </w:rPr>
        <w:t>文档组成</w:t>
      </w:r>
      <w:bookmarkEnd w:id="229"/>
    </w:p>
    <w:p>
      <w:pPr>
        <w:rPr>
          <w:color w:val="auto"/>
          <w:highlight w:val="none"/>
        </w:rPr>
      </w:pPr>
      <w:r>
        <w:rPr>
          <w:rFonts w:hint="eastAsia"/>
          <w:color w:val="auto"/>
          <w:highlight w:val="none"/>
        </w:rPr>
        <w:t>项目过程中所产生的文件可分为三大类：依据文件、过程文件、成果文件。项目实施过程中各参与方根据自身需求及实际情况对三类文件进行收集、传递及登记归档。其中依据文件包括设计条件、变更指令、政府批文、国家地方法律、规范、标准、合同等；过程文件包含会议纪要、工程联系函等；成果文件包含BIM模型文件及BIM应用成果文件；按照合同约定节点及时提交给BIM总协调方。</w:t>
      </w:r>
    </w:p>
    <w:p>
      <w:pPr>
        <w:rPr>
          <w:color w:val="auto"/>
          <w:highlight w:val="none"/>
        </w:rPr>
      </w:pPr>
      <w:bookmarkStart w:id="230" w:name="_Toc74"/>
      <w:r>
        <w:rPr>
          <w:color w:val="auto"/>
          <w:highlight w:val="none"/>
        </w:rPr>
        <w:t>文档构架</w:t>
      </w:r>
      <w:bookmarkEnd w:id="230"/>
    </w:p>
    <w:p>
      <w:pPr>
        <w:rPr>
          <w:color w:val="auto"/>
          <w:highlight w:val="none"/>
        </w:rPr>
      </w:pPr>
      <w:r>
        <w:rPr>
          <w:color w:val="auto"/>
          <w:highlight w:val="none"/>
        </w:rPr>
        <w:t>在项目实施过程中文件构架体系可参考下图所示：</w:t>
      </w:r>
    </w:p>
    <w:p>
      <w:pPr>
        <w:rPr>
          <w:color w:val="auto"/>
          <w:highlight w:val="none"/>
        </w:rPr>
      </w:pPr>
      <w:r>
        <w:rPr>
          <w:color w:val="auto"/>
          <w:highlight w:val="none"/>
        </w:rPr>
        <w:drawing>
          <wp:inline distT="0" distB="0" distL="0" distR="0">
            <wp:extent cx="4619625" cy="5902325"/>
            <wp:effectExtent l="19050" t="0" r="952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26"/>
                    <a:srcRect l="7776" t="3365" r="14149" b="8984"/>
                    <a:stretch>
                      <a:fillRect/>
                    </a:stretch>
                  </pic:blipFill>
                  <pic:spPr>
                    <a:xfrm>
                      <a:off x="0" y="0"/>
                      <a:ext cx="4619625" cy="5902325"/>
                    </a:xfrm>
                    <a:prstGeom prst="rect">
                      <a:avLst/>
                    </a:prstGeom>
                    <a:noFill/>
                    <a:ln w="9525" cmpd="sng">
                      <a:noFill/>
                      <a:miter lim="800000"/>
                      <a:headEnd/>
                      <a:tailEnd/>
                    </a:ln>
                  </pic:spPr>
                </pic:pic>
              </a:graphicData>
            </a:graphic>
          </wp:inline>
        </w:drawing>
      </w:r>
    </w:p>
    <w:p>
      <w:pPr>
        <w:rPr>
          <w:color w:val="auto"/>
          <w:highlight w:val="none"/>
        </w:rPr>
      </w:pPr>
      <w:r>
        <w:rPr>
          <w:rFonts w:hint="eastAsia"/>
          <w:color w:val="auto"/>
          <w:highlight w:val="none"/>
        </w:rPr>
        <w:t>图2</w:t>
      </w:r>
      <w:r>
        <w:rPr>
          <w:color w:val="auto"/>
          <w:highlight w:val="none"/>
        </w:rPr>
        <w:t>.1.2  BIM</w:t>
      </w:r>
      <w:r>
        <w:rPr>
          <w:rFonts w:hint="eastAsia"/>
          <w:color w:val="auto"/>
          <w:highlight w:val="none"/>
        </w:rPr>
        <w:t>项目文件管理构架</w:t>
      </w:r>
    </w:p>
    <w:p>
      <w:pPr>
        <w:rPr>
          <w:color w:val="auto"/>
          <w:highlight w:val="none"/>
        </w:rPr>
      </w:pPr>
      <w:bookmarkStart w:id="231" w:name="_bookmark25"/>
      <w:bookmarkEnd w:id="231"/>
      <w:bookmarkStart w:id="232" w:name="_Toc18885"/>
      <w:bookmarkStart w:id="233" w:name="_Toc62460191"/>
      <w:r>
        <w:rPr>
          <w:rFonts w:hint="eastAsia"/>
          <w:color w:val="auto"/>
          <w:highlight w:val="none"/>
        </w:rPr>
        <w:t>模型命名管理</w:t>
      </w:r>
      <w:bookmarkEnd w:id="232"/>
      <w:bookmarkEnd w:id="233"/>
    </w:p>
    <w:p>
      <w:pPr>
        <w:rPr>
          <w:color w:val="auto"/>
          <w:highlight w:val="none"/>
        </w:rPr>
      </w:pPr>
      <w:bookmarkStart w:id="234" w:name="_Toc29023"/>
      <w:r>
        <w:rPr>
          <w:color w:val="auto"/>
          <w:highlight w:val="none"/>
        </w:rPr>
        <w:t>项目文档命名</w:t>
      </w:r>
      <w:bookmarkEnd w:id="234"/>
    </w:p>
    <w:p>
      <w:pPr>
        <w:rPr>
          <w:color w:val="auto"/>
          <w:highlight w:val="none"/>
        </w:rPr>
      </w:pPr>
      <w:r>
        <w:rPr>
          <w:color w:val="auto"/>
          <w:highlight w:val="none"/>
        </w:rPr>
        <w:t>项目文件命名主要考虑文件名的长度和操作性，按照项目实施阶段对文件命名，且应该进行字符限制。</w:t>
      </w:r>
    </w:p>
    <w:p>
      <w:pPr>
        <w:rPr>
          <w:color w:val="auto"/>
          <w:highlight w:val="none"/>
        </w:rPr>
      </w:pPr>
      <w:r>
        <w:rPr>
          <w:color w:val="auto"/>
          <w:highlight w:val="none"/>
        </w:rPr>
        <w:t>示例：</w:t>
      </w:r>
      <w:r>
        <w:rPr>
          <w:rFonts w:hint="eastAsia"/>
          <w:color w:val="auto"/>
          <w:highlight w:val="none"/>
        </w:rPr>
        <w:t>“</w:t>
      </w:r>
      <w:r>
        <w:rPr>
          <w:color w:val="auto"/>
          <w:highlight w:val="none"/>
        </w:rPr>
        <w:t>设计/施工/竣工阶段</w:t>
      </w:r>
      <w:r>
        <w:rPr>
          <w:rFonts w:hint="eastAsia"/>
          <w:color w:val="auto"/>
          <w:highlight w:val="none"/>
        </w:rPr>
        <w:t>”</w:t>
      </w:r>
      <w:r>
        <w:rPr>
          <w:color w:val="auto"/>
          <w:highlight w:val="none"/>
        </w:rPr>
        <w:t>模型文件命名格式：DS-CP-F-M</w:t>
      </w:r>
    </w:p>
    <w:p>
      <w:pPr>
        <w:rPr>
          <w:color w:val="auto"/>
          <w:highlight w:val="none"/>
        </w:rPr>
      </w:pPr>
      <w:r>
        <w:rPr>
          <w:color w:val="auto"/>
          <w:highlight w:val="none"/>
        </w:rPr>
        <w:drawing>
          <wp:inline distT="0" distB="0" distL="0" distR="0">
            <wp:extent cx="5759450" cy="593725"/>
            <wp:effectExtent l="19050" t="0" r="0" b="0"/>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5"/>
                    <pic:cNvPicPr>
                      <a:picLocks noChangeAspect="1" noChangeArrowheads="1"/>
                    </pic:cNvPicPr>
                  </pic:nvPicPr>
                  <pic:blipFill>
                    <a:blip r:embed="rId27"/>
                    <a:srcRect/>
                    <a:stretch>
                      <a:fillRect/>
                    </a:stretch>
                  </pic:blipFill>
                  <pic:spPr>
                    <a:xfrm>
                      <a:off x="0" y="0"/>
                      <a:ext cx="5759450" cy="593725"/>
                    </a:xfrm>
                    <a:prstGeom prst="rect">
                      <a:avLst/>
                    </a:prstGeom>
                    <a:noFill/>
                    <a:ln w="9525" cmpd="sng">
                      <a:noFill/>
                      <a:miter lim="800000"/>
                      <a:headEnd/>
                      <a:tailEnd/>
                    </a:ln>
                  </pic:spPr>
                </pic:pic>
              </a:graphicData>
            </a:graphic>
          </wp:inline>
        </w:drawing>
      </w:r>
    </w:p>
    <w:p>
      <w:pPr>
        <w:rPr>
          <w:color w:val="auto"/>
          <w:highlight w:val="none"/>
        </w:rPr>
      </w:pPr>
      <w:r>
        <w:rPr>
          <w:color w:val="auto"/>
          <w:highlight w:val="none"/>
        </w:rPr>
        <w:t>D——工程编号，为设计合同号后四位，字符限制4位数字；</w:t>
      </w:r>
    </w:p>
    <w:p>
      <w:pPr>
        <w:rPr>
          <w:color w:val="auto"/>
          <w:highlight w:val="none"/>
        </w:rPr>
      </w:pPr>
      <w:r>
        <w:rPr>
          <w:color w:val="auto"/>
          <w:highlight w:val="none"/>
        </w:rPr>
        <w:t>S——子项编号，用于有多个子项或分区的工程设计项目，字符限制1位字母和1位数字，无多个子项，字符为xx；</w:t>
      </w:r>
    </w:p>
    <w:p>
      <w:pPr>
        <w:rPr>
          <w:color w:val="auto"/>
          <w:highlight w:val="none"/>
        </w:rPr>
      </w:pPr>
      <w:r>
        <w:rPr>
          <w:color w:val="auto"/>
          <w:highlight w:val="none"/>
        </w:rPr>
        <w:t>C——阶段，设计阶段，施工阶段，竣工阶段；</w:t>
      </w:r>
    </w:p>
    <w:p>
      <w:pPr>
        <w:rPr>
          <w:color w:val="auto"/>
          <w:highlight w:val="none"/>
        </w:rPr>
      </w:pPr>
      <w:r>
        <w:rPr>
          <w:color w:val="auto"/>
          <w:highlight w:val="none"/>
        </w:rPr>
        <w:t>P——专业，总图，建筑，结构，给排水，电气，弱电，暖通，燃气；</w:t>
      </w:r>
    </w:p>
    <w:p>
      <w:pPr>
        <w:rPr>
          <w:color w:val="auto"/>
          <w:highlight w:val="none"/>
        </w:rPr>
      </w:pPr>
      <w:r>
        <w:rPr>
          <w:color w:val="auto"/>
          <w:highlight w:val="none"/>
        </w:rPr>
        <w:t>F——楼层，如果项目进一步细分，用于识别模型文件垂直方向的关系。</w:t>
      </w:r>
    </w:p>
    <w:p>
      <w:pPr>
        <w:rPr>
          <w:color w:val="auto"/>
          <w:highlight w:val="none"/>
        </w:rPr>
      </w:pPr>
      <w:r>
        <w:rPr>
          <w:color w:val="auto"/>
          <w:highlight w:val="none"/>
        </w:rPr>
        <w:t>M——描述，用于说明文件中的内容，避免与其它字段重复。此信息用于解释前面的字段，或是进一步说明所包含数据的其它方面。</w:t>
      </w:r>
    </w:p>
    <w:p>
      <w:pPr>
        <w:rPr>
          <w:color w:val="auto"/>
          <w:highlight w:val="none"/>
        </w:rPr>
      </w:pPr>
      <w:bookmarkStart w:id="235" w:name="_Toc23138"/>
      <w:r>
        <w:rPr>
          <w:rFonts w:hint="eastAsia"/>
          <w:color w:val="auto"/>
          <w:highlight w:val="none"/>
        </w:rPr>
        <w:t>模型构件命名</w:t>
      </w:r>
      <w:bookmarkEnd w:id="235"/>
    </w:p>
    <w:p>
      <w:pPr>
        <w:rPr>
          <w:color w:val="auto"/>
          <w:highlight w:val="none"/>
        </w:rPr>
      </w:pPr>
      <w:r>
        <w:rPr>
          <w:rFonts w:hint="eastAsia"/>
          <w:color w:val="auto"/>
          <w:highlight w:val="none"/>
        </w:rPr>
        <w:t>项目实施前期，为统一实施管理，应制定模型构件命名方式，模型中的构件命名应包括：构件类别、构件名称、构件尺寸，构件名称应与设计或实际工程名称一致。</w:t>
      </w:r>
    </w:p>
    <w:p>
      <w:pPr>
        <w:rPr>
          <w:color w:val="auto"/>
          <w:highlight w:val="none"/>
        </w:rPr>
      </w:pPr>
      <w:r>
        <w:rPr>
          <w:color w:val="auto"/>
          <w:highlight w:val="none"/>
        </w:rPr>
        <w:t>表2.2.2  模型构件命名表</w:t>
      </w:r>
    </w:p>
    <w:tbl>
      <w:tblPr>
        <w:tblStyle w:val="63"/>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0"/>
        <w:gridCol w:w="2968"/>
        <w:gridCol w:w="2675"/>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1480" w:type="dxa"/>
            <w:vAlign w:val="center"/>
          </w:tcPr>
          <w:p>
            <w:pPr>
              <w:rPr>
                <w:color w:val="auto"/>
                <w:highlight w:val="none"/>
              </w:rPr>
            </w:pPr>
            <w:r>
              <w:rPr>
                <w:color w:val="auto"/>
                <w:highlight w:val="none"/>
              </w:rPr>
              <w:t>专业</w:t>
            </w:r>
          </w:p>
        </w:tc>
        <w:tc>
          <w:tcPr>
            <w:tcW w:w="2968" w:type="dxa"/>
            <w:vAlign w:val="center"/>
          </w:tcPr>
          <w:p>
            <w:pPr>
              <w:rPr>
                <w:color w:val="auto"/>
                <w:highlight w:val="none"/>
              </w:rPr>
            </w:pPr>
            <w:r>
              <w:rPr>
                <w:color w:val="auto"/>
                <w:highlight w:val="none"/>
              </w:rPr>
              <w:t>构件分类</w:t>
            </w:r>
          </w:p>
        </w:tc>
        <w:tc>
          <w:tcPr>
            <w:tcW w:w="2675" w:type="dxa"/>
            <w:vAlign w:val="center"/>
          </w:tcPr>
          <w:p>
            <w:pPr>
              <w:rPr>
                <w:color w:val="auto"/>
                <w:highlight w:val="none"/>
              </w:rPr>
            </w:pPr>
            <w:r>
              <w:rPr>
                <w:color w:val="auto"/>
                <w:highlight w:val="none"/>
              </w:rPr>
              <w:t>命名原则</w:t>
            </w:r>
          </w:p>
        </w:tc>
        <w:tc>
          <w:tcPr>
            <w:tcW w:w="2358" w:type="dxa"/>
            <w:vAlign w:val="center"/>
          </w:tcPr>
          <w:p>
            <w:pPr>
              <w:rPr>
                <w:color w:val="auto"/>
                <w:highlight w:val="none"/>
              </w:rPr>
            </w:pPr>
            <w:r>
              <w:rPr>
                <w:color w:val="auto"/>
                <w:highlight w:val="none"/>
              </w:rPr>
              <w:t>例举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vAlign w:val="center"/>
          </w:tcPr>
          <w:p>
            <w:pPr>
              <w:rPr>
                <w:color w:val="auto"/>
                <w:highlight w:val="none"/>
              </w:rPr>
            </w:pPr>
            <w:r>
              <w:rPr>
                <w:color w:val="auto"/>
                <w:highlight w:val="none"/>
              </w:rPr>
              <w:t>建筑</w:t>
            </w:r>
          </w:p>
        </w:tc>
        <w:tc>
          <w:tcPr>
            <w:tcW w:w="2968" w:type="dxa"/>
            <w:vAlign w:val="center"/>
          </w:tcPr>
          <w:p>
            <w:pPr>
              <w:rPr>
                <w:color w:val="auto"/>
                <w:highlight w:val="none"/>
              </w:rPr>
            </w:pPr>
            <w:r>
              <w:rPr>
                <w:color w:val="auto"/>
                <w:highlight w:val="none"/>
              </w:rPr>
              <w:t>幕墙</w:t>
            </w:r>
          </w:p>
        </w:tc>
        <w:tc>
          <w:tcPr>
            <w:tcW w:w="2675" w:type="dxa"/>
            <w:vMerge w:val="restart"/>
            <w:vAlign w:val="center"/>
          </w:tcPr>
          <w:p>
            <w:pPr>
              <w:rPr>
                <w:color w:val="auto"/>
                <w:highlight w:val="none"/>
              </w:rPr>
            </w:pPr>
            <w:r>
              <w:rPr>
                <w:color w:val="auto"/>
                <w:highlight w:val="none"/>
              </w:rPr>
              <w:t>墙类型名-墙厚</w:t>
            </w:r>
          </w:p>
        </w:tc>
        <w:tc>
          <w:tcPr>
            <w:tcW w:w="2358" w:type="dxa"/>
            <w:vMerge w:val="restart"/>
            <w:vAlign w:val="center"/>
          </w:tcPr>
          <w:p>
            <w:pPr>
              <w:rPr>
                <w:color w:val="auto"/>
                <w:highlight w:val="none"/>
              </w:rPr>
            </w:pPr>
            <w:r>
              <w:rPr>
                <w:color w:val="auto"/>
                <w:highlight w:val="none"/>
              </w:rPr>
              <w:t>内部砌块墙-150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内填充墙</w:t>
            </w:r>
          </w:p>
        </w:tc>
        <w:tc>
          <w:tcPr>
            <w:tcW w:w="2675" w:type="dxa"/>
            <w:vMerge w:val="continue"/>
            <w:vAlign w:val="center"/>
          </w:tcPr>
          <w:p>
            <w:pPr>
              <w:rPr>
                <w:color w:val="auto"/>
                <w:highlight w:val="none"/>
              </w:rPr>
            </w:pPr>
          </w:p>
        </w:tc>
        <w:tc>
          <w:tcPr>
            <w:tcW w:w="235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外填充墙</w:t>
            </w:r>
          </w:p>
        </w:tc>
        <w:tc>
          <w:tcPr>
            <w:tcW w:w="2675" w:type="dxa"/>
            <w:vMerge w:val="continue"/>
            <w:vAlign w:val="center"/>
          </w:tcPr>
          <w:p>
            <w:pPr>
              <w:rPr>
                <w:color w:val="auto"/>
                <w:highlight w:val="none"/>
              </w:rPr>
            </w:pPr>
          </w:p>
        </w:tc>
        <w:tc>
          <w:tcPr>
            <w:tcW w:w="235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隔断墙</w:t>
            </w:r>
          </w:p>
        </w:tc>
        <w:tc>
          <w:tcPr>
            <w:tcW w:w="2675" w:type="dxa"/>
            <w:vMerge w:val="continue"/>
            <w:vAlign w:val="center"/>
          </w:tcPr>
          <w:p>
            <w:pPr>
              <w:rPr>
                <w:color w:val="auto"/>
                <w:highlight w:val="none"/>
              </w:rPr>
            </w:pPr>
          </w:p>
        </w:tc>
        <w:tc>
          <w:tcPr>
            <w:tcW w:w="235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楼、地面板</w:t>
            </w:r>
          </w:p>
        </w:tc>
        <w:tc>
          <w:tcPr>
            <w:tcW w:w="2675" w:type="dxa"/>
            <w:vAlign w:val="center"/>
          </w:tcPr>
          <w:p>
            <w:pPr>
              <w:rPr>
                <w:color w:val="auto"/>
                <w:highlight w:val="none"/>
              </w:rPr>
            </w:pPr>
            <w:r>
              <w:rPr>
                <w:color w:val="auto"/>
                <w:highlight w:val="none"/>
              </w:rPr>
              <w:t>楼板类型名-板厚</w:t>
            </w:r>
          </w:p>
        </w:tc>
        <w:tc>
          <w:tcPr>
            <w:tcW w:w="2358" w:type="dxa"/>
            <w:vAlign w:val="center"/>
          </w:tcPr>
          <w:p>
            <w:pPr>
              <w:rPr>
                <w:color w:val="auto"/>
                <w:highlight w:val="none"/>
              </w:rPr>
            </w:pPr>
            <w:r>
              <w:rPr>
                <w:color w:val="auto"/>
                <w:highlight w:val="none"/>
              </w:rPr>
              <w:t>楼板-100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屋面板</w:t>
            </w:r>
          </w:p>
        </w:tc>
        <w:tc>
          <w:tcPr>
            <w:tcW w:w="2675" w:type="dxa"/>
            <w:vAlign w:val="center"/>
          </w:tcPr>
          <w:p>
            <w:pPr>
              <w:rPr>
                <w:color w:val="auto"/>
                <w:highlight w:val="none"/>
              </w:rPr>
            </w:pPr>
            <w:r>
              <w:rPr>
                <w:color w:val="auto"/>
                <w:highlight w:val="none"/>
              </w:rPr>
              <w:t>屋面板-板厚</w:t>
            </w:r>
          </w:p>
        </w:tc>
        <w:tc>
          <w:tcPr>
            <w:tcW w:w="2358" w:type="dxa"/>
            <w:vAlign w:val="center"/>
          </w:tcPr>
          <w:p>
            <w:pPr>
              <w:rPr>
                <w:color w:val="auto"/>
                <w:highlight w:val="none"/>
              </w:rPr>
            </w:pPr>
            <w:r>
              <w:rPr>
                <w:color w:val="auto"/>
                <w:highlight w:val="none"/>
              </w:rPr>
              <w:t>屋面板-150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天花</w:t>
            </w:r>
          </w:p>
        </w:tc>
        <w:tc>
          <w:tcPr>
            <w:tcW w:w="2675" w:type="dxa"/>
            <w:vAlign w:val="center"/>
          </w:tcPr>
          <w:p>
            <w:pPr>
              <w:rPr>
                <w:color w:val="auto"/>
                <w:highlight w:val="none"/>
              </w:rPr>
            </w:pPr>
            <w:r>
              <w:rPr>
                <w:color w:val="auto"/>
                <w:highlight w:val="none"/>
              </w:rPr>
              <w:t>天花类型名-规格尺寸</w:t>
            </w:r>
          </w:p>
        </w:tc>
        <w:tc>
          <w:tcPr>
            <w:tcW w:w="2358" w:type="dxa"/>
            <w:vAlign w:val="center"/>
          </w:tcPr>
          <w:p>
            <w:pPr>
              <w:rPr>
                <w:color w:val="auto"/>
                <w:highlight w:val="none"/>
              </w:rPr>
            </w:pPr>
            <w:r>
              <w:rPr>
                <w:color w:val="auto"/>
                <w:highlight w:val="none"/>
              </w:rPr>
              <w:t>天花-600X600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楼梯、扶梯、电梯、门窗</w:t>
            </w:r>
          </w:p>
        </w:tc>
        <w:tc>
          <w:tcPr>
            <w:tcW w:w="2675" w:type="dxa"/>
            <w:vAlign w:val="center"/>
          </w:tcPr>
          <w:p>
            <w:pPr>
              <w:rPr>
                <w:color w:val="auto"/>
                <w:highlight w:val="none"/>
              </w:rPr>
            </w:pPr>
            <w:r>
              <w:rPr>
                <w:color w:val="auto"/>
                <w:highlight w:val="none"/>
              </w:rPr>
              <w:t>与设计图纸一致</w:t>
            </w:r>
          </w:p>
        </w:tc>
        <w:tc>
          <w:tcPr>
            <w:tcW w:w="2358" w:type="dxa"/>
            <w:vAlign w:val="center"/>
          </w:tcPr>
          <w:p>
            <w:pPr>
              <w:rPr>
                <w:color w:val="auto"/>
                <w:highlight w:val="none"/>
              </w:rPr>
            </w:pPr>
            <w:r>
              <w:rPr>
                <w:color w:val="auto"/>
                <w:highlight w:val="none"/>
              </w:rPr>
              <w:t>与设计图纸一致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vAlign w:val="center"/>
          </w:tcPr>
          <w:p>
            <w:pPr>
              <w:rPr>
                <w:color w:val="auto"/>
                <w:highlight w:val="none"/>
              </w:rPr>
            </w:pPr>
            <w:r>
              <w:rPr>
                <w:color w:val="auto"/>
                <w:highlight w:val="none"/>
              </w:rPr>
              <w:t>结构</w:t>
            </w:r>
          </w:p>
        </w:tc>
        <w:tc>
          <w:tcPr>
            <w:tcW w:w="2968" w:type="dxa"/>
            <w:vAlign w:val="center"/>
          </w:tcPr>
          <w:p>
            <w:pPr>
              <w:rPr>
                <w:color w:val="auto"/>
                <w:highlight w:val="none"/>
              </w:rPr>
            </w:pPr>
            <w:r>
              <w:rPr>
                <w:color w:val="auto"/>
                <w:highlight w:val="none"/>
              </w:rPr>
              <w:t>承重墙</w:t>
            </w:r>
          </w:p>
        </w:tc>
        <w:tc>
          <w:tcPr>
            <w:tcW w:w="2675" w:type="dxa"/>
            <w:vMerge w:val="restart"/>
            <w:vAlign w:val="center"/>
          </w:tcPr>
          <w:p>
            <w:pPr>
              <w:rPr>
                <w:color w:val="auto"/>
                <w:highlight w:val="none"/>
              </w:rPr>
            </w:pPr>
            <w:r>
              <w:rPr>
                <w:color w:val="auto"/>
                <w:highlight w:val="none"/>
              </w:rPr>
              <w:t>墙类型名-墙厚</w:t>
            </w:r>
          </w:p>
        </w:tc>
        <w:tc>
          <w:tcPr>
            <w:tcW w:w="2358" w:type="dxa"/>
            <w:vMerge w:val="restart"/>
            <w:vAlign w:val="center"/>
          </w:tcPr>
          <w:p>
            <w:pPr>
              <w:rPr>
                <w:color w:val="auto"/>
                <w:highlight w:val="none"/>
              </w:rPr>
            </w:pPr>
            <w:r>
              <w:rPr>
                <w:color w:val="auto"/>
                <w:highlight w:val="none"/>
              </w:rPr>
              <w:t>剪力墙-300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剪力墙</w:t>
            </w:r>
          </w:p>
        </w:tc>
        <w:tc>
          <w:tcPr>
            <w:tcW w:w="2675" w:type="dxa"/>
            <w:vMerge w:val="continue"/>
            <w:vAlign w:val="center"/>
          </w:tcPr>
          <w:p>
            <w:pPr>
              <w:rPr>
                <w:color w:val="auto"/>
                <w:highlight w:val="none"/>
              </w:rPr>
            </w:pPr>
          </w:p>
        </w:tc>
        <w:tc>
          <w:tcPr>
            <w:tcW w:w="235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楼、地面板</w:t>
            </w:r>
          </w:p>
        </w:tc>
        <w:tc>
          <w:tcPr>
            <w:tcW w:w="2675" w:type="dxa"/>
            <w:vAlign w:val="center"/>
          </w:tcPr>
          <w:p>
            <w:pPr>
              <w:rPr>
                <w:color w:val="auto"/>
                <w:highlight w:val="none"/>
              </w:rPr>
            </w:pPr>
            <w:r>
              <w:rPr>
                <w:color w:val="auto"/>
                <w:highlight w:val="none"/>
              </w:rPr>
              <w:t>楼板类型名-板厚</w:t>
            </w:r>
          </w:p>
        </w:tc>
        <w:tc>
          <w:tcPr>
            <w:tcW w:w="2358" w:type="dxa"/>
            <w:vAlign w:val="center"/>
          </w:tcPr>
          <w:p>
            <w:pPr>
              <w:rPr>
                <w:color w:val="auto"/>
                <w:highlight w:val="none"/>
              </w:rPr>
            </w:pPr>
            <w:r>
              <w:rPr>
                <w:color w:val="auto"/>
                <w:highlight w:val="none"/>
              </w:rPr>
              <w:t>混凝土板-200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框架柱</w:t>
            </w:r>
          </w:p>
        </w:tc>
        <w:tc>
          <w:tcPr>
            <w:tcW w:w="2675" w:type="dxa"/>
            <w:vMerge w:val="restart"/>
            <w:vAlign w:val="center"/>
          </w:tcPr>
          <w:p>
            <w:pPr>
              <w:rPr>
                <w:color w:val="auto"/>
                <w:highlight w:val="none"/>
              </w:rPr>
            </w:pPr>
            <w:r>
              <w:rPr>
                <w:color w:val="auto"/>
                <w:highlight w:val="none"/>
              </w:rPr>
              <w:t>柱类型名</w:t>
            </w:r>
          </w:p>
        </w:tc>
        <w:tc>
          <w:tcPr>
            <w:tcW w:w="2358" w:type="dxa"/>
            <w:vMerge w:val="restart"/>
            <w:vAlign w:val="center"/>
          </w:tcPr>
          <w:p>
            <w:pPr>
              <w:rPr>
                <w:color w:val="auto"/>
                <w:highlight w:val="none"/>
              </w:rPr>
            </w:pPr>
            <w:r>
              <w:rPr>
                <w:color w:val="auto"/>
                <w:highlight w:val="none"/>
              </w:rPr>
              <w:t>混凝土框架柱-800X800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构造柱</w:t>
            </w:r>
          </w:p>
        </w:tc>
        <w:tc>
          <w:tcPr>
            <w:tcW w:w="2675" w:type="dxa"/>
            <w:vMerge w:val="continue"/>
            <w:vAlign w:val="center"/>
          </w:tcPr>
          <w:p>
            <w:pPr>
              <w:rPr>
                <w:color w:val="auto"/>
                <w:highlight w:val="none"/>
              </w:rPr>
            </w:pPr>
          </w:p>
        </w:tc>
        <w:tc>
          <w:tcPr>
            <w:tcW w:w="235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混凝土梁</w:t>
            </w:r>
          </w:p>
        </w:tc>
        <w:tc>
          <w:tcPr>
            <w:tcW w:w="2675" w:type="dxa"/>
            <w:vAlign w:val="center"/>
          </w:tcPr>
          <w:p>
            <w:pPr>
              <w:rPr>
                <w:color w:val="auto"/>
                <w:highlight w:val="none"/>
              </w:rPr>
            </w:pPr>
            <w:r>
              <w:rPr>
                <w:color w:val="auto"/>
                <w:highlight w:val="none"/>
              </w:rPr>
              <w:t>梁类型名-尺寸</w:t>
            </w:r>
          </w:p>
        </w:tc>
        <w:tc>
          <w:tcPr>
            <w:tcW w:w="2358" w:type="dxa"/>
            <w:vAlign w:val="center"/>
          </w:tcPr>
          <w:p>
            <w:pPr>
              <w:rPr>
                <w:color w:val="auto"/>
                <w:highlight w:val="none"/>
              </w:rPr>
            </w:pPr>
            <w:r>
              <w:rPr>
                <w:color w:val="auto"/>
                <w:highlight w:val="none"/>
              </w:rPr>
              <w:t>混凝土梁-600X300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restart"/>
            <w:vAlign w:val="center"/>
          </w:tcPr>
          <w:p>
            <w:pPr>
              <w:rPr>
                <w:color w:val="auto"/>
                <w:highlight w:val="none"/>
              </w:rPr>
            </w:pPr>
            <w:r>
              <w:rPr>
                <w:color w:val="auto"/>
                <w:highlight w:val="none"/>
              </w:rPr>
              <w:t>机电</w:t>
            </w:r>
          </w:p>
        </w:tc>
        <w:tc>
          <w:tcPr>
            <w:tcW w:w="2968" w:type="dxa"/>
            <w:vAlign w:val="center"/>
          </w:tcPr>
          <w:p>
            <w:pPr>
              <w:rPr>
                <w:color w:val="auto"/>
                <w:highlight w:val="none"/>
              </w:rPr>
            </w:pPr>
            <w:r>
              <w:rPr>
                <w:color w:val="auto"/>
                <w:highlight w:val="none"/>
              </w:rPr>
              <w:t>风管</w:t>
            </w:r>
          </w:p>
        </w:tc>
        <w:tc>
          <w:tcPr>
            <w:tcW w:w="2675" w:type="dxa"/>
            <w:vAlign w:val="center"/>
          </w:tcPr>
          <w:p>
            <w:pPr>
              <w:rPr>
                <w:color w:val="auto"/>
                <w:highlight w:val="none"/>
              </w:rPr>
            </w:pPr>
            <w:r>
              <w:rPr>
                <w:color w:val="auto"/>
                <w:highlight w:val="none"/>
              </w:rPr>
              <w:t>风管类型</w:t>
            </w:r>
          </w:p>
        </w:tc>
        <w:tc>
          <w:tcPr>
            <w:tcW w:w="2358" w:type="dxa"/>
            <w:vAlign w:val="center"/>
          </w:tcPr>
          <w:p>
            <w:pPr>
              <w:rPr>
                <w:color w:val="auto"/>
                <w:highlight w:val="none"/>
              </w:rPr>
            </w:pPr>
            <w:r>
              <w:rPr>
                <w:color w:val="auto"/>
                <w:highlight w:val="none"/>
              </w:rPr>
              <w:t>矩形镀锌风管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水管</w:t>
            </w:r>
          </w:p>
        </w:tc>
        <w:tc>
          <w:tcPr>
            <w:tcW w:w="2675" w:type="dxa"/>
            <w:vAlign w:val="center"/>
          </w:tcPr>
          <w:p>
            <w:pPr>
              <w:rPr>
                <w:color w:val="auto"/>
                <w:highlight w:val="none"/>
              </w:rPr>
            </w:pPr>
            <w:r>
              <w:rPr>
                <w:color w:val="auto"/>
                <w:highlight w:val="none"/>
              </w:rPr>
              <w:t>管道材质</w:t>
            </w:r>
          </w:p>
        </w:tc>
        <w:tc>
          <w:tcPr>
            <w:tcW w:w="2358" w:type="dxa"/>
            <w:vAlign w:val="center"/>
          </w:tcPr>
          <w:p>
            <w:pPr>
              <w:rPr>
                <w:color w:val="auto"/>
                <w:highlight w:val="none"/>
              </w:rPr>
            </w:pPr>
            <w:r>
              <w:rPr>
                <w:color w:val="auto"/>
                <w:highlight w:val="none"/>
              </w:rPr>
              <w:t>热镀锌钢管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桥架</w:t>
            </w:r>
          </w:p>
        </w:tc>
        <w:tc>
          <w:tcPr>
            <w:tcW w:w="2675" w:type="dxa"/>
            <w:vAlign w:val="center"/>
          </w:tcPr>
          <w:p>
            <w:pPr>
              <w:rPr>
                <w:color w:val="auto"/>
                <w:highlight w:val="none"/>
              </w:rPr>
            </w:pPr>
            <w:r>
              <w:rPr>
                <w:color w:val="auto"/>
                <w:highlight w:val="none"/>
              </w:rPr>
              <w:t>桥架类型-系统</w:t>
            </w:r>
          </w:p>
        </w:tc>
        <w:tc>
          <w:tcPr>
            <w:tcW w:w="2358" w:type="dxa"/>
            <w:vAlign w:val="center"/>
          </w:tcPr>
          <w:p>
            <w:pPr>
              <w:rPr>
                <w:color w:val="auto"/>
                <w:highlight w:val="none"/>
              </w:rPr>
            </w:pPr>
            <w:r>
              <w:rPr>
                <w:color w:val="auto"/>
                <w:highlight w:val="none"/>
              </w:rPr>
              <w:t>CT-普通强电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480" w:type="dxa"/>
            <w:vMerge w:val="continue"/>
            <w:vAlign w:val="center"/>
          </w:tcPr>
          <w:p>
            <w:pPr>
              <w:rPr>
                <w:color w:val="auto"/>
                <w:highlight w:val="none"/>
              </w:rPr>
            </w:pPr>
          </w:p>
        </w:tc>
        <w:tc>
          <w:tcPr>
            <w:tcW w:w="2968" w:type="dxa"/>
            <w:vAlign w:val="center"/>
          </w:tcPr>
          <w:p>
            <w:pPr>
              <w:rPr>
                <w:color w:val="auto"/>
                <w:highlight w:val="none"/>
              </w:rPr>
            </w:pPr>
            <w:r>
              <w:rPr>
                <w:color w:val="auto"/>
                <w:highlight w:val="none"/>
              </w:rPr>
              <w:t>设备</w:t>
            </w:r>
          </w:p>
        </w:tc>
        <w:tc>
          <w:tcPr>
            <w:tcW w:w="2675" w:type="dxa"/>
            <w:vAlign w:val="center"/>
          </w:tcPr>
          <w:p>
            <w:pPr>
              <w:rPr>
                <w:color w:val="auto"/>
                <w:highlight w:val="none"/>
              </w:rPr>
            </w:pPr>
            <w:r>
              <w:rPr>
                <w:color w:val="auto"/>
                <w:highlight w:val="none"/>
              </w:rPr>
              <w:t>与设计图纸一致</w:t>
            </w:r>
          </w:p>
        </w:tc>
        <w:tc>
          <w:tcPr>
            <w:tcW w:w="2358" w:type="dxa"/>
            <w:vAlign w:val="center"/>
          </w:tcPr>
          <w:p>
            <w:pPr>
              <w:rPr>
                <w:color w:val="auto"/>
                <w:highlight w:val="none"/>
              </w:rPr>
            </w:pPr>
            <w:r>
              <w:rPr>
                <w:color w:val="auto"/>
                <w:highlight w:val="none"/>
              </w:rPr>
              <w:t>与设计图纸一致</w:t>
            </w:r>
          </w:p>
        </w:tc>
      </w:tr>
    </w:tbl>
    <w:p>
      <w:pPr>
        <w:rPr>
          <w:color w:val="auto"/>
          <w:highlight w:val="none"/>
        </w:rPr>
      </w:pPr>
      <w:bookmarkStart w:id="236" w:name="_Toc31766"/>
      <w:r>
        <w:rPr>
          <w:rFonts w:hint="eastAsia"/>
          <w:color w:val="auto"/>
          <w:highlight w:val="none"/>
        </w:rPr>
        <w:t>模型材质命名</w:t>
      </w:r>
      <w:bookmarkEnd w:id="236"/>
    </w:p>
    <w:p>
      <w:pPr>
        <w:rPr>
          <w:color w:val="auto"/>
          <w:highlight w:val="none"/>
        </w:rPr>
      </w:pPr>
      <w:r>
        <w:rPr>
          <w:rFonts w:hint="eastAsia"/>
          <w:color w:val="auto"/>
          <w:highlight w:val="none"/>
        </w:rPr>
        <w:t>材质的命名分类清晰，便于查找，命名参考设置应由材质“类别”和“名称”的实际名</w:t>
      </w:r>
      <w:r>
        <w:rPr>
          <w:color w:val="auto"/>
          <w:highlight w:val="none"/>
        </w:rPr>
        <w:t>称组成。</w:t>
      </w:r>
    </w:p>
    <w:p>
      <w:pPr>
        <w:rPr>
          <w:color w:val="auto"/>
          <w:highlight w:val="none"/>
        </w:rPr>
      </w:pPr>
      <w:r>
        <w:rPr>
          <w:color w:val="auto"/>
          <w:highlight w:val="none"/>
        </w:rPr>
        <w:t>例如：玻璃—磨砂，现场浇筑混凝土—C30</w:t>
      </w:r>
    </w:p>
    <w:p>
      <w:pPr>
        <w:rPr>
          <w:color w:val="auto"/>
          <w:highlight w:val="none"/>
        </w:rPr>
      </w:pPr>
      <w:bookmarkStart w:id="237" w:name="_Toc19507"/>
      <w:r>
        <w:rPr>
          <w:color w:val="auto"/>
          <w:highlight w:val="none"/>
        </w:rPr>
        <w:t>模型楼层命名</w:t>
      </w:r>
      <w:bookmarkEnd w:id="237"/>
    </w:p>
    <w:p>
      <w:pPr>
        <w:rPr>
          <w:color w:val="auto"/>
          <w:highlight w:val="none"/>
        </w:rPr>
      </w:pPr>
      <w:r>
        <w:rPr>
          <w:color w:val="auto"/>
          <w:highlight w:val="none"/>
        </w:rPr>
        <w:t>楼层命名应与设计图纸保持一致。</w:t>
      </w:r>
    </w:p>
    <w:p>
      <w:pPr>
        <w:rPr>
          <w:color w:val="auto"/>
          <w:highlight w:val="none"/>
        </w:rPr>
      </w:pPr>
      <w:bookmarkStart w:id="238" w:name="_Toc62460192"/>
      <w:bookmarkStart w:id="239" w:name="_Toc6617"/>
      <w:r>
        <w:rPr>
          <w:color w:val="auto"/>
          <w:highlight w:val="none"/>
        </w:rPr>
        <w:t>模型拆分管理</w:t>
      </w:r>
      <w:bookmarkEnd w:id="238"/>
      <w:bookmarkEnd w:id="239"/>
    </w:p>
    <w:p>
      <w:pPr>
        <w:rPr>
          <w:color w:val="auto"/>
          <w:highlight w:val="none"/>
        </w:rPr>
      </w:pPr>
      <w:bookmarkStart w:id="240" w:name="_Toc7649"/>
      <w:r>
        <w:rPr>
          <w:rFonts w:hint="eastAsia"/>
          <w:color w:val="auto"/>
          <w:highlight w:val="none"/>
        </w:rPr>
        <w:t>模型拆分按各个建筑的单体、专业、区域或楼层进行拆分，拆分原则如下：</w:t>
      </w:r>
      <w:bookmarkEnd w:id="240"/>
    </w:p>
    <w:p>
      <w:pPr>
        <w:rPr>
          <w:color w:val="auto"/>
          <w:highlight w:val="none"/>
        </w:rPr>
      </w:pPr>
      <w:bookmarkStart w:id="241" w:name="_Toc5648"/>
      <w:r>
        <w:rPr>
          <w:rFonts w:hint="eastAsia"/>
          <w:color w:val="auto"/>
          <w:highlight w:val="none"/>
        </w:rPr>
        <w:t>1按专业分类划分</w:t>
      </w:r>
      <w:bookmarkEnd w:id="241"/>
    </w:p>
    <w:p>
      <w:pPr>
        <w:rPr>
          <w:color w:val="auto"/>
          <w:highlight w:val="none"/>
        </w:rPr>
      </w:pPr>
      <w:r>
        <w:rPr>
          <w:rFonts w:hint="eastAsia"/>
          <w:color w:val="auto"/>
          <w:highlight w:val="none"/>
        </w:rPr>
        <w:t>项目模型按照专业分类进行划分。若有外立面幕墙部分，将作为子专业分离出来，相关模型保存在对应文件夹中。项目模型拆分专业为：土建（建筑结构），机电，幕墙外立面。</w:t>
      </w:r>
    </w:p>
    <w:p>
      <w:pPr>
        <w:rPr>
          <w:color w:val="auto"/>
          <w:highlight w:val="none"/>
        </w:rPr>
      </w:pPr>
      <w:bookmarkStart w:id="242" w:name="_Toc32547"/>
      <w:r>
        <w:rPr>
          <w:rFonts w:hint="eastAsia"/>
          <w:color w:val="auto"/>
          <w:highlight w:val="none"/>
        </w:rPr>
        <w:t>2按楼层划分</w:t>
      </w:r>
      <w:bookmarkEnd w:id="242"/>
    </w:p>
    <w:p>
      <w:pPr>
        <w:rPr>
          <w:color w:val="auto"/>
          <w:highlight w:val="none"/>
        </w:rPr>
      </w:pPr>
      <w:r>
        <w:rPr>
          <w:rFonts w:hint="eastAsia"/>
          <w:color w:val="auto"/>
          <w:highlight w:val="none"/>
        </w:rPr>
        <w:t>各专业模型需按楼层进行划分。</w:t>
      </w:r>
    </w:p>
    <w:p>
      <w:pPr>
        <w:rPr>
          <w:color w:val="auto"/>
          <w:highlight w:val="none"/>
        </w:rPr>
      </w:pPr>
      <w:bookmarkStart w:id="243" w:name="_Toc29620"/>
      <w:r>
        <w:rPr>
          <w:rFonts w:hint="eastAsia"/>
          <w:color w:val="auto"/>
          <w:highlight w:val="none"/>
        </w:rPr>
        <w:t>3按机电系统划分</w:t>
      </w:r>
      <w:bookmarkEnd w:id="243"/>
    </w:p>
    <w:p>
      <w:pPr>
        <w:rPr>
          <w:color w:val="auto"/>
          <w:highlight w:val="none"/>
        </w:rPr>
      </w:pPr>
      <w:r>
        <w:rPr>
          <w:rFonts w:hint="eastAsia"/>
          <w:color w:val="auto"/>
          <w:highlight w:val="none"/>
        </w:rPr>
        <w:t>机电各专业在楼层的基础上还需按系统划分。</w:t>
      </w:r>
    </w:p>
    <w:p>
      <w:pPr>
        <w:rPr>
          <w:color w:val="auto"/>
          <w:highlight w:val="none"/>
        </w:rPr>
      </w:pPr>
      <w:bookmarkStart w:id="244" w:name="_Toc22671"/>
      <w:r>
        <w:rPr>
          <w:rFonts w:hint="eastAsia"/>
          <w:color w:val="auto"/>
          <w:highlight w:val="none"/>
        </w:rPr>
        <w:t>4</w:t>
      </w:r>
      <w:r>
        <w:rPr>
          <w:color w:val="auto"/>
          <w:highlight w:val="none"/>
        </w:rPr>
        <w:t xml:space="preserve">  按分包区域划分</w:t>
      </w:r>
      <w:bookmarkEnd w:id="244"/>
      <w:bookmarkStart w:id="245" w:name="_bookmark27"/>
      <w:bookmarkEnd w:id="245"/>
    </w:p>
    <w:p>
      <w:pPr>
        <w:rPr>
          <w:color w:val="auto"/>
          <w:highlight w:val="none"/>
        </w:rPr>
      </w:pPr>
      <w:r>
        <w:rPr>
          <w:color w:val="auto"/>
          <w:highlight w:val="none"/>
        </w:rPr>
        <w:t>在施工阶段应根据施工分包区域划分模型。</w:t>
      </w:r>
    </w:p>
    <w:p>
      <w:pPr>
        <w:rPr>
          <w:color w:val="auto"/>
          <w:highlight w:val="none"/>
        </w:rPr>
      </w:pPr>
    </w:p>
    <w:p>
      <w:pPr>
        <w:rPr>
          <w:color w:val="auto"/>
          <w:highlight w:val="none"/>
        </w:rPr>
      </w:pPr>
      <w:r>
        <w:rPr>
          <w:color w:val="auto"/>
          <w:highlight w:val="none"/>
        </w:rPr>
        <w:t>表2.3  模型拆分示意</w:t>
      </w:r>
    </w:p>
    <w:tbl>
      <w:tblPr>
        <w:tblStyle w:val="63"/>
        <w:tblW w:w="9207" w:type="dxa"/>
        <w:jc w:val="center"/>
        <w:tblLayout w:type="fixed"/>
        <w:tblCellMar>
          <w:top w:w="0" w:type="dxa"/>
          <w:left w:w="0" w:type="dxa"/>
          <w:bottom w:w="0" w:type="dxa"/>
          <w:right w:w="0" w:type="dxa"/>
        </w:tblCellMar>
      </w:tblPr>
      <w:tblGrid>
        <w:gridCol w:w="754"/>
        <w:gridCol w:w="1421"/>
        <w:gridCol w:w="7032"/>
      </w:tblGrid>
      <w:tr>
        <w:tblPrEx>
          <w:tblCellMar>
            <w:top w:w="0" w:type="dxa"/>
            <w:left w:w="0" w:type="dxa"/>
            <w:bottom w:w="0" w:type="dxa"/>
            <w:right w:w="0" w:type="dxa"/>
          </w:tblCellMar>
        </w:tblPrEx>
        <w:trPr>
          <w:trHeight w:val="454" w:hRule="atLeast"/>
          <w:jc w:val="center"/>
        </w:trPr>
        <w:tc>
          <w:tcPr>
            <w:tcW w:w="75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序号</w:t>
            </w:r>
          </w:p>
        </w:tc>
        <w:tc>
          <w:tcPr>
            <w:tcW w:w="142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专业</w:t>
            </w:r>
          </w:p>
        </w:tc>
        <w:tc>
          <w:tcPr>
            <w:tcW w:w="703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模型拆分规则</w:t>
            </w:r>
          </w:p>
        </w:tc>
      </w:tr>
      <w:tr>
        <w:tblPrEx>
          <w:tblCellMar>
            <w:top w:w="0" w:type="dxa"/>
            <w:left w:w="0" w:type="dxa"/>
            <w:bottom w:w="0" w:type="dxa"/>
            <w:right w:w="0" w:type="dxa"/>
          </w:tblCellMar>
        </w:tblPrEx>
        <w:trPr>
          <w:trHeight w:val="454" w:hRule="atLeast"/>
          <w:jc w:val="center"/>
        </w:trPr>
        <w:tc>
          <w:tcPr>
            <w:tcW w:w="75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142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建筑</w:t>
            </w:r>
          </w:p>
        </w:tc>
        <w:tc>
          <w:tcPr>
            <w:tcW w:w="703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按建筑、楼号、施工缝、构件功能分一个单体、一层楼层或多层楼层</w:t>
            </w:r>
          </w:p>
        </w:tc>
      </w:tr>
      <w:tr>
        <w:tblPrEx>
          <w:tblCellMar>
            <w:top w:w="0" w:type="dxa"/>
            <w:left w:w="0" w:type="dxa"/>
            <w:bottom w:w="0" w:type="dxa"/>
            <w:right w:w="0" w:type="dxa"/>
          </w:tblCellMar>
        </w:tblPrEx>
        <w:trPr>
          <w:trHeight w:val="454" w:hRule="atLeast"/>
          <w:jc w:val="center"/>
        </w:trPr>
        <w:tc>
          <w:tcPr>
            <w:tcW w:w="75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142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结构</w:t>
            </w:r>
          </w:p>
        </w:tc>
        <w:tc>
          <w:tcPr>
            <w:tcW w:w="703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按建筑、楼号、施工缝、构件功能分一个单体、一层楼层或多层楼层</w:t>
            </w:r>
          </w:p>
        </w:tc>
      </w:tr>
      <w:tr>
        <w:tblPrEx>
          <w:tblCellMar>
            <w:top w:w="0" w:type="dxa"/>
            <w:left w:w="0" w:type="dxa"/>
            <w:bottom w:w="0" w:type="dxa"/>
            <w:right w:w="0" w:type="dxa"/>
          </w:tblCellMar>
        </w:tblPrEx>
        <w:trPr>
          <w:trHeight w:val="454" w:hRule="atLeast"/>
          <w:jc w:val="center"/>
        </w:trPr>
        <w:tc>
          <w:tcPr>
            <w:tcW w:w="75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142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机电</w:t>
            </w:r>
          </w:p>
        </w:tc>
        <w:tc>
          <w:tcPr>
            <w:tcW w:w="703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参照建筑专业拆分方式，根据系统、子系统可进一步细化</w:t>
            </w:r>
          </w:p>
        </w:tc>
      </w:tr>
    </w:tbl>
    <w:p>
      <w:pPr>
        <w:rPr>
          <w:color w:val="auto"/>
          <w:highlight w:val="none"/>
        </w:rPr>
      </w:pPr>
      <w:bookmarkStart w:id="246" w:name="_Toc62460193"/>
      <w:bookmarkStart w:id="247" w:name="_Toc11401"/>
      <w:r>
        <w:rPr>
          <w:color w:val="auto"/>
          <w:highlight w:val="none"/>
        </w:rPr>
        <w:t>模型图形管理</w:t>
      </w:r>
      <w:bookmarkEnd w:id="246"/>
      <w:bookmarkEnd w:id="247"/>
    </w:p>
    <w:p>
      <w:pPr>
        <w:rPr>
          <w:color w:val="auto"/>
          <w:highlight w:val="none"/>
        </w:rPr>
      </w:pPr>
      <w:bookmarkStart w:id="248" w:name="_Toc2670"/>
      <w:r>
        <w:rPr>
          <w:color w:val="auto"/>
          <w:highlight w:val="none"/>
        </w:rPr>
        <w:t>应根据项目各参与方的企业标准及使用习惯制定项目的模型配色及线型要求，并应符合以下原则：</w:t>
      </w:r>
      <w:bookmarkEnd w:id="248"/>
    </w:p>
    <w:p>
      <w:pPr>
        <w:rPr>
          <w:color w:val="auto"/>
          <w:highlight w:val="none"/>
        </w:rPr>
      </w:pPr>
      <w:bookmarkStart w:id="249" w:name="_Toc32502"/>
      <w:r>
        <w:rPr>
          <w:color w:val="auto"/>
          <w:highlight w:val="none"/>
        </w:rPr>
        <w:t>1  具体实施根据项目要求而定，模型颜色应与设计图纸保持一致；</w:t>
      </w:r>
      <w:bookmarkEnd w:id="249"/>
    </w:p>
    <w:p>
      <w:pPr>
        <w:rPr>
          <w:color w:val="auto"/>
          <w:highlight w:val="none"/>
        </w:rPr>
      </w:pPr>
      <w:bookmarkStart w:id="250" w:name="_Toc25514"/>
      <w:r>
        <w:rPr>
          <w:color w:val="auto"/>
          <w:highlight w:val="none"/>
        </w:rPr>
        <w:t>2  模型二维配色及线型应清晰鲜明，符合出图标准要求；</w:t>
      </w:r>
      <w:bookmarkEnd w:id="250"/>
    </w:p>
    <w:p>
      <w:pPr>
        <w:rPr>
          <w:color w:val="auto"/>
          <w:highlight w:val="none"/>
        </w:rPr>
      </w:pPr>
      <w:bookmarkStart w:id="251" w:name="_Toc26584"/>
      <w:r>
        <w:rPr>
          <w:color w:val="auto"/>
          <w:highlight w:val="none"/>
        </w:rPr>
        <w:t>3  机电专业可根据系统划分三维配色体系，三维配色应采用不同色系方便区分不同系统分类。机电专业管线构件命名及配色不作强制要求。</w:t>
      </w:r>
      <w:bookmarkEnd w:id="251"/>
    </w:p>
    <w:p>
      <w:pPr>
        <w:rPr>
          <w:color w:val="auto"/>
          <w:highlight w:val="none"/>
        </w:rPr>
      </w:pPr>
      <w:bookmarkStart w:id="252" w:name="_Toc6366"/>
      <w:bookmarkStart w:id="253" w:name="_Toc62460194"/>
      <w:r>
        <w:rPr>
          <w:color w:val="auto"/>
          <w:highlight w:val="none"/>
        </w:rPr>
        <w:t>单位坐标设置</w:t>
      </w:r>
      <w:bookmarkEnd w:id="252"/>
      <w:bookmarkEnd w:id="253"/>
    </w:p>
    <w:p>
      <w:pPr>
        <w:rPr>
          <w:color w:val="auto"/>
          <w:highlight w:val="none"/>
        </w:rPr>
      </w:pPr>
      <w:bookmarkStart w:id="254" w:name="_Toc4042"/>
      <w:r>
        <w:rPr>
          <w:rFonts w:hint="eastAsia"/>
          <w:color w:val="auto"/>
          <w:highlight w:val="none"/>
        </w:rPr>
        <w:t>项目样板文件定义单位及坐标基本参数，设置参考内容如下：</w:t>
      </w:r>
      <w:bookmarkEnd w:id="254"/>
    </w:p>
    <w:p>
      <w:pPr>
        <w:rPr>
          <w:color w:val="auto"/>
          <w:highlight w:val="none"/>
        </w:rPr>
      </w:pPr>
      <w:r>
        <w:rPr>
          <w:rFonts w:hint="eastAsia"/>
          <w:color w:val="auto"/>
          <w:highlight w:val="none"/>
        </w:rPr>
        <w:t>表2.5信息模型单位、坐标要求</w:t>
      </w:r>
    </w:p>
    <w:tbl>
      <w:tblPr>
        <w:tblStyle w:val="63"/>
        <w:tblW w:w="8958" w:type="dxa"/>
        <w:tblInd w:w="0" w:type="dxa"/>
        <w:tblLayout w:type="fixed"/>
        <w:tblCellMar>
          <w:top w:w="0" w:type="dxa"/>
          <w:left w:w="0" w:type="dxa"/>
          <w:bottom w:w="0" w:type="dxa"/>
          <w:right w:w="0" w:type="dxa"/>
        </w:tblCellMar>
      </w:tblPr>
      <w:tblGrid>
        <w:gridCol w:w="742"/>
        <w:gridCol w:w="8216"/>
      </w:tblGrid>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序号</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设置内容</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项目单位为毫米</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使用相对标高，±0.000即为坐标原点Z轴坐标点</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为所有BIM数据定义通用坐标系</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建立“正北”和“项目北”之间的关系</w:t>
            </w:r>
          </w:p>
        </w:tc>
      </w:tr>
      <w:tr>
        <w:tblPrEx>
          <w:tblCellMar>
            <w:top w:w="0" w:type="dxa"/>
            <w:left w:w="0" w:type="dxa"/>
            <w:bottom w:w="0" w:type="dxa"/>
            <w:right w:w="0" w:type="dxa"/>
          </w:tblCellMar>
        </w:tblPrEx>
        <w:trPr>
          <w:trHeight w:val="454" w:hRule="atLeast"/>
        </w:trPr>
        <w:tc>
          <w:tcPr>
            <w:tcW w:w="74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5</w:t>
            </w:r>
          </w:p>
        </w:tc>
        <w:tc>
          <w:tcPr>
            <w:tcW w:w="821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依据施工图纸正确定位项目的</w:t>
            </w:r>
            <w:r>
              <w:rPr>
                <w:rFonts w:hint="eastAsia"/>
                <w:color w:val="auto"/>
                <w:highlight w:val="none"/>
              </w:rPr>
              <w:t>项目基点、</w:t>
            </w:r>
            <w:r>
              <w:rPr>
                <w:color w:val="auto"/>
                <w:highlight w:val="none"/>
              </w:rPr>
              <w:t>地理位置和朝向。</w:t>
            </w:r>
          </w:p>
        </w:tc>
      </w:tr>
    </w:tbl>
    <w:p>
      <w:pPr>
        <w:rPr>
          <w:color w:val="auto"/>
          <w:highlight w:val="none"/>
        </w:rPr>
      </w:pPr>
      <w:bookmarkStart w:id="255" w:name="_Toc1277"/>
      <w:bookmarkStart w:id="256" w:name="_Toc62460195"/>
      <w:r>
        <w:rPr>
          <w:color w:val="auto"/>
          <w:highlight w:val="none"/>
        </w:rPr>
        <w:t>模型信息管理</w:t>
      </w:r>
      <w:bookmarkEnd w:id="255"/>
      <w:bookmarkEnd w:id="256"/>
    </w:p>
    <w:p>
      <w:pPr>
        <w:rPr>
          <w:color w:val="auto"/>
          <w:highlight w:val="none"/>
        </w:rPr>
      </w:pPr>
      <w:bookmarkStart w:id="257" w:name="_Toc28589"/>
      <w:r>
        <w:rPr>
          <w:color w:val="auto"/>
          <w:highlight w:val="none"/>
        </w:rPr>
        <w:t>BIM模型应包含正确的几何信息和非几何信息，几何信息包括形状、尺寸、坐标等。非几何信息包括项目参数、设备参数、运维信息等。各阶段应包含信息详见附表内容。</w:t>
      </w:r>
      <w:bookmarkEnd w:id="257"/>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258" w:name="_bookmark28"/>
      <w:bookmarkEnd w:id="258"/>
      <w:bookmarkStart w:id="259" w:name="_bookmark29"/>
      <w:bookmarkEnd w:id="259"/>
      <w:bookmarkStart w:id="260" w:name="_Toc2103"/>
      <w:bookmarkStart w:id="261" w:name="_Toc62460196"/>
      <w:r>
        <w:rPr>
          <w:color w:val="auto"/>
          <w:highlight w:val="none"/>
        </w:rPr>
        <w:t>项目控制</w:t>
      </w:r>
      <w:bookmarkEnd w:id="260"/>
      <w:bookmarkEnd w:id="261"/>
    </w:p>
    <w:p>
      <w:pPr>
        <w:rPr>
          <w:color w:val="auto"/>
          <w:highlight w:val="none"/>
        </w:rPr>
      </w:pPr>
      <w:bookmarkStart w:id="262" w:name="_Toc62460197"/>
      <w:bookmarkStart w:id="263" w:name="_Toc20089"/>
      <w:r>
        <w:rPr>
          <w:color w:val="auto"/>
          <w:highlight w:val="none"/>
        </w:rPr>
        <w:t>质量控制</w:t>
      </w:r>
      <w:bookmarkEnd w:id="262"/>
      <w:bookmarkEnd w:id="263"/>
    </w:p>
    <w:p>
      <w:pPr>
        <w:rPr>
          <w:color w:val="auto"/>
          <w:highlight w:val="none"/>
        </w:rPr>
      </w:pPr>
      <w:bookmarkStart w:id="264" w:name="_Toc16132"/>
      <w:r>
        <w:rPr>
          <w:color w:val="auto"/>
          <w:highlight w:val="none"/>
        </w:rPr>
        <w:t>BIM质量控制管理</w:t>
      </w:r>
      <w:bookmarkEnd w:id="264"/>
    </w:p>
    <w:p>
      <w:pPr>
        <w:rPr>
          <w:color w:val="auto"/>
          <w:highlight w:val="none"/>
        </w:rPr>
      </w:pPr>
      <w:r>
        <w:rPr>
          <w:color w:val="auto"/>
          <w:highlight w:val="none"/>
        </w:rPr>
        <w:t>为了确保质量，在每一个项目阶段和信息交流之前，BIM总协调方必须预先计划每个BIM项目模型的内容、详细程度，并且负责更新模型。每个BIM模型都应安排一个固定负责人来协调工作，且应该参加所有BIM团队的活动，负责解决可能出现的问题。</w:t>
      </w:r>
    </w:p>
    <w:p>
      <w:pPr>
        <w:rPr>
          <w:color w:val="auto"/>
          <w:highlight w:val="none"/>
        </w:rPr>
      </w:pPr>
      <w:r>
        <w:rPr>
          <w:color w:val="auto"/>
          <w:highlight w:val="none"/>
        </w:rPr>
        <w:t>BIM总协调方在规划过程中应建立数据质量的标准，在每个主要的BIM阶段，质量控制必须完成，如设计审查、协调会议等。</w:t>
      </w:r>
    </w:p>
    <w:p>
      <w:pPr>
        <w:rPr>
          <w:color w:val="auto"/>
          <w:highlight w:val="none"/>
        </w:rPr>
      </w:pPr>
      <w:r>
        <w:rPr>
          <w:color w:val="auto"/>
          <w:highlight w:val="none"/>
        </w:rPr>
        <w:t>每个项目组应在质量检查前提交其负责的BIM模型，BIM总协调方应对提交的BIM报告的进行质量检查确认，确认模型修订后的质量。</w:t>
      </w:r>
    </w:p>
    <w:p>
      <w:pPr>
        <w:rPr>
          <w:color w:val="auto"/>
          <w:highlight w:val="none"/>
        </w:rPr>
      </w:pPr>
      <w:bookmarkStart w:id="265" w:name="_Toc2722"/>
      <w:r>
        <w:rPr>
          <w:color w:val="auto"/>
          <w:highlight w:val="none"/>
        </w:rPr>
        <w:t>BIM质量审核内容</w:t>
      </w:r>
      <w:bookmarkEnd w:id="265"/>
    </w:p>
    <w:p>
      <w:pPr>
        <w:rPr>
          <w:color w:val="auto"/>
          <w:highlight w:val="none"/>
        </w:rPr>
      </w:pPr>
      <w:bookmarkStart w:id="266" w:name="_Toc23160"/>
      <w:r>
        <w:rPr>
          <w:color w:val="auto"/>
          <w:highlight w:val="none"/>
        </w:rPr>
        <w:t>1  项目实施各阶段前期准备工作交付成果审核</w:t>
      </w:r>
      <w:bookmarkEnd w:id="266"/>
    </w:p>
    <w:p>
      <w:pPr>
        <w:rPr>
          <w:color w:val="auto"/>
          <w:highlight w:val="none"/>
        </w:rPr>
      </w:pPr>
      <w:r>
        <w:rPr>
          <w:color w:val="auto"/>
          <w:highlight w:val="none"/>
        </w:rPr>
        <w:t>1）审核节点：项目实施各阶段前期准备工作完成节点。</w:t>
      </w:r>
    </w:p>
    <w:p>
      <w:pPr>
        <w:rPr>
          <w:color w:val="auto"/>
          <w:highlight w:val="none"/>
        </w:rPr>
      </w:pPr>
      <w:r>
        <w:rPr>
          <w:color w:val="auto"/>
          <w:highlight w:val="none"/>
        </w:rPr>
        <w:t>2）审查依据：国家BIM标准、代建局项目BIM实施标准。</w:t>
      </w:r>
    </w:p>
    <w:p>
      <w:pPr>
        <w:rPr>
          <w:color w:val="auto"/>
          <w:highlight w:val="none"/>
        </w:rPr>
      </w:pPr>
      <w:r>
        <w:rPr>
          <w:color w:val="auto"/>
          <w:highlight w:val="none"/>
        </w:rPr>
        <w:t>3）审核形式：项目前期准备协调会。</w:t>
      </w:r>
    </w:p>
    <w:p>
      <w:pPr>
        <w:rPr>
          <w:color w:val="auto"/>
          <w:highlight w:val="none"/>
        </w:rPr>
      </w:pPr>
      <w:r>
        <w:rPr>
          <w:color w:val="auto"/>
          <w:highlight w:val="none"/>
        </w:rPr>
        <w:t>4）审核人员：代建局各阶段相关负责人、BIM总协调方负责人、项目参与方BIM负</w:t>
      </w:r>
      <w:r>
        <w:rPr>
          <w:rFonts w:hint="eastAsia"/>
          <w:color w:val="auto"/>
          <w:highlight w:val="none"/>
        </w:rPr>
        <w:t>责人。</w:t>
      </w:r>
    </w:p>
    <w:p>
      <w:pPr>
        <w:rPr>
          <w:color w:val="auto"/>
          <w:highlight w:val="none"/>
        </w:rPr>
      </w:pPr>
      <w:r>
        <w:rPr>
          <w:color w:val="auto"/>
          <w:highlight w:val="none"/>
        </w:rPr>
        <w:t>5）审核内容：项目建模标准、建模计划、样板文件、基准模型审核。</w:t>
      </w:r>
    </w:p>
    <w:p>
      <w:pPr>
        <w:rPr>
          <w:color w:val="auto"/>
          <w:highlight w:val="none"/>
        </w:rPr>
      </w:pPr>
      <w:r>
        <w:rPr>
          <w:color w:val="auto"/>
          <w:highlight w:val="none"/>
        </w:rPr>
        <w:t>6）审核结论：是否可以启动项目工作。</w:t>
      </w:r>
    </w:p>
    <w:p>
      <w:pPr>
        <w:rPr>
          <w:color w:val="auto"/>
          <w:highlight w:val="none"/>
        </w:rPr>
      </w:pPr>
      <w:bookmarkStart w:id="267" w:name="_Toc29589"/>
      <w:r>
        <w:rPr>
          <w:color w:val="auto"/>
          <w:highlight w:val="none"/>
        </w:rPr>
        <w:t>2  项目实施各阶段过程交付成果审核</w:t>
      </w:r>
      <w:bookmarkEnd w:id="267"/>
    </w:p>
    <w:p>
      <w:pPr>
        <w:rPr>
          <w:color w:val="auto"/>
          <w:highlight w:val="none"/>
        </w:rPr>
      </w:pPr>
      <w:r>
        <w:rPr>
          <w:color w:val="auto"/>
          <w:highlight w:val="none"/>
        </w:rPr>
        <w:t>1）审核节点：项目实施各阶段实施过程。</w:t>
      </w:r>
    </w:p>
    <w:p>
      <w:pPr>
        <w:rPr>
          <w:color w:val="auto"/>
          <w:highlight w:val="none"/>
        </w:rPr>
      </w:pPr>
      <w:r>
        <w:rPr>
          <w:color w:val="auto"/>
          <w:highlight w:val="none"/>
        </w:rPr>
        <w:t>2）审查依据：代建局项目BIM实施标准、项目BIM实施大纲及方案。</w:t>
      </w:r>
    </w:p>
    <w:p>
      <w:pPr>
        <w:rPr>
          <w:color w:val="auto"/>
          <w:highlight w:val="none"/>
        </w:rPr>
      </w:pPr>
      <w:r>
        <w:rPr>
          <w:color w:val="auto"/>
          <w:highlight w:val="none"/>
        </w:rPr>
        <w:t>3）审核形式：项目BIM协调周例会。</w:t>
      </w:r>
    </w:p>
    <w:p>
      <w:pPr>
        <w:rPr>
          <w:color w:val="auto"/>
          <w:highlight w:val="none"/>
        </w:rPr>
      </w:pPr>
      <w:r>
        <w:rPr>
          <w:color w:val="auto"/>
          <w:highlight w:val="none"/>
        </w:rPr>
        <w:t>4）审核人员：BIM总协调方负责人、项目各参与方BIM负责人。</w:t>
      </w:r>
    </w:p>
    <w:p>
      <w:pPr>
        <w:rPr>
          <w:color w:val="auto"/>
          <w:highlight w:val="none"/>
        </w:rPr>
      </w:pPr>
      <w:r>
        <w:rPr>
          <w:color w:val="auto"/>
          <w:highlight w:val="none"/>
        </w:rPr>
        <w:t>5）审核内容：各参与方是否按节点提交过程成果，过程成果的质量审核（提交成果格式及内容是否满足交付要求，模型搭建及更新是否符合项目实施标准）。</w:t>
      </w:r>
    </w:p>
    <w:p>
      <w:pPr>
        <w:rPr>
          <w:color w:val="auto"/>
          <w:highlight w:val="none"/>
        </w:rPr>
      </w:pPr>
      <w:r>
        <w:rPr>
          <w:color w:val="auto"/>
          <w:highlight w:val="none"/>
        </w:rPr>
        <w:t>6）审核结论：BIM审核结果反馈、落实下一阶段BIM实施计划及要求。</w:t>
      </w:r>
    </w:p>
    <w:p>
      <w:pPr>
        <w:rPr>
          <w:color w:val="auto"/>
          <w:highlight w:val="none"/>
        </w:rPr>
      </w:pPr>
      <w:bookmarkStart w:id="268" w:name="_Toc27729"/>
      <w:r>
        <w:rPr>
          <w:color w:val="auto"/>
          <w:highlight w:val="none"/>
        </w:rPr>
        <w:t>3  项目实施各阶段最终交付成果审核：</w:t>
      </w:r>
      <w:bookmarkEnd w:id="268"/>
    </w:p>
    <w:p>
      <w:pPr>
        <w:rPr>
          <w:color w:val="auto"/>
          <w:highlight w:val="none"/>
        </w:rPr>
      </w:pPr>
      <w:r>
        <w:rPr>
          <w:color w:val="auto"/>
          <w:highlight w:val="none"/>
        </w:rPr>
        <w:t>1）审核节点：各阶段BIM实施成果交付后。</w:t>
      </w:r>
    </w:p>
    <w:p>
      <w:pPr>
        <w:rPr>
          <w:color w:val="auto"/>
          <w:highlight w:val="none"/>
        </w:rPr>
      </w:pPr>
      <w:r>
        <w:rPr>
          <w:color w:val="auto"/>
          <w:highlight w:val="none"/>
        </w:rPr>
        <w:t>2）审查依据：国家建设工程相关规范规程、国家BIM标准、代建局项目BIM实施标准、项目BIM实施大纲及方案。</w:t>
      </w:r>
    </w:p>
    <w:p>
      <w:pPr>
        <w:rPr>
          <w:color w:val="auto"/>
          <w:highlight w:val="none"/>
        </w:rPr>
      </w:pPr>
      <w:r>
        <w:rPr>
          <w:color w:val="auto"/>
          <w:highlight w:val="none"/>
        </w:rPr>
        <w:t>3）审核形式：项目BIM阶段成果交付审查会。</w:t>
      </w:r>
    </w:p>
    <w:p>
      <w:pPr>
        <w:rPr>
          <w:color w:val="auto"/>
          <w:highlight w:val="none"/>
        </w:rPr>
      </w:pPr>
      <w:r>
        <w:rPr>
          <w:color w:val="auto"/>
          <w:highlight w:val="none"/>
        </w:rPr>
        <w:t>4）审核人员：代建局各阶段相关负责人、BIM总协调方负责人、项目各参与方BIM负责人。</w:t>
      </w:r>
    </w:p>
    <w:p>
      <w:pPr>
        <w:rPr>
          <w:color w:val="auto"/>
          <w:highlight w:val="none"/>
        </w:rPr>
      </w:pPr>
      <w:r>
        <w:rPr>
          <w:color w:val="auto"/>
          <w:highlight w:val="none"/>
        </w:rPr>
        <w:t>5）审核内容：提交BIM模型及成果质量是否满足相关要求；模型精度是否满足LOD标准并与实际（设计图纸、施工现场）相符；模型信息是否完整；提交成果是否满足相关要求。</w:t>
      </w:r>
    </w:p>
    <w:p>
      <w:pPr>
        <w:rPr>
          <w:color w:val="auto"/>
          <w:highlight w:val="none"/>
        </w:rPr>
      </w:pPr>
      <w:r>
        <w:rPr>
          <w:color w:val="auto"/>
          <w:highlight w:val="none"/>
        </w:rPr>
        <w:t>6）审核结论：BIM阶段成果深度满足移交下一阶段参与方使用。</w:t>
      </w:r>
    </w:p>
    <w:p>
      <w:pPr>
        <w:rPr>
          <w:color w:val="auto"/>
          <w:highlight w:val="none"/>
        </w:rPr>
      </w:pPr>
      <w:bookmarkStart w:id="269" w:name="_Toc23571"/>
      <w:r>
        <w:rPr>
          <w:color w:val="auto"/>
          <w:highlight w:val="none"/>
        </w:rPr>
        <w:t>确定质量控制方法</w:t>
      </w:r>
      <w:bookmarkEnd w:id="269"/>
    </w:p>
    <w:p>
      <w:pPr>
        <w:rPr>
          <w:color w:val="auto"/>
          <w:highlight w:val="none"/>
        </w:rPr>
      </w:pPr>
      <w:bookmarkStart w:id="270" w:name="_Toc19550"/>
      <w:r>
        <w:rPr>
          <w:color w:val="auto"/>
          <w:highlight w:val="none"/>
        </w:rPr>
        <w:t>1  目视检查：确保没有多余的模型组件，并使用导航软件检查设计意图是否被遵循</w:t>
      </w:r>
      <w:r>
        <w:rPr>
          <w:rFonts w:hint="eastAsia"/>
          <w:color w:val="auto"/>
          <w:highlight w:val="none"/>
        </w:rPr>
        <w:t>。</w:t>
      </w:r>
      <w:bookmarkEnd w:id="270"/>
    </w:p>
    <w:p>
      <w:pPr>
        <w:rPr>
          <w:color w:val="auto"/>
          <w:highlight w:val="none"/>
        </w:rPr>
      </w:pPr>
      <w:bookmarkStart w:id="271" w:name="_Toc5240"/>
      <w:r>
        <w:rPr>
          <w:color w:val="auto"/>
          <w:highlight w:val="none"/>
        </w:rPr>
        <w:t>2  检查冲突：由冲突检测软件检测两个（或多个）模型之间是否有冲突问题</w:t>
      </w:r>
      <w:r>
        <w:rPr>
          <w:rFonts w:hint="eastAsia"/>
          <w:color w:val="auto"/>
          <w:highlight w:val="none"/>
        </w:rPr>
        <w:t>。</w:t>
      </w:r>
      <w:bookmarkEnd w:id="271"/>
    </w:p>
    <w:p>
      <w:pPr>
        <w:rPr>
          <w:color w:val="auto"/>
          <w:highlight w:val="none"/>
        </w:rPr>
      </w:pPr>
      <w:bookmarkStart w:id="272" w:name="_Toc10798"/>
      <w:r>
        <w:rPr>
          <w:color w:val="auto"/>
          <w:highlight w:val="none"/>
        </w:rPr>
        <w:t>3  建成检查冲突：由冲突检测软件检测两个（或多个）模型之间是否有冲突问题</w:t>
      </w:r>
      <w:r>
        <w:rPr>
          <w:rFonts w:hint="eastAsia"/>
          <w:color w:val="auto"/>
          <w:highlight w:val="none"/>
        </w:rPr>
        <w:t>。</w:t>
      </w:r>
      <w:bookmarkEnd w:id="272"/>
    </w:p>
    <w:p>
      <w:pPr>
        <w:rPr>
          <w:color w:val="auto"/>
          <w:highlight w:val="none"/>
        </w:rPr>
      </w:pPr>
      <w:bookmarkStart w:id="273" w:name="_Toc13360"/>
      <w:r>
        <w:rPr>
          <w:color w:val="auto"/>
          <w:highlight w:val="none"/>
        </w:rPr>
        <w:t>4  标准检查：确保该模型遵循团队商定的标准</w:t>
      </w:r>
      <w:r>
        <w:rPr>
          <w:rFonts w:hint="eastAsia"/>
          <w:color w:val="auto"/>
          <w:highlight w:val="none"/>
        </w:rPr>
        <w:t>。</w:t>
      </w:r>
      <w:bookmarkEnd w:id="273"/>
    </w:p>
    <w:p>
      <w:pPr>
        <w:rPr>
          <w:color w:val="auto"/>
          <w:highlight w:val="none"/>
        </w:rPr>
      </w:pPr>
      <w:bookmarkStart w:id="274" w:name="_Toc13610"/>
      <w:r>
        <w:rPr>
          <w:color w:val="auto"/>
          <w:highlight w:val="none"/>
        </w:rPr>
        <w:t>5  元素验证：确保数据集没有未定义的元素</w:t>
      </w:r>
      <w:r>
        <w:rPr>
          <w:rFonts w:hint="eastAsia"/>
          <w:color w:val="auto"/>
          <w:highlight w:val="none"/>
        </w:rPr>
        <w:t>。</w:t>
      </w:r>
      <w:bookmarkEnd w:id="274"/>
    </w:p>
    <w:p>
      <w:pPr>
        <w:rPr>
          <w:color w:val="auto"/>
          <w:highlight w:val="none"/>
        </w:rPr>
      </w:pPr>
      <w:bookmarkStart w:id="275" w:name="_Toc5101"/>
      <w:r>
        <w:rPr>
          <w:color w:val="auto"/>
          <w:highlight w:val="none"/>
        </w:rPr>
        <w:t>6  质量检查报告可参考下表格式</w:t>
      </w:r>
      <w:r>
        <w:rPr>
          <w:rFonts w:hint="eastAsia"/>
          <w:color w:val="auto"/>
          <w:highlight w:val="none"/>
        </w:rPr>
        <w:t>。</w:t>
      </w:r>
      <w:bookmarkEnd w:id="275"/>
    </w:p>
    <w:p>
      <w:pPr>
        <w:rPr>
          <w:color w:val="auto"/>
          <w:highlight w:val="none"/>
        </w:rPr>
      </w:pPr>
      <w:r>
        <w:rPr>
          <w:color w:val="auto"/>
          <w:highlight w:val="none"/>
        </w:rPr>
        <w:t>表3.1.3  质量控制报告</w:t>
      </w:r>
    </w:p>
    <w:tbl>
      <w:tblPr>
        <w:tblStyle w:val="63"/>
        <w:tblW w:w="9107" w:type="dxa"/>
        <w:jc w:val="center"/>
        <w:tblLayout w:type="fixed"/>
        <w:tblCellMar>
          <w:top w:w="0" w:type="dxa"/>
          <w:left w:w="0" w:type="dxa"/>
          <w:bottom w:w="0" w:type="dxa"/>
          <w:right w:w="0" w:type="dxa"/>
        </w:tblCellMar>
      </w:tblPr>
      <w:tblGrid>
        <w:gridCol w:w="900"/>
        <w:gridCol w:w="3475"/>
        <w:gridCol w:w="1098"/>
        <w:gridCol w:w="978"/>
        <w:gridCol w:w="990"/>
        <w:gridCol w:w="992"/>
        <w:gridCol w:w="674"/>
      </w:tblGrid>
      <w:tr>
        <w:tblPrEx>
          <w:tblCellMar>
            <w:top w:w="0" w:type="dxa"/>
            <w:left w:w="0" w:type="dxa"/>
            <w:bottom w:w="0" w:type="dxa"/>
            <w:right w:w="0" w:type="dxa"/>
          </w:tblCellMar>
        </w:tblPrEx>
        <w:trPr>
          <w:trHeight w:val="454"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区域</w:t>
            </w:r>
          </w:p>
        </w:tc>
        <w:tc>
          <w:tcPr>
            <w:tcW w:w="347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检查方法</w:t>
            </w:r>
          </w:p>
        </w:tc>
        <w:tc>
          <w:tcPr>
            <w:tcW w:w="10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检查内容</w:t>
            </w:r>
          </w:p>
        </w:tc>
        <w:tc>
          <w:tcPr>
            <w:tcW w:w="97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检查结果</w:t>
            </w:r>
          </w:p>
        </w:tc>
        <w:tc>
          <w:tcPr>
            <w:tcW w:w="9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检查人</w:t>
            </w:r>
          </w:p>
        </w:tc>
        <w:tc>
          <w:tcPr>
            <w:tcW w:w="99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负责人</w:t>
            </w:r>
          </w:p>
        </w:tc>
        <w:tc>
          <w:tcPr>
            <w:tcW w:w="67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整改</w:t>
            </w:r>
          </w:p>
          <w:p>
            <w:pPr>
              <w:rPr>
                <w:color w:val="auto"/>
                <w:highlight w:val="none"/>
              </w:rPr>
            </w:pPr>
            <w:r>
              <w:rPr>
                <w:color w:val="auto"/>
                <w:highlight w:val="none"/>
              </w:rPr>
              <w:t>意见</w:t>
            </w:r>
          </w:p>
        </w:tc>
      </w:tr>
      <w:tr>
        <w:tblPrEx>
          <w:tblCellMar>
            <w:top w:w="0" w:type="dxa"/>
            <w:left w:w="0" w:type="dxa"/>
            <w:bottom w:w="0" w:type="dxa"/>
            <w:right w:w="0" w:type="dxa"/>
          </w:tblCellMar>
        </w:tblPrEx>
        <w:trPr>
          <w:trHeight w:val="454"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347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目视检查/冲突检查/标准检查/元素验证</w:t>
            </w:r>
          </w:p>
        </w:tc>
        <w:tc>
          <w:tcPr>
            <w:tcW w:w="10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7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7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347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7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7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347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7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7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90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347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7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7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pPr>
      <w:bookmarkStart w:id="276" w:name="_Toc22148"/>
      <w:r>
        <w:rPr>
          <w:color w:val="auto"/>
          <w:highlight w:val="none"/>
        </w:rPr>
        <w:t>BIM模型及成果管控要点</w:t>
      </w:r>
      <w:bookmarkEnd w:id="276"/>
    </w:p>
    <w:p>
      <w:pPr>
        <w:rPr>
          <w:color w:val="auto"/>
          <w:highlight w:val="none"/>
        </w:rPr>
      </w:pPr>
      <w:bookmarkStart w:id="277" w:name="_Toc9808"/>
      <w:r>
        <w:rPr>
          <w:color w:val="auto"/>
          <w:highlight w:val="none"/>
        </w:rPr>
        <w:t>1  BIM模型及成果审查要点</w:t>
      </w:r>
      <w:bookmarkEnd w:id="277"/>
    </w:p>
    <w:p>
      <w:pPr>
        <w:rPr>
          <w:color w:val="auto"/>
          <w:highlight w:val="none"/>
        </w:rPr>
      </w:pPr>
      <w:r>
        <w:rPr>
          <w:color w:val="auto"/>
          <w:highlight w:val="none"/>
        </w:rPr>
        <w:t>1）提交内容是否与要求一致；</w:t>
      </w:r>
    </w:p>
    <w:p>
      <w:pPr>
        <w:rPr>
          <w:color w:val="auto"/>
          <w:highlight w:val="none"/>
        </w:rPr>
      </w:pPr>
      <w:r>
        <w:rPr>
          <w:color w:val="auto"/>
          <w:highlight w:val="none"/>
        </w:rPr>
        <w:t>2）提交成果格式是否与要求一致；</w:t>
      </w:r>
    </w:p>
    <w:p>
      <w:pPr>
        <w:rPr>
          <w:color w:val="auto"/>
          <w:highlight w:val="none"/>
        </w:rPr>
      </w:pPr>
      <w:r>
        <w:rPr>
          <w:color w:val="auto"/>
          <w:highlight w:val="none"/>
        </w:rPr>
        <w:t>3）BIM</w:t>
      </w:r>
      <w:bookmarkStart w:id="278" w:name="_bookmark30"/>
      <w:bookmarkEnd w:id="278"/>
      <w:r>
        <w:rPr>
          <w:color w:val="auto"/>
          <w:highlight w:val="none"/>
        </w:rPr>
        <w:t>模型是否满足相应阶段LOD精度需求；</w:t>
      </w:r>
    </w:p>
    <w:p>
      <w:pPr>
        <w:rPr>
          <w:color w:val="auto"/>
          <w:highlight w:val="none"/>
        </w:rPr>
      </w:pPr>
      <w:r>
        <w:rPr>
          <w:color w:val="auto"/>
          <w:highlight w:val="none"/>
        </w:rPr>
        <w:t>4）各阶段BIM模型与提交图纸相符；</w:t>
      </w:r>
    </w:p>
    <w:p>
      <w:pPr>
        <w:rPr>
          <w:color w:val="auto"/>
          <w:highlight w:val="none"/>
        </w:rPr>
      </w:pPr>
      <w:r>
        <w:rPr>
          <w:color w:val="auto"/>
          <w:highlight w:val="none"/>
        </w:rPr>
        <w:t>5）现阶段BIM模型是否满足下一阶段应用条件及信息；</w:t>
      </w:r>
    </w:p>
    <w:p>
      <w:pPr>
        <w:rPr>
          <w:color w:val="auto"/>
          <w:highlight w:val="none"/>
        </w:rPr>
      </w:pPr>
      <w:r>
        <w:rPr>
          <w:color w:val="auto"/>
          <w:highlight w:val="none"/>
        </w:rPr>
        <w:t>6）各阶段BIM模型应有符合当前阶段的基础信息。</w:t>
      </w:r>
    </w:p>
    <w:p>
      <w:pPr>
        <w:rPr>
          <w:color w:val="auto"/>
          <w:highlight w:val="none"/>
        </w:rPr>
      </w:pPr>
      <w:bookmarkStart w:id="279" w:name="_Toc5028"/>
      <w:r>
        <w:rPr>
          <w:color w:val="auto"/>
          <w:highlight w:val="none"/>
        </w:rPr>
        <w:t>2  BIM模型建模审查要求</w:t>
      </w:r>
      <w:bookmarkEnd w:id="279"/>
    </w:p>
    <w:p>
      <w:pPr>
        <w:rPr>
          <w:color w:val="auto"/>
          <w:highlight w:val="none"/>
        </w:rPr>
      </w:pPr>
      <w:r>
        <w:rPr>
          <w:rFonts w:hint="eastAsia"/>
          <w:color w:val="auto"/>
          <w:highlight w:val="none"/>
        </w:rPr>
        <w:t>1）建筑专业建模：要求楼梯间、电梯间、管井、楼梯、空调机房、泵房、管廊尺寸、天花板高度等定位须准确、模型构件应按层拆分、楼板分区应按后浇带拆分等。</w:t>
      </w:r>
    </w:p>
    <w:p>
      <w:pPr>
        <w:rPr>
          <w:color w:val="auto"/>
          <w:highlight w:val="none"/>
        </w:rPr>
      </w:pPr>
      <w:r>
        <w:rPr>
          <w:rFonts w:hint="eastAsia"/>
          <w:color w:val="auto"/>
          <w:highlight w:val="none"/>
        </w:rPr>
        <w:t>2）结构专业建模：要求梁、板、柱的截面尺寸与定位尺寸须与图纸一致；管廊内梁底标高需要与设计要求一致。</w:t>
      </w:r>
    </w:p>
    <w:p>
      <w:pPr>
        <w:rPr>
          <w:color w:val="auto"/>
          <w:highlight w:val="none"/>
        </w:rPr>
      </w:pPr>
      <w:r>
        <w:rPr>
          <w:rFonts w:hint="eastAsia"/>
          <w:color w:val="auto"/>
          <w:highlight w:val="none"/>
        </w:rPr>
        <w:t>3）暖通专业建模要求：影响管线综合的一些设备、末端须按图纸要求建出，例如：风机盘管、风口等；暖通水系统建模要求同水专业建模要求一致。</w:t>
      </w:r>
    </w:p>
    <w:p>
      <w:pPr>
        <w:rPr>
          <w:color w:val="auto"/>
          <w:highlight w:val="none"/>
        </w:rPr>
      </w:pPr>
      <w:r>
        <w:rPr>
          <w:rFonts w:hint="eastAsia"/>
          <w:color w:val="auto"/>
          <w:highlight w:val="none"/>
        </w:rPr>
        <w:t>4）给排水专业建模要求：一些需要增加坡度的水管须按图纸要求建出坡度。</w:t>
      </w:r>
    </w:p>
    <w:p>
      <w:pPr>
        <w:rPr>
          <w:color w:val="auto"/>
          <w:highlight w:val="none"/>
        </w:rPr>
      </w:pPr>
      <w:r>
        <w:rPr>
          <w:rFonts w:hint="eastAsia"/>
          <w:color w:val="auto"/>
          <w:highlight w:val="none"/>
        </w:rPr>
        <w:t>5）电气专业：要求各系统名称须与图纸一致；桥架规格与图纸一致。</w:t>
      </w:r>
    </w:p>
    <w:p>
      <w:pPr>
        <w:rPr>
          <w:color w:val="auto"/>
          <w:highlight w:val="none"/>
        </w:rPr>
      </w:pPr>
      <w:bookmarkStart w:id="280" w:name="_Toc62460198"/>
      <w:bookmarkStart w:id="281" w:name="_Toc2860"/>
      <w:r>
        <w:rPr>
          <w:color w:val="auto"/>
          <w:highlight w:val="none"/>
        </w:rPr>
        <w:t>进度控制</w:t>
      </w:r>
      <w:bookmarkEnd w:id="280"/>
      <w:bookmarkEnd w:id="281"/>
    </w:p>
    <w:p>
      <w:pPr>
        <w:rPr>
          <w:color w:val="auto"/>
          <w:highlight w:val="none"/>
        </w:rPr>
      </w:pPr>
      <w:bookmarkStart w:id="282" w:name="_Toc9467"/>
      <w:r>
        <w:rPr>
          <w:color w:val="auto"/>
          <w:highlight w:val="none"/>
        </w:rPr>
        <w:t>在项目规划前期，代建局</w:t>
      </w:r>
      <w:r>
        <w:rPr>
          <w:rFonts w:hint="eastAsia"/>
          <w:color w:val="auto"/>
          <w:highlight w:val="none"/>
        </w:rPr>
        <w:t>前期工作部或项目建设管理部</w:t>
      </w:r>
      <w:r>
        <w:rPr>
          <w:color w:val="auto"/>
          <w:highlight w:val="none"/>
        </w:rPr>
        <w:t>根据拟定项目进度计划，制定项目实施的BIM工作总实施计划。如《BIM实施导则》中附表2所示。</w:t>
      </w:r>
      <w:bookmarkEnd w:id="282"/>
    </w:p>
    <w:p>
      <w:pPr>
        <w:rPr>
          <w:color w:val="auto"/>
          <w:highlight w:val="none"/>
        </w:rPr>
      </w:pPr>
      <w:bookmarkStart w:id="283" w:name="_Toc22921"/>
      <w:r>
        <w:rPr>
          <w:color w:val="auto"/>
          <w:highlight w:val="none"/>
        </w:rPr>
        <w:t>项目进度控制管理</w:t>
      </w:r>
      <w:bookmarkEnd w:id="283"/>
    </w:p>
    <w:p>
      <w:pPr>
        <w:rPr>
          <w:color w:val="auto"/>
          <w:highlight w:val="none"/>
        </w:rPr>
      </w:pPr>
      <w:bookmarkStart w:id="284" w:name="_Toc27744"/>
      <w:r>
        <w:rPr>
          <w:color w:val="auto"/>
          <w:highlight w:val="none"/>
        </w:rPr>
        <w:t>1  BIM总协调方根据项目总实施进度制定各阶段BIM实施进度计划，确定模型及成果提交节点及时间；</w:t>
      </w:r>
      <w:bookmarkEnd w:id="284"/>
    </w:p>
    <w:p>
      <w:pPr>
        <w:rPr>
          <w:color w:val="auto"/>
          <w:highlight w:val="none"/>
        </w:rPr>
      </w:pPr>
      <w:bookmarkStart w:id="285" w:name="_Toc16140"/>
      <w:r>
        <w:rPr>
          <w:color w:val="auto"/>
          <w:highlight w:val="none"/>
        </w:rPr>
        <w:t>2  各阶段BIM实施团队根据BIM总协调方制定BIM实施进度计划，要求在计划日期内在项目协同平台上提交BIM成果；</w:t>
      </w:r>
      <w:bookmarkEnd w:id="285"/>
    </w:p>
    <w:p>
      <w:pPr>
        <w:rPr>
          <w:color w:val="auto"/>
          <w:highlight w:val="none"/>
        </w:rPr>
      </w:pPr>
      <w:bookmarkStart w:id="286" w:name="_Toc3939"/>
      <w:r>
        <w:rPr>
          <w:color w:val="auto"/>
          <w:highlight w:val="none"/>
        </w:rPr>
        <w:t>3  BIM总协调方审核BIM模型及成果是否满足交付规格及要求，没达到要求的应填写修改意见单并反馈至BIM实施单位，BIM实施单位修改后重新提交；</w:t>
      </w:r>
      <w:bookmarkEnd w:id="286"/>
    </w:p>
    <w:p>
      <w:pPr>
        <w:rPr>
          <w:color w:val="auto"/>
          <w:highlight w:val="none"/>
        </w:rPr>
      </w:pPr>
      <w:bookmarkStart w:id="287" w:name="_Toc18301"/>
      <w:r>
        <w:rPr>
          <w:color w:val="auto"/>
          <w:highlight w:val="none"/>
        </w:rPr>
        <w:t>4  BIM实施计划应根据项目实施过程实现过程监督及偏差分析；</w:t>
      </w:r>
      <w:bookmarkEnd w:id="287"/>
    </w:p>
    <w:p>
      <w:pPr>
        <w:rPr>
          <w:color w:val="auto"/>
          <w:highlight w:val="none"/>
        </w:rPr>
      </w:pPr>
      <w:bookmarkStart w:id="288" w:name="_Toc23872"/>
      <w:r>
        <w:rPr>
          <w:color w:val="auto"/>
          <w:highlight w:val="none"/>
        </w:rPr>
        <w:t>5  BIM实施进度没能按计划实施的，应追踪查明延误原因，及时纠正偏差并追究相关方责任。</w:t>
      </w:r>
      <w:bookmarkEnd w:id="288"/>
    </w:p>
    <w:p>
      <w:pPr>
        <w:rPr>
          <w:color w:val="auto"/>
          <w:highlight w:val="none"/>
        </w:rPr>
      </w:pPr>
      <w:bookmarkStart w:id="289" w:name="_Toc30068"/>
      <w:r>
        <w:rPr>
          <w:color w:val="auto"/>
          <w:highlight w:val="none"/>
        </w:rPr>
        <w:t>项目进度控制审查方法</w:t>
      </w:r>
      <w:bookmarkEnd w:id="289"/>
    </w:p>
    <w:p>
      <w:pPr>
        <w:rPr>
          <w:color w:val="auto"/>
          <w:highlight w:val="none"/>
        </w:rPr>
      </w:pPr>
      <w:bookmarkStart w:id="290" w:name="_Toc9555"/>
      <w:r>
        <w:rPr>
          <w:color w:val="auto"/>
          <w:highlight w:val="none"/>
        </w:rPr>
        <w:t>1  审核节点：日常工作（每周），项目阶段性节点；</w:t>
      </w:r>
      <w:bookmarkEnd w:id="290"/>
    </w:p>
    <w:p>
      <w:pPr>
        <w:rPr>
          <w:color w:val="auto"/>
          <w:highlight w:val="none"/>
        </w:rPr>
      </w:pPr>
      <w:bookmarkStart w:id="291" w:name="_Toc23926"/>
      <w:r>
        <w:rPr>
          <w:color w:val="auto"/>
          <w:highlight w:val="none"/>
        </w:rPr>
        <w:t>2  审查依据：项目BIM实施进度计划；</w:t>
      </w:r>
      <w:bookmarkEnd w:id="291"/>
    </w:p>
    <w:p>
      <w:pPr>
        <w:rPr>
          <w:color w:val="auto"/>
          <w:highlight w:val="none"/>
        </w:rPr>
      </w:pPr>
      <w:bookmarkStart w:id="292" w:name="_Toc2618"/>
      <w:r>
        <w:rPr>
          <w:color w:val="auto"/>
          <w:highlight w:val="none"/>
        </w:rPr>
        <w:t>3  审核形式：项目BIM协调周例会；</w:t>
      </w:r>
      <w:bookmarkEnd w:id="292"/>
    </w:p>
    <w:p>
      <w:pPr>
        <w:rPr>
          <w:color w:val="auto"/>
          <w:highlight w:val="none"/>
        </w:rPr>
      </w:pPr>
      <w:bookmarkStart w:id="293" w:name="_Toc16146"/>
      <w:r>
        <w:rPr>
          <w:color w:val="auto"/>
          <w:highlight w:val="none"/>
        </w:rPr>
        <w:t>4  审核人员：BIM总协调方负责人、项目各参与方BIM负责人；</w:t>
      </w:r>
      <w:bookmarkEnd w:id="293"/>
    </w:p>
    <w:p>
      <w:pPr>
        <w:rPr>
          <w:color w:val="auto"/>
          <w:highlight w:val="none"/>
        </w:rPr>
      </w:pPr>
      <w:bookmarkStart w:id="294" w:name="_Toc32527"/>
      <w:r>
        <w:rPr>
          <w:color w:val="auto"/>
          <w:highlight w:val="none"/>
        </w:rPr>
        <w:t>5  审核内容：参照项目进度计划比对，审核项目子项模型完成进度审查（动态审核、节点审核）；</w:t>
      </w:r>
      <w:bookmarkEnd w:id="294"/>
    </w:p>
    <w:p>
      <w:pPr>
        <w:rPr>
          <w:color w:val="auto"/>
          <w:highlight w:val="none"/>
        </w:rPr>
      </w:pPr>
      <w:bookmarkStart w:id="295" w:name="_Toc13238"/>
      <w:r>
        <w:rPr>
          <w:color w:val="auto"/>
          <w:highlight w:val="none"/>
        </w:rPr>
        <w:t>6  审核结论：进度调差，动态调整后期建模工作安排。</w:t>
      </w:r>
      <w:bookmarkEnd w:id="295"/>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296" w:name="_bookmark33"/>
      <w:bookmarkEnd w:id="296"/>
      <w:bookmarkStart w:id="297" w:name="_bookmark32"/>
      <w:bookmarkEnd w:id="297"/>
      <w:bookmarkStart w:id="298" w:name="_bookmark31"/>
      <w:bookmarkEnd w:id="298"/>
      <w:bookmarkStart w:id="299" w:name="_Toc62460199"/>
      <w:bookmarkStart w:id="300" w:name="_Toc18267"/>
      <w:r>
        <w:rPr>
          <w:color w:val="auto"/>
          <w:highlight w:val="none"/>
        </w:rPr>
        <w:t>交付成果要求</w:t>
      </w:r>
      <w:bookmarkEnd w:id="299"/>
      <w:bookmarkEnd w:id="300"/>
    </w:p>
    <w:p>
      <w:pPr>
        <w:rPr>
          <w:color w:val="auto"/>
          <w:highlight w:val="none"/>
        </w:rPr>
      </w:pPr>
      <w:bookmarkStart w:id="301" w:name="_Toc62460200"/>
      <w:bookmarkStart w:id="302" w:name="_Toc2384"/>
      <w:r>
        <w:rPr>
          <w:color w:val="auto"/>
          <w:highlight w:val="none"/>
        </w:rPr>
        <w:t>模型提交成果要求</w:t>
      </w:r>
      <w:bookmarkEnd w:id="301"/>
      <w:bookmarkEnd w:id="302"/>
    </w:p>
    <w:p>
      <w:pPr>
        <w:rPr>
          <w:color w:val="auto"/>
          <w:highlight w:val="none"/>
        </w:rPr>
      </w:pPr>
      <w:bookmarkStart w:id="303" w:name="_Toc22447"/>
      <w:r>
        <w:rPr>
          <w:color w:val="auto"/>
          <w:highlight w:val="none"/>
        </w:rPr>
        <w:t>模型提交成果应符合以下要求:</w:t>
      </w:r>
      <w:bookmarkEnd w:id="303"/>
    </w:p>
    <w:p>
      <w:pPr>
        <w:rPr>
          <w:color w:val="auto"/>
          <w:highlight w:val="none"/>
        </w:rPr>
      </w:pPr>
      <w:bookmarkStart w:id="304" w:name="_Toc20232"/>
      <w:r>
        <w:rPr>
          <w:color w:val="auto"/>
          <w:highlight w:val="none"/>
        </w:rPr>
        <w:t>1  项目各参与方应根据合同约定的BIM内容，按节点要求按时提交成果，并保证交付成果要求符合相关合同范围及标准要求；</w:t>
      </w:r>
      <w:bookmarkEnd w:id="304"/>
    </w:p>
    <w:p>
      <w:pPr>
        <w:rPr>
          <w:color w:val="auto"/>
          <w:highlight w:val="none"/>
        </w:rPr>
      </w:pPr>
      <w:bookmarkStart w:id="305" w:name="_Toc9228"/>
      <w:r>
        <w:rPr>
          <w:color w:val="auto"/>
          <w:highlight w:val="none"/>
        </w:rPr>
        <w:t>2  项目各参与方在提交BIM成果时，参与方BIM负责人应将BIM成果交付函件、签收单、BIM成果文件一并提交BIM总协调方；</w:t>
      </w:r>
      <w:bookmarkEnd w:id="305"/>
    </w:p>
    <w:p>
      <w:pPr>
        <w:rPr>
          <w:color w:val="auto"/>
          <w:highlight w:val="none"/>
        </w:rPr>
      </w:pPr>
      <w:bookmarkStart w:id="306" w:name="_Toc3204"/>
      <w:r>
        <w:rPr>
          <w:color w:val="auto"/>
          <w:highlight w:val="none"/>
        </w:rPr>
        <w:t>3  项目各参与方在项目BIM实施过程中提交的所有成果，应接受BIM总协调方的管理与监督。</w:t>
      </w:r>
      <w:bookmarkEnd w:id="306"/>
    </w:p>
    <w:p>
      <w:pPr>
        <w:rPr>
          <w:color w:val="auto"/>
          <w:highlight w:val="none"/>
        </w:rPr>
      </w:pPr>
      <w:bookmarkStart w:id="307" w:name="_Toc62460201"/>
      <w:bookmarkStart w:id="308" w:name="_Toc4734"/>
      <w:r>
        <w:rPr>
          <w:color w:val="auto"/>
          <w:highlight w:val="none"/>
        </w:rPr>
        <w:t>成果交付格式</w:t>
      </w:r>
      <w:bookmarkEnd w:id="307"/>
      <w:bookmarkEnd w:id="308"/>
    </w:p>
    <w:p>
      <w:pPr>
        <w:rPr>
          <w:color w:val="auto"/>
          <w:highlight w:val="none"/>
        </w:rPr>
      </w:pPr>
      <w:bookmarkStart w:id="309" w:name="_Toc8347"/>
      <w:r>
        <w:rPr>
          <w:color w:val="auto"/>
          <w:highlight w:val="none"/>
        </w:rPr>
        <w:t>BIM应用成果需提供原始模型文件格式，对于同类文件格式应使用统一的版本，常用数据交付格式如下表所示：</w:t>
      </w:r>
      <w:bookmarkEnd w:id="309"/>
    </w:p>
    <w:p>
      <w:pPr>
        <w:rPr>
          <w:color w:val="auto"/>
          <w:highlight w:val="none"/>
        </w:rPr>
      </w:pPr>
      <w:r>
        <w:rPr>
          <w:color w:val="auto"/>
          <w:highlight w:val="none"/>
        </w:rPr>
        <w:t>表4.2  数据交付格式</w:t>
      </w:r>
    </w:p>
    <w:tbl>
      <w:tblPr>
        <w:tblStyle w:val="63"/>
        <w:tblW w:w="9147" w:type="dxa"/>
        <w:jc w:val="center"/>
        <w:tblLayout w:type="fixed"/>
        <w:tblCellMar>
          <w:top w:w="0" w:type="dxa"/>
          <w:left w:w="0" w:type="dxa"/>
          <w:bottom w:w="0" w:type="dxa"/>
          <w:right w:w="0" w:type="dxa"/>
        </w:tblCellMar>
      </w:tblPr>
      <w:tblGrid>
        <w:gridCol w:w="840"/>
        <w:gridCol w:w="1125"/>
        <w:gridCol w:w="2041"/>
        <w:gridCol w:w="1691"/>
        <w:gridCol w:w="3450"/>
      </w:tblGrid>
      <w:tr>
        <w:tblPrEx>
          <w:tblCellMar>
            <w:top w:w="0" w:type="dxa"/>
            <w:left w:w="0" w:type="dxa"/>
            <w:bottom w:w="0" w:type="dxa"/>
            <w:right w:w="0" w:type="dxa"/>
          </w:tblCellMar>
        </w:tblPrEx>
        <w:trPr>
          <w:trHeight w:val="454" w:hRule="atLeast"/>
          <w:jc w:val="center"/>
        </w:trPr>
        <w:tc>
          <w:tcPr>
            <w:tcW w:w="84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序号</w:t>
            </w:r>
          </w:p>
        </w:tc>
        <w:tc>
          <w:tcPr>
            <w:tcW w:w="11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内容</w:t>
            </w: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软件</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交付格式</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备注</w:t>
            </w:r>
          </w:p>
        </w:tc>
      </w:tr>
      <w:tr>
        <w:tblPrEx>
          <w:tblCellMar>
            <w:top w:w="0" w:type="dxa"/>
            <w:left w:w="0" w:type="dxa"/>
            <w:bottom w:w="0" w:type="dxa"/>
            <w:right w:w="0" w:type="dxa"/>
          </w:tblCellMar>
        </w:tblPrEx>
        <w:trPr>
          <w:trHeight w:val="454" w:hRule="atLeast"/>
          <w:jc w:val="center"/>
        </w:trPr>
        <w:tc>
          <w:tcPr>
            <w:tcW w:w="84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1</w:t>
            </w:r>
          </w:p>
        </w:tc>
        <w:tc>
          <w:tcPr>
            <w:tcW w:w="112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模型成果文件</w:t>
            </w: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AutodeskRevit</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*.rvt</w:t>
            </w:r>
            <w:r>
              <w:rPr>
                <w:rFonts w:hint="eastAsia"/>
                <w:color w:val="auto"/>
                <w:highlight w:val="none"/>
              </w:rPr>
              <w:t>、</w:t>
            </w:r>
            <w:r>
              <w:rPr>
                <w:color w:val="auto"/>
                <w:highlight w:val="none"/>
              </w:rPr>
              <w:t>*.rfa</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right w:val="single" w:color="000000" w:sz="4" w:space="0"/>
            </w:tcBorders>
            <w:vAlign w:val="center"/>
          </w:tcPr>
          <w:p>
            <w:pPr>
              <w:rPr>
                <w:color w:val="auto"/>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Catia</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*.CATProduct</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Tekla</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*.DB1</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2</w:t>
            </w:r>
          </w:p>
        </w:tc>
        <w:tc>
          <w:tcPr>
            <w:tcW w:w="112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浏览审核文件格式</w:t>
            </w: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Navisworks</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*.nwd</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right w:val="single" w:color="000000" w:sz="4" w:space="0"/>
            </w:tcBorders>
            <w:vAlign w:val="center"/>
          </w:tcPr>
          <w:p>
            <w:pPr>
              <w:rPr>
                <w:color w:val="auto"/>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Bentleyi-model</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*.i-model</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3dxml</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*.3dxml</w:t>
            </w:r>
          </w:p>
        </w:tc>
        <w:tc>
          <w:tcPr>
            <w:tcW w:w="34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3</w:t>
            </w:r>
          </w:p>
        </w:tc>
        <w:tc>
          <w:tcPr>
            <w:tcW w:w="112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媒体文件格式</w:t>
            </w:r>
          </w:p>
        </w:tc>
        <w:tc>
          <w:tcPr>
            <w:tcW w:w="2041"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*.AVI</w:t>
            </w:r>
          </w:p>
        </w:tc>
        <w:tc>
          <w:tcPr>
            <w:tcW w:w="345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原始分辨率不小于800*600,帧率不少于15帧/秒。内容时长应以充分说明所表达内容为准</w:t>
            </w:r>
            <w:r>
              <w:rPr>
                <w:rFonts w:hint="eastAsia"/>
                <w:color w:val="auto"/>
                <w:highlight w:val="none"/>
              </w:rPr>
              <w:t>。</w:t>
            </w: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right w:val="single" w:color="000000" w:sz="4" w:space="0"/>
            </w:tcBorders>
            <w:vAlign w:val="center"/>
          </w:tcPr>
          <w:p>
            <w:pPr>
              <w:rPr>
                <w:color w:val="auto"/>
                <w:highlight w:val="none"/>
              </w:rPr>
            </w:pPr>
          </w:p>
        </w:tc>
        <w:tc>
          <w:tcPr>
            <w:tcW w:w="2041" w:type="dxa"/>
            <w:vMerge w:val="continue"/>
            <w:tcBorders>
              <w:left w:val="single" w:color="000000" w:sz="4" w:space="0"/>
              <w:right w:val="single" w:color="000000" w:sz="4" w:space="0"/>
            </w:tcBorders>
            <w:vAlign w:val="center"/>
          </w:tcPr>
          <w:p>
            <w:pPr>
              <w:rPr>
                <w:color w:val="auto"/>
                <w:highlight w:val="none"/>
              </w:rPr>
            </w:pP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*.wmv</w:t>
            </w:r>
          </w:p>
        </w:tc>
        <w:tc>
          <w:tcPr>
            <w:tcW w:w="3450" w:type="dxa"/>
            <w:vMerge w:val="continue"/>
            <w:tcBorders>
              <w:left w:val="single" w:color="000000" w:sz="4" w:space="0"/>
              <w:right w:val="single" w:color="000000" w:sz="4" w:space="0"/>
            </w:tcBorders>
            <w:vAlign w:val="center"/>
          </w:tcPr>
          <w:p>
            <w:pPr>
              <w:rPr>
                <w:color w:val="auto"/>
                <w:highlight w:val="none"/>
              </w:rPr>
            </w:pPr>
          </w:p>
        </w:tc>
      </w:tr>
      <w:tr>
        <w:trPr>
          <w:trHeight w:val="454" w:hRule="atLeast"/>
          <w:jc w:val="center"/>
        </w:trPr>
        <w:tc>
          <w:tcPr>
            <w:tcW w:w="84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041"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*.MP4</w:t>
            </w:r>
          </w:p>
        </w:tc>
        <w:tc>
          <w:tcPr>
            <w:tcW w:w="3450" w:type="dxa"/>
            <w:vMerge w:val="continue"/>
            <w:tcBorders>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4</w:t>
            </w:r>
          </w:p>
        </w:tc>
        <w:tc>
          <w:tcPr>
            <w:tcW w:w="112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图片文件</w:t>
            </w:r>
          </w:p>
        </w:tc>
        <w:tc>
          <w:tcPr>
            <w:tcW w:w="2041"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*.jpeg</w:t>
            </w:r>
          </w:p>
        </w:tc>
        <w:tc>
          <w:tcPr>
            <w:tcW w:w="345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分辨率不小于1280*720</w:t>
            </w: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041"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*.png</w:t>
            </w:r>
          </w:p>
        </w:tc>
        <w:tc>
          <w:tcPr>
            <w:tcW w:w="3450" w:type="dxa"/>
            <w:vMerge w:val="continue"/>
            <w:tcBorders>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5</w:t>
            </w:r>
          </w:p>
        </w:tc>
        <w:tc>
          <w:tcPr>
            <w:tcW w:w="112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办公文件</w:t>
            </w:r>
          </w:p>
        </w:tc>
        <w:tc>
          <w:tcPr>
            <w:tcW w:w="2041"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Office</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*.doc/*.docx</w:t>
            </w:r>
          </w:p>
        </w:tc>
        <w:tc>
          <w:tcPr>
            <w:tcW w:w="3450" w:type="dxa"/>
            <w:vMerge w:val="restart"/>
            <w:tcBorders>
              <w:top w:val="single" w:color="000000" w:sz="4" w:space="0"/>
              <w:left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right w:val="single" w:color="000000" w:sz="4" w:space="0"/>
            </w:tcBorders>
            <w:vAlign w:val="center"/>
          </w:tcPr>
          <w:p>
            <w:pPr>
              <w:rPr>
                <w:color w:val="auto"/>
                <w:highlight w:val="none"/>
              </w:rPr>
            </w:pPr>
          </w:p>
        </w:tc>
        <w:tc>
          <w:tcPr>
            <w:tcW w:w="2041" w:type="dxa"/>
            <w:vMerge w:val="continue"/>
            <w:tcBorders>
              <w:left w:val="single" w:color="000000" w:sz="4" w:space="0"/>
              <w:right w:val="single" w:color="000000" w:sz="4" w:space="0"/>
            </w:tcBorders>
            <w:vAlign w:val="center"/>
          </w:tcPr>
          <w:p>
            <w:pPr>
              <w:rPr>
                <w:color w:val="auto"/>
                <w:highlight w:val="none"/>
              </w:rPr>
            </w:pP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*.xls/*.xlsx</w:t>
            </w:r>
          </w:p>
        </w:tc>
        <w:tc>
          <w:tcPr>
            <w:tcW w:w="3450" w:type="dxa"/>
            <w:vMerge w:val="continue"/>
            <w:tcBorders>
              <w:left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right w:val="single" w:color="000000" w:sz="4" w:space="0"/>
            </w:tcBorders>
            <w:vAlign w:val="center"/>
          </w:tcPr>
          <w:p>
            <w:pPr>
              <w:rPr>
                <w:color w:val="auto"/>
                <w:highlight w:val="none"/>
              </w:rPr>
            </w:pPr>
          </w:p>
        </w:tc>
        <w:tc>
          <w:tcPr>
            <w:tcW w:w="2041"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*.ppt/*.pptx</w:t>
            </w:r>
          </w:p>
        </w:tc>
        <w:tc>
          <w:tcPr>
            <w:tcW w:w="3450" w:type="dxa"/>
            <w:vMerge w:val="continue"/>
            <w:tcBorders>
              <w:left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84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2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04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Adobe</w:t>
            </w:r>
          </w:p>
        </w:tc>
        <w:tc>
          <w:tcPr>
            <w:tcW w:w="169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*.pdf</w:t>
            </w:r>
          </w:p>
        </w:tc>
        <w:tc>
          <w:tcPr>
            <w:tcW w:w="3450" w:type="dxa"/>
            <w:vMerge w:val="continue"/>
            <w:tcBorders>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pPr>
      <w:bookmarkStart w:id="310" w:name="_Toc15253"/>
      <w:bookmarkStart w:id="311" w:name="_Toc62460202"/>
      <w:r>
        <w:rPr>
          <w:color w:val="auto"/>
          <w:highlight w:val="none"/>
        </w:rPr>
        <w:t>成果交付内容</w:t>
      </w:r>
      <w:bookmarkEnd w:id="310"/>
      <w:bookmarkEnd w:id="311"/>
    </w:p>
    <w:p>
      <w:pPr>
        <w:rPr>
          <w:color w:val="auto"/>
          <w:highlight w:val="none"/>
        </w:rPr>
      </w:pPr>
      <w:bookmarkStart w:id="312" w:name="_Toc27239"/>
      <w:r>
        <w:rPr>
          <w:color w:val="auto"/>
          <w:highlight w:val="none"/>
        </w:rPr>
        <w:t>BIM模型成果交付内容包括设计、施工两大类内容，如下表所示。</w:t>
      </w:r>
      <w:bookmarkEnd w:id="312"/>
    </w:p>
    <w:p>
      <w:pPr>
        <w:rPr>
          <w:color w:val="auto"/>
          <w:highlight w:val="none"/>
        </w:rPr>
      </w:pPr>
      <w:r>
        <w:rPr>
          <w:color w:val="auto"/>
          <w:highlight w:val="none"/>
        </w:rPr>
        <w:t>表4.3  成果交付内容</w:t>
      </w:r>
    </w:p>
    <w:tbl>
      <w:tblPr>
        <w:tblStyle w:val="63"/>
        <w:tblW w:w="9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8"/>
        <w:gridCol w:w="354"/>
        <w:gridCol w:w="602"/>
        <w:gridCol w:w="3796"/>
        <w:gridCol w:w="3291"/>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8" w:type="dxa"/>
            <w:vAlign w:val="center"/>
          </w:tcPr>
          <w:p>
            <w:pPr>
              <w:rPr>
                <w:color w:val="auto"/>
                <w:highlight w:val="none"/>
              </w:rPr>
            </w:pPr>
            <w:r>
              <w:rPr>
                <w:color w:val="auto"/>
                <w:highlight w:val="none"/>
              </w:rPr>
              <w:t>序号</w:t>
            </w:r>
          </w:p>
        </w:tc>
        <w:tc>
          <w:tcPr>
            <w:tcW w:w="354" w:type="dxa"/>
            <w:vAlign w:val="center"/>
          </w:tcPr>
          <w:p>
            <w:pPr>
              <w:rPr>
                <w:color w:val="auto"/>
                <w:highlight w:val="none"/>
              </w:rPr>
            </w:pPr>
            <w:r>
              <w:rPr>
                <w:color w:val="auto"/>
                <w:highlight w:val="none"/>
              </w:rPr>
              <w:t>阶段</w:t>
            </w:r>
          </w:p>
        </w:tc>
        <w:tc>
          <w:tcPr>
            <w:tcW w:w="602" w:type="dxa"/>
            <w:vAlign w:val="center"/>
          </w:tcPr>
          <w:p>
            <w:pPr>
              <w:rPr>
                <w:color w:val="auto"/>
                <w:highlight w:val="none"/>
              </w:rPr>
            </w:pPr>
            <w:r>
              <w:rPr>
                <w:color w:val="auto"/>
                <w:highlight w:val="none"/>
              </w:rPr>
              <w:t>交付</w:t>
            </w:r>
          </w:p>
          <w:p>
            <w:pPr>
              <w:rPr>
                <w:color w:val="auto"/>
                <w:highlight w:val="none"/>
              </w:rPr>
            </w:pPr>
            <w:r>
              <w:rPr>
                <w:color w:val="auto"/>
                <w:highlight w:val="none"/>
              </w:rPr>
              <w:t>单位</w:t>
            </w:r>
          </w:p>
        </w:tc>
        <w:tc>
          <w:tcPr>
            <w:tcW w:w="3796" w:type="dxa"/>
            <w:vAlign w:val="center"/>
          </w:tcPr>
          <w:p>
            <w:pPr>
              <w:rPr>
                <w:color w:val="auto"/>
                <w:highlight w:val="none"/>
              </w:rPr>
            </w:pPr>
            <w:r>
              <w:rPr>
                <w:color w:val="auto"/>
                <w:highlight w:val="none"/>
              </w:rPr>
              <w:t>交付成果</w:t>
            </w:r>
          </w:p>
        </w:tc>
        <w:tc>
          <w:tcPr>
            <w:tcW w:w="3291" w:type="dxa"/>
            <w:vAlign w:val="center"/>
          </w:tcPr>
          <w:p>
            <w:pPr>
              <w:rPr>
                <w:color w:val="auto"/>
                <w:highlight w:val="none"/>
              </w:rPr>
            </w:pPr>
            <w:r>
              <w:rPr>
                <w:rFonts w:hint="eastAsia"/>
                <w:color w:val="auto"/>
                <w:highlight w:val="none"/>
              </w:rPr>
              <w:t>交付格式</w:t>
            </w:r>
          </w:p>
        </w:tc>
        <w:tc>
          <w:tcPr>
            <w:tcW w:w="827" w:type="dxa"/>
            <w:vAlign w:val="center"/>
          </w:tcPr>
          <w:p>
            <w:pPr>
              <w:rPr>
                <w:color w:val="auto"/>
                <w:highlight w:val="none"/>
              </w:rPr>
            </w:pPr>
            <w:r>
              <w:rPr>
                <w:rFonts w:hint="eastAsia"/>
                <w:color w:val="auto"/>
                <w:highlight w:val="none"/>
              </w:rPr>
              <w:t>接收单位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358" w:type="dxa"/>
            <w:vMerge w:val="restart"/>
            <w:vAlign w:val="center"/>
          </w:tcPr>
          <w:p>
            <w:pPr>
              <w:rPr>
                <w:color w:val="auto"/>
                <w:highlight w:val="none"/>
              </w:rPr>
            </w:pPr>
            <w:r>
              <w:rPr>
                <w:color w:val="auto"/>
                <w:highlight w:val="none"/>
              </w:rPr>
              <w:t>1</w:t>
            </w:r>
          </w:p>
        </w:tc>
        <w:tc>
          <w:tcPr>
            <w:tcW w:w="354" w:type="dxa"/>
            <w:vMerge w:val="restart"/>
            <w:vAlign w:val="center"/>
          </w:tcPr>
          <w:p>
            <w:pPr>
              <w:rPr>
                <w:color w:val="auto"/>
                <w:highlight w:val="none"/>
              </w:rPr>
            </w:pPr>
            <w:r>
              <w:rPr>
                <w:color w:val="auto"/>
                <w:highlight w:val="none"/>
              </w:rPr>
              <w:t>设计阶段</w:t>
            </w:r>
          </w:p>
        </w:tc>
        <w:tc>
          <w:tcPr>
            <w:tcW w:w="602" w:type="dxa"/>
            <w:vMerge w:val="restart"/>
            <w:vAlign w:val="center"/>
          </w:tcPr>
          <w:p>
            <w:pPr>
              <w:rPr>
                <w:color w:val="auto"/>
                <w:highlight w:val="none"/>
              </w:rPr>
            </w:pPr>
            <w:r>
              <w:rPr>
                <w:color w:val="auto"/>
                <w:highlight w:val="none"/>
              </w:rPr>
              <w:t>设计</w:t>
            </w:r>
          </w:p>
          <w:p>
            <w:pPr>
              <w:rPr>
                <w:color w:val="auto"/>
                <w:highlight w:val="none"/>
              </w:rPr>
            </w:pPr>
            <w:r>
              <w:rPr>
                <w:color w:val="auto"/>
                <w:highlight w:val="none"/>
              </w:rPr>
              <w:t>单位</w:t>
            </w:r>
          </w:p>
        </w:tc>
        <w:tc>
          <w:tcPr>
            <w:tcW w:w="3796" w:type="dxa"/>
            <w:vAlign w:val="center"/>
          </w:tcPr>
          <w:p>
            <w:pPr>
              <w:rPr>
                <w:color w:val="auto"/>
                <w:highlight w:val="none"/>
              </w:rPr>
            </w:pPr>
            <w:r>
              <w:rPr>
                <w:color w:val="auto"/>
                <w:highlight w:val="none"/>
              </w:rPr>
              <w:t>1.各阶段设计模型</w:t>
            </w:r>
          </w:p>
        </w:tc>
        <w:tc>
          <w:tcPr>
            <w:tcW w:w="3291" w:type="dxa"/>
            <w:vAlign w:val="center"/>
          </w:tcPr>
          <w:p>
            <w:pPr>
              <w:rPr>
                <w:color w:val="auto"/>
                <w:highlight w:val="none"/>
              </w:rPr>
            </w:pPr>
            <w:r>
              <w:rPr>
                <w:rFonts w:hint="eastAsia"/>
                <w:color w:val="auto"/>
                <w:highlight w:val="none"/>
              </w:rPr>
              <w:t>相关BIM模型文件格式</w:t>
            </w:r>
          </w:p>
        </w:tc>
        <w:tc>
          <w:tcPr>
            <w:tcW w:w="827" w:type="dxa"/>
            <w:vMerge w:val="restart"/>
            <w:vAlign w:val="center"/>
          </w:tcPr>
          <w:p>
            <w:pPr>
              <w:rPr>
                <w:color w:val="auto"/>
                <w:highlight w:val="none"/>
              </w:rPr>
            </w:pPr>
            <w:r>
              <w:rPr>
                <w:rFonts w:hint="eastAsia"/>
                <w:color w:val="auto"/>
                <w:highlight w:val="none"/>
              </w:rPr>
              <w:t>前期工作部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2.BIM导出的二维图纸</w:t>
            </w:r>
          </w:p>
        </w:tc>
        <w:tc>
          <w:tcPr>
            <w:tcW w:w="3291" w:type="dxa"/>
            <w:vAlign w:val="center"/>
          </w:tcPr>
          <w:p>
            <w:pPr>
              <w:rPr>
                <w:color w:val="auto"/>
                <w:highlight w:val="none"/>
              </w:rPr>
            </w:pPr>
            <w:r>
              <w:rPr>
                <w:rFonts w:hint="eastAsia"/>
                <w:color w:val="auto"/>
                <w:highlight w:val="none"/>
              </w:rPr>
              <w:t>DWG、PDF</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3.</w:t>
            </w:r>
            <w:r>
              <w:rPr>
                <w:rFonts w:hint="eastAsia"/>
                <w:color w:val="auto"/>
                <w:highlight w:val="none"/>
              </w:rPr>
              <w:t>设计</w:t>
            </w:r>
            <w:r>
              <w:rPr>
                <w:color w:val="auto"/>
                <w:highlight w:val="none"/>
              </w:rPr>
              <w:t>阶段基于BIM的分析报告</w:t>
            </w:r>
          </w:p>
        </w:tc>
        <w:tc>
          <w:tcPr>
            <w:tcW w:w="3291" w:type="dxa"/>
            <w:vAlign w:val="center"/>
          </w:tcPr>
          <w:p>
            <w:pPr>
              <w:rPr>
                <w:color w:val="auto"/>
                <w:highlight w:val="none"/>
              </w:rPr>
            </w:pPr>
            <w:r>
              <w:rPr>
                <w:rFonts w:hint="eastAsia"/>
                <w:color w:val="auto"/>
                <w:highlight w:val="none"/>
              </w:rPr>
              <w:t>Word、Excel、PPT及相关图片格式等</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4.设计阶段工程量统计分析报告及工程量清单</w:t>
            </w:r>
          </w:p>
        </w:tc>
        <w:tc>
          <w:tcPr>
            <w:tcW w:w="3291" w:type="dxa"/>
            <w:vAlign w:val="center"/>
          </w:tcPr>
          <w:p>
            <w:pPr>
              <w:rPr>
                <w:color w:val="auto"/>
                <w:highlight w:val="none"/>
              </w:rPr>
            </w:pPr>
            <w:r>
              <w:rPr>
                <w:rFonts w:hint="eastAsia"/>
                <w:color w:val="auto"/>
                <w:highlight w:val="none"/>
              </w:rPr>
              <w:t>Word、Excel、PPT及相关图片格式等</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5.设计变更模型</w:t>
            </w:r>
          </w:p>
        </w:tc>
        <w:tc>
          <w:tcPr>
            <w:tcW w:w="3291" w:type="dxa"/>
            <w:vAlign w:val="center"/>
          </w:tcPr>
          <w:p>
            <w:pPr>
              <w:rPr>
                <w:color w:val="auto"/>
                <w:highlight w:val="none"/>
              </w:rPr>
            </w:pPr>
            <w:r>
              <w:rPr>
                <w:rFonts w:hint="eastAsia"/>
                <w:color w:val="auto"/>
                <w:highlight w:val="none"/>
              </w:rPr>
              <w:t>相关BIM模型文件格式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restart"/>
            <w:vAlign w:val="center"/>
          </w:tcPr>
          <w:p>
            <w:pPr>
              <w:rPr>
                <w:color w:val="auto"/>
                <w:highlight w:val="none"/>
              </w:rPr>
            </w:pPr>
            <w:r>
              <w:rPr>
                <w:color w:val="auto"/>
                <w:highlight w:val="none"/>
              </w:rPr>
              <w:t>2</w:t>
            </w:r>
          </w:p>
        </w:tc>
        <w:tc>
          <w:tcPr>
            <w:tcW w:w="354" w:type="dxa"/>
            <w:vMerge w:val="restart"/>
            <w:vAlign w:val="center"/>
          </w:tcPr>
          <w:p>
            <w:pPr>
              <w:rPr>
                <w:color w:val="auto"/>
                <w:highlight w:val="none"/>
              </w:rPr>
            </w:pPr>
            <w:r>
              <w:rPr>
                <w:color w:val="auto"/>
                <w:highlight w:val="none"/>
              </w:rPr>
              <w:t>施工阶段</w:t>
            </w:r>
          </w:p>
        </w:tc>
        <w:tc>
          <w:tcPr>
            <w:tcW w:w="602" w:type="dxa"/>
            <w:vMerge w:val="restart"/>
            <w:vAlign w:val="center"/>
          </w:tcPr>
          <w:p>
            <w:pPr>
              <w:rPr>
                <w:color w:val="auto"/>
                <w:highlight w:val="none"/>
              </w:rPr>
            </w:pPr>
            <w:r>
              <w:rPr>
                <w:color w:val="auto"/>
                <w:highlight w:val="none"/>
              </w:rPr>
              <w:t>施工总包及专业分包</w:t>
            </w:r>
          </w:p>
        </w:tc>
        <w:tc>
          <w:tcPr>
            <w:tcW w:w="3796" w:type="dxa"/>
            <w:vAlign w:val="center"/>
          </w:tcPr>
          <w:p>
            <w:pPr>
              <w:rPr>
                <w:color w:val="auto"/>
                <w:highlight w:val="none"/>
              </w:rPr>
            </w:pPr>
            <w:r>
              <w:rPr>
                <w:color w:val="auto"/>
                <w:highlight w:val="none"/>
              </w:rPr>
              <w:t>1.管线综合分析报告及图纸深化</w:t>
            </w:r>
          </w:p>
        </w:tc>
        <w:tc>
          <w:tcPr>
            <w:tcW w:w="3291" w:type="dxa"/>
            <w:vAlign w:val="center"/>
          </w:tcPr>
          <w:p>
            <w:pPr>
              <w:rPr>
                <w:color w:val="auto"/>
                <w:highlight w:val="none"/>
              </w:rPr>
            </w:pPr>
            <w:r>
              <w:rPr>
                <w:rFonts w:hint="eastAsia"/>
                <w:color w:val="auto"/>
                <w:highlight w:val="none"/>
              </w:rPr>
              <w:t>Word、Excel、PPT及相关图片格式等</w:t>
            </w:r>
          </w:p>
        </w:tc>
        <w:tc>
          <w:tcPr>
            <w:tcW w:w="827" w:type="dxa"/>
            <w:vMerge w:val="restart"/>
            <w:vAlign w:val="center"/>
          </w:tcPr>
          <w:p>
            <w:pPr>
              <w:rPr>
                <w:color w:val="auto"/>
                <w:highlight w:val="none"/>
              </w:rPr>
            </w:pPr>
            <w:r>
              <w:rPr>
                <w:rFonts w:hint="eastAsia"/>
                <w:color w:val="auto"/>
                <w:highlight w:val="none"/>
              </w:rPr>
              <w:t>项目建设管理部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2.施工场地布置</w:t>
            </w:r>
            <w:r>
              <w:rPr>
                <w:rFonts w:hint="eastAsia"/>
                <w:color w:val="auto"/>
                <w:highlight w:val="none"/>
              </w:rPr>
              <w:t>模型</w:t>
            </w:r>
            <w:r>
              <w:rPr>
                <w:color w:val="auto"/>
                <w:highlight w:val="none"/>
              </w:rPr>
              <w:t>（含场布方案文档）</w:t>
            </w:r>
          </w:p>
        </w:tc>
        <w:tc>
          <w:tcPr>
            <w:tcW w:w="3291" w:type="dxa"/>
            <w:vAlign w:val="center"/>
          </w:tcPr>
          <w:p>
            <w:pPr>
              <w:rPr>
                <w:color w:val="auto"/>
                <w:highlight w:val="none"/>
              </w:rPr>
            </w:pPr>
            <w:r>
              <w:rPr>
                <w:rFonts w:hint="eastAsia"/>
                <w:color w:val="auto"/>
                <w:highlight w:val="none"/>
              </w:rPr>
              <w:t>Word、</w:t>
            </w:r>
            <w:r>
              <w:rPr>
                <w:color w:val="auto"/>
                <w:highlight w:val="none"/>
              </w:rPr>
              <w:t>相关BIM模型文件格式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3.施工设备模拟（含设备清单文档）</w:t>
            </w:r>
          </w:p>
        </w:tc>
        <w:tc>
          <w:tcPr>
            <w:tcW w:w="3291" w:type="dxa"/>
            <w:vAlign w:val="center"/>
          </w:tcPr>
          <w:p>
            <w:pPr>
              <w:rPr>
                <w:color w:val="auto"/>
                <w:highlight w:val="none"/>
              </w:rPr>
            </w:pPr>
            <w:r>
              <w:rPr>
                <w:rFonts w:hint="eastAsia"/>
                <w:color w:val="auto"/>
                <w:highlight w:val="none"/>
              </w:rPr>
              <w:t>Word、</w:t>
            </w:r>
            <w:r>
              <w:rPr>
                <w:color w:val="auto"/>
                <w:highlight w:val="none"/>
              </w:rPr>
              <w:t>相关BIM模型文件格式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4.施工进度摸拟（含施工进度计划文档）</w:t>
            </w:r>
          </w:p>
        </w:tc>
        <w:tc>
          <w:tcPr>
            <w:tcW w:w="3291" w:type="dxa"/>
            <w:vAlign w:val="center"/>
          </w:tcPr>
          <w:p>
            <w:pPr>
              <w:rPr>
                <w:color w:val="auto"/>
                <w:highlight w:val="none"/>
              </w:rPr>
            </w:pPr>
            <w:r>
              <w:rPr>
                <w:rFonts w:hint="eastAsia"/>
                <w:color w:val="auto"/>
                <w:highlight w:val="none"/>
              </w:rPr>
              <w:t>MP4、AVI等相关视频格式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5.施工工艺模拟（含施工技术交底文档）</w:t>
            </w:r>
          </w:p>
        </w:tc>
        <w:tc>
          <w:tcPr>
            <w:tcW w:w="3291" w:type="dxa"/>
            <w:vAlign w:val="center"/>
          </w:tcPr>
          <w:p>
            <w:pPr>
              <w:rPr>
                <w:color w:val="auto"/>
                <w:highlight w:val="none"/>
              </w:rPr>
            </w:pPr>
            <w:r>
              <w:rPr>
                <w:rFonts w:hint="eastAsia"/>
                <w:color w:val="auto"/>
                <w:highlight w:val="none"/>
              </w:rPr>
              <w:t>MP4、AVI等相关视频格式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6.施工节点验收可视化视频展示</w:t>
            </w:r>
          </w:p>
        </w:tc>
        <w:tc>
          <w:tcPr>
            <w:tcW w:w="3291" w:type="dxa"/>
            <w:vAlign w:val="center"/>
          </w:tcPr>
          <w:p>
            <w:pPr>
              <w:rPr>
                <w:color w:val="auto"/>
                <w:highlight w:val="none"/>
              </w:rPr>
            </w:pPr>
            <w:r>
              <w:rPr>
                <w:rFonts w:hint="eastAsia"/>
                <w:color w:val="auto"/>
                <w:highlight w:val="none"/>
              </w:rPr>
              <w:t>MP4、AVI等相关视频格式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7.施工阶段工程量统计分析报告及工程量清单</w:t>
            </w:r>
          </w:p>
        </w:tc>
        <w:tc>
          <w:tcPr>
            <w:tcW w:w="3291" w:type="dxa"/>
            <w:vAlign w:val="center"/>
          </w:tcPr>
          <w:p>
            <w:pPr>
              <w:rPr>
                <w:color w:val="auto"/>
                <w:highlight w:val="none"/>
              </w:rPr>
            </w:pPr>
            <w:r>
              <w:rPr>
                <w:rFonts w:hint="eastAsia"/>
                <w:color w:val="auto"/>
                <w:highlight w:val="none"/>
              </w:rPr>
              <w:t>Word、Excel、PPT及相关图片格式等</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8.施工阶段节点模型</w:t>
            </w:r>
          </w:p>
        </w:tc>
        <w:tc>
          <w:tcPr>
            <w:tcW w:w="3291" w:type="dxa"/>
            <w:vAlign w:val="center"/>
          </w:tcPr>
          <w:p>
            <w:pPr>
              <w:rPr>
                <w:color w:val="auto"/>
                <w:highlight w:val="none"/>
              </w:rPr>
            </w:pPr>
            <w:r>
              <w:rPr>
                <w:rFonts w:hint="eastAsia"/>
                <w:color w:val="auto"/>
                <w:highlight w:val="none"/>
              </w:rPr>
              <w:t>相关BIM模型文件格式</w:t>
            </w:r>
          </w:p>
        </w:tc>
        <w:tc>
          <w:tcPr>
            <w:tcW w:w="827"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358" w:type="dxa"/>
            <w:vMerge w:val="continue"/>
            <w:vAlign w:val="center"/>
          </w:tcPr>
          <w:p>
            <w:pPr>
              <w:rPr>
                <w:color w:val="auto"/>
                <w:highlight w:val="none"/>
              </w:rPr>
            </w:pPr>
          </w:p>
        </w:tc>
        <w:tc>
          <w:tcPr>
            <w:tcW w:w="354" w:type="dxa"/>
            <w:vMerge w:val="continue"/>
            <w:vAlign w:val="center"/>
          </w:tcPr>
          <w:p>
            <w:pPr>
              <w:rPr>
                <w:color w:val="auto"/>
                <w:highlight w:val="none"/>
              </w:rPr>
            </w:pPr>
          </w:p>
        </w:tc>
        <w:tc>
          <w:tcPr>
            <w:tcW w:w="602" w:type="dxa"/>
            <w:vMerge w:val="continue"/>
            <w:vAlign w:val="center"/>
          </w:tcPr>
          <w:p>
            <w:pPr>
              <w:rPr>
                <w:color w:val="auto"/>
                <w:highlight w:val="none"/>
              </w:rPr>
            </w:pPr>
          </w:p>
        </w:tc>
        <w:tc>
          <w:tcPr>
            <w:tcW w:w="3796" w:type="dxa"/>
            <w:vAlign w:val="center"/>
          </w:tcPr>
          <w:p>
            <w:pPr>
              <w:rPr>
                <w:color w:val="auto"/>
                <w:highlight w:val="none"/>
              </w:rPr>
            </w:pPr>
            <w:r>
              <w:rPr>
                <w:color w:val="auto"/>
                <w:highlight w:val="none"/>
              </w:rPr>
              <w:t>9.施工竣工模型</w:t>
            </w:r>
          </w:p>
        </w:tc>
        <w:tc>
          <w:tcPr>
            <w:tcW w:w="3291" w:type="dxa"/>
            <w:vAlign w:val="center"/>
          </w:tcPr>
          <w:p>
            <w:pPr>
              <w:rPr>
                <w:color w:val="auto"/>
                <w:highlight w:val="none"/>
              </w:rPr>
            </w:pPr>
            <w:r>
              <w:rPr>
                <w:rFonts w:hint="eastAsia"/>
                <w:color w:val="auto"/>
                <w:highlight w:val="none"/>
              </w:rPr>
              <w:t>相关BIM模型文件格式</w:t>
            </w:r>
          </w:p>
        </w:tc>
        <w:tc>
          <w:tcPr>
            <w:tcW w:w="827" w:type="dxa"/>
            <w:vMerge w:val="continue"/>
            <w:vAlign w:val="center"/>
          </w:tcPr>
          <w:p>
            <w:pPr>
              <w:rPr>
                <w:color w:val="auto"/>
                <w:highlight w:val="none"/>
              </w:rPr>
            </w:pPr>
          </w:p>
        </w:tc>
      </w:tr>
    </w:tbl>
    <w:p>
      <w:pPr>
        <w:rPr>
          <w:color w:val="auto"/>
          <w:highlight w:val="none"/>
        </w:rPr>
      </w:pPr>
      <w:bookmarkStart w:id="313" w:name="_Toc12193"/>
      <w:bookmarkStart w:id="314" w:name="_Toc62460203"/>
      <w:r>
        <w:rPr>
          <w:rFonts w:hint="eastAsia"/>
          <w:color w:val="auto"/>
          <w:highlight w:val="none"/>
        </w:rPr>
        <w:t>成果评价</w:t>
      </w:r>
      <w:bookmarkEnd w:id="313"/>
      <w:bookmarkEnd w:id="314"/>
    </w:p>
    <w:p>
      <w:pPr>
        <w:rPr>
          <w:color w:val="auto"/>
          <w:highlight w:val="none"/>
        </w:rPr>
      </w:pPr>
      <w:bookmarkStart w:id="315" w:name="_Toc14352"/>
      <w:r>
        <w:rPr>
          <w:rFonts w:hint="eastAsia"/>
          <w:color w:val="auto"/>
          <w:highlight w:val="none"/>
        </w:rPr>
        <w:t>BIM总协调方应对代建局项目的BIM成果进行评价，该评价可作为项目交付及结算的参考依据</w:t>
      </w:r>
      <w:r>
        <w:rPr>
          <w:color w:val="auto"/>
          <w:highlight w:val="none"/>
        </w:rPr>
        <w:t>。</w:t>
      </w:r>
      <w:bookmarkEnd w:id="315"/>
    </w:p>
    <w:p>
      <w:pPr>
        <w:rPr>
          <w:color w:val="auto"/>
          <w:highlight w:val="none"/>
        </w:rPr>
      </w:pPr>
      <w:r>
        <w:rPr>
          <w:color w:val="auto"/>
          <w:highlight w:val="none"/>
        </w:rPr>
        <w:t>表4.</w:t>
      </w:r>
      <w:r>
        <w:rPr>
          <w:rFonts w:hint="eastAsia"/>
          <w:color w:val="auto"/>
          <w:highlight w:val="none"/>
        </w:rPr>
        <w:t>4</w:t>
      </w:r>
      <w:r>
        <w:rPr>
          <w:color w:val="auto"/>
          <w:highlight w:val="none"/>
        </w:rPr>
        <w:t xml:space="preserve">  成果交付</w:t>
      </w:r>
      <w:r>
        <w:rPr>
          <w:rFonts w:hint="eastAsia"/>
          <w:color w:val="auto"/>
          <w:highlight w:val="none"/>
        </w:rPr>
        <w:t>评价表</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0"/>
        <w:gridCol w:w="761"/>
        <w:gridCol w:w="3360"/>
        <w:gridCol w:w="4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vAlign w:val="center"/>
          </w:tcPr>
          <w:p>
            <w:pPr>
              <w:rPr>
                <w:color w:val="auto"/>
                <w:highlight w:val="none"/>
              </w:rPr>
            </w:pPr>
            <w:r>
              <w:rPr>
                <w:rFonts w:hint="eastAsia"/>
                <w:color w:val="auto"/>
                <w:highlight w:val="none"/>
              </w:rPr>
              <w:t>序号</w:t>
            </w:r>
          </w:p>
        </w:tc>
        <w:tc>
          <w:tcPr>
            <w:tcW w:w="419" w:type="pct"/>
            <w:vAlign w:val="center"/>
          </w:tcPr>
          <w:p>
            <w:pPr>
              <w:rPr>
                <w:color w:val="auto"/>
                <w:highlight w:val="none"/>
              </w:rPr>
            </w:pPr>
            <w:r>
              <w:rPr>
                <w:rFonts w:hint="eastAsia"/>
                <w:color w:val="auto"/>
                <w:highlight w:val="none"/>
              </w:rPr>
              <w:t>评级</w:t>
            </w:r>
          </w:p>
        </w:tc>
        <w:tc>
          <w:tcPr>
            <w:tcW w:w="1850" w:type="pct"/>
            <w:vAlign w:val="center"/>
          </w:tcPr>
          <w:p>
            <w:pPr>
              <w:rPr>
                <w:color w:val="auto"/>
                <w:highlight w:val="none"/>
              </w:rPr>
            </w:pPr>
            <w:r>
              <w:rPr>
                <w:rFonts w:hint="eastAsia"/>
                <w:color w:val="auto"/>
                <w:highlight w:val="none"/>
              </w:rPr>
              <w:t>评价内容</w:t>
            </w:r>
          </w:p>
        </w:tc>
        <w:tc>
          <w:tcPr>
            <w:tcW w:w="2307" w:type="pct"/>
            <w:vAlign w:val="center"/>
          </w:tcPr>
          <w:p>
            <w:pPr>
              <w:rPr>
                <w:color w:val="auto"/>
                <w:highlight w:val="none"/>
              </w:rPr>
            </w:pPr>
            <w:r>
              <w:rPr>
                <w:rFonts w:hint="eastAsia"/>
                <w:color w:val="auto"/>
                <w:highlight w:val="none"/>
              </w:rPr>
              <w:t>评价措施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vAlign w:val="center"/>
          </w:tcPr>
          <w:p>
            <w:pPr>
              <w:rPr>
                <w:color w:val="auto"/>
                <w:highlight w:val="none"/>
              </w:rPr>
            </w:pPr>
            <w:r>
              <w:rPr>
                <w:rFonts w:hint="eastAsia"/>
                <w:color w:val="auto"/>
                <w:highlight w:val="none"/>
              </w:rPr>
              <w:t>1</w:t>
            </w:r>
          </w:p>
        </w:tc>
        <w:tc>
          <w:tcPr>
            <w:tcW w:w="419" w:type="pct"/>
            <w:vAlign w:val="center"/>
          </w:tcPr>
          <w:p>
            <w:pPr>
              <w:rPr>
                <w:color w:val="auto"/>
                <w:highlight w:val="none"/>
              </w:rPr>
            </w:pPr>
            <w:r>
              <w:rPr>
                <w:rFonts w:hint="eastAsia"/>
                <w:color w:val="auto"/>
                <w:highlight w:val="none"/>
              </w:rPr>
              <w:t>A+</w:t>
            </w:r>
          </w:p>
        </w:tc>
        <w:tc>
          <w:tcPr>
            <w:tcW w:w="1850" w:type="pct"/>
            <w:vAlign w:val="center"/>
          </w:tcPr>
          <w:p>
            <w:pPr>
              <w:rPr>
                <w:color w:val="auto"/>
                <w:highlight w:val="none"/>
              </w:rPr>
            </w:pPr>
            <w:r>
              <w:rPr>
                <w:rFonts w:hint="eastAsia"/>
                <w:color w:val="auto"/>
                <w:highlight w:val="none"/>
              </w:rPr>
              <w:t>1.按时按质完成约定成果；</w:t>
            </w:r>
          </w:p>
          <w:p>
            <w:pPr>
              <w:rPr>
                <w:color w:val="auto"/>
                <w:highlight w:val="none"/>
              </w:rPr>
            </w:pPr>
            <w:r>
              <w:rPr>
                <w:rFonts w:hint="eastAsia"/>
                <w:color w:val="auto"/>
                <w:highlight w:val="none"/>
              </w:rPr>
              <w:t>2.成果完整，内容丰富；</w:t>
            </w:r>
          </w:p>
          <w:p>
            <w:pPr>
              <w:rPr>
                <w:color w:val="auto"/>
                <w:highlight w:val="none"/>
              </w:rPr>
            </w:pPr>
            <w:r>
              <w:rPr>
                <w:rFonts w:hint="eastAsia"/>
                <w:color w:val="auto"/>
                <w:highlight w:val="none"/>
              </w:rPr>
              <w:t>3.已满足合同及相关使用方的要求；</w:t>
            </w:r>
          </w:p>
          <w:p>
            <w:pPr>
              <w:rPr>
                <w:color w:val="auto"/>
                <w:highlight w:val="none"/>
              </w:rPr>
            </w:pPr>
            <w:r>
              <w:rPr>
                <w:rFonts w:hint="eastAsia"/>
                <w:color w:val="auto"/>
                <w:highlight w:val="none"/>
              </w:rPr>
              <w:t>4.部分成果的实际应用效果超过预期，为项目带来实质性突破。（如创造效益、节约工期、提升社会知名度、科研创新等）</w:t>
            </w:r>
          </w:p>
        </w:tc>
        <w:tc>
          <w:tcPr>
            <w:tcW w:w="2307" w:type="pct"/>
            <w:vAlign w:val="center"/>
          </w:tcPr>
          <w:p>
            <w:pPr>
              <w:rPr>
                <w:color w:val="auto"/>
                <w:highlight w:val="none"/>
              </w:rPr>
            </w:pPr>
            <w:r>
              <w:rPr>
                <w:rFonts w:hint="eastAsia"/>
                <w:color w:val="auto"/>
                <w:highlight w:val="none"/>
              </w:rPr>
              <w:t>1.成果满足要求，可开展项目交付及结算事宜；</w:t>
            </w:r>
          </w:p>
          <w:p>
            <w:pPr>
              <w:rPr>
                <w:color w:val="auto"/>
                <w:highlight w:val="none"/>
              </w:rPr>
            </w:pPr>
            <w:r>
              <w:rPr>
                <w:rFonts w:hint="eastAsia"/>
                <w:color w:val="auto"/>
                <w:highlight w:val="none"/>
              </w:rPr>
              <w:t>2.可对成果交付单位给予一定鼓励。如奖金、感谢信等。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vAlign w:val="center"/>
          </w:tcPr>
          <w:p>
            <w:pPr>
              <w:rPr>
                <w:color w:val="auto"/>
                <w:highlight w:val="none"/>
              </w:rPr>
            </w:pPr>
            <w:r>
              <w:rPr>
                <w:rFonts w:hint="eastAsia"/>
                <w:color w:val="auto"/>
                <w:highlight w:val="none"/>
              </w:rPr>
              <w:t>2</w:t>
            </w:r>
          </w:p>
        </w:tc>
        <w:tc>
          <w:tcPr>
            <w:tcW w:w="419" w:type="pct"/>
            <w:vAlign w:val="center"/>
          </w:tcPr>
          <w:p>
            <w:pPr>
              <w:rPr>
                <w:color w:val="auto"/>
                <w:highlight w:val="none"/>
              </w:rPr>
            </w:pPr>
            <w:r>
              <w:rPr>
                <w:rFonts w:hint="eastAsia"/>
                <w:color w:val="auto"/>
                <w:highlight w:val="none"/>
              </w:rPr>
              <w:t>A</w:t>
            </w:r>
          </w:p>
        </w:tc>
        <w:tc>
          <w:tcPr>
            <w:tcW w:w="1850" w:type="pct"/>
            <w:vAlign w:val="center"/>
          </w:tcPr>
          <w:p>
            <w:pPr>
              <w:rPr>
                <w:color w:val="auto"/>
                <w:highlight w:val="none"/>
              </w:rPr>
            </w:pPr>
            <w:r>
              <w:rPr>
                <w:rFonts w:hint="eastAsia"/>
                <w:color w:val="auto"/>
                <w:highlight w:val="none"/>
              </w:rPr>
              <w:t>1.按时按质完成约定成果；</w:t>
            </w:r>
          </w:p>
          <w:p>
            <w:pPr>
              <w:rPr>
                <w:color w:val="auto"/>
                <w:highlight w:val="none"/>
              </w:rPr>
            </w:pPr>
            <w:r>
              <w:rPr>
                <w:rFonts w:hint="eastAsia"/>
                <w:color w:val="auto"/>
                <w:highlight w:val="none"/>
              </w:rPr>
              <w:t>2.成果完整，内容丰富；</w:t>
            </w:r>
          </w:p>
          <w:p>
            <w:pPr>
              <w:rPr>
                <w:color w:val="auto"/>
                <w:highlight w:val="none"/>
              </w:rPr>
            </w:pPr>
            <w:r>
              <w:rPr>
                <w:rFonts w:hint="eastAsia"/>
                <w:color w:val="auto"/>
                <w:highlight w:val="none"/>
              </w:rPr>
              <w:t>3.已满足合同及相关使用方的要求；</w:t>
            </w:r>
          </w:p>
        </w:tc>
        <w:tc>
          <w:tcPr>
            <w:tcW w:w="2307" w:type="pct"/>
            <w:vAlign w:val="center"/>
          </w:tcPr>
          <w:p>
            <w:pPr>
              <w:rPr>
                <w:color w:val="auto"/>
                <w:highlight w:val="none"/>
              </w:rPr>
            </w:pPr>
            <w:r>
              <w:rPr>
                <w:rFonts w:hint="eastAsia"/>
                <w:color w:val="auto"/>
                <w:highlight w:val="none"/>
              </w:rPr>
              <w:t>1.成果满足要求，可开展项目交付及结算事宜。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vAlign w:val="center"/>
          </w:tcPr>
          <w:p>
            <w:pPr>
              <w:rPr>
                <w:color w:val="auto"/>
                <w:highlight w:val="none"/>
              </w:rPr>
            </w:pPr>
            <w:r>
              <w:rPr>
                <w:rFonts w:hint="eastAsia"/>
                <w:color w:val="auto"/>
                <w:highlight w:val="none"/>
              </w:rPr>
              <w:t>3</w:t>
            </w:r>
          </w:p>
        </w:tc>
        <w:tc>
          <w:tcPr>
            <w:tcW w:w="419" w:type="pct"/>
            <w:vAlign w:val="center"/>
          </w:tcPr>
          <w:p>
            <w:pPr>
              <w:rPr>
                <w:color w:val="auto"/>
                <w:highlight w:val="none"/>
              </w:rPr>
            </w:pPr>
            <w:r>
              <w:rPr>
                <w:rFonts w:hint="eastAsia"/>
                <w:color w:val="auto"/>
                <w:highlight w:val="none"/>
              </w:rPr>
              <w:t>B</w:t>
            </w:r>
          </w:p>
        </w:tc>
        <w:tc>
          <w:tcPr>
            <w:tcW w:w="1850" w:type="pct"/>
            <w:vAlign w:val="center"/>
          </w:tcPr>
          <w:p>
            <w:pPr>
              <w:rPr>
                <w:color w:val="auto"/>
                <w:highlight w:val="none"/>
              </w:rPr>
            </w:pPr>
            <w:r>
              <w:rPr>
                <w:rFonts w:hint="eastAsia"/>
                <w:color w:val="auto"/>
                <w:highlight w:val="none"/>
              </w:rPr>
              <w:t>1.按时完成约定成果；</w:t>
            </w:r>
          </w:p>
          <w:p>
            <w:pPr>
              <w:rPr>
                <w:color w:val="auto"/>
                <w:highlight w:val="none"/>
              </w:rPr>
            </w:pPr>
            <w:r>
              <w:rPr>
                <w:rFonts w:hint="eastAsia"/>
                <w:color w:val="auto"/>
                <w:highlight w:val="none"/>
              </w:rPr>
              <w:t>2.部分成果完整，内容丰富；</w:t>
            </w:r>
          </w:p>
          <w:p>
            <w:pPr>
              <w:rPr>
                <w:color w:val="auto"/>
                <w:highlight w:val="none"/>
              </w:rPr>
            </w:pPr>
            <w:r>
              <w:rPr>
                <w:rFonts w:hint="eastAsia"/>
                <w:color w:val="auto"/>
                <w:highlight w:val="none"/>
              </w:rPr>
              <w:t>3.已满足合同及相关使用方的要求；</w:t>
            </w:r>
          </w:p>
        </w:tc>
        <w:tc>
          <w:tcPr>
            <w:tcW w:w="2307" w:type="pct"/>
            <w:vAlign w:val="center"/>
          </w:tcPr>
          <w:p>
            <w:pPr>
              <w:rPr>
                <w:color w:val="auto"/>
                <w:highlight w:val="none"/>
              </w:rPr>
            </w:pPr>
            <w:r>
              <w:rPr>
                <w:rFonts w:hint="eastAsia"/>
                <w:color w:val="auto"/>
                <w:highlight w:val="none"/>
              </w:rPr>
              <w:t>1.由BIM总协调方提出修改意见，经修改完善后，组织成果交付评价。</w:t>
            </w:r>
          </w:p>
          <w:p>
            <w:pPr>
              <w:rPr>
                <w:color w:val="auto"/>
                <w:highlight w:val="none"/>
              </w:rPr>
            </w:pPr>
            <w:r>
              <w:rPr>
                <w:rFonts w:hint="eastAsia"/>
                <w:color w:val="auto"/>
                <w:highlight w:val="none"/>
              </w:rPr>
              <w:t>2.经评价，成果满足要求，可开展项目交付及结算事宜。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4" w:type="pct"/>
            <w:vAlign w:val="center"/>
          </w:tcPr>
          <w:p>
            <w:pPr>
              <w:rPr>
                <w:color w:val="auto"/>
                <w:highlight w:val="none"/>
              </w:rPr>
            </w:pPr>
            <w:r>
              <w:rPr>
                <w:rFonts w:hint="eastAsia"/>
                <w:color w:val="auto"/>
                <w:highlight w:val="none"/>
              </w:rPr>
              <w:t>4</w:t>
            </w:r>
          </w:p>
        </w:tc>
        <w:tc>
          <w:tcPr>
            <w:tcW w:w="419" w:type="pct"/>
            <w:vAlign w:val="center"/>
          </w:tcPr>
          <w:p>
            <w:pPr>
              <w:rPr>
                <w:color w:val="auto"/>
                <w:highlight w:val="none"/>
              </w:rPr>
            </w:pPr>
            <w:r>
              <w:rPr>
                <w:rFonts w:hint="eastAsia"/>
                <w:color w:val="auto"/>
                <w:highlight w:val="none"/>
              </w:rPr>
              <w:t>C</w:t>
            </w:r>
          </w:p>
        </w:tc>
        <w:tc>
          <w:tcPr>
            <w:tcW w:w="1850" w:type="pct"/>
            <w:vAlign w:val="center"/>
          </w:tcPr>
          <w:p>
            <w:pPr>
              <w:rPr>
                <w:color w:val="auto"/>
                <w:highlight w:val="none"/>
              </w:rPr>
            </w:pPr>
            <w:r>
              <w:rPr>
                <w:rFonts w:hint="eastAsia"/>
                <w:color w:val="auto"/>
                <w:highlight w:val="none"/>
              </w:rPr>
              <w:t>1.未按时完成约定成果；</w:t>
            </w:r>
          </w:p>
          <w:p>
            <w:pPr>
              <w:rPr>
                <w:color w:val="auto"/>
                <w:highlight w:val="none"/>
              </w:rPr>
            </w:pPr>
            <w:r>
              <w:rPr>
                <w:rFonts w:hint="eastAsia"/>
                <w:color w:val="auto"/>
                <w:highlight w:val="none"/>
              </w:rPr>
              <w:t>2.成果不完整，缺少内容；</w:t>
            </w:r>
          </w:p>
          <w:p>
            <w:pPr>
              <w:rPr>
                <w:color w:val="auto"/>
                <w:highlight w:val="none"/>
              </w:rPr>
            </w:pPr>
            <w:r>
              <w:rPr>
                <w:rFonts w:hint="eastAsia"/>
                <w:color w:val="auto"/>
                <w:highlight w:val="none"/>
              </w:rPr>
              <w:t>3.未满足合同及相关使用方的要求；</w:t>
            </w:r>
          </w:p>
        </w:tc>
        <w:tc>
          <w:tcPr>
            <w:tcW w:w="2307" w:type="pct"/>
            <w:vAlign w:val="center"/>
          </w:tcPr>
          <w:p>
            <w:pPr>
              <w:rPr>
                <w:color w:val="auto"/>
                <w:highlight w:val="none"/>
              </w:rPr>
            </w:pPr>
            <w:r>
              <w:rPr>
                <w:rFonts w:hint="eastAsia"/>
                <w:color w:val="auto"/>
                <w:highlight w:val="none"/>
              </w:rPr>
              <w:t>1.暂停项目BIM部分交付及结算事宜，责令整改；</w:t>
            </w:r>
          </w:p>
          <w:p>
            <w:pPr>
              <w:rPr>
                <w:color w:val="auto"/>
                <w:highlight w:val="none"/>
              </w:rPr>
            </w:pPr>
            <w:r>
              <w:rPr>
                <w:rFonts w:hint="eastAsia"/>
                <w:color w:val="auto"/>
                <w:highlight w:val="none"/>
              </w:rPr>
              <w:t>2.成果提交单位内部自检，待成果满足A级评价后，再组织相关单位进行成果评价。</w:t>
            </w:r>
          </w:p>
          <w:p>
            <w:pPr>
              <w:rPr>
                <w:color w:val="auto"/>
                <w:highlight w:val="none"/>
              </w:rPr>
            </w:pPr>
            <w:r>
              <w:rPr>
                <w:rFonts w:hint="eastAsia"/>
                <w:color w:val="auto"/>
                <w:highlight w:val="none"/>
              </w:rPr>
              <w:t>3.经评价，成果满足要求，可开展项目交付及结算事宜。</w:t>
            </w:r>
          </w:p>
        </w:tc>
      </w:tr>
    </w:tbl>
    <w:p>
      <w:pPr>
        <w:rPr>
          <w:color w:val="auto"/>
          <w:highlight w:val="none"/>
        </w:rPr>
      </w:pPr>
    </w:p>
    <w:p>
      <w:pPr>
        <w:rPr>
          <w:color w:val="auto"/>
          <w:highlight w:val="none"/>
        </w:rPr>
      </w:pP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16" w:name="_bookmark37"/>
      <w:bookmarkEnd w:id="316"/>
      <w:bookmarkStart w:id="317" w:name="_bookmark35"/>
      <w:bookmarkEnd w:id="317"/>
      <w:bookmarkStart w:id="318" w:name="_bookmark36"/>
      <w:bookmarkEnd w:id="318"/>
      <w:bookmarkStart w:id="319" w:name="_Toc28383"/>
      <w:bookmarkStart w:id="320" w:name="_Toc62460204"/>
      <w:r>
        <w:rPr>
          <w:color w:val="auto"/>
          <w:highlight w:val="none"/>
        </w:rPr>
        <w:t>协同平台要求</w:t>
      </w:r>
      <w:bookmarkEnd w:id="319"/>
      <w:bookmarkEnd w:id="320"/>
    </w:p>
    <w:p>
      <w:pPr>
        <w:rPr>
          <w:color w:val="auto"/>
          <w:highlight w:val="none"/>
        </w:rPr>
      </w:pPr>
      <w:bookmarkStart w:id="321" w:name="_Toc4297"/>
      <w:r>
        <w:rPr>
          <w:color w:val="auto"/>
          <w:highlight w:val="none"/>
        </w:rPr>
        <w:t>在BIM协同工作中，通过公用的BIM协同平台确保BIM模型数据的统一性与准确性，提升BIM模型数据传输效率及质量，提高各参与方协作效率，为工程项目的设计、施工、运营、维护提供数字化基础。</w:t>
      </w:r>
      <w:bookmarkEnd w:id="321"/>
    </w:p>
    <w:p>
      <w:pPr>
        <w:rPr>
          <w:color w:val="auto"/>
          <w:highlight w:val="none"/>
        </w:rPr>
      </w:pPr>
      <w:bookmarkStart w:id="322" w:name="_Toc62460205"/>
      <w:bookmarkStart w:id="323" w:name="_Toc29689"/>
      <w:r>
        <w:rPr>
          <w:color w:val="auto"/>
          <w:highlight w:val="none"/>
        </w:rPr>
        <w:t>BIM协同平台架构</w:t>
      </w:r>
      <w:bookmarkEnd w:id="322"/>
      <w:bookmarkEnd w:id="323"/>
    </w:p>
    <w:p>
      <w:pPr>
        <w:rPr>
          <w:color w:val="auto"/>
          <w:highlight w:val="none"/>
        </w:rPr>
      </w:pPr>
      <w:bookmarkStart w:id="324" w:name="_Toc23506"/>
      <w:r>
        <w:rPr>
          <w:color w:val="auto"/>
          <w:highlight w:val="none"/>
        </w:rPr>
        <w:t>BIM协同管理需要在一定的网络环境下实现项目各参与方对BIM文件及相关过程文档实时或者定时操作。鉴于当前互联网带宽所限，借助互联网异地实时协同暂时难以实现。基于上述情况，建议采用搭建项目服务器方式，实现一定时间间隔同步项目管理平台数据的协同方式，项目管理单位则使用云端管理协同平台项目数据，协同平台搭建架构如下图所示。</w:t>
      </w:r>
      <w:bookmarkEnd w:id="324"/>
    </w:p>
    <w:p>
      <w:pPr>
        <w:rPr>
          <w:color w:val="auto"/>
          <w:highlight w:val="none"/>
        </w:rPr>
      </w:pPr>
    </w:p>
    <w:p>
      <w:pPr>
        <w:rPr>
          <w:color w:val="auto"/>
          <w:highlight w:val="none"/>
        </w:rPr>
      </w:pPr>
      <w:r>
        <w:rPr>
          <w:color w:val="auto"/>
          <w:highlight w:val="none"/>
        </w:rPr>
        <w:drawing>
          <wp:inline distT="0" distB="0" distL="0" distR="0">
            <wp:extent cx="5830570" cy="3420110"/>
            <wp:effectExtent l="0" t="0" r="0"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28"/>
                    <a:srcRect/>
                    <a:stretch>
                      <a:fillRect/>
                    </a:stretch>
                  </pic:blipFill>
                  <pic:spPr>
                    <a:xfrm>
                      <a:off x="0" y="0"/>
                      <a:ext cx="5830570" cy="3420110"/>
                    </a:xfrm>
                    <a:prstGeom prst="rect">
                      <a:avLst/>
                    </a:prstGeom>
                    <a:noFill/>
                    <a:ln w="9525" cmpd="sng">
                      <a:noFill/>
                      <a:miter lim="800000"/>
                      <a:headEnd/>
                      <a:tailEnd/>
                    </a:ln>
                  </pic:spPr>
                </pic:pic>
              </a:graphicData>
            </a:graphic>
          </wp:inline>
        </w:drawing>
      </w:r>
    </w:p>
    <w:p>
      <w:pPr>
        <w:rPr>
          <w:color w:val="auto"/>
          <w:highlight w:val="none"/>
        </w:rPr>
      </w:pPr>
      <w:r>
        <w:rPr>
          <w:color w:val="auto"/>
          <w:highlight w:val="none"/>
        </w:rPr>
        <w:t>图5.1  协同平台搭建架构</w:t>
      </w:r>
    </w:p>
    <w:p>
      <w:pPr>
        <w:rPr>
          <w:color w:val="auto"/>
          <w:highlight w:val="none"/>
        </w:rPr>
      </w:pPr>
      <w:bookmarkStart w:id="325" w:name="_Toc27518"/>
      <w:bookmarkStart w:id="326" w:name="_Toc62460206"/>
      <w:r>
        <w:rPr>
          <w:color w:val="auto"/>
          <w:highlight w:val="none"/>
        </w:rPr>
        <w:t>协同平台的功能</w:t>
      </w:r>
      <w:bookmarkEnd w:id="325"/>
      <w:bookmarkEnd w:id="326"/>
    </w:p>
    <w:p>
      <w:pPr>
        <w:rPr>
          <w:color w:val="auto"/>
          <w:highlight w:val="none"/>
        </w:rPr>
      </w:pPr>
      <w:bookmarkStart w:id="327" w:name="_Toc13443"/>
      <w:r>
        <w:rPr>
          <w:color w:val="auto"/>
          <w:highlight w:val="none"/>
        </w:rPr>
        <w:t>BIM项目协同平台应具有良好的兼容性，能够实现数据和信息的有效共享。具体实现功能如下：</w:t>
      </w:r>
      <w:bookmarkEnd w:id="327"/>
    </w:p>
    <w:p>
      <w:pPr>
        <w:rPr>
          <w:color w:val="auto"/>
          <w:highlight w:val="none"/>
        </w:rPr>
      </w:pPr>
      <w:bookmarkStart w:id="328" w:name="_Toc18506"/>
      <w:r>
        <w:rPr>
          <w:color w:val="auto"/>
          <w:highlight w:val="none"/>
        </w:rPr>
        <w:t>1  模型及文档管理</w:t>
      </w:r>
      <w:bookmarkEnd w:id="328"/>
    </w:p>
    <w:p>
      <w:pPr>
        <w:rPr>
          <w:color w:val="auto"/>
          <w:highlight w:val="none"/>
        </w:rPr>
      </w:pPr>
      <w:bookmarkStart w:id="329" w:name="_Toc31654"/>
      <w:r>
        <w:rPr>
          <w:color w:val="auto"/>
          <w:highlight w:val="none"/>
        </w:rPr>
        <w:t>将利用BIM模型发现的问题进行分类、统计，并做出相关分析；支持模型上传下载功能，支持图纸的存放管理，支持文件更新改动自动通知及显示。</w:t>
      </w:r>
      <w:bookmarkEnd w:id="329"/>
    </w:p>
    <w:p>
      <w:pPr>
        <w:rPr>
          <w:color w:val="auto"/>
          <w:highlight w:val="none"/>
        </w:rPr>
      </w:pPr>
      <w:bookmarkStart w:id="330" w:name="_Toc9198"/>
      <w:r>
        <w:rPr>
          <w:color w:val="auto"/>
          <w:highlight w:val="none"/>
        </w:rPr>
        <w:t xml:space="preserve">2  </w:t>
      </w:r>
      <w:r>
        <w:rPr>
          <w:rFonts w:hint="eastAsia"/>
          <w:color w:val="auto"/>
          <w:highlight w:val="none"/>
        </w:rPr>
        <w:t>各参与单位信息交互及权限管理</w:t>
      </w:r>
      <w:bookmarkEnd w:id="330"/>
    </w:p>
    <w:p>
      <w:pPr>
        <w:rPr>
          <w:color w:val="auto"/>
          <w:highlight w:val="none"/>
        </w:rPr>
      </w:pPr>
      <w:bookmarkStart w:id="331" w:name="_bookmark38"/>
      <w:bookmarkEnd w:id="331"/>
      <w:bookmarkStart w:id="332" w:name="_Toc30892"/>
      <w:r>
        <w:rPr>
          <w:color w:val="auto"/>
          <w:highlight w:val="none"/>
        </w:rPr>
        <w:t>集合各参与单位资料信息，支持各参与单位访问权限设定。</w:t>
      </w:r>
      <w:bookmarkEnd w:id="332"/>
    </w:p>
    <w:p>
      <w:pPr>
        <w:rPr>
          <w:color w:val="auto"/>
          <w:highlight w:val="none"/>
        </w:rPr>
      </w:pPr>
      <w:bookmarkStart w:id="333" w:name="_Toc5020"/>
      <w:r>
        <w:rPr>
          <w:color w:val="auto"/>
          <w:highlight w:val="none"/>
        </w:rPr>
        <w:t xml:space="preserve">3  </w:t>
      </w:r>
      <w:r>
        <w:rPr>
          <w:rFonts w:hint="eastAsia"/>
          <w:color w:val="auto"/>
          <w:highlight w:val="none"/>
        </w:rPr>
        <w:t>模型信息全面提取</w:t>
      </w:r>
      <w:bookmarkEnd w:id="333"/>
    </w:p>
    <w:p>
      <w:pPr>
        <w:rPr>
          <w:color w:val="auto"/>
          <w:highlight w:val="none"/>
        </w:rPr>
      </w:pPr>
      <w:bookmarkStart w:id="334" w:name="_Toc12675"/>
      <w:r>
        <w:rPr>
          <w:color w:val="auto"/>
          <w:highlight w:val="none"/>
        </w:rPr>
        <w:t>集成BIM模型所包含的各项信息（BIM软件包含的所有信息），包括修改记录、专项模型信息、分析报告、变更信息、模型信息可视化、模型信息可分类统计、模型信息可批量输出等。</w:t>
      </w:r>
      <w:bookmarkEnd w:id="334"/>
    </w:p>
    <w:p>
      <w:pPr>
        <w:rPr>
          <w:color w:val="auto"/>
          <w:highlight w:val="none"/>
        </w:rPr>
      </w:pPr>
      <w:bookmarkStart w:id="335" w:name="_Toc7453"/>
      <w:r>
        <w:rPr>
          <w:color w:val="auto"/>
          <w:highlight w:val="none"/>
        </w:rPr>
        <w:t>4  BIM</w:t>
      </w:r>
      <w:r>
        <w:rPr>
          <w:rFonts w:hint="eastAsia"/>
          <w:color w:val="auto"/>
          <w:highlight w:val="none"/>
        </w:rPr>
        <w:t>模型操控</w:t>
      </w:r>
      <w:bookmarkEnd w:id="335"/>
    </w:p>
    <w:p>
      <w:pPr>
        <w:rPr>
          <w:color w:val="auto"/>
          <w:highlight w:val="none"/>
        </w:rPr>
      </w:pPr>
      <w:r>
        <w:rPr>
          <w:rFonts w:hint="eastAsia"/>
          <w:color w:val="auto"/>
          <w:highlight w:val="none"/>
        </w:rPr>
        <w:t>1）</w:t>
      </w:r>
      <w:r>
        <w:rPr>
          <w:color w:val="auto"/>
          <w:highlight w:val="none"/>
        </w:rPr>
        <w:t>支持轻量化模型（可在普通办公用的计算机上流畅运行）并对分专业模型进行管理；</w:t>
      </w:r>
    </w:p>
    <w:p>
      <w:pPr>
        <w:rPr>
          <w:color w:val="auto"/>
          <w:highlight w:val="none"/>
        </w:rPr>
      </w:pPr>
      <w:r>
        <w:rPr>
          <w:color w:val="auto"/>
          <w:highlight w:val="none"/>
        </w:rPr>
        <w:t>2</w:t>
      </w:r>
      <w:r>
        <w:rPr>
          <w:rFonts w:hint="eastAsia"/>
          <w:color w:val="auto"/>
          <w:highlight w:val="none"/>
        </w:rPr>
        <w:t>）</w:t>
      </w:r>
      <w:r>
        <w:rPr>
          <w:color w:val="auto"/>
          <w:highlight w:val="none"/>
        </w:rPr>
        <w:t>支持长度、面积、体积等测量，</w:t>
      </w:r>
      <w:r>
        <w:rPr>
          <w:rFonts w:hint="eastAsia"/>
          <w:color w:val="auto"/>
          <w:highlight w:val="none"/>
        </w:rPr>
        <w:t>对</w:t>
      </w:r>
      <w:r>
        <w:rPr>
          <w:color w:val="auto"/>
          <w:highlight w:val="none"/>
        </w:rPr>
        <w:t>模型任意位置的剖切</w:t>
      </w:r>
      <w:r>
        <w:rPr>
          <w:rFonts w:hint="eastAsia"/>
          <w:color w:val="auto"/>
          <w:highlight w:val="none"/>
        </w:rPr>
        <w:t>和</w:t>
      </w:r>
      <w:r>
        <w:rPr>
          <w:color w:val="auto"/>
          <w:highlight w:val="none"/>
        </w:rPr>
        <w:t>观察；</w:t>
      </w:r>
    </w:p>
    <w:p>
      <w:pPr>
        <w:rPr>
          <w:color w:val="auto"/>
          <w:highlight w:val="none"/>
        </w:rPr>
      </w:pPr>
      <w:r>
        <w:rPr>
          <w:color w:val="auto"/>
          <w:highlight w:val="none"/>
        </w:rPr>
        <w:t>3</w:t>
      </w:r>
      <w:r>
        <w:rPr>
          <w:rFonts w:hint="eastAsia"/>
          <w:color w:val="auto"/>
          <w:highlight w:val="none"/>
        </w:rPr>
        <w:t>）</w:t>
      </w:r>
      <w:r>
        <w:rPr>
          <w:color w:val="auto"/>
          <w:highlight w:val="none"/>
        </w:rPr>
        <w:t>支持模型的组合装配，预留视点进行定点浏览模型等功能。</w:t>
      </w:r>
    </w:p>
    <w:p>
      <w:pPr>
        <w:rPr>
          <w:color w:val="auto"/>
          <w:highlight w:val="none"/>
        </w:rPr>
      </w:pPr>
      <w:bookmarkStart w:id="336" w:name="_Toc5345"/>
      <w:r>
        <w:rPr>
          <w:color w:val="auto"/>
          <w:highlight w:val="none"/>
        </w:rPr>
        <w:t xml:space="preserve">5  </w:t>
      </w:r>
      <w:r>
        <w:rPr>
          <w:rFonts w:hint="eastAsia"/>
          <w:color w:val="auto"/>
          <w:highlight w:val="none"/>
        </w:rPr>
        <w:t>平台接口统一完整</w:t>
      </w:r>
      <w:bookmarkEnd w:id="336"/>
    </w:p>
    <w:p>
      <w:pPr>
        <w:rPr>
          <w:color w:val="auto"/>
          <w:highlight w:val="none"/>
        </w:rPr>
      </w:pPr>
      <w:bookmarkStart w:id="337" w:name="_Toc17571"/>
      <w:r>
        <w:rPr>
          <w:rFonts w:hint="eastAsia"/>
          <w:color w:val="auto"/>
          <w:highlight w:val="none"/>
        </w:rPr>
        <w:t>具有浏览器等软件完整接口。</w:t>
      </w:r>
      <w:bookmarkEnd w:id="337"/>
    </w:p>
    <w:p>
      <w:pPr>
        <w:rPr>
          <w:color w:val="auto"/>
          <w:highlight w:val="none"/>
        </w:rPr>
      </w:pPr>
      <w:bookmarkStart w:id="338" w:name="_Toc5853"/>
      <w:r>
        <w:rPr>
          <w:rFonts w:hint="eastAsia"/>
          <w:color w:val="auto"/>
          <w:highlight w:val="none"/>
        </w:rPr>
        <w:t>6</w:t>
      </w:r>
      <w:r>
        <w:rPr>
          <w:color w:val="auto"/>
          <w:highlight w:val="none"/>
        </w:rPr>
        <w:t xml:space="preserve">  BIM</w:t>
      </w:r>
      <w:r>
        <w:rPr>
          <w:rFonts w:hint="eastAsia"/>
          <w:color w:val="auto"/>
          <w:highlight w:val="none"/>
        </w:rPr>
        <w:t>成果应用</w:t>
      </w:r>
      <w:bookmarkEnd w:id="338"/>
    </w:p>
    <w:p>
      <w:pPr>
        <w:rPr>
          <w:color w:val="auto"/>
          <w:highlight w:val="none"/>
        </w:rPr>
      </w:pPr>
      <w:bookmarkStart w:id="339" w:name="_Toc32729"/>
      <w:r>
        <w:rPr>
          <w:color w:val="auto"/>
          <w:highlight w:val="none"/>
        </w:rPr>
        <w:t>可对BIM成果进行浏览，输出批注、量度尺寸、构件的详细信息、工程量、漫游及模拟动画等BIM成果。</w:t>
      </w:r>
      <w:bookmarkEnd w:id="339"/>
    </w:p>
    <w:p>
      <w:pPr>
        <w:rPr>
          <w:color w:val="auto"/>
          <w:highlight w:val="none"/>
        </w:rPr>
      </w:pPr>
      <w:bookmarkStart w:id="340" w:name="_Toc25306"/>
      <w:r>
        <w:rPr>
          <w:color w:val="auto"/>
          <w:highlight w:val="none"/>
        </w:rPr>
        <w:t>7  配备手机、平板电脑客户端</w:t>
      </w:r>
      <w:bookmarkEnd w:id="340"/>
    </w:p>
    <w:p>
      <w:pPr>
        <w:rPr>
          <w:color w:val="auto"/>
          <w:highlight w:val="none"/>
        </w:rPr>
      </w:pPr>
      <w:bookmarkStart w:id="341" w:name="_Toc18285"/>
      <w:r>
        <w:rPr>
          <w:color w:val="auto"/>
          <w:highlight w:val="none"/>
        </w:rPr>
        <w:t>可在手机、平板电脑等移动客户端实现上述查询功能。</w:t>
      </w:r>
      <w:bookmarkEnd w:id="341"/>
    </w:p>
    <w:p>
      <w:pPr>
        <w:rPr>
          <w:color w:val="auto"/>
          <w:highlight w:val="none"/>
        </w:rPr>
      </w:pPr>
      <w:bookmarkStart w:id="342" w:name="_Toc62460207"/>
      <w:bookmarkStart w:id="343" w:name="_Toc31392"/>
      <w:r>
        <w:rPr>
          <w:color w:val="auto"/>
          <w:highlight w:val="none"/>
        </w:rPr>
        <w:t>各参与方协同工作职责与工作内容</w:t>
      </w:r>
      <w:bookmarkEnd w:id="342"/>
      <w:bookmarkEnd w:id="343"/>
    </w:p>
    <w:p>
      <w:pPr>
        <w:rPr>
          <w:color w:val="auto"/>
          <w:highlight w:val="none"/>
        </w:rPr>
      </w:pPr>
      <w:bookmarkStart w:id="344" w:name="_Toc24883"/>
      <w:r>
        <w:rPr>
          <w:color w:val="auto"/>
          <w:highlight w:val="none"/>
        </w:rPr>
        <w:t>平台提供单位</w:t>
      </w:r>
      <w:bookmarkEnd w:id="344"/>
    </w:p>
    <w:p>
      <w:pPr>
        <w:rPr>
          <w:color w:val="auto"/>
          <w:highlight w:val="none"/>
        </w:rPr>
      </w:pPr>
      <w:bookmarkStart w:id="345" w:name="_Toc1063"/>
      <w:r>
        <w:rPr>
          <w:color w:val="auto"/>
          <w:highlight w:val="none"/>
        </w:rPr>
        <w:t>1  参与单位</w:t>
      </w:r>
      <w:bookmarkEnd w:id="345"/>
    </w:p>
    <w:p>
      <w:pPr>
        <w:rPr>
          <w:color w:val="auto"/>
          <w:highlight w:val="none"/>
        </w:rPr>
      </w:pPr>
      <w:bookmarkStart w:id="346" w:name="_Toc20919"/>
      <w:r>
        <w:rPr>
          <w:color w:val="auto"/>
          <w:highlight w:val="none"/>
        </w:rPr>
        <w:t>代建局指定的平台服务单位。</w:t>
      </w:r>
      <w:bookmarkEnd w:id="346"/>
    </w:p>
    <w:p>
      <w:pPr>
        <w:rPr>
          <w:color w:val="auto"/>
          <w:highlight w:val="none"/>
        </w:rPr>
      </w:pPr>
      <w:bookmarkStart w:id="347" w:name="_Toc22128"/>
      <w:r>
        <w:rPr>
          <w:color w:val="auto"/>
          <w:highlight w:val="none"/>
        </w:rPr>
        <w:t>2  工作</w:t>
      </w:r>
      <w:r>
        <w:rPr>
          <w:rFonts w:hint="eastAsia"/>
          <w:color w:val="auto"/>
          <w:highlight w:val="none"/>
        </w:rPr>
        <w:t>职责</w:t>
      </w:r>
      <w:bookmarkEnd w:id="347"/>
    </w:p>
    <w:p>
      <w:pPr>
        <w:rPr>
          <w:color w:val="auto"/>
          <w:highlight w:val="none"/>
        </w:rPr>
      </w:pPr>
      <w:r>
        <w:rPr>
          <w:color w:val="auto"/>
          <w:highlight w:val="none"/>
        </w:rPr>
        <w:t>1）根据代建局需求与项目特点提供项目BIM协同平台的分区位置及平台容量，搭建一个高效稳定的BIM协同平台供各参与方使用；</w:t>
      </w:r>
    </w:p>
    <w:p>
      <w:pPr>
        <w:rPr>
          <w:color w:val="auto"/>
          <w:highlight w:val="none"/>
        </w:rPr>
      </w:pPr>
      <w:r>
        <w:rPr>
          <w:color w:val="auto"/>
          <w:highlight w:val="none"/>
        </w:rPr>
        <w:t>2）解决各参与方在平台上工作所出现的问题；</w:t>
      </w:r>
    </w:p>
    <w:p>
      <w:pPr>
        <w:rPr>
          <w:color w:val="auto"/>
          <w:highlight w:val="none"/>
        </w:rPr>
      </w:pPr>
      <w:r>
        <w:rPr>
          <w:color w:val="auto"/>
          <w:highlight w:val="none"/>
        </w:rPr>
        <w:t>3）根据用户需求优化平台功能。</w:t>
      </w:r>
    </w:p>
    <w:p>
      <w:pPr>
        <w:rPr>
          <w:color w:val="auto"/>
          <w:highlight w:val="none"/>
        </w:rPr>
      </w:pPr>
      <w:bookmarkStart w:id="348" w:name="_Toc3573"/>
      <w:r>
        <w:rPr>
          <w:color w:val="auto"/>
          <w:highlight w:val="none"/>
        </w:rPr>
        <w:t>平台管理单位</w:t>
      </w:r>
      <w:bookmarkEnd w:id="348"/>
    </w:p>
    <w:p>
      <w:pPr>
        <w:rPr>
          <w:color w:val="auto"/>
          <w:highlight w:val="none"/>
        </w:rPr>
      </w:pPr>
      <w:bookmarkStart w:id="349" w:name="_Toc32475"/>
      <w:r>
        <w:rPr>
          <w:color w:val="auto"/>
          <w:highlight w:val="none"/>
        </w:rPr>
        <w:t>1  参与单位</w:t>
      </w:r>
      <w:bookmarkEnd w:id="349"/>
    </w:p>
    <w:p>
      <w:pPr>
        <w:rPr>
          <w:color w:val="auto"/>
          <w:highlight w:val="none"/>
        </w:rPr>
      </w:pPr>
      <w:bookmarkStart w:id="350" w:name="_Toc17769"/>
      <w:r>
        <w:rPr>
          <w:color w:val="auto"/>
          <w:highlight w:val="none"/>
        </w:rPr>
        <w:t>BIM总协调方</w:t>
      </w:r>
      <w:r>
        <w:rPr>
          <w:rFonts w:hint="eastAsia"/>
          <w:color w:val="auto"/>
          <w:highlight w:val="none"/>
        </w:rPr>
        <w:t>。</w:t>
      </w:r>
      <w:bookmarkEnd w:id="350"/>
    </w:p>
    <w:p>
      <w:pPr>
        <w:rPr>
          <w:color w:val="auto"/>
          <w:highlight w:val="none"/>
        </w:rPr>
      </w:pPr>
      <w:bookmarkStart w:id="351" w:name="_Toc8733"/>
      <w:r>
        <w:rPr>
          <w:color w:val="auto"/>
          <w:highlight w:val="none"/>
        </w:rPr>
        <w:t>2  工作职责</w:t>
      </w:r>
      <w:bookmarkEnd w:id="351"/>
    </w:p>
    <w:p>
      <w:pPr>
        <w:rPr>
          <w:color w:val="auto"/>
          <w:highlight w:val="none"/>
        </w:rPr>
      </w:pPr>
      <w:r>
        <w:rPr>
          <w:color w:val="auto"/>
          <w:highlight w:val="none"/>
        </w:rPr>
        <w:t>1）建立平台文件架构、申请项目平台权限及容量；</w:t>
      </w:r>
    </w:p>
    <w:p>
      <w:pPr>
        <w:rPr>
          <w:color w:val="auto"/>
          <w:highlight w:val="none"/>
        </w:rPr>
      </w:pPr>
      <w:r>
        <w:rPr>
          <w:color w:val="auto"/>
          <w:highlight w:val="none"/>
        </w:rPr>
        <w:t>2）对平台使用方的权限进行管理及分配；</w:t>
      </w:r>
    </w:p>
    <w:p>
      <w:pPr>
        <w:rPr>
          <w:color w:val="auto"/>
          <w:highlight w:val="none"/>
        </w:rPr>
      </w:pPr>
      <w:r>
        <w:rPr>
          <w:color w:val="auto"/>
          <w:highlight w:val="none"/>
        </w:rPr>
        <w:t>3）分阶段审核、定期备份、清理归档BIM成果；</w:t>
      </w:r>
    </w:p>
    <w:p>
      <w:pPr>
        <w:rPr>
          <w:color w:val="auto"/>
          <w:highlight w:val="none"/>
        </w:rPr>
      </w:pPr>
      <w:r>
        <w:rPr>
          <w:color w:val="auto"/>
          <w:highlight w:val="none"/>
        </w:rPr>
        <w:t>4）对使用单位的BIM成果进行有效性检查，确保模型和项目实际工作同步进行。</w:t>
      </w:r>
    </w:p>
    <w:p>
      <w:pPr>
        <w:rPr>
          <w:color w:val="auto"/>
          <w:highlight w:val="none"/>
        </w:rPr>
      </w:pPr>
      <w:bookmarkStart w:id="352" w:name="_Toc19"/>
      <w:r>
        <w:rPr>
          <w:color w:val="auto"/>
          <w:highlight w:val="none"/>
        </w:rPr>
        <w:t>平台使用单位</w:t>
      </w:r>
      <w:bookmarkEnd w:id="352"/>
    </w:p>
    <w:p>
      <w:pPr>
        <w:rPr>
          <w:color w:val="auto"/>
          <w:highlight w:val="none"/>
        </w:rPr>
      </w:pPr>
      <w:bookmarkStart w:id="353" w:name="_Toc14957"/>
      <w:r>
        <w:rPr>
          <w:color w:val="auto"/>
          <w:highlight w:val="none"/>
        </w:rPr>
        <w:t>1  参与单位</w:t>
      </w:r>
      <w:bookmarkEnd w:id="353"/>
    </w:p>
    <w:p>
      <w:pPr>
        <w:rPr>
          <w:color w:val="auto"/>
          <w:highlight w:val="none"/>
        </w:rPr>
      </w:pPr>
      <w:bookmarkStart w:id="354" w:name="_Toc15709"/>
      <w:r>
        <w:rPr>
          <w:color w:val="auto"/>
          <w:highlight w:val="none"/>
        </w:rPr>
        <w:t>设计单位、施工单位、监理单位、咨询单位、运维单位</w:t>
      </w:r>
      <w:r>
        <w:rPr>
          <w:rFonts w:hint="eastAsia"/>
          <w:color w:val="auto"/>
          <w:highlight w:val="none"/>
        </w:rPr>
        <w:t>。</w:t>
      </w:r>
      <w:bookmarkEnd w:id="354"/>
    </w:p>
    <w:p>
      <w:pPr>
        <w:rPr>
          <w:color w:val="auto"/>
          <w:highlight w:val="none"/>
        </w:rPr>
      </w:pPr>
      <w:bookmarkStart w:id="355" w:name="_Toc21128"/>
      <w:r>
        <w:rPr>
          <w:color w:val="auto"/>
          <w:highlight w:val="none"/>
        </w:rPr>
        <w:t>2  工作职责</w:t>
      </w:r>
      <w:bookmarkEnd w:id="355"/>
    </w:p>
    <w:p>
      <w:pPr>
        <w:rPr>
          <w:color w:val="auto"/>
          <w:highlight w:val="none"/>
        </w:rPr>
      </w:pPr>
      <w:r>
        <w:rPr>
          <w:color w:val="auto"/>
          <w:highlight w:val="none"/>
        </w:rPr>
        <w:t>1）在BIM总协调方的统一管理下，遵守协同配合机制，在服务器上开展项目BIM实施工作；</w:t>
      </w:r>
    </w:p>
    <w:p>
      <w:pPr>
        <w:rPr>
          <w:color w:val="auto"/>
          <w:highlight w:val="none"/>
        </w:rPr>
      </w:pPr>
      <w:r>
        <w:rPr>
          <w:color w:val="auto"/>
          <w:highlight w:val="none"/>
        </w:rPr>
        <w:t>2）定期向项目协同平台更新过程信息和成果文件；</w:t>
      </w:r>
    </w:p>
    <w:p>
      <w:pPr>
        <w:rPr>
          <w:color w:val="auto"/>
          <w:highlight w:val="none"/>
        </w:rPr>
      </w:pPr>
      <w:r>
        <w:rPr>
          <w:color w:val="auto"/>
          <w:highlight w:val="none"/>
        </w:rPr>
        <w:t>3）根据项目实施情况，对协同平台提出优化建议。</w:t>
      </w: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56" w:name="_bookmark40"/>
      <w:bookmarkEnd w:id="356"/>
      <w:bookmarkStart w:id="357" w:name="_bookmark39"/>
      <w:bookmarkEnd w:id="357"/>
      <w:bookmarkStart w:id="358" w:name="_Toc62460208"/>
      <w:bookmarkStart w:id="359" w:name="_Toc23875"/>
      <w:r>
        <w:rPr>
          <w:color w:val="auto"/>
          <w:highlight w:val="none"/>
        </w:rPr>
        <w:t>软件标准</w:t>
      </w:r>
      <w:bookmarkEnd w:id="358"/>
      <w:bookmarkEnd w:id="359"/>
    </w:p>
    <w:p>
      <w:pPr>
        <w:rPr>
          <w:color w:val="auto"/>
          <w:highlight w:val="none"/>
        </w:rPr>
      </w:pPr>
      <w:r>
        <w:rPr>
          <w:color w:val="auto"/>
          <w:highlight w:val="none"/>
        </w:rPr>
        <w:t>本导则BIM模型和BIM应用，不限于单一软件，软件的选择和使用遵循代建局项目特点及要求制定，并充分考虑软件之间的格式交换和数据接口。</w:t>
      </w:r>
    </w:p>
    <w:p>
      <w:pPr>
        <w:rPr>
          <w:color w:val="auto"/>
          <w:highlight w:val="none"/>
        </w:rPr>
      </w:pPr>
      <w:r>
        <w:rPr>
          <w:color w:val="auto"/>
          <w:highlight w:val="none"/>
        </w:rPr>
        <w:t>对于一般项目BIM软件使用可参考以下规定：</w:t>
      </w:r>
    </w:p>
    <w:p>
      <w:pPr>
        <w:rPr>
          <w:color w:val="auto"/>
          <w:highlight w:val="none"/>
        </w:rPr>
      </w:pPr>
      <w:r>
        <w:rPr>
          <w:color w:val="auto"/>
          <w:highlight w:val="none"/>
        </w:rPr>
        <w:t>表6.1  BIM软件参考表</w:t>
      </w:r>
    </w:p>
    <w:tbl>
      <w:tblPr>
        <w:tblStyle w:val="63"/>
        <w:tblW w:w="8943" w:type="dxa"/>
        <w:jc w:val="center"/>
        <w:tblLayout w:type="fixed"/>
        <w:tblCellMar>
          <w:top w:w="0" w:type="dxa"/>
          <w:left w:w="0" w:type="dxa"/>
          <w:bottom w:w="0" w:type="dxa"/>
          <w:right w:w="0" w:type="dxa"/>
        </w:tblCellMar>
      </w:tblPr>
      <w:tblGrid>
        <w:gridCol w:w="718"/>
        <w:gridCol w:w="2210"/>
        <w:gridCol w:w="2670"/>
        <w:gridCol w:w="3345"/>
      </w:tblGrid>
      <w:tr>
        <w:tblPrEx>
          <w:tblCellMar>
            <w:top w:w="0" w:type="dxa"/>
            <w:left w:w="0" w:type="dxa"/>
            <w:bottom w:w="0" w:type="dxa"/>
            <w:right w:w="0" w:type="dxa"/>
          </w:tblCellMar>
        </w:tblPrEx>
        <w:trPr>
          <w:trHeight w:val="45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序号</w:t>
            </w:r>
          </w:p>
        </w:tc>
        <w:tc>
          <w:tcPr>
            <w:tcW w:w="22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26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类型</w:t>
            </w: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选用软件</w:t>
            </w:r>
          </w:p>
        </w:tc>
      </w:tr>
      <w:tr>
        <w:tblPrEx>
          <w:tblCellMar>
            <w:top w:w="0" w:type="dxa"/>
            <w:left w:w="0" w:type="dxa"/>
            <w:bottom w:w="0" w:type="dxa"/>
            <w:right w:w="0" w:type="dxa"/>
          </w:tblCellMar>
        </w:tblPrEx>
        <w:trPr>
          <w:trHeight w:val="454" w:hRule="atLeast"/>
          <w:jc w:val="center"/>
        </w:trPr>
        <w:tc>
          <w:tcPr>
            <w:tcW w:w="718"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1</w:t>
            </w:r>
          </w:p>
        </w:tc>
        <w:tc>
          <w:tcPr>
            <w:tcW w:w="221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建筑专业</w:t>
            </w:r>
          </w:p>
        </w:tc>
        <w:tc>
          <w:tcPr>
            <w:tcW w:w="26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常规建筑</w:t>
            </w: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Revit</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异性曲面建筑外形</w:t>
            </w: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Rhino</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Catia</w:t>
            </w:r>
          </w:p>
        </w:tc>
      </w:tr>
      <w:tr>
        <w:tblPrEx>
          <w:tblCellMar>
            <w:top w:w="0" w:type="dxa"/>
            <w:left w:w="0" w:type="dxa"/>
            <w:bottom w:w="0" w:type="dxa"/>
            <w:right w:w="0" w:type="dxa"/>
          </w:tblCellMar>
        </w:tblPrEx>
        <w:trPr>
          <w:trHeight w:val="454" w:hRule="atLeast"/>
          <w:jc w:val="center"/>
        </w:trPr>
        <w:tc>
          <w:tcPr>
            <w:tcW w:w="718"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2</w:t>
            </w:r>
          </w:p>
        </w:tc>
        <w:tc>
          <w:tcPr>
            <w:tcW w:w="221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结构专业</w:t>
            </w:r>
          </w:p>
        </w:tc>
        <w:tc>
          <w:tcPr>
            <w:tcW w:w="267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结构混凝土</w:t>
            </w: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Revit</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PKPM</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探索者</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钢结构</w:t>
            </w: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Catia</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TeklaStructures(X-steel)</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Revit</w:t>
            </w:r>
          </w:p>
        </w:tc>
      </w:tr>
      <w:tr>
        <w:tblPrEx>
          <w:tblCellMar>
            <w:top w:w="0" w:type="dxa"/>
            <w:left w:w="0" w:type="dxa"/>
            <w:bottom w:w="0" w:type="dxa"/>
            <w:right w:w="0" w:type="dxa"/>
          </w:tblCellMar>
        </w:tblPrEx>
        <w:trPr>
          <w:trHeight w:val="454" w:hRule="atLeast"/>
          <w:jc w:val="center"/>
        </w:trPr>
        <w:tc>
          <w:tcPr>
            <w:tcW w:w="718"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3</w:t>
            </w:r>
          </w:p>
        </w:tc>
        <w:tc>
          <w:tcPr>
            <w:tcW w:w="221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机电专业</w:t>
            </w:r>
          </w:p>
        </w:tc>
        <w:tc>
          <w:tcPr>
            <w:tcW w:w="2670"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Revit</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MagiCAD</w:t>
            </w:r>
          </w:p>
        </w:tc>
      </w:tr>
      <w:tr>
        <w:tblPrEx>
          <w:tblCellMar>
            <w:top w:w="0" w:type="dxa"/>
            <w:left w:w="0" w:type="dxa"/>
            <w:bottom w:w="0" w:type="dxa"/>
            <w:right w:w="0" w:type="dxa"/>
          </w:tblCellMar>
        </w:tblPrEx>
        <w:trPr>
          <w:trHeight w:val="454" w:hRule="atLeast"/>
          <w:jc w:val="center"/>
        </w:trPr>
        <w:tc>
          <w:tcPr>
            <w:tcW w:w="718"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4</w:t>
            </w:r>
          </w:p>
        </w:tc>
        <w:tc>
          <w:tcPr>
            <w:tcW w:w="221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幕墙专业</w:t>
            </w:r>
          </w:p>
        </w:tc>
        <w:tc>
          <w:tcPr>
            <w:tcW w:w="2670"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Revit</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Rhino</w:t>
            </w:r>
          </w:p>
        </w:tc>
      </w:tr>
      <w:tr>
        <w:tblPrEx>
          <w:tblCellMar>
            <w:top w:w="0" w:type="dxa"/>
            <w:left w:w="0" w:type="dxa"/>
            <w:bottom w:w="0" w:type="dxa"/>
            <w:right w:w="0" w:type="dxa"/>
          </w:tblCellMar>
        </w:tblPrEx>
        <w:trPr>
          <w:trHeight w:val="454" w:hRule="atLeast"/>
          <w:jc w:val="center"/>
        </w:trPr>
        <w:tc>
          <w:tcPr>
            <w:tcW w:w="718"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21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2670" w:type="dxa"/>
            <w:vMerge w:val="continue"/>
            <w:tcBorders>
              <w:top w:val="single" w:color="auto" w:sz="4" w:space="0"/>
              <w:left w:val="single" w:color="auto" w:sz="4" w:space="0"/>
              <w:bottom w:val="single" w:color="auto" w:sz="4" w:space="0"/>
              <w:right w:val="single" w:color="auto" w:sz="4" w:space="0"/>
            </w:tcBorders>
            <w:vAlign w:val="center"/>
          </w:tcPr>
          <w:p>
            <w:pPr>
              <w:rPr>
                <w:color w:val="auto"/>
                <w:highlight w:val="none"/>
              </w:rPr>
            </w:pPr>
          </w:p>
        </w:tc>
        <w:tc>
          <w:tcPr>
            <w:tcW w:w="334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Catia</w:t>
            </w:r>
          </w:p>
        </w:tc>
      </w:tr>
    </w:tbl>
    <w:p>
      <w:pPr>
        <w:rPr>
          <w:color w:val="auto"/>
          <w:highlight w:val="none"/>
        </w:rPr>
      </w:pP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60" w:name="_bookmark41"/>
      <w:bookmarkEnd w:id="360"/>
    </w:p>
    <w:p>
      <w:pPr>
        <w:rPr>
          <w:color w:val="auto"/>
          <w:highlight w:val="none"/>
        </w:rPr>
      </w:pPr>
      <w:bookmarkStart w:id="361" w:name="_Toc12745"/>
      <w:bookmarkStart w:id="362" w:name="_Toc62460209"/>
      <w:r>
        <w:rPr>
          <w:color w:val="auto"/>
          <w:highlight w:val="none"/>
        </w:rPr>
        <w:t>附表</w:t>
      </w:r>
      <w:bookmarkEnd w:id="361"/>
      <w:bookmarkEnd w:id="362"/>
    </w:p>
    <w:p>
      <w:pPr>
        <w:rPr>
          <w:color w:val="auto"/>
          <w:highlight w:val="none"/>
        </w:rPr>
      </w:pPr>
      <w:bookmarkStart w:id="363" w:name="_Toc62460210"/>
      <w:bookmarkStart w:id="364" w:name="_Toc7109"/>
      <w:r>
        <w:rPr>
          <w:color w:val="auto"/>
          <w:highlight w:val="none"/>
        </w:rPr>
        <w:t>附表1  BIM项目工作职责分配表</w:t>
      </w:r>
      <w:bookmarkEnd w:id="363"/>
      <w:bookmarkEnd w:id="364"/>
    </w:p>
    <w:tbl>
      <w:tblPr>
        <w:tblStyle w:val="63"/>
        <w:tblW w:w="9884" w:type="dxa"/>
        <w:jc w:val="center"/>
        <w:tblLayout w:type="fixed"/>
        <w:tblCellMar>
          <w:top w:w="0" w:type="dxa"/>
          <w:left w:w="0" w:type="dxa"/>
          <w:bottom w:w="0" w:type="dxa"/>
          <w:right w:w="0" w:type="dxa"/>
        </w:tblCellMar>
      </w:tblPr>
      <w:tblGrid>
        <w:gridCol w:w="1060"/>
        <w:gridCol w:w="2859"/>
        <w:gridCol w:w="1025"/>
        <w:gridCol w:w="1014"/>
        <w:gridCol w:w="873"/>
        <w:gridCol w:w="846"/>
        <w:gridCol w:w="750"/>
        <w:gridCol w:w="726"/>
        <w:gridCol w:w="731"/>
      </w:tblGrid>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标注:</w:t>
            </w: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P=执行主要责任</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S=协办次要责任</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R=审核</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I=建模</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O=应用</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824" w:type="dxa"/>
            <w:gridSpan w:val="8"/>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A=需要时参与</w:t>
            </w: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1</w:t>
            </w:r>
          </w:p>
        </w:tc>
        <w:tc>
          <w:tcPr>
            <w:tcW w:w="285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BIM前期准备</w:t>
            </w:r>
          </w:p>
        </w:tc>
        <w:tc>
          <w:tcPr>
            <w:tcW w:w="2039" w:type="dxa"/>
            <w:gridSpan w:val="2"/>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甲方</w:t>
            </w:r>
          </w:p>
        </w:tc>
        <w:tc>
          <w:tcPr>
            <w:tcW w:w="3926" w:type="dxa"/>
            <w:gridSpan w:val="5"/>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859"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代建局前期工作部</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代建局</w:t>
            </w:r>
            <w:r>
              <w:rPr>
                <w:color w:val="auto"/>
                <w:highlight w:val="none"/>
              </w:rPr>
              <w:t>BIM</w:t>
            </w:r>
            <w:r>
              <w:rPr>
                <w:rFonts w:hint="eastAsia"/>
                <w:color w:val="auto"/>
                <w:highlight w:val="none"/>
              </w:rPr>
              <w:t>技术应用管理领导小组</w:t>
            </w:r>
          </w:p>
        </w:tc>
        <w:tc>
          <w:tcPr>
            <w:tcW w:w="873" w:type="dxa"/>
            <w:tcBorders>
              <w:top w:val="single" w:color="000000" w:sz="4" w:space="0"/>
              <w:left w:val="single" w:color="000000" w:sz="4" w:space="0"/>
              <w:bottom w:val="single" w:color="000000" w:sz="4" w:space="0"/>
              <w:right w:val="single" w:color="000000" w:sz="4" w:space="0"/>
            </w:tcBorders>
          </w:tcPr>
          <w:p>
            <w:pPr>
              <w:rPr>
                <w:color w:val="auto"/>
                <w:highlight w:val="none"/>
              </w:rPr>
            </w:pPr>
            <w:r>
              <w:rPr>
                <w:color w:val="auto"/>
                <w:highlight w:val="none"/>
              </w:rPr>
              <w:t>BIM</w:t>
            </w:r>
          </w:p>
          <w:p>
            <w:pPr>
              <w:rPr>
                <w:color w:val="auto"/>
                <w:highlight w:val="none"/>
              </w:rPr>
            </w:pPr>
            <w:r>
              <w:rPr>
                <w:color w:val="auto"/>
                <w:highlight w:val="none"/>
              </w:rPr>
              <w:t>总协调</w:t>
            </w:r>
          </w:p>
        </w:tc>
        <w:tc>
          <w:tcPr>
            <w:tcW w:w="846" w:type="dxa"/>
            <w:tcBorders>
              <w:top w:val="single" w:color="000000" w:sz="4" w:space="0"/>
              <w:left w:val="single" w:color="000000" w:sz="4" w:space="0"/>
              <w:bottom w:val="single" w:color="000000" w:sz="4" w:space="0"/>
              <w:right w:val="single" w:color="000000" w:sz="4" w:space="0"/>
            </w:tcBorders>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1.1</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BIM项目实施可行性分析</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1.2</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落实B</w:t>
            </w:r>
            <w:r>
              <w:rPr>
                <w:color w:val="auto"/>
                <w:highlight w:val="none"/>
              </w:rPr>
              <w:t>IM</w:t>
            </w:r>
            <w:r>
              <w:rPr>
                <w:rFonts w:hint="eastAsia"/>
                <w:color w:val="auto"/>
                <w:highlight w:val="none"/>
              </w:rPr>
              <w:t>资金情况</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1.3</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制定BIM实施目标</w:t>
            </w:r>
          </w:p>
        </w:tc>
        <w:tc>
          <w:tcPr>
            <w:tcW w:w="2039" w:type="dxa"/>
            <w:gridSpan w:val="2"/>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1.4</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确定BIM组织方式</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1.5</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确定相关单位职责</w:t>
            </w:r>
          </w:p>
        </w:tc>
        <w:tc>
          <w:tcPr>
            <w:tcW w:w="2039" w:type="dxa"/>
            <w:gridSpan w:val="2"/>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S</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1.6</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确定BIM实施大纲</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1.7</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制定BIM实施总体计划</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1.8</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开通项目协同平台</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2</w:t>
            </w:r>
          </w:p>
        </w:tc>
        <w:tc>
          <w:tcPr>
            <w:tcW w:w="285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BIM设计阶段</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甲方</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859"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代建局前期工作部、</w:t>
            </w:r>
          </w:p>
          <w:p>
            <w:pPr>
              <w:rPr>
                <w:color w:val="auto"/>
                <w:highlight w:val="none"/>
              </w:rPr>
            </w:pPr>
            <w:r>
              <w:rPr>
                <w:color w:val="auto"/>
                <w:highlight w:val="none"/>
              </w:rPr>
              <w:t>BIM总协调</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2.1</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制定设计阶段实施细则</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2.2</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分配设计协同权限</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2.3</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搭建方案模型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2.4</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方案BIM分析及应用</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P/O</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2.5</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提交方案成果</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2.6</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初设阶段模型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2.7</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初步设计BIM分析及应用</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P/O</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2.8</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提交初步设计成果</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2.9</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施工图模型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2.10</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设计信息录入</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2.11</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提交施工图成果</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3</w:t>
            </w:r>
          </w:p>
        </w:tc>
        <w:tc>
          <w:tcPr>
            <w:tcW w:w="285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BIM施工阶段</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甲方</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859"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rFonts w:hint="eastAsia"/>
                <w:color w:val="auto"/>
                <w:highlight w:val="none"/>
              </w:rPr>
              <w:t>代建局项目建设管理部、</w:t>
            </w:r>
          </w:p>
          <w:p>
            <w:pPr>
              <w:rPr>
                <w:color w:val="auto"/>
                <w:highlight w:val="none"/>
              </w:rPr>
            </w:pPr>
            <w:r>
              <w:rPr>
                <w:color w:val="auto"/>
                <w:highlight w:val="none"/>
              </w:rPr>
              <w:t>BIM总协调</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监理</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总包</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分包</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厂家</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造价</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3.1</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制定施工阶段实施细则</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3.2</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分配施工阶段协同权限</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3.2</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施工图模型审查交底</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3.3</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施工深化设计模型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S/I</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3.4</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BIM施工管理及技术应用</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O</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O</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3.5</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BIM模型变更及调整</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S/I</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3.6</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施工阶段信息添加</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P/I</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S/I</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3.7</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完成竣工模型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R</w:t>
            </w: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A</w:t>
            </w: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4</w:t>
            </w:r>
          </w:p>
        </w:tc>
        <w:tc>
          <w:tcPr>
            <w:tcW w:w="285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运维阶段</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甲方</w:t>
            </w:r>
          </w:p>
        </w:tc>
        <w:tc>
          <w:tcPr>
            <w:tcW w:w="4940" w:type="dxa"/>
            <w:gridSpan w:val="6"/>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参与方</w:t>
            </w:r>
          </w:p>
        </w:tc>
      </w:tr>
      <w:tr>
        <w:tblPrEx>
          <w:tblCellMar>
            <w:top w:w="0" w:type="dxa"/>
            <w:left w:w="0" w:type="dxa"/>
            <w:bottom w:w="0" w:type="dxa"/>
            <w:right w:w="0" w:type="dxa"/>
          </w:tblCellMar>
        </w:tblPrEx>
        <w:trPr>
          <w:trHeight w:val="454" w:hRule="atLeast"/>
          <w:jc w:val="center"/>
        </w:trPr>
        <w:tc>
          <w:tcPr>
            <w:tcW w:w="106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2859"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代建局</w:t>
            </w:r>
            <w:r>
              <w:rPr>
                <w:rFonts w:hint="eastAsia"/>
                <w:color w:val="auto"/>
                <w:highlight w:val="none"/>
              </w:rPr>
              <w:t>项目建设管理部、</w:t>
            </w:r>
          </w:p>
          <w:p>
            <w:pPr>
              <w:rPr>
                <w:color w:val="auto"/>
                <w:highlight w:val="none"/>
              </w:rPr>
            </w:pPr>
            <w:r>
              <w:rPr>
                <w:color w:val="auto"/>
                <w:highlight w:val="none"/>
              </w:rPr>
              <w:t>运营方</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总协调</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4.1</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搭建运维平台</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S</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jc w:val="center"/>
        </w:trPr>
        <w:tc>
          <w:tcPr>
            <w:tcW w:w="106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4.2</w:t>
            </w:r>
          </w:p>
        </w:tc>
        <w:tc>
          <w:tcPr>
            <w:tcW w:w="285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交付竣工运维模型</w:t>
            </w:r>
          </w:p>
        </w:tc>
        <w:tc>
          <w:tcPr>
            <w:tcW w:w="102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O</w:t>
            </w:r>
          </w:p>
        </w:tc>
        <w:tc>
          <w:tcPr>
            <w:tcW w:w="101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P</w:t>
            </w:r>
          </w:p>
        </w:tc>
        <w:tc>
          <w:tcPr>
            <w:tcW w:w="87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8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5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2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3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pPr>
      <w:r>
        <w:rPr>
          <w:color w:val="auto"/>
          <w:highlight w:val="none"/>
        </w:rPr>
        <w:t>注：《BIM工作职责分配表》根据项目实际情况，由项目的BIM总协调方做出调整，并提交代建局</w:t>
      </w:r>
      <w:r>
        <w:rPr>
          <w:rFonts w:hint="eastAsia"/>
          <w:color w:val="auto"/>
          <w:highlight w:val="none"/>
        </w:rPr>
        <w:t>BIM技术应用管理领导小组</w:t>
      </w:r>
      <w:r>
        <w:rPr>
          <w:color w:val="auto"/>
          <w:highlight w:val="none"/>
        </w:rPr>
        <w:t>审核通过。</w:t>
      </w:r>
    </w:p>
    <w:p>
      <w:pPr>
        <w:rPr>
          <w:color w:val="auto"/>
          <w:highlight w:val="none"/>
        </w:rPr>
        <w:sectPr>
          <w:pgSz w:w="11905" w:h="16838"/>
          <w:pgMar w:top="1417" w:right="1417" w:bottom="1417" w:left="1417" w:header="720" w:footer="680" w:gutter="0"/>
          <w:cols w:space="720" w:num="1"/>
          <w:titlePg/>
        </w:sectPr>
      </w:pPr>
    </w:p>
    <w:p>
      <w:pPr>
        <w:rPr>
          <w:color w:val="auto"/>
          <w:highlight w:val="none"/>
        </w:rPr>
      </w:pPr>
    </w:p>
    <w:p>
      <w:pPr>
        <w:rPr>
          <w:color w:val="auto"/>
          <w:highlight w:val="none"/>
        </w:rPr>
      </w:pPr>
      <w:bookmarkStart w:id="365" w:name="_bookmark42"/>
      <w:bookmarkEnd w:id="365"/>
      <w:bookmarkStart w:id="366" w:name="_Toc62460211"/>
      <w:bookmarkStart w:id="367" w:name="_Toc5652"/>
      <w:r>
        <w:rPr>
          <w:color w:val="auto"/>
          <w:highlight w:val="none"/>
        </w:rPr>
        <w:t>附表2  各阶段BIM实施总计划样表</w:t>
      </w:r>
      <w:bookmarkEnd w:id="366"/>
      <w:bookmarkEnd w:id="367"/>
    </w:p>
    <w:p>
      <w:pPr>
        <w:rPr>
          <w:color w:val="auto"/>
          <w:highlight w:val="none"/>
        </w:rPr>
      </w:pPr>
      <w:r>
        <w:rPr>
          <w:rFonts w:hint="eastAsia"/>
          <w:color w:val="auto"/>
          <w:highlight w:val="none"/>
        </w:rPr>
        <w:t>附</w:t>
      </w:r>
      <w:r>
        <w:rPr>
          <w:color w:val="auto"/>
          <w:highlight w:val="none"/>
        </w:rPr>
        <w:t>表2-1  设计阶段BIM实施计划样表</w:t>
      </w:r>
    </w:p>
    <w:tbl>
      <w:tblPr>
        <w:tblStyle w:val="63"/>
        <w:tblW w:w="14042" w:type="dxa"/>
        <w:tblInd w:w="0" w:type="dxa"/>
        <w:tblLayout w:type="fixed"/>
        <w:tblCellMar>
          <w:top w:w="0" w:type="dxa"/>
          <w:left w:w="0" w:type="dxa"/>
          <w:bottom w:w="0" w:type="dxa"/>
          <w:right w:w="0" w:type="dxa"/>
        </w:tblCellMar>
      </w:tblPr>
      <w:tblGrid>
        <w:gridCol w:w="799"/>
        <w:gridCol w:w="690"/>
        <w:gridCol w:w="782"/>
        <w:gridCol w:w="1103"/>
        <w:gridCol w:w="903"/>
        <w:gridCol w:w="903"/>
        <w:gridCol w:w="903"/>
        <w:gridCol w:w="946"/>
        <w:gridCol w:w="903"/>
        <w:gridCol w:w="903"/>
        <w:gridCol w:w="903"/>
        <w:gridCol w:w="911"/>
        <w:gridCol w:w="903"/>
        <w:gridCol w:w="903"/>
        <w:gridCol w:w="903"/>
        <w:gridCol w:w="684"/>
      </w:tblGrid>
      <w:tr>
        <w:tblPrEx>
          <w:tblCellMar>
            <w:top w:w="0" w:type="dxa"/>
            <w:left w:w="0" w:type="dxa"/>
            <w:bottom w:w="0" w:type="dxa"/>
            <w:right w:w="0" w:type="dxa"/>
          </w:tblCellMar>
        </w:tblPrEx>
        <w:trPr>
          <w:trHeight w:val="454" w:hRule="atLeast"/>
        </w:trPr>
        <w:tc>
          <w:tcPr>
            <w:tcW w:w="79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项目阶段</w:t>
            </w:r>
          </w:p>
        </w:tc>
        <w:tc>
          <w:tcPr>
            <w:tcW w:w="69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实施</w:t>
            </w:r>
          </w:p>
          <w:p>
            <w:pPr>
              <w:rPr>
                <w:color w:val="auto"/>
                <w:highlight w:val="none"/>
              </w:rPr>
            </w:pPr>
            <w:r>
              <w:rPr>
                <w:color w:val="auto"/>
                <w:highlight w:val="none"/>
              </w:rPr>
              <w:t>单位</w:t>
            </w:r>
          </w:p>
        </w:tc>
        <w:tc>
          <w:tcPr>
            <w:tcW w:w="782"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模型深度</w:t>
            </w:r>
          </w:p>
        </w:tc>
        <w:tc>
          <w:tcPr>
            <w:tcW w:w="1103"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工作范围</w:t>
            </w:r>
          </w:p>
        </w:tc>
        <w:tc>
          <w:tcPr>
            <w:tcW w:w="3655"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方案模型阶段</w:t>
            </w:r>
          </w:p>
        </w:tc>
        <w:tc>
          <w:tcPr>
            <w:tcW w:w="3620"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初设模型阶段</w:t>
            </w:r>
          </w:p>
        </w:tc>
        <w:tc>
          <w:tcPr>
            <w:tcW w:w="3393"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施工图模型阶段</w:t>
            </w:r>
          </w:p>
        </w:tc>
      </w:tr>
      <w:tr>
        <w:tblPrEx>
          <w:tblCellMar>
            <w:top w:w="0" w:type="dxa"/>
            <w:left w:w="0" w:type="dxa"/>
            <w:bottom w:w="0" w:type="dxa"/>
            <w:right w:w="0" w:type="dxa"/>
          </w:tblCellMar>
        </w:tblPrEx>
        <w:trPr>
          <w:trHeight w:val="454" w:hRule="atLeast"/>
        </w:trPr>
        <w:tc>
          <w:tcPr>
            <w:tcW w:w="799"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690"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2"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1103"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9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完成内容</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91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完成内容</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68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完成内容</w:t>
            </w: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pPr>
      <w:r>
        <w:rPr>
          <w:rFonts w:hint="eastAsia"/>
          <w:color w:val="auto"/>
          <w:highlight w:val="none"/>
        </w:rPr>
        <w:t>附</w:t>
      </w:r>
      <w:r>
        <w:rPr>
          <w:color w:val="auto"/>
          <w:highlight w:val="none"/>
        </w:rPr>
        <w:t>表2-2  施工阶段BIM实施计划样表</w:t>
      </w:r>
    </w:p>
    <w:tbl>
      <w:tblPr>
        <w:tblStyle w:val="63"/>
        <w:tblW w:w="14042" w:type="dxa"/>
        <w:tblInd w:w="0" w:type="dxa"/>
        <w:tblLayout w:type="fixed"/>
        <w:tblCellMar>
          <w:top w:w="0" w:type="dxa"/>
          <w:left w:w="0" w:type="dxa"/>
          <w:bottom w:w="0" w:type="dxa"/>
          <w:right w:w="0" w:type="dxa"/>
        </w:tblCellMar>
      </w:tblPr>
      <w:tblGrid>
        <w:gridCol w:w="799"/>
        <w:gridCol w:w="690"/>
        <w:gridCol w:w="782"/>
        <w:gridCol w:w="1103"/>
        <w:gridCol w:w="903"/>
        <w:gridCol w:w="903"/>
        <w:gridCol w:w="903"/>
        <w:gridCol w:w="946"/>
        <w:gridCol w:w="903"/>
        <w:gridCol w:w="903"/>
        <w:gridCol w:w="903"/>
        <w:gridCol w:w="911"/>
        <w:gridCol w:w="903"/>
        <w:gridCol w:w="903"/>
        <w:gridCol w:w="903"/>
        <w:gridCol w:w="684"/>
      </w:tblGrid>
      <w:tr>
        <w:tblPrEx>
          <w:tblCellMar>
            <w:top w:w="0" w:type="dxa"/>
            <w:left w:w="0" w:type="dxa"/>
            <w:bottom w:w="0" w:type="dxa"/>
            <w:right w:w="0" w:type="dxa"/>
          </w:tblCellMar>
        </w:tblPrEx>
        <w:trPr>
          <w:trHeight w:val="454" w:hRule="atLeast"/>
        </w:trPr>
        <w:tc>
          <w:tcPr>
            <w:tcW w:w="799"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项目阶段</w:t>
            </w:r>
          </w:p>
        </w:tc>
        <w:tc>
          <w:tcPr>
            <w:tcW w:w="690"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实施</w:t>
            </w:r>
          </w:p>
          <w:p>
            <w:pPr>
              <w:rPr>
                <w:color w:val="auto"/>
                <w:highlight w:val="none"/>
              </w:rPr>
            </w:pPr>
            <w:r>
              <w:rPr>
                <w:color w:val="auto"/>
                <w:highlight w:val="none"/>
              </w:rPr>
              <w:t>单位</w:t>
            </w:r>
          </w:p>
        </w:tc>
        <w:tc>
          <w:tcPr>
            <w:tcW w:w="782"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BIM模型</w:t>
            </w:r>
          </w:p>
          <w:p>
            <w:pPr>
              <w:rPr>
                <w:color w:val="auto"/>
                <w:highlight w:val="none"/>
              </w:rPr>
            </w:pPr>
            <w:r>
              <w:rPr>
                <w:color w:val="auto"/>
                <w:highlight w:val="none"/>
              </w:rPr>
              <w:t>深度</w:t>
            </w:r>
          </w:p>
        </w:tc>
        <w:tc>
          <w:tcPr>
            <w:tcW w:w="1103"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工作范围</w:t>
            </w:r>
          </w:p>
        </w:tc>
        <w:tc>
          <w:tcPr>
            <w:tcW w:w="3655"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深化模型阶段</w:t>
            </w:r>
          </w:p>
        </w:tc>
        <w:tc>
          <w:tcPr>
            <w:tcW w:w="3620"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模型应用阶段</w:t>
            </w:r>
          </w:p>
        </w:tc>
        <w:tc>
          <w:tcPr>
            <w:tcW w:w="3393" w:type="dxa"/>
            <w:gridSpan w:val="4"/>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竣工模型阶段</w:t>
            </w:r>
          </w:p>
        </w:tc>
      </w:tr>
      <w:tr>
        <w:tblPrEx>
          <w:tblCellMar>
            <w:top w:w="0" w:type="dxa"/>
            <w:left w:w="0" w:type="dxa"/>
            <w:bottom w:w="0" w:type="dxa"/>
            <w:right w:w="0" w:type="dxa"/>
          </w:tblCellMar>
        </w:tblPrEx>
        <w:trPr>
          <w:trHeight w:val="1544" w:hRule="atLeast"/>
        </w:trPr>
        <w:tc>
          <w:tcPr>
            <w:tcW w:w="799" w:type="dxa"/>
            <w:vMerge w:val="continue"/>
            <w:tcBorders>
              <w:left w:val="single" w:color="000000" w:sz="4" w:space="0"/>
              <w:right w:val="single" w:color="000000" w:sz="4" w:space="0"/>
            </w:tcBorders>
            <w:vAlign w:val="center"/>
          </w:tcPr>
          <w:p>
            <w:pPr>
              <w:rPr>
                <w:color w:val="auto"/>
                <w:highlight w:val="none"/>
              </w:rPr>
            </w:pPr>
          </w:p>
        </w:tc>
        <w:tc>
          <w:tcPr>
            <w:tcW w:w="690" w:type="dxa"/>
            <w:vMerge w:val="continue"/>
            <w:tcBorders>
              <w:left w:val="single" w:color="000000" w:sz="4" w:space="0"/>
              <w:right w:val="single" w:color="000000" w:sz="4" w:space="0"/>
            </w:tcBorders>
            <w:vAlign w:val="center"/>
          </w:tcPr>
          <w:p>
            <w:pPr>
              <w:rPr>
                <w:color w:val="auto"/>
                <w:highlight w:val="none"/>
              </w:rPr>
            </w:pPr>
          </w:p>
        </w:tc>
        <w:tc>
          <w:tcPr>
            <w:tcW w:w="782" w:type="dxa"/>
            <w:vMerge w:val="continue"/>
            <w:tcBorders>
              <w:left w:val="single" w:color="000000" w:sz="4" w:space="0"/>
              <w:right w:val="single" w:color="000000" w:sz="4" w:space="0"/>
            </w:tcBorders>
            <w:vAlign w:val="center"/>
          </w:tcPr>
          <w:p>
            <w:pPr>
              <w:rPr>
                <w:color w:val="auto"/>
                <w:highlight w:val="none"/>
              </w:rPr>
            </w:pPr>
          </w:p>
        </w:tc>
        <w:tc>
          <w:tcPr>
            <w:tcW w:w="1103" w:type="dxa"/>
            <w:vMerge w:val="continue"/>
            <w:tcBorders>
              <w:left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946"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完成内容</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911"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完成内容</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预计开始时间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预计结束时间</w:t>
            </w:r>
          </w:p>
        </w:tc>
        <w:tc>
          <w:tcPr>
            <w:tcW w:w="903"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预计完成耗时（工作日）</w:t>
            </w:r>
          </w:p>
        </w:tc>
        <w:tc>
          <w:tcPr>
            <w:tcW w:w="684"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完成内容</w:t>
            </w: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799"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9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1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46"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1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903"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684"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sectPr>
          <w:footerReference r:id="rId14" w:type="first"/>
          <w:pgSz w:w="16838" w:h="11905" w:orient="landscape"/>
          <w:pgMar w:top="1417" w:right="1417" w:bottom="1417" w:left="1417" w:header="720" w:footer="680" w:gutter="0"/>
          <w:cols w:space="720" w:num="1"/>
          <w:titlePg/>
        </w:sectPr>
      </w:pPr>
    </w:p>
    <w:p>
      <w:pPr>
        <w:rPr>
          <w:color w:val="auto"/>
          <w:highlight w:val="none"/>
        </w:rPr>
      </w:pPr>
      <w:bookmarkStart w:id="368" w:name="_bookmark43"/>
      <w:bookmarkEnd w:id="368"/>
      <w:bookmarkStart w:id="369" w:name="_Toc62460212"/>
      <w:bookmarkStart w:id="370" w:name="_Toc29072"/>
      <w:r>
        <w:rPr>
          <w:color w:val="auto"/>
          <w:highlight w:val="none"/>
        </w:rPr>
        <w:t>附表3  各阶段BIM</w:t>
      </w:r>
      <w:r>
        <w:rPr>
          <w:rFonts w:hint="eastAsia"/>
          <w:color w:val="auto"/>
          <w:highlight w:val="none"/>
        </w:rPr>
        <w:t>模型精度</w:t>
      </w:r>
      <w:r>
        <w:rPr>
          <w:color w:val="auto"/>
          <w:highlight w:val="none"/>
        </w:rPr>
        <w:t>要求</w:t>
      </w:r>
      <w:bookmarkEnd w:id="369"/>
      <w:bookmarkEnd w:id="370"/>
    </w:p>
    <w:p>
      <w:pPr>
        <w:rPr>
          <w:color w:val="auto"/>
          <w:highlight w:val="none"/>
        </w:rPr>
      </w:pPr>
      <w:bookmarkStart w:id="371" w:name="_Toc26199"/>
      <w:r>
        <w:rPr>
          <w:color w:val="auto"/>
          <w:highlight w:val="none"/>
        </w:rPr>
        <w:t>1  建筑专业</w:t>
      </w:r>
      <w:bookmarkEnd w:id="371"/>
    </w:p>
    <w:tbl>
      <w:tblPr>
        <w:tblStyle w:val="63"/>
        <w:tblW w:w="13831" w:type="dxa"/>
        <w:jc w:val="center"/>
        <w:tblLayout w:type="fixed"/>
        <w:tblCellMar>
          <w:top w:w="0" w:type="dxa"/>
          <w:left w:w="0" w:type="dxa"/>
          <w:bottom w:w="0" w:type="dxa"/>
          <w:right w:w="0" w:type="dxa"/>
        </w:tblCellMar>
      </w:tblPr>
      <w:tblGrid>
        <w:gridCol w:w="1050"/>
        <w:gridCol w:w="630"/>
        <w:gridCol w:w="1215"/>
        <w:gridCol w:w="2084"/>
        <w:gridCol w:w="2427"/>
        <w:gridCol w:w="2427"/>
        <w:gridCol w:w="2183"/>
        <w:gridCol w:w="1815"/>
      </w:tblGrid>
      <w:tr>
        <w:tblPrEx>
          <w:tblCellMar>
            <w:top w:w="0" w:type="dxa"/>
            <w:left w:w="0" w:type="dxa"/>
            <w:bottom w:w="0" w:type="dxa"/>
            <w:right w:w="0" w:type="dxa"/>
          </w:tblCellMar>
        </w:tblPrEx>
        <w:trPr>
          <w:cantSplit/>
          <w:trHeight w:val="454" w:hRule="atLeast"/>
          <w:tblHeader/>
          <w:jc w:val="center"/>
        </w:trPr>
        <w:tc>
          <w:tcPr>
            <w:tcW w:w="1050"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845"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jc w:val="center"/>
        </w:trPr>
        <w:tc>
          <w:tcPr>
            <w:tcW w:w="1050"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845"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rPr>
          <w:cantSplit/>
          <w:trHeight w:val="454" w:hRule="atLeast"/>
          <w:jc w:val="center"/>
        </w:trPr>
        <w:tc>
          <w:tcPr>
            <w:tcW w:w="1050" w:type="dxa"/>
            <w:vMerge w:val="restart"/>
            <w:tcBorders>
              <w:top w:val="single" w:color="auto" w:sz="4" w:space="0"/>
              <w:left w:val="single" w:color="auto" w:sz="4" w:space="0"/>
              <w:right w:val="single" w:color="auto" w:sz="4" w:space="0"/>
            </w:tcBorders>
            <w:vAlign w:val="center"/>
          </w:tcPr>
          <w:p>
            <w:pPr>
              <w:rPr>
                <w:color w:val="auto"/>
                <w:highlight w:val="none"/>
              </w:rPr>
            </w:pPr>
            <w:r>
              <w:rPr>
                <w:color w:val="auto"/>
                <w:highlight w:val="none"/>
              </w:rPr>
              <w:t>建筑</w:t>
            </w: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阳台</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阳台的形状，大概尺寸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实际安装的阳台模型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空调机位</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基本形状、大概尺寸、方位</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实际安装的模型</w:t>
            </w:r>
          </w:p>
        </w:tc>
      </w:tr>
      <w:tr>
        <w:tblPrEx>
          <w:tblCellMar>
            <w:top w:w="0" w:type="dxa"/>
            <w:left w:w="0" w:type="dxa"/>
            <w:bottom w:w="0" w:type="dxa"/>
            <w:right w:w="0" w:type="dxa"/>
          </w:tblCellMar>
        </w:tblPrEx>
        <w:trPr>
          <w:cantSplit/>
          <w:trHeight w:val="841"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空调百叶</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窗百叶</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实际安装的窗百叶模型</w:t>
            </w:r>
          </w:p>
        </w:tc>
      </w:tr>
      <w:tr>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雨篷</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实际安装的雨棚模型</w:t>
            </w:r>
          </w:p>
        </w:tc>
      </w:tr>
      <w:tr>
        <w:tblPrEx>
          <w:tblCellMar>
            <w:top w:w="0" w:type="dxa"/>
            <w:left w:w="0" w:type="dxa"/>
            <w:bottom w:w="0" w:type="dxa"/>
            <w:right w:w="0" w:type="dxa"/>
          </w:tblCellMar>
        </w:tblPrEx>
        <w:trPr>
          <w:cantSplit/>
          <w:trHeight w:val="1129"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檐沟</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外立面幕墙</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精确尺寸的模型实体，包含形状、方位和材质信息。</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实际尺寸的模型实体，包含形状、方位和材质信息。</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墙体</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一块通用的墙，给一个一</w:t>
            </w:r>
          </w:p>
          <w:p>
            <w:pPr>
              <w:rPr>
                <w:color w:val="auto"/>
                <w:highlight w:val="none"/>
              </w:rPr>
            </w:pPr>
            <w:r>
              <w:rPr>
                <w:color w:val="auto"/>
                <w:highlight w:val="none"/>
              </w:rPr>
              <w:t>般的厚度，其他特性有一个取值范围；</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模型已包括墙体类型和精确厚度，其他诸如成本、STC特性已经确定；</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模型已包括墙体类型和精确厚度，其他诸如成本、STC特性已经确定；</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实际安装的墙体模型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009</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楼板</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非几何数据，仅线、面积、体积区域。</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一块完整的模型，一般的厚度已确定</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楼板的类型、精确厚度</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楼板的类型、精确厚度</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实际安装的楼板模型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010</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屋顶</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屋顶的大致3D模型以及形状尺寸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屋顶的类型以及其他特性</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屋顶的类型以及其他特性</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实际安装的屋顶模型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011</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门</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门的形状以及尺寸，大致</w:t>
            </w:r>
          </w:p>
          <w:p>
            <w:pPr>
              <w:rPr>
                <w:color w:val="auto"/>
                <w:highlight w:val="none"/>
              </w:rPr>
            </w:pPr>
            <w:r>
              <w:rPr>
                <w:color w:val="auto"/>
                <w:highlight w:val="none"/>
              </w:rPr>
              <w:t>3D模型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门的精确尺寸、类型的确定</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门的实际尺寸、类型的确定</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实际安装的门窗模型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012</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窗</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窗的形状以及尺寸，大致</w:t>
            </w:r>
          </w:p>
          <w:p>
            <w:pPr>
              <w:rPr>
                <w:color w:val="auto"/>
                <w:highlight w:val="none"/>
              </w:rPr>
            </w:pPr>
            <w:r>
              <w:rPr>
                <w:color w:val="auto"/>
                <w:highlight w:val="none"/>
              </w:rPr>
              <w:t>3D模型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窗的精确尺寸、类型的确定</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窗的实际尺寸、类型的确定</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实际安装的门窗模型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013</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天花板</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基本形状、大概尺寸的模型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材质类型、天花板的精确厚度</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材质类型、天花板的精确厚度</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实际安装的天花板模型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014</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扶手</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大致形状、大概尺寸的模型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扶手的材质选定</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扶手的材质选定</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实际安装的扶手模型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015</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坡道</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大致形状、大概尺寸的模型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坡道的精确厚度、坡度的精确程度</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坡道的精确厚度、坡度的精确程度</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实际安装的坡道模型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016</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大致形状、大概尺寸的模型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楼梯踏步的精确厚度、台阶的精确程度</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楼梯踏步的精确厚度、台阶的精确程度</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实际安装的楼梯模型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right w:val="single" w:color="auto" w:sz="4" w:space="0"/>
            </w:tcBorders>
            <w:textDirection w:val="tbRl"/>
            <w:vAlign w:val="center"/>
          </w:tcPr>
          <w:p>
            <w:pPr>
              <w:rPr>
                <w:color w:val="auto"/>
                <w:highlight w:val="none"/>
              </w:rPr>
            </w:pPr>
          </w:p>
        </w:tc>
        <w:tc>
          <w:tcPr>
            <w:tcW w:w="6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017</w:t>
            </w:r>
          </w:p>
        </w:tc>
        <w:tc>
          <w:tcPr>
            <w:tcW w:w="12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红线</w:t>
            </w:r>
          </w:p>
        </w:tc>
        <w:tc>
          <w:tcPr>
            <w:tcW w:w="2084"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具体形状、具体尺寸的模型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具体形状、具体尺寸的模型</w:t>
            </w:r>
          </w:p>
        </w:tc>
        <w:tc>
          <w:tcPr>
            <w:tcW w:w="2183"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具体形状、具体尺寸的模型</w:t>
            </w:r>
          </w:p>
        </w:tc>
        <w:tc>
          <w:tcPr>
            <w:tcW w:w="181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实际安装的坡道模型</w:t>
            </w:r>
          </w:p>
        </w:tc>
      </w:tr>
      <w:tr>
        <w:tblPrEx>
          <w:tblCellMar>
            <w:top w:w="0" w:type="dxa"/>
            <w:left w:w="0" w:type="dxa"/>
            <w:bottom w:w="0" w:type="dxa"/>
            <w:right w:w="0" w:type="dxa"/>
          </w:tblCellMar>
        </w:tblPrEx>
        <w:trPr>
          <w:cantSplit/>
          <w:trHeight w:val="454" w:hRule="atLeast"/>
          <w:jc w:val="center"/>
        </w:trPr>
        <w:tc>
          <w:tcPr>
            <w:tcW w:w="1050"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781"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2" w:name="_Toc32510"/>
      <w:r>
        <w:rPr>
          <w:color w:val="auto"/>
          <w:highlight w:val="none"/>
        </w:rPr>
        <w:t>2  结构专业</w:t>
      </w:r>
      <w:bookmarkEnd w:id="372"/>
    </w:p>
    <w:tbl>
      <w:tblPr>
        <w:tblStyle w:val="63"/>
        <w:tblW w:w="13916" w:type="dxa"/>
        <w:jc w:val="center"/>
        <w:tblLayout w:type="fixed"/>
        <w:tblCellMar>
          <w:top w:w="0" w:type="dxa"/>
          <w:left w:w="0" w:type="dxa"/>
          <w:bottom w:w="0" w:type="dxa"/>
          <w:right w:w="0" w:type="dxa"/>
        </w:tblCellMar>
      </w:tblPr>
      <w:tblGrid>
        <w:gridCol w:w="1221"/>
        <w:gridCol w:w="568"/>
        <w:gridCol w:w="1335"/>
        <w:gridCol w:w="2427"/>
        <w:gridCol w:w="2427"/>
        <w:gridCol w:w="2008"/>
        <w:gridCol w:w="2265"/>
        <w:gridCol w:w="1665"/>
      </w:tblGrid>
      <w:tr>
        <w:tblPrEx>
          <w:tblCellMar>
            <w:top w:w="0" w:type="dxa"/>
            <w:left w:w="0" w:type="dxa"/>
            <w:bottom w:w="0" w:type="dxa"/>
            <w:right w:w="0" w:type="dxa"/>
          </w:tblCellMar>
        </w:tblPrEx>
        <w:trPr>
          <w:cantSplit/>
          <w:trHeight w:val="454" w:hRule="atLeast"/>
          <w:tblHeader/>
          <w:jc w:val="cent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jc w:val="cent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jc w:val="center"/>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结构</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混凝土结构柱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材质与类型，精确尺寸</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材质与类型，实际尺寸</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实际安装的柱模型</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混凝土结构梁</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材质与类型，精确尺寸</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材质与类型，实际尺寸</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实际安装的梁模型</w:t>
            </w:r>
          </w:p>
        </w:tc>
      </w:tr>
      <w:tr>
        <w:tblPrEx>
          <w:tblCellMar>
            <w:top w:w="0" w:type="dxa"/>
            <w:left w:w="0" w:type="dxa"/>
            <w:bottom w:w="0" w:type="dxa"/>
            <w:right w:w="0" w:type="dxa"/>
          </w:tblCellMar>
        </w:tblPrEx>
        <w:trPr>
          <w:cantSplit/>
          <w:trHeight w:val="891"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预留洞</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精确尺寸，标高信息</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实际尺寸，标高信息</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实际预留洞口</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剪力墙</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墙体的类型、精确厚度、尺寸</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墙体的类型、实际厚度、尺寸</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实际安装的墙体模型</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楼梯的基本尺寸、形状</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楼梯的类型、精确厚度、具体形状</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楼梯的类型、实际厚度、具体形状</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实际安装的楼梯模型</w:t>
            </w:r>
          </w:p>
        </w:tc>
      </w:tr>
      <w:tr>
        <w:tblPrEx>
          <w:tblCellMar>
            <w:top w:w="0" w:type="dxa"/>
            <w:left w:w="0" w:type="dxa"/>
            <w:bottom w:w="0" w:type="dxa"/>
            <w:right w:w="0" w:type="dxa"/>
          </w:tblCellMar>
        </w:tblPrEx>
        <w:trPr>
          <w:cantSplit/>
          <w:trHeight w:val="152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楼板</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大致厚度</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精确厚度、楼板类型</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实际厚度、楼板类型</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实际安装的楼板模型</w:t>
            </w:r>
          </w:p>
        </w:tc>
      </w:tr>
      <w:tr>
        <w:tblPrEx>
          <w:tblCellMar>
            <w:top w:w="0" w:type="dxa"/>
            <w:left w:w="0" w:type="dxa"/>
            <w:bottom w:w="0" w:type="dxa"/>
            <w:right w:w="0" w:type="dxa"/>
          </w:tblCellMar>
        </w:tblPrEx>
        <w:trPr>
          <w:cantSplit/>
          <w:trHeight w:val="152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钢结构</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大致形状，尺寸，位置</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精确形状、尺寸、坐标位置</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实际形状、尺寸、坐标位置</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实际安装的模型</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w:t>
            </w:r>
            <w:r>
              <w:rPr>
                <w:rFonts w:hint="eastAsia"/>
                <w:color w:val="auto"/>
                <w:highlight w:val="none"/>
              </w:rPr>
              <w:t>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钢节点连接样式</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w:t>
            </w:r>
          </w:p>
          <w:p>
            <w:pPr>
              <w:rPr>
                <w:color w:val="auto"/>
                <w:highlight w:val="none"/>
              </w:rPr>
            </w:pPr>
            <w:r>
              <w:rPr>
                <w:color w:val="auto"/>
                <w:highlight w:val="none"/>
              </w:rPr>
              <w:t>他性能系可按单位楼面面积的某个数值计入</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w:t>
            </w:r>
            <w:r>
              <w:rPr>
                <w:rFonts w:hint="eastAsia"/>
                <w:color w:val="auto"/>
                <w:highlight w:val="none"/>
              </w:rPr>
              <w:t>9</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基坑</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大致形状，尺寸，位置</w:t>
            </w:r>
          </w:p>
        </w:tc>
        <w:tc>
          <w:tcPr>
            <w:tcW w:w="200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精确形状、尺寸、坐标位置</w:t>
            </w:r>
          </w:p>
        </w:tc>
        <w:tc>
          <w:tcPr>
            <w:tcW w:w="22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实际形状、尺寸、坐标位置</w:t>
            </w:r>
          </w:p>
        </w:tc>
        <w:tc>
          <w:tcPr>
            <w:tcW w:w="16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实际安装的模型</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95"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3" w:name="_Toc27138"/>
      <w:r>
        <w:rPr>
          <w:color w:val="auto"/>
          <w:highlight w:val="none"/>
        </w:rPr>
        <w:t>3  暖通专业</w:t>
      </w:r>
      <w:bookmarkEnd w:id="373"/>
    </w:p>
    <w:tbl>
      <w:tblPr>
        <w:tblStyle w:val="63"/>
        <w:tblW w:w="14391" w:type="dxa"/>
        <w:jc w:val="center"/>
        <w:tblLayout w:type="fixed"/>
        <w:tblCellMar>
          <w:top w:w="0" w:type="dxa"/>
          <w:left w:w="0" w:type="dxa"/>
          <w:bottom w:w="0" w:type="dxa"/>
          <w:right w:w="0" w:type="dxa"/>
        </w:tblCellMar>
      </w:tblPr>
      <w:tblGrid>
        <w:gridCol w:w="1221"/>
        <w:gridCol w:w="568"/>
        <w:gridCol w:w="1335"/>
        <w:gridCol w:w="2427"/>
        <w:gridCol w:w="2427"/>
        <w:gridCol w:w="2427"/>
        <w:gridCol w:w="2081"/>
        <w:gridCol w:w="1905"/>
      </w:tblGrid>
      <w:tr>
        <w:tblPrEx>
          <w:tblCellMar>
            <w:top w:w="0" w:type="dxa"/>
            <w:left w:w="0" w:type="dxa"/>
            <w:bottom w:w="0" w:type="dxa"/>
            <w:right w:w="0" w:type="dxa"/>
          </w:tblCellMar>
        </w:tblPrEx>
        <w:trPr>
          <w:cantSplit/>
          <w:trHeight w:val="454" w:hRule="atLeast"/>
          <w:tblHeader/>
          <w:jc w:val="cent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jc w:val="cent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775" w:hRule="atLeast"/>
          <w:jc w:val="center"/>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暖通</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冷热源设备</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空调设备</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风机</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风机盘管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新风风管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具有精确尺寸、定位、管材</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具有实际尺寸、位置、管材</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精确尺寸，管材，连接件最终尺寸</w:t>
            </w:r>
          </w:p>
        </w:tc>
      </w:tr>
      <w:tr>
        <w:tblPrEx>
          <w:tblCellMar>
            <w:top w:w="0" w:type="dxa"/>
            <w:left w:w="0" w:type="dxa"/>
            <w:bottom w:w="0" w:type="dxa"/>
            <w:right w:w="0" w:type="dxa"/>
          </w:tblCellMar>
        </w:tblPrEx>
        <w:trPr>
          <w:cantSplit/>
          <w:trHeight w:val="905"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回风风管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w:t>
            </w:r>
          </w:p>
          <w:p>
            <w:pPr>
              <w:rPr>
                <w:color w:val="auto"/>
                <w:highlight w:val="none"/>
              </w:rPr>
            </w:pPr>
            <w:r>
              <w:rPr>
                <w:color w:val="auto"/>
                <w:highlight w:val="none"/>
              </w:rPr>
              <w:t>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具有精确尺寸、定位、管材</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具有实际尺寸、位置、管材</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精确尺寸，管材，连接件最终尺寸</w:t>
            </w:r>
          </w:p>
        </w:tc>
      </w:tr>
      <w:tr>
        <w:tblPrEx>
          <w:tblCellMar>
            <w:top w:w="0" w:type="dxa"/>
            <w:left w:w="0" w:type="dxa"/>
            <w:bottom w:w="0" w:type="dxa"/>
            <w:right w:w="0" w:type="dxa"/>
          </w:tblCellMar>
        </w:tblPrEx>
        <w:trPr>
          <w:cantSplit/>
          <w:trHeight w:val="545"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排风排烟风管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具有精确尺寸、定位、管材</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具有实际尺寸、位置、管材</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精确尺寸，管材，连接件最终尺寸</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冷热媒水管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具有精确尺寸、定位、管材</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具有实际尺寸、位置、管材</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精确尺寸，管材，连接件最终尺寸</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009</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水泵</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010</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排烟阀、防火阀</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具体规格形状，阀门类型，用途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具体规格形状，阀门类型，用途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厂家、型号、编号、位置</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各类阀门</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具体规格形状，阀门类型，用途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具体规格形状，阀门类型，用途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厂家、型号、编号、位置</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散流器</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排风口</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回风口</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静压箱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1"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具体形状、精确尺寸、设备编号、位置、用途</w:t>
            </w:r>
          </w:p>
        </w:tc>
        <w:tc>
          <w:tcPr>
            <w:tcW w:w="19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w:t>
            </w:r>
          </w:p>
          <w:p>
            <w:pPr>
              <w:rPr>
                <w:color w:val="auto"/>
                <w:highlight w:val="none"/>
              </w:rPr>
            </w:pPr>
            <w:r>
              <w:rPr>
                <w:color w:val="auto"/>
                <w:highlight w:val="none"/>
              </w:rPr>
              <w:t>寸、编号、位置、用途</w:t>
            </w:r>
          </w:p>
        </w:tc>
      </w:tr>
      <w:tr>
        <w:tblPrEx>
          <w:tblCellMar>
            <w:top w:w="0" w:type="dxa"/>
            <w:left w:w="0" w:type="dxa"/>
            <w:bottom w:w="0" w:type="dxa"/>
            <w:right w:w="0" w:type="dxa"/>
          </w:tblCellMar>
        </w:tblPrEx>
        <w:trPr>
          <w:cantSplit/>
          <w:trHeight w:val="454" w:hRule="atLeast"/>
          <w:jc w:val="center"/>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3170"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4" w:name="_Toc31810"/>
      <w:r>
        <w:rPr>
          <w:color w:val="auto"/>
          <w:highlight w:val="none"/>
        </w:rPr>
        <w:t>4  给排水专业</w:t>
      </w:r>
      <w:bookmarkEnd w:id="374"/>
    </w:p>
    <w:tbl>
      <w:tblPr>
        <w:tblStyle w:val="63"/>
        <w:tblW w:w="13946" w:type="dxa"/>
        <w:tblInd w:w="111" w:type="dxa"/>
        <w:tblLayout w:type="fixed"/>
        <w:tblCellMar>
          <w:top w:w="0" w:type="dxa"/>
          <w:left w:w="0" w:type="dxa"/>
          <w:bottom w:w="0" w:type="dxa"/>
          <w:right w:w="0" w:type="dxa"/>
        </w:tblCellMar>
      </w:tblPr>
      <w:tblGrid>
        <w:gridCol w:w="1221"/>
        <w:gridCol w:w="568"/>
        <w:gridCol w:w="1335"/>
        <w:gridCol w:w="2427"/>
        <w:gridCol w:w="1735"/>
        <w:gridCol w:w="2010"/>
        <w:gridCol w:w="2130"/>
        <w:gridCol w:w="2520"/>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给排水</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给水主管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污水管及管道坡度</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雨水管</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煤气管</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热力管</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消防水管</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给排水泵及消防泵</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形状、实际尺寸、设备编号、位置、用途</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水箱</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形状、实际尺寸、设备编号、位置、用途</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009</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喷淋</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形状、实际尺寸、设备编号、位置、用途</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010</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消火栓</w:t>
            </w:r>
          </w:p>
        </w:tc>
        <w:tc>
          <w:tcPr>
            <w:tcW w:w="2427" w:type="dxa"/>
            <w:tcBorders>
              <w:top w:val="single" w:color="auto" w:sz="4" w:space="0"/>
              <w:left w:val="single" w:color="auto" w:sz="4" w:space="0"/>
              <w:bottom w:val="single" w:color="auto" w:sz="4" w:space="0"/>
              <w:right w:val="single" w:color="auto" w:sz="4" w:space="0"/>
            </w:tcBorders>
          </w:tcPr>
          <w:p>
            <w:pPr>
              <w:rPr>
                <w:color w:val="auto"/>
                <w:highlight w:val="none"/>
              </w:rPr>
            </w:pPr>
            <w:r>
              <w:rPr>
                <w:color w:val="auto"/>
                <w:highlight w:val="none"/>
              </w:rPr>
              <w:t>无模型，成本或其他性能系可按单位楼面面积的某个数值计入</w:t>
            </w:r>
          </w:p>
        </w:tc>
        <w:tc>
          <w:tcPr>
            <w:tcW w:w="17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形状、实际尺寸、设备编号、位置、用途</w:t>
            </w:r>
          </w:p>
        </w:tc>
        <w:tc>
          <w:tcPr>
            <w:tcW w:w="25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725"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5" w:name="_Toc13582"/>
      <w:r>
        <w:rPr>
          <w:color w:val="auto"/>
          <w:highlight w:val="none"/>
        </w:rPr>
        <w:t>5  电气专业</w:t>
      </w:r>
      <w:bookmarkEnd w:id="375"/>
    </w:p>
    <w:tbl>
      <w:tblPr>
        <w:tblStyle w:val="63"/>
        <w:tblW w:w="13901" w:type="dxa"/>
        <w:tblInd w:w="111" w:type="dxa"/>
        <w:tblLayout w:type="fixed"/>
        <w:tblCellMar>
          <w:top w:w="0" w:type="dxa"/>
          <w:left w:w="0" w:type="dxa"/>
          <w:bottom w:w="0" w:type="dxa"/>
          <w:right w:w="0" w:type="dxa"/>
        </w:tblCellMar>
      </w:tblPr>
      <w:tblGrid>
        <w:gridCol w:w="1221"/>
        <w:gridCol w:w="568"/>
        <w:gridCol w:w="1335"/>
        <w:gridCol w:w="2427"/>
        <w:gridCol w:w="2427"/>
        <w:gridCol w:w="2038"/>
        <w:gridCol w:w="1920"/>
        <w:gridCol w:w="1965"/>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电气</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强电线槽</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变压器</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实际尺寸、容量、型号</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实际尺寸、容量、型号</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配电箱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大致尺寸、位置、用途、编号</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控制柜</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大致尺寸、位置、用途、编号</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实际尺寸、位置、用途、编号</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灯具</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插座</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精确尺寸、设备编号、位置、用途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w:t>
            </w:r>
          </w:p>
          <w:p>
            <w:pPr>
              <w:rPr>
                <w:color w:val="auto"/>
                <w:highlight w:val="none"/>
              </w:rPr>
            </w:pPr>
            <w:r>
              <w:rPr>
                <w:color w:val="auto"/>
                <w:highlight w:val="none"/>
              </w:rPr>
              <w:t>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弱电线槽</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音箱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009</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信息点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设备型号、实际尺寸、编号、位置、用途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010</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强电线槽</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摄像机</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探测器</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013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接线箱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3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92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具有精确尺寸、位置、用途</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80"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p>
    <w:p>
      <w:pPr>
        <w:rPr>
          <w:color w:val="auto"/>
          <w:highlight w:val="none"/>
        </w:rPr>
      </w:pPr>
      <w:bookmarkStart w:id="376" w:name="_Toc16306"/>
      <w:r>
        <w:rPr>
          <w:color w:val="auto"/>
          <w:highlight w:val="none"/>
        </w:rPr>
        <w:t>6 室外管线专业</w:t>
      </w:r>
      <w:bookmarkEnd w:id="376"/>
    </w:p>
    <w:tbl>
      <w:tblPr>
        <w:tblStyle w:val="63"/>
        <w:tblW w:w="13871" w:type="dxa"/>
        <w:tblInd w:w="111" w:type="dxa"/>
        <w:tblLayout w:type="fixed"/>
        <w:tblCellMar>
          <w:top w:w="0" w:type="dxa"/>
          <w:left w:w="0" w:type="dxa"/>
          <w:bottom w:w="0" w:type="dxa"/>
          <w:right w:w="0" w:type="dxa"/>
        </w:tblCellMar>
      </w:tblPr>
      <w:tblGrid>
        <w:gridCol w:w="1221"/>
        <w:gridCol w:w="568"/>
        <w:gridCol w:w="1335"/>
        <w:gridCol w:w="2427"/>
        <w:gridCol w:w="1705"/>
        <w:gridCol w:w="1800"/>
        <w:gridCol w:w="1650"/>
        <w:gridCol w:w="3165"/>
      </w:tblGrid>
      <w:tr>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室外管线</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市政给水</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市政排水</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市政供电</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市政通讯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市政燃气</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市政蒸汽</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设备构筑物</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w:t>
            </w:r>
          </w:p>
          <w:p>
            <w:pPr>
              <w:rPr>
                <w:color w:val="auto"/>
                <w:highlight w:val="none"/>
              </w:rPr>
            </w:pPr>
            <w:r>
              <w:rPr>
                <w:color w:val="auto"/>
                <w:highlight w:val="none"/>
              </w:rPr>
              <w:t>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精确形状、尺寸，体积</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实际形状、尺寸，体积</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实际形状、尺寸，体积</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市政给水</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009</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人手井</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170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8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65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31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50"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7" w:name="_Toc13726"/>
      <w:r>
        <w:rPr>
          <w:color w:val="auto"/>
          <w:highlight w:val="none"/>
        </w:rPr>
        <w:t>7  景观专业</w:t>
      </w:r>
      <w:bookmarkEnd w:id="377"/>
    </w:p>
    <w:tbl>
      <w:tblPr>
        <w:tblStyle w:val="63"/>
        <w:tblW w:w="13916" w:type="dxa"/>
        <w:tblInd w:w="111" w:type="dxa"/>
        <w:tblLayout w:type="fixed"/>
        <w:tblCellMar>
          <w:top w:w="0" w:type="dxa"/>
          <w:left w:w="0" w:type="dxa"/>
          <w:bottom w:w="0" w:type="dxa"/>
          <w:right w:w="0" w:type="dxa"/>
        </w:tblCellMar>
      </w:tblPr>
      <w:tblGrid>
        <w:gridCol w:w="1221"/>
        <w:gridCol w:w="568"/>
        <w:gridCol w:w="1335"/>
        <w:gridCol w:w="2427"/>
        <w:gridCol w:w="2170"/>
        <w:gridCol w:w="2040"/>
        <w:gridCol w:w="2085"/>
        <w:gridCol w:w="2070"/>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景观</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车位</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大概形状、位置、数量</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精确形状、位置、数量</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实际形状、位置、数量</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实际形状、位置、数量</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排水及坡度</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大概形状、位置、数量</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精确尺寸，坡度</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实际尺寸，坡度</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实际尺寸，坡度</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水池喷泉</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大概形状、位置</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灯具</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实际形状、尺寸、位置、用途</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音箱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实际形状、尺寸、位置、用途</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绿化</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4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0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实际形状、尺寸、位置、用途</w:t>
            </w:r>
          </w:p>
        </w:tc>
        <w:tc>
          <w:tcPr>
            <w:tcW w:w="207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绿化形式、面积、数量、位置</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95"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8" w:name="_Toc13190"/>
      <w:r>
        <w:rPr>
          <w:color w:val="auto"/>
          <w:highlight w:val="none"/>
        </w:rPr>
        <w:t>8  照明专业</w:t>
      </w:r>
      <w:bookmarkEnd w:id="378"/>
    </w:p>
    <w:p>
      <w:pPr>
        <w:rPr>
          <w:color w:val="auto"/>
          <w:highlight w:val="none"/>
        </w:rPr>
      </w:pPr>
    </w:p>
    <w:tbl>
      <w:tblPr>
        <w:tblStyle w:val="63"/>
        <w:tblW w:w="13901" w:type="dxa"/>
        <w:tblInd w:w="111" w:type="dxa"/>
        <w:tblLayout w:type="fixed"/>
        <w:tblCellMar>
          <w:top w:w="0" w:type="dxa"/>
          <w:left w:w="0" w:type="dxa"/>
          <w:bottom w:w="0" w:type="dxa"/>
          <w:right w:w="0" w:type="dxa"/>
        </w:tblCellMar>
      </w:tblPr>
      <w:tblGrid>
        <w:gridCol w:w="1221"/>
        <w:gridCol w:w="568"/>
        <w:gridCol w:w="1335"/>
        <w:gridCol w:w="2427"/>
        <w:gridCol w:w="2185"/>
        <w:gridCol w:w="1680"/>
        <w:gridCol w:w="1875"/>
        <w:gridCol w:w="2610"/>
      </w:tblGrid>
      <w:tr>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电气</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室内照明</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位置、用户</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具体灯位、类型</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实际灯位、类型</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室外照明</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位置、用户</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具体灯位、类型</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实际灯位、类型</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配电箱</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大致配电箱尺寸、位置、功能</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精确配电箱尺寸、位置、功能</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实际配电箱尺寸、位置、功能</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设备型号、精确尺寸、编号、位置、用途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电线管</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无模型，成本或其他性能系可按单位楼面面积的某个数值计入</w:t>
            </w:r>
          </w:p>
        </w:tc>
        <w:tc>
          <w:tcPr>
            <w:tcW w:w="218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大概尺寸、位置、用途</w:t>
            </w:r>
          </w:p>
        </w:tc>
        <w:tc>
          <w:tcPr>
            <w:tcW w:w="168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精确尺寸、管材</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w:t>
            </w:r>
          </w:p>
        </w:tc>
        <w:tc>
          <w:tcPr>
            <w:tcW w:w="261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实际尺寸，管材，连接件最终尺寸，以及节点计入详细模型</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80"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79" w:name="_Toc30519"/>
      <w:r>
        <w:rPr>
          <w:color w:val="auto"/>
          <w:highlight w:val="none"/>
        </w:rPr>
        <w:t>9  标识系统</w:t>
      </w:r>
      <w:bookmarkEnd w:id="379"/>
    </w:p>
    <w:tbl>
      <w:tblPr>
        <w:tblStyle w:val="63"/>
        <w:tblW w:w="13886" w:type="dxa"/>
        <w:tblInd w:w="111" w:type="dxa"/>
        <w:tblLayout w:type="fixed"/>
        <w:tblCellMar>
          <w:top w:w="0" w:type="dxa"/>
          <w:left w:w="0" w:type="dxa"/>
          <w:bottom w:w="0" w:type="dxa"/>
          <w:right w:w="0" w:type="dxa"/>
        </w:tblCellMar>
      </w:tblPr>
      <w:tblGrid>
        <w:gridCol w:w="1221"/>
        <w:gridCol w:w="568"/>
        <w:gridCol w:w="1335"/>
        <w:gridCol w:w="2427"/>
        <w:gridCol w:w="2427"/>
        <w:gridCol w:w="2427"/>
        <w:gridCol w:w="1606"/>
        <w:gridCol w:w="1875"/>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1606"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1606"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标识</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室内标识</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1606"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精确尺寸，颜色</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加工实际尺寸，颜色</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室外标识</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无模型，成本或其他性能系可按单位楼面面积的某</w:t>
            </w:r>
          </w:p>
          <w:p>
            <w:pPr>
              <w:rPr>
                <w:color w:val="auto"/>
                <w:highlight w:val="none"/>
              </w:rPr>
            </w:pPr>
            <w:r>
              <w:rPr>
                <w:color w:val="auto"/>
                <w:highlight w:val="none"/>
              </w:rPr>
              <w:t>个数值计入</w:t>
            </w:r>
          </w:p>
        </w:tc>
        <w:tc>
          <w:tcPr>
            <w:tcW w:w="1606"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精确尺寸，颜色</w:t>
            </w:r>
          </w:p>
        </w:tc>
        <w:tc>
          <w:tcPr>
            <w:tcW w:w="187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加工实际尺寸，颜色</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65"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80" w:name="_Toc7828"/>
      <w:r>
        <w:rPr>
          <w:color w:val="auto"/>
          <w:highlight w:val="none"/>
        </w:rPr>
        <w:t>10  室内精装修专业</w:t>
      </w:r>
      <w:bookmarkEnd w:id="380"/>
    </w:p>
    <w:tbl>
      <w:tblPr>
        <w:tblStyle w:val="63"/>
        <w:tblW w:w="13901" w:type="dxa"/>
        <w:tblInd w:w="111" w:type="dxa"/>
        <w:tblLayout w:type="fixed"/>
        <w:tblCellMar>
          <w:top w:w="0" w:type="dxa"/>
          <w:left w:w="0" w:type="dxa"/>
          <w:bottom w:w="0" w:type="dxa"/>
          <w:right w:w="0" w:type="dxa"/>
        </w:tblCellMar>
      </w:tblPr>
      <w:tblGrid>
        <w:gridCol w:w="1221"/>
        <w:gridCol w:w="568"/>
        <w:gridCol w:w="1335"/>
        <w:gridCol w:w="2427"/>
        <w:gridCol w:w="2155"/>
        <w:gridCol w:w="2130"/>
        <w:gridCol w:w="2100"/>
        <w:gridCol w:w="1965"/>
      </w:tblGrid>
      <w:tr>
        <w:tblPrEx>
          <w:tblCellMar>
            <w:top w:w="0" w:type="dxa"/>
            <w:left w:w="0" w:type="dxa"/>
            <w:bottom w:w="0" w:type="dxa"/>
            <w:right w:w="0" w:type="dxa"/>
          </w:tblCellMar>
        </w:tblPrEx>
        <w:trPr>
          <w:cantSplit/>
          <w:trHeight w:val="454" w:hRule="atLeast"/>
          <w:tblHeader/>
        </w:trPr>
        <w:tc>
          <w:tcPr>
            <w:tcW w:w="1221" w:type="dxa"/>
            <w:vMerge w:val="restart"/>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专业</w:t>
            </w:r>
          </w:p>
        </w:tc>
        <w:tc>
          <w:tcPr>
            <w:tcW w:w="1903" w:type="dxa"/>
            <w:gridSpan w:val="2"/>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r>
              <w:rPr>
                <w:color w:val="auto"/>
                <w:highlight w:val="none"/>
              </w:rPr>
              <w:t>详细等级</w:t>
            </w:r>
          </w:p>
          <w:p>
            <w:pPr>
              <w:rPr>
                <w:color w:val="auto"/>
                <w:highlight w:val="none"/>
              </w:rPr>
            </w:pPr>
          </w:p>
          <w:p>
            <w:pPr>
              <w:rPr>
                <w:color w:val="auto"/>
                <w:highlight w:val="none"/>
              </w:rPr>
            </w:pPr>
            <w:r>
              <w:rPr>
                <w:color w:val="auto"/>
                <w:highlight w:val="none"/>
              </w:rPr>
              <w:t>子项</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LOD100</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LOD200</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LOD300</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LOD400</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LOD500</w:t>
            </w:r>
          </w:p>
        </w:tc>
      </w:tr>
      <w:tr>
        <w:tblPrEx>
          <w:tblCellMar>
            <w:top w:w="0" w:type="dxa"/>
            <w:left w:w="0" w:type="dxa"/>
            <w:bottom w:w="0" w:type="dxa"/>
            <w:right w:w="0" w:type="dxa"/>
          </w:tblCellMar>
        </w:tblPrEx>
        <w:trPr>
          <w:cantSplit/>
          <w:trHeight w:val="454" w:hRule="atLeast"/>
          <w:tblHeader/>
        </w:trPr>
        <w:tc>
          <w:tcPr>
            <w:tcW w:w="1221" w:type="dxa"/>
            <w:vMerge w:val="continue"/>
            <w:tcBorders>
              <w:top w:val="single" w:color="auto" w:sz="4" w:space="0"/>
              <w:left w:val="single" w:color="auto" w:sz="4" w:space="0"/>
              <w:bottom w:val="single" w:color="auto" w:sz="4" w:space="0"/>
              <w:right w:val="single" w:color="auto" w:sz="4" w:space="0"/>
            </w:tcBorders>
            <w:textDirection w:val="tbRl"/>
            <w:vAlign w:val="center"/>
          </w:tcPr>
          <w:p>
            <w:pPr>
              <w:rPr>
                <w:color w:val="auto"/>
                <w:highlight w:val="none"/>
              </w:rPr>
            </w:pPr>
          </w:p>
        </w:tc>
        <w:tc>
          <w:tcPr>
            <w:tcW w:w="1903" w:type="dxa"/>
            <w:gridSpan w:val="2"/>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rPr>
                <w:color w:val="auto"/>
                <w:highlight w:val="none"/>
              </w:rPr>
            </w:pP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方案设计模型</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扩初设计模型(扩初图纸）</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施工图模型</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施工深化模型</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竣工模型</w:t>
            </w:r>
          </w:p>
        </w:tc>
      </w:tr>
      <w:tr>
        <w:tblPrEx>
          <w:tblCellMar>
            <w:top w:w="0" w:type="dxa"/>
            <w:left w:w="0" w:type="dxa"/>
            <w:bottom w:w="0" w:type="dxa"/>
            <w:right w:w="0" w:type="dxa"/>
          </w:tblCellMar>
        </w:tblPrEx>
        <w:trPr>
          <w:cantSplit/>
          <w:trHeight w:val="454" w:hRule="atLeast"/>
        </w:trPr>
        <w:tc>
          <w:tcPr>
            <w:tcW w:w="1221" w:type="dxa"/>
            <w:vMerge w:val="restart"/>
            <w:tcBorders>
              <w:top w:val="single" w:color="auto" w:sz="4" w:space="0"/>
              <w:left w:val="single" w:color="auto" w:sz="4" w:space="0"/>
              <w:right w:val="single" w:color="auto" w:sz="4" w:space="0"/>
            </w:tcBorders>
            <w:vAlign w:val="center"/>
          </w:tcPr>
          <w:p>
            <w:pPr>
              <w:rPr>
                <w:color w:val="auto"/>
                <w:highlight w:val="none"/>
              </w:rPr>
            </w:pPr>
            <w:r>
              <w:rPr>
                <w:rFonts w:hint="eastAsia"/>
                <w:color w:val="auto"/>
                <w:highlight w:val="none"/>
              </w:rPr>
              <w:t>室内精装修</w:t>
            </w: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001</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卫生间（卫生洁具、水池、台、柜）</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002</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固定家具（主要为碰撞检查分析）</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003</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吊顶（龙骨、</w:t>
            </w:r>
          </w:p>
          <w:p>
            <w:pPr>
              <w:rPr>
                <w:color w:val="auto"/>
                <w:highlight w:val="none"/>
              </w:rPr>
            </w:pPr>
            <w:r>
              <w:rPr>
                <w:color w:val="auto"/>
                <w:highlight w:val="none"/>
              </w:rPr>
              <w:t>灯具、风口、烟感、喷淋、广播、检修口）</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004</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电气开关插座定位</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005</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隔断</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006</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地面（示意性拼花、材料）</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007</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墙面（插座、开关、通讯、空调控制器、消防操控按钮、安全出口指示、机电末</w:t>
            </w:r>
          </w:p>
          <w:p>
            <w:pPr>
              <w:rPr>
                <w:color w:val="auto"/>
                <w:highlight w:val="none"/>
              </w:rPr>
            </w:pPr>
            <w:r>
              <w:rPr>
                <w:color w:val="auto"/>
                <w:highlight w:val="none"/>
              </w:rPr>
              <w:t>端）</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实际形状、位置、尺寸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right w:val="single" w:color="auto" w:sz="4" w:space="0"/>
            </w:tcBorders>
            <w:textDirection w:val="tbRl"/>
            <w:vAlign w:val="center"/>
          </w:tcPr>
          <w:p>
            <w:pPr>
              <w:rPr>
                <w:color w:val="auto"/>
                <w:highlight w:val="none"/>
              </w:rPr>
            </w:pPr>
          </w:p>
        </w:tc>
        <w:tc>
          <w:tcPr>
            <w:tcW w:w="568"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008</w:t>
            </w:r>
          </w:p>
        </w:tc>
        <w:tc>
          <w:tcPr>
            <w:tcW w:w="133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门窗精确定位</w:t>
            </w:r>
          </w:p>
        </w:tc>
        <w:tc>
          <w:tcPr>
            <w:tcW w:w="2427"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非几何数据，仅线、面积。</w:t>
            </w:r>
          </w:p>
        </w:tc>
        <w:tc>
          <w:tcPr>
            <w:tcW w:w="215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类似形状、大概尺寸、位置、用途</w:t>
            </w:r>
          </w:p>
        </w:tc>
        <w:tc>
          <w:tcPr>
            <w:tcW w:w="213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2100"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精确形状、位置、尺寸</w:t>
            </w:r>
          </w:p>
        </w:tc>
        <w:tc>
          <w:tcPr>
            <w:tcW w:w="1965" w:type="dxa"/>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color w:val="auto"/>
                <w:highlight w:val="none"/>
              </w:rPr>
              <w:t>厂家、型号、精确</w:t>
            </w:r>
          </w:p>
          <w:p>
            <w:pPr>
              <w:rPr>
                <w:color w:val="auto"/>
                <w:highlight w:val="none"/>
              </w:rPr>
            </w:pPr>
            <w:r>
              <w:rPr>
                <w:color w:val="auto"/>
                <w:highlight w:val="none"/>
              </w:rPr>
              <w:t>尺寸、编号、位置、用途</w:t>
            </w:r>
          </w:p>
        </w:tc>
      </w:tr>
      <w:tr>
        <w:tblPrEx>
          <w:tblCellMar>
            <w:top w:w="0" w:type="dxa"/>
            <w:left w:w="0" w:type="dxa"/>
            <w:bottom w:w="0" w:type="dxa"/>
            <w:right w:w="0" w:type="dxa"/>
          </w:tblCellMar>
        </w:tblPrEx>
        <w:trPr>
          <w:cantSplit/>
          <w:trHeight w:val="454" w:hRule="atLeast"/>
        </w:trPr>
        <w:tc>
          <w:tcPr>
            <w:tcW w:w="1221" w:type="dxa"/>
            <w:vMerge w:val="continue"/>
            <w:tcBorders>
              <w:left w:val="single" w:color="auto" w:sz="4" w:space="0"/>
              <w:bottom w:val="single" w:color="auto" w:sz="4" w:space="0"/>
              <w:right w:val="single" w:color="auto" w:sz="4" w:space="0"/>
            </w:tcBorders>
            <w:textDirection w:val="tbRl"/>
            <w:vAlign w:val="center"/>
          </w:tcPr>
          <w:p>
            <w:pPr>
              <w:rPr>
                <w:color w:val="auto"/>
                <w:highlight w:val="none"/>
              </w:rPr>
            </w:pPr>
          </w:p>
        </w:tc>
        <w:tc>
          <w:tcPr>
            <w:tcW w:w="12680" w:type="dxa"/>
            <w:gridSpan w:val="7"/>
            <w:tcBorders>
              <w:top w:val="single" w:color="auto" w:sz="4" w:space="0"/>
              <w:left w:val="single" w:color="auto" w:sz="4" w:space="0"/>
              <w:bottom w:val="single" w:color="auto" w:sz="4" w:space="0"/>
              <w:right w:val="single" w:color="auto" w:sz="4" w:space="0"/>
            </w:tcBorders>
            <w:vAlign w:val="center"/>
          </w:tcPr>
          <w:p>
            <w:pPr>
              <w:rPr>
                <w:color w:val="auto"/>
                <w:highlight w:val="none"/>
              </w:rPr>
            </w:pPr>
            <w:r>
              <w:rPr>
                <w:rFonts w:hint="eastAsia"/>
                <w:color w:val="auto"/>
                <w:highlight w:val="none"/>
              </w:rPr>
              <w:t>注：上述模型精度要求仅作参考，具体精度内容应参考相关合同、行业标准、地方标准的要求。</w:t>
            </w:r>
          </w:p>
        </w:tc>
      </w:tr>
    </w:tbl>
    <w:p>
      <w:pPr>
        <w:rPr>
          <w:color w:val="auto"/>
          <w:highlight w:val="none"/>
        </w:rPr>
        <w:sectPr>
          <w:pgSz w:w="16838" w:h="11905" w:orient="landscape"/>
          <w:pgMar w:top="1417" w:right="1417" w:bottom="1417" w:left="1417" w:header="720" w:footer="680" w:gutter="0"/>
          <w:cols w:space="720" w:num="1"/>
          <w:titlePg/>
        </w:sectPr>
      </w:pPr>
    </w:p>
    <w:p>
      <w:pPr>
        <w:rPr>
          <w:color w:val="auto"/>
          <w:highlight w:val="none"/>
        </w:rPr>
      </w:pPr>
      <w:bookmarkStart w:id="381" w:name="_bookmark44"/>
      <w:bookmarkEnd w:id="381"/>
      <w:bookmarkStart w:id="382" w:name="_Toc62460213"/>
      <w:bookmarkStart w:id="383" w:name="_Toc4385"/>
      <w:r>
        <w:rPr>
          <w:color w:val="auto"/>
          <w:highlight w:val="none"/>
        </w:rPr>
        <w:t>附表4  项目各阶段BIM实施应用点</w:t>
      </w:r>
      <w:bookmarkEnd w:id="382"/>
      <w:bookmarkEnd w:id="383"/>
    </w:p>
    <w:tbl>
      <w:tblPr>
        <w:tblStyle w:val="63"/>
        <w:tblW w:w="90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2"/>
        <w:gridCol w:w="2534"/>
        <w:gridCol w:w="5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Align w:val="center"/>
          </w:tcPr>
          <w:p>
            <w:pPr>
              <w:rPr>
                <w:color w:val="auto"/>
                <w:highlight w:val="none"/>
              </w:rPr>
            </w:pPr>
            <w:r>
              <w:rPr>
                <w:color w:val="auto"/>
                <w:highlight w:val="none"/>
              </w:rPr>
              <w:t>阶段</w:t>
            </w:r>
          </w:p>
        </w:tc>
        <w:tc>
          <w:tcPr>
            <w:tcW w:w="2534" w:type="dxa"/>
            <w:vAlign w:val="center"/>
          </w:tcPr>
          <w:p>
            <w:pPr>
              <w:rPr>
                <w:color w:val="auto"/>
                <w:highlight w:val="none"/>
              </w:rPr>
            </w:pPr>
            <w:r>
              <w:rPr>
                <w:color w:val="auto"/>
                <w:highlight w:val="none"/>
              </w:rPr>
              <w:t>应用点</w:t>
            </w:r>
          </w:p>
        </w:tc>
        <w:tc>
          <w:tcPr>
            <w:tcW w:w="5600" w:type="dxa"/>
            <w:vAlign w:val="center"/>
          </w:tcPr>
          <w:p>
            <w:pPr>
              <w:rPr>
                <w:color w:val="auto"/>
                <w:highlight w:val="none"/>
              </w:rPr>
            </w:pPr>
            <w:r>
              <w:rPr>
                <w:color w:val="auto"/>
                <w:highlight w:val="none"/>
              </w:rPr>
              <w:t>实施内容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restart"/>
            <w:vAlign w:val="center"/>
          </w:tcPr>
          <w:p>
            <w:pPr>
              <w:rPr>
                <w:color w:val="auto"/>
                <w:highlight w:val="none"/>
              </w:rPr>
            </w:pPr>
            <w:r>
              <w:rPr>
                <w:color w:val="auto"/>
                <w:highlight w:val="none"/>
              </w:rPr>
              <w:t>方案配合及建筑施工图设计阶段</w:t>
            </w:r>
          </w:p>
        </w:tc>
        <w:tc>
          <w:tcPr>
            <w:tcW w:w="2534" w:type="dxa"/>
            <w:vAlign w:val="center"/>
          </w:tcPr>
          <w:p>
            <w:pPr>
              <w:rPr>
                <w:color w:val="auto"/>
                <w:highlight w:val="none"/>
              </w:rPr>
            </w:pPr>
            <w:r>
              <w:rPr>
                <w:color w:val="auto"/>
                <w:highlight w:val="none"/>
              </w:rPr>
              <w:t>全专业可视化建筑BIM</w:t>
            </w:r>
          </w:p>
          <w:p>
            <w:pPr>
              <w:rPr>
                <w:color w:val="auto"/>
                <w:highlight w:val="none"/>
              </w:rPr>
            </w:pPr>
            <w:r>
              <w:rPr>
                <w:color w:val="auto"/>
                <w:highlight w:val="none"/>
              </w:rPr>
              <w:t>设计</w:t>
            </w:r>
          </w:p>
        </w:tc>
        <w:tc>
          <w:tcPr>
            <w:tcW w:w="5600" w:type="dxa"/>
            <w:vAlign w:val="center"/>
          </w:tcPr>
          <w:p>
            <w:pPr>
              <w:rPr>
                <w:color w:val="auto"/>
                <w:highlight w:val="none"/>
              </w:rPr>
            </w:pPr>
            <w:r>
              <w:rPr>
                <w:color w:val="auto"/>
                <w:highlight w:val="none"/>
              </w:rPr>
              <w:t>利用三维可视化BIM平台，进行全过程设计工作，并且通过BIM平台完成全专业的建筑施工图设计工作。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建筑性能分析</w:t>
            </w:r>
          </w:p>
        </w:tc>
        <w:tc>
          <w:tcPr>
            <w:tcW w:w="5600" w:type="dxa"/>
            <w:vAlign w:val="center"/>
          </w:tcPr>
          <w:p>
            <w:pPr>
              <w:rPr>
                <w:color w:val="auto"/>
                <w:highlight w:val="none"/>
              </w:rPr>
            </w:pPr>
            <w:r>
              <w:rPr>
                <w:color w:val="auto"/>
                <w:highlight w:val="none"/>
              </w:rPr>
              <w:t>利用设计阶段BIM模型进行太阳辐射分析、日照分析、风环境分析、交通分析、疏散模拟、荷载分析、等工作，配合确定相关设计方案。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参数化设计</w:t>
            </w:r>
          </w:p>
        </w:tc>
        <w:tc>
          <w:tcPr>
            <w:tcW w:w="5600" w:type="dxa"/>
            <w:vAlign w:val="center"/>
          </w:tcPr>
          <w:p>
            <w:pPr>
              <w:rPr>
                <w:color w:val="auto"/>
                <w:highlight w:val="none"/>
              </w:rPr>
            </w:pPr>
            <w:r>
              <w:rPr>
                <w:color w:val="auto"/>
                <w:highlight w:val="none"/>
              </w:rPr>
              <w:t>在设计过程同步对BIM模型构件添加参数信息，例如设备尺寸参数、造价信息、运维信息等。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设计资源整合</w:t>
            </w:r>
          </w:p>
        </w:tc>
        <w:tc>
          <w:tcPr>
            <w:tcW w:w="5600" w:type="dxa"/>
            <w:vAlign w:val="center"/>
          </w:tcPr>
          <w:p>
            <w:pPr>
              <w:rPr>
                <w:color w:val="auto"/>
                <w:highlight w:val="none"/>
              </w:rPr>
            </w:pPr>
            <w:r>
              <w:rPr>
                <w:color w:val="auto"/>
                <w:highlight w:val="none"/>
              </w:rPr>
              <w:t>整合协调各专项设计单位的设计资源，并集成至BIM设计模型中。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restart"/>
            <w:vAlign w:val="center"/>
          </w:tcPr>
          <w:p>
            <w:pPr>
              <w:rPr>
                <w:color w:val="auto"/>
                <w:highlight w:val="none"/>
              </w:rPr>
            </w:pPr>
            <w:r>
              <w:rPr>
                <w:color w:val="auto"/>
                <w:highlight w:val="none"/>
              </w:rPr>
              <w:t>施工阶段</w:t>
            </w:r>
          </w:p>
        </w:tc>
        <w:tc>
          <w:tcPr>
            <w:tcW w:w="2534" w:type="dxa"/>
            <w:vAlign w:val="center"/>
          </w:tcPr>
          <w:p>
            <w:pPr>
              <w:rPr>
                <w:color w:val="auto"/>
                <w:highlight w:val="none"/>
              </w:rPr>
            </w:pPr>
            <w:r>
              <w:rPr>
                <w:color w:val="auto"/>
                <w:highlight w:val="none"/>
              </w:rPr>
              <w:t>施工过程临设模型搭建及更新</w:t>
            </w:r>
          </w:p>
        </w:tc>
        <w:tc>
          <w:tcPr>
            <w:tcW w:w="5600" w:type="dxa"/>
            <w:vAlign w:val="center"/>
          </w:tcPr>
          <w:p>
            <w:pPr>
              <w:rPr>
                <w:color w:val="auto"/>
                <w:highlight w:val="none"/>
              </w:rPr>
            </w:pPr>
            <w:r>
              <w:rPr>
                <w:color w:val="auto"/>
                <w:highlight w:val="none"/>
              </w:rPr>
              <w:t>将施工各个阶段的临设建筑、施工机具、施工区域作为BIM施工阶段实施内容，进行施工过程中场地、施工区域、临时机械及设施的管理。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三维管线综合深化设计</w:t>
            </w:r>
          </w:p>
        </w:tc>
        <w:tc>
          <w:tcPr>
            <w:tcW w:w="5600" w:type="dxa"/>
            <w:vAlign w:val="center"/>
          </w:tcPr>
          <w:p>
            <w:pPr>
              <w:rPr>
                <w:color w:val="auto"/>
                <w:highlight w:val="none"/>
              </w:rPr>
            </w:pPr>
            <w:r>
              <w:rPr>
                <w:color w:val="auto"/>
                <w:highlight w:val="none"/>
              </w:rPr>
              <w:t>对设计阶段的BIM模型进行施工管线综合优化，并考虑施工可行性、后期维护等因素使BIM模型达到可指导施工精度。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全程工程变更复核更新</w:t>
            </w:r>
          </w:p>
        </w:tc>
        <w:tc>
          <w:tcPr>
            <w:tcW w:w="5600" w:type="dxa"/>
            <w:vAlign w:val="center"/>
          </w:tcPr>
          <w:p>
            <w:pPr>
              <w:rPr>
                <w:color w:val="auto"/>
                <w:highlight w:val="none"/>
              </w:rPr>
            </w:pPr>
            <w:r>
              <w:rPr>
                <w:color w:val="auto"/>
                <w:highlight w:val="none"/>
              </w:rPr>
              <w:t>将设计单位设计签认的设计变更类文件及图纸，随时跟踪进行模型更新。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施工安装模拟</w:t>
            </w:r>
          </w:p>
        </w:tc>
        <w:tc>
          <w:tcPr>
            <w:tcW w:w="5600" w:type="dxa"/>
            <w:vAlign w:val="center"/>
          </w:tcPr>
          <w:p>
            <w:pPr>
              <w:rPr>
                <w:color w:val="auto"/>
                <w:highlight w:val="none"/>
              </w:rPr>
            </w:pPr>
            <w:r>
              <w:rPr>
                <w:color w:val="auto"/>
                <w:highlight w:val="none"/>
              </w:rPr>
              <w:t>基于综合优化后BIM模型，对工程施工重点部位进行施工工序及工艺模拟。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辅助工程量统计</w:t>
            </w:r>
          </w:p>
        </w:tc>
        <w:tc>
          <w:tcPr>
            <w:tcW w:w="5600" w:type="dxa"/>
            <w:vAlign w:val="center"/>
          </w:tcPr>
          <w:p>
            <w:pPr>
              <w:rPr>
                <w:color w:val="auto"/>
                <w:highlight w:val="none"/>
              </w:rPr>
            </w:pPr>
            <w:r>
              <w:rPr>
                <w:color w:val="auto"/>
                <w:highlight w:val="none"/>
              </w:rPr>
              <w:t>在已有的模型深度和精度范围内，直接计量BIM模型内的工程量。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工程档案管理</w:t>
            </w:r>
          </w:p>
        </w:tc>
        <w:tc>
          <w:tcPr>
            <w:tcW w:w="5600" w:type="dxa"/>
            <w:vAlign w:val="center"/>
          </w:tcPr>
          <w:p>
            <w:pPr>
              <w:rPr>
                <w:color w:val="auto"/>
                <w:highlight w:val="none"/>
              </w:rPr>
            </w:pPr>
            <w:r>
              <w:rPr>
                <w:color w:val="auto"/>
                <w:highlight w:val="none"/>
              </w:rPr>
              <w:t>建立BIM信息电子工程档案资料库，将构建（设备）、资料一一对应，统一存档。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Merge w:val="continue"/>
            <w:vAlign w:val="center"/>
          </w:tcPr>
          <w:p>
            <w:pPr>
              <w:rPr>
                <w:color w:val="auto"/>
                <w:highlight w:val="none"/>
              </w:rPr>
            </w:pPr>
          </w:p>
        </w:tc>
        <w:tc>
          <w:tcPr>
            <w:tcW w:w="2534" w:type="dxa"/>
            <w:vAlign w:val="center"/>
          </w:tcPr>
          <w:p>
            <w:pPr>
              <w:rPr>
                <w:color w:val="auto"/>
                <w:highlight w:val="none"/>
              </w:rPr>
            </w:pPr>
            <w:r>
              <w:rPr>
                <w:color w:val="auto"/>
                <w:highlight w:val="none"/>
              </w:rPr>
              <w:t>竣工模型整合</w:t>
            </w:r>
          </w:p>
        </w:tc>
        <w:tc>
          <w:tcPr>
            <w:tcW w:w="5600" w:type="dxa"/>
            <w:vAlign w:val="center"/>
          </w:tcPr>
          <w:p>
            <w:pPr>
              <w:rPr>
                <w:color w:val="auto"/>
                <w:highlight w:val="none"/>
              </w:rPr>
            </w:pPr>
            <w:r>
              <w:rPr>
                <w:color w:val="auto"/>
                <w:highlight w:val="none"/>
              </w:rPr>
              <w:t>接收并整合承包商提交竣工模型，并检查其是否符合要求。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2" w:type="dxa"/>
            <w:vAlign w:val="center"/>
          </w:tcPr>
          <w:p>
            <w:pPr>
              <w:rPr>
                <w:color w:val="auto"/>
                <w:highlight w:val="none"/>
              </w:rPr>
            </w:pPr>
            <w:r>
              <w:rPr>
                <w:color w:val="auto"/>
                <w:highlight w:val="none"/>
              </w:rPr>
              <w:t>运营维</w:t>
            </w:r>
          </w:p>
          <w:p>
            <w:pPr>
              <w:rPr>
                <w:color w:val="auto"/>
                <w:highlight w:val="none"/>
              </w:rPr>
            </w:pPr>
            <w:r>
              <w:rPr>
                <w:color w:val="auto"/>
                <w:highlight w:val="none"/>
              </w:rPr>
              <w:t>护阶段</w:t>
            </w:r>
          </w:p>
        </w:tc>
        <w:tc>
          <w:tcPr>
            <w:tcW w:w="2534" w:type="dxa"/>
            <w:vAlign w:val="center"/>
          </w:tcPr>
          <w:p>
            <w:pPr>
              <w:rPr>
                <w:color w:val="auto"/>
                <w:highlight w:val="none"/>
              </w:rPr>
            </w:pPr>
            <w:r>
              <w:rPr>
                <w:color w:val="auto"/>
                <w:highlight w:val="none"/>
              </w:rPr>
              <w:t>运维信息集成及交付</w:t>
            </w:r>
          </w:p>
        </w:tc>
        <w:tc>
          <w:tcPr>
            <w:tcW w:w="5600" w:type="dxa"/>
            <w:vAlign w:val="center"/>
          </w:tcPr>
          <w:p>
            <w:pPr>
              <w:rPr>
                <w:color w:val="auto"/>
                <w:highlight w:val="none"/>
              </w:rPr>
            </w:pPr>
            <w:r>
              <w:rPr>
                <w:color w:val="auto"/>
                <w:highlight w:val="none"/>
              </w:rPr>
              <w:t>根据项目运维的实际需求，在竣工模型的基础上，录入集成相关物业运营维护信息，交付至运营方进行后期运用。</w:t>
            </w:r>
          </w:p>
        </w:tc>
      </w:tr>
    </w:tbl>
    <w:p>
      <w:pPr>
        <w:rPr>
          <w:color w:val="auto"/>
          <w:highlight w:val="none"/>
        </w:rPr>
      </w:pP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84" w:name="_Toc32706"/>
      <w:bookmarkStart w:id="385" w:name="_Toc62460214"/>
      <w:r>
        <w:rPr>
          <w:color w:val="auto"/>
          <w:highlight w:val="none"/>
        </w:rPr>
        <w:t>附表5  项目BIM团队工作职责</w:t>
      </w:r>
      <w:bookmarkEnd w:id="384"/>
      <w:bookmarkEnd w:id="385"/>
    </w:p>
    <w:tbl>
      <w:tblPr>
        <w:tblStyle w:val="63"/>
        <w:tblW w:w="8955" w:type="dxa"/>
        <w:tblInd w:w="101" w:type="dxa"/>
        <w:tblLayout w:type="fixed"/>
        <w:tblCellMar>
          <w:top w:w="0" w:type="dxa"/>
          <w:left w:w="0" w:type="dxa"/>
          <w:bottom w:w="0" w:type="dxa"/>
          <w:right w:w="0" w:type="dxa"/>
        </w:tblCellMar>
      </w:tblPr>
      <w:tblGrid>
        <w:gridCol w:w="2117"/>
        <w:gridCol w:w="6838"/>
      </w:tblGrid>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团队名称</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BIM总协调团队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详见</w:t>
            </w:r>
            <w:r>
              <w:rPr>
                <w:rFonts w:hint="eastAsia"/>
                <w:color w:val="auto"/>
                <w:highlight w:val="none"/>
              </w:rPr>
              <w:t>“</w:t>
            </w:r>
            <w:r>
              <w:rPr>
                <w:color w:val="auto"/>
                <w:highlight w:val="none"/>
              </w:rPr>
              <w:t>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BIM总承包团队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详见“5.2各参与方工作职责”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监理BIM团队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详见“5.2各参与方工作职责”</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土建BIM团队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接收自身合同范围内的施工图设计模型、进行必要的校核和调整，完善成为施工深</w:t>
            </w:r>
          </w:p>
          <w:p>
            <w:pPr>
              <w:rPr>
                <w:color w:val="auto"/>
                <w:highlight w:val="none"/>
              </w:rPr>
            </w:pPr>
            <w:r>
              <w:rPr>
                <w:color w:val="auto"/>
                <w:highlight w:val="none"/>
              </w:rPr>
              <w:t>化模型，并利用BIM解决可能存在的设计问题、碰撞、优化、施工关键工艺等，并进行校核和调整，配合BIM总协调团队完成相关BIM工作。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机电BIM团队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基于施工图设计模型等资料，检查各个机电专业间综合管线碰撞的同时，符合整体管线净高，并进行必要的复核和调整，向总包BIM团队提交相关碰撞检测报告、机电管线综合报告，利用BIM技术进行项目实施管控，根据项目实施进展录入机电安装信息参数，配合BIM总协调团队完成相关BIM工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其他BIM团队</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作为本项目的专业承包单位，负责合同范围内的BIM模型建立和维护工作。对总承包单位提供的BIM模型进行深化、更新和维护，利用BIM模型指导实际施工，配合总承包单位的BIM工作，并提供BIM应用成果。</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材料设备供应商</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提供材料信息及设备BIM构件模型，提供的BIM构件模型应该包含的材料设备参数及信息。</w:t>
            </w:r>
          </w:p>
        </w:tc>
      </w:tr>
      <w:tr>
        <w:tblPrEx>
          <w:tblCellMar>
            <w:top w:w="0" w:type="dxa"/>
            <w:left w:w="0" w:type="dxa"/>
            <w:bottom w:w="0" w:type="dxa"/>
            <w:right w:w="0" w:type="dxa"/>
          </w:tblCellMar>
        </w:tblPrEx>
        <w:trPr>
          <w:trHeight w:val="454" w:hRule="atLeast"/>
        </w:trPr>
        <w:tc>
          <w:tcPr>
            <w:tcW w:w="2117"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造价咨询单位</w:t>
            </w:r>
          </w:p>
        </w:tc>
        <w:tc>
          <w:tcPr>
            <w:tcW w:w="683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利用BIM技术辅助进行工程概算、预算及竣工结算工作。在出现变更时，运用BIM技术进行变更前后造价对比。</w:t>
            </w:r>
          </w:p>
        </w:tc>
      </w:tr>
    </w:tbl>
    <w:p>
      <w:pPr>
        <w:rPr>
          <w:color w:val="auto"/>
          <w:highlight w:val="none"/>
        </w:rPr>
        <w:sectPr>
          <w:pgSz w:w="11905" w:h="16838"/>
          <w:pgMar w:top="1417" w:right="1417" w:bottom="1417" w:left="1417" w:header="720" w:footer="680" w:gutter="0"/>
          <w:cols w:space="720" w:num="1"/>
          <w:titlePg/>
        </w:sectPr>
      </w:pPr>
      <w:bookmarkStart w:id="386" w:name="_bookmark46"/>
      <w:bookmarkEnd w:id="386"/>
    </w:p>
    <w:p>
      <w:pPr>
        <w:rPr>
          <w:color w:val="auto"/>
          <w:highlight w:val="none"/>
        </w:rPr>
      </w:pPr>
      <w:bookmarkStart w:id="387" w:name="_Toc62460215"/>
      <w:bookmarkStart w:id="388" w:name="_Toc8308"/>
      <w:r>
        <w:rPr>
          <w:color w:val="auto"/>
          <w:highlight w:val="none"/>
        </w:rPr>
        <w:t>附表6  BIM实施计划及工作内容</w:t>
      </w:r>
      <w:bookmarkEnd w:id="387"/>
      <w:bookmarkEnd w:id="388"/>
    </w:p>
    <w:tbl>
      <w:tblPr>
        <w:tblStyle w:val="63"/>
        <w:tblW w:w="9026" w:type="dxa"/>
        <w:tblInd w:w="0" w:type="dxa"/>
        <w:tblLayout w:type="fixed"/>
        <w:tblCellMar>
          <w:top w:w="0" w:type="dxa"/>
          <w:left w:w="0" w:type="dxa"/>
          <w:bottom w:w="0" w:type="dxa"/>
          <w:right w:w="0" w:type="dxa"/>
        </w:tblCellMar>
      </w:tblPr>
      <w:tblGrid>
        <w:gridCol w:w="985"/>
        <w:gridCol w:w="780"/>
        <w:gridCol w:w="2722"/>
        <w:gridCol w:w="2261"/>
        <w:gridCol w:w="1198"/>
        <w:gridCol w:w="1080"/>
      </w:tblGrid>
      <w:tr>
        <w:tblPrEx>
          <w:tblCellMar>
            <w:top w:w="0" w:type="dxa"/>
            <w:left w:w="0" w:type="dxa"/>
            <w:bottom w:w="0" w:type="dxa"/>
            <w:right w:w="0" w:type="dxa"/>
          </w:tblCellMar>
        </w:tblPrEx>
        <w:trPr>
          <w:trHeight w:val="454" w:hRule="atLeast"/>
        </w:trPr>
        <w:tc>
          <w:tcPr>
            <w:tcW w:w="985"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阶段</w:t>
            </w: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序号</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任务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实施方</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时间计划</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备注</w:t>
            </w: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准备</w:t>
            </w: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制定施工阶段BIM实施目标</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代建局</w:t>
            </w:r>
            <w:r>
              <w:rPr>
                <w:rFonts w:hint="eastAsia"/>
                <w:color w:val="auto"/>
                <w:highlight w:val="none"/>
              </w:rPr>
              <w:t>项目建设管理部、</w:t>
            </w:r>
          </w:p>
          <w:p>
            <w:pPr>
              <w:rPr>
                <w:color w:val="auto"/>
                <w:highlight w:val="none"/>
              </w:rPr>
            </w:pPr>
            <w:r>
              <w:rPr>
                <w:color w:val="auto"/>
                <w:highlight w:val="none"/>
              </w:rPr>
              <w:t>BIM总协调</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制定施工阶段实施详细分工计划</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BIM总协调与各承建单位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组建BIM团队</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建立BIM实施环境</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BIM总协调与各承建单位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权限分配软硬件配置</w:t>
            </w: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5</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设计模型会审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设计单位与各承建单位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深化设计</w:t>
            </w: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土建深化设计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总包单位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机电深化设计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机电分包</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钢构深化设计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钢构分包</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幕墙深化设计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幕墙分包</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5</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其他专业分包深化设计</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其他专业分包</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施工组织优化</w:t>
            </w: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施工布置模拟优化</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总包单位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施工进度模拟优化</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重难点施工模拟优化</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w:t>
            </w:r>
          </w:p>
          <w:p>
            <w:pPr>
              <w:rPr>
                <w:color w:val="auto"/>
                <w:highlight w:val="none"/>
              </w:rPr>
            </w:pPr>
            <w:r>
              <w:rPr>
                <w:color w:val="auto"/>
                <w:highlight w:val="none"/>
              </w:rPr>
              <w:t>过程管理</w:t>
            </w: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1</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现场变更管理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设计单位与各承建单位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全阶段实施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质量管理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全阶段实施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3</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过程管理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全阶段实施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4</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安全管理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全阶段实施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5</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信息管理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全阶段实施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6</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造价管理</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各承建单位与造价咨询单位</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根据节点实施</w:t>
            </w: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restart"/>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竣工</w:t>
            </w:r>
          </w:p>
          <w:p>
            <w:pPr>
              <w:rPr>
                <w:color w:val="auto"/>
                <w:highlight w:val="none"/>
              </w:rPr>
            </w:pPr>
            <w:r>
              <w:rPr>
                <w:color w:val="auto"/>
                <w:highlight w:val="none"/>
              </w:rPr>
              <w:t>模型管理</w:t>
            </w:r>
          </w:p>
        </w:tc>
        <w:tc>
          <w:tcPr>
            <w:tcW w:w="780"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1</w:t>
            </w:r>
          </w:p>
        </w:tc>
        <w:tc>
          <w:tcPr>
            <w:tcW w:w="2722"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竣工模型验收</w:t>
            </w:r>
          </w:p>
        </w:tc>
        <w:tc>
          <w:tcPr>
            <w:tcW w:w="2261" w:type="dxa"/>
            <w:tcBorders>
              <w:top w:val="single" w:color="000000" w:sz="4" w:space="0"/>
              <w:left w:val="single" w:color="000000" w:sz="4" w:space="0"/>
              <w:right w:val="single" w:color="000000" w:sz="4" w:space="0"/>
            </w:tcBorders>
            <w:vAlign w:val="center"/>
          </w:tcPr>
          <w:p>
            <w:pPr>
              <w:rPr>
                <w:color w:val="auto"/>
                <w:highlight w:val="none"/>
              </w:rPr>
            </w:pPr>
            <w:r>
              <w:rPr>
                <w:color w:val="auto"/>
                <w:highlight w:val="none"/>
              </w:rPr>
              <w:t>BIM总协调与各承建</w:t>
            </w:r>
          </w:p>
          <w:p>
            <w:pPr>
              <w:rPr>
                <w:color w:val="auto"/>
                <w:highlight w:val="none"/>
              </w:rPr>
            </w:pPr>
            <w:r>
              <w:rPr>
                <w:color w:val="auto"/>
                <w:highlight w:val="none"/>
              </w:rPr>
              <w:t>单位</w:t>
            </w:r>
          </w:p>
        </w:tc>
        <w:tc>
          <w:tcPr>
            <w:tcW w:w="1198" w:type="dxa"/>
            <w:tcBorders>
              <w:top w:val="single" w:color="000000" w:sz="4" w:space="0"/>
              <w:left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right w:val="single" w:color="000000" w:sz="4" w:space="0"/>
            </w:tcBorders>
            <w:vAlign w:val="center"/>
          </w:tcPr>
          <w:p>
            <w:pPr>
              <w:rPr>
                <w:color w:val="auto"/>
                <w:highlight w:val="none"/>
              </w:rPr>
            </w:pPr>
          </w:p>
        </w:tc>
      </w:tr>
      <w:tr>
        <w:tblPrEx>
          <w:tblCellMar>
            <w:top w:w="0" w:type="dxa"/>
            <w:left w:w="0" w:type="dxa"/>
            <w:bottom w:w="0" w:type="dxa"/>
            <w:right w:w="0" w:type="dxa"/>
          </w:tblCellMar>
        </w:tblPrEx>
        <w:trPr>
          <w:trHeight w:val="454" w:hRule="atLeast"/>
        </w:trPr>
        <w:tc>
          <w:tcPr>
            <w:tcW w:w="985" w:type="dxa"/>
            <w:vMerge w:val="continue"/>
            <w:tcBorders>
              <w:left w:val="single" w:color="000000" w:sz="4" w:space="0"/>
              <w:bottom w:val="single" w:color="000000" w:sz="4" w:space="0"/>
              <w:right w:val="single" w:color="000000" w:sz="4" w:space="0"/>
            </w:tcBorders>
            <w:vAlign w:val="center"/>
          </w:tcPr>
          <w:p>
            <w:pPr>
              <w:rPr>
                <w:color w:val="auto"/>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2</w:t>
            </w:r>
          </w:p>
        </w:tc>
        <w:tc>
          <w:tcPr>
            <w:tcW w:w="2722"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竣工模型成果交付</w:t>
            </w:r>
          </w:p>
        </w:tc>
        <w:tc>
          <w:tcPr>
            <w:tcW w:w="2261"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r>
              <w:rPr>
                <w:color w:val="auto"/>
                <w:highlight w:val="none"/>
              </w:rPr>
              <w:t>BIM总协调与代建局</w:t>
            </w:r>
            <w:r>
              <w:rPr>
                <w:rFonts w:hint="eastAsia"/>
                <w:color w:val="auto"/>
                <w:highlight w:val="none"/>
              </w:rPr>
              <w:t>项目建设管理部</w:t>
            </w:r>
          </w:p>
        </w:tc>
        <w:tc>
          <w:tcPr>
            <w:tcW w:w="1198"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rPr>
                <w:color w:val="auto"/>
                <w:highlight w:val="none"/>
              </w:rPr>
            </w:pPr>
          </w:p>
        </w:tc>
      </w:tr>
    </w:tbl>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89" w:name="_Toc62460216"/>
      <w:bookmarkStart w:id="390" w:name="_Toc31312"/>
      <w:r>
        <w:rPr>
          <w:color w:val="auto"/>
          <w:highlight w:val="none"/>
        </w:rPr>
        <w:t>附表7  BIM现场协调管理</w:t>
      </w:r>
      <w:bookmarkEnd w:id="389"/>
      <w:bookmarkEnd w:id="390"/>
    </w:p>
    <w:tbl>
      <w:tblPr>
        <w:tblStyle w:val="63"/>
        <w:tblW w:w="8955"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9"/>
        <w:gridCol w:w="1559"/>
        <w:gridCol w:w="6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tcPr>
          <w:p>
            <w:pPr>
              <w:rPr>
                <w:color w:val="auto"/>
                <w:highlight w:val="none"/>
              </w:rPr>
            </w:pPr>
            <w:r>
              <w:rPr>
                <w:color w:val="auto"/>
                <w:highlight w:val="none"/>
              </w:rPr>
              <w:t>序号</w:t>
            </w:r>
          </w:p>
        </w:tc>
        <w:tc>
          <w:tcPr>
            <w:tcW w:w="1559" w:type="dxa"/>
          </w:tcPr>
          <w:p>
            <w:pPr>
              <w:rPr>
                <w:color w:val="auto"/>
                <w:highlight w:val="none"/>
              </w:rPr>
            </w:pPr>
            <w:r>
              <w:rPr>
                <w:color w:val="auto"/>
                <w:highlight w:val="none"/>
              </w:rPr>
              <w:t>管理要点</w:t>
            </w:r>
          </w:p>
        </w:tc>
        <w:tc>
          <w:tcPr>
            <w:tcW w:w="6437" w:type="dxa"/>
          </w:tcPr>
          <w:p>
            <w:pPr>
              <w:rPr>
                <w:color w:val="auto"/>
                <w:highlight w:val="none"/>
              </w:rPr>
            </w:pPr>
            <w:r>
              <w:rPr>
                <w:color w:val="auto"/>
                <w:highlight w:val="none"/>
              </w:rPr>
              <w:t>管理内容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vAlign w:val="center"/>
          </w:tcPr>
          <w:p>
            <w:pPr>
              <w:rPr>
                <w:color w:val="auto"/>
                <w:highlight w:val="none"/>
              </w:rPr>
            </w:pPr>
            <w:r>
              <w:rPr>
                <w:color w:val="auto"/>
                <w:highlight w:val="none"/>
              </w:rPr>
              <w:t>1</w:t>
            </w:r>
          </w:p>
        </w:tc>
        <w:tc>
          <w:tcPr>
            <w:tcW w:w="1559" w:type="dxa"/>
            <w:vAlign w:val="center"/>
          </w:tcPr>
          <w:p>
            <w:pPr>
              <w:rPr>
                <w:color w:val="auto"/>
                <w:highlight w:val="none"/>
              </w:rPr>
            </w:pPr>
            <w:r>
              <w:rPr>
                <w:color w:val="auto"/>
                <w:highlight w:val="none"/>
              </w:rPr>
              <w:t>办公与生活临时设施协调</w:t>
            </w:r>
          </w:p>
        </w:tc>
        <w:tc>
          <w:tcPr>
            <w:tcW w:w="6437" w:type="dxa"/>
            <w:vAlign w:val="center"/>
          </w:tcPr>
          <w:p>
            <w:pPr>
              <w:rPr>
                <w:color w:val="auto"/>
                <w:highlight w:val="none"/>
              </w:rPr>
            </w:pPr>
            <w:r>
              <w:rPr>
                <w:color w:val="auto"/>
                <w:highlight w:val="none"/>
              </w:rPr>
              <w:t>1)为满足办公与生活临时设施布置以及调整优化便捷准确的要求，前期需完善常用的办公与生活临时设施模型内容库。</w:t>
            </w:r>
          </w:p>
          <w:p>
            <w:pPr>
              <w:rPr>
                <w:color w:val="auto"/>
                <w:highlight w:val="none"/>
              </w:rPr>
            </w:pPr>
            <w:r>
              <w:rPr>
                <w:color w:val="auto"/>
                <w:highlight w:val="none"/>
              </w:rPr>
              <w:t>2)先依据现场场地特点，利用BIM模型建立场地环境模型；然后依据项目规模以及相关需求，对办公区和生活区进行初步规划，利用已建模型内容快速完成布置模型。当内容库中缺少所需临时建筑模型内容时，可自行建立，并将其补充入原模型内容库中备用。</w:t>
            </w:r>
          </w:p>
          <w:p>
            <w:pPr>
              <w:rPr>
                <w:color w:val="auto"/>
                <w:highlight w:val="none"/>
              </w:rPr>
            </w:pPr>
            <w:r>
              <w:rPr>
                <w:color w:val="auto"/>
                <w:highlight w:val="none"/>
              </w:rPr>
              <w:t>3)通过建好的布置模型，对布置方案进行评估比对，选出最优方案。</w:t>
            </w:r>
          </w:p>
          <w:p>
            <w:pPr>
              <w:rPr>
                <w:color w:val="auto"/>
                <w:highlight w:val="none"/>
              </w:rPr>
            </w:pPr>
            <w:r>
              <w:rPr>
                <w:color w:val="auto"/>
                <w:highlight w:val="none"/>
              </w:rPr>
              <w:t>4)为了快捷地对办公及生活区进行统筹管理，安排专人对于布置模型中的临时设施采用不同的颜色进行区分；协调部可随时对办公与生活临时设施使用情况进行查询，快速</w:t>
            </w:r>
            <w:r>
              <w:rPr>
                <w:rFonts w:hint="eastAsia"/>
                <w:color w:val="auto"/>
                <w:highlight w:val="none"/>
              </w:rPr>
              <w:t>做出</w:t>
            </w:r>
            <w:r>
              <w:rPr>
                <w:color w:val="auto"/>
                <w:highlight w:val="none"/>
              </w:rPr>
              <w:t>决策。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59" w:type="dxa"/>
            <w:vAlign w:val="center"/>
          </w:tcPr>
          <w:p>
            <w:pPr>
              <w:rPr>
                <w:color w:val="auto"/>
                <w:highlight w:val="none"/>
              </w:rPr>
            </w:pPr>
            <w:r>
              <w:rPr>
                <w:color w:val="auto"/>
                <w:highlight w:val="none"/>
              </w:rPr>
              <w:t>2</w:t>
            </w:r>
          </w:p>
        </w:tc>
        <w:tc>
          <w:tcPr>
            <w:tcW w:w="1559" w:type="dxa"/>
            <w:vAlign w:val="center"/>
          </w:tcPr>
          <w:p>
            <w:pPr>
              <w:rPr>
                <w:color w:val="auto"/>
                <w:highlight w:val="none"/>
              </w:rPr>
            </w:pPr>
            <w:r>
              <w:rPr>
                <w:color w:val="auto"/>
                <w:highlight w:val="none"/>
              </w:rPr>
              <w:t>施工平面协调</w:t>
            </w:r>
          </w:p>
        </w:tc>
        <w:tc>
          <w:tcPr>
            <w:tcW w:w="6437" w:type="dxa"/>
            <w:vAlign w:val="center"/>
          </w:tcPr>
          <w:p>
            <w:pPr>
              <w:rPr>
                <w:color w:val="auto"/>
                <w:highlight w:val="none"/>
              </w:rPr>
            </w:pPr>
            <w:r>
              <w:rPr>
                <w:color w:val="auto"/>
                <w:highlight w:val="none"/>
              </w:rPr>
              <w:t>1)为满足现场施工平面布置模拟便捷准确的要求，前期需完善常用的施工设备及施工现场临时设施模型内容库。</w:t>
            </w:r>
          </w:p>
          <w:p>
            <w:pPr>
              <w:rPr>
                <w:color w:val="auto"/>
                <w:highlight w:val="none"/>
              </w:rPr>
            </w:pPr>
            <w:r>
              <w:rPr>
                <w:color w:val="auto"/>
                <w:highlight w:val="none"/>
              </w:rPr>
              <w:t>2)利用BIM软件，建立不同施工阶段的施工现场模型，模型应包括：土建结构、钢结构、施工道路、周围主要建筑外轮廓模型等。</w:t>
            </w:r>
          </w:p>
          <w:p>
            <w:pPr>
              <w:rPr>
                <w:color w:val="auto"/>
                <w:highlight w:val="none"/>
              </w:rPr>
            </w:pPr>
            <w:r>
              <w:rPr>
                <w:color w:val="auto"/>
                <w:highlight w:val="none"/>
              </w:rPr>
              <w:t>3)通过BIM软件统计出各阶段的相关工程量，即利用BIM数据库功能对项目钢筋用量、混凝土量、钢结构构件量进行统计，从而</w:t>
            </w:r>
            <w:r>
              <w:rPr>
                <w:rFonts w:hint="eastAsia"/>
                <w:color w:val="auto"/>
                <w:highlight w:val="none"/>
              </w:rPr>
              <w:t>做出</w:t>
            </w:r>
            <w:r>
              <w:rPr>
                <w:color w:val="auto"/>
                <w:highlight w:val="none"/>
              </w:rPr>
              <w:t>现场施工材料堆场的初步规划。</w:t>
            </w:r>
          </w:p>
          <w:p>
            <w:pPr>
              <w:rPr>
                <w:color w:val="auto"/>
                <w:highlight w:val="none"/>
              </w:rPr>
            </w:pPr>
            <w:r>
              <w:rPr>
                <w:color w:val="auto"/>
                <w:highlight w:val="none"/>
              </w:rPr>
              <w:t>4)在已建立的现场环境中，放置相关堆场及施工设备，通过BIM软件进行施工模拟、对比优化，从而选定设备型号及确定位置和确定现场平面布置方案。</w:t>
            </w:r>
          </w:p>
          <w:p>
            <w:pPr>
              <w:rPr>
                <w:color w:val="auto"/>
                <w:highlight w:val="none"/>
              </w:rPr>
            </w:pPr>
            <w:r>
              <w:rPr>
                <w:color w:val="auto"/>
                <w:highlight w:val="none"/>
              </w:rPr>
              <w:t>5)当分包方有大宗物资及大型机械进场、场地超期使用、可能影响结构楼板等结构安全的平面占用、运输路线等申请要求时，计划协调部可依据已布置方案模型进行快速方案模拟比对，从而制定最合理的方案。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1" w:hRule="atLeast"/>
        </w:trPr>
        <w:tc>
          <w:tcPr>
            <w:tcW w:w="959" w:type="dxa"/>
            <w:vAlign w:val="center"/>
          </w:tcPr>
          <w:p>
            <w:pPr>
              <w:rPr>
                <w:color w:val="auto"/>
                <w:highlight w:val="none"/>
              </w:rPr>
            </w:pPr>
            <w:r>
              <w:rPr>
                <w:color w:val="auto"/>
                <w:highlight w:val="none"/>
              </w:rPr>
              <w:t>3</w:t>
            </w:r>
          </w:p>
        </w:tc>
        <w:tc>
          <w:tcPr>
            <w:tcW w:w="1559" w:type="dxa"/>
            <w:vAlign w:val="center"/>
          </w:tcPr>
          <w:p>
            <w:pPr>
              <w:rPr>
                <w:color w:val="auto"/>
                <w:highlight w:val="none"/>
              </w:rPr>
            </w:pPr>
            <w:r>
              <w:rPr>
                <w:color w:val="auto"/>
                <w:highlight w:val="none"/>
              </w:rPr>
              <w:t>施工工序与工作面协调</w:t>
            </w:r>
          </w:p>
        </w:tc>
        <w:tc>
          <w:tcPr>
            <w:tcW w:w="6437" w:type="dxa"/>
            <w:vAlign w:val="center"/>
          </w:tcPr>
          <w:p>
            <w:pPr>
              <w:rPr>
                <w:color w:val="auto"/>
                <w:highlight w:val="none"/>
              </w:rPr>
            </w:pPr>
            <w:r>
              <w:rPr>
                <w:color w:val="auto"/>
                <w:highlight w:val="none"/>
              </w:rPr>
              <w:t>1)基于BIM的工作面划分，施工总承包必须提前向各分包方收集各施工工序的工作面需求，并将收集结果进行整理统计成表格。</w:t>
            </w:r>
          </w:p>
          <w:p>
            <w:pPr>
              <w:rPr>
                <w:color w:val="auto"/>
                <w:highlight w:val="none"/>
              </w:rPr>
            </w:pPr>
            <w:r>
              <w:rPr>
                <w:color w:val="auto"/>
                <w:highlight w:val="none"/>
              </w:rPr>
              <w:t>2)根据该表格工序的工作面需求，按照工序的时间顺序，进行施工工作面的布置，完成工作面布置后，通过施工模拟进行工作面的碰撞检查。</w:t>
            </w:r>
          </w:p>
          <w:p>
            <w:pPr>
              <w:rPr>
                <w:color w:val="auto"/>
                <w:highlight w:val="none"/>
              </w:rPr>
            </w:pPr>
            <w:r>
              <w:rPr>
                <w:color w:val="auto"/>
                <w:highlight w:val="none"/>
              </w:rPr>
              <w:t>3)若出现工作面间的碰撞，需第一时间通知施工总承包单位，并对各工序时间进行协调，或者对工序进行改进升级，减小工作面甚至重新选择工序，消除工作面之间的碰撞。</w:t>
            </w:r>
          </w:p>
          <w:p>
            <w:pPr>
              <w:rPr>
                <w:color w:val="auto"/>
                <w:highlight w:val="none"/>
              </w:rPr>
            </w:pPr>
            <w:r>
              <w:rPr>
                <w:color w:val="auto"/>
                <w:highlight w:val="none"/>
              </w:rPr>
              <w:t>4)施工总承包对优化后的工序进行分析评估，</w:t>
            </w:r>
            <w:r>
              <w:rPr>
                <w:rFonts w:hint="eastAsia"/>
                <w:color w:val="auto"/>
                <w:highlight w:val="none"/>
              </w:rPr>
              <w:t>做出</w:t>
            </w:r>
            <w:r>
              <w:rPr>
                <w:color w:val="auto"/>
                <w:highlight w:val="none"/>
              </w:rPr>
              <w:t>决策后通知相关各分包方；同时，对设计优化后的施工工序，还可以利用BIM软件生成模拟动画，给相关人员交底，从而确保现场工作合理有序地进行。</w:t>
            </w:r>
          </w:p>
        </w:tc>
      </w:tr>
    </w:tbl>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91" w:name="_Toc29654"/>
      <w:bookmarkStart w:id="392" w:name="_Toc62460217"/>
      <w:r>
        <w:rPr>
          <w:color w:val="auto"/>
          <w:highlight w:val="none"/>
        </w:rPr>
        <w:t>附图</w:t>
      </w:r>
      <w:bookmarkEnd w:id="391"/>
      <w:bookmarkEnd w:id="392"/>
    </w:p>
    <w:p>
      <w:pPr>
        <w:rPr>
          <w:color w:val="auto"/>
          <w:highlight w:val="none"/>
        </w:rPr>
      </w:pPr>
      <w:bookmarkStart w:id="393" w:name="_Toc62460218"/>
      <w:bookmarkStart w:id="394" w:name="_Toc294"/>
      <w:r>
        <w:rPr>
          <w:rFonts w:hint="eastAsia"/>
          <w:color w:val="auto"/>
          <w:highlight w:val="none"/>
        </w:rPr>
        <w:t>附</w:t>
      </w:r>
      <w:r>
        <w:rPr>
          <w:color w:val="auto"/>
          <w:highlight w:val="none"/>
        </w:rPr>
        <w:t>图1  代建局BIM项目管理组织结构</w:t>
      </w:r>
      <w:bookmarkEnd w:id="393"/>
      <w:bookmarkEnd w:id="394"/>
    </w:p>
    <w:p>
      <w:pPr>
        <w:rPr>
          <w:color w:val="auto"/>
          <w:highlight w:val="none"/>
        </w:rPr>
      </w:pPr>
      <w:r>
        <w:rPr>
          <w:color w:val="auto"/>
          <w:highlight w:val="none"/>
        </w:rPr>
        <w:drawing>
          <wp:inline distT="0" distB="0" distL="0" distR="0">
            <wp:extent cx="5842635" cy="3634105"/>
            <wp:effectExtent l="19050" t="0" r="5715" b="0"/>
            <wp:docPr id="1"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59"/>
                    <pic:cNvPicPr>
                      <a:picLocks noChangeAspect="1" noChangeArrowheads="1"/>
                    </pic:cNvPicPr>
                  </pic:nvPicPr>
                  <pic:blipFill>
                    <a:blip r:embed="rId29"/>
                    <a:srcRect/>
                    <a:stretch>
                      <a:fillRect/>
                    </a:stretch>
                  </pic:blipFill>
                  <pic:spPr>
                    <a:xfrm>
                      <a:off x="0" y="0"/>
                      <a:ext cx="5842635" cy="3634105"/>
                    </a:xfrm>
                    <a:prstGeom prst="rect">
                      <a:avLst/>
                    </a:prstGeom>
                    <a:noFill/>
                    <a:ln w="9525" cmpd="sng">
                      <a:noFill/>
                      <a:miter lim="800000"/>
                      <a:headEnd/>
                      <a:tailEnd/>
                    </a:ln>
                    <a:effectLst/>
                  </pic:spPr>
                </pic:pic>
              </a:graphicData>
            </a:graphic>
          </wp:inline>
        </w:drawing>
      </w:r>
    </w:p>
    <w:p>
      <w:pPr>
        <w:rPr>
          <w:color w:val="auto"/>
          <w:highlight w:val="none"/>
        </w:rPr>
      </w:pPr>
      <w:bookmarkStart w:id="395" w:name="_Toc32256"/>
      <w:bookmarkStart w:id="396" w:name="_Toc62460219"/>
      <w:r>
        <w:rPr>
          <w:color w:val="auto"/>
          <w:highlight w:val="none"/>
        </w:rPr>
        <w:t>附图2  代建局内部管理流程</w:t>
      </w:r>
      <w:bookmarkEnd w:id="395"/>
      <w:bookmarkEnd w:id="396"/>
    </w:p>
    <w:p>
      <w:pPr>
        <w:rPr>
          <w:color w:val="auto"/>
          <w:highlight w:val="none"/>
        </w:rPr>
      </w:pPr>
      <w:r>
        <w:rPr>
          <w:color w:val="auto"/>
          <w:highlight w:val="none"/>
        </w:rPr>
        <w:drawing>
          <wp:inline distT="0" distB="0" distL="0" distR="0">
            <wp:extent cx="5403215" cy="152019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noChangeArrowheads="1"/>
                    </pic:cNvPicPr>
                  </pic:nvPicPr>
                  <pic:blipFill>
                    <a:blip r:embed="rId30"/>
                    <a:srcRect/>
                    <a:stretch>
                      <a:fillRect/>
                    </a:stretch>
                  </pic:blipFill>
                  <pic:spPr>
                    <a:xfrm>
                      <a:off x="0" y="0"/>
                      <a:ext cx="5403215" cy="1520190"/>
                    </a:xfrm>
                    <a:prstGeom prst="rect">
                      <a:avLst/>
                    </a:prstGeom>
                    <a:noFill/>
                    <a:ln w="9525" cmpd="sng">
                      <a:noFill/>
                      <a:miter lim="800000"/>
                      <a:headEnd/>
                      <a:tailEnd/>
                    </a:ln>
                  </pic:spPr>
                </pic:pic>
              </a:graphicData>
            </a:graphic>
          </wp:inline>
        </w:drawing>
      </w: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397" w:name="_bookmark51"/>
      <w:bookmarkEnd w:id="397"/>
      <w:bookmarkStart w:id="398" w:name="_Toc8641"/>
      <w:bookmarkStart w:id="399" w:name="_Toc62460220"/>
      <w:r>
        <w:rPr>
          <w:color w:val="auto"/>
          <w:highlight w:val="none"/>
        </w:rPr>
        <w:t>附图3  代建局项目BIM管理流程</w:t>
      </w:r>
      <w:bookmarkEnd w:id="398"/>
      <w:bookmarkEnd w:id="399"/>
    </w:p>
    <w:p>
      <w:pPr>
        <w:rPr>
          <w:color w:val="auto"/>
          <w:highlight w:val="none"/>
        </w:rPr>
        <w:sectPr>
          <w:pgSz w:w="16838" w:h="11905" w:orient="landscape"/>
          <w:pgMar w:top="1417" w:right="1417" w:bottom="1417" w:left="1417" w:header="720" w:footer="680" w:gutter="0"/>
          <w:cols w:space="720" w:num="1"/>
          <w:titlePg/>
        </w:sectPr>
      </w:pPr>
      <w:r>
        <w:rPr>
          <w:color w:val="auto"/>
          <w:highlight w:val="none"/>
        </w:rPr>
        <w:drawing>
          <wp:inline distT="0" distB="0" distL="0" distR="0">
            <wp:extent cx="7362825" cy="490474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31" cstate="print"/>
                    <a:srcRect/>
                    <a:stretch>
                      <a:fillRect/>
                    </a:stretch>
                  </pic:blipFill>
                  <pic:spPr>
                    <a:xfrm>
                      <a:off x="0" y="0"/>
                      <a:ext cx="7362825" cy="4904740"/>
                    </a:xfrm>
                    <a:prstGeom prst="rect">
                      <a:avLst/>
                    </a:prstGeom>
                    <a:noFill/>
                    <a:ln w="9525" cmpd="sng">
                      <a:noFill/>
                      <a:miter lim="800000"/>
                      <a:headEnd/>
                      <a:tailEnd/>
                    </a:ln>
                    <a:effectLst/>
                  </pic:spPr>
                </pic:pic>
              </a:graphicData>
            </a:graphic>
          </wp:inline>
        </w:drawing>
      </w:r>
    </w:p>
    <w:p>
      <w:pPr>
        <w:rPr>
          <w:color w:val="auto"/>
          <w:highlight w:val="none"/>
        </w:rPr>
      </w:pPr>
      <w:bookmarkStart w:id="400" w:name="_bookmark52"/>
      <w:bookmarkEnd w:id="400"/>
      <w:bookmarkStart w:id="401" w:name="_Toc3452"/>
      <w:bookmarkStart w:id="402" w:name="_Toc62460221"/>
      <w:r>
        <w:rPr>
          <w:color w:val="auto"/>
          <w:highlight w:val="none"/>
        </w:rPr>
        <w:t>附图4  设计阶段BIM应用流程</w:t>
      </w:r>
      <w:bookmarkEnd w:id="401"/>
      <w:bookmarkEnd w:id="402"/>
    </w:p>
    <w:p>
      <w:pPr>
        <w:rPr>
          <w:color w:val="auto"/>
          <w:highlight w:val="none"/>
        </w:rPr>
        <w:sectPr>
          <w:pgSz w:w="16838" w:h="11905" w:orient="landscape"/>
          <w:pgMar w:top="1417" w:right="1417" w:bottom="1417" w:left="1417" w:header="720" w:footer="680" w:gutter="0"/>
          <w:cols w:space="720" w:num="1"/>
          <w:titlePg/>
        </w:sectPr>
      </w:pPr>
      <w:r>
        <w:rPr>
          <w:color w:val="auto"/>
          <w:highlight w:val="none"/>
        </w:rPr>
        <w:drawing>
          <wp:inline distT="0" distB="0" distL="0" distR="0">
            <wp:extent cx="8300720" cy="5023485"/>
            <wp:effectExtent l="19050" t="0" r="508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2"/>
                    <a:srcRect/>
                    <a:stretch>
                      <a:fillRect/>
                    </a:stretch>
                  </pic:blipFill>
                  <pic:spPr>
                    <a:xfrm>
                      <a:off x="0" y="0"/>
                      <a:ext cx="8300720" cy="5023485"/>
                    </a:xfrm>
                    <a:prstGeom prst="rect">
                      <a:avLst/>
                    </a:prstGeom>
                    <a:noFill/>
                    <a:ln w="9525" cmpd="sng">
                      <a:noFill/>
                      <a:miter lim="800000"/>
                      <a:headEnd/>
                      <a:tailEnd/>
                    </a:ln>
                    <a:effectLst/>
                  </pic:spPr>
                </pic:pic>
              </a:graphicData>
            </a:graphic>
          </wp:inline>
        </w:drawing>
      </w:r>
    </w:p>
    <w:p>
      <w:pPr>
        <w:rPr>
          <w:color w:val="auto"/>
          <w:highlight w:val="none"/>
        </w:rPr>
      </w:pPr>
      <w:bookmarkStart w:id="403" w:name="_bookmark53"/>
      <w:bookmarkEnd w:id="403"/>
      <w:bookmarkStart w:id="404" w:name="_Toc4996"/>
      <w:bookmarkStart w:id="405" w:name="_Toc62460222"/>
      <w:r>
        <w:rPr>
          <w:color w:val="auto"/>
          <w:highlight w:val="none"/>
        </w:rPr>
        <w:t>附图5  方案设计阶段BIM应用流程</w:t>
      </w:r>
      <w:bookmarkEnd w:id="404"/>
      <w:bookmarkEnd w:id="405"/>
    </w:p>
    <w:p>
      <w:pPr>
        <w:rPr>
          <w:color w:val="auto"/>
          <w:highlight w:val="none"/>
        </w:rPr>
        <w:sectPr>
          <w:pgSz w:w="11905" w:h="16838"/>
          <w:pgMar w:top="1417" w:right="1417" w:bottom="1417" w:left="1417" w:header="720" w:footer="680" w:gutter="0"/>
          <w:cols w:space="720" w:num="1"/>
          <w:titlePg/>
        </w:sectPr>
      </w:pPr>
      <w:r>
        <w:rPr>
          <w:color w:val="auto"/>
          <w:highlight w:val="none"/>
        </w:rPr>
        <w:drawing>
          <wp:inline distT="0" distB="0" distL="0" distR="0">
            <wp:extent cx="4061460" cy="5296535"/>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3" cstate="print"/>
                    <a:srcRect/>
                    <a:stretch>
                      <a:fillRect/>
                    </a:stretch>
                  </pic:blipFill>
                  <pic:spPr>
                    <a:xfrm>
                      <a:off x="0" y="0"/>
                      <a:ext cx="4061460" cy="5296535"/>
                    </a:xfrm>
                    <a:prstGeom prst="rect">
                      <a:avLst/>
                    </a:prstGeom>
                    <a:noFill/>
                    <a:ln w="9525" cmpd="sng">
                      <a:noFill/>
                      <a:miter lim="800000"/>
                      <a:headEnd/>
                      <a:tailEnd/>
                    </a:ln>
                  </pic:spPr>
                </pic:pic>
              </a:graphicData>
            </a:graphic>
          </wp:inline>
        </w:drawing>
      </w:r>
    </w:p>
    <w:p>
      <w:pPr>
        <w:rPr>
          <w:color w:val="auto"/>
          <w:highlight w:val="none"/>
        </w:rPr>
      </w:pPr>
      <w:bookmarkStart w:id="406" w:name="_bookmark54"/>
      <w:bookmarkEnd w:id="406"/>
      <w:bookmarkStart w:id="407" w:name="_Toc31544"/>
      <w:bookmarkStart w:id="408" w:name="_Toc62460223"/>
      <w:r>
        <w:rPr>
          <w:color w:val="auto"/>
          <w:highlight w:val="none"/>
        </w:rPr>
        <w:t>附图6  初步设计阶段BIM应用流程</w:t>
      </w:r>
      <w:bookmarkEnd w:id="407"/>
      <w:bookmarkEnd w:id="408"/>
    </w:p>
    <w:p>
      <w:pPr>
        <w:rPr>
          <w:color w:val="auto"/>
          <w:highlight w:val="none"/>
        </w:rPr>
        <w:sectPr>
          <w:pgSz w:w="11905" w:h="16838"/>
          <w:pgMar w:top="1417" w:right="1417" w:bottom="1417" w:left="1417" w:header="720" w:footer="680" w:gutter="0"/>
          <w:cols w:space="720" w:num="1"/>
          <w:titlePg/>
        </w:sectPr>
      </w:pPr>
      <w:r>
        <w:rPr>
          <w:color w:val="auto"/>
          <w:highlight w:val="none"/>
        </w:rPr>
        <w:drawing>
          <wp:inline distT="0" distB="0" distL="0" distR="0">
            <wp:extent cx="4215765" cy="5534025"/>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4" cstate="print"/>
                    <a:srcRect/>
                    <a:stretch>
                      <a:fillRect/>
                    </a:stretch>
                  </pic:blipFill>
                  <pic:spPr>
                    <a:xfrm>
                      <a:off x="0" y="0"/>
                      <a:ext cx="4215765" cy="5534025"/>
                    </a:xfrm>
                    <a:prstGeom prst="rect">
                      <a:avLst/>
                    </a:prstGeom>
                    <a:noFill/>
                    <a:ln w="9525" cmpd="sng">
                      <a:noFill/>
                      <a:miter lim="800000"/>
                      <a:headEnd/>
                      <a:tailEnd/>
                    </a:ln>
                  </pic:spPr>
                </pic:pic>
              </a:graphicData>
            </a:graphic>
          </wp:inline>
        </w:drawing>
      </w:r>
    </w:p>
    <w:p>
      <w:pPr>
        <w:rPr>
          <w:color w:val="auto"/>
          <w:highlight w:val="none"/>
        </w:rPr>
      </w:pPr>
      <w:bookmarkStart w:id="409" w:name="_bookmark55"/>
      <w:bookmarkEnd w:id="409"/>
      <w:bookmarkStart w:id="410" w:name="_Toc5733"/>
      <w:bookmarkStart w:id="411" w:name="_Toc62460224"/>
      <w:r>
        <w:rPr>
          <w:color w:val="auto"/>
          <w:highlight w:val="none"/>
        </w:rPr>
        <w:t>附图7  施工图设计阶段BIM应用流程</w:t>
      </w:r>
      <w:bookmarkEnd w:id="410"/>
      <w:bookmarkEnd w:id="411"/>
    </w:p>
    <w:p>
      <w:pPr>
        <w:rPr>
          <w:color w:val="auto"/>
          <w:highlight w:val="none"/>
        </w:rPr>
        <w:sectPr>
          <w:pgSz w:w="11905" w:h="16838"/>
          <w:pgMar w:top="1417" w:right="1417" w:bottom="1417" w:left="1417" w:header="720" w:footer="680" w:gutter="0"/>
          <w:cols w:space="720" w:num="1"/>
          <w:titlePg/>
        </w:sectPr>
      </w:pPr>
      <w:r>
        <w:rPr>
          <w:color w:val="auto"/>
          <w:highlight w:val="none"/>
        </w:rPr>
        <w:drawing>
          <wp:inline distT="0" distB="0" distL="0" distR="0">
            <wp:extent cx="4073525" cy="5498465"/>
            <wp:effectExtent l="1905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5" cstate="print"/>
                    <a:srcRect/>
                    <a:stretch>
                      <a:fillRect/>
                    </a:stretch>
                  </pic:blipFill>
                  <pic:spPr>
                    <a:xfrm>
                      <a:off x="0" y="0"/>
                      <a:ext cx="4073525" cy="5498465"/>
                    </a:xfrm>
                    <a:prstGeom prst="rect">
                      <a:avLst/>
                    </a:prstGeom>
                    <a:noFill/>
                    <a:ln w="9525" cmpd="sng">
                      <a:noFill/>
                      <a:miter lim="800000"/>
                      <a:headEnd/>
                      <a:tailEnd/>
                    </a:ln>
                  </pic:spPr>
                </pic:pic>
              </a:graphicData>
            </a:graphic>
          </wp:inline>
        </w:drawing>
      </w:r>
    </w:p>
    <w:p>
      <w:pPr>
        <w:rPr>
          <w:color w:val="auto"/>
          <w:highlight w:val="none"/>
        </w:rPr>
      </w:pPr>
    </w:p>
    <w:p>
      <w:pPr>
        <w:rPr>
          <w:color w:val="auto"/>
          <w:highlight w:val="none"/>
        </w:rPr>
      </w:pPr>
      <w:bookmarkStart w:id="412" w:name="_bookmark56"/>
      <w:bookmarkEnd w:id="412"/>
      <w:bookmarkStart w:id="413" w:name="_Toc20204"/>
      <w:bookmarkStart w:id="414" w:name="_Toc62460225"/>
      <w:r>
        <w:rPr>
          <w:color w:val="auto"/>
          <w:highlight w:val="none"/>
        </w:rPr>
        <w:t>附图8  施工阶段项目实施总体流程</w:t>
      </w:r>
      <w:bookmarkEnd w:id="413"/>
      <w:bookmarkEnd w:id="414"/>
    </w:p>
    <w:p>
      <w:pPr>
        <w:rPr>
          <w:color w:val="auto"/>
          <w:highlight w:val="none"/>
        </w:rPr>
      </w:pPr>
      <w:r>
        <w:rPr>
          <w:color w:val="auto"/>
          <w:highlight w:val="none"/>
        </w:rPr>
        <w:drawing>
          <wp:inline distT="0" distB="0" distL="0" distR="0">
            <wp:extent cx="5403215" cy="7837805"/>
            <wp:effectExtent l="19050" t="0" r="6985"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noChangeArrowheads="1"/>
                    </pic:cNvPicPr>
                  </pic:nvPicPr>
                  <pic:blipFill>
                    <a:blip r:embed="rId36"/>
                    <a:srcRect/>
                    <a:stretch>
                      <a:fillRect/>
                    </a:stretch>
                  </pic:blipFill>
                  <pic:spPr>
                    <a:xfrm>
                      <a:off x="0" y="0"/>
                      <a:ext cx="5403215" cy="7837805"/>
                    </a:xfrm>
                    <a:prstGeom prst="rect">
                      <a:avLst/>
                    </a:prstGeom>
                    <a:noFill/>
                    <a:ln w="9525" cmpd="sng">
                      <a:noFill/>
                      <a:miter lim="800000"/>
                      <a:headEnd/>
                      <a:tailEnd/>
                    </a:ln>
                  </pic:spPr>
                </pic:pic>
              </a:graphicData>
            </a:graphic>
          </wp:inline>
        </w:drawing>
      </w: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415" w:name="_bookmark57"/>
      <w:bookmarkEnd w:id="415"/>
      <w:bookmarkStart w:id="416" w:name="_Toc17505"/>
      <w:bookmarkStart w:id="417" w:name="_Toc62460226"/>
      <w:r>
        <w:rPr>
          <w:color w:val="auto"/>
          <w:highlight w:val="none"/>
        </w:rPr>
        <w:t>附图9  项目BIM团队组织架构</w:t>
      </w:r>
      <w:bookmarkEnd w:id="416"/>
      <w:bookmarkEnd w:id="417"/>
    </w:p>
    <w:p>
      <w:pPr>
        <w:rPr>
          <w:color w:val="auto"/>
          <w:highlight w:val="none"/>
        </w:rPr>
      </w:pPr>
      <w:r>
        <w:rPr>
          <w:color w:val="auto"/>
          <w:highlight w:val="none"/>
        </w:rPr>
        <w:drawing>
          <wp:inline distT="0" distB="0" distL="0" distR="0">
            <wp:extent cx="5866130" cy="2921635"/>
            <wp:effectExtent l="19050" t="0" r="127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37"/>
                    <a:srcRect/>
                    <a:stretch>
                      <a:fillRect/>
                    </a:stretch>
                  </pic:blipFill>
                  <pic:spPr>
                    <a:xfrm>
                      <a:off x="0" y="0"/>
                      <a:ext cx="5866130" cy="2921635"/>
                    </a:xfrm>
                    <a:prstGeom prst="rect">
                      <a:avLst/>
                    </a:prstGeom>
                    <a:noFill/>
                    <a:ln w="9525" cmpd="sng">
                      <a:noFill/>
                      <a:miter lim="800000"/>
                      <a:headEnd/>
                      <a:tailEnd/>
                    </a:ln>
                    <a:effectLst/>
                  </pic:spPr>
                </pic:pic>
              </a:graphicData>
            </a:graphic>
          </wp:inline>
        </w:drawing>
      </w:r>
    </w:p>
    <w:p>
      <w:pPr>
        <w:rPr>
          <w:color w:val="auto"/>
          <w:highlight w:val="none"/>
        </w:rPr>
      </w:pPr>
      <w:bookmarkStart w:id="418" w:name="_bookmark58"/>
      <w:bookmarkEnd w:id="418"/>
      <w:bookmarkStart w:id="419" w:name="_Toc62460227"/>
      <w:bookmarkStart w:id="420" w:name="_Toc3931"/>
      <w:r>
        <w:rPr>
          <w:color w:val="auto"/>
          <w:highlight w:val="none"/>
        </w:rPr>
        <w:t>附图10  BIM前期准备工作</w:t>
      </w:r>
      <w:bookmarkEnd w:id="419"/>
      <w:bookmarkEnd w:id="420"/>
    </w:p>
    <w:p>
      <w:pPr>
        <w:rPr>
          <w:color w:val="auto"/>
          <w:highlight w:val="none"/>
        </w:rPr>
      </w:pPr>
      <w:r>
        <w:rPr>
          <w:color w:val="auto"/>
          <w:highlight w:val="none"/>
        </w:rPr>
        <w:drawing>
          <wp:inline distT="0" distB="0" distL="0" distR="0">
            <wp:extent cx="5973445" cy="4215765"/>
            <wp:effectExtent l="19050" t="0" r="8255" b="0"/>
            <wp:docPr id="13"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62"/>
                    <pic:cNvPicPr>
                      <a:picLocks noChangeAspect="1" noChangeArrowheads="1"/>
                    </pic:cNvPicPr>
                  </pic:nvPicPr>
                  <pic:blipFill>
                    <a:blip r:embed="rId38"/>
                    <a:srcRect/>
                    <a:stretch>
                      <a:fillRect/>
                    </a:stretch>
                  </pic:blipFill>
                  <pic:spPr>
                    <a:xfrm>
                      <a:off x="0" y="0"/>
                      <a:ext cx="5973445" cy="4215765"/>
                    </a:xfrm>
                    <a:prstGeom prst="rect">
                      <a:avLst/>
                    </a:prstGeom>
                    <a:noFill/>
                    <a:ln w="9525" cmpd="sng">
                      <a:noFill/>
                      <a:miter lim="800000"/>
                      <a:headEnd/>
                      <a:tailEnd/>
                    </a:ln>
                    <a:effectLst/>
                  </pic:spPr>
                </pic:pic>
              </a:graphicData>
            </a:graphic>
          </wp:inline>
        </w:drawing>
      </w: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421" w:name="_bookmark59"/>
      <w:bookmarkEnd w:id="421"/>
      <w:bookmarkStart w:id="422" w:name="_Toc62460228"/>
      <w:bookmarkStart w:id="423" w:name="_Toc21263"/>
      <w:r>
        <w:rPr>
          <w:color w:val="auto"/>
          <w:highlight w:val="none"/>
        </w:rPr>
        <w:t>附图11  BIM模型会审工作流程</w:t>
      </w:r>
      <w:bookmarkEnd w:id="422"/>
      <w:bookmarkEnd w:id="423"/>
    </w:p>
    <w:p>
      <w:pPr>
        <w:rPr>
          <w:color w:val="auto"/>
          <w:highlight w:val="none"/>
        </w:rPr>
      </w:pPr>
      <w:r>
        <w:rPr>
          <w:color w:val="auto"/>
          <w:highlight w:val="none"/>
        </w:rPr>
        <w:drawing>
          <wp:inline distT="0" distB="0" distL="0" distR="0">
            <wp:extent cx="5819140" cy="3562350"/>
            <wp:effectExtent l="19050" t="0" r="0" b="0"/>
            <wp:docPr id="14"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61"/>
                    <pic:cNvPicPr>
                      <a:picLocks noChangeAspect="1" noChangeArrowheads="1"/>
                    </pic:cNvPicPr>
                  </pic:nvPicPr>
                  <pic:blipFill>
                    <a:blip r:embed="rId39"/>
                    <a:srcRect/>
                    <a:stretch>
                      <a:fillRect/>
                    </a:stretch>
                  </pic:blipFill>
                  <pic:spPr>
                    <a:xfrm>
                      <a:off x="0" y="0"/>
                      <a:ext cx="5819140" cy="3562350"/>
                    </a:xfrm>
                    <a:prstGeom prst="rect">
                      <a:avLst/>
                    </a:prstGeom>
                    <a:noFill/>
                    <a:ln w="9525" cmpd="sng">
                      <a:noFill/>
                      <a:miter lim="800000"/>
                      <a:headEnd/>
                      <a:tailEnd/>
                    </a:ln>
                    <a:effectLst/>
                  </pic:spPr>
                </pic:pic>
              </a:graphicData>
            </a:graphic>
          </wp:inline>
        </w:drawing>
      </w:r>
    </w:p>
    <w:p>
      <w:pPr>
        <w:rPr>
          <w:color w:val="auto"/>
          <w:highlight w:val="none"/>
        </w:rPr>
      </w:pPr>
      <w:bookmarkStart w:id="424" w:name="_Toc62460229"/>
      <w:bookmarkStart w:id="425" w:name="_Toc26107"/>
      <w:r>
        <w:rPr>
          <w:color w:val="auto"/>
          <w:highlight w:val="none"/>
        </w:rPr>
        <w:t>附图12  BIM深化设计管理流程</w:t>
      </w:r>
      <w:bookmarkEnd w:id="424"/>
      <w:bookmarkEnd w:id="425"/>
    </w:p>
    <w:p>
      <w:pPr>
        <w:rPr>
          <w:color w:val="auto"/>
          <w:highlight w:val="none"/>
        </w:rPr>
      </w:pPr>
      <w:r>
        <w:rPr>
          <w:color w:val="auto"/>
          <w:highlight w:val="none"/>
        </w:rPr>
        <w:drawing>
          <wp:inline distT="0" distB="0" distL="0" distR="0">
            <wp:extent cx="5664835" cy="3954780"/>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pic:cNvPicPr>
                      <a:picLocks noChangeAspect="1" noChangeArrowheads="1"/>
                    </pic:cNvPicPr>
                  </pic:nvPicPr>
                  <pic:blipFill>
                    <a:blip r:embed="rId40"/>
                    <a:srcRect/>
                    <a:stretch>
                      <a:fillRect/>
                    </a:stretch>
                  </pic:blipFill>
                  <pic:spPr>
                    <a:xfrm>
                      <a:off x="0" y="0"/>
                      <a:ext cx="5664835" cy="3954780"/>
                    </a:xfrm>
                    <a:prstGeom prst="rect">
                      <a:avLst/>
                    </a:prstGeom>
                    <a:noFill/>
                    <a:ln w="9525" cmpd="sng">
                      <a:noFill/>
                      <a:miter lim="800000"/>
                      <a:headEnd/>
                      <a:tailEnd/>
                    </a:ln>
                    <a:effectLst/>
                  </pic:spPr>
                </pic:pic>
              </a:graphicData>
            </a:graphic>
          </wp:inline>
        </w:drawing>
      </w:r>
    </w:p>
    <w:p>
      <w:pPr>
        <w:rPr>
          <w:color w:val="auto"/>
          <w:highlight w:val="none"/>
        </w:rPr>
        <w:sectPr>
          <w:pgSz w:w="11905" w:h="16838"/>
          <w:pgMar w:top="1417" w:right="1417" w:bottom="1417" w:left="1417" w:header="720" w:footer="680" w:gutter="0"/>
          <w:cols w:space="720" w:num="1"/>
          <w:titlePg/>
        </w:sectPr>
      </w:pPr>
    </w:p>
    <w:p>
      <w:pPr>
        <w:rPr>
          <w:color w:val="auto"/>
          <w:highlight w:val="none"/>
        </w:rPr>
      </w:pPr>
    </w:p>
    <w:p>
      <w:pPr>
        <w:rPr>
          <w:color w:val="auto"/>
          <w:highlight w:val="none"/>
        </w:rPr>
      </w:pPr>
      <w:bookmarkStart w:id="426" w:name="_bookmark60"/>
      <w:bookmarkEnd w:id="426"/>
      <w:bookmarkStart w:id="427" w:name="_Toc62460230"/>
      <w:bookmarkStart w:id="428" w:name="_Toc28492"/>
      <w:r>
        <w:rPr>
          <w:color w:val="auto"/>
          <w:highlight w:val="none"/>
        </w:rPr>
        <w:t>附图13  运维管理系统架构</w:t>
      </w:r>
      <w:bookmarkEnd w:id="427"/>
      <w:bookmarkEnd w:id="428"/>
    </w:p>
    <w:p>
      <w:pPr>
        <w:rPr>
          <w:color w:val="auto"/>
          <w:highlight w:val="none"/>
        </w:rPr>
      </w:pPr>
      <w:r>
        <w:rPr>
          <w:color w:val="auto"/>
          <w:highlight w:val="none"/>
        </w:rPr>
        <w:drawing>
          <wp:inline distT="0" distB="0" distL="0" distR="0">
            <wp:extent cx="5866130" cy="5118100"/>
            <wp:effectExtent l="19050" t="0" r="0" b="0"/>
            <wp:docPr id="1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a:picLocks noChangeAspect="1" noChangeArrowheads="1"/>
                    </pic:cNvPicPr>
                  </pic:nvPicPr>
                  <pic:blipFill>
                    <a:blip r:embed="rId41"/>
                    <a:srcRect/>
                    <a:stretch>
                      <a:fillRect/>
                    </a:stretch>
                  </pic:blipFill>
                  <pic:spPr>
                    <a:xfrm>
                      <a:off x="0" y="0"/>
                      <a:ext cx="5866130" cy="5118100"/>
                    </a:xfrm>
                    <a:prstGeom prst="rect">
                      <a:avLst/>
                    </a:prstGeom>
                    <a:noFill/>
                    <a:ln w="9525" cmpd="sng">
                      <a:noFill/>
                      <a:miter lim="800000"/>
                      <a:headEnd/>
                      <a:tailEnd/>
                    </a:ln>
                    <a:effectLst/>
                  </pic:spPr>
                </pic:pic>
              </a:graphicData>
            </a:graphic>
          </wp:inline>
        </w:drawing>
      </w:r>
    </w:p>
    <w:p>
      <w:pPr>
        <w:rPr>
          <w:color w:val="auto"/>
          <w:highlight w:val="none"/>
        </w:rPr>
      </w:pPr>
      <w:bookmarkStart w:id="429" w:name="_Toc14478"/>
      <w:bookmarkStart w:id="430" w:name="_Toc62460231"/>
      <w:r>
        <w:rPr>
          <w:color w:val="auto"/>
          <w:highlight w:val="none"/>
        </w:rPr>
        <w:t>附图14  协同平台架构</w:t>
      </w:r>
      <w:bookmarkEnd w:id="429"/>
      <w:bookmarkEnd w:id="430"/>
    </w:p>
    <w:p>
      <w:pPr>
        <w:rPr>
          <w:color w:val="auto"/>
          <w:highlight w:val="none"/>
        </w:rPr>
      </w:pPr>
      <w:r>
        <w:rPr>
          <w:color w:val="auto"/>
          <w:highlight w:val="none"/>
        </w:rPr>
        <w:drawing>
          <wp:inline distT="0" distB="0" distL="0" distR="0">
            <wp:extent cx="2885440" cy="2280285"/>
            <wp:effectExtent l="19050" t="0" r="0" b="0"/>
            <wp:docPr id="17"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60"/>
                    <pic:cNvPicPr>
                      <a:picLocks noChangeAspect="1" noChangeArrowheads="1"/>
                    </pic:cNvPicPr>
                  </pic:nvPicPr>
                  <pic:blipFill>
                    <a:blip r:embed="rId42"/>
                    <a:srcRect/>
                    <a:stretch>
                      <a:fillRect/>
                    </a:stretch>
                  </pic:blipFill>
                  <pic:spPr>
                    <a:xfrm>
                      <a:off x="0" y="0"/>
                      <a:ext cx="2885440" cy="2280285"/>
                    </a:xfrm>
                    <a:prstGeom prst="rect">
                      <a:avLst/>
                    </a:prstGeom>
                    <a:noFill/>
                    <a:ln w="9525" cmpd="sng">
                      <a:noFill/>
                      <a:miter lim="800000"/>
                      <a:headEnd/>
                      <a:tailEnd/>
                    </a:ln>
                  </pic:spPr>
                </pic:pic>
              </a:graphicData>
            </a:graphic>
          </wp:inline>
        </w:drawing>
      </w:r>
    </w:p>
    <w:p>
      <w:pPr>
        <w:rPr>
          <w:color w:val="auto"/>
          <w:highlight w:val="none"/>
        </w:rPr>
        <w:sectPr>
          <w:pgSz w:w="11905" w:h="16838"/>
          <w:pgMar w:top="1417" w:right="1417" w:bottom="1417" w:left="1417" w:header="720" w:footer="680" w:gutter="0"/>
          <w:cols w:space="720" w:num="1"/>
          <w:titlePg/>
        </w:sectPr>
      </w:pPr>
    </w:p>
    <w:p>
      <w:pPr>
        <w:rPr>
          <w:color w:val="auto"/>
          <w:highlight w:val="none"/>
        </w:rPr>
      </w:pPr>
      <w:bookmarkStart w:id="431" w:name="_bookmark61"/>
      <w:bookmarkEnd w:id="431"/>
      <w:bookmarkStart w:id="432" w:name="_Toc27356"/>
      <w:bookmarkStart w:id="433" w:name="_Toc62460232"/>
      <w:r>
        <w:rPr>
          <w:color w:val="auto"/>
          <w:highlight w:val="none"/>
        </w:rPr>
        <w:t>附图15  BIM协同平台架构</w:t>
      </w:r>
      <w:bookmarkEnd w:id="432"/>
      <w:bookmarkEnd w:id="433"/>
    </w:p>
    <w:p>
      <w:pPr>
        <w:rPr>
          <w:color w:val="auto"/>
          <w:highlight w:val="none"/>
        </w:rPr>
      </w:pPr>
      <w:r>
        <w:rPr>
          <w:color w:val="auto"/>
          <w:highlight w:val="none"/>
        </w:rPr>
        <w:drawing>
          <wp:inline distT="0" distB="0" distL="0" distR="0">
            <wp:extent cx="5403215" cy="3182620"/>
            <wp:effectExtent l="19050" t="0" r="0" b="0"/>
            <wp:docPr id="1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a:picLocks noChangeAspect="1" noChangeArrowheads="1"/>
                    </pic:cNvPicPr>
                  </pic:nvPicPr>
                  <pic:blipFill>
                    <a:blip r:embed="rId43"/>
                    <a:srcRect/>
                    <a:stretch>
                      <a:fillRect/>
                    </a:stretch>
                  </pic:blipFill>
                  <pic:spPr>
                    <a:xfrm>
                      <a:off x="0" y="0"/>
                      <a:ext cx="5403215" cy="3182620"/>
                    </a:xfrm>
                    <a:prstGeom prst="rect">
                      <a:avLst/>
                    </a:prstGeom>
                    <a:noFill/>
                    <a:ln w="9525" cmpd="sng">
                      <a:noFill/>
                      <a:miter lim="800000"/>
                      <a:headEnd/>
                      <a:tailEnd/>
                    </a:ln>
                  </pic:spPr>
                </pic:pic>
              </a:graphicData>
            </a:graphic>
          </wp:inline>
        </w:drawing>
      </w:r>
    </w:p>
    <w:bookmarkEnd w:id="176"/>
    <w:p>
      <w:pPr>
        <w:rPr>
          <w:color w:val="auto"/>
          <w:highlight w:val="none"/>
        </w:rPr>
      </w:pPr>
    </w:p>
    <w:p>
      <w:pPr>
        <w:spacing w:line="360" w:lineRule="auto"/>
        <w:rPr>
          <w:rFonts w:asciiTheme="minorEastAsia" w:hAnsiTheme="minorEastAsia" w:eastAsiaTheme="minorEastAsia"/>
          <w:b/>
          <w:color w:val="auto"/>
          <w:sz w:val="24"/>
          <w:szCs w:val="24"/>
          <w:highlight w:val="none"/>
        </w:rPr>
      </w:pPr>
      <w:r>
        <w:rPr>
          <w:color w:val="auto"/>
          <w:highlight w:val="none"/>
        </w:rPr>
        <w:br w:type="page"/>
      </w:r>
    </w:p>
    <w:p>
      <w:pPr>
        <w:spacing w:before="120" w:after="120"/>
        <w:rPr>
          <w:rFonts w:ascii="宋体" w:hAnsi="宋体"/>
          <w:b/>
          <w:color w:val="auto"/>
          <w:sz w:val="30"/>
          <w:szCs w:val="30"/>
          <w:highlight w:val="none"/>
        </w:rPr>
      </w:pPr>
      <w:r>
        <w:rPr>
          <w:rFonts w:hint="eastAsia" w:ascii="宋体" w:hAnsi="宋体"/>
          <w:b/>
          <w:color w:val="auto"/>
          <w:sz w:val="24"/>
          <w:szCs w:val="24"/>
          <w:highlight w:val="none"/>
        </w:rPr>
        <w:t>附件9:B</w:t>
      </w:r>
      <w:r>
        <w:rPr>
          <w:rFonts w:ascii="宋体" w:hAnsi="宋体"/>
          <w:b/>
          <w:color w:val="auto"/>
          <w:sz w:val="24"/>
          <w:szCs w:val="24"/>
          <w:highlight w:val="none"/>
        </w:rPr>
        <w:t>IM</w:t>
      </w:r>
      <w:r>
        <w:rPr>
          <w:rFonts w:hint="eastAsia" w:ascii="宋体" w:hAnsi="宋体"/>
          <w:b/>
          <w:color w:val="auto"/>
          <w:sz w:val="24"/>
          <w:szCs w:val="24"/>
          <w:highlight w:val="none"/>
        </w:rPr>
        <w:t>实施管理标准</w:t>
      </w:r>
      <w:r>
        <w:rPr>
          <w:rFonts w:ascii="宋体" w:hAnsi="宋体"/>
          <w:b/>
          <w:color w:val="auto"/>
          <w:sz w:val="30"/>
          <w:szCs w:val="30"/>
          <w:highlight w:val="none"/>
        </w:rPr>
        <w:fldChar w:fldCharType="begin"/>
      </w:r>
      <w:r>
        <w:rPr>
          <w:rFonts w:ascii="宋体" w:hAnsi="宋体"/>
          <w:b/>
          <w:color w:val="auto"/>
          <w:sz w:val="30"/>
          <w:szCs w:val="30"/>
          <w:highlight w:val="none"/>
        </w:rPr>
        <w:instrText xml:space="preserve">ADDIN CNKISM.UserStyle</w:instrText>
      </w:r>
      <w:r>
        <w:rPr>
          <w:rFonts w:ascii="宋体" w:hAnsi="宋体"/>
          <w:b/>
          <w:color w:val="auto"/>
          <w:sz w:val="30"/>
          <w:szCs w:val="30"/>
          <w:highlight w:val="none"/>
        </w:rPr>
        <w:fldChar w:fldCharType="end"/>
      </w:r>
    </w:p>
    <w:p>
      <w:pPr>
        <w:snapToGrid w:val="0"/>
        <w:spacing w:line="480" w:lineRule="auto"/>
        <w:jc w:val="center"/>
        <w:rPr>
          <w:b/>
          <w:color w:val="auto"/>
          <w:sz w:val="52"/>
          <w:szCs w:val="52"/>
          <w:highlight w:val="none"/>
        </w:rPr>
      </w:pPr>
    </w:p>
    <w:p>
      <w:pPr>
        <w:pStyle w:val="48"/>
        <w:spacing w:before="120" w:after="120"/>
        <w:ind w:firstLine="1044"/>
        <w:rPr>
          <w:b/>
          <w:color w:val="auto"/>
          <w:sz w:val="52"/>
          <w:szCs w:val="52"/>
          <w:highlight w:val="none"/>
        </w:rPr>
      </w:pPr>
    </w:p>
    <w:p>
      <w:pPr>
        <w:pStyle w:val="48"/>
        <w:spacing w:before="120" w:after="120"/>
        <w:ind w:firstLine="1044"/>
        <w:rPr>
          <w:b/>
          <w:color w:val="auto"/>
          <w:sz w:val="52"/>
          <w:szCs w:val="52"/>
          <w:highlight w:val="none"/>
        </w:rPr>
      </w:pPr>
    </w:p>
    <w:p>
      <w:pPr>
        <w:widowControl/>
        <w:autoSpaceDE w:val="0"/>
        <w:autoSpaceDN w:val="0"/>
        <w:adjustRightInd w:val="0"/>
        <w:spacing w:before="120" w:after="120"/>
        <w:jc w:val="center"/>
        <w:rPr>
          <w:b/>
          <w:color w:val="auto"/>
          <w:sz w:val="52"/>
          <w:szCs w:val="52"/>
          <w:highlight w:val="none"/>
        </w:rPr>
      </w:pPr>
      <w:bookmarkStart w:id="434" w:name="_Hlk146121928"/>
      <w:r>
        <w:rPr>
          <w:rFonts w:hint="eastAsia"/>
          <w:b/>
          <w:color w:val="auto"/>
          <w:sz w:val="52"/>
          <w:szCs w:val="52"/>
          <w:highlight w:val="none"/>
        </w:rPr>
        <w:t>B</w:t>
      </w:r>
      <w:r>
        <w:rPr>
          <w:b/>
          <w:color w:val="auto"/>
          <w:sz w:val="52"/>
          <w:szCs w:val="52"/>
          <w:highlight w:val="none"/>
        </w:rPr>
        <w:t>IM</w:t>
      </w:r>
      <w:r>
        <w:rPr>
          <w:rFonts w:hint="eastAsia"/>
          <w:b/>
          <w:color w:val="auto"/>
          <w:sz w:val="52"/>
          <w:szCs w:val="52"/>
          <w:highlight w:val="none"/>
        </w:rPr>
        <w:t>实施管理标准</w:t>
      </w:r>
      <w:bookmarkEnd w:id="434"/>
    </w:p>
    <w:p>
      <w:pPr>
        <w:pStyle w:val="48"/>
        <w:spacing w:before="120" w:after="120"/>
        <w:ind w:firstLine="681"/>
        <w:jc w:val="center"/>
        <w:rPr>
          <w:rFonts w:eastAsia="黑体"/>
          <w:color w:val="auto"/>
          <w:highlight w:val="none"/>
        </w:rPr>
      </w:pPr>
      <w:r>
        <w:rPr>
          <w:rFonts w:hint="eastAsia" w:eastAsia="黑体"/>
          <w:color w:val="auto"/>
          <w:w w:val="95"/>
          <w:sz w:val="36"/>
          <w:szCs w:val="36"/>
          <w:highlight w:val="none"/>
        </w:rPr>
        <w:t>2</w:t>
      </w:r>
      <w:r>
        <w:rPr>
          <w:rFonts w:eastAsia="黑体"/>
          <w:color w:val="auto"/>
          <w:w w:val="95"/>
          <w:sz w:val="36"/>
          <w:szCs w:val="36"/>
          <w:highlight w:val="none"/>
        </w:rPr>
        <w:t>020</w:t>
      </w:r>
      <w:r>
        <w:rPr>
          <w:rFonts w:hint="eastAsia" w:eastAsia="黑体"/>
          <w:color w:val="auto"/>
          <w:w w:val="95"/>
          <w:sz w:val="36"/>
          <w:szCs w:val="36"/>
          <w:highlight w:val="none"/>
        </w:rPr>
        <w:t>_V1.0版</w:t>
      </w:r>
    </w:p>
    <w:p>
      <w:pPr>
        <w:snapToGrid w:val="0"/>
        <w:spacing w:line="480" w:lineRule="auto"/>
        <w:ind w:firstLine="1843" w:firstLineChars="510"/>
        <w:jc w:val="left"/>
        <w:rPr>
          <w:rFonts w:ascii="宋体" w:hAnsi="宋体"/>
          <w:b/>
          <w:color w:val="auto"/>
          <w:sz w:val="36"/>
          <w:szCs w:val="36"/>
          <w:highlight w:val="none"/>
          <w:u w:val="single"/>
        </w:rPr>
      </w:pPr>
    </w:p>
    <w:p>
      <w:pPr>
        <w:snapToGrid w:val="0"/>
        <w:spacing w:line="480" w:lineRule="auto"/>
        <w:ind w:firstLine="1843" w:firstLineChars="510"/>
        <w:jc w:val="left"/>
        <w:rPr>
          <w:rFonts w:ascii="宋体" w:hAnsi="宋体"/>
          <w:b/>
          <w:color w:val="auto"/>
          <w:sz w:val="36"/>
          <w:szCs w:val="36"/>
          <w:highlight w:val="none"/>
          <w:u w:val="single"/>
        </w:rPr>
      </w:pPr>
    </w:p>
    <w:p>
      <w:pPr>
        <w:snapToGrid w:val="0"/>
        <w:spacing w:line="480" w:lineRule="auto"/>
        <w:ind w:firstLine="1229" w:firstLineChars="510"/>
        <w:jc w:val="left"/>
        <w:rPr>
          <w:rFonts w:ascii="宋体" w:hAnsi="宋体"/>
          <w:b/>
          <w:color w:val="auto"/>
          <w:sz w:val="24"/>
          <w:highlight w:val="none"/>
          <w:u w:val="single"/>
        </w:rPr>
      </w:pPr>
    </w:p>
    <w:p>
      <w:pPr>
        <w:snapToGrid w:val="0"/>
        <w:spacing w:line="480" w:lineRule="auto"/>
        <w:ind w:firstLine="1229" w:firstLineChars="510"/>
        <w:jc w:val="left"/>
        <w:rPr>
          <w:rFonts w:ascii="宋体" w:hAnsi="宋体"/>
          <w:b/>
          <w:color w:val="auto"/>
          <w:sz w:val="24"/>
          <w:highlight w:val="none"/>
          <w:u w:val="single"/>
        </w:rPr>
      </w:pPr>
    </w:p>
    <w:p>
      <w:pPr>
        <w:spacing w:before="120" w:after="120"/>
        <w:rPr>
          <w:rFonts w:ascii="宋体" w:hAnsi="宋体"/>
          <w:b/>
          <w:color w:val="auto"/>
          <w:sz w:val="24"/>
          <w:highlight w:val="none"/>
          <w:u w:val="single"/>
        </w:rPr>
      </w:pPr>
    </w:p>
    <w:p>
      <w:pPr>
        <w:snapToGrid w:val="0"/>
        <w:spacing w:line="480" w:lineRule="auto"/>
        <w:ind w:firstLine="1229" w:firstLineChars="510"/>
        <w:jc w:val="left"/>
        <w:rPr>
          <w:rFonts w:ascii="宋体" w:hAnsi="宋体"/>
          <w:b/>
          <w:color w:val="auto"/>
          <w:sz w:val="24"/>
          <w:highlight w:val="none"/>
          <w:u w:val="single"/>
        </w:rPr>
      </w:pPr>
    </w:p>
    <w:p>
      <w:pPr>
        <w:snapToGrid w:val="0"/>
        <w:spacing w:line="480" w:lineRule="auto"/>
        <w:ind w:firstLine="1229" w:firstLineChars="510"/>
        <w:jc w:val="left"/>
        <w:rPr>
          <w:rFonts w:ascii="宋体" w:hAnsi="宋体"/>
          <w:b/>
          <w:color w:val="auto"/>
          <w:sz w:val="24"/>
          <w:highlight w:val="none"/>
          <w:u w:val="single"/>
        </w:rPr>
      </w:pPr>
    </w:p>
    <w:p>
      <w:pPr>
        <w:snapToGrid w:val="0"/>
        <w:spacing w:line="480" w:lineRule="auto"/>
        <w:jc w:val="left"/>
        <w:rPr>
          <w:rFonts w:ascii="宋体" w:hAnsi="宋体"/>
          <w:b/>
          <w:color w:val="auto"/>
          <w:sz w:val="24"/>
          <w:highlight w:val="none"/>
          <w:u w:val="single"/>
        </w:rPr>
      </w:pPr>
    </w:p>
    <w:p>
      <w:pPr>
        <w:widowControl/>
        <w:jc w:val="center"/>
        <w:rPr>
          <w:rFonts w:ascii="宋体" w:hAnsi="宋体"/>
          <w:b/>
          <w:color w:val="auto"/>
          <w:sz w:val="32"/>
          <w:szCs w:val="32"/>
          <w:highlight w:val="none"/>
        </w:rPr>
      </w:pPr>
      <w:r>
        <w:rPr>
          <w:rFonts w:hint="eastAsia" w:ascii="宋体" w:hAnsi="宋体"/>
          <w:b/>
          <w:color w:val="auto"/>
          <w:sz w:val="32"/>
          <w:szCs w:val="32"/>
          <w:highlight w:val="none"/>
        </w:rPr>
        <w:t>广东省代建项目管理局</w:t>
      </w:r>
    </w:p>
    <w:p>
      <w:pPr>
        <w:widowControl/>
        <w:jc w:val="center"/>
        <w:rPr>
          <w:rFonts w:ascii="宋体" w:hAnsi="宋体"/>
          <w:b/>
          <w:color w:val="auto"/>
          <w:sz w:val="32"/>
          <w:szCs w:val="32"/>
          <w:highlight w:val="none"/>
        </w:rPr>
      </w:pPr>
      <w:r>
        <w:rPr>
          <w:rFonts w:hint="eastAsia" w:ascii="宋体" w:hAnsi="宋体"/>
          <w:b/>
          <w:color w:val="auto"/>
          <w:sz w:val="32"/>
          <w:szCs w:val="32"/>
          <w:highlight w:val="none"/>
        </w:rPr>
        <w:t>2020年10月</w:t>
      </w:r>
      <w:r>
        <w:rPr>
          <w:rFonts w:ascii="宋体" w:hAnsi="宋体"/>
          <w:b/>
          <w:color w:val="auto"/>
          <w:sz w:val="32"/>
          <w:szCs w:val="32"/>
          <w:highlight w:val="none"/>
        </w:rPr>
        <w:br w:type="page"/>
      </w:r>
    </w:p>
    <w:p>
      <w:pPr>
        <w:spacing w:before="120" w:after="120"/>
        <w:jc w:val="center"/>
        <w:rPr>
          <w:b/>
          <w:color w:val="auto"/>
          <w:sz w:val="32"/>
          <w:szCs w:val="32"/>
          <w:highlight w:val="none"/>
        </w:rPr>
      </w:pPr>
      <w:bookmarkStart w:id="435" w:name="_Toc499824479"/>
      <w:bookmarkStart w:id="436" w:name="_Toc488224222"/>
      <w:r>
        <w:rPr>
          <w:rFonts w:hint="eastAsia"/>
          <w:b/>
          <w:color w:val="auto"/>
          <w:sz w:val="32"/>
          <w:szCs w:val="32"/>
          <w:highlight w:val="none"/>
        </w:rPr>
        <w:t>前 言</w:t>
      </w:r>
      <w:bookmarkEnd w:id="435"/>
      <w:bookmarkEnd w:id="436"/>
    </w:p>
    <w:p>
      <w:pPr>
        <w:spacing w:before="120" w:after="120"/>
        <w:ind w:firstLine="420"/>
        <w:rPr>
          <w:color w:val="auto"/>
          <w:highlight w:val="none"/>
        </w:rPr>
      </w:pPr>
    </w:p>
    <w:p>
      <w:pPr>
        <w:spacing w:before="120" w:after="120"/>
        <w:ind w:firstLine="420" w:firstLineChars="200"/>
        <w:rPr>
          <w:color w:val="auto"/>
          <w:highlight w:val="none"/>
        </w:rPr>
      </w:pPr>
      <w:r>
        <w:rPr>
          <w:rFonts w:hint="eastAsia"/>
          <w:color w:val="auto"/>
          <w:highlight w:val="none"/>
        </w:rPr>
        <w:t>为规范我局政府投资项目BIM实施管理流程，实现规范化、科学化、标准化的项目管理目标。标准编制组经调查研究，总结我局BIM应用的实践经验，参考有关国际、国内标准和先进项目经验，并广泛征求意见和结合广东省实际，组织进行专题研讨，特此制定《广东省代建项目管理局BIM实施管理标准》（以下简称《标准》）。</w:t>
      </w:r>
    </w:p>
    <w:p>
      <w:pPr>
        <w:spacing w:before="120" w:after="120"/>
        <w:ind w:firstLine="420" w:firstLineChars="200"/>
        <w:rPr>
          <w:color w:val="auto"/>
          <w:highlight w:val="none"/>
        </w:rPr>
      </w:pPr>
      <w:r>
        <w:rPr>
          <w:rFonts w:hint="eastAsia"/>
          <w:color w:val="auto"/>
          <w:highlight w:val="none"/>
        </w:rPr>
        <w:t>本《标准》总结广东省代建项目管理局（以下简称代建局）在建设工程项目中运用BIM的管理方法及经验，规范BIM实施管理，共包含9章内容，主要内容包括：总则、术语、基本规定、管理组织规定、职责要求、项目应用实施管理、交付成果、协同要求、附件等。其中附件为《广东省代建项目管理局BIM实施导则》，内容包括：目标及应用点、BIM模型实施管理、项目控制、交付成果要求、协同平台要求、软件标准、附表、附图。</w:t>
      </w:r>
    </w:p>
    <w:p>
      <w:pPr>
        <w:spacing w:before="120" w:after="120"/>
        <w:ind w:firstLine="420" w:firstLineChars="200"/>
        <w:rPr>
          <w:color w:val="auto"/>
          <w:highlight w:val="none"/>
        </w:rPr>
      </w:pPr>
      <w:r>
        <w:rPr>
          <w:rFonts w:hint="eastAsia"/>
          <w:color w:val="auto"/>
          <w:highlight w:val="none"/>
        </w:rPr>
        <w:t>本标准由广东省代建项目管理局组织局BIM技术应该管理领导小组及小组技术顾问单位联合编制，由</w:t>
      </w:r>
      <w:r>
        <w:rPr>
          <w:rFonts w:hint="eastAsia"/>
          <w:color w:val="auto"/>
          <w:szCs w:val="21"/>
          <w:highlight w:val="none"/>
        </w:rPr>
        <w:t>局BIM技术应该管理领导小组技术顾问单位</w:t>
      </w:r>
      <w:r>
        <w:rPr>
          <w:rFonts w:hint="eastAsia"/>
          <w:color w:val="auto"/>
          <w:highlight w:val="none"/>
        </w:rPr>
        <w:t>负责具体技术内容的解释，且本标准未涉及专利。</w:t>
      </w:r>
    </w:p>
    <w:p>
      <w:pPr>
        <w:spacing w:before="120" w:after="120"/>
        <w:ind w:firstLine="422" w:firstLineChars="200"/>
        <w:rPr>
          <w:color w:val="auto"/>
          <w:szCs w:val="21"/>
          <w:highlight w:val="none"/>
        </w:rPr>
      </w:pPr>
      <w:r>
        <w:rPr>
          <w:rFonts w:hint="eastAsia"/>
          <w:b/>
          <w:bCs/>
          <w:color w:val="auto"/>
          <w:highlight w:val="none"/>
        </w:rPr>
        <w:t>本标准主编单位：</w:t>
      </w:r>
      <w:r>
        <w:rPr>
          <w:rFonts w:hint="eastAsia"/>
          <w:color w:val="auto"/>
          <w:szCs w:val="21"/>
          <w:highlight w:val="none"/>
        </w:rPr>
        <w:t>广东省代建项目管理局</w:t>
      </w:r>
    </w:p>
    <w:p>
      <w:pPr>
        <w:pStyle w:val="48"/>
        <w:spacing w:before="120" w:after="120"/>
        <w:ind w:firstLine="360"/>
        <w:jc w:val="both"/>
        <w:rPr>
          <w:color w:val="auto"/>
          <w:highlight w:val="none"/>
        </w:rPr>
      </w:pPr>
    </w:p>
    <w:p>
      <w:pPr>
        <w:spacing w:before="120" w:after="120"/>
        <w:ind w:left="2107" w:leftChars="200" w:hanging="1687" w:hangingChars="800"/>
        <w:rPr>
          <w:b/>
          <w:bCs/>
          <w:color w:val="auto"/>
          <w:highlight w:val="none"/>
        </w:rPr>
      </w:pPr>
      <w:r>
        <w:rPr>
          <w:rFonts w:hint="eastAsia"/>
          <w:b/>
          <w:bCs/>
          <w:color w:val="auto"/>
          <w:highlight w:val="none"/>
        </w:rPr>
        <w:t>本标准参编单位：</w:t>
      </w:r>
      <w:r>
        <w:rPr>
          <w:color w:val="auto"/>
          <w:szCs w:val="21"/>
          <w:highlight w:val="none"/>
        </w:rPr>
        <w:t>中国建筑第四工程局有限公司、</w:t>
      </w:r>
      <w:r>
        <w:rPr>
          <w:rFonts w:hint="eastAsia"/>
          <w:color w:val="auto"/>
          <w:szCs w:val="21"/>
          <w:highlight w:val="none"/>
        </w:rPr>
        <w:t>中建三局集团有限公司、中国建筑第八工程局有限公司、中国建筑西南设计研究院有限公司、广东省建筑科学研究院集团股份有限公司。</w:t>
      </w:r>
    </w:p>
    <w:p>
      <w:pPr>
        <w:pStyle w:val="48"/>
        <w:spacing w:before="120" w:after="120"/>
        <w:ind w:firstLine="0" w:firstLineChars="0"/>
        <w:jc w:val="both"/>
        <w:rPr>
          <w:color w:val="auto"/>
          <w:kern w:val="2"/>
          <w:sz w:val="21"/>
          <w:szCs w:val="24"/>
          <w:highlight w:val="none"/>
        </w:rPr>
      </w:pPr>
    </w:p>
    <w:p>
      <w:pPr>
        <w:spacing w:before="120" w:after="120"/>
        <w:ind w:firstLine="422" w:firstLineChars="200"/>
        <w:rPr>
          <w:color w:val="auto"/>
          <w:szCs w:val="21"/>
          <w:highlight w:val="none"/>
        </w:rPr>
      </w:pPr>
      <w:r>
        <w:rPr>
          <w:rFonts w:hint="eastAsia"/>
          <w:b/>
          <w:bCs/>
          <w:color w:val="auto"/>
          <w:highlight w:val="none"/>
        </w:rPr>
        <w:t>本标准主要编制人员：</w:t>
      </w:r>
      <w:r>
        <w:rPr>
          <w:rFonts w:hint="eastAsia"/>
          <w:color w:val="auto"/>
          <w:szCs w:val="21"/>
          <w:highlight w:val="none"/>
        </w:rPr>
        <w:t xml:space="preserve">杜 挺 曹剑锋 龙定洲 张雪晋 张为健 杨友才 </w:t>
      </w:r>
    </w:p>
    <w:p>
      <w:pPr>
        <w:spacing w:before="120" w:after="120"/>
        <w:ind w:firstLine="2520" w:firstLineChars="1200"/>
        <w:rPr>
          <w:color w:val="auto"/>
          <w:szCs w:val="21"/>
          <w:highlight w:val="none"/>
        </w:rPr>
      </w:pPr>
      <w:r>
        <w:rPr>
          <w:rFonts w:hint="eastAsia"/>
          <w:color w:val="auto"/>
          <w:szCs w:val="21"/>
          <w:highlight w:val="none"/>
        </w:rPr>
        <w:t>邱佐军 周子璐 桂峥嵘 李  兵 梁江滨 陈剑辉</w:t>
      </w:r>
    </w:p>
    <w:p>
      <w:pPr>
        <w:spacing w:before="120" w:after="120"/>
        <w:ind w:firstLine="2520" w:firstLineChars="1200"/>
        <w:rPr>
          <w:color w:val="auto"/>
          <w:szCs w:val="21"/>
          <w:highlight w:val="none"/>
        </w:rPr>
      </w:pPr>
      <w:r>
        <w:rPr>
          <w:rFonts w:hint="eastAsia"/>
          <w:color w:val="auto"/>
          <w:szCs w:val="21"/>
          <w:highlight w:val="none"/>
        </w:rPr>
        <w:t>方明洋 刘梦豪 刘冠林 刘智杰 严  达 莫林昊</w:t>
      </w:r>
    </w:p>
    <w:p>
      <w:pPr>
        <w:pStyle w:val="48"/>
        <w:spacing w:before="120" w:after="120"/>
        <w:ind w:firstLine="0" w:firstLineChars="0"/>
        <w:jc w:val="both"/>
        <w:rPr>
          <w:color w:val="auto"/>
          <w:kern w:val="2"/>
          <w:sz w:val="21"/>
          <w:szCs w:val="24"/>
          <w:highlight w:val="none"/>
        </w:rPr>
      </w:pPr>
    </w:p>
    <w:p>
      <w:pPr>
        <w:spacing w:before="120" w:after="120"/>
        <w:ind w:firstLine="422" w:firstLineChars="200"/>
        <w:rPr>
          <w:color w:val="auto"/>
          <w:szCs w:val="21"/>
          <w:highlight w:val="none"/>
        </w:rPr>
        <w:sectPr>
          <w:headerReference r:id="rId17" w:type="first"/>
          <w:footerReference r:id="rId20" w:type="first"/>
          <w:headerReference r:id="rId15" w:type="default"/>
          <w:footerReference r:id="rId18" w:type="default"/>
          <w:headerReference r:id="rId16" w:type="even"/>
          <w:footerReference r:id="rId19" w:type="even"/>
          <w:pgSz w:w="11905" w:h="16838"/>
          <w:pgMar w:top="1417" w:right="1417" w:bottom="1417" w:left="1417" w:header="720" w:footer="680" w:gutter="0"/>
          <w:cols w:space="720" w:num="1"/>
          <w:titlePg/>
          <w:docGrid w:linePitch="286" w:charSpace="0"/>
        </w:sectPr>
      </w:pPr>
      <w:r>
        <w:rPr>
          <w:rFonts w:hint="eastAsia"/>
          <w:b/>
          <w:bCs/>
          <w:color w:val="auto"/>
          <w:highlight w:val="none"/>
        </w:rPr>
        <w:t>本标准主要审查人员：</w:t>
      </w:r>
      <w:r>
        <w:rPr>
          <w:rFonts w:hint="eastAsia"/>
          <w:color w:val="auto"/>
          <w:szCs w:val="21"/>
          <w:highlight w:val="none"/>
        </w:rPr>
        <w:t xml:space="preserve">陈嘉庆许志坚 沈锦醇 危志勇 </w:t>
      </w:r>
    </w:p>
    <w:p>
      <w:pPr>
        <w:pStyle w:val="46"/>
        <w:spacing w:after="240"/>
        <w:outlineLvl w:val="9"/>
        <w:rPr>
          <w:color w:val="auto"/>
          <w:highlight w:val="none"/>
        </w:rPr>
      </w:pPr>
      <w:bookmarkStart w:id="437" w:name="_Toc12450"/>
      <w:r>
        <w:rPr>
          <w:rFonts w:hint="eastAsia"/>
          <w:color w:val="auto"/>
          <w:highlight w:val="none"/>
        </w:rPr>
        <w:t>目   次</w:t>
      </w:r>
      <w:bookmarkEnd w:id="437"/>
    </w:p>
    <w:p>
      <w:pPr>
        <w:pStyle w:val="42"/>
        <w:spacing w:before="120" w:after="120"/>
        <w:rPr>
          <w:rFonts w:eastAsia="宋体"/>
          <w:color w:val="auto"/>
          <w:sz w:val="21"/>
          <w:highlight w:val="none"/>
        </w:rPr>
      </w:pPr>
      <w:r>
        <w:rPr>
          <w:rFonts w:eastAsia="宋体"/>
          <w:color w:val="auto"/>
          <w:highlight w:val="none"/>
        </w:rPr>
        <w:fldChar w:fldCharType="begin"/>
      </w:r>
      <w:r>
        <w:rPr>
          <w:rFonts w:eastAsia="宋体"/>
          <w:color w:val="auto"/>
          <w:highlight w:val="none"/>
        </w:rPr>
        <w:instrText xml:space="preserve"> TOC \o "1-2" \u </w:instrText>
      </w:r>
      <w:r>
        <w:rPr>
          <w:rFonts w:eastAsia="宋体"/>
          <w:color w:val="auto"/>
          <w:highlight w:val="none"/>
        </w:rPr>
        <w:fldChar w:fldCharType="separate"/>
      </w:r>
      <w:r>
        <w:rPr>
          <w:rFonts w:eastAsia="宋体"/>
          <w:bCs/>
          <w:color w:val="auto"/>
          <w:highlight w:val="none"/>
        </w:rPr>
        <w:t>1 总  则</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_Toc54567585 \h </w:instrText>
      </w:r>
      <w:r>
        <w:rPr>
          <w:rFonts w:eastAsia="宋体"/>
          <w:color w:val="auto"/>
          <w:highlight w:val="none"/>
        </w:rPr>
        <w:fldChar w:fldCharType="separate"/>
      </w:r>
      <w:r>
        <w:rPr>
          <w:rFonts w:eastAsia="宋体"/>
          <w:color w:val="auto"/>
          <w:highlight w:val="none"/>
        </w:rPr>
        <w:t>154</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2 术  语</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_Toc54567586 \h </w:instrText>
      </w:r>
      <w:r>
        <w:rPr>
          <w:rFonts w:eastAsia="宋体"/>
          <w:color w:val="auto"/>
          <w:highlight w:val="none"/>
        </w:rPr>
        <w:fldChar w:fldCharType="separate"/>
      </w:r>
      <w:r>
        <w:rPr>
          <w:rFonts w:eastAsia="宋体"/>
          <w:color w:val="auto"/>
          <w:highlight w:val="none"/>
        </w:rPr>
        <w:t>154</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3 基本规定</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_Toc54567587 \h </w:instrText>
      </w:r>
      <w:r>
        <w:rPr>
          <w:rFonts w:eastAsia="宋体"/>
          <w:color w:val="auto"/>
          <w:highlight w:val="none"/>
        </w:rPr>
        <w:fldChar w:fldCharType="separate"/>
      </w:r>
      <w:r>
        <w:rPr>
          <w:rFonts w:eastAsia="宋体"/>
          <w:color w:val="auto"/>
          <w:highlight w:val="none"/>
        </w:rPr>
        <w:t>156</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3.1</w:t>
      </w:r>
      <w:r>
        <w:rPr>
          <w:rFonts w:eastAsia="宋体"/>
          <w:bCs/>
          <w:color w:val="auto"/>
          <w:highlight w:val="none"/>
        </w:rPr>
        <w:t xml:space="preserve"> BIM实施目标</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_Toc54567588 \h </w:instrText>
      </w:r>
      <w:r>
        <w:rPr>
          <w:rFonts w:eastAsia="宋体"/>
          <w:color w:val="auto"/>
          <w:highlight w:val="none"/>
        </w:rPr>
        <w:fldChar w:fldCharType="separate"/>
      </w:r>
      <w:r>
        <w:rPr>
          <w:rFonts w:eastAsia="宋体"/>
          <w:color w:val="auto"/>
          <w:highlight w:val="none"/>
        </w:rPr>
        <w:t>156</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3.2</w:t>
      </w:r>
      <w:r>
        <w:rPr>
          <w:rFonts w:eastAsia="宋体"/>
          <w:bCs/>
          <w:color w:val="auto"/>
          <w:highlight w:val="none"/>
        </w:rPr>
        <w:t xml:space="preserve"> BIM实施原则</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_Toc54567589 \h </w:instrText>
      </w:r>
      <w:r>
        <w:rPr>
          <w:rFonts w:eastAsia="宋体"/>
          <w:color w:val="auto"/>
          <w:highlight w:val="none"/>
        </w:rPr>
        <w:fldChar w:fldCharType="separate"/>
      </w:r>
      <w:r>
        <w:rPr>
          <w:rFonts w:eastAsia="宋体"/>
          <w:color w:val="auto"/>
          <w:highlight w:val="none"/>
        </w:rPr>
        <w:t>156</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3.3</w:t>
      </w:r>
      <w:r>
        <w:rPr>
          <w:rFonts w:eastAsia="宋体"/>
          <w:bCs/>
          <w:color w:val="auto"/>
          <w:highlight w:val="none"/>
        </w:rPr>
        <w:t xml:space="preserve"> BIM实施要求</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_Toc54567590 \h </w:instrText>
      </w:r>
      <w:r>
        <w:rPr>
          <w:rFonts w:eastAsia="宋体"/>
          <w:color w:val="auto"/>
          <w:highlight w:val="none"/>
        </w:rPr>
        <w:fldChar w:fldCharType="separate"/>
      </w:r>
      <w:r>
        <w:rPr>
          <w:rFonts w:eastAsia="宋体"/>
          <w:color w:val="auto"/>
          <w:highlight w:val="none"/>
        </w:rPr>
        <w:t>156</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4 管理组织规定</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_Toc54567591 \h </w:instrText>
      </w:r>
      <w:r>
        <w:rPr>
          <w:rFonts w:eastAsia="宋体"/>
          <w:color w:val="auto"/>
          <w:highlight w:val="none"/>
        </w:rPr>
        <w:fldChar w:fldCharType="separate"/>
      </w:r>
      <w:r>
        <w:rPr>
          <w:rFonts w:eastAsia="宋体"/>
          <w:color w:val="auto"/>
          <w:highlight w:val="none"/>
        </w:rPr>
        <w:t>158</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4.1</w:t>
      </w:r>
      <w:r>
        <w:rPr>
          <w:rFonts w:eastAsia="宋体"/>
          <w:bCs/>
          <w:color w:val="auto"/>
          <w:highlight w:val="none"/>
        </w:rPr>
        <w:t xml:space="preserve"> BIM管理组织架构</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_Toc54567592 \h </w:instrText>
      </w:r>
      <w:r>
        <w:rPr>
          <w:rFonts w:eastAsia="宋体"/>
          <w:color w:val="auto"/>
          <w:highlight w:val="none"/>
        </w:rPr>
        <w:fldChar w:fldCharType="separate"/>
      </w:r>
      <w:r>
        <w:rPr>
          <w:rFonts w:eastAsia="宋体"/>
          <w:color w:val="auto"/>
          <w:highlight w:val="none"/>
        </w:rPr>
        <w:t>158</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4.2</w:t>
      </w:r>
      <w:r>
        <w:rPr>
          <w:rFonts w:eastAsia="宋体"/>
          <w:bCs/>
          <w:color w:val="auto"/>
          <w:highlight w:val="none"/>
        </w:rPr>
        <w:t xml:space="preserve"> BIM项目管理流程</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_Toc54567593 \h </w:instrText>
      </w:r>
      <w:r>
        <w:rPr>
          <w:rFonts w:eastAsia="宋体"/>
          <w:color w:val="auto"/>
          <w:highlight w:val="none"/>
        </w:rPr>
        <w:fldChar w:fldCharType="separate"/>
      </w:r>
      <w:r>
        <w:rPr>
          <w:rFonts w:eastAsia="宋体"/>
          <w:color w:val="auto"/>
          <w:highlight w:val="none"/>
        </w:rPr>
        <w:t>158</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4.3</w:t>
      </w:r>
      <w:r>
        <w:rPr>
          <w:rFonts w:eastAsia="宋体"/>
          <w:bCs/>
          <w:color w:val="auto"/>
          <w:highlight w:val="none"/>
        </w:rPr>
        <w:t xml:space="preserve"> BIM项目管理主要工作内容</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_Toc54567594 \h </w:instrText>
      </w:r>
      <w:r>
        <w:rPr>
          <w:rFonts w:eastAsia="宋体"/>
          <w:color w:val="auto"/>
          <w:highlight w:val="none"/>
        </w:rPr>
        <w:fldChar w:fldCharType="separate"/>
      </w:r>
      <w:r>
        <w:rPr>
          <w:rFonts w:eastAsia="宋体"/>
          <w:color w:val="auto"/>
          <w:highlight w:val="none"/>
        </w:rPr>
        <w:t>158</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4.4</w:t>
      </w:r>
      <w:r>
        <w:rPr>
          <w:rFonts w:eastAsia="宋体"/>
          <w:bCs/>
          <w:color w:val="auto"/>
          <w:highlight w:val="none"/>
        </w:rPr>
        <w:t xml:space="preserve"> BIM项目实施总体流程</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_Toc54567595 \h </w:instrText>
      </w:r>
      <w:r>
        <w:rPr>
          <w:rFonts w:eastAsia="宋体"/>
          <w:color w:val="auto"/>
          <w:highlight w:val="none"/>
        </w:rPr>
        <w:fldChar w:fldCharType="separate"/>
      </w:r>
      <w:r>
        <w:rPr>
          <w:rFonts w:eastAsia="宋体"/>
          <w:color w:val="auto"/>
          <w:highlight w:val="none"/>
        </w:rPr>
        <w:t>159</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5 职责要求</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_Toc54567596 \h </w:instrText>
      </w:r>
      <w:r>
        <w:rPr>
          <w:rFonts w:eastAsia="宋体"/>
          <w:color w:val="auto"/>
          <w:highlight w:val="none"/>
        </w:rPr>
        <w:fldChar w:fldCharType="separate"/>
      </w:r>
      <w:r>
        <w:rPr>
          <w:rFonts w:eastAsia="宋体"/>
          <w:color w:val="auto"/>
          <w:highlight w:val="none"/>
        </w:rPr>
        <w:t>160</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5.1</w:t>
      </w:r>
      <w:r>
        <w:rPr>
          <w:rFonts w:eastAsia="宋体"/>
          <w:bCs/>
          <w:color w:val="auto"/>
          <w:highlight w:val="none"/>
        </w:rPr>
        <w:t xml:space="preserve"> 各参与方的能力要求</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_Toc54567597 \h </w:instrText>
      </w:r>
      <w:r>
        <w:rPr>
          <w:rFonts w:eastAsia="宋体"/>
          <w:color w:val="auto"/>
          <w:highlight w:val="none"/>
        </w:rPr>
        <w:fldChar w:fldCharType="separate"/>
      </w:r>
      <w:r>
        <w:rPr>
          <w:rFonts w:eastAsia="宋体"/>
          <w:color w:val="auto"/>
          <w:highlight w:val="none"/>
        </w:rPr>
        <w:t>160</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5.2</w:t>
      </w:r>
      <w:r>
        <w:rPr>
          <w:rFonts w:eastAsia="宋体"/>
          <w:bCs/>
          <w:color w:val="auto"/>
          <w:highlight w:val="none"/>
        </w:rPr>
        <w:t xml:space="preserve"> 各参与方的工作职责</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_Toc54567598 \h </w:instrText>
      </w:r>
      <w:r>
        <w:rPr>
          <w:rFonts w:eastAsia="宋体"/>
          <w:color w:val="auto"/>
          <w:highlight w:val="none"/>
        </w:rPr>
        <w:fldChar w:fldCharType="separate"/>
      </w:r>
      <w:r>
        <w:rPr>
          <w:rFonts w:eastAsia="宋体"/>
          <w:color w:val="auto"/>
          <w:highlight w:val="none"/>
        </w:rPr>
        <w:t>160</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6 项目应用实施管理</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_Toc54567599 \h </w:instrText>
      </w:r>
      <w:r>
        <w:rPr>
          <w:rFonts w:eastAsia="宋体"/>
          <w:color w:val="auto"/>
          <w:highlight w:val="none"/>
        </w:rPr>
        <w:fldChar w:fldCharType="separate"/>
      </w:r>
      <w:r>
        <w:rPr>
          <w:rFonts w:eastAsia="宋体"/>
          <w:color w:val="auto"/>
          <w:highlight w:val="none"/>
        </w:rPr>
        <w:t>162</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6.1</w:t>
      </w:r>
      <w:r>
        <w:rPr>
          <w:rFonts w:eastAsia="宋体"/>
          <w:bCs/>
          <w:color w:val="auto"/>
          <w:highlight w:val="none"/>
        </w:rPr>
        <w:t xml:space="preserve"> 项目管理规定</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_Toc54567600 \h </w:instrText>
      </w:r>
      <w:r>
        <w:rPr>
          <w:rFonts w:eastAsia="宋体"/>
          <w:color w:val="auto"/>
          <w:highlight w:val="none"/>
        </w:rPr>
        <w:fldChar w:fldCharType="separate"/>
      </w:r>
      <w:r>
        <w:rPr>
          <w:rFonts w:eastAsia="宋体"/>
          <w:color w:val="auto"/>
          <w:highlight w:val="none"/>
        </w:rPr>
        <w:t>162</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6.2</w:t>
      </w:r>
      <w:r>
        <w:rPr>
          <w:rFonts w:eastAsia="宋体"/>
          <w:bCs/>
          <w:color w:val="auto"/>
          <w:highlight w:val="none"/>
        </w:rPr>
        <w:t xml:space="preserve"> 项目管理流程</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_Toc54567601 \h </w:instrText>
      </w:r>
      <w:r>
        <w:rPr>
          <w:rFonts w:eastAsia="宋体"/>
          <w:color w:val="auto"/>
          <w:highlight w:val="none"/>
        </w:rPr>
        <w:fldChar w:fldCharType="separate"/>
      </w:r>
      <w:r>
        <w:rPr>
          <w:rFonts w:eastAsia="宋体"/>
          <w:color w:val="auto"/>
          <w:highlight w:val="none"/>
        </w:rPr>
        <w:t>163</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7 交付成果</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_Toc54567602 \h </w:instrText>
      </w:r>
      <w:r>
        <w:rPr>
          <w:rFonts w:eastAsia="宋体"/>
          <w:color w:val="auto"/>
          <w:highlight w:val="none"/>
        </w:rPr>
        <w:fldChar w:fldCharType="separate"/>
      </w:r>
      <w:r>
        <w:rPr>
          <w:rFonts w:eastAsia="宋体"/>
          <w:color w:val="auto"/>
          <w:highlight w:val="none"/>
        </w:rPr>
        <w:t>170</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7.1</w:t>
      </w:r>
      <w:r>
        <w:rPr>
          <w:rFonts w:eastAsia="宋体"/>
          <w:bCs/>
          <w:color w:val="auto"/>
          <w:highlight w:val="none"/>
        </w:rPr>
        <w:t xml:space="preserve"> 交付成果基本要求</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_Toc54567603 \h </w:instrText>
      </w:r>
      <w:r>
        <w:rPr>
          <w:rFonts w:eastAsia="宋体"/>
          <w:color w:val="auto"/>
          <w:highlight w:val="none"/>
        </w:rPr>
        <w:fldChar w:fldCharType="separate"/>
      </w:r>
      <w:r>
        <w:rPr>
          <w:rFonts w:eastAsia="宋体"/>
          <w:color w:val="auto"/>
          <w:highlight w:val="none"/>
        </w:rPr>
        <w:t>170</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7.2</w:t>
      </w:r>
      <w:r>
        <w:rPr>
          <w:rFonts w:eastAsia="宋体"/>
          <w:bCs/>
          <w:color w:val="auto"/>
          <w:highlight w:val="none"/>
        </w:rPr>
        <w:t xml:space="preserve"> 成果交付审查流程</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_Toc54567604 \h </w:instrText>
      </w:r>
      <w:r>
        <w:rPr>
          <w:rFonts w:eastAsia="宋体"/>
          <w:color w:val="auto"/>
          <w:highlight w:val="none"/>
        </w:rPr>
        <w:fldChar w:fldCharType="separate"/>
      </w:r>
      <w:r>
        <w:rPr>
          <w:rFonts w:eastAsia="宋体"/>
          <w:color w:val="auto"/>
          <w:highlight w:val="none"/>
        </w:rPr>
        <w:t>170</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7.3</w:t>
      </w:r>
      <w:r>
        <w:rPr>
          <w:rFonts w:eastAsia="宋体"/>
          <w:bCs/>
          <w:color w:val="auto"/>
          <w:highlight w:val="none"/>
        </w:rPr>
        <w:t xml:space="preserve"> 信息安全与知识产权规定</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_Toc54567605 \h </w:instrText>
      </w:r>
      <w:r>
        <w:rPr>
          <w:rFonts w:eastAsia="宋体"/>
          <w:color w:val="auto"/>
          <w:highlight w:val="none"/>
        </w:rPr>
        <w:fldChar w:fldCharType="separate"/>
      </w:r>
      <w:r>
        <w:rPr>
          <w:rFonts w:eastAsia="宋体"/>
          <w:color w:val="auto"/>
          <w:highlight w:val="none"/>
        </w:rPr>
        <w:t>171</w:t>
      </w:r>
      <w:r>
        <w:rPr>
          <w:rFonts w:eastAsia="宋体"/>
          <w:color w:val="auto"/>
          <w:highlight w:val="none"/>
        </w:rPr>
        <w:fldChar w:fldCharType="end"/>
      </w:r>
    </w:p>
    <w:p>
      <w:pPr>
        <w:pStyle w:val="42"/>
        <w:spacing w:before="120" w:after="120"/>
        <w:rPr>
          <w:rFonts w:eastAsia="宋体"/>
          <w:color w:val="auto"/>
          <w:sz w:val="21"/>
          <w:highlight w:val="none"/>
        </w:rPr>
      </w:pPr>
      <w:r>
        <w:rPr>
          <w:rFonts w:eastAsia="宋体"/>
          <w:bCs/>
          <w:color w:val="auto"/>
          <w:highlight w:val="none"/>
        </w:rPr>
        <w:t>8 协同要求</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_Toc54567606 \h </w:instrText>
      </w:r>
      <w:r>
        <w:rPr>
          <w:rFonts w:eastAsia="宋体"/>
          <w:color w:val="auto"/>
          <w:highlight w:val="none"/>
        </w:rPr>
        <w:fldChar w:fldCharType="separate"/>
      </w:r>
      <w:r>
        <w:rPr>
          <w:rFonts w:eastAsia="宋体"/>
          <w:color w:val="auto"/>
          <w:highlight w:val="none"/>
        </w:rPr>
        <w:t>172</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8.1</w:t>
      </w:r>
      <w:r>
        <w:rPr>
          <w:rFonts w:eastAsia="宋体"/>
          <w:bCs/>
          <w:color w:val="auto"/>
          <w:highlight w:val="none"/>
        </w:rPr>
        <w:t xml:space="preserve"> BIM协同平台</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_Toc54567607 \h </w:instrText>
      </w:r>
      <w:r>
        <w:rPr>
          <w:rFonts w:eastAsia="宋体"/>
          <w:color w:val="auto"/>
          <w:highlight w:val="none"/>
        </w:rPr>
        <w:fldChar w:fldCharType="separate"/>
      </w:r>
      <w:r>
        <w:rPr>
          <w:rFonts w:eastAsia="宋体"/>
          <w:color w:val="auto"/>
          <w:highlight w:val="none"/>
        </w:rPr>
        <w:t>172</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8.2</w:t>
      </w:r>
      <w:r>
        <w:rPr>
          <w:rFonts w:eastAsia="宋体"/>
          <w:bCs/>
          <w:color w:val="auto"/>
          <w:highlight w:val="none"/>
        </w:rPr>
        <w:t xml:space="preserve"> 协同管理</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_Toc54567608 \h </w:instrText>
      </w:r>
      <w:r>
        <w:rPr>
          <w:rFonts w:eastAsia="宋体"/>
          <w:color w:val="auto"/>
          <w:highlight w:val="none"/>
        </w:rPr>
        <w:fldChar w:fldCharType="separate"/>
      </w:r>
      <w:r>
        <w:rPr>
          <w:rFonts w:eastAsia="宋体"/>
          <w:color w:val="auto"/>
          <w:highlight w:val="none"/>
        </w:rPr>
        <w:t>172</w:t>
      </w:r>
      <w:r>
        <w:rPr>
          <w:rFonts w:eastAsia="宋体"/>
          <w:color w:val="auto"/>
          <w:highlight w:val="none"/>
        </w:rPr>
        <w:fldChar w:fldCharType="end"/>
      </w:r>
    </w:p>
    <w:p>
      <w:pPr>
        <w:pStyle w:val="53"/>
        <w:spacing w:before="120" w:after="120"/>
        <w:rPr>
          <w:rFonts w:eastAsia="宋体"/>
          <w:color w:val="auto"/>
          <w:sz w:val="21"/>
          <w:highlight w:val="none"/>
        </w:rPr>
      </w:pPr>
      <w:r>
        <w:rPr>
          <w:rFonts w:eastAsia="宋体"/>
          <w:color w:val="auto"/>
          <w:highlight w:val="none"/>
        </w:rPr>
        <w:t>8.3</w:t>
      </w:r>
      <w:r>
        <w:rPr>
          <w:rFonts w:eastAsia="宋体"/>
          <w:bCs/>
          <w:color w:val="auto"/>
          <w:highlight w:val="none"/>
        </w:rPr>
        <w:t xml:space="preserve"> 各参与方协同工作</w:t>
      </w:r>
      <w:r>
        <w:rPr>
          <w:rFonts w:eastAsia="宋体"/>
          <w:color w:val="auto"/>
          <w:highlight w:val="none"/>
        </w:rPr>
        <w:tab/>
      </w:r>
      <w:r>
        <w:rPr>
          <w:rFonts w:eastAsia="宋体"/>
          <w:color w:val="auto"/>
          <w:highlight w:val="none"/>
        </w:rPr>
        <w:fldChar w:fldCharType="begin"/>
      </w:r>
      <w:r>
        <w:rPr>
          <w:rFonts w:eastAsia="宋体"/>
          <w:color w:val="auto"/>
          <w:highlight w:val="none"/>
        </w:rPr>
        <w:instrText xml:space="preserve"> PAGEREF _Toc54567609 \h </w:instrText>
      </w:r>
      <w:r>
        <w:rPr>
          <w:rFonts w:eastAsia="宋体"/>
          <w:color w:val="auto"/>
          <w:highlight w:val="none"/>
        </w:rPr>
        <w:fldChar w:fldCharType="separate"/>
      </w:r>
      <w:r>
        <w:rPr>
          <w:rFonts w:eastAsia="宋体"/>
          <w:color w:val="auto"/>
          <w:highlight w:val="none"/>
        </w:rPr>
        <w:t>173</w:t>
      </w:r>
      <w:r>
        <w:rPr>
          <w:rFonts w:eastAsia="宋体"/>
          <w:color w:val="auto"/>
          <w:highlight w:val="none"/>
        </w:rPr>
        <w:fldChar w:fldCharType="end"/>
      </w:r>
    </w:p>
    <w:p>
      <w:pPr>
        <w:pStyle w:val="42"/>
        <w:tabs>
          <w:tab w:val="right" w:leader="dot" w:pos="9356"/>
          <w:tab w:val="right" w:leader="dot" w:pos="9639"/>
          <w:tab w:val="clear" w:pos="8296"/>
        </w:tabs>
        <w:spacing w:before="120" w:after="120"/>
        <w:ind w:firstLine="663" w:firstLineChars="236"/>
        <w:rPr>
          <w:color w:val="auto"/>
          <w:highlight w:val="none"/>
        </w:rPr>
        <w:sectPr>
          <w:headerReference r:id="rId21" w:type="default"/>
          <w:footerReference r:id="rId22" w:type="default"/>
          <w:type w:val="nextColumn"/>
          <w:pgSz w:w="11905" w:h="16838"/>
          <w:pgMar w:top="1417" w:right="1417" w:bottom="1417" w:left="1417" w:header="720" w:footer="680" w:gutter="0"/>
          <w:cols w:space="720" w:num="1"/>
          <w:titlePg/>
          <w:docGrid w:linePitch="312" w:charSpace="0"/>
        </w:sectPr>
      </w:pPr>
      <w:r>
        <w:rPr>
          <w:rFonts w:eastAsia="宋体"/>
          <w:color w:val="auto"/>
          <w:highlight w:val="none"/>
        </w:rPr>
        <w:fldChar w:fldCharType="end"/>
      </w:r>
    </w:p>
    <w:p>
      <w:pPr>
        <w:pStyle w:val="677"/>
        <w:numPr>
          <w:ilvl w:val="0"/>
          <w:numId w:val="7"/>
        </w:numPr>
        <w:spacing w:before="240" w:after="240"/>
        <w:outlineLvl w:val="0"/>
        <w:rPr>
          <w:b w:val="0"/>
          <w:bCs/>
          <w:color w:val="auto"/>
          <w:highlight w:val="none"/>
        </w:rPr>
      </w:pPr>
      <w:bookmarkStart w:id="438" w:name="_Toc7613"/>
      <w:bookmarkStart w:id="439" w:name="_Toc54567585"/>
      <w:bookmarkStart w:id="440" w:name="_Toc29806"/>
      <w:bookmarkStart w:id="441" w:name="_Toc16385"/>
      <w:bookmarkStart w:id="442" w:name="_Toc4184"/>
      <w:bookmarkStart w:id="443" w:name="_Toc20519"/>
      <w:bookmarkStart w:id="444" w:name="_Toc4435"/>
      <w:bookmarkStart w:id="445" w:name="_Toc25522"/>
      <w:bookmarkStart w:id="446" w:name="_Toc19298"/>
      <w:r>
        <w:rPr>
          <w:rFonts w:hint="eastAsia"/>
          <w:b w:val="0"/>
          <w:bCs/>
          <w:color w:val="auto"/>
          <w:highlight w:val="none"/>
        </w:rPr>
        <w:t>总  则</w:t>
      </w:r>
      <w:bookmarkEnd w:id="438"/>
      <w:bookmarkEnd w:id="439"/>
      <w:bookmarkEnd w:id="440"/>
      <w:bookmarkEnd w:id="441"/>
      <w:bookmarkEnd w:id="442"/>
      <w:bookmarkEnd w:id="443"/>
      <w:bookmarkEnd w:id="444"/>
      <w:bookmarkEnd w:id="445"/>
      <w:bookmarkEnd w:id="446"/>
    </w:p>
    <w:p>
      <w:pPr>
        <w:pStyle w:val="709"/>
        <w:numPr>
          <w:ilvl w:val="2"/>
          <w:numId w:val="8"/>
        </w:numPr>
        <w:tabs>
          <w:tab w:val="clear" w:pos="5424"/>
        </w:tabs>
        <w:spacing w:before="120" w:after="120" w:line="360" w:lineRule="auto"/>
        <w:jc w:val="both"/>
        <w:rPr>
          <w:rFonts w:ascii="宋体" w:hAnsi="宋体"/>
          <w:color w:val="auto"/>
          <w:highlight w:val="none"/>
        </w:rPr>
      </w:pPr>
      <w:bookmarkStart w:id="447" w:name="_Toc10275"/>
      <w:r>
        <w:rPr>
          <w:rFonts w:ascii="宋体" w:hAnsi="宋体"/>
          <w:color w:val="auto"/>
          <w:highlight w:val="none"/>
        </w:rPr>
        <w:t>为全面推进</w:t>
      </w:r>
      <w:r>
        <w:rPr>
          <w:rFonts w:hint="eastAsia" w:ascii="宋体" w:hAnsi="宋体"/>
          <w:color w:val="auto"/>
          <w:highlight w:val="none"/>
        </w:rPr>
        <w:t>广东省代建项目管理局（以下简称代建局）</w:t>
      </w:r>
      <w:r>
        <w:rPr>
          <w:rFonts w:ascii="宋体" w:hAnsi="宋体"/>
          <w:color w:val="auto"/>
          <w:spacing w:val="-2"/>
          <w:highlight w:val="none"/>
        </w:rPr>
        <w:t>BIM</w:t>
      </w:r>
      <w:r>
        <w:rPr>
          <w:rFonts w:ascii="宋体" w:hAnsi="宋体"/>
          <w:color w:val="auto"/>
          <w:highlight w:val="none"/>
        </w:rPr>
        <w:t>应用和信息化工作，推动建筑信息模型（以下简称BIM）的应用，提升</w:t>
      </w:r>
      <w:r>
        <w:rPr>
          <w:rFonts w:hint="eastAsia" w:ascii="宋体" w:hAnsi="宋体"/>
          <w:color w:val="auto"/>
          <w:highlight w:val="none"/>
        </w:rPr>
        <w:t>代建项目</w:t>
      </w:r>
      <w:r>
        <w:rPr>
          <w:rFonts w:ascii="宋体" w:hAnsi="宋体"/>
          <w:color w:val="auto"/>
          <w:highlight w:val="none"/>
        </w:rPr>
        <w:t>信息化水平，</w:t>
      </w:r>
      <w:r>
        <w:rPr>
          <w:rFonts w:hint="eastAsia" w:ascii="宋体" w:hAnsi="宋体"/>
          <w:color w:val="auto"/>
          <w:highlight w:val="none"/>
        </w:rPr>
        <w:t>广东省代建项目管理局</w:t>
      </w:r>
      <w:r>
        <w:rPr>
          <w:rFonts w:ascii="宋体" w:hAnsi="宋体"/>
          <w:color w:val="auto"/>
          <w:highlight w:val="none"/>
        </w:rPr>
        <w:t>组织制定《</w:t>
      </w:r>
      <w:r>
        <w:rPr>
          <w:rFonts w:hint="eastAsia" w:ascii="宋体" w:hAnsi="宋体"/>
          <w:color w:val="auto"/>
          <w:highlight w:val="none"/>
        </w:rPr>
        <w:t>广东省代建项目管理局</w:t>
      </w:r>
      <w:r>
        <w:rPr>
          <w:rFonts w:ascii="宋体" w:hAnsi="宋体"/>
          <w:color w:val="auto"/>
          <w:spacing w:val="-2"/>
          <w:highlight w:val="none"/>
        </w:rPr>
        <w:t>BIM</w:t>
      </w:r>
      <w:r>
        <w:rPr>
          <w:rFonts w:ascii="宋体" w:hAnsi="宋体"/>
          <w:color w:val="auto"/>
          <w:spacing w:val="-3"/>
          <w:highlight w:val="none"/>
        </w:rPr>
        <w:t>实施管理标准》，以下</w:t>
      </w:r>
      <w:r>
        <w:rPr>
          <w:rFonts w:ascii="宋体" w:hAnsi="宋体"/>
          <w:color w:val="auto"/>
          <w:highlight w:val="none"/>
        </w:rPr>
        <w:t>简称《标准》。</w:t>
      </w:r>
      <w:bookmarkEnd w:id="447"/>
    </w:p>
    <w:p>
      <w:pPr>
        <w:pStyle w:val="709"/>
        <w:numPr>
          <w:ilvl w:val="2"/>
          <w:numId w:val="8"/>
        </w:numPr>
        <w:tabs>
          <w:tab w:val="clear" w:pos="5424"/>
        </w:tabs>
        <w:spacing w:before="120" w:after="120" w:line="360" w:lineRule="auto"/>
        <w:rPr>
          <w:rFonts w:ascii="宋体" w:hAnsi="宋体"/>
          <w:color w:val="auto"/>
          <w:highlight w:val="none"/>
        </w:rPr>
      </w:pPr>
      <w:bookmarkStart w:id="448" w:name="_Toc5224"/>
      <w:r>
        <w:rPr>
          <w:rFonts w:ascii="宋体" w:hAnsi="宋体"/>
          <w:color w:val="auto"/>
          <w:highlight w:val="none"/>
        </w:rPr>
        <w:t>本标准适用于</w:t>
      </w:r>
      <w:r>
        <w:rPr>
          <w:rFonts w:hint="eastAsia" w:ascii="宋体" w:hAnsi="宋体"/>
          <w:color w:val="auto"/>
          <w:highlight w:val="none"/>
        </w:rPr>
        <w:t>广东省代建项目管理局管理范围内实施B</w:t>
      </w:r>
      <w:r>
        <w:rPr>
          <w:rFonts w:ascii="宋体" w:hAnsi="宋体"/>
          <w:color w:val="auto"/>
          <w:highlight w:val="none"/>
        </w:rPr>
        <w:t>IM</w:t>
      </w:r>
      <w:r>
        <w:rPr>
          <w:rFonts w:hint="eastAsia" w:ascii="宋体" w:hAnsi="宋体"/>
          <w:color w:val="auto"/>
          <w:highlight w:val="none"/>
        </w:rPr>
        <w:t>管理的</w:t>
      </w:r>
      <w:r>
        <w:rPr>
          <w:rFonts w:ascii="宋体" w:hAnsi="宋体"/>
          <w:color w:val="auto"/>
          <w:highlight w:val="none"/>
        </w:rPr>
        <w:t>新建、改建、扩建</w:t>
      </w:r>
      <w:r>
        <w:rPr>
          <w:rFonts w:hint="eastAsia" w:ascii="宋体" w:hAnsi="宋体"/>
          <w:color w:val="auto"/>
          <w:highlight w:val="none"/>
        </w:rPr>
        <w:t>政府公共工程</w:t>
      </w:r>
      <w:r>
        <w:rPr>
          <w:rFonts w:ascii="宋体" w:hAnsi="宋体"/>
          <w:color w:val="auto"/>
          <w:highlight w:val="none"/>
        </w:rPr>
        <w:t>。</w:t>
      </w:r>
      <w:bookmarkEnd w:id="448"/>
    </w:p>
    <w:p>
      <w:pPr>
        <w:pStyle w:val="709"/>
        <w:numPr>
          <w:ilvl w:val="2"/>
          <w:numId w:val="8"/>
        </w:numPr>
        <w:tabs>
          <w:tab w:val="clear" w:pos="5424"/>
        </w:tabs>
        <w:spacing w:before="120" w:after="120" w:line="360" w:lineRule="auto"/>
        <w:rPr>
          <w:color w:val="auto"/>
          <w:highlight w:val="none"/>
        </w:rPr>
      </w:pPr>
      <w:bookmarkStart w:id="449" w:name="_Toc27484"/>
      <w:r>
        <w:rPr>
          <w:rFonts w:hint="eastAsia" w:ascii="宋体" w:hAnsi="宋体"/>
          <w:color w:val="auto"/>
          <w:highlight w:val="none"/>
        </w:rPr>
        <w:t>广东省代建项目管理局管理范围内</w:t>
      </w:r>
      <w:r>
        <w:rPr>
          <w:rFonts w:hint="eastAsia"/>
          <w:color w:val="auto"/>
          <w:highlight w:val="none"/>
        </w:rPr>
        <w:t>建设</w:t>
      </w:r>
      <w:r>
        <w:rPr>
          <w:color w:val="auto"/>
          <w:highlight w:val="none"/>
        </w:rPr>
        <w:t>工程全生命周期内建筑信息模型的建立、应用和管理</w:t>
      </w:r>
      <w:r>
        <w:rPr>
          <w:rFonts w:hint="eastAsia"/>
          <w:color w:val="auto"/>
          <w:highlight w:val="none"/>
        </w:rPr>
        <w:t>，除应符合本标准外，尚应符合国家、行业、省市现行有关标准的规定。</w:t>
      </w:r>
      <w:bookmarkEnd w:id="449"/>
    </w:p>
    <w:p>
      <w:pPr>
        <w:pStyle w:val="709"/>
        <w:numPr>
          <w:ilvl w:val="2"/>
          <w:numId w:val="8"/>
        </w:numPr>
        <w:tabs>
          <w:tab w:val="clear" w:pos="5424"/>
        </w:tabs>
        <w:spacing w:before="120" w:after="120" w:line="360" w:lineRule="auto"/>
        <w:rPr>
          <w:color w:val="auto"/>
          <w:highlight w:val="none"/>
        </w:rPr>
      </w:pPr>
      <w:bookmarkStart w:id="450" w:name="_Toc15715"/>
      <w:r>
        <w:rPr>
          <w:color w:val="auto"/>
          <w:highlight w:val="none"/>
        </w:rPr>
        <w:t>本标准</w:t>
      </w:r>
      <w:r>
        <w:rPr>
          <w:rFonts w:hint="eastAsia"/>
          <w:color w:val="auto"/>
          <w:highlight w:val="none"/>
        </w:rPr>
        <w:t>作为</w:t>
      </w:r>
      <w:r>
        <w:rPr>
          <w:rFonts w:hint="eastAsia" w:ascii="宋体" w:hAnsi="宋体"/>
          <w:color w:val="auto"/>
          <w:highlight w:val="none"/>
        </w:rPr>
        <w:t>广东省代建项目管理局管理范围内</w:t>
      </w:r>
      <w:r>
        <w:rPr>
          <w:rFonts w:hint="eastAsia"/>
          <w:color w:val="auto"/>
          <w:highlight w:val="none"/>
        </w:rPr>
        <w:t>建设</w:t>
      </w:r>
      <w:r>
        <w:rPr>
          <w:color w:val="auto"/>
          <w:highlight w:val="none"/>
        </w:rPr>
        <w:t>工程</w:t>
      </w:r>
      <w:r>
        <w:rPr>
          <w:rFonts w:eastAsia="Times New Roman"/>
          <w:color w:val="auto"/>
          <w:spacing w:val="-2"/>
          <w:highlight w:val="none"/>
        </w:rPr>
        <w:t>BIM</w:t>
      </w:r>
      <w:r>
        <w:rPr>
          <w:rFonts w:hint="eastAsia" w:ascii="宋体" w:hAnsi="宋体" w:cs="宋体"/>
          <w:color w:val="auto"/>
          <w:spacing w:val="12"/>
          <w:highlight w:val="none"/>
        </w:rPr>
        <w:t>全过程</w:t>
      </w:r>
      <w:r>
        <w:rPr>
          <w:rFonts w:hint="eastAsia"/>
          <w:color w:val="auto"/>
          <w:spacing w:val="-6"/>
          <w:highlight w:val="none"/>
        </w:rPr>
        <w:t>实施</w:t>
      </w:r>
      <w:r>
        <w:rPr>
          <w:color w:val="auto"/>
          <w:spacing w:val="-6"/>
          <w:highlight w:val="none"/>
        </w:rPr>
        <w:t>指南</w:t>
      </w:r>
      <w:r>
        <w:rPr>
          <w:rFonts w:hint="eastAsia"/>
          <w:color w:val="auto"/>
          <w:spacing w:val="-6"/>
          <w:highlight w:val="none"/>
        </w:rPr>
        <w:t>以及</w:t>
      </w:r>
      <w:r>
        <w:rPr>
          <w:rFonts w:hint="eastAsia"/>
          <w:color w:val="auto"/>
          <w:highlight w:val="none"/>
        </w:rPr>
        <w:t>建设</w:t>
      </w:r>
      <w:r>
        <w:rPr>
          <w:color w:val="auto"/>
          <w:highlight w:val="none"/>
        </w:rPr>
        <w:t>工程管理中</w:t>
      </w:r>
      <w:r>
        <w:rPr>
          <w:rFonts w:eastAsia="Times New Roman"/>
          <w:color w:val="auto"/>
          <w:spacing w:val="-2"/>
          <w:highlight w:val="none"/>
        </w:rPr>
        <w:t>BIM</w:t>
      </w:r>
      <w:r>
        <w:rPr>
          <w:color w:val="auto"/>
          <w:highlight w:val="none"/>
        </w:rPr>
        <w:t>应用的基本原则和通用标准</w:t>
      </w:r>
      <w:r>
        <w:rPr>
          <w:rFonts w:hint="eastAsia"/>
          <w:color w:val="auto"/>
          <w:highlight w:val="none"/>
        </w:rPr>
        <w:t>，</w:t>
      </w:r>
      <w:r>
        <w:rPr>
          <w:color w:val="auto"/>
          <w:spacing w:val="-6"/>
          <w:highlight w:val="none"/>
        </w:rPr>
        <w:t>在项目实际实施过程中，应遵循</w:t>
      </w:r>
      <w:r>
        <w:rPr>
          <w:color w:val="auto"/>
          <w:highlight w:val="none"/>
        </w:rPr>
        <w:t>本标准的规定</w:t>
      </w:r>
      <w:r>
        <w:rPr>
          <w:rFonts w:hint="eastAsia"/>
          <w:color w:val="auto"/>
          <w:highlight w:val="none"/>
        </w:rPr>
        <w:t>，</w:t>
      </w:r>
      <w:r>
        <w:rPr>
          <w:color w:val="auto"/>
          <w:highlight w:val="none"/>
        </w:rPr>
        <w:t>并</w:t>
      </w:r>
      <w:r>
        <w:rPr>
          <w:rFonts w:hint="eastAsia"/>
          <w:color w:val="auto"/>
          <w:highlight w:val="none"/>
        </w:rPr>
        <w:t>可</w:t>
      </w:r>
      <w:r>
        <w:rPr>
          <w:color w:val="auto"/>
          <w:highlight w:val="none"/>
        </w:rPr>
        <w:t>根据实际内容进行调整和细化。</w:t>
      </w:r>
      <w:bookmarkEnd w:id="450"/>
    </w:p>
    <w:p>
      <w:pPr>
        <w:pStyle w:val="709"/>
        <w:numPr>
          <w:ilvl w:val="2"/>
          <w:numId w:val="8"/>
        </w:numPr>
        <w:tabs>
          <w:tab w:val="clear" w:pos="5424"/>
        </w:tabs>
        <w:spacing w:before="120" w:after="120" w:line="360" w:lineRule="auto"/>
        <w:rPr>
          <w:color w:val="auto"/>
          <w:highlight w:val="none"/>
        </w:rPr>
      </w:pPr>
      <w:bookmarkStart w:id="451" w:name="_Toc1050"/>
      <w:r>
        <w:rPr>
          <w:rFonts w:hint="eastAsia"/>
          <w:color w:val="auto"/>
          <w:highlight w:val="none"/>
        </w:rPr>
        <w:t>本标准参考的标准如下：</w:t>
      </w:r>
      <w:bookmarkEnd w:id="451"/>
    </w:p>
    <w:p>
      <w:pPr>
        <w:spacing w:before="120" w:after="120"/>
        <w:ind w:firstLine="420" w:firstLineChars="200"/>
        <w:rPr>
          <w:color w:val="auto"/>
          <w:szCs w:val="21"/>
          <w:highlight w:val="none"/>
        </w:rPr>
      </w:pPr>
      <w:r>
        <w:rPr>
          <w:rFonts w:hint="eastAsia"/>
          <w:color w:val="auto"/>
          <w:szCs w:val="21"/>
          <w:highlight w:val="none"/>
        </w:rPr>
        <w:t>（1）《建筑信息模型应用统一标准》GB/T 51212</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）《建筑信息模型施工应用标准》GB/T 51235</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int="eastAsia"/>
          <w:color w:val="auto"/>
          <w:szCs w:val="21"/>
          <w:highlight w:val="none"/>
        </w:rPr>
        <w:t>）《建筑信息模型分类和编码标准》GB/T 51269</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）《建筑信息模型设计交付标准》GB/T 51301</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5</w:t>
      </w:r>
      <w:r>
        <w:rPr>
          <w:rFonts w:hint="eastAsia"/>
          <w:color w:val="auto"/>
          <w:szCs w:val="21"/>
          <w:highlight w:val="none"/>
        </w:rPr>
        <w:t>）《建筑工程设计信息模型制图标准》JGJ/T 448</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6</w:t>
      </w:r>
      <w:r>
        <w:rPr>
          <w:rFonts w:hint="eastAsia"/>
          <w:color w:val="auto"/>
          <w:szCs w:val="21"/>
          <w:highlight w:val="none"/>
        </w:rPr>
        <w:t>）《工程建设项目业务协同平台技术标准》CJJ/T 296</w:t>
      </w:r>
    </w:p>
    <w:p>
      <w:pPr>
        <w:spacing w:before="120" w:after="120"/>
        <w:ind w:firstLine="420" w:firstLineChars="200"/>
        <w:rPr>
          <w:color w:val="auto"/>
          <w:szCs w:val="21"/>
          <w:highlight w:val="none"/>
        </w:rPr>
      </w:pPr>
      <w:r>
        <w:rPr>
          <w:rFonts w:hint="eastAsia"/>
          <w:color w:val="auto"/>
          <w:szCs w:val="21"/>
          <w:highlight w:val="none"/>
        </w:rPr>
        <w:t>（</w:t>
      </w:r>
      <w:r>
        <w:rPr>
          <w:color w:val="auto"/>
          <w:szCs w:val="21"/>
          <w:highlight w:val="none"/>
        </w:rPr>
        <w:t>7</w:t>
      </w:r>
      <w:r>
        <w:rPr>
          <w:rFonts w:hint="eastAsia"/>
          <w:color w:val="auto"/>
          <w:szCs w:val="21"/>
          <w:highlight w:val="none"/>
        </w:rPr>
        <w:t>）《广东省建筑信息模型应用统一标准》 DBJ/T 15-142</w:t>
      </w:r>
    </w:p>
    <w:p>
      <w:pPr>
        <w:pStyle w:val="677"/>
        <w:numPr>
          <w:ilvl w:val="0"/>
          <w:numId w:val="7"/>
        </w:numPr>
        <w:spacing w:before="240" w:after="240"/>
        <w:outlineLvl w:val="0"/>
        <w:rPr>
          <w:b w:val="0"/>
          <w:bCs/>
          <w:color w:val="auto"/>
          <w:highlight w:val="none"/>
        </w:rPr>
      </w:pPr>
      <w:bookmarkStart w:id="452" w:name="_Toc11547"/>
      <w:bookmarkStart w:id="453" w:name="_Toc54567586"/>
      <w:bookmarkStart w:id="454" w:name="_Toc14153"/>
      <w:bookmarkStart w:id="455" w:name="_Toc18395"/>
      <w:bookmarkStart w:id="456" w:name="_Toc22279"/>
      <w:bookmarkStart w:id="457" w:name="_Toc533"/>
      <w:bookmarkStart w:id="458" w:name="_Toc13310"/>
      <w:bookmarkStart w:id="459" w:name="_Toc1539"/>
      <w:bookmarkStart w:id="460" w:name="_Toc30018"/>
      <w:r>
        <w:rPr>
          <w:rFonts w:hint="eastAsia"/>
          <w:b w:val="0"/>
          <w:bCs/>
          <w:color w:val="auto"/>
          <w:highlight w:val="none"/>
        </w:rPr>
        <w:t>术  语</w:t>
      </w:r>
      <w:bookmarkEnd w:id="452"/>
      <w:bookmarkEnd w:id="453"/>
      <w:bookmarkEnd w:id="454"/>
      <w:bookmarkEnd w:id="455"/>
      <w:bookmarkEnd w:id="456"/>
      <w:bookmarkEnd w:id="457"/>
      <w:bookmarkEnd w:id="458"/>
      <w:bookmarkEnd w:id="459"/>
      <w:bookmarkEnd w:id="460"/>
    </w:p>
    <w:p>
      <w:pPr>
        <w:pStyle w:val="719"/>
        <w:numPr>
          <w:ilvl w:val="0"/>
          <w:numId w:val="9"/>
        </w:numPr>
        <w:spacing w:before="120" w:after="120" w:line="360" w:lineRule="auto"/>
        <w:ind w:left="0" w:firstLine="0"/>
        <w:outlineLvl w:val="3"/>
        <w:rPr>
          <w:b w:val="0"/>
          <w:bCs/>
          <w:color w:val="auto"/>
          <w:highlight w:val="none"/>
        </w:rPr>
      </w:pPr>
      <w:bookmarkStart w:id="461" w:name="_Toc7888"/>
      <w:r>
        <w:rPr>
          <w:b w:val="0"/>
          <w:bCs/>
          <w:color w:val="auto"/>
          <w:highlight w:val="none"/>
        </w:rPr>
        <w:t>建筑信息模型</w:t>
      </w:r>
      <w:r>
        <w:rPr>
          <w:rFonts w:hint="eastAsia"/>
          <w:b w:val="0"/>
          <w:bCs/>
          <w:color w:val="auto"/>
          <w:highlight w:val="none"/>
        </w:rPr>
        <w:t xml:space="preserve"> b</w:t>
      </w:r>
      <w:r>
        <w:rPr>
          <w:b w:val="0"/>
          <w:bCs/>
          <w:color w:val="auto"/>
          <w:highlight w:val="none"/>
        </w:rPr>
        <w:t>uilding information modeling</w:t>
      </w:r>
      <w:r>
        <w:rPr>
          <w:rFonts w:hint="eastAsia"/>
          <w:b w:val="0"/>
          <w:bCs/>
          <w:color w:val="auto"/>
          <w:highlight w:val="none"/>
        </w:rPr>
        <w:t>（</w:t>
      </w:r>
      <w:r>
        <w:rPr>
          <w:b w:val="0"/>
          <w:bCs/>
          <w:color w:val="auto"/>
          <w:highlight w:val="none"/>
        </w:rPr>
        <w:t>BIM</w:t>
      </w:r>
      <w:r>
        <w:rPr>
          <w:rFonts w:hint="eastAsia"/>
          <w:b w:val="0"/>
          <w:bCs/>
          <w:color w:val="auto"/>
          <w:highlight w:val="none"/>
        </w:rPr>
        <w:t>）</w:t>
      </w:r>
      <w:bookmarkEnd w:id="461"/>
    </w:p>
    <w:p>
      <w:pPr>
        <w:spacing w:before="120" w:after="120"/>
        <w:ind w:firstLine="420" w:firstLineChars="200"/>
        <w:rPr>
          <w:color w:val="auto"/>
          <w:szCs w:val="21"/>
          <w:highlight w:val="none"/>
        </w:rPr>
      </w:pPr>
      <w:r>
        <w:rPr>
          <w:color w:val="auto"/>
          <w:szCs w:val="21"/>
          <w:highlight w:val="none"/>
        </w:rPr>
        <w:t>建筑信息模型是指创建并利用数字化模型对建设工程项目的设计、建造和运维全过程进行管理和优化的过程、方法和技术。</w:t>
      </w:r>
    </w:p>
    <w:p>
      <w:pPr>
        <w:pStyle w:val="719"/>
        <w:numPr>
          <w:ilvl w:val="0"/>
          <w:numId w:val="9"/>
        </w:numPr>
        <w:spacing w:before="120" w:after="120" w:line="360" w:lineRule="auto"/>
        <w:ind w:left="0" w:firstLine="0"/>
        <w:outlineLvl w:val="3"/>
        <w:rPr>
          <w:b w:val="0"/>
          <w:bCs/>
          <w:color w:val="auto"/>
          <w:highlight w:val="none"/>
        </w:rPr>
      </w:pPr>
      <w:bookmarkStart w:id="462" w:name="_Toc1096"/>
      <w:r>
        <w:rPr>
          <w:rFonts w:hint="eastAsia"/>
          <w:b w:val="0"/>
          <w:bCs/>
          <w:color w:val="auto"/>
          <w:highlight w:val="none"/>
        </w:rPr>
        <w:t>城市信息模型 city information modeling（CIM）</w:t>
      </w:r>
      <w:bookmarkEnd w:id="462"/>
    </w:p>
    <w:p>
      <w:pPr>
        <w:spacing w:before="120" w:after="120"/>
        <w:ind w:firstLine="420" w:firstLineChars="200"/>
        <w:rPr>
          <w:color w:val="auto"/>
          <w:szCs w:val="21"/>
          <w:highlight w:val="none"/>
        </w:rPr>
      </w:pPr>
      <w:r>
        <w:rPr>
          <w:rFonts w:hint="eastAsia"/>
          <w:color w:val="auto"/>
          <w:szCs w:val="21"/>
          <w:highlight w:val="none"/>
        </w:rPr>
        <w:t>以建筑信息模型（BIM）、地理信息系统（GIS）、数字孪生和物联网（IoT）等技术为基础，数字化重构城市空间、建筑与设施、资源与环境等实体，监测感知其发展变化、仿真表达历史现状未来多维多尺度信息，模拟城市规划、建设与管理运营过程，构建起数字空间的城市信息有机综合体。</w:t>
      </w:r>
    </w:p>
    <w:p>
      <w:pPr>
        <w:pStyle w:val="719"/>
        <w:numPr>
          <w:ilvl w:val="0"/>
          <w:numId w:val="9"/>
        </w:numPr>
        <w:spacing w:before="120" w:after="120" w:line="360" w:lineRule="auto"/>
        <w:ind w:left="0" w:firstLine="0"/>
        <w:outlineLvl w:val="3"/>
        <w:rPr>
          <w:b w:val="0"/>
          <w:bCs/>
          <w:color w:val="auto"/>
          <w:highlight w:val="none"/>
        </w:rPr>
      </w:pPr>
      <w:bookmarkStart w:id="463" w:name="_Toc25064"/>
      <w:r>
        <w:rPr>
          <w:b w:val="0"/>
          <w:bCs/>
          <w:color w:val="auto"/>
          <w:highlight w:val="none"/>
        </w:rPr>
        <w:t>BIM 模型BIM model</w:t>
      </w:r>
      <w:bookmarkEnd w:id="463"/>
    </w:p>
    <w:p>
      <w:pPr>
        <w:spacing w:before="120" w:after="120"/>
        <w:ind w:firstLine="420" w:firstLineChars="200"/>
        <w:rPr>
          <w:color w:val="auto"/>
          <w:szCs w:val="21"/>
          <w:highlight w:val="none"/>
        </w:rPr>
      </w:pPr>
      <w:r>
        <w:rPr>
          <w:color w:val="auto"/>
          <w:szCs w:val="21"/>
          <w:highlight w:val="none"/>
        </w:rPr>
        <w:t>BIM模型是指基于BIM所产生的数字化建筑模型。</w:t>
      </w:r>
    </w:p>
    <w:p>
      <w:pPr>
        <w:pStyle w:val="719"/>
        <w:numPr>
          <w:ilvl w:val="0"/>
          <w:numId w:val="9"/>
        </w:numPr>
        <w:spacing w:before="120" w:after="120" w:line="360" w:lineRule="auto"/>
        <w:ind w:left="0" w:firstLine="0"/>
        <w:outlineLvl w:val="3"/>
        <w:rPr>
          <w:b w:val="0"/>
          <w:bCs/>
          <w:color w:val="auto"/>
          <w:highlight w:val="none"/>
        </w:rPr>
      </w:pPr>
      <w:bookmarkStart w:id="464" w:name="_Toc16797"/>
      <w:r>
        <w:rPr>
          <w:b w:val="0"/>
          <w:bCs/>
          <w:color w:val="auto"/>
          <w:highlight w:val="none"/>
        </w:rPr>
        <w:t>建模软件modeling software</w:t>
      </w:r>
      <w:bookmarkEnd w:id="464"/>
    </w:p>
    <w:p>
      <w:pPr>
        <w:spacing w:before="120" w:after="120"/>
        <w:ind w:firstLine="420" w:firstLineChars="200"/>
        <w:rPr>
          <w:color w:val="auto"/>
          <w:szCs w:val="21"/>
          <w:highlight w:val="none"/>
        </w:rPr>
      </w:pPr>
      <w:r>
        <w:rPr>
          <w:color w:val="auto"/>
          <w:szCs w:val="21"/>
          <w:highlight w:val="none"/>
        </w:rPr>
        <w:t>建模软件是指用于创建BIM模型的软件，应具备三维数字化建模、非几何信息录入、多专业协同设计、二维图纸生成等基本功能。</w:t>
      </w:r>
    </w:p>
    <w:p>
      <w:pPr>
        <w:pStyle w:val="719"/>
        <w:numPr>
          <w:ilvl w:val="0"/>
          <w:numId w:val="9"/>
        </w:numPr>
        <w:spacing w:before="120" w:after="120" w:line="360" w:lineRule="auto"/>
        <w:ind w:left="0" w:firstLine="0"/>
        <w:outlineLvl w:val="3"/>
        <w:rPr>
          <w:b w:val="0"/>
          <w:bCs/>
          <w:color w:val="auto"/>
          <w:highlight w:val="none"/>
        </w:rPr>
      </w:pPr>
      <w:bookmarkStart w:id="465" w:name="_Toc4272"/>
      <w:r>
        <w:rPr>
          <w:b w:val="0"/>
          <w:bCs/>
          <w:color w:val="auto"/>
          <w:highlight w:val="none"/>
        </w:rPr>
        <w:t>构件component</w:t>
      </w:r>
      <w:bookmarkEnd w:id="465"/>
    </w:p>
    <w:p>
      <w:pPr>
        <w:spacing w:before="120" w:after="120"/>
        <w:ind w:firstLine="420" w:firstLineChars="200"/>
        <w:rPr>
          <w:color w:val="auto"/>
          <w:szCs w:val="21"/>
          <w:highlight w:val="none"/>
        </w:rPr>
      </w:pPr>
      <w:r>
        <w:rPr>
          <w:color w:val="auto"/>
          <w:szCs w:val="21"/>
          <w:highlight w:val="none"/>
        </w:rPr>
        <w:t>构件是组成建模软件中BIM模型的基础元素，也是承载几何信息和非几何信息的最</w:t>
      </w:r>
      <w:r>
        <w:rPr>
          <w:rFonts w:hint="eastAsia"/>
          <w:color w:val="auto"/>
          <w:szCs w:val="21"/>
          <w:highlight w:val="none"/>
        </w:rPr>
        <w:t>为</w:t>
      </w:r>
      <w:r>
        <w:rPr>
          <w:color w:val="auto"/>
          <w:szCs w:val="21"/>
          <w:highlight w:val="none"/>
        </w:rPr>
        <w:t>基础</w:t>
      </w:r>
      <w:r>
        <w:rPr>
          <w:rFonts w:hint="eastAsia"/>
          <w:color w:val="auto"/>
          <w:szCs w:val="21"/>
          <w:highlight w:val="none"/>
        </w:rPr>
        <w:t>的</w:t>
      </w:r>
      <w:r>
        <w:rPr>
          <w:color w:val="auto"/>
          <w:szCs w:val="21"/>
          <w:highlight w:val="none"/>
        </w:rPr>
        <w:t>元素，在建模软件中构件可以是单个建筑逻辑的构件或多个建筑构件的集合。</w:t>
      </w:r>
    </w:p>
    <w:p>
      <w:pPr>
        <w:pStyle w:val="719"/>
        <w:numPr>
          <w:ilvl w:val="0"/>
          <w:numId w:val="9"/>
        </w:numPr>
        <w:spacing w:before="120" w:after="120" w:line="360" w:lineRule="auto"/>
        <w:ind w:left="0" w:firstLine="0"/>
        <w:outlineLvl w:val="3"/>
        <w:rPr>
          <w:b w:val="0"/>
          <w:bCs/>
          <w:color w:val="auto"/>
          <w:highlight w:val="none"/>
        </w:rPr>
      </w:pPr>
      <w:bookmarkStart w:id="466" w:name="_Toc4373"/>
      <w:r>
        <w:rPr>
          <w:b w:val="0"/>
          <w:bCs/>
          <w:color w:val="auto"/>
          <w:highlight w:val="none"/>
        </w:rPr>
        <w:t>构件资源库BIM component library</w:t>
      </w:r>
      <w:bookmarkEnd w:id="466"/>
    </w:p>
    <w:p>
      <w:pPr>
        <w:spacing w:before="120" w:after="120"/>
        <w:ind w:firstLine="420" w:firstLineChars="200"/>
        <w:rPr>
          <w:color w:val="auto"/>
          <w:szCs w:val="21"/>
          <w:highlight w:val="none"/>
        </w:rPr>
      </w:pPr>
      <w:r>
        <w:rPr>
          <w:color w:val="auto"/>
          <w:szCs w:val="21"/>
          <w:highlight w:val="none"/>
        </w:rPr>
        <w:t>构件资源库是指在BIM实施过程中开发、积累并经过加工处理，形成可重复利用的构件的集合。</w:t>
      </w:r>
    </w:p>
    <w:p>
      <w:pPr>
        <w:pStyle w:val="719"/>
        <w:numPr>
          <w:ilvl w:val="0"/>
          <w:numId w:val="9"/>
        </w:numPr>
        <w:spacing w:before="120" w:after="120" w:line="360" w:lineRule="auto"/>
        <w:ind w:left="0" w:firstLine="0"/>
        <w:outlineLvl w:val="3"/>
        <w:rPr>
          <w:b w:val="0"/>
          <w:bCs/>
          <w:color w:val="auto"/>
          <w:highlight w:val="none"/>
        </w:rPr>
      </w:pPr>
      <w:bookmarkStart w:id="467" w:name="_Toc24184"/>
      <w:r>
        <w:rPr>
          <w:b w:val="0"/>
          <w:bCs/>
          <w:color w:val="auto"/>
          <w:highlight w:val="none"/>
        </w:rPr>
        <w:t>交付成果deliverables</w:t>
      </w:r>
      <w:bookmarkEnd w:id="467"/>
    </w:p>
    <w:p>
      <w:pPr>
        <w:spacing w:before="120" w:after="120"/>
        <w:ind w:firstLine="420" w:firstLineChars="200"/>
        <w:rPr>
          <w:color w:val="auto"/>
          <w:szCs w:val="21"/>
          <w:highlight w:val="none"/>
        </w:rPr>
      </w:pPr>
      <w:r>
        <w:rPr>
          <w:color w:val="auto"/>
          <w:szCs w:val="21"/>
          <w:highlight w:val="none"/>
        </w:rPr>
        <w:t>交付成果是指在建筑工程工作中，各参与方利用BIM技术并按照一定工作流程所产生的并经过审核或批准的成果，包括建筑、结构、机电等BIM模型和与之对应的图纸、文档、工程表格、以及综合协调、模拟分析、可视化等成果文件。</w:t>
      </w:r>
    </w:p>
    <w:p>
      <w:pPr>
        <w:pStyle w:val="719"/>
        <w:numPr>
          <w:ilvl w:val="0"/>
          <w:numId w:val="9"/>
        </w:numPr>
        <w:spacing w:before="120" w:after="120" w:line="360" w:lineRule="auto"/>
        <w:ind w:left="0" w:firstLine="0"/>
        <w:outlineLvl w:val="3"/>
        <w:rPr>
          <w:b w:val="0"/>
          <w:bCs/>
          <w:color w:val="auto"/>
          <w:highlight w:val="none"/>
        </w:rPr>
      </w:pPr>
      <w:bookmarkStart w:id="468" w:name="_Toc15329"/>
      <w:r>
        <w:rPr>
          <w:b w:val="0"/>
          <w:bCs/>
          <w:color w:val="auto"/>
          <w:highlight w:val="none"/>
        </w:rPr>
        <w:t>协同平台project collaboration platform</w:t>
      </w:r>
      <w:bookmarkEnd w:id="468"/>
    </w:p>
    <w:p>
      <w:pPr>
        <w:spacing w:before="120" w:after="120"/>
        <w:ind w:firstLine="420" w:firstLineChars="200"/>
        <w:rPr>
          <w:color w:val="auto"/>
          <w:szCs w:val="21"/>
          <w:highlight w:val="none"/>
        </w:rPr>
      </w:pPr>
      <w:r>
        <w:rPr>
          <w:color w:val="auto"/>
          <w:szCs w:val="21"/>
          <w:highlight w:val="none"/>
        </w:rPr>
        <w:t>协同平台指实现</w:t>
      </w:r>
      <w:r>
        <w:rPr>
          <w:rFonts w:hint="eastAsia"/>
          <w:color w:val="auto"/>
          <w:szCs w:val="21"/>
          <w:highlight w:val="none"/>
        </w:rPr>
        <w:t>建设</w:t>
      </w:r>
      <w:r>
        <w:rPr>
          <w:color w:val="auto"/>
          <w:szCs w:val="21"/>
          <w:highlight w:val="none"/>
        </w:rPr>
        <w:t>工程</w:t>
      </w:r>
      <w:r>
        <w:rPr>
          <w:rFonts w:hint="eastAsia"/>
          <w:color w:val="auto"/>
          <w:szCs w:val="21"/>
          <w:highlight w:val="none"/>
        </w:rPr>
        <w:t>项目间及项目内</w:t>
      </w:r>
      <w:r>
        <w:rPr>
          <w:color w:val="auto"/>
          <w:szCs w:val="21"/>
          <w:highlight w:val="none"/>
        </w:rPr>
        <w:t>所有参与方之间协同工作的软硬件环境，具备工作成果的归档、共享、发布、交付及审核功能。</w:t>
      </w:r>
    </w:p>
    <w:p>
      <w:pPr>
        <w:pStyle w:val="719"/>
        <w:numPr>
          <w:ilvl w:val="0"/>
          <w:numId w:val="9"/>
        </w:numPr>
        <w:spacing w:before="120" w:after="120" w:line="360" w:lineRule="auto"/>
        <w:ind w:left="0" w:firstLine="0"/>
        <w:outlineLvl w:val="3"/>
        <w:rPr>
          <w:b w:val="0"/>
          <w:bCs/>
          <w:color w:val="auto"/>
          <w:highlight w:val="none"/>
        </w:rPr>
      </w:pPr>
      <w:bookmarkStart w:id="469" w:name="_Toc24877"/>
      <w:r>
        <w:rPr>
          <w:b w:val="0"/>
          <w:bCs/>
          <w:color w:val="auto"/>
          <w:highlight w:val="none"/>
        </w:rPr>
        <w:t>模型精度等级 levels of detail</w:t>
      </w:r>
      <w:r>
        <w:rPr>
          <w:rFonts w:hint="eastAsia"/>
          <w:b w:val="0"/>
          <w:bCs/>
          <w:color w:val="auto"/>
          <w:highlight w:val="none"/>
        </w:rPr>
        <w:t>（</w:t>
      </w:r>
      <w:r>
        <w:rPr>
          <w:b w:val="0"/>
          <w:bCs/>
          <w:color w:val="auto"/>
          <w:highlight w:val="none"/>
        </w:rPr>
        <w:t>LOD</w:t>
      </w:r>
      <w:r>
        <w:rPr>
          <w:rFonts w:hint="eastAsia"/>
          <w:b w:val="0"/>
          <w:bCs/>
          <w:color w:val="auto"/>
          <w:highlight w:val="none"/>
        </w:rPr>
        <w:t>）</w:t>
      </w:r>
      <w:bookmarkEnd w:id="469"/>
    </w:p>
    <w:p>
      <w:pPr>
        <w:spacing w:before="120" w:after="120"/>
        <w:ind w:firstLine="420" w:firstLineChars="200"/>
        <w:rPr>
          <w:color w:val="auto"/>
          <w:szCs w:val="21"/>
          <w:highlight w:val="none"/>
        </w:rPr>
      </w:pPr>
      <w:r>
        <w:rPr>
          <w:color w:val="auto"/>
          <w:szCs w:val="21"/>
          <w:highlight w:val="none"/>
        </w:rPr>
        <w:t>参照美国建筑师协会（AIA）提出的LOD概念。LOD指模型精细的程度等级，又称模型精度。</w:t>
      </w:r>
    </w:p>
    <w:p>
      <w:pPr>
        <w:widowControl/>
        <w:spacing w:before="120" w:after="120"/>
        <w:jc w:val="left"/>
        <w:rPr>
          <w:color w:val="auto"/>
          <w:highlight w:val="none"/>
        </w:rPr>
      </w:pPr>
      <w:r>
        <w:rPr>
          <w:color w:val="auto"/>
          <w:highlight w:val="none"/>
        </w:rPr>
        <w:br w:type="page"/>
      </w:r>
    </w:p>
    <w:p>
      <w:pPr>
        <w:pStyle w:val="677"/>
        <w:numPr>
          <w:ilvl w:val="0"/>
          <w:numId w:val="7"/>
        </w:numPr>
        <w:spacing w:before="240" w:after="240"/>
        <w:outlineLvl w:val="0"/>
        <w:rPr>
          <w:rFonts w:ascii="宋体" w:hAnsi="宋体" w:eastAsia="宋体"/>
          <w:b w:val="0"/>
          <w:bCs/>
          <w:color w:val="auto"/>
          <w:highlight w:val="none"/>
        </w:rPr>
      </w:pPr>
      <w:bookmarkStart w:id="470" w:name="_Toc29924"/>
      <w:bookmarkStart w:id="471" w:name="_Toc5806"/>
      <w:bookmarkStart w:id="472" w:name="_Toc12184"/>
      <w:bookmarkStart w:id="473" w:name="_Toc16881"/>
      <w:bookmarkStart w:id="474" w:name="_Toc22403"/>
      <w:bookmarkStart w:id="475" w:name="_Toc13465"/>
      <w:bookmarkStart w:id="476" w:name="_Toc30576"/>
      <w:bookmarkStart w:id="477" w:name="_Toc54567587"/>
      <w:bookmarkStart w:id="478" w:name="_Toc18792"/>
      <w:r>
        <w:rPr>
          <w:rFonts w:hint="eastAsia"/>
          <w:b w:val="0"/>
          <w:bCs/>
          <w:color w:val="auto"/>
          <w:highlight w:val="none"/>
        </w:rPr>
        <w:t>基本规定</w:t>
      </w:r>
      <w:bookmarkEnd w:id="470"/>
      <w:bookmarkEnd w:id="471"/>
      <w:bookmarkEnd w:id="472"/>
      <w:bookmarkEnd w:id="473"/>
      <w:bookmarkEnd w:id="474"/>
      <w:bookmarkEnd w:id="475"/>
      <w:bookmarkEnd w:id="476"/>
      <w:bookmarkEnd w:id="477"/>
      <w:bookmarkEnd w:id="478"/>
    </w:p>
    <w:p>
      <w:pPr>
        <w:pStyle w:val="710"/>
        <w:numPr>
          <w:ilvl w:val="1"/>
          <w:numId w:val="7"/>
        </w:numPr>
        <w:tabs>
          <w:tab w:val="clear" w:pos="5424"/>
        </w:tabs>
        <w:spacing w:before="120" w:after="120" w:line="360" w:lineRule="auto"/>
        <w:ind w:left="0"/>
        <w:outlineLvl w:val="1"/>
        <w:rPr>
          <w:rFonts w:eastAsia="黑体"/>
          <w:b w:val="0"/>
          <w:bCs/>
          <w:color w:val="auto"/>
          <w:sz w:val="24"/>
          <w:szCs w:val="24"/>
          <w:highlight w:val="none"/>
        </w:rPr>
      </w:pPr>
      <w:bookmarkStart w:id="479" w:name="_Toc54567588"/>
      <w:bookmarkStart w:id="480" w:name="_Toc8928"/>
      <w:r>
        <w:rPr>
          <w:rFonts w:ascii="Times New Roman" w:hAnsi="Times New Roman" w:eastAsia="黑体"/>
          <w:b w:val="0"/>
          <w:bCs/>
          <w:color w:val="auto"/>
          <w:sz w:val="24"/>
          <w:szCs w:val="24"/>
          <w:highlight w:val="none"/>
        </w:rPr>
        <w:t>BIM</w:t>
      </w:r>
      <w:r>
        <w:rPr>
          <w:rFonts w:hint="eastAsia" w:eastAsia="黑体"/>
          <w:b w:val="0"/>
          <w:bCs/>
          <w:color w:val="auto"/>
          <w:sz w:val="24"/>
          <w:szCs w:val="24"/>
          <w:highlight w:val="none"/>
        </w:rPr>
        <w:t>实施目标</w:t>
      </w:r>
      <w:bookmarkEnd w:id="479"/>
      <w:bookmarkEnd w:id="480"/>
    </w:p>
    <w:p>
      <w:pPr>
        <w:pStyle w:val="734"/>
        <w:numPr>
          <w:ilvl w:val="2"/>
          <w:numId w:val="7"/>
        </w:numPr>
        <w:spacing w:beforeLines="50" w:afterLines="50" w:line="360" w:lineRule="auto"/>
        <w:outlineLvl w:val="3"/>
        <w:rPr>
          <w:rFonts w:ascii="Times New Roman" w:hAnsi="Times New Roman"/>
          <w:color w:val="auto"/>
          <w:szCs w:val="21"/>
          <w:highlight w:val="none"/>
        </w:rPr>
      </w:pPr>
      <w:bookmarkStart w:id="481" w:name="_Toc5084"/>
      <w:r>
        <w:rPr>
          <w:rFonts w:ascii="Times New Roman" w:hAnsi="Times New Roman"/>
          <w:color w:val="auto"/>
          <w:szCs w:val="21"/>
          <w:highlight w:val="none"/>
        </w:rPr>
        <w:t>本标准将规范广东省代建项目管理局管理范围内建设工程项目的BIM应用及流程化，为各参与方提供一个BIM项目实施的标准框架与流程，并为BIM项目实施及CIM应用提供指导依据。</w:t>
      </w:r>
      <w:bookmarkEnd w:id="481"/>
    </w:p>
    <w:p>
      <w:pPr>
        <w:pStyle w:val="734"/>
        <w:numPr>
          <w:ilvl w:val="2"/>
          <w:numId w:val="7"/>
        </w:numPr>
        <w:spacing w:beforeLines="50" w:afterLines="50" w:line="360" w:lineRule="auto"/>
        <w:outlineLvl w:val="3"/>
        <w:rPr>
          <w:rFonts w:ascii="Times New Roman" w:hAnsi="Times New Roman"/>
          <w:color w:val="auto"/>
          <w:szCs w:val="21"/>
          <w:highlight w:val="none"/>
        </w:rPr>
      </w:pPr>
      <w:bookmarkStart w:id="482" w:name="_Toc27956"/>
      <w:r>
        <w:rPr>
          <w:rFonts w:ascii="Times New Roman" w:hAnsi="Times New Roman"/>
          <w:color w:val="auto"/>
          <w:szCs w:val="21"/>
          <w:highlight w:val="none"/>
        </w:rPr>
        <w:t>通过执行本标准内容，建立一套健全统一的贯穿策划与规划、勘察与设计、施工与监理、运行与维护、改造与拆除五个阶段的BIM项目流程体系，统一BIM项目各阶段的服务标准及服务成果交付细则。最终使代建局管理下的各项目参与方提高项目BIM应用水平，并推动</w:t>
      </w:r>
      <w:r>
        <w:rPr>
          <w:rFonts w:ascii="Times New Roman" w:hAnsi="Times New Roman"/>
          <w:color w:val="auto"/>
          <w:highlight w:val="none"/>
        </w:rPr>
        <w:t>广东省代建项目管理局管理范围内建设项目</w:t>
      </w:r>
      <w:r>
        <w:rPr>
          <w:rFonts w:ascii="Times New Roman" w:hAnsi="Times New Roman"/>
          <w:color w:val="auto"/>
          <w:szCs w:val="21"/>
          <w:highlight w:val="none"/>
        </w:rPr>
        <w:t>BIM及CIM的应用与发展。</w:t>
      </w:r>
      <w:bookmarkEnd w:id="482"/>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483" w:name="_Toc2485"/>
      <w:bookmarkStart w:id="484" w:name="_Toc54567589"/>
      <w:r>
        <w:rPr>
          <w:rFonts w:ascii="Times New Roman" w:hAnsi="Times New Roman" w:eastAsia="黑体"/>
          <w:b w:val="0"/>
          <w:bCs/>
          <w:color w:val="auto"/>
          <w:sz w:val="24"/>
          <w:szCs w:val="24"/>
          <w:highlight w:val="none"/>
        </w:rPr>
        <w:t>BIM实施原则</w:t>
      </w:r>
      <w:bookmarkEnd w:id="483"/>
      <w:bookmarkEnd w:id="484"/>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85" w:name="_Toc29252"/>
      <w:r>
        <w:rPr>
          <w:rFonts w:ascii="LNUHNF+SimSun" w:hAnsi="LNUHNF+SimSun" w:cs="宋体"/>
          <w:color w:val="auto"/>
          <w:szCs w:val="21"/>
          <w:highlight w:val="none"/>
        </w:rPr>
        <w:t>参与方职责范围一致性原则</w:t>
      </w:r>
      <w:bookmarkEnd w:id="485"/>
    </w:p>
    <w:p>
      <w:pPr>
        <w:spacing w:before="120" w:after="120"/>
        <w:ind w:firstLine="420" w:firstLineChars="200"/>
        <w:rPr>
          <w:color w:val="auto"/>
          <w:szCs w:val="21"/>
          <w:highlight w:val="none"/>
        </w:rPr>
      </w:pPr>
      <w:r>
        <w:rPr>
          <w:color w:val="auto"/>
          <w:szCs w:val="21"/>
          <w:highlight w:val="none"/>
        </w:rPr>
        <w:t>项目BIM技术实施过程中，各参与方对BIM模型所承担的工作职责及工作范围，应与各参与方项目承包范围和承包任务一致。BIM总协调方有责任监督、协调及管理各分包单位的BIM实施质量及进度，并同时对项目范围内最终的BIM成果负责。各参与方有责任根据项目的进展及本标准的要求配合BIM总协调方开展BIM的实施工作，并根据合同范围按相关合同节点提交BIM工作成果，并确保提交的BIM工作成果的正确性及完整性。</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86" w:name="_Toc5972"/>
      <w:r>
        <w:rPr>
          <w:rFonts w:ascii="LNUHNF+SimSun" w:hAnsi="LNUHNF+SimSun" w:cs="宋体"/>
          <w:color w:val="auto"/>
          <w:szCs w:val="21"/>
          <w:highlight w:val="none"/>
        </w:rPr>
        <w:t>软件版本及接口一致性原则</w:t>
      </w:r>
      <w:bookmarkEnd w:id="486"/>
    </w:p>
    <w:p>
      <w:pPr>
        <w:spacing w:before="120" w:after="120"/>
        <w:ind w:firstLine="420" w:firstLineChars="200"/>
        <w:rPr>
          <w:color w:val="auto"/>
          <w:szCs w:val="21"/>
          <w:highlight w:val="none"/>
        </w:rPr>
      </w:pPr>
      <w:r>
        <w:rPr>
          <w:color w:val="auto"/>
          <w:szCs w:val="21"/>
          <w:highlight w:val="none"/>
        </w:rPr>
        <w:t>在项目启动前，由BIM总协调方指定BIM协同平台的权限及建模软件的类型及版本，并对交付成果的文件（数据）格式做统一规定。各参与方应按规定选用项目BIM实施软件，提交统一格式的成果文件（数据）。</w:t>
      </w:r>
    </w:p>
    <w:p>
      <w:pPr>
        <w:spacing w:before="120" w:after="120"/>
        <w:ind w:firstLine="420" w:firstLineChars="200"/>
        <w:rPr>
          <w:color w:val="auto"/>
          <w:szCs w:val="21"/>
          <w:highlight w:val="none"/>
        </w:rPr>
      </w:pPr>
      <w:r>
        <w:rPr>
          <w:color w:val="auto"/>
          <w:szCs w:val="21"/>
          <w:highlight w:val="none"/>
        </w:rPr>
        <w:t>项目实施过程中不同专业软件之间的传递数据接口应符合标准规定，以保证最终BIM模型数据的正确性及完整性。</w:t>
      </w:r>
    </w:p>
    <w:p>
      <w:pPr>
        <w:pStyle w:val="734"/>
        <w:numPr>
          <w:ilvl w:val="2"/>
          <w:numId w:val="7"/>
        </w:numPr>
        <w:spacing w:beforeLines="50" w:afterLines="50" w:line="360" w:lineRule="auto"/>
        <w:outlineLvl w:val="3"/>
        <w:rPr>
          <w:rFonts w:ascii="Times New Roman" w:hAnsi="Times New Roman"/>
          <w:color w:val="auto"/>
          <w:szCs w:val="21"/>
          <w:highlight w:val="none"/>
        </w:rPr>
      </w:pPr>
      <w:bookmarkStart w:id="487" w:name="_Toc289"/>
      <w:r>
        <w:rPr>
          <w:rFonts w:ascii="Times New Roman" w:hAnsi="Times New Roman"/>
          <w:color w:val="auto"/>
          <w:szCs w:val="21"/>
          <w:highlight w:val="none"/>
        </w:rPr>
        <w:t>BIM模型维护与实际同步原则</w:t>
      </w:r>
      <w:bookmarkEnd w:id="487"/>
    </w:p>
    <w:p>
      <w:pPr>
        <w:spacing w:before="120" w:after="120"/>
        <w:ind w:firstLine="420" w:firstLineChars="200"/>
        <w:rPr>
          <w:color w:val="auto"/>
          <w:szCs w:val="21"/>
          <w:highlight w:val="none"/>
        </w:rPr>
      </w:pPr>
      <w:r>
        <w:rPr>
          <w:color w:val="auto"/>
          <w:szCs w:val="21"/>
          <w:highlight w:val="none"/>
        </w:rPr>
        <w:t>项目BIM应用在实施过程中，应与项目的实施进度保持同步，且过程中的BIM模型和相关成果应及时按规定节点更新，以确保BIM模型和相关成果的一致性。</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88" w:name="_Toc6449"/>
      <w:r>
        <w:rPr>
          <w:rFonts w:ascii="LNUHNF+SimSun" w:hAnsi="LNUHNF+SimSun" w:cs="宋体"/>
          <w:color w:val="auto"/>
          <w:szCs w:val="21"/>
          <w:highlight w:val="none"/>
        </w:rPr>
        <w:t>标准可持续更新原则</w:t>
      </w:r>
      <w:bookmarkEnd w:id="488"/>
    </w:p>
    <w:p>
      <w:pPr>
        <w:spacing w:before="120" w:after="120"/>
        <w:ind w:firstLine="420" w:firstLineChars="200"/>
        <w:rPr>
          <w:color w:val="auto"/>
          <w:szCs w:val="21"/>
          <w:highlight w:val="none"/>
        </w:rPr>
      </w:pPr>
      <w:r>
        <w:rPr>
          <w:color w:val="auto"/>
          <w:szCs w:val="21"/>
          <w:highlight w:val="none"/>
        </w:rPr>
        <w:t>为保证《标准》在项目中的贯彻实施，本《标准》将随着BIM技术的发展及根据实施过程中的反馈意见进行持续性更新。</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489" w:name="_Toc28489"/>
      <w:bookmarkStart w:id="490" w:name="_Toc54567590"/>
      <w:r>
        <w:rPr>
          <w:rFonts w:ascii="Times New Roman" w:hAnsi="Times New Roman" w:eastAsia="黑体"/>
          <w:b w:val="0"/>
          <w:bCs/>
          <w:color w:val="auto"/>
          <w:sz w:val="24"/>
          <w:szCs w:val="24"/>
          <w:highlight w:val="none"/>
        </w:rPr>
        <w:t>BIM实施要求</w:t>
      </w:r>
      <w:bookmarkEnd w:id="489"/>
      <w:bookmarkEnd w:id="490"/>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91" w:name="_Toc30233"/>
      <w:r>
        <w:rPr>
          <w:rFonts w:ascii="LNUHNF+SimSun" w:hAnsi="LNUHNF+SimSun" w:cs="宋体"/>
          <w:color w:val="auto"/>
          <w:szCs w:val="21"/>
          <w:highlight w:val="none"/>
        </w:rPr>
        <w:t>在项目BIM应用实施前，应对BIM协同平台及建模软件的性能进行充分分析和验证，避免因无效性工作造成的损失。</w:t>
      </w:r>
      <w:bookmarkEnd w:id="491"/>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92" w:name="_Toc23188"/>
      <w:r>
        <w:rPr>
          <w:rFonts w:ascii="LNUHNF+SimSun" w:hAnsi="LNUHNF+SimSun" w:cs="宋体"/>
          <w:color w:val="auto"/>
          <w:szCs w:val="21"/>
          <w:highlight w:val="none"/>
        </w:rPr>
        <w:t>在项目各阶段BIM实施过程中，创建的BIM模型应充分考虑到BIM模型在工程全生命周期各阶段、各专业的应用。</w:t>
      </w:r>
      <w:bookmarkEnd w:id="492"/>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93" w:name="_Toc17876"/>
      <w:r>
        <w:rPr>
          <w:rFonts w:ascii="LNUHNF+SimSun" w:hAnsi="LNUHNF+SimSun" w:cs="宋体"/>
          <w:color w:val="auto"/>
          <w:szCs w:val="21"/>
          <w:highlight w:val="none"/>
        </w:rPr>
        <w:t>在各阶段BIM实施过程中，应充分利用BIM模型所含的信息进行协同工作，实现各阶段信息的有效传递。</w:t>
      </w:r>
      <w:bookmarkEnd w:id="493"/>
    </w:p>
    <w:p>
      <w:pPr>
        <w:spacing w:before="120" w:after="120" w:line="338" w:lineRule="auto"/>
        <w:rPr>
          <w:color w:val="auto"/>
          <w:highlight w:val="none"/>
        </w:rPr>
        <w:sectPr>
          <w:footerReference r:id="rId23" w:type="default"/>
          <w:pgSz w:w="11905" w:h="16838"/>
          <w:pgMar w:top="1417" w:right="1417" w:bottom="1417" w:left="1417" w:header="720" w:footer="680" w:gutter="0"/>
          <w:cols w:space="720" w:num="1"/>
          <w:titlePg/>
        </w:sectPr>
      </w:pPr>
    </w:p>
    <w:p>
      <w:pPr>
        <w:pStyle w:val="677"/>
        <w:numPr>
          <w:ilvl w:val="0"/>
          <w:numId w:val="7"/>
        </w:numPr>
        <w:spacing w:before="240" w:after="240"/>
        <w:outlineLvl w:val="0"/>
        <w:rPr>
          <w:b w:val="0"/>
          <w:bCs/>
          <w:color w:val="auto"/>
          <w:highlight w:val="none"/>
        </w:rPr>
      </w:pPr>
      <w:bookmarkStart w:id="494" w:name="_Toc28591"/>
      <w:bookmarkStart w:id="495" w:name="_Toc54567591"/>
      <w:r>
        <w:rPr>
          <w:b w:val="0"/>
          <w:bCs/>
          <w:color w:val="auto"/>
          <w:highlight w:val="none"/>
        </w:rPr>
        <w:t>管理组织规定</w:t>
      </w:r>
      <w:bookmarkEnd w:id="494"/>
      <w:bookmarkEnd w:id="495"/>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496" w:name="_Toc54567592"/>
      <w:bookmarkStart w:id="497" w:name="_Toc20028"/>
      <w:r>
        <w:rPr>
          <w:rFonts w:ascii="Times New Roman" w:hAnsi="Times New Roman" w:eastAsia="黑体"/>
          <w:b w:val="0"/>
          <w:bCs/>
          <w:color w:val="auto"/>
          <w:sz w:val="24"/>
          <w:szCs w:val="24"/>
          <w:highlight w:val="none"/>
        </w:rPr>
        <w:t>BIM管理组织架构</w:t>
      </w:r>
      <w:bookmarkEnd w:id="496"/>
      <w:bookmarkEnd w:id="497"/>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98" w:name="_Toc361"/>
      <w:r>
        <w:rPr>
          <w:rFonts w:ascii="LNUHNF+SimSun" w:hAnsi="LNUHNF+SimSun" w:cs="宋体"/>
          <w:color w:val="auto"/>
          <w:szCs w:val="21"/>
          <w:highlight w:val="none"/>
        </w:rPr>
        <w:t>代建局项目BIM管理模式</w:t>
      </w:r>
      <w:bookmarkEnd w:id="498"/>
    </w:p>
    <w:p>
      <w:pPr>
        <w:spacing w:before="120" w:after="120"/>
        <w:ind w:firstLine="412" w:firstLineChars="200"/>
        <w:rPr>
          <w:color w:val="auto"/>
          <w:highlight w:val="none"/>
        </w:rPr>
      </w:pPr>
      <w:r>
        <w:rPr>
          <w:rFonts w:hint="eastAsia" w:ascii="宋体" w:hAnsi="宋体" w:cs="宋体"/>
          <w:color w:val="auto"/>
          <w:spacing w:val="-2"/>
          <w:highlight w:val="none"/>
        </w:rPr>
        <w:t>代建局项目</w:t>
      </w:r>
      <w:r>
        <w:rPr>
          <w:rFonts w:eastAsia="Times New Roman"/>
          <w:color w:val="auto"/>
          <w:spacing w:val="-2"/>
          <w:highlight w:val="none"/>
        </w:rPr>
        <w:t>BIM</w:t>
      </w:r>
      <w:r>
        <w:rPr>
          <w:rFonts w:hint="eastAsia" w:ascii="宋体" w:hAnsi="宋体" w:cs="宋体"/>
          <w:color w:val="auto"/>
          <w:spacing w:val="-2"/>
          <w:highlight w:val="none"/>
        </w:rPr>
        <w:t>管理实行</w:t>
      </w:r>
      <w:r>
        <w:rPr>
          <w:rFonts w:eastAsia="Times New Roman"/>
          <w:color w:val="auto"/>
          <w:spacing w:val="-2"/>
          <w:highlight w:val="none"/>
        </w:rPr>
        <w:t>BIM</w:t>
      </w:r>
      <w:r>
        <w:rPr>
          <w:color w:val="auto"/>
          <w:highlight w:val="none"/>
        </w:rPr>
        <w:t>总协调方</w:t>
      </w:r>
      <w:r>
        <w:rPr>
          <w:rFonts w:hint="eastAsia"/>
          <w:color w:val="auto"/>
          <w:highlight w:val="none"/>
        </w:rPr>
        <w:t>负责管理模式</w:t>
      </w:r>
      <w:r>
        <w:rPr>
          <w:color w:val="auto"/>
          <w:highlight w:val="none"/>
        </w:rPr>
        <w:t>。</w:t>
      </w:r>
      <w:r>
        <w:rPr>
          <w:rFonts w:eastAsia="Times New Roman"/>
          <w:color w:val="auto"/>
          <w:highlight w:val="none"/>
        </w:rPr>
        <w:t>BIM</w:t>
      </w:r>
      <w:r>
        <w:rPr>
          <w:color w:val="auto"/>
          <w:highlight w:val="none"/>
        </w:rPr>
        <w:t>总协调方在项目全过程中统筹</w:t>
      </w:r>
      <w:r>
        <w:rPr>
          <w:rFonts w:eastAsia="Times New Roman"/>
          <w:color w:val="auto"/>
          <w:spacing w:val="-2"/>
          <w:highlight w:val="none"/>
        </w:rPr>
        <w:t>BIM</w:t>
      </w:r>
      <w:r>
        <w:rPr>
          <w:color w:val="auto"/>
          <w:highlight w:val="none"/>
        </w:rPr>
        <w:t>的管理，制定统一的</w:t>
      </w:r>
      <w:r>
        <w:rPr>
          <w:rFonts w:eastAsia="Times New Roman"/>
          <w:color w:val="auto"/>
          <w:spacing w:val="-2"/>
          <w:highlight w:val="none"/>
        </w:rPr>
        <w:t>BIM</w:t>
      </w:r>
      <w:r>
        <w:rPr>
          <w:color w:val="auto"/>
          <w:spacing w:val="-7"/>
          <w:highlight w:val="none"/>
        </w:rPr>
        <w:t>技术标准，编制各阶段</w:t>
      </w:r>
      <w:r>
        <w:rPr>
          <w:rFonts w:eastAsia="Times New Roman"/>
          <w:color w:val="auto"/>
          <w:spacing w:val="-2"/>
          <w:highlight w:val="none"/>
        </w:rPr>
        <w:t>BIM</w:t>
      </w:r>
      <w:r>
        <w:rPr>
          <w:color w:val="auto"/>
          <w:spacing w:val="-4"/>
          <w:highlight w:val="none"/>
        </w:rPr>
        <w:t>实施计划，组织协调各参与单位的</w:t>
      </w:r>
      <w:r>
        <w:rPr>
          <w:rFonts w:eastAsia="Times New Roman"/>
          <w:color w:val="auto"/>
          <w:spacing w:val="-2"/>
          <w:highlight w:val="none"/>
        </w:rPr>
        <w:t>BIM</w:t>
      </w:r>
      <w:r>
        <w:rPr>
          <w:color w:val="auto"/>
          <w:highlight w:val="none"/>
        </w:rPr>
        <w:t>实施规则，审核汇总各参与方提交的</w:t>
      </w:r>
      <w:r>
        <w:rPr>
          <w:rFonts w:eastAsia="Times New Roman"/>
          <w:color w:val="auto"/>
          <w:spacing w:val="-2"/>
          <w:highlight w:val="none"/>
        </w:rPr>
        <w:t>BIM</w:t>
      </w:r>
      <w:r>
        <w:rPr>
          <w:color w:val="auto"/>
          <w:highlight w:val="none"/>
        </w:rPr>
        <w:t>成果，对项目的</w:t>
      </w:r>
      <w:r>
        <w:rPr>
          <w:rFonts w:eastAsia="Times New Roman"/>
          <w:color w:val="auto"/>
          <w:spacing w:val="-2"/>
          <w:highlight w:val="none"/>
        </w:rPr>
        <w:t>BIM</w:t>
      </w:r>
      <w:r>
        <w:rPr>
          <w:color w:val="auto"/>
          <w:highlight w:val="none"/>
        </w:rPr>
        <w:t>工作进行整体规划、监督、指导。</w:t>
      </w:r>
    </w:p>
    <w:p>
      <w:pPr>
        <w:spacing w:before="120" w:after="120"/>
        <w:ind w:firstLine="420" w:firstLineChars="200"/>
        <w:rPr>
          <w:color w:val="auto"/>
          <w:highlight w:val="none"/>
        </w:rPr>
      </w:pPr>
      <w:r>
        <w:rPr>
          <w:rFonts w:hint="eastAsia"/>
          <w:color w:val="auto"/>
          <w:highlight w:val="none"/>
        </w:rPr>
        <w:t>B</w:t>
      </w:r>
      <w:r>
        <w:rPr>
          <w:color w:val="auto"/>
          <w:highlight w:val="none"/>
        </w:rPr>
        <w:t>IM</w:t>
      </w:r>
      <w:r>
        <w:rPr>
          <w:rFonts w:hint="eastAsia"/>
          <w:color w:val="auto"/>
          <w:highlight w:val="none"/>
        </w:rPr>
        <w:t>总协调方可由代建局项目管理团队兼任，也可委托专业B</w:t>
      </w:r>
      <w:r>
        <w:rPr>
          <w:color w:val="auto"/>
          <w:highlight w:val="none"/>
        </w:rPr>
        <w:t>IM</w:t>
      </w:r>
      <w:r>
        <w:rPr>
          <w:rFonts w:hint="eastAsia"/>
          <w:color w:val="auto"/>
          <w:highlight w:val="none"/>
        </w:rPr>
        <w:t>咨询机构担任。原则上B</w:t>
      </w:r>
      <w:r>
        <w:rPr>
          <w:color w:val="auto"/>
          <w:highlight w:val="none"/>
        </w:rPr>
        <w:t>IM</w:t>
      </w:r>
      <w:r>
        <w:rPr>
          <w:rFonts w:hint="eastAsia"/>
          <w:color w:val="auto"/>
          <w:highlight w:val="none"/>
        </w:rPr>
        <w:t>总协调方不宜由项目设计B</w:t>
      </w:r>
      <w:r>
        <w:rPr>
          <w:color w:val="auto"/>
          <w:highlight w:val="none"/>
        </w:rPr>
        <w:t>IM</w:t>
      </w:r>
      <w:r>
        <w:rPr>
          <w:rFonts w:hint="eastAsia"/>
          <w:color w:val="auto"/>
          <w:highlight w:val="none"/>
        </w:rPr>
        <w:t>团队或施工B</w:t>
      </w:r>
      <w:r>
        <w:rPr>
          <w:color w:val="auto"/>
          <w:highlight w:val="none"/>
        </w:rPr>
        <w:t>IM</w:t>
      </w:r>
      <w:r>
        <w:rPr>
          <w:rFonts w:hint="eastAsia"/>
          <w:color w:val="auto"/>
          <w:highlight w:val="none"/>
        </w:rPr>
        <w:t>团队兼任。</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499" w:name="_Toc4568"/>
      <w:r>
        <w:rPr>
          <w:rFonts w:ascii="LNUHNF+SimSun" w:hAnsi="LNUHNF+SimSun" w:cs="宋体"/>
          <w:color w:val="auto"/>
          <w:szCs w:val="21"/>
          <w:highlight w:val="none"/>
        </w:rPr>
        <w:t>代建局项目BIM管理组织架构</w:t>
      </w:r>
      <w:bookmarkEnd w:id="499"/>
    </w:p>
    <w:p>
      <w:pPr>
        <w:spacing w:before="120" w:after="120"/>
        <w:ind w:firstLine="420" w:firstLineChars="200"/>
        <w:rPr>
          <w:color w:val="auto"/>
          <w:highlight w:val="none"/>
        </w:rPr>
      </w:pPr>
      <w:r>
        <w:rPr>
          <w:color w:val="auto"/>
          <w:highlight w:val="none"/>
        </w:rPr>
        <w:t>代建局</w:t>
      </w:r>
      <w:r>
        <w:rPr>
          <w:rFonts w:eastAsia="Times New Roman"/>
          <w:color w:val="auto"/>
          <w:spacing w:val="-2"/>
          <w:highlight w:val="none"/>
        </w:rPr>
        <w:t>BIM</w:t>
      </w:r>
      <w:r>
        <w:rPr>
          <w:color w:val="auto"/>
          <w:highlight w:val="none"/>
        </w:rPr>
        <w:t>总协调</w:t>
      </w:r>
      <w:r>
        <w:rPr>
          <w:color w:val="auto"/>
          <w:szCs w:val="21"/>
          <w:highlight w:val="none"/>
        </w:rPr>
        <w:t>管理模式</w:t>
      </w:r>
      <w:r>
        <w:rPr>
          <w:color w:val="auto"/>
          <w:highlight w:val="none"/>
        </w:rPr>
        <w:t>的组织架构详见《附件：BIM实施导则》中附图</w:t>
      </w:r>
      <w:r>
        <w:rPr>
          <w:rFonts w:eastAsia="Times New Roman"/>
          <w:color w:val="auto"/>
          <w:highlight w:val="none"/>
        </w:rPr>
        <w:t>1</w:t>
      </w:r>
      <w:r>
        <w:rPr>
          <w:color w:val="auto"/>
          <w:highlight w:val="none"/>
        </w:rPr>
        <w:t>。</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00" w:name="_Toc24404"/>
      <w:bookmarkStart w:id="501" w:name="_Toc54567593"/>
      <w:r>
        <w:rPr>
          <w:rFonts w:ascii="Times New Roman" w:hAnsi="Times New Roman" w:eastAsia="黑体"/>
          <w:b w:val="0"/>
          <w:bCs/>
          <w:color w:val="auto"/>
          <w:sz w:val="24"/>
          <w:szCs w:val="24"/>
          <w:highlight w:val="none"/>
        </w:rPr>
        <w:t>BIM项目管理流程</w:t>
      </w:r>
      <w:bookmarkEnd w:id="500"/>
      <w:bookmarkEnd w:id="501"/>
    </w:p>
    <w:p>
      <w:pPr>
        <w:pStyle w:val="734"/>
        <w:numPr>
          <w:ilvl w:val="2"/>
          <w:numId w:val="7"/>
        </w:numPr>
        <w:spacing w:beforeLines="50" w:afterLines="50" w:line="360" w:lineRule="auto"/>
        <w:outlineLvl w:val="3"/>
        <w:rPr>
          <w:rFonts w:ascii="Times New Roman" w:hAnsi="Times New Roman"/>
          <w:color w:val="auto"/>
          <w:highlight w:val="none"/>
        </w:rPr>
      </w:pPr>
      <w:bookmarkStart w:id="502" w:name="_Toc17524"/>
      <w:r>
        <w:rPr>
          <w:rFonts w:ascii="Times New Roman" w:hAnsi="Times New Roman"/>
          <w:color w:val="auto"/>
          <w:highlight w:val="none"/>
        </w:rPr>
        <w:t>代建局</w:t>
      </w:r>
      <w:r>
        <w:rPr>
          <w:rFonts w:ascii="Times New Roman" w:hAnsi="Times New Roman"/>
          <w:color w:val="auto"/>
          <w:szCs w:val="21"/>
          <w:highlight w:val="none"/>
        </w:rPr>
        <w:t>项目</w:t>
      </w:r>
      <w:r>
        <w:rPr>
          <w:rFonts w:ascii="Times New Roman" w:hAnsi="Times New Roman" w:eastAsia="Times New Roman"/>
          <w:color w:val="auto"/>
          <w:spacing w:val="-2"/>
          <w:highlight w:val="none"/>
        </w:rPr>
        <w:t>BIM</w:t>
      </w:r>
      <w:r>
        <w:rPr>
          <w:rFonts w:ascii="Times New Roman" w:hAnsi="Times New Roman"/>
          <w:color w:val="auto"/>
          <w:highlight w:val="none"/>
        </w:rPr>
        <w:t>管理实施策划工作，应依照《附件：BIM实施导则》中附图</w:t>
      </w:r>
      <w:r>
        <w:rPr>
          <w:rFonts w:ascii="Times New Roman" w:hAnsi="Times New Roman" w:eastAsia="Times New Roman"/>
          <w:color w:val="auto"/>
          <w:highlight w:val="none"/>
        </w:rPr>
        <w:t>2</w:t>
      </w:r>
      <w:r>
        <w:rPr>
          <w:rFonts w:ascii="Times New Roman" w:hAnsi="Times New Roman"/>
          <w:color w:val="auto"/>
          <w:highlight w:val="none"/>
        </w:rPr>
        <w:t>的流程，并依照对应标准执行。</w:t>
      </w:r>
      <w:bookmarkEnd w:id="502"/>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03" w:name="_Toc54567594"/>
      <w:bookmarkStart w:id="504" w:name="_Toc3725"/>
      <w:r>
        <w:rPr>
          <w:rFonts w:ascii="Times New Roman" w:hAnsi="Times New Roman" w:eastAsia="黑体"/>
          <w:b w:val="0"/>
          <w:bCs/>
          <w:color w:val="auto"/>
          <w:sz w:val="24"/>
          <w:szCs w:val="24"/>
          <w:highlight w:val="none"/>
        </w:rPr>
        <w:t>BIM项目管理主要工作内容</w:t>
      </w:r>
      <w:bookmarkEnd w:id="503"/>
      <w:bookmarkEnd w:id="504"/>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05" w:name="_Toc23882"/>
      <w:r>
        <w:rPr>
          <w:rFonts w:ascii="LNUHNF+SimSun" w:hAnsi="LNUHNF+SimSun" w:cs="宋体"/>
          <w:color w:val="auto"/>
          <w:szCs w:val="21"/>
          <w:highlight w:val="none"/>
        </w:rPr>
        <w:t>BIM项目实施可行性研究</w:t>
      </w:r>
      <w:bookmarkEnd w:id="505"/>
    </w:p>
    <w:p>
      <w:pPr>
        <w:spacing w:before="120" w:after="120"/>
        <w:ind w:firstLine="420" w:firstLineChars="200"/>
        <w:rPr>
          <w:color w:val="auto"/>
          <w:highlight w:val="none"/>
        </w:rPr>
      </w:pPr>
      <w:r>
        <w:rPr>
          <w:color w:val="auto"/>
          <w:highlight w:val="none"/>
        </w:rPr>
        <w:t>由代建局</w:t>
      </w:r>
      <w:r>
        <w:rPr>
          <w:rFonts w:hint="eastAsia"/>
          <w:color w:val="auto"/>
          <w:highlight w:val="none"/>
        </w:rPr>
        <w:t>前期工作部</w:t>
      </w:r>
      <w:r>
        <w:rPr>
          <w:color w:val="auto"/>
          <w:highlight w:val="none"/>
        </w:rPr>
        <w:t>进行</w:t>
      </w:r>
      <w:r>
        <w:rPr>
          <w:rFonts w:eastAsia="Times New Roman"/>
          <w:color w:val="auto"/>
          <w:spacing w:val="-2"/>
          <w:highlight w:val="none"/>
        </w:rPr>
        <w:t>BIM</w:t>
      </w:r>
      <w:r>
        <w:rPr>
          <w:color w:val="auto"/>
          <w:highlight w:val="none"/>
        </w:rPr>
        <w:t>需求调研及咨询，根据代建局项目的类别、规模及特点，对项目实施</w:t>
      </w:r>
      <w:r>
        <w:rPr>
          <w:rFonts w:eastAsia="Times New Roman"/>
          <w:color w:val="auto"/>
          <w:spacing w:val="-2"/>
          <w:highlight w:val="none"/>
        </w:rPr>
        <w:t>BIM</w:t>
      </w:r>
      <w:r>
        <w:rPr>
          <w:color w:val="auto"/>
          <w:highlight w:val="none"/>
        </w:rPr>
        <w:t>技术进行可行性分析，确定</w:t>
      </w:r>
      <w:r>
        <w:rPr>
          <w:rFonts w:eastAsia="Times New Roman"/>
          <w:color w:val="auto"/>
          <w:spacing w:val="-2"/>
          <w:highlight w:val="none"/>
        </w:rPr>
        <w:t>BIM</w:t>
      </w:r>
      <w:r>
        <w:rPr>
          <w:color w:val="auto"/>
          <w:spacing w:val="2"/>
          <w:highlight w:val="none"/>
        </w:rPr>
        <w:t>技术使用的方向、应用点、费用投入等内</w:t>
      </w:r>
      <w:r>
        <w:rPr>
          <w:color w:val="auto"/>
          <w:highlight w:val="none"/>
        </w:rPr>
        <w:t>容，审批通过后实施。</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06" w:name="_Toc23976"/>
      <w:r>
        <w:rPr>
          <w:rFonts w:ascii="LNUHNF+SimSun" w:hAnsi="LNUHNF+SimSun" w:cs="宋体"/>
          <w:color w:val="auto"/>
          <w:szCs w:val="21"/>
          <w:highlight w:val="none"/>
        </w:rPr>
        <w:t>提出BIM实施目标</w:t>
      </w:r>
      <w:bookmarkEnd w:id="506"/>
    </w:p>
    <w:p>
      <w:pPr>
        <w:spacing w:before="120" w:after="120"/>
        <w:ind w:firstLine="420" w:firstLineChars="200"/>
        <w:rPr>
          <w:color w:val="auto"/>
          <w:highlight w:val="none"/>
        </w:rPr>
      </w:pPr>
      <w:r>
        <w:rPr>
          <w:color w:val="auto"/>
          <w:highlight w:val="none"/>
        </w:rPr>
        <w:t>根据</w:t>
      </w:r>
      <w:r>
        <w:rPr>
          <w:rFonts w:hint="eastAsia"/>
          <w:color w:val="auto"/>
          <w:highlight w:val="none"/>
        </w:rPr>
        <w:t>代建局</w:t>
      </w:r>
      <w:r>
        <w:rPr>
          <w:rFonts w:eastAsia="Times New Roman"/>
          <w:color w:val="auto"/>
          <w:spacing w:val="-2"/>
          <w:highlight w:val="none"/>
        </w:rPr>
        <w:t>BIM</w:t>
      </w:r>
      <w:r>
        <w:rPr>
          <w:color w:val="auto"/>
          <w:highlight w:val="none"/>
        </w:rPr>
        <w:t>发展的要求及</w:t>
      </w:r>
      <w:r>
        <w:rPr>
          <w:rFonts w:eastAsia="Times New Roman"/>
          <w:color w:val="auto"/>
          <w:spacing w:val="-2"/>
          <w:highlight w:val="none"/>
        </w:rPr>
        <w:t>BIM</w:t>
      </w:r>
      <w:r>
        <w:rPr>
          <w:color w:val="auto"/>
          <w:highlight w:val="none"/>
        </w:rPr>
        <w:t>项目管理的经验，</w:t>
      </w:r>
      <w:r>
        <w:rPr>
          <w:rFonts w:hint="eastAsia"/>
          <w:color w:val="auto"/>
          <w:highlight w:val="none"/>
        </w:rPr>
        <w:t>前期工作部应</w:t>
      </w:r>
      <w:r>
        <w:rPr>
          <w:color w:val="auto"/>
          <w:highlight w:val="none"/>
        </w:rPr>
        <w:t>确定新建项目</w:t>
      </w:r>
      <w:r>
        <w:rPr>
          <w:rFonts w:eastAsia="Times New Roman"/>
          <w:color w:val="auto"/>
          <w:spacing w:val="-2"/>
          <w:highlight w:val="none"/>
        </w:rPr>
        <w:t>BIM</w:t>
      </w:r>
      <w:r>
        <w:rPr>
          <w:color w:val="auto"/>
          <w:highlight w:val="none"/>
        </w:rPr>
        <w:t>实施的重点研究目标，在项目</w:t>
      </w:r>
      <w:r>
        <w:rPr>
          <w:color w:val="auto"/>
          <w:szCs w:val="21"/>
          <w:highlight w:val="none"/>
        </w:rPr>
        <w:t>实际</w:t>
      </w:r>
      <w:r>
        <w:rPr>
          <w:color w:val="auto"/>
          <w:highlight w:val="none"/>
        </w:rPr>
        <w:t>操作中摸索</w:t>
      </w:r>
      <w:r>
        <w:rPr>
          <w:rFonts w:eastAsia="Times New Roman"/>
          <w:color w:val="auto"/>
          <w:spacing w:val="-2"/>
          <w:highlight w:val="none"/>
        </w:rPr>
        <w:t>BIM</w:t>
      </w:r>
      <w:r>
        <w:rPr>
          <w:color w:val="auto"/>
          <w:highlight w:val="none"/>
        </w:rPr>
        <w:t>项目管理方法，逐步打通策划、设计、施工、运维全生命周期传递性的环节。</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07" w:name="_Toc31680"/>
      <w:r>
        <w:rPr>
          <w:rFonts w:ascii="LNUHNF+SimSun" w:hAnsi="LNUHNF+SimSun" w:cs="宋体"/>
          <w:color w:val="auto"/>
          <w:szCs w:val="21"/>
          <w:highlight w:val="none"/>
        </w:rPr>
        <w:t>确定项目BIM总协调方</w:t>
      </w:r>
      <w:bookmarkEnd w:id="507"/>
    </w:p>
    <w:p>
      <w:pPr>
        <w:spacing w:before="120" w:after="120"/>
        <w:ind w:firstLine="420" w:firstLineChars="200"/>
        <w:rPr>
          <w:color w:val="auto"/>
          <w:highlight w:val="none"/>
        </w:rPr>
      </w:pPr>
      <w:r>
        <w:rPr>
          <w:color w:val="auto"/>
          <w:highlight w:val="none"/>
        </w:rPr>
        <w:t>根据项目的BIM实施目标和深度、项目特点、各参与方的管理水平等因素，</w:t>
      </w:r>
      <w:r>
        <w:rPr>
          <w:rFonts w:hint="eastAsia"/>
          <w:color w:val="auto"/>
          <w:highlight w:val="none"/>
        </w:rPr>
        <w:t>前期工作部应</w:t>
      </w:r>
      <w:r>
        <w:rPr>
          <w:color w:val="auto"/>
          <w:highlight w:val="none"/>
        </w:rPr>
        <w:t>确定项目BIM总协调方。项目BIM总协调方的能力</w:t>
      </w:r>
      <w:r>
        <w:rPr>
          <w:color w:val="auto"/>
          <w:szCs w:val="21"/>
          <w:highlight w:val="none"/>
        </w:rPr>
        <w:t>要求</w:t>
      </w:r>
      <w:r>
        <w:rPr>
          <w:color w:val="auto"/>
          <w:highlight w:val="none"/>
        </w:rPr>
        <w:t>及工作职责详见“第五章”内容。</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08" w:name="_Toc21776"/>
      <w:r>
        <w:rPr>
          <w:rFonts w:ascii="LNUHNF+SimSun" w:hAnsi="LNUHNF+SimSun" w:cs="宋体"/>
          <w:color w:val="auto"/>
          <w:szCs w:val="21"/>
          <w:highlight w:val="none"/>
        </w:rPr>
        <w:t>确定各参与方</w:t>
      </w:r>
      <w:bookmarkStart w:id="509" w:name="_bookmark5"/>
      <w:bookmarkEnd w:id="509"/>
      <w:r>
        <w:rPr>
          <w:rFonts w:ascii="LNUHNF+SimSun" w:hAnsi="LNUHNF+SimSun" w:cs="宋体"/>
          <w:color w:val="auto"/>
          <w:szCs w:val="21"/>
          <w:highlight w:val="none"/>
        </w:rPr>
        <w:t>及相关职责要求</w:t>
      </w:r>
      <w:bookmarkEnd w:id="508"/>
    </w:p>
    <w:p>
      <w:pPr>
        <w:spacing w:before="120" w:after="120"/>
        <w:ind w:firstLine="420" w:firstLineChars="200"/>
        <w:rPr>
          <w:color w:val="auto"/>
          <w:highlight w:val="none"/>
        </w:rPr>
      </w:pPr>
      <w:r>
        <w:rPr>
          <w:color w:val="auto"/>
          <w:highlight w:val="none"/>
        </w:rPr>
        <w:t>BIM总协调方根据项目特点、项目组织方式，将各参与方BIM技术能力、人员配置、设备投入、工作范围的职责和要求的信息提交</w:t>
      </w:r>
      <w:r>
        <w:rPr>
          <w:rFonts w:hint="eastAsia"/>
          <w:color w:val="auto"/>
          <w:highlight w:val="none"/>
        </w:rPr>
        <w:t>前期工作部</w:t>
      </w:r>
      <w:r>
        <w:rPr>
          <w:color w:val="auto"/>
          <w:highlight w:val="none"/>
        </w:rPr>
        <w:t>审批。具体详见</w:t>
      </w:r>
      <w:r>
        <w:rPr>
          <w:rFonts w:ascii="等线" w:hAnsi="等线" w:eastAsia="等线"/>
          <w:color w:val="auto"/>
          <w:highlight w:val="none"/>
        </w:rPr>
        <w:t>“第五章”</w:t>
      </w:r>
      <w:r>
        <w:rPr>
          <w:color w:val="auto"/>
          <w:highlight w:val="none"/>
        </w:rPr>
        <w:t>的内容。</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10" w:name="_Toc15046"/>
      <w:r>
        <w:rPr>
          <w:rFonts w:ascii="LNUHNF+SimSun" w:hAnsi="LNUHNF+SimSun" w:cs="宋体"/>
          <w:color w:val="auto"/>
          <w:szCs w:val="21"/>
          <w:highlight w:val="none"/>
        </w:rPr>
        <w:t>确定BIM实施大纲</w:t>
      </w:r>
      <w:bookmarkEnd w:id="510"/>
    </w:p>
    <w:p>
      <w:pPr>
        <w:spacing w:before="120" w:after="120"/>
        <w:ind w:firstLine="404" w:firstLineChars="200"/>
        <w:rPr>
          <w:color w:val="auto"/>
          <w:highlight w:val="none"/>
        </w:rPr>
      </w:pPr>
      <w:r>
        <w:rPr>
          <w:color w:val="auto"/>
          <w:spacing w:val="-4"/>
          <w:highlight w:val="none"/>
        </w:rPr>
        <w:t>在项目前期准备阶段中，</w:t>
      </w:r>
      <w:r>
        <w:rPr>
          <w:rFonts w:eastAsia="Times New Roman"/>
          <w:color w:val="auto"/>
          <w:spacing w:val="-4"/>
          <w:highlight w:val="none"/>
        </w:rPr>
        <w:t>BIM</w:t>
      </w:r>
      <w:r>
        <w:rPr>
          <w:color w:val="auto"/>
          <w:highlight w:val="none"/>
        </w:rPr>
        <w:t>总协调方需根据项目</w:t>
      </w:r>
      <w:r>
        <w:rPr>
          <w:rFonts w:eastAsia="Times New Roman"/>
          <w:color w:val="auto"/>
          <w:spacing w:val="-2"/>
          <w:highlight w:val="none"/>
        </w:rPr>
        <w:t>BIM</w:t>
      </w:r>
      <w:r>
        <w:rPr>
          <w:color w:val="auto"/>
          <w:spacing w:val="-3"/>
          <w:highlight w:val="none"/>
        </w:rPr>
        <w:t>实施目标、项目特点和项目组织</w:t>
      </w:r>
      <w:r>
        <w:rPr>
          <w:color w:val="auto"/>
          <w:highlight w:val="none"/>
        </w:rPr>
        <w:t>方式，制定《项目</w:t>
      </w:r>
      <w:r>
        <w:rPr>
          <w:rFonts w:eastAsia="Times New Roman"/>
          <w:color w:val="auto"/>
          <w:spacing w:val="-2"/>
          <w:highlight w:val="none"/>
        </w:rPr>
        <w:t>BIM</w:t>
      </w:r>
      <w:r>
        <w:rPr>
          <w:color w:val="auto"/>
          <w:highlight w:val="none"/>
        </w:rPr>
        <w:t>实施大纲》，提交代建局</w:t>
      </w:r>
      <w:r>
        <w:rPr>
          <w:rFonts w:hint="eastAsia"/>
          <w:color w:val="auto"/>
          <w:highlight w:val="none"/>
        </w:rPr>
        <w:t>前期工作部</w:t>
      </w:r>
      <w:r>
        <w:rPr>
          <w:color w:val="auto"/>
          <w:highlight w:val="none"/>
        </w:rPr>
        <w:t>审核。</w:t>
      </w:r>
    </w:p>
    <w:p>
      <w:pPr>
        <w:spacing w:before="120" w:after="120"/>
        <w:ind w:firstLine="420" w:firstLineChars="200"/>
        <w:rPr>
          <w:color w:val="auto"/>
          <w:highlight w:val="none"/>
        </w:rPr>
      </w:pPr>
      <w:r>
        <w:rPr>
          <w:rFonts w:hint="eastAsia"/>
          <w:color w:val="auto"/>
          <w:highlight w:val="none"/>
        </w:rPr>
        <w:t>《项目BIM实施大纲》应包含下列基本内容：</w:t>
      </w:r>
    </w:p>
    <w:p>
      <w:pPr>
        <w:pStyle w:val="48"/>
        <w:numPr>
          <w:ilvl w:val="0"/>
          <w:numId w:val="10"/>
        </w:numPr>
        <w:spacing w:before="120" w:after="120"/>
        <w:ind w:firstLine="420"/>
        <w:rPr>
          <w:color w:val="auto"/>
          <w:sz w:val="21"/>
          <w:szCs w:val="21"/>
          <w:highlight w:val="none"/>
        </w:rPr>
      </w:pPr>
      <w:r>
        <w:rPr>
          <w:rFonts w:hint="eastAsia"/>
          <w:color w:val="auto"/>
          <w:sz w:val="21"/>
          <w:szCs w:val="21"/>
          <w:highlight w:val="none"/>
        </w:rPr>
        <w:t>项目基本情况；</w:t>
      </w:r>
    </w:p>
    <w:p>
      <w:pPr>
        <w:pStyle w:val="48"/>
        <w:numPr>
          <w:ilvl w:val="0"/>
          <w:numId w:val="10"/>
        </w:numPr>
        <w:spacing w:before="120" w:after="120"/>
        <w:ind w:firstLine="420"/>
        <w:rPr>
          <w:color w:val="auto"/>
          <w:sz w:val="21"/>
          <w:szCs w:val="21"/>
          <w:highlight w:val="none"/>
        </w:rPr>
      </w:pPr>
      <w:r>
        <w:rPr>
          <w:rFonts w:hint="eastAsia"/>
          <w:color w:val="auto"/>
          <w:sz w:val="21"/>
          <w:szCs w:val="21"/>
          <w:highlight w:val="none"/>
        </w:rPr>
        <w:t>BIM项目实施组织架构；</w:t>
      </w:r>
    </w:p>
    <w:p>
      <w:pPr>
        <w:pStyle w:val="48"/>
        <w:numPr>
          <w:ilvl w:val="0"/>
          <w:numId w:val="10"/>
        </w:numPr>
        <w:spacing w:before="120" w:after="120"/>
        <w:ind w:firstLine="420"/>
        <w:rPr>
          <w:color w:val="auto"/>
          <w:sz w:val="21"/>
          <w:szCs w:val="21"/>
          <w:highlight w:val="none"/>
        </w:rPr>
      </w:pPr>
      <w:r>
        <w:rPr>
          <w:rFonts w:hint="eastAsia"/>
          <w:color w:val="auto"/>
          <w:sz w:val="21"/>
          <w:szCs w:val="21"/>
          <w:highlight w:val="none"/>
        </w:rPr>
        <w:t>BIM实施总体概述；</w:t>
      </w:r>
    </w:p>
    <w:p>
      <w:pPr>
        <w:pStyle w:val="48"/>
        <w:numPr>
          <w:ilvl w:val="0"/>
          <w:numId w:val="10"/>
        </w:numPr>
        <w:spacing w:before="120" w:after="120"/>
        <w:ind w:firstLine="420"/>
        <w:rPr>
          <w:color w:val="auto"/>
          <w:sz w:val="21"/>
          <w:szCs w:val="21"/>
          <w:highlight w:val="none"/>
        </w:rPr>
      </w:pPr>
      <w:r>
        <w:rPr>
          <w:rFonts w:hint="eastAsia"/>
          <w:color w:val="auto"/>
          <w:sz w:val="21"/>
          <w:szCs w:val="21"/>
          <w:highlight w:val="none"/>
        </w:rPr>
        <w:t>项目BIM应用流程。</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11" w:name="_Toc20321"/>
      <w:r>
        <w:rPr>
          <w:rFonts w:ascii="LNUHNF+SimSun" w:hAnsi="LNUHNF+SimSun" w:cs="宋体"/>
          <w:color w:val="auto"/>
          <w:szCs w:val="21"/>
          <w:highlight w:val="none"/>
        </w:rPr>
        <w:t>BIM项目实施过程管理</w:t>
      </w:r>
      <w:bookmarkEnd w:id="511"/>
    </w:p>
    <w:p>
      <w:pPr>
        <w:spacing w:before="120" w:after="120"/>
        <w:ind w:firstLine="420" w:firstLineChars="200"/>
        <w:rPr>
          <w:color w:val="auto"/>
          <w:highlight w:val="none"/>
        </w:rPr>
      </w:pPr>
      <w:r>
        <w:rPr>
          <w:color w:val="auto"/>
          <w:highlight w:val="none"/>
        </w:rPr>
        <w:t>在代建局</w:t>
      </w:r>
      <w:r>
        <w:rPr>
          <w:rFonts w:eastAsia="Times New Roman"/>
          <w:color w:val="auto"/>
          <w:spacing w:val="-2"/>
          <w:highlight w:val="none"/>
        </w:rPr>
        <w:t>BIM</w:t>
      </w:r>
      <w:r>
        <w:rPr>
          <w:color w:val="auto"/>
          <w:spacing w:val="2"/>
          <w:highlight w:val="none"/>
        </w:rPr>
        <w:t>项目实施过程中，</w:t>
      </w:r>
      <w:r>
        <w:rPr>
          <w:rFonts w:hint="eastAsia"/>
          <w:color w:val="auto"/>
          <w:spacing w:val="2"/>
          <w:highlight w:val="none"/>
        </w:rPr>
        <w:t>根据项目B</w:t>
      </w:r>
      <w:r>
        <w:rPr>
          <w:color w:val="auto"/>
          <w:spacing w:val="2"/>
          <w:highlight w:val="none"/>
        </w:rPr>
        <w:t>IM</w:t>
      </w:r>
      <w:r>
        <w:rPr>
          <w:rFonts w:hint="eastAsia"/>
          <w:color w:val="auto"/>
          <w:spacing w:val="2"/>
          <w:highlight w:val="none"/>
        </w:rPr>
        <w:t>实施阶段的不同，</w:t>
      </w:r>
      <w:r>
        <w:rPr>
          <w:color w:val="auto"/>
          <w:spacing w:val="2"/>
          <w:highlight w:val="none"/>
        </w:rPr>
        <w:t>代建局</w:t>
      </w:r>
      <w:r>
        <w:rPr>
          <w:rFonts w:hint="eastAsia"/>
          <w:color w:val="auto"/>
          <w:highlight w:val="none"/>
        </w:rPr>
        <w:t>前期工作部和项目建设管理部负责</w:t>
      </w:r>
      <w:r>
        <w:rPr>
          <w:color w:val="auto"/>
          <w:spacing w:val="2"/>
          <w:highlight w:val="none"/>
        </w:rPr>
        <w:t>开通项目</w:t>
      </w:r>
      <w:r>
        <w:rPr>
          <w:rFonts w:hint="eastAsia"/>
          <w:color w:val="auto"/>
          <w:spacing w:val="2"/>
          <w:highlight w:val="none"/>
        </w:rPr>
        <w:t>设计</w:t>
      </w:r>
      <w:r>
        <w:rPr>
          <w:color w:val="auto"/>
          <w:spacing w:val="2"/>
          <w:highlight w:val="none"/>
        </w:rPr>
        <w:t>协同平台，</w:t>
      </w:r>
      <w:r>
        <w:rPr>
          <w:rFonts w:hint="eastAsia"/>
          <w:color w:val="auto"/>
          <w:spacing w:val="2"/>
          <w:highlight w:val="none"/>
        </w:rPr>
        <w:t>代建局</w:t>
      </w:r>
      <w:r>
        <w:rPr>
          <w:rFonts w:hint="eastAsia"/>
          <w:color w:val="auto"/>
          <w:highlight w:val="none"/>
        </w:rPr>
        <w:t>前期工作部和项目建设管理部</w:t>
      </w:r>
      <w:r>
        <w:rPr>
          <w:color w:val="auto"/>
          <w:spacing w:val="2"/>
          <w:highlight w:val="none"/>
        </w:rPr>
        <w:t>监督并管理项目</w:t>
      </w:r>
      <w:r>
        <w:rPr>
          <w:rFonts w:eastAsia="Times New Roman"/>
          <w:color w:val="auto"/>
          <w:spacing w:val="-2"/>
          <w:highlight w:val="none"/>
        </w:rPr>
        <w:t>BIM</w:t>
      </w:r>
      <w:r>
        <w:rPr>
          <w:color w:val="auto"/>
          <w:highlight w:val="none"/>
        </w:rPr>
        <w:t>总协调方的</w:t>
      </w:r>
      <w:r>
        <w:rPr>
          <w:rFonts w:eastAsia="Times New Roman"/>
          <w:color w:val="auto"/>
          <w:spacing w:val="-2"/>
          <w:highlight w:val="none"/>
        </w:rPr>
        <w:t>BIM</w:t>
      </w:r>
      <w:r>
        <w:rPr>
          <w:color w:val="auto"/>
          <w:highlight w:val="none"/>
        </w:rPr>
        <w:t>实施工作。</w:t>
      </w:r>
      <w:r>
        <w:rPr>
          <w:rFonts w:eastAsia="Times New Roman"/>
          <w:color w:val="auto"/>
          <w:highlight w:val="none"/>
        </w:rPr>
        <w:t>BIM</w:t>
      </w:r>
      <w:r>
        <w:rPr>
          <w:color w:val="auto"/>
          <w:highlight w:val="none"/>
        </w:rPr>
        <w:t>总协调方具体管理详见“第六章”的内容。</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12" w:name="_Toc12366"/>
      <w:r>
        <w:rPr>
          <w:rFonts w:ascii="LNUHNF+SimSun" w:hAnsi="LNUHNF+SimSun" w:cs="宋体"/>
          <w:color w:val="auto"/>
          <w:szCs w:val="21"/>
          <w:highlight w:val="none"/>
        </w:rPr>
        <w:t>成果接收</w:t>
      </w:r>
      <w:bookmarkEnd w:id="512"/>
    </w:p>
    <w:p>
      <w:pPr>
        <w:spacing w:before="120" w:after="120"/>
        <w:ind w:firstLine="420" w:firstLineChars="200"/>
        <w:rPr>
          <w:color w:val="auto"/>
          <w:highlight w:val="none"/>
        </w:rPr>
      </w:pPr>
      <w:r>
        <w:rPr>
          <w:color w:val="auto"/>
          <w:highlight w:val="none"/>
        </w:rPr>
        <w:t>代建局</w:t>
      </w:r>
      <w:r>
        <w:rPr>
          <w:rFonts w:hint="eastAsia"/>
          <w:color w:val="auto"/>
          <w:highlight w:val="none"/>
        </w:rPr>
        <w:t>前期工作部和项目建设管理部</w:t>
      </w:r>
      <w:r>
        <w:rPr>
          <w:color w:val="auto"/>
          <w:highlight w:val="none"/>
        </w:rPr>
        <w:t>接收由</w:t>
      </w:r>
      <w:r>
        <w:rPr>
          <w:rFonts w:eastAsia="Times New Roman"/>
          <w:color w:val="auto"/>
          <w:spacing w:val="-2"/>
          <w:highlight w:val="none"/>
        </w:rPr>
        <w:t>BIM</w:t>
      </w:r>
      <w:r>
        <w:rPr>
          <w:color w:val="auto"/>
          <w:highlight w:val="none"/>
        </w:rPr>
        <w:t>总协调方汇总审定后的</w:t>
      </w:r>
      <w:r>
        <w:rPr>
          <w:rFonts w:eastAsia="Times New Roman"/>
          <w:color w:val="auto"/>
          <w:spacing w:val="-2"/>
          <w:highlight w:val="none"/>
        </w:rPr>
        <w:t>BIM</w:t>
      </w:r>
      <w:r>
        <w:rPr>
          <w:color w:val="auto"/>
          <w:spacing w:val="2"/>
          <w:highlight w:val="none"/>
        </w:rPr>
        <w:t>成果，通过代建局项目管理平台进行项</w:t>
      </w:r>
      <w:r>
        <w:rPr>
          <w:color w:val="auto"/>
          <w:highlight w:val="none"/>
        </w:rPr>
        <w:t>目的监督、管理及归档，总结后形成一套代建局项目</w:t>
      </w:r>
      <w:r>
        <w:rPr>
          <w:rFonts w:eastAsia="Times New Roman"/>
          <w:color w:val="auto"/>
          <w:spacing w:val="-2"/>
          <w:highlight w:val="none"/>
        </w:rPr>
        <w:t>BIM</w:t>
      </w:r>
      <w:r>
        <w:rPr>
          <w:color w:val="auto"/>
          <w:highlight w:val="none"/>
        </w:rPr>
        <w:t>管理标准模式。具体成果交付要求详见“第七章”的内容。</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13" w:name="_Toc8572"/>
      <w:r>
        <w:rPr>
          <w:rFonts w:ascii="LNUHNF+SimSun" w:hAnsi="LNUHNF+SimSun" w:cs="宋体"/>
          <w:color w:val="auto"/>
          <w:szCs w:val="21"/>
          <w:highlight w:val="none"/>
        </w:rPr>
        <w:t>BIM实施评审</w:t>
      </w:r>
      <w:bookmarkEnd w:id="513"/>
    </w:p>
    <w:p>
      <w:pPr>
        <w:spacing w:before="120" w:after="120"/>
        <w:ind w:firstLine="420" w:firstLineChars="200"/>
        <w:rPr>
          <w:color w:val="auto"/>
          <w:highlight w:val="none"/>
        </w:rPr>
      </w:pPr>
      <w:r>
        <w:rPr>
          <w:color w:val="auto"/>
          <w:highlight w:val="none"/>
        </w:rPr>
        <w:t>代建局</w:t>
      </w:r>
      <w:r>
        <w:rPr>
          <w:rFonts w:hint="eastAsia"/>
          <w:color w:val="auto"/>
          <w:highlight w:val="none"/>
        </w:rPr>
        <w:t>项目建设管理部</w:t>
      </w:r>
      <w:r>
        <w:rPr>
          <w:color w:val="auto"/>
          <w:highlight w:val="none"/>
        </w:rPr>
        <w:t>根据项目</w:t>
      </w:r>
      <w:r>
        <w:rPr>
          <w:rFonts w:eastAsia="Times New Roman"/>
          <w:color w:val="auto"/>
          <w:spacing w:val="-2"/>
          <w:highlight w:val="none"/>
        </w:rPr>
        <w:t>BIM</w:t>
      </w:r>
      <w:r>
        <w:rPr>
          <w:color w:val="auto"/>
          <w:highlight w:val="none"/>
        </w:rPr>
        <w:t>实施</w:t>
      </w:r>
      <w:r>
        <w:rPr>
          <w:color w:val="auto"/>
          <w:spacing w:val="2"/>
          <w:highlight w:val="none"/>
        </w:rPr>
        <w:t>的目标，评估本项目</w:t>
      </w:r>
      <w:r>
        <w:rPr>
          <w:rFonts w:eastAsia="Times New Roman"/>
          <w:color w:val="auto"/>
          <w:spacing w:val="-2"/>
          <w:highlight w:val="none"/>
        </w:rPr>
        <w:t>BIM</w:t>
      </w:r>
      <w:r>
        <w:rPr>
          <w:color w:val="auto"/>
          <w:spacing w:val="2"/>
          <w:highlight w:val="none"/>
        </w:rPr>
        <w:t>实施的完成情况，总结实施经验并</w:t>
      </w:r>
      <w:r>
        <w:rPr>
          <w:color w:val="auto"/>
          <w:highlight w:val="none"/>
        </w:rPr>
        <w:t>改进管理办法。</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14" w:name="_Toc386"/>
      <w:bookmarkStart w:id="515" w:name="_Toc54567595"/>
      <w:r>
        <w:rPr>
          <w:rFonts w:ascii="Times New Roman" w:hAnsi="Times New Roman" w:eastAsia="黑体"/>
          <w:b w:val="0"/>
          <w:bCs/>
          <w:color w:val="auto"/>
          <w:sz w:val="24"/>
          <w:szCs w:val="24"/>
          <w:highlight w:val="none"/>
        </w:rPr>
        <w:t>BIM项目实施总体流程</w:t>
      </w:r>
      <w:bookmarkEnd w:id="514"/>
      <w:bookmarkEnd w:id="515"/>
    </w:p>
    <w:p>
      <w:pPr>
        <w:pStyle w:val="734"/>
        <w:numPr>
          <w:ilvl w:val="2"/>
          <w:numId w:val="7"/>
        </w:numPr>
        <w:spacing w:beforeLines="50" w:afterLines="50" w:line="360" w:lineRule="auto"/>
        <w:outlineLvl w:val="3"/>
        <w:rPr>
          <w:rFonts w:ascii="Times New Roman" w:hAnsi="Times New Roman"/>
          <w:color w:val="auto"/>
          <w:highlight w:val="none"/>
        </w:rPr>
      </w:pPr>
      <w:bookmarkStart w:id="516" w:name="_Toc14448"/>
      <w:r>
        <w:rPr>
          <w:rFonts w:ascii="Times New Roman" w:hAnsi="Times New Roman"/>
          <w:color w:val="auto"/>
          <w:highlight w:val="none"/>
        </w:rPr>
        <w:t>在代建局</w:t>
      </w:r>
      <w:r>
        <w:rPr>
          <w:rFonts w:ascii="Times New Roman" w:hAnsi="Times New Roman" w:eastAsia="Times New Roman"/>
          <w:color w:val="auto"/>
          <w:spacing w:val="-2"/>
          <w:highlight w:val="none"/>
        </w:rPr>
        <w:t>BIM</w:t>
      </w:r>
      <w:r>
        <w:rPr>
          <w:rFonts w:ascii="Times New Roman" w:hAnsi="Times New Roman"/>
          <w:color w:val="auto"/>
          <w:highlight w:val="none"/>
        </w:rPr>
        <w:t>总协调管理模式下，</w:t>
      </w:r>
      <w:r>
        <w:rPr>
          <w:rFonts w:ascii="Times New Roman" w:hAnsi="Times New Roman" w:eastAsia="Times New Roman"/>
          <w:color w:val="auto"/>
          <w:highlight w:val="none"/>
        </w:rPr>
        <w:t>BIM</w:t>
      </w:r>
      <w:r>
        <w:rPr>
          <w:rFonts w:ascii="Times New Roman" w:hAnsi="Times New Roman"/>
          <w:color w:val="auto"/>
          <w:highlight w:val="none"/>
        </w:rPr>
        <w:t>总</w:t>
      </w:r>
      <w:r>
        <w:rPr>
          <w:rFonts w:ascii="Times New Roman" w:hAnsi="Times New Roman"/>
          <w:color w:val="auto"/>
          <w:szCs w:val="21"/>
          <w:highlight w:val="none"/>
        </w:rPr>
        <w:t>协调</w:t>
      </w:r>
      <w:r>
        <w:rPr>
          <w:rFonts w:ascii="Times New Roman" w:hAnsi="Times New Roman"/>
          <w:color w:val="auto"/>
          <w:highlight w:val="none"/>
        </w:rPr>
        <w:t>方的实施工作应涉及项目实施阶段的全过程，包括策划阶段、设计阶段、施工阶段、运营维护阶段。其中前期工作部主要负责设计阶段BIM实施，项目建设管理部主要负责施工、运营维护阶段BIM实施。</w:t>
      </w:r>
      <w:bookmarkEnd w:id="516"/>
    </w:p>
    <w:p>
      <w:pPr>
        <w:pStyle w:val="734"/>
        <w:numPr>
          <w:ilvl w:val="2"/>
          <w:numId w:val="7"/>
        </w:numPr>
        <w:spacing w:beforeLines="50" w:afterLines="50" w:line="360" w:lineRule="auto"/>
        <w:outlineLvl w:val="3"/>
        <w:rPr>
          <w:color w:val="auto"/>
          <w:highlight w:val="none"/>
        </w:rPr>
      </w:pPr>
      <w:bookmarkStart w:id="517" w:name="_Toc31132"/>
      <w:r>
        <w:rPr>
          <w:rFonts w:ascii="Times New Roman" w:hAnsi="Times New Roman" w:eastAsia="Times New Roman"/>
          <w:color w:val="auto"/>
          <w:spacing w:val="-2"/>
          <w:highlight w:val="none"/>
        </w:rPr>
        <w:t>BIM</w:t>
      </w:r>
      <w:r>
        <w:rPr>
          <w:color w:val="auto"/>
          <w:spacing w:val="2"/>
          <w:highlight w:val="none"/>
        </w:rPr>
        <w:t>总协调方</w:t>
      </w:r>
      <w:r>
        <w:rPr>
          <w:rFonts w:ascii="LNUHNF+SimSun" w:hAnsi="LNUHNF+SimSun" w:cs="宋体"/>
          <w:color w:val="auto"/>
          <w:szCs w:val="21"/>
          <w:highlight w:val="none"/>
        </w:rPr>
        <w:t>协助</w:t>
      </w:r>
      <w:r>
        <w:rPr>
          <w:color w:val="auto"/>
          <w:spacing w:val="2"/>
          <w:highlight w:val="none"/>
        </w:rPr>
        <w:t>代建局在项目每个阶段充分落实</w:t>
      </w:r>
      <w:r>
        <w:rPr>
          <w:rFonts w:ascii="Times New Roman" w:hAnsi="Times New Roman" w:eastAsia="Times New Roman"/>
          <w:color w:val="auto"/>
          <w:spacing w:val="-2"/>
          <w:highlight w:val="none"/>
        </w:rPr>
        <w:t>BIM</w:t>
      </w:r>
      <w:r>
        <w:rPr>
          <w:color w:val="auto"/>
          <w:spacing w:val="2"/>
          <w:highlight w:val="none"/>
        </w:rPr>
        <w:t>技术的应用，进行项目全过程</w:t>
      </w:r>
      <w:r>
        <w:rPr>
          <w:color w:val="auto"/>
          <w:highlight w:val="none"/>
        </w:rPr>
        <w:t>的</w:t>
      </w:r>
      <w:r>
        <w:rPr>
          <w:rFonts w:ascii="Times New Roman" w:hAnsi="Times New Roman" w:eastAsia="Times New Roman"/>
          <w:color w:val="auto"/>
          <w:spacing w:val="-2"/>
          <w:highlight w:val="none"/>
        </w:rPr>
        <w:t>BIM</w:t>
      </w:r>
      <w:r>
        <w:rPr>
          <w:color w:val="auto"/>
          <w:highlight w:val="none"/>
        </w:rPr>
        <w:t>管理。</w:t>
      </w:r>
      <w:bookmarkEnd w:id="517"/>
    </w:p>
    <w:p>
      <w:pPr>
        <w:pStyle w:val="734"/>
        <w:numPr>
          <w:ilvl w:val="2"/>
          <w:numId w:val="7"/>
        </w:numPr>
        <w:spacing w:beforeLines="50" w:afterLines="50" w:line="360" w:lineRule="auto"/>
        <w:outlineLvl w:val="3"/>
        <w:rPr>
          <w:color w:val="auto"/>
          <w:highlight w:val="none"/>
        </w:rPr>
      </w:pPr>
      <w:bookmarkStart w:id="518" w:name="_Toc870"/>
      <w:r>
        <w:rPr>
          <w:rFonts w:ascii="Times New Roman" w:hAnsi="Times New Roman"/>
          <w:color w:val="auto"/>
          <w:highlight w:val="none"/>
        </w:rPr>
        <w:t>代建局</w:t>
      </w:r>
      <w:r>
        <w:rPr>
          <w:rFonts w:ascii="Times New Roman" w:hAnsi="Times New Roman"/>
          <w:color w:val="auto"/>
          <w:szCs w:val="21"/>
          <w:highlight w:val="none"/>
        </w:rPr>
        <w:t>BIM</w:t>
      </w:r>
      <w:r>
        <w:rPr>
          <w:rFonts w:ascii="Times New Roman" w:hAnsi="Times New Roman"/>
          <w:color w:val="auto"/>
          <w:highlight w:val="none"/>
        </w:rPr>
        <w:t>项目管理流程详见《附件：BIM实施导则》中附图</w:t>
      </w:r>
      <w:r>
        <w:rPr>
          <w:rFonts w:ascii="Times New Roman" w:hAnsi="Times New Roman" w:eastAsia="Times New Roman"/>
          <w:color w:val="auto"/>
          <w:highlight w:val="none"/>
        </w:rPr>
        <w:t>3</w:t>
      </w:r>
      <w:r>
        <w:rPr>
          <w:color w:val="auto"/>
          <w:highlight w:val="none"/>
        </w:rPr>
        <w:t>。</w:t>
      </w:r>
      <w:bookmarkEnd w:id="518"/>
      <w:bookmarkStart w:id="519" w:name="_bookmark7"/>
      <w:bookmarkEnd w:id="519"/>
      <w:bookmarkStart w:id="520" w:name="_bookmark6"/>
      <w:bookmarkEnd w:id="520"/>
    </w:p>
    <w:p>
      <w:pPr>
        <w:pStyle w:val="710"/>
        <w:numPr>
          <w:ilvl w:val="1"/>
          <w:numId w:val="7"/>
        </w:numPr>
        <w:tabs>
          <w:tab w:val="clear" w:pos="5424"/>
        </w:tabs>
        <w:spacing w:before="120" w:after="120"/>
        <w:ind w:left="105"/>
        <w:rPr>
          <w:color w:val="auto"/>
          <w:highlight w:val="none"/>
        </w:rPr>
        <w:sectPr>
          <w:pgSz w:w="11905" w:h="16838"/>
          <w:pgMar w:top="1417" w:right="1417" w:bottom="1417" w:left="1417" w:header="720" w:footer="680" w:gutter="0"/>
          <w:cols w:space="720" w:num="1"/>
          <w:titlePg/>
        </w:sectPr>
      </w:pPr>
    </w:p>
    <w:p>
      <w:pPr>
        <w:pStyle w:val="677"/>
        <w:numPr>
          <w:ilvl w:val="0"/>
          <w:numId w:val="7"/>
        </w:numPr>
        <w:spacing w:before="240" w:after="240"/>
        <w:outlineLvl w:val="0"/>
        <w:rPr>
          <w:b w:val="0"/>
          <w:bCs/>
          <w:color w:val="auto"/>
          <w:highlight w:val="none"/>
        </w:rPr>
      </w:pPr>
      <w:bookmarkStart w:id="521" w:name="_Toc29235"/>
      <w:bookmarkStart w:id="522" w:name="_Toc54567596"/>
      <w:r>
        <w:rPr>
          <w:b w:val="0"/>
          <w:bCs/>
          <w:color w:val="auto"/>
          <w:highlight w:val="none"/>
        </w:rPr>
        <w:t>职责要求</w:t>
      </w:r>
      <w:bookmarkEnd w:id="521"/>
      <w:bookmarkEnd w:id="522"/>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23" w:name="_Toc54567597"/>
      <w:bookmarkStart w:id="524" w:name="_Toc30685"/>
      <w:r>
        <w:rPr>
          <w:rFonts w:ascii="Times New Roman" w:hAnsi="Times New Roman" w:eastAsia="黑体"/>
          <w:b w:val="0"/>
          <w:bCs/>
          <w:color w:val="auto"/>
          <w:sz w:val="24"/>
          <w:szCs w:val="24"/>
          <w:highlight w:val="none"/>
        </w:rPr>
        <w:t>各参与方的能力要求</w:t>
      </w:r>
      <w:bookmarkEnd w:id="523"/>
      <w:bookmarkEnd w:id="524"/>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25" w:name="_Toc21826"/>
      <w:r>
        <w:rPr>
          <w:rFonts w:ascii="LNUHNF+SimSun" w:hAnsi="LNUHNF+SimSun" w:cs="宋体"/>
          <w:color w:val="auto"/>
          <w:szCs w:val="21"/>
          <w:highlight w:val="none"/>
        </w:rPr>
        <w:t>BIM总协调方</w:t>
      </w:r>
      <w:bookmarkEnd w:id="525"/>
    </w:p>
    <w:p>
      <w:pPr>
        <w:spacing w:before="120" w:after="120"/>
        <w:ind w:firstLine="420" w:firstLineChars="200"/>
        <w:rPr>
          <w:color w:val="auto"/>
          <w:highlight w:val="none"/>
        </w:rPr>
      </w:pPr>
      <w:r>
        <w:rPr>
          <w:color w:val="auto"/>
          <w:highlight w:val="none"/>
        </w:rPr>
        <w:t>1  BIM总协调方应拥有丰富的BIM技术及项目管理经验的专业团队，能针对项目的特点和要求制定BIM实施细则并贯彻实行；</w:t>
      </w:r>
    </w:p>
    <w:p>
      <w:pPr>
        <w:spacing w:before="120" w:after="120"/>
        <w:ind w:firstLine="420" w:firstLineChars="200"/>
        <w:rPr>
          <w:color w:val="auto"/>
          <w:highlight w:val="none"/>
        </w:rPr>
      </w:pPr>
      <w:r>
        <w:rPr>
          <w:color w:val="auto"/>
          <w:highlight w:val="none"/>
        </w:rPr>
        <w:t>2  BIM总协调方应</w:t>
      </w:r>
      <w:r>
        <w:rPr>
          <w:rFonts w:hint="eastAsia"/>
          <w:color w:val="auto"/>
          <w:highlight w:val="none"/>
        </w:rPr>
        <w:t>拥有</w:t>
      </w:r>
      <w:r>
        <w:rPr>
          <w:color w:val="auto"/>
          <w:highlight w:val="none"/>
        </w:rPr>
        <w:t>协助代建局完成BIM成果的收集并对项目各参与方提供BIM技术支持的能力；</w:t>
      </w:r>
    </w:p>
    <w:p>
      <w:pPr>
        <w:spacing w:before="120" w:after="120"/>
        <w:ind w:firstLine="420" w:firstLineChars="200"/>
        <w:rPr>
          <w:color w:val="auto"/>
          <w:highlight w:val="none"/>
        </w:rPr>
      </w:pPr>
      <w:r>
        <w:rPr>
          <w:color w:val="auto"/>
          <w:highlight w:val="none"/>
        </w:rPr>
        <w:t>3  BIM总协调方在项目实施阶段能整合各参与方的模型，指导设计单位、施工单位的BIM实施及应用；</w:t>
      </w:r>
    </w:p>
    <w:p>
      <w:pPr>
        <w:spacing w:before="120" w:after="120"/>
        <w:ind w:firstLine="420" w:firstLineChars="200"/>
        <w:rPr>
          <w:color w:val="auto"/>
          <w:highlight w:val="none"/>
        </w:rPr>
      </w:pPr>
      <w:r>
        <w:rPr>
          <w:color w:val="auto"/>
          <w:highlight w:val="none"/>
        </w:rPr>
        <w:t>4  BIM总协调方应协助代建局开通、管理与维护BIM平台；</w:t>
      </w:r>
    </w:p>
    <w:p>
      <w:pPr>
        <w:spacing w:before="120" w:after="120"/>
        <w:ind w:firstLine="420" w:firstLineChars="200"/>
        <w:rPr>
          <w:color w:val="auto"/>
          <w:highlight w:val="none"/>
        </w:rPr>
      </w:pPr>
      <w:r>
        <w:rPr>
          <w:color w:val="auto"/>
          <w:highlight w:val="none"/>
        </w:rPr>
        <w:t>5  BIM总协调方应</w:t>
      </w:r>
      <w:r>
        <w:rPr>
          <w:rFonts w:hint="eastAsia"/>
          <w:color w:val="auto"/>
          <w:highlight w:val="none"/>
        </w:rPr>
        <w:t>针对</w:t>
      </w:r>
      <w:r>
        <w:rPr>
          <w:color w:val="auto"/>
          <w:highlight w:val="none"/>
        </w:rPr>
        <w:t>BIM项目特点及需求拓展应用。</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26" w:name="_Toc30553"/>
      <w:r>
        <w:rPr>
          <w:rFonts w:ascii="LNUHNF+SimSun" w:hAnsi="LNUHNF+SimSun" w:cs="宋体"/>
          <w:color w:val="auto"/>
          <w:szCs w:val="21"/>
          <w:highlight w:val="none"/>
        </w:rPr>
        <w:t>监理单位</w:t>
      </w:r>
      <w:bookmarkEnd w:id="526"/>
    </w:p>
    <w:p>
      <w:pPr>
        <w:spacing w:before="120" w:after="120"/>
        <w:ind w:firstLine="420" w:firstLineChars="200"/>
        <w:rPr>
          <w:color w:val="auto"/>
          <w:highlight w:val="none"/>
        </w:rPr>
      </w:pPr>
      <w:r>
        <w:rPr>
          <w:color w:val="auto"/>
          <w:highlight w:val="none"/>
        </w:rPr>
        <w:t>监理单位应配有拥有丰富现场管理经验、熟悉BIM软件和施工规范规程的团队，能审阅BIM模型，提供可行性</w:t>
      </w:r>
      <w:r>
        <w:rPr>
          <w:rFonts w:hint="eastAsia"/>
          <w:color w:val="auto"/>
          <w:highlight w:val="none"/>
        </w:rPr>
        <w:t>建议</w:t>
      </w:r>
      <w:r>
        <w:rPr>
          <w:color w:val="auto"/>
          <w:highlight w:val="none"/>
        </w:rPr>
        <w:t>，保证BIM模型的正确性及可实行性。监理单位在对项目实施过程中进行联系工作，并进行BIM管理的相关记录。</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27" w:name="_Toc4588"/>
      <w:r>
        <w:rPr>
          <w:rFonts w:ascii="LNUHNF+SimSun" w:hAnsi="LNUHNF+SimSun" w:cs="宋体"/>
          <w:color w:val="auto"/>
          <w:szCs w:val="21"/>
          <w:highlight w:val="none"/>
        </w:rPr>
        <w:t>设计单位</w:t>
      </w:r>
      <w:bookmarkEnd w:id="527"/>
    </w:p>
    <w:p>
      <w:pPr>
        <w:spacing w:before="120" w:after="120"/>
        <w:ind w:firstLine="420" w:firstLineChars="200"/>
        <w:rPr>
          <w:color w:val="auto"/>
          <w:highlight w:val="none"/>
        </w:rPr>
      </w:pPr>
      <w:r>
        <w:rPr>
          <w:color w:val="auto"/>
          <w:highlight w:val="none"/>
        </w:rPr>
        <w:t>1  设计单位应拥有经验丰富的BIM设计团队，在建筑项目设计过程中实现全专业、全流程的BIM设计，提高项目设计质量和效率，从而减少后续施工期间的洽商和返工，保障施工周期，节约项目资金；</w:t>
      </w:r>
    </w:p>
    <w:p>
      <w:pPr>
        <w:spacing w:before="120" w:after="120"/>
        <w:ind w:firstLine="420" w:firstLineChars="200"/>
        <w:rPr>
          <w:color w:val="auto"/>
          <w:highlight w:val="none"/>
        </w:rPr>
      </w:pPr>
      <w:r>
        <w:rPr>
          <w:color w:val="auto"/>
          <w:highlight w:val="none"/>
        </w:rPr>
        <w:t>2  设计单位应拥有丰富的BIM设计经验，能利用BIM技术在方案设计和初步设计阶段出具建筑性能分析，运用BIM技术完成全专业和全流程的设计；</w:t>
      </w:r>
    </w:p>
    <w:p>
      <w:pPr>
        <w:spacing w:before="120" w:after="120"/>
        <w:ind w:firstLine="420" w:firstLineChars="200"/>
        <w:rPr>
          <w:color w:val="auto"/>
          <w:highlight w:val="none"/>
        </w:rPr>
      </w:pPr>
      <w:r>
        <w:rPr>
          <w:color w:val="auto"/>
          <w:highlight w:val="none"/>
        </w:rPr>
        <w:t>3  设计单位可以利用BIM技术在工程实施前进行详细到位的技术交底，同时保证提供的设计阶段BIM模型信息的正确性及完整性。</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28" w:name="_Toc28830"/>
      <w:r>
        <w:rPr>
          <w:rFonts w:ascii="LNUHNF+SimSun" w:hAnsi="LNUHNF+SimSun" w:cs="宋体"/>
          <w:color w:val="auto"/>
          <w:szCs w:val="21"/>
          <w:highlight w:val="none"/>
        </w:rPr>
        <w:t>施工总承包</w:t>
      </w:r>
      <w:bookmarkEnd w:id="528"/>
    </w:p>
    <w:p>
      <w:pPr>
        <w:spacing w:before="120" w:after="120"/>
        <w:ind w:firstLine="420" w:firstLineChars="200"/>
        <w:rPr>
          <w:color w:val="auto"/>
          <w:highlight w:val="none"/>
        </w:rPr>
      </w:pPr>
      <w:r>
        <w:rPr>
          <w:color w:val="auto"/>
          <w:highlight w:val="none"/>
        </w:rPr>
        <w:t>施工总承包应拥有丰富的BIM施工管理经验，配置专业的BIM技术团队，施工管理人员需要对BIM技术的应用特点有深刻的了解，能利用BIM技术进行节点组织控制管理。</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29" w:name="_Toc30332"/>
      <w:r>
        <w:rPr>
          <w:rFonts w:ascii="LNUHNF+SimSun" w:hAnsi="LNUHNF+SimSun" w:cs="宋体"/>
          <w:color w:val="auto"/>
          <w:szCs w:val="21"/>
          <w:highlight w:val="none"/>
        </w:rPr>
        <w:t>专业分包单位</w:t>
      </w:r>
      <w:bookmarkEnd w:id="529"/>
    </w:p>
    <w:p>
      <w:pPr>
        <w:spacing w:before="120" w:after="120"/>
        <w:ind w:firstLine="420" w:firstLineChars="200"/>
        <w:rPr>
          <w:color w:val="auto"/>
          <w:highlight w:val="none"/>
        </w:rPr>
      </w:pPr>
      <w:r>
        <w:rPr>
          <w:color w:val="auto"/>
          <w:highlight w:val="none"/>
        </w:rPr>
        <w:t>1  专业分包单位应具有</w:t>
      </w:r>
      <w:bookmarkStart w:id="530" w:name="_bookmark8"/>
      <w:bookmarkEnd w:id="530"/>
      <w:r>
        <w:rPr>
          <w:color w:val="auto"/>
          <w:highlight w:val="none"/>
        </w:rPr>
        <w:t>对本</w:t>
      </w:r>
      <w:r>
        <w:rPr>
          <w:rFonts w:hint="eastAsia"/>
          <w:color w:val="auto"/>
          <w:highlight w:val="none"/>
        </w:rPr>
        <w:t>专业</w:t>
      </w:r>
      <w:r>
        <w:rPr>
          <w:color w:val="auto"/>
          <w:highlight w:val="none"/>
        </w:rPr>
        <w:t>的BIM模型进行深化、更新、维护的能力。</w:t>
      </w:r>
    </w:p>
    <w:p>
      <w:pPr>
        <w:spacing w:before="120" w:after="120"/>
        <w:ind w:firstLine="420" w:firstLineChars="200"/>
        <w:rPr>
          <w:color w:val="auto"/>
          <w:highlight w:val="none"/>
        </w:rPr>
      </w:pPr>
      <w:r>
        <w:rPr>
          <w:color w:val="auto"/>
          <w:highlight w:val="none"/>
        </w:rPr>
        <w:t>2  专业分包单位应</w:t>
      </w:r>
      <w:r>
        <w:rPr>
          <w:rFonts w:hint="eastAsia"/>
          <w:color w:val="auto"/>
          <w:highlight w:val="none"/>
        </w:rPr>
        <w:t>具有</w:t>
      </w:r>
      <w:r>
        <w:rPr>
          <w:color w:val="auto"/>
          <w:highlight w:val="none"/>
        </w:rPr>
        <w:t>利用BIM模型指导现场施工及配合总承包单位完成BIM技术应用的能力。</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1" w:name="_Toc14200"/>
      <w:r>
        <w:rPr>
          <w:rFonts w:ascii="LNUHNF+SimSun" w:hAnsi="LNUHNF+SimSun" w:cs="宋体"/>
          <w:color w:val="auto"/>
          <w:szCs w:val="21"/>
          <w:highlight w:val="none"/>
        </w:rPr>
        <w:t>造价咨询单位</w:t>
      </w:r>
      <w:bookmarkEnd w:id="531"/>
    </w:p>
    <w:p>
      <w:pPr>
        <w:spacing w:before="120" w:after="120"/>
        <w:ind w:firstLine="420" w:firstLineChars="200"/>
        <w:rPr>
          <w:color w:val="auto"/>
          <w:highlight w:val="none"/>
        </w:rPr>
      </w:pPr>
      <w:r>
        <w:rPr>
          <w:color w:val="auto"/>
          <w:highlight w:val="none"/>
        </w:rPr>
        <w:t>1  造价咨询单位应具有BIM工程量统计方面软件</w:t>
      </w:r>
      <w:r>
        <w:rPr>
          <w:rFonts w:hint="eastAsia"/>
          <w:color w:val="auto"/>
          <w:highlight w:val="none"/>
        </w:rPr>
        <w:t>及</w:t>
      </w:r>
      <w:r>
        <w:rPr>
          <w:color w:val="auto"/>
          <w:highlight w:val="none"/>
        </w:rPr>
        <w:t>技术应用的能力。</w:t>
      </w:r>
    </w:p>
    <w:p>
      <w:pPr>
        <w:spacing w:before="120" w:after="120"/>
        <w:ind w:firstLine="420" w:firstLineChars="200"/>
        <w:rPr>
          <w:color w:val="auto"/>
          <w:highlight w:val="none"/>
        </w:rPr>
      </w:pPr>
      <w:r>
        <w:rPr>
          <w:color w:val="auto"/>
          <w:highlight w:val="none"/>
        </w:rPr>
        <w:t>2  造价咨询单位应能</w:t>
      </w:r>
      <w:r>
        <w:rPr>
          <w:rFonts w:hint="eastAsia"/>
          <w:color w:val="auto"/>
          <w:highlight w:val="none"/>
        </w:rPr>
        <w:t>根据设计图纸、</w:t>
      </w:r>
      <w:r>
        <w:rPr>
          <w:color w:val="auto"/>
          <w:highlight w:val="none"/>
        </w:rPr>
        <w:t>施工图纸的工程量信息与实际工程量进行辅助工程量统计</w:t>
      </w:r>
      <w:r>
        <w:rPr>
          <w:rFonts w:hint="eastAsia"/>
          <w:color w:val="auto"/>
          <w:highlight w:val="none"/>
        </w:rPr>
        <w:t>，服务项目概算、预算及结算等过程</w:t>
      </w:r>
      <w:r>
        <w:rPr>
          <w:color w:val="auto"/>
          <w:highlight w:val="none"/>
        </w:rPr>
        <w:t>。</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32" w:name="_Toc4978"/>
      <w:bookmarkStart w:id="533" w:name="_Toc54567598"/>
      <w:r>
        <w:rPr>
          <w:rFonts w:ascii="Times New Roman" w:hAnsi="Times New Roman" w:eastAsia="黑体"/>
          <w:b w:val="0"/>
          <w:bCs/>
          <w:color w:val="auto"/>
          <w:sz w:val="24"/>
          <w:szCs w:val="24"/>
          <w:highlight w:val="none"/>
        </w:rPr>
        <w:t>各参与方的工作职责</w:t>
      </w:r>
      <w:bookmarkEnd w:id="532"/>
      <w:bookmarkEnd w:id="533"/>
    </w:p>
    <w:p>
      <w:pPr>
        <w:spacing w:before="120" w:after="120"/>
        <w:ind w:firstLine="420" w:firstLineChars="200"/>
        <w:rPr>
          <w:color w:val="auto"/>
          <w:highlight w:val="none"/>
        </w:rPr>
      </w:pPr>
      <w:r>
        <w:rPr>
          <w:color w:val="auto"/>
          <w:highlight w:val="none"/>
        </w:rPr>
        <w:t>各参与方职责详见《附件：BIM实施导则》附表1。</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4" w:name="_Toc7849"/>
      <w:r>
        <w:rPr>
          <w:rFonts w:ascii="LNUHNF+SimSun" w:hAnsi="LNUHNF+SimSun" w:cs="宋体"/>
          <w:color w:val="auto"/>
          <w:szCs w:val="21"/>
          <w:highlight w:val="none"/>
        </w:rPr>
        <w:t>BIM总协调方</w:t>
      </w:r>
      <w:bookmarkEnd w:id="534"/>
    </w:p>
    <w:p>
      <w:pPr>
        <w:spacing w:before="120" w:after="120"/>
        <w:ind w:firstLine="420" w:firstLineChars="200"/>
        <w:rPr>
          <w:color w:val="auto"/>
          <w:highlight w:val="none"/>
        </w:rPr>
      </w:pPr>
      <w:r>
        <w:rPr>
          <w:color w:val="auto"/>
          <w:highlight w:val="none"/>
        </w:rPr>
        <w:t>作为BIM总协调方，在项目各个阶段对BIM的实施进行统筹、协调、管理的职责有：</w:t>
      </w:r>
    </w:p>
    <w:p>
      <w:pPr>
        <w:spacing w:before="120" w:after="120"/>
        <w:ind w:firstLine="420" w:firstLineChars="200"/>
        <w:rPr>
          <w:color w:val="auto"/>
          <w:highlight w:val="none"/>
        </w:rPr>
      </w:pPr>
      <w:r>
        <w:rPr>
          <w:color w:val="auto"/>
          <w:highlight w:val="none"/>
        </w:rPr>
        <w:t>1  BIM总协调方应根据项目的要求，制定《BIM实施大纲》，组织管理本项目的BIM实施；</w:t>
      </w:r>
    </w:p>
    <w:p>
      <w:pPr>
        <w:spacing w:before="120" w:after="120"/>
        <w:ind w:firstLine="420" w:firstLineChars="200"/>
        <w:rPr>
          <w:color w:val="auto"/>
          <w:highlight w:val="none"/>
        </w:rPr>
      </w:pPr>
      <w:r>
        <w:rPr>
          <w:color w:val="auto"/>
          <w:highlight w:val="none"/>
        </w:rPr>
        <w:t>2  在设计及施工</w:t>
      </w:r>
      <w:r>
        <w:rPr>
          <w:rFonts w:hint="eastAsia"/>
          <w:color w:val="auto"/>
          <w:highlight w:val="none"/>
        </w:rPr>
        <w:t>阶段</w:t>
      </w:r>
      <w:r>
        <w:rPr>
          <w:color w:val="auto"/>
          <w:highlight w:val="none"/>
        </w:rPr>
        <w:t>组织项目各参与方分别制定具体的《项目BIM实施方案》，监督各参与方执行，并贯彻实施；</w:t>
      </w:r>
    </w:p>
    <w:p>
      <w:pPr>
        <w:spacing w:before="120" w:after="120"/>
        <w:ind w:firstLine="420" w:firstLineChars="200"/>
        <w:rPr>
          <w:color w:val="auto"/>
          <w:highlight w:val="none"/>
        </w:rPr>
      </w:pPr>
      <w:r>
        <w:rPr>
          <w:color w:val="auto"/>
          <w:highlight w:val="none"/>
        </w:rPr>
        <w:t>3  审核与</w:t>
      </w:r>
      <w:r>
        <w:rPr>
          <w:rFonts w:hint="eastAsia"/>
          <w:color w:val="auto"/>
          <w:highlight w:val="none"/>
        </w:rPr>
        <w:t>验收</w:t>
      </w:r>
      <w:r>
        <w:rPr>
          <w:color w:val="auto"/>
          <w:highlight w:val="none"/>
        </w:rPr>
        <w:t>各阶段项目参与方提交的BIM成果，并提交各阶段BIM成果审核意见，协助代建局</w:t>
      </w:r>
      <w:r>
        <w:rPr>
          <w:rFonts w:hint="eastAsia"/>
          <w:color w:val="auto"/>
          <w:highlight w:val="none"/>
        </w:rPr>
        <w:t>前期工作部和项目建设管理部</w:t>
      </w:r>
      <w:r>
        <w:rPr>
          <w:color w:val="auto"/>
          <w:highlight w:val="none"/>
        </w:rPr>
        <w:t>进行BIM成果归档；</w:t>
      </w:r>
    </w:p>
    <w:p>
      <w:pPr>
        <w:spacing w:before="120" w:after="120"/>
        <w:ind w:firstLine="420" w:firstLineChars="200"/>
        <w:rPr>
          <w:color w:val="auto"/>
          <w:highlight w:val="none"/>
        </w:rPr>
      </w:pPr>
      <w:r>
        <w:rPr>
          <w:color w:val="auto"/>
          <w:highlight w:val="none"/>
        </w:rPr>
        <w:t>4  充分挖掘BIM</w:t>
      </w:r>
      <w:r>
        <w:rPr>
          <w:rFonts w:hint="eastAsia"/>
          <w:color w:val="auto"/>
          <w:highlight w:val="none"/>
        </w:rPr>
        <w:t>技术</w:t>
      </w:r>
      <w:r>
        <w:rPr>
          <w:color w:val="auto"/>
          <w:highlight w:val="none"/>
        </w:rPr>
        <w:t>在工程中的使用价值，保证工程质量、进度及效益的提高；</w:t>
      </w:r>
    </w:p>
    <w:p>
      <w:pPr>
        <w:spacing w:before="120" w:after="120"/>
        <w:ind w:firstLine="420" w:firstLineChars="200"/>
        <w:rPr>
          <w:color w:val="auto"/>
          <w:highlight w:val="none"/>
        </w:rPr>
      </w:pPr>
      <w:r>
        <w:rPr>
          <w:color w:val="auto"/>
          <w:highlight w:val="none"/>
        </w:rPr>
        <w:t>5  为各参与方提供BIM支持。</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5" w:name="_Toc27588"/>
      <w:r>
        <w:rPr>
          <w:rFonts w:ascii="LNUHNF+SimSun" w:hAnsi="LNUHNF+SimSun" w:cs="宋体"/>
          <w:color w:val="auto"/>
          <w:szCs w:val="21"/>
          <w:highlight w:val="none"/>
        </w:rPr>
        <w:t>设计单位</w:t>
      </w:r>
      <w:bookmarkEnd w:id="535"/>
    </w:p>
    <w:p>
      <w:pPr>
        <w:spacing w:before="120" w:after="120"/>
        <w:ind w:firstLine="420" w:firstLineChars="200"/>
        <w:rPr>
          <w:color w:val="auto"/>
          <w:highlight w:val="none"/>
        </w:rPr>
      </w:pPr>
      <w:r>
        <w:rPr>
          <w:color w:val="auto"/>
          <w:highlight w:val="none"/>
        </w:rPr>
        <w:t>作为项目的设计方应基于BIM平台完成本项目BIM的设计工作。设计单位应使用BIM技术与项目各参与方进行BIM设计交底；</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6" w:name="_Toc5027"/>
      <w:r>
        <w:rPr>
          <w:rFonts w:ascii="LNUHNF+SimSun" w:hAnsi="LNUHNF+SimSun" w:cs="宋体"/>
          <w:color w:val="auto"/>
          <w:szCs w:val="21"/>
          <w:highlight w:val="none"/>
        </w:rPr>
        <w:t>监理单位</w:t>
      </w:r>
      <w:bookmarkEnd w:id="536"/>
    </w:p>
    <w:p>
      <w:pPr>
        <w:spacing w:before="120" w:after="120"/>
        <w:ind w:firstLine="420" w:firstLineChars="200"/>
        <w:rPr>
          <w:color w:val="auto"/>
          <w:highlight w:val="none"/>
        </w:rPr>
      </w:pPr>
      <w:r>
        <w:rPr>
          <w:color w:val="auto"/>
          <w:highlight w:val="none"/>
        </w:rPr>
        <w:t>作为项目的监理单位，应负责配合BIM总协调方对各参与方提交的BIM成果进行监督和审查。对图纸及BIM模型中</w:t>
      </w:r>
      <w:r>
        <w:rPr>
          <w:rFonts w:hint="eastAsia"/>
          <w:color w:val="auto"/>
          <w:highlight w:val="none"/>
        </w:rPr>
        <w:t>存在</w:t>
      </w:r>
      <w:r>
        <w:rPr>
          <w:color w:val="auto"/>
          <w:highlight w:val="none"/>
        </w:rPr>
        <w:t>的问题，监理单位应提出书面意见和建议，按照BIM总协调方的要求，针对重要节点提交BIM质量评估报告。</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7" w:name="_Toc7206"/>
      <w:r>
        <w:rPr>
          <w:rFonts w:ascii="LNUHNF+SimSun" w:hAnsi="LNUHNF+SimSun" w:cs="宋体"/>
          <w:color w:val="auto"/>
          <w:szCs w:val="21"/>
          <w:highlight w:val="none"/>
        </w:rPr>
        <w:t>施工总承包</w:t>
      </w:r>
      <w:bookmarkEnd w:id="537"/>
    </w:p>
    <w:p>
      <w:pPr>
        <w:spacing w:before="120" w:after="120"/>
        <w:ind w:firstLine="420" w:firstLineChars="200"/>
        <w:rPr>
          <w:color w:val="auto"/>
          <w:highlight w:val="none"/>
        </w:rPr>
      </w:pPr>
      <w:r>
        <w:rPr>
          <w:color w:val="auto"/>
          <w:highlight w:val="none"/>
        </w:rPr>
        <w:t>1  施工总承包应接收设计单位提供的设计阶段BIM模型，对自身合同范围内的设计阶段BIM模型进行必要校核和调整；</w:t>
      </w:r>
    </w:p>
    <w:p>
      <w:pPr>
        <w:spacing w:before="120" w:after="120"/>
        <w:ind w:firstLine="420" w:firstLineChars="200"/>
        <w:rPr>
          <w:color w:val="auto"/>
          <w:highlight w:val="none"/>
        </w:rPr>
      </w:pPr>
      <w:r>
        <w:rPr>
          <w:color w:val="auto"/>
          <w:highlight w:val="none"/>
        </w:rPr>
        <w:t>2  施工总承包应根据项目实际施工进展，基于设计BIM模型，完善施工阶段BIM模型，并在施工过程中及时更新，保持适用性；</w:t>
      </w:r>
    </w:p>
    <w:p>
      <w:pPr>
        <w:spacing w:before="120" w:after="120"/>
        <w:ind w:firstLine="420" w:firstLineChars="200"/>
        <w:rPr>
          <w:color w:val="auto"/>
          <w:highlight w:val="none"/>
        </w:rPr>
      </w:pPr>
      <w:r>
        <w:rPr>
          <w:color w:val="auto"/>
          <w:highlight w:val="none"/>
        </w:rPr>
        <w:t>3  施工总承包应统筹管理好各分包单位施工阶段的BIM模型；</w:t>
      </w:r>
    </w:p>
    <w:p>
      <w:pPr>
        <w:spacing w:before="120" w:after="120"/>
        <w:ind w:firstLine="420" w:firstLineChars="200"/>
        <w:rPr>
          <w:color w:val="auto"/>
          <w:highlight w:val="none"/>
        </w:rPr>
      </w:pPr>
      <w:r>
        <w:rPr>
          <w:color w:val="auto"/>
          <w:highlight w:val="none"/>
        </w:rPr>
        <w:t>4  保证BIM模型与施工现场相结合，并配合BIM总协调完成施工阶段BIM应用；</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8" w:name="_Toc14633"/>
      <w:r>
        <w:rPr>
          <w:rFonts w:ascii="LNUHNF+SimSun" w:hAnsi="LNUHNF+SimSun" w:cs="宋体"/>
          <w:color w:val="auto"/>
          <w:szCs w:val="21"/>
          <w:highlight w:val="none"/>
        </w:rPr>
        <w:t>专业分包单位</w:t>
      </w:r>
      <w:bookmarkEnd w:id="538"/>
    </w:p>
    <w:p>
      <w:pPr>
        <w:spacing w:before="120" w:after="120"/>
        <w:ind w:firstLine="420" w:firstLineChars="200"/>
        <w:rPr>
          <w:color w:val="auto"/>
          <w:highlight w:val="none"/>
        </w:rPr>
      </w:pPr>
      <w:r>
        <w:rPr>
          <w:color w:val="auto"/>
          <w:highlight w:val="none"/>
        </w:rPr>
        <w:t>作为本项目的专业承包单位，应负责合同范围内的BIM模型深化、更新和维护工作，利用BIM模型指导施工，配合总承包单位的BIM工作，并提供相应的BIM应用成果。</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39" w:name="_Toc22953"/>
      <w:r>
        <w:rPr>
          <w:rFonts w:ascii="LNUHNF+SimSun" w:hAnsi="LNUHNF+SimSun" w:cs="宋体"/>
          <w:color w:val="auto"/>
          <w:szCs w:val="21"/>
          <w:highlight w:val="none"/>
        </w:rPr>
        <w:t>造价咨询单位</w:t>
      </w:r>
      <w:bookmarkEnd w:id="539"/>
    </w:p>
    <w:p>
      <w:pPr>
        <w:spacing w:before="120" w:after="120"/>
        <w:ind w:firstLine="420" w:firstLineChars="200"/>
        <w:rPr>
          <w:color w:val="auto"/>
          <w:highlight w:val="none"/>
        </w:rPr>
      </w:pPr>
      <w:r>
        <w:rPr>
          <w:color w:val="auto"/>
          <w:highlight w:val="none"/>
        </w:rPr>
        <w:t>制定可用于定额套价的BIM建模标准，协助BIM总协调方开展BIM管理工作，利用BIM技术辅助进行工程概算、预算及竣工结算工作。在出现变更时，运用BIM技术进行变更前后造价对比。</w:t>
      </w:r>
    </w:p>
    <w:p>
      <w:pPr>
        <w:spacing w:before="120" w:after="120" w:line="338" w:lineRule="auto"/>
        <w:rPr>
          <w:color w:val="auto"/>
          <w:highlight w:val="none"/>
        </w:rPr>
      </w:pPr>
    </w:p>
    <w:p>
      <w:pPr>
        <w:pStyle w:val="48"/>
        <w:spacing w:before="120" w:after="120"/>
        <w:ind w:firstLine="360"/>
        <w:rPr>
          <w:color w:val="auto"/>
          <w:highlight w:val="none"/>
        </w:rPr>
        <w:sectPr>
          <w:pgSz w:w="11905" w:h="16838"/>
          <w:pgMar w:top="1417" w:right="1417" w:bottom="1417" w:left="1417" w:header="720" w:footer="680" w:gutter="0"/>
          <w:cols w:space="720" w:num="1"/>
          <w:titlePg/>
        </w:sectPr>
      </w:pPr>
    </w:p>
    <w:p>
      <w:pPr>
        <w:pStyle w:val="677"/>
        <w:numPr>
          <w:ilvl w:val="0"/>
          <w:numId w:val="7"/>
        </w:numPr>
        <w:spacing w:before="240" w:after="240"/>
        <w:outlineLvl w:val="0"/>
        <w:rPr>
          <w:b w:val="0"/>
          <w:bCs/>
          <w:color w:val="auto"/>
          <w:highlight w:val="none"/>
        </w:rPr>
      </w:pPr>
      <w:bookmarkStart w:id="540" w:name="_Toc0"/>
      <w:bookmarkStart w:id="541" w:name="_Toc54567599"/>
      <w:r>
        <w:rPr>
          <w:b w:val="0"/>
          <w:bCs/>
          <w:color w:val="auto"/>
          <w:highlight w:val="none"/>
        </w:rPr>
        <w:t>项目应用实施管理</w:t>
      </w:r>
      <w:bookmarkEnd w:id="540"/>
      <w:bookmarkEnd w:id="541"/>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42" w:name="_Toc54567600"/>
      <w:bookmarkStart w:id="543" w:name="_Toc27177"/>
      <w:r>
        <w:rPr>
          <w:rFonts w:ascii="Times New Roman" w:hAnsi="Times New Roman" w:eastAsia="黑体"/>
          <w:b w:val="0"/>
          <w:bCs/>
          <w:color w:val="auto"/>
          <w:sz w:val="24"/>
          <w:szCs w:val="24"/>
          <w:highlight w:val="none"/>
        </w:rPr>
        <w:t>项目管理规定</w:t>
      </w:r>
      <w:bookmarkEnd w:id="542"/>
      <w:bookmarkEnd w:id="543"/>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44" w:name="_Toc30224"/>
      <w:r>
        <w:rPr>
          <w:rFonts w:ascii="LNUHNF+SimSun" w:hAnsi="LNUHNF+SimSun" w:cs="宋体"/>
          <w:color w:val="auto"/>
          <w:szCs w:val="21"/>
          <w:highlight w:val="none"/>
        </w:rPr>
        <w:t>BIM总协调方管理工作</w:t>
      </w:r>
      <w:bookmarkEnd w:id="544"/>
    </w:p>
    <w:p>
      <w:pPr>
        <w:spacing w:before="120" w:after="120"/>
        <w:ind w:firstLine="420" w:firstLineChars="200"/>
        <w:rPr>
          <w:color w:val="auto"/>
          <w:highlight w:val="none"/>
        </w:rPr>
      </w:pPr>
      <w:r>
        <w:rPr>
          <w:color w:val="auto"/>
          <w:highlight w:val="none"/>
        </w:rPr>
        <w:t>代建局</w:t>
      </w:r>
      <w:r>
        <w:rPr>
          <w:rFonts w:hint="eastAsia"/>
          <w:color w:val="auto"/>
          <w:highlight w:val="none"/>
        </w:rPr>
        <w:t>前期工作部</w:t>
      </w:r>
      <w:r>
        <w:rPr>
          <w:color w:val="auto"/>
          <w:highlight w:val="none"/>
        </w:rPr>
        <w:t>委托BIM总协调方，由BIM总协调方代表代建局对整个项目的BIM工作进行牵头并整体把控BIM实施质量及进度。BIM总协调方对各阶段整体把控内容如下：</w:t>
      </w:r>
    </w:p>
    <w:p>
      <w:pPr>
        <w:spacing w:before="120" w:after="120"/>
        <w:ind w:firstLine="420" w:firstLineChars="200"/>
        <w:outlineLvl w:val="4"/>
        <w:rPr>
          <w:color w:val="auto"/>
          <w:highlight w:val="none"/>
        </w:rPr>
      </w:pPr>
      <w:bookmarkStart w:id="545" w:name="_Toc3433"/>
      <w:r>
        <w:rPr>
          <w:color w:val="auto"/>
          <w:highlight w:val="none"/>
        </w:rPr>
        <w:t>1  设计阶段</w:t>
      </w:r>
      <w:bookmarkEnd w:id="545"/>
    </w:p>
    <w:p>
      <w:pPr>
        <w:spacing w:before="120" w:after="120"/>
        <w:ind w:firstLine="420" w:firstLineChars="200"/>
        <w:rPr>
          <w:color w:val="auto"/>
          <w:highlight w:val="none"/>
        </w:rPr>
      </w:pPr>
      <w:r>
        <w:rPr>
          <w:color w:val="auto"/>
          <w:highlight w:val="none"/>
        </w:rPr>
        <w:t>1）前期准备工作</w:t>
      </w:r>
    </w:p>
    <w:p>
      <w:pPr>
        <w:spacing w:before="120" w:after="120"/>
        <w:ind w:firstLine="420" w:firstLineChars="200"/>
        <w:rPr>
          <w:color w:val="auto"/>
          <w:highlight w:val="none"/>
        </w:rPr>
      </w:pPr>
      <w:r>
        <w:rPr>
          <w:color w:val="auto"/>
          <w:highlight w:val="none"/>
        </w:rPr>
        <w:t>（1）BIM总协调方根据《BIM实施大纲》制定《设计阶段BIM实施方案》；</w:t>
      </w:r>
    </w:p>
    <w:p>
      <w:pPr>
        <w:spacing w:before="120" w:after="120"/>
        <w:ind w:firstLine="420" w:firstLineChars="200"/>
        <w:rPr>
          <w:color w:val="auto"/>
          <w:highlight w:val="none"/>
        </w:rPr>
      </w:pPr>
      <w:r>
        <w:rPr>
          <w:color w:val="auto"/>
          <w:highlight w:val="none"/>
        </w:rPr>
        <w:t>（2）BIM总协调方协助代建局</w:t>
      </w:r>
      <w:r>
        <w:rPr>
          <w:rFonts w:hint="eastAsia"/>
          <w:color w:val="auto"/>
          <w:highlight w:val="none"/>
        </w:rPr>
        <w:t>前期工作部</w:t>
      </w:r>
      <w:r>
        <w:rPr>
          <w:color w:val="auto"/>
          <w:highlight w:val="none"/>
        </w:rPr>
        <w:t>对设计单位开通并管理BIM协同平台（包含权限的分配、使用原则的制定等）；</w:t>
      </w:r>
    </w:p>
    <w:p>
      <w:pPr>
        <w:spacing w:before="120" w:after="120"/>
        <w:ind w:firstLine="420" w:firstLineChars="200"/>
        <w:rPr>
          <w:color w:val="auto"/>
          <w:highlight w:val="none"/>
        </w:rPr>
      </w:pPr>
      <w:r>
        <w:rPr>
          <w:color w:val="auto"/>
          <w:highlight w:val="none"/>
        </w:rPr>
        <w:t>（3）设计单位制定相应的BIM工作计划和组建各自的BIM工作团队，同时指定一个人作为本单位的BIM负责人进行内外部的总体沟通与协调，并配合BIM总协调方的BIM管理工作。</w:t>
      </w:r>
    </w:p>
    <w:p>
      <w:pPr>
        <w:spacing w:before="120" w:after="120"/>
        <w:ind w:firstLine="420" w:firstLineChars="200"/>
        <w:rPr>
          <w:color w:val="auto"/>
          <w:highlight w:val="none"/>
        </w:rPr>
      </w:pPr>
      <w:r>
        <w:rPr>
          <w:color w:val="auto"/>
          <w:highlight w:val="none"/>
        </w:rPr>
        <w:t>2）设计过程工作</w:t>
      </w:r>
    </w:p>
    <w:p>
      <w:pPr>
        <w:spacing w:before="120" w:after="120"/>
        <w:ind w:firstLine="420" w:firstLineChars="200"/>
        <w:rPr>
          <w:color w:val="auto"/>
          <w:highlight w:val="none"/>
        </w:rPr>
      </w:pPr>
      <w:r>
        <w:rPr>
          <w:color w:val="auto"/>
          <w:highlight w:val="none"/>
        </w:rPr>
        <w:t>（1）设计单位执行合同约定的BIM内容，根据前期制定的BIM工作计划、BIM实施大纲及BIM实施标准开展工作，BIM总协调方应对设计单位提交的成果进行审核；</w:t>
      </w:r>
    </w:p>
    <w:p>
      <w:pPr>
        <w:spacing w:before="120" w:after="120"/>
        <w:ind w:firstLine="420" w:firstLineChars="200"/>
        <w:rPr>
          <w:color w:val="auto"/>
          <w:highlight w:val="none"/>
        </w:rPr>
      </w:pPr>
      <w:r>
        <w:rPr>
          <w:color w:val="auto"/>
          <w:highlight w:val="none"/>
        </w:rPr>
        <w:t>（2）BIM总协调方通过会议及邮件等形式，对各设计单位的BIM工作进行过程监督，并对设计单位提交的BIM成果进行审核，及时反馈优化信息或修改意见；</w:t>
      </w:r>
    </w:p>
    <w:p>
      <w:pPr>
        <w:spacing w:before="120" w:after="120"/>
        <w:ind w:firstLine="420" w:firstLineChars="200"/>
        <w:rPr>
          <w:color w:val="auto"/>
          <w:highlight w:val="none"/>
        </w:rPr>
      </w:pPr>
      <w:r>
        <w:rPr>
          <w:color w:val="auto"/>
          <w:highlight w:val="none"/>
        </w:rPr>
        <w:t>（3）由BIM总协调方监督设计单位提交设计阶段BIM成果深度应符合精度要求；</w:t>
      </w:r>
    </w:p>
    <w:p>
      <w:pPr>
        <w:spacing w:before="120" w:after="120"/>
        <w:ind w:firstLine="420" w:firstLineChars="200"/>
        <w:rPr>
          <w:color w:val="auto"/>
          <w:highlight w:val="none"/>
        </w:rPr>
      </w:pPr>
      <w:r>
        <w:rPr>
          <w:color w:val="auto"/>
          <w:highlight w:val="none"/>
        </w:rPr>
        <w:t>（4）设计阶段完成后，BIM总协调方应对设计单位提交的BIM成果进行质量审核，保证成果的一致性。</w:t>
      </w:r>
    </w:p>
    <w:p>
      <w:pPr>
        <w:spacing w:before="120" w:after="120"/>
        <w:ind w:firstLine="420" w:firstLineChars="200"/>
        <w:outlineLvl w:val="4"/>
        <w:rPr>
          <w:color w:val="auto"/>
          <w:highlight w:val="none"/>
        </w:rPr>
      </w:pPr>
      <w:bookmarkStart w:id="546" w:name="_Toc1957"/>
      <w:r>
        <w:rPr>
          <w:color w:val="auto"/>
          <w:highlight w:val="none"/>
        </w:rPr>
        <w:t>2  施工阶段</w:t>
      </w:r>
      <w:bookmarkEnd w:id="546"/>
    </w:p>
    <w:p>
      <w:pPr>
        <w:spacing w:before="120" w:after="120"/>
        <w:ind w:firstLine="420" w:firstLineChars="200"/>
        <w:rPr>
          <w:color w:val="auto"/>
          <w:highlight w:val="none"/>
        </w:rPr>
      </w:pPr>
      <w:r>
        <w:rPr>
          <w:color w:val="auto"/>
          <w:highlight w:val="none"/>
        </w:rPr>
        <w:t>1）前期准备工作</w:t>
      </w:r>
    </w:p>
    <w:p>
      <w:pPr>
        <w:spacing w:before="120" w:after="120"/>
        <w:ind w:firstLine="420" w:firstLineChars="200"/>
        <w:rPr>
          <w:color w:val="auto"/>
          <w:highlight w:val="none"/>
        </w:rPr>
      </w:pPr>
      <w:r>
        <w:rPr>
          <w:color w:val="auto"/>
          <w:highlight w:val="none"/>
        </w:rPr>
        <w:t>（1）由BIM总协调方编写《BIM实施大纲》，制定《施工阶段BIM实施方案》；</w:t>
      </w:r>
    </w:p>
    <w:p>
      <w:pPr>
        <w:spacing w:before="120" w:after="120"/>
        <w:ind w:firstLine="420" w:firstLineChars="200"/>
        <w:rPr>
          <w:color w:val="auto"/>
          <w:highlight w:val="none"/>
        </w:rPr>
      </w:pPr>
      <w:r>
        <w:rPr>
          <w:color w:val="auto"/>
          <w:highlight w:val="none"/>
        </w:rPr>
        <w:t>（2）BIM总协调方协助代建局</w:t>
      </w:r>
      <w:r>
        <w:rPr>
          <w:rFonts w:hint="eastAsia"/>
          <w:color w:val="auto"/>
          <w:highlight w:val="none"/>
        </w:rPr>
        <w:t>项目建设管理部</w:t>
      </w:r>
      <w:r>
        <w:rPr>
          <w:color w:val="auto"/>
          <w:highlight w:val="none"/>
        </w:rPr>
        <w:t>对施工单位开通并管理BIM协同平台（包含权限的分配、使用原则的制定等）；</w:t>
      </w:r>
    </w:p>
    <w:p>
      <w:pPr>
        <w:spacing w:before="120" w:after="120"/>
        <w:ind w:firstLine="420" w:firstLineChars="200"/>
        <w:rPr>
          <w:color w:val="auto"/>
          <w:highlight w:val="none"/>
        </w:rPr>
      </w:pPr>
      <w:r>
        <w:rPr>
          <w:color w:val="auto"/>
          <w:highlight w:val="none"/>
        </w:rPr>
        <w:t>（3）各参与方制定相应的BIM工作计划和组建各自的BIM工作团队，同时指定一人作为本单位的BIM负责人，此BIM负责人负责内外部的总体沟通与协调工作，并配合BIM总协调方的BIM管理工作；</w:t>
      </w:r>
    </w:p>
    <w:p>
      <w:pPr>
        <w:spacing w:before="120" w:after="120"/>
        <w:ind w:firstLine="420" w:firstLineChars="200"/>
        <w:rPr>
          <w:color w:val="auto"/>
          <w:highlight w:val="none"/>
        </w:rPr>
      </w:pPr>
      <w:r>
        <w:rPr>
          <w:color w:val="auto"/>
          <w:highlight w:val="none"/>
        </w:rPr>
        <w:t>（4）各参与方在施工总承包统筹下，完成各专业优化，并将优化内容在BIM模型中进行反映，预先提出施工重点、难点，并进行重难点施工方案模拟，解决施工过程中潜在的错漏碰缺</w:t>
      </w:r>
      <w:r>
        <w:rPr>
          <w:rFonts w:hint="eastAsia"/>
          <w:color w:val="auto"/>
          <w:highlight w:val="none"/>
        </w:rPr>
        <w:t>等问题</w:t>
      </w:r>
      <w:r>
        <w:rPr>
          <w:color w:val="auto"/>
          <w:highlight w:val="none"/>
        </w:rPr>
        <w:t>；</w:t>
      </w:r>
    </w:p>
    <w:p>
      <w:pPr>
        <w:spacing w:before="120" w:after="120"/>
        <w:ind w:firstLine="420" w:firstLineChars="200"/>
        <w:rPr>
          <w:color w:val="auto"/>
          <w:highlight w:val="none"/>
        </w:rPr>
      </w:pPr>
      <w:r>
        <w:rPr>
          <w:color w:val="auto"/>
          <w:highlight w:val="none"/>
        </w:rPr>
        <w:t>（5）BIM总协调方制定《BIM信息录入标准》，由各参与方配合完成BIM模型信息录入工作；</w:t>
      </w:r>
    </w:p>
    <w:p>
      <w:pPr>
        <w:spacing w:before="120" w:after="120"/>
        <w:ind w:firstLine="420" w:firstLineChars="200"/>
        <w:rPr>
          <w:color w:val="auto"/>
          <w:highlight w:val="none"/>
        </w:rPr>
      </w:pPr>
      <w:r>
        <w:rPr>
          <w:color w:val="auto"/>
          <w:highlight w:val="none"/>
        </w:rPr>
        <w:t>（6）BIM总协调方定期归档BIM深化阶段成果。</w:t>
      </w:r>
    </w:p>
    <w:p>
      <w:pPr>
        <w:spacing w:before="120" w:after="120"/>
        <w:ind w:firstLine="420" w:firstLineChars="200"/>
        <w:rPr>
          <w:color w:val="auto"/>
          <w:highlight w:val="none"/>
        </w:rPr>
      </w:pPr>
      <w:r>
        <w:rPr>
          <w:color w:val="auto"/>
          <w:highlight w:val="none"/>
        </w:rPr>
        <w:t>2）施工过程工作</w:t>
      </w:r>
    </w:p>
    <w:p>
      <w:pPr>
        <w:spacing w:before="120" w:after="120"/>
        <w:ind w:firstLine="420" w:firstLineChars="200"/>
        <w:rPr>
          <w:color w:val="auto"/>
          <w:highlight w:val="none"/>
        </w:rPr>
      </w:pPr>
      <w:r>
        <w:rPr>
          <w:color w:val="auto"/>
          <w:highlight w:val="none"/>
        </w:rPr>
        <w:t>（1）BIM总协调方对BIM技术应用与实际工程的研究及摸索，制定运维信息化框架及信息输入接口的标准，各参与方应配合实施；</w:t>
      </w:r>
    </w:p>
    <w:p>
      <w:pPr>
        <w:spacing w:before="120" w:after="120"/>
        <w:ind w:firstLine="420" w:firstLineChars="200"/>
        <w:rPr>
          <w:color w:val="auto"/>
          <w:highlight w:val="none"/>
        </w:rPr>
      </w:pPr>
      <w:r>
        <w:rPr>
          <w:color w:val="auto"/>
          <w:highlight w:val="none"/>
        </w:rPr>
        <w:t>（2）各参与方针对工程实际完成情况及设计变更，分阶段完成BIM模型细化，利用BIM技术辅助现场管理施工，安排施工顺序节点，确保现场施工顺畅，按进度计划保质保量完成项目建设。</w:t>
      </w:r>
    </w:p>
    <w:p>
      <w:pPr>
        <w:spacing w:before="120" w:after="120"/>
        <w:ind w:firstLine="420" w:firstLineChars="200"/>
        <w:rPr>
          <w:color w:val="auto"/>
          <w:highlight w:val="none"/>
        </w:rPr>
      </w:pPr>
      <w:r>
        <w:rPr>
          <w:color w:val="auto"/>
          <w:highlight w:val="none"/>
        </w:rPr>
        <w:t>（3）根据项目实施进度，施工总承包协调各参与方逐步添加项目信息，完善BIM模型信息。</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47" w:name="_Toc17356"/>
      <w:r>
        <w:rPr>
          <w:rFonts w:ascii="LNUHNF+SimSun" w:hAnsi="LNUHNF+SimSun" w:cs="宋体"/>
          <w:color w:val="auto"/>
          <w:szCs w:val="21"/>
          <w:highlight w:val="none"/>
        </w:rPr>
        <w:t>项目协调机制</w:t>
      </w:r>
      <w:bookmarkEnd w:id="547"/>
    </w:p>
    <w:p>
      <w:pPr>
        <w:spacing w:before="120" w:after="120"/>
        <w:ind w:firstLine="420" w:firstLineChars="200"/>
        <w:rPr>
          <w:color w:val="auto"/>
          <w:highlight w:val="none"/>
        </w:rPr>
      </w:pPr>
      <w:r>
        <w:rPr>
          <w:color w:val="auto"/>
          <w:highlight w:val="none"/>
        </w:rPr>
        <w:t>1  在项目实施过程中，项目协调例会应使用BIM三维可视化技术进行方案讨论及定案。</w:t>
      </w:r>
    </w:p>
    <w:p>
      <w:pPr>
        <w:spacing w:before="120" w:after="120"/>
        <w:ind w:firstLine="420" w:firstLineChars="200"/>
        <w:rPr>
          <w:color w:val="auto"/>
          <w:highlight w:val="none"/>
        </w:rPr>
      </w:pPr>
      <w:r>
        <w:rPr>
          <w:color w:val="auto"/>
          <w:highlight w:val="none"/>
        </w:rPr>
        <w:t>2  项目定期举行BIM协调例会，由BIM总协调方组织，各参与方BIM负责人参与。BIM协调例会包括BIM设计例会及BIM工程管理例会。BIM协调例会议程包括：</w:t>
      </w:r>
    </w:p>
    <w:p>
      <w:pPr>
        <w:spacing w:before="120" w:after="120"/>
        <w:ind w:firstLine="420" w:firstLineChars="200"/>
        <w:rPr>
          <w:color w:val="auto"/>
          <w:highlight w:val="none"/>
        </w:rPr>
      </w:pPr>
      <w:r>
        <w:rPr>
          <w:color w:val="auto"/>
          <w:highlight w:val="none"/>
        </w:rPr>
        <w:t>1）对上次例会中关于BIM工作要求落实情况的检查；</w:t>
      </w:r>
    </w:p>
    <w:p>
      <w:pPr>
        <w:spacing w:before="120" w:after="120"/>
        <w:ind w:firstLine="420" w:firstLineChars="200"/>
        <w:rPr>
          <w:color w:val="auto"/>
          <w:highlight w:val="none"/>
        </w:rPr>
      </w:pPr>
      <w:r>
        <w:rPr>
          <w:color w:val="auto"/>
          <w:highlight w:val="none"/>
        </w:rPr>
        <w:t>2）对本次例会的BIM工作存在问题进行讨论并提出解决方案（包含落实方、完成时间等）；</w:t>
      </w:r>
    </w:p>
    <w:p>
      <w:pPr>
        <w:spacing w:before="120" w:after="120"/>
        <w:ind w:firstLine="420" w:firstLineChars="200"/>
        <w:rPr>
          <w:color w:val="auto"/>
          <w:highlight w:val="none"/>
        </w:rPr>
      </w:pPr>
      <w:r>
        <w:rPr>
          <w:color w:val="auto"/>
          <w:highlight w:val="none"/>
        </w:rPr>
        <w:t>3）对下一阶段BIM工作的要求；</w:t>
      </w:r>
    </w:p>
    <w:p>
      <w:pPr>
        <w:spacing w:before="120" w:after="120"/>
        <w:ind w:firstLine="420" w:firstLineChars="200"/>
        <w:rPr>
          <w:color w:val="auto"/>
          <w:highlight w:val="none"/>
        </w:rPr>
      </w:pPr>
      <w:r>
        <w:rPr>
          <w:color w:val="auto"/>
          <w:highlight w:val="none"/>
        </w:rPr>
        <w:t>4）其他关于BIM的工作。</w:t>
      </w:r>
    </w:p>
    <w:p>
      <w:pPr>
        <w:spacing w:before="120" w:after="120"/>
        <w:ind w:firstLine="420" w:firstLineChars="200"/>
        <w:rPr>
          <w:color w:val="auto"/>
          <w:highlight w:val="none"/>
        </w:rPr>
      </w:pPr>
      <w:r>
        <w:rPr>
          <w:color w:val="auto"/>
          <w:highlight w:val="none"/>
        </w:rPr>
        <w:t>3  BIM总协调方在会议结束后及时整理好会议纪要发给各参与方确认，在整理好会议纪要后提交给代建局</w:t>
      </w:r>
      <w:r>
        <w:rPr>
          <w:rFonts w:hint="eastAsia"/>
          <w:color w:val="auto"/>
          <w:highlight w:val="none"/>
        </w:rPr>
        <w:t>前期工作部或项目建设管理部</w:t>
      </w:r>
      <w:r>
        <w:rPr>
          <w:color w:val="auto"/>
          <w:highlight w:val="none"/>
        </w:rPr>
        <w:t>。</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48" w:name="_Toc2998"/>
      <w:r>
        <w:rPr>
          <w:rFonts w:ascii="LNUHNF+SimSun" w:hAnsi="LNUHNF+SimSun" w:cs="宋体"/>
          <w:color w:val="auto"/>
          <w:szCs w:val="21"/>
          <w:highlight w:val="none"/>
        </w:rPr>
        <w:t>项目质量控制</w:t>
      </w:r>
      <w:bookmarkEnd w:id="548"/>
    </w:p>
    <w:p>
      <w:pPr>
        <w:spacing w:before="120" w:after="120"/>
        <w:ind w:firstLine="420" w:firstLineChars="200"/>
        <w:rPr>
          <w:color w:val="auto"/>
          <w:highlight w:val="none"/>
        </w:rPr>
      </w:pPr>
      <w:r>
        <w:rPr>
          <w:color w:val="auto"/>
          <w:highlight w:val="none"/>
        </w:rPr>
        <w:t>1  BIM总协调方作为本项目BIM实施工作质量监督管理单位，应协助代建局</w:t>
      </w:r>
      <w:r>
        <w:rPr>
          <w:rFonts w:hint="eastAsia"/>
          <w:color w:val="auto"/>
          <w:highlight w:val="none"/>
        </w:rPr>
        <w:t>前期工作部或项目建设管理部</w:t>
      </w:r>
      <w:r>
        <w:rPr>
          <w:color w:val="auto"/>
          <w:highlight w:val="none"/>
        </w:rPr>
        <w:t>对各参与方交付的BIM模型及成果进行质量检查。</w:t>
      </w:r>
    </w:p>
    <w:p>
      <w:pPr>
        <w:spacing w:before="120" w:after="120"/>
        <w:ind w:firstLine="420" w:firstLineChars="200"/>
        <w:rPr>
          <w:color w:val="auto"/>
          <w:highlight w:val="none"/>
        </w:rPr>
      </w:pPr>
      <w:r>
        <w:rPr>
          <w:color w:val="auto"/>
          <w:highlight w:val="none"/>
        </w:rPr>
        <w:t>2  BIM总协调方根据质量检查</w:t>
      </w:r>
      <w:bookmarkStart w:id="549" w:name="_bookmark11"/>
      <w:bookmarkEnd w:id="549"/>
      <w:r>
        <w:rPr>
          <w:color w:val="auto"/>
          <w:highlight w:val="none"/>
        </w:rPr>
        <w:t>结果出具修改通知单，各参与单位根据修改通知单内容对BIM模型及成果进行修改。</w:t>
      </w:r>
    </w:p>
    <w:p>
      <w:pPr>
        <w:spacing w:before="120" w:after="120"/>
        <w:ind w:firstLine="420" w:firstLineChars="200"/>
        <w:rPr>
          <w:color w:val="auto"/>
          <w:highlight w:val="none"/>
        </w:rPr>
      </w:pPr>
      <w:r>
        <w:rPr>
          <w:color w:val="auto"/>
          <w:highlight w:val="none"/>
        </w:rPr>
        <w:t>3  质量检查的结果及整改通知单文件记录由BIM总协调单位归档后提交代建局</w:t>
      </w:r>
      <w:r>
        <w:rPr>
          <w:rFonts w:hint="eastAsia"/>
          <w:color w:val="auto"/>
          <w:highlight w:val="none"/>
        </w:rPr>
        <w:t>前期工作部或项目建设管理部</w:t>
      </w:r>
      <w:r>
        <w:rPr>
          <w:color w:val="auto"/>
          <w:highlight w:val="none"/>
        </w:rPr>
        <w:t>。</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50" w:name="_Toc54567601"/>
      <w:bookmarkStart w:id="551" w:name="_Toc2055"/>
      <w:r>
        <w:rPr>
          <w:rFonts w:ascii="Times New Roman" w:hAnsi="Times New Roman" w:eastAsia="黑体"/>
          <w:b w:val="0"/>
          <w:bCs/>
          <w:color w:val="auto"/>
          <w:sz w:val="24"/>
          <w:szCs w:val="24"/>
          <w:highlight w:val="none"/>
        </w:rPr>
        <w:t>项目管理流程</w:t>
      </w:r>
      <w:bookmarkEnd w:id="550"/>
      <w:bookmarkEnd w:id="551"/>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52" w:name="_Toc31576"/>
      <w:r>
        <w:rPr>
          <w:rFonts w:ascii="LNUHNF+SimSun" w:hAnsi="LNUHNF+SimSun" w:cs="宋体"/>
          <w:color w:val="auto"/>
          <w:szCs w:val="21"/>
          <w:highlight w:val="none"/>
        </w:rPr>
        <w:t>项目前期准备工作</w:t>
      </w:r>
      <w:bookmarkEnd w:id="552"/>
    </w:p>
    <w:p>
      <w:pPr>
        <w:spacing w:before="120" w:after="120"/>
        <w:ind w:firstLine="420" w:firstLineChars="200"/>
        <w:outlineLvl w:val="4"/>
        <w:rPr>
          <w:color w:val="auto"/>
          <w:highlight w:val="none"/>
        </w:rPr>
      </w:pPr>
      <w:bookmarkStart w:id="553" w:name="_Toc31560"/>
      <w:r>
        <w:rPr>
          <w:color w:val="auto"/>
          <w:highlight w:val="none"/>
        </w:rPr>
        <w:t>1  在项目实施策划阶段中，BIM总协调方应制定《项目BIM实施大纲》，统一各参与方的BIM实施标准。</w:t>
      </w:r>
      <w:bookmarkEnd w:id="553"/>
    </w:p>
    <w:p>
      <w:pPr>
        <w:spacing w:before="120" w:after="120"/>
        <w:ind w:firstLine="420" w:firstLineChars="200"/>
        <w:outlineLvl w:val="4"/>
        <w:rPr>
          <w:color w:val="auto"/>
          <w:highlight w:val="none"/>
        </w:rPr>
      </w:pPr>
      <w:bookmarkStart w:id="554" w:name="_Toc30146"/>
      <w:r>
        <w:rPr>
          <w:color w:val="auto"/>
          <w:highlight w:val="none"/>
        </w:rPr>
        <w:t>2  《项目BIM实施大纲》至少应包含以下方面：</w:t>
      </w:r>
      <w:bookmarkEnd w:id="554"/>
    </w:p>
    <w:p>
      <w:pPr>
        <w:spacing w:before="120" w:after="120"/>
        <w:ind w:firstLine="420" w:firstLineChars="200"/>
        <w:rPr>
          <w:color w:val="auto"/>
          <w:highlight w:val="none"/>
        </w:rPr>
      </w:pPr>
      <w:r>
        <w:rPr>
          <w:color w:val="auto"/>
          <w:highlight w:val="none"/>
        </w:rPr>
        <w:t>1）建模标准：明确项目中采用的BIM建模标准；</w:t>
      </w:r>
    </w:p>
    <w:p>
      <w:pPr>
        <w:spacing w:before="120" w:after="120"/>
        <w:ind w:firstLine="420" w:firstLineChars="200"/>
        <w:rPr>
          <w:color w:val="auto"/>
          <w:highlight w:val="none"/>
        </w:rPr>
      </w:pPr>
      <w:r>
        <w:rPr>
          <w:color w:val="auto"/>
          <w:highlight w:val="none"/>
        </w:rPr>
        <w:t>2）软件版本：确定将要使用的BIM软件，及确定软件一致性原则；</w:t>
      </w:r>
    </w:p>
    <w:p>
      <w:pPr>
        <w:spacing w:before="120" w:after="120"/>
        <w:ind w:firstLine="420" w:firstLineChars="200"/>
        <w:rPr>
          <w:color w:val="auto"/>
          <w:highlight w:val="none"/>
        </w:rPr>
      </w:pPr>
      <w:r>
        <w:rPr>
          <w:color w:val="auto"/>
          <w:highlight w:val="none"/>
        </w:rPr>
        <w:t>3）项目相关方：确定项目各参与方的要求及职责；</w:t>
      </w:r>
    </w:p>
    <w:p>
      <w:pPr>
        <w:spacing w:before="120" w:after="120"/>
        <w:ind w:firstLine="420" w:firstLineChars="200"/>
        <w:rPr>
          <w:color w:val="auto"/>
          <w:highlight w:val="none"/>
        </w:rPr>
      </w:pPr>
      <w:r>
        <w:rPr>
          <w:color w:val="auto"/>
          <w:highlight w:val="none"/>
        </w:rPr>
        <w:t>4）项目成果交付：确定项目交付成果的要求；</w:t>
      </w:r>
    </w:p>
    <w:p>
      <w:pPr>
        <w:spacing w:before="120" w:after="120"/>
        <w:ind w:firstLine="420" w:firstLineChars="200"/>
        <w:rPr>
          <w:color w:val="auto"/>
          <w:highlight w:val="none"/>
        </w:rPr>
      </w:pPr>
      <w:r>
        <w:rPr>
          <w:color w:val="auto"/>
          <w:highlight w:val="none"/>
        </w:rPr>
        <w:t>5）实施计划：确定项目BIM执行计划及相关方工作时间节点；</w:t>
      </w:r>
    </w:p>
    <w:p>
      <w:pPr>
        <w:spacing w:before="120" w:after="120"/>
        <w:ind w:firstLine="420" w:firstLineChars="200"/>
        <w:rPr>
          <w:color w:val="auto"/>
          <w:highlight w:val="none"/>
        </w:rPr>
      </w:pPr>
      <w:r>
        <w:rPr>
          <w:color w:val="auto"/>
          <w:highlight w:val="none"/>
        </w:rPr>
        <w:t>6）文档结构：确定统一的文档结构；</w:t>
      </w:r>
    </w:p>
    <w:p>
      <w:pPr>
        <w:spacing w:before="120" w:after="120"/>
        <w:ind w:firstLine="420" w:firstLineChars="200"/>
        <w:rPr>
          <w:color w:val="auto"/>
          <w:highlight w:val="none"/>
        </w:rPr>
      </w:pPr>
      <w:r>
        <w:rPr>
          <w:color w:val="auto"/>
          <w:highlight w:val="none"/>
        </w:rPr>
        <w:t>7）命名规则：确定统一的文档、模型、提交成果等命名规则；</w:t>
      </w:r>
    </w:p>
    <w:p>
      <w:pPr>
        <w:spacing w:before="120" w:after="120"/>
        <w:ind w:firstLine="420" w:firstLineChars="200"/>
        <w:rPr>
          <w:color w:val="auto"/>
          <w:highlight w:val="none"/>
        </w:rPr>
      </w:pPr>
      <w:r>
        <w:rPr>
          <w:color w:val="auto"/>
          <w:highlight w:val="none"/>
        </w:rPr>
        <w:t>8）色彩规则：确定统一的色彩规则；</w:t>
      </w:r>
    </w:p>
    <w:p>
      <w:pPr>
        <w:spacing w:before="120" w:after="120"/>
        <w:ind w:firstLine="420" w:firstLineChars="200"/>
        <w:rPr>
          <w:color w:val="auto"/>
          <w:highlight w:val="none"/>
        </w:rPr>
      </w:pPr>
      <w:r>
        <w:rPr>
          <w:color w:val="auto"/>
          <w:highlight w:val="none"/>
        </w:rPr>
        <w:t>9）度量标准：确定统一的度量单位；</w:t>
      </w:r>
    </w:p>
    <w:p>
      <w:pPr>
        <w:spacing w:before="120" w:after="120"/>
        <w:ind w:firstLine="420" w:firstLineChars="200"/>
        <w:rPr>
          <w:color w:val="auto"/>
          <w:highlight w:val="none"/>
        </w:rPr>
      </w:pPr>
      <w:r>
        <w:rPr>
          <w:color w:val="auto"/>
          <w:highlight w:val="none"/>
        </w:rPr>
        <w:t>10）坐标系统：为所有BIM模型定义统一的通用坐标系；</w:t>
      </w:r>
    </w:p>
    <w:p>
      <w:pPr>
        <w:spacing w:before="120" w:after="120"/>
        <w:ind w:firstLine="420" w:firstLineChars="200"/>
        <w:rPr>
          <w:color w:val="auto"/>
          <w:highlight w:val="none"/>
        </w:rPr>
      </w:pPr>
      <w:r>
        <w:rPr>
          <w:color w:val="auto"/>
          <w:highlight w:val="none"/>
        </w:rPr>
        <w:t>11）权限分配：指定各参与方在协同平台上的权限，明确项目BIM成果数据的协同方式，以实现多专业、多用户的数据访问；</w:t>
      </w:r>
    </w:p>
    <w:p>
      <w:pPr>
        <w:spacing w:before="120" w:after="120"/>
        <w:ind w:firstLine="420" w:firstLineChars="200"/>
        <w:rPr>
          <w:color w:val="auto"/>
          <w:highlight w:val="none"/>
        </w:rPr>
      </w:pPr>
      <w:r>
        <w:rPr>
          <w:color w:val="auto"/>
          <w:highlight w:val="none"/>
        </w:rPr>
        <w:t>12）审核/确认：确定图纸和BIM数据的审核/确认流程。</w:t>
      </w:r>
    </w:p>
    <w:p>
      <w:pPr>
        <w:spacing w:before="120" w:after="120"/>
        <w:ind w:firstLine="420" w:firstLineChars="200"/>
        <w:outlineLvl w:val="4"/>
        <w:rPr>
          <w:color w:val="auto"/>
          <w:highlight w:val="none"/>
        </w:rPr>
      </w:pPr>
      <w:bookmarkStart w:id="555" w:name="_Toc16287"/>
      <w:r>
        <w:rPr>
          <w:color w:val="auto"/>
          <w:highlight w:val="none"/>
        </w:rPr>
        <w:t>3  BIM总协调方根据项目实施目标，确定项目BIM实施应用点。项目各阶段BIM实施应用点详见《附件：BIM实施导则》中附表4。</w:t>
      </w:r>
      <w:bookmarkEnd w:id="555"/>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56" w:name="_Toc32152"/>
      <w:r>
        <w:rPr>
          <w:rFonts w:ascii="LNUHNF+SimSun" w:hAnsi="LNUHNF+SimSun" w:cs="宋体"/>
          <w:color w:val="auto"/>
          <w:szCs w:val="21"/>
          <w:highlight w:val="none"/>
        </w:rPr>
        <w:t>设计阶段BIM管理流程</w:t>
      </w:r>
      <w:bookmarkEnd w:id="556"/>
    </w:p>
    <w:p>
      <w:pPr>
        <w:spacing w:before="120" w:after="120"/>
        <w:ind w:firstLine="420" w:firstLineChars="200"/>
        <w:outlineLvl w:val="4"/>
        <w:rPr>
          <w:color w:val="auto"/>
          <w:highlight w:val="none"/>
        </w:rPr>
      </w:pPr>
      <w:bookmarkStart w:id="557" w:name="_Toc23216"/>
      <w:r>
        <w:rPr>
          <w:color w:val="auto"/>
          <w:highlight w:val="none"/>
        </w:rPr>
        <w:t xml:space="preserve">1  </w:t>
      </w:r>
      <w:r>
        <w:rPr>
          <w:rFonts w:hint="eastAsia"/>
          <w:color w:val="auto"/>
          <w:highlight w:val="none"/>
        </w:rPr>
        <w:t>编制</w:t>
      </w:r>
      <w:r>
        <w:rPr>
          <w:color w:val="auto"/>
          <w:highlight w:val="none"/>
        </w:rPr>
        <w:t>《设计阶段BIM实施方案》</w:t>
      </w:r>
      <w:bookmarkEnd w:id="557"/>
    </w:p>
    <w:p>
      <w:pPr>
        <w:spacing w:before="120" w:after="120"/>
        <w:ind w:firstLine="420" w:firstLineChars="200"/>
        <w:rPr>
          <w:color w:val="auto"/>
          <w:highlight w:val="none"/>
        </w:rPr>
      </w:pPr>
      <w:r>
        <w:rPr>
          <w:color w:val="auto"/>
          <w:highlight w:val="none"/>
        </w:rPr>
        <w:t>根据项目设计特点，BIM总协调方编制《设计阶段BIM实施方案》</w:t>
      </w:r>
      <w:r>
        <w:rPr>
          <w:rFonts w:hint="eastAsia"/>
          <w:color w:val="auto"/>
          <w:highlight w:val="none"/>
        </w:rPr>
        <w:t>，</w:t>
      </w:r>
      <w:r>
        <w:rPr>
          <w:color w:val="auto"/>
          <w:highlight w:val="none"/>
        </w:rPr>
        <w:t>《设计阶段BIM实施方案》应包括以下内容：</w:t>
      </w:r>
    </w:p>
    <w:p>
      <w:pPr>
        <w:spacing w:before="120" w:after="120"/>
        <w:ind w:firstLine="420" w:firstLineChars="200"/>
        <w:rPr>
          <w:color w:val="auto"/>
          <w:highlight w:val="none"/>
        </w:rPr>
      </w:pPr>
      <w:r>
        <w:rPr>
          <w:color w:val="auto"/>
          <w:highlight w:val="none"/>
        </w:rPr>
        <w:t>1）BIM软件及版本；</w:t>
      </w:r>
    </w:p>
    <w:p>
      <w:pPr>
        <w:spacing w:before="120" w:after="120"/>
        <w:ind w:firstLine="420" w:firstLineChars="200"/>
        <w:rPr>
          <w:color w:val="auto"/>
          <w:highlight w:val="none"/>
        </w:rPr>
      </w:pPr>
      <w:r>
        <w:rPr>
          <w:color w:val="auto"/>
          <w:highlight w:val="none"/>
        </w:rPr>
        <w:t>2）设计阶段BIM应用目的；</w:t>
      </w:r>
    </w:p>
    <w:p>
      <w:pPr>
        <w:spacing w:before="120" w:after="120"/>
        <w:ind w:firstLine="420" w:firstLineChars="200"/>
        <w:rPr>
          <w:color w:val="auto"/>
          <w:highlight w:val="none"/>
        </w:rPr>
      </w:pPr>
      <w:r>
        <w:rPr>
          <w:color w:val="auto"/>
          <w:highlight w:val="none"/>
        </w:rPr>
        <w:t>3）设计阶段BIM应用范围；</w:t>
      </w:r>
    </w:p>
    <w:p>
      <w:pPr>
        <w:spacing w:before="120" w:after="120"/>
        <w:ind w:firstLine="420" w:firstLineChars="200"/>
        <w:rPr>
          <w:color w:val="auto"/>
          <w:highlight w:val="none"/>
        </w:rPr>
      </w:pPr>
      <w:r>
        <w:rPr>
          <w:color w:val="auto"/>
          <w:highlight w:val="none"/>
        </w:rPr>
        <w:t>4）BIM工作内容；</w:t>
      </w:r>
    </w:p>
    <w:p>
      <w:pPr>
        <w:spacing w:before="120" w:after="120"/>
        <w:ind w:firstLine="420" w:firstLineChars="200"/>
        <w:rPr>
          <w:color w:val="auto"/>
          <w:highlight w:val="none"/>
        </w:rPr>
      </w:pPr>
      <w:r>
        <w:rPr>
          <w:color w:val="auto"/>
          <w:highlight w:val="none"/>
        </w:rPr>
        <w:t>5）各专业模型内容；</w:t>
      </w:r>
    </w:p>
    <w:p>
      <w:pPr>
        <w:spacing w:before="120" w:after="120"/>
        <w:ind w:firstLine="420" w:firstLineChars="200"/>
        <w:rPr>
          <w:color w:val="auto"/>
          <w:highlight w:val="none"/>
        </w:rPr>
      </w:pPr>
      <w:r>
        <w:rPr>
          <w:color w:val="auto"/>
          <w:highlight w:val="none"/>
        </w:rPr>
        <w:t>5）各阶段模型深度要求；</w:t>
      </w:r>
    </w:p>
    <w:p>
      <w:pPr>
        <w:spacing w:before="120" w:after="120"/>
        <w:ind w:firstLine="420" w:firstLineChars="200"/>
        <w:rPr>
          <w:color w:val="auto"/>
          <w:highlight w:val="none"/>
        </w:rPr>
      </w:pPr>
      <w:r>
        <w:rPr>
          <w:color w:val="auto"/>
          <w:highlight w:val="none"/>
        </w:rPr>
        <w:t>6）BIM颜色要求；</w:t>
      </w:r>
    </w:p>
    <w:p>
      <w:pPr>
        <w:spacing w:before="120" w:after="120"/>
        <w:ind w:firstLine="420" w:firstLineChars="200"/>
        <w:rPr>
          <w:color w:val="auto"/>
          <w:highlight w:val="none"/>
        </w:rPr>
      </w:pPr>
      <w:r>
        <w:rPr>
          <w:color w:val="auto"/>
          <w:highlight w:val="none"/>
        </w:rPr>
        <w:t>7）BIM模型组织方式；</w:t>
      </w:r>
    </w:p>
    <w:p>
      <w:pPr>
        <w:spacing w:before="120" w:after="120"/>
        <w:ind w:firstLine="420" w:firstLineChars="200"/>
        <w:rPr>
          <w:color w:val="auto"/>
          <w:highlight w:val="none"/>
        </w:rPr>
      </w:pPr>
      <w:r>
        <w:rPr>
          <w:color w:val="auto"/>
          <w:highlight w:val="none"/>
        </w:rPr>
        <w:t>8）建模规则与信息要求；</w:t>
      </w:r>
    </w:p>
    <w:p>
      <w:pPr>
        <w:spacing w:before="120" w:after="120"/>
        <w:ind w:firstLine="420" w:firstLineChars="200"/>
        <w:rPr>
          <w:color w:val="auto"/>
          <w:highlight w:val="none"/>
        </w:rPr>
      </w:pPr>
      <w:r>
        <w:rPr>
          <w:color w:val="auto"/>
          <w:highlight w:val="none"/>
        </w:rPr>
        <w:t>9）协同工作分工；</w:t>
      </w:r>
    </w:p>
    <w:p>
      <w:pPr>
        <w:spacing w:before="120" w:after="120"/>
        <w:ind w:firstLine="420" w:firstLineChars="200"/>
        <w:rPr>
          <w:color w:val="auto"/>
          <w:highlight w:val="none"/>
        </w:rPr>
      </w:pPr>
      <w:r>
        <w:rPr>
          <w:color w:val="auto"/>
          <w:highlight w:val="none"/>
        </w:rPr>
        <w:t>10）成果交付格式及内容。</w:t>
      </w:r>
    </w:p>
    <w:p>
      <w:pPr>
        <w:spacing w:before="120" w:after="120"/>
        <w:ind w:firstLine="420" w:firstLineChars="200"/>
        <w:outlineLvl w:val="4"/>
        <w:rPr>
          <w:color w:val="auto"/>
          <w:highlight w:val="none"/>
        </w:rPr>
      </w:pPr>
      <w:bookmarkStart w:id="558" w:name="_Toc334"/>
      <w:r>
        <w:rPr>
          <w:color w:val="auto"/>
          <w:highlight w:val="none"/>
        </w:rPr>
        <w:t>2  设计阶段BIM应用目的</w:t>
      </w:r>
      <w:bookmarkEnd w:id="558"/>
    </w:p>
    <w:p>
      <w:pPr>
        <w:spacing w:before="120" w:after="120"/>
        <w:ind w:firstLine="420" w:firstLineChars="200"/>
        <w:rPr>
          <w:color w:val="auto"/>
          <w:highlight w:val="none"/>
        </w:rPr>
      </w:pPr>
      <w:r>
        <w:rPr>
          <w:color w:val="auto"/>
          <w:highlight w:val="none"/>
        </w:rPr>
        <w:t>通过在项目设计阶段应用BIM技术和管理方法，在项目设计过程中把握工程设计的方向，解决设计阶段多方沟通、协调问题，切实控制设计质量，避免下阶段的工程风险。通过模拟项目的建设过程对项目进行优化。</w:t>
      </w:r>
    </w:p>
    <w:p>
      <w:pPr>
        <w:spacing w:before="120" w:after="120"/>
        <w:ind w:firstLine="420" w:firstLineChars="200"/>
        <w:outlineLvl w:val="4"/>
        <w:rPr>
          <w:color w:val="auto"/>
          <w:highlight w:val="none"/>
        </w:rPr>
      </w:pPr>
      <w:bookmarkStart w:id="559" w:name="_Toc2807"/>
      <w:r>
        <w:rPr>
          <w:color w:val="auto"/>
          <w:highlight w:val="none"/>
        </w:rPr>
        <w:t>3  设计阶段BIM应用要求</w:t>
      </w:r>
      <w:bookmarkEnd w:id="559"/>
    </w:p>
    <w:p>
      <w:pPr>
        <w:spacing w:before="120" w:after="120"/>
        <w:ind w:firstLine="420" w:firstLineChars="200"/>
        <w:rPr>
          <w:color w:val="auto"/>
          <w:highlight w:val="none"/>
        </w:rPr>
      </w:pPr>
      <w:r>
        <w:rPr>
          <w:color w:val="auto"/>
          <w:highlight w:val="none"/>
        </w:rPr>
        <w:t>1）应根据模型信息版本进行清晰的版次管理；</w:t>
      </w:r>
    </w:p>
    <w:p>
      <w:pPr>
        <w:spacing w:before="120" w:after="120"/>
        <w:ind w:firstLine="420" w:firstLineChars="200"/>
        <w:rPr>
          <w:color w:val="auto"/>
          <w:highlight w:val="none"/>
        </w:rPr>
      </w:pPr>
      <w:r>
        <w:rPr>
          <w:color w:val="auto"/>
          <w:highlight w:val="none"/>
        </w:rPr>
        <w:t>2）设计各专业模型均应考虑后续算量、施工要求，严格按照BIM建模标准进行创建；</w:t>
      </w:r>
    </w:p>
    <w:p>
      <w:pPr>
        <w:spacing w:before="120" w:after="120"/>
        <w:ind w:firstLine="420" w:firstLineChars="200"/>
        <w:rPr>
          <w:color w:val="auto"/>
          <w:highlight w:val="none"/>
        </w:rPr>
      </w:pPr>
      <w:r>
        <w:rPr>
          <w:color w:val="auto"/>
          <w:highlight w:val="none"/>
        </w:rPr>
        <w:t>3）项目设计单位应根据设计范围，创建各专业设计BIM模型，设计模型须真实反映设计的内容，用于沟通、协调、分析以及设计优化工作。</w:t>
      </w:r>
    </w:p>
    <w:p>
      <w:pPr>
        <w:spacing w:before="120" w:after="120"/>
        <w:ind w:firstLine="420" w:firstLineChars="200"/>
        <w:rPr>
          <w:color w:val="auto"/>
          <w:highlight w:val="none"/>
        </w:rPr>
      </w:pPr>
      <w:r>
        <w:rPr>
          <w:color w:val="auto"/>
          <w:highlight w:val="none"/>
        </w:rPr>
        <w:t>4）应充分利用BIM模型所含信息进行协同工作，以确保工程建设各阶段、各专业的信息有效传递；</w:t>
      </w:r>
    </w:p>
    <w:p>
      <w:pPr>
        <w:spacing w:before="120" w:after="120"/>
        <w:ind w:firstLine="420" w:firstLineChars="200"/>
        <w:rPr>
          <w:color w:val="auto"/>
          <w:highlight w:val="none"/>
        </w:rPr>
      </w:pPr>
      <w:r>
        <w:rPr>
          <w:color w:val="auto"/>
          <w:highlight w:val="none"/>
        </w:rPr>
        <w:t>5）设计单位提交BIM成果中的图元信息应与设计单位提供的图纸信息一致；</w:t>
      </w:r>
    </w:p>
    <w:p>
      <w:pPr>
        <w:spacing w:before="120" w:after="120"/>
        <w:ind w:firstLine="420" w:firstLineChars="200"/>
        <w:rPr>
          <w:color w:val="auto"/>
          <w:highlight w:val="none"/>
        </w:rPr>
      </w:pPr>
      <w:r>
        <w:rPr>
          <w:color w:val="auto"/>
          <w:highlight w:val="none"/>
        </w:rPr>
        <w:t>6）当设计发生修改时，设计单位应及时进行BIM模型的更新，以确保模型与图纸始终保持一致；</w:t>
      </w:r>
    </w:p>
    <w:p>
      <w:pPr>
        <w:spacing w:before="120" w:after="120"/>
        <w:ind w:firstLine="420" w:firstLineChars="200"/>
        <w:rPr>
          <w:color w:val="auto"/>
          <w:highlight w:val="none"/>
        </w:rPr>
      </w:pPr>
      <w:r>
        <w:rPr>
          <w:color w:val="auto"/>
          <w:highlight w:val="none"/>
        </w:rPr>
        <w:t>7）各专业设计阶段BIM应用职责分配详见《附件：BIM实施导则》附表1。</w:t>
      </w:r>
    </w:p>
    <w:p>
      <w:pPr>
        <w:spacing w:before="120" w:after="120"/>
        <w:ind w:firstLine="420" w:firstLineChars="200"/>
        <w:rPr>
          <w:color w:val="auto"/>
          <w:highlight w:val="none"/>
        </w:rPr>
      </w:pPr>
      <w:r>
        <w:rPr>
          <w:color w:val="auto"/>
          <w:highlight w:val="none"/>
        </w:rPr>
        <w:t>8）利用模型进行可建性分析、可视性分析、能耗物理分析及造价分析等。</w:t>
      </w:r>
    </w:p>
    <w:p>
      <w:pPr>
        <w:spacing w:before="120" w:after="120"/>
        <w:ind w:firstLine="420" w:firstLineChars="200"/>
        <w:outlineLvl w:val="4"/>
        <w:rPr>
          <w:color w:val="auto"/>
          <w:highlight w:val="none"/>
        </w:rPr>
      </w:pPr>
      <w:bookmarkStart w:id="560" w:name="_Toc4066"/>
      <w:r>
        <w:rPr>
          <w:color w:val="auto"/>
          <w:highlight w:val="none"/>
        </w:rPr>
        <w:t>4  设计阶段BIM管理内容</w:t>
      </w:r>
      <w:bookmarkEnd w:id="560"/>
    </w:p>
    <w:p>
      <w:pPr>
        <w:spacing w:before="120" w:after="120"/>
        <w:ind w:firstLine="420" w:firstLineChars="200"/>
        <w:rPr>
          <w:color w:val="auto"/>
          <w:highlight w:val="none"/>
        </w:rPr>
      </w:pPr>
      <w:r>
        <w:rPr>
          <w:color w:val="auto"/>
          <w:highlight w:val="none"/>
        </w:rPr>
        <w:t>1）根据《设计阶段的BIM实施方案》中的BIM设计工作计划，设计单位应提供设计任务书规定的BIM模型；</w:t>
      </w:r>
    </w:p>
    <w:p>
      <w:pPr>
        <w:spacing w:before="120" w:after="120"/>
        <w:ind w:firstLine="420" w:firstLineChars="200"/>
        <w:rPr>
          <w:color w:val="auto"/>
          <w:highlight w:val="none"/>
        </w:rPr>
      </w:pPr>
      <w:r>
        <w:rPr>
          <w:color w:val="auto"/>
          <w:highlight w:val="none"/>
        </w:rPr>
        <w:t>2）设计各阶段BIM应用内容及提交成果详见《附件：BIM实施导则》中附图4~附图7。</w:t>
      </w:r>
    </w:p>
    <w:p>
      <w:pPr>
        <w:spacing w:before="120" w:after="120"/>
        <w:ind w:firstLine="420" w:firstLineChars="200"/>
        <w:rPr>
          <w:color w:val="auto"/>
          <w:highlight w:val="none"/>
        </w:rPr>
      </w:pPr>
      <w:r>
        <w:rPr>
          <w:color w:val="auto"/>
          <w:highlight w:val="none"/>
        </w:rPr>
        <w:t>3）设计阶段BIM成果经BIM负责人确认后提交，BIM总协调方进行BIM模型评审，确保设计阶段BIM模型成果符合阶段模型精细度要求及大纲制定的BIM建模标准要求；</w:t>
      </w:r>
    </w:p>
    <w:p>
      <w:pPr>
        <w:spacing w:before="120" w:after="120"/>
        <w:ind w:firstLine="420" w:firstLineChars="200"/>
        <w:rPr>
          <w:color w:val="auto"/>
          <w:highlight w:val="none"/>
        </w:rPr>
      </w:pPr>
      <w:r>
        <w:rPr>
          <w:color w:val="auto"/>
          <w:highlight w:val="none"/>
        </w:rPr>
        <w:t>4）BIM总协调方对设计阶段BIM应用成果进行评审后，整理归档至项目协同平台，该设计阶段BIM成果性文件将作为施工阶段BIM实施依据性文件；</w:t>
      </w:r>
    </w:p>
    <w:p>
      <w:pPr>
        <w:spacing w:before="120" w:after="120"/>
        <w:ind w:firstLine="420" w:firstLineChars="200"/>
        <w:outlineLvl w:val="4"/>
        <w:rPr>
          <w:color w:val="auto"/>
          <w:highlight w:val="none"/>
        </w:rPr>
      </w:pPr>
      <w:bookmarkStart w:id="561" w:name="_Toc3107"/>
      <w:r>
        <w:rPr>
          <w:color w:val="auto"/>
          <w:highlight w:val="none"/>
        </w:rPr>
        <w:t>5  设计阶段BIM应用流程</w:t>
      </w:r>
      <w:bookmarkEnd w:id="561"/>
    </w:p>
    <w:p>
      <w:pPr>
        <w:spacing w:before="120" w:after="120"/>
        <w:ind w:firstLine="420" w:firstLineChars="200"/>
        <w:rPr>
          <w:color w:val="auto"/>
          <w:highlight w:val="none"/>
        </w:rPr>
      </w:pPr>
      <w:r>
        <w:rPr>
          <w:color w:val="auto"/>
          <w:highlight w:val="none"/>
        </w:rPr>
        <w:t>设计阶段BIM项目参与方包括代建局</w:t>
      </w:r>
      <w:r>
        <w:rPr>
          <w:rFonts w:hint="eastAsia"/>
          <w:color w:val="auto"/>
          <w:highlight w:val="none"/>
        </w:rPr>
        <w:t>前期工作部</w:t>
      </w:r>
      <w:r>
        <w:rPr>
          <w:color w:val="auto"/>
          <w:highlight w:val="none"/>
        </w:rPr>
        <w:t>、BIM总协调、设计单位等。各设计单位应完成代建局合同制定范围内的设计工作以及BIM技术应用，设计</w:t>
      </w:r>
      <w:r>
        <w:rPr>
          <w:rFonts w:hint="eastAsia"/>
          <w:color w:val="auto"/>
          <w:highlight w:val="none"/>
        </w:rPr>
        <w:t>单位</w:t>
      </w:r>
      <w:r>
        <w:rPr>
          <w:color w:val="auto"/>
          <w:highlight w:val="none"/>
        </w:rPr>
        <w:t>负责通过BIM平台整合设计分包的BIM设计资源并提交至BIM总协调方进行统一性审核。</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62" w:name="_Toc25670"/>
      <w:r>
        <w:rPr>
          <w:rFonts w:ascii="LNUHNF+SimSun" w:hAnsi="LNUHNF+SimSun" w:cs="宋体"/>
          <w:color w:val="auto"/>
          <w:szCs w:val="21"/>
          <w:highlight w:val="none"/>
        </w:rPr>
        <w:t>施工阶段BIM管理流程</w:t>
      </w:r>
      <w:bookmarkEnd w:id="562"/>
    </w:p>
    <w:p>
      <w:pPr>
        <w:spacing w:before="120" w:after="120"/>
        <w:ind w:firstLine="420" w:firstLineChars="200"/>
        <w:outlineLvl w:val="4"/>
        <w:rPr>
          <w:color w:val="auto"/>
          <w:highlight w:val="none"/>
        </w:rPr>
      </w:pPr>
      <w:bookmarkStart w:id="563" w:name="_Toc27478"/>
      <w:r>
        <w:rPr>
          <w:color w:val="auto"/>
          <w:highlight w:val="none"/>
        </w:rPr>
        <w:t>1  施工阶段BIM实施目标</w:t>
      </w:r>
      <w:bookmarkEnd w:id="563"/>
    </w:p>
    <w:p>
      <w:pPr>
        <w:spacing w:before="120" w:after="120"/>
        <w:ind w:firstLine="420" w:firstLineChars="200"/>
        <w:rPr>
          <w:color w:val="auto"/>
          <w:highlight w:val="none"/>
        </w:rPr>
      </w:pPr>
      <w:r>
        <w:rPr>
          <w:color w:val="auto"/>
          <w:highlight w:val="none"/>
        </w:rPr>
        <w:t>在项目施工阶段应用BIM技术，建立项目施工阶段BIM实施体系及准则，为BIM项目管理提供技术支持，通过信息化管理的手段，提升项目施工精细化管理水平，实现工程实体与BIM信息化技术的同步交付成果，为运营方后期物业运维提供信息化支持，打通全生命周期中施工至运维的BIM应用环节。</w:t>
      </w:r>
    </w:p>
    <w:p>
      <w:pPr>
        <w:spacing w:before="120" w:after="120"/>
        <w:ind w:firstLine="420" w:firstLineChars="200"/>
        <w:outlineLvl w:val="4"/>
        <w:rPr>
          <w:color w:val="auto"/>
          <w:highlight w:val="none"/>
        </w:rPr>
      </w:pPr>
      <w:bookmarkStart w:id="564" w:name="_Toc1325"/>
      <w:r>
        <w:rPr>
          <w:color w:val="auto"/>
          <w:highlight w:val="none"/>
        </w:rPr>
        <w:t>2  施工阶段BIM实施管理方法及流程</w:t>
      </w:r>
      <w:bookmarkEnd w:id="564"/>
    </w:p>
    <w:p>
      <w:pPr>
        <w:spacing w:before="120" w:after="120"/>
        <w:ind w:firstLine="420" w:firstLineChars="200"/>
        <w:rPr>
          <w:color w:val="auto"/>
          <w:highlight w:val="none"/>
        </w:rPr>
      </w:pPr>
      <w:r>
        <w:rPr>
          <w:color w:val="auto"/>
          <w:highlight w:val="none"/>
        </w:rPr>
        <w:t>1）项目施工实施前，BIM总协调方根据项目特点、项目组织方式、项目BIM实施大纲等要求，制定《项目施工阶段BIM实施方案》。方案应包括：</w:t>
      </w:r>
    </w:p>
    <w:p>
      <w:pPr>
        <w:spacing w:before="120" w:after="120"/>
        <w:ind w:firstLine="420" w:firstLineChars="200"/>
        <w:rPr>
          <w:color w:val="auto"/>
          <w:highlight w:val="none"/>
        </w:rPr>
      </w:pPr>
      <w:r>
        <w:rPr>
          <w:color w:val="auto"/>
          <w:highlight w:val="none"/>
        </w:rPr>
        <w:t>（1）项目施工阶段BIM实施目标；</w:t>
      </w:r>
    </w:p>
    <w:p>
      <w:pPr>
        <w:spacing w:before="120" w:after="120"/>
        <w:ind w:firstLine="420" w:firstLineChars="200"/>
        <w:rPr>
          <w:color w:val="auto"/>
          <w:highlight w:val="none"/>
        </w:rPr>
      </w:pPr>
      <w:r>
        <w:rPr>
          <w:color w:val="auto"/>
          <w:highlight w:val="none"/>
        </w:rPr>
        <w:t>（2）各参与方的BIM实施职责及团队配置要求；</w:t>
      </w:r>
    </w:p>
    <w:p>
      <w:pPr>
        <w:spacing w:before="120" w:after="120"/>
        <w:ind w:firstLine="420" w:firstLineChars="200"/>
        <w:rPr>
          <w:color w:val="auto"/>
          <w:highlight w:val="none"/>
        </w:rPr>
      </w:pPr>
      <w:r>
        <w:rPr>
          <w:color w:val="auto"/>
          <w:highlight w:val="none"/>
        </w:rPr>
        <w:t>（3）施工阶段BIM实施计划；</w:t>
      </w:r>
    </w:p>
    <w:p>
      <w:pPr>
        <w:spacing w:before="120" w:after="120"/>
        <w:ind w:firstLine="420" w:firstLineChars="200"/>
        <w:rPr>
          <w:color w:val="auto"/>
          <w:highlight w:val="none"/>
        </w:rPr>
      </w:pPr>
      <w:r>
        <w:rPr>
          <w:color w:val="auto"/>
          <w:highlight w:val="none"/>
        </w:rPr>
        <w:t>（4）施工阶段各参与方项目协同权限分配及协同机制；</w:t>
      </w:r>
    </w:p>
    <w:p>
      <w:pPr>
        <w:spacing w:before="120" w:after="120"/>
        <w:ind w:firstLine="420" w:firstLineChars="200"/>
        <w:rPr>
          <w:color w:val="auto"/>
          <w:highlight w:val="none"/>
        </w:rPr>
      </w:pPr>
      <w:r>
        <w:rPr>
          <w:color w:val="auto"/>
          <w:highlight w:val="none"/>
        </w:rPr>
        <w:t>（5）软件版本及数据格式的统一；</w:t>
      </w:r>
    </w:p>
    <w:p>
      <w:pPr>
        <w:spacing w:before="120" w:after="120"/>
        <w:ind w:firstLine="420" w:firstLineChars="200"/>
        <w:rPr>
          <w:color w:val="auto"/>
          <w:highlight w:val="none"/>
        </w:rPr>
      </w:pPr>
      <w:r>
        <w:rPr>
          <w:color w:val="auto"/>
          <w:highlight w:val="none"/>
        </w:rPr>
        <w:t>（6）项目BIM实施应用管理办法；</w:t>
      </w:r>
    </w:p>
    <w:p>
      <w:pPr>
        <w:spacing w:before="120" w:after="120"/>
        <w:ind w:firstLine="420" w:firstLineChars="200"/>
        <w:rPr>
          <w:color w:val="auto"/>
          <w:highlight w:val="none"/>
        </w:rPr>
      </w:pPr>
      <w:r>
        <w:rPr>
          <w:color w:val="auto"/>
          <w:highlight w:val="none"/>
        </w:rPr>
        <w:t>（7）信息录入标准；</w:t>
      </w:r>
    </w:p>
    <w:p>
      <w:pPr>
        <w:spacing w:before="120" w:after="120"/>
        <w:ind w:firstLine="420" w:firstLineChars="200"/>
        <w:rPr>
          <w:color w:val="auto"/>
          <w:highlight w:val="none"/>
        </w:rPr>
      </w:pPr>
      <w:r>
        <w:rPr>
          <w:color w:val="auto"/>
          <w:highlight w:val="none"/>
        </w:rPr>
        <w:t>（8）项目成果交付要求；</w:t>
      </w:r>
    </w:p>
    <w:p>
      <w:pPr>
        <w:spacing w:before="120" w:after="120"/>
        <w:ind w:firstLine="420" w:firstLineChars="200"/>
        <w:rPr>
          <w:color w:val="auto"/>
          <w:highlight w:val="none"/>
        </w:rPr>
      </w:pPr>
      <w:r>
        <w:rPr>
          <w:color w:val="auto"/>
          <w:highlight w:val="none"/>
        </w:rPr>
        <w:t>（9）审核/确认：BIM成功和数据的审核/确认流程。</w:t>
      </w:r>
    </w:p>
    <w:p>
      <w:pPr>
        <w:spacing w:before="120" w:after="120"/>
        <w:ind w:firstLine="420" w:firstLineChars="200"/>
        <w:rPr>
          <w:color w:val="auto"/>
          <w:highlight w:val="none"/>
        </w:rPr>
      </w:pPr>
      <w:r>
        <w:rPr>
          <w:color w:val="auto"/>
          <w:highlight w:val="none"/>
        </w:rPr>
        <w:t>2）施工单位进场后，施工单位组建BIM实施团队。BIM总协调方对项目BIM实施技术交底。</w:t>
      </w:r>
    </w:p>
    <w:p>
      <w:pPr>
        <w:spacing w:before="120" w:after="120"/>
        <w:ind w:firstLine="420" w:firstLineChars="200"/>
        <w:rPr>
          <w:color w:val="auto"/>
          <w:highlight w:val="none"/>
        </w:rPr>
      </w:pPr>
      <w:r>
        <w:rPr>
          <w:color w:val="auto"/>
          <w:highlight w:val="none"/>
        </w:rPr>
        <w:t>3）BIM总协调方根据项目施工组织方式，分配施工单位协同平台权限，施工各参与方通过项目协同平台共同维护及更新施工阶段BIM数据。</w:t>
      </w:r>
    </w:p>
    <w:p>
      <w:pPr>
        <w:spacing w:before="120" w:after="120"/>
        <w:ind w:firstLine="420" w:firstLineChars="200"/>
        <w:rPr>
          <w:color w:val="auto"/>
          <w:highlight w:val="none"/>
        </w:rPr>
      </w:pPr>
      <w:r>
        <w:rPr>
          <w:color w:val="auto"/>
          <w:highlight w:val="none"/>
        </w:rPr>
        <w:t>4）BIM总协调方管理、协调、整合施工单位的BIM工作，并对施工单位提供技术支持。施工单位对其模型进行深化、更新和维护。</w:t>
      </w:r>
    </w:p>
    <w:p>
      <w:pPr>
        <w:spacing w:before="120" w:after="120"/>
        <w:ind w:firstLine="420" w:firstLineChars="200"/>
        <w:rPr>
          <w:color w:val="auto"/>
          <w:highlight w:val="none"/>
        </w:rPr>
      </w:pPr>
      <w:r>
        <w:rPr>
          <w:color w:val="auto"/>
          <w:highlight w:val="none"/>
        </w:rPr>
        <w:t>5）施工单位收到设计BIM成果后，进行BIM成果会审，统计工程量，编写施工组织方案，应用设计成果进行施工组织设计及施工方案的模拟与优化。</w:t>
      </w:r>
    </w:p>
    <w:p>
      <w:pPr>
        <w:spacing w:before="120" w:after="120"/>
        <w:ind w:firstLine="420" w:firstLineChars="200"/>
        <w:rPr>
          <w:color w:val="auto"/>
          <w:highlight w:val="none"/>
        </w:rPr>
      </w:pPr>
      <w:r>
        <w:rPr>
          <w:color w:val="auto"/>
          <w:highlight w:val="none"/>
        </w:rPr>
        <w:t>6）施工单位按工作范围及施工阶段BIM实施计划提交施工各阶段BIM成果，对施工阶段的BIM成果进行校核和调整，确保BIM成果与各参与方提供的施工深化成果一致。</w:t>
      </w:r>
    </w:p>
    <w:p>
      <w:pPr>
        <w:spacing w:before="120" w:after="120"/>
        <w:ind w:firstLine="420" w:firstLineChars="200"/>
        <w:rPr>
          <w:color w:val="auto"/>
          <w:highlight w:val="none"/>
        </w:rPr>
      </w:pPr>
      <w:r>
        <w:rPr>
          <w:color w:val="auto"/>
          <w:highlight w:val="none"/>
        </w:rPr>
        <w:t>7）将施工阶段确定的信息在施工过程模型中进行添加或更新，并对施工变更的内容进行BIM模型和信息的更新，最终形成竣工BIM成果。</w:t>
      </w:r>
    </w:p>
    <w:p>
      <w:pPr>
        <w:spacing w:before="120" w:after="120"/>
        <w:ind w:firstLine="420" w:firstLineChars="200"/>
        <w:rPr>
          <w:color w:val="auto"/>
          <w:highlight w:val="none"/>
        </w:rPr>
      </w:pPr>
      <w:r>
        <w:rPr>
          <w:color w:val="auto"/>
          <w:highlight w:val="none"/>
        </w:rPr>
        <w:t>8）施工阶段项目BIM实施总体流程及工作内容详见《附件：BIM实施导则》中附图8。</w:t>
      </w:r>
    </w:p>
    <w:p>
      <w:pPr>
        <w:spacing w:before="120" w:after="120"/>
        <w:ind w:firstLine="420" w:firstLineChars="200"/>
        <w:outlineLvl w:val="4"/>
        <w:rPr>
          <w:color w:val="auto"/>
          <w:highlight w:val="none"/>
        </w:rPr>
      </w:pPr>
      <w:bookmarkStart w:id="565" w:name="_Toc21062"/>
      <w:r>
        <w:rPr>
          <w:color w:val="auto"/>
          <w:highlight w:val="none"/>
        </w:rPr>
        <w:t>3  项目BIM团队组织架构及人员配置</w:t>
      </w:r>
      <w:bookmarkEnd w:id="565"/>
    </w:p>
    <w:p>
      <w:pPr>
        <w:spacing w:before="120" w:after="120"/>
        <w:ind w:firstLine="420" w:firstLineChars="200"/>
        <w:rPr>
          <w:color w:val="auto"/>
          <w:highlight w:val="none"/>
        </w:rPr>
      </w:pPr>
      <w:r>
        <w:rPr>
          <w:color w:val="auto"/>
          <w:highlight w:val="none"/>
        </w:rPr>
        <w:t>1）项目BIM团队组织架构</w:t>
      </w:r>
    </w:p>
    <w:p>
      <w:pPr>
        <w:spacing w:before="120" w:after="120"/>
        <w:ind w:firstLine="420" w:firstLineChars="200"/>
        <w:rPr>
          <w:color w:val="auto"/>
          <w:highlight w:val="none"/>
        </w:rPr>
      </w:pPr>
      <w:r>
        <w:rPr>
          <w:color w:val="auto"/>
          <w:highlight w:val="none"/>
        </w:rPr>
        <w:t>施工阶段项目BIM管理团队主要有BIM总协调团队和各专业分包方BIM团队在BIM总协调统一管理和组织下开展BIM项目管理工作，项目BIM团队组织架构详见《附件：BIM实施导则》中附图9。</w:t>
      </w:r>
    </w:p>
    <w:p>
      <w:pPr>
        <w:spacing w:before="120" w:after="120"/>
        <w:ind w:firstLine="420" w:firstLineChars="200"/>
        <w:rPr>
          <w:color w:val="auto"/>
          <w:highlight w:val="none"/>
        </w:rPr>
      </w:pPr>
      <w:r>
        <w:rPr>
          <w:color w:val="auto"/>
          <w:highlight w:val="none"/>
        </w:rPr>
        <w:t>2）团队职责</w:t>
      </w:r>
    </w:p>
    <w:p>
      <w:pPr>
        <w:spacing w:before="120" w:after="120"/>
        <w:ind w:firstLine="420" w:firstLineChars="200"/>
        <w:rPr>
          <w:color w:val="auto"/>
          <w:highlight w:val="none"/>
        </w:rPr>
      </w:pPr>
      <w:r>
        <w:rPr>
          <w:color w:val="auto"/>
          <w:highlight w:val="none"/>
        </w:rPr>
        <w:t>在本代建局施工阶段BIM管理组织架构下，各团队职责详见《附件：BIM实施导则》中附表5。</w:t>
      </w:r>
    </w:p>
    <w:p>
      <w:pPr>
        <w:spacing w:before="120" w:after="120"/>
        <w:ind w:firstLine="420" w:firstLineChars="200"/>
        <w:outlineLvl w:val="4"/>
        <w:rPr>
          <w:color w:val="auto"/>
          <w:highlight w:val="none"/>
        </w:rPr>
      </w:pPr>
      <w:bookmarkStart w:id="566" w:name="_Toc25617"/>
      <w:r>
        <w:rPr>
          <w:color w:val="auto"/>
          <w:highlight w:val="none"/>
        </w:rPr>
        <w:t>4  BIM实施计划</w:t>
      </w:r>
      <w:bookmarkEnd w:id="566"/>
    </w:p>
    <w:p>
      <w:pPr>
        <w:spacing w:before="120" w:after="120"/>
        <w:ind w:firstLine="420" w:firstLineChars="200"/>
        <w:rPr>
          <w:color w:val="auto"/>
          <w:highlight w:val="none"/>
        </w:rPr>
      </w:pPr>
      <w:r>
        <w:rPr>
          <w:color w:val="auto"/>
          <w:highlight w:val="none"/>
        </w:rPr>
        <w:t>根据施工不同阶段过程，BIM总协调单位根据项目总进度计划编制项目BIM实施计划，项目BIM实施计划如《附件：BIM实施导则》中附表6所示。</w:t>
      </w:r>
    </w:p>
    <w:p>
      <w:pPr>
        <w:spacing w:before="120" w:after="120"/>
        <w:ind w:firstLine="420" w:firstLineChars="200"/>
        <w:outlineLvl w:val="4"/>
        <w:rPr>
          <w:color w:val="auto"/>
          <w:highlight w:val="none"/>
        </w:rPr>
      </w:pPr>
      <w:bookmarkStart w:id="567" w:name="_Toc10393"/>
      <w:r>
        <w:rPr>
          <w:color w:val="auto"/>
          <w:highlight w:val="none"/>
        </w:rPr>
        <w:t>5  BIM前期准备</w:t>
      </w:r>
      <w:bookmarkEnd w:id="567"/>
    </w:p>
    <w:p>
      <w:pPr>
        <w:spacing w:before="120" w:after="120"/>
        <w:ind w:firstLine="420" w:firstLineChars="200"/>
        <w:rPr>
          <w:color w:val="auto"/>
          <w:highlight w:val="none"/>
        </w:rPr>
      </w:pPr>
      <w:r>
        <w:rPr>
          <w:color w:val="auto"/>
          <w:highlight w:val="none"/>
        </w:rPr>
        <w:t>施工阶段BIM前期准备主要工作内容包括团队建立、制定项目BIM实施细则、建立协同环境、进行BIM模型会审、和BIM工程量统计等。前期准备工作流程如《附件：BIM实施导则》中附图10所示。</w:t>
      </w:r>
    </w:p>
    <w:p>
      <w:pPr>
        <w:spacing w:before="120" w:after="120"/>
        <w:ind w:firstLine="420" w:firstLineChars="200"/>
        <w:rPr>
          <w:color w:val="auto"/>
          <w:highlight w:val="none"/>
        </w:rPr>
      </w:pPr>
      <w:r>
        <w:rPr>
          <w:color w:val="auto"/>
          <w:highlight w:val="none"/>
        </w:rPr>
        <w:t>1）团队建立施工单位进场后，应马上着手按招标合同范围组建BIM队伍，配置足够的人员参与代建局项目BIM实施中，每个承建队伍应配置一名熟悉BIM实施管理的BIM专业负责人。各承建单位的BIM实施团队在BIM总协调单位管理下完成项目实施工作。</w:t>
      </w:r>
    </w:p>
    <w:p>
      <w:pPr>
        <w:spacing w:before="120" w:after="120"/>
        <w:ind w:firstLine="420" w:firstLineChars="200"/>
        <w:rPr>
          <w:color w:val="auto"/>
          <w:highlight w:val="none"/>
        </w:rPr>
      </w:pPr>
      <w:r>
        <w:rPr>
          <w:color w:val="auto"/>
          <w:highlight w:val="none"/>
        </w:rPr>
        <w:t>2）制定项目BIM实施细则</w:t>
      </w:r>
    </w:p>
    <w:p>
      <w:pPr>
        <w:spacing w:before="120" w:after="120"/>
        <w:ind w:firstLine="420" w:firstLineChars="200"/>
        <w:rPr>
          <w:color w:val="auto"/>
          <w:highlight w:val="none"/>
        </w:rPr>
      </w:pPr>
      <w:r>
        <w:rPr>
          <w:color w:val="auto"/>
          <w:highlight w:val="none"/>
        </w:rPr>
        <w:t>BIM总协调单位应在项目开始前编制《施工阶段BIM实施方案》，规定BIM实施标准、节点及交付要求。在各承建单位进场组建BIM实施团队后，由BIM总协调方向各承建单位进行BIM实施交底。各承建单位应根据《施工阶段BIM实施方案》内容进行专业和实施计划细化工作，经监理单位审核后，汇总至BIM总协调方并严格执行。</w:t>
      </w:r>
    </w:p>
    <w:p>
      <w:pPr>
        <w:spacing w:before="120" w:after="120"/>
        <w:ind w:firstLine="420" w:firstLineChars="200"/>
        <w:rPr>
          <w:color w:val="auto"/>
          <w:highlight w:val="none"/>
        </w:rPr>
      </w:pPr>
      <w:r>
        <w:rPr>
          <w:color w:val="auto"/>
          <w:highlight w:val="none"/>
        </w:rPr>
        <w:t>3）建立BIM实施协同环境</w:t>
      </w:r>
    </w:p>
    <w:p>
      <w:pPr>
        <w:spacing w:before="120" w:after="120"/>
        <w:ind w:firstLine="420" w:firstLineChars="200"/>
        <w:rPr>
          <w:color w:val="auto"/>
          <w:highlight w:val="none"/>
        </w:rPr>
      </w:pPr>
      <w:r>
        <w:rPr>
          <w:color w:val="auto"/>
          <w:highlight w:val="none"/>
        </w:rPr>
        <w:t>（1）各承建单位进场后，应根据BIM总协调方确定的软硬件配置规定，着手配置BIM实施的软硬件设备。</w:t>
      </w:r>
    </w:p>
    <w:p>
      <w:pPr>
        <w:spacing w:before="120" w:after="120"/>
        <w:ind w:firstLine="420" w:firstLineChars="200"/>
        <w:rPr>
          <w:color w:val="auto"/>
          <w:highlight w:val="none"/>
        </w:rPr>
      </w:pPr>
      <w:r>
        <w:rPr>
          <w:color w:val="auto"/>
          <w:highlight w:val="none"/>
        </w:rPr>
        <w:t>（2）代建局</w:t>
      </w:r>
      <w:r>
        <w:rPr>
          <w:rFonts w:hint="eastAsia"/>
          <w:color w:val="auto"/>
          <w:highlight w:val="none"/>
        </w:rPr>
        <w:t>项目建设管理部</w:t>
      </w:r>
      <w:r>
        <w:rPr>
          <w:color w:val="auto"/>
          <w:highlight w:val="none"/>
        </w:rPr>
        <w:t>为项目提供BIM协同工作平台，BIM总协调根据项目的特征、施工管理方式、各承建单位的组成来制定项目BIM协同方式和协同办法并开通协同平台账户。项目BIM实施协同平台管理权限由BIM总协调方统一管理，并根据各承建单位的工作需要进行权限分配。</w:t>
      </w:r>
    </w:p>
    <w:p>
      <w:pPr>
        <w:spacing w:before="120" w:after="120"/>
        <w:ind w:firstLine="420" w:firstLineChars="200"/>
        <w:outlineLvl w:val="4"/>
        <w:rPr>
          <w:color w:val="auto"/>
          <w:highlight w:val="none"/>
        </w:rPr>
      </w:pPr>
      <w:bookmarkStart w:id="568" w:name="_Toc32183"/>
      <w:r>
        <w:rPr>
          <w:color w:val="auto"/>
          <w:highlight w:val="none"/>
        </w:rPr>
        <w:t>6  BIM设计成果会审</w:t>
      </w:r>
      <w:bookmarkEnd w:id="568"/>
    </w:p>
    <w:p>
      <w:pPr>
        <w:spacing w:before="120" w:after="120"/>
        <w:ind w:firstLine="420" w:firstLineChars="200"/>
        <w:rPr>
          <w:color w:val="auto"/>
          <w:highlight w:val="none"/>
        </w:rPr>
      </w:pPr>
      <w:r>
        <w:rPr>
          <w:color w:val="auto"/>
          <w:highlight w:val="none"/>
        </w:rPr>
        <w:t>BIM会审实施要点如下：</w:t>
      </w:r>
    </w:p>
    <w:p>
      <w:pPr>
        <w:spacing w:before="120" w:after="120"/>
        <w:ind w:firstLine="420" w:firstLineChars="200"/>
        <w:rPr>
          <w:color w:val="auto"/>
          <w:highlight w:val="none"/>
        </w:rPr>
      </w:pPr>
      <w:r>
        <w:rPr>
          <w:color w:val="auto"/>
          <w:highlight w:val="none"/>
        </w:rPr>
        <w:t>1）设计的BIM成果由BIM总协调方分配协同平台权限，各参与方登陆协同平台获取相关专业的设计BIM模型；</w:t>
      </w:r>
    </w:p>
    <w:p>
      <w:pPr>
        <w:spacing w:before="120" w:after="120"/>
        <w:ind w:firstLine="420" w:firstLineChars="200"/>
        <w:rPr>
          <w:color w:val="auto"/>
          <w:highlight w:val="none"/>
        </w:rPr>
      </w:pPr>
      <w:r>
        <w:rPr>
          <w:color w:val="auto"/>
          <w:highlight w:val="none"/>
        </w:rPr>
        <w:t>2）BIM模型会审现阶段应将施工蓝图和BIM模型结合，不同BIM软件制作的BIM模型应遵循统一的格式，施工单位应组织各专业间分区分段分层的利用轻量化进行碰撞检查；</w:t>
      </w:r>
    </w:p>
    <w:p>
      <w:pPr>
        <w:spacing w:before="120" w:after="120"/>
        <w:ind w:firstLine="420" w:firstLineChars="200"/>
        <w:rPr>
          <w:color w:val="auto"/>
          <w:highlight w:val="none"/>
        </w:rPr>
      </w:pPr>
      <w:r>
        <w:rPr>
          <w:color w:val="auto"/>
          <w:highlight w:val="none"/>
        </w:rPr>
        <w:t>3）在多方会审过程中，将三维模型作为多方会审的沟通平台，在多方会审前将图纸中出现的问题在三维模型中进行标记，在会审时对问题进行逐个的评审并提出修改意见；</w:t>
      </w:r>
    </w:p>
    <w:p>
      <w:pPr>
        <w:spacing w:before="120" w:after="120"/>
        <w:ind w:firstLine="420" w:firstLineChars="200"/>
        <w:rPr>
          <w:color w:val="auto"/>
          <w:highlight w:val="none"/>
        </w:rPr>
      </w:pPr>
      <w:r>
        <w:rPr>
          <w:color w:val="auto"/>
          <w:highlight w:val="none"/>
        </w:rPr>
        <w:t>4）在会审交底过程中，通过三维模型把会审的相关结果进行交底，向各参与方展示模型中相关问题的修改情况；</w:t>
      </w:r>
    </w:p>
    <w:p>
      <w:pPr>
        <w:spacing w:before="120" w:after="120"/>
        <w:ind w:firstLine="420" w:firstLineChars="200"/>
        <w:rPr>
          <w:color w:val="auto"/>
          <w:highlight w:val="none"/>
        </w:rPr>
      </w:pPr>
      <w:r>
        <w:rPr>
          <w:color w:val="auto"/>
          <w:highlight w:val="none"/>
        </w:rPr>
        <w:t>5）设计成果及会审内容详见《BIM实施导则》；</w:t>
      </w:r>
    </w:p>
    <w:p>
      <w:pPr>
        <w:spacing w:before="120" w:after="120"/>
        <w:ind w:firstLine="420" w:firstLineChars="200"/>
        <w:rPr>
          <w:color w:val="auto"/>
          <w:highlight w:val="none"/>
        </w:rPr>
      </w:pPr>
      <w:r>
        <w:rPr>
          <w:color w:val="auto"/>
          <w:highlight w:val="none"/>
        </w:rPr>
        <w:t>6）BIM模型会审流程详见《附件：BIM实施导则》中附图11。</w:t>
      </w:r>
    </w:p>
    <w:p>
      <w:pPr>
        <w:spacing w:before="120" w:after="120"/>
        <w:ind w:firstLine="420" w:firstLineChars="200"/>
        <w:outlineLvl w:val="4"/>
        <w:rPr>
          <w:color w:val="auto"/>
          <w:highlight w:val="none"/>
        </w:rPr>
      </w:pPr>
      <w:bookmarkStart w:id="569" w:name="_Toc9457"/>
      <w:r>
        <w:rPr>
          <w:color w:val="auto"/>
          <w:highlight w:val="none"/>
        </w:rPr>
        <w:t>7  BIM深化管理</w:t>
      </w:r>
      <w:bookmarkEnd w:id="569"/>
    </w:p>
    <w:p>
      <w:pPr>
        <w:spacing w:before="120" w:after="120"/>
        <w:ind w:firstLine="420" w:firstLineChars="200"/>
        <w:rPr>
          <w:color w:val="auto"/>
          <w:highlight w:val="none"/>
        </w:rPr>
      </w:pPr>
      <w:r>
        <w:rPr>
          <w:color w:val="auto"/>
          <w:highlight w:val="none"/>
        </w:rPr>
        <w:t>1）施工阶段BIM模型深化是指深化设计人员在原设计BIM成果的基础上，结合现场实际情况，对设计BIM成果进行完善、补充、添加等工作，使BIM成果满足原设计技术要求，符合相关地域设计规范和施工规范。施工阶段深化BIM成果通过监理、设计、BIM总协调方审查后能直接指导现场施工。</w:t>
      </w:r>
    </w:p>
    <w:p>
      <w:pPr>
        <w:spacing w:before="120" w:after="120"/>
        <w:ind w:firstLine="420" w:firstLineChars="200"/>
        <w:rPr>
          <w:color w:val="auto"/>
          <w:highlight w:val="none"/>
        </w:rPr>
      </w:pPr>
      <w:r>
        <w:rPr>
          <w:color w:val="auto"/>
          <w:highlight w:val="none"/>
        </w:rPr>
        <w:t>2）BIM深化管理要求如下：</w:t>
      </w:r>
    </w:p>
    <w:p>
      <w:pPr>
        <w:spacing w:before="120" w:after="120"/>
        <w:ind w:firstLine="420" w:firstLineChars="200"/>
        <w:rPr>
          <w:color w:val="auto"/>
          <w:highlight w:val="none"/>
        </w:rPr>
      </w:pPr>
      <w:r>
        <w:rPr>
          <w:color w:val="auto"/>
          <w:highlight w:val="none"/>
        </w:rPr>
        <w:t>（1）施工阶段各分包BIM团队在原设计BIM模型基础上进行深化工作，形成施工阶段BIM模型。施工阶段BIM模型必须遵循《施工阶段BIM实施方案》上关于模型建立的要求。</w:t>
      </w:r>
    </w:p>
    <w:p>
      <w:pPr>
        <w:spacing w:before="120" w:after="120"/>
        <w:ind w:firstLine="420" w:firstLineChars="200"/>
        <w:rPr>
          <w:color w:val="auto"/>
          <w:highlight w:val="none"/>
        </w:rPr>
      </w:pPr>
      <w:r>
        <w:rPr>
          <w:color w:val="auto"/>
          <w:highlight w:val="none"/>
        </w:rPr>
        <w:t>（2）在多专业进行协调深化时，各专业深化后的模型应按照统一的原点以及轴网标高进行整合，形成项目施工阶段的整体模型。通过碰撞检查发现各专业之间的碰撞点，以第三人的视角对三维模型进行巡视，并检查相关净高以及净宽是否符合要求，最后由各方协调解决相关问题。</w:t>
      </w:r>
    </w:p>
    <w:p>
      <w:pPr>
        <w:spacing w:before="120" w:after="120"/>
        <w:ind w:firstLine="420" w:firstLineChars="200"/>
        <w:rPr>
          <w:color w:val="auto"/>
          <w:highlight w:val="none"/>
        </w:rPr>
      </w:pPr>
      <w:r>
        <w:rPr>
          <w:color w:val="auto"/>
          <w:highlight w:val="none"/>
        </w:rPr>
        <w:t>（3）BIM深化模型深度应符合附件《附件：BIM实施导则》中“附表3各阶段BIM模型精细度要求”中LOD400的要求。</w:t>
      </w:r>
    </w:p>
    <w:p>
      <w:pPr>
        <w:spacing w:before="120" w:after="120"/>
        <w:ind w:firstLine="420" w:firstLineChars="200"/>
        <w:rPr>
          <w:color w:val="auto"/>
          <w:highlight w:val="none"/>
        </w:rPr>
      </w:pPr>
      <w:r>
        <w:rPr>
          <w:color w:val="auto"/>
          <w:highlight w:val="none"/>
        </w:rPr>
        <w:t>（4）在施工单位针对设计BIM模型深化后，监理单位、设计单位、BIM总协调方通过协同平台确定深化模型的正确性，并做好深化记录和图纸确认单记录。</w:t>
      </w:r>
    </w:p>
    <w:p>
      <w:pPr>
        <w:spacing w:before="120" w:after="120"/>
        <w:ind w:firstLine="420" w:firstLineChars="200"/>
        <w:rPr>
          <w:color w:val="auto"/>
          <w:highlight w:val="none"/>
        </w:rPr>
      </w:pPr>
      <w:r>
        <w:rPr>
          <w:color w:val="auto"/>
          <w:highlight w:val="none"/>
        </w:rPr>
        <w:t>3）BIM深化设计管理流程如《附件：BIM实施导则》中附图12所示。</w:t>
      </w:r>
    </w:p>
    <w:p>
      <w:pPr>
        <w:spacing w:before="120" w:after="120"/>
        <w:ind w:firstLine="420" w:firstLineChars="200"/>
        <w:outlineLvl w:val="4"/>
        <w:rPr>
          <w:color w:val="auto"/>
          <w:highlight w:val="none"/>
        </w:rPr>
      </w:pPr>
      <w:bookmarkStart w:id="570" w:name="_Toc20340"/>
      <w:r>
        <w:rPr>
          <w:color w:val="auto"/>
          <w:highlight w:val="none"/>
        </w:rPr>
        <w:t>8  BIM施工组织优化管理</w:t>
      </w:r>
      <w:bookmarkEnd w:id="570"/>
    </w:p>
    <w:p>
      <w:pPr>
        <w:spacing w:before="120" w:after="120"/>
        <w:ind w:firstLine="420" w:firstLineChars="200"/>
        <w:rPr>
          <w:color w:val="auto"/>
          <w:highlight w:val="none"/>
        </w:rPr>
      </w:pPr>
      <w:r>
        <w:rPr>
          <w:color w:val="auto"/>
          <w:highlight w:val="none"/>
        </w:rPr>
        <w:t>基于BIM施工组织优化管理要求如下：</w:t>
      </w:r>
    </w:p>
    <w:p>
      <w:pPr>
        <w:spacing w:before="120" w:after="120"/>
        <w:ind w:firstLine="420" w:firstLineChars="200"/>
        <w:rPr>
          <w:color w:val="auto"/>
          <w:highlight w:val="none"/>
        </w:rPr>
      </w:pPr>
      <w:r>
        <w:rPr>
          <w:color w:val="auto"/>
          <w:highlight w:val="none"/>
        </w:rPr>
        <w:t>1）基于BIM的施工组织设计应结合三维模型对施工进度相关控制节点进行施工模拟，展示不同的进度控制节点及工程各专业的施工进度；</w:t>
      </w:r>
    </w:p>
    <w:p>
      <w:pPr>
        <w:spacing w:before="120" w:after="120"/>
        <w:ind w:firstLine="420" w:firstLineChars="200"/>
        <w:rPr>
          <w:color w:val="auto"/>
          <w:highlight w:val="none"/>
        </w:rPr>
      </w:pPr>
      <w:r>
        <w:rPr>
          <w:color w:val="auto"/>
          <w:highlight w:val="none"/>
        </w:rPr>
        <w:t>2）在对相关施工方案进行比选时，通过创建相应的三维模型对不同的施工方案进行三维模拟，并自动统计相应的工程量，为施工方案的选择提供参考；</w:t>
      </w:r>
    </w:p>
    <w:p>
      <w:pPr>
        <w:spacing w:before="120" w:after="120"/>
        <w:ind w:firstLine="420" w:firstLineChars="200"/>
        <w:rPr>
          <w:color w:val="auto"/>
          <w:highlight w:val="none"/>
        </w:rPr>
      </w:pPr>
      <w:r>
        <w:rPr>
          <w:color w:val="auto"/>
          <w:highlight w:val="none"/>
        </w:rPr>
        <w:t>3）基于BIM的施工组织设计为劳动力计算、材料、机械、加工预制品等统计提供新的解决方法，在进行施工模拟的过程中，应将资金以及相关材料资源数据录入到模型当中，在进行施工模拟的同时也可查看在不同的进度节点相关资源的投入情况。</w:t>
      </w:r>
    </w:p>
    <w:p>
      <w:pPr>
        <w:spacing w:before="120" w:after="120"/>
        <w:ind w:firstLine="420" w:firstLineChars="200"/>
        <w:outlineLvl w:val="4"/>
        <w:rPr>
          <w:color w:val="auto"/>
          <w:highlight w:val="none"/>
        </w:rPr>
      </w:pPr>
      <w:bookmarkStart w:id="571" w:name="_Toc29571"/>
      <w:r>
        <w:rPr>
          <w:color w:val="auto"/>
          <w:highlight w:val="none"/>
        </w:rPr>
        <w:t>9  施工现场变更的BIM管理</w:t>
      </w:r>
      <w:bookmarkEnd w:id="571"/>
    </w:p>
    <w:p>
      <w:pPr>
        <w:spacing w:before="120" w:after="120"/>
        <w:ind w:firstLine="420" w:firstLineChars="200"/>
        <w:rPr>
          <w:color w:val="auto"/>
          <w:highlight w:val="none"/>
        </w:rPr>
      </w:pPr>
      <w:r>
        <w:rPr>
          <w:color w:val="auto"/>
          <w:highlight w:val="none"/>
        </w:rPr>
        <w:t>施工阶段BIM模型必须根据现场变更进行更新，在施工阶段基于BIM的变更管理应满足以下要求：</w:t>
      </w:r>
    </w:p>
    <w:p>
      <w:pPr>
        <w:spacing w:before="120" w:after="120"/>
        <w:ind w:firstLine="420" w:firstLineChars="200"/>
        <w:rPr>
          <w:color w:val="auto"/>
          <w:highlight w:val="none"/>
        </w:rPr>
      </w:pPr>
      <w:r>
        <w:rPr>
          <w:color w:val="auto"/>
          <w:highlight w:val="none"/>
        </w:rPr>
        <w:t>1）现场设计变更，应由设计单位进行审核设计变更。依据设计变更内容，由施工单位对施工阶段模型进行设计变更的更新；</w:t>
      </w:r>
    </w:p>
    <w:p>
      <w:pPr>
        <w:spacing w:before="120" w:after="120"/>
        <w:ind w:firstLine="420" w:firstLineChars="200"/>
        <w:rPr>
          <w:color w:val="auto"/>
          <w:highlight w:val="none"/>
        </w:rPr>
      </w:pPr>
      <w:r>
        <w:rPr>
          <w:color w:val="auto"/>
          <w:highlight w:val="none"/>
        </w:rPr>
        <w:t>2）变更完成之后，利用变更后BIM模型自动生成并导出施工图纸，确保变更图纸和模型一致，用于指导下一步的施工工作；</w:t>
      </w:r>
    </w:p>
    <w:p>
      <w:pPr>
        <w:spacing w:before="120" w:after="120"/>
        <w:ind w:firstLine="420" w:firstLineChars="200"/>
        <w:rPr>
          <w:color w:val="auto"/>
          <w:highlight w:val="none"/>
        </w:rPr>
      </w:pPr>
      <w:r>
        <w:rPr>
          <w:color w:val="auto"/>
          <w:highlight w:val="none"/>
        </w:rPr>
        <w:t>3）利用软件的工程量自动统计功能，自动统计变更前和变更后以及不同的变更方案所产生的相关工程量的变化，为设计变更的审核提供参考。</w:t>
      </w:r>
    </w:p>
    <w:p>
      <w:pPr>
        <w:spacing w:before="120" w:after="120"/>
        <w:ind w:firstLine="420" w:firstLineChars="200"/>
        <w:outlineLvl w:val="4"/>
        <w:rPr>
          <w:color w:val="auto"/>
          <w:highlight w:val="none"/>
        </w:rPr>
      </w:pPr>
      <w:bookmarkStart w:id="572" w:name="_Toc20483"/>
      <w:r>
        <w:rPr>
          <w:color w:val="auto"/>
          <w:highlight w:val="none"/>
        </w:rPr>
        <w:t>10  BIM质量管理</w:t>
      </w:r>
      <w:bookmarkEnd w:id="572"/>
    </w:p>
    <w:p>
      <w:pPr>
        <w:spacing w:before="120" w:after="120"/>
        <w:ind w:firstLine="420" w:firstLineChars="200"/>
        <w:rPr>
          <w:color w:val="auto"/>
          <w:highlight w:val="none"/>
        </w:rPr>
      </w:pPr>
      <w:r>
        <w:rPr>
          <w:color w:val="auto"/>
          <w:highlight w:val="none"/>
        </w:rPr>
        <w:t>在BIM项目管理中，BIM技术可以在技术交底、现场实体检查、现场资料填写、样板引路等方面进行应用，帮助提高质量管理方面的效率和有效性。在实施过程中要点如下：</w:t>
      </w:r>
    </w:p>
    <w:p>
      <w:pPr>
        <w:spacing w:before="120" w:after="120"/>
        <w:ind w:firstLine="420" w:firstLineChars="200"/>
        <w:rPr>
          <w:color w:val="auto"/>
          <w:highlight w:val="none"/>
        </w:rPr>
      </w:pPr>
      <w:r>
        <w:rPr>
          <w:color w:val="auto"/>
          <w:highlight w:val="none"/>
        </w:rPr>
        <w:t>1）模型与动画辅助技术交底针对比较复杂的建筑构件或难以二维表达的施工部位应利用BIM技术导出相关图片及视频，加入到技术交底资料中，便于分包方及施工班组的理解；利用技术交底协调会，将重要工序、质量检查重要部位在电脑上进行模型交底和动画模拟，直观地讨论和确定质量保证的相关措施，实现交底内容的无缝传递。</w:t>
      </w:r>
    </w:p>
    <w:p>
      <w:pPr>
        <w:spacing w:before="120" w:after="120"/>
        <w:ind w:firstLine="420" w:firstLineChars="200"/>
        <w:rPr>
          <w:color w:val="auto"/>
          <w:highlight w:val="none"/>
        </w:rPr>
      </w:pPr>
      <w:r>
        <w:rPr>
          <w:color w:val="auto"/>
          <w:highlight w:val="none"/>
        </w:rPr>
        <w:t>2）现场模型对比与资料填写</w:t>
      </w:r>
    </w:p>
    <w:p>
      <w:pPr>
        <w:spacing w:before="120" w:after="120"/>
        <w:ind w:firstLine="420" w:firstLineChars="200"/>
        <w:rPr>
          <w:color w:val="auto"/>
          <w:highlight w:val="none"/>
        </w:rPr>
      </w:pPr>
      <w:r>
        <w:rPr>
          <w:color w:val="auto"/>
          <w:highlight w:val="none"/>
        </w:rPr>
        <w:t>通过移动终端APP软件，将BIM模型导入到移动终端设备，让现场管理人员利用BIM模型进行现场工作的布置和实体的对比，直观快速发现现场质量问题。并将发现的问题拍摄后及时记录，汇总后生成整改通知单下发，保证问题处理的及时性，从而加强对施工过程的质量控制。</w:t>
      </w:r>
    </w:p>
    <w:p>
      <w:pPr>
        <w:spacing w:before="120" w:after="120"/>
        <w:ind w:firstLine="420" w:firstLineChars="200"/>
        <w:rPr>
          <w:color w:val="auto"/>
          <w:highlight w:val="none"/>
        </w:rPr>
      </w:pPr>
      <w:r>
        <w:rPr>
          <w:color w:val="auto"/>
          <w:highlight w:val="none"/>
        </w:rPr>
        <w:t>3）动态样板引路</w:t>
      </w:r>
    </w:p>
    <w:p>
      <w:pPr>
        <w:spacing w:before="120" w:after="120"/>
        <w:ind w:firstLine="420" w:firstLineChars="200"/>
        <w:rPr>
          <w:color w:val="auto"/>
          <w:highlight w:val="none"/>
        </w:rPr>
      </w:pPr>
      <w:r>
        <w:rPr>
          <w:color w:val="auto"/>
          <w:highlight w:val="none"/>
        </w:rPr>
        <w:t>将BIM融入到样板引路中，将施工重要样板做法、质量管控要点、施工模拟动画、现场平面布置等进行展示，为现场质量管控提供服务。</w:t>
      </w:r>
    </w:p>
    <w:p>
      <w:pPr>
        <w:spacing w:before="120" w:after="120"/>
        <w:ind w:firstLine="420" w:firstLineChars="200"/>
        <w:outlineLvl w:val="4"/>
        <w:rPr>
          <w:color w:val="auto"/>
          <w:highlight w:val="none"/>
        </w:rPr>
      </w:pPr>
      <w:bookmarkStart w:id="573" w:name="_Toc1577"/>
      <w:r>
        <w:rPr>
          <w:color w:val="auto"/>
          <w:highlight w:val="none"/>
        </w:rPr>
        <w:t>11  基于BIM的进度管理</w:t>
      </w:r>
      <w:bookmarkEnd w:id="573"/>
    </w:p>
    <w:p>
      <w:pPr>
        <w:spacing w:before="120" w:after="120"/>
        <w:ind w:firstLine="420" w:firstLineChars="200"/>
        <w:rPr>
          <w:color w:val="auto"/>
          <w:highlight w:val="none"/>
        </w:rPr>
      </w:pPr>
      <w:r>
        <w:rPr>
          <w:color w:val="auto"/>
          <w:highlight w:val="none"/>
        </w:rPr>
        <w:t>施工阶段BIM进度管理要点如下：</w:t>
      </w:r>
    </w:p>
    <w:p>
      <w:pPr>
        <w:spacing w:before="120" w:after="120"/>
        <w:ind w:firstLine="420" w:firstLineChars="200"/>
        <w:rPr>
          <w:color w:val="auto"/>
          <w:highlight w:val="none"/>
        </w:rPr>
      </w:pPr>
      <w:r>
        <w:rPr>
          <w:color w:val="auto"/>
          <w:highlight w:val="none"/>
        </w:rPr>
        <w:t>1）进度优化及核查</w:t>
      </w:r>
    </w:p>
    <w:p>
      <w:pPr>
        <w:spacing w:before="120" w:after="120"/>
        <w:ind w:firstLine="420" w:firstLineChars="200"/>
        <w:rPr>
          <w:color w:val="auto"/>
          <w:highlight w:val="none"/>
        </w:rPr>
      </w:pPr>
      <w:r>
        <w:rPr>
          <w:color w:val="auto"/>
          <w:highlight w:val="none"/>
        </w:rPr>
        <w:t>使用BIM模型制作施工进度模拟，通过动画的方式表现进度安排情况，直观检查不合理安排。</w:t>
      </w:r>
    </w:p>
    <w:p>
      <w:pPr>
        <w:spacing w:before="120" w:after="120"/>
        <w:ind w:firstLine="420" w:firstLineChars="200"/>
        <w:rPr>
          <w:color w:val="auto"/>
          <w:highlight w:val="none"/>
        </w:rPr>
      </w:pPr>
      <w:r>
        <w:rPr>
          <w:color w:val="auto"/>
          <w:highlight w:val="none"/>
        </w:rPr>
        <w:t>2）进度计划交底</w:t>
      </w:r>
    </w:p>
    <w:p>
      <w:pPr>
        <w:spacing w:before="120" w:after="120"/>
        <w:ind w:firstLine="420" w:firstLineChars="200"/>
        <w:rPr>
          <w:color w:val="auto"/>
          <w:highlight w:val="none"/>
        </w:rPr>
      </w:pPr>
      <w:r>
        <w:rPr>
          <w:color w:val="auto"/>
          <w:highlight w:val="none"/>
        </w:rPr>
        <w:t>计划交底采取施工模拟与工作计划表相结合的方式进行，需要调整的部分在会议上进行讨论、记录，进度管理实施小组各组员意见达成一致后，修改总进度计划及施工模拟。</w:t>
      </w:r>
    </w:p>
    <w:p>
      <w:pPr>
        <w:spacing w:before="120" w:after="120"/>
        <w:ind w:firstLine="420" w:firstLineChars="200"/>
        <w:rPr>
          <w:color w:val="auto"/>
          <w:highlight w:val="none"/>
        </w:rPr>
      </w:pPr>
      <w:r>
        <w:rPr>
          <w:color w:val="auto"/>
          <w:highlight w:val="none"/>
        </w:rPr>
        <w:t>3）根据项目实施节点，制定BIM实施关键节点，召开专项BIM工作会议，对于BIM工作进行相关内容的讨论和决议。</w:t>
      </w:r>
    </w:p>
    <w:p>
      <w:pPr>
        <w:spacing w:before="120" w:after="120"/>
        <w:ind w:firstLine="420" w:firstLineChars="200"/>
        <w:outlineLvl w:val="4"/>
        <w:rPr>
          <w:color w:val="auto"/>
          <w:highlight w:val="none"/>
        </w:rPr>
      </w:pPr>
      <w:bookmarkStart w:id="574" w:name="_Toc20403"/>
      <w:r>
        <w:rPr>
          <w:color w:val="auto"/>
          <w:highlight w:val="none"/>
        </w:rPr>
        <w:t>12  基于BIM的安全管理</w:t>
      </w:r>
      <w:bookmarkEnd w:id="574"/>
    </w:p>
    <w:p>
      <w:pPr>
        <w:spacing w:before="120" w:after="120"/>
        <w:ind w:firstLine="420" w:firstLineChars="200"/>
        <w:rPr>
          <w:color w:val="auto"/>
          <w:highlight w:val="none"/>
        </w:rPr>
      </w:pPr>
      <w:r>
        <w:rPr>
          <w:color w:val="auto"/>
          <w:highlight w:val="none"/>
        </w:rPr>
        <w:t>1）通过建立的BIM三维模型让各分包管理人员提前对施工面的危险源进行判断。</w:t>
      </w:r>
    </w:p>
    <w:p>
      <w:pPr>
        <w:spacing w:before="120" w:after="120"/>
        <w:ind w:firstLine="420" w:firstLineChars="200"/>
        <w:rPr>
          <w:color w:val="auto"/>
          <w:highlight w:val="none"/>
        </w:rPr>
      </w:pPr>
      <w:r>
        <w:rPr>
          <w:color w:val="auto"/>
          <w:highlight w:val="none"/>
        </w:rPr>
        <w:t>2）通过建立施工过程的防护设施模型，对项目管理人员进行仿真模拟交底，确保现场施工按照模型布置执行。</w:t>
      </w:r>
    </w:p>
    <w:p>
      <w:pPr>
        <w:spacing w:before="120" w:after="120"/>
        <w:ind w:firstLine="420" w:firstLineChars="200"/>
        <w:outlineLvl w:val="4"/>
        <w:rPr>
          <w:color w:val="auto"/>
          <w:highlight w:val="none"/>
        </w:rPr>
      </w:pPr>
      <w:bookmarkStart w:id="575" w:name="_Toc597"/>
      <w:r>
        <w:rPr>
          <w:color w:val="auto"/>
          <w:highlight w:val="none"/>
        </w:rPr>
        <w:t>13  基于BIM的现场协调管理</w:t>
      </w:r>
      <w:bookmarkEnd w:id="575"/>
    </w:p>
    <w:p>
      <w:pPr>
        <w:spacing w:before="120" w:after="120"/>
        <w:ind w:firstLine="420" w:firstLineChars="200"/>
        <w:rPr>
          <w:color w:val="auto"/>
          <w:highlight w:val="none"/>
        </w:rPr>
      </w:pPr>
      <w:r>
        <w:rPr>
          <w:color w:val="auto"/>
          <w:highlight w:val="none"/>
        </w:rPr>
        <w:t>基于BIM的现场协调管理主要包括办公与生活临时设施协调、施工平面协调、施工工序与工作面协调，通过BIM的引入，有效提高工作效率和管理效果。BIM现场协调管理表详见《附件：BIM实施导则》中附表7。</w:t>
      </w:r>
    </w:p>
    <w:p>
      <w:pPr>
        <w:spacing w:before="120" w:after="120"/>
        <w:ind w:firstLine="420" w:firstLineChars="200"/>
        <w:outlineLvl w:val="4"/>
        <w:rPr>
          <w:color w:val="auto"/>
          <w:highlight w:val="none"/>
        </w:rPr>
      </w:pPr>
      <w:bookmarkStart w:id="576" w:name="_Toc802"/>
      <w:r>
        <w:rPr>
          <w:color w:val="auto"/>
          <w:highlight w:val="none"/>
        </w:rPr>
        <w:t>14  基于BIM的造价管理</w:t>
      </w:r>
      <w:bookmarkEnd w:id="576"/>
    </w:p>
    <w:p>
      <w:pPr>
        <w:spacing w:before="120" w:after="120"/>
        <w:ind w:firstLine="420" w:firstLineChars="200"/>
        <w:rPr>
          <w:color w:val="auto"/>
          <w:highlight w:val="none"/>
        </w:rPr>
      </w:pPr>
      <w:r>
        <w:rPr>
          <w:color w:val="auto"/>
          <w:highlight w:val="none"/>
        </w:rPr>
        <w:t>1）BIM的造价管理应基于统一的BIM建模标准。BIM模型命名规则及参数应包含工程信息。BIM技术的造价数据管理应基于时间维度、空间划分、构件类型对工程进行汇总统计。</w:t>
      </w:r>
    </w:p>
    <w:p>
      <w:pPr>
        <w:spacing w:before="120" w:after="120"/>
        <w:ind w:firstLine="420" w:firstLineChars="200"/>
        <w:rPr>
          <w:color w:val="auto"/>
          <w:highlight w:val="none"/>
        </w:rPr>
      </w:pPr>
      <w:r>
        <w:rPr>
          <w:color w:val="auto"/>
          <w:highlight w:val="none"/>
        </w:rPr>
        <w:t>2）各阶段模型深化应根据项目节点和进度，逐步完善BIM模型并添加造价信息。</w:t>
      </w:r>
    </w:p>
    <w:p>
      <w:pPr>
        <w:spacing w:before="120" w:after="120"/>
        <w:ind w:firstLine="420" w:firstLineChars="200"/>
        <w:rPr>
          <w:color w:val="auto"/>
          <w:highlight w:val="none"/>
        </w:rPr>
      </w:pPr>
      <w:r>
        <w:rPr>
          <w:color w:val="auto"/>
          <w:highlight w:val="none"/>
        </w:rPr>
        <w:t>3）造价咨询公司通过项目工作平台访问施工模型，针对BIM模型进行工程量及造价信息提取并统计，利用BIM技术辅助进行工程概算、预算及竣工结算工作。在出现变更时，运用BIM技术进行变更前后造价对比。</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77" w:name="_Toc9039"/>
      <w:r>
        <w:rPr>
          <w:rFonts w:ascii="LNUHNF+SimSun" w:hAnsi="LNUHNF+SimSun" w:cs="宋体"/>
          <w:color w:val="auto"/>
          <w:szCs w:val="21"/>
          <w:highlight w:val="none"/>
        </w:rPr>
        <w:t>竣工阶段BIM管理流程</w:t>
      </w:r>
      <w:bookmarkEnd w:id="577"/>
    </w:p>
    <w:p>
      <w:pPr>
        <w:spacing w:before="120" w:after="120"/>
        <w:ind w:firstLine="420" w:firstLineChars="200"/>
        <w:rPr>
          <w:color w:val="auto"/>
          <w:highlight w:val="none"/>
        </w:rPr>
      </w:pPr>
      <w:r>
        <w:rPr>
          <w:rFonts w:eastAsia="Times New Roman"/>
          <w:color w:val="auto"/>
          <w:highlight w:val="none"/>
        </w:rPr>
        <w:t xml:space="preserve">1  </w:t>
      </w:r>
      <w:r>
        <w:rPr>
          <w:color w:val="auto"/>
          <w:highlight w:val="none"/>
        </w:rPr>
        <w:t>施工单位通过对现场与</w:t>
      </w:r>
      <w:r>
        <w:rPr>
          <w:rFonts w:eastAsia="Times New Roman"/>
          <w:color w:val="auto"/>
          <w:spacing w:val="-2"/>
          <w:highlight w:val="none"/>
        </w:rPr>
        <w:t>BIM</w:t>
      </w:r>
      <w:r>
        <w:rPr>
          <w:color w:val="auto"/>
          <w:spacing w:val="-4"/>
          <w:highlight w:val="none"/>
        </w:rPr>
        <w:t>模型进行分析对比，确保</w:t>
      </w:r>
      <w:r>
        <w:rPr>
          <w:rFonts w:eastAsia="Times New Roman"/>
          <w:color w:val="auto"/>
          <w:spacing w:val="-2"/>
          <w:highlight w:val="none"/>
        </w:rPr>
        <w:t>BIM</w:t>
      </w:r>
      <w:r>
        <w:rPr>
          <w:color w:val="auto"/>
          <w:spacing w:val="-4"/>
          <w:highlight w:val="none"/>
        </w:rPr>
        <w:t>模型与现场的一致性，并向</w:t>
      </w:r>
      <w:r>
        <w:rPr>
          <w:rFonts w:eastAsia="Times New Roman"/>
          <w:color w:val="auto"/>
          <w:spacing w:val="-2"/>
          <w:highlight w:val="none"/>
        </w:rPr>
        <w:t>BIM</w:t>
      </w:r>
      <w:r>
        <w:rPr>
          <w:color w:val="auto"/>
          <w:highlight w:val="none"/>
        </w:rPr>
        <w:t>总协调方提交《</w:t>
      </w:r>
      <w:r>
        <w:rPr>
          <w:rFonts w:eastAsia="Times New Roman"/>
          <w:color w:val="auto"/>
          <w:highlight w:val="none"/>
        </w:rPr>
        <w:t>BIM</w:t>
      </w:r>
      <w:r>
        <w:rPr>
          <w:color w:val="auto"/>
          <w:spacing w:val="2"/>
          <w:highlight w:val="none"/>
        </w:rPr>
        <w:t>辅助验收报告》。总承包单位应保证</w:t>
      </w:r>
      <w:r>
        <w:rPr>
          <w:rFonts w:eastAsia="Times New Roman"/>
          <w:color w:val="auto"/>
          <w:spacing w:val="-2"/>
          <w:highlight w:val="none"/>
        </w:rPr>
        <w:t>BIM</w:t>
      </w:r>
      <w:r>
        <w:rPr>
          <w:color w:val="auto"/>
          <w:spacing w:val="2"/>
          <w:highlight w:val="none"/>
        </w:rPr>
        <w:t>模型信息的完整性及正</w:t>
      </w:r>
      <w:r>
        <w:rPr>
          <w:color w:val="auto"/>
          <w:highlight w:val="none"/>
        </w:rPr>
        <w:t>确性。</w:t>
      </w:r>
    </w:p>
    <w:p>
      <w:pPr>
        <w:spacing w:before="120" w:after="120"/>
        <w:ind w:firstLine="420" w:firstLineChars="200"/>
        <w:rPr>
          <w:color w:val="auto"/>
          <w:highlight w:val="none"/>
        </w:rPr>
      </w:pPr>
      <w:r>
        <w:rPr>
          <w:rFonts w:eastAsia="Times New Roman"/>
          <w:color w:val="auto"/>
          <w:highlight w:val="none"/>
        </w:rPr>
        <w:t xml:space="preserve">2  </w:t>
      </w:r>
      <w:r>
        <w:rPr>
          <w:color w:val="auto"/>
          <w:highlight w:val="none"/>
        </w:rPr>
        <w:t>施工单位与造价咨询单位利用一致的</w:t>
      </w:r>
      <w:r>
        <w:rPr>
          <w:rFonts w:eastAsia="Times New Roman"/>
          <w:color w:val="auto"/>
          <w:spacing w:val="-2"/>
          <w:highlight w:val="none"/>
        </w:rPr>
        <w:t>BIM</w:t>
      </w:r>
      <w:r>
        <w:rPr>
          <w:color w:val="auto"/>
          <w:highlight w:val="none"/>
        </w:rPr>
        <w:t>模型测算工程量，辅助完成项目工程结算工作，提供《</w:t>
      </w:r>
      <w:r>
        <w:rPr>
          <w:rFonts w:eastAsia="Times New Roman"/>
          <w:color w:val="auto"/>
          <w:highlight w:val="none"/>
        </w:rPr>
        <w:t>BIM</w:t>
      </w:r>
      <w:r>
        <w:rPr>
          <w:color w:val="auto"/>
          <w:highlight w:val="none"/>
        </w:rPr>
        <w:t>辅助工程量测算报告》。</w:t>
      </w:r>
    </w:p>
    <w:p>
      <w:pPr>
        <w:spacing w:before="120" w:after="120"/>
        <w:ind w:firstLine="432" w:firstLineChars="200"/>
        <w:rPr>
          <w:color w:val="auto"/>
          <w:highlight w:val="none"/>
        </w:rPr>
      </w:pPr>
      <w:r>
        <w:rPr>
          <w:rFonts w:eastAsia="Times New Roman"/>
          <w:color w:val="auto"/>
          <w:spacing w:val="3"/>
          <w:highlight w:val="none"/>
        </w:rPr>
        <w:t xml:space="preserve">3  </w:t>
      </w:r>
      <w:r>
        <w:rPr>
          <w:color w:val="auto"/>
          <w:spacing w:val="3"/>
          <w:highlight w:val="none"/>
        </w:rPr>
        <w:t>施工总承包单位应汇集各参与方施工阶段</w:t>
      </w:r>
      <w:r>
        <w:rPr>
          <w:rFonts w:eastAsia="Times New Roman"/>
          <w:color w:val="auto"/>
          <w:spacing w:val="-2"/>
          <w:highlight w:val="none"/>
        </w:rPr>
        <w:t>BIM</w:t>
      </w:r>
      <w:r>
        <w:rPr>
          <w:color w:val="auto"/>
          <w:spacing w:val="3"/>
          <w:highlight w:val="none"/>
        </w:rPr>
        <w:t>成果，提交</w:t>
      </w:r>
      <w:r>
        <w:rPr>
          <w:rFonts w:eastAsia="Times New Roman"/>
          <w:color w:val="auto"/>
          <w:spacing w:val="-2"/>
          <w:highlight w:val="none"/>
        </w:rPr>
        <w:t>BIM</w:t>
      </w:r>
      <w:r>
        <w:rPr>
          <w:color w:val="auto"/>
          <w:spacing w:val="3"/>
          <w:highlight w:val="none"/>
        </w:rPr>
        <w:t>总协调方，形成竣工</w:t>
      </w:r>
      <w:r>
        <w:rPr>
          <w:rFonts w:eastAsia="Times New Roman"/>
          <w:color w:val="auto"/>
          <w:spacing w:val="-2"/>
          <w:highlight w:val="none"/>
        </w:rPr>
        <w:t>BIM</w:t>
      </w:r>
      <w:r>
        <w:rPr>
          <w:color w:val="auto"/>
          <w:highlight w:val="none"/>
        </w:rPr>
        <w:t>成果。竣工</w:t>
      </w:r>
      <w:r>
        <w:rPr>
          <w:rFonts w:eastAsia="Times New Roman"/>
          <w:color w:val="auto"/>
          <w:spacing w:val="-2"/>
          <w:highlight w:val="none"/>
        </w:rPr>
        <w:t>BIM</w:t>
      </w:r>
      <w:r>
        <w:rPr>
          <w:color w:val="auto"/>
          <w:highlight w:val="none"/>
        </w:rPr>
        <w:t>模型的深度应符合</w:t>
      </w:r>
      <w:r>
        <w:rPr>
          <w:rFonts w:ascii="宋体" w:hAnsi="宋体"/>
          <w:color w:val="auto"/>
          <w:highlight w:val="none"/>
        </w:rPr>
        <w:t>“</w:t>
      </w:r>
      <w:r>
        <w:rPr>
          <w:color w:val="auto"/>
          <w:highlight w:val="none"/>
        </w:rPr>
        <w:t>附表</w:t>
      </w:r>
      <w:r>
        <w:rPr>
          <w:rFonts w:eastAsia="Times New Roman"/>
          <w:color w:val="auto"/>
          <w:highlight w:val="none"/>
        </w:rPr>
        <w:t>3</w:t>
      </w:r>
      <w:r>
        <w:rPr>
          <w:color w:val="auto"/>
          <w:highlight w:val="none"/>
        </w:rPr>
        <w:t>各阶段</w:t>
      </w:r>
      <w:r>
        <w:rPr>
          <w:rFonts w:eastAsia="Times New Roman"/>
          <w:color w:val="auto"/>
          <w:spacing w:val="-2"/>
          <w:highlight w:val="none"/>
        </w:rPr>
        <w:t>BIM</w:t>
      </w:r>
      <w:r>
        <w:rPr>
          <w:color w:val="auto"/>
          <w:highlight w:val="none"/>
        </w:rPr>
        <w:t>模型精细度要求</w:t>
      </w:r>
      <w:r>
        <w:rPr>
          <w:rFonts w:ascii="宋体" w:hAnsi="宋体"/>
          <w:color w:val="auto"/>
          <w:highlight w:val="none"/>
        </w:rPr>
        <w:t>”</w:t>
      </w:r>
      <w:r>
        <w:rPr>
          <w:color w:val="auto"/>
          <w:highlight w:val="none"/>
        </w:rPr>
        <w:t>中</w:t>
      </w:r>
      <w:r>
        <w:rPr>
          <w:rFonts w:eastAsia="Times New Roman"/>
          <w:color w:val="auto"/>
          <w:highlight w:val="none"/>
        </w:rPr>
        <w:t>LOD500</w:t>
      </w:r>
      <w:r>
        <w:rPr>
          <w:color w:val="auto"/>
          <w:highlight w:val="none"/>
        </w:rPr>
        <w:t>的精度要求。竣工</w:t>
      </w:r>
      <w:r>
        <w:rPr>
          <w:rFonts w:eastAsia="Times New Roman"/>
          <w:color w:val="auto"/>
          <w:spacing w:val="-2"/>
          <w:highlight w:val="none"/>
        </w:rPr>
        <w:t>BIM</w:t>
      </w:r>
      <w:r>
        <w:rPr>
          <w:color w:val="auto"/>
          <w:highlight w:val="none"/>
        </w:rPr>
        <w:t>成果应包括但不限于以下内容：</w:t>
      </w:r>
    </w:p>
    <w:p>
      <w:pPr>
        <w:spacing w:before="120" w:after="120"/>
        <w:ind w:firstLine="420" w:firstLineChars="200"/>
        <w:rPr>
          <w:color w:val="auto"/>
          <w:highlight w:val="none"/>
        </w:rPr>
      </w:pPr>
      <w:r>
        <w:rPr>
          <w:rFonts w:eastAsia="Times New Roman"/>
          <w:color w:val="auto"/>
          <w:highlight w:val="none"/>
        </w:rPr>
        <w:t>1</w:t>
      </w:r>
      <w:r>
        <w:rPr>
          <w:color w:val="auto"/>
          <w:highlight w:val="none"/>
        </w:rPr>
        <w:t>）竣工</w:t>
      </w:r>
      <w:r>
        <w:rPr>
          <w:rFonts w:eastAsia="Times New Roman"/>
          <w:color w:val="auto"/>
          <w:spacing w:val="-2"/>
          <w:highlight w:val="none"/>
        </w:rPr>
        <w:t>BIM</w:t>
      </w:r>
      <w:r>
        <w:rPr>
          <w:color w:val="auto"/>
          <w:highlight w:val="none"/>
        </w:rPr>
        <w:t>模型（包含正确的施工阶段几何信息及非几何信息）；</w:t>
      </w:r>
    </w:p>
    <w:p>
      <w:pPr>
        <w:spacing w:before="120" w:after="120"/>
        <w:ind w:firstLine="420" w:firstLineChars="200"/>
        <w:rPr>
          <w:color w:val="auto"/>
          <w:highlight w:val="none"/>
        </w:rPr>
      </w:pPr>
      <w:r>
        <w:rPr>
          <w:rFonts w:eastAsia="Times New Roman"/>
          <w:color w:val="auto"/>
          <w:highlight w:val="none"/>
        </w:rPr>
        <w:t>2</w:t>
      </w:r>
      <w:r>
        <w:rPr>
          <w:color w:val="auto"/>
          <w:highlight w:val="none"/>
        </w:rPr>
        <w:t>）竣工</w:t>
      </w:r>
      <w:r>
        <w:rPr>
          <w:rFonts w:eastAsia="Times New Roman"/>
          <w:color w:val="auto"/>
          <w:spacing w:val="-2"/>
          <w:highlight w:val="none"/>
        </w:rPr>
        <w:t>BIM</w:t>
      </w:r>
      <w:r>
        <w:rPr>
          <w:color w:val="auto"/>
          <w:highlight w:val="none"/>
        </w:rPr>
        <w:t>成果资料（过程实施资料及多媒体资料、工程量清单、模拟方案、汇报报告）；</w:t>
      </w:r>
    </w:p>
    <w:p>
      <w:pPr>
        <w:spacing w:before="120" w:after="120"/>
        <w:ind w:firstLine="420" w:firstLineChars="200"/>
        <w:rPr>
          <w:color w:val="auto"/>
          <w:highlight w:val="none"/>
        </w:rPr>
      </w:pPr>
      <w:r>
        <w:rPr>
          <w:rFonts w:eastAsia="Times New Roman"/>
          <w:color w:val="auto"/>
          <w:highlight w:val="none"/>
        </w:rPr>
        <w:t>3</w:t>
      </w:r>
      <w:r>
        <w:rPr>
          <w:color w:val="auto"/>
          <w:highlight w:val="none"/>
        </w:rPr>
        <w:t>）施工阶段</w:t>
      </w:r>
      <w:r>
        <w:rPr>
          <w:rFonts w:eastAsia="Times New Roman"/>
          <w:color w:val="auto"/>
          <w:spacing w:val="-2"/>
          <w:highlight w:val="none"/>
        </w:rPr>
        <w:t>BIM</w:t>
      </w:r>
      <w:r>
        <w:rPr>
          <w:color w:val="auto"/>
          <w:highlight w:val="none"/>
        </w:rPr>
        <w:t>应用构件资源库；</w:t>
      </w:r>
    </w:p>
    <w:p>
      <w:pPr>
        <w:spacing w:before="120" w:after="120"/>
        <w:ind w:firstLine="420" w:firstLineChars="200"/>
        <w:rPr>
          <w:color w:val="auto"/>
          <w:highlight w:val="none"/>
        </w:rPr>
      </w:pPr>
      <w:r>
        <w:rPr>
          <w:rFonts w:eastAsia="Times New Roman"/>
          <w:color w:val="auto"/>
          <w:highlight w:val="none"/>
        </w:rPr>
        <w:t>4</w:t>
      </w:r>
      <w:r>
        <w:rPr>
          <w:color w:val="auto"/>
          <w:highlight w:val="none"/>
        </w:rPr>
        <w:t>）《</w:t>
      </w:r>
      <w:r>
        <w:rPr>
          <w:rFonts w:eastAsia="Times New Roman"/>
          <w:color w:val="auto"/>
          <w:highlight w:val="none"/>
        </w:rPr>
        <w:t>BIM</w:t>
      </w:r>
      <w:r>
        <w:rPr>
          <w:color w:val="auto"/>
          <w:highlight w:val="none"/>
        </w:rPr>
        <w:t>辅助验收报告》；</w:t>
      </w:r>
    </w:p>
    <w:p>
      <w:pPr>
        <w:spacing w:before="120" w:after="120"/>
        <w:ind w:firstLine="420" w:firstLineChars="200"/>
        <w:rPr>
          <w:color w:val="auto"/>
          <w:highlight w:val="none"/>
        </w:rPr>
      </w:pPr>
      <w:r>
        <w:rPr>
          <w:rFonts w:eastAsia="Times New Roman"/>
          <w:color w:val="auto"/>
          <w:highlight w:val="none"/>
        </w:rPr>
        <w:t>5</w:t>
      </w:r>
      <w:r>
        <w:rPr>
          <w:color w:val="auto"/>
          <w:highlight w:val="none"/>
        </w:rPr>
        <w:t>）《</w:t>
      </w:r>
      <w:r>
        <w:rPr>
          <w:rFonts w:eastAsia="Times New Roman"/>
          <w:color w:val="auto"/>
          <w:highlight w:val="none"/>
        </w:rPr>
        <w:t>BIM</w:t>
      </w:r>
      <w:r>
        <w:rPr>
          <w:color w:val="auto"/>
          <w:highlight w:val="none"/>
        </w:rPr>
        <w:t>辅助工程量测算报告》。</w:t>
      </w:r>
    </w:p>
    <w:p>
      <w:pPr>
        <w:spacing w:before="120" w:after="120"/>
        <w:ind w:firstLine="420" w:firstLineChars="200"/>
        <w:rPr>
          <w:color w:val="auto"/>
          <w:highlight w:val="none"/>
        </w:rPr>
      </w:pPr>
      <w:r>
        <w:rPr>
          <w:rFonts w:eastAsia="Times New Roman"/>
          <w:color w:val="auto"/>
          <w:highlight w:val="none"/>
        </w:rPr>
        <w:t>4  BIM</w:t>
      </w:r>
      <w:r>
        <w:rPr>
          <w:color w:val="auto"/>
          <w:highlight w:val="none"/>
        </w:rPr>
        <w:t>总协调方组织施工各参与单位进行竣工</w:t>
      </w:r>
      <w:r>
        <w:rPr>
          <w:rFonts w:eastAsia="Times New Roman"/>
          <w:color w:val="auto"/>
          <w:spacing w:val="-2"/>
          <w:highlight w:val="none"/>
        </w:rPr>
        <w:t>BIM</w:t>
      </w:r>
      <w:r>
        <w:rPr>
          <w:color w:val="auto"/>
          <w:highlight w:val="none"/>
        </w:rPr>
        <w:t>验收，编制《竣工验收</w:t>
      </w:r>
      <w:r>
        <w:rPr>
          <w:rFonts w:eastAsia="Times New Roman"/>
          <w:color w:val="auto"/>
          <w:spacing w:val="-2"/>
          <w:highlight w:val="none"/>
        </w:rPr>
        <w:t>BIM</w:t>
      </w:r>
      <w:r>
        <w:rPr>
          <w:color w:val="auto"/>
          <w:highlight w:val="none"/>
        </w:rPr>
        <w:t>报告》。其中验收要点如下：</w:t>
      </w:r>
    </w:p>
    <w:p>
      <w:pPr>
        <w:spacing w:before="120" w:after="120"/>
        <w:ind w:firstLine="420" w:firstLineChars="200"/>
        <w:rPr>
          <w:color w:val="auto"/>
          <w:highlight w:val="none"/>
        </w:rPr>
      </w:pPr>
      <w:r>
        <w:rPr>
          <w:rFonts w:eastAsia="Times New Roman"/>
          <w:color w:val="auto"/>
          <w:highlight w:val="none"/>
        </w:rPr>
        <w:t>1</w:t>
      </w:r>
      <w:r>
        <w:rPr>
          <w:color w:val="auto"/>
          <w:highlight w:val="none"/>
        </w:rPr>
        <w:t>）</w:t>
      </w:r>
      <w:r>
        <w:rPr>
          <w:rFonts w:eastAsia="Times New Roman"/>
          <w:color w:val="auto"/>
          <w:highlight w:val="none"/>
        </w:rPr>
        <w:t>BIM</w:t>
      </w:r>
      <w:r>
        <w:rPr>
          <w:color w:val="auto"/>
          <w:highlight w:val="none"/>
        </w:rPr>
        <w:t>总协调方验收内容如下：</w:t>
      </w:r>
    </w:p>
    <w:p>
      <w:pPr>
        <w:spacing w:before="120" w:after="120"/>
        <w:ind w:firstLine="420" w:firstLineChars="200"/>
        <w:rPr>
          <w:color w:val="auto"/>
          <w:highlight w:val="none"/>
        </w:rPr>
      </w:pPr>
      <w:r>
        <w:rPr>
          <w:color w:val="auto"/>
          <w:highlight w:val="none"/>
        </w:rPr>
        <w:t>（</w:t>
      </w:r>
      <w:r>
        <w:rPr>
          <w:rFonts w:eastAsia="Times New Roman"/>
          <w:color w:val="auto"/>
          <w:highlight w:val="none"/>
        </w:rPr>
        <w:t>1</w:t>
      </w:r>
      <w:r>
        <w:rPr>
          <w:color w:val="auto"/>
          <w:highlight w:val="none"/>
        </w:rPr>
        <w:t>）竣工</w:t>
      </w:r>
      <w:r>
        <w:rPr>
          <w:rFonts w:eastAsia="Times New Roman"/>
          <w:color w:val="auto"/>
          <w:spacing w:val="-2"/>
          <w:highlight w:val="none"/>
        </w:rPr>
        <w:t>BIM</w:t>
      </w:r>
      <w:r>
        <w:rPr>
          <w:color w:val="auto"/>
          <w:highlight w:val="none"/>
        </w:rPr>
        <w:t>模型深度是否满足</w:t>
      </w:r>
      <w:r>
        <w:rPr>
          <w:rFonts w:eastAsia="Times New Roman"/>
          <w:color w:val="auto"/>
          <w:highlight w:val="none"/>
        </w:rPr>
        <w:t>LOD</w:t>
      </w:r>
      <w:r>
        <w:rPr>
          <w:color w:val="auto"/>
          <w:highlight w:val="none"/>
        </w:rPr>
        <w:t>标准要求；</w:t>
      </w:r>
    </w:p>
    <w:p>
      <w:pPr>
        <w:spacing w:before="120" w:after="120"/>
        <w:ind w:firstLine="408" w:firstLineChars="200"/>
        <w:rPr>
          <w:color w:val="auto"/>
          <w:highlight w:val="none"/>
        </w:rPr>
      </w:pPr>
      <w:r>
        <w:rPr>
          <w:color w:val="auto"/>
          <w:spacing w:val="-3"/>
          <w:highlight w:val="none"/>
        </w:rPr>
        <w:t>（</w:t>
      </w:r>
      <w:r>
        <w:rPr>
          <w:rFonts w:eastAsia="Times New Roman"/>
          <w:color w:val="auto"/>
          <w:spacing w:val="-3"/>
          <w:highlight w:val="none"/>
        </w:rPr>
        <w:t>2</w:t>
      </w:r>
      <w:r>
        <w:rPr>
          <w:color w:val="auto"/>
          <w:spacing w:val="-3"/>
          <w:highlight w:val="none"/>
        </w:rPr>
        <w:t>）竣工</w:t>
      </w:r>
      <w:r>
        <w:rPr>
          <w:color w:val="auto"/>
          <w:highlight w:val="none"/>
        </w:rPr>
        <w:t>BIM模型的几何信息与非几何信息的格式是否满足《施工阶段</w:t>
      </w:r>
      <w:r>
        <w:rPr>
          <w:rFonts w:eastAsia="Times New Roman"/>
          <w:color w:val="auto"/>
          <w:spacing w:val="-2"/>
          <w:highlight w:val="none"/>
        </w:rPr>
        <w:t>BIM</w:t>
      </w:r>
      <w:r>
        <w:rPr>
          <w:color w:val="auto"/>
          <w:highlight w:val="none"/>
        </w:rPr>
        <w:t>实施方案》中关于交付成果的要求；</w:t>
      </w:r>
    </w:p>
    <w:p>
      <w:pPr>
        <w:spacing w:before="120" w:after="120"/>
        <w:ind w:firstLine="420" w:firstLineChars="200"/>
        <w:rPr>
          <w:color w:val="auto"/>
          <w:highlight w:val="none"/>
        </w:rPr>
      </w:pPr>
      <w:r>
        <w:rPr>
          <w:color w:val="auto"/>
          <w:highlight w:val="none"/>
        </w:rPr>
        <w:t>（</w:t>
      </w:r>
      <w:r>
        <w:rPr>
          <w:rFonts w:eastAsia="Times New Roman"/>
          <w:color w:val="auto"/>
          <w:highlight w:val="none"/>
        </w:rPr>
        <w:t>3</w:t>
      </w:r>
      <w:r>
        <w:rPr>
          <w:color w:val="auto"/>
          <w:highlight w:val="none"/>
        </w:rPr>
        <w:t>）</w:t>
      </w:r>
      <w:r>
        <w:rPr>
          <w:rFonts w:eastAsia="Times New Roman"/>
          <w:color w:val="auto"/>
          <w:highlight w:val="none"/>
        </w:rPr>
        <w:t>BIM</w:t>
      </w:r>
      <w:r>
        <w:rPr>
          <w:color w:val="auto"/>
          <w:highlight w:val="none"/>
        </w:rPr>
        <w:t>竣工成果资料是否齐全及符合要求；</w:t>
      </w:r>
    </w:p>
    <w:p>
      <w:pPr>
        <w:spacing w:before="120" w:after="120"/>
        <w:ind w:firstLine="420" w:firstLineChars="200"/>
        <w:rPr>
          <w:color w:val="auto"/>
          <w:highlight w:val="none"/>
        </w:rPr>
      </w:pPr>
      <w:r>
        <w:rPr>
          <w:color w:val="auto"/>
          <w:highlight w:val="none"/>
        </w:rPr>
        <w:t>（</w:t>
      </w:r>
      <w:r>
        <w:rPr>
          <w:rFonts w:eastAsia="Times New Roman"/>
          <w:color w:val="auto"/>
          <w:highlight w:val="none"/>
        </w:rPr>
        <w:t>4</w:t>
      </w:r>
      <w:r>
        <w:rPr>
          <w:color w:val="auto"/>
          <w:highlight w:val="none"/>
        </w:rPr>
        <w:t>）施工阶段BIM应用构件资源库是否齐全及满足要求</w:t>
      </w:r>
      <w:r>
        <w:rPr>
          <w:rFonts w:hint="eastAsia"/>
          <w:color w:val="auto"/>
          <w:highlight w:val="none"/>
        </w:rPr>
        <w:t>。</w:t>
      </w:r>
    </w:p>
    <w:p>
      <w:pPr>
        <w:spacing w:before="120" w:after="120"/>
        <w:ind w:firstLine="420" w:firstLineChars="200"/>
        <w:rPr>
          <w:color w:val="auto"/>
          <w:highlight w:val="none"/>
        </w:rPr>
      </w:pPr>
      <w:r>
        <w:rPr>
          <w:color w:val="auto"/>
          <w:highlight w:val="none"/>
        </w:rPr>
        <w:t>2）监理单位验收内容如下：</w:t>
      </w:r>
    </w:p>
    <w:p>
      <w:pPr>
        <w:spacing w:before="120" w:after="120"/>
        <w:ind w:firstLine="420" w:firstLineChars="200"/>
        <w:rPr>
          <w:color w:val="auto"/>
          <w:highlight w:val="none"/>
        </w:rPr>
      </w:pPr>
      <w:r>
        <w:rPr>
          <w:color w:val="auto"/>
          <w:highlight w:val="none"/>
        </w:rPr>
        <w:t>（1）竣工BIM模型的几何信息是否与现场实际施工完整且一致；</w:t>
      </w:r>
    </w:p>
    <w:p>
      <w:pPr>
        <w:spacing w:before="120" w:after="120"/>
        <w:ind w:firstLine="420" w:firstLineChars="200"/>
        <w:rPr>
          <w:color w:val="auto"/>
          <w:highlight w:val="none"/>
        </w:rPr>
      </w:pPr>
      <w:r>
        <w:rPr>
          <w:color w:val="auto"/>
          <w:highlight w:val="none"/>
        </w:rPr>
        <w:t>（2）竣工BIM模型的非几何信息是否与现场实际施工完整且一致；</w:t>
      </w:r>
    </w:p>
    <w:p>
      <w:pPr>
        <w:spacing w:before="120" w:after="120"/>
        <w:ind w:firstLine="420" w:firstLineChars="200"/>
        <w:rPr>
          <w:color w:val="auto"/>
          <w:highlight w:val="none"/>
        </w:rPr>
      </w:pPr>
      <w:r>
        <w:rPr>
          <w:color w:val="auto"/>
          <w:highlight w:val="none"/>
        </w:rPr>
        <w:t>（3）《BIM辅助验收报告》是否满足竣工验收要求；</w:t>
      </w:r>
    </w:p>
    <w:p>
      <w:pPr>
        <w:spacing w:before="120" w:after="120"/>
        <w:ind w:firstLine="420" w:firstLineChars="200"/>
        <w:rPr>
          <w:color w:val="auto"/>
          <w:highlight w:val="none"/>
        </w:rPr>
      </w:pPr>
      <w:r>
        <w:rPr>
          <w:color w:val="auto"/>
          <w:highlight w:val="none"/>
        </w:rPr>
        <w:t>（4）《BIM辅助工程量测算报告》是否满足工程结算要求</w:t>
      </w:r>
      <w:r>
        <w:rPr>
          <w:rFonts w:hint="eastAsia"/>
          <w:color w:val="auto"/>
          <w:highlight w:val="none"/>
        </w:rPr>
        <w:t>。</w:t>
      </w:r>
    </w:p>
    <w:p>
      <w:pPr>
        <w:spacing w:before="120" w:after="120"/>
        <w:ind w:firstLine="420" w:firstLineChars="200"/>
        <w:rPr>
          <w:color w:val="auto"/>
          <w:highlight w:val="none"/>
        </w:rPr>
      </w:pPr>
      <w:r>
        <w:rPr>
          <w:color w:val="auto"/>
          <w:highlight w:val="none"/>
        </w:rPr>
        <w:t>5  竣工BIM模型验收通过后，BIM总协调方整理工程竣工最终BIM成果资料，提交代建局</w:t>
      </w:r>
      <w:r>
        <w:rPr>
          <w:rFonts w:hint="eastAsia"/>
          <w:color w:val="auto"/>
          <w:highlight w:val="none"/>
        </w:rPr>
        <w:t>项目建设管理部</w:t>
      </w:r>
      <w:r>
        <w:rPr>
          <w:color w:val="auto"/>
          <w:highlight w:val="none"/>
        </w:rPr>
        <w:t>备案，并编写《项目BIM实施最终成果报告》对代建局</w:t>
      </w:r>
      <w:r>
        <w:rPr>
          <w:rFonts w:hint="eastAsia"/>
          <w:color w:val="auto"/>
          <w:highlight w:val="none"/>
        </w:rPr>
        <w:t>项目建设管理部</w:t>
      </w:r>
      <w:r>
        <w:rPr>
          <w:color w:val="auto"/>
          <w:highlight w:val="none"/>
        </w:rPr>
        <w:t>进行汇报。《项目BIM实施最终成果报告》应包括但不限于以下内容：</w:t>
      </w:r>
    </w:p>
    <w:p>
      <w:pPr>
        <w:spacing w:before="120" w:after="120"/>
        <w:ind w:firstLine="420" w:firstLineChars="200"/>
        <w:rPr>
          <w:color w:val="auto"/>
          <w:highlight w:val="none"/>
        </w:rPr>
      </w:pPr>
      <w:r>
        <w:rPr>
          <w:color w:val="auto"/>
          <w:highlight w:val="none"/>
        </w:rPr>
        <w:t>1）工程BIM实施概述；</w:t>
      </w:r>
    </w:p>
    <w:p>
      <w:pPr>
        <w:spacing w:before="120" w:after="120"/>
        <w:ind w:firstLine="420" w:firstLineChars="200"/>
        <w:rPr>
          <w:color w:val="auto"/>
          <w:highlight w:val="none"/>
        </w:rPr>
      </w:pPr>
      <w:r>
        <w:rPr>
          <w:color w:val="auto"/>
          <w:highlight w:val="none"/>
        </w:rPr>
        <w:t>2）应用成果点；</w:t>
      </w:r>
    </w:p>
    <w:p>
      <w:pPr>
        <w:spacing w:before="120" w:after="120"/>
        <w:ind w:firstLine="420" w:firstLineChars="200"/>
        <w:rPr>
          <w:color w:val="auto"/>
          <w:highlight w:val="none"/>
        </w:rPr>
      </w:pPr>
      <w:r>
        <w:rPr>
          <w:color w:val="auto"/>
          <w:highlight w:val="none"/>
        </w:rPr>
        <w:t>3）实施总结；</w:t>
      </w:r>
    </w:p>
    <w:p>
      <w:pPr>
        <w:spacing w:before="120" w:after="120"/>
        <w:ind w:firstLine="420" w:firstLineChars="200"/>
        <w:rPr>
          <w:color w:val="auto"/>
          <w:highlight w:val="none"/>
        </w:rPr>
      </w:pPr>
      <w:r>
        <w:rPr>
          <w:color w:val="auto"/>
          <w:highlight w:val="none"/>
        </w:rPr>
        <w:t>4）优化建议。</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78" w:name="_Toc21753"/>
      <w:r>
        <w:rPr>
          <w:rFonts w:ascii="LNUHNF+SimSun" w:hAnsi="LNUHNF+SimSun" w:cs="宋体"/>
          <w:color w:val="auto"/>
          <w:szCs w:val="21"/>
          <w:highlight w:val="none"/>
        </w:rPr>
        <w:t>运维阶段BIM管理流程</w:t>
      </w:r>
      <w:bookmarkEnd w:id="578"/>
    </w:p>
    <w:p>
      <w:pPr>
        <w:spacing w:before="120" w:after="120"/>
        <w:ind w:firstLine="420" w:firstLineChars="200"/>
        <w:rPr>
          <w:color w:val="auto"/>
          <w:highlight w:val="none"/>
        </w:rPr>
      </w:pPr>
      <w:r>
        <w:rPr>
          <w:color w:val="auto"/>
          <w:highlight w:val="none"/>
        </w:rPr>
        <w:t>1  项目运维单位搭建基于BIM的项目运维管理平台并提出BIM信息提取及格式要求。</w:t>
      </w:r>
    </w:p>
    <w:p>
      <w:pPr>
        <w:spacing w:before="120" w:after="120"/>
        <w:ind w:firstLine="420" w:firstLineChars="200"/>
        <w:rPr>
          <w:color w:val="auto"/>
          <w:highlight w:val="none"/>
        </w:rPr>
      </w:pPr>
      <w:r>
        <w:rPr>
          <w:color w:val="auto"/>
          <w:highlight w:val="none"/>
        </w:rPr>
        <w:t>2  BIM总协调方与项目运维单位确定BIM数据交付要求及数据格式。</w:t>
      </w:r>
    </w:p>
    <w:p>
      <w:pPr>
        <w:spacing w:before="120" w:after="120"/>
        <w:ind w:firstLine="420" w:firstLineChars="200"/>
        <w:rPr>
          <w:rFonts w:ascii="宋体" w:hAnsi="宋体" w:cs="宋体"/>
          <w:color w:val="auto"/>
          <w:sz w:val="33"/>
          <w:szCs w:val="33"/>
          <w:highlight w:val="none"/>
        </w:rPr>
      </w:pPr>
      <w:r>
        <w:rPr>
          <w:color w:val="auto"/>
          <w:highlight w:val="none"/>
        </w:rPr>
        <w:t>3  BIM总协调</w:t>
      </w:r>
      <w:bookmarkStart w:id="579" w:name="_Hlk62418951"/>
      <w:r>
        <w:rPr>
          <w:color w:val="auto"/>
          <w:highlight w:val="none"/>
        </w:rPr>
        <w:t>根据运维单位的要求，整理BIM竣工模型信息及格式要求后，向运维单位进行BIM成果移交</w:t>
      </w:r>
      <w:bookmarkEnd w:id="579"/>
      <w:r>
        <w:rPr>
          <w:color w:val="auto"/>
          <w:highlight w:val="none"/>
        </w:rPr>
        <w:t>。</w:t>
      </w:r>
    </w:p>
    <w:p>
      <w:pPr>
        <w:spacing w:before="120" w:after="120"/>
        <w:ind w:firstLine="420" w:firstLineChars="200"/>
        <w:rPr>
          <w:color w:val="auto"/>
          <w:highlight w:val="none"/>
        </w:rPr>
      </w:pPr>
      <w:r>
        <w:rPr>
          <w:rFonts w:eastAsia="Times New Roman"/>
          <w:color w:val="auto"/>
          <w:highlight w:val="none"/>
        </w:rPr>
        <w:t>4  BIM</w:t>
      </w:r>
      <w:r>
        <w:rPr>
          <w:color w:val="auto"/>
          <w:highlight w:val="none"/>
        </w:rPr>
        <w:t>总协调方对运维单位进行</w:t>
      </w:r>
      <w:r>
        <w:rPr>
          <w:rFonts w:eastAsia="Times New Roman"/>
          <w:color w:val="auto"/>
          <w:spacing w:val="-2"/>
          <w:highlight w:val="none"/>
        </w:rPr>
        <w:t>BIM</w:t>
      </w:r>
      <w:r>
        <w:rPr>
          <w:color w:val="auto"/>
          <w:highlight w:val="none"/>
        </w:rPr>
        <w:t>成果移交技术交底。</w:t>
      </w:r>
    </w:p>
    <w:p>
      <w:pPr>
        <w:spacing w:before="120" w:after="120"/>
        <w:ind w:firstLine="420" w:firstLineChars="200"/>
        <w:rPr>
          <w:color w:val="auto"/>
          <w:highlight w:val="none"/>
        </w:rPr>
      </w:pPr>
      <w:r>
        <w:rPr>
          <w:rFonts w:eastAsia="Times New Roman"/>
          <w:color w:val="auto"/>
          <w:highlight w:val="none"/>
        </w:rPr>
        <w:t>5  BIM</w:t>
      </w:r>
      <w:r>
        <w:rPr>
          <w:color w:val="auto"/>
          <w:highlight w:val="none"/>
        </w:rPr>
        <w:t>总协调方</w:t>
      </w:r>
      <w:bookmarkStart w:id="580" w:name="_Hlk62418997"/>
      <w:r>
        <w:rPr>
          <w:color w:val="auto"/>
          <w:highlight w:val="none"/>
        </w:rPr>
        <w:t>与运维单位进行实时沟通和回访，线上处理运维单位提出的问题并根据合同要求进行模型信息维护和更新</w:t>
      </w:r>
      <w:bookmarkEnd w:id="580"/>
      <w:r>
        <w:rPr>
          <w:color w:val="auto"/>
          <w:highlight w:val="none"/>
        </w:rPr>
        <w:t>。</w:t>
      </w:r>
    </w:p>
    <w:p>
      <w:pPr>
        <w:spacing w:before="120" w:after="120"/>
        <w:ind w:firstLine="420" w:firstLineChars="200"/>
        <w:rPr>
          <w:color w:val="auto"/>
          <w:highlight w:val="none"/>
        </w:rPr>
      </w:pPr>
      <w:r>
        <w:rPr>
          <w:rFonts w:eastAsia="Times New Roman"/>
          <w:color w:val="auto"/>
          <w:highlight w:val="none"/>
        </w:rPr>
        <w:t xml:space="preserve">6  </w:t>
      </w:r>
      <w:r>
        <w:rPr>
          <w:color w:val="auto"/>
          <w:highlight w:val="none"/>
        </w:rPr>
        <w:t>基于</w:t>
      </w:r>
      <w:r>
        <w:rPr>
          <w:rFonts w:eastAsia="Times New Roman"/>
          <w:color w:val="auto"/>
          <w:highlight w:val="none"/>
        </w:rPr>
        <w:t>BIM</w:t>
      </w:r>
      <w:r>
        <w:rPr>
          <w:color w:val="auto"/>
          <w:highlight w:val="none"/>
        </w:rPr>
        <w:t>的运维管理主要应包括五个方面内容：空间管理、资产管理、运维管理、公</w:t>
      </w:r>
      <w:r>
        <w:rPr>
          <w:color w:val="auto"/>
          <w:spacing w:val="-5"/>
          <w:highlight w:val="none"/>
        </w:rPr>
        <w:t>共安全管理、能耗管理，其功能包括但不限于的内容详见《附件：BIM实施导则》中附图</w:t>
      </w:r>
      <w:r>
        <w:rPr>
          <w:rFonts w:eastAsia="Times New Roman"/>
          <w:color w:val="auto"/>
          <w:highlight w:val="none"/>
        </w:rPr>
        <w:t>13</w:t>
      </w:r>
      <w:r>
        <w:rPr>
          <w:color w:val="auto"/>
          <w:highlight w:val="none"/>
        </w:rPr>
        <w:t>。</w:t>
      </w:r>
    </w:p>
    <w:p>
      <w:pPr>
        <w:spacing w:before="120" w:after="120" w:line="336" w:lineRule="auto"/>
        <w:rPr>
          <w:color w:val="auto"/>
          <w:highlight w:val="none"/>
        </w:rPr>
        <w:sectPr>
          <w:pgSz w:w="11905" w:h="16838"/>
          <w:pgMar w:top="1417" w:right="1417" w:bottom="1417" w:left="1417" w:header="720" w:footer="680" w:gutter="0"/>
          <w:cols w:space="720" w:num="1"/>
          <w:titlePg/>
        </w:sectPr>
      </w:pPr>
    </w:p>
    <w:p>
      <w:pPr>
        <w:pStyle w:val="677"/>
        <w:numPr>
          <w:ilvl w:val="0"/>
          <w:numId w:val="7"/>
        </w:numPr>
        <w:spacing w:before="240" w:after="240"/>
        <w:outlineLvl w:val="0"/>
        <w:rPr>
          <w:b w:val="0"/>
          <w:bCs/>
          <w:color w:val="auto"/>
          <w:highlight w:val="none"/>
        </w:rPr>
      </w:pPr>
      <w:bookmarkStart w:id="581" w:name="_Toc23454"/>
      <w:bookmarkStart w:id="582" w:name="_Toc54567602"/>
      <w:r>
        <w:rPr>
          <w:b w:val="0"/>
          <w:bCs/>
          <w:color w:val="auto"/>
          <w:highlight w:val="none"/>
        </w:rPr>
        <w:t>交付成果</w:t>
      </w:r>
      <w:bookmarkEnd w:id="581"/>
      <w:bookmarkEnd w:id="582"/>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83" w:name="_Toc15923"/>
      <w:bookmarkStart w:id="584" w:name="_Toc54567603"/>
      <w:r>
        <w:rPr>
          <w:rFonts w:ascii="Times New Roman" w:hAnsi="Times New Roman" w:eastAsia="黑体"/>
          <w:b w:val="0"/>
          <w:bCs/>
          <w:color w:val="auto"/>
          <w:sz w:val="24"/>
          <w:szCs w:val="24"/>
          <w:highlight w:val="none"/>
        </w:rPr>
        <w:t>交付成果基本要求</w:t>
      </w:r>
      <w:bookmarkEnd w:id="583"/>
      <w:bookmarkEnd w:id="584"/>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85" w:name="_Toc5782"/>
      <w:r>
        <w:rPr>
          <w:rFonts w:ascii="LNUHNF+SimSun" w:hAnsi="LNUHNF+SimSun" w:cs="宋体"/>
          <w:color w:val="auto"/>
          <w:szCs w:val="21"/>
          <w:highlight w:val="none"/>
        </w:rPr>
        <w:t>管理要求</w:t>
      </w:r>
      <w:bookmarkEnd w:id="585"/>
    </w:p>
    <w:p>
      <w:pPr>
        <w:spacing w:before="120" w:after="120"/>
        <w:ind w:firstLine="420" w:firstLineChars="200"/>
        <w:rPr>
          <w:color w:val="auto"/>
          <w:highlight w:val="none"/>
        </w:rPr>
      </w:pPr>
      <w:r>
        <w:rPr>
          <w:color w:val="auto"/>
          <w:highlight w:val="none"/>
        </w:rPr>
        <w:t>1  在项目BIM实施前期准备阶段，BIM总协调单位方应根据代建局项目BIM实施目标，制定项目BIM模型的应用实施方案并规定各阶段成果应用，交予代建局</w:t>
      </w:r>
      <w:r>
        <w:rPr>
          <w:rFonts w:hint="eastAsia"/>
          <w:color w:val="auto"/>
          <w:highlight w:val="none"/>
        </w:rPr>
        <w:t>前期工作部</w:t>
      </w:r>
      <w:r>
        <w:rPr>
          <w:color w:val="auto"/>
          <w:highlight w:val="none"/>
        </w:rPr>
        <w:t>审查备案。</w:t>
      </w:r>
    </w:p>
    <w:p>
      <w:pPr>
        <w:spacing w:before="120" w:after="120"/>
        <w:ind w:firstLine="420" w:firstLineChars="200"/>
        <w:rPr>
          <w:color w:val="auto"/>
          <w:highlight w:val="none"/>
        </w:rPr>
      </w:pPr>
      <w:r>
        <w:rPr>
          <w:color w:val="auto"/>
          <w:highlight w:val="none"/>
        </w:rPr>
        <w:t>2  在项目各阶段实施前，BIM总协调方应向各参与方进行BIM技术交底，明确本项目BIM实施目标及成果交付要求。</w:t>
      </w:r>
    </w:p>
    <w:p>
      <w:pPr>
        <w:spacing w:before="120" w:after="120"/>
        <w:ind w:firstLine="420" w:firstLineChars="200"/>
        <w:rPr>
          <w:color w:val="auto"/>
          <w:highlight w:val="none"/>
        </w:rPr>
      </w:pPr>
      <w:r>
        <w:rPr>
          <w:color w:val="auto"/>
          <w:highlight w:val="none"/>
        </w:rPr>
        <w:t>3  项目各参与方在BIM工作实施前，应根据BIM总协调方的项目BIM模型与应用实施方案，制定本单位在合同范围内所定的BIM模型及分类资料的交付计划。</w:t>
      </w:r>
    </w:p>
    <w:p>
      <w:pPr>
        <w:spacing w:before="120" w:after="120"/>
        <w:ind w:firstLine="420" w:firstLineChars="200"/>
        <w:rPr>
          <w:color w:val="auto"/>
          <w:highlight w:val="none"/>
        </w:rPr>
      </w:pPr>
      <w:r>
        <w:rPr>
          <w:color w:val="auto"/>
          <w:highlight w:val="none"/>
        </w:rPr>
        <w:t>4  项目各参与方提交BIM成果的同时，应同时提交由该单位BIM负责人签发的BIM成果交付函件、签收单等。</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86" w:name="_Toc8697"/>
      <w:r>
        <w:rPr>
          <w:rFonts w:ascii="LNUHNF+SimSun" w:hAnsi="LNUHNF+SimSun" w:cs="宋体"/>
          <w:color w:val="auto"/>
          <w:szCs w:val="21"/>
          <w:highlight w:val="none"/>
        </w:rPr>
        <w:t>成果一致性要求</w:t>
      </w:r>
      <w:bookmarkEnd w:id="586"/>
    </w:p>
    <w:p>
      <w:pPr>
        <w:spacing w:before="120" w:after="120"/>
        <w:ind w:firstLine="420" w:firstLineChars="200"/>
        <w:rPr>
          <w:color w:val="auto"/>
          <w:highlight w:val="none"/>
        </w:rPr>
      </w:pPr>
      <w:r>
        <w:rPr>
          <w:color w:val="auto"/>
          <w:highlight w:val="none"/>
        </w:rPr>
        <w:t>1  各参与方应按规定选用项目BIM实施软件</w:t>
      </w:r>
      <w:r>
        <w:rPr>
          <w:rFonts w:hint="eastAsia"/>
          <w:color w:val="auto"/>
          <w:highlight w:val="none"/>
        </w:rPr>
        <w:t>。各阶段的成果内容，实施单位应按合同及《实施导则》中提出的要求进行，</w:t>
      </w:r>
      <w:r>
        <w:rPr>
          <w:color w:val="auto"/>
          <w:highlight w:val="none"/>
        </w:rPr>
        <w:t>按规定提交统一格式的成果文件（数据），以保证最终BIM模型数据的正确性及完整性。</w:t>
      </w:r>
    </w:p>
    <w:p>
      <w:pPr>
        <w:spacing w:before="120" w:after="120"/>
        <w:ind w:firstLine="420" w:firstLineChars="200"/>
        <w:rPr>
          <w:color w:val="auto"/>
          <w:highlight w:val="none"/>
        </w:rPr>
      </w:pPr>
      <w:r>
        <w:rPr>
          <w:color w:val="auto"/>
          <w:highlight w:val="none"/>
        </w:rPr>
        <w:t>2  项目BIM应用在实施过程中，每个阶段提交的BIM模型成果，应与同期项目的实施进度保持同步。</w:t>
      </w:r>
    </w:p>
    <w:p>
      <w:pPr>
        <w:spacing w:before="120" w:after="120"/>
        <w:ind w:firstLine="420" w:firstLineChars="200"/>
        <w:rPr>
          <w:color w:val="auto"/>
          <w:highlight w:val="none"/>
        </w:rPr>
      </w:pPr>
      <w:r>
        <w:rPr>
          <w:rFonts w:hint="eastAsia"/>
          <w:color w:val="auto"/>
          <w:highlight w:val="none"/>
        </w:rPr>
        <w:t>3成果移交单位需确保移交成果的完整性。除特殊要求外，不应存在缺项、漏项、模型精度不足、图模不一致等问题</w:t>
      </w:r>
      <w:r>
        <w:rPr>
          <w:color w:val="auto"/>
          <w:highlight w:val="none"/>
        </w:rPr>
        <w:t>。</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87" w:name="_Toc17237"/>
      <w:r>
        <w:rPr>
          <w:rFonts w:ascii="LNUHNF+SimSun" w:hAnsi="LNUHNF+SimSun" w:cs="宋体"/>
          <w:color w:val="auto"/>
          <w:szCs w:val="21"/>
          <w:highlight w:val="none"/>
        </w:rPr>
        <w:t>精度要求</w:t>
      </w:r>
      <w:bookmarkEnd w:id="587"/>
    </w:p>
    <w:p>
      <w:pPr>
        <w:spacing w:before="120" w:after="120"/>
        <w:ind w:firstLine="420" w:firstLineChars="200"/>
        <w:rPr>
          <w:color w:val="auto"/>
          <w:highlight w:val="none"/>
        </w:rPr>
      </w:pPr>
      <w:r>
        <w:rPr>
          <w:color w:val="auto"/>
          <w:highlight w:val="none"/>
        </w:rPr>
        <w:t>1  各阶段提交的BIM模型及成果信息应符合《附件：BIM实施导则》中附表3中的</w:t>
      </w:r>
      <w:r>
        <w:rPr>
          <w:rFonts w:hint="eastAsia"/>
          <w:color w:val="auto"/>
          <w:highlight w:val="none"/>
        </w:rPr>
        <w:t>“</w:t>
      </w:r>
      <w:r>
        <w:rPr>
          <w:color w:val="auto"/>
          <w:highlight w:val="none"/>
        </w:rPr>
        <w:t>各阶段BIM模型精细度要求</w:t>
      </w:r>
      <w:r>
        <w:rPr>
          <w:rFonts w:hint="eastAsia"/>
          <w:color w:val="auto"/>
          <w:highlight w:val="none"/>
        </w:rPr>
        <w:t>”</w:t>
      </w:r>
      <w:r>
        <w:rPr>
          <w:color w:val="auto"/>
          <w:highlight w:val="none"/>
        </w:rPr>
        <w:t>。</w:t>
      </w:r>
    </w:p>
    <w:p>
      <w:pPr>
        <w:spacing w:before="120" w:after="120"/>
        <w:ind w:firstLine="420" w:firstLineChars="200"/>
        <w:rPr>
          <w:color w:val="auto"/>
          <w:highlight w:val="none"/>
        </w:rPr>
      </w:pPr>
      <w:r>
        <w:rPr>
          <w:color w:val="auto"/>
          <w:highlight w:val="none"/>
        </w:rPr>
        <w:t>2  BIM模型和</w:t>
      </w:r>
      <w:r>
        <w:rPr>
          <w:rFonts w:hint="eastAsia" w:ascii="宋体" w:hAnsi="宋体" w:cs="宋体"/>
          <w:color w:val="auto"/>
          <w:spacing w:val="-2"/>
          <w:highlight w:val="none"/>
        </w:rPr>
        <w:t>模型</w:t>
      </w:r>
      <w:r>
        <w:rPr>
          <w:color w:val="auto"/>
          <w:highlight w:val="none"/>
        </w:rPr>
        <w:t>构件的形状和尺寸及模型构件之间的位置关系准确无误，并且可以根据项目实施进度深化及补充，最终反映实际施工成果。</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88" w:name="_Toc20774"/>
      <w:r>
        <w:rPr>
          <w:rFonts w:ascii="LNUHNF+SimSun" w:hAnsi="LNUHNF+SimSun" w:cs="宋体"/>
          <w:color w:val="auto"/>
          <w:szCs w:val="21"/>
          <w:highlight w:val="none"/>
        </w:rPr>
        <w:t>提交进度要求</w:t>
      </w:r>
      <w:bookmarkEnd w:id="588"/>
    </w:p>
    <w:p>
      <w:pPr>
        <w:spacing w:before="120" w:after="120"/>
        <w:ind w:firstLine="420" w:firstLineChars="200"/>
        <w:rPr>
          <w:color w:val="auto"/>
          <w:highlight w:val="none"/>
        </w:rPr>
      </w:pPr>
      <w:r>
        <w:rPr>
          <w:rFonts w:eastAsia="Times New Roman"/>
          <w:color w:val="auto"/>
          <w:highlight w:val="none"/>
        </w:rPr>
        <w:t xml:space="preserve">1  </w:t>
      </w:r>
      <w:r>
        <w:rPr>
          <w:color w:val="auto"/>
          <w:highlight w:val="none"/>
        </w:rPr>
        <w:t>各阶段项目各</w:t>
      </w:r>
      <w:r>
        <w:rPr>
          <w:rFonts w:hint="eastAsia" w:ascii="宋体" w:hAnsi="宋体" w:cs="宋体"/>
          <w:color w:val="auto"/>
          <w:spacing w:val="-2"/>
          <w:highlight w:val="none"/>
        </w:rPr>
        <w:t>参与</w:t>
      </w:r>
      <w:r>
        <w:rPr>
          <w:color w:val="auto"/>
          <w:highlight w:val="none"/>
        </w:rPr>
        <w:t>方的</w:t>
      </w:r>
      <w:r>
        <w:rPr>
          <w:rFonts w:eastAsia="Times New Roman"/>
          <w:color w:val="auto"/>
          <w:spacing w:val="-2"/>
          <w:highlight w:val="none"/>
        </w:rPr>
        <w:t>BIM</w:t>
      </w:r>
      <w:r>
        <w:rPr>
          <w:color w:val="auto"/>
          <w:highlight w:val="none"/>
        </w:rPr>
        <w:t>模型及应用成果应根据项目实施阶段节点进行交付。</w:t>
      </w:r>
    </w:p>
    <w:p>
      <w:pPr>
        <w:spacing w:before="120" w:after="120"/>
        <w:ind w:firstLine="420" w:firstLineChars="200"/>
        <w:rPr>
          <w:color w:val="auto"/>
          <w:highlight w:val="none"/>
        </w:rPr>
      </w:pPr>
      <w:r>
        <w:rPr>
          <w:rFonts w:eastAsia="Times New Roman"/>
          <w:color w:val="auto"/>
          <w:highlight w:val="none"/>
        </w:rPr>
        <w:t xml:space="preserve">2  </w:t>
      </w:r>
      <w:r>
        <w:rPr>
          <w:color w:val="auto"/>
          <w:highlight w:val="none"/>
        </w:rPr>
        <w:t>项目各参与</w:t>
      </w:r>
      <w:r>
        <w:rPr>
          <w:rFonts w:hint="eastAsia" w:ascii="宋体" w:hAnsi="宋体" w:cs="宋体"/>
          <w:color w:val="auto"/>
          <w:spacing w:val="-2"/>
          <w:highlight w:val="none"/>
        </w:rPr>
        <w:t>方根</w:t>
      </w:r>
      <w:r>
        <w:rPr>
          <w:color w:val="auto"/>
          <w:highlight w:val="none"/>
        </w:rPr>
        <w:t>据</w:t>
      </w:r>
      <w:r>
        <w:rPr>
          <w:rFonts w:eastAsia="Times New Roman"/>
          <w:color w:val="auto"/>
          <w:spacing w:val="-2"/>
          <w:highlight w:val="none"/>
        </w:rPr>
        <w:t>BIM</w:t>
      </w:r>
      <w:r>
        <w:rPr>
          <w:color w:val="auto"/>
          <w:highlight w:val="none"/>
        </w:rPr>
        <w:t>总协调方复查意见完成</w:t>
      </w:r>
      <w:r>
        <w:rPr>
          <w:rFonts w:eastAsia="Times New Roman"/>
          <w:color w:val="auto"/>
          <w:spacing w:val="-2"/>
          <w:highlight w:val="none"/>
        </w:rPr>
        <w:t>BIM</w:t>
      </w:r>
      <w:r>
        <w:rPr>
          <w:color w:val="auto"/>
          <w:highlight w:val="none"/>
        </w:rPr>
        <w:t>模型的修改和整理后，应在规定的时间内重新提交成果。</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89" w:name="_bookmark14"/>
      <w:bookmarkEnd w:id="589"/>
      <w:bookmarkStart w:id="590" w:name="_Toc54567604"/>
      <w:bookmarkStart w:id="591" w:name="_Toc23739"/>
      <w:r>
        <w:rPr>
          <w:rFonts w:ascii="Times New Roman" w:hAnsi="Times New Roman" w:eastAsia="黑体"/>
          <w:b w:val="0"/>
          <w:bCs/>
          <w:color w:val="auto"/>
          <w:sz w:val="24"/>
          <w:szCs w:val="24"/>
          <w:highlight w:val="none"/>
        </w:rPr>
        <w:t>成果交付审查流程</w:t>
      </w:r>
      <w:bookmarkEnd w:id="590"/>
      <w:bookmarkEnd w:id="591"/>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92" w:name="_Toc15062"/>
      <w:r>
        <w:rPr>
          <w:rFonts w:ascii="LNUHNF+SimSun" w:hAnsi="LNUHNF+SimSun" w:cs="宋体"/>
          <w:color w:val="auto"/>
          <w:szCs w:val="21"/>
          <w:highlight w:val="none"/>
        </w:rPr>
        <w:t>BIM交付成果审查工作管理</w:t>
      </w:r>
      <w:bookmarkEnd w:id="592"/>
    </w:p>
    <w:p>
      <w:pPr>
        <w:spacing w:before="120" w:after="120"/>
        <w:ind w:firstLine="420" w:firstLineChars="200"/>
        <w:rPr>
          <w:color w:val="auto"/>
          <w:highlight w:val="none"/>
        </w:rPr>
      </w:pPr>
      <w:r>
        <w:rPr>
          <w:rFonts w:eastAsia="Times New Roman"/>
          <w:color w:val="auto"/>
          <w:highlight w:val="none"/>
        </w:rPr>
        <w:t>1  BIM</w:t>
      </w:r>
      <w:r>
        <w:rPr>
          <w:color w:val="auto"/>
          <w:spacing w:val="2"/>
          <w:highlight w:val="none"/>
        </w:rPr>
        <w:t>总协调方</w:t>
      </w:r>
      <w:r>
        <w:rPr>
          <w:rFonts w:hint="eastAsia" w:ascii="宋体" w:hAnsi="宋体" w:cs="宋体"/>
          <w:color w:val="auto"/>
          <w:spacing w:val="-2"/>
          <w:highlight w:val="none"/>
        </w:rPr>
        <w:t>作为</w:t>
      </w:r>
      <w:r>
        <w:rPr>
          <w:rFonts w:eastAsia="Times New Roman"/>
          <w:color w:val="auto"/>
          <w:highlight w:val="none"/>
        </w:rPr>
        <w:t>BIM</w:t>
      </w:r>
      <w:r>
        <w:rPr>
          <w:color w:val="auto"/>
          <w:spacing w:val="2"/>
          <w:highlight w:val="none"/>
        </w:rPr>
        <w:t>工作质量监督方，应协助代建局</w:t>
      </w:r>
      <w:r>
        <w:rPr>
          <w:rFonts w:hint="eastAsia"/>
          <w:color w:val="auto"/>
          <w:spacing w:val="2"/>
          <w:highlight w:val="none"/>
        </w:rPr>
        <w:t>前期工作部和项目建设管理部</w:t>
      </w:r>
      <w:r>
        <w:rPr>
          <w:color w:val="auto"/>
          <w:spacing w:val="2"/>
          <w:highlight w:val="none"/>
        </w:rPr>
        <w:t>对各参与方交付的</w:t>
      </w:r>
      <w:r>
        <w:rPr>
          <w:rFonts w:eastAsia="Times New Roman"/>
          <w:color w:val="auto"/>
          <w:highlight w:val="none"/>
        </w:rPr>
        <w:t>BIM</w:t>
      </w:r>
      <w:r>
        <w:rPr>
          <w:color w:val="auto"/>
          <w:highlight w:val="none"/>
        </w:rPr>
        <w:t>模型成果和</w:t>
      </w:r>
      <w:r>
        <w:rPr>
          <w:rFonts w:eastAsia="Times New Roman"/>
          <w:color w:val="auto"/>
          <w:spacing w:val="-2"/>
          <w:highlight w:val="none"/>
        </w:rPr>
        <w:t>BIM</w:t>
      </w:r>
      <w:r>
        <w:rPr>
          <w:color w:val="auto"/>
          <w:highlight w:val="none"/>
        </w:rPr>
        <w:t>应用成果进行质量检查。</w:t>
      </w:r>
    </w:p>
    <w:p>
      <w:pPr>
        <w:spacing w:before="120" w:after="120"/>
        <w:ind w:firstLine="420" w:firstLineChars="200"/>
        <w:rPr>
          <w:color w:val="auto"/>
          <w:highlight w:val="none"/>
        </w:rPr>
      </w:pPr>
      <w:r>
        <w:rPr>
          <w:rFonts w:eastAsia="Times New Roman"/>
          <w:color w:val="auto"/>
          <w:highlight w:val="none"/>
        </w:rPr>
        <w:t>2  BIM</w:t>
      </w:r>
      <w:r>
        <w:rPr>
          <w:color w:val="auto"/>
          <w:highlight w:val="none"/>
        </w:rPr>
        <w:t>交付成果审查应包括</w:t>
      </w:r>
      <w:r>
        <w:rPr>
          <w:rFonts w:eastAsia="Times New Roman"/>
          <w:color w:val="auto"/>
          <w:highlight w:val="none"/>
        </w:rPr>
        <w:t>2</w:t>
      </w:r>
      <w:r>
        <w:rPr>
          <w:color w:val="auto"/>
          <w:highlight w:val="none"/>
        </w:rPr>
        <w:t>个环节的审查工作，其中包括自检、</w:t>
      </w:r>
      <w:r>
        <w:rPr>
          <w:rFonts w:eastAsia="Times New Roman"/>
          <w:color w:val="auto"/>
          <w:highlight w:val="none"/>
        </w:rPr>
        <w:t>BIM</w:t>
      </w:r>
      <w:r>
        <w:rPr>
          <w:color w:val="auto"/>
          <w:highlight w:val="none"/>
        </w:rPr>
        <w:t>总协调方审查。</w:t>
      </w:r>
    </w:p>
    <w:p>
      <w:pPr>
        <w:spacing w:before="120" w:after="120"/>
        <w:ind w:firstLine="420" w:firstLineChars="200"/>
        <w:rPr>
          <w:color w:val="auto"/>
          <w:highlight w:val="none"/>
        </w:rPr>
      </w:pPr>
      <w:r>
        <w:rPr>
          <w:rFonts w:eastAsia="Times New Roman"/>
          <w:color w:val="auto"/>
          <w:highlight w:val="none"/>
        </w:rPr>
        <w:t>3  BIM</w:t>
      </w:r>
      <w:r>
        <w:rPr>
          <w:color w:val="auto"/>
          <w:spacing w:val="8"/>
          <w:highlight w:val="none"/>
        </w:rPr>
        <w:t>总协调方以书面</w:t>
      </w:r>
      <w:r>
        <w:rPr>
          <w:color w:val="auto"/>
          <w:highlight w:val="none"/>
        </w:rPr>
        <w:t>记录</w:t>
      </w:r>
      <w:r>
        <w:rPr>
          <w:color w:val="auto"/>
          <w:spacing w:val="8"/>
          <w:highlight w:val="none"/>
        </w:rPr>
        <w:t>的方式把质量检查的结果提交代建局</w:t>
      </w:r>
      <w:r>
        <w:rPr>
          <w:rFonts w:hint="eastAsia"/>
          <w:color w:val="auto"/>
          <w:spacing w:val="2"/>
          <w:highlight w:val="none"/>
        </w:rPr>
        <w:t>前期工作部和项目建设管理部</w:t>
      </w:r>
      <w:r>
        <w:rPr>
          <w:color w:val="auto"/>
          <w:spacing w:val="8"/>
          <w:highlight w:val="none"/>
        </w:rPr>
        <w:t>审阅，各参与方根据</w:t>
      </w:r>
      <w:r>
        <w:rPr>
          <w:rFonts w:eastAsia="Times New Roman"/>
          <w:color w:val="auto"/>
          <w:spacing w:val="-2"/>
          <w:highlight w:val="none"/>
        </w:rPr>
        <w:t>BIM</w:t>
      </w:r>
      <w:r>
        <w:rPr>
          <w:color w:val="auto"/>
          <w:highlight w:val="none"/>
        </w:rPr>
        <w:t>总协调方的要求进行校核和调整。</w:t>
      </w:r>
    </w:p>
    <w:p>
      <w:pPr>
        <w:spacing w:before="120" w:after="120"/>
        <w:ind w:firstLine="428" w:firstLineChars="200"/>
        <w:rPr>
          <w:color w:val="auto"/>
          <w:highlight w:val="none"/>
        </w:rPr>
      </w:pPr>
      <w:r>
        <w:rPr>
          <w:rFonts w:eastAsia="Times New Roman"/>
          <w:color w:val="auto"/>
          <w:spacing w:val="2"/>
          <w:highlight w:val="none"/>
        </w:rPr>
        <w:t xml:space="preserve">4  </w:t>
      </w:r>
      <w:r>
        <w:rPr>
          <w:color w:val="auto"/>
          <w:spacing w:val="2"/>
          <w:highlight w:val="none"/>
        </w:rPr>
        <w:t>对于不合格的模型交付物，将明确告知相关参与方不合格的情况和整改意见，由相关</w:t>
      </w:r>
      <w:r>
        <w:rPr>
          <w:color w:val="auto"/>
          <w:highlight w:val="none"/>
        </w:rPr>
        <w:t>参与方进行整改。</w:t>
      </w:r>
    </w:p>
    <w:p>
      <w:pPr>
        <w:spacing w:before="120" w:after="120"/>
        <w:ind w:firstLine="420" w:firstLineChars="200"/>
        <w:rPr>
          <w:color w:val="auto"/>
          <w:highlight w:val="none"/>
        </w:rPr>
      </w:pPr>
      <w:r>
        <w:rPr>
          <w:rFonts w:eastAsia="Times New Roman"/>
          <w:color w:val="auto"/>
          <w:highlight w:val="none"/>
        </w:rPr>
        <w:t xml:space="preserve">5  </w:t>
      </w:r>
      <w:r>
        <w:rPr>
          <w:color w:val="auto"/>
          <w:highlight w:val="none"/>
        </w:rPr>
        <w:t>全部验收合格的</w:t>
      </w:r>
      <w:r>
        <w:rPr>
          <w:rFonts w:eastAsia="Times New Roman"/>
          <w:color w:val="auto"/>
          <w:spacing w:val="-2"/>
          <w:highlight w:val="none"/>
        </w:rPr>
        <w:t>BIM</w:t>
      </w:r>
      <w:r>
        <w:rPr>
          <w:color w:val="auto"/>
          <w:highlight w:val="none"/>
        </w:rPr>
        <w:t>成果，由</w:t>
      </w:r>
      <w:r>
        <w:rPr>
          <w:rFonts w:eastAsia="Times New Roman"/>
          <w:color w:val="auto"/>
          <w:spacing w:val="-2"/>
          <w:highlight w:val="none"/>
        </w:rPr>
        <w:t>BIM</w:t>
      </w:r>
      <w:r>
        <w:rPr>
          <w:color w:val="auto"/>
          <w:highlight w:val="none"/>
        </w:rPr>
        <w:t>总协调方汇总并提交给代建局</w:t>
      </w:r>
      <w:r>
        <w:rPr>
          <w:rFonts w:hint="eastAsia"/>
          <w:color w:val="auto"/>
          <w:spacing w:val="2"/>
          <w:highlight w:val="none"/>
        </w:rPr>
        <w:t>前期工作部或项目建设管理部</w:t>
      </w:r>
      <w:r>
        <w:rPr>
          <w:color w:val="auto"/>
          <w:highlight w:val="none"/>
        </w:rPr>
        <w:t>。</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93" w:name="_Toc32293"/>
      <w:r>
        <w:rPr>
          <w:rFonts w:ascii="LNUHNF+SimSun" w:hAnsi="LNUHNF+SimSun" w:cs="宋体"/>
          <w:color w:val="auto"/>
          <w:szCs w:val="21"/>
          <w:highlight w:val="none"/>
        </w:rPr>
        <w:t>各阶段BIM交付成果审查对象</w:t>
      </w:r>
      <w:bookmarkEnd w:id="593"/>
    </w:p>
    <w:p>
      <w:pPr>
        <w:spacing w:before="120" w:after="120"/>
        <w:ind w:firstLine="420" w:firstLineChars="200"/>
        <w:rPr>
          <w:color w:val="auto"/>
          <w:highlight w:val="none"/>
        </w:rPr>
      </w:pPr>
      <w:r>
        <w:rPr>
          <w:color w:val="auto"/>
          <w:highlight w:val="none"/>
        </w:rPr>
        <w:t>各阶段BIM交付成果审查方法及要点详见《附件：BIM实施导则》3.1.4。</w:t>
      </w:r>
    </w:p>
    <w:p>
      <w:pPr>
        <w:spacing w:before="120" w:after="120"/>
        <w:ind w:firstLine="420" w:firstLineChars="200"/>
        <w:rPr>
          <w:color w:val="auto"/>
          <w:highlight w:val="none"/>
        </w:rPr>
      </w:pPr>
      <w:r>
        <w:rPr>
          <w:color w:val="auto"/>
          <w:highlight w:val="none"/>
        </w:rPr>
        <w:t>1  设计阶段该阶段首先针对的是方案设计阶段、初步设计阶段、施工图设计阶段，根据每个阶段设计的目标建立各专业模型，包括：方案比选模型、设计性能化分析模型、施工图模型（包含了混凝土结构、钢结构、建筑、幕墙、屋面、机电、装饰装修）等。</w:t>
      </w:r>
    </w:p>
    <w:p>
      <w:pPr>
        <w:spacing w:before="120" w:after="120"/>
        <w:ind w:firstLine="420" w:firstLineChars="200"/>
        <w:rPr>
          <w:color w:val="auto"/>
          <w:highlight w:val="none"/>
        </w:rPr>
      </w:pPr>
      <w:r>
        <w:rPr>
          <w:color w:val="auto"/>
          <w:highlight w:val="none"/>
        </w:rPr>
        <w:t>其次是各个设计阶段利用相应模型进行的BIM成果审查，包括方案阶段</w:t>
      </w:r>
      <w:r>
        <w:rPr>
          <w:rFonts w:hint="eastAsia"/>
          <w:color w:val="auto"/>
          <w:highlight w:val="none"/>
        </w:rPr>
        <w:t>（</w:t>
      </w:r>
      <w:r>
        <w:rPr>
          <w:color w:val="auto"/>
          <w:highlight w:val="none"/>
        </w:rPr>
        <w:t>方案效果展示图、方案展示视频</w:t>
      </w:r>
      <w:r>
        <w:rPr>
          <w:rFonts w:hint="eastAsia"/>
          <w:color w:val="auto"/>
          <w:highlight w:val="none"/>
        </w:rPr>
        <w:t>）</w:t>
      </w:r>
      <w:r>
        <w:rPr>
          <w:color w:val="auto"/>
          <w:highlight w:val="none"/>
        </w:rPr>
        <w:t>，初步设计阶段</w:t>
      </w:r>
      <w:r>
        <w:rPr>
          <w:rFonts w:hint="eastAsia"/>
          <w:color w:val="auto"/>
          <w:highlight w:val="none"/>
        </w:rPr>
        <w:t>（</w:t>
      </w:r>
      <w:r>
        <w:rPr>
          <w:color w:val="auto"/>
          <w:highlight w:val="none"/>
        </w:rPr>
        <w:t>性能化分析报告、分析过程视频</w:t>
      </w:r>
      <w:r>
        <w:rPr>
          <w:rFonts w:hint="eastAsia"/>
          <w:color w:val="auto"/>
          <w:highlight w:val="none"/>
        </w:rPr>
        <w:t>）</w:t>
      </w:r>
      <w:r>
        <w:rPr>
          <w:color w:val="auto"/>
          <w:highlight w:val="none"/>
        </w:rPr>
        <w:t>，施工图设计阶段</w:t>
      </w:r>
      <w:r>
        <w:rPr>
          <w:rFonts w:hint="eastAsia"/>
          <w:color w:val="auto"/>
          <w:highlight w:val="none"/>
        </w:rPr>
        <w:t>（</w:t>
      </w:r>
      <w:r>
        <w:rPr>
          <w:color w:val="auto"/>
          <w:highlight w:val="none"/>
        </w:rPr>
        <w:t>管线综合、碰撞检查报告、净空分析报告</w:t>
      </w:r>
      <w:r>
        <w:rPr>
          <w:rFonts w:hint="eastAsia"/>
          <w:color w:val="auto"/>
          <w:highlight w:val="none"/>
        </w:rPr>
        <w:t>）</w:t>
      </w:r>
      <w:r>
        <w:rPr>
          <w:color w:val="auto"/>
          <w:highlight w:val="none"/>
        </w:rPr>
        <w:t>等。</w:t>
      </w:r>
    </w:p>
    <w:p>
      <w:pPr>
        <w:spacing w:before="120" w:after="120"/>
        <w:ind w:firstLine="420" w:firstLineChars="200"/>
        <w:rPr>
          <w:color w:val="auto"/>
          <w:highlight w:val="none"/>
        </w:rPr>
      </w:pPr>
      <w:r>
        <w:rPr>
          <w:color w:val="auto"/>
          <w:highlight w:val="none"/>
        </w:rPr>
        <w:t>2  施工阶段该阶段首先是在设计阶段建立的模型基础上，建立各专业的深化模型、深化设计节点模型、设计及施工变更进行更新的模型、施工方案和施工工艺制作的应用点模型、场地布置模型等。</w:t>
      </w:r>
    </w:p>
    <w:p>
      <w:pPr>
        <w:spacing w:before="120" w:after="120"/>
        <w:ind w:firstLine="420" w:firstLineChars="200"/>
        <w:rPr>
          <w:color w:val="auto"/>
          <w:highlight w:val="none"/>
        </w:rPr>
      </w:pPr>
      <w:r>
        <w:rPr>
          <w:color w:val="auto"/>
          <w:highlight w:val="none"/>
        </w:rPr>
        <w:t>其次针对的是在施工阶段进行的相应BIM应用成果，包括施工进度模拟、施工工艺模拟、施工方案模拟、工程协调、工程算量、工程节点三维视频展示。</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94" w:name="_Toc15045"/>
      <w:r>
        <w:rPr>
          <w:rFonts w:ascii="LNUHNF+SimSun" w:hAnsi="LNUHNF+SimSun" w:cs="宋体"/>
          <w:color w:val="auto"/>
          <w:szCs w:val="21"/>
          <w:highlight w:val="none"/>
        </w:rPr>
        <w:t>成果审查的结果归档</w:t>
      </w:r>
      <w:bookmarkEnd w:id="594"/>
    </w:p>
    <w:p>
      <w:pPr>
        <w:spacing w:before="120" w:after="120"/>
        <w:ind w:firstLine="420" w:firstLineChars="200"/>
        <w:rPr>
          <w:color w:val="auto"/>
          <w:highlight w:val="none"/>
        </w:rPr>
      </w:pPr>
      <w:r>
        <w:rPr>
          <w:color w:val="auto"/>
          <w:highlight w:val="none"/>
        </w:rPr>
        <w:t>1  审查结果意见根据检查的内容，需要将最终的检查结果意见形成规范的格式文件并归档。审查结果中，应该以</w:t>
      </w:r>
      <w:bookmarkStart w:id="595" w:name="_bookmark15"/>
      <w:bookmarkEnd w:id="595"/>
      <w:r>
        <w:rPr>
          <w:color w:val="auto"/>
          <w:highlight w:val="none"/>
        </w:rPr>
        <w:t>截图形式辅助说明模型（成果）中存在的问题，同时应准确描述模型（成果）问题的位置。</w:t>
      </w:r>
    </w:p>
    <w:p>
      <w:pPr>
        <w:spacing w:before="120" w:after="120"/>
        <w:ind w:firstLine="420" w:firstLineChars="200"/>
        <w:rPr>
          <w:color w:val="auto"/>
          <w:highlight w:val="none"/>
        </w:rPr>
      </w:pPr>
      <w:r>
        <w:rPr>
          <w:color w:val="auto"/>
          <w:highlight w:val="none"/>
        </w:rPr>
        <w:t>2  结果提交</w:t>
      </w:r>
    </w:p>
    <w:p>
      <w:pPr>
        <w:spacing w:before="120" w:after="120"/>
        <w:ind w:firstLine="420" w:firstLineChars="200"/>
        <w:rPr>
          <w:color w:val="auto"/>
          <w:highlight w:val="none"/>
        </w:rPr>
      </w:pPr>
      <w:r>
        <w:rPr>
          <w:color w:val="auto"/>
          <w:highlight w:val="none"/>
        </w:rPr>
        <w:t>形成的模型（成果）审核报告，应该转换为规定文件格式，统一由BIM总协调方提交代建局</w:t>
      </w:r>
      <w:r>
        <w:rPr>
          <w:rFonts w:hint="eastAsia"/>
          <w:color w:val="auto"/>
          <w:spacing w:val="2"/>
          <w:highlight w:val="none"/>
        </w:rPr>
        <w:t>前期工作部或项目建设管理部</w:t>
      </w:r>
      <w:r>
        <w:rPr>
          <w:color w:val="auto"/>
          <w:highlight w:val="none"/>
        </w:rPr>
        <w:t>，同时抄送给各参与方。</w:t>
      </w:r>
    </w:p>
    <w:p>
      <w:pPr>
        <w:spacing w:before="120" w:after="120"/>
        <w:ind w:firstLine="420" w:firstLineChars="200"/>
        <w:rPr>
          <w:color w:val="auto"/>
          <w:highlight w:val="none"/>
        </w:rPr>
      </w:pPr>
      <w:r>
        <w:rPr>
          <w:color w:val="auto"/>
          <w:highlight w:val="none"/>
        </w:rPr>
        <w:t>3  结果存档</w:t>
      </w:r>
    </w:p>
    <w:p>
      <w:pPr>
        <w:spacing w:before="120" w:after="120"/>
        <w:ind w:firstLine="420" w:firstLineChars="200"/>
        <w:rPr>
          <w:color w:val="auto"/>
          <w:highlight w:val="none"/>
        </w:rPr>
      </w:pPr>
      <w:r>
        <w:rPr>
          <w:color w:val="auto"/>
          <w:highlight w:val="none"/>
        </w:rPr>
        <w:t>模型（成果）审核文件，应该作为该项目的成果文件进行存档，由BIM总协调方整理保存，上传至项目管理平台归档。</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596" w:name="_Toc54567605"/>
      <w:bookmarkStart w:id="597" w:name="_Toc21232"/>
      <w:r>
        <w:rPr>
          <w:rFonts w:ascii="Times New Roman" w:hAnsi="Times New Roman" w:eastAsia="黑体"/>
          <w:b w:val="0"/>
          <w:bCs/>
          <w:color w:val="auto"/>
          <w:sz w:val="24"/>
          <w:szCs w:val="24"/>
          <w:highlight w:val="none"/>
        </w:rPr>
        <w:t>信息安全与知识产权规定</w:t>
      </w:r>
      <w:bookmarkEnd w:id="596"/>
      <w:bookmarkEnd w:id="597"/>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98" w:name="_Toc15168"/>
      <w:r>
        <w:rPr>
          <w:rFonts w:ascii="LNUHNF+SimSun" w:hAnsi="LNUHNF+SimSun" w:cs="宋体"/>
          <w:color w:val="auto"/>
          <w:szCs w:val="21"/>
          <w:highlight w:val="none"/>
        </w:rPr>
        <w:t>项目人员应通过受控的权限访问网络服务器上的BIM项目数据。</w:t>
      </w:r>
      <w:bookmarkEnd w:id="598"/>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599" w:name="_Toc24328"/>
      <w:r>
        <w:rPr>
          <w:rFonts w:ascii="LNUHNF+SimSun" w:hAnsi="LNUHNF+SimSun" w:cs="宋体"/>
          <w:color w:val="auto"/>
          <w:szCs w:val="21"/>
          <w:highlight w:val="none"/>
        </w:rPr>
        <w:t>所有BIM项目数据应存放在网络服务器上，并对其进行定期备份。</w:t>
      </w:r>
      <w:bookmarkEnd w:id="599"/>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00" w:name="_Toc20468"/>
      <w:r>
        <w:rPr>
          <w:rFonts w:ascii="LNUHNF+SimSun" w:hAnsi="LNUHNF+SimSun" w:cs="宋体"/>
          <w:color w:val="auto"/>
          <w:szCs w:val="21"/>
          <w:highlight w:val="none"/>
        </w:rPr>
        <w:t>各项目BIM相关成果的知识产权受各项目参与方的合同条款保护。在项目过程中，未经代建局允许，不允许向第三方公开或发布相关资料。</w:t>
      </w:r>
      <w:bookmarkEnd w:id="600"/>
    </w:p>
    <w:p>
      <w:pPr>
        <w:spacing w:before="120" w:after="120" w:line="338" w:lineRule="auto"/>
        <w:rPr>
          <w:color w:val="auto"/>
          <w:highlight w:val="none"/>
        </w:rPr>
        <w:sectPr>
          <w:pgSz w:w="11905" w:h="16838"/>
          <w:pgMar w:top="1417" w:right="1417" w:bottom="1417" w:left="1417" w:header="720" w:footer="680" w:gutter="0"/>
          <w:cols w:space="720" w:num="1"/>
          <w:titlePg/>
        </w:sectPr>
      </w:pPr>
    </w:p>
    <w:p>
      <w:pPr>
        <w:pStyle w:val="677"/>
        <w:numPr>
          <w:ilvl w:val="0"/>
          <w:numId w:val="7"/>
        </w:numPr>
        <w:spacing w:before="240" w:after="240"/>
        <w:outlineLvl w:val="0"/>
        <w:rPr>
          <w:b w:val="0"/>
          <w:bCs/>
          <w:color w:val="auto"/>
          <w:highlight w:val="none"/>
        </w:rPr>
      </w:pPr>
      <w:bookmarkStart w:id="601" w:name="_Toc54567606"/>
      <w:bookmarkStart w:id="602" w:name="_Toc20761"/>
      <w:r>
        <w:rPr>
          <w:b w:val="0"/>
          <w:bCs/>
          <w:color w:val="auto"/>
          <w:highlight w:val="none"/>
        </w:rPr>
        <w:t>协同要求</w:t>
      </w:r>
      <w:bookmarkEnd w:id="601"/>
      <w:bookmarkEnd w:id="602"/>
    </w:p>
    <w:p>
      <w:pPr>
        <w:spacing w:before="120" w:after="120"/>
        <w:ind w:firstLine="420" w:firstLineChars="200"/>
        <w:rPr>
          <w:color w:val="auto"/>
          <w:highlight w:val="none"/>
        </w:rPr>
      </w:pPr>
      <w:r>
        <w:rPr>
          <w:color w:val="auto"/>
          <w:highlight w:val="none"/>
        </w:rPr>
        <w:t>在</w:t>
      </w:r>
      <w:r>
        <w:rPr>
          <w:rFonts w:eastAsia="Times New Roman"/>
          <w:color w:val="auto"/>
          <w:spacing w:val="-2"/>
          <w:highlight w:val="none"/>
        </w:rPr>
        <w:t>BIM</w:t>
      </w:r>
      <w:r>
        <w:rPr>
          <w:color w:val="auto"/>
          <w:highlight w:val="none"/>
        </w:rPr>
        <w:t>协同工作中，通过公用的</w:t>
      </w:r>
      <w:r>
        <w:rPr>
          <w:rFonts w:eastAsia="Times New Roman"/>
          <w:color w:val="auto"/>
          <w:spacing w:val="-2"/>
          <w:highlight w:val="none"/>
        </w:rPr>
        <w:t>BIM</w:t>
      </w:r>
      <w:r>
        <w:rPr>
          <w:color w:val="auto"/>
          <w:highlight w:val="none"/>
        </w:rPr>
        <w:t>协同平台确保</w:t>
      </w:r>
      <w:r>
        <w:rPr>
          <w:rFonts w:eastAsia="Times New Roman"/>
          <w:color w:val="auto"/>
          <w:spacing w:val="-2"/>
          <w:highlight w:val="none"/>
        </w:rPr>
        <w:t>BIM</w:t>
      </w:r>
      <w:r>
        <w:rPr>
          <w:color w:val="auto"/>
          <w:highlight w:val="none"/>
        </w:rPr>
        <w:t>模型数据的统一性与准确性，提升</w:t>
      </w:r>
      <w:r>
        <w:rPr>
          <w:rFonts w:eastAsia="Times New Roman"/>
          <w:color w:val="auto"/>
          <w:spacing w:val="-2"/>
          <w:highlight w:val="none"/>
        </w:rPr>
        <w:t>BIM</w:t>
      </w:r>
      <w:r>
        <w:rPr>
          <w:color w:val="auto"/>
          <w:highlight w:val="none"/>
        </w:rPr>
        <w:t>模型数据传输效率及质量，提高各参与方协作效率，为工程项目的设计、施工、运营、维护提供数字化基础。</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603" w:name="_Toc22497"/>
      <w:bookmarkStart w:id="604" w:name="_Toc54567607"/>
      <w:r>
        <w:rPr>
          <w:rFonts w:ascii="Times New Roman" w:hAnsi="Times New Roman" w:eastAsia="黑体"/>
          <w:b w:val="0"/>
          <w:bCs/>
          <w:color w:val="auto"/>
          <w:sz w:val="24"/>
          <w:szCs w:val="24"/>
          <w:highlight w:val="none"/>
        </w:rPr>
        <w:t>BIM协同平台</w:t>
      </w:r>
      <w:bookmarkEnd w:id="603"/>
      <w:bookmarkEnd w:id="604"/>
    </w:p>
    <w:p>
      <w:pPr>
        <w:pStyle w:val="734"/>
        <w:numPr>
          <w:ilvl w:val="2"/>
          <w:numId w:val="7"/>
        </w:numPr>
        <w:spacing w:beforeLines="50" w:afterLines="50" w:line="360" w:lineRule="auto"/>
        <w:outlineLvl w:val="3"/>
        <w:rPr>
          <w:rFonts w:ascii="宋体" w:hAnsi="宋体" w:cs="宋体"/>
          <w:color w:val="auto"/>
          <w:sz w:val="24"/>
          <w:szCs w:val="24"/>
          <w:highlight w:val="none"/>
        </w:rPr>
      </w:pPr>
      <w:bookmarkStart w:id="605" w:name="_Toc21271"/>
      <w:r>
        <w:rPr>
          <w:rFonts w:ascii="LNUHNF+SimSun" w:hAnsi="LNUHNF+SimSun" w:cs="宋体"/>
          <w:color w:val="auto"/>
          <w:szCs w:val="21"/>
          <w:highlight w:val="none"/>
        </w:rPr>
        <w:t>项目管理平台架构</w:t>
      </w:r>
      <w:bookmarkEnd w:id="605"/>
    </w:p>
    <w:p>
      <w:pPr>
        <w:spacing w:before="120" w:after="120"/>
        <w:ind w:firstLine="420" w:firstLineChars="200"/>
        <w:rPr>
          <w:color w:val="auto"/>
          <w:highlight w:val="none"/>
        </w:rPr>
      </w:pPr>
      <w:r>
        <w:rPr>
          <w:rFonts w:eastAsia="Times New Roman"/>
          <w:color w:val="auto"/>
          <w:highlight w:val="none"/>
        </w:rPr>
        <w:t xml:space="preserve">1  </w:t>
      </w:r>
      <w:r>
        <w:rPr>
          <w:color w:val="auto"/>
          <w:highlight w:val="none"/>
        </w:rPr>
        <w:t>代建局BIM</w:t>
      </w:r>
      <w:r>
        <w:rPr>
          <w:color w:val="auto"/>
          <w:spacing w:val="-4"/>
          <w:highlight w:val="none"/>
        </w:rPr>
        <w:t>项目协同基于代建局项目管理平台。在项目策划阶段，代建局</w:t>
      </w:r>
      <w:r>
        <w:rPr>
          <w:rFonts w:hint="eastAsia"/>
          <w:color w:val="auto"/>
          <w:spacing w:val="-4"/>
          <w:highlight w:val="none"/>
        </w:rPr>
        <w:t>前期工作部</w:t>
      </w:r>
      <w:r>
        <w:rPr>
          <w:color w:val="auto"/>
          <w:spacing w:val="-4"/>
          <w:highlight w:val="none"/>
        </w:rPr>
        <w:t>应组织开通</w:t>
      </w:r>
      <w:r>
        <w:rPr>
          <w:color w:val="auto"/>
          <w:highlight w:val="none"/>
        </w:rPr>
        <w:t>项目管理平台的项目权限。项目管理平台总架构详见《附件：BIM实施导则》中附图</w:t>
      </w:r>
      <w:r>
        <w:rPr>
          <w:rFonts w:eastAsia="Times New Roman"/>
          <w:color w:val="auto"/>
          <w:highlight w:val="none"/>
        </w:rPr>
        <w:t>14</w:t>
      </w:r>
      <w:r>
        <w:rPr>
          <w:color w:val="auto"/>
          <w:highlight w:val="none"/>
        </w:rPr>
        <w:t>。</w:t>
      </w:r>
    </w:p>
    <w:p>
      <w:pPr>
        <w:spacing w:before="120" w:after="120"/>
        <w:ind w:firstLine="420" w:firstLineChars="200"/>
        <w:rPr>
          <w:color w:val="auto"/>
          <w:highlight w:val="none"/>
        </w:rPr>
      </w:pPr>
      <w:r>
        <w:rPr>
          <w:rFonts w:eastAsia="Times New Roman"/>
          <w:color w:val="auto"/>
          <w:highlight w:val="none"/>
        </w:rPr>
        <w:t xml:space="preserve">2  </w:t>
      </w:r>
      <w:r>
        <w:rPr>
          <w:color w:val="auto"/>
          <w:highlight w:val="none"/>
        </w:rPr>
        <w:t>在</w:t>
      </w:r>
      <w:r>
        <w:rPr>
          <w:rFonts w:eastAsia="Times New Roman"/>
          <w:color w:val="auto"/>
          <w:spacing w:val="-2"/>
          <w:highlight w:val="none"/>
        </w:rPr>
        <w:t>BIM</w:t>
      </w:r>
      <w:r>
        <w:rPr>
          <w:color w:val="auto"/>
          <w:highlight w:val="none"/>
        </w:rPr>
        <w:t>项目实施协同工作中，项目协同应用分为两大平台：文档管理平台及</w:t>
      </w:r>
      <w:r>
        <w:rPr>
          <w:rFonts w:eastAsia="Times New Roman"/>
          <w:color w:val="auto"/>
          <w:spacing w:val="-2"/>
          <w:highlight w:val="none"/>
        </w:rPr>
        <w:t>BIM</w:t>
      </w:r>
      <w:r>
        <w:rPr>
          <w:color w:val="auto"/>
          <w:highlight w:val="none"/>
        </w:rPr>
        <w:t>协同平台，两大平台下属内容详见《附件：BIM实施导则》中附图</w:t>
      </w:r>
      <w:r>
        <w:rPr>
          <w:rFonts w:eastAsia="Times New Roman"/>
          <w:color w:val="auto"/>
          <w:highlight w:val="none"/>
        </w:rPr>
        <w:t>15</w:t>
      </w:r>
      <w:r>
        <w:rPr>
          <w:color w:val="auto"/>
          <w:highlight w:val="none"/>
        </w:rPr>
        <w:t>。</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606" w:name="_Toc54567608"/>
      <w:bookmarkStart w:id="607" w:name="_Toc26679"/>
      <w:r>
        <w:rPr>
          <w:rFonts w:ascii="Times New Roman" w:hAnsi="Times New Roman" w:eastAsia="黑体"/>
          <w:b w:val="0"/>
          <w:bCs/>
          <w:color w:val="auto"/>
          <w:sz w:val="24"/>
          <w:szCs w:val="24"/>
          <w:highlight w:val="none"/>
        </w:rPr>
        <w:t>协同管理</w:t>
      </w:r>
      <w:bookmarkEnd w:id="606"/>
      <w:bookmarkEnd w:id="607"/>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08" w:name="_Toc13370"/>
      <w:r>
        <w:rPr>
          <w:rFonts w:ascii="LNUHNF+SimSun" w:hAnsi="LNUHNF+SimSun" w:cs="宋体"/>
          <w:color w:val="auto"/>
          <w:szCs w:val="21"/>
          <w:highlight w:val="none"/>
        </w:rPr>
        <w:t>协同配合整体流程</w:t>
      </w:r>
      <w:bookmarkEnd w:id="608"/>
    </w:p>
    <w:p>
      <w:pPr>
        <w:spacing w:before="120" w:after="120"/>
        <w:ind w:firstLine="428" w:firstLineChars="200"/>
        <w:rPr>
          <w:color w:val="auto"/>
          <w:highlight w:val="none"/>
        </w:rPr>
      </w:pPr>
      <w:r>
        <w:rPr>
          <w:color w:val="auto"/>
          <w:spacing w:val="2"/>
          <w:highlight w:val="none"/>
        </w:rPr>
        <w:t>以代建局项目协同平台作为项目</w:t>
      </w:r>
      <w:r>
        <w:rPr>
          <w:rFonts w:eastAsia="Times New Roman"/>
          <w:color w:val="auto"/>
          <w:spacing w:val="-2"/>
          <w:highlight w:val="none"/>
        </w:rPr>
        <w:t>BIM</w:t>
      </w:r>
      <w:r>
        <w:rPr>
          <w:color w:val="auto"/>
          <w:spacing w:val="2"/>
          <w:highlight w:val="none"/>
        </w:rPr>
        <w:t>协同工作的中心，所有本项目</w:t>
      </w:r>
      <w:r>
        <w:rPr>
          <w:rFonts w:eastAsia="Times New Roman"/>
          <w:color w:val="auto"/>
          <w:spacing w:val="-2"/>
          <w:highlight w:val="none"/>
        </w:rPr>
        <w:t>BIM</w:t>
      </w:r>
      <w:r>
        <w:rPr>
          <w:color w:val="auto"/>
          <w:highlight w:val="none"/>
        </w:rPr>
        <w:t>模型文件及资</w:t>
      </w:r>
      <w:r>
        <w:rPr>
          <w:color w:val="auto"/>
          <w:spacing w:val="3"/>
          <w:highlight w:val="none"/>
        </w:rPr>
        <w:t>料均通过协同平台传递。各参与方在</w:t>
      </w:r>
      <w:r>
        <w:rPr>
          <w:rFonts w:eastAsia="Times New Roman"/>
          <w:color w:val="auto"/>
          <w:spacing w:val="-2"/>
          <w:highlight w:val="none"/>
        </w:rPr>
        <w:t>BIM</w:t>
      </w:r>
      <w:r>
        <w:rPr>
          <w:color w:val="auto"/>
          <w:spacing w:val="4"/>
          <w:highlight w:val="none"/>
        </w:rPr>
        <w:t>总协调方的统一管理下完成本项目在实施阶段的</w:t>
      </w:r>
      <w:r>
        <w:rPr>
          <w:rFonts w:eastAsia="Times New Roman"/>
          <w:color w:val="auto"/>
          <w:spacing w:val="-2"/>
          <w:highlight w:val="none"/>
        </w:rPr>
        <w:t>BIM</w:t>
      </w:r>
      <w:r>
        <w:rPr>
          <w:color w:val="auto"/>
          <w:highlight w:val="none"/>
        </w:rPr>
        <w:t>应用，通过项目服务器上传至协同平台，作为成果归档及信息传递内容。</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09" w:name="_Toc3831"/>
      <w:r>
        <w:rPr>
          <w:rFonts w:ascii="LNUHNF+SimSun" w:hAnsi="LNUHNF+SimSun" w:cs="宋体"/>
          <w:color w:val="auto"/>
          <w:szCs w:val="21"/>
          <w:highlight w:val="none"/>
        </w:rPr>
        <w:t>BIM成果的提交及审核</w:t>
      </w:r>
      <w:bookmarkEnd w:id="609"/>
    </w:p>
    <w:p>
      <w:pPr>
        <w:spacing w:before="120" w:after="120"/>
        <w:ind w:firstLine="420" w:firstLineChars="200"/>
        <w:rPr>
          <w:color w:val="auto"/>
          <w:highlight w:val="none"/>
        </w:rPr>
      </w:pPr>
      <w:r>
        <w:rPr>
          <w:rFonts w:eastAsia="Times New Roman"/>
          <w:color w:val="auto"/>
          <w:highlight w:val="none"/>
        </w:rPr>
        <w:t>1  .BIM</w:t>
      </w:r>
      <w:r>
        <w:rPr>
          <w:color w:val="auto"/>
          <w:spacing w:val="2"/>
          <w:highlight w:val="none"/>
        </w:rPr>
        <w:t>成果在项目服务器整合汇总后，参与方将</w:t>
      </w:r>
      <w:r>
        <w:rPr>
          <w:rFonts w:eastAsia="Times New Roman"/>
          <w:color w:val="auto"/>
          <w:highlight w:val="none"/>
        </w:rPr>
        <w:t>BIM</w:t>
      </w:r>
      <w:r>
        <w:rPr>
          <w:color w:val="auto"/>
          <w:highlight w:val="none"/>
        </w:rPr>
        <w:t>成果提交至</w:t>
      </w:r>
      <w:r>
        <w:rPr>
          <w:rFonts w:eastAsia="Times New Roman"/>
          <w:color w:val="auto"/>
          <w:highlight w:val="none"/>
        </w:rPr>
        <w:t>BIM</w:t>
      </w:r>
      <w:r>
        <w:rPr>
          <w:color w:val="auto"/>
          <w:spacing w:val="2"/>
          <w:highlight w:val="none"/>
        </w:rPr>
        <w:t>总协调服务器，</w:t>
      </w:r>
      <w:r>
        <w:rPr>
          <w:color w:val="auto"/>
          <w:highlight w:val="none"/>
        </w:rPr>
        <w:t>由</w:t>
      </w:r>
      <w:r>
        <w:rPr>
          <w:rFonts w:eastAsia="Times New Roman"/>
          <w:color w:val="auto"/>
          <w:spacing w:val="-2"/>
          <w:highlight w:val="none"/>
        </w:rPr>
        <w:t>BIM</w:t>
      </w:r>
      <w:r>
        <w:rPr>
          <w:color w:val="auto"/>
          <w:highlight w:val="none"/>
        </w:rPr>
        <w:t>总协调方进行审核，形成修改意见及审核记录。</w:t>
      </w:r>
    </w:p>
    <w:p>
      <w:pPr>
        <w:spacing w:before="120" w:after="120"/>
        <w:ind w:firstLine="420" w:firstLineChars="200"/>
        <w:rPr>
          <w:color w:val="auto"/>
          <w:highlight w:val="none"/>
        </w:rPr>
      </w:pPr>
      <w:r>
        <w:rPr>
          <w:rFonts w:eastAsia="Times New Roman"/>
          <w:color w:val="auto"/>
          <w:highlight w:val="none"/>
        </w:rPr>
        <w:t>2  BIM</w:t>
      </w:r>
      <w:r>
        <w:rPr>
          <w:color w:val="auto"/>
          <w:highlight w:val="none"/>
        </w:rPr>
        <w:t>总协调方将通过书面文件、会议纪要及邮件等方式将修改意见及审核记录反馈给成果提交方，成果提交方应在规定时间内根据意见进行修改，修改后重新提交</w:t>
      </w:r>
      <w:r>
        <w:rPr>
          <w:rFonts w:eastAsia="Times New Roman"/>
          <w:color w:val="auto"/>
          <w:highlight w:val="none"/>
        </w:rPr>
        <w:t>BIM</w:t>
      </w:r>
      <w:r>
        <w:rPr>
          <w:color w:val="auto"/>
          <w:highlight w:val="none"/>
        </w:rPr>
        <w:t>总协调方审核。</w:t>
      </w:r>
    </w:p>
    <w:p>
      <w:pPr>
        <w:spacing w:before="120" w:after="120"/>
        <w:ind w:firstLine="420" w:firstLineChars="200"/>
        <w:rPr>
          <w:color w:val="auto"/>
          <w:highlight w:val="none"/>
        </w:rPr>
      </w:pPr>
      <w:r>
        <w:rPr>
          <w:rFonts w:eastAsia="Times New Roman"/>
          <w:color w:val="auto"/>
          <w:highlight w:val="none"/>
        </w:rPr>
        <w:t xml:space="preserve">3  </w:t>
      </w:r>
      <w:r>
        <w:rPr>
          <w:rFonts w:eastAsia="Times New Roman"/>
          <w:color w:val="auto"/>
          <w:spacing w:val="-2"/>
          <w:highlight w:val="none"/>
        </w:rPr>
        <w:t>BIM</w:t>
      </w:r>
      <w:r>
        <w:rPr>
          <w:color w:val="auto"/>
          <w:highlight w:val="none"/>
        </w:rPr>
        <w:t>成果经BIM总协调方检查审核后，整合</w:t>
      </w:r>
      <w:r>
        <w:rPr>
          <w:rFonts w:eastAsia="Times New Roman"/>
          <w:color w:val="auto"/>
          <w:spacing w:val="-2"/>
          <w:highlight w:val="none"/>
        </w:rPr>
        <w:t>BIM</w:t>
      </w:r>
      <w:r>
        <w:rPr>
          <w:color w:val="auto"/>
          <w:highlight w:val="none"/>
        </w:rPr>
        <w:t>成果，提交代建局项目协同平台归档，形成</w:t>
      </w:r>
      <w:r>
        <w:rPr>
          <w:rFonts w:eastAsia="Times New Roman"/>
          <w:color w:val="auto"/>
          <w:spacing w:val="-2"/>
          <w:highlight w:val="none"/>
        </w:rPr>
        <w:t>BIM</w:t>
      </w:r>
      <w:r>
        <w:rPr>
          <w:color w:val="auto"/>
          <w:highlight w:val="none"/>
        </w:rPr>
        <w:t>成果归档记录。</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10" w:name="_Toc24481"/>
      <w:r>
        <w:rPr>
          <w:rFonts w:ascii="LNUHNF+SimSun" w:hAnsi="LNUHNF+SimSun" w:cs="宋体"/>
          <w:color w:val="auto"/>
          <w:szCs w:val="21"/>
          <w:highlight w:val="none"/>
        </w:rPr>
        <w:t>BIM成果的提取及分配</w:t>
      </w:r>
      <w:bookmarkEnd w:id="610"/>
    </w:p>
    <w:p>
      <w:pPr>
        <w:spacing w:before="120" w:after="120"/>
        <w:ind w:firstLine="420" w:firstLineChars="200"/>
        <w:rPr>
          <w:color w:val="auto"/>
          <w:highlight w:val="none"/>
        </w:rPr>
      </w:pPr>
      <w:r>
        <w:rPr>
          <w:rFonts w:eastAsia="Times New Roman"/>
          <w:color w:val="auto"/>
          <w:highlight w:val="none"/>
        </w:rPr>
        <w:t xml:space="preserve">1  </w:t>
      </w:r>
      <w:r>
        <w:rPr>
          <w:rFonts w:eastAsia="Times New Roman"/>
          <w:color w:val="auto"/>
          <w:spacing w:val="-2"/>
          <w:highlight w:val="none"/>
        </w:rPr>
        <w:t>BIM</w:t>
      </w:r>
      <w:r>
        <w:rPr>
          <w:color w:val="auto"/>
          <w:highlight w:val="none"/>
        </w:rPr>
        <w:t>总协调方根据项目实施进展，在代建局项目协同平台提取上一阶段的</w:t>
      </w:r>
      <w:r>
        <w:rPr>
          <w:rFonts w:eastAsia="Times New Roman"/>
          <w:color w:val="auto"/>
          <w:spacing w:val="-2"/>
          <w:highlight w:val="none"/>
        </w:rPr>
        <w:t>BIM</w:t>
      </w:r>
      <w:r>
        <w:rPr>
          <w:color w:val="auto"/>
          <w:highlight w:val="none"/>
        </w:rPr>
        <w:t>成果，作为下一阶段的</w:t>
      </w:r>
      <w:r>
        <w:rPr>
          <w:rFonts w:eastAsia="Times New Roman"/>
          <w:color w:val="auto"/>
          <w:spacing w:val="-2"/>
          <w:highlight w:val="none"/>
        </w:rPr>
        <w:t>BIM</w:t>
      </w:r>
      <w:bookmarkStart w:id="611" w:name="_bookmark19"/>
      <w:bookmarkEnd w:id="611"/>
      <w:r>
        <w:rPr>
          <w:color w:val="auto"/>
          <w:highlight w:val="none"/>
        </w:rPr>
        <w:t>依据文件。</w:t>
      </w:r>
    </w:p>
    <w:p>
      <w:pPr>
        <w:spacing w:before="120" w:after="120"/>
        <w:ind w:firstLine="420" w:firstLineChars="200"/>
        <w:rPr>
          <w:color w:val="auto"/>
          <w:highlight w:val="none"/>
        </w:rPr>
      </w:pPr>
      <w:r>
        <w:rPr>
          <w:rFonts w:eastAsia="Times New Roman"/>
          <w:color w:val="auto"/>
          <w:highlight w:val="none"/>
        </w:rPr>
        <w:t>2  BIM</w:t>
      </w:r>
      <w:r>
        <w:rPr>
          <w:color w:val="auto"/>
          <w:highlight w:val="none"/>
        </w:rPr>
        <w:t>总协同方整理上一阶段的</w:t>
      </w:r>
      <w:r>
        <w:rPr>
          <w:rFonts w:eastAsia="Times New Roman"/>
          <w:color w:val="auto"/>
          <w:highlight w:val="none"/>
        </w:rPr>
        <w:t>BIM</w:t>
      </w:r>
      <w:r>
        <w:rPr>
          <w:color w:val="auto"/>
          <w:highlight w:val="none"/>
        </w:rPr>
        <w:t>成果，根据下一阶段的项目组织架构及各参与方的职责范围，将</w:t>
      </w:r>
      <w:r>
        <w:rPr>
          <w:rFonts w:eastAsia="Times New Roman"/>
          <w:color w:val="auto"/>
          <w:spacing w:val="-2"/>
          <w:highlight w:val="none"/>
        </w:rPr>
        <w:t>BIM</w:t>
      </w:r>
      <w:r>
        <w:rPr>
          <w:color w:val="auto"/>
          <w:highlight w:val="none"/>
        </w:rPr>
        <w:t>成果拆分并分配到各参与方。</w:t>
      </w:r>
    </w:p>
    <w:p>
      <w:pPr>
        <w:spacing w:before="120" w:after="120"/>
        <w:ind w:firstLine="420" w:firstLineChars="200"/>
        <w:rPr>
          <w:color w:val="auto"/>
          <w:highlight w:val="none"/>
        </w:rPr>
      </w:pPr>
      <w:r>
        <w:rPr>
          <w:rFonts w:eastAsia="Times New Roman"/>
          <w:color w:val="auto"/>
          <w:highlight w:val="none"/>
        </w:rPr>
        <w:t xml:space="preserve">3  </w:t>
      </w:r>
      <w:r>
        <w:rPr>
          <w:color w:val="auto"/>
          <w:highlight w:val="none"/>
        </w:rPr>
        <w:t>项目</w:t>
      </w:r>
      <w:r>
        <w:rPr>
          <w:rFonts w:eastAsia="Times New Roman"/>
          <w:color w:val="auto"/>
          <w:spacing w:val="-2"/>
          <w:highlight w:val="none"/>
        </w:rPr>
        <w:t>BIM</w:t>
      </w:r>
      <w:r>
        <w:rPr>
          <w:color w:val="auto"/>
          <w:highlight w:val="none"/>
        </w:rPr>
        <w:t>管理</w:t>
      </w:r>
    </w:p>
    <w:p>
      <w:pPr>
        <w:spacing w:before="120" w:after="120"/>
        <w:ind w:firstLine="420" w:firstLineChars="200"/>
        <w:rPr>
          <w:color w:val="auto"/>
          <w:highlight w:val="none"/>
        </w:rPr>
      </w:pPr>
      <w:r>
        <w:rPr>
          <w:rFonts w:eastAsia="Times New Roman"/>
          <w:color w:val="auto"/>
          <w:highlight w:val="none"/>
        </w:rPr>
        <w:t>1</w:t>
      </w:r>
      <w:r>
        <w:rPr>
          <w:color w:val="auto"/>
          <w:highlight w:val="none"/>
        </w:rPr>
        <w:t>）代建局及相关项目管理机构登陆代建局项目协同平台，浏览项目</w:t>
      </w:r>
      <w:r>
        <w:rPr>
          <w:rFonts w:eastAsia="Times New Roman"/>
          <w:color w:val="auto"/>
          <w:spacing w:val="-2"/>
          <w:highlight w:val="none"/>
        </w:rPr>
        <w:t>BIM</w:t>
      </w:r>
      <w:r>
        <w:rPr>
          <w:color w:val="auto"/>
          <w:highlight w:val="none"/>
        </w:rPr>
        <w:t>阶段成果，了解项目实际进展，填报及审批表单，参与项目协同管理。</w:t>
      </w:r>
    </w:p>
    <w:p>
      <w:pPr>
        <w:spacing w:before="120" w:after="120"/>
        <w:ind w:firstLine="420" w:firstLineChars="200"/>
        <w:rPr>
          <w:color w:val="auto"/>
          <w:highlight w:val="none"/>
        </w:rPr>
      </w:pPr>
      <w:r>
        <w:rPr>
          <w:rFonts w:eastAsia="Times New Roman"/>
          <w:color w:val="auto"/>
          <w:highlight w:val="none"/>
        </w:rPr>
        <w:t>2</w:t>
      </w:r>
      <w:r>
        <w:rPr>
          <w:color w:val="auto"/>
          <w:highlight w:val="none"/>
        </w:rPr>
        <w:t>）各参与方根据项目进展，在各阶段服务器上工作，在</w:t>
      </w:r>
      <w:r>
        <w:rPr>
          <w:rFonts w:eastAsia="Times New Roman"/>
          <w:color w:val="auto"/>
          <w:spacing w:val="-2"/>
          <w:highlight w:val="none"/>
        </w:rPr>
        <w:t>BIM</w:t>
      </w:r>
      <w:r>
        <w:rPr>
          <w:color w:val="auto"/>
          <w:highlight w:val="none"/>
        </w:rPr>
        <w:t>总协调方的管理下，定期更新项目进展资料。</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12" w:name="_Toc13174"/>
      <w:r>
        <w:rPr>
          <w:rFonts w:ascii="LNUHNF+SimSun" w:hAnsi="LNUHNF+SimSun" w:cs="宋体"/>
          <w:color w:val="auto"/>
          <w:szCs w:val="21"/>
          <w:highlight w:val="none"/>
        </w:rPr>
        <w:t>协同配合管理</w:t>
      </w:r>
      <w:bookmarkEnd w:id="612"/>
    </w:p>
    <w:p>
      <w:pPr>
        <w:spacing w:before="120" w:after="120"/>
        <w:ind w:firstLine="420" w:firstLineChars="200"/>
        <w:rPr>
          <w:color w:val="auto"/>
          <w:highlight w:val="none"/>
        </w:rPr>
      </w:pPr>
      <w:r>
        <w:rPr>
          <w:rFonts w:eastAsia="Times New Roman"/>
          <w:color w:val="auto"/>
          <w:highlight w:val="none"/>
        </w:rPr>
        <w:t xml:space="preserve">1  </w:t>
      </w:r>
      <w:r>
        <w:rPr>
          <w:color w:val="auto"/>
          <w:spacing w:val="-4"/>
          <w:highlight w:val="none"/>
        </w:rPr>
        <w:t>在项目设计及</w:t>
      </w:r>
      <w:r>
        <w:rPr>
          <w:color w:val="auto"/>
          <w:highlight w:val="none"/>
        </w:rPr>
        <w:t>施工准备</w:t>
      </w:r>
      <w:r>
        <w:rPr>
          <w:color w:val="auto"/>
          <w:spacing w:val="-4"/>
          <w:highlight w:val="none"/>
        </w:rPr>
        <w:t>阶段，由</w:t>
      </w:r>
      <w:r>
        <w:rPr>
          <w:rFonts w:eastAsia="Times New Roman"/>
          <w:color w:val="auto"/>
          <w:spacing w:val="-2"/>
          <w:highlight w:val="none"/>
        </w:rPr>
        <w:t>BIM</w:t>
      </w:r>
      <w:r>
        <w:rPr>
          <w:color w:val="auto"/>
          <w:spacing w:val="-3"/>
          <w:highlight w:val="none"/>
        </w:rPr>
        <w:t>总协调方根据项目的实施进度及应用要点，进行</w:t>
      </w:r>
      <w:r>
        <w:rPr>
          <w:color w:val="auto"/>
          <w:spacing w:val="-2"/>
          <w:highlight w:val="none"/>
        </w:rPr>
        <w:t>各参与方的权限分配，制定统一的协同管理要求及多方协同机制，保证项目平台的正常运作。</w:t>
      </w:r>
    </w:p>
    <w:p>
      <w:pPr>
        <w:spacing w:before="120" w:after="120"/>
        <w:ind w:firstLine="420" w:firstLineChars="200"/>
        <w:rPr>
          <w:color w:val="auto"/>
          <w:highlight w:val="none"/>
        </w:rPr>
      </w:pPr>
      <w:r>
        <w:rPr>
          <w:rFonts w:eastAsia="Times New Roman"/>
          <w:color w:val="auto"/>
          <w:highlight w:val="none"/>
        </w:rPr>
        <w:t xml:space="preserve">2  </w:t>
      </w:r>
      <w:r>
        <w:rPr>
          <w:color w:val="auto"/>
          <w:highlight w:val="none"/>
        </w:rPr>
        <w:t>项目参与方应根据项目实施进度，定期访问各阶段服务器，及时更新项目进展情况，获取最新的项目信息。</w:t>
      </w:r>
    </w:p>
    <w:p>
      <w:pPr>
        <w:spacing w:before="120" w:after="120"/>
        <w:ind w:firstLine="420" w:firstLineChars="200"/>
        <w:rPr>
          <w:color w:val="auto"/>
          <w:highlight w:val="none"/>
        </w:rPr>
      </w:pPr>
      <w:r>
        <w:rPr>
          <w:rFonts w:eastAsia="Times New Roman"/>
          <w:color w:val="auto"/>
          <w:highlight w:val="none"/>
        </w:rPr>
        <w:t xml:space="preserve">3  </w:t>
      </w:r>
      <w:r>
        <w:rPr>
          <w:rFonts w:eastAsia="Times New Roman"/>
          <w:color w:val="auto"/>
          <w:spacing w:val="-2"/>
          <w:highlight w:val="none"/>
        </w:rPr>
        <w:t>BIM</w:t>
      </w:r>
      <w:r>
        <w:rPr>
          <w:color w:val="auto"/>
          <w:highlight w:val="none"/>
        </w:rPr>
        <w:t>总协调方通过</w:t>
      </w:r>
      <w:r>
        <w:rPr>
          <w:rFonts w:eastAsia="Times New Roman"/>
          <w:color w:val="auto"/>
          <w:spacing w:val="-2"/>
          <w:highlight w:val="none"/>
        </w:rPr>
        <w:t>BIM</w:t>
      </w:r>
      <w:r>
        <w:rPr>
          <w:color w:val="auto"/>
          <w:highlight w:val="none"/>
        </w:rPr>
        <w:t>的协同功能，将各参与方的</w:t>
      </w:r>
      <w:r>
        <w:rPr>
          <w:rFonts w:eastAsia="Times New Roman"/>
          <w:color w:val="auto"/>
          <w:spacing w:val="-2"/>
          <w:highlight w:val="none"/>
        </w:rPr>
        <w:t>BIM</w:t>
      </w:r>
      <w:r>
        <w:rPr>
          <w:color w:val="auto"/>
          <w:highlight w:val="none"/>
        </w:rPr>
        <w:t>模型进行模型合成或拆分。项目参与方必须按照已定的</w:t>
      </w:r>
      <w:r>
        <w:rPr>
          <w:rFonts w:ascii="宋体" w:hAnsi="宋体"/>
          <w:color w:val="auto"/>
          <w:highlight w:val="none"/>
        </w:rPr>
        <w:t>“模型拆分原则”、“模型搭建原则”及“模型命名原则”进</w:t>
      </w:r>
      <w:r>
        <w:rPr>
          <w:color w:val="auto"/>
          <w:highlight w:val="none"/>
        </w:rPr>
        <w:t>行</w:t>
      </w:r>
      <w:r>
        <w:rPr>
          <w:rFonts w:eastAsia="Times New Roman"/>
          <w:color w:val="auto"/>
          <w:spacing w:val="-2"/>
          <w:highlight w:val="none"/>
        </w:rPr>
        <w:t>BIM</w:t>
      </w:r>
      <w:r>
        <w:rPr>
          <w:color w:val="auto"/>
          <w:highlight w:val="none"/>
        </w:rPr>
        <w:t>模型管理。各参与方均按照统一的标准，保证文件引用的一致性。</w:t>
      </w:r>
    </w:p>
    <w:p>
      <w:pPr>
        <w:spacing w:before="120" w:after="120"/>
        <w:ind w:firstLine="420" w:firstLineChars="200"/>
        <w:rPr>
          <w:color w:val="auto"/>
          <w:highlight w:val="none"/>
        </w:rPr>
      </w:pPr>
      <w:r>
        <w:rPr>
          <w:rFonts w:eastAsia="Times New Roman"/>
          <w:color w:val="auto"/>
          <w:highlight w:val="none"/>
        </w:rPr>
        <w:t xml:space="preserve">4  </w:t>
      </w:r>
      <w:r>
        <w:rPr>
          <w:color w:val="auto"/>
          <w:spacing w:val="2"/>
          <w:highlight w:val="none"/>
        </w:rPr>
        <w:t>各参与方应安排人员负责本单位的工作完成的情况检查。</w:t>
      </w:r>
      <w:r>
        <w:rPr>
          <w:rFonts w:eastAsia="Times New Roman"/>
          <w:color w:val="auto"/>
          <w:spacing w:val="2"/>
          <w:highlight w:val="none"/>
        </w:rPr>
        <w:t>BIM</w:t>
      </w:r>
      <w:r>
        <w:rPr>
          <w:color w:val="auto"/>
          <w:spacing w:val="7"/>
          <w:highlight w:val="none"/>
        </w:rPr>
        <w:t>总协调方应定时检查</w:t>
      </w:r>
      <w:r>
        <w:rPr>
          <w:color w:val="auto"/>
          <w:spacing w:val="9"/>
          <w:highlight w:val="none"/>
        </w:rPr>
        <w:t>各参与方的</w:t>
      </w:r>
      <w:r>
        <w:rPr>
          <w:rFonts w:eastAsia="Times New Roman"/>
          <w:color w:val="auto"/>
          <w:spacing w:val="-2"/>
          <w:highlight w:val="none"/>
        </w:rPr>
        <w:t>BIM</w:t>
      </w:r>
      <w:r>
        <w:rPr>
          <w:color w:val="auto"/>
          <w:spacing w:val="11"/>
          <w:highlight w:val="none"/>
        </w:rPr>
        <w:t>协同平台的执行情况；当各参与方负责的部分完成后，提交至项目协同</w:t>
      </w:r>
      <w:r>
        <w:rPr>
          <w:color w:val="auto"/>
          <w:spacing w:val="5"/>
          <w:highlight w:val="none"/>
        </w:rPr>
        <w:t>平台，</w:t>
      </w:r>
      <w:r>
        <w:rPr>
          <w:rFonts w:eastAsia="Times New Roman"/>
          <w:color w:val="auto"/>
          <w:spacing w:val="5"/>
          <w:highlight w:val="none"/>
        </w:rPr>
        <w:t>BIM</w:t>
      </w:r>
      <w:r>
        <w:rPr>
          <w:color w:val="auto"/>
          <w:spacing w:val="9"/>
          <w:highlight w:val="none"/>
        </w:rPr>
        <w:t>总协调方在协同平台上审核是否符合模型标准的要求。</w:t>
      </w:r>
    </w:p>
    <w:p>
      <w:pPr>
        <w:spacing w:before="120" w:after="120"/>
        <w:ind w:firstLine="420" w:firstLineChars="200"/>
        <w:rPr>
          <w:color w:val="auto"/>
          <w:highlight w:val="none"/>
        </w:rPr>
      </w:pPr>
      <w:r>
        <w:rPr>
          <w:rFonts w:eastAsia="Times New Roman"/>
          <w:color w:val="auto"/>
          <w:highlight w:val="none"/>
        </w:rPr>
        <w:t xml:space="preserve">5  </w:t>
      </w:r>
      <w:r>
        <w:rPr>
          <w:color w:val="auto"/>
          <w:spacing w:val="-10"/>
          <w:highlight w:val="none"/>
        </w:rPr>
        <w:t>项目全过程的信息（</w:t>
      </w:r>
      <w:r>
        <w:rPr>
          <w:color w:val="auto"/>
          <w:highlight w:val="none"/>
        </w:rPr>
        <w:t>往来</w:t>
      </w:r>
      <w:r>
        <w:rPr>
          <w:color w:val="auto"/>
          <w:spacing w:val="-10"/>
          <w:highlight w:val="none"/>
        </w:rPr>
        <w:t>文件、信函、会议纪要等）应通过</w:t>
      </w:r>
      <w:r>
        <w:rPr>
          <w:rFonts w:eastAsia="Times New Roman"/>
          <w:color w:val="auto"/>
          <w:spacing w:val="-2"/>
          <w:highlight w:val="none"/>
        </w:rPr>
        <w:t>BIM</w:t>
      </w:r>
      <w:r>
        <w:rPr>
          <w:color w:val="auto"/>
          <w:highlight w:val="none"/>
        </w:rPr>
        <w:t>总协调方审核归档后，收集到代建局项目协同平台备份。</w:t>
      </w:r>
    </w:p>
    <w:p>
      <w:pPr>
        <w:pStyle w:val="710"/>
        <w:numPr>
          <w:ilvl w:val="1"/>
          <w:numId w:val="7"/>
        </w:numPr>
        <w:tabs>
          <w:tab w:val="clear" w:pos="5424"/>
        </w:tabs>
        <w:spacing w:before="120" w:after="120" w:line="360" w:lineRule="auto"/>
        <w:ind w:left="0"/>
        <w:outlineLvl w:val="1"/>
        <w:rPr>
          <w:rFonts w:ascii="Times New Roman" w:hAnsi="Times New Roman" w:eastAsia="黑体"/>
          <w:b w:val="0"/>
          <w:bCs/>
          <w:color w:val="auto"/>
          <w:sz w:val="24"/>
          <w:szCs w:val="24"/>
          <w:highlight w:val="none"/>
        </w:rPr>
      </w:pPr>
      <w:bookmarkStart w:id="613" w:name="_Toc54567609"/>
      <w:bookmarkStart w:id="614" w:name="_Toc27952"/>
      <w:r>
        <w:rPr>
          <w:rFonts w:ascii="Times New Roman" w:hAnsi="Times New Roman" w:eastAsia="黑体"/>
          <w:b w:val="0"/>
          <w:bCs/>
          <w:color w:val="auto"/>
          <w:sz w:val="24"/>
          <w:szCs w:val="24"/>
          <w:highlight w:val="none"/>
        </w:rPr>
        <w:t>各参与方协同工作</w:t>
      </w:r>
      <w:bookmarkEnd w:id="613"/>
      <w:bookmarkEnd w:id="614"/>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15" w:name="_Toc19522"/>
      <w:r>
        <w:rPr>
          <w:rFonts w:ascii="LNUHNF+SimSun" w:hAnsi="LNUHNF+SimSun" w:cs="宋体"/>
          <w:color w:val="auto"/>
          <w:szCs w:val="21"/>
          <w:highlight w:val="none"/>
        </w:rPr>
        <w:t>设计阶段协同工作</w:t>
      </w:r>
      <w:bookmarkEnd w:id="615"/>
    </w:p>
    <w:p>
      <w:pPr>
        <w:spacing w:before="120" w:after="120"/>
        <w:ind w:firstLine="420" w:firstLineChars="200"/>
        <w:rPr>
          <w:color w:val="auto"/>
          <w:highlight w:val="none"/>
        </w:rPr>
      </w:pPr>
      <w:r>
        <w:rPr>
          <w:rFonts w:eastAsia="Times New Roman"/>
          <w:color w:val="auto"/>
          <w:highlight w:val="none"/>
        </w:rPr>
        <w:t xml:space="preserve">1  </w:t>
      </w:r>
      <w:r>
        <w:rPr>
          <w:color w:val="auto"/>
          <w:highlight w:val="none"/>
        </w:rPr>
        <w:t>设计单位内部协同</w:t>
      </w:r>
    </w:p>
    <w:p>
      <w:pPr>
        <w:spacing w:before="120" w:after="120"/>
        <w:ind w:firstLine="420" w:firstLineChars="200"/>
        <w:rPr>
          <w:color w:val="auto"/>
          <w:highlight w:val="none"/>
        </w:rPr>
      </w:pPr>
      <w:r>
        <w:rPr>
          <w:color w:val="auto"/>
          <w:highlight w:val="none"/>
        </w:rPr>
        <w:t>在设计阶段项目</w:t>
      </w:r>
      <w:r>
        <w:rPr>
          <w:rFonts w:eastAsia="Times New Roman"/>
          <w:color w:val="auto"/>
          <w:spacing w:val="-2"/>
          <w:highlight w:val="none"/>
        </w:rPr>
        <w:t>BIM</w:t>
      </w:r>
      <w:r>
        <w:rPr>
          <w:color w:val="auto"/>
          <w:spacing w:val="-10"/>
          <w:highlight w:val="none"/>
        </w:rPr>
        <w:t>实施</w:t>
      </w:r>
      <w:r>
        <w:rPr>
          <w:color w:val="auto"/>
          <w:highlight w:val="none"/>
        </w:rPr>
        <w:t>过程中，协同工作主要为建筑、结构、机电三大块的专业内协同和专业间协同。</w:t>
      </w:r>
    </w:p>
    <w:p>
      <w:pPr>
        <w:spacing w:before="120" w:after="120"/>
        <w:ind w:firstLine="420" w:firstLineChars="200"/>
        <w:rPr>
          <w:color w:val="auto"/>
          <w:highlight w:val="none"/>
        </w:rPr>
      </w:pPr>
      <w:r>
        <w:rPr>
          <w:rFonts w:eastAsia="Times New Roman"/>
          <w:color w:val="auto"/>
          <w:highlight w:val="none"/>
        </w:rPr>
        <w:t>1</w:t>
      </w:r>
      <w:r>
        <w:rPr>
          <w:color w:val="auto"/>
          <w:highlight w:val="none"/>
        </w:rPr>
        <w:t>）专业内协同</w:t>
      </w:r>
    </w:p>
    <w:p>
      <w:pPr>
        <w:spacing w:before="120" w:after="120"/>
        <w:ind w:firstLine="420" w:firstLineChars="200"/>
        <w:rPr>
          <w:color w:val="auto"/>
          <w:highlight w:val="none"/>
        </w:rPr>
      </w:pPr>
      <w:r>
        <w:rPr>
          <w:color w:val="auto"/>
          <w:highlight w:val="none"/>
        </w:rPr>
        <w:t>（</w:t>
      </w:r>
      <w:r>
        <w:rPr>
          <w:rFonts w:eastAsia="Times New Roman"/>
          <w:color w:val="auto"/>
          <w:highlight w:val="none"/>
        </w:rPr>
        <w:t>1</w:t>
      </w:r>
      <w:r>
        <w:rPr>
          <w:color w:val="auto"/>
          <w:highlight w:val="none"/>
        </w:rPr>
        <w:t>）专业内协同</w:t>
      </w:r>
      <w:r>
        <w:rPr>
          <w:color w:val="auto"/>
          <w:spacing w:val="-10"/>
          <w:highlight w:val="none"/>
        </w:rPr>
        <w:t>采用</w:t>
      </w:r>
      <w:r>
        <w:rPr>
          <w:rFonts w:hint="eastAsia"/>
          <w:color w:val="auto"/>
          <w:highlight w:val="none"/>
        </w:rPr>
        <w:t>“</w:t>
      </w:r>
      <w:r>
        <w:rPr>
          <w:color w:val="auto"/>
          <w:highlight w:val="none"/>
        </w:rPr>
        <w:t>中心文件</w:t>
      </w:r>
      <w:r>
        <w:rPr>
          <w:rFonts w:hint="eastAsia"/>
          <w:color w:val="auto"/>
          <w:highlight w:val="none"/>
        </w:rPr>
        <w:t>”</w:t>
      </w:r>
      <w:r>
        <w:rPr>
          <w:color w:val="auto"/>
          <w:highlight w:val="none"/>
        </w:rPr>
        <w:t>协同方式，由建筑、结构、机电各专业分别创建，并且仅包含本专业负责的内容，设计人员单独创建、</w:t>
      </w:r>
      <w:r>
        <w:rPr>
          <w:color w:val="auto"/>
          <w:spacing w:val="-10"/>
          <w:highlight w:val="none"/>
        </w:rPr>
        <w:t>修改</w:t>
      </w:r>
      <w:r>
        <w:rPr>
          <w:color w:val="auto"/>
          <w:highlight w:val="none"/>
        </w:rPr>
        <w:t>、访问各自专业内</w:t>
      </w:r>
      <w:r>
        <w:rPr>
          <w:rFonts w:eastAsia="Times New Roman"/>
          <w:color w:val="auto"/>
          <w:spacing w:val="-2"/>
          <w:highlight w:val="none"/>
        </w:rPr>
        <w:t>BIM</w:t>
      </w:r>
      <w:r>
        <w:rPr>
          <w:color w:val="auto"/>
          <w:highlight w:val="none"/>
        </w:rPr>
        <w:t>成果。</w:t>
      </w:r>
    </w:p>
    <w:p>
      <w:pPr>
        <w:spacing w:before="120" w:after="120"/>
        <w:ind w:firstLine="408" w:firstLineChars="200"/>
        <w:rPr>
          <w:color w:val="auto"/>
          <w:highlight w:val="none"/>
        </w:rPr>
      </w:pPr>
      <w:r>
        <w:rPr>
          <w:color w:val="auto"/>
          <w:spacing w:val="-3"/>
          <w:highlight w:val="none"/>
        </w:rPr>
        <w:t>（</w:t>
      </w:r>
      <w:r>
        <w:rPr>
          <w:rFonts w:eastAsia="Times New Roman"/>
          <w:color w:val="auto"/>
          <w:spacing w:val="-3"/>
          <w:highlight w:val="none"/>
        </w:rPr>
        <w:t>2</w:t>
      </w:r>
      <w:r>
        <w:rPr>
          <w:color w:val="auto"/>
          <w:spacing w:val="-3"/>
          <w:highlight w:val="none"/>
        </w:rPr>
        <w:t>）设计单位搭建设计服务器，所有设计成果保存在设计服务器中。在服务器项目文</w:t>
      </w:r>
      <w:r>
        <w:rPr>
          <w:color w:val="auto"/>
          <w:spacing w:val="-7"/>
          <w:highlight w:val="none"/>
        </w:rPr>
        <w:t>件系统中，应当为专业划分各自的文件位置，以便分别保存、更新</w:t>
      </w:r>
      <w:r>
        <w:rPr>
          <w:rFonts w:eastAsia="Times New Roman"/>
          <w:color w:val="auto"/>
          <w:spacing w:val="-2"/>
          <w:highlight w:val="none"/>
        </w:rPr>
        <w:t>BIM</w:t>
      </w:r>
      <w:r>
        <w:rPr>
          <w:color w:val="auto"/>
          <w:highlight w:val="none"/>
        </w:rPr>
        <w:t>成果和多专业间协同。</w:t>
      </w:r>
    </w:p>
    <w:p>
      <w:pPr>
        <w:spacing w:before="120" w:after="120"/>
        <w:ind w:firstLine="420" w:firstLineChars="200"/>
        <w:rPr>
          <w:color w:val="auto"/>
          <w:highlight w:val="none"/>
        </w:rPr>
      </w:pPr>
      <w:r>
        <w:rPr>
          <w:rFonts w:eastAsia="Times New Roman"/>
          <w:color w:val="auto"/>
          <w:highlight w:val="none"/>
        </w:rPr>
        <w:t>2</w:t>
      </w:r>
      <w:r>
        <w:rPr>
          <w:color w:val="auto"/>
          <w:highlight w:val="none"/>
        </w:rPr>
        <w:t>）专业间协同</w:t>
      </w:r>
    </w:p>
    <w:p>
      <w:pPr>
        <w:spacing w:before="120" w:after="120"/>
        <w:ind w:firstLine="420" w:firstLineChars="200"/>
        <w:rPr>
          <w:color w:val="auto"/>
          <w:highlight w:val="none"/>
        </w:rPr>
      </w:pPr>
      <w:r>
        <w:rPr>
          <w:color w:val="auto"/>
          <w:highlight w:val="none"/>
        </w:rPr>
        <w:t>（</w:t>
      </w:r>
      <w:r>
        <w:rPr>
          <w:rFonts w:eastAsia="Times New Roman"/>
          <w:color w:val="auto"/>
          <w:highlight w:val="none"/>
        </w:rPr>
        <w:t>1</w:t>
      </w:r>
      <w:r>
        <w:rPr>
          <w:color w:val="auto"/>
          <w:highlight w:val="none"/>
        </w:rPr>
        <w:t>）专业间协同采用“链接文件”的方式，各专业通过</w:t>
      </w:r>
      <w:r>
        <w:rPr>
          <w:rFonts w:eastAsia="Times New Roman"/>
          <w:color w:val="auto"/>
          <w:spacing w:val="-2"/>
          <w:highlight w:val="none"/>
        </w:rPr>
        <w:t>BIM</w:t>
      </w:r>
      <w:r>
        <w:rPr>
          <w:color w:val="auto"/>
          <w:highlight w:val="none"/>
        </w:rPr>
        <w:t>文件链接到本专业模型中，进行设计参考资料。</w:t>
      </w:r>
    </w:p>
    <w:p>
      <w:pPr>
        <w:spacing w:before="120" w:after="120"/>
        <w:ind w:firstLine="420" w:firstLineChars="200"/>
        <w:rPr>
          <w:color w:val="auto"/>
          <w:highlight w:val="none"/>
        </w:rPr>
      </w:pPr>
      <w:r>
        <w:rPr>
          <w:color w:val="auto"/>
          <w:highlight w:val="none"/>
        </w:rPr>
        <w:t>（</w:t>
      </w:r>
      <w:r>
        <w:rPr>
          <w:rFonts w:eastAsia="Times New Roman"/>
          <w:color w:val="auto"/>
          <w:highlight w:val="none"/>
        </w:rPr>
        <w:t>2</w:t>
      </w:r>
      <w:r>
        <w:rPr>
          <w:color w:val="auto"/>
          <w:highlight w:val="none"/>
        </w:rPr>
        <w:t>）其他设计分包单位的</w:t>
      </w:r>
      <w:r>
        <w:rPr>
          <w:rFonts w:eastAsia="Times New Roman"/>
          <w:color w:val="auto"/>
          <w:spacing w:val="-2"/>
          <w:highlight w:val="none"/>
        </w:rPr>
        <w:t>BIM</w:t>
      </w:r>
      <w:r>
        <w:rPr>
          <w:color w:val="auto"/>
          <w:highlight w:val="none"/>
        </w:rPr>
        <w:t>设计成果经进行审核和确认后，上传到设计服务器的数据库并注明上传时间。</w:t>
      </w:r>
    </w:p>
    <w:p>
      <w:pPr>
        <w:spacing w:before="120" w:after="120"/>
        <w:ind w:firstLine="420" w:firstLineChars="200"/>
        <w:rPr>
          <w:color w:val="auto"/>
          <w:highlight w:val="none"/>
        </w:rPr>
      </w:pPr>
      <w:r>
        <w:rPr>
          <w:color w:val="auto"/>
          <w:highlight w:val="none"/>
        </w:rPr>
        <w:t>（</w:t>
      </w:r>
      <w:r>
        <w:rPr>
          <w:rFonts w:eastAsia="Times New Roman"/>
          <w:color w:val="auto"/>
          <w:highlight w:val="none"/>
        </w:rPr>
        <w:t>3</w:t>
      </w:r>
      <w:r>
        <w:rPr>
          <w:color w:val="auto"/>
          <w:highlight w:val="none"/>
        </w:rPr>
        <w:t>）当共享</w:t>
      </w:r>
      <w:r>
        <w:rPr>
          <w:rFonts w:eastAsia="Times New Roman"/>
          <w:color w:val="auto"/>
          <w:spacing w:val="-2"/>
          <w:highlight w:val="none"/>
        </w:rPr>
        <w:t>BIM</w:t>
      </w:r>
      <w:r>
        <w:rPr>
          <w:color w:val="auto"/>
          <w:highlight w:val="none"/>
        </w:rPr>
        <w:t>成果有变更时，应及时通知项目各专业设计团队，方便迅速处理变更问题。</w:t>
      </w:r>
    </w:p>
    <w:p>
      <w:pPr>
        <w:spacing w:before="120" w:after="120"/>
        <w:ind w:firstLine="420" w:firstLineChars="200"/>
        <w:rPr>
          <w:color w:val="auto"/>
          <w:highlight w:val="none"/>
        </w:rPr>
      </w:pPr>
      <w:r>
        <w:rPr>
          <w:rFonts w:eastAsia="Times New Roman"/>
          <w:color w:val="auto"/>
          <w:highlight w:val="none"/>
        </w:rPr>
        <w:t xml:space="preserve">2  </w:t>
      </w:r>
      <w:r>
        <w:rPr>
          <w:color w:val="auto"/>
          <w:highlight w:val="none"/>
        </w:rPr>
        <w:t>设计单位外部协同</w:t>
      </w:r>
    </w:p>
    <w:p>
      <w:pPr>
        <w:spacing w:before="120" w:after="120"/>
        <w:ind w:firstLine="420" w:firstLineChars="200"/>
        <w:rPr>
          <w:color w:val="auto"/>
          <w:highlight w:val="none"/>
        </w:rPr>
      </w:pPr>
      <w:r>
        <w:rPr>
          <w:color w:val="auto"/>
          <w:highlight w:val="none"/>
        </w:rPr>
        <w:t>1）设计单位根据各阶段成果提交要求，按时间节点提交项目BIM设计成果，经BIM总协调方审核后，汇总至代建局项目管理平台作为设计各阶段BIM成果文件。</w:t>
      </w:r>
    </w:p>
    <w:p>
      <w:pPr>
        <w:spacing w:before="120" w:after="120"/>
        <w:ind w:firstLine="420" w:firstLineChars="200"/>
        <w:rPr>
          <w:color w:val="auto"/>
          <w:highlight w:val="none"/>
        </w:rPr>
      </w:pPr>
      <w:r>
        <w:rPr>
          <w:color w:val="auto"/>
          <w:highlight w:val="none"/>
        </w:rPr>
        <w:t>2）</w:t>
      </w:r>
      <w:r>
        <w:rPr>
          <w:rFonts w:hint="eastAsia"/>
          <w:color w:val="auto"/>
          <w:highlight w:val="none"/>
        </w:rPr>
        <w:t>前期工作部</w:t>
      </w:r>
      <w:r>
        <w:rPr>
          <w:color w:val="auto"/>
          <w:highlight w:val="none"/>
        </w:rPr>
        <w:t>及其他设计管理单位通过访问代建局项目协同平台，对设计各阶段BIM成果文件进行审阅，反馈设计修改意见，通知设计单位进行修改。</w:t>
      </w:r>
    </w:p>
    <w:p>
      <w:pPr>
        <w:spacing w:before="120" w:after="120"/>
        <w:ind w:firstLine="420" w:firstLineChars="200"/>
        <w:rPr>
          <w:color w:val="auto"/>
          <w:highlight w:val="none"/>
        </w:rPr>
      </w:pPr>
      <w:r>
        <w:rPr>
          <w:color w:val="auto"/>
          <w:highlight w:val="none"/>
        </w:rPr>
        <w:t>3）设计的BIM成果归档后，BIM总协调方根据下一施工阶段的要求，在代建局项目协同平台提取设计BIM成果，分配到施工服务器。</w:t>
      </w:r>
    </w:p>
    <w:p>
      <w:pPr>
        <w:spacing w:before="120" w:after="120"/>
        <w:ind w:firstLine="420" w:firstLineChars="200"/>
        <w:rPr>
          <w:color w:val="auto"/>
          <w:highlight w:val="none"/>
        </w:rPr>
      </w:pPr>
      <w:r>
        <w:rPr>
          <w:color w:val="auto"/>
          <w:highlight w:val="none"/>
        </w:rPr>
        <w:t>3  设计阶段协同流程详见“</w:t>
      </w:r>
      <w:r>
        <w:rPr>
          <w:rFonts w:eastAsia="Times New Roman"/>
          <w:color w:val="auto"/>
          <w:highlight w:val="none"/>
        </w:rPr>
        <w:t>6.2.2</w:t>
      </w:r>
      <w:r>
        <w:rPr>
          <w:color w:val="auto"/>
          <w:highlight w:val="none"/>
        </w:rPr>
        <w:t>设计阶段</w:t>
      </w:r>
      <w:r>
        <w:rPr>
          <w:rFonts w:eastAsia="Times New Roman"/>
          <w:color w:val="auto"/>
          <w:spacing w:val="-2"/>
          <w:highlight w:val="none"/>
        </w:rPr>
        <w:t>BIM</w:t>
      </w:r>
      <w:r>
        <w:rPr>
          <w:color w:val="auto"/>
          <w:highlight w:val="none"/>
        </w:rPr>
        <w:t>管理流程”。</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16" w:name="_Toc18042"/>
      <w:r>
        <w:rPr>
          <w:rFonts w:ascii="LNUHNF+SimSun" w:hAnsi="LNUHNF+SimSun" w:cs="宋体"/>
          <w:color w:val="auto"/>
          <w:szCs w:val="21"/>
          <w:highlight w:val="none"/>
        </w:rPr>
        <w:t>施工阶段协同工作</w:t>
      </w:r>
      <w:bookmarkEnd w:id="616"/>
    </w:p>
    <w:p>
      <w:pPr>
        <w:spacing w:before="120" w:after="120"/>
        <w:ind w:firstLine="420" w:firstLineChars="200"/>
        <w:rPr>
          <w:color w:val="auto"/>
          <w:highlight w:val="none"/>
        </w:rPr>
      </w:pPr>
      <w:r>
        <w:rPr>
          <w:rFonts w:eastAsia="Times New Roman"/>
          <w:color w:val="auto"/>
          <w:highlight w:val="none"/>
        </w:rPr>
        <w:t xml:space="preserve">1  </w:t>
      </w:r>
      <w:r>
        <w:rPr>
          <w:color w:val="auto"/>
          <w:highlight w:val="none"/>
        </w:rPr>
        <w:t>施工单位收到设计</w:t>
      </w:r>
      <w:r>
        <w:rPr>
          <w:rFonts w:eastAsia="Times New Roman"/>
          <w:color w:val="auto"/>
          <w:spacing w:val="-2"/>
          <w:highlight w:val="none"/>
        </w:rPr>
        <w:t>BIM</w:t>
      </w:r>
      <w:r>
        <w:rPr>
          <w:color w:val="auto"/>
          <w:highlight w:val="none"/>
        </w:rPr>
        <w:t>成果后，由施工总承包单位进行成果拆分，分配到专业承包单位。</w:t>
      </w:r>
    </w:p>
    <w:p>
      <w:pPr>
        <w:spacing w:before="120" w:after="120"/>
        <w:ind w:firstLine="428" w:firstLineChars="200"/>
        <w:rPr>
          <w:color w:val="auto"/>
          <w:highlight w:val="none"/>
        </w:rPr>
      </w:pPr>
      <w:r>
        <w:rPr>
          <w:rFonts w:eastAsia="Times New Roman"/>
          <w:color w:val="auto"/>
          <w:spacing w:val="2"/>
          <w:highlight w:val="none"/>
        </w:rPr>
        <w:t xml:space="preserve">2  </w:t>
      </w:r>
      <w:r>
        <w:rPr>
          <w:color w:val="auto"/>
          <w:spacing w:val="2"/>
          <w:highlight w:val="none"/>
        </w:rPr>
        <w:t>项目施工各参与单位采用“中心文件”方式，在施工服务器上深化、更新各施工承包</w:t>
      </w:r>
      <w:r>
        <w:rPr>
          <w:color w:val="auto"/>
          <w:highlight w:val="none"/>
        </w:rPr>
        <w:t>范围内的</w:t>
      </w:r>
      <w:r>
        <w:rPr>
          <w:rFonts w:eastAsia="Times New Roman"/>
          <w:color w:val="auto"/>
          <w:spacing w:val="-2"/>
          <w:highlight w:val="none"/>
        </w:rPr>
        <w:t>BIM</w:t>
      </w:r>
      <w:r>
        <w:rPr>
          <w:color w:val="auto"/>
          <w:highlight w:val="none"/>
        </w:rPr>
        <w:t>成果。</w:t>
      </w:r>
    </w:p>
    <w:p>
      <w:pPr>
        <w:spacing w:before="120" w:after="120"/>
        <w:ind w:firstLine="420" w:firstLineChars="200"/>
        <w:rPr>
          <w:color w:val="auto"/>
          <w:highlight w:val="none"/>
        </w:rPr>
      </w:pPr>
      <w:r>
        <w:rPr>
          <w:rFonts w:eastAsia="Times New Roman"/>
          <w:color w:val="auto"/>
          <w:highlight w:val="none"/>
        </w:rPr>
        <w:t xml:space="preserve">3  </w:t>
      </w:r>
      <w:r>
        <w:rPr>
          <w:color w:val="auto"/>
          <w:highlight w:val="none"/>
        </w:rPr>
        <w:t>施工总承包单位采用“链接文件”方式，综合合成各施工分包单位</w:t>
      </w:r>
      <w:r>
        <w:rPr>
          <w:rFonts w:eastAsia="Times New Roman"/>
          <w:color w:val="auto"/>
          <w:spacing w:val="-2"/>
          <w:highlight w:val="none"/>
        </w:rPr>
        <w:t>BIM</w:t>
      </w:r>
      <w:r>
        <w:rPr>
          <w:color w:val="auto"/>
          <w:highlight w:val="none"/>
        </w:rPr>
        <w:t>成果，在</w:t>
      </w:r>
      <w:r>
        <w:rPr>
          <w:rFonts w:eastAsia="Times New Roman"/>
          <w:color w:val="auto"/>
          <w:highlight w:val="none"/>
        </w:rPr>
        <w:t>BIM</w:t>
      </w:r>
      <w:r>
        <w:rPr>
          <w:color w:val="auto"/>
          <w:highlight w:val="none"/>
        </w:rPr>
        <w:t>总协调方配合指导下，应用</w:t>
      </w:r>
      <w:r>
        <w:rPr>
          <w:rFonts w:eastAsia="Times New Roman"/>
          <w:color w:val="auto"/>
          <w:spacing w:val="-2"/>
          <w:highlight w:val="none"/>
        </w:rPr>
        <w:t>BIM</w:t>
      </w:r>
      <w:r>
        <w:rPr>
          <w:color w:val="auto"/>
          <w:highlight w:val="none"/>
        </w:rPr>
        <w:t>成果与现场施工管理工作中，优化施工组织方式、协调各施工分包单位工作、对重难点施工区域进行模拟，辅助工程过程控制，形成项目施工</w:t>
      </w:r>
      <w:r>
        <w:rPr>
          <w:rFonts w:eastAsia="Times New Roman"/>
          <w:color w:val="auto"/>
          <w:spacing w:val="-2"/>
          <w:highlight w:val="none"/>
        </w:rPr>
        <w:t>BIM</w:t>
      </w:r>
      <w:r>
        <w:rPr>
          <w:color w:val="auto"/>
          <w:highlight w:val="none"/>
        </w:rPr>
        <w:t>应用成果，提交</w:t>
      </w:r>
      <w:r>
        <w:rPr>
          <w:rFonts w:eastAsia="Times New Roman"/>
          <w:color w:val="auto"/>
          <w:spacing w:val="-2"/>
          <w:highlight w:val="none"/>
        </w:rPr>
        <w:t>BIM</w:t>
      </w:r>
      <w:r>
        <w:rPr>
          <w:color w:val="auto"/>
          <w:highlight w:val="none"/>
        </w:rPr>
        <w:t>总协调方审核，作为项目施工阶段实施管理</w:t>
      </w:r>
      <w:r>
        <w:rPr>
          <w:rFonts w:eastAsia="Times New Roman"/>
          <w:color w:val="auto"/>
          <w:spacing w:val="-2"/>
          <w:highlight w:val="none"/>
        </w:rPr>
        <w:t>BIM</w:t>
      </w:r>
      <w:r>
        <w:rPr>
          <w:color w:val="auto"/>
          <w:highlight w:val="none"/>
        </w:rPr>
        <w:t>成果资料。</w:t>
      </w:r>
    </w:p>
    <w:p>
      <w:pPr>
        <w:spacing w:before="120" w:after="120"/>
        <w:ind w:firstLine="428" w:firstLineChars="200"/>
        <w:rPr>
          <w:color w:val="auto"/>
          <w:highlight w:val="none"/>
        </w:rPr>
      </w:pPr>
      <w:r>
        <w:rPr>
          <w:rFonts w:eastAsia="Times New Roman"/>
          <w:color w:val="auto"/>
          <w:spacing w:val="2"/>
          <w:highlight w:val="none"/>
        </w:rPr>
        <w:t xml:space="preserve">4  </w:t>
      </w:r>
      <w:r>
        <w:rPr>
          <w:color w:val="auto"/>
          <w:spacing w:val="2"/>
          <w:highlight w:val="none"/>
        </w:rPr>
        <w:t>施工过程中出现的设计变更，由施工总承包单位根据协商修改意见，提出设计变更，</w:t>
      </w:r>
      <w:r>
        <w:rPr>
          <w:color w:val="auto"/>
          <w:highlight w:val="none"/>
        </w:rPr>
        <w:t>上传至代建局项目协同平台。</w:t>
      </w:r>
      <w:r>
        <w:rPr>
          <w:rFonts w:hint="eastAsia"/>
          <w:color w:val="auto"/>
          <w:highlight w:val="none"/>
        </w:rPr>
        <w:t>项目建设管理部、</w:t>
      </w:r>
      <w:r>
        <w:rPr>
          <w:color w:val="auto"/>
          <w:highlight w:val="none"/>
        </w:rPr>
        <w:t>设计单位、监理单位通过访问项目协同平台对变更进行确认并</w:t>
      </w:r>
      <w:r>
        <w:rPr>
          <w:color w:val="auto"/>
          <w:spacing w:val="3"/>
          <w:highlight w:val="none"/>
        </w:rPr>
        <w:t>出具设计变更意见，</w:t>
      </w:r>
      <w:r>
        <w:rPr>
          <w:color w:val="auto"/>
          <w:highlight w:val="none"/>
        </w:rPr>
        <w:t>施工</w:t>
      </w:r>
      <w:r>
        <w:rPr>
          <w:color w:val="auto"/>
          <w:spacing w:val="3"/>
          <w:highlight w:val="none"/>
        </w:rPr>
        <w:t>总承包单位根据设计变更及时修改施工阶段</w:t>
      </w:r>
      <w:r>
        <w:rPr>
          <w:rFonts w:eastAsia="Times New Roman"/>
          <w:color w:val="auto"/>
          <w:spacing w:val="-2"/>
          <w:highlight w:val="none"/>
        </w:rPr>
        <w:t>BIM</w:t>
      </w:r>
      <w:r>
        <w:rPr>
          <w:color w:val="auto"/>
          <w:spacing w:val="2"/>
          <w:highlight w:val="none"/>
        </w:rPr>
        <w:t>成果，提交</w:t>
      </w:r>
      <w:r>
        <w:rPr>
          <w:rFonts w:eastAsia="Times New Roman"/>
          <w:color w:val="auto"/>
          <w:highlight w:val="none"/>
        </w:rPr>
        <w:t>BIM</w:t>
      </w:r>
      <w:r>
        <w:rPr>
          <w:color w:val="auto"/>
          <w:highlight w:val="none"/>
        </w:rPr>
        <w:t>总协调方审核后，汇总至项目协同平台作为施工过程文件备份。</w:t>
      </w:r>
    </w:p>
    <w:p>
      <w:pPr>
        <w:spacing w:before="120" w:after="120"/>
        <w:ind w:firstLine="420" w:firstLineChars="200"/>
        <w:rPr>
          <w:color w:val="auto"/>
          <w:highlight w:val="none"/>
        </w:rPr>
      </w:pPr>
      <w:r>
        <w:rPr>
          <w:rFonts w:eastAsia="Times New Roman"/>
          <w:color w:val="auto"/>
          <w:highlight w:val="none"/>
        </w:rPr>
        <w:t xml:space="preserve">5  </w:t>
      </w:r>
      <w:r>
        <w:rPr>
          <w:color w:val="auto"/>
          <w:highlight w:val="none"/>
        </w:rPr>
        <w:t>施工单位根据项目实施情况，根据现场实际条件更新施工阶段</w:t>
      </w:r>
      <w:r>
        <w:rPr>
          <w:rFonts w:eastAsia="Times New Roman"/>
          <w:color w:val="auto"/>
          <w:spacing w:val="-2"/>
          <w:highlight w:val="none"/>
        </w:rPr>
        <w:t>BIM</w:t>
      </w:r>
      <w:r>
        <w:rPr>
          <w:color w:val="auto"/>
          <w:highlight w:val="none"/>
        </w:rPr>
        <w:t>成果，各阶段成果应于模型所表达的施工组织设计、施工方案、进度计划、现场实际保持一致。施工总承包单位组织各施工分包单位在施工过程中，根据实际施工资料录入施工阶段</w:t>
      </w:r>
      <w:r>
        <w:rPr>
          <w:rFonts w:eastAsia="Times New Roman"/>
          <w:color w:val="auto"/>
          <w:spacing w:val="-2"/>
          <w:highlight w:val="none"/>
        </w:rPr>
        <w:t>BIM</w:t>
      </w:r>
      <w:r>
        <w:rPr>
          <w:color w:val="auto"/>
          <w:spacing w:val="-4"/>
          <w:highlight w:val="none"/>
        </w:rPr>
        <w:t>信息，经</w:t>
      </w:r>
      <w:r>
        <w:rPr>
          <w:rFonts w:hint="eastAsia"/>
          <w:color w:val="auto"/>
          <w:highlight w:val="none"/>
        </w:rPr>
        <w:t>项目建设管理部、</w:t>
      </w:r>
      <w:r>
        <w:rPr>
          <w:color w:val="auto"/>
          <w:spacing w:val="-4"/>
          <w:highlight w:val="none"/>
        </w:rPr>
        <w:t>监理单</w:t>
      </w:r>
      <w:r>
        <w:rPr>
          <w:color w:val="auto"/>
          <w:highlight w:val="none"/>
        </w:rPr>
        <w:t>位及</w:t>
      </w:r>
      <w:r>
        <w:rPr>
          <w:rFonts w:eastAsia="Times New Roman"/>
          <w:color w:val="auto"/>
          <w:spacing w:val="-2"/>
          <w:highlight w:val="none"/>
        </w:rPr>
        <w:t>BIM</w:t>
      </w:r>
      <w:r>
        <w:rPr>
          <w:color w:val="auto"/>
          <w:highlight w:val="none"/>
        </w:rPr>
        <w:t>总协调方验收后，形成竣工</w:t>
      </w:r>
      <w:r>
        <w:rPr>
          <w:rFonts w:eastAsia="Times New Roman"/>
          <w:color w:val="auto"/>
          <w:spacing w:val="-2"/>
          <w:highlight w:val="none"/>
        </w:rPr>
        <w:t>BIM</w:t>
      </w:r>
      <w:r>
        <w:rPr>
          <w:color w:val="auto"/>
          <w:highlight w:val="none"/>
        </w:rPr>
        <w:t>成果并归档。</w:t>
      </w:r>
    </w:p>
    <w:p>
      <w:pPr>
        <w:spacing w:before="120" w:after="120"/>
        <w:ind w:firstLine="420" w:firstLineChars="200"/>
        <w:rPr>
          <w:color w:val="auto"/>
          <w:highlight w:val="none"/>
        </w:rPr>
      </w:pPr>
      <w:r>
        <w:rPr>
          <w:rFonts w:eastAsia="Times New Roman"/>
          <w:color w:val="auto"/>
          <w:highlight w:val="none"/>
        </w:rPr>
        <w:t xml:space="preserve">6  </w:t>
      </w:r>
      <w:r>
        <w:rPr>
          <w:color w:val="auto"/>
          <w:highlight w:val="none"/>
        </w:rPr>
        <w:t>施工阶段协同流程详见“</w:t>
      </w:r>
      <w:r>
        <w:rPr>
          <w:rFonts w:eastAsia="Times New Roman"/>
          <w:color w:val="auto"/>
          <w:highlight w:val="none"/>
        </w:rPr>
        <w:t>6.2.3</w:t>
      </w:r>
      <w:r>
        <w:rPr>
          <w:color w:val="auto"/>
          <w:highlight w:val="none"/>
        </w:rPr>
        <w:t>施工阶段</w:t>
      </w:r>
      <w:r>
        <w:rPr>
          <w:rFonts w:eastAsia="Times New Roman"/>
          <w:color w:val="auto"/>
          <w:spacing w:val="-2"/>
          <w:highlight w:val="none"/>
        </w:rPr>
        <w:t>BIM</w:t>
      </w:r>
      <w:r>
        <w:rPr>
          <w:color w:val="auto"/>
          <w:highlight w:val="none"/>
        </w:rPr>
        <w:t>管理流程”。</w:t>
      </w:r>
    </w:p>
    <w:p>
      <w:pPr>
        <w:pStyle w:val="734"/>
        <w:numPr>
          <w:ilvl w:val="2"/>
          <w:numId w:val="7"/>
        </w:numPr>
        <w:spacing w:beforeLines="50" w:afterLines="50" w:line="360" w:lineRule="auto"/>
        <w:outlineLvl w:val="3"/>
        <w:rPr>
          <w:rFonts w:ascii="LNUHNF+SimSun" w:hAnsi="LNUHNF+SimSun" w:cs="宋体"/>
          <w:color w:val="auto"/>
          <w:szCs w:val="21"/>
          <w:highlight w:val="none"/>
        </w:rPr>
      </w:pPr>
      <w:bookmarkStart w:id="617" w:name="_Toc7421"/>
      <w:r>
        <w:rPr>
          <w:rFonts w:ascii="LNUHNF+SimSun" w:hAnsi="LNUHNF+SimSun" w:cs="宋体"/>
          <w:color w:val="auto"/>
          <w:szCs w:val="21"/>
          <w:highlight w:val="none"/>
        </w:rPr>
        <w:t>运维阶段协同工作</w:t>
      </w:r>
      <w:bookmarkEnd w:id="617"/>
    </w:p>
    <w:p>
      <w:pPr>
        <w:spacing w:before="120" w:after="120"/>
        <w:ind w:firstLine="420" w:firstLineChars="200"/>
        <w:rPr>
          <w:color w:val="auto"/>
          <w:highlight w:val="none"/>
        </w:rPr>
      </w:pPr>
      <w:r>
        <w:rPr>
          <w:rFonts w:eastAsia="Times New Roman"/>
          <w:color w:val="auto"/>
          <w:highlight w:val="none"/>
        </w:rPr>
        <w:t>1  BIM</w:t>
      </w:r>
      <w:r>
        <w:rPr>
          <w:color w:val="auto"/>
          <w:highlight w:val="none"/>
        </w:rPr>
        <w:t>总协调方提取代建局项目协同平台的竣工</w:t>
      </w:r>
      <w:r>
        <w:rPr>
          <w:rFonts w:eastAsia="Times New Roman"/>
          <w:color w:val="auto"/>
          <w:spacing w:val="-2"/>
          <w:highlight w:val="none"/>
        </w:rPr>
        <w:t>BIM</w:t>
      </w:r>
      <w:r>
        <w:rPr>
          <w:color w:val="auto"/>
          <w:highlight w:val="none"/>
        </w:rPr>
        <w:t>成果，交予运维单位。</w:t>
      </w:r>
    </w:p>
    <w:p>
      <w:pPr>
        <w:spacing w:before="120" w:after="120"/>
        <w:ind w:firstLine="420" w:firstLineChars="200"/>
        <w:rPr>
          <w:color w:val="auto"/>
          <w:highlight w:val="none"/>
        </w:rPr>
      </w:pPr>
      <w:r>
        <w:rPr>
          <w:rFonts w:eastAsia="Times New Roman"/>
          <w:color w:val="auto"/>
          <w:highlight w:val="none"/>
        </w:rPr>
        <w:t>2  BIM</w:t>
      </w:r>
      <w:r>
        <w:rPr>
          <w:color w:val="auto"/>
          <w:highlight w:val="none"/>
        </w:rPr>
        <w:t>总协调方配合运维单位的运维需求及信息格式条件，辅助运维单位进行</w:t>
      </w:r>
      <w:r>
        <w:rPr>
          <w:rFonts w:eastAsia="Times New Roman"/>
          <w:color w:val="auto"/>
          <w:spacing w:val="-2"/>
          <w:highlight w:val="none"/>
        </w:rPr>
        <w:t>BIM</w:t>
      </w:r>
      <w:r>
        <w:rPr>
          <w:color w:val="auto"/>
          <w:highlight w:val="none"/>
        </w:rPr>
        <w:t>信息的提取和运维测试。</w:t>
      </w:r>
    </w:p>
    <w:p>
      <w:pPr>
        <w:spacing w:before="120" w:after="120"/>
        <w:ind w:firstLine="428" w:firstLineChars="200"/>
        <w:rPr>
          <w:rFonts w:eastAsia="黑体"/>
          <w:b/>
          <w:bCs/>
          <w:color w:val="auto"/>
          <w:kern w:val="44"/>
          <w:sz w:val="28"/>
          <w:szCs w:val="44"/>
          <w:highlight w:val="none"/>
        </w:rPr>
      </w:pPr>
      <w:r>
        <w:rPr>
          <w:rFonts w:eastAsia="Times New Roman"/>
          <w:color w:val="auto"/>
          <w:spacing w:val="2"/>
          <w:highlight w:val="none"/>
        </w:rPr>
        <w:t xml:space="preserve">3  </w:t>
      </w:r>
      <w:r>
        <w:rPr>
          <w:color w:val="auto"/>
          <w:spacing w:val="2"/>
          <w:highlight w:val="none"/>
        </w:rPr>
        <w:t>运维单位在运维服务器上进行对交付项目的运维管理，定期更新项目运维资料至项目</w:t>
      </w:r>
      <w:r>
        <w:rPr>
          <w:color w:val="auto"/>
          <w:highlight w:val="none"/>
        </w:rPr>
        <w:t>管理协同平台备份，实现项目信息和代建局项目协同平台信息一致，为打造智慧城市信息奠定基础。</w:t>
      </w:r>
    </w:p>
    <w:p>
      <w:pPr>
        <w:widowControl/>
        <w:jc w:val="left"/>
        <w:rPr>
          <w:rFonts w:asciiTheme="minorEastAsia" w:hAnsiTheme="minorEastAsia" w:eastAsiaTheme="minorEastAsia"/>
          <w:b/>
          <w:color w:val="auto"/>
          <w:sz w:val="24"/>
          <w:szCs w:val="24"/>
          <w:highlight w:val="none"/>
        </w:rPr>
      </w:pPr>
    </w:p>
    <w:p>
      <w:pPr>
        <w:widowControl/>
        <w:jc w:val="left"/>
        <w:rPr>
          <w:rFonts w:asciiTheme="minorEastAsia" w:hAnsiTheme="minorEastAsia" w:eastAsiaTheme="minorEastAsia"/>
          <w:b/>
          <w:color w:val="auto"/>
          <w:sz w:val="24"/>
          <w:szCs w:val="24"/>
          <w:highlight w:val="none"/>
        </w:rPr>
      </w:pPr>
    </w:p>
    <w:p>
      <w:pPr>
        <w:widowControl/>
        <w:jc w:val="left"/>
        <w:rPr>
          <w:rFonts w:asciiTheme="minorEastAsia" w:hAnsiTheme="minorEastAsia" w:eastAsiaTheme="minorEastAsia"/>
          <w:b/>
          <w:color w:val="auto"/>
          <w:sz w:val="24"/>
          <w:szCs w:val="24"/>
          <w:highlight w:val="none"/>
        </w:rPr>
      </w:pPr>
    </w:p>
    <w:p>
      <w:pPr>
        <w:widowControl/>
        <w:jc w:val="left"/>
        <w:rPr>
          <w:rFonts w:asciiTheme="minorEastAsia" w:hAnsiTheme="minorEastAsia" w:eastAsiaTheme="minorEastAsia"/>
          <w:b/>
          <w:color w:val="auto"/>
          <w:sz w:val="24"/>
          <w:szCs w:val="24"/>
          <w:highlight w:val="none"/>
        </w:rPr>
      </w:pPr>
    </w:p>
    <w:p>
      <w:pPr>
        <w:widowControl/>
        <w:jc w:val="left"/>
        <w:rPr>
          <w:rFonts w:asciiTheme="minorEastAsia" w:hAnsiTheme="minorEastAsia" w:eastAsiaTheme="minorEastAsia"/>
          <w:b/>
          <w:color w:val="auto"/>
          <w:sz w:val="24"/>
          <w:szCs w:val="24"/>
          <w:highlight w:val="none"/>
        </w:rPr>
      </w:pPr>
    </w:p>
    <w:p>
      <w:pPr>
        <w:widowControl/>
        <w:jc w:val="left"/>
        <w:rPr>
          <w:rFonts w:asciiTheme="minorEastAsia" w:hAnsiTheme="minorEastAsia" w:eastAsiaTheme="minorEastAsia"/>
          <w:b/>
          <w:color w:val="auto"/>
          <w:sz w:val="24"/>
          <w:szCs w:val="24"/>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tabs>
          <w:tab w:val="left" w:pos="0"/>
        </w:tabs>
        <w:spacing w:line="320" w:lineRule="exact"/>
        <w:jc w:val="center"/>
        <w:rPr>
          <w:rFonts w:asciiTheme="minorEastAsia" w:hAnsiTheme="minorEastAsia" w:eastAsiaTheme="minorEastAsia"/>
          <w:color w:val="auto"/>
          <w:sz w:val="28"/>
          <w:highlight w:val="none"/>
        </w:rPr>
      </w:pPr>
    </w:p>
    <w:p>
      <w:pPr>
        <w:spacing w:line="560" w:lineRule="exact"/>
        <w:rPr>
          <w:rFonts w:ascii="宋体" w:hAnsi="宋体"/>
          <w:color w:val="auto"/>
          <w:sz w:val="24"/>
          <w:szCs w:val="24"/>
          <w:highlight w:val="none"/>
        </w:rPr>
      </w:pPr>
    </w:p>
    <w:p>
      <w:pPr>
        <w:spacing w:line="560" w:lineRule="exact"/>
        <w:rPr>
          <w:rFonts w:ascii="宋体" w:hAnsi="宋体"/>
          <w:color w:val="auto"/>
          <w:sz w:val="24"/>
          <w:szCs w:val="24"/>
          <w:highlight w:val="none"/>
        </w:rPr>
      </w:pPr>
    </w:p>
    <w:p>
      <w:pPr>
        <w:pStyle w:val="2"/>
        <w:spacing w:line="240" w:lineRule="auto"/>
        <w:jc w:val="left"/>
        <w:rPr>
          <w:rFonts w:ascii="仿宋_GB2312" w:eastAsia="仿宋_GB2312"/>
          <w:color w:val="auto"/>
          <w:sz w:val="28"/>
          <w:szCs w:val="28"/>
          <w:highlight w:val="none"/>
        </w:rPr>
      </w:pPr>
      <w:r>
        <w:rPr>
          <w:rFonts w:hint="eastAsia"/>
          <w:color w:val="auto"/>
          <w:sz w:val="28"/>
          <w:szCs w:val="28"/>
          <w:highlight w:val="none"/>
        </w:rPr>
        <w:t>附件10: 省代建局直接管理项目设计单位履约评价实施细则</w:t>
      </w:r>
    </w:p>
    <w:p>
      <w:pPr>
        <w:pStyle w:val="2"/>
        <w:spacing w:line="240" w:lineRule="auto"/>
        <w:jc w:val="center"/>
        <w:rPr>
          <w:color w:val="auto"/>
          <w:highlight w:val="none"/>
        </w:rPr>
      </w:pPr>
      <w:bookmarkStart w:id="618" w:name="_Toc26528"/>
      <w:r>
        <w:rPr>
          <w:rFonts w:hint="eastAsia"/>
          <w:color w:val="auto"/>
          <w:highlight w:val="none"/>
        </w:rPr>
        <w:t>省代建局直接管理项目设计单位</w:t>
      </w:r>
      <w:bookmarkEnd w:id="618"/>
    </w:p>
    <w:p>
      <w:pPr>
        <w:pStyle w:val="2"/>
        <w:spacing w:line="240" w:lineRule="auto"/>
        <w:jc w:val="center"/>
        <w:rPr>
          <w:color w:val="auto"/>
          <w:highlight w:val="none"/>
        </w:rPr>
      </w:pPr>
      <w:bookmarkStart w:id="619" w:name="_Toc1056"/>
      <w:r>
        <w:rPr>
          <w:rFonts w:hint="eastAsia"/>
          <w:color w:val="auto"/>
          <w:highlight w:val="none"/>
        </w:rPr>
        <w:t>履约评价实施细则</w:t>
      </w:r>
      <w:bookmarkEnd w:id="619"/>
    </w:p>
    <w:p>
      <w:pPr>
        <w:adjustRightInd w:val="0"/>
        <w:snapToGrid w:val="0"/>
        <w:rPr>
          <w:rFonts w:ascii="宋体" w:hAnsi="宋体"/>
          <w:color w:val="auto"/>
          <w:szCs w:val="21"/>
          <w:highlight w:val="none"/>
        </w:rPr>
      </w:pP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第一条</w:t>
      </w:r>
      <w:r>
        <w:rPr>
          <w:rFonts w:hint="eastAsia" w:ascii="仿宋_GB2312" w:eastAsia="仿宋_GB2312"/>
          <w:color w:val="auto"/>
          <w:sz w:val="32"/>
          <w:szCs w:val="32"/>
          <w:highlight w:val="none"/>
        </w:rPr>
        <w:t xml:space="preserve"> 根据《省代建局直接管理项目合同履约评价管理办法（试行）》的有关规定，</w:t>
      </w:r>
      <w:r>
        <w:rPr>
          <w:rFonts w:ascii="仿宋_GB2312" w:eastAsia="仿宋_GB2312"/>
          <w:color w:val="auto"/>
          <w:sz w:val="32"/>
          <w:szCs w:val="32"/>
          <w:highlight w:val="none"/>
        </w:rPr>
        <w:t>为</w:t>
      </w:r>
      <w:r>
        <w:rPr>
          <w:rFonts w:hint="eastAsia" w:ascii="仿宋_GB2312" w:eastAsia="仿宋_GB2312"/>
          <w:color w:val="auto"/>
          <w:sz w:val="32"/>
          <w:szCs w:val="32"/>
          <w:highlight w:val="none"/>
        </w:rPr>
        <w:t>规范建设工程设计管理工作，激励设计</w:t>
      </w:r>
      <w:r>
        <w:rPr>
          <w:rFonts w:ascii="仿宋_GB2312" w:eastAsia="仿宋_GB2312"/>
          <w:color w:val="auto"/>
          <w:sz w:val="32"/>
          <w:szCs w:val="32"/>
          <w:highlight w:val="none"/>
        </w:rPr>
        <w:t>单位加强</w:t>
      </w:r>
      <w:r>
        <w:rPr>
          <w:rFonts w:hint="eastAsia" w:ascii="仿宋_GB2312" w:eastAsia="仿宋_GB2312"/>
          <w:color w:val="auto"/>
          <w:sz w:val="32"/>
          <w:szCs w:val="32"/>
          <w:highlight w:val="none"/>
        </w:rPr>
        <w:t>内部</w:t>
      </w:r>
      <w:r>
        <w:rPr>
          <w:rFonts w:ascii="仿宋_GB2312" w:eastAsia="仿宋_GB2312"/>
          <w:color w:val="auto"/>
          <w:sz w:val="32"/>
          <w:szCs w:val="32"/>
          <w:highlight w:val="none"/>
        </w:rPr>
        <w:t>管理，</w:t>
      </w:r>
      <w:r>
        <w:rPr>
          <w:rFonts w:hint="eastAsia" w:ascii="仿宋_GB2312" w:eastAsia="仿宋_GB2312"/>
          <w:color w:val="auto"/>
          <w:sz w:val="32"/>
          <w:szCs w:val="32"/>
          <w:highlight w:val="none"/>
        </w:rPr>
        <w:t>提高服务意识和设计质量，</w:t>
      </w:r>
      <w:r>
        <w:rPr>
          <w:rFonts w:ascii="仿宋_GB2312" w:eastAsia="仿宋_GB2312"/>
          <w:color w:val="auto"/>
          <w:sz w:val="32"/>
          <w:szCs w:val="32"/>
          <w:highlight w:val="none"/>
        </w:rPr>
        <w:t>认真履行合同</w:t>
      </w:r>
      <w:r>
        <w:rPr>
          <w:rFonts w:hint="eastAsia" w:ascii="仿宋_GB2312" w:eastAsia="仿宋_GB2312"/>
          <w:color w:val="auto"/>
          <w:sz w:val="32"/>
          <w:szCs w:val="32"/>
          <w:highlight w:val="none"/>
        </w:rPr>
        <w:t>条款</w:t>
      </w:r>
      <w:r>
        <w:rPr>
          <w:rFonts w:ascii="仿宋_GB2312" w:eastAsia="仿宋_GB2312"/>
          <w:color w:val="auto"/>
          <w:sz w:val="32"/>
          <w:szCs w:val="32"/>
          <w:highlight w:val="none"/>
        </w:rPr>
        <w:t>，严格控制建设投资，</w:t>
      </w:r>
      <w:r>
        <w:rPr>
          <w:rFonts w:hint="eastAsia" w:ascii="仿宋_GB2312" w:eastAsia="仿宋_GB2312"/>
          <w:color w:val="auto"/>
          <w:sz w:val="32"/>
          <w:szCs w:val="32"/>
          <w:highlight w:val="none"/>
        </w:rPr>
        <w:t>满足</w:t>
      </w:r>
      <w:r>
        <w:rPr>
          <w:rFonts w:ascii="仿宋_GB2312" w:eastAsia="仿宋_GB2312"/>
          <w:color w:val="auto"/>
          <w:sz w:val="32"/>
          <w:szCs w:val="32"/>
          <w:highlight w:val="none"/>
        </w:rPr>
        <w:t>工程建设质量、安全、工期</w:t>
      </w:r>
      <w:r>
        <w:rPr>
          <w:rFonts w:hint="eastAsia" w:ascii="仿宋_GB2312" w:eastAsia="仿宋_GB2312"/>
          <w:color w:val="auto"/>
          <w:sz w:val="32"/>
          <w:szCs w:val="32"/>
          <w:highlight w:val="none"/>
        </w:rPr>
        <w:t>等要求</w:t>
      </w:r>
      <w:r>
        <w:rPr>
          <w:rFonts w:ascii="仿宋_GB2312" w:eastAsia="仿宋_GB2312"/>
          <w:color w:val="auto"/>
          <w:sz w:val="32"/>
          <w:szCs w:val="32"/>
          <w:highlight w:val="none"/>
        </w:rPr>
        <w:t>，</w:t>
      </w:r>
      <w:r>
        <w:rPr>
          <w:rFonts w:hint="eastAsia" w:ascii="仿宋_GB2312" w:eastAsia="仿宋_GB2312"/>
          <w:color w:val="auto"/>
          <w:sz w:val="32"/>
          <w:szCs w:val="32"/>
          <w:highlight w:val="none"/>
        </w:rPr>
        <w:t>在符合有关规范和标准的前提下</w:t>
      </w:r>
      <w:r>
        <w:rPr>
          <w:rFonts w:ascii="仿宋_GB2312" w:eastAsia="仿宋_GB2312"/>
          <w:color w:val="auto"/>
          <w:sz w:val="32"/>
          <w:szCs w:val="32"/>
          <w:highlight w:val="none"/>
        </w:rPr>
        <w:t>，快速、有序、优质、高效地完成</w:t>
      </w:r>
      <w:r>
        <w:rPr>
          <w:rFonts w:hint="eastAsia" w:ascii="仿宋_GB2312" w:eastAsia="仿宋_GB2312"/>
          <w:color w:val="auto"/>
          <w:sz w:val="32"/>
          <w:szCs w:val="32"/>
          <w:highlight w:val="none"/>
        </w:rPr>
        <w:t>合同约定</w:t>
      </w:r>
      <w:r>
        <w:rPr>
          <w:rFonts w:ascii="仿宋_GB2312" w:eastAsia="仿宋_GB2312"/>
          <w:color w:val="auto"/>
          <w:sz w:val="32"/>
          <w:szCs w:val="32"/>
          <w:highlight w:val="none"/>
        </w:rPr>
        <w:t>的</w:t>
      </w:r>
      <w:r>
        <w:rPr>
          <w:rFonts w:hint="eastAsia" w:ascii="仿宋_GB2312" w:eastAsia="仿宋_GB2312"/>
          <w:color w:val="auto"/>
          <w:sz w:val="32"/>
          <w:szCs w:val="32"/>
          <w:highlight w:val="none"/>
        </w:rPr>
        <w:t>设计</w:t>
      </w:r>
      <w:r>
        <w:rPr>
          <w:rFonts w:ascii="仿宋_GB2312" w:eastAsia="仿宋_GB2312"/>
          <w:color w:val="auto"/>
          <w:sz w:val="32"/>
          <w:szCs w:val="32"/>
          <w:highlight w:val="none"/>
        </w:rPr>
        <w:t>任务</w:t>
      </w:r>
      <w:r>
        <w:rPr>
          <w:rFonts w:hint="eastAsia" w:ascii="仿宋_GB2312" w:eastAsia="仿宋_GB2312"/>
          <w:color w:val="auto"/>
          <w:sz w:val="32"/>
          <w:szCs w:val="32"/>
          <w:highlight w:val="none"/>
        </w:rPr>
        <w:t>，确保达到预期的建设目标，特制定本实施细则。</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第二条</w:t>
      </w:r>
      <w:r>
        <w:rPr>
          <w:rFonts w:hint="eastAsia" w:ascii="仿宋_GB2312" w:eastAsia="仿宋_GB2312"/>
          <w:color w:val="auto"/>
          <w:sz w:val="32"/>
          <w:szCs w:val="32"/>
          <w:highlight w:val="none"/>
        </w:rPr>
        <w:t xml:space="preserve"> 本实施细则适用于与我局签订勘察设计施工总承包合同、全过程工程咨询合同、勘察设计合同、工程设计合同等涉及项目工程设计工作内容的设计单位，以单项合同为单位进行履约评价，评价内容不含BIM技术应用。</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第三条 </w:t>
      </w:r>
      <w:r>
        <w:rPr>
          <w:rFonts w:hint="eastAsia" w:ascii="仿宋_GB2312" w:eastAsia="仿宋_GB2312"/>
          <w:color w:val="auto"/>
          <w:sz w:val="32"/>
          <w:szCs w:val="32"/>
          <w:highlight w:val="none"/>
        </w:rPr>
        <w:t>评价阶段</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440"/>
        <w:gridCol w:w="1620"/>
        <w:gridCol w:w="1620"/>
        <w:gridCol w:w="3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序号</w:t>
            </w:r>
          </w:p>
        </w:tc>
        <w:tc>
          <w:tcPr>
            <w:tcW w:w="3060" w:type="dxa"/>
            <w:gridSpan w:val="2"/>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阶段</w:t>
            </w: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负责部门</w:t>
            </w: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评价时间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restart"/>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1440" w:type="dxa"/>
            <w:vMerge w:val="restart"/>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设计阶段</w:t>
            </w: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方案设计</w:t>
            </w:r>
          </w:p>
        </w:tc>
        <w:tc>
          <w:tcPr>
            <w:tcW w:w="1620" w:type="dxa"/>
            <w:vMerge w:val="restart"/>
            <w:noWrap/>
            <w:vAlign w:val="center"/>
          </w:tcPr>
          <w:p>
            <w:pPr>
              <w:spacing w:line="560" w:lineRule="exact"/>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前期工作部</w:t>
            </w: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noWrap/>
            <w:vAlign w:val="center"/>
          </w:tcPr>
          <w:p>
            <w:pPr>
              <w:adjustRightInd w:val="0"/>
              <w:snapToGrid w:val="0"/>
              <w:jc w:val="center"/>
              <w:rPr>
                <w:rFonts w:ascii="仿宋_GB2312" w:hAnsi="宋体" w:eastAsia="仿宋_GB2312"/>
                <w:color w:val="auto"/>
                <w:sz w:val="28"/>
                <w:szCs w:val="28"/>
                <w:highlight w:val="none"/>
              </w:rPr>
            </w:pPr>
          </w:p>
        </w:tc>
        <w:tc>
          <w:tcPr>
            <w:tcW w:w="1440" w:type="dxa"/>
            <w:vMerge w:val="continue"/>
            <w:noWrap/>
            <w:vAlign w:val="center"/>
          </w:tcPr>
          <w:p>
            <w:pPr>
              <w:adjustRightInd w:val="0"/>
              <w:snapToGrid w:val="0"/>
              <w:jc w:val="center"/>
              <w:rPr>
                <w:rFonts w:ascii="仿宋_GB2312" w:hAnsi="宋体" w:eastAsia="仿宋_GB2312"/>
                <w:color w:val="auto"/>
                <w:sz w:val="28"/>
                <w:szCs w:val="28"/>
                <w:highlight w:val="none"/>
              </w:rPr>
            </w:pP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初步设计</w:t>
            </w:r>
          </w:p>
        </w:tc>
        <w:tc>
          <w:tcPr>
            <w:tcW w:w="1620" w:type="dxa"/>
            <w:vMerge w:val="continue"/>
            <w:noWrap/>
            <w:vAlign w:val="center"/>
          </w:tcPr>
          <w:p>
            <w:pPr>
              <w:spacing w:line="560" w:lineRule="exact"/>
              <w:jc w:val="center"/>
              <w:rPr>
                <w:rFonts w:ascii="仿宋_GB2312" w:hAnsi="宋体" w:eastAsia="仿宋_GB2312"/>
                <w:color w:val="auto"/>
                <w:sz w:val="28"/>
                <w:szCs w:val="28"/>
                <w:highlight w:val="none"/>
              </w:rPr>
            </w:pP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noWrap/>
            <w:vAlign w:val="center"/>
          </w:tcPr>
          <w:p>
            <w:pPr>
              <w:adjustRightInd w:val="0"/>
              <w:snapToGrid w:val="0"/>
              <w:jc w:val="center"/>
              <w:rPr>
                <w:rFonts w:ascii="仿宋_GB2312" w:hAnsi="宋体" w:eastAsia="仿宋_GB2312"/>
                <w:color w:val="auto"/>
                <w:sz w:val="28"/>
                <w:szCs w:val="28"/>
                <w:highlight w:val="none"/>
              </w:rPr>
            </w:pPr>
          </w:p>
        </w:tc>
        <w:tc>
          <w:tcPr>
            <w:tcW w:w="1440" w:type="dxa"/>
            <w:vMerge w:val="continue"/>
            <w:noWrap/>
            <w:vAlign w:val="center"/>
          </w:tcPr>
          <w:p>
            <w:pPr>
              <w:adjustRightInd w:val="0"/>
              <w:snapToGrid w:val="0"/>
              <w:jc w:val="center"/>
              <w:rPr>
                <w:rFonts w:ascii="仿宋_GB2312" w:hAnsi="宋体" w:eastAsia="仿宋_GB2312"/>
                <w:color w:val="auto"/>
                <w:sz w:val="28"/>
                <w:szCs w:val="28"/>
                <w:highlight w:val="none"/>
              </w:rPr>
            </w:pP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施工图设计</w:t>
            </w:r>
          </w:p>
        </w:tc>
        <w:tc>
          <w:tcPr>
            <w:tcW w:w="1620" w:type="dxa"/>
            <w:vMerge w:val="continue"/>
            <w:noWrap/>
            <w:vAlign w:val="center"/>
          </w:tcPr>
          <w:p>
            <w:pPr>
              <w:spacing w:line="560" w:lineRule="exact"/>
              <w:jc w:val="center"/>
              <w:rPr>
                <w:rFonts w:ascii="仿宋_GB2312" w:hAnsi="宋体" w:eastAsia="仿宋_GB2312"/>
                <w:color w:val="auto"/>
                <w:sz w:val="28"/>
                <w:szCs w:val="28"/>
                <w:highlight w:val="none"/>
              </w:rPr>
            </w:pP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取得施工图审查合格报告，其它专业施工图及各专业深化施工图完成施工图审查，且局计划财务部完成施工图预算审定（</w:t>
            </w:r>
            <w:r>
              <w:rPr>
                <w:rFonts w:ascii="仿宋_GB2312" w:hAnsi="宋体" w:eastAsia="仿宋_GB2312"/>
                <w:color w:val="auto"/>
                <w:sz w:val="28"/>
                <w:szCs w:val="28"/>
                <w:highlight w:val="none"/>
              </w:rPr>
              <w:t>EPC模式），或完成工程量清单编制并确定招标控制价（传统模式）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p>
        </w:tc>
        <w:tc>
          <w:tcPr>
            <w:tcW w:w="3060" w:type="dxa"/>
            <w:gridSpan w:val="2"/>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施工阶段</w:t>
            </w: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项目建设管理部</w:t>
            </w: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季度末月度下旬进行当季（年）度评价，至完成竣工验收，向城建档案管理部门移交全套工程资料并取得相关证明，并完成所有设计变更审批手续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w:t>
            </w:r>
          </w:p>
        </w:tc>
        <w:tc>
          <w:tcPr>
            <w:tcW w:w="3060" w:type="dxa"/>
            <w:gridSpan w:val="2"/>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缺陷责任期阶段</w:t>
            </w:r>
          </w:p>
        </w:tc>
        <w:tc>
          <w:tcPr>
            <w:tcW w:w="16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项目建设管理部</w:t>
            </w:r>
          </w:p>
        </w:tc>
        <w:tc>
          <w:tcPr>
            <w:tcW w:w="377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年度末月度下旬进行当年评价，至缺陷责任期届满</w:t>
            </w:r>
          </w:p>
        </w:tc>
      </w:tr>
    </w:tbl>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（一）设计阶段</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对设计单位进行分阶段三次评价，分别为：</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1、方案设计评价</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取得规划部门对工程方案或修规的批复后，由前期工作部项目负责人填写《方案设计阶段合同履约评价表》（按附件一格式），报前期工作部部长审定。</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2、初步设计评价</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取得发改部门对初步设计概算的批复后，由前期工作部项目负责人填写《初步设计阶段合同履约评价表》（按附件二格式），报前期工作部部长审定。</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3、施工图设计评价</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取得施工图审查合格报告，且局计划财务部完成施工图预算审定（适用于EPC模式），或完成工程量清单编制并确定招标控制价（适用于传统模式）后，由前期工作部项目负责人填写《施工图设计阶段合同履约评价表》（按附件三格式），报前期工作部部长审定。</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（二）施工阶段</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季度评价，评价时间为季度末月度下旬（第四季度末月度下旬进行当年度评价），自取得施工许可证起，至向城建档案管理部门移交全套工程资料并取得相关证明后止，由项目建设管理部派驻现场项目负责人会同前期工作部项目负责人填写《施工阶段设计合同履约评价表》（按附件四格式），报项目建设管理部部长审定。</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（三）缺陷责任期阶段</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对设计单位进行年度评价，评价时间为年度末月度下旬，自取得竣工验收相关证明之日起，至缺陷责任期（除基础设施工程、房屋建筑地基基础工程和主体结构工程外最长的保修期计）届满止，由项目建设管理部派驻现场项目负责人会同前期工作部项目负责人填写《缺陷责任期阶段设计合同履约评价表》（按附件五格式），报项目建设管理部部长审定。</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第四条 </w:t>
      </w:r>
      <w:r>
        <w:rPr>
          <w:rFonts w:hint="eastAsia" w:ascii="仿宋_GB2312" w:eastAsia="仿宋_GB2312"/>
          <w:color w:val="auto"/>
          <w:sz w:val="32"/>
          <w:szCs w:val="32"/>
          <w:highlight w:val="none"/>
        </w:rPr>
        <w:t>评价内容</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（一）各责任部门按照本办法附件中所列项目进行独立打分，凡出现扣分项的，应在设计合同履约评分表中说明具体扣分原因。</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（二）评价期内建设行政主管部门、使用单位、设计单位上级主管单位（部门）、局下发的整改通知或通报所提问题，凡符合附件中有关内容的，均应纳入评价结果。</w:t>
      </w:r>
    </w:p>
    <w:p>
      <w:pPr>
        <w:spacing w:line="560" w:lineRule="exact"/>
        <w:ind w:firstLine="643" w:firstLineChars="200"/>
        <w:rPr>
          <w:rFonts w:ascii="仿宋_GB2312" w:eastAsia="仿宋_GB2312"/>
          <w:bCs/>
          <w:color w:val="auto"/>
          <w:sz w:val="32"/>
          <w:szCs w:val="32"/>
          <w:highlight w:val="none"/>
        </w:rPr>
      </w:pPr>
      <w:r>
        <w:rPr>
          <w:rFonts w:hint="eastAsia" w:ascii="仿宋_GB2312" w:eastAsia="仿宋_GB2312"/>
          <w:b/>
          <w:color w:val="auto"/>
          <w:sz w:val="32"/>
          <w:szCs w:val="32"/>
          <w:highlight w:val="none"/>
        </w:rPr>
        <w:t xml:space="preserve">第五条 </w:t>
      </w:r>
      <w:r>
        <w:rPr>
          <w:rFonts w:hint="eastAsia" w:ascii="仿宋_GB2312" w:eastAsia="仿宋_GB2312"/>
          <w:color w:val="auto"/>
          <w:sz w:val="32"/>
          <w:szCs w:val="32"/>
          <w:highlight w:val="none"/>
        </w:rPr>
        <w:t>设计费用的支付</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（一）项目设计费用的支付节点分别为：</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1、全阶段设计模式（含全过程EPC模式、传统模式）</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1</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2</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15%×A</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3</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20%×A</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4</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取得施工图审查合格报告，且完成施工图预算审定（</w:t>
            </w:r>
            <w:r>
              <w:rPr>
                <w:rFonts w:ascii="仿宋_GB2312" w:hAnsi="宋体" w:eastAsia="仿宋_GB2312"/>
                <w:color w:val="auto"/>
                <w:sz w:val="28"/>
                <w:szCs w:val="28"/>
                <w:highlight w:val="none"/>
              </w:rPr>
              <w:t>EPC模式），或完成工程量清单编制并确定招标控制价（传统模式）</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20%×A+F</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5</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向城建档案管理部门移交全套工程资料并取得相关证明，并完成所有设计变更审批手续</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20%×B</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6</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10%或按省政府财政部门审定应付金额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7</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缺陷责任期届满</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5%×C</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按附件五</w:t>
            </w:r>
          </w:p>
        </w:tc>
      </w:tr>
    </w:tbl>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2、分阶段设计模式（取得初步设计批复后的EPC模式）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（1）方案设计及初步设计单位</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1</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2</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取得规划部门对工程方案或修规的批复</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基数×30%×A</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3</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取得发改部门对初步设计概算的批复</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基数×40%×A+F</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4</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完成对施工图设计单位的成果审核，取得施工图审查合格报告</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基数×10%×A</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5</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基数×10%或按省政府财政部门审定应付金额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w:t>
            </w:r>
          </w:p>
        </w:tc>
      </w:tr>
    </w:tbl>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（2）施工图设计单位</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支付节点</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支付条件</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支付金额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考评标准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1</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签订合同并提交履约保函</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2</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取得施工图审查合格报告</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35%×A</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3</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其它专业施工图及各专业深化施工图完成施工图审查，且完成施工图预算审定</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30%×A+F</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4</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向城建档案管理部门移交全套工程资料并取得相关证明，并完成所有设计变更审批手续</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10%×B</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5</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合同结算经省政府财政部门审定</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10%或按省政府财政部门审定应付金额</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ign w:val="center"/>
          </w:tcPr>
          <w:p>
            <w:pPr>
              <w:adjustRightInd w:val="0"/>
              <w:snapToGrid w:val="0"/>
              <w:jc w:val="center"/>
              <w:rPr>
                <w:rFonts w:ascii="仿宋_GB2312" w:hAnsi="宋体" w:eastAsia="仿宋_GB2312"/>
                <w:color w:val="auto"/>
                <w:sz w:val="28"/>
                <w:szCs w:val="28"/>
                <w:highlight w:val="none"/>
              </w:rPr>
            </w:pPr>
            <w:r>
              <w:rPr>
                <w:rFonts w:ascii="仿宋_GB2312" w:hAnsi="宋体" w:eastAsia="仿宋_GB2312"/>
                <w:color w:val="auto"/>
                <w:sz w:val="28"/>
                <w:szCs w:val="28"/>
                <w:highlight w:val="none"/>
              </w:rPr>
              <w:t>6</w:t>
            </w:r>
          </w:p>
        </w:tc>
        <w:tc>
          <w:tcPr>
            <w:tcW w:w="522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缺陷责任期届满</w:t>
            </w:r>
          </w:p>
        </w:tc>
        <w:tc>
          <w:tcPr>
            <w:tcW w:w="2340"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基数×</w:t>
            </w:r>
            <w:r>
              <w:rPr>
                <w:rFonts w:ascii="仿宋_GB2312" w:hAnsi="宋体" w:eastAsia="仿宋_GB2312"/>
                <w:color w:val="auto"/>
                <w:sz w:val="28"/>
                <w:szCs w:val="28"/>
                <w:highlight w:val="none"/>
              </w:rPr>
              <w:t>5%×C</w:t>
            </w:r>
          </w:p>
        </w:tc>
        <w:tc>
          <w:tcPr>
            <w:tcW w:w="898" w:type="dxa"/>
            <w:noWrap/>
            <w:vAlign w:val="center"/>
          </w:tcPr>
          <w:p>
            <w:pPr>
              <w:adjustRightInd w:val="0"/>
              <w:snapToGrid w:val="0"/>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按附件五</w:t>
            </w:r>
          </w:p>
        </w:tc>
      </w:tr>
    </w:tbl>
    <w:p>
      <w:pPr>
        <w:spacing w:line="560" w:lineRule="exact"/>
        <w:ind w:firstLine="643" w:firstLineChars="200"/>
        <w:rPr>
          <w:rFonts w:ascii="仿宋_GB2312" w:eastAsia="仿宋_GB2312"/>
          <w:b/>
          <w:color w:val="auto"/>
          <w:sz w:val="32"/>
          <w:szCs w:val="32"/>
          <w:highlight w:val="none"/>
        </w:rPr>
      </w:pPr>
      <w:r>
        <w:rPr>
          <w:rFonts w:hint="eastAsia" w:ascii="仿宋_GB2312" w:eastAsia="仿宋_GB2312"/>
          <w:b/>
          <w:color w:val="auto"/>
          <w:sz w:val="32"/>
          <w:szCs w:val="32"/>
          <w:highlight w:val="none"/>
        </w:rPr>
        <w:t>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①基数为合同设计费总额（不含BIM 设计费）扣除合同约定的方案补偿费。</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②A为设计阶段合同履约评价得分对应的暂付设计费支付比例。</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③F为设计阶段合同履约评价综合得分对应的暂付设计费余额应返还金额。暂付设计费余额为设计阶段全额设计费与该阶段暂付设计费的差额。</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④B为施工阶段合同履约评价综合得分对应的设计费支付比例。</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⑤C为缺陷责任期阶段合同履约评价综合得分对应的设计费支付比例。</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（二）设计阶段合同履约评价得分对应的暂付设计费支付比例A的取值方式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1、某阶段设计合同履约评价得分≥90的，该阶段设计费全额支付，即A=1。</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2、某阶段设计合同履约评价得分≥75且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90的，该阶段设计费暂付比例为90%，即A=90%。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3、某阶段设计合同履约评价得分≥60且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75的，该阶段设计费暂付比例为80%，即A=80%。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4、某阶段设计合同履约评价得分</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60的，该阶段设计费暂付比例为70%，即A=70%。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（三）设计阶段合同履约评价暂付设计费余额应返还金额F的计算方式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1、设计阶段合同履约评价综合得分≥90的，前阶段暂付设计费全额返还（前阶段已全额支付的除外）。</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2、设计阶段合同履约评价综合得分≥75且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90的，前阶段暂付设计费余额应返还比例为75%。</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3、设计阶段合同履约评价综合得分≥60且</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75的，前阶段暂付设计费余额应返还比例为50%。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4、设计阶段合同履约评价综合得分</w:t>
      </w:r>
      <w:r>
        <w:rPr>
          <w:rFonts w:hint="eastAsia"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60的，前阶段暂付设计费余额不返还。</w:t>
      </w:r>
    </w:p>
    <w:p>
      <w:pPr>
        <w:spacing w:line="560" w:lineRule="exact"/>
        <w:ind w:firstLine="643" w:firstLineChars="200"/>
        <w:rPr>
          <w:rFonts w:ascii="仿宋_GB2312" w:eastAsia="仿宋_GB2312"/>
          <w:b/>
          <w:color w:val="auto"/>
          <w:sz w:val="32"/>
          <w:szCs w:val="32"/>
          <w:highlight w:val="none"/>
        </w:rPr>
      </w:pPr>
      <w:r>
        <w:rPr>
          <w:rFonts w:hint="eastAsia" w:ascii="仿宋_GB2312" w:eastAsia="仿宋_GB2312"/>
          <w:b/>
          <w:color w:val="auto"/>
          <w:sz w:val="32"/>
          <w:szCs w:val="32"/>
          <w:highlight w:val="none"/>
        </w:rPr>
        <w:t>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①对于全阶段设计模式（含全过程EPC模式、传统模式）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设计阶段合同履约评价综合得分=方案设计、初步设计、施工图设计三阶段合同履约评价得分的算术平均值。</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②对于分阶段设计模式（取得初步设计批复后的EPC模式）中的方案设计及初步设计单位</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设计阶段合同履约评价综合得分=方案设计、初步设计两阶段合同履约评价得分的算术平均值。</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③对于分阶段设计模式（取得初步设计批复后的EPC模式）中的施工图设计单位</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设计阶段合同履约评价综合得分=施工图设计（至取得施工图审查合格报告）、专业施工图及各专业深化施工图设计两阶段合同履约评价得分的算术平均值。</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（四）施工阶段设计合同履约评价得分对应的设计费支付比例B的取值方式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1、施工阶段合同履约评价综合得分≥90的，该阶段设计费全额支付，即B=1。</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2、施工阶段合同履约评价综合得分≥75且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90的，该阶段设计费暂付比例为90%，即B=90%。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3、施工阶段合同履约评价综合得分≥60且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75的，该阶段设计费暂付比例为80%，即B=80%。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4、施工阶段合同履约评价综合得分</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60的，该阶段设计费暂付比例为70%，即B=70%。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注：施工阶段合同履约评价综合得分=施工阶段各季度评价算术平均值。</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（五）缺陷责任期阶段设计合同履约评价得分对应的设计费支付比例C的取值方式</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1、缺陷责任期阶段合同履约评价综合得分≥90的，该阶段设计费全额支付，即C=1。</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2、缺陷责任期阶段合同履约评价综合得分≥75且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90的，该阶段设计费暂付比例为90%，即C=90%。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3、缺陷责任期阶段合同履约评价综合得分≥60且</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75的，该阶段设计费暂付比例为80%，即C=80%。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4、缺陷责任期阶段合同履约评价综合得分</w:t>
      </w:r>
      <w:r>
        <w:rPr>
          <w:rFonts w:ascii="仿宋_GB2312" w:hAnsi="仿宋_GB2312" w:eastAsia="仿宋_GB2312"/>
          <w:color w:val="auto"/>
          <w:sz w:val="32"/>
          <w:szCs w:val="32"/>
          <w:highlight w:val="none"/>
        </w:rPr>
        <w:t>&lt;</w:t>
      </w:r>
      <w:r>
        <w:rPr>
          <w:rFonts w:hint="eastAsia" w:ascii="仿宋_GB2312" w:eastAsia="仿宋_GB2312"/>
          <w:color w:val="auto"/>
          <w:sz w:val="32"/>
          <w:szCs w:val="32"/>
          <w:highlight w:val="none"/>
        </w:rPr>
        <w:t>60的，该阶段设计费暂付比例为70%，即C=70%。</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注：缺陷责任期阶段合同履约评价综合得分=缺陷责任期阶段各年度评价算术平均值。</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第六条 </w:t>
      </w:r>
      <w:r>
        <w:rPr>
          <w:rFonts w:hint="eastAsia" w:ascii="仿宋_GB2312" w:eastAsia="仿宋_GB2312"/>
          <w:color w:val="auto"/>
          <w:sz w:val="32"/>
          <w:szCs w:val="32"/>
          <w:highlight w:val="none"/>
        </w:rPr>
        <w:t>对项目建设全过程所有各阶段履约评价算术平均得分不低于90，且单次最低履约评价得分不低于80的履约单位，按《省代建局直接管理项目合同履约评价管理办法（试行）》中第十二条“履约评价结果的运用”中第（二）点的有关规定执行。</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第七条 </w:t>
      </w:r>
      <w:r>
        <w:rPr>
          <w:rFonts w:hint="eastAsia" w:ascii="仿宋_GB2312" w:eastAsia="仿宋_GB2312"/>
          <w:color w:val="auto"/>
          <w:sz w:val="32"/>
          <w:szCs w:val="32"/>
          <w:highlight w:val="none"/>
        </w:rPr>
        <w:t>对项目建设全过程所有各阶段履约评价算术平均得分低于70，或出现一次履约评价最低得分低于60的履约单位，按《省代建局直接管理项目合同履约评价管理办法（试行）》中第十二条“履约评价结果的运用”中第（三）点的有关规定执行。</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第八条</w:t>
      </w:r>
      <w:r>
        <w:rPr>
          <w:rFonts w:hint="eastAsia" w:ascii="仿宋_GB2312" w:eastAsia="仿宋_GB2312"/>
          <w:color w:val="auto"/>
          <w:sz w:val="32"/>
          <w:szCs w:val="32"/>
          <w:highlight w:val="none"/>
        </w:rPr>
        <w:t xml:space="preserve"> 对于经我局批准允许分包的专业专项设计，其分包设计单位合同履约行为计入总体设计单位履约评价。</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第九条 </w:t>
      </w:r>
      <w:r>
        <w:rPr>
          <w:rFonts w:hint="eastAsia" w:ascii="仿宋_GB2312" w:eastAsia="仿宋_GB2312"/>
          <w:color w:val="auto"/>
          <w:sz w:val="32"/>
          <w:szCs w:val="32"/>
          <w:highlight w:val="none"/>
        </w:rPr>
        <w:t>设计合同履约评价表完成审定后函送设计单位，设计单位对各阶段履约评价结果有异议的，按《省代建局直接管理项目合同履约评价管理办法（试行）》中第十一条的有关规定执行。</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第十条 </w:t>
      </w:r>
      <w:r>
        <w:rPr>
          <w:rFonts w:hint="eastAsia" w:ascii="仿宋_GB2312" w:eastAsia="仿宋_GB2312"/>
          <w:color w:val="auto"/>
          <w:sz w:val="32"/>
          <w:szCs w:val="32"/>
          <w:highlight w:val="none"/>
        </w:rPr>
        <w:t>本实施细则纳入涉及工程项目设计工作内容的勘察设计施工总承包、全过程工程咨询、勘察设计、工程设计等招标文件及合同中作为附件组成部分之一。</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第十一条 </w:t>
      </w:r>
      <w:r>
        <w:rPr>
          <w:rFonts w:hint="eastAsia" w:ascii="仿宋_GB2312" w:eastAsia="仿宋_GB2312"/>
          <w:color w:val="auto"/>
          <w:sz w:val="32"/>
          <w:szCs w:val="32"/>
          <w:highlight w:val="none"/>
        </w:rPr>
        <w:t>设计合同由使用单位签署的，经我局签订补充协议后，自补充协议签订之日起的设计工作，按本细则实施，由使用单位负责管理的阶段，经征求使用单位意见后，一并按本细则实施，设计合同履约评价表完成审定后抄送使用单位。</w:t>
      </w:r>
    </w:p>
    <w:p>
      <w:pPr>
        <w:spacing w:line="560" w:lineRule="exact"/>
        <w:ind w:firstLine="643" w:firstLineChars="200"/>
        <w:rPr>
          <w:rFonts w:ascii="仿宋_GB2312" w:eastAsia="仿宋_GB2312"/>
          <w:color w:val="auto"/>
          <w:sz w:val="32"/>
          <w:szCs w:val="32"/>
          <w:highlight w:val="none"/>
        </w:rPr>
      </w:pPr>
      <w:r>
        <w:rPr>
          <w:rFonts w:hint="eastAsia" w:ascii="仿宋_GB2312" w:eastAsia="仿宋_GB2312"/>
          <w:b/>
          <w:color w:val="auto"/>
          <w:sz w:val="32"/>
          <w:szCs w:val="32"/>
          <w:highlight w:val="none"/>
        </w:rPr>
        <w:t xml:space="preserve">第十二条 </w:t>
      </w:r>
      <w:r>
        <w:rPr>
          <w:rFonts w:hint="eastAsia" w:ascii="仿宋_GB2312" w:eastAsia="仿宋_GB2312"/>
          <w:color w:val="auto"/>
          <w:sz w:val="32"/>
          <w:szCs w:val="32"/>
          <w:highlight w:val="none"/>
        </w:rPr>
        <w:t>本细则自广东省代建项目管理局办公会研究通过后开始试行。前期工作部可结合直接管理项目实施过程实际情况适时进行修订。</w:t>
      </w:r>
    </w:p>
    <w:p>
      <w:pPr>
        <w:spacing w:line="560" w:lineRule="exact"/>
        <w:ind w:firstLine="640" w:firstLineChars="200"/>
        <w:rPr>
          <w:rFonts w:ascii="仿宋_GB2312" w:eastAsia="仿宋_GB2312"/>
          <w:color w:val="auto"/>
          <w:sz w:val="32"/>
          <w:szCs w:val="32"/>
          <w:highlight w:val="none"/>
        </w:rPr>
      </w:pP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附件：</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一、方案设计阶段设计合同履约评价表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二、初步设计阶段设计合同履约评价表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三、施工图设计阶段设计合同履约评价表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四、施工阶段设计合同履约评价表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五、缺陷责任期阶段设计合同履约评价表</w:t>
      </w:r>
    </w:p>
    <w:p>
      <w:pPr>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六、设计错误分类</w:t>
      </w:r>
    </w:p>
    <w:p>
      <w:pPr>
        <w:spacing w:line="560" w:lineRule="exact"/>
        <w:rPr>
          <w:rFonts w:ascii="仿宋_GB2312" w:eastAsia="仿宋_GB2312"/>
          <w:color w:val="auto"/>
          <w:sz w:val="32"/>
          <w:szCs w:val="32"/>
          <w:highlight w:val="none"/>
        </w:rPr>
      </w:pPr>
      <w:r>
        <w:rPr>
          <w:rFonts w:ascii="仿宋_GB2312" w:eastAsia="仿宋_GB2312"/>
          <w:color w:val="auto"/>
          <w:sz w:val="32"/>
          <w:szCs w:val="32"/>
          <w:highlight w:val="none"/>
        </w:rPr>
        <w:br w:type="page"/>
      </w:r>
      <w:r>
        <w:rPr>
          <w:rFonts w:hint="eastAsia" w:ascii="仿宋_GB2312" w:eastAsia="仿宋_GB2312"/>
          <w:color w:val="auto"/>
          <w:sz w:val="32"/>
          <w:szCs w:val="32"/>
          <w:highlight w:val="none"/>
        </w:rPr>
        <w:t>附件一</w:t>
      </w:r>
    </w:p>
    <w:tbl>
      <w:tblPr>
        <w:tblStyle w:val="63"/>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方案设计阶段设计合同履约评价表</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单项</w:t>
            </w:r>
          </w:p>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b/>
                <w:bCs/>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b/>
                <w:bCs/>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未按合同到位或未经甲方同意，每自行更换一次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pPr>
              <w:widowControl/>
              <w:jc w:val="left"/>
              <w:rPr>
                <w:color w:val="auto"/>
                <w:kern w:val="0"/>
                <w:szCs w:val="21"/>
                <w:highlight w:val="none"/>
              </w:rPr>
            </w:pPr>
            <w:r>
              <w:rPr>
                <w:rFonts w:hint="eastAsia" w:ascii="宋体" w:hAnsi="宋体"/>
                <w:color w:val="auto"/>
                <w:kern w:val="0"/>
                <w:szCs w:val="21"/>
                <w:highlight w:val="none"/>
              </w:rPr>
              <w:t>以上各项每发生一次扣</w:t>
            </w:r>
            <w:r>
              <w:rPr>
                <w:rFonts w:hint="eastAsia"/>
                <w:color w:val="auto"/>
                <w:kern w:val="0"/>
                <w:szCs w:val="21"/>
                <w:highlight w:val="none"/>
              </w:rPr>
              <w:t>2</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建筑方案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是否达到招标文件或合同约定的方案设计要求。</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color w:val="auto"/>
                <w:kern w:val="0"/>
                <w:szCs w:val="21"/>
                <w:highlight w:val="none"/>
              </w:rPr>
              <w:t>未</w:t>
            </w:r>
            <w:r>
              <w:rPr>
                <w:color w:val="auto"/>
                <w:kern w:val="0"/>
                <w:szCs w:val="21"/>
                <w:highlight w:val="none"/>
              </w:rPr>
              <w:t>达到</w:t>
            </w:r>
            <w:r>
              <w:rPr>
                <w:rFonts w:hint="eastAsia" w:ascii="宋体" w:hAnsi="宋体" w:cs="宋体"/>
                <w:color w:val="auto"/>
                <w:kern w:val="0"/>
                <w:szCs w:val="21"/>
                <w:highlight w:val="none"/>
              </w:rPr>
              <w:t>招标文件或</w:t>
            </w:r>
            <w:r>
              <w:rPr>
                <w:color w:val="auto"/>
                <w:kern w:val="0"/>
                <w:szCs w:val="21"/>
                <w:highlight w:val="none"/>
              </w:rPr>
              <w:t>合同约定</w:t>
            </w:r>
            <w:r>
              <w:rPr>
                <w:rFonts w:hint="eastAsia"/>
                <w:color w:val="auto"/>
                <w:kern w:val="0"/>
                <w:szCs w:val="21"/>
                <w:highlight w:val="none"/>
              </w:rPr>
              <w:t>、会议纪要、通知、函件等</w:t>
            </w:r>
            <w:r>
              <w:rPr>
                <w:color w:val="auto"/>
                <w:kern w:val="0"/>
                <w:szCs w:val="21"/>
                <w:highlight w:val="none"/>
              </w:rPr>
              <w:t>要求</w:t>
            </w:r>
            <w:r>
              <w:rPr>
                <w:rFonts w:hint="eastAsia"/>
                <w:color w:val="auto"/>
                <w:kern w:val="0"/>
                <w:szCs w:val="21"/>
                <w:highlight w:val="none"/>
              </w:rPr>
              <w:t>。</w:t>
            </w:r>
          </w:p>
          <w:p>
            <w:pPr>
              <w:widowControl/>
              <w:jc w:val="left"/>
              <w:rPr>
                <w:color w:val="auto"/>
                <w:kern w:val="0"/>
                <w:szCs w:val="21"/>
                <w:highlight w:val="none"/>
              </w:rPr>
            </w:pPr>
            <w:r>
              <w:rPr>
                <w:rFonts w:hint="eastAsia"/>
                <w:color w:val="auto"/>
                <w:kern w:val="0"/>
                <w:szCs w:val="21"/>
                <w:highlight w:val="none"/>
              </w:rPr>
              <w:t>每发生一项扣1分。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规划报建</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是否满足规划管理部门对规划报建文件的要求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经规划管理部门或其委托的专业机构审查，规划报建文件（含电子报建文件）不符合要求而退回的。每发生一次扣2分。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专业报建</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是否满足各专业管理部门对专业报建文件的要求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经各专业管理部门或其委托的第三方机构审查，专业报建文件（含电子报建文件）不符合要求而退回的，每发生一次扣2分。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设计图纸深度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经第三方单位审核，有一个专业达不到深度的，扣1分。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方案估算是否满足经批复的投资估算</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估算超出经批复的投资估算价，每报一版扣2分；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甲方委托的造价咨询公司审核价与乙方编制的估算价偏差每超出1%，扣1分。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因乙方原因，每延误一天扣1分，至扣完为止。</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能否按合同及甲方要求及时协调配合甲方、专项设计单位及其它相关部门的工作；是否具有较强的沟通协调能力；能否在各报建报批环节积极协助甲方完成相关工作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较好：得8分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bl>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3、</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adjustRightInd w:val="0"/>
        <w:snapToGrid w:val="0"/>
        <w:rPr>
          <w:rFonts w:ascii="宋体" w:hAnsi="宋体" w:cs="宋体"/>
          <w:color w:val="auto"/>
          <w:kern w:val="0"/>
          <w:szCs w:val="21"/>
          <w:highlight w:val="none"/>
        </w:rPr>
      </w:pPr>
    </w:p>
    <w:p>
      <w:pPr>
        <w:spacing w:line="560" w:lineRule="exact"/>
        <w:rPr>
          <w:rFonts w:ascii="仿宋_GB2312" w:eastAsia="仿宋_GB2312"/>
          <w:color w:val="auto"/>
          <w:sz w:val="32"/>
          <w:szCs w:val="32"/>
          <w:highlight w:val="none"/>
        </w:rPr>
      </w:pPr>
      <w:r>
        <w:rPr>
          <w:rFonts w:ascii="宋体" w:hAnsi="宋体"/>
          <w:b/>
          <w:color w:val="auto"/>
          <w:szCs w:val="21"/>
          <w:highlight w:val="none"/>
        </w:rPr>
        <w:br w:type="page"/>
      </w:r>
      <w:r>
        <w:rPr>
          <w:rFonts w:hint="eastAsia" w:ascii="仿宋_GB2312" w:eastAsia="仿宋_GB2312"/>
          <w:color w:val="auto"/>
          <w:sz w:val="32"/>
          <w:szCs w:val="32"/>
          <w:highlight w:val="none"/>
        </w:rPr>
        <w:t>附件二</w:t>
      </w:r>
    </w:p>
    <w:tbl>
      <w:tblPr>
        <w:tblStyle w:val="63"/>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初步设计阶段设计合同履约评价表</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单项</w:t>
            </w:r>
          </w:p>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b/>
                <w:bCs/>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b/>
                <w:bCs/>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2</w:t>
            </w:r>
          </w:p>
        </w:tc>
        <w:tc>
          <w:tcPr>
            <w:tcW w:w="1393" w:type="dxa"/>
            <w:tcBorders>
              <w:top w:val="single" w:color="auto" w:sz="4" w:space="0"/>
              <w:left w:val="nil"/>
              <w:bottom w:val="nil"/>
              <w:right w:val="nil"/>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rFonts w:hint="eastAsia"/>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缺席甲方要求参加的有关会议，每次扣1分。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pPr>
              <w:widowControl/>
              <w:jc w:val="left"/>
              <w:rPr>
                <w:color w:val="auto"/>
                <w:kern w:val="0"/>
                <w:szCs w:val="21"/>
                <w:highlight w:val="none"/>
              </w:rPr>
            </w:pPr>
            <w:r>
              <w:rPr>
                <w:rFonts w:hint="eastAsia" w:ascii="宋体" w:hAnsi="宋体"/>
                <w:color w:val="auto"/>
                <w:kern w:val="0"/>
                <w:szCs w:val="21"/>
                <w:highlight w:val="none"/>
              </w:rPr>
              <w:t>以上各项每发生一次扣1分。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建筑</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建筑选型和立面、平面布局是否合理</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经甲方、使用方、第三方专家或单位审核，建筑选型和立面、平面布局不当，每一处扣2分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结构</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基础和上部结构选型是否合理；结构方案是否便于实施；</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经第三方专家或单位审核，</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1、基坑支护、基础或上部结构选型不合理或不经济；</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2、结构方案不便于实施；</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以上各项每一处扣2分。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机电系统及设备选型</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系统及设备选用是否恰当，能否满足功能要求；是否考虑使用和维护成本</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经第三方专家或单位审核，</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1、系统及设备选用不合理或不经济；</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2、系统及设备不能满足功能要求；</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3、选用设备的使用和维护成本大；</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以上各项每一项扣2分。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设计图纸深度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经第三方单位审核，有一个专业达不到深度的，扣2分。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是否按合同要求进行限额设计</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编制的概算超出经批复的投资估算价，每报一版扣1分；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甲方委托的造价咨询公司审核概算价与乙方编制的概算申报额偏差每超出1%，扣2分；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概算申报额与经投资主管部门批复的概算偏差每超出1%，扣3分。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hint="eastAsia" w:ascii="仿宋_GB2312" w:hAnsi="宋体" w:eastAsia="仿宋_GB2312" w:cs="宋体"/>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好：得5分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一般：得2分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较差：得1分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差：得0分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合计</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　</w:t>
            </w:r>
          </w:p>
        </w:tc>
      </w:tr>
    </w:tbl>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1、每一评分项扣分，至该项对应分值扣完为止。</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1、</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2、</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3、</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  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  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adjustRightInd w:val="0"/>
        <w:snapToGrid w:val="0"/>
        <w:rPr>
          <w:rFonts w:ascii="宋体" w:hAnsi="宋体" w:cs="宋体"/>
          <w:color w:val="auto"/>
          <w:kern w:val="0"/>
          <w:szCs w:val="21"/>
          <w:highlight w:val="none"/>
        </w:rPr>
      </w:pPr>
    </w:p>
    <w:p>
      <w:pPr>
        <w:spacing w:line="560" w:lineRule="exact"/>
        <w:rPr>
          <w:rFonts w:ascii="仿宋_GB2312" w:eastAsia="仿宋_GB2312"/>
          <w:color w:val="auto"/>
          <w:sz w:val="32"/>
          <w:szCs w:val="32"/>
          <w:highlight w:val="none"/>
        </w:rPr>
      </w:pPr>
      <w:r>
        <w:rPr>
          <w:rFonts w:ascii="宋体" w:hAnsi="宋体"/>
          <w:b/>
          <w:color w:val="auto"/>
          <w:szCs w:val="21"/>
          <w:highlight w:val="none"/>
        </w:rPr>
        <w:br w:type="page"/>
      </w:r>
      <w:r>
        <w:rPr>
          <w:rFonts w:hint="eastAsia" w:ascii="仿宋_GB2312" w:eastAsia="仿宋_GB2312"/>
          <w:color w:val="auto"/>
          <w:sz w:val="32"/>
          <w:szCs w:val="32"/>
          <w:highlight w:val="none"/>
        </w:rPr>
        <w:t>附件三</w:t>
      </w:r>
    </w:p>
    <w:tbl>
      <w:tblPr>
        <w:tblStyle w:val="63"/>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施工图设计阶段设计合同履约评价表（基坑工程、基坑支护、场地土方平衡等施工图）</w:t>
            </w:r>
          </w:p>
        </w:tc>
      </w:tr>
      <w:tr>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39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单项</w:t>
            </w:r>
          </w:p>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一</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人员配备</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rFonts w:hint="eastAsia"/>
                <w:b/>
                <w:bCs/>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b/>
                <w:bCs/>
                <w:color w:val="auto"/>
                <w:kern w:val="0"/>
                <w:szCs w:val="21"/>
                <w:highlight w:val="none"/>
              </w:rPr>
            </w:pPr>
            <w:r>
              <w:rPr>
                <w:rFonts w:hint="eastAsia"/>
                <w:b/>
                <w:bCs/>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nil"/>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是否按合同到位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缺席甲方要求参加的重要会议，每次扣</w:t>
            </w:r>
            <w:r>
              <w:rPr>
                <w:rFonts w:ascii="宋体" w:hAnsi="宋体"/>
                <w:color w:val="auto"/>
                <w:kern w:val="0"/>
                <w:szCs w:val="21"/>
                <w:highlight w:val="none"/>
              </w:rPr>
              <w:t>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2</w:t>
            </w:r>
          </w:p>
        </w:tc>
        <w:tc>
          <w:tcPr>
            <w:tcW w:w="1393" w:type="dxa"/>
            <w:tcBorders>
              <w:top w:val="single" w:color="auto" w:sz="4" w:space="0"/>
              <w:left w:val="nil"/>
              <w:bottom w:val="nil"/>
              <w:right w:val="nil"/>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人员是否稳定无更换</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rFonts w:hint="eastAsia" w:ascii="宋体" w:hAnsi="宋体"/>
                <w:color w:val="auto"/>
                <w:kern w:val="0"/>
                <w:szCs w:val="21"/>
                <w:highlight w:val="none"/>
              </w:rPr>
              <w:t>未按合同到位且未经甲方同意，每自行更换一次</w:t>
            </w:r>
            <w:r>
              <w:rPr>
                <w:rFonts w:hint="eastAsia"/>
                <w:color w:val="auto"/>
                <w:kern w:val="0"/>
                <w:szCs w:val="21"/>
                <w:highlight w:val="none"/>
              </w:rPr>
              <w:t>，</w:t>
            </w:r>
            <w:r>
              <w:rPr>
                <w:rFonts w:hint="eastAsia" w:ascii="宋体" w:hAnsi="宋体"/>
                <w:color w:val="auto"/>
                <w:kern w:val="0"/>
                <w:szCs w:val="21"/>
                <w:highlight w:val="none"/>
              </w:rPr>
              <w:t>扣</w:t>
            </w:r>
            <w:r>
              <w:rPr>
                <w:color w:val="auto"/>
                <w:kern w:val="0"/>
                <w:szCs w:val="21"/>
                <w:highlight w:val="none"/>
              </w:rPr>
              <w:t>2</w:t>
            </w:r>
            <w:r>
              <w:rPr>
                <w:rFonts w:hint="eastAsia" w:ascii="宋体" w:hAnsi="宋体"/>
                <w:color w:val="auto"/>
                <w:kern w:val="0"/>
                <w:szCs w:val="21"/>
                <w:highlight w:val="none"/>
              </w:rPr>
              <w:t>分；</w:t>
            </w:r>
          </w:p>
          <w:p>
            <w:pPr>
              <w:widowControl/>
              <w:jc w:val="left"/>
              <w:rPr>
                <w:color w:val="auto"/>
                <w:kern w:val="0"/>
                <w:szCs w:val="21"/>
                <w:highlight w:val="none"/>
              </w:rPr>
            </w:pPr>
            <w:r>
              <w:rPr>
                <w:rFonts w:hint="eastAsia" w:ascii="宋体" w:hAnsi="宋体"/>
                <w:color w:val="auto"/>
                <w:kern w:val="0"/>
                <w:szCs w:val="21"/>
                <w:highlight w:val="none"/>
              </w:rPr>
              <w:t>缺席甲方要求参加的有关会议，每次扣</w:t>
            </w:r>
            <w:r>
              <w:rPr>
                <w:rFonts w:ascii="宋体" w:hAnsi="宋体"/>
                <w:color w:val="auto"/>
                <w:kern w:val="0"/>
                <w:szCs w:val="21"/>
                <w:highlight w:val="none"/>
              </w:rPr>
              <w:t>1分。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ascii="宋体" w:hAnsi="宋体"/>
                <w:color w:val="auto"/>
                <w:kern w:val="0"/>
                <w:szCs w:val="21"/>
                <w:highlight w:val="none"/>
              </w:rPr>
              <w:t>二</w:t>
            </w:r>
          </w:p>
        </w:tc>
        <w:tc>
          <w:tcPr>
            <w:tcW w:w="1393" w:type="dxa"/>
            <w:tcBorders>
              <w:top w:val="single" w:color="auto" w:sz="4" w:space="0"/>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项目负责人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、责任心不强、工作协调不到位；</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、发现问题后未及时处理；</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、未与相关参建单位或管理部门及时沟通；</w:t>
            </w:r>
          </w:p>
          <w:p>
            <w:pPr>
              <w:widowControl/>
              <w:jc w:val="left"/>
              <w:rPr>
                <w:rFonts w:ascii="宋体" w:hAnsi="宋体"/>
                <w:color w:val="auto"/>
                <w:kern w:val="0"/>
                <w:szCs w:val="21"/>
                <w:highlight w:val="none"/>
              </w:rPr>
            </w:pPr>
            <w:r>
              <w:rPr>
                <w:color w:val="auto"/>
                <w:kern w:val="0"/>
                <w:szCs w:val="21"/>
                <w:highlight w:val="none"/>
              </w:rPr>
              <w:t>4</w:t>
            </w:r>
            <w:r>
              <w:rPr>
                <w:rFonts w:hint="eastAsia" w:ascii="宋体" w:hAnsi="宋体"/>
                <w:color w:val="auto"/>
                <w:kern w:val="0"/>
                <w:szCs w:val="21"/>
                <w:highlight w:val="none"/>
              </w:rPr>
              <w:t>、未落实甲方的相关要求或会议纪要等文件精神。</w:t>
            </w:r>
          </w:p>
          <w:p>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2</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各专业负责人</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5</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是否有责任心；是否有较高的专业水平；与甲方、使用单位的沟通是否顺畅</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olor w:val="auto"/>
                <w:kern w:val="0"/>
                <w:szCs w:val="21"/>
                <w:highlight w:val="none"/>
              </w:rPr>
            </w:pPr>
            <w:r>
              <w:rPr>
                <w:color w:val="auto"/>
                <w:kern w:val="0"/>
                <w:szCs w:val="21"/>
                <w:highlight w:val="none"/>
              </w:rPr>
              <w:t>1</w:t>
            </w:r>
            <w:r>
              <w:rPr>
                <w:rFonts w:hint="eastAsia" w:ascii="宋体" w:hAnsi="宋体"/>
                <w:color w:val="auto"/>
                <w:kern w:val="0"/>
                <w:szCs w:val="21"/>
                <w:highlight w:val="none"/>
              </w:rPr>
              <w:t>、责任心不强；</w:t>
            </w:r>
          </w:p>
          <w:p>
            <w:pPr>
              <w:widowControl/>
              <w:jc w:val="left"/>
              <w:rPr>
                <w:rFonts w:ascii="宋体" w:hAnsi="宋体"/>
                <w:color w:val="auto"/>
                <w:kern w:val="0"/>
                <w:szCs w:val="21"/>
                <w:highlight w:val="none"/>
              </w:rPr>
            </w:pPr>
            <w:r>
              <w:rPr>
                <w:color w:val="auto"/>
                <w:kern w:val="0"/>
                <w:szCs w:val="21"/>
                <w:highlight w:val="none"/>
              </w:rPr>
              <w:t>2</w:t>
            </w:r>
            <w:r>
              <w:rPr>
                <w:rFonts w:hint="eastAsia" w:ascii="宋体" w:hAnsi="宋体"/>
                <w:color w:val="auto"/>
                <w:kern w:val="0"/>
                <w:szCs w:val="21"/>
                <w:highlight w:val="none"/>
              </w:rPr>
              <w:t>、专业水平不高；</w:t>
            </w:r>
          </w:p>
          <w:p>
            <w:pPr>
              <w:widowControl/>
              <w:jc w:val="left"/>
              <w:rPr>
                <w:rFonts w:ascii="宋体" w:hAnsi="宋体"/>
                <w:color w:val="auto"/>
                <w:kern w:val="0"/>
                <w:szCs w:val="21"/>
                <w:highlight w:val="none"/>
              </w:rPr>
            </w:pPr>
            <w:r>
              <w:rPr>
                <w:color w:val="auto"/>
                <w:kern w:val="0"/>
                <w:szCs w:val="21"/>
                <w:highlight w:val="none"/>
              </w:rPr>
              <w:t>3</w:t>
            </w:r>
            <w:r>
              <w:rPr>
                <w:rFonts w:hint="eastAsia" w:ascii="宋体" w:hAnsi="宋体"/>
                <w:color w:val="auto"/>
                <w:kern w:val="0"/>
                <w:szCs w:val="21"/>
                <w:highlight w:val="none"/>
              </w:rPr>
              <w:t>、与甲方、使用单位的沟通不到位；</w:t>
            </w:r>
          </w:p>
          <w:p>
            <w:pPr>
              <w:widowControl/>
              <w:jc w:val="left"/>
              <w:rPr>
                <w:color w:val="auto"/>
                <w:kern w:val="0"/>
                <w:szCs w:val="21"/>
                <w:highlight w:val="none"/>
              </w:rPr>
            </w:pPr>
            <w:r>
              <w:rPr>
                <w:rFonts w:hint="eastAsia" w:ascii="宋体" w:hAnsi="宋体"/>
                <w:color w:val="auto"/>
                <w:kern w:val="0"/>
                <w:szCs w:val="21"/>
                <w:highlight w:val="none"/>
              </w:rPr>
              <w:t>以上各项每发生一次扣</w:t>
            </w:r>
            <w:r>
              <w:rPr>
                <w:color w:val="auto"/>
                <w:kern w:val="0"/>
                <w:szCs w:val="21"/>
                <w:highlight w:val="none"/>
              </w:rPr>
              <w:t>1</w:t>
            </w:r>
            <w:r>
              <w:rPr>
                <w:rFonts w:hint="eastAsia" w:ascii="宋体" w:hAnsi="宋体"/>
                <w:color w:val="auto"/>
                <w:kern w:val="0"/>
                <w:szCs w:val="21"/>
                <w:highlight w:val="none"/>
              </w:rPr>
              <w:t>分。</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50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设计错误</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施工图审查过程中是否出现Ⅰ类错误、Ⅱ类错误、Ⅲ类错误、Ⅳ类错误（分类详见附件六）</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每出现Ⅰ类问题的一项一次扣</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每出现Ⅱ类问题的一项一次扣</w:t>
            </w:r>
            <w:r>
              <w:rPr>
                <w:rFonts w:ascii="宋体" w:hAnsi="宋体" w:cs="宋体"/>
                <w:color w:val="auto"/>
                <w:kern w:val="0"/>
                <w:szCs w:val="21"/>
                <w:highlight w:val="none"/>
              </w:rPr>
              <w:t>3分；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每出现Ⅲ类问题的一项一次扣</w:t>
            </w:r>
            <w:r>
              <w:rPr>
                <w:rFonts w:ascii="宋体" w:hAnsi="宋体" w:cs="宋体"/>
                <w:color w:val="auto"/>
                <w:kern w:val="0"/>
                <w:szCs w:val="21"/>
                <w:highlight w:val="none"/>
              </w:rPr>
              <w:t>2分；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每出现Ⅳ类问题的满五项一次扣</w:t>
            </w:r>
            <w:r>
              <w:rPr>
                <w:rFonts w:ascii="宋体" w:hAnsi="宋体" w:cs="宋体"/>
                <w:color w:val="auto"/>
                <w:kern w:val="0"/>
                <w:szCs w:val="21"/>
                <w:highlight w:val="none"/>
              </w:rPr>
              <w:t>1分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限额设计</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是否按合同要求进行限额设计</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编制的施工图预算由于设计原因</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造成建安工程费超出经发改部门批复的初步设计概算，每超出</w:t>
            </w:r>
            <w:r>
              <w:rPr>
                <w:rFonts w:ascii="宋体" w:hAnsi="宋体" w:cs="宋体"/>
                <w:color w:val="auto"/>
                <w:kern w:val="0"/>
                <w:szCs w:val="21"/>
                <w:highlight w:val="none"/>
              </w:rPr>
              <w:t>1%扣2分。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四</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设计进度</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因乙方原因，每延误一天扣</w:t>
            </w:r>
            <w:r>
              <w:rPr>
                <w:rFonts w:ascii="宋体" w:hAnsi="宋体" w:cs="宋体"/>
                <w:color w:val="auto"/>
                <w:kern w:val="0"/>
                <w:szCs w:val="21"/>
                <w:highlight w:val="none"/>
              </w:rPr>
              <w:t>1分。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五</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393"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设计配合</w:t>
            </w:r>
          </w:p>
        </w:tc>
        <w:tc>
          <w:tcPr>
            <w:tcW w:w="70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1393"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合计</w:t>
            </w:r>
          </w:p>
        </w:tc>
        <w:tc>
          <w:tcPr>
            <w:tcW w:w="70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bl>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日期：年月日</w:t>
      </w:r>
    </w:p>
    <w:p>
      <w:pPr>
        <w:adjustRightInd w:val="0"/>
        <w:snapToGrid w:val="0"/>
        <w:rPr>
          <w:rFonts w:ascii="宋体" w:hAnsi="宋体" w:cs="宋体"/>
          <w:color w:val="auto"/>
          <w:kern w:val="0"/>
          <w:szCs w:val="21"/>
          <w:highlight w:val="none"/>
        </w:rPr>
      </w:pPr>
    </w:p>
    <w:p>
      <w:pPr>
        <w:spacing w:line="560" w:lineRule="exact"/>
        <w:rPr>
          <w:rFonts w:ascii="仿宋_GB2312" w:eastAsia="仿宋_GB2312"/>
          <w:color w:val="auto"/>
          <w:sz w:val="32"/>
          <w:szCs w:val="32"/>
          <w:highlight w:val="none"/>
        </w:rPr>
      </w:pPr>
      <w:r>
        <w:rPr>
          <w:rFonts w:ascii="宋体" w:hAnsi="宋体"/>
          <w:b/>
          <w:color w:val="auto"/>
          <w:szCs w:val="21"/>
          <w:highlight w:val="none"/>
        </w:rPr>
        <w:br w:type="page"/>
      </w:r>
      <w:r>
        <w:rPr>
          <w:rFonts w:hint="eastAsia" w:ascii="仿宋_GB2312" w:eastAsia="仿宋_GB2312"/>
          <w:color w:val="auto"/>
          <w:sz w:val="32"/>
          <w:szCs w:val="32"/>
          <w:highlight w:val="none"/>
        </w:rPr>
        <w:t>附件四</w:t>
      </w:r>
    </w:p>
    <w:tbl>
      <w:tblPr>
        <w:tblStyle w:val="63"/>
        <w:tblW w:w="9376" w:type="dxa"/>
        <w:jc w:val="center"/>
        <w:tblLayout w:type="fixed"/>
        <w:tblCellMar>
          <w:top w:w="0" w:type="dxa"/>
          <w:left w:w="108" w:type="dxa"/>
          <w:bottom w:w="0" w:type="dxa"/>
          <w:right w:w="108" w:type="dxa"/>
        </w:tblCellMar>
      </w:tblPr>
      <w:tblGrid>
        <w:gridCol w:w="499"/>
        <w:gridCol w:w="1274"/>
        <w:gridCol w:w="799"/>
        <w:gridCol w:w="2551"/>
        <w:gridCol w:w="3261"/>
        <w:gridCol w:w="992"/>
      </w:tblGrid>
      <w:tr>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施工阶段设计合同履约评价表</w:t>
            </w:r>
          </w:p>
          <w:p>
            <w:pPr>
              <w:widowControl/>
              <w:jc w:val="right"/>
              <w:rPr>
                <w:rFonts w:ascii="仿宋_GB2312" w:hAnsi="宋体" w:eastAsia="仿宋_GB2312"/>
                <w:color w:val="auto"/>
                <w:sz w:val="28"/>
                <w:szCs w:val="28"/>
                <w:highlight w:val="none"/>
              </w:rPr>
            </w:pPr>
            <w:r>
              <w:rPr>
                <w:rFonts w:ascii="仿宋_GB2312" w:hAnsi="宋体" w:eastAsia="仿宋_GB2312"/>
                <w:color w:val="auto"/>
                <w:sz w:val="24"/>
                <w:highlight w:val="none"/>
              </w:rPr>
              <w:t xml:space="preserve">20   </w:t>
            </w:r>
            <w:r>
              <w:rPr>
                <w:rFonts w:hint="eastAsia" w:ascii="仿宋_GB2312" w:hAnsi="宋体" w:eastAsia="仿宋_GB2312"/>
                <w:color w:val="auto"/>
                <w:sz w:val="24"/>
                <w:highlight w:val="none"/>
              </w:rPr>
              <w:t>年第季度</w:t>
            </w:r>
          </w:p>
        </w:tc>
      </w:tr>
      <w:tr>
        <w:tblPrEx>
          <w:tblCellMar>
            <w:top w:w="0" w:type="dxa"/>
            <w:left w:w="108" w:type="dxa"/>
            <w:bottom w:w="0" w:type="dxa"/>
            <w:right w:w="108" w:type="dxa"/>
          </w:tblCellMar>
        </w:tblPrEx>
        <w:trPr>
          <w:jc w:val="center"/>
        </w:trPr>
        <w:tc>
          <w:tcPr>
            <w:tcW w:w="49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w:t>
            </w:r>
          </w:p>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号</w:t>
            </w:r>
          </w:p>
        </w:tc>
        <w:tc>
          <w:tcPr>
            <w:tcW w:w="12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单项</w:t>
            </w:r>
            <w:r>
              <w:rPr>
                <w:rFonts w:ascii="宋体" w:hAnsi="宋体" w:cs="宋体"/>
                <w:b/>
                <w:bCs/>
                <w:color w:val="auto"/>
                <w:kern w:val="0"/>
                <w:szCs w:val="21"/>
                <w:highlight w:val="none"/>
              </w:rPr>
              <w:br w:type="textWrapping"/>
            </w: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26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992"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一</w:t>
            </w:r>
          </w:p>
        </w:tc>
        <w:tc>
          <w:tcPr>
            <w:tcW w:w="1274"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9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现场配合人员</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能否按合同及甲方要求及时协调配合甲方、专项设计单位及其它相关部门的工作；是否具有较强的沟通协调能力；能否在验收环节积极协助甲方完成相关工作；设计配合是否及时；能否按要求参加项目例会</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设计技术交底</w:t>
            </w:r>
          </w:p>
        </w:tc>
        <w:tc>
          <w:tcPr>
            <w:tcW w:w="799" w:type="dxa"/>
            <w:tcBorders>
              <w:top w:val="single" w:color="auto" w:sz="4" w:space="0"/>
              <w:left w:val="nil"/>
              <w:bottom w:val="nil"/>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是否满足现场施工要求</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二</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设计图纸质量</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错漏碰缺</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20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施工过程中发现设计图纸上存在的错漏碰缺对造价及工期的影响</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设计图纸上存在的错漏碰缺，产生以下影响：</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1、工程造价增加10</w:t>
            </w:r>
            <w:r>
              <w:rPr>
                <w:rFonts w:hint="eastAsia" w:ascii="宋体" w:hAnsi="宋体" w:cs="宋体"/>
                <w:color w:val="auto"/>
                <w:kern w:val="0"/>
                <w:szCs w:val="21"/>
                <w:highlight w:val="none"/>
              </w:rPr>
              <w:t>万元（含）以上，或影响总工期</w:t>
            </w:r>
            <w:r>
              <w:rPr>
                <w:rFonts w:ascii="宋体" w:hAnsi="宋体" w:cs="宋体"/>
                <w:color w:val="auto"/>
                <w:kern w:val="0"/>
                <w:szCs w:val="21"/>
                <w:highlight w:val="none"/>
              </w:rPr>
              <w:t>10</w:t>
            </w:r>
            <w:r>
              <w:rPr>
                <w:rFonts w:hint="eastAsia" w:ascii="宋体" w:hAnsi="宋体" w:cs="宋体"/>
                <w:color w:val="auto"/>
                <w:kern w:val="0"/>
                <w:szCs w:val="21"/>
                <w:highlight w:val="none"/>
              </w:rPr>
              <w:t>天（含）以上的，扣</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2、工程造价增加5</w:t>
            </w:r>
            <w:r>
              <w:rPr>
                <w:rFonts w:hint="eastAsia" w:ascii="宋体" w:hAnsi="宋体" w:cs="宋体"/>
                <w:color w:val="auto"/>
                <w:kern w:val="0"/>
                <w:szCs w:val="21"/>
                <w:highlight w:val="none"/>
              </w:rPr>
              <w:t>万元（含）</w:t>
            </w:r>
            <w:r>
              <w:rPr>
                <w:rFonts w:ascii="宋体" w:hAnsi="宋体" w:cs="宋体"/>
                <w:color w:val="auto"/>
                <w:kern w:val="0"/>
                <w:szCs w:val="21"/>
                <w:highlight w:val="none"/>
              </w:rPr>
              <w:t>-10</w:t>
            </w:r>
            <w:r>
              <w:rPr>
                <w:rFonts w:hint="eastAsia" w:ascii="宋体" w:hAnsi="宋体" w:cs="宋体"/>
                <w:color w:val="auto"/>
                <w:kern w:val="0"/>
                <w:szCs w:val="21"/>
                <w:highlight w:val="none"/>
              </w:rPr>
              <w:t>万元的，或影响总工期</w:t>
            </w:r>
            <w:r>
              <w:rPr>
                <w:rFonts w:ascii="宋体" w:hAnsi="宋体" w:cs="宋体"/>
                <w:color w:val="auto"/>
                <w:kern w:val="0"/>
                <w:szCs w:val="21"/>
                <w:highlight w:val="none"/>
              </w:rPr>
              <w:t>5天（含）-10</w:t>
            </w:r>
            <w:r>
              <w:rPr>
                <w:rFonts w:hint="eastAsia" w:ascii="宋体" w:hAnsi="宋体" w:cs="宋体"/>
                <w:color w:val="auto"/>
                <w:kern w:val="0"/>
                <w:szCs w:val="21"/>
                <w:highlight w:val="none"/>
              </w:rPr>
              <w:t>天的，扣</w:t>
            </w:r>
            <w:r>
              <w:rPr>
                <w:rFonts w:ascii="宋体" w:hAnsi="宋体" w:cs="宋体"/>
                <w:color w:val="auto"/>
                <w:kern w:val="0"/>
                <w:szCs w:val="21"/>
                <w:highlight w:val="none"/>
              </w:rPr>
              <w:t>5分；</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3、工程造价增加5</w:t>
            </w:r>
            <w:r>
              <w:rPr>
                <w:rFonts w:hint="eastAsia" w:ascii="宋体" w:hAnsi="宋体" w:cs="宋体"/>
                <w:color w:val="auto"/>
                <w:kern w:val="0"/>
                <w:szCs w:val="21"/>
                <w:highlight w:val="none"/>
              </w:rPr>
              <w:t>万元以下的，或影响总工期</w:t>
            </w:r>
            <w:r>
              <w:rPr>
                <w:rFonts w:ascii="宋体" w:hAnsi="宋体" w:cs="宋体"/>
                <w:color w:val="auto"/>
                <w:kern w:val="0"/>
                <w:szCs w:val="21"/>
                <w:highlight w:val="none"/>
              </w:rPr>
              <w:t>5天以内的，扣2分。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编制竣工图</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竣工图是否准确反映实际情况</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竣工图不符合实际情况的，每处扣</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三</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50</w:t>
            </w:r>
          </w:p>
        </w:tc>
        <w:tc>
          <w:tcPr>
            <w:tcW w:w="2551"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color w:val="auto"/>
                <w:kern w:val="0"/>
                <w:szCs w:val="21"/>
                <w:highlight w:val="none"/>
              </w:rPr>
            </w:pPr>
          </w:p>
        </w:tc>
        <w:tc>
          <w:tcPr>
            <w:tcW w:w="3261"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keepNext/>
              <w:keepLines/>
              <w:widowControl/>
              <w:spacing w:before="340" w:after="330" w:line="578" w:lineRule="auto"/>
              <w:jc w:val="left"/>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是否由乙方设计原因造成设计变更，设计变更是否引起工程费用增加，是否影响工程总工期</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由乙方原因造成的设计变更，产生以下影响：</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设计变更超过施工合同价</w:t>
            </w:r>
            <w:r>
              <w:rPr>
                <w:rFonts w:ascii="宋体" w:hAnsi="宋体" w:cs="宋体"/>
                <w:color w:val="auto"/>
                <w:kern w:val="0"/>
                <w:szCs w:val="21"/>
                <w:highlight w:val="none"/>
              </w:rPr>
              <w:t>10%的，扣40分；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设计变更超过施工合同价</w:t>
            </w:r>
            <w:r>
              <w:rPr>
                <w:rFonts w:ascii="宋体" w:hAnsi="宋体" w:cs="宋体"/>
                <w:color w:val="auto"/>
                <w:kern w:val="0"/>
                <w:szCs w:val="21"/>
                <w:highlight w:val="none"/>
              </w:rPr>
              <w:t>5%的，扣20分；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需调整工程总概算来处理其费用变化，或影响总工期</w:t>
            </w:r>
            <w:r>
              <w:rPr>
                <w:rFonts w:ascii="宋体" w:hAnsi="宋体" w:cs="宋体"/>
                <w:color w:val="auto"/>
                <w:kern w:val="0"/>
                <w:szCs w:val="21"/>
                <w:highlight w:val="none"/>
              </w:rPr>
              <w:t>30天以上（含30天），每次扣20分；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50万元（含）以上，或影响总工期10-30天（含10天）的工程变更，扣10分；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5-50万元（含5万元）的工程变更，或影响总工期10天以内的工程变更，扣5分；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一次工程变更估算金额增加在</w:t>
            </w:r>
            <w:r>
              <w:rPr>
                <w:rFonts w:ascii="宋体" w:hAnsi="宋体" w:cs="宋体"/>
                <w:color w:val="auto"/>
                <w:kern w:val="0"/>
                <w:szCs w:val="21"/>
                <w:highlight w:val="none"/>
              </w:rPr>
              <w:t>5万元以下的工程变更，扣3分。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工程变更设计进度</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10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是否及时按甲方要求完成设计变更</w:t>
            </w:r>
          </w:p>
        </w:tc>
        <w:tc>
          <w:tcPr>
            <w:tcW w:w="326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8分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6分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992"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r>
      <w:tr>
        <w:tblPrEx>
          <w:tblCellMar>
            <w:top w:w="0" w:type="dxa"/>
            <w:left w:w="108" w:type="dxa"/>
            <w:bottom w:w="0" w:type="dxa"/>
            <w:right w:w="108" w:type="dxa"/>
          </w:tblCellMar>
        </w:tblPrEx>
        <w:trPr>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1274"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合计</w:t>
            </w:r>
          </w:p>
        </w:tc>
        <w:tc>
          <w:tcPr>
            <w:tcW w:w="79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color w:val="auto"/>
                <w:kern w:val="0"/>
                <w:szCs w:val="21"/>
                <w:highlight w:val="none"/>
              </w:rPr>
            </w:pPr>
          </w:p>
        </w:tc>
        <w:tc>
          <w:tcPr>
            <w:tcW w:w="3261"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color w:val="auto"/>
                <w:kern w:val="0"/>
                <w:szCs w:val="21"/>
                <w:highlight w:val="none"/>
              </w:rPr>
            </w:pPr>
          </w:p>
        </w:tc>
        <w:tc>
          <w:tcPr>
            <w:tcW w:w="992" w:type="dxa"/>
            <w:tcBorders>
              <w:top w:val="nil"/>
              <w:left w:val="nil"/>
              <w:bottom w:val="single" w:color="auto" w:sz="4" w:space="0"/>
              <w:right w:val="single" w:color="auto" w:sz="4" w:space="0"/>
            </w:tcBorders>
            <w:noWrap/>
            <w:vAlign w:val="center"/>
          </w:tcPr>
          <w:p>
            <w:pPr>
              <w:keepNext/>
              <w:keepLines/>
              <w:widowControl/>
              <w:spacing w:before="340" w:after="330" w:line="578" w:lineRule="auto"/>
              <w:outlineLvl w:val="0"/>
              <w:rPr>
                <w:color w:val="auto"/>
                <w:kern w:val="0"/>
                <w:szCs w:val="21"/>
                <w:highlight w:val="none"/>
              </w:rPr>
            </w:pPr>
          </w:p>
        </w:tc>
      </w:tr>
    </w:tbl>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日期：年月日</w:t>
      </w:r>
    </w:p>
    <w:p>
      <w:pPr>
        <w:adjustRightInd w:val="0"/>
        <w:snapToGrid w:val="0"/>
        <w:rPr>
          <w:rFonts w:ascii="宋体" w:hAnsi="宋体" w:cs="宋体"/>
          <w:color w:val="auto"/>
          <w:kern w:val="0"/>
          <w:szCs w:val="21"/>
          <w:highlight w:val="none"/>
        </w:rPr>
      </w:pPr>
    </w:p>
    <w:p>
      <w:pPr>
        <w:spacing w:line="560" w:lineRule="exact"/>
        <w:rPr>
          <w:rFonts w:ascii="仿宋_GB2312" w:eastAsia="仿宋_GB2312"/>
          <w:color w:val="auto"/>
          <w:sz w:val="32"/>
          <w:szCs w:val="32"/>
          <w:highlight w:val="none"/>
        </w:rPr>
      </w:pPr>
      <w:r>
        <w:rPr>
          <w:rFonts w:ascii="宋体" w:hAnsi="宋体"/>
          <w:b/>
          <w:color w:val="auto"/>
          <w:szCs w:val="21"/>
          <w:highlight w:val="none"/>
        </w:rPr>
        <w:br w:type="page"/>
      </w:r>
      <w:r>
        <w:rPr>
          <w:rFonts w:hint="eastAsia" w:ascii="仿宋_GB2312" w:eastAsia="仿宋_GB2312"/>
          <w:color w:val="auto"/>
          <w:sz w:val="32"/>
          <w:szCs w:val="32"/>
          <w:highlight w:val="none"/>
        </w:rPr>
        <w:t>附件五</w:t>
      </w:r>
    </w:p>
    <w:tbl>
      <w:tblPr>
        <w:tblStyle w:val="63"/>
        <w:tblW w:w="9376" w:type="dxa"/>
        <w:jc w:val="center"/>
        <w:tblLayout w:type="fixed"/>
        <w:tblCellMar>
          <w:top w:w="0" w:type="dxa"/>
          <w:left w:w="108" w:type="dxa"/>
          <w:bottom w:w="0" w:type="dxa"/>
          <w:right w:w="108" w:type="dxa"/>
        </w:tblCellMar>
      </w:tblPr>
      <w:tblGrid>
        <w:gridCol w:w="499"/>
        <w:gridCol w:w="1274"/>
        <w:gridCol w:w="799"/>
        <w:gridCol w:w="2551"/>
        <w:gridCol w:w="3406"/>
        <w:gridCol w:w="847"/>
      </w:tblGrid>
      <w:tr>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noWrap/>
            <w:vAlign w:val="center"/>
          </w:tcPr>
          <w:p>
            <w:pPr>
              <w:widowControl/>
              <w:jc w:val="center"/>
              <w:rPr>
                <w:rFonts w:ascii="仿宋_GB2312" w:hAnsi="宋体" w:eastAsia="仿宋_GB2312"/>
                <w:color w:val="auto"/>
                <w:sz w:val="28"/>
                <w:szCs w:val="28"/>
                <w:highlight w:val="none"/>
              </w:rPr>
            </w:pPr>
            <w:r>
              <w:rPr>
                <w:rFonts w:hint="eastAsia" w:ascii="仿宋_GB2312" w:hAnsi="宋体" w:eastAsia="仿宋_GB2312"/>
                <w:color w:val="auto"/>
                <w:sz w:val="28"/>
                <w:szCs w:val="28"/>
                <w:highlight w:val="none"/>
              </w:rPr>
              <w:t>缺陷责任期阶段设计合同履约评价表</w:t>
            </w:r>
          </w:p>
          <w:p>
            <w:pPr>
              <w:widowControl/>
              <w:wordWrap w:val="0"/>
              <w:jc w:val="right"/>
              <w:rPr>
                <w:rFonts w:ascii="仿宋_GB2312" w:hAnsi="宋体" w:eastAsia="仿宋_GB2312"/>
                <w:color w:val="auto"/>
                <w:sz w:val="24"/>
                <w:highlight w:val="none"/>
              </w:rPr>
            </w:pPr>
            <w:r>
              <w:rPr>
                <w:rFonts w:ascii="仿宋_GB2312" w:hAnsi="宋体" w:eastAsia="仿宋_GB2312"/>
                <w:color w:val="auto"/>
                <w:sz w:val="24"/>
                <w:highlight w:val="none"/>
              </w:rPr>
              <w:t xml:space="preserve">20   </w:t>
            </w:r>
            <w:r>
              <w:rPr>
                <w:rFonts w:hint="eastAsia" w:ascii="仿宋_GB2312" w:hAnsi="宋体" w:eastAsia="仿宋_GB2312"/>
                <w:color w:val="auto"/>
                <w:sz w:val="24"/>
                <w:highlight w:val="none"/>
              </w:rPr>
              <w:t>年度</w:t>
            </w:r>
          </w:p>
        </w:tc>
      </w:tr>
      <w:tr>
        <w:tblPrEx>
          <w:tblCellMar>
            <w:top w:w="0" w:type="dxa"/>
            <w:left w:w="108" w:type="dxa"/>
            <w:bottom w:w="0" w:type="dxa"/>
            <w:right w:w="108" w:type="dxa"/>
          </w:tblCellMar>
        </w:tblPrEx>
        <w:trPr>
          <w:trHeight w:val="750" w:hRule="atLeast"/>
          <w:jc w:val="center"/>
        </w:trPr>
        <w:tc>
          <w:tcPr>
            <w:tcW w:w="49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w:t>
            </w:r>
          </w:p>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号</w:t>
            </w:r>
          </w:p>
        </w:tc>
        <w:tc>
          <w:tcPr>
            <w:tcW w:w="1274"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内容</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单项</w:t>
            </w:r>
            <w:r>
              <w:rPr>
                <w:rFonts w:ascii="宋体" w:hAnsi="宋体" w:cs="宋体"/>
                <w:b/>
                <w:bCs/>
                <w:color w:val="auto"/>
                <w:kern w:val="0"/>
                <w:szCs w:val="21"/>
                <w:highlight w:val="none"/>
              </w:rPr>
              <w:br w:type="textWrapping"/>
            </w:r>
            <w:r>
              <w:rPr>
                <w:rFonts w:hint="eastAsia" w:ascii="宋体" w:hAnsi="宋体" w:cs="宋体"/>
                <w:b/>
                <w:bCs/>
                <w:color w:val="auto"/>
                <w:kern w:val="0"/>
                <w:szCs w:val="21"/>
                <w:highlight w:val="none"/>
              </w:rPr>
              <w:t>分值</w:t>
            </w:r>
          </w:p>
        </w:tc>
        <w:tc>
          <w:tcPr>
            <w:tcW w:w="255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评价指标</w:t>
            </w:r>
          </w:p>
        </w:tc>
        <w:tc>
          <w:tcPr>
            <w:tcW w:w="340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评分标准</w:t>
            </w:r>
          </w:p>
        </w:tc>
        <w:tc>
          <w:tcPr>
            <w:tcW w:w="847"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得分</w:t>
            </w:r>
          </w:p>
        </w:tc>
      </w:tr>
      <w:tr>
        <w:tblPrEx>
          <w:tblCellMar>
            <w:top w:w="0" w:type="dxa"/>
            <w:left w:w="108" w:type="dxa"/>
            <w:bottom w:w="0" w:type="dxa"/>
            <w:right w:w="108" w:type="dxa"/>
          </w:tblCellMar>
        </w:tblPrEx>
        <w:trPr>
          <w:trHeight w:val="63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一</w:t>
            </w:r>
          </w:p>
        </w:tc>
        <w:tc>
          <w:tcPr>
            <w:tcW w:w="1274"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ascii="宋体" w:hAnsi="宋体"/>
                <w:color w:val="auto"/>
                <w:kern w:val="0"/>
                <w:szCs w:val="21"/>
                <w:highlight w:val="none"/>
              </w:rPr>
              <w:t>能力水平及履约表现</w:t>
            </w:r>
          </w:p>
        </w:tc>
        <w:tc>
          <w:tcPr>
            <w:tcW w:w="79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30</w:t>
            </w:r>
          </w:p>
        </w:tc>
        <w:tc>
          <w:tcPr>
            <w:tcW w:w="2551"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r>
              <w:rPr>
                <w:rFonts w:hint="eastAsia"/>
                <w:color w:val="auto"/>
                <w:kern w:val="0"/>
                <w:szCs w:val="21"/>
                <w:highlight w:val="none"/>
              </w:rPr>
              <w:t>　</w:t>
            </w:r>
          </w:p>
        </w:tc>
        <w:tc>
          <w:tcPr>
            <w:tcW w:w="3406" w:type="dxa"/>
            <w:tcBorders>
              <w:top w:val="nil"/>
              <w:left w:val="nil"/>
              <w:bottom w:val="single" w:color="auto" w:sz="4" w:space="0"/>
              <w:right w:val="single" w:color="auto" w:sz="4" w:space="0"/>
            </w:tcBorders>
            <w:noWrap/>
            <w:vAlign w:val="center"/>
          </w:tcPr>
          <w:p>
            <w:pPr>
              <w:widowControl/>
              <w:jc w:val="left"/>
              <w:rPr>
                <w:color w:val="auto"/>
                <w:kern w:val="0"/>
                <w:szCs w:val="21"/>
                <w:highlight w:val="none"/>
              </w:rPr>
            </w:pPr>
          </w:p>
        </w:tc>
        <w:tc>
          <w:tcPr>
            <w:tcW w:w="847"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r>
        <w:tblPrEx>
          <w:tblCellMar>
            <w:top w:w="0" w:type="dxa"/>
            <w:left w:w="108" w:type="dxa"/>
            <w:bottom w:w="0" w:type="dxa"/>
            <w:right w:w="108" w:type="dxa"/>
          </w:tblCellMar>
        </w:tblPrEx>
        <w:trPr>
          <w:trHeight w:val="189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现场配合人员</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能否按合同及甲方要求及时协调配合甲方、专项设计单位及其它相关部门的工作；是否具有较强的沟通协调能力；能否在该阶段积极协助甲方完成相关工作；设计配合是否及时；能否按要求参加有关会议</w:t>
            </w:r>
          </w:p>
        </w:tc>
        <w:tc>
          <w:tcPr>
            <w:tcW w:w="3406"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30分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20分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5分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847"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trHeight w:val="72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二</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设计质量</w:t>
            </w:r>
          </w:p>
        </w:tc>
        <w:tc>
          <w:tcPr>
            <w:tcW w:w="799"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70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3406"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p>
        </w:tc>
        <w:tc>
          <w:tcPr>
            <w:tcW w:w="847"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trHeight w:val="243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1</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设计缺陷</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40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使用过程中发现由于设计原因造成使用功能缺陷、使用上的不便等情形</w:t>
            </w:r>
          </w:p>
        </w:tc>
        <w:tc>
          <w:tcPr>
            <w:tcW w:w="3406"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使用过程中由于设计原因，产生以下影响：</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1、修补费用10</w:t>
            </w:r>
            <w:r>
              <w:rPr>
                <w:rFonts w:hint="eastAsia" w:ascii="宋体" w:hAnsi="宋体" w:cs="宋体"/>
                <w:color w:val="auto"/>
                <w:kern w:val="0"/>
                <w:szCs w:val="21"/>
                <w:highlight w:val="none"/>
              </w:rPr>
              <w:t>万元（含）以上，扣</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2、修补费用5</w:t>
            </w:r>
            <w:r>
              <w:rPr>
                <w:rFonts w:hint="eastAsia" w:ascii="宋体" w:hAnsi="宋体" w:cs="宋体"/>
                <w:color w:val="auto"/>
                <w:kern w:val="0"/>
                <w:szCs w:val="21"/>
                <w:highlight w:val="none"/>
              </w:rPr>
              <w:t>万元（含）</w:t>
            </w:r>
            <w:r>
              <w:rPr>
                <w:rFonts w:ascii="宋体" w:hAnsi="宋体" w:cs="宋体"/>
                <w:color w:val="auto"/>
                <w:kern w:val="0"/>
                <w:szCs w:val="21"/>
                <w:highlight w:val="none"/>
              </w:rPr>
              <w:t>-10</w:t>
            </w:r>
            <w:r>
              <w:rPr>
                <w:rFonts w:hint="eastAsia" w:ascii="宋体" w:hAnsi="宋体" w:cs="宋体"/>
                <w:color w:val="auto"/>
                <w:kern w:val="0"/>
                <w:szCs w:val="21"/>
                <w:highlight w:val="none"/>
              </w:rPr>
              <w:t>万元的扣</w:t>
            </w:r>
            <w:r>
              <w:rPr>
                <w:rFonts w:ascii="宋体" w:hAnsi="宋体" w:cs="宋体"/>
                <w:color w:val="auto"/>
                <w:kern w:val="0"/>
                <w:szCs w:val="21"/>
                <w:highlight w:val="none"/>
              </w:rPr>
              <w:t>6分；</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3、修补费用5</w:t>
            </w:r>
            <w:r>
              <w:rPr>
                <w:rFonts w:hint="eastAsia" w:ascii="宋体" w:hAnsi="宋体" w:cs="宋体"/>
                <w:color w:val="auto"/>
                <w:kern w:val="0"/>
                <w:szCs w:val="21"/>
                <w:highlight w:val="none"/>
              </w:rPr>
              <w:t>万元以下的，扣</w:t>
            </w:r>
            <w:r>
              <w:rPr>
                <w:rFonts w:ascii="宋体" w:hAnsi="宋体" w:cs="宋体"/>
                <w:color w:val="auto"/>
                <w:kern w:val="0"/>
                <w:szCs w:val="21"/>
                <w:highlight w:val="none"/>
              </w:rPr>
              <w:t>4分；</w:t>
            </w:r>
          </w:p>
          <w:p>
            <w:pPr>
              <w:widowControl/>
              <w:jc w:val="left"/>
              <w:rPr>
                <w:rFonts w:ascii="宋体" w:hAnsi="宋体" w:cs="宋体"/>
                <w:color w:val="auto"/>
                <w:kern w:val="0"/>
                <w:szCs w:val="21"/>
                <w:highlight w:val="none"/>
              </w:rPr>
            </w:pPr>
            <w:r>
              <w:rPr>
                <w:rFonts w:ascii="宋体" w:hAnsi="宋体" w:cs="宋体"/>
                <w:color w:val="auto"/>
                <w:kern w:val="0"/>
                <w:szCs w:val="21"/>
                <w:highlight w:val="none"/>
              </w:rPr>
              <w:t>4、使用上不便造成使用单位接到投诉的，每次扣2分。</w:t>
            </w:r>
          </w:p>
        </w:tc>
        <w:tc>
          <w:tcPr>
            <w:tcW w:w="847"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trHeight w:val="540"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ascii="宋体" w:hAnsi="宋体" w:cs="宋体"/>
                <w:color w:val="auto"/>
                <w:kern w:val="0"/>
                <w:szCs w:val="21"/>
                <w:highlight w:val="none"/>
              </w:rPr>
              <w:t>2</w:t>
            </w:r>
          </w:p>
        </w:tc>
        <w:tc>
          <w:tcPr>
            <w:tcW w:w="1274"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设计缺陷处理进度</w:t>
            </w:r>
          </w:p>
        </w:tc>
        <w:tc>
          <w:tcPr>
            <w:tcW w:w="799" w:type="dxa"/>
            <w:tcBorders>
              <w:top w:val="nil"/>
              <w:left w:val="nil"/>
              <w:bottom w:val="single" w:color="auto" w:sz="4" w:space="0"/>
              <w:right w:val="single" w:color="auto" w:sz="4" w:space="0"/>
            </w:tcBorders>
            <w:noWrap/>
            <w:vAlign w:val="center"/>
          </w:tcPr>
          <w:p>
            <w:pPr>
              <w:widowControl/>
              <w:jc w:val="center"/>
              <w:rPr>
                <w:rFonts w:ascii="仿宋_GB2312" w:hAnsi="宋体" w:eastAsia="仿宋_GB2312" w:cs="宋体"/>
                <w:color w:val="auto"/>
                <w:kern w:val="0"/>
                <w:szCs w:val="21"/>
                <w:highlight w:val="none"/>
              </w:rPr>
            </w:pPr>
            <w:r>
              <w:rPr>
                <w:rFonts w:ascii="仿宋_GB2312" w:hAnsi="宋体" w:eastAsia="仿宋_GB2312" w:cs="宋体"/>
                <w:color w:val="auto"/>
                <w:kern w:val="0"/>
                <w:szCs w:val="21"/>
                <w:highlight w:val="none"/>
              </w:rPr>
              <w:t>30</w:t>
            </w:r>
          </w:p>
        </w:tc>
        <w:tc>
          <w:tcPr>
            <w:tcW w:w="2551"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是否及时按甲方要求完成设计工作</w:t>
            </w:r>
          </w:p>
        </w:tc>
        <w:tc>
          <w:tcPr>
            <w:tcW w:w="3406"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好：得</w:t>
            </w:r>
            <w:r>
              <w:rPr>
                <w:rFonts w:ascii="宋体" w:hAnsi="宋体" w:cs="宋体"/>
                <w:color w:val="auto"/>
                <w:kern w:val="0"/>
                <w:szCs w:val="21"/>
                <w:highlight w:val="none"/>
              </w:rPr>
              <w:t>30分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较好：得</w:t>
            </w:r>
            <w:r>
              <w:rPr>
                <w:rFonts w:ascii="宋体" w:hAnsi="宋体" w:cs="宋体"/>
                <w:color w:val="auto"/>
                <w:kern w:val="0"/>
                <w:szCs w:val="21"/>
                <w:highlight w:val="none"/>
              </w:rPr>
              <w:t>20分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一般：得</w:t>
            </w:r>
            <w:r>
              <w:rPr>
                <w:rFonts w:ascii="宋体" w:hAnsi="宋体" w:cs="宋体"/>
                <w:color w:val="auto"/>
                <w:kern w:val="0"/>
                <w:szCs w:val="21"/>
                <w:highlight w:val="none"/>
              </w:rPr>
              <w:t>10分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较差：得</w:t>
            </w:r>
            <w:r>
              <w:rPr>
                <w:rFonts w:ascii="宋体" w:hAnsi="宋体" w:cs="宋体"/>
                <w:color w:val="auto"/>
                <w:kern w:val="0"/>
                <w:szCs w:val="21"/>
                <w:highlight w:val="none"/>
              </w:rPr>
              <w:t>5分</w:t>
            </w:r>
          </w:p>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差：得</w:t>
            </w:r>
            <w:r>
              <w:rPr>
                <w:rFonts w:ascii="宋体" w:hAnsi="宋体" w:cs="宋体"/>
                <w:color w:val="auto"/>
                <w:kern w:val="0"/>
                <w:szCs w:val="21"/>
                <w:highlight w:val="none"/>
              </w:rPr>
              <w:t>2分</w:t>
            </w:r>
          </w:p>
        </w:tc>
        <w:tc>
          <w:tcPr>
            <w:tcW w:w="847" w:type="dxa"/>
            <w:tcBorders>
              <w:top w:val="nil"/>
              <w:left w:val="nil"/>
              <w:bottom w:val="single" w:color="auto" w:sz="4" w:space="0"/>
              <w:right w:val="single" w:color="auto" w:sz="4" w:space="0"/>
            </w:tcBorders>
            <w:noWrap/>
            <w:vAlign w:val="center"/>
          </w:tcPr>
          <w:p>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tblPrEx>
          <w:tblCellMar>
            <w:top w:w="0" w:type="dxa"/>
            <w:left w:w="108" w:type="dxa"/>
            <w:bottom w:w="0" w:type="dxa"/>
            <w:right w:w="108" w:type="dxa"/>
          </w:tblCellMar>
        </w:tblPrEx>
        <w:trPr>
          <w:trHeight w:val="499" w:hRule="atLeast"/>
          <w:jc w:val="center"/>
        </w:trPr>
        <w:tc>
          <w:tcPr>
            <w:tcW w:w="499" w:type="dxa"/>
            <w:tcBorders>
              <w:top w:val="nil"/>
              <w:left w:val="single" w:color="auto" w:sz="4" w:space="0"/>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1274"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合计</w:t>
            </w:r>
          </w:p>
        </w:tc>
        <w:tc>
          <w:tcPr>
            <w:tcW w:w="799"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color w:val="auto"/>
                <w:kern w:val="0"/>
                <w:szCs w:val="21"/>
                <w:highlight w:val="none"/>
              </w:rPr>
              <w:t>100</w:t>
            </w:r>
          </w:p>
        </w:tc>
        <w:tc>
          <w:tcPr>
            <w:tcW w:w="2551"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3406"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c>
          <w:tcPr>
            <w:tcW w:w="847" w:type="dxa"/>
            <w:tcBorders>
              <w:top w:val="nil"/>
              <w:left w:val="nil"/>
              <w:bottom w:val="single" w:color="auto" w:sz="4" w:space="0"/>
              <w:right w:val="single" w:color="auto" w:sz="4" w:space="0"/>
            </w:tcBorders>
            <w:noWrap/>
            <w:vAlign w:val="center"/>
          </w:tcPr>
          <w:p>
            <w:pPr>
              <w:widowControl/>
              <w:jc w:val="center"/>
              <w:rPr>
                <w:color w:val="auto"/>
                <w:kern w:val="0"/>
                <w:szCs w:val="21"/>
                <w:highlight w:val="none"/>
              </w:rPr>
            </w:pPr>
            <w:r>
              <w:rPr>
                <w:rFonts w:hint="eastAsia"/>
                <w:color w:val="auto"/>
                <w:kern w:val="0"/>
                <w:szCs w:val="21"/>
                <w:highlight w:val="none"/>
              </w:rPr>
              <w:t>　</w:t>
            </w:r>
          </w:p>
        </w:tc>
      </w:tr>
    </w:tbl>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一、注：</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1、每一评分项扣分，至该项对应分值扣完为止。</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2、应在岗实际未在岗累计达到3天的，或经问询明显不了解项目具体情况累计达到3次的，或未按甲方要求出席会议累计达到3次的，可认定自行更换</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二、扣分情况说明：</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1、</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2、</w:t>
      </w:r>
    </w:p>
    <w:p>
      <w:pPr>
        <w:adjustRightInd w:val="0"/>
        <w:snapToGrid w:val="0"/>
        <w:rPr>
          <w:rFonts w:ascii="宋体" w:hAnsi="宋体" w:cs="宋体"/>
          <w:color w:val="auto"/>
          <w:kern w:val="0"/>
          <w:szCs w:val="21"/>
          <w:highlight w:val="none"/>
        </w:rPr>
      </w:pPr>
      <w:r>
        <w:rPr>
          <w:rFonts w:ascii="宋体" w:hAnsi="宋体" w:cs="宋体"/>
          <w:color w:val="auto"/>
          <w:kern w:val="0"/>
          <w:szCs w:val="21"/>
          <w:highlight w:val="none"/>
        </w:rPr>
        <w:t>3、</w:t>
      </w: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w:t>
      </w: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项目负责人：×××签名：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u w:val="single"/>
        </w:rPr>
      </w:pPr>
      <w:r>
        <w:rPr>
          <w:rFonts w:hint="eastAsia" w:ascii="宋体" w:hAnsi="宋体" w:cs="宋体"/>
          <w:color w:val="auto"/>
          <w:kern w:val="0"/>
          <w:szCs w:val="21"/>
          <w:highlight w:val="none"/>
        </w:rPr>
        <w:t>部门负责人：×××签名：</w:t>
      </w:r>
    </w:p>
    <w:p>
      <w:pPr>
        <w:adjustRightInd w:val="0"/>
        <w:snapToGrid w:val="0"/>
        <w:rPr>
          <w:rFonts w:ascii="宋体" w:hAnsi="宋体" w:cs="宋体"/>
          <w:color w:val="auto"/>
          <w:kern w:val="0"/>
          <w:szCs w:val="21"/>
          <w:highlight w:val="none"/>
        </w:rPr>
      </w:pPr>
    </w:p>
    <w:p>
      <w:pPr>
        <w:adjustRightInd w:val="0"/>
        <w:snapToGrid w:val="0"/>
        <w:rPr>
          <w:rFonts w:ascii="宋体" w:hAnsi="宋体" w:cs="宋体"/>
          <w:color w:val="auto"/>
          <w:kern w:val="0"/>
          <w:szCs w:val="21"/>
          <w:highlight w:val="none"/>
        </w:rPr>
      </w:pPr>
      <w:r>
        <w:rPr>
          <w:rFonts w:hint="eastAsia" w:ascii="宋体" w:hAnsi="宋体" w:cs="宋体"/>
          <w:color w:val="auto"/>
          <w:kern w:val="0"/>
          <w:szCs w:val="21"/>
          <w:highlight w:val="none"/>
        </w:rPr>
        <w:t>日期：年月日</w:t>
      </w:r>
    </w:p>
    <w:p>
      <w:pPr>
        <w:tabs>
          <w:tab w:val="left" w:pos="0"/>
        </w:tabs>
        <w:spacing w:line="320" w:lineRule="exact"/>
        <w:jc w:val="center"/>
        <w:rPr>
          <w:rFonts w:asciiTheme="minorEastAsia" w:hAnsiTheme="minorEastAsia" w:eastAsiaTheme="minorEastAsia"/>
          <w:color w:val="auto"/>
          <w:sz w:val="28"/>
          <w:highlight w:val="none"/>
        </w:rPr>
      </w:pPr>
    </w:p>
    <w:p>
      <w:pPr>
        <w:pStyle w:val="2"/>
        <w:jc w:val="center"/>
        <w:rPr>
          <w:rFonts w:asciiTheme="minorEastAsia" w:hAnsiTheme="minorEastAsia" w:eastAsiaTheme="minorEastAsia"/>
          <w:color w:val="auto"/>
          <w:sz w:val="36"/>
          <w:szCs w:val="36"/>
          <w:highlight w:val="none"/>
        </w:rPr>
      </w:pPr>
      <w:bookmarkStart w:id="620" w:name="_Toc57189784"/>
      <w:r>
        <w:rPr>
          <w:rFonts w:hint="eastAsia" w:asciiTheme="minorEastAsia" w:hAnsiTheme="minorEastAsia" w:eastAsiaTheme="minorEastAsia"/>
          <w:color w:val="auto"/>
          <w:sz w:val="36"/>
          <w:szCs w:val="36"/>
          <w:highlight w:val="none"/>
        </w:rPr>
        <w:t>第六章  附件清单</w:t>
      </w:r>
      <w:bookmarkEnd w:id="620"/>
    </w:p>
    <w:p>
      <w:pPr>
        <w:pStyle w:val="3"/>
        <w:spacing w:after="0" w:line="360" w:lineRule="auto"/>
        <w:rPr>
          <w:rFonts w:asciiTheme="minorEastAsia" w:hAnsiTheme="minorEastAsia" w:eastAsiaTheme="minorEastAsia"/>
          <w:color w:val="auto"/>
          <w:sz w:val="24"/>
          <w:szCs w:val="24"/>
          <w:highlight w:val="none"/>
        </w:rPr>
      </w:pPr>
      <w:bookmarkStart w:id="621" w:name="_Toc57189785"/>
      <w:r>
        <w:rPr>
          <w:rFonts w:hint="eastAsia" w:asciiTheme="minorEastAsia" w:hAnsiTheme="minorEastAsia" w:eastAsiaTheme="minorEastAsia"/>
          <w:color w:val="auto"/>
          <w:sz w:val="24"/>
          <w:szCs w:val="24"/>
          <w:highlight w:val="none"/>
        </w:rPr>
        <w:t>6.1参考的法律法规及范本文件</w:t>
      </w:r>
      <w:bookmarkEnd w:id="621"/>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（1）《中华人民共和国招标投标法》及实施条例（略）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（2）《必须招标的工程项目规定》（略）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（3）《广东省实施&lt;中华人民共和国招标投标法&gt;办法》（略）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（4）《建筑工程设计招标投标管理办法》（略）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（5）《广东省住房和城乡建设厅关于繁荣建筑创作的若干意见》</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（6）《关于广州市推进设计招标改革有关事项的通知》（略）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（7）《广州市人民政府办公厅关于印发广州市深化建设工程招标投标制度改革试点实施方案的通知》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（8）《2017 标准勘察招标文件》（略）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（9）《2017 标准设计招标文件》（略）</w:t>
      </w:r>
    </w:p>
    <w:p>
      <w:pPr>
        <w:pStyle w:val="222"/>
        <w:spacing w:line="360" w:lineRule="auto"/>
        <w:ind w:firstLine="480"/>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kern w:val="0"/>
          <w:sz w:val="24"/>
          <w:szCs w:val="24"/>
          <w:highlight w:val="none"/>
        </w:rPr>
        <w:t>（10）《广州市房屋建筑工程勘察设计全过程电子化招标文件范本（适用于设计方案招标和评定分离）GZSJZB2020-1》（略）</w:t>
      </w:r>
    </w:p>
    <w:p>
      <w:pPr>
        <w:pStyle w:val="222"/>
        <w:spacing w:line="360" w:lineRule="auto"/>
        <w:ind w:firstLine="48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kern w:val="0"/>
          <w:sz w:val="24"/>
          <w:szCs w:val="24"/>
          <w:highlight w:val="none"/>
        </w:rPr>
        <w:t>（11）广东省代建局内部相关管理规定（略）</w:t>
      </w:r>
    </w:p>
    <w:bookmarkEnd w:id="622"/>
    <w:sectPr>
      <w:footerReference r:id="rId24" w:type="default"/>
      <w:pgSz w:w="12240" w:h="15840"/>
      <w:pgMar w:top="1440" w:right="1440" w:bottom="1440" w:left="1440" w:header="113" w:footer="1020" w:gutter="0"/>
      <w:cols w:space="720" w:num="1"/>
      <w:rtlGutter w:val="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Consolas">
    <w:panose1 w:val="020B0609020204030204"/>
    <w:charset w:val="00"/>
    <w:family w:val="modern"/>
    <w:pitch w:val="default"/>
    <w:sig w:usb0="E00006FF" w:usb1="0000FCFF" w:usb2="00000001" w:usb3="00000000" w:csb0="6000019F" w:csb1="DFD7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Lucida Fax">
    <w:panose1 w:val="02060602050505020204"/>
    <w:charset w:val="00"/>
    <w:family w:val="roman"/>
    <w:pitch w:val="default"/>
    <w:sig w:usb0="00000003" w:usb1="00000000" w:usb2="00000000" w:usb3="00000000" w:csb0="20000001" w:csb1="00000000"/>
  </w:font>
  <w:font w:name="长城仿宋">
    <w:altName w:val="黑体"/>
    <w:panose1 w:val="00000000000000000000"/>
    <w:charset w:val="86"/>
    <w:family w:val="modern"/>
    <w:pitch w:val="default"/>
    <w:sig w:usb0="00000000" w:usb1="00000000" w:usb2="00000010" w:usb3="00000000" w:csb0="00040000" w:csb1="00000000"/>
  </w:font>
  <w:font w:name="Calisto MT">
    <w:panose1 w:val="02040603050505030304"/>
    <w:charset w:val="00"/>
    <w:family w:val="roman"/>
    <w:pitch w:val="default"/>
    <w:sig w:usb0="00000003" w:usb1="00000000" w:usb2="00000000" w:usb3="00000000" w:csb0="2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Arial Bold">
    <w:altName w:val="Arial"/>
    <w:panose1 w:val="020B0704020202020204"/>
    <w:charset w:val="00"/>
    <w:family w:val="auto"/>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0" w:usb3="00000000" w:csb0="00000001" w:csb1="00000000"/>
  </w:font>
  <w:font w:name="Adobe 宋体 Std L">
    <w:altName w:val="宋体"/>
    <w:panose1 w:val="00000000000000000000"/>
    <w:charset w:val="86"/>
    <w:family w:val="roman"/>
    <w:pitch w:val="default"/>
    <w:sig w:usb0="00000000" w:usb1="00000000" w:usb2="00000016" w:usb3="00000000" w:csb0="00060007" w:csb1="00000000"/>
  </w:font>
  <w:font w:name="新宋体">
    <w:panose1 w:val="02010609030101010101"/>
    <w:charset w:val="86"/>
    <w:family w:val="modern"/>
    <w:pitch w:val="default"/>
    <w:sig w:usb0="00000003" w:usb1="288F0000" w:usb2="0000000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Mincho">
    <w:panose1 w:val="02020609040205080304"/>
    <w:charset w:val="80"/>
    <w:family w:val="modern"/>
    <w:pitch w:val="default"/>
    <w:sig w:usb0="A00002BF" w:usb1="68C7FCFB" w:usb2="00000010" w:usb3="00000000" w:csb0="4002009F" w:csb1="DFD70000"/>
  </w:font>
  <w:font w:name="LNUHNF+SimSun">
    <w:altName w:val="Cambria"/>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spacing w:before="120" w:after="1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pict>
        <v:shape id="文本框 8"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40"/>
                  <w:jc w:val="center"/>
                </w:pPr>
                <w:r>
                  <w:fldChar w:fldCharType="begin"/>
                </w:r>
                <w:r>
                  <w:instrText xml:space="preserve">PAGE   \* MERGEFORMAT</w:instrText>
                </w:r>
                <w:r>
                  <w:fldChar w:fldCharType="separate"/>
                </w:r>
                <w:r>
                  <w:t>153</w:t>
                </w:r>
                <w:r>
                  <w:fldChar w:fldCharType="end"/>
                </w:r>
              </w:p>
            </w:txbxContent>
          </v:textbox>
        </v:shape>
      </w:pict>
    </w:r>
  </w:p>
  <w:p>
    <w:pPr>
      <w:pStyle w:val="40"/>
      <w:spacing w:before="120" w:after="1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spacing w:before="120" w:after="120"/>
      <w:jc w:val="center"/>
    </w:pPr>
    <w:r>
      <w:pict>
        <v:shape id="文本框 9" o:spid="_x0000_s206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40"/>
                  <w:spacing w:before="120" w:after="120"/>
                  <w:jc w:val="center"/>
                </w:pPr>
                <w:r>
                  <w:fldChar w:fldCharType="begin"/>
                </w:r>
                <w:r>
                  <w:instrText xml:space="preserve">PAGE   \* MERGEFORMAT</w:instrText>
                </w:r>
                <w:r>
                  <w:fldChar w:fldCharType="separate"/>
                </w:r>
                <w:r>
                  <w:t>27</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spacing w:before="120" w:after="120"/>
      <w:jc w:val="center"/>
    </w:pPr>
    <w:r>
      <w:pict>
        <v:shape id="文本框 10" o:spid="_x0000_s206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40"/>
                  <w:spacing w:before="120" w:after="120"/>
                  <w:jc w:val="center"/>
                </w:pPr>
                <w:r>
                  <w:fldChar w:fldCharType="begin"/>
                </w:r>
                <w:r>
                  <w:instrText xml:space="preserve">PAGE   \* MERGEFORMAT</w:instrText>
                </w:r>
                <w:r>
                  <w:fldChar w:fldCharType="separate"/>
                </w:r>
                <w:r>
                  <w:t>154</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rPr>
        <w:lang w:val="en-US"/>
      </w:rPr>
      <w:pict>
        <v:shape id="文本框 102" o:spid="_x0000_s2049" o:spt="202" type="#_x0000_t202" style="position:absolute;left:0pt;margin-top:0pt;height:10.35pt;width:13.55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40"/>
                </w:pPr>
                <w:r>
                  <w:fldChar w:fldCharType="begin"/>
                </w:r>
                <w:r>
                  <w:instrText xml:space="preserve"> PAGE  \* MERGEFORMAT </w:instrText>
                </w:r>
                <w:r>
                  <w:fldChar w:fldCharType="separate"/>
                </w:r>
                <w:r>
                  <w:t>176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_x0000_s2070" o:spid="_x0000_s2070"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pStyle w:val="40"/>
                </w:pPr>
                <w:r>
                  <w:fldChar w:fldCharType="begin"/>
                </w:r>
                <w:r>
                  <w:instrText xml:space="preserve"> PAGE  \* MERGEFORMAT </w:instrText>
                </w:r>
                <w:r>
                  <w:fldChar w:fldCharType="separate"/>
                </w:r>
                <w:r>
                  <w:t>57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_x0000_s2071" o:spid="_x0000_s2071"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p>
                <w:pPr>
                  <w:pStyle w:val="40"/>
                </w:pPr>
                <w:r>
                  <w:fldChar w:fldCharType="begin"/>
                </w:r>
                <w:r>
                  <w:instrText xml:space="preserve"> PAGE  \* MERGEFORMAT </w:instrText>
                </w:r>
                <w:r>
                  <w:fldChar w:fldCharType="separate"/>
                </w:r>
                <w:r>
                  <w:t>99</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文本框 4"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r>
                  <w:fldChar w:fldCharType="begin"/>
                </w:r>
                <w:r>
                  <w:instrText xml:space="preserve">PAGE   \* MERGEFORMAT</w:instrText>
                </w:r>
                <w:r>
                  <w:fldChar w:fldCharType="separate"/>
                </w:r>
                <w:r>
                  <w:rPr>
                    <w:lang w:val="zh-CN"/>
                  </w:rPr>
                  <w:t>92</w:t>
                </w:r>
                <w:r>
                  <w:rPr>
                    <w:lang w:val="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文本框 5"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r>
                  <w:fldChar w:fldCharType="begin"/>
                </w:r>
                <w:r>
                  <w:instrText xml:space="preserve"> PAGE </w:instrText>
                </w:r>
                <w:r>
                  <w:fldChar w:fldCharType="separate"/>
                </w:r>
                <w:r>
                  <w:t>118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文本框 6"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r>
                  <w:fldChar w:fldCharType="begin"/>
                </w:r>
                <w:r>
                  <w:instrText xml:space="preserve"> PAGE  \* MERGEFORMAT </w:instrText>
                </w:r>
                <w:r>
                  <w:fldChar w:fldCharType="separate"/>
                </w:r>
                <w:r>
                  <w:t>132</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pPr>
    <w:r>
      <w:pict>
        <v:shape id="文本框 7" o:spid="_x0000_s206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40"/>
                  <w:jc w:val="center"/>
                </w:pPr>
                <w:r>
                  <w:fldChar w:fldCharType="begin"/>
                </w:r>
                <w:r>
                  <w:instrText xml:space="preserve">PAGE   \* MERGEFORMAT</w:instrText>
                </w:r>
                <w:r>
                  <w:fldChar w:fldCharType="separate"/>
                </w:r>
                <w:r>
                  <w:t>135</w:t>
                </w:r>
                <w:r>
                  <w:fldChar w:fldCharType="end"/>
                </w:r>
              </w:p>
            </w:txbxContent>
          </v:textbox>
        </v:shape>
      </w:pict>
    </w:r>
  </w:p>
  <w:p>
    <w:pPr>
      <w:pStyle w:val="40"/>
      <w:spacing w:before="120" w:after="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C6FA2E"/>
    <w:multiLevelType w:val="multilevel"/>
    <w:tmpl w:val="CBC6FA2E"/>
    <w:lvl w:ilvl="0" w:tentative="0">
      <w:start w:val="1"/>
      <w:numFmt w:val="decimal"/>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suff w:val="nothing"/>
      <w:lvlText w:val="1.0.%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F0A99418"/>
    <w:multiLevelType w:val="multilevel"/>
    <w:tmpl w:val="F0A99418"/>
    <w:lvl w:ilvl="0" w:tentative="0">
      <w:start w:val="1"/>
      <w:numFmt w:val="decimal"/>
      <w:suff w:val="nothing"/>
      <w:lvlText w:val="%1　"/>
      <w:lvlJc w:val="left"/>
      <w:pPr>
        <w:tabs>
          <w:tab w:val="left" w:pos="0"/>
        </w:tabs>
        <w:ind w:left="0" w:firstLine="0"/>
      </w:pPr>
      <w:rPr>
        <w:rFonts w:hint="default" w:ascii="Times New Roman" w:hAnsi="Times New Roman" w:eastAsia="黑体" w:cs="Times New Roman"/>
        <w:b/>
        <w:bCs/>
        <w:i w:val="0"/>
        <w:sz w:val="28"/>
        <w:szCs w:val="21"/>
        <w:lang w:val="en-US"/>
      </w:rPr>
    </w:lvl>
    <w:lvl w:ilvl="1" w:tentative="0">
      <w:start w:val="1"/>
      <w:numFmt w:val="decimal"/>
      <w:suff w:val="nothing"/>
      <w:lvlText w:val="%1.%2　"/>
      <w:lvlJc w:val="left"/>
      <w:pPr>
        <w:tabs>
          <w:tab w:val="left" w:pos="5424"/>
        </w:tabs>
        <w:ind w:left="5529" w:firstLine="0"/>
      </w:pPr>
      <w:rPr>
        <w:rFonts w:hint="default" w:ascii="Times New Roman" w:hAnsi="Times New Roman" w:eastAsia="黑体" w:cs="Times New Roman"/>
        <w:b/>
        <w:bCs w:val="0"/>
        <w:i w:val="0"/>
        <w:iCs w:val="0"/>
        <w:caps w:val="0"/>
        <w:strike w:val="0"/>
        <w:dstrike w:val="0"/>
        <w:vanish w:val="0"/>
        <w:spacing w:val="0"/>
        <w:kern w:val="0"/>
        <w:position w:val="0"/>
        <w:sz w:val="24"/>
        <w:szCs w:val="24"/>
        <w:u w:val="none"/>
        <w:vertAlign w:val="baseline"/>
      </w:rPr>
    </w:lvl>
    <w:lvl w:ilvl="2" w:tentative="0">
      <w:start w:val="1"/>
      <w:numFmt w:val="decimal"/>
      <w:suff w:val="nothing"/>
      <w:lvlText w:val="%1.%2.%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011B290E"/>
    <w:multiLevelType w:val="multilevel"/>
    <w:tmpl w:val="011B29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3">
    <w:nsid w:val="19CF79DD"/>
    <w:multiLevelType w:val="multilevel"/>
    <w:tmpl w:val="19CF79DD"/>
    <w:lvl w:ilvl="0" w:tentative="0">
      <w:start w:val="1"/>
      <w:numFmt w:val="decimal"/>
      <w:lvlText w:val="2.0.%1 "/>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3B5F1D"/>
    <w:multiLevelType w:val="multilevel"/>
    <w:tmpl w:val="2D3B5F1D"/>
    <w:lvl w:ilvl="0" w:tentative="0">
      <w:start w:val="1"/>
      <w:numFmt w:val="decimal"/>
      <w:lvlText w:val="%1、"/>
      <w:lvlJc w:val="left"/>
      <w:pPr>
        <w:tabs>
          <w:tab w:val="left" w:pos="840"/>
        </w:tabs>
        <w:ind w:left="840" w:hanging="600"/>
      </w:pPr>
      <w:rPr>
        <w:rFonts w:hint="default"/>
      </w:rPr>
    </w:lvl>
    <w:lvl w:ilvl="1" w:tentative="0">
      <w:start w:val="1"/>
      <w:numFmt w:val="lowerLetter"/>
      <w:lvlText w:val="%2)"/>
      <w:lvlJc w:val="left"/>
      <w:pPr>
        <w:tabs>
          <w:tab w:val="left" w:pos="1080"/>
        </w:tabs>
        <w:ind w:left="1080" w:hanging="420"/>
      </w:p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5">
    <w:nsid w:val="36301677"/>
    <w:multiLevelType w:val="multilevel"/>
    <w:tmpl w:val="36301677"/>
    <w:lvl w:ilvl="0" w:tentative="0">
      <w:start w:val="1"/>
      <w:numFmt w:val="decimal"/>
      <w:lvlText w:val="%1、"/>
      <w:lvlJc w:val="left"/>
      <w:pPr>
        <w:ind w:left="926" w:hanging="360"/>
      </w:pPr>
      <w:rPr>
        <w:rFonts w:hint="default"/>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pStyle w:val="8"/>
      <w:lvlText w:val="%7."/>
      <w:lvlJc w:val="left"/>
      <w:pPr>
        <w:ind w:left="3506" w:hanging="420"/>
      </w:pPr>
    </w:lvl>
    <w:lvl w:ilvl="7" w:tentative="0">
      <w:start w:val="1"/>
      <w:numFmt w:val="lowerLetter"/>
      <w:pStyle w:val="9"/>
      <w:lvlText w:val="%8)"/>
      <w:lvlJc w:val="left"/>
      <w:pPr>
        <w:ind w:left="3926" w:hanging="420"/>
      </w:pPr>
    </w:lvl>
    <w:lvl w:ilvl="8" w:tentative="0">
      <w:start w:val="1"/>
      <w:numFmt w:val="lowerRoman"/>
      <w:pStyle w:val="10"/>
      <w:lvlText w:val="%9."/>
      <w:lvlJc w:val="right"/>
      <w:pPr>
        <w:ind w:left="4346" w:hanging="420"/>
      </w:pPr>
    </w:lvl>
  </w:abstractNum>
  <w:abstractNum w:abstractNumId="6">
    <w:nsid w:val="39B63B1A"/>
    <w:multiLevelType w:val="multilevel"/>
    <w:tmpl w:val="39B63B1A"/>
    <w:lvl w:ilvl="0" w:tentative="0">
      <w:start w:val="1"/>
      <w:numFmt w:val="decimal"/>
      <w:lvlText w:val="%1、"/>
      <w:lvlJc w:val="left"/>
      <w:pPr>
        <w:tabs>
          <w:tab w:val="left" w:pos="644"/>
        </w:tabs>
        <w:ind w:left="644" w:hanging="360"/>
      </w:pPr>
      <w:rPr>
        <w:rFonts w:hint="default"/>
      </w:rPr>
    </w:lvl>
    <w:lvl w:ilvl="1" w:tentative="0">
      <w:start w:val="1"/>
      <w:numFmt w:val="decimal"/>
      <w:lvlText w:val="%2．"/>
      <w:lvlJc w:val="left"/>
      <w:pPr>
        <w:tabs>
          <w:tab w:val="left" w:pos="1020"/>
        </w:tabs>
        <w:ind w:left="1020" w:hanging="360"/>
      </w:pPr>
      <w:rPr>
        <w:rFonts w:hint="default"/>
      </w:rPr>
    </w:lvl>
    <w:lvl w:ilvl="2" w:tentative="0">
      <w:start w:val="1"/>
      <w:numFmt w:val="lowerRoman"/>
      <w:lvlText w:val="%3."/>
      <w:lvlJc w:val="right"/>
      <w:pPr>
        <w:tabs>
          <w:tab w:val="left" w:pos="1500"/>
        </w:tabs>
        <w:ind w:left="1500" w:hanging="420"/>
      </w:pPr>
    </w:lvl>
    <w:lvl w:ilvl="3" w:tentative="0">
      <w:start w:val="1"/>
      <w:numFmt w:val="decimal"/>
      <w:lvlText w:val="%4."/>
      <w:lvlJc w:val="left"/>
      <w:pPr>
        <w:tabs>
          <w:tab w:val="left" w:pos="1920"/>
        </w:tabs>
        <w:ind w:left="1920" w:hanging="420"/>
      </w:pPr>
    </w:lvl>
    <w:lvl w:ilvl="4" w:tentative="0">
      <w:start w:val="1"/>
      <w:numFmt w:val="lowerLetter"/>
      <w:lvlText w:val="%5)"/>
      <w:lvlJc w:val="left"/>
      <w:pPr>
        <w:tabs>
          <w:tab w:val="left" w:pos="2340"/>
        </w:tabs>
        <w:ind w:left="2340" w:hanging="420"/>
      </w:pPr>
    </w:lvl>
    <w:lvl w:ilvl="5" w:tentative="0">
      <w:start w:val="1"/>
      <w:numFmt w:val="lowerRoman"/>
      <w:lvlText w:val="%6."/>
      <w:lvlJc w:val="right"/>
      <w:pPr>
        <w:tabs>
          <w:tab w:val="left" w:pos="2760"/>
        </w:tabs>
        <w:ind w:left="2760" w:hanging="420"/>
      </w:pPr>
    </w:lvl>
    <w:lvl w:ilvl="6" w:tentative="0">
      <w:start w:val="1"/>
      <w:numFmt w:val="decimal"/>
      <w:lvlText w:val="%7."/>
      <w:lvlJc w:val="left"/>
      <w:pPr>
        <w:tabs>
          <w:tab w:val="left" w:pos="3180"/>
        </w:tabs>
        <w:ind w:left="3180" w:hanging="420"/>
      </w:pPr>
    </w:lvl>
    <w:lvl w:ilvl="7" w:tentative="0">
      <w:start w:val="1"/>
      <w:numFmt w:val="lowerLetter"/>
      <w:lvlText w:val="%8)"/>
      <w:lvlJc w:val="left"/>
      <w:pPr>
        <w:tabs>
          <w:tab w:val="left" w:pos="3600"/>
        </w:tabs>
        <w:ind w:left="3600" w:hanging="420"/>
      </w:pPr>
    </w:lvl>
    <w:lvl w:ilvl="8" w:tentative="0">
      <w:start w:val="1"/>
      <w:numFmt w:val="lowerRoman"/>
      <w:lvlText w:val="%9."/>
      <w:lvlJc w:val="right"/>
      <w:pPr>
        <w:tabs>
          <w:tab w:val="left" w:pos="4020"/>
        </w:tabs>
        <w:ind w:left="4020" w:hanging="420"/>
      </w:pPr>
    </w:lvl>
  </w:abstractNum>
  <w:abstractNum w:abstractNumId="7">
    <w:nsid w:val="6CEA2025"/>
    <w:multiLevelType w:val="multilevel"/>
    <w:tmpl w:val="6CEA2025"/>
    <w:lvl w:ilvl="0" w:tentative="0">
      <w:start w:val="1"/>
      <w:numFmt w:val="none"/>
      <w:pStyle w:val="510"/>
      <w:suff w:val="nothing"/>
      <w:lvlText w:val="%1"/>
      <w:lvlJc w:val="left"/>
      <w:rPr>
        <w:rFonts w:hint="default" w:ascii="Times New Roman" w:hAnsi="Times New Roman" w:cs="Times New Roman"/>
        <w:b/>
        <w:i w:val="0"/>
        <w:sz w:val="21"/>
      </w:rPr>
    </w:lvl>
    <w:lvl w:ilvl="1" w:tentative="0">
      <w:start w:val="1"/>
      <w:numFmt w:val="decimal"/>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8">
    <w:nsid w:val="6F65467A"/>
    <w:multiLevelType w:val="multilevel"/>
    <w:tmpl w:val="6F65467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7B2610F4"/>
    <w:multiLevelType w:val="singleLevel"/>
    <w:tmpl w:val="7B2610F4"/>
    <w:lvl w:ilvl="0" w:tentative="0">
      <w:start w:val="1"/>
      <w:numFmt w:val="decimal"/>
      <w:suff w:val="nothing"/>
      <w:lvlText w:val="（%1）"/>
      <w:lvlJc w:val="left"/>
    </w:lvl>
  </w:abstractNum>
  <w:num w:numId="1">
    <w:abstractNumId w:val="5"/>
  </w:num>
  <w:num w:numId="2">
    <w:abstractNumId w:val="7"/>
  </w:num>
  <w:num w:numId="3">
    <w:abstractNumId w:val="6"/>
  </w:num>
  <w:num w:numId="4">
    <w:abstractNumId w:val="4"/>
  </w:num>
  <w:num w:numId="5">
    <w:abstractNumId w:val="2"/>
  </w:num>
  <w:num w:numId="6">
    <w:abstractNumId w:val="8"/>
  </w:num>
  <w:num w:numId="7">
    <w:abstractNumId w:val="1"/>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381"/>
  <w:displayHorizontalDrawingGridEvery w:val="0"/>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IwYTRkY2QyNDRiZjM0NDhkMWIyMzVlNGRmY2ZmNjUifQ=="/>
  </w:docVars>
  <w:rsids>
    <w:rsidRoot w:val="009B643B"/>
    <w:rsid w:val="00005654"/>
    <w:rsid w:val="00005B4E"/>
    <w:rsid w:val="0001399B"/>
    <w:rsid w:val="000139F5"/>
    <w:rsid w:val="000204D4"/>
    <w:rsid w:val="00020F71"/>
    <w:rsid w:val="00022677"/>
    <w:rsid w:val="0002367D"/>
    <w:rsid w:val="00023E26"/>
    <w:rsid w:val="000311F7"/>
    <w:rsid w:val="000312C8"/>
    <w:rsid w:val="0003274E"/>
    <w:rsid w:val="00032D9A"/>
    <w:rsid w:val="00033020"/>
    <w:rsid w:val="00034B38"/>
    <w:rsid w:val="00034D8A"/>
    <w:rsid w:val="00044534"/>
    <w:rsid w:val="0004505C"/>
    <w:rsid w:val="000454F8"/>
    <w:rsid w:val="000563C5"/>
    <w:rsid w:val="00067449"/>
    <w:rsid w:val="00072188"/>
    <w:rsid w:val="00073D1F"/>
    <w:rsid w:val="00076796"/>
    <w:rsid w:val="00085454"/>
    <w:rsid w:val="00091D6B"/>
    <w:rsid w:val="000A1701"/>
    <w:rsid w:val="000A2BF0"/>
    <w:rsid w:val="000A5DE8"/>
    <w:rsid w:val="000B5074"/>
    <w:rsid w:val="000B6578"/>
    <w:rsid w:val="000B6E16"/>
    <w:rsid w:val="000C20CF"/>
    <w:rsid w:val="000C2827"/>
    <w:rsid w:val="000C6A8B"/>
    <w:rsid w:val="000D1B85"/>
    <w:rsid w:val="000D70FA"/>
    <w:rsid w:val="000E3793"/>
    <w:rsid w:val="000E4911"/>
    <w:rsid w:val="000E6752"/>
    <w:rsid w:val="0010001F"/>
    <w:rsid w:val="0010192D"/>
    <w:rsid w:val="00101E10"/>
    <w:rsid w:val="00103508"/>
    <w:rsid w:val="00103C5F"/>
    <w:rsid w:val="001057A7"/>
    <w:rsid w:val="001057E5"/>
    <w:rsid w:val="00111F52"/>
    <w:rsid w:val="00120DFB"/>
    <w:rsid w:val="00121C64"/>
    <w:rsid w:val="00121CEF"/>
    <w:rsid w:val="00123217"/>
    <w:rsid w:val="00124692"/>
    <w:rsid w:val="00124F52"/>
    <w:rsid w:val="00125064"/>
    <w:rsid w:val="00125119"/>
    <w:rsid w:val="00125EF4"/>
    <w:rsid w:val="00134D1A"/>
    <w:rsid w:val="001359A6"/>
    <w:rsid w:val="00136491"/>
    <w:rsid w:val="00136ACB"/>
    <w:rsid w:val="00143686"/>
    <w:rsid w:val="00145161"/>
    <w:rsid w:val="00146D8C"/>
    <w:rsid w:val="00153C4B"/>
    <w:rsid w:val="00154782"/>
    <w:rsid w:val="001571C9"/>
    <w:rsid w:val="001612D2"/>
    <w:rsid w:val="00162C9F"/>
    <w:rsid w:val="00165D9A"/>
    <w:rsid w:val="001743ED"/>
    <w:rsid w:val="0017732E"/>
    <w:rsid w:val="00177BD2"/>
    <w:rsid w:val="00182396"/>
    <w:rsid w:val="00184084"/>
    <w:rsid w:val="001921CC"/>
    <w:rsid w:val="001A5133"/>
    <w:rsid w:val="001A647A"/>
    <w:rsid w:val="001B084F"/>
    <w:rsid w:val="001B141E"/>
    <w:rsid w:val="001B1518"/>
    <w:rsid w:val="001B1555"/>
    <w:rsid w:val="001B25F4"/>
    <w:rsid w:val="001B3DB2"/>
    <w:rsid w:val="001C4206"/>
    <w:rsid w:val="001C6298"/>
    <w:rsid w:val="001D22B4"/>
    <w:rsid w:val="001D3607"/>
    <w:rsid w:val="001E31B0"/>
    <w:rsid w:val="001E7A44"/>
    <w:rsid w:val="001E7E6C"/>
    <w:rsid w:val="001F0167"/>
    <w:rsid w:val="001F0EEC"/>
    <w:rsid w:val="001F49D6"/>
    <w:rsid w:val="001F7CCD"/>
    <w:rsid w:val="001F7CE8"/>
    <w:rsid w:val="002012D4"/>
    <w:rsid w:val="0020143E"/>
    <w:rsid w:val="00204CB7"/>
    <w:rsid w:val="00212C75"/>
    <w:rsid w:val="002130B4"/>
    <w:rsid w:val="00217F55"/>
    <w:rsid w:val="0022015D"/>
    <w:rsid w:val="002260BF"/>
    <w:rsid w:val="0023616B"/>
    <w:rsid w:val="0024055A"/>
    <w:rsid w:val="0024170C"/>
    <w:rsid w:val="00243F12"/>
    <w:rsid w:val="0024574A"/>
    <w:rsid w:val="0024779C"/>
    <w:rsid w:val="002608F5"/>
    <w:rsid w:val="00262811"/>
    <w:rsid w:val="00262E3F"/>
    <w:rsid w:val="00263768"/>
    <w:rsid w:val="002658C0"/>
    <w:rsid w:val="00270B5E"/>
    <w:rsid w:val="00274BFB"/>
    <w:rsid w:val="002917E8"/>
    <w:rsid w:val="002958BD"/>
    <w:rsid w:val="002A053A"/>
    <w:rsid w:val="002A6644"/>
    <w:rsid w:val="002B244E"/>
    <w:rsid w:val="002B7018"/>
    <w:rsid w:val="002B7E40"/>
    <w:rsid w:val="002C269E"/>
    <w:rsid w:val="002C3584"/>
    <w:rsid w:val="002C5530"/>
    <w:rsid w:val="002C65B1"/>
    <w:rsid w:val="002D16A8"/>
    <w:rsid w:val="002D28F1"/>
    <w:rsid w:val="002D39F1"/>
    <w:rsid w:val="002D3C32"/>
    <w:rsid w:val="002E037A"/>
    <w:rsid w:val="002E1214"/>
    <w:rsid w:val="002E260F"/>
    <w:rsid w:val="002F0B64"/>
    <w:rsid w:val="00300824"/>
    <w:rsid w:val="00301E5D"/>
    <w:rsid w:val="0032144D"/>
    <w:rsid w:val="00323341"/>
    <w:rsid w:val="003254F4"/>
    <w:rsid w:val="00326C67"/>
    <w:rsid w:val="0033179A"/>
    <w:rsid w:val="003343D8"/>
    <w:rsid w:val="003469D9"/>
    <w:rsid w:val="00346EFB"/>
    <w:rsid w:val="003505FA"/>
    <w:rsid w:val="00353CE0"/>
    <w:rsid w:val="00354C88"/>
    <w:rsid w:val="00354D95"/>
    <w:rsid w:val="00355D76"/>
    <w:rsid w:val="00355ED6"/>
    <w:rsid w:val="003701AE"/>
    <w:rsid w:val="00370FED"/>
    <w:rsid w:val="0037646F"/>
    <w:rsid w:val="00381A77"/>
    <w:rsid w:val="00381C77"/>
    <w:rsid w:val="00382EAF"/>
    <w:rsid w:val="00383C3D"/>
    <w:rsid w:val="003848CC"/>
    <w:rsid w:val="0038541F"/>
    <w:rsid w:val="00386050"/>
    <w:rsid w:val="00386354"/>
    <w:rsid w:val="00391F07"/>
    <w:rsid w:val="0039361E"/>
    <w:rsid w:val="0039743F"/>
    <w:rsid w:val="003A2C83"/>
    <w:rsid w:val="003A45F5"/>
    <w:rsid w:val="003A485F"/>
    <w:rsid w:val="003A4E51"/>
    <w:rsid w:val="003A5077"/>
    <w:rsid w:val="003B0245"/>
    <w:rsid w:val="003B1432"/>
    <w:rsid w:val="003B5095"/>
    <w:rsid w:val="003C0D41"/>
    <w:rsid w:val="003C1B19"/>
    <w:rsid w:val="003C2A81"/>
    <w:rsid w:val="003C30BC"/>
    <w:rsid w:val="003C74C4"/>
    <w:rsid w:val="003C7F9D"/>
    <w:rsid w:val="003D53AB"/>
    <w:rsid w:val="003D6C7C"/>
    <w:rsid w:val="003E00E2"/>
    <w:rsid w:val="003E1143"/>
    <w:rsid w:val="003E2AB6"/>
    <w:rsid w:val="003F6291"/>
    <w:rsid w:val="003F7782"/>
    <w:rsid w:val="003F7EF7"/>
    <w:rsid w:val="00405F97"/>
    <w:rsid w:val="004061FD"/>
    <w:rsid w:val="00411F6D"/>
    <w:rsid w:val="00413421"/>
    <w:rsid w:val="0041613C"/>
    <w:rsid w:val="004201DE"/>
    <w:rsid w:val="00427920"/>
    <w:rsid w:val="00430AA5"/>
    <w:rsid w:val="00431754"/>
    <w:rsid w:val="00433977"/>
    <w:rsid w:val="00434E67"/>
    <w:rsid w:val="004354CD"/>
    <w:rsid w:val="0044162F"/>
    <w:rsid w:val="00441AD5"/>
    <w:rsid w:val="0044271F"/>
    <w:rsid w:val="00443468"/>
    <w:rsid w:val="00444AA5"/>
    <w:rsid w:val="00445134"/>
    <w:rsid w:val="00447ACD"/>
    <w:rsid w:val="004513D7"/>
    <w:rsid w:val="00457C06"/>
    <w:rsid w:val="00461159"/>
    <w:rsid w:val="004644B5"/>
    <w:rsid w:val="0046687B"/>
    <w:rsid w:val="00466B7E"/>
    <w:rsid w:val="004676BE"/>
    <w:rsid w:val="004811ED"/>
    <w:rsid w:val="00483A0D"/>
    <w:rsid w:val="004A0961"/>
    <w:rsid w:val="004A2AC5"/>
    <w:rsid w:val="004A2D8A"/>
    <w:rsid w:val="004A548A"/>
    <w:rsid w:val="004B183E"/>
    <w:rsid w:val="004B1DEE"/>
    <w:rsid w:val="004B1F19"/>
    <w:rsid w:val="004C01F3"/>
    <w:rsid w:val="004C2160"/>
    <w:rsid w:val="004C38C0"/>
    <w:rsid w:val="004C3BB7"/>
    <w:rsid w:val="004D25CC"/>
    <w:rsid w:val="004D6A29"/>
    <w:rsid w:val="004E03B1"/>
    <w:rsid w:val="004E0FEB"/>
    <w:rsid w:val="004E3B64"/>
    <w:rsid w:val="004E491D"/>
    <w:rsid w:val="004E6049"/>
    <w:rsid w:val="004F094E"/>
    <w:rsid w:val="004F41FA"/>
    <w:rsid w:val="004F5B1C"/>
    <w:rsid w:val="005018D6"/>
    <w:rsid w:val="00502256"/>
    <w:rsid w:val="00502564"/>
    <w:rsid w:val="00503A2A"/>
    <w:rsid w:val="00505C63"/>
    <w:rsid w:val="00506BBB"/>
    <w:rsid w:val="00507CD1"/>
    <w:rsid w:val="0051037E"/>
    <w:rsid w:val="00512348"/>
    <w:rsid w:val="00514591"/>
    <w:rsid w:val="005164DF"/>
    <w:rsid w:val="005209AB"/>
    <w:rsid w:val="00522669"/>
    <w:rsid w:val="00523E40"/>
    <w:rsid w:val="00524230"/>
    <w:rsid w:val="005267D2"/>
    <w:rsid w:val="005318FA"/>
    <w:rsid w:val="005333E0"/>
    <w:rsid w:val="00534A5B"/>
    <w:rsid w:val="00543CE0"/>
    <w:rsid w:val="00546910"/>
    <w:rsid w:val="0055009C"/>
    <w:rsid w:val="00554F09"/>
    <w:rsid w:val="00556C15"/>
    <w:rsid w:val="00557228"/>
    <w:rsid w:val="00557498"/>
    <w:rsid w:val="0056363C"/>
    <w:rsid w:val="00564927"/>
    <w:rsid w:val="00565885"/>
    <w:rsid w:val="00571106"/>
    <w:rsid w:val="00572826"/>
    <w:rsid w:val="00574EB9"/>
    <w:rsid w:val="005823B5"/>
    <w:rsid w:val="0058245C"/>
    <w:rsid w:val="00587CB4"/>
    <w:rsid w:val="00594C98"/>
    <w:rsid w:val="00596631"/>
    <w:rsid w:val="00596E03"/>
    <w:rsid w:val="00597123"/>
    <w:rsid w:val="0059789D"/>
    <w:rsid w:val="00597AA4"/>
    <w:rsid w:val="005A5D0C"/>
    <w:rsid w:val="005A6B81"/>
    <w:rsid w:val="005A7072"/>
    <w:rsid w:val="005A718F"/>
    <w:rsid w:val="005B4F7A"/>
    <w:rsid w:val="005C2C54"/>
    <w:rsid w:val="005C4F63"/>
    <w:rsid w:val="005D5AFC"/>
    <w:rsid w:val="005F1E1B"/>
    <w:rsid w:val="005F4585"/>
    <w:rsid w:val="005F65E8"/>
    <w:rsid w:val="005F6C85"/>
    <w:rsid w:val="00611B92"/>
    <w:rsid w:val="006218CC"/>
    <w:rsid w:val="00622365"/>
    <w:rsid w:val="0062268C"/>
    <w:rsid w:val="006234A2"/>
    <w:rsid w:val="0062680B"/>
    <w:rsid w:val="006306B5"/>
    <w:rsid w:val="00631A7E"/>
    <w:rsid w:val="00652824"/>
    <w:rsid w:val="0065694C"/>
    <w:rsid w:val="00661EB0"/>
    <w:rsid w:val="00662E23"/>
    <w:rsid w:val="00663434"/>
    <w:rsid w:val="00664DE8"/>
    <w:rsid w:val="00670703"/>
    <w:rsid w:val="00670D64"/>
    <w:rsid w:val="0067557E"/>
    <w:rsid w:val="00684CC5"/>
    <w:rsid w:val="006872AC"/>
    <w:rsid w:val="00690F24"/>
    <w:rsid w:val="006A0664"/>
    <w:rsid w:val="006A696A"/>
    <w:rsid w:val="006A7C3D"/>
    <w:rsid w:val="006A7F28"/>
    <w:rsid w:val="006B0EAB"/>
    <w:rsid w:val="006B21A9"/>
    <w:rsid w:val="006B34B0"/>
    <w:rsid w:val="006B5214"/>
    <w:rsid w:val="006B5FE6"/>
    <w:rsid w:val="006B6994"/>
    <w:rsid w:val="006C04B9"/>
    <w:rsid w:val="006C606D"/>
    <w:rsid w:val="006C6282"/>
    <w:rsid w:val="006D7BC8"/>
    <w:rsid w:val="006E36EA"/>
    <w:rsid w:val="006E41EB"/>
    <w:rsid w:val="006F1764"/>
    <w:rsid w:val="006F5552"/>
    <w:rsid w:val="006F7A88"/>
    <w:rsid w:val="007004D3"/>
    <w:rsid w:val="0070296B"/>
    <w:rsid w:val="00702A9B"/>
    <w:rsid w:val="0070631B"/>
    <w:rsid w:val="007070D6"/>
    <w:rsid w:val="00712B6C"/>
    <w:rsid w:val="00715D56"/>
    <w:rsid w:val="00716D96"/>
    <w:rsid w:val="00717EFA"/>
    <w:rsid w:val="00732038"/>
    <w:rsid w:val="00732F97"/>
    <w:rsid w:val="0075335A"/>
    <w:rsid w:val="007542AC"/>
    <w:rsid w:val="00764850"/>
    <w:rsid w:val="007701D4"/>
    <w:rsid w:val="007732F9"/>
    <w:rsid w:val="0079124E"/>
    <w:rsid w:val="00791A62"/>
    <w:rsid w:val="00794FE2"/>
    <w:rsid w:val="00795343"/>
    <w:rsid w:val="007959E1"/>
    <w:rsid w:val="007A16D6"/>
    <w:rsid w:val="007A1853"/>
    <w:rsid w:val="007A2660"/>
    <w:rsid w:val="007A52B0"/>
    <w:rsid w:val="007B1A3C"/>
    <w:rsid w:val="007B4E91"/>
    <w:rsid w:val="007B5F5C"/>
    <w:rsid w:val="007B6C0D"/>
    <w:rsid w:val="007C046C"/>
    <w:rsid w:val="007C0900"/>
    <w:rsid w:val="007C6FA1"/>
    <w:rsid w:val="007D4BEF"/>
    <w:rsid w:val="007D51D7"/>
    <w:rsid w:val="007D530F"/>
    <w:rsid w:val="007F0D42"/>
    <w:rsid w:val="00801EC0"/>
    <w:rsid w:val="00807F79"/>
    <w:rsid w:val="008102BD"/>
    <w:rsid w:val="00811C3B"/>
    <w:rsid w:val="00816027"/>
    <w:rsid w:val="008238A7"/>
    <w:rsid w:val="0082669C"/>
    <w:rsid w:val="00827CF0"/>
    <w:rsid w:val="008309E2"/>
    <w:rsid w:val="0083286E"/>
    <w:rsid w:val="00833002"/>
    <w:rsid w:val="00846500"/>
    <w:rsid w:val="00851771"/>
    <w:rsid w:val="00855272"/>
    <w:rsid w:val="00856A29"/>
    <w:rsid w:val="00860467"/>
    <w:rsid w:val="008609E6"/>
    <w:rsid w:val="00862704"/>
    <w:rsid w:val="00862DBD"/>
    <w:rsid w:val="00864A11"/>
    <w:rsid w:val="00865168"/>
    <w:rsid w:val="008658D3"/>
    <w:rsid w:val="0086662C"/>
    <w:rsid w:val="00867859"/>
    <w:rsid w:val="00870241"/>
    <w:rsid w:val="008823D5"/>
    <w:rsid w:val="008830C5"/>
    <w:rsid w:val="008855B4"/>
    <w:rsid w:val="00895260"/>
    <w:rsid w:val="00896038"/>
    <w:rsid w:val="008A1100"/>
    <w:rsid w:val="008A18DE"/>
    <w:rsid w:val="008A1B0D"/>
    <w:rsid w:val="008A769D"/>
    <w:rsid w:val="008C5017"/>
    <w:rsid w:val="008C54FC"/>
    <w:rsid w:val="008C7135"/>
    <w:rsid w:val="008D27B6"/>
    <w:rsid w:val="008D4706"/>
    <w:rsid w:val="008D512D"/>
    <w:rsid w:val="008D680C"/>
    <w:rsid w:val="008E2E66"/>
    <w:rsid w:val="008E67F2"/>
    <w:rsid w:val="008F17F0"/>
    <w:rsid w:val="008F3120"/>
    <w:rsid w:val="009065E6"/>
    <w:rsid w:val="00912DEE"/>
    <w:rsid w:val="0091571B"/>
    <w:rsid w:val="0092031F"/>
    <w:rsid w:val="00921628"/>
    <w:rsid w:val="00921CFD"/>
    <w:rsid w:val="00921F14"/>
    <w:rsid w:val="00922936"/>
    <w:rsid w:val="00926BEA"/>
    <w:rsid w:val="009335F6"/>
    <w:rsid w:val="00936630"/>
    <w:rsid w:val="00936D56"/>
    <w:rsid w:val="009461D5"/>
    <w:rsid w:val="00956326"/>
    <w:rsid w:val="009564F0"/>
    <w:rsid w:val="00956675"/>
    <w:rsid w:val="0096206D"/>
    <w:rsid w:val="00963DC0"/>
    <w:rsid w:val="00970FE7"/>
    <w:rsid w:val="00972210"/>
    <w:rsid w:val="0097289B"/>
    <w:rsid w:val="00972FB1"/>
    <w:rsid w:val="009733FC"/>
    <w:rsid w:val="00982E11"/>
    <w:rsid w:val="00985C2D"/>
    <w:rsid w:val="009912B8"/>
    <w:rsid w:val="00991406"/>
    <w:rsid w:val="009A17EB"/>
    <w:rsid w:val="009A2652"/>
    <w:rsid w:val="009A2906"/>
    <w:rsid w:val="009A50A2"/>
    <w:rsid w:val="009A6661"/>
    <w:rsid w:val="009A6FB5"/>
    <w:rsid w:val="009A7B16"/>
    <w:rsid w:val="009B0FF8"/>
    <w:rsid w:val="009B5106"/>
    <w:rsid w:val="009B643B"/>
    <w:rsid w:val="009C4C77"/>
    <w:rsid w:val="009D0E25"/>
    <w:rsid w:val="009D2AF3"/>
    <w:rsid w:val="009E42CD"/>
    <w:rsid w:val="009F2C4C"/>
    <w:rsid w:val="009F60ED"/>
    <w:rsid w:val="00A00A67"/>
    <w:rsid w:val="00A0155D"/>
    <w:rsid w:val="00A064A3"/>
    <w:rsid w:val="00A06539"/>
    <w:rsid w:val="00A11104"/>
    <w:rsid w:val="00A11152"/>
    <w:rsid w:val="00A130F4"/>
    <w:rsid w:val="00A150F8"/>
    <w:rsid w:val="00A21D4A"/>
    <w:rsid w:val="00A22A5A"/>
    <w:rsid w:val="00A23AA2"/>
    <w:rsid w:val="00A24818"/>
    <w:rsid w:val="00A2629F"/>
    <w:rsid w:val="00A26B3D"/>
    <w:rsid w:val="00A2763A"/>
    <w:rsid w:val="00A336B6"/>
    <w:rsid w:val="00A339CA"/>
    <w:rsid w:val="00A35EE7"/>
    <w:rsid w:val="00A36AB0"/>
    <w:rsid w:val="00A411CA"/>
    <w:rsid w:val="00A41916"/>
    <w:rsid w:val="00A503D9"/>
    <w:rsid w:val="00A519F3"/>
    <w:rsid w:val="00A54997"/>
    <w:rsid w:val="00A54D89"/>
    <w:rsid w:val="00A57EDB"/>
    <w:rsid w:val="00A6078F"/>
    <w:rsid w:val="00A61B86"/>
    <w:rsid w:val="00A70724"/>
    <w:rsid w:val="00A7172C"/>
    <w:rsid w:val="00A80598"/>
    <w:rsid w:val="00A81CFB"/>
    <w:rsid w:val="00A83891"/>
    <w:rsid w:val="00A843FE"/>
    <w:rsid w:val="00A856EE"/>
    <w:rsid w:val="00A92DC5"/>
    <w:rsid w:val="00A95A69"/>
    <w:rsid w:val="00A97144"/>
    <w:rsid w:val="00AA4260"/>
    <w:rsid w:val="00AA5673"/>
    <w:rsid w:val="00AB2683"/>
    <w:rsid w:val="00AB589D"/>
    <w:rsid w:val="00AC18A1"/>
    <w:rsid w:val="00AC2610"/>
    <w:rsid w:val="00AD4569"/>
    <w:rsid w:val="00AD5C6E"/>
    <w:rsid w:val="00AE06B8"/>
    <w:rsid w:val="00AE33F5"/>
    <w:rsid w:val="00AE40D1"/>
    <w:rsid w:val="00AE4402"/>
    <w:rsid w:val="00AF73FF"/>
    <w:rsid w:val="00AF76D7"/>
    <w:rsid w:val="00B00920"/>
    <w:rsid w:val="00B00ADC"/>
    <w:rsid w:val="00B03949"/>
    <w:rsid w:val="00B053C2"/>
    <w:rsid w:val="00B0546F"/>
    <w:rsid w:val="00B06E2D"/>
    <w:rsid w:val="00B1001B"/>
    <w:rsid w:val="00B21EBC"/>
    <w:rsid w:val="00B22C69"/>
    <w:rsid w:val="00B23627"/>
    <w:rsid w:val="00B25E00"/>
    <w:rsid w:val="00B2622C"/>
    <w:rsid w:val="00B271F8"/>
    <w:rsid w:val="00B323CE"/>
    <w:rsid w:val="00B40180"/>
    <w:rsid w:val="00B42985"/>
    <w:rsid w:val="00B469AA"/>
    <w:rsid w:val="00B516A3"/>
    <w:rsid w:val="00B5317A"/>
    <w:rsid w:val="00B535AD"/>
    <w:rsid w:val="00B56959"/>
    <w:rsid w:val="00B60F85"/>
    <w:rsid w:val="00B62049"/>
    <w:rsid w:val="00B642B8"/>
    <w:rsid w:val="00B648DB"/>
    <w:rsid w:val="00B64D20"/>
    <w:rsid w:val="00B72B33"/>
    <w:rsid w:val="00B72BC5"/>
    <w:rsid w:val="00B74590"/>
    <w:rsid w:val="00B753C5"/>
    <w:rsid w:val="00B77AF7"/>
    <w:rsid w:val="00B906E0"/>
    <w:rsid w:val="00B92F4B"/>
    <w:rsid w:val="00B95FAA"/>
    <w:rsid w:val="00BA0B5D"/>
    <w:rsid w:val="00BA3F2C"/>
    <w:rsid w:val="00BB7C20"/>
    <w:rsid w:val="00BC1138"/>
    <w:rsid w:val="00BC4761"/>
    <w:rsid w:val="00BC6533"/>
    <w:rsid w:val="00BC7BF0"/>
    <w:rsid w:val="00BD2BFF"/>
    <w:rsid w:val="00BD36CD"/>
    <w:rsid w:val="00BD75BC"/>
    <w:rsid w:val="00BE614E"/>
    <w:rsid w:val="00BF5962"/>
    <w:rsid w:val="00BF6156"/>
    <w:rsid w:val="00BF6F42"/>
    <w:rsid w:val="00C01BB9"/>
    <w:rsid w:val="00C03918"/>
    <w:rsid w:val="00C12F51"/>
    <w:rsid w:val="00C13ABB"/>
    <w:rsid w:val="00C14D6A"/>
    <w:rsid w:val="00C17DE1"/>
    <w:rsid w:val="00C21DF0"/>
    <w:rsid w:val="00C235C1"/>
    <w:rsid w:val="00C24A53"/>
    <w:rsid w:val="00C25414"/>
    <w:rsid w:val="00C32E04"/>
    <w:rsid w:val="00C3437D"/>
    <w:rsid w:val="00C46A49"/>
    <w:rsid w:val="00C50475"/>
    <w:rsid w:val="00C51D20"/>
    <w:rsid w:val="00C52FEF"/>
    <w:rsid w:val="00C545AD"/>
    <w:rsid w:val="00C55818"/>
    <w:rsid w:val="00C61811"/>
    <w:rsid w:val="00C63E1D"/>
    <w:rsid w:val="00C67A03"/>
    <w:rsid w:val="00C703C6"/>
    <w:rsid w:val="00C70D42"/>
    <w:rsid w:val="00C75F42"/>
    <w:rsid w:val="00C77FE6"/>
    <w:rsid w:val="00C8156B"/>
    <w:rsid w:val="00C81CEE"/>
    <w:rsid w:val="00C86494"/>
    <w:rsid w:val="00C9107B"/>
    <w:rsid w:val="00C93518"/>
    <w:rsid w:val="00CA3220"/>
    <w:rsid w:val="00CA749D"/>
    <w:rsid w:val="00CA7649"/>
    <w:rsid w:val="00CB0251"/>
    <w:rsid w:val="00CB55A6"/>
    <w:rsid w:val="00CC1C38"/>
    <w:rsid w:val="00CC48D3"/>
    <w:rsid w:val="00CC6BBD"/>
    <w:rsid w:val="00CC76DB"/>
    <w:rsid w:val="00CD03DD"/>
    <w:rsid w:val="00CD1FBE"/>
    <w:rsid w:val="00CD6675"/>
    <w:rsid w:val="00CE4BEB"/>
    <w:rsid w:val="00CF0359"/>
    <w:rsid w:val="00CF08BC"/>
    <w:rsid w:val="00CF14F1"/>
    <w:rsid w:val="00CF1F3D"/>
    <w:rsid w:val="00CF27C0"/>
    <w:rsid w:val="00CF51FC"/>
    <w:rsid w:val="00D00010"/>
    <w:rsid w:val="00D018E3"/>
    <w:rsid w:val="00D0378C"/>
    <w:rsid w:val="00D05114"/>
    <w:rsid w:val="00D12A83"/>
    <w:rsid w:val="00D13BE5"/>
    <w:rsid w:val="00D2129D"/>
    <w:rsid w:val="00D3044E"/>
    <w:rsid w:val="00D30A9B"/>
    <w:rsid w:val="00D33EB3"/>
    <w:rsid w:val="00D35DD9"/>
    <w:rsid w:val="00D36C4B"/>
    <w:rsid w:val="00D4038B"/>
    <w:rsid w:val="00D44CBD"/>
    <w:rsid w:val="00D45551"/>
    <w:rsid w:val="00D45FAC"/>
    <w:rsid w:val="00D476CF"/>
    <w:rsid w:val="00D47960"/>
    <w:rsid w:val="00D52A40"/>
    <w:rsid w:val="00D54079"/>
    <w:rsid w:val="00D540BE"/>
    <w:rsid w:val="00D54908"/>
    <w:rsid w:val="00D54FA0"/>
    <w:rsid w:val="00D5750D"/>
    <w:rsid w:val="00D61D7A"/>
    <w:rsid w:val="00D621E6"/>
    <w:rsid w:val="00D71F00"/>
    <w:rsid w:val="00D77687"/>
    <w:rsid w:val="00D80A58"/>
    <w:rsid w:val="00D87F6E"/>
    <w:rsid w:val="00D87FB3"/>
    <w:rsid w:val="00D90D68"/>
    <w:rsid w:val="00D94D10"/>
    <w:rsid w:val="00D95894"/>
    <w:rsid w:val="00D97082"/>
    <w:rsid w:val="00D97390"/>
    <w:rsid w:val="00DA0A1C"/>
    <w:rsid w:val="00DA4A9F"/>
    <w:rsid w:val="00DA4F79"/>
    <w:rsid w:val="00DA5B2E"/>
    <w:rsid w:val="00DA664D"/>
    <w:rsid w:val="00DB12F7"/>
    <w:rsid w:val="00DC05CC"/>
    <w:rsid w:val="00DC14DF"/>
    <w:rsid w:val="00DC1DB8"/>
    <w:rsid w:val="00DC2E92"/>
    <w:rsid w:val="00DC5020"/>
    <w:rsid w:val="00DC5683"/>
    <w:rsid w:val="00DD2150"/>
    <w:rsid w:val="00DD45B9"/>
    <w:rsid w:val="00DE29BF"/>
    <w:rsid w:val="00DF0BC4"/>
    <w:rsid w:val="00E02B8A"/>
    <w:rsid w:val="00E037A1"/>
    <w:rsid w:val="00E052A5"/>
    <w:rsid w:val="00E06A27"/>
    <w:rsid w:val="00E11095"/>
    <w:rsid w:val="00E21D08"/>
    <w:rsid w:val="00E2554E"/>
    <w:rsid w:val="00E33C6C"/>
    <w:rsid w:val="00E36C1D"/>
    <w:rsid w:val="00E4283A"/>
    <w:rsid w:val="00E50C42"/>
    <w:rsid w:val="00E50CC7"/>
    <w:rsid w:val="00E51907"/>
    <w:rsid w:val="00E606F2"/>
    <w:rsid w:val="00E61AEB"/>
    <w:rsid w:val="00E62589"/>
    <w:rsid w:val="00E63C6F"/>
    <w:rsid w:val="00E7156D"/>
    <w:rsid w:val="00E72795"/>
    <w:rsid w:val="00E72C83"/>
    <w:rsid w:val="00E76973"/>
    <w:rsid w:val="00E81476"/>
    <w:rsid w:val="00E85AC0"/>
    <w:rsid w:val="00E8671F"/>
    <w:rsid w:val="00E86CA1"/>
    <w:rsid w:val="00E87D95"/>
    <w:rsid w:val="00E9796B"/>
    <w:rsid w:val="00EA244A"/>
    <w:rsid w:val="00EA6740"/>
    <w:rsid w:val="00EB20DC"/>
    <w:rsid w:val="00EC10CF"/>
    <w:rsid w:val="00EC267A"/>
    <w:rsid w:val="00ED0234"/>
    <w:rsid w:val="00EE002C"/>
    <w:rsid w:val="00EE22A8"/>
    <w:rsid w:val="00EE420C"/>
    <w:rsid w:val="00EF013E"/>
    <w:rsid w:val="00EF30F8"/>
    <w:rsid w:val="00EF40E0"/>
    <w:rsid w:val="00EF4FB1"/>
    <w:rsid w:val="00F01BE8"/>
    <w:rsid w:val="00F02546"/>
    <w:rsid w:val="00F04C7C"/>
    <w:rsid w:val="00F04F4A"/>
    <w:rsid w:val="00F10F69"/>
    <w:rsid w:val="00F11799"/>
    <w:rsid w:val="00F137BA"/>
    <w:rsid w:val="00F22237"/>
    <w:rsid w:val="00F22741"/>
    <w:rsid w:val="00F22A98"/>
    <w:rsid w:val="00F276CB"/>
    <w:rsid w:val="00F27D19"/>
    <w:rsid w:val="00F31FD3"/>
    <w:rsid w:val="00F33058"/>
    <w:rsid w:val="00F44669"/>
    <w:rsid w:val="00F457F6"/>
    <w:rsid w:val="00F516F3"/>
    <w:rsid w:val="00F52545"/>
    <w:rsid w:val="00F57410"/>
    <w:rsid w:val="00F611BC"/>
    <w:rsid w:val="00F64493"/>
    <w:rsid w:val="00F64ABA"/>
    <w:rsid w:val="00F654C6"/>
    <w:rsid w:val="00F65F80"/>
    <w:rsid w:val="00F728E6"/>
    <w:rsid w:val="00F80DEE"/>
    <w:rsid w:val="00F833E8"/>
    <w:rsid w:val="00F840C7"/>
    <w:rsid w:val="00F85953"/>
    <w:rsid w:val="00F906CD"/>
    <w:rsid w:val="00F9263C"/>
    <w:rsid w:val="00F955FE"/>
    <w:rsid w:val="00F96A4D"/>
    <w:rsid w:val="00F974B7"/>
    <w:rsid w:val="00FA5FF0"/>
    <w:rsid w:val="00FA7F3D"/>
    <w:rsid w:val="00FB04EE"/>
    <w:rsid w:val="00FB5182"/>
    <w:rsid w:val="00FB6F11"/>
    <w:rsid w:val="00FC264F"/>
    <w:rsid w:val="00FC621D"/>
    <w:rsid w:val="00FC70B3"/>
    <w:rsid w:val="00FE0E98"/>
    <w:rsid w:val="00FE13D2"/>
    <w:rsid w:val="00FE2C00"/>
    <w:rsid w:val="00FE5C07"/>
    <w:rsid w:val="00FE5D85"/>
    <w:rsid w:val="00FE717E"/>
    <w:rsid w:val="00FE7DC5"/>
    <w:rsid w:val="00FF013C"/>
    <w:rsid w:val="00FF24D5"/>
    <w:rsid w:val="00FF6E43"/>
    <w:rsid w:val="06D33DE7"/>
    <w:rsid w:val="076B31DA"/>
    <w:rsid w:val="07AD758E"/>
    <w:rsid w:val="08A95A01"/>
    <w:rsid w:val="0A4A3E4A"/>
    <w:rsid w:val="0C1D0813"/>
    <w:rsid w:val="11AD363C"/>
    <w:rsid w:val="177B1AE6"/>
    <w:rsid w:val="193C52A5"/>
    <w:rsid w:val="1A735080"/>
    <w:rsid w:val="1EA63630"/>
    <w:rsid w:val="1EE2649D"/>
    <w:rsid w:val="212B02A4"/>
    <w:rsid w:val="232B6774"/>
    <w:rsid w:val="24BB62D9"/>
    <w:rsid w:val="25705B8F"/>
    <w:rsid w:val="25FD052A"/>
    <w:rsid w:val="26436741"/>
    <w:rsid w:val="28A82888"/>
    <w:rsid w:val="28F765AC"/>
    <w:rsid w:val="2CF409C8"/>
    <w:rsid w:val="2EC667B9"/>
    <w:rsid w:val="2EFE3B6A"/>
    <w:rsid w:val="2F342A24"/>
    <w:rsid w:val="306B7881"/>
    <w:rsid w:val="30A6724E"/>
    <w:rsid w:val="30D20969"/>
    <w:rsid w:val="3CAE31DE"/>
    <w:rsid w:val="3D333EC8"/>
    <w:rsid w:val="3D5151C1"/>
    <w:rsid w:val="432B321D"/>
    <w:rsid w:val="45975B03"/>
    <w:rsid w:val="47715A3A"/>
    <w:rsid w:val="490A1142"/>
    <w:rsid w:val="4C5E7653"/>
    <w:rsid w:val="4D2E027D"/>
    <w:rsid w:val="503C2246"/>
    <w:rsid w:val="50453A98"/>
    <w:rsid w:val="5198253B"/>
    <w:rsid w:val="55AE6607"/>
    <w:rsid w:val="57F27A0A"/>
    <w:rsid w:val="5836349C"/>
    <w:rsid w:val="596B6097"/>
    <w:rsid w:val="5A761F59"/>
    <w:rsid w:val="6547100E"/>
    <w:rsid w:val="6A79457F"/>
    <w:rsid w:val="6D5841E8"/>
    <w:rsid w:val="6EFA1300"/>
    <w:rsid w:val="735A34D3"/>
    <w:rsid w:val="73A17281"/>
    <w:rsid w:val="777075F0"/>
    <w:rsid w:val="77CA50CB"/>
    <w:rsid w:val="7AFB19E6"/>
    <w:rsid w:val="7EBA265B"/>
    <w:rsid w:val="B7FFCCA6"/>
    <w:rsid w:val="EFFFE15A"/>
    <w:rsid w:val="FCFF36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1"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5"/>
    <w:qFormat/>
    <w:uiPriority w:val="9"/>
    <w:pPr>
      <w:keepNext/>
      <w:keepLines/>
      <w:spacing w:before="340" w:after="330" w:line="578" w:lineRule="auto"/>
      <w:outlineLvl w:val="0"/>
    </w:pPr>
    <w:rPr>
      <w:b/>
      <w:bCs/>
      <w:kern w:val="44"/>
      <w:sz w:val="44"/>
      <w:szCs w:val="44"/>
      <w:lang w:val="zh-CN"/>
    </w:rPr>
  </w:style>
  <w:style w:type="paragraph" w:styleId="3">
    <w:name w:val="heading 2"/>
    <w:basedOn w:val="1"/>
    <w:next w:val="1"/>
    <w:link w:val="251"/>
    <w:autoRedefine/>
    <w:qFormat/>
    <w:uiPriority w:val="9"/>
    <w:pPr>
      <w:keepNext/>
      <w:keepLines/>
      <w:spacing w:before="260" w:after="260" w:line="416" w:lineRule="auto"/>
      <w:outlineLvl w:val="1"/>
    </w:pPr>
    <w:rPr>
      <w:rFonts w:ascii="Calibri Light" w:hAnsi="Calibri Light"/>
      <w:b/>
      <w:bCs/>
      <w:kern w:val="0"/>
      <w:sz w:val="32"/>
      <w:szCs w:val="32"/>
      <w:lang w:val="zh-CN"/>
    </w:rPr>
  </w:style>
  <w:style w:type="paragraph" w:styleId="4">
    <w:name w:val="heading 3"/>
    <w:basedOn w:val="1"/>
    <w:next w:val="1"/>
    <w:link w:val="247"/>
    <w:autoRedefine/>
    <w:qFormat/>
    <w:uiPriority w:val="9"/>
    <w:pPr>
      <w:keepNext/>
      <w:keepLines/>
      <w:spacing w:before="260" w:after="260" w:line="416" w:lineRule="auto"/>
      <w:outlineLvl w:val="2"/>
    </w:pPr>
    <w:rPr>
      <w:rFonts w:ascii="宋体"/>
      <w:b/>
      <w:bCs/>
      <w:kern w:val="0"/>
      <w:sz w:val="32"/>
      <w:szCs w:val="32"/>
    </w:rPr>
  </w:style>
  <w:style w:type="paragraph" w:styleId="5">
    <w:name w:val="heading 4"/>
    <w:basedOn w:val="1"/>
    <w:next w:val="1"/>
    <w:link w:val="257"/>
    <w:autoRedefine/>
    <w:qFormat/>
    <w:uiPriority w:val="9"/>
    <w:pPr>
      <w:keepNext/>
      <w:keepLines/>
      <w:spacing w:before="280" w:after="290" w:line="376" w:lineRule="auto"/>
      <w:outlineLvl w:val="3"/>
    </w:pPr>
    <w:rPr>
      <w:rFonts w:ascii="Calibri Light" w:hAnsi="Calibri Light"/>
      <w:b/>
      <w:bCs/>
      <w:kern w:val="0"/>
      <w:sz w:val="28"/>
      <w:szCs w:val="28"/>
      <w:lang w:val="zh-CN"/>
    </w:rPr>
  </w:style>
  <w:style w:type="paragraph" w:styleId="6">
    <w:name w:val="heading 5"/>
    <w:basedOn w:val="1"/>
    <w:next w:val="1"/>
    <w:link w:val="225"/>
    <w:qFormat/>
    <w:uiPriority w:val="9"/>
    <w:pPr>
      <w:keepNext/>
      <w:keepLines/>
      <w:spacing w:before="280" w:after="290" w:line="376" w:lineRule="auto"/>
      <w:outlineLvl w:val="4"/>
    </w:pPr>
    <w:rPr>
      <w:b/>
      <w:bCs/>
      <w:sz w:val="28"/>
      <w:szCs w:val="28"/>
    </w:rPr>
  </w:style>
  <w:style w:type="paragraph" w:styleId="7">
    <w:name w:val="heading 6"/>
    <w:basedOn w:val="1"/>
    <w:next w:val="1"/>
    <w:link w:val="245"/>
    <w:qFormat/>
    <w:uiPriority w:val="9"/>
    <w:pPr>
      <w:keepNext/>
      <w:keepLines/>
      <w:widowControl/>
      <w:spacing w:before="240" w:after="64" w:line="320" w:lineRule="auto"/>
      <w:jc w:val="left"/>
      <w:outlineLvl w:val="5"/>
    </w:pPr>
    <w:rPr>
      <w:rFonts w:ascii="Cambria" w:hAnsi="Cambria"/>
      <w:b/>
      <w:bCs/>
      <w:kern w:val="0"/>
      <w:sz w:val="24"/>
      <w:szCs w:val="24"/>
    </w:rPr>
  </w:style>
  <w:style w:type="paragraph" w:styleId="8">
    <w:name w:val="heading 7"/>
    <w:basedOn w:val="1"/>
    <w:next w:val="1"/>
    <w:link w:val="270"/>
    <w:autoRedefine/>
    <w:qFormat/>
    <w:uiPriority w:val="9"/>
    <w:pPr>
      <w:keepNext/>
      <w:keepLines/>
      <w:numPr>
        <w:ilvl w:val="6"/>
        <w:numId w:val="1"/>
      </w:numPr>
      <w:adjustRightInd w:val="0"/>
      <w:spacing w:before="240" w:after="64" w:line="320" w:lineRule="atLeast"/>
      <w:textAlignment w:val="baseline"/>
      <w:outlineLvl w:val="6"/>
    </w:pPr>
    <w:rPr>
      <w:rFonts w:ascii="Times New Roman" w:hAnsi="Times New Roman"/>
      <w:b/>
      <w:kern w:val="0"/>
      <w:sz w:val="24"/>
      <w:szCs w:val="20"/>
    </w:rPr>
  </w:style>
  <w:style w:type="paragraph" w:styleId="9">
    <w:name w:val="heading 8"/>
    <w:basedOn w:val="1"/>
    <w:next w:val="1"/>
    <w:link w:val="224"/>
    <w:autoRedefine/>
    <w:qFormat/>
    <w:uiPriority w:val="9"/>
    <w:pPr>
      <w:keepNext/>
      <w:keepLines/>
      <w:numPr>
        <w:ilvl w:val="7"/>
        <w:numId w:val="1"/>
      </w:numPr>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223"/>
    <w:autoRedefine/>
    <w:qFormat/>
    <w:uiPriority w:val="9"/>
    <w:pPr>
      <w:keepNext/>
      <w:keepLines/>
      <w:numPr>
        <w:ilvl w:val="8"/>
        <w:numId w:val="1"/>
      </w:numPr>
      <w:adjustRightInd w:val="0"/>
      <w:spacing w:before="240" w:after="64" w:line="320" w:lineRule="atLeast"/>
      <w:textAlignment w:val="baseline"/>
      <w:outlineLvl w:val="8"/>
    </w:pPr>
    <w:rPr>
      <w:rFonts w:ascii="Arial" w:hAnsi="Arial" w:eastAsia="黑体"/>
      <w:kern w:val="0"/>
      <w:sz w:val="24"/>
      <w:szCs w:val="20"/>
    </w:rPr>
  </w:style>
  <w:style w:type="character" w:default="1" w:styleId="65">
    <w:name w:val="Default Paragraph Font"/>
    <w:semiHidden/>
    <w:unhideWhenUsed/>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4"/>
    </w:rPr>
  </w:style>
  <w:style w:type="paragraph" w:styleId="12">
    <w:name w:val="toc 7"/>
    <w:basedOn w:val="1"/>
    <w:next w:val="1"/>
    <w:autoRedefine/>
    <w:unhideWhenUsed/>
    <w:qFormat/>
    <w:uiPriority w:val="39"/>
    <w:pPr>
      <w:ind w:left="2520" w:leftChars="1200"/>
    </w:pPr>
  </w:style>
  <w:style w:type="paragraph" w:styleId="13">
    <w:name w:val="index 8"/>
    <w:basedOn w:val="1"/>
    <w:next w:val="1"/>
    <w:autoRedefine/>
    <w:qFormat/>
    <w:uiPriority w:val="0"/>
    <w:pPr>
      <w:ind w:left="1680" w:hanging="210"/>
      <w:jc w:val="left"/>
    </w:pPr>
    <w:rPr>
      <w:sz w:val="20"/>
      <w:szCs w:val="20"/>
    </w:rPr>
  </w:style>
  <w:style w:type="paragraph" w:styleId="14">
    <w:name w:val="Normal Indent"/>
    <w:basedOn w:val="1"/>
    <w:link w:val="190"/>
    <w:autoRedefine/>
    <w:qFormat/>
    <w:uiPriority w:val="0"/>
    <w:pPr>
      <w:ind w:firstLine="420"/>
    </w:pPr>
    <w:rPr>
      <w:rFonts w:ascii="宋体"/>
      <w:kern w:val="0"/>
      <w:sz w:val="34"/>
      <w:szCs w:val="20"/>
    </w:rPr>
  </w:style>
  <w:style w:type="paragraph" w:styleId="15">
    <w:name w:val="caption"/>
    <w:basedOn w:val="1"/>
    <w:next w:val="1"/>
    <w:autoRedefine/>
    <w:qFormat/>
    <w:uiPriority w:val="35"/>
    <w:rPr>
      <w:rFonts w:ascii="Cambria" w:hAnsi="Cambria" w:eastAsia="黑体"/>
      <w:sz w:val="20"/>
      <w:szCs w:val="20"/>
    </w:rPr>
  </w:style>
  <w:style w:type="paragraph" w:styleId="16">
    <w:name w:val="index 5"/>
    <w:basedOn w:val="1"/>
    <w:next w:val="1"/>
    <w:autoRedefine/>
    <w:qFormat/>
    <w:uiPriority w:val="0"/>
    <w:pPr>
      <w:ind w:left="1050" w:hanging="210"/>
      <w:jc w:val="left"/>
    </w:pPr>
    <w:rPr>
      <w:sz w:val="20"/>
      <w:szCs w:val="20"/>
    </w:rPr>
  </w:style>
  <w:style w:type="paragraph" w:styleId="17">
    <w:name w:val="List Bullet"/>
    <w:basedOn w:val="1"/>
    <w:autoRedefine/>
    <w:qFormat/>
    <w:uiPriority w:val="0"/>
    <w:pPr>
      <w:tabs>
        <w:tab w:val="left" w:pos="360"/>
      </w:tabs>
      <w:ind w:left="360" w:hanging="360"/>
      <w:contextualSpacing/>
    </w:pPr>
    <w:rPr>
      <w:szCs w:val="24"/>
    </w:rPr>
  </w:style>
  <w:style w:type="paragraph" w:styleId="18">
    <w:name w:val="Document Map"/>
    <w:basedOn w:val="1"/>
    <w:link w:val="249"/>
    <w:autoRedefine/>
    <w:unhideWhenUsed/>
    <w:qFormat/>
    <w:uiPriority w:val="99"/>
    <w:rPr>
      <w:rFonts w:ascii="宋体"/>
      <w:sz w:val="18"/>
      <w:szCs w:val="18"/>
      <w:lang w:val="zh-CN"/>
    </w:rPr>
  </w:style>
  <w:style w:type="paragraph" w:styleId="19">
    <w:name w:val="annotation text"/>
    <w:basedOn w:val="1"/>
    <w:link w:val="261"/>
    <w:autoRedefine/>
    <w:unhideWhenUsed/>
    <w:qFormat/>
    <w:uiPriority w:val="99"/>
    <w:pPr>
      <w:jc w:val="left"/>
    </w:pPr>
    <w:rPr>
      <w:kern w:val="0"/>
      <w:sz w:val="20"/>
      <w:szCs w:val="20"/>
      <w:lang w:val="zh-CN"/>
    </w:rPr>
  </w:style>
  <w:style w:type="paragraph" w:styleId="20">
    <w:name w:val="index 6"/>
    <w:basedOn w:val="1"/>
    <w:next w:val="1"/>
    <w:autoRedefine/>
    <w:qFormat/>
    <w:uiPriority w:val="0"/>
    <w:pPr>
      <w:ind w:left="1000" w:leftChars="1000"/>
    </w:pPr>
    <w:rPr>
      <w:szCs w:val="24"/>
    </w:rPr>
  </w:style>
  <w:style w:type="paragraph" w:styleId="21">
    <w:name w:val="Salutation"/>
    <w:basedOn w:val="1"/>
    <w:next w:val="1"/>
    <w:link w:val="204"/>
    <w:autoRedefine/>
    <w:qFormat/>
    <w:uiPriority w:val="0"/>
    <w:rPr>
      <w:rFonts w:ascii="宋体" w:hAnsi="Times New Roman" w:eastAsia="仿宋_GB2312"/>
      <w:kern w:val="0"/>
      <w:sz w:val="24"/>
      <w:szCs w:val="20"/>
    </w:rPr>
  </w:style>
  <w:style w:type="paragraph" w:styleId="22">
    <w:name w:val="Body Text 3"/>
    <w:basedOn w:val="1"/>
    <w:link w:val="228"/>
    <w:autoRedefine/>
    <w:qFormat/>
    <w:uiPriority w:val="0"/>
    <w:pPr>
      <w:widowControl/>
      <w:jc w:val="left"/>
    </w:pPr>
    <w:rPr>
      <w:rFonts w:ascii="宋体"/>
      <w:kern w:val="0"/>
      <w:sz w:val="24"/>
      <w:szCs w:val="20"/>
    </w:rPr>
  </w:style>
  <w:style w:type="paragraph" w:styleId="23">
    <w:name w:val="Body Text"/>
    <w:basedOn w:val="1"/>
    <w:link w:val="256"/>
    <w:autoRedefine/>
    <w:unhideWhenUsed/>
    <w:qFormat/>
    <w:uiPriority w:val="1"/>
    <w:pPr>
      <w:spacing w:after="120"/>
    </w:pPr>
  </w:style>
  <w:style w:type="paragraph" w:styleId="24">
    <w:name w:val="Body Text Indent"/>
    <w:basedOn w:val="1"/>
    <w:link w:val="258"/>
    <w:autoRedefine/>
    <w:qFormat/>
    <w:uiPriority w:val="0"/>
    <w:pPr>
      <w:ind w:firstLine="560" w:firstLineChars="200"/>
    </w:pPr>
    <w:rPr>
      <w:rFonts w:ascii="Times New Roman" w:hAnsi="Times New Roman"/>
      <w:kern w:val="0"/>
      <w:sz w:val="28"/>
      <w:szCs w:val="24"/>
      <w:lang w:val="zh-CN"/>
    </w:rPr>
  </w:style>
  <w:style w:type="paragraph" w:styleId="25">
    <w:name w:val="List 2"/>
    <w:basedOn w:val="1"/>
    <w:autoRedefine/>
    <w:qFormat/>
    <w:uiPriority w:val="0"/>
    <w:pPr>
      <w:widowControl/>
      <w:ind w:left="840" w:hanging="420"/>
      <w:jc w:val="left"/>
    </w:pPr>
    <w:rPr>
      <w:rFonts w:ascii="宋体"/>
      <w:kern w:val="0"/>
      <w:sz w:val="22"/>
      <w:szCs w:val="20"/>
    </w:rPr>
  </w:style>
  <w:style w:type="paragraph" w:styleId="26">
    <w:name w:val="List Continue"/>
    <w:basedOn w:val="1"/>
    <w:autoRedefine/>
    <w:qFormat/>
    <w:uiPriority w:val="0"/>
    <w:pPr>
      <w:widowControl/>
      <w:spacing w:after="120"/>
      <w:ind w:left="420"/>
      <w:jc w:val="left"/>
    </w:pPr>
    <w:rPr>
      <w:rFonts w:ascii="宋体"/>
      <w:kern w:val="0"/>
      <w:sz w:val="22"/>
      <w:szCs w:val="20"/>
    </w:rPr>
  </w:style>
  <w:style w:type="paragraph" w:styleId="27">
    <w:name w:val="Block Text"/>
    <w:basedOn w:val="1"/>
    <w:autoRedefine/>
    <w:qFormat/>
    <w:uiPriority w:val="0"/>
    <w:pPr>
      <w:autoSpaceDE w:val="0"/>
      <w:autoSpaceDN w:val="0"/>
      <w:adjustRightInd w:val="0"/>
      <w:spacing w:line="360" w:lineRule="auto"/>
      <w:ind w:left="286" w:right="6" w:firstLine="554"/>
    </w:pPr>
    <w:rPr>
      <w:kern w:val="0"/>
      <w:sz w:val="24"/>
      <w:szCs w:val="24"/>
    </w:rPr>
  </w:style>
  <w:style w:type="paragraph" w:styleId="28">
    <w:name w:val="List Bullet 2"/>
    <w:basedOn w:val="1"/>
    <w:autoRedefine/>
    <w:qFormat/>
    <w:uiPriority w:val="0"/>
    <w:pPr>
      <w:widowControl/>
      <w:tabs>
        <w:tab w:val="left" w:pos="360"/>
        <w:tab w:val="left" w:pos="720"/>
      </w:tabs>
      <w:spacing w:after="200" w:line="276" w:lineRule="auto"/>
      <w:ind w:left="720" w:hanging="720"/>
      <w:jc w:val="left"/>
    </w:pPr>
    <w:rPr>
      <w:kern w:val="0"/>
      <w:sz w:val="22"/>
    </w:rPr>
  </w:style>
  <w:style w:type="paragraph" w:styleId="29">
    <w:name w:val="HTML Address"/>
    <w:basedOn w:val="1"/>
    <w:link w:val="595"/>
    <w:autoRedefine/>
    <w:qFormat/>
    <w:uiPriority w:val="0"/>
    <w:rPr>
      <w:i/>
      <w:iCs/>
      <w:szCs w:val="20"/>
    </w:rPr>
  </w:style>
  <w:style w:type="paragraph" w:styleId="30">
    <w:name w:val="index 4"/>
    <w:basedOn w:val="1"/>
    <w:next w:val="1"/>
    <w:autoRedefine/>
    <w:qFormat/>
    <w:uiPriority w:val="0"/>
    <w:pPr>
      <w:ind w:left="600" w:leftChars="600"/>
    </w:pPr>
    <w:rPr>
      <w:szCs w:val="24"/>
    </w:rPr>
  </w:style>
  <w:style w:type="paragraph" w:styleId="31">
    <w:name w:val="toc 5"/>
    <w:basedOn w:val="1"/>
    <w:next w:val="1"/>
    <w:autoRedefine/>
    <w:unhideWhenUsed/>
    <w:qFormat/>
    <w:uiPriority w:val="39"/>
    <w:pPr>
      <w:ind w:left="1680" w:leftChars="800"/>
    </w:pPr>
  </w:style>
  <w:style w:type="paragraph" w:styleId="32">
    <w:name w:val="toc 3"/>
    <w:basedOn w:val="1"/>
    <w:next w:val="1"/>
    <w:autoRedefine/>
    <w:qFormat/>
    <w:uiPriority w:val="1"/>
    <w:pPr>
      <w:widowControl/>
      <w:ind w:left="400" w:leftChars="400"/>
      <w:jc w:val="left"/>
    </w:pPr>
    <w:rPr>
      <w:kern w:val="0"/>
      <w:sz w:val="20"/>
      <w:szCs w:val="20"/>
    </w:rPr>
  </w:style>
  <w:style w:type="paragraph" w:styleId="33">
    <w:name w:val="Plain Text"/>
    <w:basedOn w:val="1"/>
    <w:link w:val="244"/>
    <w:autoRedefine/>
    <w:qFormat/>
    <w:uiPriority w:val="0"/>
    <w:pPr>
      <w:widowControl/>
      <w:jc w:val="left"/>
    </w:pPr>
    <w:rPr>
      <w:rFonts w:ascii="宋体" w:hAnsi="Courier New" w:eastAsia="楷体_GB2312"/>
      <w:kern w:val="0"/>
      <w:sz w:val="20"/>
      <w:szCs w:val="20"/>
    </w:rPr>
  </w:style>
  <w:style w:type="paragraph" w:styleId="34">
    <w:name w:val="toc 8"/>
    <w:basedOn w:val="1"/>
    <w:next w:val="1"/>
    <w:autoRedefine/>
    <w:unhideWhenUsed/>
    <w:qFormat/>
    <w:uiPriority w:val="39"/>
    <w:pPr>
      <w:ind w:left="2940" w:leftChars="1400"/>
    </w:pPr>
  </w:style>
  <w:style w:type="paragraph" w:styleId="35">
    <w:name w:val="index 3"/>
    <w:basedOn w:val="1"/>
    <w:next w:val="1"/>
    <w:autoRedefine/>
    <w:qFormat/>
    <w:uiPriority w:val="0"/>
    <w:pPr>
      <w:ind w:left="630" w:hanging="210"/>
      <w:jc w:val="left"/>
    </w:pPr>
    <w:rPr>
      <w:sz w:val="20"/>
      <w:szCs w:val="20"/>
    </w:rPr>
  </w:style>
  <w:style w:type="paragraph" w:styleId="36">
    <w:name w:val="Date"/>
    <w:basedOn w:val="1"/>
    <w:next w:val="1"/>
    <w:link w:val="174"/>
    <w:autoRedefine/>
    <w:qFormat/>
    <w:uiPriority w:val="99"/>
    <w:rPr>
      <w:rFonts w:ascii="Times New Roman" w:hAnsi="Times New Roman"/>
      <w:kern w:val="0"/>
      <w:sz w:val="24"/>
      <w:szCs w:val="20"/>
    </w:rPr>
  </w:style>
  <w:style w:type="paragraph" w:styleId="37">
    <w:name w:val="Body Text Indent 2"/>
    <w:basedOn w:val="1"/>
    <w:link w:val="240"/>
    <w:autoRedefine/>
    <w:unhideWhenUsed/>
    <w:qFormat/>
    <w:uiPriority w:val="0"/>
    <w:pPr>
      <w:widowControl/>
      <w:spacing w:after="120" w:line="480" w:lineRule="auto"/>
      <w:ind w:left="420" w:leftChars="200"/>
      <w:jc w:val="left"/>
    </w:pPr>
    <w:rPr>
      <w:rFonts w:ascii="Times New Roman" w:hAnsi="Times New Roman"/>
      <w:kern w:val="0"/>
      <w:sz w:val="20"/>
      <w:szCs w:val="20"/>
    </w:rPr>
  </w:style>
  <w:style w:type="paragraph" w:styleId="38">
    <w:name w:val="endnote text"/>
    <w:basedOn w:val="1"/>
    <w:link w:val="200"/>
    <w:autoRedefine/>
    <w:qFormat/>
    <w:uiPriority w:val="0"/>
    <w:pPr>
      <w:snapToGrid w:val="0"/>
      <w:jc w:val="left"/>
    </w:pPr>
    <w:rPr>
      <w:rFonts w:ascii="Times New Roman" w:hAnsi="Times New Roman"/>
      <w:kern w:val="0"/>
      <w:sz w:val="20"/>
      <w:szCs w:val="24"/>
    </w:rPr>
  </w:style>
  <w:style w:type="paragraph" w:styleId="39">
    <w:name w:val="Balloon Text"/>
    <w:basedOn w:val="1"/>
    <w:link w:val="260"/>
    <w:autoRedefine/>
    <w:unhideWhenUsed/>
    <w:qFormat/>
    <w:uiPriority w:val="99"/>
    <w:rPr>
      <w:rFonts w:ascii="Times New Roman" w:hAnsi="Times New Roman"/>
      <w:kern w:val="0"/>
      <w:sz w:val="18"/>
      <w:szCs w:val="18"/>
      <w:lang w:val="zh-CN"/>
    </w:rPr>
  </w:style>
  <w:style w:type="paragraph" w:styleId="40">
    <w:name w:val="footer"/>
    <w:basedOn w:val="1"/>
    <w:link w:val="252"/>
    <w:autoRedefine/>
    <w:unhideWhenUsed/>
    <w:qFormat/>
    <w:uiPriority w:val="99"/>
    <w:pPr>
      <w:tabs>
        <w:tab w:val="center" w:pos="4153"/>
        <w:tab w:val="right" w:pos="8306"/>
      </w:tabs>
      <w:snapToGrid w:val="0"/>
      <w:jc w:val="left"/>
    </w:pPr>
    <w:rPr>
      <w:rFonts w:ascii="Times New Roman" w:hAnsi="Times New Roman"/>
      <w:kern w:val="0"/>
      <w:sz w:val="18"/>
      <w:szCs w:val="18"/>
      <w:lang w:val="zh-CN"/>
    </w:rPr>
  </w:style>
  <w:style w:type="paragraph" w:styleId="41">
    <w:name w:val="header"/>
    <w:basedOn w:val="1"/>
    <w:link w:val="253"/>
    <w:autoRedefine/>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lang w:val="zh-CN"/>
    </w:rPr>
  </w:style>
  <w:style w:type="paragraph" w:styleId="42">
    <w:name w:val="toc 1"/>
    <w:basedOn w:val="1"/>
    <w:next w:val="1"/>
    <w:autoRedefine/>
    <w:unhideWhenUsed/>
    <w:qFormat/>
    <w:uiPriority w:val="39"/>
    <w:pPr>
      <w:widowControl/>
      <w:tabs>
        <w:tab w:val="right" w:leader="dot" w:pos="8296"/>
      </w:tabs>
      <w:spacing w:after="100" w:line="276" w:lineRule="auto"/>
      <w:jc w:val="center"/>
    </w:pPr>
    <w:rPr>
      <w:rFonts w:ascii="Times New Roman" w:hAnsi="Times New Roman" w:eastAsia="仿宋_GB2312"/>
      <w:b/>
      <w:kern w:val="0"/>
      <w:sz w:val="28"/>
    </w:rPr>
  </w:style>
  <w:style w:type="paragraph" w:styleId="43">
    <w:name w:val="toc 4"/>
    <w:basedOn w:val="1"/>
    <w:next w:val="1"/>
    <w:autoRedefine/>
    <w:unhideWhenUsed/>
    <w:qFormat/>
    <w:uiPriority w:val="39"/>
    <w:pPr>
      <w:ind w:left="1260" w:leftChars="600"/>
    </w:pPr>
  </w:style>
  <w:style w:type="paragraph" w:styleId="44">
    <w:name w:val="index heading"/>
    <w:basedOn w:val="1"/>
    <w:next w:val="45"/>
    <w:autoRedefine/>
    <w:qFormat/>
    <w:uiPriority w:val="0"/>
    <w:pPr>
      <w:spacing w:before="120" w:after="120"/>
      <w:jc w:val="center"/>
    </w:pPr>
    <w:rPr>
      <w:b/>
      <w:bCs/>
      <w:iCs/>
      <w:szCs w:val="20"/>
    </w:rPr>
  </w:style>
  <w:style w:type="paragraph" w:styleId="45">
    <w:name w:val="index 1"/>
    <w:basedOn w:val="1"/>
    <w:next w:val="1"/>
    <w:autoRedefine/>
    <w:qFormat/>
    <w:uiPriority w:val="0"/>
    <w:pPr>
      <w:spacing w:line="220" w:lineRule="exact"/>
      <w:jc w:val="center"/>
    </w:pPr>
    <w:rPr>
      <w:rFonts w:ascii="仿宋_GB2312" w:hAnsi="Times New Roman" w:eastAsia="仿宋_GB2312"/>
      <w:szCs w:val="21"/>
    </w:rPr>
  </w:style>
  <w:style w:type="paragraph" w:styleId="46">
    <w:name w:val="Subtitle"/>
    <w:basedOn w:val="1"/>
    <w:next w:val="1"/>
    <w:link w:val="208"/>
    <w:autoRedefine/>
    <w:qFormat/>
    <w:uiPriority w:val="0"/>
    <w:pPr>
      <w:spacing w:before="240" w:after="60" w:line="312" w:lineRule="auto"/>
      <w:jc w:val="center"/>
      <w:outlineLvl w:val="1"/>
    </w:pPr>
    <w:rPr>
      <w:rFonts w:ascii="Times New Roman" w:hAnsi="Times New Roman"/>
      <w:kern w:val="0"/>
      <w:sz w:val="18"/>
      <w:szCs w:val="18"/>
    </w:rPr>
  </w:style>
  <w:style w:type="paragraph" w:styleId="47">
    <w:name w:val="List"/>
    <w:basedOn w:val="1"/>
    <w:autoRedefine/>
    <w:qFormat/>
    <w:uiPriority w:val="0"/>
    <w:pPr>
      <w:widowControl/>
      <w:ind w:left="420" w:hanging="420"/>
      <w:jc w:val="left"/>
    </w:pPr>
    <w:rPr>
      <w:rFonts w:ascii="宋体"/>
      <w:kern w:val="0"/>
      <w:sz w:val="22"/>
      <w:szCs w:val="20"/>
    </w:rPr>
  </w:style>
  <w:style w:type="paragraph" w:styleId="48">
    <w:name w:val="footnote text"/>
    <w:basedOn w:val="1"/>
    <w:link w:val="596"/>
    <w:autoRedefine/>
    <w:qFormat/>
    <w:uiPriority w:val="0"/>
    <w:pPr>
      <w:widowControl/>
      <w:snapToGrid w:val="0"/>
      <w:spacing w:beforeLines="50" w:afterLines="50" w:line="0" w:lineRule="atLeast"/>
      <w:ind w:firstLine="200" w:firstLineChars="200"/>
      <w:jc w:val="left"/>
    </w:pPr>
    <w:rPr>
      <w:rFonts w:ascii="Times New Roman" w:hAnsi="Times New Roman"/>
      <w:kern w:val="0"/>
      <w:sz w:val="18"/>
      <w:szCs w:val="18"/>
    </w:rPr>
  </w:style>
  <w:style w:type="paragraph" w:styleId="49">
    <w:name w:val="toc 6"/>
    <w:basedOn w:val="1"/>
    <w:next w:val="1"/>
    <w:autoRedefine/>
    <w:unhideWhenUsed/>
    <w:qFormat/>
    <w:uiPriority w:val="39"/>
    <w:pPr>
      <w:ind w:left="2100" w:leftChars="1000"/>
    </w:pPr>
  </w:style>
  <w:style w:type="paragraph" w:styleId="50">
    <w:name w:val="Body Text Indent 3"/>
    <w:basedOn w:val="1"/>
    <w:link w:val="266"/>
    <w:autoRedefine/>
    <w:qFormat/>
    <w:uiPriority w:val="0"/>
    <w:pPr>
      <w:widowControl/>
      <w:overflowPunct w:val="0"/>
      <w:autoSpaceDE w:val="0"/>
      <w:autoSpaceDN w:val="0"/>
      <w:adjustRightInd w:val="0"/>
      <w:spacing w:line="360" w:lineRule="auto"/>
      <w:ind w:firstLine="540"/>
      <w:textAlignment w:val="baseline"/>
    </w:pPr>
    <w:rPr>
      <w:rFonts w:ascii="宋体" w:hAnsi="MS Sans Serif"/>
      <w:color w:val="000000"/>
      <w:kern w:val="0"/>
      <w:sz w:val="24"/>
      <w:szCs w:val="20"/>
    </w:rPr>
  </w:style>
  <w:style w:type="paragraph" w:styleId="51">
    <w:name w:val="index 7"/>
    <w:basedOn w:val="1"/>
    <w:next w:val="1"/>
    <w:autoRedefine/>
    <w:qFormat/>
    <w:uiPriority w:val="0"/>
    <w:pPr>
      <w:ind w:left="1470" w:hanging="210"/>
      <w:jc w:val="left"/>
    </w:pPr>
    <w:rPr>
      <w:sz w:val="20"/>
      <w:szCs w:val="20"/>
    </w:rPr>
  </w:style>
  <w:style w:type="paragraph" w:styleId="52">
    <w:name w:val="index 9"/>
    <w:basedOn w:val="1"/>
    <w:next w:val="1"/>
    <w:autoRedefine/>
    <w:qFormat/>
    <w:uiPriority w:val="0"/>
    <w:pPr>
      <w:ind w:left="1890" w:hanging="210"/>
      <w:jc w:val="left"/>
    </w:pPr>
    <w:rPr>
      <w:sz w:val="20"/>
      <w:szCs w:val="20"/>
    </w:rPr>
  </w:style>
  <w:style w:type="paragraph" w:styleId="53">
    <w:name w:val="toc 2"/>
    <w:basedOn w:val="1"/>
    <w:next w:val="1"/>
    <w:autoRedefine/>
    <w:unhideWhenUsed/>
    <w:qFormat/>
    <w:uiPriority w:val="39"/>
    <w:pPr>
      <w:widowControl/>
      <w:spacing w:after="100" w:line="276" w:lineRule="auto"/>
      <w:ind w:left="220"/>
      <w:jc w:val="left"/>
    </w:pPr>
    <w:rPr>
      <w:rFonts w:ascii="Times New Roman" w:hAnsi="Times New Roman" w:eastAsia="仿宋_GB2312"/>
      <w:kern w:val="0"/>
      <w:sz w:val="22"/>
    </w:rPr>
  </w:style>
  <w:style w:type="paragraph" w:styleId="54">
    <w:name w:val="toc 9"/>
    <w:basedOn w:val="1"/>
    <w:next w:val="1"/>
    <w:autoRedefine/>
    <w:unhideWhenUsed/>
    <w:qFormat/>
    <w:uiPriority w:val="39"/>
    <w:pPr>
      <w:ind w:left="3360" w:leftChars="1600"/>
    </w:pPr>
  </w:style>
  <w:style w:type="paragraph" w:styleId="55">
    <w:name w:val="Body Text 2"/>
    <w:basedOn w:val="1"/>
    <w:link w:val="230"/>
    <w:autoRedefine/>
    <w:qFormat/>
    <w:uiPriority w:val="0"/>
    <w:pPr>
      <w:widowControl/>
      <w:jc w:val="left"/>
    </w:pPr>
    <w:rPr>
      <w:sz w:val="44"/>
      <w:szCs w:val="24"/>
    </w:rPr>
  </w:style>
  <w:style w:type="paragraph" w:styleId="56">
    <w:name w:val="HTML Preformatted"/>
    <w:basedOn w:val="1"/>
    <w:link w:val="26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57">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58">
    <w:name w:val="index 2"/>
    <w:basedOn w:val="1"/>
    <w:next w:val="1"/>
    <w:autoRedefine/>
    <w:qFormat/>
    <w:uiPriority w:val="0"/>
    <w:pPr>
      <w:ind w:left="420" w:hanging="210"/>
      <w:jc w:val="left"/>
    </w:pPr>
    <w:rPr>
      <w:sz w:val="20"/>
      <w:szCs w:val="20"/>
    </w:rPr>
  </w:style>
  <w:style w:type="paragraph" w:styleId="59">
    <w:name w:val="Title"/>
    <w:basedOn w:val="1"/>
    <w:next w:val="1"/>
    <w:link w:val="152"/>
    <w:autoRedefine/>
    <w:qFormat/>
    <w:uiPriority w:val="0"/>
    <w:pPr>
      <w:spacing w:before="240" w:after="60"/>
      <w:jc w:val="center"/>
      <w:outlineLvl w:val="0"/>
    </w:pPr>
    <w:rPr>
      <w:rFonts w:ascii="Cambria" w:hAnsi="Cambria"/>
      <w:b/>
      <w:bCs/>
      <w:kern w:val="0"/>
      <w:sz w:val="32"/>
      <w:szCs w:val="32"/>
    </w:rPr>
  </w:style>
  <w:style w:type="paragraph" w:styleId="60">
    <w:name w:val="annotation subject"/>
    <w:basedOn w:val="19"/>
    <w:next w:val="19"/>
    <w:link w:val="236"/>
    <w:autoRedefine/>
    <w:unhideWhenUsed/>
    <w:qFormat/>
    <w:uiPriority w:val="99"/>
    <w:pPr>
      <w:widowControl/>
    </w:pPr>
    <w:rPr>
      <w:rFonts w:ascii="Times New Roman" w:hAnsi="Times New Roman"/>
      <w:lang w:val="en-US"/>
    </w:rPr>
  </w:style>
  <w:style w:type="paragraph" w:styleId="61">
    <w:name w:val="Body Text First Indent"/>
    <w:basedOn w:val="23"/>
    <w:link w:val="243"/>
    <w:autoRedefine/>
    <w:unhideWhenUsed/>
    <w:qFormat/>
    <w:uiPriority w:val="0"/>
    <w:pPr>
      <w:widowControl/>
      <w:ind w:firstLine="420" w:firstLineChars="100"/>
      <w:jc w:val="left"/>
    </w:pPr>
    <w:rPr>
      <w:rFonts w:ascii="Times New Roman" w:hAnsi="Times New Roman"/>
      <w:kern w:val="0"/>
      <w:sz w:val="20"/>
      <w:szCs w:val="20"/>
    </w:rPr>
  </w:style>
  <w:style w:type="paragraph" w:styleId="62">
    <w:name w:val="Body Text First Indent 2"/>
    <w:basedOn w:val="24"/>
    <w:link w:val="552"/>
    <w:autoRedefine/>
    <w:qFormat/>
    <w:uiPriority w:val="0"/>
    <w:pPr>
      <w:spacing w:after="120"/>
      <w:ind w:left="420" w:leftChars="200" w:firstLine="420"/>
    </w:pPr>
    <w:rPr>
      <w:rFonts w:ascii="Calibri" w:hAnsi="Calibri"/>
      <w:sz w:val="20"/>
      <w:lang w:val="en-US"/>
    </w:rPr>
  </w:style>
  <w:style w:type="table" w:styleId="64">
    <w:name w:val="Table Grid"/>
    <w:basedOn w:val="6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autoRedefine/>
    <w:qFormat/>
    <w:uiPriority w:val="22"/>
    <w:rPr>
      <w:b/>
      <w:bCs/>
    </w:rPr>
  </w:style>
  <w:style w:type="character" w:styleId="67">
    <w:name w:val="endnote reference"/>
    <w:autoRedefine/>
    <w:qFormat/>
    <w:uiPriority w:val="0"/>
    <w:rPr>
      <w:vertAlign w:val="superscript"/>
    </w:rPr>
  </w:style>
  <w:style w:type="character" w:styleId="68">
    <w:name w:val="page number"/>
    <w:autoRedefine/>
    <w:qFormat/>
    <w:uiPriority w:val="0"/>
  </w:style>
  <w:style w:type="character" w:styleId="69">
    <w:name w:val="FollowedHyperlink"/>
    <w:autoRedefine/>
    <w:unhideWhenUsed/>
    <w:qFormat/>
    <w:uiPriority w:val="99"/>
    <w:rPr>
      <w:color w:val="000000"/>
      <w:u w:val="none"/>
    </w:rPr>
  </w:style>
  <w:style w:type="character" w:styleId="70">
    <w:name w:val="Emphasis"/>
    <w:autoRedefine/>
    <w:qFormat/>
    <w:uiPriority w:val="99"/>
    <w:rPr>
      <w:rFonts w:ascii="Arial Black" w:hAnsi="Arial Black" w:eastAsia="黑体"/>
      <w:b/>
      <w:spacing w:val="0"/>
      <w:sz w:val="21"/>
      <w:lang w:eastAsia="zh-CN"/>
    </w:rPr>
  </w:style>
  <w:style w:type="character" w:styleId="71">
    <w:name w:val="HTML Definition"/>
    <w:autoRedefine/>
    <w:qFormat/>
    <w:uiPriority w:val="0"/>
    <w:rPr>
      <w:i/>
    </w:rPr>
  </w:style>
  <w:style w:type="character" w:styleId="72">
    <w:name w:val="HTML Typewriter"/>
    <w:autoRedefine/>
    <w:qFormat/>
    <w:uiPriority w:val="0"/>
    <w:rPr>
      <w:rFonts w:ascii="Courier New" w:hAnsi="Courier New"/>
      <w:sz w:val="20"/>
      <w:szCs w:val="20"/>
    </w:rPr>
  </w:style>
  <w:style w:type="character" w:styleId="73">
    <w:name w:val="HTML Acronym"/>
    <w:basedOn w:val="65"/>
    <w:autoRedefine/>
    <w:qFormat/>
    <w:uiPriority w:val="0"/>
  </w:style>
  <w:style w:type="character" w:styleId="74">
    <w:name w:val="HTML Variable"/>
    <w:autoRedefine/>
    <w:qFormat/>
    <w:uiPriority w:val="0"/>
    <w:rPr>
      <w:i/>
      <w:iCs/>
    </w:rPr>
  </w:style>
  <w:style w:type="character" w:styleId="75">
    <w:name w:val="Hyperlink"/>
    <w:autoRedefine/>
    <w:unhideWhenUsed/>
    <w:qFormat/>
    <w:uiPriority w:val="99"/>
    <w:rPr>
      <w:color w:val="6D6D6D"/>
      <w:u w:val="none"/>
      <w:shd w:val="clear" w:color="auto" w:fill="auto"/>
    </w:rPr>
  </w:style>
  <w:style w:type="character" w:styleId="76">
    <w:name w:val="HTML Code"/>
    <w:autoRedefine/>
    <w:qFormat/>
    <w:uiPriority w:val="0"/>
    <w:rPr>
      <w:rFonts w:hint="default" w:ascii="Consolas" w:hAnsi="Consolas" w:eastAsia="Consolas" w:cs="Consolas"/>
      <w:color w:val="C7254E"/>
      <w:sz w:val="21"/>
      <w:szCs w:val="21"/>
      <w:bdr w:val="single" w:color="E1E1E1" w:sz="6" w:space="0"/>
      <w:shd w:val="clear" w:color="auto" w:fill="F9F2F4"/>
    </w:rPr>
  </w:style>
  <w:style w:type="character" w:styleId="77">
    <w:name w:val="annotation reference"/>
    <w:autoRedefine/>
    <w:unhideWhenUsed/>
    <w:qFormat/>
    <w:uiPriority w:val="99"/>
    <w:rPr>
      <w:sz w:val="21"/>
      <w:szCs w:val="21"/>
    </w:rPr>
  </w:style>
  <w:style w:type="character" w:styleId="78">
    <w:name w:val="HTML Cite"/>
    <w:autoRedefine/>
    <w:qFormat/>
    <w:uiPriority w:val="0"/>
    <w:rPr>
      <w:i/>
      <w:iCs/>
    </w:rPr>
  </w:style>
  <w:style w:type="character" w:styleId="79">
    <w:name w:val="footnote reference"/>
    <w:autoRedefine/>
    <w:qFormat/>
    <w:uiPriority w:val="0"/>
    <w:rPr>
      <w:vertAlign w:val="superscript"/>
    </w:rPr>
  </w:style>
  <w:style w:type="character" w:styleId="80">
    <w:name w:val="HTML Keyboard"/>
    <w:autoRedefine/>
    <w:qFormat/>
    <w:uiPriority w:val="0"/>
    <w:rPr>
      <w:rFonts w:ascii="Consolas" w:hAnsi="Consolas" w:eastAsia="Consolas" w:cs="Consolas"/>
      <w:color w:val="FFFFFF"/>
      <w:sz w:val="21"/>
      <w:szCs w:val="21"/>
      <w:shd w:val="clear" w:color="auto" w:fill="333333"/>
    </w:rPr>
  </w:style>
  <w:style w:type="character" w:styleId="81">
    <w:name w:val="HTML Sample"/>
    <w:autoRedefine/>
    <w:qFormat/>
    <w:uiPriority w:val="0"/>
    <w:rPr>
      <w:rFonts w:hint="default" w:ascii="Consolas" w:hAnsi="Consolas" w:eastAsia="Consolas" w:cs="Consolas"/>
      <w:sz w:val="21"/>
      <w:szCs w:val="21"/>
    </w:rPr>
  </w:style>
  <w:style w:type="character" w:customStyle="1" w:styleId="82">
    <w:name w:val="msoins"/>
    <w:autoRedefine/>
    <w:qFormat/>
    <w:uiPriority w:val="0"/>
  </w:style>
  <w:style w:type="character" w:customStyle="1" w:styleId="83">
    <w:name w:val="明显强调1"/>
    <w:autoRedefine/>
    <w:qFormat/>
    <w:uiPriority w:val="0"/>
    <w:rPr>
      <w:b/>
      <w:bCs/>
      <w:i/>
      <w:iCs/>
      <w:color w:val="4F81BD"/>
    </w:rPr>
  </w:style>
  <w:style w:type="character" w:customStyle="1" w:styleId="84">
    <w:name w:val="文档结构图 Char2"/>
    <w:autoRedefine/>
    <w:semiHidden/>
    <w:qFormat/>
    <w:uiPriority w:val="0"/>
    <w:rPr>
      <w:rFonts w:ascii="宋体"/>
      <w:kern w:val="2"/>
      <w:sz w:val="18"/>
    </w:rPr>
  </w:style>
  <w:style w:type="character" w:customStyle="1" w:styleId="85">
    <w:name w:val="style_kwd"/>
    <w:basedOn w:val="65"/>
    <w:autoRedefine/>
    <w:qFormat/>
    <w:uiPriority w:val="0"/>
  </w:style>
  <w:style w:type="character" w:customStyle="1" w:styleId="86">
    <w:name w:val="正文文本缩进 2 Char2"/>
    <w:autoRedefine/>
    <w:qFormat/>
    <w:uiPriority w:val="99"/>
    <w:rPr>
      <w:rFonts w:eastAsia="楷体_GB2312"/>
      <w:kern w:val="2"/>
      <w:sz w:val="21"/>
    </w:rPr>
  </w:style>
  <w:style w:type="character" w:customStyle="1" w:styleId="87">
    <w:name w:val="正文文本 2 Char2"/>
    <w:autoRedefine/>
    <w:semiHidden/>
    <w:qFormat/>
    <w:uiPriority w:val="99"/>
    <w:rPr>
      <w:rFonts w:ascii="Calibri" w:hAnsi="Calibri" w:eastAsia="宋体" w:cs="Times New Roman"/>
      <w:kern w:val="0"/>
      <w:sz w:val="20"/>
      <w:szCs w:val="20"/>
    </w:rPr>
  </w:style>
  <w:style w:type="character" w:customStyle="1" w:styleId="88">
    <w:name w:val="不明显参考1"/>
    <w:autoRedefine/>
    <w:qFormat/>
    <w:uiPriority w:val="0"/>
    <w:rPr>
      <w:smallCaps/>
      <w:color w:val="C0504D"/>
      <w:u w:val="single"/>
    </w:rPr>
  </w:style>
  <w:style w:type="character" w:customStyle="1" w:styleId="89">
    <w:name w:val="批注文字 Char2"/>
    <w:autoRedefine/>
    <w:semiHidden/>
    <w:qFormat/>
    <w:uiPriority w:val="99"/>
    <w:rPr>
      <w:rFonts w:ascii="Calibri" w:hAnsi="Calibri" w:eastAsia="宋体" w:cs="Times New Roman"/>
      <w:kern w:val="0"/>
      <w:sz w:val="20"/>
      <w:szCs w:val="20"/>
    </w:rPr>
  </w:style>
  <w:style w:type="character" w:customStyle="1" w:styleId="90">
    <w:name w:val="正文文本缩进 Char2"/>
    <w:autoRedefine/>
    <w:qFormat/>
    <w:uiPriority w:val="99"/>
    <w:rPr>
      <w:rFonts w:eastAsia="楷体_GB2312"/>
      <w:kern w:val="2"/>
      <w:sz w:val="21"/>
    </w:rPr>
  </w:style>
  <w:style w:type="character" w:customStyle="1" w:styleId="91">
    <w:name w:val="纯文本 Char4"/>
    <w:autoRedefine/>
    <w:semiHidden/>
    <w:qFormat/>
    <w:uiPriority w:val="99"/>
    <w:rPr>
      <w:rFonts w:ascii="宋体" w:hAnsi="Courier New" w:eastAsia="宋体" w:cs="Courier New"/>
      <w:kern w:val="0"/>
      <w:szCs w:val="21"/>
    </w:rPr>
  </w:style>
  <w:style w:type="character" w:customStyle="1" w:styleId="92">
    <w:name w:val="纯文本 Char3"/>
    <w:autoRedefine/>
    <w:qFormat/>
    <w:locked/>
    <w:uiPriority w:val="0"/>
    <w:rPr>
      <w:rFonts w:ascii="宋体" w:hAnsi="Courier New" w:cs="Courier New"/>
      <w:szCs w:val="21"/>
    </w:rPr>
  </w:style>
  <w:style w:type="character" w:customStyle="1" w:styleId="93">
    <w:name w:val="Comment Text Char"/>
    <w:autoRedefine/>
    <w:qFormat/>
    <w:locked/>
    <w:uiPriority w:val="0"/>
    <w:rPr>
      <w:rFonts w:eastAsia="宋体"/>
      <w:kern w:val="2"/>
      <w:sz w:val="24"/>
      <w:lang w:val="en-US" w:eastAsia="zh-CN"/>
    </w:rPr>
  </w:style>
  <w:style w:type="character" w:customStyle="1" w:styleId="94">
    <w:name w:val="Plain Text Char"/>
    <w:autoRedefine/>
    <w:qFormat/>
    <w:locked/>
    <w:uiPriority w:val="99"/>
    <w:rPr>
      <w:rFonts w:ascii="宋体" w:hAnsi="Courier New" w:eastAsia="宋体"/>
      <w:kern w:val="2"/>
      <w:sz w:val="21"/>
      <w:lang w:val="en-US" w:eastAsia="zh-CN"/>
    </w:rPr>
  </w:style>
  <w:style w:type="character" w:customStyle="1" w:styleId="95">
    <w:name w:val="Endnote Text Char"/>
    <w:autoRedefine/>
    <w:qFormat/>
    <w:locked/>
    <w:uiPriority w:val="0"/>
    <w:rPr>
      <w:rFonts w:cs="Times New Roman"/>
      <w:kern w:val="2"/>
      <w:sz w:val="21"/>
    </w:rPr>
  </w:style>
  <w:style w:type="character" w:customStyle="1" w:styleId="96">
    <w:name w:val="正文文本 Char2"/>
    <w:autoRedefine/>
    <w:qFormat/>
    <w:uiPriority w:val="99"/>
    <w:rPr>
      <w:rFonts w:eastAsia="楷体_GB2312"/>
      <w:kern w:val="2"/>
      <w:sz w:val="21"/>
    </w:rPr>
  </w:style>
  <w:style w:type="character" w:customStyle="1" w:styleId="97">
    <w:name w:val="批注引用1"/>
    <w:autoRedefine/>
    <w:qFormat/>
    <w:uiPriority w:val="0"/>
    <w:rPr>
      <w:sz w:val="21"/>
    </w:rPr>
  </w:style>
  <w:style w:type="character" w:customStyle="1" w:styleId="98">
    <w:name w:val="明显引用 Char2"/>
    <w:autoRedefine/>
    <w:semiHidden/>
    <w:qFormat/>
    <w:uiPriority w:val="99"/>
    <w:rPr>
      <w:rFonts w:ascii="Calibri" w:hAnsi="Calibri"/>
      <w:b/>
      <w:bCs/>
      <w:i/>
      <w:iCs/>
      <w:color w:val="4F81BD"/>
      <w:kern w:val="2"/>
      <w:sz w:val="21"/>
      <w:szCs w:val="22"/>
    </w:rPr>
  </w:style>
  <w:style w:type="character" w:customStyle="1" w:styleId="99">
    <w:name w:val="引用 Char2"/>
    <w:autoRedefine/>
    <w:semiHidden/>
    <w:qFormat/>
    <w:uiPriority w:val="99"/>
    <w:rPr>
      <w:rFonts w:ascii="Calibri" w:hAnsi="Calibri"/>
      <w:i/>
      <w:iCs/>
      <w:color w:val="000000"/>
      <w:kern w:val="2"/>
      <w:sz w:val="21"/>
      <w:szCs w:val="22"/>
    </w:rPr>
  </w:style>
  <w:style w:type="character" w:customStyle="1" w:styleId="100">
    <w:name w:val="页码1"/>
    <w:autoRedefine/>
    <w:qFormat/>
    <w:uiPriority w:val="0"/>
    <w:rPr>
      <w:rFonts w:cs="Times New Roman"/>
    </w:rPr>
  </w:style>
  <w:style w:type="character" w:customStyle="1" w:styleId="101">
    <w:name w:val="称呼 Char1"/>
    <w:autoRedefine/>
    <w:semiHidden/>
    <w:qFormat/>
    <w:uiPriority w:val="99"/>
    <w:rPr>
      <w:rFonts w:ascii="Calibri" w:hAnsi="Calibri"/>
      <w:kern w:val="2"/>
      <w:sz w:val="21"/>
      <w:szCs w:val="22"/>
    </w:rPr>
  </w:style>
  <w:style w:type="character" w:customStyle="1" w:styleId="102">
    <w:name w:val="正文文本缩进 3 Char1"/>
    <w:autoRedefine/>
    <w:qFormat/>
    <w:uiPriority w:val="0"/>
    <w:rPr>
      <w:rFonts w:ascii="Calibri" w:hAnsi="Calibri"/>
      <w:kern w:val="2"/>
      <w:sz w:val="16"/>
      <w:szCs w:val="16"/>
    </w:rPr>
  </w:style>
  <w:style w:type="character" w:customStyle="1" w:styleId="103">
    <w:name w:val="HTML 预设格式 Char2"/>
    <w:autoRedefine/>
    <w:semiHidden/>
    <w:qFormat/>
    <w:uiPriority w:val="99"/>
    <w:rPr>
      <w:rFonts w:ascii="Courier New" w:hAnsi="Courier New" w:cs="Courier New"/>
      <w:kern w:val="2"/>
    </w:rPr>
  </w:style>
  <w:style w:type="character" w:customStyle="1" w:styleId="104">
    <w:name w:val="标题 Char2"/>
    <w:autoRedefine/>
    <w:qFormat/>
    <w:uiPriority w:val="10"/>
    <w:rPr>
      <w:rFonts w:ascii="Cambria" w:hAnsi="Cambria" w:cs="Times New Roman"/>
      <w:b/>
      <w:bCs/>
      <w:kern w:val="2"/>
      <w:sz w:val="32"/>
      <w:szCs w:val="32"/>
    </w:rPr>
  </w:style>
  <w:style w:type="character" w:customStyle="1" w:styleId="105">
    <w:name w:val="尾注文本 Char4"/>
    <w:autoRedefine/>
    <w:semiHidden/>
    <w:qFormat/>
    <w:uiPriority w:val="99"/>
    <w:rPr>
      <w:rFonts w:ascii="Calibri" w:hAnsi="Calibri"/>
      <w:kern w:val="2"/>
      <w:sz w:val="21"/>
      <w:szCs w:val="22"/>
    </w:rPr>
  </w:style>
  <w:style w:type="character" w:customStyle="1" w:styleId="106">
    <w:name w:val="副标题 Char3"/>
    <w:autoRedefine/>
    <w:qFormat/>
    <w:uiPriority w:val="11"/>
    <w:rPr>
      <w:rFonts w:ascii="Cambria" w:hAnsi="Cambria" w:cs="Times New Roman"/>
      <w:b/>
      <w:bCs/>
      <w:kern w:val="28"/>
      <w:sz w:val="32"/>
      <w:szCs w:val="32"/>
    </w:rPr>
  </w:style>
  <w:style w:type="character" w:customStyle="1" w:styleId="107">
    <w:name w:val="批注主题 字符"/>
    <w:autoRedefine/>
    <w:qFormat/>
    <w:uiPriority w:val="99"/>
    <w:rPr>
      <w:b/>
      <w:bCs/>
      <w:kern w:val="2"/>
      <w:sz w:val="21"/>
      <w:szCs w:val="24"/>
    </w:rPr>
  </w:style>
  <w:style w:type="character" w:customStyle="1" w:styleId="108">
    <w:name w:val="标题 2 Char Char Char1"/>
    <w:autoRedefine/>
    <w:qFormat/>
    <w:uiPriority w:val="0"/>
    <w:rPr>
      <w:rFonts w:ascii="Arial" w:hAnsi="Arial" w:eastAsia="黑体"/>
      <w:b/>
      <w:bCs/>
      <w:kern w:val="2"/>
      <w:sz w:val="32"/>
      <w:szCs w:val="32"/>
      <w:lang w:val="en-US" w:eastAsia="zh-CN" w:bidi="ar-SA"/>
    </w:rPr>
  </w:style>
  <w:style w:type="character" w:customStyle="1" w:styleId="109">
    <w:name w:val="Char Char15"/>
    <w:autoRedefine/>
    <w:qFormat/>
    <w:uiPriority w:val="0"/>
    <w:rPr>
      <w:rFonts w:ascii="Arial" w:hAnsi="Arial" w:eastAsia="宋体"/>
      <w:b/>
      <w:bCs/>
      <w:kern w:val="2"/>
      <w:sz w:val="21"/>
      <w:szCs w:val="28"/>
      <w:lang w:val="en-US" w:eastAsia="zh-CN" w:bidi="ar-SA"/>
    </w:rPr>
  </w:style>
  <w:style w:type="character" w:customStyle="1" w:styleId="110">
    <w:name w:val="页眉 Char1"/>
    <w:autoRedefine/>
    <w:semiHidden/>
    <w:qFormat/>
    <w:uiPriority w:val="99"/>
    <w:rPr>
      <w:rFonts w:ascii="Times New Roman" w:hAnsi="Times New Roman" w:eastAsia="宋体" w:cs="Times New Roman"/>
      <w:kern w:val="0"/>
      <w:sz w:val="18"/>
      <w:szCs w:val="18"/>
      <w:lang w:eastAsia="en-US"/>
    </w:rPr>
  </w:style>
  <w:style w:type="character" w:customStyle="1" w:styleId="111">
    <w:name w:val="批注文字 字符"/>
    <w:autoRedefine/>
    <w:qFormat/>
    <w:uiPriority w:val="99"/>
    <w:rPr>
      <w:kern w:val="2"/>
      <w:sz w:val="21"/>
      <w:szCs w:val="24"/>
    </w:rPr>
  </w:style>
  <w:style w:type="character" w:customStyle="1" w:styleId="112">
    <w:name w:val="HTML Markup"/>
    <w:autoRedefine/>
    <w:qFormat/>
    <w:uiPriority w:val="0"/>
    <w:rPr>
      <w:vanish/>
      <w:color w:val="FF0000"/>
    </w:rPr>
  </w:style>
  <w:style w:type="character" w:customStyle="1" w:styleId="113">
    <w:name w:val="标题1"/>
    <w:autoRedefine/>
    <w:qFormat/>
    <w:uiPriority w:val="0"/>
    <w:rPr>
      <w:rFonts w:ascii="宋体" w:hAnsi="宋体" w:cs="宋体"/>
      <w:kern w:val="2"/>
      <w:sz w:val="24"/>
      <w:szCs w:val="24"/>
    </w:rPr>
  </w:style>
  <w:style w:type="character" w:customStyle="1" w:styleId="114">
    <w:name w:val="日期 Char1"/>
    <w:autoRedefine/>
    <w:qFormat/>
    <w:uiPriority w:val="99"/>
    <w:rPr>
      <w:kern w:val="2"/>
      <w:sz w:val="21"/>
      <w:szCs w:val="22"/>
    </w:rPr>
  </w:style>
  <w:style w:type="character" w:customStyle="1" w:styleId="115">
    <w:name w:val="日期 Char3"/>
    <w:autoRedefine/>
    <w:semiHidden/>
    <w:qFormat/>
    <w:uiPriority w:val="99"/>
    <w:rPr>
      <w:rFonts w:ascii="Calibri" w:hAnsi="Calibri" w:eastAsia="宋体" w:cs="Times New Roman"/>
      <w:kern w:val="0"/>
      <w:sz w:val="20"/>
      <w:szCs w:val="20"/>
    </w:rPr>
  </w:style>
  <w:style w:type="character" w:customStyle="1" w:styleId="116">
    <w:name w:val="tdrownotice1"/>
    <w:autoRedefine/>
    <w:qFormat/>
    <w:uiPriority w:val="0"/>
    <w:rPr>
      <w:sz w:val="22"/>
      <w:szCs w:val="22"/>
    </w:rPr>
  </w:style>
  <w:style w:type="character" w:customStyle="1" w:styleId="117">
    <w:name w:val="H1 Char"/>
    <w:autoRedefine/>
    <w:qFormat/>
    <w:uiPriority w:val="0"/>
    <w:rPr>
      <w:rFonts w:eastAsia="宋体"/>
      <w:b/>
      <w:bCs/>
      <w:kern w:val="44"/>
      <w:sz w:val="32"/>
      <w:szCs w:val="44"/>
      <w:lang w:val="en-US" w:eastAsia="zh-CN" w:bidi="ar-SA"/>
    </w:rPr>
  </w:style>
  <w:style w:type="character" w:customStyle="1" w:styleId="118">
    <w:name w:val="ca-10"/>
    <w:autoRedefine/>
    <w:qFormat/>
    <w:uiPriority w:val="0"/>
  </w:style>
  <w:style w:type="character" w:customStyle="1" w:styleId="119">
    <w:name w:val="font161"/>
    <w:autoRedefine/>
    <w:qFormat/>
    <w:uiPriority w:val="0"/>
    <w:rPr>
      <w:b/>
      <w:bCs/>
      <w:sz w:val="32"/>
      <w:szCs w:val="32"/>
    </w:rPr>
  </w:style>
  <w:style w:type="character" w:customStyle="1" w:styleId="120">
    <w:name w:val="正文编号 Char"/>
    <w:link w:val="121"/>
    <w:autoRedefine/>
    <w:qFormat/>
    <w:uiPriority w:val="0"/>
    <w:rPr>
      <w:rFonts w:ascii="宋体" w:hAnsi="宋体"/>
      <w:kern w:val="2"/>
      <w:sz w:val="24"/>
      <w:szCs w:val="24"/>
    </w:rPr>
  </w:style>
  <w:style w:type="paragraph" w:customStyle="1" w:styleId="121">
    <w:name w:val="正文编号"/>
    <w:basedOn w:val="122"/>
    <w:link w:val="120"/>
    <w:autoRedefine/>
    <w:qFormat/>
    <w:uiPriority w:val="0"/>
    <w:pPr>
      <w:widowControl/>
      <w:tabs>
        <w:tab w:val="left" w:pos="567"/>
      </w:tabs>
      <w:snapToGrid w:val="0"/>
      <w:spacing w:beforeLines="50" w:afterLines="50" w:line="288" w:lineRule="auto"/>
      <w:ind w:left="567" w:hanging="567"/>
      <w:jc w:val="left"/>
    </w:pPr>
    <w:rPr>
      <w:rFonts w:ascii="宋体" w:hAnsi="宋体"/>
      <w:color w:val="auto"/>
      <w:kern w:val="2"/>
      <w:sz w:val="24"/>
      <w:szCs w:val="24"/>
    </w:rPr>
  </w:style>
  <w:style w:type="paragraph" w:customStyle="1" w:styleId="122">
    <w:name w:val="_Style 7"/>
    <w:basedOn w:val="1"/>
    <w:autoRedefine/>
    <w:qFormat/>
    <w:uiPriority w:val="0"/>
    <w:pPr>
      <w:spacing w:line="312" w:lineRule="atLeast"/>
      <w:ind w:firstLine="420"/>
    </w:pPr>
    <w:rPr>
      <w:color w:val="000000"/>
      <w:kern w:val="0"/>
      <w:szCs w:val="20"/>
    </w:rPr>
  </w:style>
  <w:style w:type="character" w:customStyle="1" w:styleId="123">
    <w:name w:val="h3 Char2"/>
    <w:autoRedefine/>
    <w:qFormat/>
    <w:uiPriority w:val="0"/>
    <w:rPr>
      <w:rFonts w:eastAsia="宋体"/>
      <w:b/>
      <w:bCs/>
      <w:kern w:val="2"/>
      <w:sz w:val="24"/>
      <w:szCs w:val="32"/>
      <w:lang w:val="en-US" w:eastAsia="zh-CN" w:bidi="ar-SA"/>
    </w:rPr>
  </w:style>
  <w:style w:type="character" w:customStyle="1" w:styleId="124">
    <w:name w:val="明显参考1"/>
    <w:autoRedefine/>
    <w:qFormat/>
    <w:uiPriority w:val="0"/>
    <w:rPr>
      <w:b/>
      <w:bCs/>
      <w:smallCaps/>
      <w:color w:val="C0504D"/>
      <w:spacing w:val="5"/>
      <w:u w:val="single"/>
    </w:rPr>
  </w:style>
  <w:style w:type="character" w:customStyle="1" w:styleId="125">
    <w:name w:val="Char Char3"/>
    <w:autoRedefine/>
    <w:qFormat/>
    <w:uiPriority w:val="0"/>
    <w:rPr>
      <w:rFonts w:eastAsia="宋体"/>
      <w:kern w:val="2"/>
      <w:sz w:val="21"/>
      <w:szCs w:val="24"/>
      <w:lang w:val="en-US" w:eastAsia="zh-CN" w:bidi="ar-SA"/>
    </w:rPr>
  </w:style>
  <w:style w:type="character" w:customStyle="1" w:styleId="126">
    <w:name w:val="article"/>
    <w:autoRedefine/>
    <w:qFormat/>
    <w:uiPriority w:val="0"/>
  </w:style>
  <w:style w:type="character" w:customStyle="1" w:styleId="127">
    <w:name w:val="页脚 字符"/>
    <w:autoRedefine/>
    <w:qFormat/>
    <w:uiPriority w:val="99"/>
    <w:rPr>
      <w:kern w:val="2"/>
      <w:sz w:val="18"/>
      <w:szCs w:val="18"/>
    </w:rPr>
  </w:style>
  <w:style w:type="character" w:customStyle="1" w:styleId="128">
    <w:name w:val="副标题 Char1"/>
    <w:autoRedefine/>
    <w:qFormat/>
    <w:uiPriority w:val="0"/>
    <w:rPr>
      <w:rFonts w:ascii="Calibri Light" w:hAnsi="Calibri Light" w:eastAsia="宋体" w:cs="Times New Roman"/>
      <w:b/>
      <w:bCs/>
      <w:kern w:val="28"/>
      <w:sz w:val="32"/>
      <w:szCs w:val="32"/>
    </w:rPr>
  </w:style>
  <w:style w:type="character" w:customStyle="1" w:styleId="129">
    <w:name w:val="纯文本 Char2"/>
    <w:autoRedefine/>
    <w:qFormat/>
    <w:uiPriority w:val="0"/>
    <w:rPr>
      <w:rFonts w:ascii="宋体" w:hAnsi="Courier New" w:cs="Courier New"/>
      <w:sz w:val="21"/>
      <w:szCs w:val="21"/>
    </w:rPr>
  </w:style>
  <w:style w:type="character" w:customStyle="1" w:styleId="130">
    <w:name w:val="文一 Char Char"/>
    <w:autoRedefine/>
    <w:qFormat/>
    <w:uiPriority w:val="0"/>
    <w:rPr>
      <w:snapToGrid/>
      <w:spacing w:val="4"/>
      <w:sz w:val="24"/>
      <w:szCs w:val="24"/>
    </w:rPr>
  </w:style>
  <w:style w:type="character" w:customStyle="1" w:styleId="131">
    <w:name w:val="正文文本 2 字符"/>
    <w:autoRedefine/>
    <w:qFormat/>
    <w:uiPriority w:val="0"/>
    <w:rPr>
      <w:kern w:val="2"/>
      <w:sz w:val="44"/>
      <w:szCs w:val="24"/>
    </w:rPr>
  </w:style>
  <w:style w:type="character" w:customStyle="1" w:styleId="132">
    <w:name w:val="标题 5 字符"/>
    <w:autoRedefine/>
    <w:qFormat/>
    <w:uiPriority w:val="9"/>
    <w:rPr>
      <w:b/>
      <w:bCs/>
      <w:kern w:val="2"/>
      <w:sz w:val="28"/>
      <w:szCs w:val="28"/>
    </w:rPr>
  </w:style>
  <w:style w:type="character" w:customStyle="1" w:styleId="133">
    <w:name w:val="标题5 Char Char"/>
    <w:link w:val="134"/>
    <w:autoRedefine/>
    <w:qFormat/>
    <w:uiPriority w:val="0"/>
    <w:rPr>
      <w:rFonts w:ascii="Arial" w:hAnsi="Arial"/>
      <w:b/>
      <w:bCs/>
      <w:sz w:val="24"/>
      <w:szCs w:val="32"/>
    </w:rPr>
  </w:style>
  <w:style w:type="paragraph" w:customStyle="1" w:styleId="134">
    <w:name w:val="标题5"/>
    <w:basedOn w:val="4"/>
    <w:link w:val="133"/>
    <w:autoRedefine/>
    <w:qFormat/>
    <w:uiPriority w:val="0"/>
    <w:pPr>
      <w:spacing w:line="413" w:lineRule="auto"/>
    </w:pPr>
    <w:rPr>
      <w:rFonts w:ascii="Arial" w:hAnsi="Arial"/>
      <w:sz w:val="24"/>
    </w:rPr>
  </w:style>
  <w:style w:type="character" w:customStyle="1" w:styleId="135">
    <w:name w:val="Char Char7"/>
    <w:autoRedefine/>
    <w:qFormat/>
    <w:locked/>
    <w:uiPriority w:val="0"/>
    <w:rPr>
      <w:rFonts w:ascii="宋体" w:hAnsi="宋体" w:eastAsia="宋体"/>
      <w:kern w:val="2"/>
      <w:sz w:val="21"/>
      <w:szCs w:val="24"/>
      <w:lang w:val="en-US" w:eastAsia="zh-CN" w:bidi="ar-SA"/>
    </w:rPr>
  </w:style>
  <w:style w:type="character" w:customStyle="1" w:styleId="136">
    <w:name w:val="书籍标题1"/>
    <w:autoRedefine/>
    <w:qFormat/>
    <w:uiPriority w:val="0"/>
    <w:rPr>
      <w:b/>
      <w:bCs/>
      <w:smallCaps/>
      <w:spacing w:val="5"/>
    </w:rPr>
  </w:style>
  <w:style w:type="character" w:customStyle="1" w:styleId="137">
    <w:name w:val="正文首行缩进 Char2"/>
    <w:autoRedefine/>
    <w:qFormat/>
    <w:uiPriority w:val="99"/>
    <w:rPr>
      <w:rFonts w:eastAsia="宋体"/>
      <w:kern w:val="2"/>
      <w:sz w:val="21"/>
      <w:szCs w:val="24"/>
      <w:lang w:val="en-US" w:eastAsia="zh-CN" w:bidi="ar-SA"/>
    </w:rPr>
  </w:style>
  <w:style w:type="character" w:customStyle="1" w:styleId="138">
    <w:name w:val="highlight1"/>
    <w:autoRedefine/>
    <w:qFormat/>
    <w:uiPriority w:val="0"/>
    <w:rPr>
      <w:sz w:val="21"/>
      <w:szCs w:val="21"/>
    </w:rPr>
  </w:style>
  <w:style w:type="character" w:customStyle="1" w:styleId="139">
    <w:name w:val="副标题 字符"/>
    <w:autoRedefine/>
    <w:qFormat/>
    <w:uiPriority w:val="0"/>
    <w:rPr>
      <w:rFonts w:ascii="Cambria" w:hAnsi="Cambria" w:cs="宋体"/>
      <w:b/>
      <w:bCs/>
      <w:kern w:val="28"/>
      <w:sz w:val="32"/>
      <w:szCs w:val="32"/>
    </w:rPr>
  </w:style>
  <w:style w:type="character" w:customStyle="1" w:styleId="140">
    <w:name w:val="正文文本 Char1"/>
    <w:autoRedefine/>
    <w:qFormat/>
    <w:uiPriority w:val="0"/>
    <w:rPr>
      <w:kern w:val="2"/>
      <w:sz w:val="21"/>
      <w:szCs w:val="22"/>
    </w:rPr>
  </w:style>
  <w:style w:type="character" w:customStyle="1" w:styleId="141">
    <w:name w:val="正文文本缩进 3 字符"/>
    <w:autoRedefine/>
    <w:qFormat/>
    <w:uiPriority w:val="0"/>
    <w:rPr>
      <w:rFonts w:ascii="仿宋_GB2312" w:eastAsia="仿宋_GB2312"/>
      <w:bCs/>
      <w:spacing w:val="24"/>
      <w:kern w:val="2"/>
      <w:sz w:val="23"/>
      <w:szCs w:val="24"/>
    </w:rPr>
  </w:style>
  <w:style w:type="character" w:customStyle="1" w:styleId="142">
    <w:name w:val="Hyperlink.0"/>
    <w:autoRedefine/>
    <w:qFormat/>
    <w:uiPriority w:val="0"/>
    <w:rPr>
      <w:color w:val="000000"/>
      <w:u w:val="none" w:color="000000"/>
    </w:rPr>
  </w:style>
  <w:style w:type="character" w:customStyle="1" w:styleId="143">
    <w:name w:val="文一 Char"/>
    <w:link w:val="144"/>
    <w:autoRedefine/>
    <w:qFormat/>
    <w:uiPriority w:val="0"/>
    <w:rPr>
      <w:snapToGrid w:val="0"/>
      <w:spacing w:val="4"/>
      <w:sz w:val="24"/>
      <w:szCs w:val="24"/>
    </w:rPr>
  </w:style>
  <w:style w:type="paragraph" w:customStyle="1" w:styleId="144">
    <w:name w:val="文一"/>
    <w:basedOn w:val="1"/>
    <w:link w:val="143"/>
    <w:autoRedefine/>
    <w:qFormat/>
    <w:uiPriority w:val="0"/>
    <w:pPr>
      <w:topLinePunct/>
      <w:adjustRightInd w:val="0"/>
      <w:snapToGrid w:val="0"/>
      <w:spacing w:line="360" w:lineRule="auto"/>
      <w:ind w:firstLine="200" w:firstLineChars="200"/>
    </w:pPr>
    <w:rPr>
      <w:rFonts w:ascii="Times New Roman" w:hAnsi="Times New Roman"/>
      <w:snapToGrid w:val="0"/>
      <w:spacing w:val="4"/>
      <w:kern w:val="0"/>
      <w:sz w:val="24"/>
      <w:szCs w:val="24"/>
    </w:rPr>
  </w:style>
  <w:style w:type="character" w:customStyle="1" w:styleId="145">
    <w:name w:val="批注文字 Char1"/>
    <w:autoRedefine/>
    <w:qFormat/>
    <w:uiPriority w:val="99"/>
    <w:rPr>
      <w:kern w:val="2"/>
      <w:sz w:val="21"/>
      <w:szCs w:val="24"/>
    </w:rPr>
  </w:style>
  <w:style w:type="character" w:customStyle="1" w:styleId="146">
    <w:name w:val="样式 正文缩进表正文正文非缩进特点上海中望标准正文（首行缩进两字）文字正文（首行缩进两字） Char正文（首行缩进...1 Char"/>
    <w:link w:val="147"/>
    <w:autoRedefine/>
    <w:qFormat/>
    <w:uiPriority w:val="0"/>
    <w:rPr>
      <w:rFonts w:ascii="华文仿宋" w:hAnsi="华文仿宋" w:eastAsia="华文仿宋" w:cs="宋体"/>
      <w:kern w:val="2"/>
      <w:sz w:val="28"/>
      <w:szCs w:val="24"/>
    </w:rPr>
  </w:style>
  <w:style w:type="paragraph" w:customStyle="1" w:styleId="147">
    <w:name w:val="样式 正文缩进表正文正文非缩进特点上海中望标准正文（首行缩进两字）文字正文（首行缩进两字） Char正文（首行缩进...1"/>
    <w:basedOn w:val="14"/>
    <w:link w:val="146"/>
    <w:autoRedefine/>
    <w:qFormat/>
    <w:uiPriority w:val="0"/>
    <w:pPr>
      <w:adjustRightInd w:val="0"/>
      <w:snapToGrid w:val="0"/>
      <w:spacing w:line="360" w:lineRule="auto"/>
      <w:ind w:firstLine="560" w:firstLineChars="200"/>
    </w:pPr>
    <w:rPr>
      <w:rFonts w:ascii="华文仿宋" w:hAnsi="华文仿宋" w:eastAsia="华文仿宋" w:cs="宋体"/>
      <w:kern w:val="2"/>
      <w:sz w:val="28"/>
      <w:szCs w:val="24"/>
    </w:rPr>
  </w:style>
  <w:style w:type="character" w:customStyle="1" w:styleId="148">
    <w:name w:val="HTML 预设格式 Char1"/>
    <w:autoRedefine/>
    <w:qFormat/>
    <w:uiPriority w:val="0"/>
    <w:rPr>
      <w:rFonts w:ascii="Courier New" w:hAnsi="Courier New" w:cs="Courier New"/>
      <w:kern w:val="2"/>
    </w:rPr>
  </w:style>
  <w:style w:type="character" w:customStyle="1" w:styleId="149">
    <w:name w:val="章节二 Char"/>
    <w:autoRedefine/>
    <w:qFormat/>
    <w:uiPriority w:val="0"/>
    <w:rPr>
      <w:rFonts w:ascii="Verdana" w:hAnsi="Verdana" w:eastAsia="黑体"/>
      <w:b/>
      <w:i/>
      <w:iCs/>
      <w:snapToGrid w:val="0"/>
      <w:color w:val="000000"/>
      <w:spacing w:val="4"/>
      <w:kern w:val="0"/>
      <w:sz w:val="30"/>
      <w:szCs w:val="30"/>
      <w:lang w:val="en-US" w:eastAsia="zh-CN" w:bidi="ar-SA"/>
    </w:rPr>
  </w:style>
  <w:style w:type="character" w:customStyle="1" w:styleId="150">
    <w:name w:val="apple-converted-space"/>
    <w:autoRedefine/>
    <w:qFormat/>
    <w:uiPriority w:val="0"/>
  </w:style>
  <w:style w:type="character" w:customStyle="1" w:styleId="151">
    <w:name w:val="批注主题 Char2"/>
    <w:autoRedefine/>
    <w:semiHidden/>
    <w:qFormat/>
    <w:uiPriority w:val="99"/>
    <w:rPr>
      <w:rFonts w:ascii="Calibri" w:hAnsi="Calibri" w:eastAsia="宋体" w:cs="Times New Roman"/>
      <w:b/>
      <w:bCs/>
      <w:kern w:val="0"/>
      <w:sz w:val="20"/>
      <w:szCs w:val="20"/>
    </w:rPr>
  </w:style>
  <w:style w:type="character" w:customStyle="1" w:styleId="152">
    <w:name w:val="标题 Char"/>
    <w:link w:val="59"/>
    <w:autoRedefine/>
    <w:qFormat/>
    <w:uiPriority w:val="0"/>
    <w:rPr>
      <w:rFonts w:ascii="Cambria" w:hAnsi="Cambria"/>
      <w:b/>
      <w:bCs/>
      <w:sz w:val="32"/>
      <w:szCs w:val="32"/>
    </w:rPr>
  </w:style>
  <w:style w:type="character" w:customStyle="1" w:styleId="153">
    <w:name w:val="标题 1 字符"/>
    <w:autoRedefine/>
    <w:qFormat/>
    <w:uiPriority w:val="9"/>
    <w:rPr>
      <w:rFonts w:ascii="Arial" w:hAnsi="Arial"/>
      <w:bCs/>
      <w:kern w:val="44"/>
      <w:sz w:val="44"/>
      <w:szCs w:val="44"/>
    </w:rPr>
  </w:style>
  <w:style w:type="character" w:customStyle="1" w:styleId="154">
    <w:name w:val="明显强调11"/>
    <w:autoRedefine/>
    <w:qFormat/>
    <w:uiPriority w:val="0"/>
    <w:rPr>
      <w:b/>
      <w:bCs/>
      <w:i/>
      <w:iCs/>
      <w:color w:val="4F81BD"/>
    </w:rPr>
  </w:style>
  <w:style w:type="character" w:customStyle="1" w:styleId="155">
    <w:name w:val="英文"/>
    <w:autoRedefine/>
    <w:qFormat/>
    <w:uiPriority w:val="0"/>
    <w:rPr>
      <w:rFonts w:ascii="Lucida Fax" w:hAnsi="Lucida Fax" w:cs="Times New Roman"/>
      <w:b/>
      <w:bCs/>
    </w:rPr>
  </w:style>
  <w:style w:type="character" w:customStyle="1" w:styleId="156">
    <w:name w:val="Char Char6"/>
    <w:autoRedefine/>
    <w:qFormat/>
    <w:uiPriority w:val="0"/>
    <w:rPr>
      <w:rFonts w:eastAsia="宋体"/>
      <w:kern w:val="2"/>
      <w:sz w:val="21"/>
      <w:szCs w:val="24"/>
      <w:lang w:val="en-US" w:eastAsia="zh-CN" w:bidi="ar-SA"/>
    </w:rPr>
  </w:style>
  <w:style w:type="character" w:customStyle="1" w:styleId="157">
    <w:name w:val="ggbt1"/>
    <w:autoRedefine/>
    <w:qFormat/>
    <w:uiPriority w:val="0"/>
    <w:rPr>
      <w:b/>
      <w:bCs/>
      <w:sz w:val="28"/>
      <w:szCs w:val="28"/>
    </w:rPr>
  </w:style>
  <w:style w:type="character" w:customStyle="1" w:styleId="158">
    <w:name w:val="日期 字符"/>
    <w:autoRedefine/>
    <w:qFormat/>
    <w:uiPriority w:val="99"/>
    <w:rPr>
      <w:rFonts w:eastAsia="黑体"/>
      <w:kern w:val="2"/>
      <w:sz w:val="28"/>
    </w:rPr>
  </w:style>
  <w:style w:type="character" w:customStyle="1" w:styleId="159">
    <w:name w:val="gonggao-downline1"/>
    <w:autoRedefine/>
    <w:qFormat/>
    <w:uiPriority w:val="0"/>
    <w:rPr>
      <w:b/>
      <w:bCs/>
      <w:u w:val="single"/>
    </w:rPr>
  </w:style>
  <w:style w:type="character" w:customStyle="1" w:styleId="160">
    <w:name w:val="HTML 预设格式 字符"/>
    <w:autoRedefine/>
    <w:qFormat/>
    <w:uiPriority w:val="0"/>
    <w:rPr>
      <w:rFonts w:ascii="宋体" w:hAnsi="宋体" w:cs="宋体"/>
      <w:sz w:val="24"/>
      <w:szCs w:val="24"/>
    </w:rPr>
  </w:style>
  <w:style w:type="character" w:customStyle="1" w:styleId="161">
    <w:name w:val="文档结构图 字符"/>
    <w:autoRedefine/>
    <w:qFormat/>
    <w:uiPriority w:val="99"/>
    <w:rPr>
      <w:kern w:val="2"/>
      <w:sz w:val="21"/>
      <w:szCs w:val="24"/>
      <w:shd w:val="clear" w:color="auto" w:fill="000080"/>
    </w:rPr>
  </w:style>
  <w:style w:type="character" w:customStyle="1" w:styleId="162">
    <w:name w:val="111"/>
    <w:autoRedefine/>
    <w:qFormat/>
    <w:uiPriority w:val="0"/>
  </w:style>
  <w:style w:type="character" w:customStyle="1" w:styleId="163">
    <w:name w:val="章节一 Char"/>
    <w:autoRedefine/>
    <w:qFormat/>
    <w:uiPriority w:val="0"/>
    <w:rPr>
      <w:rFonts w:ascii="Verdana" w:hAnsi="Verdana" w:eastAsia="黑体"/>
      <w:b/>
      <w:i/>
      <w:iCs/>
      <w:snapToGrid w:val="0"/>
      <w:color w:val="000000"/>
      <w:spacing w:val="4"/>
      <w:kern w:val="0"/>
      <w:sz w:val="36"/>
      <w:szCs w:val="36"/>
      <w:lang w:val="en-US" w:eastAsia="zh-CN" w:bidi="ar-SA"/>
    </w:rPr>
  </w:style>
  <w:style w:type="character" w:customStyle="1" w:styleId="164">
    <w:name w:val="尾注文本 Char"/>
    <w:autoRedefine/>
    <w:qFormat/>
    <w:uiPriority w:val="0"/>
    <w:rPr>
      <w:rFonts w:ascii="Times New Roman" w:hAnsi="Times New Roman"/>
      <w:kern w:val="2"/>
      <w:sz w:val="24"/>
      <w:szCs w:val="24"/>
    </w:rPr>
  </w:style>
  <w:style w:type="character" w:customStyle="1" w:styleId="165">
    <w:name w:val="正文文本 字符"/>
    <w:autoRedefine/>
    <w:qFormat/>
    <w:uiPriority w:val="1"/>
    <w:rPr>
      <w:rFonts w:ascii="仿宋_GB2312" w:eastAsia="仿宋_GB2312"/>
      <w:kern w:val="2"/>
      <w:sz w:val="28"/>
      <w:szCs w:val="24"/>
    </w:rPr>
  </w:style>
  <w:style w:type="character" w:customStyle="1" w:styleId="166">
    <w:name w:val="正文文本缩进 字符"/>
    <w:autoRedefine/>
    <w:qFormat/>
    <w:uiPriority w:val="0"/>
    <w:rPr>
      <w:rFonts w:ascii="仿宋_GB2312" w:eastAsia="仿宋_GB2312"/>
      <w:spacing w:val="7"/>
      <w:kern w:val="2"/>
      <w:sz w:val="23"/>
      <w:szCs w:val="24"/>
    </w:rPr>
  </w:style>
  <w:style w:type="character" w:customStyle="1" w:styleId="167">
    <w:name w:val="标题 字符"/>
    <w:autoRedefine/>
    <w:qFormat/>
    <w:uiPriority w:val="0"/>
    <w:rPr>
      <w:rFonts w:ascii="Arial" w:hAnsi="Arial"/>
      <w:b/>
      <w:kern w:val="2"/>
      <w:sz w:val="44"/>
      <w:szCs w:val="24"/>
    </w:rPr>
  </w:style>
  <w:style w:type="character" w:customStyle="1" w:styleId="168">
    <w:name w:val="标题 2 字符"/>
    <w:autoRedefine/>
    <w:qFormat/>
    <w:uiPriority w:val="9"/>
    <w:rPr>
      <w:rFonts w:ascii="Arial" w:hAnsi="Arial" w:eastAsia="仿宋_GB2312"/>
      <w:b/>
      <w:bCs/>
      <w:kern w:val="2"/>
      <w:sz w:val="32"/>
      <w:szCs w:val="32"/>
    </w:rPr>
  </w:style>
  <w:style w:type="character" w:customStyle="1" w:styleId="169">
    <w:name w:val="font1"/>
    <w:autoRedefine/>
    <w:qFormat/>
    <w:uiPriority w:val="0"/>
    <w:rPr>
      <w:color w:val="000000"/>
      <w:sz w:val="18"/>
      <w:szCs w:val="18"/>
      <w:u w:val="none"/>
    </w:rPr>
  </w:style>
  <w:style w:type="character" w:customStyle="1" w:styleId="170">
    <w:name w:val="表中文字 Char"/>
    <w:autoRedefine/>
    <w:qFormat/>
    <w:uiPriority w:val="0"/>
    <w:rPr>
      <w:rFonts w:eastAsia="宋体"/>
      <w:kern w:val="2"/>
      <w:sz w:val="21"/>
      <w:szCs w:val="24"/>
      <w:lang w:val="en-US" w:eastAsia="zh-CN" w:bidi="ar-SA"/>
    </w:rPr>
  </w:style>
  <w:style w:type="character" w:customStyle="1" w:styleId="171">
    <w:name w:val="Char Char101"/>
    <w:autoRedefine/>
    <w:qFormat/>
    <w:uiPriority w:val="0"/>
    <w:rPr>
      <w:rFonts w:hint="eastAsia" w:ascii="宋体" w:hAnsi="Courier New" w:eastAsia="宋体"/>
      <w:kern w:val="2"/>
      <w:sz w:val="24"/>
      <w:szCs w:val="24"/>
      <w:lang w:val="en-US" w:eastAsia="zh-CN" w:bidi="ar-SA"/>
    </w:rPr>
  </w:style>
  <w:style w:type="character" w:customStyle="1" w:styleId="172">
    <w:name w:val="Char Char8"/>
    <w:autoRedefine/>
    <w:qFormat/>
    <w:uiPriority w:val="0"/>
    <w:rPr>
      <w:rFonts w:ascii="Arial" w:hAnsi="Arial" w:eastAsia="宋体"/>
      <w:b/>
      <w:bCs/>
      <w:kern w:val="2"/>
      <w:sz w:val="21"/>
      <w:szCs w:val="28"/>
      <w:lang w:val="en-US" w:eastAsia="zh-CN" w:bidi="ar-SA"/>
    </w:rPr>
  </w:style>
  <w:style w:type="character" w:customStyle="1" w:styleId="173">
    <w:name w:val="Char Char91"/>
    <w:autoRedefine/>
    <w:qFormat/>
    <w:uiPriority w:val="0"/>
    <w:rPr>
      <w:rFonts w:eastAsia="宋体"/>
      <w:kern w:val="2"/>
      <w:sz w:val="18"/>
      <w:szCs w:val="18"/>
      <w:lang w:val="en-US" w:eastAsia="zh-CN" w:bidi="ar-SA"/>
    </w:rPr>
  </w:style>
  <w:style w:type="character" w:customStyle="1" w:styleId="174">
    <w:name w:val="日期 Char"/>
    <w:link w:val="36"/>
    <w:autoRedefine/>
    <w:qFormat/>
    <w:uiPriority w:val="0"/>
    <w:rPr>
      <w:sz w:val="24"/>
    </w:rPr>
  </w:style>
  <w:style w:type="character" w:customStyle="1" w:styleId="175">
    <w:name w:val="批注框文本 Char2"/>
    <w:autoRedefine/>
    <w:semiHidden/>
    <w:qFormat/>
    <w:uiPriority w:val="99"/>
    <w:rPr>
      <w:rFonts w:ascii="Times New Roman" w:hAnsi="Times New Roman" w:eastAsia="宋体" w:cs="Times New Roman"/>
      <w:kern w:val="0"/>
      <w:sz w:val="18"/>
      <w:szCs w:val="18"/>
      <w:lang w:eastAsia="en-US"/>
    </w:rPr>
  </w:style>
  <w:style w:type="character" w:customStyle="1" w:styleId="176">
    <w:name w:val="Char Char1"/>
    <w:autoRedefine/>
    <w:qFormat/>
    <w:uiPriority w:val="0"/>
    <w:rPr>
      <w:rFonts w:ascii="宋体" w:eastAsia="宋体"/>
      <w:sz w:val="22"/>
      <w:lang w:val="en-US" w:eastAsia="zh-CN" w:bidi="ar-SA"/>
    </w:rPr>
  </w:style>
  <w:style w:type="character" w:customStyle="1" w:styleId="177">
    <w:name w:val="不明显参考11"/>
    <w:autoRedefine/>
    <w:qFormat/>
    <w:uiPriority w:val="0"/>
    <w:rPr>
      <w:smallCaps/>
      <w:color w:val="C0504D"/>
      <w:u w:val="single"/>
    </w:rPr>
  </w:style>
  <w:style w:type="character" w:customStyle="1" w:styleId="178">
    <w:name w:val="样式 仿宋_GB2312 四号"/>
    <w:autoRedefine/>
    <w:qFormat/>
    <w:uiPriority w:val="0"/>
    <w:rPr>
      <w:rFonts w:ascii="仿宋_GB2312" w:hAnsi="仿宋_GB2312" w:eastAsia="华文仿宋" w:cs="宋体"/>
      <w:kern w:val="2"/>
      <w:sz w:val="28"/>
      <w:szCs w:val="24"/>
    </w:rPr>
  </w:style>
  <w:style w:type="character" w:customStyle="1" w:styleId="179">
    <w:name w:val="正文 1 Char1"/>
    <w:link w:val="180"/>
    <w:autoRedefine/>
    <w:qFormat/>
    <w:uiPriority w:val="0"/>
    <w:rPr>
      <w:rFonts w:ascii="宋体" w:hAnsi="宋体" w:cs="宋体"/>
      <w:color w:val="000000"/>
      <w:sz w:val="24"/>
      <w:lang w:val="zh-CN"/>
    </w:rPr>
  </w:style>
  <w:style w:type="paragraph" w:customStyle="1" w:styleId="180">
    <w:name w:val="正文 1"/>
    <w:basedOn w:val="1"/>
    <w:link w:val="179"/>
    <w:autoRedefine/>
    <w:qFormat/>
    <w:uiPriority w:val="0"/>
    <w:pPr>
      <w:spacing w:line="360" w:lineRule="auto"/>
      <w:ind w:left="350" w:firstLine="200"/>
    </w:pPr>
    <w:rPr>
      <w:rFonts w:ascii="宋体" w:hAnsi="宋体" w:cs="宋体"/>
      <w:color w:val="000000"/>
      <w:kern w:val="0"/>
      <w:sz w:val="24"/>
      <w:szCs w:val="20"/>
      <w:lang w:val="zh-CN"/>
    </w:rPr>
  </w:style>
  <w:style w:type="character" w:customStyle="1" w:styleId="181">
    <w:name w:val="页眉 字符"/>
    <w:autoRedefine/>
    <w:qFormat/>
    <w:uiPriority w:val="99"/>
    <w:rPr>
      <w:kern w:val="2"/>
      <w:sz w:val="18"/>
      <w:szCs w:val="18"/>
    </w:rPr>
  </w:style>
  <w:style w:type="character" w:customStyle="1" w:styleId="182">
    <w:name w:val="Char Char4"/>
    <w:autoRedefine/>
    <w:qFormat/>
    <w:uiPriority w:val="0"/>
    <w:rPr>
      <w:rFonts w:eastAsia="宋体"/>
      <w:kern w:val="2"/>
      <w:sz w:val="18"/>
      <w:szCs w:val="18"/>
      <w:lang w:val="en-US" w:eastAsia="zh-CN" w:bidi="ar-SA"/>
    </w:rPr>
  </w:style>
  <w:style w:type="character" w:customStyle="1" w:styleId="183">
    <w:name w:val="文档结构图 Char1"/>
    <w:autoRedefine/>
    <w:qFormat/>
    <w:uiPriority w:val="99"/>
    <w:rPr>
      <w:rFonts w:ascii="宋体"/>
      <w:kern w:val="2"/>
      <w:sz w:val="18"/>
      <w:szCs w:val="18"/>
    </w:rPr>
  </w:style>
  <w:style w:type="character" w:customStyle="1" w:styleId="184">
    <w:name w:val="不明显强调1"/>
    <w:autoRedefine/>
    <w:qFormat/>
    <w:uiPriority w:val="0"/>
    <w:rPr>
      <w:i/>
      <w:iCs/>
      <w:color w:val="808080"/>
    </w:rPr>
  </w:style>
  <w:style w:type="character" w:customStyle="1" w:styleId="185">
    <w:name w:val="日期 Char2"/>
    <w:autoRedefine/>
    <w:qFormat/>
    <w:uiPriority w:val="0"/>
    <w:rPr>
      <w:rFonts w:ascii="Calibri" w:hAnsi="Calibri"/>
      <w:kern w:val="2"/>
      <w:sz w:val="21"/>
      <w:szCs w:val="22"/>
    </w:rPr>
  </w:style>
  <w:style w:type="character" w:customStyle="1" w:styleId="186">
    <w:name w:val="f142"/>
    <w:autoRedefine/>
    <w:qFormat/>
    <w:uiPriority w:val="0"/>
    <w:rPr>
      <w:sz w:val="26"/>
      <w:szCs w:val="26"/>
    </w:rPr>
  </w:style>
  <w:style w:type="character" w:customStyle="1" w:styleId="187">
    <w:name w:val="标题 Char1"/>
    <w:autoRedefine/>
    <w:qFormat/>
    <w:uiPriority w:val="10"/>
    <w:rPr>
      <w:rFonts w:ascii="Cambria" w:hAnsi="Cambria" w:cs="Times New Roman"/>
      <w:b/>
      <w:bCs/>
      <w:color w:val="000000"/>
      <w:sz w:val="32"/>
      <w:szCs w:val="32"/>
    </w:rPr>
  </w:style>
  <w:style w:type="character" w:customStyle="1" w:styleId="188">
    <w:name w:val="标题4 Char Char"/>
    <w:link w:val="189"/>
    <w:autoRedefine/>
    <w:qFormat/>
    <w:uiPriority w:val="0"/>
    <w:rPr>
      <w:rFonts w:ascii="Arial" w:hAnsi="Arial"/>
      <w:b/>
      <w:bCs/>
      <w:sz w:val="24"/>
      <w:szCs w:val="32"/>
    </w:rPr>
  </w:style>
  <w:style w:type="paragraph" w:customStyle="1" w:styleId="189">
    <w:name w:val="标题4"/>
    <w:basedOn w:val="3"/>
    <w:next w:val="30"/>
    <w:link w:val="188"/>
    <w:autoRedefine/>
    <w:qFormat/>
    <w:uiPriority w:val="0"/>
    <w:pPr>
      <w:spacing w:line="413" w:lineRule="auto"/>
    </w:pPr>
    <w:rPr>
      <w:rFonts w:ascii="Arial" w:hAnsi="Arial"/>
      <w:sz w:val="24"/>
      <w:lang w:val="en-US"/>
    </w:rPr>
  </w:style>
  <w:style w:type="character" w:customStyle="1" w:styleId="190">
    <w:name w:val="正文缩进 Char"/>
    <w:link w:val="14"/>
    <w:autoRedefine/>
    <w:qFormat/>
    <w:uiPriority w:val="0"/>
    <w:rPr>
      <w:rFonts w:ascii="宋体" w:hAnsi="Calibri"/>
      <w:sz w:val="34"/>
    </w:rPr>
  </w:style>
  <w:style w:type="character" w:customStyle="1" w:styleId="191">
    <w:name w:val="尾注文本 Char2"/>
    <w:autoRedefine/>
    <w:qFormat/>
    <w:uiPriority w:val="0"/>
    <w:rPr>
      <w:kern w:val="2"/>
      <w:sz w:val="21"/>
      <w:szCs w:val="24"/>
    </w:rPr>
  </w:style>
  <w:style w:type="character" w:customStyle="1" w:styleId="192">
    <w:name w:val="明显引用 Char"/>
    <w:link w:val="193"/>
    <w:autoRedefine/>
    <w:qFormat/>
    <w:uiPriority w:val="0"/>
    <w:rPr>
      <w:b/>
      <w:bCs/>
      <w:i/>
      <w:iCs/>
      <w:color w:val="4F81BD"/>
    </w:rPr>
  </w:style>
  <w:style w:type="paragraph" w:customStyle="1" w:styleId="193">
    <w:name w:val="明显引用1"/>
    <w:basedOn w:val="1"/>
    <w:next w:val="1"/>
    <w:link w:val="192"/>
    <w:autoRedefine/>
    <w:qFormat/>
    <w:uiPriority w:val="0"/>
    <w:pPr>
      <w:pBdr>
        <w:bottom w:val="single" w:color="4F81BD" w:sz="4" w:space="4"/>
      </w:pBdr>
      <w:spacing w:before="200" w:after="280"/>
      <w:ind w:left="936" w:right="936"/>
    </w:pPr>
    <w:rPr>
      <w:rFonts w:ascii="Times New Roman" w:hAnsi="Times New Roman"/>
      <w:b/>
      <w:bCs/>
      <w:i/>
      <w:iCs/>
      <w:color w:val="4F81BD"/>
      <w:kern w:val="0"/>
      <w:sz w:val="20"/>
      <w:szCs w:val="20"/>
    </w:rPr>
  </w:style>
  <w:style w:type="character" w:customStyle="1" w:styleId="194">
    <w:name w:val="引用 Char"/>
    <w:link w:val="195"/>
    <w:autoRedefine/>
    <w:qFormat/>
    <w:uiPriority w:val="0"/>
    <w:rPr>
      <w:i/>
      <w:iCs/>
      <w:color w:val="000000"/>
    </w:rPr>
  </w:style>
  <w:style w:type="paragraph" w:customStyle="1" w:styleId="195">
    <w:name w:val="引用1"/>
    <w:basedOn w:val="1"/>
    <w:next w:val="1"/>
    <w:link w:val="194"/>
    <w:autoRedefine/>
    <w:qFormat/>
    <w:uiPriority w:val="0"/>
    <w:rPr>
      <w:rFonts w:ascii="Times New Roman" w:hAnsi="Times New Roman"/>
      <w:i/>
      <w:iCs/>
      <w:color w:val="000000"/>
      <w:kern w:val="0"/>
      <w:sz w:val="20"/>
      <w:szCs w:val="20"/>
    </w:rPr>
  </w:style>
  <w:style w:type="character" w:customStyle="1" w:styleId="196">
    <w:name w:val="2级标题 Char"/>
    <w:link w:val="197"/>
    <w:qFormat/>
    <w:uiPriority w:val="0"/>
    <w:rPr>
      <w:rFonts w:ascii="黑体" w:hAnsi="黑体" w:eastAsia="黑体"/>
      <w:color w:val="0070C0"/>
      <w:sz w:val="30"/>
      <w:szCs w:val="32"/>
      <w:lang w:val="zh-CN"/>
    </w:rPr>
  </w:style>
  <w:style w:type="paragraph" w:customStyle="1" w:styleId="197">
    <w:name w:val="2级标题"/>
    <w:basedOn w:val="3"/>
    <w:link w:val="196"/>
    <w:autoRedefine/>
    <w:qFormat/>
    <w:uiPriority w:val="0"/>
    <w:pPr>
      <w:keepNext w:val="0"/>
      <w:keepLines w:val="0"/>
      <w:tabs>
        <w:tab w:val="left" w:pos="747"/>
      </w:tabs>
      <w:spacing w:before="0" w:after="0" w:line="360" w:lineRule="auto"/>
      <w:ind w:left="1185" w:hanging="1185"/>
      <w:jc w:val="left"/>
    </w:pPr>
    <w:rPr>
      <w:rFonts w:ascii="黑体" w:hAnsi="黑体" w:eastAsia="黑体"/>
      <w:b w:val="0"/>
      <w:bCs w:val="0"/>
      <w:color w:val="0070C0"/>
      <w:sz w:val="30"/>
    </w:rPr>
  </w:style>
  <w:style w:type="character" w:customStyle="1" w:styleId="198">
    <w:name w:val="first-child"/>
    <w:autoRedefine/>
    <w:qFormat/>
    <w:uiPriority w:val="0"/>
    <w:rPr>
      <w:vanish/>
    </w:rPr>
  </w:style>
  <w:style w:type="character" w:customStyle="1" w:styleId="199">
    <w:name w:val="尾注文本 Char1"/>
    <w:autoRedefine/>
    <w:semiHidden/>
    <w:qFormat/>
    <w:uiPriority w:val="99"/>
    <w:rPr>
      <w:rFonts w:ascii="宋体" w:hAnsi="宋体" w:cs="宋体"/>
      <w:color w:val="000000"/>
      <w:sz w:val="21"/>
      <w:szCs w:val="24"/>
    </w:rPr>
  </w:style>
  <w:style w:type="character" w:customStyle="1" w:styleId="200">
    <w:name w:val="尾注文本 Char3"/>
    <w:link w:val="38"/>
    <w:autoRedefine/>
    <w:qFormat/>
    <w:uiPriority w:val="0"/>
    <w:rPr>
      <w:szCs w:val="24"/>
    </w:rPr>
  </w:style>
  <w:style w:type="character" w:customStyle="1" w:styleId="201">
    <w:name w:val="正文文本 2 Char1"/>
    <w:autoRedefine/>
    <w:semiHidden/>
    <w:qFormat/>
    <w:uiPriority w:val="99"/>
    <w:rPr>
      <w:rFonts w:ascii="Times New Roman" w:hAnsi="Times New Roman" w:eastAsia="宋体" w:cs="Times New Roman"/>
      <w:kern w:val="0"/>
      <w:sz w:val="24"/>
      <w:szCs w:val="24"/>
      <w:lang w:eastAsia="en-US"/>
    </w:rPr>
  </w:style>
  <w:style w:type="character" w:customStyle="1" w:styleId="202">
    <w:name w:val="javascript"/>
    <w:autoRedefine/>
    <w:qFormat/>
    <w:uiPriority w:val="0"/>
  </w:style>
  <w:style w:type="character" w:customStyle="1" w:styleId="203">
    <w:name w:val="Char Char5"/>
    <w:autoRedefine/>
    <w:qFormat/>
    <w:uiPriority w:val="0"/>
    <w:rPr>
      <w:rFonts w:eastAsia="宋体"/>
      <w:kern w:val="2"/>
      <w:sz w:val="21"/>
      <w:szCs w:val="24"/>
      <w:lang w:val="en-US" w:eastAsia="zh-CN" w:bidi="ar-SA"/>
    </w:rPr>
  </w:style>
  <w:style w:type="character" w:customStyle="1" w:styleId="204">
    <w:name w:val="称呼 Char"/>
    <w:link w:val="21"/>
    <w:autoRedefine/>
    <w:qFormat/>
    <w:uiPriority w:val="0"/>
    <w:rPr>
      <w:rFonts w:ascii="宋体" w:eastAsia="仿宋_GB2312"/>
      <w:sz w:val="24"/>
    </w:rPr>
  </w:style>
  <w:style w:type="character" w:customStyle="1" w:styleId="205">
    <w:name w:val="Char Char10"/>
    <w:autoRedefine/>
    <w:qFormat/>
    <w:uiPriority w:val="0"/>
    <w:rPr>
      <w:rFonts w:ascii="宋体" w:hAnsi="Courier New" w:eastAsia="宋体"/>
      <w:kern w:val="2"/>
      <w:sz w:val="24"/>
      <w:szCs w:val="24"/>
      <w:lang w:val="en-US" w:eastAsia="zh-CN" w:bidi="ar-SA"/>
    </w:rPr>
  </w:style>
  <w:style w:type="character" w:customStyle="1" w:styleId="206">
    <w:name w:val="标题3下的文字 Char"/>
    <w:link w:val="207"/>
    <w:autoRedefine/>
    <w:qFormat/>
    <w:uiPriority w:val="0"/>
    <w:rPr>
      <w:sz w:val="24"/>
      <w:szCs w:val="22"/>
    </w:rPr>
  </w:style>
  <w:style w:type="paragraph" w:customStyle="1" w:styleId="207">
    <w:name w:val="标题3下的文字"/>
    <w:link w:val="206"/>
    <w:autoRedefine/>
    <w:qFormat/>
    <w:uiPriority w:val="0"/>
    <w:pPr>
      <w:widowControl w:val="0"/>
      <w:adjustRightInd w:val="0"/>
      <w:snapToGrid w:val="0"/>
      <w:spacing w:line="312" w:lineRule="auto"/>
      <w:ind w:left="200" w:leftChars="200" w:firstLine="200" w:firstLineChars="200"/>
      <w:jc w:val="both"/>
    </w:pPr>
    <w:rPr>
      <w:rFonts w:ascii="Times New Roman" w:hAnsi="Times New Roman" w:eastAsia="宋体" w:cs="Times New Roman"/>
      <w:sz w:val="24"/>
      <w:szCs w:val="22"/>
      <w:lang w:val="en-US" w:eastAsia="zh-CN" w:bidi="ar-SA"/>
    </w:rPr>
  </w:style>
  <w:style w:type="character" w:customStyle="1" w:styleId="208">
    <w:name w:val="副标题 Char"/>
    <w:link w:val="46"/>
    <w:autoRedefine/>
    <w:qFormat/>
    <w:uiPriority w:val="0"/>
    <w:rPr>
      <w:sz w:val="18"/>
      <w:szCs w:val="18"/>
    </w:rPr>
  </w:style>
  <w:style w:type="character" w:customStyle="1" w:styleId="209">
    <w:name w:val="引用 Char1"/>
    <w:autoRedefine/>
    <w:qFormat/>
    <w:uiPriority w:val="29"/>
    <w:rPr>
      <w:rFonts w:ascii="Times New Roman" w:hAnsi="Times New Roman" w:eastAsia="宋体" w:cs="Times New Roman"/>
      <w:i/>
      <w:iCs/>
      <w:color w:val="3F3F3F"/>
      <w:sz w:val="24"/>
      <w:szCs w:val="24"/>
    </w:rPr>
  </w:style>
  <w:style w:type="character" w:customStyle="1" w:styleId="210">
    <w:name w:val="普通(网站) Char"/>
    <w:autoRedefine/>
    <w:qFormat/>
    <w:uiPriority w:val="0"/>
  </w:style>
  <w:style w:type="character" w:customStyle="1" w:styleId="211">
    <w:name w:val="页脚 Char1"/>
    <w:autoRedefine/>
    <w:semiHidden/>
    <w:qFormat/>
    <w:uiPriority w:val="99"/>
    <w:rPr>
      <w:rFonts w:ascii="Times New Roman" w:hAnsi="Times New Roman" w:eastAsia="宋体" w:cs="Times New Roman"/>
      <w:kern w:val="0"/>
      <w:sz w:val="18"/>
      <w:szCs w:val="18"/>
      <w:lang w:eastAsia="en-US"/>
    </w:rPr>
  </w:style>
  <w:style w:type="character" w:customStyle="1" w:styleId="212">
    <w:name w:val="h3 Char"/>
    <w:autoRedefine/>
    <w:qFormat/>
    <w:uiPriority w:val="0"/>
    <w:rPr>
      <w:rFonts w:ascii="Times New Roman" w:hAnsi="Times New Roman" w:eastAsia="宋体" w:cs="Times New Roman"/>
      <w:b/>
      <w:bCs/>
      <w:sz w:val="32"/>
      <w:szCs w:val="32"/>
    </w:rPr>
  </w:style>
  <w:style w:type="character" w:customStyle="1" w:styleId="213">
    <w:name w:val="href"/>
    <w:autoRedefine/>
    <w:qFormat/>
    <w:uiPriority w:val="0"/>
    <w:rPr>
      <w:color w:val="0000FF"/>
      <w:u w:val="single"/>
    </w:rPr>
  </w:style>
  <w:style w:type="character" w:customStyle="1" w:styleId="214">
    <w:name w:val="明显引用 Char1"/>
    <w:autoRedefine/>
    <w:qFormat/>
    <w:uiPriority w:val="30"/>
    <w:rPr>
      <w:rFonts w:ascii="Times New Roman" w:hAnsi="Times New Roman" w:eastAsia="宋体" w:cs="Times New Roman"/>
      <w:i/>
      <w:iCs/>
      <w:color w:val="5B9BD5"/>
      <w:sz w:val="24"/>
      <w:szCs w:val="24"/>
    </w:rPr>
  </w:style>
  <w:style w:type="character" w:customStyle="1" w:styleId="215">
    <w:name w:val="纯文本 字符"/>
    <w:autoRedefine/>
    <w:qFormat/>
    <w:uiPriority w:val="99"/>
    <w:rPr>
      <w:rFonts w:ascii="宋体" w:hAnsi="Courier New" w:cs="Courier New"/>
      <w:kern w:val="2"/>
      <w:sz w:val="21"/>
      <w:szCs w:val="21"/>
    </w:rPr>
  </w:style>
  <w:style w:type="character" w:customStyle="1" w:styleId="216">
    <w:name w:val="Char Char12"/>
    <w:autoRedefine/>
    <w:qFormat/>
    <w:uiPriority w:val="0"/>
    <w:rPr>
      <w:rFonts w:eastAsia="宋体"/>
      <w:kern w:val="2"/>
      <w:sz w:val="18"/>
      <w:szCs w:val="18"/>
      <w:lang w:val="en-US" w:eastAsia="zh-CN" w:bidi="ar-SA"/>
    </w:rPr>
  </w:style>
  <w:style w:type="character" w:customStyle="1" w:styleId="217">
    <w:name w:val="书籍标题11"/>
    <w:qFormat/>
    <w:uiPriority w:val="0"/>
    <w:rPr>
      <w:b/>
      <w:bCs/>
      <w:smallCaps/>
      <w:spacing w:val="5"/>
    </w:rPr>
  </w:style>
  <w:style w:type="character" w:customStyle="1" w:styleId="218">
    <w:name w:val="ca-2"/>
    <w:autoRedefine/>
    <w:qFormat/>
    <w:uiPriority w:val="0"/>
  </w:style>
  <w:style w:type="character" w:customStyle="1" w:styleId="219">
    <w:name w:val="style71"/>
    <w:autoRedefine/>
    <w:qFormat/>
    <w:uiPriority w:val="0"/>
    <w:rPr>
      <w:sz w:val="30"/>
    </w:rPr>
  </w:style>
  <w:style w:type="character" w:customStyle="1" w:styleId="220">
    <w:name w:val="1级标题 Char"/>
    <w:link w:val="221"/>
    <w:autoRedefine/>
    <w:qFormat/>
    <w:uiPriority w:val="0"/>
    <w:rPr>
      <w:rFonts w:ascii="黑体" w:hAnsi="黑体" w:eastAsia="黑体"/>
      <w:b/>
      <w:color w:val="000000"/>
      <w:sz w:val="32"/>
      <w:szCs w:val="32"/>
      <w:lang w:val="zh-CN"/>
    </w:rPr>
  </w:style>
  <w:style w:type="paragraph" w:customStyle="1" w:styleId="221">
    <w:name w:val="1级标题"/>
    <w:basedOn w:val="222"/>
    <w:link w:val="220"/>
    <w:autoRedefine/>
    <w:qFormat/>
    <w:uiPriority w:val="0"/>
    <w:pPr>
      <w:tabs>
        <w:tab w:val="left" w:pos="360"/>
      </w:tabs>
      <w:spacing w:before="156" w:after="156" w:line="360" w:lineRule="auto"/>
      <w:ind w:left="885" w:hanging="885" w:firstLineChars="0"/>
      <w:jc w:val="center"/>
      <w:outlineLvl w:val="0"/>
    </w:pPr>
    <w:rPr>
      <w:rFonts w:ascii="黑体" w:hAnsi="黑体" w:eastAsia="黑体"/>
      <w:b/>
      <w:color w:val="000000"/>
      <w:kern w:val="0"/>
      <w:sz w:val="32"/>
      <w:szCs w:val="32"/>
      <w:lang w:val="zh-CN"/>
    </w:rPr>
  </w:style>
  <w:style w:type="paragraph" w:customStyle="1" w:styleId="222">
    <w:name w:val="列出段落4"/>
    <w:basedOn w:val="1"/>
    <w:autoRedefine/>
    <w:qFormat/>
    <w:uiPriority w:val="0"/>
    <w:pPr>
      <w:ind w:firstLine="420" w:firstLineChars="200"/>
    </w:pPr>
  </w:style>
  <w:style w:type="character" w:customStyle="1" w:styleId="223">
    <w:name w:val="标题 9 Char"/>
    <w:link w:val="10"/>
    <w:autoRedefine/>
    <w:qFormat/>
    <w:uiPriority w:val="0"/>
    <w:rPr>
      <w:rFonts w:ascii="Arial" w:hAnsi="Arial" w:eastAsia="黑体"/>
      <w:sz w:val="24"/>
    </w:rPr>
  </w:style>
  <w:style w:type="character" w:customStyle="1" w:styleId="224">
    <w:name w:val="标题 8 Char"/>
    <w:link w:val="9"/>
    <w:autoRedefine/>
    <w:qFormat/>
    <w:uiPriority w:val="0"/>
    <w:rPr>
      <w:rFonts w:ascii="Arial" w:hAnsi="Arial" w:eastAsia="黑体"/>
      <w:sz w:val="24"/>
    </w:rPr>
  </w:style>
  <w:style w:type="character" w:customStyle="1" w:styleId="225">
    <w:name w:val="标题 5 Char"/>
    <w:link w:val="6"/>
    <w:autoRedefine/>
    <w:qFormat/>
    <w:uiPriority w:val="0"/>
    <w:rPr>
      <w:rFonts w:ascii="Calibri" w:hAnsi="Calibri"/>
      <w:b/>
      <w:bCs/>
      <w:kern w:val="2"/>
      <w:sz w:val="28"/>
      <w:szCs w:val="28"/>
    </w:rPr>
  </w:style>
  <w:style w:type="character" w:customStyle="1" w:styleId="226">
    <w:name w:val="正文文本缩进 2 字符"/>
    <w:autoRedefine/>
    <w:qFormat/>
    <w:uiPriority w:val="0"/>
    <w:rPr>
      <w:rFonts w:ascii="仿宋_GB2312" w:eastAsia="仿宋_GB2312"/>
      <w:spacing w:val="5"/>
      <w:kern w:val="2"/>
      <w:sz w:val="23"/>
      <w:szCs w:val="24"/>
    </w:rPr>
  </w:style>
  <w:style w:type="character" w:customStyle="1" w:styleId="227">
    <w:name w:val="Char Char2"/>
    <w:autoRedefine/>
    <w:qFormat/>
    <w:uiPriority w:val="0"/>
    <w:rPr>
      <w:rFonts w:eastAsia="宋体"/>
      <w:kern w:val="2"/>
      <w:sz w:val="21"/>
      <w:szCs w:val="24"/>
      <w:lang w:val="en-US" w:eastAsia="zh-CN" w:bidi="ar-SA"/>
    </w:rPr>
  </w:style>
  <w:style w:type="character" w:customStyle="1" w:styleId="228">
    <w:name w:val="正文文本 3 Char"/>
    <w:link w:val="22"/>
    <w:autoRedefine/>
    <w:qFormat/>
    <w:uiPriority w:val="0"/>
    <w:rPr>
      <w:rFonts w:ascii="宋体" w:hAnsi="Calibri"/>
      <w:sz w:val="24"/>
    </w:rPr>
  </w:style>
  <w:style w:type="character" w:customStyle="1" w:styleId="229">
    <w:name w:val="纯文本 Char1"/>
    <w:autoRedefine/>
    <w:qFormat/>
    <w:uiPriority w:val="0"/>
    <w:rPr>
      <w:rFonts w:ascii="宋体" w:hAnsi="Courier New" w:cs="Courier New"/>
      <w:kern w:val="2"/>
      <w:sz w:val="21"/>
      <w:szCs w:val="21"/>
    </w:rPr>
  </w:style>
  <w:style w:type="character" w:customStyle="1" w:styleId="230">
    <w:name w:val="正文文本 2 Char"/>
    <w:link w:val="55"/>
    <w:autoRedefine/>
    <w:qFormat/>
    <w:uiPriority w:val="0"/>
    <w:rPr>
      <w:rFonts w:ascii="Calibri" w:hAnsi="Calibri"/>
      <w:kern w:val="2"/>
      <w:sz w:val="44"/>
      <w:szCs w:val="24"/>
    </w:rPr>
  </w:style>
  <w:style w:type="character" w:customStyle="1" w:styleId="231">
    <w:name w:val="不明显强调2"/>
    <w:autoRedefine/>
    <w:qFormat/>
    <w:uiPriority w:val="0"/>
    <w:rPr>
      <w:i/>
      <w:iCs/>
      <w:color w:val="808080"/>
    </w:rPr>
  </w:style>
  <w:style w:type="character" w:customStyle="1" w:styleId="232">
    <w:name w:val="正文文本缩进 2 Char1"/>
    <w:autoRedefine/>
    <w:semiHidden/>
    <w:qFormat/>
    <w:uiPriority w:val="99"/>
    <w:rPr>
      <w:rFonts w:ascii="Calibri" w:hAnsi="Calibri"/>
      <w:kern w:val="2"/>
      <w:sz w:val="21"/>
      <w:szCs w:val="22"/>
    </w:rPr>
  </w:style>
  <w:style w:type="character" w:customStyle="1" w:styleId="233">
    <w:name w:val="Char Char9"/>
    <w:autoRedefine/>
    <w:qFormat/>
    <w:uiPriority w:val="0"/>
    <w:rPr>
      <w:rFonts w:eastAsia="宋体"/>
      <w:b/>
      <w:bCs/>
      <w:kern w:val="2"/>
      <w:sz w:val="24"/>
      <w:szCs w:val="32"/>
      <w:lang w:val="en-US" w:eastAsia="zh-CN" w:bidi="ar-SA"/>
    </w:rPr>
  </w:style>
  <w:style w:type="character" w:customStyle="1" w:styleId="234">
    <w:name w:val="批注主题 Char1"/>
    <w:autoRedefine/>
    <w:qFormat/>
    <w:uiPriority w:val="99"/>
    <w:rPr>
      <w:rFonts w:ascii="Calibri" w:hAnsi="Calibri" w:eastAsia="宋体" w:cs="Times New Roman"/>
      <w:b/>
      <w:bCs/>
      <w:kern w:val="2"/>
      <w:sz w:val="21"/>
      <w:szCs w:val="22"/>
    </w:rPr>
  </w:style>
  <w:style w:type="character" w:customStyle="1" w:styleId="235">
    <w:name w:val="正文首行缩进 Char1"/>
    <w:autoRedefine/>
    <w:qFormat/>
    <w:uiPriority w:val="0"/>
    <w:rPr>
      <w:rFonts w:ascii="Calibri" w:hAnsi="Calibri"/>
      <w:kern w:val="2"/>
      <w:sz w:val="21"/>
      <w:szCs w:val="22"/>
    </w:rPr>
  </w:style>
  <w:style w:type="character" w:customStyle="1" w:styleId="236">
    <w:name w:val="批注主题 Char"/>
    <w:link w:val="60"/>
    <w:autoRedefine/>
    <w:qFormat/>
    <w:uiPriority w:val="0"/>
  </w:style>
  <w:style w:type="character" w:customStyle="1" w:styleId="237">
    <w:name w:val="hover42"/>
    <w:autoRedefine/>
    <w:qFormat/>
    <w:uiPriority w:val="0"/>
  </w:style>
  <w:style w:type="character" w:customStyle="1" w:styleId="238">
    <w:name w:val="times1"/>
    <w:autoRedefine/>
    <w:qFormat/>
    <w:uiPriority w:val="0"/>
    <w:rPr>
      <w:color w:val="3399FF"/>
      <w:bdr w:val="single" w:color="D1EDF8" w:sz="6" w:space="0"/>
      <w:shd w:val="clear" w:color="auto" w:fill="EAF9FF"/>
    </w:rPr>
  </w:style>
  <w:style w:type="character" w:customStyle="1" w:styleId="239">
    <w:name w:val="hover40"/>
    <w:autoRedefine/>
    <w:qFormat/>
    <w:uiPriority w:val="0"/>
  </w:style>
  <w:style w:type="character" w:customStyle="1" w:styleId="240">
    <w:name w:val="正文文本缩进 2 Char"/>
    <w:link w:val="37"/>
    <w:autoRedefine/>
    <w:qFormat/>
    <w:uiPriority w:val="0"/>
  </w:style>
  <w:style w:type="character" w:customStyle="1" w:styleId="241">
    <w:name w:val="h3 Char1"/>
    <w:autoRedefine/>
    <w:qFormat/>
    <w:uiPriority w:val="0"/>
    <w:rPr>
      <w:rFonts w:eastAsia="宋体"/>
      <w:b/>
      <w:bCs/>
      <w:kern w:val="2"/>
      <w:sz w:val="32"/>
      <w:szCs w:val="32"/>
      <w:lang w:val="en-US" w:eastAsia="zh-CN" w:bidi="ar-SA"/>
    </w:rPr>
  </w:style>
  <w:style w:type="character" w:customStyle="1" w:styleId="242">
    <w:name w:val="times"/>
    <w:autoRedefine/>
    <w:qFormat/>
    <w:uiPriority w:val="0"/>
    <w:rPr>
      <w:color w:val="CDCDCD"/>
      <w:bdr w:val="single" w:color="CDCDCD" w:sz="6" w:space="0"/>
      <w:shd w:val="clear" w:color="auto" w:fill="EFEFEF"/>
    </w:rPr>
  </w:style>
  <w:style w:type="character" w:customStyle="1" w:styleId="243">
    <w:name w:val="正文首行缩进 Char"/>
    <w:link w:val="61"/>
    <w:autoRedefine/>
    <w:qFormat/>
    <w:uiPriority w:val="0"/>
  </w:style>
  <w:style w:type="character" w:customStyle="1" w:styleId="244">
    <w:name w:val="纯文本 Char"/>
    <w:link w:val="33"/>
    <w:autoRedefine/>
    <w:qFormat/>
    <w:uiPriority w:val="0"/>
    <w:rPr>
      <w:rFonts w:ascii="宋体" w:hAnsi="Courier New" w:eastAsia="楷体_GB2312"/>
    </w:rPr>
  </w:style>
  <w:style w:type="character" w:customStyle="1" w:styleId="245">
    <w:name w:val="标题 6 Char"/>
    <w:link w:val="7"/>
    <w:autoRedefine/>
    <w:qFormat/>
    <w:uiPriority w:val="0"/>
    <w:rPr>
      <w:rFonts w:ascii="Cambria" w:hAnsi="Cambria"/>
      <w:b/>
      <w:bCs/>
      <w:sz w:val="24"/>
      <w:szCs w:val="24"/>
    </w:rPr>
  </w:style>
  <w:style w:type="character" w:customStyle="1" w:styleId="246">
    <w:name w:val="批注框文本 Char1"/>
    <w:autoRedefine/>
    <w:qFormat/>
    <w:uiPriority w:val="99"/>
    <w:rPr>
      <w:kern w:val="2"/>
      <w:sz w:val="18"/>
      <w:szCs w:val="18"/>
    </w:rPr>
  </w:style>
  <w:style w:type="character" w:customStyle="1" w:styleId="247">
    <w:name w:val="标题 3 Char"/>
    <w:link w:val="4"/>
    <w:autoRedefine/>
    <w:qFormat/>
    <w:uiPriority w:val="0"/>
    <w:rPr>
      <w:rFonts w:ascii="宋体" w:hAnsi="Calibri"/>
      <w:b/>
      <w:bCs/>
      <w:sz w:val="32"/>
      <w:szCs w:val="32"/>
    </w:rPr>
  </w:style>
  <w:style w:type="character" w:customStyle="1" w:styleId="248">
    <w:name w:val="标题 3 Char Char Char Char Char Char Char Char Char Char Char Char Char Char Char Char Char Char Char Char Char Char"/>
    <w:autoRedefine/>
    <w:qFormat/>
    <w:uiPriority w:val="0"/>
    <w:rPr>
      <w:rFonts w:eastAsia="宋体"/>
      <w:b/>
      <w:sz w:val="32"/>
      <w:lang w:val="en-US" w:eastAsia="zh-CN" w:bidi="ar-SA"/>
    </w:rPr>
  </w:style>
  <w:style w:type="character" w:customStyle="1" w:styleId="249">
    <w:name w:val="文档结构图 Char"/>
    <w:link w:val="18"/>
    <w:autoRedefine/>
    <w:qFormat/>
    <w:uiPriority w:val="99"/>
    <w:rPr>
      <w:rFonts w:ascii="宋体" w:hAnsi="Calibri" w:cs="Times New Roman"/>
      <w:kern w:val="2"/>
      <w:sz w:val="18"/>
      <w:szCs w:val="18"/>
    </w:rPr>
  </w:style>
  <w:style w:type="character" w:customStyle="1" w:styleId="250">
    <w:name w:val="textcontents"/>
    <w:autoRedefine/>
    <w:qFormat/>
    <w:uiPriority w:val="0"/>
    <w:rPr>
      <w:rFonts w:cs="Times New Roman"/>
    </w:rPr>
  </w:style>
  <w:style w:type="character" w:customStyle="1" w:styleId="251">
    <w:name w:val="标题 2 Char"/>
    <w:link w:val="3"/>
    <w:autoRedefine/>
    <w:qFormat/>
    <w:uiPriority w:val="9"/>
    <w:rPr>
      <w:rFonts w:ascii="Calibri Light" w:hAnsi="Calibri Light" w:eastAsia="宋体" w:cs="Times New Roman"/>
      <w:b/>
      <w:bCs/>
      <w:sz w:val="32"/>
      <w:szCs w:val="32"/>
    </w:rPr>
  </w:style>
  <w:style w:type="character" w:customStyle="1" w:styleId="252">
    <w:name w:val="页脚 Char"/>
    <w:link w:val="40"/>
    <w:autoRedefine/>
    <w:qFormat/>
    <w:uiPriority w:val="99"/>
    <w:rPr>
      <w:sz w:val="18"/>
      <w:szCs w:val="18"/>
    </w:rPr>
  </w:style>
  <w:style w:type="character" w:customStyle="1" w:styleId="253">
    <w:name w:val="页眉 Char"/>
    <w:link w:val="41"/>
    <w:autoRedefine/>
    <w:qFormat/>
    <w:uiPriority w:val="0"/>
    <w:rPr>
      <w:sz w:val="18"/>
      <w:szCs w:val="18"/>
    </w:rPr>
  </w:style>
  <w:style w:type="character" w:customStyle="1" w:styleId="254">
    <w:name w:val="标题4 Char"/>
    <w:autoRedefine/>
    <w:qFormat/>
    <w:locked/>
    <w:uiPriority w:val="99"/>
    <w:rPr>
      <w:rFonts w:ascii="宋体" w:cs="宋体"/>
      <w:sz w:val="24"/>
      <w:szCs w:val="24"/>
    </w:rPr>
  </w:style>
  <w:style w:type="character" w:customStyle="1" w:styleId="255">
    <w:name w:val="批注框文本 字符"/>
    <w:autoRedefine/>
    <w:qFormat/>
    <w:uiPriority w:val="99"/>
    <w:rPr>
      <w:kern w:val="2"/>
      <w:sz w:val="18"/>
      <w:szCs w:val="18"/>
    </w:rPr>
  </w:style>
  <w:style w:type="character" w:customStyle="1" w:styleId="256">
    <w:name w:val="正文文本 Char"/>
    <w:basedOn w:val="65"/>
    <w:link w:val="23"/>
    <w:autoRedefine/>
    <w:qFormat/>
    <w:uiPriority w:val="1"/>
  </w:style>
  <w:style w:type="character" w:customStyle="1" w:styleId="257">
    <w:name w:val="标题 4 Char"/>
    <w:link w:val="5"/>
    <w:autoRedefine/>
    <w:qFormat/>
    <w:uiPriority w:val="0"/>
    <w:rPr>
      <w:rFonts w:ascii="Calibri Light" w:hAnsi="Calibri Light" w:eastAsia="宋体" w:cs="Times New Roman"/>
      <w:b/>
      <w:bCs/>
      <w:sz w:val="28"/>
      <w:szCs w:val="28"/>
    </w:rPr>
  </w:style>
  <w:style w:type="character" w:customStyle="1" w:styleId="258">
    <w:name w:val="正文文本缩进 Char"/>
    <w:link w:val="24"/>
    <w:autoRedefine/>
    <w:qFormat/>
    <w:uiPriority w:val="0"/>
    <w:rPr>
      <w:rFonts w:ascii="Times New Roman" w:hAnsi="Times New Roman" w:eastAsia="宋体" w:cs="Times New Roman"/>
      <w:sz w:val="28"/>
      <w:szCs w:val="24"/>
    </w:rPr>
  </w:style>
  <w:style w:type="character" w:customStyle="1" w:styleId="259">
    <w:name w:val="明显参考2"/>
    <w:autoRedefine/>
    <w:qFormat/>
    <w:uiPriority w:val="0"/>
    <w:rPr>
      <w:b/>
      <w:bCs/>
      <w:smallCaps/>
      <w:color w:val="C0504D"/>
      <w:spacing w:val="5"/>
      <w:u w:val="single"/>
    </w:rPr>
  </w:style>
  <w:style w:type="character" w:customStyle="1" w:styleId="260">
    <w:name w:val="批注框文本 Char"/>
    <w:link w:val="39"/>
    <w:autoRedefine/>
    <w:qFormat/>
    <w:uiPriority w:val="0"/>
    <w:rPr>
      <w:sz w:val="18"/>
      <w:szCs w:val="18"/>
    </w:rPr>
  </w:style>
  <w:style w:type="character" w:customStyle="1" w:styleId="261">
    <w:name w:val="批注文字 Char"/>
    <w:link w:val="19"/>
    <w:autoRedefine/>
    <w:qFormat/>
    <w:uiPriority w:val="0"/>
    <w:rPr>
      <w:rFonts w:ascii="Calibri" w:hAnsi="Calibri" w:eastAsia="宋体" w:cs="Times New Roman"/>
    </w:rPr>
  </w:style>
  <w:style w:type="character" w:customStyle="1" w:styleId="262">
    <w:name w:val="HTML 预设格式 Char"/>
    <w:link w:val="56"/>
    <w:autoRedefine/>
    <w:qFormat/>
    <w:uiPriority w:val="0"/>
    <w:rPr>
      <w:rFonts w:ascii="黑体" w:hAnsi="Courier New" w:eastAsia="黑体"/>
    </w:rPr>
  </w:style>
  <w:style w:type="character" w:customStyle="1" w:styleId="263">
    <w:name w:val="标题 2 Char1"/>
    <w:autoRedefine/>
    <w:qFormat/>
    <w:uiPriority w:val="0"/>
    <w:rPr>
      <w:rFonts w:ascii="Arial" w:hAnsi="Arial" w:eastAsia="黑体"/>
      <w:b/>
      <w:bCs/>
      <w:kern w:val="2"/>
      <w:sz w:val="32"/>
      <w:szCs w:val="32"/>
      <w:lang w:val="en-US" w:eastAsia="zh-CN" w:bidi="ar-SA"/>
    </w:rPr>
  </w:style>
  <w:style w:type="character" w:customStyle="1" w:styleId="264">
    <w:name w:val="Footer Char"/>
    <w:autoRedefine/>
    <w:qFormat/>
    <w:locked/>
    <w:uiPriority w:val="99"/>
    <w:rPr>
      <w:rFonts w:eastAsia="长城仿宋"/>
      <w:sz w:val="18"/>
    </w:rPr>
  </w:style>
  <w:style w:type="character" w:customStyle="1" w:styleId="265">
    <w:name w:val="标题 1 Char"/>
    <w:link w:val="2"/>
    <w:autoRedefine/>
    <w:qFormat/>
    <w:uiPriority w:val="9"/>
    <w:rPr>
      <w:rFonts w:ascii="Calibri" w:hAnsi="Calibri"/>
      <w:b/>
      <w:bCs/>
      <w:kern w:val="44"/>
      <w:sz w:val="44"/>
      <w:szCs w:val="44"/>
    </w:rPr>
  </w:style>
  <w:style w:type="character" w:customStyle="1" w:styleId="266">
    <w:name w:val="正文文本缩进 3 Char"/>
    <w:link w:val="50"/>
    <w:autoRedefine/>
    <w:qFormat/>
    <w:uiPriority w:val="0"/>
    <w:rPr>
      <w:rFonts w:ascii="宋体" w:hAnsi="MS Sans Serif"/>
      <w:color w:val="000000"/>
      <w:sz w:val="24"/>
    </w:rPr>
  </w:style>
  <w:style w:type="character" w:customStyle="1" w:styleId="267">
    <w:name w:val="副标题 Char2"/>
    <w:autoRedefine/>
    <w:qFormat/>
    <w:uiPriority w:val="0"/>
    <w:rPr>
      <w:rFonts w:ascii="Cambria" w:hAnsi="Cambria" w:cs="Times New Roman"/>
      <w:b/>
      <w:bCs/>
      <w:kern w:val="28"/>
      <w:sz w:val="32"/>
      <w:szCs w:val="32"/>
    </w:rPr>
  </w:style>
  <w:style w:type="character" w:customStyle="1" w:styleId="268">
    <w:name w:val="Char Char14"/>
    <w:autoRedefine/>
    <w:qFormat/>
    <w:uiPriority w:val="0"/>
    <w:rPr>
      <w:rFonts w:eastAsia="宋体"/>
      <w:kern w:val="2"/>
      <w:sz w:val="21"/>
      <w:szCs w:val="24"/>
      <w:lang w:val="en-US" w:eastAsia="zh-CN" w:bidi="ar-SA"/>
    </w:rPr>
  </w:style>
  <w:style w:type="character" w:customStyle="1" w:styleId="269">
    <w:name w:val="批注文字 Char Char"/>
    <w:autoRedefine/>
    <w:qFormat/>
    <w:uiPriority w:val="0"/>
    <w:rPr>
      <w:rFonts w:ascii="宋体" w:hAnsi="Times New Roman" w:eastAsia="宋体" w:cs="Times New Roman"/>
      <w:sz w:val="28"/>
      <w:szCs w:val="20"/>
    </w:rPr>
  </w:style>
  <w:style w:type="character" w:customStyle="1" w:styleId="270">
    <w:name w:val="标题 7 Char"/>
    <w:link w:val="8"/>
    <w:autoRedefine/>
    <w:qFormat/>
    <w:uiPriority w:val="0"/>
    <w:rPr>
      <w:b/>
      <w:sz w:val="24"/>
    </w:rPr>
  </w:style>
  <w:style w:type="character" w:customStyle="1" w:styleId="271">
    <w:name w:val="样式 标题 3  1、Heading 3 - old子系统h33rd level3H3章标题1三级标题l3CT... Char"/>
    <w:autoRedefine/>
    <w:qFormat/>
    <w:uiPriority w:val="0"/>
    <w:rPr>
      <w:b/>
      <w:color w:val="000000"/>
      <w:sz w:val="32"/>
      <w:szCs w:val="32"/>
    </w:rPr>
  </w:style>
  <w:style w:type="character" w:customStyle="1" w:styleId="272">
    <w:name w:val="Char Char"/>
    <w:autoRedefine/>
    <w:qFormat/>
    <w:uiPriority w:val="0"/>
    <w:rPr>
      <w:rFonts w:ascii="黑体" w:hAnsi="Courier New" w:eastAsia="黑体" w:cs="Courier New"/>
      <w:lang w:val="en-US" w:eastAsia="zh-CN" w:bidi="ar-SA"/>
    </w:rPr>
  </w:style>
  <w:style w:type="paragraph" w:customStyle="1" w:styleId="273">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274">
    <w:name w:val="Char"/>
    <w:basedOn w:val="1"/>
    <w:autoRedefine/>
    <w:qFormat/>
    <w:uiPriority w:val="0"/>
    <w:pPr>
      <w:widowControl/>
      <w:spacing w:line="400" w:lineRule="exact"/>
      <w:jc w:val="center"/>
    </w:pPr>
    <w:rPr>
      <w:rFonts w:ascii="Times New Roman" w:hAnsi="Times New Roman"/>
      <w:sz w:val="24"/>
      <w:szCs w:val="24"/>
    </w:rPr>
  </w:style>
  <w:style w:type="paragraph" w:customStyle="1" w:styleId="275">
    <w:name w:val="列出段落3"/>
    <w:basedOn w:val="1"/>
    <w:autoRedefine/>
    <w:qFormat/>
    <w:uiPriority w:val="0"/>
    <w:pPr>
      <w:ind w:firstLine="420" w:firstLineChars="200"/>
    </w:pPr>
  </w:style>
  <w:style w:type="paragraph" w:customStyle="1" w:styleId="276">
    <w:name w:val="导则正文"/>
    <w:basedOn w:val="1"/>
    <w:autoRedefine/>
    <w:qFormat/>
    <w:uiPriority w:val="0"/>
    <w:pPr>
      <w:ind w:firstLine="200"/>
      <w:jc w:val="left"/>
    </w:pPr>
    <w:rPr>
      <w:szCs w:val="24"/>
    </w:rPr>
  </w:style>
  <w:style w:type="paragraph" w:customStyle="1" w:styleId="277">
    <w:name w:val="标2"/>
    <w:basedOn w:val="1"/>
    <w:autoRedefine/>
    <w:qFormat/>
    <w:uiPriority w:val="0"/>
    <w:pPr>
      <w:ind w:firstLine="420" w:firstLineChars="200"/>
    </w:pPr>
    <w:rPr>
      <w:rFonts w:ascii="Times New Roman" w:hAnsi="Times New Roman"/>
      <w:szCs w:val="21"/>
    </w:rPr>
  </w:style>
  <w:style w:type="paragraph" w:customStyle="1" w:styleId="278">
    <w:name w:val="文档结构图1"/>
    <w:basedOn w:val="1"/>
    <w:autoRedefine/>
    <w:qFormat/>
    <w:uiPriority w:val="0"/>
    <w:rPr>
      <w:rFonts w:ascii="宋体"/>
      <w:sz w:val="18"/>
      <w:szCs w:val="18"/>
    </w:rPr>
  </w:style>
  <w:style w:type="paragraph" w:customStyle="1" w:styleId="279">
    <w:name w:val="我的正文"/>
    <w:basedOn w:val="1"/>
    <w:autoRedefine/>
    <w:qFormat/>
    <w:uiPriority w:val="0"/>
    <w:rPr>
      <w:rFonts w:ascii="宋体" w:hAnsi="宋体"/>
      <w:sz w:val="24"/>
      <w:szCs w:val="24"/>
    </w:rPr>
  </w:style>
  <w:style w:type="paragraph" w:customStyle="1" w:styleId="280">
    <w:name w:val="1"/>
    <w:basedOn w:val="1"/>
    <w:autoRedefine/>
    <w:qFormat/>
    <w:uiPriority w:val="0"/>
    <w:rPr>
      <w:rFonts w:ascii="Times New Roman" w:hAnsi="Times New Roman"/>
      <w:szCs w:val="20"/>
    </w:rPr>
  </w:style>
  <w:style w:type="paragraph" w:customStyle="1" w:styleId="281">
    <w:name w:val="a4"/>
    <w:basedOn w:val="1"/>
    <w:autoRedefine/>
    <w:qFormat/>
    <w:uiPriority w:val="0"/>
    <w:pPr>
      <w:widowControl/>
      <w:jc w:val="left"/>
    </w:pPr>
    <w:rPr>
      <w:rFonts w:ascii="宋体" w:hAnsi="宋体" w:cs="宋体"/>
      <w:kern w:val="0"/>
      <w:sz w:val="24"/>
      <w:szCs w:val="24"/>
    </w:rPr>
  </w:style>
  <w:style w:type="paragraph" w:customStyle="1" w:styleId="282">
    <w:name w:val="TOC 标题3"/>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83">
    <w:name w:val="表头"/>
    <w:basedOn w:val="1"/>
    <w:link w:val="635"/>
    <w:autoRedefine/>
    <w:qFormat/>
    <w:uiPriority w:val="0"/>
    <w:pPr>
      <w:widowControl/>
      <w:spacing w:line="360" w:lineRule="auto"/>
      <w:jc w:val="center"/>
    </w:pPr>
    <w:rPr>
      <w:rFonts w:ascii="黑体" w:hAnsi="Times New Roman" w:eastAsia="黑体"/>
      <w:kern w:val="0"/>
      <w:sz w:val="24"/>
      <w:szCs w:val="20"/>
    </w:rPr>
  </w:style>
  <w:style w:type="paragraph" w:customStyle="1" w:styleId="284">
    <w:name w:val="_Style 46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5">
    <w:name w:val="发文落款"/>
    <w:basedOn w:val="286"/>
    <w:autoRedefine/>
    <w:qFormat/>
    <w:uiPriority w:val="0"/>
    <w:pPr>
      <w:ind w:left="4094" w:right="607" w:firstLine="0"/>
      <w:jc w:val="center"/>
    </w:pPr>
  </w:style>
  <w:style w:type="paragraph" w:customStyle="1" w:styleId="286">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87">
    <w:name w:val="xl147"/>
    <w:basedOn w:val="1"/>
    <w:autoRedefine/>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8">
    <w:name w:val="条款节部分"/>
    <w:basedOn w:val="1"/>
    <w:autoRedefine/>
    <w:qFormat/>
    <w:uiPriority w:val="0"/>
    <w:pPr>
      <w:tabs>
        <w:tab w:val="left" w:pos="2850"/>
      </w:tabs>
    </w:pPr>
    <w:rPr>
      <w:rFonts w:eastAsia="仿宋_GB2312"/>
      <w:sz w:val="32"/>
      <w:szCs w:val="32"/>
    </w:rPr>
  </w:style>
  <w:style w:type="paragraph" w:customStyle="1" w:styleId="289">
    <w:name w:val="Char Char Char Char1"/>
    <w:basedOn w:val="1"/>
    <w:autoRedefine/>
    <w:qFormat/>
    <w:uiPriority w:val="0"/>
    <w:rPr>
      <w:szCs w:val="24"/>
    </w:rPr>
  </w:style>
  <w:style w:type="paragraph" w:customStyle="1" w:styleId="290">
    <w:name w:val="正文 New New New New New"/>
    <w:autoRedefine/>
    <w:qFormat/>
    <w:uiPriority w:val="0"/>
    <w:pPr>
      <w:widowControl w:val="0"/>
      <w:jc w:val="both"/>
    </w:pPr>
    <w:rPr>
      <w:rFonts w:ascii="Calibri" w:hAnsi="Calibri" w:eastAsia="宋体" w:cs="Times New Roman"/>
      <w:kern w:val="2"/>
      <w:sz w:val="24"/>
      <w:szCs w:val="24"/>
      <w:lang w:val="en-US" w:eastAsia="zh-CN" w:bidi="ar-SA"/>
    </w:rPr>
  </w:style>
  <w:style w:type="paragraph" w:customStyle="1" w:styleId="291">
    <w:name w:val="1."/>
    <w:basedOn w:val="1"/>
    <w:autoRedefine/>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292">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293">
    <w:name w:val="正题"/>
    <w:basedOn w:val="144"/>
    <w:next w:val="144"/>
    <w:autoRedefine/>
    <w:qFormat/>
    <w:uiPriority w:val="0"/>
    <w:pPr>
      <w:ind w:firstLine="0" w:firstLineChars="0"/>
      <w:jc w:val="center"/>
    </w:pPr>
    <w:rPr>
      <w:rFonts w:eastAsia="黑体"/>
      <w:b/>
      <w:sz w:val="36"/>
      <w:szCs w:val="36"/>
    </w:rPr>
  </w:style>
  <w:style w:type="paragraph" w:customStyle="1" w:styleId="294">
    <w:name w:val="xl65"/>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295">
    <w:name w:val="目录 32"/>
    <w:autoRedefine/>
    <w:qFormat/>
    <w:uiPriority w:val="0"/>
    <w:rPr>
      <w:rFonts w:ascii="Calibri" w:hAnsi="Calibri" w:eastAsia="Calibri" w:cs="Calibri"/>
      <w:color w:val="000000"/>
      <w:lang w:val="en-US" w:eastAsia="zh-CN" w:bidi="ar-SA"/>
    </w:rPr>
  </w:style>
  <w:style w:type="paragraph" w:customStyle="1" w:styleId="296">
    <w:name w:val="样式 标题 2 + 段前: 0.5 行 段后: 0.5 行"/>
    <w:basedOn w:val="3"/>
    <w:autoRedefine/>
    <w:qFormat/>
    <w:uiPriority w:val="0"/>
    <w:pPr>
      <w:spacing w:beforeLines="50" w:afterLines="50" w:line="400" w:lineRule="exact"/>
      <w:ind w:firstLine="643" w:firstLineChars="200"/>
      <w:jc w:val="center"/>
    </w:pPr>
    <w:rPr>
      <w:rFonts w:ascii="Arial" w:hAnsi="Arial" w:eastAsia="黑体" w:cs="宋体"/>
      <w:kern w:val="2"/>
      <w:szCs w:val="20"/>
      <w:lang w:val="en-US"/>
    </w:rPr>
  </w:style>
  <w:style w:type="paragraph" w:customStyle="1" w:styleId="297">
    <w:name w:val="列出段落2"/>
    <w:basedOn w:val="1"/>
    <w:autoRedefine/>
    <w:qFormat/>
    <w:uiPriority w:val="0"/>
    <w:pPr>
      <w:widowControl/>
      <w:ind w:firstLine="420" w:firstLineChars="200"/>
      <w:jc w:val="left"/>
    </w:pPr>
    <w:rPr>
      <w:kern w:val="0"/>
      <w:sz w:val="24"/>
      <w:szCs w:val="24"/>
      <w:lang w:eastAsia="en-US"/>
    </w:rPr>
  </w:style>
  <w:style w:type="paragraph" w:customStyle="1" w:styleId="298">
    <w:name w:val="目录 21"/>
    <w:autoRedefine/>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299">
    <w:name w:val="封四"/>
    <w:basedOn w:val="144"/>
    <w:next w:val="144"/>
    <w:autoRedefine/>
    <w:qFormat/>
    <w:uiPriority w:val="0"/>
    <w:pPr>
      <w:jc w:val="left"/>
    </w:pPr>
    <w:rPr>
      <w:sz w:val="30"/>
      <w:szCs w:val="30"/>
    </w:rPr>
  </w:style>
  <w:style w:type="paragraph" w:customStyle="1" w:styleId="300">
    <w:name w:val="Char Char Char Char Char Char Char Char Char1 Char Char Char Char Char Char Char Char Char Char Char Char Char"/>
    <w:basedOn w:val="2"/>
    <w:autoRedefine/>
    <w:qFormat/>
    <w:uiPriority w:val="0"/>
    <w:pPr>
      <w:snapToGrid w:val="0"/>
      <w:spacing w:before="240" w:after="240" w:line="348" w:lineRule="auto"/>
    </w:pPr>
    <w:rPr>
      <w:rFonts w:ascii="Times New Roman" w:hAnsi="Times New Roman"/>
      <w:lang w:val="en-US"/>
    </w:rPr>
  </w:style>
  <w:style w:type="paragraph" w:customStyle="1" w:styleId="301">
    <w:name w:val="xl99"/>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02">
    <w:name w:val="xl102"/>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03">
    <w:name w:val="目录 31"/>
    <w:autoRedefine/>
    <w:qFormat/>
    <w:uiPriority w:val="0"/>
    <w:rPr>
      <w:rFonts w:ascii="Calibri" w:hAnsi="Calibri" w:eastAsia="Calibri" w:cs="Calibri"/>
      <w:color w:val="000000"/>
      <w:lang w:val="en-US" w:eastAsia="zh-CN" w:bidi="ar-SA"/>
    </w:rPr>
  </w:style>
  <w:style w:type="paragraph" w:customStyle="1" w:styleId="304">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05">
    <w:name w:val="修订11"/>
    <w:autoRedefine/>
    <w:qFormat/>
    <w:uiPriority w:val="0"/>
    <w:rPr>
      <w:rFonts w:ascii="Calibri" w:hAnsi="Calibri" w:eastAsia="宋体" w:cs="Times New Roman"/>
      <w:kern w:val="2"/>
      <w:sz w:val="21"/>
      <w:szCs w:val="24"/>
      <w:lang w:val="en-US" w:eastAsia="zh-CN" w:bidi="ar-SA"/>
    </w:rPr>
  </w:style>
  <w:style w:type="paragraph" w:customStyle="1" w:styleId="306">
    <w:name w:val="普通 (Web)"/>
    <w:basedOn w:val="1"/>
    <w:autoRedefine/>
    <w:qFormat/>
    <w:uiPriority w:val="99"/>
    <w:pPr>
      <w:widowControl/>
      <w:spacing w:before="102" w:after="102" w:line="351" w:lineRule="atLeast"/>
      <w:ind w:firstLine="419"/>
      <w:jc w:val="left"/>
      <w:textAlignment w:val="baseline"/>
    </w:pPr>
    <w:rPr>
      <w:rFonts w:ascii="宋体"/>
      <w:color w:val="999999"/>
      <w:kern w:val="0"/>
      <w:sz w:val="24"/>
      <w:szCs w:val="20"/>
    </w:rPr>
  </w:style>
  <w:style w:type="paragraph" w:customStyle="1" w:styleId="307">
    <w:name w:val="标题2"/>
    <w:basedOn w:val="3"/>
    <w:next w:val="1"/>
    <w:autoRedefine/>
    <w:qFormat/>
    <w:uiPriority w:val="0"/>
    <w:pPr>
      <w:spacing w:before="120" w:after="0" w:line="240" w:lineRule="auto"/>
      <w:ind w:left="284" w:firstLine="567"/>
    </w:pPr>
    <w:rPr>
      <w:rFonts w:ascii="Cambria" w:hAnsi="Cambria"/>
      <w:kern w:val="2"/>
      <w:lang w:val="en-US"/>
    </w:rPr>
  </w:style>
  <w:style w:type="paragraph" w:customStyle="1" w:styleId="308">
    <w:name w:val="默认段落字体 Para Char Char Char Char Char Char Char Char Char Char Char Char Char"/>
    <w:basedOn w:val="1"/>
    <w:autoRedefine/>
    <w:qFormat/>
    <w:uiPriority w:val="0"/>
    <w:rPr>
      <w:szCs w:val="24"/>
    </w:rPr>
  </w:style>
  <w:style w:type="paragraph" w:customStyle="1" w:styleId="309">
    <w:name w:val="xl159"/>
    <w:basedOn w:val="1"/>
    <w:autoRedefine/>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10">
    <w:name w:val="List Paragraph1"/>
    <w:basedOn w:val="1"/>
    <w:autoRedefine/>
    <w:qFormat/>
    <w:uiPriority w:val="0"/>
    <w:pPr>
      <w:ind w:firstLine="420" w:firstLineChars="200"/>
    </w:pPr>
    <w:rPr>
      <w:szCs w:val="20"/>
    </w:rPr>
  </w:style>
  <w:style w:type="paragraph" w:customStyle="1" w:styleId="311">
    <w:name w:val="xl74"/>
    <w:basedOn w:val="1"/>
    <w:autoRedefine/>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312">
    <w:name w:val="xl89"/>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1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314">
    <w:name w:val="封一"/>
    <w:basedOn w:val="1"/>
    <w:next w:val="1"/>
    <w:autoRedefine/>
    <w:qFormat/>
    <w:uiPriority w:val="0"/>
    <w:pPr>
      <w:topLinePunct/>
      <w:adjustRightInd w:val="0"/>
      <w:snapToGrid w:val="0"/>
      <w:spacing w:line="360" w:lineRule="auto"/>
      <w:jc w:val="center"/>
    </w:pPr>
    <w:rPr>
      <w:rFonts w:eastAsia="黑体"/>
      <w:b/>
      <w:snapToGrid w:val="0"/>
      <w:spacing w:val="4"/>
      <w:kern w:val="0"/>
      <w:sz w:val="84"/>
      <w:szCs w:val="84"/>
    </w:rPr>
  </w:style>
  <w:style w:type="paragraph" w:customStyle="1" w:styleId="315">
    <w:name w:val="正文 + 宋体"/>
    <w:basedOn w:val="1"/>
    <w:autoRedefine/>
    <w:qFormat/>
    <w:uiPriority w:val="0"/>
    <w:pPr>
      <w:snapToGrid w:val="0"/>
      <w:spacing w:after="100" w:afterAutospacing="1"/>
    </w:pPr>
    <w:rPr>
      <w:rFonts w:ascii="宋体" w:hAnsi="宋体"/>
      <w:bCs/>
      <w:spacing w:val="4"/>
      <w:sz w:val="24"/>
      <w:szCs w:val="24"/>
    </w:rPr>
  </w:style>
  <w:style w:type="paragraph" w:customStyle="1" w:styleId="316">
    <w:name w:val="xl88"/>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17">
    <w:name w:val="Char Char Char Char"/>
    <w:basedOn w:val="18"/>
    <w:autoRedefine/>
    <w:qFormat/>
    <w:uiPriority w:val="0"/>
    <w:pPr>
      <w:shd w:val="clear" w:color="auto" w:fill="000080"/>
    </w:pPr>
    <w:rPr>
      <w:rFonts w:ascii="Tahoma" w:hAnsi="Tahoma"/>
      <w:kern w:val="0"/>
      <w:sz w:val="24"/>
      <w:szCs w:val="24"/>
      <w:lang w:val="en-US"/>
    </w:rPr>
  </w:style>
  <w:style w:type="paragraph" w:customStyle="1" w:styleId="318">
    <w:name w:val="正文 + 小四"/>
    <w:basedOn w:val="1"/>
    <w:autoRedefine/>
    <w:qFormat/>
    <w:uiPriority w:val="0"/>
    <w:pPr>
      <w:tabs>
        <w:tab w:val="left" w:pos="960"/>
      </w:tabs>
    </w:pPr>
    <w:rPr>
      <w:sz w:val="24"/>
      <w:szCs w:val="24"/>
    </w:rPr>
  </w:style>
  <w:style w:type="paragraph" w:customStyle="1" w:styleId="319">
    <w:name w:val="Char1 Char Char Char Char Char Char"/>
    <w:basedOn w:val="18"/>
    <w:next w:val="4"/>
    <w:autoRedefine/>
    <w:qFormat/>
    <w:uiPriority w:val="0"/>
    <w:pPr>
      <w:shd w:val="clear" w:color="auto" w:fill="000080"/>
      <w:adjustRightInd w:val="0"/>
      <w:spacing w:line="600" w:lineRule="exact"/>
      <w:jc w:val="center"/>
      <w:outlineLvl w:val="2"/>
    </w:pPr>
    <w:rPr>
      <w:rFonts w:ascii="Times New Roman" w:hAnsi="Times New Roman"/>
      <w:kern w:val="0"/>
      <w:sz w:val="21"/>
      <w:szCs w:val="20"/>
      <w:lang w:val="en-US"/>
    </w:rPr>
  </w:style>
  <w:style w:type="paragraph" w:customStyle="1" w:styleId="320">
    <w:name w:val="Char Char Char Char Char Char Char Char Char Char Char Char Char Char Char Char Char Char Char Char Char Char Char Char Char Char Char Char Char Char Char"/>
    <w:basedOn w:val="1"/>
    <w:autoRedefine/>
    <w:qFormat/>
    <w:uiPriority w:val="0"/>
    <w:rPr>
      <w:szCs w:val="21"/>
    </w:rPr>
  </w:style>
  <w:style w:type="paragraph" w:customStyle="1" w:styleId="321">
    <w:name w:val="xl70"/>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22">
    <w:name w:val="Char Char Char Char Char Char Char Char Char Char"/>
    <w:autoRedefine/>
    <w:qFormat/>
    <w:uiPriority w:val="0"/>
    <w:pPr>
      <w:widowControl w:val="0"/>
      <w:jc w:val="both"/>
    </w:pPr>
    <w:rPr>
      <w:rFonts w:hint="eastAsia" w:ascii="Arial Unicode MS" w:hAnsi="Arial Unicode MS" w:eastAsia="Arial Unicode MS" w:cs="Arial Unicode MS"/>
      <w:color w:val="000000"/>
      <w:kern w:val="2"/>
      <w:sz w:val="24"/>
      <w:szCs w:val="24"/>
      <w:lang w:val="en-US" w:eastAsia="zh-CN" w:bidi="ar-SA"/>
    </w:rPr>
  </w:style>
  <w:style w:type="paragraph" w:customStyle="1" w:styleId="323">
    <w:name w:val="目录"/>
    <w:basedOn w:val="1"/>
    <w:autoRedefine/>
    <w:qFormat/>
    <w:uiPriority w:val="0"/>
    <w:pPr>
      <w:widowControl/>
      <w:jc w:val="center"/>
    </w:pPr>
    <w:rPr>
      <w:rFonts w:ascii="宋体"/>
      <w:b/>
      <w:kern w:val="0"/>
      <w:sz w:val="36"/>
      <w:szCs w:val="20"/>
    </w:rPr>
  </w:style>
  <w:style w:type="paragraph" w:customStyle="1" w:styleId="324">
    <w:name w:val="xl15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25">
    <w:name w:val="xl165"/>
    <w:basedOn w:val="1"/>
    <w:autoRedefine/>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26">
    <w:name w:val="xl68"/>
    <w:basedOn w:val="1"/>
    <w:autoRedefine/>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27">
    <w:name w:val="new"/>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28">
    <w:name w:val="Char Char Char Char Char Char Char"/>
    <w:basedOn w:val="1"/>
    <w:autoRedefine/>
    <w:qFormat/>
    <w:uiPriority w:val="0"/>
    <w:pPr>
      <w:tabs>
        <w:tab w:val="right" w:leader="middleDot" w:pos="360"/>
      </w:tabs>
    </w:pPr>
    <w:rPr>
      <w:color w:val="000000"/>
      <w:kern w:val="1"/>
      <w:sz w:val="24"/>
      <w:szCs w:val="24"/>
    </w:rPr>
  </w:style>
  <w:style w:type="paragraph" w:customStyle="1" w:styleId="329">
    <w:name w:val="_Style 197"/>
    <w:autoRedefine/>
    <w:qFormat/>
    <w:uiPriority w:val="99"/>
    <w:rPr>
      <w:rFonts w:ascii="Calibri" w:hAnsi="Calibri" w:eastAsia="宋体" w:cs="Times New Roman"/>
      <w:kern w:val="2"/>
      <w:sz w:val="21"/>
      <w:szCs w:val="24"/>
      <w:lang w:val="en-US" w:eastAsia="zh-CN" w:bidi="ar-SA"/>
    </w:rPr>
  </w:style>
  <w:style w:type="paragraph" w:customStyle="1" w:styleId="330">
    <w:name w:val="TOC 标题2"/>
    <w:basedOn w:val="2"/>
    <w:next w:val="1"/>
    <w:autoRedefine/>
    <w:unhideWhenUsed/>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331">
    <w:name w:val="封三"/>
    <w:basedOn w:val="144"/>
    <w:next w:val="144"/>
    <w:autoRedefine/>
    <w:qFormat/>
    <w:uiPriority w:val="0"/>
    <w:pPr>
      <w:ind w:firstLine="0" w:firstLineChars="0"/>
      <w:jc w:val="center"/>
    </w:pPr>
    <w:rPr>
      <w:sz w:val="30"/>
    </w:rPr>
  </w:style>
  <w:style w:type="paragraph" w:customStyle="1" w:styleId="332">
    <w:name w:val="xl10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33">
    <w:name w:val="_Style 23"/>
    <w:basedOn w:val="1"/>
    <w:autoRedefine/>
    <w:qFormat/>
    <w:uiPriority w:val="0"/>
    <w:pPr>
      <w:widowControl/>
      <w:spacing w:after="160" w:line="240" w:lineRule="exact"/>
      <w:jc w:val="left"/>
    </w:pPr>
  </w:style>
  <w:style w:type="paragraph" w:customStyle="1" w:styleId="334">
    <w:name w:val="章节三"/>
    <w:basedOn w:val="144"/>
    <w:next w:val="144"/>
    <w:autoRedefine/>
    <w:qFormat/>
    <w:uiPriority w:val="0"/>
    <w:pPr>
      <w:spacing w:beforeLines="50" w:afterLines="50" w:line="240" w:lineRule="auto"/>
      <w:ind w:firstLine="0" w:firstLineChars="0"/>
      <w:jc w:val="left"/>
      <w:outlineLvl w:val="2"/>
    </w:pPr>
    <w:rPr>
      <w:rFonts w:ascii="黑体" w:hAnsi="宋体" w:eastAsia="黑体"/>
      <w:b/>
    </w:rPr>
  </w:style>
  <w:style w:type="paragraph" w:customStyle="1" w:styleId="335">
    <w:name w:val="msolist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36">
    <w:name w:val="xl149"/>
    <w:basedOn w:val="1"/>
    <w:autoRedefine/>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37">
    <w:name w:val="n_p_lineheight"/>
    <w:basedOn w:val="1"/>
    <w:autoRedefine/>
    <w:qFormat/>
    <w:uiPriority w:val="0"/>
    <w:pPr>
      <w:widowControl/>
      <w:jc w:val="left"/>
    </w:pPr>
    <w:rPr>
      <w:rFonts w:ascii="宋体" w:hAnsi="宋体" w:cs="宋体"/>
      <w:kern w:val="0"/>
      <w:sz w:val="24"/>
      <w:szCs w:val="24"/>
    </w:rPr>
  </w:style>
  <w:style w:type="paragraph" w:customStyle="1" w:styleId="338">
    <w:name w:val="样式 WG标题3居中 + 行距: 固定值 18 磅"/>
    <w:basedOn w:val="1"/>
    <w:autoRedefine/>
    <w:qFormat/>
    <w:uiPriority w:val="0"/>
    <w:pPr>
      <w:spacing w:before="100" w:beforeAutospacing="1" w:after="100" w:afterAutospacing="1" w:line="360" w:lineRule="exact"/>
      <w:jc w:val="center"/>
      <w:outlineLvl w:val="2"/>
    </w:pPr>
    <w:rPr>
      <w:rFonts w:cs="宋体"/>
      <w:b/>
      <w:bCs/>
      <w:sz w:val="32"/>
      <w:szCs w:val="20"/>
    </w:rPr>
  </w:style>
  <w:style w:type="paragraph" w:customStyle="1" w:styleId="339">
    <w:name w:val="Char1"/>
    <w:basedOn w:val="1"/>
    <w:autoRedefine/>
    <w:qFormat/>
    <w:uiPriority w:val="0"/>
    <w:rPr>
      <w:rFonts w:ascii="Tahoma" w:hAnsi="Tahoma"/>
      <w:b/>
      <w:sz w:val="28"/>
      <w:szCs w:val="28"/>
    </w:rPr>
  </w:style>
  <w:style w:type="paragraph" w:customStyle="1" w:styleId="34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41">
    <w:name w:val="List Paragraph11"/>
    <w:basedOn w:val="1"/>
    <w:autoRedefine/>
    <w:qFormat/>
    <w:uiPriority w:val="34"/>
    <w:pPr>
      <w:adjustRightInd w:val="0"/>
      <w:spacing w:line="312" w:lineRule="atLeast"/>
      <w:ind w:firstLine="420" w:firstLineChars="200"/>
      <w:textAlignment w:val="baseline"/>
    </w:pPr>
    <w:rPr>
      <w:kern w:val="0"/>
      <w:szCs w:val="20"/>
    </w:rPr>
  </w:style>
  <w:style w:type="paragraph" w:customStyle="1" w:styleId="342">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43">
    <w:name w:val="p0"/>
    <w:basedOn w:val="1"/>
    <w:autoRedefine/>
    <w:qFormat/>
    <w:uiPriority w:val="0"/>
    <w:pPr>
      <w:widowControl/>
    </w:pPr>
    <w:rPr>
      <w:kern w:val="0"/>
      <w:szCs w:val="21"/>
    </w:rPr>
  </w:style>
  <w:style w:type="paragraph" w:customStyle="1" w:styleId="344">
    <w:name w:val="纯文本11"/>
    <w:basedOn w:val="1"/>
    <w:autoRedefine/>
    <w:qFormat/>
    <w:uiPriority w:val="0"/>
    <w:pPr>
      <w:adjustRightInd w:val="0"/>
      <w:jc w:val="left"/>
      <w:textAlignment w:val="baseline"/>
    </w:pPr>
    <w:rPr>
      <w:rFonts w:ascii="宋体" w:hAnsi="Courier New"/>
      <w:sz w:val="24"/>
      <w:szCs w:val="20"/>
    </w:rPr>
  </w:style>
  <w:style w:type="paragraph" w:customStyle="1" w:styleId="345">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46">
    <w:name w:val="xl112"/>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top"/>
    </w:pPr>
    <w:rPr>
      <w:rFonts w:ascii="宋体" w:hAnsi="宋体" w:cs="宋体"/>
      <w:kern w:val="0"/>
      <w:sz w:val="16"/>
      <w:szCs w:val="16"/>
    </w:rPr>
  </w:style>
  <w:style w:type="paragraph" w:customStyle="1" w:styleId="347">
    <w:name w:val="xl87"/>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348">
    <w:name w:val="xl155"/>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xl122"/>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50">
    <w:name w:val="xl163"/>
    <w:basedOn w:val="1"/>
    <w:autoRedefine/>
    <w:qFormat/>
    <w:uiPriority w:val="0"/>
    <w:pPr>
      <w:widowControl/>
      <w:pBdr>
        <w:top w:val="double" w:color="auto" w:sz="6"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351">
    <w:name w:val="xl126"/>
    <w:basedOn w:val="1"/>
    <w:autoRedefine/>
    <w:qFormat/>
    <w:uiPriority w:val="0"/>
    <w:pPr>
      <w:widowControl/>
      <w:pBdr>
        <w:bottom w:val="single" w:color="auto" w:sz="8" w:space="0"/>
      </w:pBdr>
      <w:spacing w:before="100" w:beforeAutospacing="1" w:after="100" w:afterAutospacing="1"/>
      <w:jc w:val="left"/>
    </w:pPr>
    <w:rPr>
      <w:rFonts w:ascii="宋体" w:hAnsi="宋体" w:cs="宋体"/>
      <w:kern w:val="0"/>
      <w:sz w:val="18"/>
      <w:szCs w:val="18"/>
    </w:rPr>
  </w:style>
  <w:style w:type="paragraph" w:customStyle="1" w:styleId="352">
    <w:name w:val="样式 标题 3  1、Heading 3 - old子系统h33rd level3H3章标题1三级标题l3CT..."/>
    <w:basedOn w:val="4"/>
    <w:autoRedefine/>
    <w:qFormat/>
    <w:uiPriority w:val="0"/>
    <w:pPr>
      <w:spacing w:before="120" w:after="120" w:line="360" w:lineRule="auto"/>
    </w:pPr>
    <w:rPr>
      <w:rFonts w:ascii="Calibri"/>
      <w:bCs w:val="0"/>
      <w:color w:val="000000"/>
      <w:kern w:val="1"/>
    </w:rPr>
  </w:style>
  <w:style w:type="paragraph" w:customStyle="1" w:styleId="353">
    <w:name w:val="xl90"/>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54">
    <w:name w:val="xl132"/>
    <w:basedOn w:val="1"/>
    <w:autoRedefine/>
    <w:qFormat/>
    <w:uiPriority w:val="0"/>
    <w:pPr>
      <w:widowControl/>
      <w:pBdr>
        <w:bottom w:val="single" w:color="auto" w:sz="8" w:space="0"/>
      </w:pBdr>
      <w:spacing w:before="100" w:beforeAutospacing="1" w:after="100" w:afterAutospacing="1"/>
      <w:jc w:val="left"/>
    </w:pPr>
    <w:rPr>
      <w:rFonts w:ascii="宋体" w:hAnsi="宋体" w:cs="宋体"/>
      <w:kern w:val="0"/>
      <w:sz w:val="20"/>
      <w:szCs w:val="20"/>
    </w:rPr>
  </w:style>
  <w:style w:type="paragraph" w:customStyle="1" w:styleId="355">
    <w:name w:val="xl114"/>
    <w:basedOn w:val="1"/>
    <w:autoRedefine/>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56">
    <w:name w:val="xl118"/>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57">
    <w:name w:val="xl141"/>
    <w:basedOn w:val="1"/>
    <w:autoRedefine/>
    <w:qFormat/>
    <w:uiPriority w:val="0"/>
    <w:pPr>
      <w:widowControl/>
      <w:pBdr>
        <w:top w:val="double" w:color="auto" w:sz="6"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58">
    <w:name w:val="xl7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359">
    <w:name w:val="xl161"/>
    <w:basedOn w:val="1"/>
    <w:autoRedefine/>
    <w:qFormat/>
    <w:uiPriority w:val="0"/>
    <w:pPr>
      <w:widowControl/>
      <w:pBdr>
        <w:bottom w:val="double" w:color="auto" w:sz="6" w:space="0"/>
        <w:righ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60">
    <w:name w:val="xl97"/>
    <w:basedOn w:val="1"/>
    <w:autoRedefine/>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361">
    <w:name w:val="目录 22"/>
    <w:autoRedefine/>
    <w:qFormat/>
    <w:uiPriority w:val="0"/>
    <w:pPr>
      <w:widowControl w:val="0"/>
      <w:tabs>
        <w:tab w:val="right" w:leader="dot" w:pos="9710"/>
      </w:tabs>
      <w:ind w:left="283"/>
    </w:pPr>
    <w:rPr>
      <w:rFonts w:ascii="Times New Roman Bold" w:hAnsi="Times New Roman Bold" w:eastAsia="Times New Roman Bold" w:cs="Times New Roman Bold"/>
      <w:color w:val="000000"/>
      <w:kern w:val="2"/>
      <w:lang w:val="en-US" w:eastAsia="zh-CN" w:bidi="ar-SA"/>
    </w:rPr>
  </w:style>
  <w:style w:type="paragraph" w:customStyle="1" w:styleId="362">
    <w:name w:val="xl158"/>
    <w:basedOn w:val="1"/>
    <w:autoRedefine/>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00"/>
      <w:kern w:val="0"/>
      <w:sz w:val="16"/>
      <w:szCs w:val="16"/>
    </w:rPr>
  </w:style>
  <w:style w:type="paragraph" w:customStyle="1" w:styleId="363">
    <w:name w:val="目录 12"/>
    <w:autoRedefine/>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364">
    <w:name w:val="xl108"/>
    <w:basedOn w:val="1"/>
    <w:autoRedefine/>
    <w:qFormat/>
    <w:uiPriority w:val="0"/>
    <w:pPr>
      <w:widowControl/>
      <w:pBdr>
        <w:top w:val="double" w:color="auto" w:sz="6"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65">
    <w:name w:val="CM337"/>
    <w:basedOn w:val="366"/>
    <w:next w:val="366"/>
    <w:autoRedefine/>
    <w:qFormat/>
    <w:uiPriority w:val="99"/>
    <w:pPr>
      <w:autoSpaceDE w:val="0"/>
      <w:autoSpaceDN w:val="0"/>
      <w:adjustRightInd w:val="0"/>
      <w:spacing w:after="1090"/>
    </w:pPr>
    <w:rPr>
      <w:rFonts w:ascii="宋体"/>
      <w:color w:val="auto"/>
    </w:rPr>
  </w:style>
  <w:style w:type="paragraph" w:customStyle="1" w:styleId="366">
    <w:name w:val="Default"/>
    <w:autoRedefine/>
    <w:qFormat/>
    <w:uiPriority w:val="0"/>
    <w:pPr>
      <w:widowControl w:val="0"/>
    </w:pPr>
    <w:rPr>
      <w:rFonts w:ascii="Calibri" w:hAnsi="Calibri" w:eastAsia="宋体" w:cs="Times New Roman"/>
      <w:color w:val="000000"/>
      <w:sz w:val="24"/>
      <w:szCs w:val="24"/>
      <w:lang w:val="en-US" w:eastAsia="zh-CN" w:bidi="ar-SA"/>
    </w:rPr>
  </w:style>
  <w:style w:type="paragraph" w:customStyle="1" w:styleId="367">
    <w:name w:val="xl123"/>
    <w:basedOn w:val="1"/>
    <w:autoRedefine/>
    <w:qFormat/>
    <w:uiPriority w:val="0"/>
    <w:pPr>
      <w:widowControl/>
      <w:pBdr>
        <w:top w:val="single" w:color="auto" w:sz="8" w:space="0"/>
        <w:left w:val="single" w:color="auto" w:sz="8" w:space="0"/>
        <w:bottom w:val="double" w:color="auto" w:sz="6"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68">
    <w:name w:val="p19"/>
    <w:basedOn w:val="1"/>
    <w:autoRedefine/>
    <w:qFormat/>
    <w:uiPriority w:val="0"/>
    <w:pPr>
      <w:widowControl/>
      <w:ind w:firstLine="540"/>
    </w:pPr>
    <w:rPr>
      <w:kern w:val="0"/>
      <w:sz w:val="28"/>
      <w:szCs w:val="28"/>
    </w:rPr>
  </w:style>
  <w:style w:type="paragraph" w:customStyle="1" w:styleId="369">
    <w:name w:val="1.1"/>
    <w:basedOn w:val="1"/>
    <w:next w:val="1"/>
    <w:autoRedefine/>
    <w:qFormat/>
    <w:uiPriority w:val="0"/>
    <w:pPr>
      <w:adjustRightInd w:val="0"/>
      <w:snapToGrid w:val="0"/>
      <w:spacing w:before="240" w:after="240" w:line="400" w:lineRule="atLeast"/>
      <w:ind w:left="901" w:right="480" w:hanging="901" w:hangingChars="299"/>
      <w:textAlignment w:val="baseline"/>
    </w:pPr>
    <w:rPr>
      <w:rFonts w:ascii="宋体" w:hAnsi="宋体"/>
      <w:b/>
      <w:kern w:val="0"/>
      <w:sz w:val="30"/>
      <w:szCs w:val="20"/>
    </w:rPr>
  </w:style>
  <w:style w:type="paragraph" w:customStyle="1" w:styleId="370">
    <w:name w:val="xl81"/>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371">
    <w:name w:val="默认"/>
    <w:autoRedefine/>
    <w:qFormat/>
    <w:uiPriority w:val="0"/>
    <w:rPr>
      <w:rFonts w:ascii="Helvetica" w:hAnsi="Helvetica" w:eastAsia="Helvetica" w:cs="Helvetica"/>
      <w:color w:val="000000"/>
      <w:sz w:val="22"/>
      <w:szCs w:val="22"/>
      <w:lang w:val="en-US" w:eastAsia="zh-CN" w:bidi="ar-SA"/>
    </w:rPr>
  </w:style>
  <w:style w:type="paragraph" w:customStyle="1" w:styleId="372">
    <w:name w:val="小节"/>
    <w:basedOn w:val="1"/>
    <w:autoRedefine/>
    <w:qFormat/>
    <w:uiPriority w:val="0"/>
    <w:pPr>
      <w:spacing w:line="360" w:lineRule="auto"/>
    </w:pPr>
    <w:rPr>
      <w:b/>
      <w:sz w:val="24"/>
      <w:szCs w:val="24"/>
    </w:rPr>
  </w:style>
  <w:style w:type="paragraph" w:customStyle="1" w:styleId="373">
    <w:name w:val="Char1 Char Char Char1 Char Char Char1"/>
    <w:basedOn w:val="1"/>
    <w:autoRedefine/>
    <w:qFormat/>
    <w:uiPriority w:val="0"/>
    <w:pPr>
      <w:spacing w:line="360" w:lineRule="auto"/>
      <w:ind w:firstLine="200"/>
    </w:pPr>
    <w:rPr>
      <w:rFonts w:ascii="宋体" w:hAnsi="宋体" w:cs="宋体"/>
      <w:color w:val="000000"/>
      <w:kern w:val="1"/>
      <w:sz w:val="24"/>
      <w:szCs w:val="24"/>
    </w:rPr>
  </w:style>
  <w:style w:type="paragraph" w:customStyle="1" w:styleId="374">
    <w:name w:val="正文1"/>
    <w:autoRedefine/>
    <w:qFormat/>
    <w:uiPriority w:val="0"/>
    <w:pPr>
      <w:widowControl w:val="0"/>
      <w:adjustRightInd w:val="0"/>
      <w:spacing w:line="312" w:lineRule="atLeast"/>
      <w:jc w:val="both"/>
    </w:pPr>
    <w:rPr>
      <w:rFonts w:ascii="宋体" w:hAnsi="Calibri" w:eastAsia="宋体" w:cs="Times New Roman"/>
      <w:sz w:val="34"/>
      <w:lang w:val="en-US" w:eastAsia="zh-CN" w:bidi="ar-SA"/>
    </w:rPr>
  </w:style>
  <w:style w:type="paragraph" w:customStyle="1" w:styleId="375">
    <w:name w:val="xl98"/>
    <w:basedOn w:val="1"/>
    <w:autoRedefine/>
    <w:qFormat/>
    <w:uiPriority w:val="0"/>
    <w:pPr>
      <w:widowControl/>
      <w:pBdr>
        <w:top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76">
    <w:name w:val="xl128"/>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7">
    <w:name w:val="xl73"/>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78">
    <w:name w:val="xl77"/>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79">
    <w:name w:val="表"/>
    <w:basedOn w:val="1"/>
    <w:autoRedefine/>
    <w:qFormat/>
    <w:uiPriority w:val="0"/>
    <w:pPr>
      <w:snapToGrid w:val="0"/>
      <w:ind w:firstLine="567"/>
      <w:jc w:val="center"/>
    </w:pPr>
    <w:rPr>
      <w:rFonts w:eastAsia="楷体_GB2312"/>
      <w:kern w:val="0"/>
      <w:sz w:val="24"/>
      <w:szCs w:val="20"/>
    </w:rPr>
  </w:style>
  <w:style w:type="paragraph" w:customStyle="1" w:styleId="380">
    <w:name w:val="章节二"/>
    <w:basedOn w:val="1"/>
    <w:next w:val="1"/>
    <w:autoRedefine/>
    <w:qFormat/>
    <w:uiPriority w:val="0"/>
    <w:pPr>
      <w:topLinePunct/>
      <w:adjustRightInd w:val="0"/>
      <w:snapToGrid w:val="0"/>
      <w:spacing w:beforeLines="50" w:afterLines="50"/>
      <w:jc w:val="center"/>
      <w:outlineLvl w:val="1"/>
    </w:pPr>
    <w:rPr>
      <w:rFonts w:eastAsia="黑体"/>
      <w:b/>
      <w:snapToGrid w:val="0"/>
      <w:spacing w:val="4"/>
      <w:kern w:val="0"/>
      <w:sz w:val="30"/>
      <w:szCs w:val="30"/>
    </w:rPr>
  </w:style>
  <w:style w:type="paragraph" w:customStyle="1" w:styleId="381">
    <w:name w:val="xl15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82">
    <w:name w:val="顾2"/>
    <w:basedOn w:val="1"/>
    <w:autoRedefine/>
    <w:qFormat/>
    <w:uiPriority w:val="0"/>
    <w:pPr>
      <w:keepNext/>
      <w:keepLines/>
      <w:spacing w:beforeLines="100" w:afterLines="100"/>
      <w:ind w:left="284" w:hanging="284"/>
      <w:outlineLvl w:val="1"/>
    </w:pPr>
    <w:rPr>
      <w:rFonts w:ascii="宋体" w:hAnsi="宋体"/>
      <w:b/>
      <w:bCs/>
      <w:w w:val="90"/>
      <w:kern w:val="0"/>
      <w:sz w:val="32"/>
      <w:szCs w:val="32"/>
    </w:rPr>
  </w:style>
  <w:style w:type="paragraph" w:customStyle="1" w:styleId="383">
    <w:name w:val="默认段落字体 Para Char Char Char Char Char Char Char"/>
    <w:basedOn w:val="1"/>
    <w:autoRedefine/>
    <w:qFormat/>
    <w:uiPriority w:val="0"/>
    <w:pPr>
      <w:widowControl/>
      <w:jc w:val="left"/>
    </w:pPr>
    <w:rPr>
      <w:rFonts w:ascii="Tahoma" w:hAnsi="Tahoma"/>
      <w:kern w:val="0"/>
      <w:sz w:val="24"/>
      <w:szCs w:val="20"/>
      <w:lang w:eastAsia="en-US"/>
    </w:rPr>
  </w:style>
  <w:style w:type="paragraph" w:customStyle="1" w:styleId="384">
    <w:name w:val="xl9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85">
    <w:name w:val="正文_0_0"/>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386">
    <w:name w:val="xl107"/>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387">
    <w:name w:val="默认段落字体 Para Char"/>
    <w:basedOn w:val="1"/>
    <w:autoRedefine/>
    <w:qFormat/>
    <w:uiPriority w:val="0"/>
    <w:rPr>
      <w:sz w:val="30"/>
      <w:szCs w:val="24"/>
    </w:rPr>
  </w:style>
  <w:style w:type="paragraph" w:customStyle="1" w:styleId="388">
    <w:name w:val="表注"/>
    <w:basedOn w:val="1"/>
    <w:autoRedefine/>
    <w:qFormat/>
    <w:uiPriority w:val="0"/>
    <w:pPr>
      <w:adjustRightInd w:val="0"/>
      <w:snapToGrid w:val="0"/>
      <w:spacing w:beforeLines="50" w:line="300" w:lineRule="auto"/>
      <w:ind w:left="200" w:leftChars="8" w:hanging="200" w:hangingChars="200"/>
    </w:pPr>
    <w:rPr>
      <w:bCs/>
      <w:color w:val="000000"/>
      <w:szCs w:val="24"/>
    </w:rPr>
  </w:style>
  <w:style w:type="paragraph" w:customStyle="1" w:styleId="389">
    <w:name w:val="xl164"/>
    <w:basedOn w:val="1"/>
    <w:autoRedefine/>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FF"/>
      <w:kern w:val="0"/>
      <w:sz w:val="16"/>
      <w:szCs w:val="16"/>
    </w:rPr>
  </w:style>
  <w:style w:type="paragraph" w:customStyle="1" w:styleId="390">
    <w:name w:val="xl1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391">
    <w:name w:val="正文 New New New New New New"/>
    <w:autoRedefine/>
    <w:qFormat/>
    <w:uiPriority w:val="0"/>
    <w:pPr>
      <w:widowControl w:val="0"/>
      <w:jc w:val="both"/>
    </w:pPr>
    <w:rPr>
      <w:rFonts w:ascii="Calibri" w:hAnsi="Calibri" w:eastAsia="宋体" w:cs="Times New Roman"/>
      <w:kern w:val="2"/>
      <w:sz w:val="24"/>
      <w:szCs w:val="24"/>
      <w:lang w:val="en-US" w:eastAsia="zh-CN" w:bidi="ar-SA"/>
    </w:rPr>
  </w:style>
  <w:style w:type="paragraph" w:customStyle="1" w:styleId="392">
    <w:name w:val="Char Char Char2"/>
    <w:basedOn w:val="1"/>
    <w:autoRedefine/>
    <w:qFormat/>
    <w:uiPriority w:val="0"/>
    <w:rPr>
      <w:rFonts w:ascii="Tahoma" w:hAnsi="Tahoma"/>
      <w:sz w:val="24"/>
      <w:szCs w:val="20"/>
    </w:rPr>
  </w:style>
  <w:style w:type="paragraph" w:customStyle="1" w:styleId="393">
    <w:name w:val="xl72"/>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394">
    <w:name w:val="[基本段落]"/>
    <w:basedOn w:val="1"/>
    <w:autoRedefine/>
    <w:qFormat/>
    <w:uiPriority w:val="99"/>
    <w:pPr>
      <w:spacing w:line="288" w:lineRule="auto"/>
    </w:pPr>
    <w:rPr>
      <w:rFonts w:ascii="Adobe 宋体 Std L" w:hAnsi="Adobe 宋体 Std L" w:eastAsia="Adobe 宋体 Std L" w:cs="Adobe 宋体 Std L"/>
      <w:color w:val="000000"/>
      <w:kern w:val="0"/>
      <w:sz w:val="24"/>
      <w:szCs w:val="24"/>
      <w:lang w:val="zh-CN"/>
    </w:rPr>
  </w:style>
  <w:style w:type="paragraph" w:customStyle="1" w:styleId="395">
    <w:name w:val="xl11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396">
    <w:name w:val="xl129"/>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397">
    <w:name w:val="Char Char Char"/>
    <w:basedOn w:val="18"/>
    <w:next w:val="4"/>
    <w:autoRedefine/>
    <w:qFormat/>
    <w:uiPriority w:val="0"/>
    <w:pPr>
      <w:shd w:val="clear" w:color="auto" w:fill="000080"/>
      <w:adjustRightInd w:val="0"/>
      <w:spacing w:line="600" w:lineRule="exact"/>
      <w:ind w:firstLine="200" w:firstLineChars="200"/>
      <w:jc w:val="center"/>
      <w:outlineLvl w:val="2"/>
    </w:pPr>
    <w:rPr>
      <w:rFonts w:ascii="Times New Roman" w:hAnsi="Times New Roman"/>
      <w:kern w:val="0"/>
      <w:sz w:val="21"/>
      <w:szCs w:val="20"/>
      <w:lang w:val="en-US"/>
    </w:rPr>
  </w:style>
  <w:style w:type="paragraph" w:customStyle="1" w:styleId="398">
    <w:name w:val="xl146"/>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99">
    <w:name w:val="标题 1 New"/>
    <w:basedOn w:val="400"/>
    <w:next w:val="400"/>
    <w:autoRedefine/>
    <w:qFormat/>
    <w:uiPriority w:val="0"/>
    <w:pPr>
      <w:keepNext/>
      <w:keepLines/>
      <w:spacing w:before="340" w:after="330" w:line="576" w:lineRule="auto"/>
      <w:outlineLvl w:val="0"/>
    </w:pPr>
    <w:rPr>
      <w:rFonts w:cs="Times New Roman"/>
      <w:b/>
      <w:color w:val="auto"/>
      <w:kern w:val="44"/>
      <w:sz w:val="44"/>
    </w:rPr>
  </w:style>
  <w:style w:type="paragraph" w:customStyle="1" w:styleId="400">
    <w:name w:val="正文 New"/>
    <w:autoRedefine/>
    <w:qFormat/>
    <w:uiPriority w:val="0"/>
    <w:pPr>
      <w:widowControl w:val="0"/>
      <w:jc w:val="both"/>
    </w:pPr>
    <w:rPr>
      <w:rFonts w:ascii="Calibri" w:hAnsi="Calibri" w:eastAsia="宋体" w:cs="Calibri"/>
      <w:color w:val="000000"/>
      <w:kern w:val="1"/>
      <w:sz w:val="21"/>
      <w:lang w:val="en-US" w:eastAsia="zh-CN" w:bidi="ar-SA"/>
    </w:rPr>
  </w:style>
  <w:style w:type="paragraph" w:customStyle="1" w:styleId="401">
    <w:name w:val="xl82"/>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02">
    <w:name w:val="样式2"/>
    <w:basedOn w:val="4"/>
    <w:autoRedefine/>
    <w:qFormat/>
    <w:uiPriority w:val="0"/>
    <w:pPr>
      <w:spacing w:line="415" w:lineRule="auto"/>
      <w:ind w:firstLine="137" w:firstLineChars="49"/>
    </w:pPr>
    <w:rPr>
      <w:rFonts w:ascii="黑体" w:hAnsi="Times New Roman" w:eastAsia="黑体"/>
      <w:b w:val="0"/>
      <w:i/>
      <w:kern w:val="2"/>
      <w:sz w:val="28"/>
      <w:szCs w:val="28"/>
      <w:lang w:val="zh-CN"/>
    </w:rPr>
  </w:style>
  <w:style w:type="paragraph" w:customStyle="1" w:styleId="403">
    <w:name w:val="Char1 Char Char Char1 Char Char Char"/>
    <w:basedOn w:val="1"/>
    <w:autoRedefine/>
    <w:qFormat/>
    <w:uiPriority w:val="0"/>
    <w:pPr>
      <w:spacing w:line="360" w:lineRule="auto"/>
      <w:ind w:firstLine="200"/>
    </w:pPr>
    <w:rPr>
      <w:rFonts w:ascii="宋体" w:hAnsi="宋体" w:cs="宋体"/>
      <w:color w:val="000000"/>
      <w:kern w:val="1"/>
      <w:sz w:val="24"/>
      <w:szCs w:val="24"/>
    </w:rPr>
  </w:style>
  <w:style w:type="paragraph" w:customStyle="1" w:styleId="404">
    <w:name w:val="Char Char Char Char11"/>
    <w:basedOn w:val="1"/>
    <w:next w:val="1"/>
    <w:autoRedefine/>
    <w:qFormat/>
    <w:uiPriority w:val="0"/>
    <w:pPr>
      <w:spacing w:line="240" w:lineRule="atLeast"/>
      <w:ind w:left="420" w:firstLine="420"/>
      <w:jc w:val="left"/>
    </w:pPr>
    <w:rPr>
      <w:kern w:val="0"/>
      <w:szCs w:val="21"/>
    </w:rPr>
  </w:style>
  <w:style w:type="paragraph" w:customStyle="1" w:styleId="405">
    <w:name w:val="xl140"/>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16"/>
      <w:szCs w:val="16"/>
    </w:rPr>
  </w:style>
  <w:style w:type="paragraph" w:customStyle="1" w:styleId="406">
    <w:name w:val="xl83"/>
    <w:basedOn w:val="1"/>
    <w:autoRedefine/>
    <w:qFormat/>
    <w:uiPriority w:val="0"/>
    <w:pPr>
      <w:widowControl/>
      <w:pBdr>
        <w:top w:val="single" w:color="auto" w:sz="4"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407">
    <w:name w:val="xl96"/>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08">
    <w:name w:val="Char11"/>
    <w:basedOn w:val="1"/>
    <w:autoRedefine/>
    <w:qFormat/>
    <w:uiPriority w:val="0"/>
    <w:rPr>
      <w:szCs w:val="21"/>
    </w:rPr>
  </w:style>
  <w:style w:type="paragraph" w:customStyle="1" w:styleId="409">
    <w:name w:val="封二"/>
    <w:basedOn w:val="1"/>
    <w:next w:val="1"/>
    <w:autoRedefine/>
    <w:qFormat/>
    <w:uiPriority w:val="0"/>
    <w:pPr>
      <w:topLinePunct/>
      <w:adjustRightInd w:val="0"/>
      <w:snapToGrid w:val="0"/>
      <w:spacing w:line="360" w:lineRule="auto"/>
      <w:jc w:val="center"/>
    </w:pPr>
    <w:rPr>
      <w:rFonts w:eastAsia="黑体"/>
      <w:b/>
      <w:snapToGrid w:val="0"/>
      <w:spacing w:val="4"/>
      <w:kern w:val="0"/>
      <w:sz w:val="36"/>
      <w:szCs w:val="36"/>
    </w:rPr>
  </w:style>
  <w:style w:type="paragraph" w:customStyle="1" w:styleId="410">
    <w:name w:val="样式 WG标题2 + 行距: 固定值 18 磅1"/>
    <w:basedOn w:val="1"/>
    <w:autoRedefine/>
    <w:qFormat/>
    <w:uiPriority w:val="0"/>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411">
    <w:name w:val="xl7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12">
    <w:name w:val="xl151"/>
    <w:basedOn w:val="1"/>
    <w:autoRedefine/>
    <w:qFormat/>
    <w:uiPriority w:val="0"/>
    <w:pPr>
      <w:widowControl/>
      <w:pBdr>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13">
    <w:name w:val="xl115"/>
    <w:basedOn w:val="1"/>
    <w:autoRedefine/>
    <w:qFormat/>
    <w:uiPriority w:val="0"/>
    <w:pPr>
      <w:widowControl/>
      <w:pBdr>
        <w:top w:val="single" w:color="auto" w:sz="4" w:space="0"/>
        <w:left w:val="single" w:color="auto" w:sz="8" w:space="0"/>
        <w:bottom w:val="double" w:color="auto" w:sz="6"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14">
    <w:name w:val="表格标题"/>
    <w:basedOn w:val="1"/>
    <w:link w:val="573"/>
    <w:autoRedefine/>
    <w:qFormat/>
    <w:uiPriority w:val="0"/>
    <w:pPr>
      <w:adjustRightInd w:val="0"/>
      <w:snapToGrid w:val="0"/>
      <w:spacing w:beforeLines="50" w:afterLines="50"/>
      <w:ind w:left="22" w:leftChars="8"/>
      <w:jc w:val="center"/>
    </w:pPr>
    <w:rPr>
      <w:b/>
      <w:bCs/>
      <w:color w:val="000000"/>
      <w:sz w:val="32"/>
      <w:szCs w:val="32"/>
    </w:rPr>
  </w:style>
  <w:style w:type="paragraph" w:customStyle="1" w:styleId="415">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416">
    <w:name w:val="xl144"/>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17">
    <w:name w:val="普通(网站)1"/>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418">
    <w:name w:val="xl91"/>
    <w:basedOn w:val="1"/>
    <w:autoRedefine/>
    <w:qFormat/>
    <w:uiPriority w:val="0"/>
    <w:pPr>
      <w:widowControl/>
      <w:pBdr>
        <w:top w:val="double" w:color="auto" w:sz="6"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19">
    <w:name w:val="xl133"/>
    <w:basedOn w:val="1"/>
    <w:autoRedefine/>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420">
    <w:name w:val="xl134"/>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1">
    <w:name w:val="Char21"/>
    <w:basedOn w:val="1"/>
    <w:autoRedefine/>
    <w:qFormat/>
    <w:uiPriority w:val="0"/>
    <w:rPr>
      <w:rFonts w:ascii="Tahoma" w:hAnsi="Tahoma"/>
      <w:sz w:val="24"/>
      <w:szCs w:val="20"/>
    </w:rPr>
  </w:style>
  <w:style w:type="paragraph" w:customStyle="1" w:styleId="422">
    <w:name w:val="xl148"/>
    <w:basedOn w:val="1"/>
    <w:autoRedefine/>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23">
    <w:name w:val="1.1.1"/>
    <w:basedOn w:val="4"/>
    <w:autoRedefine/>
    <w:qFormat/>
    <w:uiPriority w:val="0"/>
    <w:pPr>
      <w:tabs>
        <w:tab w:val="left" w:pos="1080"/>
        <w:tab w:val="left" w:pos="1260"/>
      </w:tabs>
      <w:adjustRightInd w:val="0"/>
      <w:spacing w:before="120" w:afterLines="50" w:line="440" w:lineRule="exact"/>
      <w:ind w:left="1140" w:hanging="1140"/>
      <w:jc w:val="left"/>
      <w:textAlignment w:val="baseline"/>
    </w:pPr>
    <w:rPr>
      <w:rFonts w:ascii="Times New Roman" w:hAnsi="Times New Roman"/>
      <w:bCs w:val="0"/>
      <w:kern w:val="2"/>
      <w:sz w:val="24"/>
      <w:szCs w:val="20"/>
    </w:rPr>
  </w:style>
  <w:style w:type="paragraph" w:customStyle="1" w:styleId="424">
    <w:name w:val="表格"/>
    <w:autoRedefine/>
    <w:qFormat/>
    <w:uiPriority w:val="0"/>
    <w:pPr>
      <w:spacing w:before="20" w:after="20"/>
    </w:pPr>
    <w:rPr>
      <w:rFonts w:ascii="宋体" w:hAnsi="Calibri" w:eastAsia="宋体" w:cs="Times New Roman"/>
      <w:sz w:val="24"/>
      <w:lang w:val="en-US" w:eastAsia="zh-CN" w:bidi="ar-SA"/>
    </w:rPr>
  </w:style>
  <w:style w:type="paragraph" w:customStyle="1" w:styleId="425">
    <w:name w:val="xl8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26">
    <w:name w:val="Char2"/>
    <w:basedOn w:val="1"/>
    <w:autoRedefine/>
    <w:qFormat/>
    <w:uiPriority w:val="0"/>
    <w:rPr>
      <w:szCs w:val="24"/>
    </w:rPr>
  </w:style>
  <w:style w:type="paragraph" w:customStyle="1" w:styleId="427">
    <w:name w:val="xl80"/>
    <w:basedOn w:val="1"/>
    <w:autoRedefine/>
    <w:qFormat/>
    <w:uiPriority w:val="0"/>
    <w:pPr>
      <w:widowControl/>
      <w:pBdr>
        <w:top w:val="single" w:color="auto" w:sz="4" w:space="0"/>
        <w:left w:val="single" w:color="auto" w:sz="4" w:space="0"/>
        <w:right w:val="single" w:color="auto" w:sz="8" w:space="0"/>
      </w:pBdr>
      <w:spacing w:before="100" w:beforeAutospacing="1" w:after="100" w:afterAutospacing="1"/>
      <w:jc w:val="center"/>
    </w:pPr>
    <w:rPr>
      <w:rFonts w:ascii="宋体" w:hAnsi="宋体" w:cs="宋体"/>
      <w:color w:val="3366FF"/>
      <w:kern w:val="0"/>
      <w:sz w:val="16"/>
      <w:szCs w:val="16"/>
    </w:rPr>
  </w:style>
  <w:style w:type="paragraph" w:customStyle="1" w:styleId="428">
    <w:name w:val="xl69"/>
    <w:basedOn w:val="1"/>
    <w:autoRedefine/>
    <w:qFormat/>
    <w:uiPriority w:val="0"/>
    <w:pPr>
      <w:widowControl/>
      <w:pBdr>
        <w:top w:val="single" w:color="auto" w:sz="8"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429">
    <w:name w:val="1.1.1.1A"/>
    <w:basedOn w:val="1"/>
    <w:autoRedefine/>
    <w:qFormat/>
    <w:uiPriority w:val="0"/>
    <w:pPr>
      <w:tabs>
        <w:tab w:val="left" w:pos="1843"/>
      </w:tabs>
      <w:adjustRightInd w:val="0"/>
      <w:spacing w:before="60" w:after="60" w:line="400" w:lineRule="atLeast"/>
      <w:ind w:left="1560" w:right="200" w:hanging="426"/>
      <w:textAlignment w:val="baseline"/>
    </w:pPr>
    <w:rPr>
      <w:rFonts w:ascii="Arial" w:hAnsi="Arial"/>
      <w:kern w:val="0"/>
      <w:sz w:val="24"/>
      <w:szCs w:val="20"/>
    </w:rPr>
  </w:style>
  <w:style w:type="paragraph" w:customStyle="1" w:styleId="430">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31">
    <w:name w:val="样式3"/>
    <w:basedOn w:val="1"/>
    <w:link w:val="535"/>
    <w:autoRedefine/>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432">
    <w:name w:val="xl154"/>
    <w:basedOn w:val="1"/>
    <w:autoRedefine/>
    <w:qFormat/>
    <w:uiPriority w:val="0"/>
    <w:pPr>
      <w:widowControl/>
      <w:pBdr>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3">
    <w:name w:val="xl10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34">
    <w:name w:val="xl119"/>
    <w:basedOn w:val="1"/>
    <w:autoRedefine/>
    <w:qFormat/>
    <w:uiPriority w:val="0"/>
    <w:pPr>
      <w:widowControl/>
      <w:pBdr>
        <w:top w:val="single" w:color="auto" w:sz="8" w:space="0"/>
        <w:left w:val="single" w:color="auto" w:sz="4" w:space="0"/>
        <w:bottom w:val="double" w:color="auto" w:sz="6"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435">
    <w:name w:val="CM317"/>
    <w:basedOn w:val="366"/>
    <w:next w:val="366"/>
    <w:autoRedefine/>
    <w:qFormat/>
    <w:uiPriority w:val="99"/>
    <w:pPr>
      <w:autoSpaceDE w:val="0"/>
      <w:autoSpaceDN w:val="0"/>
      <w:adjustRightInd w:val="0"/>
      <w:spacing w:after="315"/>
    </w:pPr>
    <w:rPr>
      <w:rFonts w:ascii="宋体"/>
      <w:color w:val="auto"/>
    </w:rPr>
  </w:style>
  <w:style w:type="paragraph" w:customStyle="1" w:styleId="436">
    <w:name w:val="List Paragraph*"/>
    <w:basedOn w:val="1"/>
    <w:autoRedefine/>
    <w:qFormat/>
    <w:uiPriority w:val="0"/>
    <w:pPr>
      <w:spacing w:line="312" w:lineRule="atLeast"/>
      <w:ind w:firstLine="420"/>
    </w:pPr>
    <w:rPr>
      <w:color w:val="000000"/>
      <w:kern w:val="0"/>
      <w:szCs w:val="20"/>
    </w:rPr>
  </w:style>
  <w:style w:type="paragraph" w:customStyle="1" w:styleId="437">
    <w:name w:val="xl116"/>
    <w:basedOn w:val="1"/>
    <w:autoRedefine/>
    <w:qFormat/>
    <w:uiPriority w:val="0"/>
    <w:pPr>
      <w:widowControl/>
      <w:pBdr>
        <w:top w:val="single" w:color="auto" w:sz="4" w:space="0"/>
        <w:left w:val="single" w:color="auto" w:sz="4" w:space="0"/>
      </w:pBdr>
      <w:spacing w:before="100" w:beforeAutospacing="1" w:after="100" w:afterAutospacing="1"/>
      <w:jc w:val="center"/>
    </w:pPr>
    <w:rPr>
      <w:rFonts w:ascii="宋体" w:hAnsi="宋体" w:cs="宋体"/>
      <w:color w:val="C0C0C0"/>
      <w:kern w:val="0"/>
      <w:sz w:val="16"/>
      <w:szCs w:val="16"/>
    </w:rPr>
  </w:style>
  <w:style w:type="paragraph" w:customStyle="1" w:styleId="438">
    <w:name w:val="_Style 100"/>
    <w:basedOn w:val="1"/>
    <w:next w:val="222"/>
    <w:autoRedefine/>
    <w:qFormat/>
    <w:uiPriority w:val="0"/>
    <w:pPr>
      <w:spacing w:line="312" w:lineRule="atLeast"/>
      <w:ind w:firstLine="420"/>
    </w:pPr>
    <w:rPr>
      <w:color w:val="000000"/>
      <w:kern w:val="0"/>
      <w:szCs w:val="20"/>
    </w:rPr>
  </w:style>
  <w:style w:type="paragraph" w:customStyle="1" w:styleId="439">
    <w:name w:val="正文2"/>
    <w:autoRedefine/>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40">
    <w:name w:val="正文文本缩进1"/>
    <w:basedOn w:val="1"/>
    <w:autoRedefine/>
    <w:qFormat/>
    <w:uiPriority w:val="0"/>
    <w:pPr>
      <w:spacing w:after="120"/>
      <w:ind w:left="420" w:leftChars="200"/>
    </w:pPr>
    <w:rPr>
      <w:rFonts w:ascii="Times New Roman" w:hAnsi="Times New Roman"/>
      <w:szCs w:val="24"/>
    </w:rPr>
  </w:style>
  <w:style w:type="paragraph" w:customStyle="1" w:styleId="441">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customStyle="1" w:styleId="442">
    <w:name w:val="ST20_2"/>
    <w:basedOn w:val="1"/>
    <w:autoRedefine/>
    <w:qFormat/>
    <w:uiPriority w:val="0"/>
    <w:pPr>
      <w:autoSpaceDE w:val="0"/>
      <w:autoSpaceDN w:val="0"/>
      <w:adjustRightInd w:val="0"/>
      <w:spacing w:line="312" w:lineRule="atLeast"/>
      <w:textAlignment w:val="baseline"/>
    </w:pPr>
    <w:rPr>
      <w:rFonts w:ascii="宋体" w:hAnsi="Tms Rmn"/>
      <w:kern w:val="0"/>
      <w:sz w:val="24"/>
      <w:szCs w:val="20"/>
    </w:rPr>
  </w:style>
  <w:style w:type="paragraph" w:customStyle="1" w:styleId="443">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4">
    <w:name w:val="样式 正文刘兵 + 首行缩进:  2 字符"/>
    <w:basedOn w:val="1"/>
    <w:autoRedefine/>
    <w:qFormat/>
    <w:uiPriority w:val="0"/>
    <w:pPr>
      <w:autoSpaceDE w:val="0"/>
      <w:autoSpaceDN w:val="0"/>
      <w:adjustRightInd w:val="0"/>
      <w:spacing w:line="520" w:lineRule="exact"/>
      <w:ind w:firstLine="480" w:firstLineChars="200"/>
      <w:jc w:val="left"/>
    </w:pPr>
    <w:rPr>
      <w:rFonts w:cs="宋体"/>
      <w:bCs/>
      <w:color w:val="000000"/>
      <w:kern w:val="0"/>
      <w:sz w:val="24"/>
      <w:szCs w:val="24"/>
      <w:lang w:val="zh-CN"/>
    </w:rPr>
  </w:style>
  <w:style w:type="paragraph" w:customStyle="1" w:styleId="445">
    <w:name w:val="xl13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46">
    <w:name w:val="TOC 标题11"/>
    <w:basedOn w:val="2"/>
    <w:next w:val="1"/>
    <w:autoRedefine/>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47">
    <w:name w:val="_Style 35"/>
    <w:basedOn w:val="1"/>
    <w:autoRedefine/>
    <w:qFormat/>
    <w:uiPriority w:val="0"/>
    <w:pPr>
      <w:widowControl/>
      <w:jc w:val="left"/>
    </w:pPr>
    <w:rPr>
      <w:rFonts w:ascii="Tahoma" w:hAnsi="Tahoma"/>
      <w:kern w:val="0"/>
      <w:sz w:val="24"/>
      <w:szCs w:val="20"/>
      <w:lang w:eastAsia="en-US"/>
    </w:rPr>
  </w:style>
  <w:style w:type="paragraph" w:customStyle="1" w:styleId="448">
    <w:name w:val="xl110"/>
    <w:basedOn w:val="1"/>
    <w:autoRedefine/>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49">
    <w:name w:val="xl152"/>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50">
    <w:name w:val="xl10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51">
    <w:name w:val="TOC æ ‡é¢˜"/>
    <w:basedOn w:val="1"/>
    <w:next w:val="1"/>
    <w:autoRedefine/>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452">
    <w:name w:val="样式 标题 1 + 黑体 三号 非加粗 居中 段前: 6 磅 段后: 6 磅 行距: 固定值 20 磅"/>
    <w:basedOn w:val="2"/>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453">
    <w:name w:val="批注主题1"/>
    <w:basedOn w:val="19"/>
    <w:next w:val="19"/>
    <w:autoRedefine/>
    <w:qFormat/>
    <w:uiPriority w:val="0"/>
    <w:pPr>
      <w:jc w:val="both"/>
    </w:pPr>
    <w:rPr>
      <w:b/>
      <w:sz w:val="24"/>
      <w:lang w:val="en-US"/>
    </w:rPr>
  </w:style>
  <w:style w:type="paragraph" w:customStyle="1" w:styleId="454">
    <w:name w:val="xl10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55">
    <w:name w:val="xl85"/>
    <w:basedOn w:val="1"/>
    <w:autoRedefine/>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16"/>
      <w:szCs w:val="16"/>
    </w:rPr>
  </w:style>
  <w:style w:type="paragraph" w:customStyle="1" w:styleId="456">
    <w:name w:val="reader-word-layer"/>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457">
    <w:name w:val="4"/>
    <w:basedOn w:val="5"/>
    <w:autoRedefine/>
    <w:qFormat/>
    <w:uiPriority w:val="0"/>
    <w:pPr>
      <w:spacing w:before="60" w:after="60" w:line="300" w:lineRule="auto"/>
    </w:pPr>
    <w:rPr>
      <w:rFonts w:ascii="Arial" w:hAnsi="Arial" w:eastAsia="黑体"/>
      <w:b w:val="0"/>
      <w:bCs w:val="0"/>
      <w:kern w:val="2"/>
      <w:sz w:val="24"/>
      <w:szCs w:val="20"/>
      <w:lang w:val="en-US"/>
    </w:rPr>
  </w:style>
  <w:style w:type="paragraph" w:customStyle="1" w:styleId="458">
    <w:name w:val="6'"/>
    <w:basedOn w:val="1"/>
    <w:autoRedefine/>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59">
    <w:name w:val="xl94"/>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paragraph" w:customStyle="1" w:styleId="460">
    <w:name w:val="xl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hint="eastAsia" w:ascii="宋体" w:hAnsi="宋体"/>
      <w:kern w:val="0"/>
      <w:sz w:val="24"/>
      <w:szCs w:val="24"/>
      <w:lang w:eastAsia="en-US"/>
    </w:rPr>
  </w:style>
  <w:style w:type="paragraph" w:customStyle="1" w:styleId="461">
    <w:name w:val="xl12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hAnsi="宋体" w:cs="宋体"/>
      <w:color w:val="0000FF"/>
      <w:kern w:val="0"/>
      <w:sz w:val="16"/>
      <w:szCs w:val="16"/>
    </w:rPr>
  </w:style>
  <w:style w:type="paragraph" w:customStyle="1" w:styleId="462">
    <w:name w:val="纯文本1"/>
    <w:basedOn w:val="1"/>
    <w:autoRedefine/>
    <w:qFormat/>
    <w:uiPriority w:val="0"/>
    <w:pPr>
      <w:adjustRightInd w:val="0"/>
      <w:jc w:val="left"/>
      <w:textAlignment w:val="baseline"/>
    </w:pPr>
    <w:rPr>
      <w:rFonts w:ascii="宋体" w:hAnsi="Courier New"/>
      <w:sz w:val="24"/>
      <w:szCs w:val="20"/>
    </w:rPr>
  </w:style>
  <w:style w:type="paragraph" w:customStyle="1" w:styleId="463">
    <w:name w:val="页眉与页脚"/>
    <w:autoRedefine/>
    <w:qFormat/>
    <w:uiPriority w:val="0"/>
    <w:pPr>
      <w:tabs>
        <w:tab w:val="right" w:pos="9020"/>
      </w:tabs>
    </w:pPr>
    <w:rPr>
      <w:rFonts w:ascii="Helvetica" w:hAnsi="Arial Unicode MS" w:eastAsia="Arial Unicode MS" w:cs="Arial Unicode MS"/>
      <w:color w:val="000000"/>
      <w:sz w:val="24"/>
      <w:szCs w:val="24"/>
      <w:lang w:val="en-US" w:eastAsia="zh-CN" w:bidi="ar-SA"/>
    </w:rPr>
  </w:style>
  <w:style w:type="paragraph" w:customStyle="1" w:styleId="464">
    <w:name w:val="xl153"/>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65">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66">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67">
    <w:name w:val="xl1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68">
    <w:name w:val="xl150"/>
    <w:basedOn w:val="1"/>
    <w:autoRedefine/>
    <w:qFormat/>
    <w:uiPriority w:val="0"/>
    <w:pPr>
      <w:widowControl/>
      <w:pBdr>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469">
    <w:name w:val="章节一"/>
    <w:basedOn w:val="1"/>
    <w:next w:val="1"/>
    <w:autoRedefine/>
    <w:qFormat/>
    <w:uiPriority w:val="0"/>
    <w:pPr>
      <w:topLinePunct/>
      <w:adjustRightInd w:val="0"/>
      <w:snapToGrid w:val="0"/>
      <w:spacing w:beforeLines="50" w:afterLines="50"/>
      <w:jc w:val="center"/>
      <w:outlineLvl w:val="0"/>
    </w:pPr>
    <w:rPr>
      <w:rFonts w:eastAsia="黑体"/>
      <w:b/>
      <w:snapToGrid w:val="0"/>
      <w:spacing w:val="4"/>
      <w:kern w:val="0"/>
      <w:sz w:val="36"/>
      <w:szCs w:val="36"/>
    </w:rPr>
  </w:style>
  <w:style w:type="paragraph" w:customStyle="1" w:styleId="470">
    <w:name w:val="p17"/>
    <w:basedOn w:val="1"/>
    <w:autoRedefine/>
    <w:qFormat/>
    <w:uiPriority w:val="0"/>
    <w:pPr>
      <w:widowControl/>
      <w:jc w:val="left"/>
    </w:pPr>
    <w:rPr>
      <w:rFonts w:ascii="宋体" w:hAnsi="宋体" w:cs="宋体"/>
      <w:kern w:val="0"/>
      <w:szCs w:val="21"/>
    </w:rPr>
  </w:style>
  <w:style w:type="paragraph" w:customStyle="1" w:styleId="471">
    <w:name w:val="Char Char Char1 Char"/>
    <w:basedOn w:val="18"/>
    <w:autoRedefine/>
    <w:qFormat/>
    <w:uiPriority w:val="0"/>
    <w:pPr>
      <w:shd w:val="clear" w:color="auto" w:fill="000080"/>
    </w:pPr>
    <w:rPr>
      <w:rFonts w:ascii="Tahoma" w:hAnsi="Tahoma"/>
      <w:kern w:val="0"/>
      <w:sz w:val="24"/>
      <w:szCs w:val="24"/>
      <w:lang w:val="en-US"/>
    </w:rPr>
  </w:style>
  <w:style w:type="paragraph" w:customStyle="1" w:styleId="472">
    <w:name w:val="Char Char Char Char Char Char Char1"/>
    <w:basedOn w:val="1"/>
    <w:autoRedefine/>
    <w:qFormat/>
    <w:uiPriority w:val="0"/>
    <w:pPr>
      <w:tabs>
        <w:tab w:val="left" w:pos="425"/>
      </w:tabs>
      <w:ind w:left="425" w:hanging="425"/>
    </w:pPr>
    <w:rPr>
      <w:rFonts w:ascii="Times New Roman" w:hAnsi="Times New Roman" w:eastAsia="仿宋_GB2312"/>
      <w:kern w:val="24"/>
      <w:sz w:val="24"/>
      <w:szCs w:val="24"/>
    </w:rPr>
  </w:style>
  <w:style w:type="paragraph" w:customStyle="1" w:styleId="473">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74">
    <w:name w:val="xl139"/>
    <w:basedOn w:val="1"/>
    <w:autoRedefine/>
    <w:qFormat/>
    <w:uiPriority w:val="0"/>
    <w:pPr>
      <w:widowControl/>
      <w:pBdr>
        <w:left w:val="single" w:color="auto" w:sz="4" w:space="0"/>
      </w:pBdr>
      <w:spacing w:before="100" w:beforeAutospacing="1" w:after="100" w:afterAutospacing="1"/>
      <w:jc w:val="center"/>
    </w:pPr>
    <w:rPr>
      <w:rFonts w:ascii="宋体" w:hAnsi="宋体" w:cs="宋体"/>
      <w:kern w:val="0"/>
      <w:sz w:val="16"/>
      <w:szCs w:val="16"/>
    </w:rPr>
  </w:style>
  <w:style w:type="paragraph" w:customStyle="1" w:styleId="475">
    <w:name w:val="xl121"/>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7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77">
    <w:name w:val="样式 正文缩进表正文正文非缩进特点上海中望标准正文（首行缩进两字）文字正文（首行缩进两字） Char正文（首行缩进..."/>
    <w:basedOn w:val="14"/>
    <w:autoRedefine/>
    <w:qFormat/>
    <w:uiPriority w:val="0"/>
    <w:pPr>
      <w:ind w:firstLine="200" w:firstLineChars="200"/>
    </w:pPr>
    <w:rPr>
      <w:rFonts w:ascii="Calibri"/>
      <w:kern w:val="2"/>
      <w:sz w:val="21"/>
      <w:szCs w:val="21"/>
    </w:rPr>
  </w:style>
  <w:style w:type="paragraph" w:customStyle="1" w:styleId="478">
    <w:name w:val="_Style 155"/>
    <w:basedOn w:val="2"/>
    <w:next w:val="1"/>
    <w:autoRedefine/>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79">
    <w:name w:val="xl111"/>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 w:val="16"/>
      <w:szCs w:val="16"/>
    </w:rPr>
  </w:style>
  <w:style w:type="paragraph" w:customStyle="1" w:styleId="480">
    <w:name w:val="目录 11"/>
    <w:autoRedefine/>
    <w:qFormat/>
    <w:uiPriority w:val="0"/>
    <w:pPr>
      <w:widowControl w:val="0"/>
      <w:tabs>
        <w:tab w:val="right" w:leader="dot" w:pos="9710"/>
      </w:tabs>
      <w:spacing w:line="360" w:lineRule="auto"/>
    </w:pPr>
    <w:rPr>
      <w:rFonts w:ascii="Arial Bold" w:hAnsi="Arial Bold" w:eastAsia="Arial Bold" w:cs="Arial Bold"/>
      <w:caps/>
      <w:color w:val="000000"/>
      <w:kern w:val="2"/>
      <w:sz w:val="24"/>
      <w:szCs w:val="24"/>
      <w:lang w:val="en-US" w:eastAsia="zh-CN" w:bidi="ar-SA"/>
    </w:rPr>
  </w:style>
  <w:style w:type="paragraph" w:customStyle="1" w:styleId="481">
    <w:name w:val="Char Char11"/>
    <w:basedOn w:val="1"/>
    <w:autoRedefine/>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482">
    <w:name w:val="Char1 Char Char Char Char Char Char1"/>
    <w:basedOn w:val="1"/>
    <w:autoRedefine/>
    <w:qFormat/>
    <w:uiPriority w:val="0"/>
    <w:rPr>
      <w:szCs w:val="24"/>
    </w:rPr>
  </w:style>
  <w:style w:type="paragraph" w:customStyle="1" w:styleId="483">
    <w:name w:val="xl66"/>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84">
    <w:name w:val="xl143"/>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485">
    <w:name w:val="xl10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486">
    <w:name w:val="xl138"/>
    <w:basedOn w:val="1"/>
    <w:autoRedefine/>
    <w:qFormat/>
    <w:uiPriority w:val="0"/>
    <w:pPr>
      <w:widowControl/>
      <w:pBdr>
        <w:top w:val="double" w:color="auto" w:sz="6" w:space="0"/>
        <w:left w:val="single" w:color="auto" w:sz="4" w:space="0"/>
      </w:pBdr>
      <w:spacing w:before="100" w:beforeAutospacing="1" w:after="100" w:afterAutospacing="1"/>
      <w:jc w:val="center"/>
    </w:pPr>
    <w:rPr>
      <w:rFonts w:ascii="宋体" w:hAnsi="宋体" w:cs="宋体"/>
      <w:kern w:val="0"/>
      <w:sz w:val="16"/>
      <w:szCs w:val="16"/>
    </w:rPr>
  </w:style>
  <w:style w:type="paragraph" w:customStyle="1" w:styleId="487">
    <w:name w:val="修订12"/>
    <w:autoRedefine/>
    <w:unhideWhenUsed/>
    <w:qFormat/>
    <w:uiPriority w:val="99"/>
    <w:rPr>
      <w:rFonts w:ascii="Calibri" w:hAnsi="Calibri" w:eastAsia="宋体" w:cs="Times New Roman"/>
      <w:lang w:val="en-US" w:eastAsia="zh-CN" w:bidi="ar-SA"/>
    </w:rPr>
  </w:style>
  <w:style w:type="paragraph" w:customStyle="1" w:styleId="488">
    <w:name w:val="表格文字中"/>
    <w:basedOn w:val="1"/>
    <w:autoRedefine/>
    <w:qFormat/>
    <w:uiPriority w:val="0"/>
    <w:pPr>
      <w:adjustRightInd w:val="0"/>
      <w:snapToGrid w:val="0"/>
      <w:ind w:left="22" w:leftChars="8"/>
      <w:jc w:val="center"/>
    </w:pPr>
    <w:rPr>
      <w:rFonts w:ascii="宋体"/>
      <w:kern w:val="0"/>
      <w:sz w:val="34"/>
      <w:szCs w:val="20"/>
    </w:rPr>
  </w:style>
  <w:style w:type="paragraph" w:customStyle="1" w:styleId="489">
    <w:name w:val="表格文字1"/>
    <w:basedOn w:val="1"/>
    <w:autoRedefine/>
    <w:qFormat/>
    <w:uiPriority w:val="0"/>
    <w:pPr>
      <w:adjustRightInd w:val="0"/>
      <w:snapToGrid w:val="0"/>
    </w:pPr>
    <w:rPr>
      <w:rFonts w:ascii="宋体" w:eastAsia="仿宋_GB2312"/>
      <w:kern w:val="0"/>
      <w:sz w:val="34"/>
      <w:szCs w:val="20"/>
    </w:rPr>
  </w:style>
  <w:style w:type="paragraph" w:customStyle="1" w:styleId="490">
    <w:name w:val="样式 标题 3 + (中文) 黑体 小四 非加粗 段前: 7.8 磅 段后: 0 磅 行距: 固定值 20 磅"/>
    <w:basedOn w:val="4"/>
    <w:autoRedefine/>
    <w:qFormat/>
    <w:uiPriority w:val="0"/>
    <w:pPr>
      <w:spacing w:before="0" w:after="0" w:line="400" w:lineRule="exact"/>
    </w:pPr>
    <w:rPr>
      <w:rFonts w:ascii="Times New Roman" w:hAnsi="Times New Roman" w:eastAsia="黑体" w:cs="宋体"/>
      <w:b w:val="0"/>
      <w:bCs w:val="0"/>
      <w:kern w:val="2"/>
      <w:sz w:val="24"/>
      <w:szCs w:val="20"/>
    </w:rPr>
  </w:style>
  <w:style w:type="paragraph" w:customStyle="1" w:styleId="491">
    <w:name w:val="TOC 标题111"/>
    <w:basedOn w:val="2"/>
    <w:next w:val="1"/>
    <w:autoRedefine/>
    <w:qFormat/>
    <w:uiPriority w:val="0"/>
    <w:pPr>
      <w:widowControl/>
      <w:spacing w:before="480" w:after="0" w:line="276" w:lineRule="auto"/>
      <w:jc w:val="left"/>
      <w:outlineLvl w:val="9"/>
    </w:pPr>
    <w:rPr>
      <w:rFonts w:ascii="Cambria" w:hAnsi="Cambria"/>
      <w:bCs w:val="0"/>
      <w:color w:val="365F91"/>
      <w:kern w:val="0"/>
      <w:sz w:val="28"/>
      <w:szCs w:val="20"/>
      <w:lang w:val="en-US"/>
    </w:rPr>
  </w:style>
  <w:style w:type="paragraph" w:customStyle="1" w:styleId="492">
    <w:name w:val="Table Paragraph"/>
    <w:basedOn w:val="1"/>
    <w:autoRedefine/>
    <w:qFormat/>
    <w:uiPriority w:val="1"/>
    <w:pPr>
      <w:jc w:val="left"/>
    </w:pPr>
    <w:rPr>
      <w:rFonts w:ascii="宋体" w:hAnsi="宋体" w:cs="宋体"/>
      <w:kern w:val="0"/>
      <w:sz w:val="22"/>
      <w:lang w:eastAsia="en-US"/>
    </w:rPr>
  </w:style>
  <w:style w:type="paragraph" w:customStyle="1" w:styleId="493">
    <w:name w:val="TOC 标题12"/>
    <w:basedOn w:val="2"/>
    <w:next w:val="1"/>
    <w:autoRedefine/>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494">
    <w:name w:val="表注1"/>
    <w:basedOn w:val="1"/>
    <w:autoRedefine/>
    <w:qFormat/>
    <w:uiPriority w:val="0"/>
    <w:pPr>
      <w:adjustRightInd w:val="0"/>
      <w:snapToGrid w:val="0"/>
      <w:spacing w:line="300" w:lineRule="auto"/>
      <w:ind w:left="350" w:hanging="350" w:hangingChars="350"/>
    </w:pPr>
    <w:rPr>
      <w:rFonts w:ascii="宋体" w:eastAsia="仿宋_GB2312"/>
      <w:bCs/>
      <w:color w:val="000000"/>
      <w:kern w:val="0"/>
      <w:sz w:val="34"/>
      <w:szCs w:val="20"/>
    </w:rPr>
  </w:style>
  <w:style w:type="paragraph" w:customStyle="1" w:styleId="495">
    <w:name w:val="Char Char Char1"/>
    <w:basedOn w:val="1"/>
    <w:autoRedefine/>
    <w:qFormat/>
    <w:uiPriority w:val="0"/>
    <w:rPr>
      <w:szCs w:val="24"/>
    </w:rPr>
  </w:style>
  <w:style w:type="paragraph" w:customStyle="1" w:styleId="496">
    <w:name w:val="xl125"/>
    <w:basedOn w:val="1"/>
    <w:autoRedefine/>
    <w:qFormat/>
    <w:uiPriority w:val="0"/>
    <w:pPr>
      <w:widowControl/>
      <w:spacing w:before="100" w:beforeAutospacing="1" w:after="100" w:afterAutospacing="1"/>
      <w:jc w:val="center"/>
    </w:pPr>
    <w:rPr>
      <w:rFonts w:ascii="黑体" w:hAnsi="黑体" w:eastAsia="黑体" w:cs="宋体"/>
      <w:kern w:val="0"/>
      <w:sz w:val="28"/>
      <w:szCs w:val="28"/>
    </w:rPr>
  </w:style>
  <w:style w:type="paragraph" w:customStyle="1" w:styleId="497">
    <w:name w:val="xl67"/>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498">
    <w:name w:val="reader-word-layer reader-word-s1-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499">
    <w:name w:val="样式32"/>
    <w:basedOn w:val="40"/>
    <w:autoRedefine/>
    <w:qFormat/>
    <w:uiPriority w:val="0"/>
    <w:pPr>
      <w:spacing w:line="360" w:lineRule="auto"/>
      <w:ind w:firstLine="360" w:firstLineChars="200"/>
    </w:pPr>
    <w:rPr>
      <w:rFonts w:ascii="Calibri" w:hAnsi="Calibri"/>
      <w:lang w:val="en-US"/>
    </w:rPr>
  </w:style>
  <w:style w:type="paragraph" w:customStyle="1" w:styleId="500">
    <w:name w:val="列出段落1"/>
    <w:basedOn w:val="1"/>
    <w:link w:val="570"/>
    <w:autoRedefine/>
    <w:qFormat/>
    <w:uiPriority w:val="34"/>
    <w:pPr>
      <w:ind w:firstLine="420" w:firstLineChars="200"/>
    </w:pPr>
  </w:style>
  <w:style w:type="paragraph" w:customStyle="1" w:styleId="501">
    <w:name w:val="xl13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02">
    <w:name w:val="修订3"/>
    <w:autoRedefine/>
    <w:qFormat/>
    <w:uiPriority w:val="0"/>
    <w:rPr>
      <w:rFonts w:ascii="Times New Roman" w:hAnsi="Times New Roman" w:eastAsia="楷体_GB2312" w:cs="Times New Roman"/>
      <w:kern w:val="2"/>
      <w:sz w:val="21"/>
      <w:lang w:val="en-US" w:eastAsia="zh-CN" w:bidi="ar-SA"/>
    </w:rPr>
  </w:style>
  <w:style w:type="paragraph" w:customStyle="1" w:styleId="503">
    <w:name w:val="文二"/>
    <w:basedOn w:val="1"/>
    <w:autoRedefine/>
    <w:qFormat/>
    <w:uiPriority w:val="0"/>
    <w:pPr>
      <w:jc w:val="left"/>
    </w:pPr>
    <w:rPr>
      <w:rFonts w:ascii="宋体" w:hAnsi="宋体"/>
      <w:szCs w:val="21"/>
    </w:rPr>
  </w:style>
  <w:style w:type="paragraph" w:customStyle="1" w:styleId="504">
    <w:name w:val="表格文字"/>
    <w:basedOn w:val="1"/>
    <w:autoRedefine/>
    <w:qFormat/>
    <w:uiPriority w:val="0"/>
    <w:pPr>
      <w:adjustRightInd w:val="0"/>
      <w:snapToGrid w:val="0"/>
      <w:ind w:left="-57" w:right="-57"/>
      <w:jc w:val="center"/>
    </w:pPr>
    <w:rPr>
      <w:rFonts w:ascii="宋体" w:hAnsi="Times New Roman"/>
      <w:sz w:val="24"/>
      <w:szCs w:val="20"/>
    </w:rPr>
  </w:style>
  <w:style w:type="paragraph" w:customStyle="1" w:styleId="505">
    <w:name w:val="xl27"/>
    <w:basedOn w:val="1"/>
    <w:autoRedefine/>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szCs w:val="24"/>
    </w:rPr>
  </w:style>
  <w:style w:type="paragraph" w:customStyle="1" w:styleId="506">
    <w:name w:val="样式1"/>
    <w:basedOn w:val="5"/>
    <w:link w:val="576"/>
    <w:autoRedefine/>
    <w:qFormat/>
    <w:uiPriority w:val="0"/>
    <w:pPr>
      <w:spacing w:before="30" w:after="0" w:line="240" w:lineRule="auto"/>
    </w:pPr>
    <w:rPr>
      <w:rFonts w:ascii="Arial" w:hAnsi="Arial" w:eastAsia="黑体"/>
      <w:b w:val="0"/>
      <w:bCs w:val="0"/>
      <w:sz w:val="21"/>
      <w:lang w:eastAsia="ja-JP"/>
    </w:rPr>
  </w:style>
  <w:style w:type="paragraph" w:customStyle="1" w:styleId="507">
    <w:name w:val="正文 A"/>
    <w:autoRedefine/>
    <w:qFormat/>
    <w:uiPriority w:val="0"/>
    <w:pPr>
      <w:widowControl w:val="0"/>
      <w:jc w:val="both"/>
    </w:pPr>
    <w:rPr>
      <w:rFonts w:ascii="Calibri" w:hAnsi="Arial Unicode MS" w:eastAsia="Arial Unicode MS" w:cs="Arial Unicode MS"/>
      <w:color w:val="000000"/>
      <w:kern w:val="2"/>
      <w:sz w:val="21"/>
      <w:szCs w:val="21"/>
      <w:lang w:val="en-US" w:eastAsia="zh-CN" w:bidi="ar-SA"/>
    </w:rPr>
  </w:style>
  <w:style w:type="paragraph" w:customStyle="1" w:styleId="508">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509">
    <w:name w:val="xl167"/>
    <w:basedOn w:val="1"/>
    <w:autoRedefine/>
    <w:qFormat/>
    <w:uiPriority w:val="0"/>
    <w:pPr>
      <w:widowControl/>
      <w:pBdr>
        <w:left w:val="single" w:color="auto" w:sz="8" w:space="0"/>
        <w:bottom w:val="single" w:color="auto" w:sz="8" w:space="0"/>
      </w:pBdr>
      <w:spacing w:before="100" w:beforeAutospacing="1" w:after="100" w:afterAutospacing="1"/>
      <w:jc w:val="left"/>
    </w:pPr>
    <w:rPr>
      <w:rFonts w:ascii="宋体" w:hAnsi="宋体" w:cs="宋体"/>
      <w:kern w:val="0"/>
      <w:sz w:val="20"/>
      <w:szCs w:val="20"/>
    </w:rPr>
  </w:style>
  <w:style w:type="paragraph" w:customStyle="1" w:styleId="510">
    <w:name w:val="段"/>
    <w:link w:val="602"/>
    <w:autoRedefine/>
    <w:qFormat/>
    <w:uiPriority w:val="0"/>
    <w:pPr>
      <w:numPr>
        <w:ilvl w:val="0"/>
        <w:numId w:val="2"/>
      </w:numPr>
      <w:autoSpaceDE w:val="0"/>
      <w:autoSpaceDN w:val="0"/>
      <w:jc w:val="both"/>
    </w:pPr>
    <w:rPr>
      <w:rFonts w:ascii="宋体" w:hAnsi="Calibri" w:eastAsia="宋体" w:cs="Times New Roman"/>
      <w:sz w:val="21"/>
      <w:szCs w:val="22"/>
      <w:lang w:val="en-US" w:eastAsia="zh-CN" w:bidi="ar-SA"/>
    </w:rPr>
  </w:style>
  <w:style w:type="paragraph" w:customStyle="1" w:styleId="511">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512">
    <w:name w:val="xl14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6"/>
      <w:szCs w:val="16"/>
    </w:rPr>
  </w:style>
  <w:style w:type="paragraph" w:customStyle="1" w:styleId="513">
    <w:name w:val="xl1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4">
    <w:name w:val="xl1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15">
    <w:name w:val="xl160"/>
    <w:basedOn w:val="1"/>
    <w:autoRedefine/>
    <w:qFormat/>
    <w:uiPriority w:val="0"/>
    <w:pPr>
      <w:widowControl/>
      <w:pBdr>
        <w:left w:val="single" w:color="auto" w:sz="4" w:space="0"/>
        <w:bottom w:val="double" w:color="auto" w:sz="6" w:space="0"/>
      </w:pBdr>
      <w:spacing w:before="100" w:beforeAutospacing="1" w:after="100" w:afterAutospacing="1"/>
      <w:jc w:val="center"/>
    </w:pPr>
    <w:rPr>
      <w:rFonts w:ascii="宋体" w:hAnsi="宋体" w:cs="宋体"/>
      <w:color w:val="000000"/>
      <w:kern w:val="0"/>
      <w:sz w:val="16"/>
      <w:szCs w:val="16"/>
    </w:rPr>
  </w:style>
  <w:style w:type="paragraph" w:customStyle="1" w:styleId="516">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cs="宋体"/>
      <w:b w:val="0"/>
      <w:bCs w:val="0"/>
      <w:kern w:val="2"/>
      <w:sz w:val="28"/>
      <w:szCs w:val="20"/>
      <w:lang w:val="en-US"/>
    </w:rPr>
  </w:style>
  <w:style w:type="paragraph" w:customStyle="1" w:styleId="517">
    <w:name w:val="xl162"/>
    <w:basedOn w:val="1"/>
    <w:autoRedefine/>
    <w:qFormat/>
    <w:uiPriority w:val="0"/>
    <w:pPr>
      <w:widowControl/>
      <w:pBdr>
        <w:top w:val="double" w:color="auto" w:sz="6" w:space="0"/>
        <w:lef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518">
    <w:name w:val="xl103"/>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3366FF"/>
      <w:kern w:val="0"/>
      <w:sz w:val="16"/>
      <w:szCs w:val="16"/>
    </w:rPr>
  </w:style>
  <w:style w:type="paragraph" w:customStyle="1" w:styleId="519">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20">
    <w:name w:val="Z5"/>
    <w:basedOn w:val="1"/>
    <w:qFormat/>
    <w:uiPriority w:val="0"/>
    <w:pPr>
      <w:autoSpaceDE w:val="0"/>
      <w:autoSpaceDN w:val="0"/>
      <w:adjustRightInd w:val="0"/>
      <w:spacing w:line="360" w:lineRule="auto"/>
      <w:ind w:firstLine="420" w:firstLineChars="200"/>
      <w:jc w:val="left"/>
    </w:pPr>
    <w:rPr>
      <w:rFonts w:ascii="宋体" w:cs="宋体"/>
      <w:kern w:val="0"/>
      <w:szCs w:val="21"/>
    </w:rPr>
  </w:style>
  <w:style w:type="paragraph" w:customStyle="1" w:styleId="521">
    <w:name w:val="条目2"/>
    <w:basedOn w:val="1"/>
    <w:autoRedefine/>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lang w:val="fr-FR"/>
    </w:rPr>
  </w:style>
  <w:style w:type="paragraph" w:customStyle="1" w:styleId="522">
    <w:name w:val="修订2"/>
    <w:autoRedefine/>
    <w:unhideWhenUsed/>
    <w:qFormat/>
    <w:uiPriority w:val="0"/>
    <w:rPr>
      <w:rFonts w:ascii="Calibri" w:hAnsi="Calibri" w:eastAsia="宋体" w:cs="Times New Roman"/>
      <w:kern w:val="2"/>
      <w:sz w:val="24"/>
      <w:szCs w:val="24"/>
      <w:lang w:val="en-US" w:eastAsia="zh-CN" w:bidi="ar-SA"/>
    </w:rPr>
  </w:style>
  <w:style w:type="paragraph" w:customStyle="1" w:styleId="523">
    <w:name w:val="无间隔11"/>
    <w:link w:val="549"/>
    <w:autoRedefine/>
    <w:qFormat/>
    <w:uiPriority w:val="0"/>
    <w:pPr>
      <w:widowControl w:val="0"/>
      <w:jc w:val="both"/>
    </w:pPr>
    <w:rPr>
      <w:rFonts w:ascii="等线" w:hAnsi="等线" w:eastAsia="等线" w:cs="Times New Roman"/>
      <w:kern w:val="2"/>
      <w:sz w:val="18"/>
      <w:szCs w:val="22"/>
      <w:lang w:val="en-US" w:eastAsia="zh-CN" w:bidi="ar-SA"/>
    </w:rPr>
  </w:style>
  <w:style w:type="paragraph" w:customStyle="1" w:styleId="524">
    <w:name w:val="列出段落11"/>
    <w:basedOn w:val="1"/>
    <w:autoRedefine/>
    <w:unhideWhenUsed/>
    <w:qFormat/>
    <w:uiPriority w:val="34"/>
    <w:pPr>
      <w:ind w:firstLine="420" w:firstLineChars="200"/>
    </w:pPr>
    <w:rPr>
      <w:szCs w:val="24"/>
    </w:rPr>
  </w:style>
  <w:style w:type="paragraph" w:customStyle="1" w:styleId="525">
    <w:name w:val="默认段落字体 Para Char Char Char Char"/>
    <w:basedOn w:val="1"/>
    <w:autoRedefine/>
    <w:qFormat/>
    <w:uiPriority w:val="0"/>
    <w:rPr>
      <w:szCs w:val="24"/>
    </w:rPr>
  </w:style>
  <w:style w:type="paragraph" w:customStyle="1" w:styleId="526">
    <w:name w:val="xl166"/>
    <w:basedOn w:val="1"/>
    <w:autoRedefine/>
    <w:qFormat/>
    <w:uiPriority w:val="0"/>
    <w:pPr>
      <w:widowControl/>
      <w:pBdr>
        <w:left w:val="single" w:color="auto" w:sz="4" w:space="0"/>
        <w:bottom w:val="single" w:color="auto" w:sz="8" w:space="0"/>
      </w:pBdr>
      <w:spacing w:before="100" w:beforeAutospacing="1" w:after="100" w:afterAutospacing="1"/>
      <w:jc w:val="center"/>
    </w:pPr>
    <w:rPr>
      <w:rFonts w:ascii="宋体" w:hAnsi="宋体" w:cs="宋体"/>
      <w:kern w:val="0"/>
      <w:sz w:val="20"/>
      <w:szCs w:val="20"/>
    </w:rPr>
  </w:style>
  <w:style w:type="paragraph" w:customStyle="1" w:styleId="527">
    <w:name w:val="Definition Term"/>
    <w:basedOn w:val="1"/>
    <w:next w:val="1"/>
    <w:autoRedefine/>
    <w:qFormat/>
    <w:uiPriority w:val="0"/>
    <w:pPr>
      <w:autoSpaceDE w:val="0"/>
      <w:autoSpaceDN w:val="0"/>
      <w:adjustRightInd w:val="0"/>
      <w:jc w:val="left"/>
    </w:pPr>
    <w:rPr>
      <w:kern w:val="0"/>
      <w:sz w:val="24"/>
      <w:szCs w:val="20"/>
    </w:rPr>
  </w:style>
  <w:style w:type="paragraph" w:customStyle="1" w:styleId="528">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529">
    <w:name w:val="xl1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530">
    <w:name w:val="imclear"/>
    <w:basedOn w:val="1"/>
    <w:autoRedefine/>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531">
    <w:name w:val="xl113"/>
    <w:basedOn w:val="1"/>
    <w:autoRedefine/>
    <w:qFormat/>
    <w:uiPriority w:val="0"/>
    <w:pPr>
      <w:widowControl/>
      <w:pBdr>
        <w:top w:val="double" w:color="auto" w:sz="6" w:space="0"/>
        <w:left w:val="single" w:color="auto" w:sz="8" w:space="0"/>
        <w:bottom w:val="single" w:color="auto" w:sz="4" w:space="0"/>
        <w:right w:val="single" w:color="auto" w:sz="8" w:space="0"/>
      </w:pBdr>
      <w:spacing w:before="100" w:beforeAutospacing="1" w:after="100" w:afterAutospacing="1"/>
      <w:jc w:val="left"/>
      <w:textAlignment w:val="top"/>
    </w:pPr>
    <w:rPr>
      <w:rFonts w:ascii="宋体" w:hAnsi="宋体" w:cs="宋体"/>
      <w:kern w:val="0"/>
      <w:sz w:val="16"/>
      <w:szCs w:val="16"/>
    </w:rPr>
  </w:style>
  <w:style w:type="table" w:customStyle="1" w:styleId="532">
    <w:name w:val="Table Normal"/>
    <w:autoRedefine/>
    <w:qFormat/>
    <w:uiPriority w:val="2"/>
    <w:tblPr>
      <w:tblCellMar>
        <w:top w:w="0" w:type="dxa"/>
        <w:left w:w="0" w:type="dxa"/>
        <w:bottom w:w="0" w:type="dxa"/>
        <w:right w:w="0" w:type="dxa"/>
      </w:tblCellMar>
    </w:tblPr>
  </w:style>
  <w:style w:type="table" w:customStyle="1" w:styleId="533">
    <w:name w:val="网格型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34">
    <w:name w:val="TOC 标题4"/>
    <w:basedOn w:val="2"/>
    <w:next w:val="1"/>
    <w:autoRedefine/>
    <w:unhideWhenUsed/>
    <w:qFormat/>
    <w:uiPriority w:val="39"/>
    <w:pPr>
      <w:outlineLvl w:val="9"/>
    </w:pPr>
    <w:rPr>
      <w:lang w:val="en-US"/>
    </w:rPr>
  </w:style>
  <w:style w:type="character" w:customStyle="1" w:styleId="535">
    <w:name w:val="样式3 Char"/>
    <w:link w:val="431"/>
    <w:autoRedefine/>
    <w:qFormat/>
    <w:uiPriority w:val="0"/>
    <w:rPr>
      <w:rFonts w:ascii="楷体_GB2312" w:hAnsi="新宋体" w:eastAsia="楷体_GB2312"/>
      <w:kern w:val="2"/>
      <w:sz w:val="24"/>
    </w:rPr>
  </w:style>
  <w:style w:type="character" w:customStyle="1" w:styleId="536">
    <w:name w:val="正文(仿)首缩 Char"/>
    <w:link w:val="537"/>
    <w:autoRedefine/>
    <w:qFormat/>
    <w:locked/>
    <w:uiPriority w:val="0"/>
    <w:rPr>
      <w:rFonts w:ascii="仿宋_GB2312" w:eastAsia="仿宋_GB2312"/>
      <w:sz w:val="28"/>
    </w:rPr>
  </w:style>
  <w:style w:type="paragraph" w:customStyle="1" w:styleId="537">
    <w:name w:val="正文(仿)首缩"/>
    <w:basedOn w:val="1"/>
    <w:link w:val="536"/>
    <w:autoRedefine/>
    <w:qFormat/>
    <w:uiPriority w:val="0"/>
    <w:pPr>
      <w:ind w:firstLine="554" w:firstLineChars="200"/>
    </w:pPr>
    <w:rPr>
      <w:rFonts w:ascii="仿宋_GB2312" w:eastAsia="仿宋_GB2312"/>
      <w:kern w:val="0"/>
      <w:sz w:val="28"/>
      <w:szCs w:val="20"/>
    </w:rPr>
  </w:style>
  <w:style w:type="character" w:customStyle="1" w:styleId="538">
    <w:name w:val="3eee Char"/>
    <w:link w:val="539"/>
    <w:autoRedefine/>
    <w:qFormat/>
    <w:uiPriority w:val="0"/>
    <w:rPr>
      <w:rFonts w:ascii="Courier New" w:hAnsi="Courier New" w:eastAsia="Courier New"/>
      <w:sz w:val="24"/>
      <w:szCs w:val="24"/>
    </w:rPr>
  </w:style>
  <w:style w:type="paragraph" w:customStyle="1" w:styleId="539">
    <w:name w:val="3eee"/>
    <w:basedOn w:val="1"/>
    <w:link w:val="538"/>
    <w:autoRedefine/>
    <w:qFormat/>
    <w:uiPriority w:val="0"/>
    <w:pPr>
      <w:spacing w:line="440" w:lineRule="exact"/>
      <w:ind w:firstLine="480" w:firstLineChars="200"/>
    </w:pPr>
    <w:rPr>
      <w:rFonts w:ascii="Courier New" w:hAnsi="Courier New" w:eastAsia="Courier New"/>
      <w:kern w:val="0"/>
      <w:sz w:val="24"/>
      <w:szCs w:val="24"/>
    </w:rPr>
  </w:style>
  <w:style w:type="character" w:customStyle="1" w:styleId="540">
    <w:name w:val="18"/>
    <w:autoRedefine/>
    <w:qFormat/>
    <w:uiPriority w:val="0"/>
    <w:rPr>
      <w:rFonts w:hint="default" w:ascii="Calibri" w:hAnsi="Calibri" w:cs="Calibri"/>
      <w:b/>
      <w:bCs/>
      <w:sz w:val="30"/>
      <w:szCs w:val="30"/>
    </w:rPr>
  </w:style>
  <w:style w:type="character" w:customStyle="1" w:styleId="541">
    <w:name w:val="样式 宋体 小四 Char"/>
    <w:link w:val="542"/>
    <w:autoRedefine/>
    <w:qFormat/>
    <w:uiPriority w:val="0"/>
    <w:rPr>
      <w:rFonts w:ascii="Courier New" w:hAnsi="Courier New" w:eastAsia="Courier New"/>
      <w:sz w:val="24"/>
    </w:rPr>
  </w:style>
  <w:style w:type="paragraph" w:customStyle="1" w:styleId="542">
    <w:name w:val="样式 宋体 小四"/>
    <w:basedOn w:val="1"/>
    <w:link w:val="541"/>
    <w:autoRedefine/>
    <w:qFormat/>
    <w:uiPriority w:val="0"/>
    <w:pPr>
      <w:adjustRightInd w:val="0"/>
      <w:snapToGrid w:val="0"/>
      <w:spacing w:line="480" w:lineRule="exact"/>
      <w:ind w:firstLine="200" w:firstLineChars="200"/>
    </w:pPr>
    <w:rPr>
      <w:rFonts w:ascii="Courier New" w:hAnsi="Courier New" w:eastAsia="Courier New"/>
      <w:kern w:val="0"/>
      <w:sz w:val="24"/>
      <w:szCs w:val="20"/>
    </w:rPr>
  </w:style>
  <w:style w:type="character" w:customStyle="1" w:styleId="543">
    <w:name w:val="样式 小四 首行缩进:  0.85 厘米 行距: 1.5 倍行距 Char1"/>
    <w:link w:val="544"/>
    <w:autoRedefine/>
    <w:qFormat/>
    <w:uiPriority w:val="0"/>
    <w:rPr>
      <w:rFonts w:ascii="Courier New" w:hAnsi="Courier New" w:eastAsia="Courier New"/>
      <w:bCs/>
      <w:sz w:val="24"/>
      <w:szCs w:val="28"/>
    </w:rPr>
  </w:style>
  <w:style w:type="paragraph" w:customStyle="1" w:styleId="544">
    <w:name w:val="样式 小四 首行缩进:  0.85 厘米 行距: 1.5 倍行距"/>
    <w:basedOn w:val="1"/>
    <w:next w:val="1"/>
    <w:link w:val="543"/>
    <w:autoRedefine/>
    <w:qFormat/>
    <w:uiPriority w:val="0"/>
    <w:pPr>
      <w:spacing w:line="360" w:lineRule="auto"/>
      <w:ind w:firstLine="480"/>
    </w:pPr>
    <w:rPr>
      <w:rFonts w:ascii="Courier New" w:hAnsi="Courier New" w:eastAsia="Courier New"/>
      <w:bCs/>
      <w:kern w:val="0"/>
      <w:sz w:val="24"/>
      <w:szCs w:val="28"/>
    </w:rPr>
  </w:style>
  <w:style w:type="character" w:customStyle="1" w:styleId="545">
    <w:name w:val="19"/>
    <w:autoRedefine/>
    <w:qFormat/>
    <w:uiPriority w:val="0"/>
    <w:rPr>
      <w:rFonts w:hint="default" w:ascii="Calibri" w:hAnsi="Calibri" w:cs="Calibri"/>
      <w:b/>
      <w:bCs/>
      <w:kern w:val="44"/>
      <w:sz w:val="44"/>
      <w:szCs w:val="44"/>
    </w:rPr>
  </w:style>
  <w:style w:type="character" w:customStyle="1" w:styleId="546">
    <w:name w:val="10"/>
    <w:autoRedefine/>
    <w:qFormat/>
    <w:uiPriority w:val="0"/>
    <w:rPr>
      <w:rFonts w:hint="default" w:ascii="Calibri" w:hAnsi="Calibri" w:cs="Calibri"/>
    </w:rPr>
  </w:style>
  <w:style w:type="character" w:customStyle="1" w:styleId="547">
    <w:name w:val="插图名称 Char"/>
    <w:link w:val="548"/>
    <w:autoRedefine/>
    <w:qFormat/>
    <w:uiPriority w:val="0"/>
    <w:rPr>
      <w:rFonts w:eastAsia="Times New Roman"/>
      <w:kern w:val="2"/>
      <w:sz w:val="21"/>
      <w:szCs w:val="24"/>
    </w:rPr>
  </w:style>
  <w:style w:type="paragraph" w:customStyle="1" w:styleId="548">
    <w:name w:val="插图名称"/>
    <w:link w:val="547"/>
    <w:autoRedefine/>
    <w:qFormat/>
    <w:uiPriority w:val="0"/>
    <w:pPr>
      <w:jc w:val="center"/>
      <w:outlineLvl w:val="8"/>
    </w:pPr>
    <w:rPr>
      <w:rFonts w:ascii="Calibri" w:hAnsi="Calibri" w:eastAsia="Times New Roman" w:cs="Times New Roman"/>
      <w:kern w:val="2"/>
      <w:sz w:val="21"/>
      <w:szCs w:val="24"/>
      <w:lang w:val="en-US" w:eastAsia="zh-CN" w:bidi="ar-SA"/>
    </w:rPr>
  </w:style>
  <w:style w:type="character" w:customStyle="1" w:styleId="549">
    <w:name w:val="无间隔 Char"/>
    <w:link w:val="523"/>
    <w:autoRedefine/>
    <w:qFormat/>
    <w:locked/>
    <w:uiPriority w:val="0"/>
    <w:rPr>
      <w:rFonts w:ascii="等线" w:hAnsi="等线" w:eastAsia="等线"/>
      <w:kern w:val="2"/>
      <w:sz w:val="18"/>
      <w:szCs w:val="22"/>
    </w:rPr>
  </w:style>
  <w:style w:type="character" w:customStyle="1" w:styleId="550">
    <w:name w:val="Char Char102"/>
    <w:autoRedefine/>
    <w:qFormat/>
    <w:uiPriority w:val="0"/>
    <w:rPr>
      <w:rFonts w:ascii="宋体" w:hAnsi="Courier New" w:eastAsia="宋体" w:cs="Times New Roman"/>
      <w:szCs w:val="20"/>
    </w:rPr>
  </w:style>
  <w:style w:type="character" w:customStyle="1" w:styleId="551">
    <w:name w:val="表格文字 Char"/>
    <w:autoRedefine/>
    <w:qFormat/>
    <w:locked/>
    <w:uiPriority w:val="0"/>
    <w:rPr>
      <w:rFonts w:ascii="宋体" w:hAnsi="Courier New"/>
    </w:rPr>
  </w:style>
  <w:style w:type="character" w:customStyle="1" w:styleId="552">
    <w:name w:val="正文首行缩进 2 Char"/>
    <w:link w:val="62"/>
    <w:autoRedefine/>
    <w:qFormat/>
    <w:uiPriority w:val="0"/>
    <w:rPr>
      <w:szCs w:val="24"/>
    </w:rPr>
  </w:style>
  <w:style w:type="character" w:customStyle="1" w:styleId="553">
    <w:name w:val="表格00 Char1"/>
    <w:link w:val="554"/>
    <w:autoRedefine/>
    <w:qFormat/>
    <w:uiPriority w:val="0"/>
    <w:rPr>
      <w:rFonts w:eastAsia="Times New Roman"/>
      <w:kern w:val="2"/>
      <w:sz w:val="21"/>
      <w:szCs w:val="21"/>
    </w:rPr>
  </w:style>
  <w:style w:type="paragraph" w:customStyle="1" w:styleId="554">
    <w:name w:val="表格00"/>
    <w:link w:val="553"/>
    <w:autoRedefine/>
    <w:qFormat/>
    <w:uiPriority w:val="0"/>
    <w:pPr>
      <w:widowControl w:val="0"/>
      <w:adjustRightInd w:val="0"/>
      <w:spacing w:line="140" w:lineRule="atLeast"/>
      <w:jc w:val="center"/>
      <w:outlineLvl w:val="8"/>
    </w:pPr>
    <w:rPr>
      <w:rFonts w:ascii="Calibri" w:hAnsi="Calibri" w:eastAsia="Times New Roman" w:cs="Times New Roman"/>
      <w:kern w:val="2"/>
      <w:sz w:val="21"/>
      <w:szCs w:val="21"/>
      <w:lang w:val="en-US" w:eastAsia="zh-CN" w:bidi="ar-SA"/>
    </w:rPr>
  </w:style>
  <w:style w:type="character" w:customStyle="1" w:styleId="555">
    <w:name w:val="16"/>
    <w:autoRedefine/>
    <w:qFormat/>
    <w:uiPriority w:val="0"/>
    <w:rPr>
      <w:rFonts w:hint="default" w:ascii="Calibri" w:hAnsi="Calibri" w:cs="Calibri"/>
      <w:color w:val="0000FF"/>
      <w:u w:val="single"/>
    </w:rPr>
  </w:style>
  <w:style w:type="character" w:customStyle="1" w:styleId="556">
    <w:name w:val="泉州师院正文 Char"/>
    <w:link w:val="557"/>
    <w:qFormat/>
    <w:uiPriority w:val="0"/>
    <w:rPr>
      <w:sz w:val="24"/>
      <w:szCs w:val="24"/>
    </w:rPr>
  </w:style>
  <w:style w:type="paragraph" w:customStyle="1" w:styleId="557">
    <w:name w:val="泉州师院正文"/>
    <w:basedOn w:val="1"/>
    <w:link w:val="556"/>
    <w:autoRedefine/>
    <w:qFormat/>
    <w:uiPriority w:val="0"/>
    <w:pPr>
      <w:spacing w:line="360" w:lineRule="auto"/>
      <w:ind w:firstLine="480" w:firstLineChars="200"/>
    </w:pPr>
    <w:rPr>
      <w:kern w:val="0"/>
      <w:sz w:val="24"/>
      <w:szCs w:val="24"/>
    </w:rPr>
  </w:style>
  <w:style w:type="character" w:customStyle="1" w:styleId="558">
    <w:name w:val="一级标题 Char"/>
    <w:link w:val="559"/>
    <w:autoRedefine/>
    <w:qFormat/>
    <w:uiPriority w:val="0"/>
    <w:rPr>
      <w:b/>
      <w:sz w:val="30"/>
      <w:szCs w:val="30"/>
    </w:rPr>
  </w:style>
  <w:style w:type="paragraph" w:customStyle="1" w:styleId="559">
    <w:name w:val="一级标题"/>
    <w:basedOn w:val="1"/>
    <w:link w:val="558"/>
    <w:autoRedefine/>
    <w:qFormat/>
    <w:uiPriority w:val="0"/>
    <w:pPr>
      <w:spacing w:line="360" w:lineRule="auto"/>
      <w:outlineLvl w:val="0"/>
    </w:pPr>
    <w:rPr>
      <w:b/>
      <w:kern w:val="0"/>
      <w:sz w:val="30"/>
      <w:szCs w:val="30"/>
    </w:rPr>
  </w:style>
  <w:style w:type="character" w:customStyle="1" w:styleId="560">
    <w:name w:val="15"/>
    <w:autoRedefine/>
    <w:qFormat/>
    <w:uiPriority w:val="0"/>
    <w:rPr>
      <w:rFonts w:hint="default" w:ascii="Calibri" w:hAnsi="Calibri" w:cs="Calibri"/>
      <w:color w:val="0000FF"/>
      <w:u w:val="single"/>
    </w:rPr>
  </w:style>
  <w:style w:type="character" w:customStyle="1" w:styleId="561">
    <w:name w:val="17"/>
    <w:autoRedefine/>
    <w:qFormat/>
    <w:uiPriority w:val="0"/>
    <w:rPr>
      <w:rFonts w:hint="default" w:ascii="Calibri" w:hAnsi="Calibri" w:cs="Calibri"/>
    </w:rPr>
  </w:style>
  <w:style w:type="character" w:customStyle="1" w:styleId="562">
    <w:name w:val="正文首行缩进 2 Char1"/>
    <w:basedOn w:val="258"/>
    <w:autoRedefine/>
    <w:semiHidden/>
    <w:qFormat/>
    <w:uiPriority w:val="99"/>
    <w:rPr>
      <w:rFonts w:ascii="Times New Roman" w:hAnsi="Times New Roman" w:eastAsia="宋体" w:cs="Times New Roman"/>
      <w:kern w:val="2"/>
      <w:sz w:val="21"/>
      <w:szCs w:val="22"/>
    </w:rPr>
  </w:style>
  <w:style w:type="paragraph" w:customStyle="1" w:styleId="563">
    <w:name w:val="正文图标题"/>
    <w:next w:val="1"/>
    <w:autoRedefine/>
    <w:qFormat/>
    <w:uiPriority w:val="0"/>
    <w:pPr>
      <w:tabs>
        <w:tab w:val="left" w:pos="420"/>
      </w:tabs>
      <w:ind w:left="567" w:hanging="279"/>
      <w:jc w:val="center"/>
    </w:pPr>
    <w:rPr>
      <w:rFonts w:ascii="黑体" w:hAnsi="Calibri" w:eastAsia="黑体" w:cs="Times New Roman"/>
      <w:sz w:val="21"/>
      <w:lang w:val="en-US" w:eastAsia="zh-CN" w:bidi="ar-SA"/>
    </w:rPr>
  </w:style>
  <w:style w:type="paragraph" w:customStyle="1" w:styleId="564">
    <w:name w:val="CM15"/>
    <w:basedOn w:val="1"/>
    <w:next w:val="1"/>
    <w:autoRedefine/>
    <w:qFormat/>
    <w:uiPriority w:val="0"/>
    <w:pPr>
      <w:autoSpaceDE w:val="0"/>
      <w:autoSpaceDN w:val="0"/>
      <w:adjustRightInd w:val="0"/>
      <w:spacing w:line="468" w:lineRule="atLeast"/>
      <w:jc w:val="left"/>
    </w:pPr>
    <w:rPr>
      <w:rFonts w:ascii="黑体" w:eastAsia="黑体"/>
      <w:kern w:val="0"/>
      <w:sz w:val="24"/>
      <w:szCs w:val="24"/>
    </w:rPr>
  </w:style>
  <w:style w:type="paragraph" w:styleId="565">
    <w:name w:val="No Spacing"/>
    <w:autoRedefine/>
    <w:qFormat/>
    <w:uiPriority w:val="1"/>
    <w:pPr>
      <w:widowControl w:val="0"/>
      <w:jc w:val="both"/>
    </w:pPr>
    <w:rPr>
      <w:rFonts w:ascii="Calibri" w:hAnsi="Calibri" w:eastAsia="Times New Roman" w:cs="Times New Roman"/>
      <w:kern w:val="2"/>
      <w:sz w:val="24"/>
      <w:szCs w:val="24"/>
      <w:lang w:val="en-US" w:eastAsia="zh-CN" w:bidi="ar-SA"/>
    </w:rPr>
  </w:style>
  <w:style w:type="paragraph" w:customStyle="1" w:styleId="566">
    <w:name w:val="_Style 59"/>
    <w:autoRedefine/>
    <w:qFormat/>
    <w:uiPriority w:val="0"/>
    <w:pPr>
      <w:spacing w:after="160" w:line="240" w:lineRule="exact"/>
    </w:pPr>
    <w:rPr>
      <w:rFonts w:ascii="Calibri" w:hAnsi="Calibri" w:eastAsia="宋体" w:cs="Times New Roman"/>
      <w:lang w:val="en-US" w:eastAsia="zh-CN" w:bidi="ar-SA"/>
    </w:rPr>
  </w:style>
  <w:style w:type="paragraph" w:customStyle="1" w:styleId="567">
    <w:name w:val="修订4"/>
    <w:autoRedefine/>
    <w:qFormat/>
    <w:uiPriority w:val="0"/>
    <w:rPr>
      <w:rFonts w:ascii="Calibri" w:hAnsi="Calibri" w:eastAsia="宋体" w:cs="Times New Roman"/>
      <w:kern w:val="2"/>
      <w:sz w:val="21"/>
      <w:szCs w:val="24"/>
      <w:lang w:val="en-US" w:eastAsia="zh-CN" w:bidi="ar-SA"/>
    </w:rPr>
  </w:style>
  <w:style w:type="paragraph" w:styleId="568">
    <w:name w:val="List Paragraph"/>
    <w:basedOn w:val="1"/>
    <w:link w:val="629"/>
    <w:autoRedefine/>
    <w:qFormat/>
    <w:uiPriority w:val="1"/>
    <w:pPr>
      <w:ind w:firstLine="420" w:firstLineChars="200"/>
    </w:pPr>
    <w:rPr>
      <w:szCs w:val="24"/>
    </w:rPr>
  </w:style>
  <w:style w:type="paragraph" w:customStyle="1" w:styleId="569">
    <w:name w:val="1eee"/>
    <w:basedOn w:val="2"/>
    <w:autoRedefine/>
    <w:qFormat/>
    <w:uiPriority w:val="0"/>
    <w:pPr>
      <w:jc w:val="center"/>
    </w:pPr>
    <w:rPr>
      <w:rFonts w:ascii="Times New Roman" w:hAnsi="Times New Roman" w:eastAsia="黑体" w:cs="宋体"/>
      <w:b w:val="0"/>
      <w:sz w:val="30"/>
    </w:rPr>
  </w:style>
  <w:style w:type="character" w:customStyle="1" w:styleId="570">
    <w:name w:val="列出段落 Char"/>
    <w:basedOn w:val="65"/>
    <w:link w:val="500"/>
    <w:autoRedefine/>
    <w:qFormat/>
    <w:uiPriority w:val="0"/>
    <w:rPr>
      <w:kern w:val="2"/>
      <w:sz w:val="21"/>
      <w:szCs w:val="22"/>
    </w:rPr>
  </w:style>
  <w:style w:type="paragraph" w:customStyle="1" w:styleId="571">
    <w:name w:val="央1"/>
    <w:basedOn w:val="1"/>
    <w:link w:val="572"/>
    <w:autoRedefine/>
    <w:qFormat/>
    <w:uiPriority w:val="0"/>
    <w:pPr>
      <w:adjustRightInd w:val="0"/>
      <w:snapToGrid w:val="0"/>
      <w:spacing w:line="440" w:lineRule="exact"/>
      <w:ind w:firstLine="200" w:firstLineChars="200"/>
    </w:pPr>
    <w:rPr>
      <w:rFonts w:ascii="宋体" w:hAnsi="Times New Roman" w:cs="宋体"/>
      <w:sz w:val="24"/>
      <w:szCs w:val="24"/>
    </w:rPr>
  </w:style>
  <w:style w:type="character" w:customStyle="1" w:styleId="572">
    <w:name w:val="央1 Char Char"/>
    <w:link w:val="571"/>
    <w:autoRedefine/>
    <w:qFormat/>
    <w:uiPriority w:val="0"/>
    <w:rPr>
      <w:rFonts w:ascii="宋体" w:hAnsi="Times New Roman" w:cs="宋体"/>
      <w:kern w:val="2"/>
      <w:sz w:val="24"/>
      <w:szCs w:val="24"/>
    </w:rPr>
  </w:style>
  <w:style w:type="character" w:customStyle="1" w:styleId="573">
    <w:name w:val="表格标题 Char"/>
    <w:basedOn w:val="65"/>
    <w:link w:val="414"/>
    <w:autoRedefine/>
    <w:qFormat/>
    <w:uiPriority w:val="0"/>
    <w:rPr>
      <w:b/>
      <w:bCs/>
      <w:color w:val="000000"/>
      <w:kern w:val="2"/>
      <w:sz w:val="32"/>
      <w:szCs w:val="32"/>
    </w:rPr>
  </w:style>
  <w:style w:type="paragraph" w:customStyle="1" w:styleId="574">
    <w:name w:val="表格正文"/>
    <w:basedOn w:val="1"/>
    <w:link w:val="575"/>
    <w:autoRedefine/>
    <w:qFormat/>
    <w:uiPriority w:val="0"/>
    <w:pPr>
      <w:widowControl/>
      <w:jc w:val="left"/>
    </w:pPr>
    <w:rPr>
      <w:rFonts w:ascii="宋体" w:hAnsi="宋体" w:cs="宋体" w:eastAsiaTheme="minorEastAsia"/>
      <w:color w:val="000000"/>
      <w:kern w:val="0"/>
      <w:sz w:val="18"/>
      <w:szCs w:val="24"/>
    </w:rPr>
  </w:style>
  <w:style w:type="character" w:customStyle="1" w:styleId="575">
    <w:name w:val="表格正文 Char"/>
    <w:basedOn w:val="65"/>
    <w:link w:val="574"/>
    <w:autoRedefine/>
    <w:qFormat/>
    <w:uiPriority w:val="0"/>
    <w:rPr>
      <w:rFonts w:ascii="宋体" w:hAnsi="宋体" w:cs="宋体" w:eastAsiaTheme="minorEastAsia"/>
      <w:color w:val="000000"/>
      <w:sz w:val="18"/>
      <w:szCs w:val="24"/>
    </w:rPr>
  </w:style>
  <w:style w:type="character" w:customStyle="1" w:styleId="576">
    <w:name w:val="样式1 Char"/>
    <w:basedOn w:val="65"/>
    <w:link w:val="506"/>
    <w:autoRedefine/>
    <w:qFormat/>
    <w:uiPriority w:val="0"/>
    <w:rPr>
      <w:rFonts w:ascii="Arial" w:hAnsi="Arial" w:eastAsia="黑体"/>
      <w:sz w:val="21"/>
      <w:szCs w:val="28"/>
      <w:lang w:val="zh-CN" w:eastAsia="ja-JP"/>
    </w:rPr>
  </w:style>
  <w:style w:type="character" w:customStyle="1" w:styleId="577">
    <w:name w:val="样式1 Char Char"/>
    <w:autoRedefine/>
    <w:qFormat/>
    <w:uiPriority w:val="0"/>
    <w:rPr>
      <w:sz w:val="24"/>
      <w:szCs w:val="24"/>
    </w:rPr>
  </w:style>
  <w:style w:type="paragraph" w:customStyle="1" w:styleId="578">
    <w:name w:val="小四正文"/>
    <w:basedOn w:val="1"/>
    <w:link w:val="579"/>
    <w:autoRedefine/>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579">
    <w:name w:val="小四正文 Char"/>
    <w:basedOn w:val="65"/>
    <w:link w:val="578"/>
    <w:autoRedefine/>
    <w:qFormat/>
    <w:uiPriority w:val="0"/>
    <w:rPr>
      <w:rFonts w:asciiTheme="minorHAnsi" w:hAnsiTheme="minorHAnsi" w:eastAsiaTheme="minorEastAsia" w:cstheme="minorBidi"/>
      <w:kern w:val="2"/>
      <w:sz w:val="24"/>
      <w:szCs w:val="24"/>
    </w:rPr>
  </w:style>
  <w:style w:type="paragraph" w:customStyle="1" w:styleId="580">
    <w:name w:val="表格抬头"/>
    <w:basedOn w:val="1"/>
    <w:link w:val="581"/>
    <w:autoRedefine/>
    <w:qFormat/>
    <w:uiPriority w:val="0"/>
    <w:pPr>
      <w:spacing w:line="360" w:lineRule="auto"/>
      <w:jc w:val="center"/>
    </w:pPr>
    <w:rPr>
      <w:rFonts w:asciiTheme="minorHAnsi" w:hAnsiTheme="minorHAnsi" w:eastAsiaTheme="minorEastAsia" w:cstheme="minorBidi"/>
      <w:szCs w:val="21"/>
    </w:rPr>
  </w:style>
  <w:style w:type="character" w:customStyle="1" w:styleId="581">
    <w:name w:val="表格抬头 Char"/>
    <w:basedOn w:val="65"/>
    <w:link w:val="580"/>
    <w:autoRedefine/>
    <w:qFormat/>
    <w:uiPriority w:val="0"/>
    <w:rPr>
      <w:rFonts w:asciiTheme="minorHAnsi" w:hAnsiTheme="minorHAnsi" w:eastAsiaTheme="minorEastAsia" w:cstheme="minorBidi"/>
      <w:kern w:val="2"/>
      <w:sz w:val="21"/>
      <w:szCs w:val="21"/>
    </w:rPr>
  </w:style>
  <w:style w:type="character" w:customStyle="1" w:styleId="582">
    <w:name w:val="font01"/>
    <w:qFormat/>
    <w:uiPriority w:val="0"/>
    <w:rPr>
      <w:rFonts w:hint="eastAsia" w:ascii="宋体" w:hAnsi="宋体" w:eastAsia="宋体" w:cs="宋体"/>
      <w:color w:val="000000"/>
      <w:sz w:val="22"/>
      <w:szCs w:val="22"/>
      <w:u w:val="none"/>
    </w:rPr>
  </w:style>
  <w:style w:type="character" w:customStyle="1" w:styleId="583">
    <w:name w:val="title26"/>
    <w:basedOn w:val="65"/>
    <w:autoRedefine/>
    <w:qFormat/>
    <w:uiPriority w:val="0"/>
  </w:style>
  <w:style w:type="character" w:customStyle="1" w:styleId="584">
    <w:name w:val="font21"/>
    <w:autoRedefine/>
    <w:qFormat/>
    <w:uiPriority w:val="0"/>
    <w:rPr>
      <w:rFonts w:hint="eastAsia" w:ascii="宋体" w:hAnsi="宋体" w:eastAsia="宋体" w:cs="宋体"/>
      <w:color w:val="000000"/>
      <w:sz w:val="21"/>
      <w:szCs w:val="21"/>
      <w:u w:val="none"/>
    </w:rPr>
  </w:style>
  <w:style w:type="character" w:customStyle="1" w:styleId="585">
    <w:name w:val="正文文本 3 Char1"/>
    <w:autoRedefine/>
    <w:qFormat/>
    <w:uiPriority w:val="0"/>
    <w:rPr>
      <w:rFonts w:eastAsia="Calibri"/>
      <w:sz w:val="16"/>
      <w:szCs w:val="16"/>
      <w:lang w:eastAsia="en-US"/>
    </w:rPr>
  </w:style>
  <w:style w:type="character" w:customStyle="1" w:styleId="586">
    <w:name w:val="username"/>
    <w:basedOn w:val="65"/>
    <w:autoRedefine/>
    <w:qFormat/>
    <w:uiPriority w:val="0"/>
  </w:style>
  <w:style w:type="character" w:customStyle="1" w:styleId="587">
    <w:name w:val="font11"/>
    <w:autoRedefine/>
    <w:qFormat/>
    <w:uiPriority w:val="0"/>
    <w:rPr>
      <w:rFonts w:hint="eastAsia" w:ascii="宋体" w:hAnsi="宋体" w:eastAsia="宋体" w:cs="宋体"/>
      <w:color w:val="000000"/>
      <w:sz w:val="21"/>
      <w:szCs w:val="21"/>
      <w:u w:val="none"/>
    </w:rPr>
  </w:style>
  <w:style w:type="paragraph" w:customStyle="1" w:styleId="588">
    <w:name w:val="_Style 50"/>
    <w:autoRedefine/>
    <w:unhideWhenUsed/>
    <w:qFormat/>
    <w:uiPriority w:val="99"/>
    <w:rPr>
      <w:rFonts w:ascii="Times New Roman" w:hAnsi="Times New Roman" w:eastAsia="Calibri" w:cs="Times New Roman"/>
      <w:sz w:val="22"/>
      <w:szCs w:val="22"/>
      <w:lang w:val="en-US" w:eastAsia="en-US" w:bidi="ar-SA"/>
    </w:rPr>
  </w:style>
  <w:style w:type="paragraph" w:customStyle="1" w:styleId="589">
    <w:name w:val="正文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0">
    <w:name w:val="样式 报告正文 Char Char + (西文) Arial (中文) 黑体"/>
    <w:basedOn w:val="1"/>
    <w:autoRedefine/>
    <w:qFormat/>
    <w:uiPriority w:val="0"/>
    <w:pPr>
      <w:tabs>
        <w:tab w:val="left" w:pos="3020"/>
        <w:tab w:val="left" w:pos="4107"/>
      </w:tabs>
      <w:adjustRightInd w:val="0"/>
      <w:snapToGrid w:val="0"/>
      <w:spacing w:line="480" w:lineRule="auto"/>
      <w:ind w:firstLine="200" w:firstLineChars="200"/>
    </w:pPr>
    <w:rPr>
      <w:rFonts w:ascii="Arial" w:hAnsi="Arial" w:eastAsia="黑体" w:cs="宋体"/>
      <w:sz w:val="22"/>
      <w:szCs w:val="20"/>
    </w:rPr>
  </w:style>
  <w:style w:type="paragraph" w:customStyle="1" w:styleId="591">
    <w:name w:val="5"/>
    <w:basedOn w:val="1"/>
    <w:autoRedefine/>
    <w:qFormat/>
    <w:uiPriority w:val="0"/>
    <w:pPr>
      <w:autoSpaceDE w:val="0"/>
      <w:autoSpaceDN w:val="0"/>
      <w:adjustRightInd w:val="0"/>
      <w:spacing w:line="360" w:lineRule="auto"/>
      <w:ind w:firstLine="420" w:firstLineChars="200"/>
      <w:jc w:val="left"/>
    </w:pPr>
    <w:rPr>
      <w:rFonts w:ascii="Times New Roman" w:hAnsi="Times New Roman" w:eastAsia="Calibri"/>
      <w:kern w:val="0"/>
      <w:sz w:val="22"/>
      <w:lang w:eastAsia="en-US"/>
    </w:rPr>
  </w:style>
  <w:style w:type="paragraph" w:customStyle="1" w:styleId="592">
    <w:name w:val="_Style 54"/>
    <w:basedOn w:val="2"/>
    <w:next w:val="1"/>
    <w:autoRedefine/>
    <w:qFormat/>
    <w:uiPriority w:val="39"/>
    <w:pPr>
      <w:widowControl/>
      <w:spacing w:before="480" w:after="0" w:line="276" w:lineRule="auto"/>
      <w:jc w:val="left"/>
      <w:outlineLvl w:val="9"/>
    </w:pPr>
    <w:rPr>
      <w:rFonts w:ascii="Cambria" w:hAnsi="Cambria"/>
      <w:color w:val="365F91"/>
      <w:kern w:val="0"/>
      <w:sz w:val="28"/>
      <w:szCs w:val="28"/>
      <w:lang w:val="en-US"/>
    </w:rPr>
  </w:style>
  <w:style w:type="paragraph" w:customStyle="1" w:styleId="593">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594">
    <w:name w:val="正文 New New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95">
    <w:name w:val="HTML 地址 Char"/>
    <w:basedOn w:val="65"/>
    <w:link w:val="29"/>
    <w:autoRedefine/>
    <w:qFormat/>
    <w:uiPriority w:val="0"/>
    <w:rPr>
      <w:rFonts w:ascii="Calibri" w:hAnsi="Calibri"/>
      <w:i/>
      <w:iCs/>
      <w:kern w:val="2"/>
      <w:sz w:val="21"/>
    </w:rPr>
  </w:style>
  <w:style w:type="character" w:customStyle="1" w:styleId="596">
    <w:name w:val="脚注文本 Char"/>
    <w:basedOn w:val="65"/>
    <w:link w:val="48"/>
    <w:autoRedefine/>
    <w:qFormat/>
    <w:uiPriority w:val="0"/>
    <w:rPr>
      <w:sz w:val="18"/>
      <w:szCs w:val="18"/>
    </w:rPr>
  </w:style>
  <w:style w:type="character" w:customStyle="1" w:styleId="597">
    <w:name w:val="纯文本 字符1"/>
    <w:autoRedefine/>
    <w:semiHidden/>
    <w:qFormat/>
    <w:uiPriority w:val="99"/>
    <w:rPr>
      <w:rFonts w:ascii="宋体" w:hAnsi="Courier New" w:eastAsia="宋体" w:cs="Courier New"/>
      <w:kern w:val="2"/>
      <w:sz w:val="21"/>
      <w:szCs w:val="24"/>
    </w:rPr>
  </w:style>
  <w:style w:type="character" w:customStyle="1" w:styleId="598">
    <w:name w:val="发布"/>
    <w:autoRedefine/>
    <w:qFormat/>
    <w:uiPriority w:val="0"/>
    <w:rPr>
      <w:rFonts w:ascii="黑体" w:eastAsia="黑体"/>
      <w:spacing w:val="22"/>
      <w:w w:val="100"/>
      <w:position w:val="3"/>
      <w:sz w:val="28"/>
    </w:rPr>
  </w:style>
  <w:style w:type="character" w:customStyle="1" w:styleId="599">
    <w:name w:val="未处理的提及11"/>
    <w:qFormat/>
    <w:uiPriority w:val="99"/>
    <w:rPr>
      <w:color w:val="605E5C"/>
      <w:shd w:val="clear" w:color="auto" w:fill="E1DFDD"/>
    </w:rPr>
  </w:style>
  <w:style w:type="character" w:customStyle="1" w:styleId="600">
    <w:name w:val="附录公式 Char"/>
    <w:link w:val="601"/>
    <w:autoRedefine/>
    <w:qFormat/>
    <w:uiPriority w:val="0"/>
  </w:style>
  <w:style w:type="paragraph" w:customStyle="1" w:styleId="601">
    <w:name w:val="附录公式"/>
    <w:basedOn w:val="510"/>
    <w:next w:val="510"/>
    <w:link w:val="600"/>
    <w:autoRedefine/>
    <w:qFormat/>
    <w:uiPriority w:val="0"/>
    <w:pPr>
      <w:numPr>
        <w:numId w:val="0"/>
      </w:numPr>
      <w:tabs>
        <w:tab w:val="center" w:pos="4201"/>
        <w:tab w:val="right" w:leader="dot" w:pos="9298"/>
      </w:tabs>
      <w:ind w:firstLine="420" w:firstLineChars="200"/>
    </w:pPr>
    <w:rPr>
      <w:rFonts w:ascii="Times New Roman" w:hAnsi="Times New Roman"/>
      <w:sz w:val="20"/>
      <w:szCs w:val="20"/>
    </w:rPr>
  </w:style>
  <w:style w:type="character" w:customStyle="1" w:styleId="602">
    <w:name w:val="段 Char"/>
    <w:link w:val="510"/>
    <w:autoRedefine/>
    <w:qFormat/>
    <w:uiPriority w:val="0"/>
    <w:rPr>
      <w:rFonts w:ascii="宋体" w:hAnsi="Calibri"/>
      <w:sz w:val="21"/>
      <w:szCs w:val="22"/>
    </w:rPr>
  </w:style>
  <w:style w:type="character" w:customStyle="1" w:styleId="603">
    <w:name w:val="style7"/>
    <w:basedOn w:val="65"/>
    <w:autoRedefine/>
    <w:qFormat/>
    <w:uiPriority w:val="0"/>
  </w:style>
  <w:style w:type="character" w:customStyle="1" w:styleId="604">
    <w:name w:val="首示例 Char"/>
    <w:link w:val="605"/>
    <w:autoRedefine/>
    <w:qFormat/>
    <w:uiPriority w:val="0"/>
    <w:rPr>
      <w:rFonts w:ascii="宋体" w:hAnsi="宋体"/>
      <w:kern w:val="2"/>
      <w:sz w:val="18"/>
      <w:szCs w:val="18"/>
    </w:rPr>
  </w:style>
  <w:style w:type="paragraph" w:customStyle="1" w:styleId="605">
    <w:name w:val="首示例"/>
    <w:next w:val="510"/>
    <w:link w:val="604"/>
    <w:qFormat/>
    <w:uiPriority w:val="0"/>
    <w:pPr>
      <w:tabs>
        <w:tab w:val="left" w:pos="360"/>
        <w:tab w:val="left" w:pos="644"/>
      </w:tabs>
      <w:ind w:left="644"/>
    </w:pPr>
    <w:rPr>
      <w:rFonts w:ascii="宋体" w:hAnsi="宋体" w:eastAsia="宋体" w:cs="Times New Roman"/>
      <w:kern w:val="2"/>
      <w:sz w:val="18"/>
      <w:szCs w:val="18"/>
      <w:lang w:val="en-US" w:eastAsia="zh-CN" w:bidi="ar-SA"/>
    </w:rPr>
  </w:style>
  <w:style w:type="character" w:customStyle="1" w:styleId="606">
    <w:name w:val="未处理的提及1"/>
    <w:autoRedefine/>
    <w:unhideWhenUsed/>
    <w:qFormat/>
    <w:uiPriority w:val="99"/>
    <w:rPr>
      <w:color w:val="605E5C"/>
      <w:shd w:val="clear" w:color="auto" w:fill="E1DFDD"/>
    </w:rPr>
  </w:style>
  <w:style w:type="character" w:customStyle="1" w:styleId="607">
    <w:name w:val="字母编号列项（一级） Char"/>
    <w:link w:val="608"/>
    <w:autoRedefine/>
    <w:qFormat/>
    <w:uiPriority w:val="0"/>
    <w:rPr>
      <w:rFonts w:ascii="宋体"/>
      <w:sz w:val="21"/>
    </w:rPr>
  </w:style>
  <w:style w:type="paragraph" w:customStyle="1" w:styleId="608">
    <w:name w:val="字母编号列项（一级）"/>
    <w:link w:val="607"/>
    <w:autoRedefine/>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609">
    <w:name w:val="二级 字符"/>
    <w:autoRedefine/>
    <w:qFormat/>
    <w:uiPriority w:val="0"/>
  </w:style>
  <w:style w:type="character" w:customStyle="1" w:styleId="610">
    <w:name w:val="样式01 Char"/>
    <w:link w:val="611"/>
    <w:autoRedefine/>
    <w:qFormat/>
    <w:locked/>
    <w:uiPriority w:val="0"/>
    <w:rPr>
      <w:b/>
      <w:bCs/>
      <w:kern w:val="2"/>
      <w:sz w:val="21"/>
      <w:szCs w:val="21"/>
    </w:rPr>
  </w:style>
  <w:style w:type="paragraph" w:customStyle="1" w:styleId="611">
    <w:name w:val="样式01"/>
    <w:basedOn w:val="5"/>
    <w:link w:val="610"/>
    <w:autoRedefine/>
    <w:qFormat/>
    <w:uiPriority w:val="0"/>
    <w:pPr>
      <w:widowControl/>
      <w:tabs>
        <w:tab w:val="left" w:pos="840"/>
      </w:tabs>
      <w:adjustRightInd w:val="0"/>
      <w:snapToGrid w:val="0"/>
      <w:spacing w:beforeLines="50" w:after="0" w:line="0" w:lineRule="atLeast"/>
      <w:ind w:left="840" w:hanging="600"/>
      <w:jc w:val="left"/>
    </w:pPr>
    <w:rPr>
      <w:rFonts w:ascii="Times New Roman" w:hAnsi="Times New Roman"/>
      <w:kern w:val="2"/>
      <w:sz w:val="21"/>
      <w:szCs w:val="21"/>
      <w:lang w:val="en-US"/>
    </w:rPr>
  </w:style>
  <w:style w:type="character" w:customStyle="1" w:styleId="612">
    <w:name w:val="正文文本 字符2"/>
    <w:autoRedefine/>
    <w:qFormat/>
    <w:uiPriority w:val="0"/>
    <w:rPr>
      <w:kern w:val="2"/>
      <w:sz w:val="21"/>
    </w:rPr>
  </w:style>
  <w:style w:type="character" w:customStyle="1" w:styleId="613">
    <w:name w:val="编号正文 Char"/>
    <w:link w:val="614"/>
    <w:qFormat/>
    <w:locked/>
    <w:uiPriority w:val="0"/>
    <w:rPr>
      <w:rFonts w:ascii="宋体" w:hAnsi="宋体"/>
      <w:color w:val="000000"/>
      <w:kern w:val="2"/>
      <w:sz w:val="21"/>
      <w:szCs w:val="22"/>
      <w:lang w:val="zh-CN"/>
    </w:rPr>
  </w:style>
  <w:style w:type="paragraph" w:customStyle="1" w:styleId="614">
    <w:name w:val="编号正文"/>
    <w:basedOn w:val="1"/>
    <w:link w:val="613"/>
    <w:autoRedefine/>
    <w:qFormat/>
    <w:uiPriority w:val="0"/>
    <w:pPr>
      <w:widowControl/>
      <w:tabs>
        <w:tab w:val="left" w:pos="1500"/>
      </w:tabs>
      <w:spacing w:line="360" w:lineRule="auto"/>
      <w:ind w:left="1500" w:right="229" w:rightChars="109" w:hanging="420"/>
      <w:jc w:val="left"/>
    </w:pPr>
    <w:rPr>
      <w:rFonts w:ascii="宋体" w:hAnsi="宋体"/>
      <w:color w:val="000000"/>
      <w:lang w:val="zh-CN"/>
    </w:rPr>
  </w:style>
  <w:style w:type="character" w:customStyle="1" w:styleId="615">
    <w:name w:val="模板-正文（2） Char"/>
    <w:link w:val="616"/>
    <w:autoRedefine/>
    <w:qFormat/>
    <w:uiPriority w:val="0"/>
    <w:rPr>
      <w:rFonts w:ascii="宋体" w:hAnsi="宋体"/>
      <w:kern w:val="2"/>
      <w:sz w:val="24"/>
      <w:szCs w:val="24"/>
    </w:rPr>
  </w:style>
  <w:style w:type="paragraph" w:customStyle="1" w:styleId="616">
    <w:name w:val="模板-正文（2）"/>
    <w:basedOn w:val="1"/>
    <w:link w:val="615"/>
    <w:autoRedefine/>
    <w:qFormat/>
    <w:uiPriority w:val="0"/>
    <w:pPr>
      <w:adjustRightInd w:val="0"/>
      <w:snapToGrid w:val="0"/>
      <w:spacing w:beforeLines="50" w:afterLines="50" w:line="360" w:lineRule="auto"/>
      <w:ind w:firstLine="720" w:firstLineChars="300"/>
    </w:pPr>
    <w:rPr>
      <w:rFonts w:ascii="宋体" w:hAnsi="宋体"/>
      <w:sz w:val="24"/>
      <w:szCs w:val="24"/>
    </w:rPr>
  </w:style>
  <w:style w:type="character" w:customStyle="1" w:styleId="617">
    <w:name w:val="批注主题 字符1"/>
    <w:autoRedefine/>
    <w:semiHidden/>
    <w:qFormat/>
    <w:uiPriority w:val="99"/>
    <w:rPr>
      <w:b/>
      <w:bCs/>
      <w:kern w:val="2"/>
      <w:sz w:val="21"/>
      <w:szCs w:val="24"/>
    </w:rPr>
  </w:style>
  <w:style w:type="character" w:customStyle="1" w:styleId="618">
    <w:name w:val="正文文本 字符1"/>
    <w:autoRedefine/>
    <w:qFormat/>
    <w:uiPriority w:val="0"/>
    <w:rPr>
      <w:kern w:val="2"/>
      <w:sz w:val="21"/>
    </w:rPr>
  </w:style>
  <w:style w:type="character" w:customStyle="1" w:styleId="619">
    <w:name w:val="04正文 Char"/>
    <w:link w:val="620"/>
    <w:autoRedefine/>
    <w:qFormat/>
    <w:locked/>
    <w:uiPriority w:val="0"/>
    <w:rPr>
      <w:rFonts w:ascii="Arial" w:hAnsi="Arial"/>
      <w:szCs w:val="24"/>
    </w:rPr>
  </w:style>
  <w:style w:type="paragraph" w:customStyle="1" w:styleId="620">
    <w:name w:val="04正文"/>
    <w:basedOn w:val="1"/>
    <w:link w:val="619"/>
    <w:qFormat/>
    <w:uiPriority w:val="0"/>
    <w:pPr>
      <w:spacing w:beforeLines="50" w:line="300" w:lineRule="auto"/>
      <w:ind w:firstLine="422" w:firstLineChars="201"/>
    </w:pPr>
    <w:rPr>
      <w:rFonts w:ascii="Arial" w:hAnsi="Arial"/>
      <w:kern w:val="0"/>
      <w:sz w:val="20"/>
      <w:szCs w:val="24"/>
    </w:rPr>
  </w:style>
  <w:style w:type="character" w:customStyle="1" w:styleId="621">
    <w:name w:val="标题 4 字符"/>
    <w:qFormat/>
    <w:uiPriority w:val="9"/>
    <w:rPr>
      <w:rFonts w:ascii="Cambria" w:hAnsi="Cambria" w:eastAsia="宋体" w:cs="Times New Roman"/>
      <w:b/>
      <w:bCs/>
      <w:sz w:val="28"/>
      <w:szCs w:val="28"/>
    </w:rPr>
  </w:style>
  <w:style w:type="character" w:customStyle="1" w:styleId="622">
    <w:name w:val="标题 6 字符"/>
    <w:autoRedefine/>
    <w:qFormat/>
    <w:uiPriority w:val="9"/>
    <w:rPr>
      <w:rFonts w:ascii="Calibri Light" w:hAnsi="Calibri Light" w:eastAsia="宋体" w:cs="Times New Roman"/>
      <w:b/>
      <w:bCs/>
      <w:sz w:val="24"/>
      <w:szCs w:val="24"/>
    </w:rPr>
  </w:style>
  <w:style w:type="character" w:customStyle="1" w:styleId="623">
    <w:name w:val="一级条标题 字符"/>
    <w:autoRedefine/>
    <w:qFormat/>
    <w:uiPriority w:val="0"/>
    <w:rPr>
      <w:rFonts w:hint="eastAsia" w:ascii="黑体" w:hAnsi="Times New Roman" w:eastAsia="黑体" w:cs="Times New Roman"/>
      <w:kern w:val="0"/>
      <w:szCs w:val="21"/>
    </w:rPr>
  </w:style>
  <w:style w:type="character" w:customStyle="1" w:styleId="624">
    <w:name w:val="2级标题 字符"/>
    <w:autoRedefine/>
    <w:qFormat/>
    <w:locked/>
    <w:uiPriority w:val="0"/>
    <w:rPr>
      <w:b/>
      <w:sz w:val="32"/>
    </w:rPr>
  </w:style>
  <w:style w:type="character" w:customStyle="1" w:styleId="625">
    <w:name w:val="标题 3 字符"/>
    <w:autoRedefine/>
    <w:qFormat/>
    <w:uiPriority w:val="9"/>
    <w:rPr>
      <w:rFonts w:ascii="Calibri" w:hAnsi="Calibri" w:eastAsia="宋体" w:cs="Times New Roman"/>
      <w:b/>
      <w:bCs/>
      <w:sz w:val="32"/>
      <w:szCs w:val="32"/>
    </w:rPr>
  </w:style>
  <w:style w:type="character" w:customStyle="1" w:styleId="626">
    <w:name w:val="font31"/>
    <w:autoRedefine/>
    <w:qFormat/>
    <w:uiPriority w:val="0"/>
    <w:rPr>
      <w:rFonts w:hint="eastAsia" w:ascii="宋体" w:hAnsi="宋体" w:eastAsia="宋体" w:cs="宋体"/>
      <w:color w:val="FF0000"/>
      <w:sz w:val="15"/>
      <w:szCs w:val="15"/>
      <w:u w:val="none"/>
    </w:rPr>
  </w:style>
  <w:style w:type="character" w:customStyle="1" w:styleId="627">
    <w:name w:val="标题 7 字符"/>
    <w:autoRedefine/>
    <w:qFormat/>
    <w:uiPriority w:val="9"/>
    <w:rPr>
      <w:b/>
      <w:bCs/>
      <w:sz w:val="24"/>
      <w:szCs w:val="24"/>
    </w:rPr>
  </w:style>
  <w:style w:type="character" w:customStyle="1" w:styleId="628">
    <w:name w:val="标题 9 字符"/>
    <w:autoRedefine/>
    <w:qFormat/>
    <w:uiPriority w:val="9"/>
    <w:rPr>
      <w:rFonts w:ascii="Cambria" w:hAnsi="Cambria" w:eastAsia="宋体" w:cs="Times New Roman"/>
      <w:szCs w:val="21"/>
    </w:rPr>
  </w:style>
  <w:style w:type="character" w:customStyle="1" w:styleId="629">
    <w:name w:val="列出段落 Char1"/>
    <w:link w:val="568"/>
    <w:autoRedefine/>
    <w:qFormat/>
    <w:uiPriority w:val="34"/>
    <w:rPr>
      <w:rFonts w:ascii="Calibri" w:hAnsi="Calibri"/>
      <w:kern w:val="2"/>
      <w:sz w:val="21"/>
      <w:szCs w:val="24"/>
    </w:rPr>
  </w:style>
  <w:style w:type="character" w:customStyle="1" w:styleId="630">
    <w:name w:val="个人答复风格"/>
    <w:autoRedefine/>
    <w:qFormat/>
    <w:uiPriority w:val="0"/>
    <w:rPr>
      <w:rFonts w:ascii="Arial" w:hAnsi="Arial" w:eastAsia="宋体" w:cs="Arial"/>
      <w:color w:val="auto"/>
      <w:sz w:val="20"/>
    </w:rPr>
  </w:style>
  <w:style w:type="character" w:customStyle="1" w:styleId="631">
    <w:name w:val="条文说明表格 Char"/>
    <w:link w:val="632"/>
    <w:autoRedefine/>
    <w:qFormat/>
    <w:locked/>
    <w:uiPriority w:val="0"/>
    <w:rPr>
      <w:rFonts w:ascii="宋体" w:hAnsi="宋体" w:cs="Arial Unicode MS"/>
      <w:i/>
      <w:color w:val="000000"/>
      <w:sz w:val="18"/>
      <w:szCs w:val="21"/>
      <w:lang w:val="zh-CN"/>
    </w:rPr>
  </w:style>
  <w:style w:type="paragraph" w:customStyle="1" w:styleId="632">
    <w:name w:val="条文说明表格"/>
    <w:next w:val="1"/>
    <w:link w:val="631"/>
    <w:autoRedefine/>
    <w:qFormat/>
    <w:uiPriority w:val="0"/>
    <w:rPr>
      <w:rFonts w:ascii="宋体" w:hAnsi="宋体" w:eastAsia="宋体" w:cs="Arial Unicode MS"/>
      <w:i/>
      <w:color w:val="000000"/>
      <w:sz w:val="18"/>
      <w:szCs w:val="21"/>
      <w:lang w:val="zh-CN" w:eastAsia="zh-CN" w:bidi="ar-SA"/>
    </w:rPr>
  </w:style>
  <w:style w:type="character" w:customStyle="1" w:styleId="633">
    <w:name w:val="附录表头 字符"/>
    <w:link w:val="634"/>
    <w:autoRedefine/>
    <w:qFormat/>
    <w:uiPriority w:val="0"/>
    <w:rPr>
      <w:rFonts w:ascii="黑体" w:hAnsi="黑体" w:eastAsia="黑体"/>
      <w:bCs/>
      <w:color w:val="000000"/>
      <w:sz w:val="21"/>
      <w:szCs w:val="18"/>
    </w:rPr>
  </w:style>
  <w:style w:type="paragraph" w:customStyle="1" w:styleId="634">
    <w:name w:val="附录表头"/>
    <w:basedOn w:val="283"/>
    <w:link w:val="633"/>
    <w:autoRedefine/>
    <w:qFormat/>
    <w:uiPriority w:val="0"/>
    <w:pPr>
      <w:adjustRightInd w:val="0"/>
      <w:snapToGrid w:val="0"/>
      <w:spacing w:beforeLines="50" w:afterLines="50" w:line="240" w:lineRule="atLeast"/>
    </w:pPr>
    <w:rPr>
      <w:rFonts w:hAnsi="黑体"/>
      <w:bCs/>
      <w:color w:val="000000"/>
      <w:sz w:val="21"/>
      <w:szCs w:val="18"/>
    </w:rPr>
  </w:style>
  <w:style w:type="character" w:customStyle="1" w:styleId="635">
    <w:name w:val="表头 字符"/>
    <w:link w:val="283"/>
    <w:autoRedefine/>
    <w:qFormat/>
    <w:uiPriority w:val="0"/>
    <w:rPr>
      <w:rFonts w:ascii="黑体" w:eastAsia="黑体"/>
      <w:sz w:val="24"/>
    </w:rPr>
  </w:style>
  <w:style w:type="character" w:customStyle="1" w:styleId="636">
    <w:name w:val="尾注文本 字符"/>
    <w:autoRedefine/>
    <w:semiHidden/>
    <w:qFormat/>
    <w:uiPriority w:val="0"/>
    <w:rPr>
      <w:kern w:val="2"/>
      <w:sz w:val="21"/>
      <w:szCs w:val="24"/>
    </w:rPr>
  </w:style>
  <w:style w:type="character" w:customStyle="1" w:styleId="637">
    <w:name w:val="个人撰写风格"/>
    <w:autoRedefine/>
    <w:qFormat/>
    <w:uiPriority w:val="0"/>
    <w:rPr>
      <w:rFonts w:ascii="Arial" w:hAnsi="Arial" w:eastAsia="宋体" w:cs="Arial"/>
      <w:color w:val="auto"/>
      <w:sz w:val="20"/>
    </w:rPr>
  </w:style>
  <w:style w:type="character" w:customStyle="1" w:styleId="638">
    <w:name w:val="1级标题 字符"/>
    <w:autoRedefine/>
    <w:qFormat/>
    <w:locked/>
    <w:uiPriority w:val="0"/>
    <w:rPr>
      <w:rFonts w:cs="Times New Roman"/>
      <w:b/>
      <w:bCs/>
      <w:sz w:val="36"/>
      <w:szCs w:val="32"/>
    </w:rPr>
  </w:style>
  <w:style w:type="character" w:customStyle="1" w:styleId="639">
    <w:name w:val="c-font-big"/>
    <w:qFormat/>
    <w:uiPriority w:val="0"/>
  </w:style>
  <w:style w:type="character" w:customStyle="1" w:styleId="640">
    <w:name w:val="标题 8 字符"/>
    <w:autoRedefine/>
    <w:qFormat/>
    <w:uiPriority w:val="9"/>
    <w:rPr>
      <w:rFonts w:ascii="Cambria" w:hAnsi="Cambria" w:eastAsia="宋体" w:cs="Times New Roman"/>
      <w:sz w:val="24"/>
      <w:szCs w:val="24"/>
    </w:rPr>
  </w:style>
  <w:style w:type="character" w:customStyle="1" w:styleId="641">
    <w:name w:val="TABLE 字符"/>
    <w:link w:val="642"/>
    <w:autoRedefine/>
    <w:qFormat/>
    <w:locked/>
    <w:uiPriority w:val="0"/>
    <w:rPr>
      <w:rFonts w:ascii="宋体" w:hAnsi="宋体"/>
      <w:sz w:val="24"/>
    </w:rPr>
  </w:style>
  <w:style w:type="paragraph" w:customStyle="1" w:styleId="642">
    <w:name w:val="TABLE"/>
    <w:basedOn w:val="568"/>
    <w:link w:val="641"/>
    <w:autoRedefine/>
    <w:qFormat/>
    <w:uiPriority w:val="0"/>
    <w:pPr>
      <w:spacing w:line="360" w:lineRule="auto"/>
      <w:ind w:left="420" w:firstLine="0" w:firstLineChars="0"/>
    </w:pPr>
    <w:rPr>
      <w:rFonts w:ascii="宋体" w:hAnsi="宋体"/>
      <w:kern w:val="0"/>
      <w:sz w:val="24"/>
      <w:szCs w:val="20"/>
    </w:rPr>
  </w:style>
  <w:style w:type="character" w:customStyle="1" w:styleId="643">
    <w:name w:val="highlight"/>
    <w:basedOn w:val="65"/>
    <w:autoRedefine/>
    <w:qFormat/>
    <w:uiPriority w:val="0"/>
  </w:style>
  <w:style w:type="paragraph" w:customStyle="1" w:styleId="644">
    <w:name w:val="一级无"/>
    <w:basedOn w:val="645"/>
    <w:autoRedefine/>
    <w:qFormat/>
    <w:uiPriority w:val="0"/>
    <w:pPr>
      <w:ind w:left="2977" w:firstLine="1276"/>
    </w:pPr>
    <w:rPr>
      <w:rFonts w:ascii="宋体" w:hAnsi="Times New Roman" w:eastAsia="宋体"/>
      <w:szCs w:val="21"/>
    </w:rPr>
  </w:style>
  <w:style w:type="paragraph" w:customStyle="1" w:styleId="645">
    <w:name w:val="一级条标题"/>
    <w:basedOn w:val="646"/>
    <w:next w:val="510"/>
    <w:autoRedefine/>
    <w:qFormat/>
    <w:uiPriority w:val="0"/>
    <w:pPr>
      <w:spacing w:beforeLines="0" w:afterLines="0"/>
      <w:jc w:val="left"/>
      <w:outlineLvl w:val="2"/>
    </w:pPr>
    <w:rPr>
      <w:rFonts w:hAnsi="黑体"/>
    </w:rPr>
  </w:style>
  <w:style w:type="paragraph" w:customStyle="1" w:styleId="646">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647">
    <w:name w:val="封面标准英文名称2"/>
    <w:basedOn w:val="648"/>
    <w:autoRedefine/>
    <w:qFormat/>
    <w:uiPriority w:val="0"/>
    <w:pPr>
      <w:framePr w:w="9639" w:h="6917" w:hRule="exact" w:wrap="around" w:vAnchor="page" w:hAnchor="page" w:xAlign="center" w:y="4469" w:anchorLock="1"/>
      <w:textAlignment w:val="center"/>
    </w:pPr>
    <w:rPr>
      <w:rFonts w:ascii="Times New Roman" w:hAnsi="Times New Roman" w:eastAsia="黑体"/>
      <w:szCs w:val="28"/>
    </w:rPr>
  </w:style>
  <w:style w:type="paragraph" w:customStyle="1" w:styleId="648">
    <w:name w:val="封面标准英文名称"/>
    <w:autoRedefine/>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649">
    <w:name w:val="font9"/>
    <w:basedOn w:val="1"/>
    <w:autoRedefine/>
    <w:qFormat/>
    <w:uiPriority w:val="0"/>
    <w:pPr>
      <w:widowControl/>
      <w:spacing w:before="100" w:beforeAutospacing="1" w:after="100" w:afterAutospacing="1"/>
      <w:jc w:val="left"/>
    </w:pPr>
    <w:rPr>
      <w:rFonts w:cs="宋体"/>
      <w:kern w:val="0"/>
      <w:sz w:val="22"/>
    </w:rPr>
  </w:style>
  <w:style w:type="paragraph" w:customStyle="1" w:styleId="650">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651">
    <w:name w:val="a"/>
    <w:basedOn w:val="1"/>
    <w:autoRedefine/>
    <w:qFormat/>
    <w:uiPriority w:val="0"/>
    <w:pPr>
      <w:widowControl/>
      <w:spacing w:beforeLines="50" w:beforeAutospacing="1" w:afterLines="50" w:afterAutospacing="1" w:line="312" w:lineRule="auto"/>
      <w:jc w:val="left"/>
    </w:pPr>
    <w:rPr>
      <w:rFonts w:ascii="宋体" w:hAnsi="宋体" w:cs="宋体"/>
      <w:kern w:val="0"/>
      <w:sz w:val="24"/>
      <w:szCs w:val="24"/>
    </w:rPr>
  </w:style>
  <w:style w:type="paragraph" w:customStyle="1" w:styleId="652">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53">
    <w:name w:val="示例×："/>
    <w:basedOn w:val="646"/>
    <w:autoRedefine/>
    <w:qFormat/>
    <w:uiPriority w:val="0"/>
    <w:pPr>
      <w:tabs>
        <w:tab w:val="left" w:pos="360"/>
      </w:tabs>
      <w:spacing w:beforeLines="0" w:afterLines="0"/>
      <w:ind w:left="360" w:hanging="360"/>
      <w:outlineLvl w:val="9"/>
    </w:pPr>
    <w:rPr>
      <w:rFonts w:ascii="宋体" w:eastAsia="宋体"/>
      <w:b/>
      <w:sz w:val="18"/>
      <w:szCs w:val="18"/>
    </w:rPr>
  </w:style>
  <w:style w:type="paragraph" w:customStyle="1" w:styleId="654">
    <w:name w:val="标准书眉一"/>
    <w:qFormat/>
    <w:uiPriority w:val="0"/>
    <w:pPr>
      <w:jc w:val="both"/>
    </w:pPr>
    <w:rPr>
      <w:rFonts w:ascii="Times New Roman" w:hAnsi="Times New Roman" w:eastAsia="宋体" w:cs="Times New Roman"/>
      <w:lang w:val="en-US" w:eastAsia="zh-CN" w:bidi="ar-SA"/>
    </w:rPr>
  </w:style>
  <w:style w:type="paragraph" w:customStyle="1" w:styleId="655">
    <w:name w:val="封面标准文稿编辑信息2"/>
    <w:basedOn w:val="652"/>
    <w:autoRedefine/>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656">
    <w:name w:val="章节标题"/>
    <w:basedOn w:val="1"/>
    <w:next w:val="1"/>
    <w:qFormat/>
    <w:uiPriority w:val="0"/>
    <w:pPr>
      <w:widowControl/>
      <w:tabs>
        <w:tab w:val="left" w:pos="1080"/>
      </w:tabs>
      <w:spacing w:before="120" w:after="120" w:line="360" w:lineRule="auto"/>
      <w:ind w:left="1080" w:right="240"/>
      <w:jc w:val="center"/>
    </w:pPr>
    <w:rPr>
      <w:rFonts w:ascii="黑体" w:hAnsi="黑体" w:eastAsia="黑体" w:cs="Arial Unicode MS"/>
      <w:color w:val="000000"/>
      <w:kern w:val="0"/>
      <w:szCs w:val="28"/>
      <w:lang w:val="zh-CN"/>
    </w:rPr>
  </w:style>
  <w:style w:type="paragraph" w:customStyle="1" w:styleId="657">
    <w:name w:val="前言、引言标题"/>
    <w:next w:val="1"/>
    <w:autoRedefine/>
    <w:qFormat/>
    <w:uiPriority w:val="0"/>
    <w:p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658">
    <w:name w:val="文献分类号"/>
    <w:autoRedefine/>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659">
    <w:name w:val="二级标题"/>
    <w:basedOn w:val="568"/>
    <w:autoRedefine/>
    <w:qFormat/>
    <w:uiPriority w:val="0"/>
    <w:pPr>
      <w:tabs>
        <w:tab w:val="left" w:pos="840"/>
      </w:tabs>
      <w:ind w:left="840" w:firstLine="0" w:firstLineChars="0"/>
      <w:jc w:val="left"/>
    </w:pPr>
    <w:rPr>
      <w:rFonts w:ascii="宋体" w:hAnsi="宋体"/>
      <w:bCs/>
      <w:sz w:val="32"/>
      <w:szCs w:val="28"/>
    </w:rPr>
  </w:style>
  <w:style w:type="paragraph" w:customStyle="1" w:styleId="660">
    <w:name w:val="font10"/>
    <w:basedOn w:val="1"/>
    <w:autoRedefine/>
    <w:qFormat/>
    <w:uiPriority w:val="0"/>
    <w:pPr>
      <w:widowControl/>
      <w:spacing w:before="100" w:beforeAutospacing="1" w:after="100" w:afterAutospacing="1"/>
      <w:jc w:val="left"/>
    </w:pPr>
    <w:rPr>
      <w:rFonts w:cs="宋体"/>
      <w:kern w:val="0"/>
      <w:sz w:val="24"/>
      <w:szCs w:val="24"/>
    </w:rPr>
  </w:style>
  <w:style w:type="paragraph" w:customStyle="1" w:styleId="661">
    <w:name w:val="列表段落1"/>
    <w:basedOn w:val="1"/>
    <w:autoRedefine/>
    <w:qFormat/>
    <w:uiPriority w:val="0"/>
    <w:pPr>
      <w:ind w:firstLine="420" w:firstLineChars="200"/>
    </w:pPr>
  </w:style>
  <w:style w:type="paragraph" w:customStyle="1" w:styleId="662">
    <w:name w:val="三级无"/>
    <w:basedOn w:val="663"/>
    <w:autoRedefine/>
    <w:qFormat/>
    <w:uiPriority w:val="0"/>
    <w:pPr>
      <w:tabs>
        <w:tab w:val="left" w:pos="360"/>
      </w:tabs>
    </w:pPr>
    <w:rPr>
      <w:rFonts w:ascii="宋体" w:hAnsi="Times New Roman" w:eastAsia="宋体"/>
      <w:szCs w:val="21"/>
    </w:rPr>
  </w:style>
  <w:style w:type="paragraph" w:customStyle="1" w:styleId="663">
    <w:name w:val="三级条标题"/>
    <w:basedOn w:val="664"/>
    <w:next w:val="1"/>
    <w:autoRedefine/>
    <w:qFormat/>
    <w:uiPriority w:val="0"/>
    <w:pPr>
      <w:tabs>
        <w:tab w:val="left" w:pos="360"/>
      </w:tabs>
      <w:outlineLvl w:val="4"/>
    </w:pPr>
  </w:style>
  <w:style w:type="paragraph" w:customStyle="1" w:styleId="664">
    <w:name w:val="二级条标题"/>
    <w:basedOn w:val="645"/>
    <w:next w:val="1"/>
    <w:autoRedefine/>
    <w:qFormat/>
    <w:uiPriority w:val="0"/>
    <w:pPr>
      <w:outlineLvl w:val="3"/>
    </w:pPr>
  </w:style>
  <w:style w:type="paragraph" w:customStyle="1" w:styleId="665">
    <w:name w:val="附录二级条标题"/>
    <w:basedOn w:val="666"/>
    <w:next w:val="510"/>
    <w:qFormat/>
    <w:uiPriority w:val="0"/>
    <w:pPr>
      <w:outlineLvl w:val="3"/>
    </w:pPr>
  </w:style>
  <w:style w:type="paragraph" w:customStyle="1" w:styleId="666">
    <w:name w:val="附录一级条标题"/>
    <w:basedOn w:val="667"/>
    <w:next w:val="510"/>
    <w:autoRedefine/>
    <w:qFormat/>
    <w:uiPriority w:val="0"/>
    <w:pPr>
      <w:autoSpaceDN w:val="0"/>
      <w:spacing w:beforeLines="0" w:afterLines="0"/>
      <w:outlineLvl w:val="2"/>
    </w:pPr>
  </w:style>
  <w:style w:type="paragraph" w:customStyle="1" w:styleId="667">
    <w:name w:val="附录章标题"/>
    <w:next w:val="510"/>
    <w:qFormat/>
    <w:uiPriority w:val="0"/>
    <w:pPr>
      <w:wordWrap w:val="0"/>
      <w:overflowPunct w:val="0"/>
      <w:autoSpaceDE w:val="0"/>
      <w:spacing w:beforeLines="50" w:afterLines="50"/>
      <w:jc w:val="both"/>
      <w:textAlignment w:val="baseline"/>
      <w:outlineLvl w:val="1"/>
    </w:pPr>
    <w:rPr>
      <w:rFonts w:ascii="黑体" w:hAnsi="Calibri" w:eastAsia="黑体" w:cs="Times New Roman"/>
      <w:kern w:val="21"/>
      <w:sz w:val="21"/>
      <w:lang w:val="en-US" w:eastAsia="zh-CN" w:bidi="ar-SA"/>
    </w:rPr>
  </w:style>
  <w:style w:type="paragraph" w:customStyle="1" w:styleId="668">
    <w:name w:val="font8"/>
    <w:basedOn w:val="1"/>
    <w:autoRedefine/>
    <w:qFormat/>
    <w:uiPriority w:val="0"/>
    <w:pPr>
      <w:widowControl/>
      <w:spacing w:before="100" w:beforeAutospacing="1" w:after="100" w:afterAutospacing="1"/>
      <w:jc w:val="left"/>
    </w:pPr>
    <w:rPr>
      <w:rFonts w:cs="宋体"/>
      <w:kern w:val="0"/>
      <w:sz w:val="18"/>
      <w:szCs w:val="18"/>
    </w:rPr>
  </w:style>
  <w:style w:type="paragraph" w:customStyle="1" w:styleId="669">
    <w:name w:val="五级无"/>
    <w:basedOn w:val="670"/>
    <w:autoRedefine/>
    <w:qFormat/>
    <w:uiPriority w:val="0"/>
    <w:pPr/>
    <w:rPr>
      <w:rFonts w:ascii="宋体" w:hAnsi="Times New Roman" w:eastAsia="宋体"/>
      <w:szCs w:val="21"/>
    </w:rPr>
  </w:style>
  <w:style w:type="paragraph" w:customStyle="1" w:styleId="670">
    <w:name w:val="五级条标题"/>
    <w:basedOn w:val="671"/>
    <w:next w:val="510"/>
    <w:autoRedefine/>
    <w:qFormat/>
    <w:uiPriority w:val="0"/>
    <w:pPr>
      <w:outlineLvl w:val="6"/>
    </w:pPr>
  </w:style>
  <w:style w:type="paragraph" w:customStyle="1" w:styleId="671">
    <w:name w:val="四级条标题"/>
    <w:basedOn w:val="663"/>
    <w:next w:val="510"/>
    <w:qFormat/>
    <w:uiPriority w:val="0"/>
    <w:pPr>
      <w:tabs>
        <w:tab w:val="clear" w:pos="360"/>
      </w:tabs>
      <w:outlineLvl w:val="5"/>
    </w:pPr>
    <w:rPr>
      <w:rFonts w:ascii="Calibri" w:hAnsi="Calibri"/>
    </w:rPr>
  </w:style>
  <w:style w:type="paragraph" w:customStyle="1" w:styleId="672">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73">
    <w:name w:val="附录一级无"/>
    <w:basedOn w:val="666"/>
    <w:autoRedefine/>
    <w:qFormat/>
    <w:uiPriority w:val="0"/>
    <w:pPr>
      <w:tabs>
        <w:tab w:val="left" w:pos="360"/>
      </w:tabs>
    </w:pPr>
    <w:rPr>
      <w:rFonts w:ascii="宋体" w:hAnsi="Times New Roman" w:eastAsia="宋体"/>
      <w:szCs w:val="21"/>
    </w:rPr>
  </w:style>
  <w:style w:type="paragraph" w:customStyle="1" w:styleId="674">
    <w:name w:val="封面标准文稿类别2"/>
    <w:basedOn w:val="675"/>
    <w:autoRedefine/>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675">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676">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677">
    <w:name w:val="0章标题"/>
    <w:next w:val="510"/>
    <w:autoRedefine/>
    <w:qFormat/>
    <w:uiPriority w:val="0"/>
    <w:pPr>
      <w:tabs>
        <w:tab w:val="left" w:pos="0"/>
      </w:tabs>
      <w:spacing w:beforeLines="100" w:afterLines="100"/>
      <w:ind w:left="888" w:hanging="420"/>
      <w:jc w:val="center"/>
      <w:outlineLvl w:val="1"/>
    </w:pPr>
    <w:rPr>
      <w:rFonts w:ascii="黑体" w:hAnsi="黑体" w:eastAsia="黑体" w:cs="Times New Roman"/>
      <w:b/>
      <w:sz w:val="28"/>
      <w:lang w:val="en-US" w:eastAsia="zh-CN" w:bidi="ar-SA"/>
    </w:rPr>
  </w:style>
  <w:style w:type="paragraph" w:customStyle="1" w:styleId="678">
    <w:name w:val="图标脚注说明"/>
    <w:basedOn w:val="510"/>
    <w:autoRedefine/>
    <w:qFormat/>
    <w:uiPriority w:val="0"/>
    <w:pPr>
      <w:numPr>
        <w:numId w:val="0"/>
      </w:numPr>
      <w:tabs>
        <w:tab w:val="center" w:pos="4201"/>
        <w:tab w:val="right" w:leader="dot" w:pos="9298"/>
      </w:tabs>
      <w:ind w:left="840" w:hanging="420"/>
    </w:pPr>
    <w:rPr>
      <w:rFonts w:hAnsi="Times New Roman"/>
      <w:sz w:val="18"/>
      <w:szCs w:val="18"/>
    </w:rPr>
  </w:style>
  <w:style w:type="paragraph" w:customStyle="1" w:styleId="679">
    <w:name w:val="封面标准号1"/>
    <w:autoRedefine/>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80">
    <w:name w:val="示例内容"/>
    <w:autoRedefine/>
    <w:qFormat/>
    <w:uiPriority w:val="0"/>
    <w:pPr>
      <w:ind w:firstLine="200" w:firstLineChars="200"/>
    </w:pPr>
    <w:rPr>
      <w:rFonts w:ascii="宋体" w:hAnsi="Times New Roman" w:eastAsia="宋体" w:cs="Times New Roman"/>
      <w:sz w:val="18"/>
      <w:szCs w:val="18"/>
      <w:lang w:val="en-US" w:eastAsia="zh-CN" w:bidi="ar-SA"/>
    </w:rPr>
  </w:style>
  <w:style w:type="paragraph" w:customStyle="1" w:styleId="681">
    <w:name w:val="封面标准代替信息"/>
    <w:basedOn w:val="682"/>
    <w:autoRedefine/>
    <w:qFormat/>
    <w:uiPriority w:val="0"/>
    <w:pPr>
      <w:framePr w:wrap="around"/>
      <w:spacing w:before="57"/>
    </w:pPr>
    <w:rPr>
      <w:rFonts w:ascii="宋体"/>
      <w:sz w:val="21"/>
    </w:rPr>
  </w:style>
  <w:style w:type="paragraph" w:customStyle="1" w:styleId="682">
    <w:name w:val="封面标准号2"/>
    <w:basedOn w:val="679"/>
    <w:autoRedefine/>
    <w:qFormat/>
    <w:uiPriority w:val="0"/>
    <w:pPr>
      <w:framePr w:w="9138" w:h="1244" w:hRule="exact" w:wrap="around" w:vAnchor="page" w:hAnchor="margin" w:y="2908"/>
      <w:adjustRightInd w:val="0"/>
      <w:spacing w:before="357" w:line="280" w:lineRule="exact"/>
    </w:pPr>
  </w:style>
  <w:style w:type="paragraph" w:customStyle="1" w:styleId="683">
    <w:name w:val="font7"/>
    <w:basedOn w:val="1"/>
    <w:autoRedefine/>
    <w:qFormat/>
    <w:uiPriority w:val="0"/>
    <w:pPr>
      <w:widowControl/>
      <w:spacing w:before="100" w:beforeAutospacing="1" w:after="100" w:afterAutospacing="1"/>
      <w:jc w:val="left"/>
    </w:pPr>
    <w:rPr>
      <w:rFonts w:cs="宋体"/>
      <w:kern w:val="0"/>
      <w:sz w:val="18"/>
      <w:szCs w:val="18"/>
    </w:rPr>
  </w:style>
  <w:style w:type="paragraph" w:customStyle="1" w:styleId="684">
    <w:name w:val="目次、索引正文"/>
    <w:autoRedefine/>
    <w:qFormat/>
    <w:uiPriority w:val="0"/>
    <w:pPr>
      <w:spacing w:line="320" w:lineRule="exact"/>
      <w:jc w:val="both"/>
    </w:pPr>
    <w:rPr>
      <w:rFonts w:ascii="宋体" w:hAnsi="Calibri" w:eastAsia="宋体" w:cs="Times New Roman"/>
      <w:sz w:val="21"/>
      <w:lang w:val="en-US" w:eastAsia="zh-CN" w:bidi="ar-SA"/>
    </w:rPr>
  </w:style>
  <w:style w:type="paragraph" w:customStyle="1" w:styleId="685">
    <w:name w:val="font0"/>
    <w:basedOn w:val="1"/>
    <w:autoRedefine/>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686">
    <w:name w:val="附录三级条标题"/>
    <w:basedOn w:val="665"/>
    <w:next w:val="510"/>
    <w:autoRedefine/>
    <w:qFormat/>
    <w:uiPriority w:val="0"/>
    <w:pPr>
      <w:outlineLvl w:val="4"/>
    </w:pPr>
  </w:style>
  <w:style w:type="paragraph" w:customStyle="1" w:styleId="687">
    <w:name w:val="注：（正文）"/>
    <w:basedOn w:val="688"/>
    <w:next w:val="510"/>
    <w:autoRedefine/>
    <w:qFormat/>
    <w:uiPriority w:val="0"/>
    <w:rPr>
      <w:rFonts w:hAnsi="Times New Roman"/>
      <w:szCs w:val="18"/>
    </w:rPr>
  </w:style>
  <w:style w:type="paragraph" w:customStyle="1" w:styleId="688">
    <w:name w:val="注："/>
    <w:next w:val="510"/>
    <w:autoRedefine/>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689">
    <w:name w:val="终结线"/>
    <w:basedOn w:val="1"/>
    <w:autoRedefine/>
    <w:qFormat/>
    <w:uiPriority w:val="0"/>
    <w:pPr>
      <w:framePr w:hSpace="181" w:vSpace="181" w:wrap="around" w:vAnchor="text" w:hAnchor="margin" w:xAlign="center" w:y="285"/>
    </w:pPr>
    <w:rPr>
      <w:szCs w:val="24"/>
    </w:rPr>
  </w:style>
  <w:style w:type="paragraph" w:customStyle="1" w:styleId="690">
    <w:name w:val="目次、标准名称标题"/>
    <w:basedOn w:val="657"/>
    <w:next w:val="510"/>
    <w:autoRedefine/>
    <w:qFormat/>
    <w:uiPriority w:val="0"/>
    <w:pPr>
      <w:spacing w:line="460" w:lineRule="exact"/>
    </w:pPr>
  </w:style>
  <w:style w:type="paragraph" w:customStyle="1" w:styleId="691">
    <w:name w:val="附录数字编号列项（二级）"/>
    <w:autoRedefine/>
    <w:qFormat/>
    <w:uiPriority w:val="0"/>
    <w:pPr>
      <w:tabs>
        <w:tab w:val="left" w:pos="840"/>
      </w:tabs>
      <w:ind w:left="1260" w:hanging="420"/>
    </w:pPr>
    <w:rPr>
      <w:rFonts w:ascii="宋体" w:hAnsi="Times New Roman" w:eastAsia="宋体" w:cs="Times New Roman"/>
      <w:sz w:val="21"/>
      <w:lang w:val="en-US" w:eastAsia="zh-CN" w:bidi="ar-SA"/>
    </w:rPr>
  </w:style>
  <w:style w:type="paragraph" w:customStyle="1" w:styleId="692">
    <w:name w:val="TOC 标题21"/>
    <w:basedOn w:val="2"/>
    <w:next w:val="1"/>
    <w:autoRedefine/>
    <w:unhideWhenUsed/>
    <w:qFormat/>
    <w:uiPriority w:val="39"/>
    <w:pPr>
      <w:widowControl/>
      <w:spacing w:beforeLines="50" w:afterLines="50" w:line="259" w:lineRule="auto"/>
      <w:jc w:val="left"/>
      <w:outlineLvl w:val="9"/>
    </w:pPr>
    <w:rPr>
      <w:rFonts w:ascii="Cambria" w:hAnsi="Cambria"/>
      <w:color w:val="365F91"/>
      <w:kern w:val="0"/>
      <w:sz w:val="32"/>
      <w:szCs w:val="32"/>
      <w:lang w:val="en-US"/>
    </w:rPr>
  </w:style>
  <w:style w:type="paragraph" w:customStyle="1" w:styleId="693">
    <w:name w:val="注×："/>
    <w:autoRedefine/>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paragraph" w:customStyle="1" w:styleId="694">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695">
    <w:name w:val="附录公式编号制表符"/>
    <w:basedOn w:val="1"/>
    <w:next w:val="510"/>
    <w:autoRedefine/>
    <w:qFormat/>
    <w:uiPriority w:val="0"/>
    <w:pPr>
      <w:widowControl/>
      <w:tabs>
        <w:tab w:val="center" w:pos="4201"/>
        <w:tab w:val="right" w:leader="dot" w:pos="9298"/>
      </w:tabs>
      <w:autoSpaceDE w:val="0"/>
      <w:autoSpaceDN w:val="0"/>
    </w:pPr>
    <w:rPr>
      <w:rFonts w:ascii="宋体" w:hAnsi="Times New Roman"/>
      <w:kern w:val="0"/>
      <w:szCs w:val="20"/>
    </w:rPr>
  </w:style>
  <w:style w:type="paragraph" w:customStyle="1" w:styleId="696">
    <w:name w:val="标准书眉_偶数页"/>
    <w:basedOn w:val="697"/>
    <w:next w:val="1"/>
    <w:qFormat/>
    <w:uiPriority w:val="0"/>
    <w:pPr>
      <w:tabs>
        <w:tab w:val="center" w:pos="4154"/>
        <w:tab w:val="right" w:pos="8306"/>
      </w:tabs>
      <w:spacing w:after="120"/>
      <w:jc w:val="left"/>
    </w:pPr>
    <w:rPr>
      <w:rFonts w:ascii="Calibri" w:hAnsi="Calibri" w:eastAsia="宋体"/>
      <w:szCs w:val="20"/>
    </w:rPr>
  </w:style>
  <w:style w:type="paragraph" w:customStyle="1" w:styleId="697">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698">
    <w:name w:val="表题与图题"/>
    <w:next w:val="1"/>
    <w:qFormat/>
    <w:uiPriority w:val="0"/>
    <w:pPr>
      <w:spacing w:line="400" w:lineRule="exact"/>
      <w:jc w:val="center"/>
    </w:pPr>
    <w:rPr>
      <w:rFonts w:ascii="Times New Roman" w:hAnsi="Times New Roman" w:eastAsia="宋体" w:cs="Times New Roman"/>
      <w:b/>
      <w:sz w:val="21"/>
      <w:lang w:val="en-US" w:eastAsia="zh-CN" w:bidi="ar-SA"/>
    </w:rPr>
  </w:style>
  <w:style w:type="paragraph" w:customStyle="1" w:styleId="699">
    <w:name w:val="图表脚注"/>
    <w:next w:val="510"/>
    <w:autoRedefine/>
    <w:qFormat/>
    <w:uiPriority w:val="0"/>
    <w:pPr>
      <w:jc w:val="both"/>
    </w:pPr>
    <w:rPr>
      <w:rFonts w:ascii="宋体" w:hAnsi="Calibri" w:eastAsia="宋体" w:cs="Times New Roman"/>
      <w:sz w:val="18"/>
      <w:lang w:val="en-US" w:eastAsia="zh-CN" w:bidi="ar-SA"/>
    </w:rPr>
  </w:style>
  <w:style w:type="paragraph" w:customStyle="1" w:styleId="700">
    <w:name w:val="列项◆（三级）"/>
    <w:autoRedefine/>
    <w:qFormat/>
    <w:uiPriority w:val="0"/>
    <w:pPr>
      <w:tabs>
        <w:tab w:val="left" w:pos="0"/>
        <w:tab w:val="left" w:pos="960"/>
      </w:tabs>
      <w:ind w:left="800" w:leftChars="600" w:hanging="200" w:hangingChars="200"/>
    </w:pPr>
    <w:rPr>
      <w:rFonts w:ascii="宋体" w:hAnsi="Calibri" w:eastAsia="宋体" w:cs="Times New Roman"/>
      <w:sz w:val="21"/>
      <w:lang w:val="en-US" w:eastAsia="zh-CN" w:bidi="ar-SA"/>
    </w:rPr>
  </w:style>
  <w:style w:type="paragraph" w:customStyle="1" w:styleId="701">
    <w:name w:val="修订5"/>
    <w:unhideWhenUsed/>
    <w:qFormat/>
    <w:uiPriority w:val="99"/>
    <w:rPr>
      <w:rFonts w:ascii="Calibri" w:hAnsi="Calibri" w:eastAsia="宋体" w:cs="Times New Roman"/>
      <w:kern w:val="2"/>
      <w:sz w:val="21"/>
      <w:szCs w:val="22"/>
      <w:lang w:val="en-US" w:eastAsia="zh-CN" w:bidi="ar-SA"/>
    </w:rPr>
  </w:style>
  <w:style w:type="paragraph" w:customStyle="1" w:styleId="702">
    <w:name w:val="附录五级条标题"/>
    <w:basedOn w:val="703"/>
    <w:next w:val="510"/>
    <w:autoRedefine/>
    <w:qFormat/>
    <w:uiPriority w:val="0"/>
    <w:pPr>
      <w:outlineLvl w:val="6"/>
    </w:pPr>
  </w:style>
  <w:style w:type="paragraph" w:customStyle="1" w:styleId="703">
    <w:name w:val="附录四级条标题"/>
    <w:basedOn w:val="686"/>
    <w:next w:val="510"/>
    <w:autoRedefine/>
    <w:qFormat/>
    <w:uiPriority w:val="0"/>
    <w:pPr>
      <w:outlineLvl w:val="5"/>
    </w:pPr>
  </w:style>
  <w:style w:type="paragraph" w:customStyle="1" w:styleId="704">
    <w:name w:val="条文脚注"/>
    <w:basedOn w:val="48"/>
    <w:autoRedefine/>
    <w:qFormat/>
    <w:uiPriority w:val="0"/>
    <w:pPr>
      <w:widowControl w:val="0"/>
      <w:spacing w:beforeLines="0" w:afterLines="0" w:line="240" w:lineRule="auto"/>
      <w:ind w:left="780" w:leftChars="200" w:hanging="360" w:hangingChars="200"/>
      <w:jc w:val="both"/>
    </w:pPr>
    <w:rPr>
      <w:rFonts w:ascii="宋体" w:hAnsi="Calibri"/>
      <w:kern w:val="2"/>
    </w:rPr>
  </w:style>
  <w:style w:type="paragraph" w:customStyle="1" w:styleId="705">
    <w:name w:val="数字编号列项（二级）"/>
    <w:autoRedefine/>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706">
    <w:name w:val="封面一致性程度标识2"/>
    <w:basedOn w:val="707"/>
    <w:autoRedefine/>
    <w:qFormat/>
    <w:uiPriority w:val="0"/>
    <w:pPr>
      <w:framePr w:w="9639" w:h="6917" w:hRule="exact" w:wrap="around" w:vAnchor="page" w:hAnchor="page" w:xAlign="center" w:y="4469" w:anchorLock="1"/>
      <w:widowControl w:val="0"/>
      <w:textAlignment w:val="center"/>
    </w:pPr>
    <w:rPr>
      <w:rFonts w:hAnsi="Times New Roman"/>
      <w:szCs w:val="28"/>
    </w:rPr>
  </w:style>
  <w:style w:type="paragraph" w:customStyle="1" w:styleId="707">
    <w:name w:val="封面一致性程度标识"/>
    <w:autoRedefine/>
    <w:qFormat/>
    <w:uiPriority w:val="0"/>
    <w:pPr>
      <w:spacing w:before="440" w:line="400" w:lineRule="exact"/>
      <w:jc w:val="center"/>
    </w:pPr>
    <w:rPr>
      <w:rFonts w:ascii="宋体" w:hAnsi="Calibri" w:eastAsia="宋体" w:cs="Times New Roman"/>
      <w:sz w:val="28"/>
      <w:lang w:val="en-US" w:eastAsia="zh-CN" w:bidi="ar-SA"/>
    </w:rPr>
  </w:style>
  <w:style w:type="paragraph" w:customStyle="1" w:styleId="708">
    <w:name w:val="0三级条标题"/>
    <w:basedOn w:val="709"/>
    <w:next w:val="510"/>
    <w:autoRedefine/>
    <w:qFormat/>
    <w:uiPriority w:val="0"/>
    <w:pPr>
      <w:tabs>
        <w:tab w:val="left" w:pos="0"/>
        <w:tab w:val="left" w:pos="5424"/>
      </w:tabs>
      <w:ind w:left="2148"/>
      <w:outlineLvl w:val="4"/>
    </w:pPr>
  </w:style>
  <w:style w:type="paragraph" w:customStyle="1" w:styleId="709">
    <w:name w:val="0二级条标题"/>
    <w:basedOn w:val="710"/>
    <w:next w:val="510"/>
    <w:autoRedefine/>
    <w:qFormat/>
    <w:uiPriority w:val="0"/>
    <w:pPr>
      <w:tabs>
        <w:tab w:val="left" w:pos="0"/>
        <w:tab w:val="left" w:pos="5424"/>
      </w:tabs>
      <w:ind w:left="1728"/>
      <w:jc w:val="left"/>
      <w:outlineLvl w:val="3"/>
    </w:pPr>
    <w:rPr>
      <w:rFonts w:ascii="Times New Roman" w:hAnsi="Times New Roman"/>
      <w:b w:val="0"/>
    </w:rPr>
  </w:style>
  <w:style w:type="paragraph" w:customStyle="1" w:styleId="710">
    <w:name w:val="0一级条标题"/>
    <w:next w:val="510"/>
    <w:autoRedefine/>
    <w:qFormat/>
    <w:uiPriority w:val="0"/>
    <w:pPr>
      <w:tabs>
        <w:tab w:val="left" w:pos="0"/>
        <w:tab w:val="left" w:pos="5424"/>
      </w:tabs>
      <w:spacing w:beforeLines="50" w:afterLines="50"/>
      <w:ind w:left="1308" w:hanging="420"/>
      <w:jc w:val="center"/>
      <w:outlineLvl w:val="2"/>
    </w:pPr>
    <w:rPr>
      <w:rFonts w:ascii="黑体" w:hAnsi="黑体" w:eastAsia="宋体" w:cs="Times New Roman"/>
      <w:b/>
      <w:sz w:val="21"/>
      <w:szCs w:val="21"/>
      <w:lang w:val="en-US" w:eastAsia="zh-CN" w:bidi="ar-SA"/>
    </w:rPr>
  </w:style>
  <w:style w:type="paragraph" w:customStyle="1" w:styleId="711">
    <w:name w:val="示例后文字"/>
    <w:basedOn w:val="510"/>
    <w:next w:val="510"/>
    <w:autoRedefine/>
    <w:qFormat/>
    <w:uiPriority w:val="0"/>
    <w:pPr>
      <w:numPr>
        <w:numId w:val="0"/>
      </w:numPr>
      <w:tabs>
        <w:tab w:val="center" w:pos="4201"/>
        <w:tab w:val="right" w:leader="dot" w:pos="9298"/>
      </w:tabs>
      <w:ind w:firstLine="360" w:firstLineChars="200"/>
    </w:pPr>
    <w:rPr>
      <w:rFonts w:hAnsi="Times New Roman"/>
      <w:sz w:val="18"/>
      <w:szCs w:val="20"/>
    </w:rPr>
  </w:style>
  <w:style w:type="paragraph" w:customStyle="1" w:styleId="712">
    <w:name w:val="编号列项（三级）"/>
    <w:autoRedefine/>
    <w:qFormat/>
    <w:uiPriority w:val="0"/>
    <w:pPr>
      <w:ind w:left="800" w:leftChars="600" w:hanging="200" w:hangingChars="200"/>
    </w:pPr>
    <w:rPr>
      <w:rFonts w:ascii="宋体" w:hAnsi="Calibri" w:eastAsia="宋体" w:cs="Times New Roman"/>
      <w:sz w:val="21"/>
      <w:lang w:val="en-US" w:eastAsia="zh-CN" w:bidi="ar-SA"/>
    </w:rPr>
  </w:style>
  <w:style w:type="paragraph" w:customStyle="1" w:styleId="71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14">
    <w:name w:val="_Style 4"/>
    <w:basedOn w:val="1"/>
    <w:autoRedefine/>
    <w:qFormat/>
    <w:uiPriority w:val="34"/>
    <w:pPr>
      <w:ind w:firstLine="420" w:firstLineChars="200"/>
    </w:pPr>
    <w:rPr>
      <w:rFonts w:eastAsia="仿宋"/>
      <w:sz w:val="32"/>
    </w:rPr>
  </w:style>
  <w:style w:type="paragraph" w:customStyle="1" w:styleId="715">
    <w:name w:val="图的脚注"/>
    <w:next w:val="510"/>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716">
    <w:name w:val="附录标题"/>
    <w:basedOn w:val="510"/>
    <w:next w:val="510"/>
    <w:autoRedefine/>
    <w:qFormat/>
    <w:uiPriority w:val="0"/>
    <w:pPr>
      <w:numPr>
        <w:numId w:val="0"/>
      </w:numPr>
      <w:tabs>
        <w:tab w:val="center" w:pos="4201"/>
        <w:tab w:val="right" w:leader="dot" w:pos="9298"/>
      </w:tabs>
      <w:jc w:val="center"/>
    </w:pPr>
    <w:rPr>
      <w:rFonts w:ascii="黑体" w:hAnsi="Times New Roman" w:eastAsia="黑体"/>
      <w:szCs w:val="20"/>
    </w:rPr>
  </w:style>
  <w:style w:type="paragraph" w:customStyle="1" w:styleId="717">
    <w:name w:val="标准书脚_偶数页"/>
    <w:autoRedefine/>
    <w:qFormat/>
    <w:uiPriority w:val="0"/>
    <w:pPr>
      <w:spacing w:before="120"/>
    </w:pPr>
    <w:rPr>
      <w:rFonts w:ascii="Calibri" w:hAnsi="Calibri" w:eastAsia="宋体" w:cs="Times New Roman"/>
      <w:sz w:val="18"/>
      <w:lang w:val="en-US" w:eastAsia="zh-CN" w:bidi="ar-SA"/>
    </w:rPr>
  </w:style>
  <w:style w:type="paragraph" w:customStyle="1" w:styleId="718">
    <w:name w:val="四级无"/>
    <w:basedOn w:val="671"/>
    <w:autoRedefine/>
    <w:qFormat/>
    <w:uiPriority w:val="0"/>
    <w:pPr/>
    <w:rPr>
      <w:rFonts w:ascii="宋体" w:hAnsi="Times New Roman" w:eastAsia="宋体"/>
      <w:szCs w:val="21"/>
    </w:rPr>
  </w:style>
  <w:style w:type="paragraph" w:customStyle="1" w:styleId="719">
    <w:name w:val="术语-wyx"/>
    <w:basedOn w:val="1"/>
    <w:autoRedefine/>
    <w:qFormat/>
    <w:uiPriority w:val="0"/>
    <w:pPr>
      <w:spacing w:beforeLines="50" w:afterLines="50" w:line="312" w:lineRule="auto"/>
      <w:outlineLvl w:val="2"/>
    </w:pPr>
    <w:rPr>
      <w:rFonts w:ascii="Times New Roman" w:hAnsi="Times New Roman"/>
      <w:b/>
      <w:szCs w:val="24"/>
    </w:rPr>
  </w:style>
  <w:style w:type="paragraph" w:customStyle="1" w:styleId="720">
    <w:name w:val="二级无"/>
    <w:basedOn w:val="664"/>
    <w:autoRedefine/>
    <w:qFormat/>
    <w:uiPriority w:val="0"/>
    <w:pPr>
      <w:ind w:left="3969"/>
    </w:pPr>
    <w:rPr>
      <w:rFonts w:ascii="宋体" w:hAnsi="Times New Roman" w:eastAsia="宋体"/>
      <w:szCs w:val="21"/>
    </w:rPr>
  </w:style>
  <w:style w:type="paragraph" w:customStyle="1" w:styleId="721">
    <w:name w:val="注×：（正文）"/>
    <w:autoRedefine/>
    <w:qFormat/>
    <w:uiPriority w:val="0"/>
    <w:pPr>
      <w:ind w:left="888" w:hanging="420"/>
      <w:jc w:val="both"/>
    </w:pPr>
    <w:rPr>
      <w:rFonts w:ascii="宋体" w:hAnsi="Times New Roman" w:eastAsia="宋体" w:cs="Times New Roman"/>
      <w:sz w:val="18"/>
      <w:szCs w:val="18"/>
      <w:lang w:val="en-US" w:eastAsia="zh-CN" w:bidi="ar-SA"/>
    </w:rPr>
  </w:style>
  <w:style w:type="paragraph" w:customStyle="1" w:styleId="722">
    <w:name w:val="附录图标题"/>
    <w:next w:val="510"/>
    <w:autoRedefine/>
    <w:qFormat/>
    <w:uiPriority w:val="0"/>
    <w:pPr>
      <w:tabs>
        <w:tab w:val="left" w:pos="360"/>
      </w:tabs>
      <w:ind w:left="888" w:hanging="420"/>
      <w:jc w:val="center"/>
    </w:pPr>
    <w:rPr>
      <w:rFonts w:ascii="黑体" w:hAnsi="Calibri" w:eastAsia="黑体" w:cs="Times New Roman"/>
      <w:sz w:val="21"/>
      <w:lang w:val="en-US" w:eastAsia="zh-CN" w:bidi="ar-SA"/>
    </w:rPr>
  </w:style>
  <w:style w:type="paragraph" w:customStyle="1" w:styleId="723">
    <w:name w:val="条文"/>
    <w:autoRedefine/>
    <w:qFormat/>
    <w:uiPriority w:val="0"/>
    <w:pPr>
      <w:tabs>
        <w:tab w:val="left" w:pos="337"/>
      </w:tabs>
      <w:spacing w:line="360" w:lineRule="auto"/>
      <w:ind w:left="284"/>
    </w:pPr>
    <w:rPr>
      <w:rFonts w:ascii="Calibri" w:hAnsi="Calibri" w:eastAsia="宋体" w:cs="黑体"/>
      <w:kern w:val="2"/>
      <w:sz w:val="21"/>
      <w:szCs w:val="22"/>
      <w:lang w:val="en-US" w:eastAsia="zh-CN" w:bidi="ar-SA"/>
    </w:rPr>
  </w:style>
  <w:style w:type="paragraph" w:customStyle="1" w:styleId="724">
    <w:name w:val="图表脚注说明"/>
    <w:basedOn w:val="1"/>
    <w:autoRedefine/>
    <w:qFormat/>
    <w:uiPriority w:val="0"/>
    <w:pPr>
      <w:ind w:left="900" w:hanging="420"/>
    </w:pPr>
    <w:rPr>
      <w:rFonts w:ascii="宋体" w:hAnsi="Times New Roman"/>
      <w:sz w:val="18"/>
      <w:szCs w:val="18"/>
    </w:rPr>
  </w:style>
  <w:style w:type="paragraph" w:customStyle="1" w:styleId="725">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26">
    <w:name w:val="列项——（一级）"/>
    <w:autoRedefine/>
    <w:qFormat/>
    <w:uiPriority w:val="0"/>
    <w:pPr>
      <w:widowControl w:val="0"/>
      <w:tabs>
        <w:tab w:val="left" w:pos="0"/>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727">
    <w:name w:val="WPSOffice手动目录 1"/>
    <w:autoRedefine/>
    <w:qFormat/>
    <w:uiPriority w:val="0"/>
    <w:rPr>
      <w:rFonts w:ascii="Calibri" w:hAnsi="Calibri" w:eastAsia="宋体" w:cs="Times New Roman"/>
      <w:lang w:val="en-US" w:eastAsia="zh-CN" w:bidi="ar-SA"/>
    </w:rPr>
  </w:style>
  <w:style w:type="paragraph" w:customStyle="1" w:styleId="728">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729">
    <w:name w:val="其他实施日期"/>
    <w:basedOn w:val="1"/>
    <w:autoRedefine/>
    <w:qFormat/>
    <w:uiPriority w:val="0"/>
    <w:pPr>
      <w:framePr w:w="3997" w:h="471" w:hRule="exact" w:vSpace="181" w:wrap="around" w:vAnchor="page" w:hAnchor="page" w:x="7089" w:y="14097" w:anchorLock="1"/>
      <w:widowControl/>
      <w:jc w:val="right"/>
    </w:pPr>
    <w:rPr>
      <w:rFonts w:eastAsia="黑体"/>
      <w:kern w:val="0"/>
      <w:sz w:val="28"/>
      <w:szCs w:val="20"/>
    </w:rPr>
  </w:style>
  <w:style w:type="paragraph" w:customStyle="1" w:styleId="730">
    <w:name w:val="附录二级无"/>
    <w:basedOn w:val="665"/>
    <w:autoRedefine/>
    <w:qFormat/>
    <w:uiPriority w:val="0"/>
    <w:pPr>
      <w:tabs>
        <w:tab w:val="left" w:pos="360"/>
      </w:tabs>
    </w:pPr>
    <w:rPr>
      <w:rFonts w:ascii="宋体" w:hAnsi="Times New Roman" w:eastAsia="宋体"/>
      <w:szCs w:val="21"/>
    </w:rPr>
  </w:style>
  <w:style w:type="paragraph" w:customStyle="1" w:styleId="731">
    <w:name w:val="实施日期"/>
    <w:basedOn w:val="728"/>
    <w:autoRedefine/>
    <w:qFormat/>
    <w:uiPriority w:val="0"/>
    <w:pPr>
      <w:framePr w:hSpace="0" w:wrap="around" w:xAlign="right"/>
      <w:tabs>
        <w:tab w:val="left" w:pos="2100"/>
      </w:tabs>
      <w:ind w:left="2100" w:hanging="420"/>
      <w:jc w:val="right"/>
    </w:pPr>
  </w:style>
  <w:style w:type="paragraph" w:customStyle="1" w:styleId="732">
    <w:name w:val="附录表标号"/>
    <w:basedOn w:val="1"/>
    <w:next w:val="510"/>
    <w:autoRedefine/>
    <w:qFormat/>
    <w:uiPriority w:val="0"/>
    <w:pPr>
      <w:spacing w:line="14" w:lineRule="exact"/>
      <w:ind w:left="811" w:hanging="448"/>
      <w:jc w:val="center"/>
      <w:outlineLvl w:val="0"/>
    </w:pPr>
    <w:rPr>
      <w:rFonts w:ascii="Times New Roman" w:hAnsi="Times New Roman"/>
      <w:color w:val="FFFFFF"/>
      <w:szCs w:val="24"/>
    </w:rPr>
  </w:style>
  <w:style w:type="paragraph" w:customStyle="1" w:styleId="733">
    <w:name w:val="参考文献"/>
    <w:basedOn w:val="1"/>
    <w:next w:val="510"/>
    <w:autoRedefine/>
    <w:qFormat/>
    <w:uiPriority w:val="0"/>
    <w:pPr>
      <w:keepNext/>
      <w:pageBreakBefore/>
      <w:widowControl/>
      <w:shd w:val="clear" w:color="FFFFFF" w:fill="FFFFFF"/>
      <w:spacing w:before="640" w:after="200"/>
      <w:jc w:val="center"/>
      <w:outlineLvl w:val="0"/>
    </w:pPr>
    <w:rPr>
      <w:rFonts w:ascii="黑体" w:hAnsi="Times New Roman" w:eastAsia="黑体"/>
      <w:kern w:val="0"/>
      <w:szCs w:val="20"/>
    </w:rPr>
  </w:style>
  <w:style w:type="paragraph" w:customStyle="1" w:styleId="734">
    <w:name w:val="条-wyx"/>
    <w:basedOn w:val="645"/>
    <w:autoRedefine/>
    <w:qFormat/>
    <w:uiPriority w:val="0"/>
    <w:pPr>
      <w:tabs>
        <w:tab w:val="left" w:pos="0"/>
        <w:tab w:val="left" w:pos="420"/>
      </w:tabs>
      <w:ind w:left="1680" w:hanging="420"/>
    </w:pPr>
    <w:rPr>
      <w:rFonts w:eastAsia="宋体"/>
    </w:rPr>
  </w:style>
  <w:style w:type="paragraph" w:customStyle="1" w:styleId="735">
    <w:name w:val="封面标准名称2"/>
    <w:basedOn w:val="713"/>
    <w:autoRedefine/>
    <w:qFormat/>
    <w:uiPriority w:val="0"/>
    <w:pPr>
      <w:framePr w:w="9639" w:wrap="around" w:vAnchor="page" w:hAnchor="page" w:y="4469"/>
      <w:spacing w:beforeLines="630"/>
    </w:pPr>
  </w:style>
  <w:style w:type="paragraph" w:customStyle="1" w:styleId="736">
    <w:name w:val="附录表标题"/>
    <w:next w:val="510"/>
    <w:autoRedefine/>
    <w:qFormat/>
    <w:uiPriority w:val="0"/>
    <w:pPr>
      <w:tabs>
        <w:tab w:val="left" w:pos="0"/>
        <w:tab w:val="left" w:pos="360"/>
      </w:tabs>
      <w:jc w:val="center"/>
      <w:textAlignment w:val="baseline"/>
    </w:pPr>
    <w:rPr>
      <w:rFonts w:ascii="黑体" w:hAnsi="Calibri" w:eastAsia="黑体" w:cs="Times New Roman"/>
      <w:kern w:val="21"/>
      <w:sz w:val="21"/>
      <w:lang w:val="en-US" w:eastAsia="zh-CN" w:bidi="ar-SA"/>
    </w:rPr>
  </w:style>
  <w:style w:type="paragraph" w:customStyle="1" w:styleId="737">
    <w:name w:val="其他发布日期"/>
    <w:basedOn w:val="1"/>
    <w:autoRedefine/>
    <w:qFormat/>
    <w:uiPriority w:val="0"/>
    <w:pPr>
      <w:framePr w:w="3997" w:h="471" w:hRule="exact" w:vSpace="181" w:wrap="around" w:vAnchor="page" w:hAnchor="page" w:x="1419" w:y="14097" w:anchorLock="1"/>
      <w:widowControl/>
      <w:jc w:val="left"/>
    </w:pPr>
    <w:rPr>
      <w:rFonts w:eastAsia="黑体"/>
      <w:kern w:val="0"/>
      <w:sz w:val="28"/>
      <w:szCs w:val="20"/>
    </w:rPr>
  </w:style>
  <w:style w:type="paragraph" w:customStyle="1" w:styleId="738">
    <w:name w:val="参考文献、索引标题"/>
    <w:basedOn w:val="657"/>
    <w:next w:val="1"/>
    <w:autoRedefine/>
    <w:qFormat/>
    <w:uiPriority w:val="0"/>
    <w:pPr>
      <w:spacing w:after="200"/>
    </w:pPr>
    <w:rPr>
      <w:sz w:val="21"/>
    </w:rPr>
  </w:style>
  <w:style w:type="paragraph" w:customStyle="1" w:styleId="739">
    <w:name w:val="封面正文"/>
    <w:autoRedefine/>
    <w:qFormat/>
    <w:uiPriority w:val="0"/>
    <w:pPr>
      <w:jc w:val="both"/>
    </w:pPr>
    <w:rPr>
      <w:rFonts w:ascii="Times New Roman" w:hAnsi="Times New Roman" w:eastAsia="宋体" w:cs="Times New Roman"/>
      <w:lang w:val="en-US" w:eastAsia="zh-CN" w:bidi="ar-SA"/>
    </w:rPr>
  </w:style>
  <w:style w:type="paragraph" w:customStyle="1" w:styleId="740">
    <w:name w:val="附录五级无"/>
    <w:basedOn w:val="702"/>
    <w:autoRedefine/>
    <w:qFormat/>
    <w:uiPriority w:val="0"/>
    <w:rPr>
      <w:rFonts w:ascii="宋体" w:hAnsi="Times New Roman" w:eastAsia="宋体"/>
      <w:szCs w:val="21"/>
    </w:rPr>
  </w:style>
  <w:style w:type="paragraph" w:customStyle="1" w:styleId="741">
    <w:name w:val="附录图标号"/>
    <w:basedOn w:val="1"/>
    <w:qFormat/>
    <w:uiPriority w:val="0"/>
    <w:pPr>
      <w:keepNext/>
      <w:pageBreakBefore/>
      <w:widowControl/>
      <w:spacing w:line="14" w:lineRule="exact"/>
      <w:ind w:firstLine="363"/>
      <w:jc w:val="center"/>
      <w:outlineLvl w:val="0"/>
    </w:pPr>
    <w:rPr>
      <w:rFonts w:ascii="Times New Roman" w:hAnsi="Times New Roman"/>
      <w:color w:val="FFFFFF"/>
      <w:szCs w:val="24"/>
    </w:rPr>
  </w:style>
  <w:style w:type="paragraph" w:customStyle="1" w:styleId="742">
    <w:name w:val="示例"/>
    <w:next w:val="510"/>
    <w:autoRedefine/>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743">
    <w:name w:val="正文表标题"/>
    <w:next w:val="510"/>
    <w:autoRedefine/>
    <w:qFormat/>
    <w:uiPriority w:val="0"/>
    <w:pPr>
      <w:jc w:val="center"/>
    </w:pPr>
    <w:rPr>
      <w:rFonts w:ascii="黑体" w:hAnsi="Calibri" w:eastAsia="黑体" w:cs="Times New Roman"/>
      <w:sz w:val="21"/>
      <w:lang w:val="en-US" w:eastAsia="zh-CN" w:bidi="ar-SA"/>
    </w:rPr>
  </w:style>
  <w:style w:type="paragraph" w:customStyle="1" w:styleId="744">
    <w:name w:val="编号章节标题"/>
    <w:basedOn w:val="656"/>
    <w:next w:val="656"/>
    <w:autoRedefine/>
    <w:qFormat/>
    <w:uiPriority w:val="0"/>
    <w:pPr>
      <w:spacing w:beforeLines="50" w:afterLines="150" w:line="240" w:lineRule="auto"/>
      <w:ind w:right="0"/>
    </w:pPr>
    <w:rPr>
      <w:rFonts w:eastAsia="宋体" w:cs="Times New Roman"/>
      <w:sz w:val="28"/>
    </w:rPr>
  </w:style>
  <w:style w:type="paragraph" w:customStyle="1" w:styleId="745">
    <w:name w:val="09"/>
    <w:basedOn w:val="1"/>
    <w:autoRedefine/>
    <w:qFormat/>
    <w:uiPriority w:val="0"/>
    <w:pPr>
      <w:spacing w:beforeLines="50" w:afterLines="50" w:line="312" w:lineRule="auto"/>
      <w:jc w:val="center"/>
    </w:pPr>
    <w:rPr>
      <w:rFonts w:ascii="Times New Roman" w:hAnsi="Times New Roman"/>
      <w:szCs w:val="21"/>
    </w:rPr>
  </w:style>
  <w:style w:type="paragraph" w:customStyle="1" w:styleId="746">
    <w:name w:val="Default Text"/>
    <w:basedOn w:val="1"/>
    <w:autoRedefine/>
    <w:qFormat/>
    <w:uiPriority w:val="0"/>
    <w:pPr>
      <w:autoSpaceDE w:val="0"/>
      <w:autoSpaceDN w:val="0"/>
      <w:adjustRightInd w:val="0"/>
      <w:jc w:val="left"/>
    </w:pPr>
    <w:rPr>
      <w:rFonts w:ascii="宋体"/>
      <w:kern w:val="0"/>
      <w:sz w:val="24"/>
      <w:szCs w:val="24"/>
    </w:rPr>
  </w:style>
  <w:style w:type="paragraph" w:customStyle="1" w:styleId="747">
    <w:name w:val="列项●（二级）"/>
    <w:autoRedefine/>
    <w:qFormat/>
    <w:uiPriority w:val="0"/>
    <w:pPr>
      <w:tabs>
        <w:tab w:val="left" w:pos="760"/>
        <w:tab w:val="left" w:pos="840"/>
      </w:tabs>
      <w:ind w:left="600" w:leftChars="400" w:hanging="200" w:hangingChars="200"/>
      <w:jc w:val="both"/>
    </w:pPr>
    <w:rPr>
      <w:rFonts w:ascii="宋体" w:hAnsi="Calibri" w:eastAsia="宋体" w:cs="Times New Roman"/>
      <w:sz w:val="21"/>
      <w:lang w:val="en-US" w:eastAsia="zh-CN" w:bidi="ar-SA"/>
    </w:rPr>
  </w:style>
  <w:style w:type="paragraph" w:customStyle="1" w:styleId="748">
    <w:name w:val="附录四级无"/>
    <w:basedOn w:val="703"/>
    <w:autoRedefine/>
    <w:qFormat/>
    <w:uiPriority w:val="0"/>
    <w:pPr>
      <w:tabs>
        <w:tab w:val="left" w:pos="360"/>
      </w:tabs>
    </w:pPr>
    <w:rPr>
      <w:rFonts w:ascii="宋体" w:hAnsi="Times New Roman" w:eastAsia="宋体"/>
      <w:szCs w:val="21"/>
    </w:rPr>
  </w:style>
  <w:style w:type="paragraph" w:customStyle="1" w:styleId="749">
    <w:name w:val="附录三级无"/>
    <w:basedOn w:val="686"/>
    <w:autoRedefine/>
    <w:qFormat/>
    <w:uiPriority w:val="0"/>
    <w:rPr>
      <w:rFonts w:ascii="宋体" w:hAnsi="Times New Roman" w:eastAsia="宋体"/>
      <w:szCs w:val="21"/>
    </w:rPr>
  </w:style>
  <w:style w:type="paragraph" w:customStyle="1" w:styleId="750">
    <w:name w:val="其他标准标志"/>
    <w:basedOn w:val="725"/>
    <w:autoRedefine/>
    <w:qFormat/>
    <w:uiPriority w:val="0"/>
    <w:pPr>
      <w:framePr w:w="6101" w:h="1389" w:hRule="exact" w:hSpace="181" w:vSpace="181" w:wrap="around" w:vAnchor="page" w:hAnchor="page" w:x="4673" w:y="942"/>
    </w:pPr>
    <w:rPr>
      <w:szCs w:val="96"/>
    </w:rPr>
  </w:style>
  <w:style w:type="paragraph" w:customStyle="1" w:styleId="751">
    <w:name w:val="正文公式编号制表符"/>
    <w:basedOn w:val="510"/>
    <w:next w:val="510"/>
    <w:qFormat/>
    <w:uiPriority w:val="0"/>
    <w:pPr>
      <w:numPr>
        <w:numId w:val="0"/>
      </w:numPr>
      <w:tabs>
        <w:tab w:val="center" w:pos="4201"/>
        <w:tab w:val="right" w:leader="dot" w:pos="9298"/>
      </w:tabs>
    </w:pPr>
    <w:rPr>
      <w:rFonts w:hAnsi="Times New Roman"/>
      <w:szCs w:val="20"/>
    </w:rPr>
  </w:style>
  <w:style w:type="paragraph" w:customStyle="1" w:styleId="752">
    <w:name w:val="列项说明"/>
    <w:basedOn w:val="1"/>
    <w:autoRedefine/>
    <w:qFormat/>
    <w:uiPriority w:val="0"/>
    <w:pPr>
      <w:adjustRightInd w:val="0"/>
      <w:spacing w:line="320" w:lineRule="exact"/>
      <w:ind w:left="400" w:leftChars="200" w:hanging="200" w:hangingChars="200"/>
      <w:jc w:val="left"/>
      <w:textAlignment w:val="baseline"/>
    </w:pPr>
    <w:rPr>
      <w:rFonts w:ascii="宋体" w:hAnsi="Times New Roman"/>
      <w:kern w:val="0"/>
      <w:szCs w:val="20"/>
    </w:rPr>
  </w:style>
  <w:style w:type="paragraph" w:customStyle="1" w:styleId="753">
    <w:name w:val="附录标识"/>
    <w:basedOn w:val="657"/>
    <w:autoRedefine/>
    <w:qFormat/>
    <w:uiPriority w:val="0"/>
    <w:pPr>
      <w:tabs>
        <w:tab w:val="left" w:pos="6405"/>
      </w:tabs>
      <w:spacing w:after="200"/>
    </w:pPr>
    <w:rPr>
      <w:sz w:val="21"/>
    </w:rPr>
  </w:style>
  <w:style w:type="paragraph" w:customStyle="1" w:styleId="754">
    <w:name w:val="其他发布部门"/>
    <w:basedOn w:val="755"/>
    <w:autoRedefine/>
    <w:qFormat/>
    <w:uiPriority w:val="0"/>
    <w:pPr>
      <w:framePr w:wrap="around"/>
      <w:spacing w:line="0" w:lineRule="atLeast"/>
    </w:pPr>
    <w:rPr>
      <w:rFonts w:ascii="黑体" w:eastAsia="黑体"/>
      <w:b w:val="0"/>
    </w:rPr>
  </w:style>
  <w:style w:type="paragraph" w:customStyle="1" w:styleId="755">
    <w:name w:val="发布部门"/>
    <w:next w:val="510"/>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756">
    <w:name w:val="列项说明数字编号"/>
    <w:autoRedefine/>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757">
    <w:name w:val="附录字母编号列项（一级）"/>
    <w:autoRedefine/>
    <w:qFormat/>
    <w:uiPriority w:val="0"/>
    <w:pPr>
      <w:tabs>
        <w:tab w:val="left" w:pos="839"/>
      </w:tabs>
      <w:ind w:left="840" w:hanging="420"/>
    </w:pPr>
    <w:rPr>
      <w:rFonts w:ascii="宋体" w:hAnsi="Times New Roman" w:eastAsia="宋体" w:cs="Times New Roman"/>
      <w:sz w:val="21"/>
      <w:lang w:val="en-US" w:eastAsia="zh-CN" w:bidi="ar-SA"/>
    </w:rPr>
  </w:style>
  <w:style w:type="paragraph" w:customStyle="1" w:styleId="758">
    <w:name w:val="标准书脚_奇数页"/>
    <w:autoRedefine/>
    <w:qFormat/>
    <w:uiPriority w:val="0"/>
    <w:pPr>
      <w:spacing w:before="120" w:line="0" w:lineRule="atLeast"/>
      <w:ind w:firstLine="200" w:firstLineChars="200"/>
      <w:jc w:val="right"/>
    </w:pPr>
    <w:rPr>
      <w:rFonts w:ascii="Times New Roman" w:hAnsi="Times New Roman" w:eastAsia="宋体" w:cs="Times New Roman"/>
      <w:sz w:val="18"/>
      <w:lang w:val="en-US" w:eastAsia="zh-CN" w:bidi="ar-SA"/>
    </w:rPr>
  </w:style>
  <w:style w:type="table" w:customStyle="1" w:styleId="759">
    <w:name w:val="网格型5"/>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0">
    <w:name w:val="网格型27"/>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1">
    <w:name w:val="网格型3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2">
    <w:name w:val="网格型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3">
    <w:name w:val="网格型2"/>
    <w:basedOn w:val="63"/>
    <w:autoRedefine/>
    <w:qFormat/>
    <w:uiPriority w:val="5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4">
    <w:name w:val="网格型48"/>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5">
    <w:name w:val="网格型40"/>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6">
    <w:name w:val="网格型36"/>
    <w:basedOn w:val="6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7">
    <w:name w:val="网格型41"/>
    <w:basedOn w:val="6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8">
    <w:name w:val="网格型38"/>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69">
    <w:name w:val="网格型39"/>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0">
    <w:name w:val="网格型35"/>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1">
    <w:name w:val="网格型33"/>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2">
    <w:name w:val="网格型32"/>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3">
    <w:name w:val="网格型30"/>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4">
    <w:name w:val="网格型28"/>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5">
    <w:name w:val="网格型26"/>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6">
    <w:name w:val="网格型25"/>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7">
    <w:name w:val="网格型2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8">
    <w:name w:val="网格型22"/>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79">
    <w:name w:val="网格型23"/>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0">
    <w:name w:val="网格型51"/>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1">
    <w:name w:val="网格型49"/>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2">
    <w:name w:val="网格型53"/>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3">
    <w:name w:val="网格型46"/>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4">
    <w:name w:val="网格型52"/>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5">
    <w:name w:val="网格型47"/>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6">
    <w:name w:val="网格型50"/>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7">
    <w:name w:val="网格型45"/>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8">
    <w:name w:val="网格型5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9">
    <w:name w:val="网格型43"/>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0">
    <w:name w:val="网格型6"/>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1">
    <w:name w:val="网格型42"/>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2">
    <w:name w:val="网格型3"/>
    <w:basedOn w:val="63"/>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3">
    <w:name w:val="网格型11"/>
    <w:basedOn w:val="63"/>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4">
    <w:name w:val="网格型21"/>
    <w:basedOn w:val="63"/>
    <w:autoRedefine/>
    <w:qFormat/>
    <w:uiPriority w:val="59"/>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5">
    <w:name w:val="网格型7"/>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6">
    <w:name w:val="网格型8"/>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7">
    <w:name w:val="网格型9"/>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8">
    <w:name w:val="网格型10"/>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9">
    <w:name w:val="网格型12"/>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0">
    <w:name w:val="网格型13"/>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1">
    <w:name w:val="网格型1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2">
    <w:name w:val="网格型15"/>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3">
    <w:name w:val="网格型16"/>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4">
    <w:name w:val="网格型17"/>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5">
    <w:name w:val="网格型18"/>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6">
    <w:name w:val="网格型19"/>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7">
    <w:name w:val="网格型20"/>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8">
    <w:name w:val="网格型29"/>
    <w:basedOn w:val="6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09">
    <w:name w:val="网格型31"/>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0">
    <w:name w:val="网格型37"/>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1">
    <w:name w:val="网格型44"/>
    <w:basedOn w:val="63"/>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emf"/><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0"/>
    <customShpInfo spid="_x0000_s2071"/>
    <customShpInfo spid="_x0000_s2051"/>
    <customShpInfo spid="_x0000_s2052"/>
    <customShpInfo spid="_x0000_s2053"/>
    <customShpInfo spid="_x0000_s2062"/>
    <customShpInfo spid="_x0000_s2063"/>
    <customShpInfo spid="_x0000_s2064"/>
    <customShpInfo spid="_x0000_s2065"/>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F4EA8B-A9AE-49DA-B949-EA7CE3B1A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177</Pages>
  <Words>17878</Words>
  <Characters>101906</Characters>
  <Lines>849</Lines>
  <Paragraphs>239</Paragraphs>
  <TotalTime>129</TotalTime>
  <ScaleCrop>false</ScaleCrop>
  <LinksUpToDate>false</LinksUpToDate>
  <CharactersWithSpaces>119545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2021-02-23T08:31:00Z</dcterms:created>
  <dc:creator>黄健平</dc:creator>
  <cp:lastModifiedBy>mandy</cp:lastModifiedBy>
  <cp:lastPrinted>2020-11-25T03:17:00Z</cp:lastPrinted>
  <dcterms:modified xsi:type="dcterms:W3CDTF">2024-03-19T07:15:27Z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738674DD7DBF4455846CDE38130E4584_12</vt:lpwstr>
  </property>
</Properties>
</file>