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bidi w:val="0"/>
        <w:spacing w:before="157" w:beforeLines="50" w:line="360" w:lineRule="auto"/>
        <w:jc w:val="center"/>
        <w:rPr>
          <w:rFonts w:hint="eastAsia" w:ascii="Times New Roman" w:hAnsi="Times New Roman" w:eastAsia="宋体" w:cs="宋体"/>
          <w:color w:val="auto"/>
          <w:szCs w:val="21"/>
          <w:highlight w:val="none"/>
          <w:u w:val="single"/>
        </w:rPr>
      </w:pPr>
      <w:r>
        <w:rPr>
          <w:rFonts w:hint="eastAsia" w:ascii="Times New Roman" w:hAnsi="Times New Roman" w:eastAsia="宋体" w:cs="宋体"/>
          <w:color w:val="auto"/>
          <w:sz w:val="28"/>
          <w:highlight w:val="none"/>
        </w:rPr>
        <w:t>深汕高速公路东段2023年路面维修工程招</w:t>
      </w:r>
      <w:r>
        <w:rPr>
          <w:rFonts w:hint="eastAsia" w:ascii="Times New Roman" w:hAnsi="Times New Roman" w:eastAsia="宋体" w:cs="宋体"/>
          <w:color w:val="auto"/>
          <w:spacing w:val="-3"/>
          <w:sz w:val="28"/>
          <w:highlight w:val="none"/>
        </w:rPr>
        <w:t>标</w:t>
      </w:r>
      <w:r>
        <w:rPr>
          <w:rFonts w:hint="eastAsia" w:ascii="Times New Roman" w:hAnsi="Times New Roman" w:eastAsia="宋体" w:cs="宋体"/>
          <w:color w:val="auto"/>
          <w:sz w:val="28"/>
          <w:highlight w:val="none"/>
        </w:rPr>
        <w:t>公告</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r>
        <w:rPr>
          <w:rFonts w:hint="eastAsia" w:ascii="Times New Roman" w:hAnsi="Times New Roman" w:eastAsia="宋体" w:cs="宋体"/>
          <w:b/>
          <w:bCs/>
          <w:caps w:val="0"/>
          <w:color w:val="auto"/>
          <w:kern w:val="0"/>
          <w:sz w:val="24"/>
          <w:szCs w:val="21"/>
        </w:rPr>
        <w:t>1．招标条件</w:t>
      </w:r>
    </w:p>
    <w:p>
      <w:pPr>
        <w:pageBreakBefore w:val="0"/>
        <w:kinsoku/>
        <w:bidi w:val="0"/>
        <w:spacing w:before="157" w:beforeLines="50" w:line="360" w:lineRule="auto"/>
        <w:ind w:firstLine="420" w:firstLineChars="200"/>
        <w:rPr>
          <w:rFonts w:hint="eastAsia" w:ascii="Times New Roman" w:hAnsi="Times New Roman" w:eastAsia="宋体" w:cs="宋体"/>
          <w:color w:val="auto"/>
          <w:highlight w:val="none"/>
        </w:rPr>
      </w:pPr>
      <w:r>
        <w:rPr>
          <w:rFonts w:ascii="Times New Roman" w:hAnsi="Times New Roman" w:eastAsia="宋体"/>
          <w:color w:val="auto"/>
          <w:szCs w:val="21"/>
          <w:highlight w:val="none"/>
        </w:rPr>
        <w:t>本招标项目</w:t>
      </w:r>
      <w:r>
        <w:rPr>
          <w:rFonts w:hint="eastAsia" w:ascii="Times New Roman" w:hAnsi="Times New Roman" w:eastAsia="宋体"/>
          <w:b/>
          <w:bCs/>
          <w:caps w:val="0"/>
          <w:color w:val="auto"/>
          <w:szCs w:val="21"/>
          <w:highlight w:val="none"/>
          <w:u w:val="single"/>
        </w:rPr>
        <w:t>深汕高速公路东段2023年路面维修工程</w:t>
      </w:r>
      <w:r>
        <w:rPr>
          <w:rFonts w:ascii="Times New Roman" w:hAnsi="Times New Roman" w:eastAsia="宋体"/>
          <w:color w:val="auto"/>
          <w:szCs w:val="21"/>
          <w:highlight w:val="none"/>
        </w:rPr>
        <w:t>已由</w:t>
      </w:r>
      <w:r>
        <w:rPr>
          <w:rFonts w:hint="eastAsia" w:ascii="Times New Roman" w:hAnsi="Times New Roman" w:eastAsia="宋体" w:cs="宋体"/>
          <w:b/>
          <w:color w:val="auto"/>
          <w:highlight w:val="none"/>
          <w:u w:val="single"/>
        </w:rPr>
        <w:t>广东深汕高速公路东段有限公司</w:t>
      </w:r>
      <w:r>
        <w:rPr>
          <w:rFonts w:ascii="Times New Roman" w:hAnsi="Times New Roman" w:eastAsia="宋体"/>
          <w:color w:val="auto"/>
          <w:szCs w:val="21"/>
          <w:highlight w:val="none"/>
        </w:rPr>
        <w:t>批准，</w:t>
      </w:r>
      <w:r>
        <w:rPr>
          <w:rFonts w:hint="eastAsia" w:ascii="Times New Roman" w:hAnsi="Times New Roman" w:eastAsia="宋体"/>
          <w:color w:val="auto"/>
          <w:szCs w:val="21"/>
          <w:highlight w:val="none"/>
        </w:rPr>
        <w:t>项目发包人为</w:t>
      </w:r>
      <w:r>
        <w:rPr>
          <w:rFonts w:hint="eastAsia" w:ascii="Times New Roman" w:hAnsi="Times New Roman" w:eastAsia="宋体" w:cs="宋体"/>
          <w:color w:val="auto"/>
          <w:szCs w:val="21"/>
          <w:highlight w:val="none"/>
          <w:u w:val="single"/>
        </w:rPr>
        <w:t>广东深汕高速公路东段有限公司</w:t>
      </w:r>
      <w:r>
        <w:rPr>
          <w:rFonts w:hint="eastAsia" w:ascii="Times New Roman" w:hAnsi="Times New Roman" w:eastAsia="宋体"/>
          <w:color w:val="auto"/>
          <w:szCs w:val="21"/>
          <w:highlight w:val="none"/>
        </w:rPr>
        <w:t>（以下简称“发包人”)，项目资金来自</w:t>
      </w:r>
      <w:r>
        <w:rPr>
          <w:rFonts w:hint="eastAsia" w:ascii="Times New Roman" w:hAnsi="Times New Roman" w:eastAsia="宋体"/>
          <w:color w:val="auto"/>
          <w:szCs w:val="21"/>
          <w:highlight w:val="none"/>
          <w:u w:val="single"/>
        </w:rPr>
        <w:t>发包人自筹</w:t>
      </w:r>
      <w:r>
        <w:rPr>
          <w:rFonts w:hint="eastAsia" w:ascii="Times New Roman" w:hAnsi="Times New Roman" w:eastAsia="宋体"/>
          <w:color w:val="auto"/>
          <w:szCs w:val="21"/>
          <w:highlight w:val="none"/>
        </w:rPr>
        <w:t>，</w:t>
      </w:r>
      <w:r>
        <w:rPr>
          <w:rFonts w:hint="eastAsia" w:ascii="Times New Roman" w:hAnsi="Times New Roman" w:eastAsia="宋体" w:cs="宋体"/>
          <w:color w:val="auto"/>
          <w:highlight w:val="none"/>
        </w:rPr>
        <w:t>项目出资比例为</w:t>
      </w:r>
      <w:r>
        <w:rPr>
          <w:rFonts w:hint="eastAsia" w:ascii="Times New Roman" w:hAnsi="Times New Roman" w:eastAsia="宋体" w:cs="宋体"/>
          <w:color w:val="auto"/>
          <w:highlight w:val="none"/>
          <w:u w:val="single"/>
        </w:rPr>
        <w:t>100%</w:t>
      </w:r>
      <w:r>
        <w:rPr>
          <w:rFonts w:hint="eastAsia" w:ascii="Times New Roman" w:hAnsi="Times New Roman" w:eastAsia="宋体" w:cs="宋体"/>
          <w:color w:val="auto"/>
          <w:highlight w:val="none"/>
        </w:rPr>
        <w:t>，招标人为</w:t>
      </w:r>
      <w:r>
        <w:rPr>
          <w:rFonts w:hint="eastAsia" w:ascii="Times New Roman" w:hAnsi="Times New Roman" w:eastAsia="宋体" w:cs="宋体"/>
          <w:color w:val="auto"/>
          <w:szCs w:val="21"/>
          <w:highlight w:val="none"/>
          <w:u w:val="single"/>
        </w:rPr>
        <w:t>广东深汕高速公路东段有限公司</w:t>
      </w:r>
      <w:r>
        <w:rPr>
          <w:rFonts w:hint="eastAsia" w:ascii="Times New Roman" w:hAnsi="Times New Roman" w:eastAsia="宋体" w:cs="宋体"/>
          <w:color w:val="auto"/>
          <w:highlight w:val="none"/>
        </w:rPr>
        <w:t>。</w:t>
      </w:r>
      <w:r>
        <w:rPr>
          <w:rFonts w:ascii="Times New Roman" w:hAnsi="Times New Roman" w:eastAsia="宋体"/>
          <w:color w:val="auto"/>
          <w:szCs w:val="21"/>
          <w:highlight w:val="none"/>
        </w:rPr>
        <w:t>项目已具备招标条件，</w:t>
      </w:r>
      <w:r>
        <w:rPr>
          <w:rFonts w:hint="eastAsia" w:ascii="Times New Roman" w:hAnsi="Times New Roman" w:eastAsia="宋体"/>
          <w:color w:val="auto"/>
          <w:szCs w:val="21"/>
          <w:highlight w:val="none"/>
        </w:rPr>
        <w:t>现对该项目的施工采用资格后审方式进行公开招标。</w:t>
      </w:r>
      <w:r>
        <w:rPr>
          <w:rFonts w:hint="eastAsia" w:ascii="Times New Roman" w:hAnsi="Times New Roman" w:eastAsia="宋体" w:cs="宋体"/>
          <w:color w:val="auto"/>
          <w:highlight w:val="none"/>
        </w:rPr>
        <w:t xml:space="preserve">   </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r>
        <w:rPr>
          <w:rFonts w:hint="eastAsia" w:ascii="Times New Roman" w:hAnsi="Times New Roman" w:eastAsia="宋体" w:cs="宋体"/>
          <w:b/>
          <w:bCs/>
          <w:caps w:val="0"/>
          <w:color w:val="auto"/>
          <w:kern w:val="0"/>
          <w:sz w:val="24"/>
          <w:szCs w:val="21"/>
        </w:rPr>
        <w:t>2．项目概况与招标范围</w:t>
      </w:r>
    </w:p>
    <w:p>
      <w:pPr>
        <w:pageBreakBefore w:val="0"/>
        <w:widowControl/>
        <w:kinsoku/>
        <w:topLinePunct/>
        <w:bidi w:val="0"/>
        <w:spacing w:before="157" w:beforeLines="50" w:line="360" w:lineRule="auto"/>
        <w:ind w:firstLine="424"/>
        <w:rPr>
          <w:rFonts w:hint="eastAsia" w:ascii="Times New Roman" w:hAnsi="Times New Roman" w:eastAsia="宋体" w:cs="宋体"/>
          <w:b/>
          <w:color w:val="auto"/>
          <w:sz w:val="24"/>
          <w:szCs w:val="20"/>
          <w:highlight w:val="none"/>
        </w:rPr>
      </w:pPr>
      <w:r>
        <w:rPr>
          <w:rFonts w:hint="eastAsia" w:ascii="Times New Roman" w:hAnsi="Times New Roman" w:eastAsia="宋体" w:cs="宋体"/>
          <w:b/>
          <w:color w:val="auto"/>
          <w:sz w:val="24"/>
          <w:szCs w:val="20"/>
          <w:highlight w:val="none"/>
        </w:rPr>
        <w:t>2.1项目概况与招标范围</w:t>
      </w:r>
    </w:p>
    <w:p>
      <w:pPr>
        <w:pageBreakBefore w:val="0"/>
        <w:widowControl/>
        <w:kinsoku/>
        <w:bidi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工程内容主要针对K2565+348～K2704+518段中病害较为严重的沥青路面进行铣刨重铺及局部基层病害维修处治,对病害较为严重的水泥混凝土桥面铺装进行病害维修及表面处治等。</w:t>
      </w:r>
    </w:p>
    <w:p>
      <w:pPr>
        <w:pageBreakBefore w:val="0"/>
        <w:widowControl/>
        <w:kinsoku/>
        <w:topLinePunct/>
        <w:bidi w:val="0"/>
        <w:spacing w:before="157" w:beforeLines="50" w:line="360" w:lineRule="auto"/>
        <w:ind w:firstLine="424"/>
        <w:rPr>
          <w:rFonts w:ascii="Times New Roman" w:hAnsi="Times New Roman" w:eastAsia="宋体" w:cs="宋体"/>
          <w:b/>
          <w:color w:val="auto"/>
          <w:sz w:val="24"/>
          <w:szCs w:val="20"/>
          <w:highlight w:val="none"/>
        </w:rPr>
      </w:pPr>
      <w:r>
        <w:rPr>
          <w:rFonts w:hint="eastAsia" w:ascii="Times New Roman" w:hAnsi="Times New Roman" w:eastAsia="宋体" w:cs="宋体"/>
          <w:b/>
          <w:color w:val="auto"/>
          <w:sz w:val="24"/>
          <w:szCs w:val="20"/>
          <w:highlight w:val="none"/>
        </w:rPr>
        <w:t xml:space="preserve">2.2 招标控制价：1标段  </w:t>
      </w:r>
      <w:r>
        <w:rPr>
          <w:rFonts w:hint="eastAsia" w:ascii="Times New Roman" w:hAnsi="Times New Roman" w:eastAsia="宋体" w:cs="宋体"/>
          <w:b/>
          <w:color w:val="auto"/>
          <w:sz w:val="24"/>
          <w:szCs w:val="20"/>
          <w:highlight w:val="none"/>
          <w:u w:val="single"/>
        </w:rPr>
        <w:t>26,821,368.00</w:t>
      </w:r>
      <w:r>
        <w:rPr>
          <w:rFonts w:hint="eastAsia" w:ascii="Times New Roman" w:hAnsi="Times New Roman" w:eastAsia="宋体" w:cs="宋体"/>
          <w:b/>
          <w:color w:val="auto"/>
          <w:sz w:val="24"/>
          <w:szCs w:val="20"/>
          <w:highlight w:val="none"/>
        </w:rPr>
        <w:t>元，2标段</w:t>
      </w:r>
      <w:r>
        <w:rPr>
          <w:rFonts w:hint="eastAsia" w:ascii="Times New Roman" w:hAnsi="Times New Roman" w:eastAsia="宋体" w:cs="宋体"/>
          <w:b/>
          <w:color w:val="auto"/>
          <w:sz w:val="24"/>
          <w:szCs w:val="20"/>
          <w:highlight w:val="none"/>
          <w:u w:val="single"/>
        </w:rPr>
        <w:t xml:space="preserve">  24,621,624.00 </w:t>
      </w:r>
      <w:r>
        <w:rPr>
          <w:rFonts w:hint="eastAsia" w:ascii="Times New Roman" w:hAnsi="Times New Roman" w:eastAsia="宋体" w:cs="宋体"/>
          <w:b/>
          <w:color w:val="auto"/>
          <w:sz w:val="24"/>
          <w:szCs w:val="20"/>
          <w:highlight w:val="none"/>
        </w:rPr>
        <w:t>元。</w:t>
      </w:r>
    </w:p>
    <w:p>
      <w:pPr>
        <w:pageBreakBefore w:val="0"/>
        <w:widowControl/>
        <w:kinsoku/>
        <w:topLinePunct/>
        <w:bidi w:val="0"/>
        <w:spacing w:before="157" w:beforeLines="50" w:line="360" w:lineRule="auto"/>
        <w:ind w:firstLine="424"/>
        <w:rPr>
          <w:rFonts w:ascii="Times New Roman" w:hAnsi="Times New Roman" w:eastAsia="宋体" w:cs="宋体"/>
          <w:b/>
          <w:color w:val="auto"/>
          <w:sz w:val="24"/>
          <w:szCs w:val="20"/>
          <w:highlight w:val="none"/>
        </w:rPr>
      </w:pPr>
      <w:r>
        <w:rPr>
          <w:rFonts w:ascii="Times New Roman" w:hAnsi="Times New Roman" w:eastAsia="宋体" w:cs="宋体"/>
          <w:b/>
          <w:color w:val="auto"/>
          <w:sz w:val="24"/>
          <w:szCs w:val="20"/>
          <w:highlight w:val="none"/>
        </w:rPr>
        <w:t>2.</w:t>
      </w:r>
      <w:r>
        <w:rPr>
          <w:rFonts w:hint="eastAsia" w:ascii="Times New Roman" w:hAnsi="Times New Roman" w:eastAsia="宋体" w:cs="宋体"/>
          <w:b/>
          <w:color w:val="auto"/>
          <w:sz w:val="24"/>
          <w:szCs w:val="20"/>
          <w:highlight w:val="none"/>
        </w:rPr>
        <w:t>3</w:t>
      </w:r>
      <w:r>
        <w:rPr>
          <w:rFonts w:ascii="Times New Roman" w:hAnsi="Times New Roman" w:eastAsia="宋体" w:cs="宋体"/>
          <w:b/>
          <w:color w:val="auto"/>
          <w:sz w:val="24"/>
          <w:szCs w:val="20"/>
          <w:highlight w:val="none"/>
        </w:rPr>
        <w:t>标段划分</w:t>
      </w:r>
    </w:p>
    <w:p>
      <w:pPr>
        <w:pageBreakBefore w:val="0"/>
        <w:kinsoku/>
        <w:bidi w:val="0"/>
        <w:spacing w:before="157" w:beforeLines="50" w:line="360" w:lineRule="auto"/>
        <w:ind w:firstLine="420" w:firstLineChars="200"/>
        <w:rPr>
          <w:rFonts w:ascii="Times New Roman" w:hAnsi="Times New Roman" w:eastAsia="宋体"/>
          <w:color w:val="auto"/>
          <w:szCs w:val="21"/>
          <w:highlight w:val="none"/>
        </w:rPr>
      </w:pPr>
      <w:r>
        <w:rPr>
          <w:rFonts w:ascii="Times New Roman" w:hAnsi="Times New Roman" w:eastAsia="宋体"/>
          <w:color w:val="auto"/>
          <w:szCs w:val="21"/>
          <w:highlight w:val="none"/>
        </w:rPr>
        <w:t xml:space="preserve">   </w:t>
      </w:r>
      <w:r>
        <w:rPr>
          <w:rFonts w:hint="eastAsia" w:ascii="Times New Roman" w:hAnsi="Times New Roman" w:eastAsia="宋体"/>
          <w:color w:val="auto"/>
          <w:szCs w:val="21"/>
          <w:highlight w:val="none"/>
        </w:rPr>
        <w:t>本次招标共2个标段，主要工程项目情况详见附件1。投标人必须同时对2个标段进行投标，但只能成为其中一个标段的中标人，不能兼中（即兼投不兼中）。具体标段划分如下：</w:t>
      </w:r>
    </w:p>
    <w:tbl>
      <w:tblPr>
        <w:tblStyle w:val="4"/>
        <w:tblW w:w="9348" w:type="dxa"/>
        <w:jc w:val="center"/>
        <w:tblLayout w:type="fixed"/>
        <w:tblCellMar>
          <w:top w:w="0" w:type="dxa"/>
          <w:left w:w="108" w:type="dxa"/>
          <w:bottom w:w="0" w:type="dxa"/>
          <w:right w:w="108" w:type="dxa"/>
        </w:tblCellMar>
      </w:tblPr>
      <w:tblGrid>
        <w:gridCol w:w="948"/>
        <w:gridCol w:w="470"/>
        <w:gridCol w:w="1418"/>
        <w:gridCol w:w="983"/>
        <w:gridCol w:w="2552"/>
        <w:gridCol w:w="2126"/>
        <w:gridCol w:w="851"/>
      </w:tblGrid>
      <w:tr>
        <w:tblPrEx>
          <w:tblCellMar>
            <w:top w:w="0" w:type="dxa"/>
            <w:left w:w="108" w:type="dxa"/>
            <w:bottom w:w="0" w:type="dxa"/>
            <w:right w:w="108" w:type="dxa"/>
          </w:tblCellMar>
        </w:tblPrEx>
        <w:trPr>
          <w:trHeight w:val="586"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标段</w:t>
            </w:r>
          </w:p>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类别</w:t>
            </w:r>
          </w:p>
        </w:tc>
        <w:tc>
          <w:tcPr>
            <w:tcW w:w="470"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标段</w:t>
            </w:r>
          </w:p>
        </w:tc>
        <w:tc>
          <w:tcPr>
            <w:tcW w:w="1418"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位置</w:t>
            </w:r>
          </w:p>
        </w:tc>
        <w:tc>
          <w:tcPr>
            <w:tcW w:w="983" w:type="dxa"/>
            <w:tcBorders>
              <w:top w:val="single" w:color="000000" w:sz="4" w:space="0"/>
              <w:left w:val="nil"/>
              <w:bottom w:val="single" w:color="000000" w:sz="4" w:space="0"/>
              <w:right w:val="single" w:color="000000" w:sz="4" w:space="0"/>
            </w:tcBorders>
            <w:noWrap w:val="0"/>
            <w:vAlign w:val="center"/>
          </w:tcPr>
          <w:p>
            <w:pPr>
              <w:pageBreakBefore w:val="0"/>
              <w:kinsoku/>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计划</w:t>
            </w:r>
          </w:p>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工期（天）</w:t>
            </w:r>
          </w:p>
        </w:tc>
        <w:tc>
          <w:tcPr>
            <w:tcW w:w="2552"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主要工程项目</w:t>
            </w:r>
          </w:p>
        </w:tc>
        <w:tc>
          <w:tcPr>
            <w:tcW w:w="2126" w:type="dxa"/>
            <w:tcBorders>
              <w:top w:val="single" w:color="000000" w:sz="4" w:space="0"/>
              <w:left w:val="nil"/>
              <w:bottom w:val="single" w:color="000000" w:sz="4" w:space="0"/>
              <w:right w:val="single" w:color="auto"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申请人资质要求</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备注</w:t>
            </w:r>
          </w:p>
        </w:tc>
      </w:tr>
      <w:tr>
        <w:tblPrEx>
          <w:tblCellMar>
            <w:top w:w="0" w:type="dxa"/>
            <w:left w:w="108" w:type="dxa"/>
            <w:bottom w:w="0" w:type="dxa"/>
            <w:right w:w="108" w:type="dxa"/>
          </w:tblCellMar>
        </w:tblPrEx>
        <w:trPr>
          <w:trHeight w:val="2189" w:hRule="atLeast"/>
          <w:jc w:val="center"/>
        </w:trPr>
        <w:tc>
          <w:tcPr>
            <w:tcW w:w="948" w:type="dxa"/>
            <w:vMerge w:val="restart"/>
            <w:tcBorders>
              <w:top w:val="single" w:color="000000" w:sz="4" w:space="0"/>
              <w:left w:val="single" w:color="000000" w:sz="4" w:space="0"/>
              <w:right w:val="single" w:color="000000" w:sz="4" w:space="0"/>
            </w:tcBorders>
            <w:noWrap w:val="0"/>
            <w:vAlign w:val="center"/>
          </w:tcPr>
          <w:p>
            <w:pPr>
              <w:pageBreakBefore w:val="0"/>
              <w:kinsoku/>
              <w:topLinePunct/>
              <w:bidi w:val="0"/>
              <w:spacing w:before="157" w:beforeLines="50" w:line="360" w:lineRule="auto"/>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2023年路面维修工程</w:t>
            </w:r>
          </w:p>
        </w:tc>
        <w:tc>
          <w:tcPr>
            <w:tcW w:w="470"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1</w:t>
            </w:r>
          </w:p>
        </w:tc>
        <w:tc>
          <w:tcPr>
            <w:tcW w:w="1418"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K2573+900～K2612+648段沥青路面及K2566+423葛洲大桥等9座桥梁桥面铺装</w:t>
            </w:r>
          </w:p>
        </w:tc>
        <w:tc>
          <w:tcPr>
            <w:tcW w:w="983"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120</w:t>
            </w:r>
          </w:p>
        </w:tc>
        <w:tc>
          <w:tcPr>
            <w:tcW w:w="2552"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沥青路面铣刨重铺、水稳基层及水泥混凝土板下卧层病害处治、路面标线恢复等；水泥混凝土桥面铺装及桥面横向连续破损维修、裂缝处治、填缝料更换、桥面精铣刨、1.5cm厚HET-Y(B)薄层处治，详见设计图纸。</w:t>
            </w:r>
          </w:p>
        </w:tc>
        <w:tc>
          <w:tcPr>
            <w:tcW w:w="2126" w:type="dxa"/>
            <w:vMerge w:val="restart"/>
            <w:tcBorders>
              <w:top w:val="single" w:color="000000" w:sz="4" w:space="0"/>
              <w:left w:val="nil"/>
              <w:right w:val="single" w:color="auto" w:sz="4" w:space="0"/>
            </w:tcBorders>
            <w:noWrap w:val="0"/>
            <w:vAlign w:val="center"/>
          </w:tcPr>
          <w:p>
            <w:pPr>
              <w:pageBreakBefore w:val="0"/>
              <w:shd w:val="solid" w:color="FFFFFF" w:fill="auto"/>
              <w:kinsoku/>
              <w:autoSpaceDN w:val="0"/>
              <w:bidi w:val="0"/>
              <w:snapToGrid w:val="0"/>
              <w:spacing w:before="157" w:beforeLines="50" w:line="360" w:lineRule="auto"/>
              <w:jc w:val="center"/>
              <w:textAlignment w:val="center"/>
              <w:rPr>
                <w:rFonts w:ascii="Times New Roman" w:hAnsi="Times New Roman" w:eastAsia="宋体"/>
                <w:color w:val="auto"/>
                <w:spacing w:val="-4"/>
                <w:sz w:val="18"/>
                <w:szCs w:val="18"/>
                <w:highlight w:val="none"/>
              </w:rPr>
            </w:pPr>
            <w:r>
              <w:rPr>
                <w:rFonts w:hint="eastAsia" w:ascii="Times New Roman" w:hAnsi="Times New Roman" w:eastAsia="宋体" w:cs="宋体"/>
                <w:color w:val="auto"/>
                <w:sz w:val="18"/>
                <w:szCs w:val="18"/>
                <w:highlight w:val="none"/>
              </w:rPr>
              <w:t>具备:</w:t>
            </w:r>
          </w:p>
          <w:p>
            <w:pPr>
              <w:pageBreakBefore w:val="0"/>
              <w:kinsoku/>
              <w:autoSpaceDE w:val="0"/>
              <w:autoSpaceDN w:val="0"/>
              <w:bidi w:val="0"/>
              <w:adjustRightInd w:val="0"/>
              <w:spacing w:before="157" w:beforeLines="50" w:line="360" w:lineRule="auto"/>
              <w:jc w:val="center"/>
              <w:rPr>
                <w:rFonts w:hint="eastAsia" w:ascii="Times New Roman" w:hAnsi="Times New Roman" w:eastAsia="宋体" w:cs="宋体"/>
                <w:color w:val="auto"/>
                <w:sz w:val="18"/>
                <w:szCs w:val="18"/>
                <w:highlight w:val="none"/>
              </w:rPr>
            </w:pPr>
            <w:r>
              <w:rPr>
                <w:rFonts w:hint="eastAsia" w:ascii="Times New Roman" w:hAnsi="Times New Roman" w:eastAsia="宋体"/>
                <w:color w:val="auto"/>
                <w:spacing w:val="-4"/>
                <w:sz w:val="18"/>
                <w:szCs w:val="18"/>
                <w:highlight w:val="none"/>
              </w:rPr>
              <w:t>交通运输部颁发的路基路面养护甲级资质。</w:t>
            </w:r>
          </w:p>
        </w:tc>
        <w:tc>
          <w:tcPr>
            <w:tcW w:w="851" w:type="dxa"/>
            <w:vMerge w:val="restart"/>
            <w:tcBorders>
              <w:top w:val="single" w:color="000000" w:sz="4" w:space="0"/>
              <w:left w:val="single" w:color="auto" w:sz="4" w:space="0"/>
              <w:right w:val="single" w:color="000000" w:sz="4" w:space="0"/>
            </w:tcBorders>
            <w:noWrap w:val="0"/>
            <w:vAlign w:val="center"/>
          </w:tcPr>
          <w:p>
            <w:pPr>
              <w:pageBreakBefore w:val="0"/>
              <w:kinsoku/>
              <w:autoSpaceDE w:val="0"/>
              <w:autoSpaceDN w:val="0"/>
              <w:bidi w:val="0"/>
              <w:adjustRightInd w:val="0"/>
              <w:spacing w:before="157" w:beforeLines="50" w:line="360" w:lineRule="auto"/>
              <w:jc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资格审查条件附录</w:t>
            </w:r>
            <w:r>
              <w:rPr>
                <w:rFonts w:ascii="Times New Roman" w:hAnsi="Times New Roman" w:eastAsia="宋体" w:cs="宋体"/>
                <w:color w:val="auto"/>
                <w:sz w:val="18"/>
                <w:szCs w:val="18"/>
                <w:highlight w:val="none"/>
              </w:rPr>
              <w:t>1~7</w:t>
            </w:r>
            <w:r>
              <w:rPr>
                <w:rFonts w:hint="eastAsia" w:ascii="Times New Roman" w:hAnsi="Times New Roman" w:eastAsia="宋体" w:cs="宋体"/>
                <w:color w:val="auto"/>
                <w:sz w:val="18"/>
                <w:szCs w:val="18"/>
                <w:highlight w:val="none"/>
              </w:rPr>
              <w:t>详见附件2</w:t>
            </w:r>
          </w:p>
        </w:tc>
      </w:tr>
      <w:tr>
        <w:tblPrEx>
          <w:tblCellMar>
            <w:top w:w="0" w:type="dxa"/>
            <w:left w:w="108" w:type="dxa"/>
            <w:bottom w:w="0" w:type="dxa"/>
            <w:right w:w="108" w:type="dxa"/>
          </w:tblCellMar>
        </w:tblPrEx>
        <w:trPr>
          <w:trHeight w:val="2419" w:hRule="atLeast"/>
          <w:jc w:val="center"/>
        </w:trPr>
        <w:tc>
          <w:tcPr>
            <w:tcW w:w="948" w:type="dxa"/>
            <w:vMerge w:val="continue"/>
            <w:tcBorders>
              <w:left w:val="single" w:color="000000" w:sz="4" w:space="0"/>
              <w:bottom w:val="single" w:color="000000" w:sz="4" w:space="0"/>
              <w:right w:val="single" w:color="000000" w:sz="4" w:space="0"/>
            </w:tcBorders>
            <w:noWrap w:val="0"/>
            <w:vAlign w:val="center"/>
          </w:tcPr>
          <w:p>
            <w:pPr>
              <w:pageBreakBefore w:val="0"/>
              <w:kinsoku/>
              <w:topLinePunct/>
              <w:bidi w:val="0"/>
              <w:spacing w:before="157" w:beforeLines="50" w:line="360" w:lineRule="auto"/>
              <w:rPr>
                <w:rFonts w:hint="eastAsia" w:ascii="Times New Roman" w:hAnsi="Times New Roman" w:eastAsia="宋体" w:cs="宋体"/>
                <w:color w:val="auto"/>
                <w:sz w:val="18"/>
                <w:szCs w:val="18"/>
                <w:highlight w:val="none"/>
              </w:rPr>
            </w:pPr>
          </w:p>
        </w:tc>
        <w:tc>
          <w:tcPr>
            <w:tcW w:w="470"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2</w:t>
            </w:r>
          </w:p>
        </w:tc>
        <w:tc>
          <w:tcPr>
            <w:tcW w:w="1418"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Cs w:val="21"/>
                <w:highlight w:val="none"/>
              </w:rPr>
              <w:t>K2617+604～K2653+874段沥青路面及K2704+518冲心村中桥等16座桥梁桥面铺装</w:t>
            </w:r>
          </w:p>
        </w:tc>
        <w:tc>
          <w:tcPr>
            <w:tcW w:w="983"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120</w:t>
            </w:r>
          </w:p>
        </w:tc>
        <w:tc>
          <w:tcPr>
            <w:tcW w:w="2552" w:type="dxa"/>
            <w:tcBorders>
              <w:top w:val="single" w:color="000000" w:sz="4" w:space="0"/>
              <w:left w:val="nil"/>
              <w:bottom w:val="single" w:color="000000" w:sz="4" w:space="0"/>
              <w:right w:val="single" w:color="000000" w:sz="4" w:space="0"/>
            </w:tcBorders>
            <w:noWrap w:val="0"/>
            <w:vAlign w:val="center"/>
          </w:tcPr>
          <w:p>
            <w:pPr>
              <w:pageBreakBefore w:val="0"/>
              <w:kinsoku/>
              <w:topLinePunct/>
              <w:bidi w:val="0"/>
              <w:spacing w:before="157" w:beforeLines="50" w:line="360" w:lineRule="auto"/>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沥青路面铣刨重铺、水稳基层及水泥混凝土板下卧层病害处治、路面标线恢复等；水泥混凝土桥面铺装及桥面横向连续破损维修、裂缝处治、填缝料更换、桥面精铣刨、1.5cm厚HET-Y(B)薄层处治，详见设计图纸。</w:t>
            </w:r>
          </w:p>
        </w:tc>
        <w:tc>
          <w:tcPr>
            <w:tcW w:w="2126" w:type="dxa"/>
            <w:vMerge w:val="continue"/>
            <w:tcBorders>
              <w:left w:val="nil"/>
              <w:bottom w:val="single" w:color="000000" w:sz="4" w:space="0"/>
              <w:right w:val="single" w:color="auto" w:sz="4" w:space="0"/>
            </w:tcBorders>
            <w:noWrap w:val="0"/>
            <w:vAlign w:val="center"/>
          </w:tcPr>
          <w:p>
            <w:pPr>
              <w:pageBreakBefore w:val="0"/>
              <w:kinsoku/>
              <w:autoSpaceDE w:val="0"/>
              <w:autoSpaceDN w:val="0"/>
              <w:bidi w:val="0"/>
              <w:adjustRightInd w:val="0"/>
              <w:spacing w:before="157" w:beforeLines="50" w:line="360" w:lineRule="auto"/>
              <w:jc w:val="center"/>
              <w:rPr>
                <w:rFonts w:ascii="Times New Roman" w:hAnsi="Times New Roman" w:eastAsia="宋体" w:cs="宋体"/>
                <w:color w:val="auto"/>
                <w:sz w:val="18"/>
                <w:szCs w:val="18"/>
                <w:highlight w:val="none"/>
              </w:rPr>
            </w:pPr>
          </w:p>
        </w:tc>
        <w:tc>
          <w:tcPr>
            <w:tcW w:w="851" w:type="dxa"/>
            <w:vMerge w:val="continue"/>
            <w:tcBorders>
              <w:left w:val="single" w:color="auto" w:sz="4" w:space="0"/>
              <w:bottom w:val="single" w:color="000000" w:sz="4" w:space="0"/>
              <w:right w:val="single" w:color="000000" w:sz="4" w:space="0"/>
            </w:tcBorders>
            <w:noWrap w:val="0"/>
            <w:vAlign w:val="center"/>
          </w:tcPr>
          <w:p>
            <w:pPr>
              <w:pageBreakBefore w:val="0"/>
              <w:kinsoku/>
              <w:autoSpaceDE w:val="0"/>
              <w:autoSpaceDN w:val="0"/>
              <w:bidi w:val="0"/>
              <w:adjustRightInd w:val="0"/>
              <w:spacing w:before="157" w:beforeLines="50" w:line="360" w:lineRule="auto"/>
              <w:jc w:val="center"/>
              <w:rPr>
                <w:rFonts w:ascii="Times New Roman" w:hAnsi="Times New Roman" w:eastAsia="宋体" w:cs="宋体"/>
                <w:color w:val="auto"/>
                <w:sz w:val="18"/>
                <w:szCs w:val="18"/>
                <w:highlight w:val="none"/>
              </w:rPr>
            </w:pPr>
          </w:p>
        </w:tc>
      </w:tr>
    </w:tbl>
    <w:p>
      <w:pPr>
        <w:pageBreakBefore w:val="0"/>
        <w:kinsoku/>
        <w:bidi w:val="0"/>
        <w:spacing w:before="157" w:beforeLines="50" w:line="360" w:lineRule="auto"/>
        <w:rPr>
          <w:rFonts w:hint="eastAsia" w:ascii="Times New Roman" w:hAnsi="Times New Roman" w:eastAsia="宋体"/>
          <w:color w:val="auto"/>
          <w:sz w:val="18"/>
          <w:szCs w:val="18"/>
          <w:highlight w:val="none"/>
        </w:rPr>
      </w:pPr>
      <w:r>
        <w:rPr>
          <w:rFonts w:hint="eastAsia" w:ascii="Times New Roman" w:hAnsi="Times New Roman" w:eastAsia="宋体" w:cs="宋体"/>
          <w:b/>
          <w:bCs/>
          <w:color w:val="auto"/>
          <w:kern w:val="0"/>
          <w:sz w:val="24"/>
          <w:szCs w:val="21"/>
          <w:highlight w:val="none"/>
        </w:rPr>
        <w:t xml:space="preserve">      </w:t>
      </w:r>
      <w:r>
        <w:rPr>
          <w:rFonts w:hint="eastAsia" w:ascii="Times New Roman" w:hAnsi="Times New Roman" w:eastAsia="宋体"/>
          <w:color w:val="auto"/>
          <w:sz w:val="18"/>
          <w:szCs w:val="18"/>
          <w:highlight w:val="none"/>
        </w:rPr>
        <w:t>注：具体工程数量以招标文件工程量清单为准。</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r>
        <w:rPr>
          <w:rFonts w:hint="eastAsia" w:ascii="Times New Roman" w:hAnsi="Times New Roman" w:eastAsia="宋体" w:cs="宋体"/>
          <w:b/>
          <w:bCs/>
          <w:caps w:val="0"/>
          <w:color w:val="auto"/>
          <w:kern w:val="0"/>
          <w:sz w:val="24"/>
          <w:szCs w:val="21"/>
        </w:rPr>
        <w:t>3．投标人资格要求</w:t>
      </w:r>
    </w:p>
    <w:p>
      <w:pPr>
        <w:pageBreakBefore w:val="0"/>
        <w:widowControl/>
        <w:kinsoku/>
        <w:topLinePunct/>
        <w:bidi w:val="0"/>
        <w:spacing w:before="157" w:beforeLines="50" w:line="360" w:lineRule="auto"/>
        <w:ind w:right="18" w:firstLine="424"/>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3.1本次招标要求投标人具备上述第2.3款表中所列相应资质，类似工程业绩，并在人员、设备、资金等方面具有相应的施工能力。</w:t>
      </w:r>
    </w:p>
    <w:p>
      <w:pPr>
        <w:pageBreakBefore w:val="0"/>
        <w:widowControl/>
        <w:kinsoku/>
        <w:topLinePunct/>
        <w:bidi w:val="0"/>
        <w:spacing w:before="157" w:beforeLines="50" w:line="360" w:lineRule="auto"/>
        <w:ind w:right="18"/>
        <w:rPr>
          <w:rFonts w:hint="eastAsia" w:ascii="Times New Roman" w:hAnsi="Times New Roman" w:eastAsia="宋体" w:cs="宋体"/>
          <w:color w:val="auto"/>
          <w:highlight w:val="none"/>
        </w:rPr>
      </w:pPr>
      <w:r>
        <w:rPr>
          <w:rFonts w:hint="eastAsia" w:ascii="Times New Roman" w:hAnsi="Times New Roman" w:eastAsia="宋体"/>
          <w:color w:val="auto"/>
          <w:szCs w:val="21"/>
          <w:highlight w:val="none"/>
        </w:rPr>
        <w:t xml:space="preserve">    投标人应进入交通运输部“全国公路建设市场信用信息管理系统（http: glxy.mot.gov.cn)”中的公路工程施工资质企业名录，且投标人名称和资质与该名录 中的相应企业名称和资质完全一致。</w:t>
      </w:r>
    </w:p>
    <w:p>
      <w:pPr>
        <w:pageBreakBefore w:val="0"/>
        <w:widowControl/>
        <w:kinsoku/>
        <w:topLinePunct/>
        <w:bidi w:val="0"/>
        <w:spacing w:before="157" w:beforeLines="50" w:line="360" w:lineRule="auto"/>
        <w:ind w:right="18" w:firstLine="424"/>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3.2本次招标不接受联合体投标。</w:t>
      </w:r>
    </w:p>
    <w:p>
      <w:pPr>
        <w:pageBreakBefore w:val="0"/>
        <w:widowControl/>
        <w:kinsoku/>
        <w:topLinePunct/>
        <w:bidi w:val="0"/>
        <w:spacing w:before="157" w:beforeLines="50" w:line="360" w:lineRule="auto"/>
        <w:ind w:right="18" w:firstLine="424"/>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3.3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ageBreakBefore w:val="0"/>
        <w:widowControl/>
        <w:kinsoku/>
        <w:topLinePunct/>
        <w:bidi w:val="0"/>
        <w:spacing w:before="157" w:beforeLines="50" w:line="360" w:lineRule="auto"/>
        <w:ind w:right="18" w:firstLine="424"/>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3.4在“信用中国”网站（</w:t>
      </w:r>
      <w:r>
        <w:rPr>
          <w:rFonts w:hint="eastAsia" w:ascii="Times New Roman" w:hAnsi="Times New Roman" w:eastAsia="宋体" w:cs="宋体"/>
          <w:color w:val="auto"/>
          <w:highlight w:val="none"/>
        </w:rPr>
        <w:fldChar w:fldCharType="begin"/>
      </w:r>
      <w:r>
        <w:rPr>
          <w:rFonts w:hint="eastAsia" w:ascii="Times New Roman" w:hAnsi="Times New Roman" w:eastAsia="宋体" w:cs="宋体"/>
          <w:color w:val="auto"/>
          <w:highlight w:val="none"/>
        </w:rPr>
        <w:instrText xml:space="preserve"> HYPERLINK "http://www.creditchina.gov.cn/)%e4%b8%ad%e8%a2%ab%e5%88%97%e5%85%a5%e5%a4%b1%e4%bf%a1%e8%a2%ab%e6%89%a7" </w:instrText>
      </w:r>
      <w:r>
        <w:rPr>
          <w:rFonts w:hint="eastAsia" w:ascii="Times New Roman" w:hAnsi="Times New Roman" w:eastAsia="宋体" w:cs="宋体"/>
          <w:color w:val="auto"/>
          <w:highlight w:val="none"/>
        </w:rPr>
        <w:fldChar w:fldCharType="separate"/>
      </w:r>
      <w:r>
        <w:rPr>
          <w:rFonts w:hint="eastAsia" w:ascii="Times New Roman" w:hAnsi="Times New Roman" w:eastAsia="宋体" w:cs="宋体"/>
          <w:color w:val="auto"/>
          <w:highlight w:val="none"/>
        </w:rPr>
        <w:t>http://www.creditchina.gov.cn/)中被列入失信被执</w:t>
      </w:r>
      <w:r>
        <w:rPr>
          <w:rFonts w:hint="eastAsia" w:ascii="Times New Roman" w:hAnsi="Times New Roman" w:eastAsia="宋体" w:cs="宋体"/>
          <w:color w:val="auto"/>
          <w:highlight w:val="none"/>
        </w:rPr>
        <w:fldChar w:fldCharType="end"/>
      </w:r>
      <w:r>
        <w:rPr>
          <w:rFonts w:hint="eastAsia" w:ascii="Times New Roman" w:hAnsi="Times New Roman" w:eastAsia="宋体" w:cs="宋体"/>
          <w:color w:val="auto"/>
          <w:highlight w:val="none"/>
        </w:rPr>
        <w:t>行人名单的投标人，在国家企业信用信息公示系统（www.gsxt.gov.cn）中被列入严重违法失信企业名单的投标人，均按否决投标处理。</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bookmarkStart w:id="0" w:name="_Toc13824"/>
      <w:bookmarkStart w:id="1" w:name="_Toc26692"/>
      <w:bookmarkStart w:id="2" w:name="_Toc12291"/>
      <w:bookmarkStart w:id="3" w:name="_Toc26078"/>
      <w:bookmarkStart w:id="4" w:name="_Toc1360"/>
      <w:bookmarkStart w:id="5" w:name="_Toc24780"/>
      <w:r>
        <w:rPr>
          <w:rFonts w:hint="eastAsia" w:ascii="Times New Roman" w:hAnsi="Times New Roman" w:eastAsia="宋体" w:cs="宋体"/>
          <w:b/>
          <w:bCs/>
          <w:caps w:val="0"/>
          <w:color w:val="auto"/>
          <w:kern w:val="0"/>
          <w:sz w:val="24"/>
          <w:szCs w:val="21"/>
        </w:rPr>
        <w:t>4．递交投标登记资料及招标文件获取：</w:t>
      </w:r>
      <w:bookmarkEnd w:id="0"/>
      <w:bookmarkEnd w:id="1"/>
      <w:bookmarkEnd w:id="2"/>
      <w:bookmarkEnd w:id="3"/>
      <w:bookmarkEnd w:id="4"/>
      <w:bookmarkEnd w:id="5"/>
    </w:p>
    <w:p>
      <w:pPr>
        <w:pageBreakBefore w:val="0"/>
        <w:kinsoku/>
        <w:bidi w:val="0"/>
        <w:spacing w:before="157" w:beforeLines="50"/>
        <w:ind w:firstLine="422" w:firstLineChars="200"/>
        <w:rPr>
          <w:rFonts w:hint="eastAsia"/>
          <w:b/>
          <w:bCs/>
        </w:rPr>
      </w:pPr>
      <w:bookmarkStart w:id="6" w:name="_Toc8165"/>
      <w:r>
        <w:rPr>
          <w:rFonts w:hint="eastAsia"/>
          <w:b/>
          <w:bCs/>
        </w:rPr>
        <w:t>4.1、招标文件的获取采用先递交投标登记资料再获取的方式。</w:t>
      </w:r>
      <w:bookmarkEnd w:id="6"/>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b/>
          <w:bCs/>
          <w:caps w:val="0"/>
          <w:color w:val="auto"/>
        </w:rPr>
      </w:pPr>
      <w:r>
        <w:rPr>
          <w:rFonts w:hint="eastAsia" w:ascii="Times New Roman" w:hAnsi="Times New Roman" w:eastAsia="宋体" w:cs="宋体"/>
          <w:b/>
          <w:bCs/>
          <w:caps w:val="0"/>
          <w:color w:val="auto"/>
        </w:rPr>
        <w:t>招标公告日期：</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15</w:t>
      </w:r>
      <w:r>
        <w:rPr>
          <w:rFonts w:hint="eastAsia" w:ascii="Times New Roman" w:hAnsi="Times New Roman" w:eastAsia="宋体" w:cs="宋体"/>
          <w:b/>
          <w:bCs/>
          <w:caps w:val="0"/>
          <w:color w:val="auto"/>
          <w:u w:val="single"/>
        </w:rPr>
        <w:t>日起-</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22</w:t>
      </w:r>
      <w:r>
        <w:rPr>
          <w:rFonts w:hint="eastAsia" w:ascii="Times New Roman" w:hAnsi="Times New Roman" w:eastAsia="宋体" w:cs="宋体"/>
          <w:b/>
          <w:bCs/>
          <w:caps w:val="0"/>
          <w:color w:val="auto"/>
          <w:u w:val="single"/>
        </w:rPr>
        <w:t>日止；</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b/>
          <w:bCs/>
          <w:caps w:val="0"/>
          <w:color w:val="auto"/>
          <w:u w:val="single"/>
        </w:rPr>
      </w:pPr>
      <w:r>
        <w:rPr>
          <w:rFonts w:hint="eastAsia" w:ascii="Times New Roman" w:hAnsi="Times New Roman" w:eastAsia="宋体" w:cs="宋体"/>
          <w:b/>
          <w:bCs/>
          <w:caps w:val="0"/>
          <w:color w:val="auto"/>
        </w:rPr>
        <w:t>递交投标登记资料时间：</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18</w:t>
      </w:r>
      <w:r>
        <w:rPr>
          <w:rFonts w:hint="eastAsia" w:ascii="Times New Roman" w:hAnsi="Times New Roman" w:eastAsia="宋体" w:cs="宋体"/>
          <w:b/>
          <w:bCs/>
          <w:caps w:val="0"/>
          <w:color w:val="auto"/>
          <w:u w:val="single"/>
        </w:rPr>
        <w:t>日</w:t>
      </w:r>
      <w:r>
        <w:rPr>
          <w:rFonts w:hint="eastAsia" w:ascii="Times New Roman" w:hAnsi="Times New Roman" w:eastAsia="宋体" w:cs="宋体"/>
          <w:b/>
          <w:bCs/>
          <w:caps w:val="0"/>
          <w:color w:val="auto"/>
          <w:u w:val="single"/>
          <w:lang w:val="en-US" w:eastAsia="zh-CN"/>
        </w:rPr>
        <w:t>至</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22</w:t>
      </w:r>
      <w:r>
        <w:rPr>
          <w:rFonts w:hint="eastAsia" w:ascii="Times New Roman" w:hAnsi="Times New Roman" w:eastAsia="宋体" w:cs="宋体"/>
          <w:b/>
          <w:bCs/>
          <w:caps w:val="0"/>
          <w:color w:val="auto"/>
          <w:u w:val="single"/>
        </w:rPr>
        <w:t>日，上午09:30-11:30,下午14:00-16:00。（北京时间）。</w:t>
      </w:r>
      <w:bookmarkStart w:id="27" w:name="_GoBack"/>
      <w:bookmarkEnd w:id="27"/>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b w:val="0"/>
          <w:bCs w:val="0"/>
          <w:caps w:val="0"/>
          <w:color w:val="auto"/>
        </w:rPr>
      </w:pPr>
      <w:r>
        <w:rPr>
          <w:rFonts w:hint="eastAsia" w:ascii="Times New Roman" w:hAnsi="Times New Roman" w:eastAsia="宋体" w:cs="宋体"/>
          <w:b w:val="0"/>
          <w:bCs w:val="0"/>
          <w:caps w:val="0"/>
          <w:color w:val="auto"/>
        </w:rPr>
        <w:t>无论采取以下哪种投标登记方式，投标申请人在登记前应完成在广州公共资源交易中心的企业信息登记手续（参见广州公共资源交易中心官网的服务指引</w:t>
      </w:r>
      <w:r>
        <w:rPr>
          <w:rFonts w:hint="eastAsia" w:ascii="Times New Roman" w:hAnsi="Times New Roman" w:eastAsia="宋体" w:cs="宋体"/>
          <w:b w:val="0"/>
          <w:bCs w:val="0"/>
          <w:caps w:val="0"/>
          <w:color w:val="auto"/>
          <w:lang w:eastAsia="zh-CN"/>
        </w:rPr>
        <w:t>）</w:t>
      </w:r>
      <w:r>
        <w:rPr>
          <w:rFonts w:hint="eastAsia" w:ascii="Times New Roman" w:hAnsi="Times New Roman" w:eastAsia="宋体" w:cs="宋体"/>
          <w:b w:val="0"/>
          <w:bCs w:val="0"/>
          <w:caps w:val="0"/>
          <w:color w:val="auto"/>
        </w:rPr>
        <w:t>，且必须同时按本公告后附的格式和要求提交登记文件后方可登记，否则将由投标申请人自行负责投标登记不成功的后果。</w:t>
      </w:r>
    </w:p>
    <w:p>
      <w:pPr>
        <w:pageBreakBefore w:val="0"/>
        <w:widowControl/>
        <w:tabs>
          <w:tab w:val="left" w:pos="360"/>
        </w:tabs>
        <w:kinsoku/>
        <w:topLinePunct/>
        <w:bidi w:val="0"/>
        <w:spacing w:before="157" w:beforeLines="50" w:line="360" w:lineRule="auto"/>
        <w:rPr>
          <w:rFonts w:hint="eastAsia" w:ascii="Times New Roman" w:hAnsi="Times New Roman" w:eastAsia="宋体" w:cs="宋体"/>
          <w:b/>
          <w:bCs/>
          <w:caps w:val="0"/>
          <w:color w:val="auto"/>
          <w:sz w:val="21"/>
          <w:szCs w:val="24"/>
        </w:rPr>
      </w:pPr>
      <w:r>
        <w:rPr>
          <w:rFonts w:hint="eastAsia" w:ascii="Times New Roman" w:hAnsi="Times New Roman" w:eastAsia="宋体" w:cs="宋体"/>
          <w:b/>
          <w:bCs/>
          <w:caps w:val="0"/>
          <w:color w:val="auto"/>
          <w:sz w:val="21"/>
          <w:szCs w:val="24"/>
        </w:rPr>
        <w:t>递交投标登记资料方式：</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b/>
          <w:bCs/>
          <w:caps w:val="0"/>
          <w:color w:val="auto"/>
        </w:rPr>
      </w:pPr>
      <w:r>
        <w:rPr>
          <w:rFonts w:hint="eastAsia" w:ascii="Times New Roman" w:hAnsi="Times New Roman" w:eastAsia="宋体" w:cs="宋体"/>
          <w:b/>
          <w:bCs/>
          <w:caps w:val="0"/>
          <w:color w:val="auto"/>
        </w:rPr>
        <w:t>投标登记方式1：</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派员到以下地点现场递交。投标申请人在登记前应完成在广州公共资源交易中心的企业信息登记，且同时按本公告后附的格式和要求在投标登记截止时间之前递交。</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地点：广州市天润路333号广州公共资源交易中心，具体接受登记的窗口见交易中心电子信息屏幕或网站上的安排。受疫情影响，建议投标申请人用方式2线上递交投标登记资料。</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b/>
          <w:bCs/>
          <w:caps w:val="0"/>
          <w:color w:val="auto"/>
          <w:sz w:val="24"/>
          <w:szCs w:val="32"/>
        </w:rPr>
      </w:pPr>
      <w:r>
        <w:rPr>
          <w:rFonts w:hint="eastAsia" w:ascii="Times New Roman" w:hAnsi="Times New Roman" w:eastAsia="宋体" w:cs="宋体"/>
          <w:b/>
          <w:bCs/>
          <w:caps w:val="0"/>
          <w:color w:val="auto"/>
          <w:sz w:val="24"/>
          <w:szCs w:val="32"/>
        </w:rPr>
        <w:t>投标登记方式2（推荐）：</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本项目可以采用电子文件的形式递交投标登记资料（请于在递交投标登记资料截止时间之前，将完整的《附件1投标登记申请表》发送至邮箱liuhuan@ebidding.com或直接上传至新国e平台（new.ebidding.com， 递交投标登记表资料步骤：</w:t>
      </w:r>
      <w:r>
        <w:rPr>
          <w:rFonts w:hint="eastAsia" w:ascii="Times New Roman" w:hAnsi="Times New Roman" w:eastAsia="宋体" w:cs="宋体"/>
          <w:b w:val="0"/>
          <w:bCs w:val="0"/>
          <w:i/>
          <w:iCs/>
          <w:caps w:val="0"/>
          <w:color w:val="auto"/>
          <w:sz w:val="20"/>
          <w:szCs w:val="22"/>
        </w:rPr>
        <w:t>“项目管理”-“我要参与”，“搜索框”处输入项目编号或项目名称进行查找，在列表中选择需要参与的项目，点击“立即参与”，点击“我的项目”，在列表中选择相应的项目，点击“申请材料递交”）</w:t>
      </w:r>
      <w:r>
        <w:rPr>
          <w:rFonts w:hint="eastAsia" w:ascii="Times New Roman" w:hAnsi="Times New Roman" w:eastAsia="宋体" w:cs="宋体"/>
          <w:b w:val="0"/>
          <w:bCs w:val="0"/>
          <w:caps w:val="0"/>
          <w:color w:val="auto"/>
        </w:rPr>
        <w:t>，</w:t>
      </w:r>
      <w:r>
        <w:rPr>
          <w:rFonts w:hint="eastAsia" w:ascii="Times New Roman" w:hAnsi="Times New Roman" w:eastAsia="宋体" w:cs="宋体"/>
          <w:caps w:val="0"/>
          <w:color w:val="auto"/>
        </w:rPr>
        <w:t>否则请在递交投标登记资料时间内按照投标登记方式1到广州公共资源交易中心现场提交纸质资料），邮件中须注明单位名称以及项目名称。</w:t>
      </w:r>
    </w:p>
    <w:p>
      <w:pPr>
        <w:pageBreakBefore w:val="0"/>
        <w:kinsoku/>
        <w:bidi w:val="0"/>
        <w:spacing w:before="157" w:beforeLines="50"/>
        <w:ind w:firstLine="420" w:firstLineChars="200"/>
        <w:rPr>
          <w:rFonts w:hint="eastAsia"/>
        </w:rPr>
      </w:pPr>
      <w:bookmarkStart w:id="7" w:name="_Toc20430"/>
      <w:r>
        <w:rPr>
          <w:rFonts w:hint="eastAsia"/>
        </w:rPr>
        <w:t>4.</w:t>
      </w:r>
      <w:r>
        <w:rPr>
          <w:rFonts w:hint="eastAsia"/>
          <w:lang w:val="en-US" w:eastAsia="zh-CN"/>
        </w:rPr>
        <w:t>2</w:t>
      </w:r>
      <w:r>
        <w:rPr>
          <w:rFonts w:hint="eastAsia"/>
        </w:rPr>
        <w:t>、“国e平台”的程序及要求</w:t>
      </w:r>
      <w:r>
        <w:rPr>
          <w:rFonts w:hint="eastAsia"/>
          <w:lang w:eastAsia="zh-CN"/>
        </w:rPr>
        <w:t>（</w:t>
      </w:r>
      <w:r>
        <w:rPr>
          <w:rFonts w:hint="eastAsia"/>
          <w:lang w:val="en-US" w:eastAsia="zh-CN"/>
        </w:rPr>
        <w:t>投标登记时需要操作</w:t>
      </w:r>
      <w:r>
        <w:rPr>
          <w:rFonts w:hint="eastAsia"/>
          <w:lang w:eastAsia="zh-CN"/>
        </w:rPr>
        <w:t>）</w:t>
      </w:r>
      <w:r>
        <w:rPr>
          <w:rFonts w:hint="eastAsia"/>
        </w:rPr>
        <w:t>：</w:t>
      </w:r>
      <w:bookmarkEnd w:id="7"/>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b/>
          <w:bCs/>
          <w:caps w:val="0"/>
          <w:color w:val="auto"/>
        </w:rPr>
        <w:t>（1）登陆国e招标采购平台（简称“国e平台”</w:t>
      </w:r>
      <w:r>
        <w:rPr>
          <w:rFonts w:hint="eastAsia" w:ascii="Times New Roman" w:hAnsi="Times New Roman" w:eastAsia="宋体" w:cs="宋体"/>
          <w:caps w:val="0"/>
          <w:color w:val="auto"/>
        </w:rPr>
        <w:t>，网址：www.ebidding.com），按要求办妥注册手续。注：有关国e平台操作疑问咨询请联系国e平台客服/国义招标电子商务推广部（有关国e平台操作疑问可咨询：叶韵诗：yeyunshi@ebidding.com（电话：020-37860669）、叶海恋：yehailian@ebidding.com（电话：020-37860671）、李冰：lb@ebidding.com（电话：020-37860665））。</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b/>
          <w:bCs/>
          <w:caps w:val="0"/>
          <w:color w:val="auto"/>
        </w:rPr>
        <w:t>（</w:t>
      </w:r>
      <w:r>
        <w:rPr>
          <w:rFonts w:hint="eastAsia" w:ascii="Times New Roman" w:hAnsi="Times New Roman" w:eastAsia="宋体" w:cs="宋体"/>
          <w:b/>
          <w:bCs/>
          <w:caps w:val="0"/>
          <w:color w:val="auto"/>
          <w:lang w:val="en-US" w:eastAsia="zh-CN"/>
        </w:rPr>
        <w:t>2</w:t>
      </w:r>
      <w:r>
        <w:rPr>
          <w:rFonts w:hint="eastAsia" w:ascii="Times New Roman" w:hAnsi="Times New Roman" w:eastAsia="宋体" w:cs="宋体"/>
          <w:b/>
          <w:bCs/>
          <w:caps w:val="0"/>
          <w:color w:val="auto"/>
        </w:rPr>
        <w:t>）招标文件的获取：</w:t>
      </w:r>
      <w:r>
        <w:rPr>
          <w:rFonts w:hint="eastAsia" w:ascii="Times New Roman" w:hAnsi="Times New Roman" w:eastAsia="宋体" w:cs="宋体"/>
          <w:caps w:val="0"/>
          <w:color w:val="auto"/>
        </w:rPr>
        <w:t>接招标代理通知或待国e平台的状态更新为“通过”后，登录国e平台完成电子招标文件的获取及付款程序（注意：本次招标仅提供电子招标文件）。</w:t>
      </w:r>
    </w:p>
    <w:p>
      <w:pPr>
        <w:pageBreakBefore w:val="0"/>
        <w:widowControl/>
        <w:tabs>
          <w:tab w:val="left" w:pos="360"/>
        </w:tabs>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b/>
          <w:bCs/>
          <w:caps w:val="0"/>
          <w:color w:val="auto"/>
        </w:rPr>
        <w:t>招标文件获取时间：</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18</w:t>
      </w:r>
      <w:r>
        <w:rPr>
          <w:rFonts w:hint="eastAsia" w:ascii="Times New Roman" w:hAnsi="Times New Roman" w:eastAsia="宋体" w:cs="宋体"/>
          <w:b/>
          <w:bCs/>
          <w:caps w:val="0"/>
          <w:color w:val="auto"/>
          <w:u w:val="single"/>
        </w:rPr>
        <w:t>日起，至</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03</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22</w:t>
      </w:r>
      <w:r>
        <w:rPr>
          <w:rFonts w:hint="eastAsia" w:ascii="Times New Roman" w:hAnsi="Times New Roman" w:eastAsia="宋体" w:cs="宋体"/>
          <w:b/>
          <w:bCs/>
          <w:caps w:val="0"/>
          <w:color w:val="auto"/>
          <w:u w:val="single"/>
        </w:rPr>
        <w:t>日</w:t>
      </w:r>
      <w:r>
        <w:rPr>
          <w:rFonts w:hint="eastAsia" w:cs="宋体"/>
          <w:b/>
          <w:bCs/>
          <w:caps w:val="0"/>
          <w:color w:val="auto"/>
          <w:u w:val="single"/>
          <w:lang w:val="en-US" w:eastAsia="zh-CN"/>
        </w:rPr>
        <w:t>23</w:t>
      </w:r>
      <w:r>
        <w:rPr>
          <w:rFonts w:hint="eastAsia" w:ascii="Times New Roman" w:hAnsi="Times New Roman" w:eastAsia="宋体" w:cs="宋体"/>
          <w:b/>
          <w:bCs/>
          <w:caps w:val="0"/>
          <w:color w:val="auto"/>
          <w:u w:val="single"/>
        </w:rPr>
        <w:t>时</w:t>
      </w:r>
      <w:r>
        <w:rPr>
          <w:rFonts w:hint="eastAsia" w:cs="宋体"/>
          <w:b/>
          <w:bCs/>
          <w:caps w:val="0"/>
          <w:color w:val="auto"/>
          <w:u w:val="single"/>
          <w:lang w:val="en-US" w:eastAsia="zh-CN"/>
        </w:rPr>
        <w:t>59</w:t>
      </w:r>
      <w:r>
        <w:rPr>
          <w:rFonts w:hint="eastAsia" w:ascii="Times New Roman" w:hAnsi="Times New Roman" w:eastAsia="宋体" w:cs="宋体"/>
          <w:b/>
          <w:bCs/>
          <w:caps w:val="0"/>
          <w:color w:val="auto"/>
          <w:u w:val="single"/>
        </w:rPr>
        <w:t>分止，电子招标文件售价</w:t>
      </w:r>
      <w:r>
        <w:rPr>
          <w:rFonts w:hint="eastAsia" w:ascii="Times New Roman" w:hAnsi="Times New Roman" w:eastAsia="宋体" w:cs="宋体"/>
          <w:b/>
          <w:bCs/>
          <w:caps w:val="0"/>
          <w:color w:val="auto"/>
          <w:u w:val="single"/>
          <w:lang w:val="en-US" w:eastAsia="zh-CN"/>
        </w:rPr>
        <w:t>详见平台</w:t>
      </w:r>
      <w:r>
        <w:rPr>
          <w:rFonts w:hint="eastAsia" w:ascii="Times New Roman" w:hAnsi="Times New Roman" w:eastAsia="宋体" w:cs="宋体"/>
          <w:b/>
          <w:bCs/>
          <w:caps w:val="0"/>
          <w:color w:val="auto"/>
          <w:u w:val="single"/>
        </w:rPr>
        <w:t>，售后不退。</w:t>
      </w:r>
    </w:p>
    <w:p>
      <w:pPr>
        <w:pageBreakBefore w:val="0"/>
        <w:widowControl/>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具体步骤：①登陆后选择“文件管理”-“招标文件购买”，选择对应项目生成订单；②通过选择网上支付方式完成购买手续。③下载电子发票。电子发票一般是订单支付完成后48小时内开具，格式为不可修改的PDF格式。详询请致电国e平台工作人员。</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bookmarkStart w:id="8" w:name="_Toc1233"/>
      <w:bookmarkStart w:id="9" w:name="_Toc27110"/>
      <w:bookmarkStart w:id="10" w:name="_Toc9666"/>
      <w:bookmarkStart w:id="11" w:name="_Toc2298"/>
      <w:bookmarkStart w:id="12" w:name="_Toc3265"/>
      <w:bookmarkStart w:id="13" w:name="_Toc3344"/>
      <w:r>
        <w:rPr>
          <w:rFonts w:hint="eastAsia" w:ascii="Times New Roman" w:hAnsi="Times New Roman" w:eastAsia="宋体" w:cs="宋体"/>
          <w:b/>
          <w:bCs/>
          <w:caps w:val="0"/>
          <w:color w:val="auto"/>
          <w:kern w:val="0"/>
          <w:sz w:val="24"/>
          <w:szCs w:val="21"/>
        </w:rPr>
        <w:t>5．投标截止时间、交标地点及开标时间地点：</w:t>
      </w:r>
      <w:bookmarkEnd w:id="8"/>
      <w:bookmarkEnd w:id="9"/>
      <w:bookmarkEnd w:id="10"/>
      <w:bookmarkEnd w:id="11"/>
      <w:bookmarkEnd w:id="12"/>
      <w:bookmarkEnd w:id="13"/>
    </w:p>
    <w:p>
      <w:pPr>
        <w:pageBreakBefore w:val="0"/>
        <w:widowControl/>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5.1、</w:t>
      </w:r>
      <w:r>
        <w:rPr>
          <w:rFonts w:hint="eastAsia" w:ascii="Times New Roman" w:hAnsi="Times New Roman" w:eastAsia="宋体" w:cs="宋体"/>
          <w:b/>
          <w:bCs/>
          <w:caps w:val="0"/>
          <w:color w:val="auto"/>
          <w:u w:val="single"/>
        </w:rPr>
        <w:t>投标截止：投标截止时间为</w:t>
      </w:r>
      <w:r>
        <w:rPr>
          <w:rFonts w:hint="eastAsia" w:ascii="Times New Roman" w:hAnsi="Times New Roman" w:eastAsia="宋体" w:cs="宋体"/>
          <w:b/>
          <w:bCs/>
          <w:caps w:val="0"/>
          <w:color w:val="auto"/>
          <w:u w:val="single"/>
          <w:lang w:eastAsia="zh-CN"/>
        </w:rPr>
        <w:t>2024</w:t>
      </w:r>
      <w:r>
        <w:rPr>
          <w:rFonts w:hint="eastAsia" w:ascii="Times New Roman" w:hAnsi="Times New Roman" w:eastAsia="宋体" w:cs="宋体"/>
          <w:b/>
          <w:bCs/>
          <w:caps w:val="0"/>
          <w:color w:val="auto"/>
          <w:u w:val="single"/>
        </w:rPr>
        <w:t>年</w:t>
      </w:r>
      <w:r>
        <w:rPr>
          <w:rFonts w:hint="eastAsia" w:cs="宋体"/>
          <w:b/>
          <w:bCs/>
          <w:caps w:val="0"/>
          <w:color w:val="auto"/>
          <w:u w:val="single"/>
          <w:lang w:val="en-US" w:eastAsia="zh-CN"/>
        </w:rPr>
        <w:t>04</w:t>
      </w:r>
      <w:r>
        <w:rPr>
          <w:rFonts w:hint="eastAsia" w:ascii="Times New Roman" w:hAnsi="Times New Roman" w:eastAsia="宋体" w:cs="宋体"/>
          <w:b/>
          <w:bCs/>
          <w:caps w:val="0"/>
          <w:color w:val="auto"/>
          <w:u w:val="single"/>
        </w:rPr>
        <w:t>月</w:t>
      </w:r>
      <w:r>
        <w:rPr>
          <w:rFonts w:hint="eastAsia" w:cs="宋体"/>
          <w:b/>
          <w:bCs/>
          <w:caps w:val="0"/>
          <w:color w:val="auto"/>
          <w:u w:val="single"/>
          <w:lang w:val="en-US" w:eastAsia="zh-CN"/>
        </w:rPr>
        <w:t>09</w:t>
      </w:r>
      <w:r>
        <w:rPr>
          <w:rFonts w:hint="eastAsia" w:ascii="Times New Roman" w:hAnsi="Times New Roman" w:eastAsia="宋体" w:cs="宋体"/>
          <w:b/>
          <w:bCs/>
          <w:caps w:val="0"/>
          <w:color w:val="auto"/>
          <w:u w:val="single"/>
        </w:rPr>
        <w:t>日</w:t>
      </w:r>
      <w:r>
        <w:rPr>
          <w:rFonts w:hint="eastAsia" w:cs="宋体"/>
          <w:b/>
          <w:bCs/>
          <w:caps w:val="0"/>
          <w:color w:val="auto"/>
          <w:u w:val="single"/>
          <w:lang w:val="en-US" w:eastAsia="zh-CN"/>
        </w:rPr>
        <w:t>10</w:t>
      </w:r>
      <w:r>
        <w:rPr>
          <w:rFonts w:hint="eastAsia" w:ascii="Times New Roman" w:hAnsi="Times New Roman" w:eastAsia="宋体" w:cs="宋体"/>
          <w:b/>
          <w:bCs/>
          <w:caps w:val="0"/>
          <w:color w:val="auto"/>
          <w:u w:val="single"/>
        </w:rPr>
        <w:t>时</w:t>
      </w:r>
      <w:r>
        <w:rPr>
          <w:rFonts w:hint="eastAsia" w:cs="宋体"/>
          <w:b/>
          <w:bCs/>
          <w:caps w:val="0"/>
          <w:color w:val="auto"/>
          <w:u w:val="single"/>
          <w:lang w:val="en-US" w:eastAsia="zh-CN"/>
        </w:rPr>
        <w:t>00</w:t>
      </w:r>
      <w:r>
        <w:rPr>
          <w:rFonts w:hint="eastAsia" w:ascii="Times New Roman" w:hAnsi="Times New Roman" w:eastAsia="宋体" w:cs="宋体"/>
          <w:b/>
          <w:bCs/>
          <w:caps w:val="0"/>
          <w:color w:val="auto"/>
          <w:u w:val="single"/>
        </w:rPr>
        <w:t>分（北京时间）；</w:t>
      </w:r>
      <w:r>
        <w:rPr>
          <w:rFonts w:hint="eastAsia" w:ascii="Times New Roman" w:hAnsi="Times New Roman" w:eastAsia="宋体" w:cs="宋体"/>
          <w:b/>
          <w:bCs/>
          <w:caps w:val="0"/>
          <w:color w:val="auto"/>
        </w:rPr>
        <w:t>投标人应于</w:t>
      </w:r>
      <w:r>
        <w:rPr>
          <w:rFonts w:hint="eastAsia" w:ascii="Times New Roman" w:hAnsi="Times New Roman" w:eastAsia="宋体" w:cs="宋体"/>
          <w:b/>
          <w:bCs/>
          <w:caps w:val="0"/>
          <w:color w:val="auto"/>
          <w:u w:val="single"/>
        </w:rPr>
        <w:t>当日</w:t>
      </w:r>
      <w:r>
        <w:rPr>
          <w:rFonts w:hint="eastAsia" w:cs="宋体"/>
          <w:b/>
          <w:bCs/>
          <w:caps w:val="0"/>
          <w:color w:val="auto"/>
          <w:u w:val="single"/>
          <w:lang w:val="en-US" w:eastAsia="zh-CN"/>
        </w:rPr>
        <w:t>09</w:t>
      </w:r>
      <w:r>
        <w:rPr>
          <w:rFonts w:hint="eastAsia" w:ascii="Times New Roman" w:hAnsi="Times New Roman" w:eastAsia="宋体" w:cs="宋体"/>
          <w:b/>
          <w:bCs/>
          <w:caps w:val="0"/>
          <w:color w:val="auto"/>
          <w:u w:val="single"/>
        </w:rPr>
        <w:t>时</w:t>
      </w:r>
      <w:r>
        <w:rPr>
          <w:rFonts w:hint="eastAsia" w:cs="宋体"/>
          <w:b/>
          <w:bCs/>
          <w:caps w:val="0"/>
          <w:color w:val="auto"/>
          <w:u w:val="single"/>
          <w:lang w:val="en-US" w:eastAsia="zh-CN"/>
        </w:rPr>
        <w:t>30</w:t>
      </w:r>
      <w:r>
        <w:rPr>
          <w:rFonts w:hint="eastAsia" w:ascii="Times New Roman" w:hAnsi="Times New Roman" w:eastAsia="宋体" w:cs="宋体"/>
          <w:b/>
          <w:bCs/>
          <w:caps w:val="0"/>
          <w:color w:val="auto"/>
          <w:u w:val="single"/>
        </w:rPr>
        <w:t>分至</w:t>
      </w:r>
      <w:r>
        <w:rPr>
          <w:rFonts w:hint="eastAsia" w:cs="宋体"/>
          <w:b/>
          <w:bCs/>
          <w:caps w:val="0"/>
          <w:color w:val="auto"/>
          <w:u w:val="single"/>
          <w:lang w:val="en-US" w:eastAsia="zh-CN"/>
        </w:rPr>
        <w:t>10</w:t>
      </w:r>
      <w:r>
        <w:rPr>
          <w:rFonts w:hint="eastAsia" w:ascii="Times New Roman" w:hAnsi="Times New Roman" w:eastAsia="宋体" w:cs="宋体"/>
          <w:b/>
          <w:bCs/>
          <w:caps w:val="0"/>
          <w:color w:val="auto"/>
          <w:u w:val="single"/>
        </w:rPr>
        <w:t>时</w:t>
      </w:r>
      <w:r>
        <w:rPr>
          <w:rFonts w:hint="eastAsia" w:cs="宋体"/>
          <w:b/>
          <w:bCs/>
          <w:caps w:val="0"/>
          <w:color w:val="auto"/>
          <w:u w:val="single"/>
          <w:lang w:val="en-US" w:eastAsia="zh-CN"/>
        </w:rPr>
        <w:t>00</w:t>
      </w:r>
      <w:r>
        <w:rPr>
          <w:rFonts w:hint="eastAsia" w:ascii="Times New Roman" w:hAnsi="Times New Roman" w:eastAsia="宋体" w:cs="宋体"/>
          <w:b/>
          <w:bCs/>
          <w:caps w:val="0"/>
          <w:color w:val="auto"/>
          <w:u w:val="single"/>
        </w:rPr>
        <w:t>分</w:t>
      </w:r>
      <w:r>
        <w:rPr>
          <w:rFonts w:hint="eastAsia" w:ascii="Times New Roman" w:hAnsi="Times New Roman" w:eastAsia="宋体" w:cs="宋体"/>
          <w:b/>
          <w:bCs/>
          <w:caps w:val="0"/>
          <w:color w:val="auto"/>
        </w:rPr>
        <w:t>将投标文件递交至指定地点，逾期送达的、未送达指定地点的或不按照招标文件要求密封的投标文件，招标人将予以拒收。</w:t>
      </w:r>
    </w:p>
    <w:p>
      <w:pPr>
        <w:pageBreakBefore w:val="0"/>
        <w:widowControl/>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5.2、</w:t>
      </w:r>
      <w:r>
        <w:rPr>
          <w:rFonts w:hint="eastAsia" w:ascii="Times New Roman" w:hAnsi="Times New Roman" w:eastAsia="宋体" w:cs="宋体"/>
          <w:b/>
          <w:bCs/>
          <w:caps w:val="0"/>
          <w:color w:val="auto"/>
        </w:rPr>
        <w:t>投标文件提交地点：</w:t>
      </w:r>
      <w:r>
        <w:rPr>
          <w:rFonts w:hint="eastAsia" w:ascii="Times New Roman" w:hAnsi="Times New Roman" w:eastAsia="宋体" w:cs="宋体"/>
          <w:b/>
          <w:bCs/>
          <w:caps w:val="0"/>
          <w:color w:val="auto"/>
          <w:u w:val="single"/>
        </w:rPr>
        <w:t>广州市天河区天润路333号广州公共资源交易中心 2 楼</w:t>
      </w:r>
      <w:r>
        <w:rPr>
          <w:rFonts w:hint="eastAsia" w:ascii="Times New Roman" w:hAnsi="Times New Roman" w:eastAsia="宋体" w:cs="宋体"/>
          <w:b/>
          <w:bCs/>
          <w:caps w:val="0"/>
          <w:color w:val="auto"/>
          <w:u w:val="single"/>
          <w:lang w:val="en-US" w:eastAsia="zh-CN"/>
        </w:rPr>
        <w:t xml:space="preserve"> </w:t>
      </w:r>
      <w:r>
        <w:rPr>
          <w:rFonts w:hint="eastAsia" w:cs="宋体"/>
          <w:b/>
          <w:bCs/>
          <w:caps w:val="0"/>
          <w:color w:val="auto"/>
          <w:u w:val="single"/>
          <w:lang w:val="en-US" w:eastAsia="zh-CN"/>
        </w:rPr>
        <w:t>5</w:t>
      </w:r>
      <w:r>
        <w:rPr>
          <w:rFonts w:hint="eastAsia" w:ascii="Times New Roman" w:hAnsi="Times New Roman" w:eastAsia="宋体" w:cs="宋体"/>
          <w:b/>
          <w:bCs/>
          <w:caps w:val="0"/>
          <w:color w:val="auto"/>
          <w:u w:val="single"/>
        </w:rPr>
        <w:t>开标室。</w:t>
      </w:r>
      <w:r>
        <w:rPr>
          <w:rFonts w:hint="eastAsia" w:ascii="Times New Roman" w:hAnsi="Times New Roman" w:eastAsia="宋体" w:cs="宋体"/>
          <w:caps w:val="0"/>
          <w:color w:val="auto"/>
        </w:rPr>
        <w:t>（具体请进入广州公共资源交易中心网站“日程安排”查询）。请投标人授权代表届时出席。</w:t>
      </w:r>
    </w:p>
    <w:p>
      <w:pPr>
        <w:pageBreakBefore w:val="0"/>
        <w:widowControl/>
        <w:kinsoku/>
        <w:topLinePunct/>
        <w:bidi w:val="0"/>
        <w:spacing w:before="157" w:beforeLines="50" w:line="360" w:lineRule="auto"/>
        <w:ind w:firstLine="424"/>
        <w:rPr>
          <w:rFonts w:hint="eastAsia" w:ascii="Times New Roman" w:hAnsi="Times New Roman" w:eastAsia="宋体" w:cs="宋体"/>
          <w:caps w:val="0"/>
          <w:color w:val="auto"/>
        </w:rPr>
      </w:pPr>
      <w:r>
        <w:rPr>
          <w:rFonts w:hint="eastAsia" w:ascii="Times New Roman" w:hAnsi="Times New Roman" w:eastAsia="宋体" w:cs="宋体"/>
          <w:caps w:val="0"/>
          <w:color w:val="auto"/>
        </w:rPr>
        <w:t>5.3、开标：开标时间同投标截止时间；开标地点同投标文件提交地点。</w:t>
      </w:r>
    </w:p>
    <w:p>
      <w:pPr>
        <w:pageBreakBefore w:val="0"/>
        <w:kinsoku/>
        <w:bidi w:val="0"/>
        <w:spacing w:before="157" w:beforeLines="50"/>
        <w:ind w:firstLine="420" w:firstLineChars="200"/>
        <w:rPr>
          <w:rFonts w:hint="eastAsia"/>
        </w:rPr>
      </w:pPr>
      <w:bookmarkStart w:id="14" w:name="_Toc3508"/>
      <w:r>
        <w:rPr>
          <w:rFonts w:hint="eastAsia"/>
        </w:rPr>
        <w:t>5.4、招标人不组织进行工程现场踏勘，不召开投标预备会。</w:t>
      </w:r>
      <w:bookmarkEnd w:id="14"/>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bookmarkStart w:id="15" w:name="_Toc29038"/>
      <w:bookmarkStart w:id="16" w:name="_Toc3579"/>
      <w:bookmarkStart w:id="17" w:name="_Toc27152"/>
      <w:bookmarkStart w:id="18" w:name="_Toc7720"/>
      <w:bookmarkStart w:id="19" w:name="_Toc21883"/>
      <w:bookmarkStart w:id="20" w:name="_Toc1372"/>
      <w:r>
        <w:rPr>
          <w:rFonts w:hint="eastAsia" w:ascii="Times New Roman" w:hAnsi="Times New Roman" w:eastAsia="宋体" w:cs="宋体"/>
          <w:b/>
          <w:bCs/>
          <w:caps w:val="0"/>
          <w:color w:val="auto"/>
          <w:kern w:val="0"/>
          <w:sz w:val="24"/>
          <w:szCs w:val="21"/>
        </w:rPr>
        <w:t>6．发布公告的媒介</w:t>
      </w:r>
      <w:bookmarkEnd w:id="15"/>
      <w:bookmarkEnd w:id="16"/>
      <w:bookmarkEnd w:id="17"/>
      <w:bookmarkEnd w:id="18"/>
      <w:bookmarkEnd w:id="19"/>
      <w:bookmarkEnd w:id="20"/>
    </w:p>
    <w:p>
      <w:pPr>
        <w:pageBreakBefore w:val="0"/>
        <w:widowControl/>
        <w:kinsoku/>
        <w:topLinePunct/>
        <w:bidi w:val="0"/>
        <w:spacing w:before="157" w:beforeLines="50" w:line="360" w:lineRule="auto"/>
        <w:ind w:firstLine="420"/>
        <w:rPr>
          <w:rFonts w:hint="eastAsia" w:ascii="Times New Roman" w:hAnsi="Times New Roman" w:eastAsia="宋体" w:cs="宋体"/>
          <w:caps w:val="0"/>
          <w:color w:val="auto"/>
        </w:rPr>
      </w:pPr>
      <w:r>
        <w:rPr>
          <w:rFonts w:hint="eastAsia" w:ascii="Times New Roman" w:hAnsi="Times New Roman" w:eastAsia="宋体" w:cs="宋体"/>
          <w:caps w:val="0"/>
          <w:color w:val="auto"/>
        </w:rPr>
        <w:t>本次招标的相关事宜及信息的发布：本次招标公告同时在广州公共资源交易中心网平台www.gzggzy.cn、国义招标股份有限公司（国e招标采购平台）www.ebidding.com、中国招标投标公共服务平台www.cebpubservice.com、等法定平台上发布。法定平台之间按《招标公告和公示信息发布管理办法》（简称10号令）和《招标公告和公示数据接口规范》等相关规定对接交互本招标公告内容。如有不一致以广州公共资源交易中心网平台为准。</w:t>
      </w:r>
    </w:p>
    <w:p>
      <w:pPr>
        <w:pageBreakBefore w:val="0"/>
        <w:widowControl/>
        <w:kinsoku/>
        <w:topLinePunct/>
        <w:bidi w:val="0"/>
        <w:spacing w:before="157" w:beforeLines="50" w:line="360" w:lineRule="auto"/>
        <w:ind w:firstLine="420"/>
        <w:rPr>
          <w:rFonts w:hint="eastAsia" w:ascii="Times New Roman" w:hAnsi="Times New Roman" w:eastAsia="宋体" w:cs="宋体"/>
          <w:caps w:val="0"/>
          <w:color w:val="auto"/>
        </w:rPr>
      </w:pPr>
      <w:r>
        <w:rPr>
          <w:rFonts w:hint="eastAsia" w:ascii="Times New Roman" w:hAnsi="Times New Roman" w:eastAsia="宋体" w:cs="宋体"/>
          <w:caps w:val="0"/>
          <w:color w:val="auto"/>
        </w:rPr>
        <w:t>注：投标人的授权代表或联系人应经常留意并检查投标购买申请表中所登记的电子邮箱，以便及时获取招标代理机构发出的项目相关通知等。</w:t>
      </w:r>
    </w:p>
    <w:p>
      <w:pPr>
        <w:pageBreakBefore w:val="0"/>
        <w:kinsoku/>
        <w:bidi w:val="0"/>
        <w:spacing w:before="157" w:beforeLines="50" w:line="360" w:lineRule="auto"/>
        <w:ind w:firstLine="480"/>
        <w:rPr>
          <w:rFonts w:hint="eastAsia" w:ascii="Times New Roman" w:hAnsi="Times New Roman" w:eastAsia="宋体" w:cs="宋体"/>
          <w:b/>
          <w:bCs/>
          <w:caps w:val="0"/>
          <w:color w:val="auto"/>
          <w:kern w:val="0"/>
          <w:sz w:val="24"/>
          <w:szCs w:val="21"/>
        </w:rPr>
      </w:pPr>
      <w:r>
        <w:rPr>
          <w:rFonts w:hint="eastAsia" w:ascii="Times New Roman" w:hAnsi="Times New Roman" w:eastAsia="宋体" w:cs="宋体"/>
          <w:caps w:val="0"/>
          <w:color w:val="auto"/>
          <w:szCs w:val="21"/>
        </w:rPr>
        <w:t>在规定的投标登记期间，投标登记并购买招标文件的投标人不足3家时，招标人依法有权选择以下任一方式：（1）在广州公共资源交易中心网站发布公告延长投标登记时间，在延期投标登记时间内，已投标登记投标人的资料仍有效并可自行补充资料，未投标登记的投标人可根据公告的约定进行投标登记；（2）依法重新组织招标或不再招标。</w:t>
      </w:r>
    </w:p>
    <w:p>
      <w:pPr>
        <w:pageBreakBefore w:val="0"/>
        <w:widowControl/>
        <w:kinsoku/>
        <w:topLinePunct/>
        <w:bidi w:val="0"/>
        <w:spacing w:before="157" w:beforeLines="50" w:line="360" w:lineRule="auto"/>
        <w:outlineLvl w:val="2"/>
        <w:rPr>
          <w:rFonts w:hint="eastAsia" w:ascii="Times New Roman" w:hAnsi="Times New Roman" w:eastAsia="宋体" w:cs="宋体"/>
          <w:b/>
          <w:bCs/>
          <w:caps w:val="0"/>
          <w:color w:val="auto"/>
          <w:kern w:val="0"/>
          <w:sz w:val="24"/>
          <w:szCs w:val="21"/>
        </w:rPr>
      </w:pPr>
      <w:bookmarkStart w:id="21" w:name="_Toc17459"/>
      <w:bookmarkStart w:id="22" w:name="_Toc22505"/>
      <w:bookmarkStart w:id="23" w:name="_Toc5888"/>
      <w:bookmarkStart w:id="24" w:name="_Toc5185"/>
      <w:bookmarkStart w:id="25" w:name="_Toc6989"/>
      <w:bookmarkStart w:id="26" w:name="_Toc29679"/>
      <w:r>
        <w:rPr>
          <w:rFonts w:hint="eastAsia" w:ascii="Times New Roman" w:hAnsi="Times New Roman" w:eastAsia="宋体" w:cs="宋体"/>
          <w:b/>
          <w:bCs/>
          <w:caps w:val="0"/>
          <w:color w:val="auto"/>
          <w:kern w:val="0"/>
          <w:sz w:val="24"/>
          <w:szCs w:val="21"/>
        </w:rPr>
        <w:t>7、联系方式</w:t>
      </w:r>
      <w:bookmarkEnd w:id="21"/>
      <w:bookmarkEnd w:id="22"/>
      <w:bookmarkEnd w:id="23"/>
      <w:bookmarkEnd w:id="24"/>
      <w:bookmarkEnd w:id="25"/>
      <w:bookmarkEnd w:id="26"/>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招标人：广东深汕高速公路东段有限公司</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地址：广东省汕头市濠江区河浦大道中段</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邮政编码：</w:t>
      </w:r>
      <w:r>
        <w:rPr>
          <w:rFonts w:ascii="Times New Roman" w:hAnsi="Times New Roman" w:eastAsia="宋体"/>
          <w:caps w:val="0"/>
          <w:color w:val="auto"/>
          <w:szCs w:val="21"/>
          <w:u w:val="none"/>
        </w:rPr>
        <w:t xml:space="preserve">515098   </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联系人：林小姐</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电话：</w:t>
      </w:r>
      <w:r>
        <w:rPr>
          <w:rFonts w:ascii="Times New Roman" w:hAnsi="Times New Roman" w:eastAsia="宋体"/>
          <w:caps w:val="0"/>
          <w:color w:val="auto"/>
          <w:szCs w:val="21"/>
          <w:u w:val="none"/>
        </w:rPr>
        <w:t>0754-87873157</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招标代理机构：国义招标股份有限公司</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招标代理地址：广州市东风东路</w:t>
      </w:r>
      <w:r>
        <w:rPr>
          <w:rFonts w:ascii="Times New Roman" w:hAnsi="Times New Roman" w:eastAsia="宋体"/>
          <w:caps w:val="0"/>
          <w:color w:val="auto"/>
          <w:szCs w:val="21"/>
          <w:u w:val="none"/>
        </w:rPr>
        <w:t>726号</w:t>
      </w:r>
    </w:p>
    <w:p>
      <w:pPr>
        <w:pageBreakBefore w:val="0"/>
        <w:kinsoku/>
        <w:topLinePunct/>
        <w:bidi w:val="0"/>
        <w:spacing w:before="157" w:beforeLines="50" w:line="360" w:lineRule="auto"/>
        <w:ind w:left="0" w:leftChars="0" w:firstLine="420" w:firstLineChars="200"/>
        <w:rPr>
          <w:rFonts w:ascii="Times New Roman" w:hAnsi="Times New Roman" w:eastAsia="宋体"/>
          <w:caps w:val="0"/>
          <w:color w:val="auto"/>
          <w:szCs w:val="21"/>
          <w:u w:val="none"/>
        </w:rPr>
      </w:pPr>
      <w:r>
        <w:rPr>
          <w:rFonts w:hint="eastAsia" w:ascii="Times New Roman" w:hAnsi="Times New Roman" w:eastAsia="宋体"/>
          <w:caps w:val="0"/>
          <w:color w:val="auto"/>
          <w:szCs w:val="21"/>
          <w:u w:val="none"/>
        </w:rPr>
        <w:t>邮政编码：</w:t>
      </w:r>
      <w:r>
        <w:rPr>
          <w:rFonts w:ascii="Times New Roman" w:hAnsi="Times New Roman" w:eastAsia="宋体"/>
          <w:caps w:val="0"/>
          <w:color w:val="auto"/>
          <w:szCs w:val="21"/>
          <w:u w:val="none"/>
        </w:rPr>
        <w:t>510030</w:t>
      </w:r>
    </w:p>
    <w:p>
      <w:pPr>
        <w:pageBreakBefore w:val="0"/>
        <w:tabs>
          <w:tab w:val="left" w:pos="500"/>
        </w:tabs>
        <w:kinsoku/>
        <w:bidi w:val="0"/>
        <w:spacing w:before="157" w:beforeLines="50" w:line="360" w:lineRule="auto"/>
        <w:ind w:left="0" w:leftChars="0" w:firstLine="420" w:firstLineChars="200"/>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rPr>
        <w:t>招标代理联系人：吴工、刘工</w:t>
      </w:r>
      <w:r>
        <w:rPr>
          <w:rFonts w:hint="eastAsia" w:ascii="Times New Roman" w:hAnsi="Times New Roman" w:eastAsia="宋体"/>
          <w:caps w:val="0"/>
          <w:color w:val="auto"/>
          <w:szCs w:val="21"/>
          <w:u w:val="none"/>
          <w:lang w:eastAsia="zh-CN"/>
        </w:rPr>
        <w:t>、</w:t>
      </w:r>
      <w:r>
        <w:rPr>
          <w:rFonts w:hint="eastAsia" w:ascii="Times New Roman" w:hAnsi="Times New Roman" w:eastAsia="宋体"/>
          <w:caps w:val="0"/>
          <w:color w:val="auto"/>
          <w:szCs w:val="21"/>
          <w:u w:val="none"/>
          <w:lang w:val="en-US" w:eastAsia="zh-CN"/>
        </w:rPr>
        <w:t>王工</w:t>
      </w:r>
    </w:p>
    <w:p>
      <w:pPr>
        <w:pageBreakBefore w:val="0"/>
        <w:tabs>
          <w:tab w:val="left" w:pos="500"/>
        </w:tabs>
        <w:kinsoku/>
        <w:bidi w:val="0"/>
        <w:spacing w:before="157" w:beforeLines="50" w:line="360" w:lineRule="auto"/>
        <w:ind w:left="0" w:leftChars="0" w:firstLine="420" w:firstLineChars="200"/>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rPr>
        <w:t>电话：020-37860627、020-37861101</w:t>
      </w:r>
      <w:r>
        <w:rPr>
          <w:rFonts w:hint="eastAsia" w:ascii="Times New Roman" w:hAnsi="Times New Roman" w:eastAsia="宋体"/>
          <w:caps w:val="0"/>
          <w:color w:val="auto"/>
          <w:szCs w:val="21"/>
          <w:u w:val="none"/>
          <w:lang w:eastAsia="zh-CN"/>
        </w:rPr>
        <w:t>、</w:t>
      </w:r>
      <w:r>
        <w:rPr>
          <w:rFonts w:hint="eastAsia" w:ascii="Times New Roman" w:hAnsi="Times New Roman" w:eastAsia="宋体"/>
          <w:caps w:val="0"/>
          <w:color w:val="auto"/>
          <w:szCs w:val="21"/>
          <w:u w:val="none"/>
          <w:lang w:val="en-US" w:eastAsia="zh-CN"/>
        </w:rPr>
        <w:t>020-37860645</w:t>
      </w:r>
    </w:p>
    <w:p>
      <w:pPr>
        <w:pageBreakBefore w:val="0"/>
        <w:tabs>
          <w:tab w:val="left" w:pos="500"/>
        </w:tabs>
        <w:kinsoku/>
        <w:bidi w:val="0"/>
        <w:spacing w:before="157" w:beforeLines="50" w:line="360" w:lineRule="auto"/>
        <w:ind w:left="0" w:leftChars="0" w:firstLine="420" w:firstLineChars="200"/>
        <w:rPr>
          <w:rFonts w:ascii="Times New Roman" w:hAnsi="Times New Roman" w:eastAsia="宋体"/>
          <w:caps w:val="0"/>
          <w:color w:val="auto"/>
          <w:szCs w:val="21"/>
          <w:highlight w:val="none"/>
          <w:u w:val="single"/>
        </w:rPr>
      </w:pPr>
      <w:r>
        <w:rPr>
          <w:rFonts w:hint="eastAsia" w:ascii="Times New Roman" w:hAnsi="Times New Roman" w:eastAsia="宋体"/>
          <w:caps w:val="0"/>
          <w:color w:val="auto"/>
          <w:szCs w:val="21"/>
          <w:u w:val="none"/>
        </w:rPr>
        <w:t>Email：liuhuan@ebidding.com</w:t>
      </w:r>
    </w:p>
    <w:p>
      <w:pPr>
        <w:pageBreakBefore w:val="0"/>
        <w:kinsoku/>
        <w:topLinePunct/>
        <w:bidi w:val="0"/>
        <w:spacing w:before="157" w:beforeLines="50" w:line="360" w:lineRule="auto"/>
        <w:ind w:left="0" w:leftChars="0" w:firstLine="480" w:firstLineChars="200"/>
        <w:jc w:val="right"/>
        <w:rPr>
          <w:rFonts w:hint="eastAsia" w:ascii="Times New Roman" w:hAnsi="Times New Roman" w:eastAsia="宋体" w:cs="宋体"/>
          <w:caps w:val="0"/>
          <w:color w:val="auto"/>
          <w:kern w:val="0"/>
          <w:sz w:val="24"/>
          <w:szCs w:val="21"/>
          <w:highlight w:val="none"/>
          <w:u w:val="none"/>
        </w:rPr>
      </w:pPr>
      <w:r>
        <w:rPr>
          <w:rFonts w:hint="eastAsia" w:ascii="Times New Roman" w:hAnsi="Times New Roman" w:eastAsia="宋体" w:cs="宋体"/>
          <w:caps w:val="0"/>
          <w:color w:val="auto"/>
          <w:kern w:val="0"/>
          <w:sz w:val="24"/>
          <w:szCs w:val="21"/>
          <w:highlight w:val="none"/>
          <w:u w:val="none"/>
        </w:rPr>
        <w:t>2024年</w:t>
      </w:r>
      <w:r>
        <w:rPr>
          <w:rFonts w:hint="eastAsia" w:cs="宋体"/>
          <w:caps w:val="0"/>
          <w:color w:val="auto"/>
          <w:kern w:val="0"/>
          <w:sz w:val="24"/>
          <w:szCs w:val="21"/>
          <w:highlight w:val="none"/>
          <w:u w:val="none"/>
          <w:lang w:val="en-US" w:eastAsia="zh-CN"/>
        </w:rPr>
        <w:t>13</w:t>
      </w:r>
      <w:r>
        <w:rPr>
          <w:rFonts w:hint="eastAsia" w:ascii="Times New Roman" w:hAnsi="Times New Roman" w:eastAsia="宋体" w:cs="宋体"/>
          <w:caps w:val="0"/>
          <w:color w:val="auto"/>
          <w:kern w:val="0"/>
          <w:sz w:val="24"/>
          <w:szCs w:val="21"/>
          <w:highlight w:val="none"/>
          <w:u w:val="none"/>
        </w:rPr>
        <w:t>月</w:t>
      </w:r>
      <w:r>
        <w:rPr>
          <w:rFonts w:hint="eastAsia" w:cs="宋体"/>
          <w:caps w:val="0"/>
          <w:color w:val="auto"/>
          <w:kern w:val="0"/>
          <w:sz w:val="24"/>
          <w:szCs w:val="21"/>
          <w:highlight w:val="none"/>
          <w:u w:val="none"/>
          <w:lang w:val="en-US" w:eastAsia="zh-CN"/>
        </w:rPr>
        <w:t>15</w:t>
      </w:r>
      <w:r>
        <w:rPr>
          <w:rFonts w:hint="eastAsia" w:ascii="Times New Roman" w:hAnsi="Times New Roman" w:eastAsia="宋体" w:cs="宋体"/>
          <w:caps w:val="0"/>
          <w:color w:val="auto"/>
          <w:kern w:val="0"/>
          <w:sz w:val="24"/>
          <w:szCs w:val="21"/>
          <w:highlight w:val="none"/>
          <w:u w:val="none"/>
        </w:rPr>
        <w:t>日</w:t>
      </w:r>
    </w:p>
    <w:p>
      <w:pPr>
        <w:rPr>
          <w:rFonts w:hint="eastAsia"/>
          <w:sz w:val="18"/>
          <w:szCs w:val="21"/>
        </w:rPr>
      </w:pPr>
      <w:r>
        <w:rPr>
          <w:rFonts w:hint="eastAsia"/>
          <w:sz w:val="18"/>
          <w:szCs w:val="21"/>
        </w:rPr>
        <w:t>附件1：标段的划分及主要工程项目情况</w:t>
      </w:r>
    </w:p>
    <w:p>
      <w:pPr>
        <w:rPr>
          <w:rFonts w:hint="eastAsia"/>
          <w:sz w:val="18"/>
          <w:szCs w:val="21"/>
        </w:rPr>
      </w:pPr>
      <w:r>
        <w:rPr>
          <w:rFonts w:hint="eastAsia"/>
          <w:sz w:val="18"/>
          <w:szCs w:val="21"/>
        </w:rPr>
        <w:t>附件2：资格审查条件附录1至附录7</w:t>
      </w:r>
    </w:p>
    <w:p>
      <w:pPr>
        <w:rPr>
          <w:rFonts w:hint="eastAsia"/>
          <w:sz w:val="18"/>
          <w:szCs w:val="21"/>
        </w:rPr>
      </w:pPr>
      <w:r>
        <w:rPr>
          <w:rFonts w:hint="eastAsia"/>
          <w:sz w:val="18"/>
          <w:szCs w:val="21"/>
        </w:rPr>
        <w:t xml:space="preserve">附件3：评标办法 </w:t>
      </w:r>
    </w:p>
    <w:p>
      <w:r>
        <w:rPr>
          <w:rFonts w:hint="eastAsia"/>
          <w:sz w:val="18"/>
          <w:szCs w:val="21"/>
        </w:rPr>
        <w:t>以上附件可从发布公告的网站媒介上下载。</w:t>
      </w:r>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81D6D"/>
    <w:rsid w:val="16681D6D"/>
    <w:rsid w:val="18AE0633"/>
    <w:rsid w:val="7A7E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after="120" w:afterLines="0"/>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2024-03-15T02:25:00Z</dcterms:created>
  <dc:creator>LLaura</dc:creator>
  <cp:lastModifiedBy>LLaura</cp:lastModifiedBy>
  <cp:lastPrinted>2024-03-15T06:01:00Z</cp:lastPrinted>
  <dcterms:modified xsi:type="dcterms:W3CDTF">2024-03-15T06:06:53Z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D6DC64100CBF429A8371E40BA9CFF617</vt:lpwstr>
  </property>
</Properties>
</file>