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shd w:val="clear" w:color="auto" w:fill="auto"/>
        <w:kinsoku/>
        <w:bidi w:val="0"/>
        <w:spacing w:before="157" w:beforeLines="50" w:after="0" w:afterLines="0" w:line="360" w:lineRule="auto"/>
        <w:ind w:firstLine="220"/>
        <w:rPr>
          <w:rStyle w:val="9"/>
          <w:rFonts w:hint="eastAsia" w:ascii="Times New Roman" w:hAnsi="Times New Roman" w:eastAsia="宋体" w:cs="宋体"/>
          <w:color w:val="auto"/>
          <w:highlight w:val="none"/>
        </w:rPr>
      </w:pPr>
      <w:r>
        <w:rPr>
          <w:rStyle w:val="9"/>
          <w:rFonts w:hint="eastAsia" w:ascii="Times New Roman" w:hAnsi="Times New Roman" w:eastAsia="宋体" w:cs="宋体"/>
          <w:color w:val="auto"/>
          <w:highlight w:val="none"/>
        </w:rPr>
        <w:t>第三章</w:t>
      </w:r>
      <w:bookmarkStart w:id="0" w:name="_GoBack"/>
      <w:r>
        <w:rPr>
          <w:rStyle w:val="9"/>
          <w:rFonts w:hint="eastAsia" w:ascii="Times New Roman" w:hAnsi="Times New Roman" w:eastAsia="宋体" w:cs="宋体"/>
          <w:color w:val="auto"/>
          <w:highlight w:val="none"/>
        </w:rPr>
        <w:t>评标办法</w:t>
      </w:r>
      <w:bookmarkEnd w:id="0"/>
      <w:r>
        <w:rPr>
          <w:rStyle w:val="9"/>
          <w:rFonts w:hint="eastAsia" w:ascii="Times New Roman" w:hAnsi="Times New Roman" w:eastAsia="宋体" w:cs="宋体"/>
          <w:color w:val="auto"/>
          <w:highlight w:val="none"/>
        </w:rPr>
        <w:t>（双信封的综合评分法）</w:t>
      </w:r>
    </w:p>
    <w:p>
      <w:pPr>
        <w:pStyle w:val="10"/>
        <w:pageBreakBefore w:val="0"/>
        <w:shd w:val="clear" w:color="auto" w:fill="auto"/>
        <w:kinsoku/>
        <w:bidi w:val="0"/>
        <w:spacing w:before="157" w:beforeLines="50" w:line="360" w:lineRule="auto"/>
        <w:rPr>
          <w:rFonts w:hint="eastAsia" w:ascii="Times New Roman" w:hAnsi="Times New Roman" w:eastAsia="宋体" w:cs="宋体"/>
          <w:b w:val="0"/>
          <w:color w:val="auto"/>
          <w:highlight w:val="none"/>
        </w:rPr>
      </w:pPr>
      <w:r>
        <w:rPr>
          <w:rStyle w:val="11"/>
          <w:rFonts w:hint="eastAsia" w:ascii="Times New Roman" w:hAnsi="Times New Roman" w:eastAsia="宋体" w:cs="宋体"/>
          <w:b/>
          <w:bCs w:val="0"/>
          <w:color w:val="auto"/>
          <w:highlight w:val="none"/>
        </w:rPr>
        <w:t>评标办法前附表</w:t>
      </w:r>
    </w:p>
    <w:tbl>
      <w:tblPr>
        <w:tblStyle w:val="6"/>
        <w:tblW w:w="9305"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51"/>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76" w:type="dxa"/>
            <w:gridSpan w:val="2"/>
            <w:tcBorders>
              <w:right w:val="single" w:color="000000" w:sz="6" w:space="0"/>
            </w:tcBorders>
            <w:noWrap w:val="0"/>
            <w:vAlign w:val="top"/>
          </w:tcPr>
          <w:p>
            <w:pPr>
              <w:pStyle w:val="12"/>
              <w:pageBreakBefore w:val="0"/>
              <w:kinsoku/>
              <w:bidi w:val="0"/>
              <w:spacing w:before="157" w:beforeLines="50" w:line="360" w:lineRule="auto"/>
              <w:ind w:right="788" w:firstLine="517" w:firstLineChars="245"/>
              <w:rPr>
                <w:rFonts w:ascii="Times New Roman" w:hAnsi="Times New Roman" w:eastAsia="宋体"/>
                <w:b/>
                <w:color w:val="auto"/>
                <w:sz w:val="21"/>
                <w:highlight w:val="none"/>
              </w:rPr>
            </w:pPr>
            <w:r>
              <w:rPr>
                <w:rFonts w:ascii="Times New Roman" w:hAnsi="Times New Roman" w:eastAsia="宋体"/>
                <w:b/>
                <w:color w:val="auto"/>
                <w:sz w:val="21"/>
                <w:highlight w:val="none"/>
              </w:rPr>
              <w:t>条款号</w:t>
            </w:r>
          </w:p>
        </w:tc>
        <w:tc>
          <w:tcPr>
            <w:tcW w:w="7229" w:type="dxa"/>
            <w:tcBorders>
              <w:left w:val="single" w:color="000000" w:sz="6" w:space="0"/>
            </w:tcBorders>
            <w:noWrap w:val="0"/>
            <w:vAlign w:val="top"/>
          </w:tcPr>
          <w:p>
            <w:pPr>
              <w:pStyle w:val="12"/>
              <w:pageBreakBefore w:val="0"/>
              <w:kinsoku/>
              <w:bidi w:val="0"/>
              <w:spacing w:before="157" w:beforeLines="50" w:line="360" w:lineRule="auto"/>
              <w:ind w:left="2335" w:right="2340"/>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825" w:type="dxa"/>
            <w:noWrap w:val="0"/>
            <w:vAlign w:val="top"/>
          </w:tcPr>
          <w:p>
            <w:pPr>
              <w:pStyle w:val="12"/>
              <w:pageBreakBefore w:val="0"/>
              <w:kinsoku/>
              <w:bidi w:val="0"/>
              <w:spacing w:before="157" w:beforeLines="50" w:line="360" w:lineRule="auto"/>
              <w:rPr>
                <w:rFonts w:ascii="Times New Roman" w:hAnsi="Times New Roman" w:eastAsia="宋体"/>
                <w:b/>
                <w:color w:val="auto"/>
                <w:highlight w:val="none"/>
              </w:rPr>
            </w:pPr>
          </w:p>
          <w:p>
            <w:pPr>
              <w:pStyle w:val="12"/>
              <w:pageBreakBefore w:val="0"/>
              <w:kinsoku/>
              <w:bidi w:val="0"/>
              <w:spacing w:before="157" w:beforeLines="50" w:line="360" w:lineRule="auto"/>
              <w:rPr>
                <w:rFonts w:ascii="Times New Roman" w:hAnsi="Times New Roman" w:eastAsia="宋体"/>
                <w:b/>
                <w:color w:val="auto"/>
                <w:highlight w:val="none"/>
              </w:rPr>
            </w:pPr>
          </w:p>
          <w:p>
            <w:pPr>
              <w:pStyle w:val="12"/>
              <w:pageBreakBefore w:val="0"/>
              <w:kinsoku/>
              <w:bidi w:val="0"/>
              <w:spacing w:before="157" w:beforeLines="50" w:line="360" w:lineRule="auto"/>
              <w:rPr>
                <w:rFonts w:ascii="Times New Roman" w:hAnsi="Times New Roman" w:eastAsia="宋体"/>
                <w:b/>
                <w:color w:val="auto"/>
                <w:highlight w:val="none"/>
              </w:rPr>
            </w:pPr>
          </w:p>
          <w:p>
            <w:pPr>
              <w:pStyle w:val="12"/>
              <w:pageBreakBefore w:val="0"/>
              <w:kinsoku/>
              <w:bidi w:val="0"/>
              <w:spacing w:before="157" w:beforeLines="50" w:line="360" w:lineRule="auto"/>
              <w:rPr>
                <w:rFonts w:ascii="Times New Roman" w:hAnsi="Times New Roman" w:eastAsia="宋体"/>
                <w:b/>
                <w:color w:val="auto"/>
                <w:sz w:val="28"/>
                <w:highlight w:val="none"/>
              </w:rPr>
            </w:pPr>
          </w:p>
          <w:p>
            <w:pPr>
              <w:pStyle w:val="12"/>
              <w:pageBreakBefore w:val="0"/>
              <w:kinsoku/>
              <w:bidi w:val="0"/>
              <w:spacing w:before="157" w:beforeLines="50" w:line="360" w:lineRule="auto"/>
              <w:ind w:left="9"/>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1251" w:type="dxa"/>
            <w:tcBorders>
              <w:right w:val="single" w:color="000000" w:sz="6" w:space="0"/>
            </w:tcBorders>
            <w:noWrap w:val="0"/>
            <w:vAlign w:val="top"/>
          </w:tcPr>
          <w:p>
            <w:pPr>
              <w:pStyle w:val="12"/>
              <w:pageBreakBefore w:val="0"/>
              <w:kinsoku/>
              <w:bidi w:val="0"/>
              <w:spacing w:before="157" w:beforeLines="50" w:line="360" w:lineRule="auto"/>
              <w:rPr>
                <w:rFonts w:ascii="Times New Roman" w:hAnsi="Times New Roman" w:eastAsia="宋体"/>
                <w:b/>
                <w:color w:val="auto"/>
                <w:sz w:val="20"/>
                <w:highlight w:val="none"/>
              </w:rPr>
            </w:pPr>
          </w:p>
          <w:p>
            <w:pPr>
              <w:pStyle w:val="12"/>
              <w:pageBreakBefore w:val="0"/>
              <w:kinsoku/>
              <w:bidi w:val="0"/>
              <w:spacing w:before="157" w:beforeLines="50" w:line="360" w:lineRule="auto"/>
              <w:rPr>
                <w:rFonts w:ascii="Times New Roman" w:hAnsi="Times New Roman" w:eastAsia="宋体"/>
                <w:b/>
                <w:color w:val="auto"/>
                <w:sz w:val="20"/>
                <w:highlight w:val="none"/>
              </w:rPr>
            </w:pPr>
          </w:p>
          <w:p>
            <w:pPr>
              <w:pStyle w:val="12"/>
              <w:pageBreakBefore w:val="0"/>
              <w:kinsoku/>
              <w:bidi w:val="0"/>
              <w:spacing w:before="157" w:beforeLines="50" w:line="360" w:lineRule="auto"/>
              <w:rPr>
                <w:rFonts w:ascii="Times New Roman" w:hAnsi="Times New Roman" w:eastAsia="宋体"/>
                <w:b/>
                <w:color w:val="auto"/>
                <w:sz w:val="20"/>
                <w:highlight w:val="none"/>
              </w:rPr>
            </w:pPr>
          </w:p>
          <w:p>
            <w:pPr>
              <w:pStyle w:val="12"/>
              <w:pageBreakBefore w:val="0"/>
              <w:kinsoku/>
              <w:bidi w:val="0"/>
              <w:spacing w:before="157" w:beforeLines="50" w:line="360" w:lineRule="auto"/>
              <w:rPr>
                <w:rFonts w:ascii="Times New Roman" w:hAnsi="Times New Roman" w:eastAsia="宋体"/>
                <w:b/>
                <w:color w:val="auto"/>
                <w:sz w:val="20"/>
                <w:highlight w:val="none"/>
              </w:rPr>
            </w:pPr>
          </w:p>
          <w:p>
            <w:pPr>
              <w:pStyle w:val="12"/>
              <w:pageBreakBefore w:val="0"/>
              <w:kinsoku/>
              <w:bidi w:val="0"/>
              <w:spacing w:before="157" w:beforeLines="50" w:line="360" w:lineRule="auto"/>
              <w:ind w:left="217"/>
              <w:rPr>
                <w:rFonts w:ascii="Times New Roman" w:hAnsi="Times New Roman" w:eastAsia="宋体"/>
                <w:color w:val="auto"/>
                <w:sz w:val="21"/>
                <w:highlight w:val="none"/>
              </w:rPr>
            </w:pPr>
            <w:r>
              <w:rPr>
                <w:rFonts w:ascii="Times New Roman" w:hAnsi="Times New Roman" w:eastAsia="宋体"/>
                <w:color w:val="auto"/>
                <w:sz w:val="21"/>
                <w:highlight w:val="none"/>
              </w:rPr>
              <w:t>评标方法</w:t>
            </w:r>
          </w:p>
        </w:tc>
        <w:tc>
          <w:tcPr>
            <w:tcW w:w="7229" w:type="dxa"/>
            <w:tcBorders>
              <w:left w:val="single" w:color="000000" w:sz="6" w:space="0"/>
            </w:tcBorders>
            <w:noWrap w:val="0"/>
            <w:vAlign w:val="top"/>
          </w:tcPr>
          <w:p>
            <w:pPr>
              <w:pStyle w:val="12"/>
              <w:pageBreakBefore w:val="0"/>
              <w:kinsoku/>
              <w:bidi w:val="0"/>
              <w:spacing w:before="157" w:beforeLines="50" w:line="360" w:lineRule="auto"/>
              <w:ind w:right="97" w:firstLine="420" w:firstLineChars="200"/>
              <w:rPr>
                <w:rStyle w:val="13"/>
                <w:rFonts w:ascii="Times New Roman" w:hAnsi="Times New Roman" w:eastAsia="宋体"/>
                <w:color w:val="auto"/>
                <w:sz w:val="21"/>
                <w:highlight w:val="none"/>
                <w:lang w:val="zh-CN" w:eastAsia="zh-CN"/>
              </w:rPr>
            </w:pPr>
            <w:r>
              <w:rPr>
                <w:rStyle w:val="13"/>
                <w:rFonts w:ascii="Times New Roman" w:hAnsi="Times New Roman" w:eastAsia="宋体"/>
                <w:color w:val="auto"/>
                <w:sz w:val="21"/>
                <w:highlight w:val="none"/>
                <w:lang w:val="zh-CN" w:eastAsia="zh-CN"/>
              </w:rPr>
              <w:t>综合评分相等时，评标委员会依次按照以下优先顺序推荐中标候选人或确定中标人：</w:t>
            </w:r>
          </w:p>
          <w:p>
            <w:pPr>
              <w:pStyle w:val="12"/>
              <w:pageBreakBefore w:val="0"/>
              <w:numPr>
                <w:ilvl w:val="0"/>
                <w:numId w:val="1"/>
              </w:numPr>
              <w:tabs>
                <w:tab w:val="left" w:pos="1050"/>
              </w:tabs>
              <w:kinsoku/>
              <w:bidi w:val="0"/>
              <w:spacing w:before="157" w:beforeLines="50" w:line="360" w:lineRule="auto"/>
              <w:ind w:left="104" w:right="97" w:firstLine="420"/>
              <w:rPr>
                <w:rStyle w:val="13"/>
                <w:rFonts w:ascii="Times New Roman" w:hAnsi="Times New Roman" w:eastAsia="宋体"/>
                <w:color w:val="auto"/>
                <w:sz w:val="21"/>
                <w:highlight w:val="none"/>
                <w:lang w:val="zh-CN" w:eastAsia="zh-CN"/>
              </w:rPr>
            </w:pPr>
            <w:r>
              <w:rPr>
                <w:rStyle w:val="13"/>
                <w:rFonts w:ascii="Times New Roman" w:hAnsi="Times New Roman" w:eastAsia="宋体"/>
                <w:color w:val="auto"/>
                <w:sz w:val="21"/>
                <w:highlight w:val="none"/>
                <w:lang w:val="zh-CN" w:eastAsia="zh-CN"/>
              </w:rPr>
              <w:t>评标价低的优先，当一家以上投标人综合得分相等且评标价也相等时，若各投标人工程量清单细目单价也相同，视为串标，应否决其投标；</w:t>
            </w:r>
          </w:p>
          <w:p>
            <w:pPr>
              <w:pStyle w:val="12"/>
              <w:pageBreakBefore w:val="0"/>
              <w:numPr>
                <w:ilvl w:val="0"/>
                <w:numId w:val="1"/>
              </w:numPr>
              <w:tabs>
                <w:tab w:val="left" w:pos="1050"/>
              </w:tabs>
              <w:kinsoku/>
              <w:bidi w:val="0"/>
              <w:spacing w:before="157" w:beforeLines="50" w:line="360" w:lineRule="auto"/>
              <w:ind w:left="104" w:right="97" w:firstLine="420"/>
              <w:rPr>
                <w:rStyle w:val="13"/>
                <w:rFonts w:ascii="Times New Roman" w:hAnsi="Times New Roman" w:eastAsia="宋体"/>
                <w:color w:val="auto"/>
                <w:sz w:val="21"/>
                <w:highlight w:val="none"/>
                <w:lang w:val="zh-CN" w:eastAsia="zh-CN"/>
              </w:rPr>
            </w:pPr>
            <w:r>
              <w:rPr>
                <w:rFonts w:hint="eastAsia" w:ascii="Times New Roman" w:hAnsi="Times New Roman" w:eastAsia="宋体" w:cs="宋体"/>
                <w:color w:val="auto"/>
                <w:szCs w:val="21"/>
                <w:highlight w:val="none"/>
                <w:lang w:eastAsia="zh-CN"/>
              </w:rPr>
              <w:t>被广东省级交通交通运输厅评为较高信用等级的投标人优先（对于信用等级为</w:t>
            </w:r>
            <w:r>
              <w:rPr>
                <w:rFonts w:ascii="Times New Roman" w:hAnsi="Times New Roman" w:eastAsia="宋体" w:cs="宋体"/>
                <w:color w:val="auto"/>
                <w:szCs w:val="21"/>
                <w:highlight w:val="none"/>
                <w:lang w:eastAsia="zh-CN"/>
              </w:rPr>
              <w:t xml:space="preserve"> AA</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lang w:eastAsia="zh-CN"/>
              </w:rPr>
              <w:t xml:space="preserve">A </w:t>
            </w:r>
            <w:r>
              <w:rPr>
                <w:rFonts w:hint="eastAsia" w:ascii="Times New Roman" w:hAnsi="Times New Roman" w:eastAsia="宋体" w:cs="宋体"/>
                <w:color w:val="auto"/>
                <w:szCs w:val="21"/>
                <w:highlight w:val="none"/>
                <w:lang w:eastAsia="zh-CN"/>
              </w:rPr>
              <w:t>的企业在递交投标文件时应按要求提交使用广东省信用评价等级申请承诺书，否则，</w:t>
            </w:r>
            <w:r>
              <w:rPr>
                <w:rFonts w:ascii="Times New Roman" w:hAnsi="Times New Roman" w:eastAsia="宋体" w:cs="宋体"/>
                <w:color w:val="auto"/>
                <w:szCs w:val="21"/>
                <w:highlight w:val="none"/>
                <w:lang w:eastAsia="zh-CN"/>
              </w:rPr>
              <w:t xml:space="preserve">AA </w:t>
            </w:r>
            <w:r>
              <w:rPr>
                <w:rFonts w:hint="eastAsia" w:ascii="Times New Roman" w:hAnsi="Times New Roman" w:eastAsia="宋体" w:cs="宋体"/>
                <w:color w:val="auto"/>
                <w:szCs w:val="21"/>
                <w:highlight w:val="none"/>
                <w:lang w:eastAsia="zh-CN"/>
              </w:rPr>
              <w:t>级信用等级企业按</w:t>
            </w:r>
            <w:r>
              <w:rPr>
                <w:rFonts w:ascii="Times New Roman" w:hAnsi="Times New Roman" w:eastAsia="宋体" w:cs="宋体"/>
                <w:color w:val="auto"/>
                <w:szCs w:val="21"/>
                <w:highlight w:val="none"/>
                <w:lang w:eastAsia="zh-CN"/>
              </w:rPr>
              <w:t xml:space="preserve"> A </w:t>
            </w:r>
            <w:r>
              <w:rPr>
                <w:rFonts w:hint="eastAsia" w:ascii="Times New Roman" w:hAnsi="Times New Roman" w:eastAsia="宋体" w:cs="宋体"/>
                <w:color w:val="auto"/>
                <w:szCs w:val="21"/>
                <w:highlight w:val="none"/>
                <w:lang w:eastAsia="zh-CN"/>
              </w:rPr>
              <w:t>级对待、</w:t>
            </w:r>
            <w:r>
              <w:rPr>
                <w:rFonts w:ascii="Times New Roman" w:hAnsi="Times New Roman" w:eastAsia="宋体" w:cs="宋体"/>
                <w:color w:val="auto"/>
                <w:szCs w:val="21"/>
                <w:highlight w:val="none"/>
                <w:lang w:eastAsia="zh-CN"/>
              </w:rPr>
              <w:t xml:space="preserve">A </w:t>
            </w:r>
            <w:r>
              <w:rPr>
                <w:rFonts w:hint="eastAsia" w:ascii="Times New Roman" w:hAnsi="Times New Roman" w:eastAsia="宋体" w:cs="宋体"/>
                <w:color w:val="auto"/>
                <w:szCs w:val="21"/>
                <w:highlight w:val="none"/>
                <w:lang w:eastAsia="zh-CN"/>
              </w:rPr>
              <w:t>级信用等级企业按</w:t>
            </w:r>
            <w:r>
              <w:rPr>
                <w:rFonts w:ascii="Times New Roman" w:hAnsi="Times New Roman" w:eastAsia="宋体" w:cs="宋体"/>
                <w:color w:val="auto"/>
                <w:szCs w:val="21"/>
                <w:highlight w:val="none"/>
                <w:lang w:eastAsia="zh-CN"/>
              </w:rPr>
              <w:t xml:space="preserve"> B </w:t>
            </w:r>
            <w:r>
              <w:rPr>
                <w:rFonts w:hint="eastAsia" w:ascii="Times New Roman" w:hAnsi="Times New Roman" w:eastAsia="宋体" w:cs="宋体"/>
                <w:color w:val="auto"/>
                <w:szCs w:val="21"/>
                <w:highlight w:val="none"/>
                <w:lang w:eastAsia="zh-CN"/>
              </w:rPr>
              <w:t>级对待）；</w:t>
            </w:r>
          </w:p>
          <w:p>
            <w:pPr>
              <w:pStyle w:val="12"/>
              <w:pageBreakBefore w:val="0"/>
              <w:kinsoku/>
              <w:bidi w:val="0"/>
              <w:spacing w:before="157" w:beforeLines="50" w:line="360" w:lineRule="auto"/>
              <w:ind w:left="104" w:right="97" w:firstLine="420"/>
              <w:rPr>
                <w:rStyle w:val="13"/>
                <w:rFonts w:ascii="Times New Roman" w:hAnsi="Times New Roman" w:eastAsia="宋体"/>
                <w:color w:val="auto"/>
                <w:sz w:val="21"/>
                <w:highlight w:val="none"/>
                <w:lang w:eastAsia="zh-CN"/>
              </w:rPr>
            </w:pPr>
            <w:r>
              <w:rPr>
                <w:rStyle w:val="13"/>
                <w:rFonts w:ascii="Times New Roman" w:hAnsi="Times New Roman" w:eastAsia="宋体"/>
                <w:color w:val="auto"/>
                <w:sz w:val="21"/>
                <w:highlight w:val="none"/>
                <w:lang w:eastAsia="zh-CN"/>
              </w:rPr>
              <w:t>（</w:t>
            </w:r>
            <w:r>
              <w:rPr>
                <w:rStyle w:val="13"/>
                <w:rFonts w:hint="eastAsia" w:ascii="Times New Roman" w:hAnsi="Times New Roman" w:eastAsia="宋体"/>
                <w:color w:val="auto"/>
                <w:sz w:val="21"/>
                <w:highlight w:val="none"/>
                <w:lang w:eastAsia="zh-CN"/>
              </w:rPr>
              <w:t>3</w:t>
            </w:r>
            <w:r>
              <w:rPr>
                <w:rStyle w:val="13"/>
                <w:rFonts w:ascii="Times New Roman" w:hAnsi="Times New Roman" w:eastAsia="宋体"/>
                <w:color w:val="auto"/>
                <w:sz w:val="21"/>
                <w:highlight w:val="none"/>
                <w:lang w:eastAsia="zh-CN"/>
              </w:rPr>
              <w:t>）以投标人企业最新年度净资产较高的优先；</w:t>
            </w:r>
          </w:p>
          <w:p>
            <w:pPr>
              <w:pStyle w:val="12"/>
              <w:pageBreakBefore w:val="0"/>
              <w:kinsoku/>
              <w:bidi w:val="0"/>
              <w:spacing w:before="157" w:beforeLines="50" w:line="360" w:lineRule="auto"/>
              <w:ind w:left="104" w:right="97" w:firstLine="420"/>
              <w:rPr>
                <w:rFonts w:ascii="Times New Roman" w:hAnsi="Times New Roman" w:eastAsia="宋体"/>
                <w:color w:val="auto"/>
                <w:sz w:val="21"/>
                <w:highlight w:val="none"/>
                <w:lang w:eastAsia="zh-CN"/>
              </w:rPr>
            </w:pPr>
            <w:r>
              <w:rPr>
                <w:rStyle w:val="13"/>
                <w:rFonts w:ascii="Times New Roman" w:hAnsi="Times New Roman" w:eastAsia="宋体"/>
                <w:color w:val="auto"/>
                <w:sz w:val="21"/>
                <w:highlight w:val="none"/>
                <w:lang w:val="zh-CN" w:eastAsia="zh-CN"/>
              </w:rPr>
              <w:t>（</w:t>
            </w:r>
            <w:r>
              <w:rPr>
                <w:rStyle w:val="13"/>
                <w:rFonts w:hint="eastAsia" w:ascii="Times New Roman" w:hAnsi="Times New Roman" w:eastAsia="宋体"/>
                <w:color w:val="auto"/>
                <w:sz w:val="21"/>
                <w:highlight w:val="none"/>
                <w:lang w:eastAsia="zh-CN"/>
              </w:rPr>
              <w:t>4</w:t>
            </w:r>
            <w:r>
              <w:rPr>
                <w:rStyle w:val="13"/>
                <w:rFonts w:ascii="Times New Roman" w:hAnsi="Times New Roman" w:eastAsia="宋体"/>
                <w:color w:val="auto"/>
                <w:sz w:val="21"/>
                <w:highlight w:val="none"/>
                <w:lang w:val="zh-CN" w:eastAsia="zh-CN"/>
              </w:rPr>
              <w:t>）评标委员会视投标人情况综合比较，投票确定其名次。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25" w:type="dxa"/>
            <w:noWrap w:val="0"/>
            <w:vAlign w:val="top"/>
          </w:tcPr>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highlight w:val="none"/>
                <w:lang w:eastAsia="zh-CN"/>
              </w:rPr>
            </w:pPr>
          </w:p>
          <w:p>
            <w:pPr>
              <w:pStyle w:val="12"/>
              <w:pageBreakBefore w:val="0"/>
              <w:kinsoku/>
              <w:bidi w:val="0"/>
              <w:spacing w:before="157" w:beforeLines="50" w:line="360" w:lineRule="auto"/>
              <w:rPr>
                <w:rFonts w:ascii="Times New Roman" w:hAnsi="Times New Roman" w:eastAsia="宋体"/>
                <w:b/>
                <w:color w:val="auto"/>
                <w:sz w:val="30"/>
                <w:highlight w:val="none"/>
                <w:lang w:eastAsia="zh-CN"/>
              </w:rPr>
            </w:pPr>
          </w:p>
          <w:p>
            <w:pPr>
              <w:pStyle w:val="12"/>
              <w:pageBreakBefore w:val="0"/>
              <w:kinsoku/>
              <w:bidi w:val="0"/>
              <w:spacing w:before="157" w:beforeLines="50" w:line="360" w:lineRule="auto"/>
              <w:ind w:left="282"/>
              <w:rPr>
                <w:rFonts w:ascii="Times New Roman" w:hAnsi="Times New Roman" w:eastAsia="宋体"/>
                <w:color w:val="auto"/>
                <w:sz w:val="21"/>
                <w:highlight w:val="none"/>
              </w:rPr>
            </w:pPr>
            <w:r>
              <w:rPr>
                <w:rFonts w:ascii="Times New Roman" w:hAnsi="Times New Roman" w:eastAsia="宋体"/>
                <w:color w:val="auto"/>
                <w:sz w:val="21"/>
                <w:highlight w:val="none"/>
              </w:rPr>
              <w:t>2.1.1</w:t>
            </w:r>
          </w:p>
          <w:p>
            <w:pPr>
              <w:pStyle w:val="12"/>
              <w:pageBreakBefore w:val="0"/>
              <w:kinsoku/>
              <w:bidi w:val="0"/>
              <w:spacing w:before="157" w:beforeLines="50" w:line="360" w:lineRule="auto"/>
              <w:ind w:left="282"/>
              <w:rPr>
                <w:rFonts w:ascii="Times New Roman" w:hAnsi="Times New Roman" w:eastAsia="宋体"/>
                <w:color w:val="auto"/>
                <w:sz w:val="21"/>
                <w:highlight w:val="none"/>
              </w:rPr>
            </w:pPr>
            <w:r>
              <w:rPr>
                <w:rFonts w:ascii="Times New Roman" w:hAnsi="Times New Roman" w:eastAsia="宋体"/>
                <w:color w:val="auto"/>
                <w:sz w:val="21"/>
                <w:highlight w:val="none"/>
              </w:rPr>
              <w:t>2.1.3</w:t>
            </w:r>
          </w:p>
        </w:tc>
        <w:tc>
          <w:tcPr>
            <w:tcW w:w="1251" w:type="dxa"/>
            <w:tcBorders>
              <w:right w:val="single" w:color="000000" w:sz="6" w:space="0"/>
            </w:tcBorders>
            <w:noWrap w:val="0"/>
            <w:vAlign w:val="top"/>
          </w:tcPr>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20"/>
                <w:highlight w:val="none"/>
                <w:lang w:eastAsia="zh-CN"/>
              </w:rPr>
            </w:pPr>
          </w:p>
          <w:p>
            <w:pPr>
              <w:pStyle w:val="12"/>
              <w:pageBreakBefore w:val="0"/>
              <w:kinsoku/>
              <w:bidi w:val="0"/>
              <w:spacing w:before="157" w:beforeLines="50" w:line="360" w:lineRule="auto"/>
              <w:rPr>
                <w:rFonts w:ascii="Times New Roman" w:hAnsi="Times New Roman" w:eastAsia="宋体"/>
                <w:b/>
                <w:color w:val="auto"/>
                <w:sz w:val="15"/>
                <w:highlight w:val="none"/>
                <w:lang w:eastAsia="zh-CN"/>
              </w:rPr>
            </w:pPr>
          </w:p>
          <w:p>
            <w:pPr>
              <w:pStyle w:val="12"/>
              <w:pageBreakBefore w:val="0"/>
              <w:kinsoku/>
              <w:bidi w:val="0"/>
              <w:spacing w:before="157" w:beforeLines="50" w:line="360" w:lineRule="auto"/>
              <w:ind w:left="112" w:right="99"/>
              <w:jc w:val="center"/>
              <w:rPr>
                <w:rFonts w:ascii="Times New Roman" w:hAnsi="Times New Roman" w:eastAsia="宋体"/>
                <w:color w:val="auto"/>
                <w:sz w:val="21"/>
                <w:highlight w:val="none"/>
                <w:lang w:eastAsia="zh-CN"/>
              </w:rPr>
            </w:pPr>
            <w:r>
              <w:rPr>
                <w:rFonts w:ascii="Times New Roman" w:hAnsi="Times New Roman" w:eastAsia="宋体"/>
                <w:color w:val="auto"/>
                <w:sz w:val="21"/>
                <w:highlight w:val="none"/>
                <w:lang w:eastAsia="zh-CN"/>
              </w:rPr>
              <w:t>形式评审与响应性评审标准</w:t>
            </w:r>
          </w:p>
        </w:tc>
        <w:tc>
          <w:tcPr>
            <w:tcW w:w="7229" w:type="dxa"/>
            <w:tcBorders>
              <w:left w:val="single" w:color="000000" w:sz="6" w:space="0"/>
            </w:tcBorders>
            <w:noWrap w:val="0"/>
            <w:vAlign w:val="top"/>
          </w:tcPr>
          <w:p>
            <w:pPr>
              <w:pStyle w:val="12"/>
              <w:pageBreakBefore w:val="0"/>
              <w:kinsoku/>
              <w:bidi w:val="0"/>
              <w:spacing w:before="157" w:beforeLines="50" w:line="360" w:lineRule="auto"/>
              <w:ind w:left="527"/>
              <w:rPr>
                <w:rFonts w:ascii="Times New Roman" w:hAnsi="Times New Roman" w:eastAsia="宋体"/>
                <w:b/>
                <w:color w:val="auto"/>
                <w:sz w:val="21"/>
                <w:highlight w:val="none"/>
                <w:lang w:eastAsia="zh-CN"/>
              </w:rPr>
            </w:pPr>
            <w:r>
              <w:rPr>
                <w:rFonts w:ascii="Times New Roman" w:hAnsi="Times New Roman" w:eastAsia="宋体"/>
                <w:b/>
                <w:color w:val="auto"/>
                <w:sz w:val="21"/>
                <w:highlight w:val="none"/>
                <w:lang w:eastAsia="zh-CN"/>
              </w:rPr>
              <w:t>第一个信封（商务及技术文件）评审标准：</w:t>
            </w:r>
          </w:p>
          <w:p>
            <w:pPr>
              <w:pageBreakBefore w:val="0"/>
              <w:kinsoku/>
              <w:bidi w:val="0"/>
              <w:snapToGrid w:val="0"/>
              <w:spacing w:before="157" w:beforeLines="50" w:line="36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（1）投标文件按照招标文件规定的格式、内容填写，字迹清晰可辨：</w:t>
            </w:r>
            <w:r>
              <w:rPr>
                <w:rFonts w:hint="eastAsia" w:ascii="Times New Roman" w:hAnsi="Times New Roman" w:eastAsia="宋体"/>
                <w:color w:val="auto"/>
                <w:szCs w:val="21"/>
                <w:highlight w:val="none"/>
              </w:rPr>
              <w:t>投标文件（第一个信封）组成齐全完整，内容均符合规定。</w:t>
            </w:r>
          </w:p>
          <w:p>
            <w:pPr>
              <w:pStyle w:val="12"/>
              <w:pageBreakBefore w:val="0"/>
              <w:kinsoku/>
              <w:bidi w:val="0"/>
              <w:spacing w:before="157" w:beforeLines="50" w:line="360" w:lineRule="auto"/>
              <w:ind w:left="104" w:right="97" w:firstLine="420"/>
              <w:rPr>
                <w:rFonts w:ascii="Times New Roman" w:hAnsi="Times New Roman" w:eastAsia="宋体"/>
                <w:color w:val="auto"/>
                <w:sz w:val="21"/>
                <w:highlight w:val="none"/>
                <w:lang w:eastAsia="zh-CN"/>
              </w:rPr>
            </w:pPr>
            <w:r>
              <w:rPr>
                <w:rFonts w:ascii="Times New Roman" w:hAnsi="Times New Roman" w:eastAsia="宋体"/>
                <w:color w:val="auto"/>
                <w:sz w:val="21"/>
                <w:highlight w:val="none"/>
                <w:lang w:eastAsia="zh-CN"/>
              </w:rPr>
              <w:t>a.</w:t>
            </w:r>
            <w:r>
              <w:rPr>
                <w:rFonts w:ascii="Times New Roman" w:hAnsi="Times New Roman" w:eastAsia="宋体"/>
                <w:color w:val="auto"/>
                <w:spacing w:val="-15"/>
                <w:sz w:val="21"/>
                <w:highlight w:val="none"/>
                <w:lang w:eastAsia="zh-CN"/>
              </w:rPr>
              <w:t>投标函按招标文件规定填报了项目名称、标段号、补遗书编号</w:t>
            </w:r>
            <w:r>
              <w:rPr>
                <w:rFonts w:ascii="Times New Roman" w:hAnsi="Times New Roman" w:eastAsia="宋体"/>
                <w:color w:val="auto"/>
                <w:spacing w:val="-3"/>
                <w:sz w:val="21"/>
                <w:highlight w:val="none"/>
                <w:lang w:eastAsia="zh-CN"/>
              </w:rPr>
              <w:t>（</w:t>
            </w:r>
            <w:r>
              <w:rPr>
                <w:rFonts w:ascii="Times New Roman" w:hAnsi="Times New Roman" w:eastAsia="宋体"/>
                <w:color w:val="auto"/>
                <w:sz w:val="21"/>
                <w:highlight w:val="none"/>
                <w:lang w:eastAsia="zh-CN"/>
              </w:rPr>
              <w:t>如有</w:t>
            </w:r>
            <w:r>
              <w:rPr>
                <w:rFonts w:ascii="Times New Roman" w:hAnsi="Times New Roman" w:eastAsia="宋体"/>
                <w:color w:val="auto"/>
                <w:spacing w:val="-106"/>
                <w:sz w:val="21"/>
                <w:highlight w:val="none"/>
                <w:lang w:eastAsia="zh-CN"/>
              </w:rPr>
              <w:t>）</w:t>
            </w:r>
            <w:r>
              <w:rPr>
                <w:rFonts w:ascii="Times New Roman" w:hAnsi="Times New Roman" w:eastAsia="宋体"/>
                <w:color w:val="auto"/>
                <w:spacing w:val="-3"/>
                <w:sz w:val="21"/>
                <w:highlight w:val="none"/>
                <w:lang w:eastAsia="zh-CN"/>
              </w:rPr>
              <w:t>、工期、工程质量要求及安全目标；</w:t>
            </w:r>
          </w:p>
          <w:p>
            <w:pPr>
              <w:pageBreakBefore w:val="0"/>
              <w:kinsoku/>
              <w:bidi w:val="0"/>
              <w:snapToGrid w:val="0"/>
              <w:spacing w:before="157" w:beforeLines="50" w:line="360" w:lineRule="auto"/>
              <w:ind w:firstLine="525" w:firstLineChars="250"/>
              <w:rPr>
                <w:rFonts w:ascii="Times New Roman" w:hAnsi="Times New Roman" w:eastAsia="宋体"/>
                <w:color w:val="auto"/>
                <w:highlight w:val="none"/>
              </w:rPr>
            </w:pPr>
            <w:r>
              <w:rPr>
                <w:rFonts w:ascii="Times New Roman" w:hAnsi="Times New Roman" w:eastAsia="宋体"/>
                <w:color w:val="auto"/>
                <w:highlight w:val="none"/>
              </w:rPr>
              <w:t>b.投标函附录的所有数据均符合招标文件规定；</w:t>
            </w:r>
          </w:p>
          <w:p>
            <w:pPr>
              <w:pStyle w:val="12"/>
              <w:pageBreakBefore w:val="0"/>
              <w:kinsoku/>
              <w:bidi w:val="0"/>
              <w:spacing w:before="157" w:beforeLines="50" w:line="360" w:lineRule="auto"/>
              <w:ind w:left="4" w:firstLine="519" w:firstLineChars="236"/>
              <w:rPr>
                <w:rFonts w:ascii="Times New Roman" w:hAnsi="Times New Roman" w:eastAsia="宋体"/>
                <w:color w:val="auto"/>
                <w:sz w:val="21"/>
                <w:highlight w:val="none"/>
                <w:lang w:eastAsia="zh-CN"/>
              </w:rPr>
            </w:pPr>
            <w:r>
              <w:rPr>
                <w:rFonts w:hint="eastAsia" w:ascii="Times New Roman" w:hAnsi="Times New Roman" w:eastAsia="宋体"/>
                <w:color w:val="auto"/>
                <w:szCs w:val="21"/>
                <w:highlight w:val="none"/>
                <w:lang w:eastAsia="zh-CN"/>
              </w:rPr>
              <w:t>c.按照招标文件规定的格式、内容编制了施工组织设计及项目管理机构相关图表；</w:t>
            </w:r>
          </w:p>
          <w:p>
            <w:pPr>
              <w:pStyle w:val="12"/>
              <w:pageBreakBefore w:val="0"/>
              <w:kinsoku/>
              <w:bidi w:val="0"/>
              <w:spacing w:before="157" w:beforeLines="50" w:line="360" w:lineRule="auto"/>
              <w:ind w:left="524"/>
              <w:rPr>
                <w:rFonts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d</w:t>
            </w:r>
            <w:r>
              <w:rPr>
                <w:rFonts w:ascii="Times New Roman" w:hAnsi="Times New Roman" w:eastAsia="宋体"/>
                <w:color w:val="auto"/>
                <w:sz w:val="21"/>
                <w:highlight w:val="none"/>
                <w:lang w:eastAsia="zh-CN"/>
              </w:rPr>
              <w:t>.投标文件</w:t>
            </w:r>
            <w:r>
              <w:rPr>
                <w:rFonts w:hint="eastAsia" w:ascii="Times New Roman" w:hAnsi="Times New Roman" w:eastAsia="宋体"/>
                <w:color w:val="auto"/>
                <w:szCs w:val="21"/>
                <w:highlight w:val="none"/>
                <w:lang w:eastAsia="zh-CN"/>
              </w:rPr>
              <w:t>（第一个信封）</w:t>
            </w:r>
            <w:r>
              <w:rPr>
                <w:rFonts w:ascii="Times New Roman" w:hAnsi="Times New Roman" w:eastAsia="宋体"/>
                <w:color w:val="auto"/>
                <w:sz w:val="21"/>
                <w:highlight w:val="none"/>
                <w:lang w:eastAsia="zh-CN"/>
              </w:rPr>
              <w:t>组成齐全完整，内容均按规定填写。</w:t>
            </w:r>
          </w:p>
          <w:p>
            <w:pPr>
              <w:pStyle w:val="12"/>
              <w:pageBreakBefore w:val="0"/>
              <w:kinsoku/>
              <w:bidi w:val="0"/>
              <w:spacing w:before="157" w:beforeLines="50" w:line="360" w:lineRule="auto"/>
              <w:ind w:left="104" w:right="95" w:firstLine="420"/>
              <w:rPr>
                <w:rFonts w:ascii="Times New Roman" w:hAnsi="Times New Roman" w:eastAsia="宋体"/>
                <w:color w:val="auto"/>
                <w:sz w:val="21"/>
                <w:highlight w:val="none"/>
                <w:lang w:eastAsia="zh-CN"/>
              </w:rPr>
            </w:pPr>
            <w:r>
              <w:rPr>
                <w:rFonts w:ascii="Times New Roman" w:hAnsi="Times New Roman" w:eastAsia="宋体"/>
                <w:color w:val="auto"/>
                <w:sz w:val="21"/>
                <w:highlight w:val="none"/>
                <w:lang w:eastAsia="zh-CN"/>
              </w:rPr>
              <w:t>（2）投标文件上法定代表人或其委托代理人的签字、投标人的单位章盖章齐全，符合招标文件规定。</w:t>
            </w:r>
          </w:p>
          <w:p>
            <w:pPr>
              <w:pageBreakBefore w:val="0"/>
              <w:kinsoku/>
              <w:bidi w:val="0"/>
              <w:snapToGrid w:val="0"/>
              <w:spacing w:before="157" w:beforeLines="50" w:line="36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w:t>
            </w:r>
            <w:r>
              <w:rPr>
                <w:rFonts w:hint="eastAsia" w:ascii="Times New Roman" w:hAnsi="Times New Roman" w:eastAsia="宋体"/>
                <w:color w:val="auto"/>
                <w:highlight w:val="none"/>
              </w:rPr>
              <w:t>3</w:t>
            </w:r>
            <w:r>
              <w:rPr>
                <w:rFonts w:ascii="Times New Roman" w:hAnsi="Times New Roman" w:eastAsia="宋体"/>
                <w:color w:val="auto"/>
                <w:highlight w:val="none"/>
              </w:rPr>
              <w:t>）投标人按照招标文件的规定提供了投标保证金：</w:t>
            </w:r>
          </w:p>
          <w:p>
            <w:pPr>
              <w:pStyle w:val="12"/>
              <w:pageBreakBefore w:val="0"/>
              <w:kinsoku/>
              <w:bidi w:val="0"/>
              <w:spacing w:before="157" w:beforeLines="50" w:line="360" w:lineRule="auto"/>
              <w:ind w:left="104" w:right="95" w:firstLine="420"/>
              <w:rPr>
                <w:rFonts w:ascii="Times New Roman" w:hAnsi="Times New Roman" w:eastAsia="宋体"/>
                <w:color w:val="auto"/>
                <w:sz w:val="21"/>
                <w:highlight w:val="none"/>
                <w:lang w:eastAsia="zh-CN"/>
              </w:rPr>
            </w:pPr>
            <w:r>
              <w:rPr>
                <w:rFonts w:ascii="Times New Roman" w:hAnsi="Times New Roman" w:eastAsia="宋体"/>
                <w:color w:val="auto"/>
                <w:sz w:val="21"/>
                <w:highlight w:val="none"/>
                <w:lang w:eastAsia="zh-CN"/>
              </w:rPr>
              <w:t>a.投标保证金金额符合招标文件规定的金额，且投标保证金有效期不少于投标有效期；</w:t>
            </w:r>
          </w:p>
          <w:p>
            <w:pPr>
              <w:pStyle w:val="12"/>
              <w:pageBreakBefore w:val="0"/>
              <w:kinsoku/>
              <w:bidi w:val="0"/>
              <w:spacing w:before="157" w:beforeLines="50" w:line="360" w:lineRule="auto"/>
              <w:ind w:left="104" w:right="95" w:firstLine="420"/>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b.若投标保证金采用现金或支票形式提交，投标人应在投标人须知</w:t>
            </w:r>
            <w:r>
              <w:rPr>
                <w:rFonts w:hint="eastAsia" w:ascii="Times New Roman" w:hAnsi="Times New Roman" w:eastAsia="宋体"/>
                <w:color w:val="auto"/>
                <w:szCs w:val="21"/>
                <w:highlight w:val="none"/>
                <w:lang w:eastAsia="zh-CN"/>
              </w:rPr>
              <w:t>前附表</w:t>
            </w:r>
            <w:r>
              <w:rPr>
                <w:rFonts w:hint="eastAsia" w:ascii="Times New Roman" w:hAnsi="Times New Roman" w:eastAsia="宋体"/>
                <w:color w:val="auto"/>
                <w:sz w:val="21"/>
                <w:highlight w:val="none"/>
                <w:lang w:eastAsia="zh-CN"/>
              </w:rPr>
              <w:t>规定的时间，将投标保证金由投标人的基本账户转入招标人指定账户；</w:t>
            </w:r>
          </w:p>
          <w:p>
            <w:pPr>
              <w:pStyle w:val="12"/>
              <w:pageBreakBefore w:val="0"/>
              <w:kinsoku/>
              <w:bidi w:val="0"/>
              <w:spacing w:before="157" w:beforeLines="50" w:line="360" w:lineRule="auto"/>
              <w:ind w:left="104" w:right="95" w:firstLine="420"/>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C.若投标保证金采用银行保函形式提交，银行保函的格式、开具保函的银行均满足招标文件要求，银行保函原件在递交投标文件时单独密封递交，其复印件装订在投标文件中。</w:t>
            </w:r>
          </w:p>
          <w:p>
            <w:pPr>
              <w:pStyle w:val="12"/>
              <w:pageBreakBefore w:val="0"/>
              <w:kinsoku/>
              <w:bidi w:val="0"/>
              <w:spacing w:before="157" w:beforeLines="50" w:line="360" w:lineRule="auto"/>
              <w:ind w:left="104" w:right="95" w:firstLine="420"/>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d. 投标保证金采用投标保险形式提交，原件在递交投标文件时单独密封递交，其复印件装订在投标文件中。</w:t>
            </w:r>
          </w:p>
          <w:p>
            <w:pPr>
              <w:pStyle w:val="12"/>
              <w:pageBreakBefore w:val="0"/>
              <w:kinsoku/>
              <w:bidi w:val="0"/>
              <w:spacing w:before="157" w:beforeLines="50" w:line="360" w:lineRule="auto"/>
              <w:ind w:left="4" w:right="95" w:firstLine="518" w:firstLineChars="247"/>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w:t>
            </w:r>
            <w:r>
              <w:rPr>
                <w:rFonts w:hint="eastAsia" w:ascii="Times New Roman" w:hAnsi="Times New Roman" w:eastAsia="宋体"/>
                <w:color w:val="auto"/>
                <w:sz w:val="21"/>
                <w:highlight w:val="none"/>
                <w:lang w:eastAsia="zh-CN"/>
              </w:rPr>
              <w:t>4）</w:t>
            </w:r>
            <w:r>
              <w:rPr>
                <w:rFonts w:hint="eastAsia" w:ascii="Times New Roman" w:hAnsi="Times New Roman" w:eastAsia="宋体"/>
                <w:color w:val="auto"/>
                <w:sz w:val="21"/>
                <w:highlight w:val="none"/>
                <w:lang w:val="zh-CN" w:eastAsia="zh-CN"/>
              </w:rPr>
              <w:t>投标人法定代表人授权委托代理人签署投标文件的，需提交</w:t>
            </w:r>
            <w:r>
              <w:rPr>
                <w:rFonts w:hint="eastAsia" w:ascii="Times New Roman" w:hAnsi="Times New Roman" w:eastAsia="宋体"/>
                <w:color w:val="auto"/>
                <w:szCs w:val="21"/>
                <w:highlight w:val="none"/>
                <w:lang w:eastAsia="zh-CN"/>
              </w:rPr>
              <w:t>附有法定代表人身份证明的</w:t>
            </w:r>
            <w:r>
              <w:rPr>
                <w:rFonts w:hint="eastAsia" w:ascii="Times New Roman" w:hAnsi="Times New Roman" w:eastAsia="宋体"/>
                <w:color w:val="auto"/>
                <w:sz w:val="21"/>
                <w:highlight w:val="none"/>
                <w:lang w:val="zh-CN" w:eastAsia="zh-CN"/>
              </w:rPr>
              <w:t>授权委托书，且授权人和被授权人均在授权委托书上签名，未使用印</w:t>
            </w:r>
            <w:r>
              <w:rPr>
                <w:rFonts w:ascii="Times New Roman" w:hAnsi="Times New Roman" w:eastAsia="宋体"/>
                <w:color w:val="auto"/>
                <w:sz w:val="21"/>
                <w:highlight w:val="none"/>
                <w:lang w:val="zh-CN" w:eastAsia="zh-CN"/>
              </w:rPr>
              <w:t xml:space="preserve"> </w:t>
            </w:r>
            <w:r>
              <w:rPr>
                <w:rFonts w:hint="eastAsia" w:ascii="Times New Roman" w:hAnsi="Times New Roman" w:eastAsia="宋体"/>
                <w:color w:val="auto"/>
                <w:sz w:val="21"/>
                <w:highlight w:val="none"/>
                <w:lang w:val="zh-CN" w:eastAsia="zh-CN"/>
              </w:rPr>
              <w:t>章、签名章或其他电子制版签名代替。</w:t>
            </w:r>
          </w:p>
          <w:p>
            <w:pPr>
              <w:pStyle w:val="12"/>
              <w:pageBreakBefore w:val="0"/>
              <w:tabs>
                <w:tab w:val="left" w:pos="917"/>
              </w:tabs>
              <w:kinsoku/>
              <w:bidi w:val="0"/>
              <w:spacing w:before="157" w:beforeLines="50" w:line="360" w:lineRule="auto"/>
              <w:ind w:left="4" w:right="95" w:firstLine="518" w:firstLineChars="247"/>
              <w:jc w:val="both"/>
              <w:rPr>
                <w:rStyle w:val="13"/>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w:t>
            </w:r>
            <w:r>
              <w:rPr>
                <w:rFonts w:hint="eastAsia" w:ascii="Times New Roman" w:hAnsi="Times New Roman" w:eastAsia="宋体"/>
                <w:color w:val="auto"/>
                <w:sz w:val="21"/>
                <w:highlight w:val="none"/>
                <w:lang w:eastAsia="zh-CN"/>
              </w:rPr>
              <w:t>5）</w:t>
            </w:r>
            <w:r>
              <w:rPr>
                <w:rStyle w:val="13"/>
                <w:rFonts w:hint="eastAsia" w:ascii="Times New Roman" w:hAnsi="Times New Roman" w:eastAsia="宋体"/>
                <w:color w:val="auto"/>
                <w:sz w:val="21"/>
                <w:highlight w:val="none"/>
                <w:lang w:val="zh-CN" w:eastAsia="zh-CN"/>
              </w:rPr>
              <w:t>投标人法定代表人亲自签署投标文件的，提供了法定代表人 身份证明，且法定代表人在法定代表人身份证明上签名，未使用印章、 签名章或其他电子制版签名代替。</w:t>
            </w:r>
          </w:p>
          <w:p>
            <w:pPr>
              <w:pStyle w:val="12"/>
              <w:pageBreakBefore w:val="0"/>
              <w:tabs>
                <w:tab w:val="left" w:pos="917"/>
              </w:tabs>
              <w:kinsoku/>
              <w:bidi w:val="0"/>
              <w:spacing w:before="157" w:beforeLines="50" w:line="360" w:lineRule="auto"/>
              <w:ind w:left="4" w:right="95" w:firstLine="518" w:firstLineChars="247"/>
              <w:jc w:val="both"/>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w:t>
            </w:r>
            <w:r>
              <w:rPr>
                <w:rFonts w:hint="eastAsia" w:ascii="Times New Roman" w:hAnsi="Times New Roman" w:eastAsia="宋体"/>
                <w:color w:val="auto"/>
                <w:sz w:val="21"/>
                <w:highlight w:val="none"/>
                <w:lang w:eastAsia="zh-CN"/>
              </w:rPr>
              <w:t>6）</w:t>
            </w:r>
            <w:r>
              <w:rPr>
                <w:rStyle w:val="13"/>
                <w:rFonts w:hint="eastAsia" w:ascii="Times New Roman" w:hAnsi="Times New Roman" w:eastAsia="宋体"/>
                <w:color w:val="auto"/>
                <w:sz w:val="21"/>
                <w:highlight w:val="none"/>
                <w:lang w:val="zh-CN" w:eastAsia="zh-CN"/>
              </w:rPr>
              <w:t>投标人如有分包计划，符合招标文件第二章“投标人须知” 第1.11款规定，且按招标文件第九章“投标文件格式”的要求填写了“拟分包项目情况表”。</w:t>
            </w:r>
          </w:p>
          <w:p>
            <w:pPr>
              <w:pStyle w:val="12"/>
              <w:pageBreakBefore w:val="0"/>
              <w:tabs>
                <w:tab w:val="left" w:pos="917"/>
              </w:tabs>
              <w:kinsoku/>
              <w:bidi w:val="0"/>
              <w:spacing w:before="157" w:beforeLines="50" w:line="360" w:lineRule="auto"/>
              <w:ind w:left="524" w:right="95"/>
              <w:jc w:val="both"/>
              <w:rPr>
                <w:rStyle w:val="13"/>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w:t>
            </w:r>
            <w:r>
              <w:rPr>
                <w:rFonts w:hint="eastAsia" w:ascii="Times New Roman" w:hAnsi="Times New Roman" w:eastAsia="宋体"/>
                <w:color w:val="auto"/>
                <w:sz w:val="21"/>
                <w:highlight w:val="none"/>
                <w:lang w:eastAsia="zh-CN"/>
              </w:rPr>
              <w:t>7）</w:t>
            </w:r>
            <w:r>
              <w:rPr>
                <w:rStyle w:val="13"/>
                <w:rFonts w:hint="eastAsia" w:ascii="Times New Roman" w:hAnsi="Times New Roman" w:eastAsia="宋体"/>
                <w:color w:val="auto"/>
                <w:sz w:val="21"/>
                <w:highlight w:val="none"/>
                <w:lang w:val="zh-CN" w:eastAsia="zh-CN"/>
              </w:rPr>
              <w:t>投标文件中未出现有关投标报价的内容。</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（8）投标文件载明的招标项目完成期限未超过招标文件规定的时限。</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（9）投标文件对招标文件的实质性要求和条件作出响应。</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（10）权利义务符合招标文件规定：</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a.</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投标人应接受招标文件规定的风险划分原则，未提出新的风险划分办法；</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b.</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投标人未增加发包人的责任范围，或减少投标人义务；</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c.</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投标人未提出不同的工程验收、计量、支付办法；</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d.</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投标人对合同纠纷、事故处理办法未提出异议；</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e.</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投标人在投标活动中无欺诈行为；</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f.</w:t>
            </w:r>
            <w:r>
              <w:rPr>
                <w:rFonts w:hint="eastAsia" w:ascii="Times New Roman" w:hAnsi="Times New Roman" w:eastAsia="宋体"/>
                <w:color w:val="auto"/>
                <w:sz w:val="21"/>
                <w:highlight w:val="none"/>
                <w:lang w:val="zh-CN" w:eastAsia="zh-CN"/>
              </w:rPr>
              <w:tab/>
            </w:r>
            <w:r>
              <w:rPr>
                <w:rFonts w:hint="eastAsia" w:ascii="Times New Roman" w:hAnsi="Times New Roman" w:eastAsia="宋体"/>
                <w:color w:val="auto"/>
                <w:sz w:val="21"/>
                <w:highlight w:val="none"/>
                <w:lang w:val="zh-CN" w:eastAsia="zh-CN"/>
              </w:rPr>
              <w:t>投标人未对合同条款有重要保留。</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(11)投标文件正、副本份数符合招标文件第二章“投标人须知 第3.7.4项规定。</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（12）至投标文件递交截止日，投标人的法定代表人、拟委任的项目经理（含备选）、项目总工（含备选）近三年均没有因行贿犯罪而被人民法院判决、裁定生效的行为并在投标函中予以承诺。</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（13）投标文件未附有招标人不能接受的条件。</w:t>
            </w:r>
          </w:p>
          <w:p>
            <w:pPr>
              <w:pStyle w:val="12"/>
              <w:pageBreakBefore w:val="0"/>
              <w:tabs>
                <w:tab w:val="left" w:pos="917"/>
              </w:tabs>
              <w:kinsoku/>
              <w:bidi w:val="0"/>
              <w:spacing w:before="157" w:beforeLines="50" w:line="360" w:lineRule="auto"/>
              <w:ind w:left="524" w:right="95"/>
              <w:rPr>
                <w:rFonts w:ascii="Times New Roman" w:hAnsi="Times New Roman" w:eastAsia="宋体"/>
                <w:color w:val="auto"/>
                <w:sz w:val="21"/>
                <w:highlight w:val="none"/>
                <w:lang w:val="zh-CN" w:eastAsia="zh-CN"/>
              </w:rPr>
            </w:pPr>
          </w:p>
          <w:p>
            <w:pPr>
              <w:pStyle w:val="12"/>
              <w:pageBreakBefore w:val="0"/>
              <w:tabs>
                <w:tab w:val="left" w:pos="917"/>
              </w:tabs>
              <w:kinsoku/>
              <w:bidi w:val="0"/>
              <w:spacing w:before="157" w:beforeLines="50" w:line="360" w:lineRule="auto"/>
              <w:ind w:left="524" w:right="95"/>
              <w:rPr>
                <w:rFonts w:hint="eastAsia" w:ascii="Times New Roman" w:hAnsi="Times New Roman" w:eastAsia="宋体"/>
                <w:b/>
                <w:bCs/>
                <w:color w:val="auto"/>
                <w:sz w:val="21"/>
                <w:highlight w:val="none"/>
                <w:lang w:val="zh-CN" w:eastAsia="zh-CN"/>
              </w:rPr>
            </w:pPr>
            <w:r>
              <w:rPr>
                <w:rFonts w:hint="eastAsia" w:ascii="Times New Roman" w:hAnsi="Times New Roman" w:eastAsia="宋体"/>
                <w:b/>
                <w:bCs/>
                <w:color w:val="auto"/>
                <w:sz w:val="21"/>
                <w:highlight w:val="none"/>
                <w:lang w:val="zh-CN" w:eastAsia="zh-CN"/>
              </w:rPr>
              <w:t>第二个信封（报价文件）评审标准：</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(1)投标文件按照招标文件规定的格式、内容填写，字迹清晰可辨：</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a.投标函按招标文件规定填报了项目名称、标段号、补遗书编号（如 有)、投标价（包括大写金额和小写金额)；</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b.已标价工程量清单说明文字与招标文件规定一致，未进行实质性 修改和删减；</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c.投标文件（第二信封）组成齐全完整，内容均按规定填写。</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（2）投标文件上法定代表人或其委托代理人的签字、投标人的单位章盖章齐全，符合招标文件规定。</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（3）投标报价中的报价未超过招标文件设定的最高投标限价（如有)。</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（4）投标报价中报价的大写金额能够确定具体数值。</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（5）同一投标人未提交两个以上不同的投标报价，但招标文件要求提交备选投标的除外。</w:t>
            </w:r>
          </w:p>
          <w:p>
            <w:pPr>
              <w:pStyle w:val="12"/>
              <w:pageBreakBefore w:val="0"/>
              <w:tabs>
                <w:tab w:val="left" w:pos="917"/>
              </w:tabs>
              <w:kinsoku/>
              <w:bidi w:val="0"/>
              <w:spacing w:before="157" w:beforeLines="50" w:line="360" w:lineRule="auto"/>
              <w:ind w:left="524" w:right="95"/>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（6）投标人若填写工程量固化清单，填写完毕的工程量固化清单未对工程量固化清单电子文件中的数据、格式和运算定义进行修改；工程量固化清单中的投标报价和投标函大写金额报价一致。</w:t>
            </w:r>
          </w:p>
          <w:p>
            <w:pPr>
              <w:pStyle w:val="12"/>
              <w:pageBreakBefore w:val="0"/>
              <w:tabs>
                <w:tab w:val="left" w:pos="917"/>
              </w:tabs>
              <w:kinsoku/>
              <w:bidi w:val="0"/>
              <w:spacing w:before="157" w:beforeLines="50" w:line="360" w:lineRule="auto"/>
              <w:ind w:left="524" w:right="95"/>
              <w:jc w:val="both"/>
              <w:rPr>
                <w:rFonts w:hint="eastAsia" w:ascii="Times New Roman" w:hAnsi="Times New Roman" w:eastAsia="宋体"/>
                <w:color w:val="auto"/>
                <w:sz w:val="21"/>
                <w:highlight w:val="none"/>
                <w:lang w:val="zh-CN" w:eastAsia="zh-CN"/>
              </w:rPr>
            </w:pPr>
            <w:r>
              <w:rPr>
                <w:rFonts w:hint="eastAsia" w:ascii="Times New Roman" w:hAnsi="Times New Roman" w:eastAsia="宋体"/>
                <w:color w:val="auto"/>
                <w:sz w:val="21"/>
                <w:highlight w:val="none"/>
                <w:lang w:val="zh-CN" w:eastAsia="zh-CN"/>
              </w:rPr>
              <w:t xml:space="preserve"> （7）投标文件正、副本份数符合招标文件第二章“投标人须知”第 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825"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p>
        </w:tc>
        <w:tc>
          <w:tcPr>
            <w:tcW w:w="1251"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资格</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评审标准</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14"/>
              <w:pageBreakBefore w:val="0"/>
              <w:shd w:val="clear" w:color="auto" w:fill="auto"/>
              <w:kinsoku/>
              <w:bidi w:val="0"/>
              <w:spacing w:before="157" w:beforeLines="50" w:line="360" w:lineRule="auto"/>
              <w:rPr>
                <w:rStyle w:val="15"/>
                <w:rFonts w:hint="eastAsia" w:ascii="Times New Roman" w:hAnsi="Times New Roman" w:eastAsia="宋体"/>
                <w:color w:val="auto"/>
                <w:kern w:val="2"/>
                <w:sz w:val="21"/>
                <w:szCs w:val="24"/>
                <w:highlight w:val="none"/>
                <w:lang w:val="zh-CN" w:eastAsia="zh-CN"/>
              </w:rPr>
            </w:pPr>
            <w:r>
              <w:rPr>
                <w:rStyle w:val="15"/>
                <w:rFonts w:hint="eastAsia" w:ascii="Times New Roman" w:hAnsi="Times New Roman" w:eastAsia="宋体"/>
                <w:color w:val="auto"/>
                <w:kern w:val="2"/>
                <w:sz w:val="21"/>
                <w:szCs w:val="24"/>
                <w:highlight w:val="none"/>
                <w:lang w:val="en-US" w:eastAsia="zh-CN"/>
              </w:rPr>
              <w:t>（1）</w:t>
            </w:r>
            <w:r>
              <w:rPr>
                <w:rStyle w:val="15"/>
                <w:rFonts w:hint="eastAsia" w:ascii="Times New Roman" w:hAnsi="Times New Roman" w:eastAsia="宋体"/>
                <w:color w:val="auto"/>
                <w:kern w:val="2"/>
                <w:sz w:val="21"/>
                <w:szCs w:val="24"/>
                <w:highlight w:val="none"/>
                <w:lang w:val="zh-CN" w:eastAsia="zh-CN"/>
              </w:rPr>
              <w:t>投标人具备有效的营业执照、组织机构代码证</w:t>
            </w:r>
            <w:r>
              <w:rPr>
                <w:rFonts w:hint="eastAsia" w:ascii="Times New Roman" w:hAnsi="Times New Roman" w:eastAsia="宋体" w:cs="MingLiU"/>
                <w:color w:val="auto"/>
                <w:kern w:val="2"/>
                <w:sz w:val="21"/>
                <w:szCs w:val="24"/>
                <w:highlight w:val="none"/>
                <w:lang w:val="en-US" w:eastAsia="zh-CN"/>
              </w:rPr>
              <w:t>（如有）</w:t>
            </w:r>
            <w:r>
              <w:rPr>
                <w:rStyle w:val="15"/>
                <w:rFonts w:hint="eastAsia" w:ascii="Times New Roman" w:hAnsi="Times New Roman" w:eastAsia="宋体"/>
                <w:color w:val="auto"/>
                <w:kern w:val="2"/>
                <w:sz w:val="21"/>
                <w:szCs w:val="24"/>
                <w:highlight w:val="none"/>
                <w:lang w:val="zh-CN" w:eastAsia="zh-CN"/>
              </w:rPr>
              <w:t>、资质证书、</w:t>
            </w:r>
            <w:r>
              <w:rPr>
                <w:rStyle w:val="15"/>
                <w:rFonts w:ascii="Times New Roman" w:hAnsi="Times New Roman" w:eastAsia="宋体"/>
                <w:color w:val="auto"/>
                <w:kern w:val="2"/>
                <w:sz w:val="21"/>
                <w:szCs w:val="24"/>
                <w:highlight w:val="none"/>
                <w:lang w:val="zh-CN" w:eastAsia="zh-CN"/>
              </w:rPr>
              <w:t xml:space="preserve"> </w:t>
            </w:r>
            <w:r>
              <w:rPr>
                <w:rStyle w:val="15"/>
                <w:rFonts w:hint="eastAsia" w:ascii="Times New Roman" w:hAnsi="Times New Roman" w:eastAsia="宋体"/>
                <w:color w:val="auto"/>
                <w:kern w:val="2"/>
                <w:sz w:val="21"/>
                <w:szCs w:val="24"/>
                <w:highlight w:val="none"/>
                <w:lang w:val="zh-CN" w:eastAsia="zh-CN"/>
              </w:rPr>
              <w:t>安全生产许可证和基本账户开户许可证；</w:t>
            </w:r>
          </w:p>
          <w:p>
            <w:pPr>
              <w:pStyle w:val="14"/>
              <w:pageBreakBefore w:val="0"/>
              <w:shd w:val="clear" w:color="auto" w:fill="auto"/>
              <w:kinsoku/>
              <w:bidi w:val="0"/>
              <w:spacing w:before="157" w:beforeLines="50" w:line="360" w:lineRule="auto"/>
              <w:rPr>
                <w:rStyle w:val="15"/>
                <w:rFonts w:ascii="Times New Roman" w:hAnsi="Times New Roman" w:eastAsia="宋体"/>
                <w:color w:val="auto"/>
                <w:kern w:val="2"/>
                <w:sz w:val="21"/>
                <w:szCs w:val="24"/>
                <w:highlight w:val="none"/>
                <w:lang w:val="zh-CN" w:eastAsia="zh-CN"/>
              </w:rPr>
            </w:pPr>
            <w:r>
              <w:rPr>
                <w:rStyle w:val="15"/>
                <w:rFonts w:hint="eastAsia" w:ascii="Times New Roman" w:hAnsi="Times New Roman" w:eastAsia="宋体"/>
                <w:color w:val="auto"/>
                <w:kern w:val="2"/>
                <w:sz w:val="21"/>
                <w:szCs w:val="24"/>
                <w:highlight w:val="none"/>
                <w:lang w:val="zh-CN" w:eastAsia="zh-CN"/>
              </w:rPr>
              <w:t>（2）投标人的资质等级符合招标文件规定；</w:t>
            </w:r>
          </w:p>
          <w:p>
            <w:pPr>
              <w:pStyle w:val="14"/>
              <w:pageBreakBefore w:val="0"/>
              <w:shd w:val="clear" w:color="auto" w:fill="auto"/>
              <w:kinsoku/>
              <w:bidi w:val="0"/>
              <w:spacing w:before="157" w:beforeLines="50" w:line="360" w:lineRule="auto"/>
              <w:rPr>
                <w:rStyle w:val="15"/>
                <w:rFonts w:ascii="Times New Roman" w:hAnsi="Times New Roman" w:eastAsia="宋体"/>
                <w:color w:val="auto"/>
                <w:kern w:val="2"/>
                <w:sz w:val="21"/>
                <w:szCs w:val="24"/>
                <w:highlight w:val="none"/>
                <w:lang w:val="zh-CN" w:eastAsia="zh-CN"/>
              </w:rPr>
            </w:pPr>
            <w:r>
              <w:rPr>
                <w:rStyle w:val="15"/>
                <w:rFonts w:hint="eastAsia" w:ascii="Times New Roman" w:hAnsi="Times New Roman" w:eastAsia="宋体"/>
                <w:color w:val="auto"/>
                <w:kern w:val="2"/>
                <w:sz w:val="21"/>
                <w:szCs w:val="24"/>
                <w:highlight w:val="none"/>
                <w:lang w:val="zh-CN" w:eastAsia="zh-CN"/>
              </w:rPr>
              <w:t>（3）投标人的财务状况符合招标文件规定；</w:t>
            </w:r>
          </w:p>
          <w:p>
            <w:pPr>
              <w:pStyle w:val="14"/>
              <w:pageBreakBefore w:val="0"/>
              <w:shd w:val="clear" w:color="auto" w:fill="auto"/>
              <w:kinsoku/>
              <w:bidi w:val="0"/>
              <w:spacing w:before="157" w:beforeLines="50" w:line="360" w:lineRule="auto"/>
              <w:rPr>
                <w:rStyle w:val="15"/>
                <w:rFonts w:ascii="Times New Roman" w:hAnsi="Times New Roman" w:eastAsia="宋体"/>
                <w:color w:val="auto"/>
                <w:kern w:val="2"/>
                <w:sz w:val="21"/>
                <w:szCs w:val="24"/>
                <w:highlight w:val="none"/>
                <w:lang w:val="zh-CN" w:eastAsia="zh-CN"/>
              </w:rPr>
            </w:pPr>
            <w:r>
              <w:rPr>
                <w:rStyle w:val="15"/>
                <w:rFonts w:hint="eastAsia" w:ascii="Times New Roman" w:hAnsi="Times New Roman" w:eastAsia="宋体"/>
                <w:color w:val="auto"/>
                <w:kern w:val="2"/>
                <w:sz w:val="21"/>
                <w:szCs w:val="24"/>
                <w:highlight w:val="none"/>
                <w:lang w:val="zh-CN" w:eastAsia="zh-CN"/>
              </w:rPr>
              <w:t>（4）投标人的类似项目业绩符合招标文件规定；</w:t>
            </w:r>
          </w:p>
          <w:p>
            <w:pPr>
              <w:pStyle w:val="14"/>
              <w:pageBreakBefore w:val="0"/>
              <w:shd w:val="clear" w:color="auto" w:fill="auto"/>
              <w:kinsoku/>
              <w:bidi w:val="0"/>
              <w:spacing w:before="157" w:beforeLines="50" w:line="360" w:lineRule="auto"/>
              <w:rPr>
                <w:rStyle w:val="15"/>
                <w:rFonts w:ascii="Times New Roman" w:hAnsi="Times New Roman" w:eastAsia="宋体"/>
                <w:color w:val="auto"/>
                <w:kern w:val="2"/>
                <w:sz w:val="21"/>
                <w:szCs w:val="24"/>
                <w:highlight w:val="none"/>
                <w:lang w:val="zh-CN" w:eastAsia="zh-CN"/>
              </w:rPr>
            </w:pPr>
            <w:r>
              <w:rPr>
                <w:rStyle w:val="15"/>
                <w:rFonts w:hint="eastAsia" w:ascii="Times New Roman" w:hAnsi="Times New Roman" w:eastAsia="宋体"/>
                <w:color w:val="auto"/>
                <w:kern w:val="2"/>
                <w:sz w:val="21"/>
                <w:szCs w:val="24"/>
                <w:highlight w:val="none"/>
                <w:lang w:val="zh-CN" w:eastAsia="zh-CN"/>
              </w:rPr>
              <w:t>（5）投标人的信誉符合招标文件规定；</w:t>
            </w:r>
          </w:p>
          <w:p>
            <w:pPr>
              <w:pStyle w:val="14"/>
              <w:pageBreakBefore w:val="0"/>
              <w:shd w:val="clear" w:color="auto" w:fill="auto"/>
              <w:kinsoku/>
              <w:bidi w:val="0"/>
              <w:spacing w:before="157" w:beforeLines="50" w:line="360" w:lineRule="auto"/>
              <w:rPr>
                <w:rFonts w:ascii="Times New Roman" w:hAnsi="Times New Roman" w:eastAsia="宋体" w:cs="MingLiU"/>
                <w:color w:val="auto"/>
                <w:kern w:val="2"/>
                <w:sz w:val="21"/>
                <w:szCs w:val="24"/>
                <w:highlight w:val="none"/>
                <w:lang w:val="en-US" w:eastAsia="zh-CN"/>
              </w:rPr>
            </w:pPr>
            <w:r>
              <w:rPr>
                <w:rStyle w:val="15"/>
                <w:rFonts w:hint="eastAsia" w:ascii="Times New Roman" w:hAnsi="Times New Roman" w:eastAsia="宋体"/>
                <w:color w:val="auto"/>
                <w:kern w:val="2"/>
                <w:sz w:val="21"/>
                <w:szCs w:val="24"/>
                <w:highlight w:val="none"/>
                <w:lang w:val="zh-CN" w:eastAsia="zh-CN"/>
              </w:rPr>
              <w:t>（6）</w:t>
            </w:r>
            <w:r>
              <w:rPr>
                <w:rStyle w:val="15"/>
                <w:rFonts w:hint="eastAsia" w:ascii="Times New Roman" w:hAnsi="Times New Roman" w:eastAsia="宋体"/>
                <w:color w:val="auto"/>
                <w:kern w:val="2"/>
                <w:sz w:val="21"/>
                <w:szCs w:val="24"/>
                <w:highlight w:val="none"/>
                <w:lang w:val="en-US" w:eastAsia="zh-CN"/>
              </w:rPr>
              <w:t>投标人的项目经理和项目总工资格（均含备选，如有）、在岗情况</w:t>
            </w:r>
            <w:r>
              <w:rPr>
                <w:rStyle w:val="16"/>
                <w:rFonts w:hint="eastAsia" w:ascii="Times New Roman" w:hAnsi="Times New Roman" w:eastAsia="宋体"/>
                <w:color w:val="auto"/>
                <w:kern w:val="2"/>
                <w:highlight w:val="none"/>
                <w:lang w:val="zh-CN" w:eastAsia="zh-CN"/>
              </w:rPr>
              <w:t>符合招标文件规定；</w:t>
            </w:r>
          </w:p>
          <w:p>
            <w:pPr>
              <w:pStyle w:val="17"/>
              <w:pageBreakBefore w:val="0"/>
              <w:shd w:val="clear" w:color="auto" w:fill="auto"/>
              <w:tabs>
                <w:tab w:val="left" w:pos="1075"/>
              </w:tabs>
              <w:kinsoku/>
              <w:bidi w:val="0"/>
              <w:spacing w:before="157" w:beforeLines="50" w:line="360" w:lineRule="auto"/>
              <w:jc w:val="both"/>
              <w:rPr>
                <w:rFonts w:ascii="Times New Roman" w:hAnsi="Times New Roman" w:eastAsia="宋体" w:cs="MingLiU"/>
                <w:color w:val="auto"/>
                <w:kern w:val="2"/>
                <w:highlight w:val="none"/>
                <w:lang w:val="en-US" w:eastAsia="zh-CN"/>
              </w:rPr>
            </w:pPr>
            <w:r>
              <w:rPr>
                <w:rStyle w:val="16"/>
                <w:rFonts w:hint="eastAsia" w:ascii="Times New Roman" w:hAnsi="Times New Roman" w:eastAsia="宋体"/>
                <w:color w:val="auto"/>
                <w:kern w:val="2"/>
                <w:highlight w:val="none"/>
                <w:lang w:val="en-US" w:eastAsia="zh-CN"/>
              </w:rPr>
              <w:t>（7）</w:t>
            </w:r>
            <w:r>
              <w:rPr>
                <w:rStyle w:val="16"/>
                <w:rFonts w:hint="eastAsia" w:ascii="Times New Roman" w:hAnsi="Times New Roman" w:eastAsia="宋体"/>
                <w:color w:val="auto"/>
                <w:kern w:val="2"/>
                <w:highlight w:val="none"/>
                <w:lang w:val="zh-CN" w:eastAsia="zh-CN"/>
              </w:rPr>
              <w:t>投标人的其他要求符合招标文件规定</w:t>
            </w:r>
            <w:r>
              <w:rPr>
                <w:rStyle w:val="16"/>
                <w:rFonts w:hint="eastAsia" w:ascii="Times New Roman" w:hAnsi="Times New Roman" w:eastAsia="宋体"/>
                <w:color w:val="auto"/>
                <w:kern w:val="2"/>
                <w:highlight w:val="none"/>
                <w:vertAlign w:val="subscript"/>
                <w:lang w:val="zh-CN" w:eastAsia="zh-CN"/>
              </w:rPr>
              <w:t>；</w:t>
            </w:r>
          </w:p>
          <w:p>
            <w:pPr>
              <w:pStyle w:val="17"/>
              <w:pageBreakBefore w:val="0"/>
              <w:shd w:val="clear" w:color="auto" w:fill="auto"/>
              <w:tabs>
                <w:tab w:val="left" w:pos="943"/>
              </w:tabs>
              <w:kinsoku/>
              <w:bidi w:val="0"/>
              <w:spacing w:before="157" w:beforeLines="50" w:line="360" w:lineRule="auto"/>
              <w:jc w:val="both"/>
              <w:rPr>
                <w:rFonts w:ascii="Times New Roman" w:hAnsi="Times New Roman" w:eastAsia="宋体" w:cs="MingLiU"/>
                <w:color w:val="auto"/>
                <w:kern w:val="2"/>
                <w:highlight w:val="none"/>
                <w:lang w:val="en-US" w:eastAsia="zh-CN"/>
              </w:rPr>
            </w:pPr>
            <w:r>
              <w:rPr>
                <w:rStyle w:val="16"/>
                <w:rFonts w:hint="eastAsia" w:ascii="Times New Roman" w:hAnsi="Times New Roman" w:eastAsia="宋体"/>
                <w:color w:val="auto"/>
                <w:kern w:val="2"/>
                <w:highlight w:val="none"/>
                <w:lang w:val="en-US" w:eastAsia="zh-CN"/>
              </w:rPr>
              <w:t>（8）</w:t>
            </w:r>
            <w:r>
              <w:rPr>
                <w:rStyle w:val="16"/>
                <w:rFonts w:hint="eastAsia" w:ascii="Times New Roman" w:hAnsi="Times New Roman" w:eastAsia="宋体"/>
                <w:color w:val="auto"/>
                <w:kern w:val="2"/>
                <w:highlight w:val="none"/>
                <w:lang w:val="zh-CN" w:eastAsia="zh-CN"/>
              </w:rPr>
              <w:t>投标人不存在第二章“投标人须知”第</w:t>
            </w:r>
            <w:r>
              <w:rPr>
                <w:rStyle w:val="16"/>
                <w:rFonts w:ascii="Times New Roman" w:hAnsi="Times New Roman" w:eastAsia="宋体"/>
                <w:color w:val="auto"/>
                <w:kern w:val="2"/>
                <w:highlight w:val="none"/>
                <w:lang w:val="en-US" w:eastAsia="zh-CN"/>
              </w:rPr>
              <w:t>1.4.3</w:t>
            </w:r>
            <w:r>
              <w:rPr>
                <w:rStyle w:val="16"/>
                <w:rFonts w:hint="eastAsia" w:ascii="Times New Roman" w:hAnsi="Times New Roman" w:eastAsia="宋体"/>
                <w:color w:val="auto"/>
                <w:kern w:val="2"/>
                <w:highlight w:val="none"/>
                <w:lang w:val="zh-CN" w:eastAsia="zh-CN"/>
              </w:rPr>
              <w:t>项或第</w:t>
            </w:r>
            <w:r>
              <w:rPr>
                <w:rStyle w:val="16"/>
                <w:rFonts w:ascii="Times New Roman" w:hAnsi="Times New Roman" w:eastAsia="宋体"/>
                <w:color w:val="auto"/>
                <w:kern w:val="2"/>
                <w:highlight w:val="none"/>
                <w:lang w:val="en-US" w:eastAsia="zh-CN"/>
              </w:rPr>
              <w:t>1.4.4</w:t>
            </w:r>
            <w:r>
              <w:rPr>
                <w:rStyle w:val="16"/>
                <w:rFonts w:hint="eastAsia" w:ascii="Times New Roman" w:hAnsi="Times New Roman" w:eastAsia="宋体"/>
                <w:color w:val="auto"/>
                <w:kern w:val="2"/>
                <w:highlight w:val="none"/>
                <w:lang w:val="zh-CN" w:eastAsia="zh-CN"/>
              </w:rPr>
              <w:t>项规定的任何一种情形；</w:t>
            </w:r>
          </w:p>
          <w:p>
            <w:pPr>
              <w:pageBreakBefore w:val="0"/>
              <w:kinsoku/>
              <w:bidi w:val="0"/>
              <w:spacing w:before="157" w:beforeLines="50" w:line="360" w:lineRule="auto"/>
              <w:rPr>
                <w:rFonts w:hint="eastAsia" w:ascii="Times New Roman" w:hAnsi="Times New Roman" w:eastAsia="宋体" w:cs="宋体"/>
                <w:color w:val="auto"/>
                <w:szCs w:val="21"/>
                <w:highlight w:val="none"/>
              </w:rPr>
            </w:pPr>
            <w:r>
              <w:rPr>
                <w:rStyle w:val="16"/>
                <w:rFonts w:hint="eastAsia" w:ascii="Times New Roman" w:hAnsi="Times New Roman" w:eastAsia="宋体"/>
                <w:color w:val="auto"/>
                <w:highlight w:val="none"/>
              </w:rPr>
              <w:t>（9）</w:t>
            </w:r>
            <w:r>
              <w:rPr>
                <w:rStyle w:val="16"/>
                <w:rFonts w:hint="eastAsia" w:ascii="Times New Roman" w:hAnsi="Times New Roman" w:eastAsia="宋体"/>
                <w:color w:val="auto"/>
                <w:highlight w:val="none"/>
                <w:lang w:val="zh-CN"/>
              </w:rPr>
              <w:t>投标人符合第二章</w:t>
            </w:r>
            <w:r>
              <w:rPr>
                <w:rStyle w:val="16"/>
                <w:rFonts w:hint="eastAsia" w:ascii="Times New Roman" w:hAnsi="Times New Roman" w:eastAsia="宋体"/>
                <w:color w:val="auto"/>
                <w:highlight w:val="none"/>
              </w:rPr>
              <w:t>“</w:t>
            </w:r>
            <w:r>
              <w:rPr>
                <w:rStyle w:val="16"/>
                <w:rFonts w:hint="eastAsia" w:ascii="Times New Roman" w:hAnsi="Times New Roman" w:eastAsia="宋体"/>
                <w:color w:val="auto"/>
                <w:highlight w:val="none"/>
                <w:lang w:val="zh-CN"/>
              </w:rPr>
              <w:t>投标人须知</w:t>
            </w:r>
            <w:r>
              <w:rPr>
                <w:rStyle w:val="16"/>
                <w:rFonts w:hint="eastAsia" w:ascii="Times New Roman" w:hAnsi="Times New Roman" w:eastAsia="宋体"/>
                <w:color w:val="auto"/>
                <w:highlight w:val="none"/>
              </w:rPr>
              <w:t>”</w:t>
            </w:r>
            <w:r>
              <w:rPr>
                <w:rStyle w:val="16"/>
                <w:rFonts w:hint="eastAsia" w:ascii="Times New Roman" w:hAnsi="Times New Roman" w:eastAsia="宋体"/>
                <w:color w:val="auto"/>
                <w:highlight w:val="none"/>
                <w:lang w:val="zh-CN"/>
              </w:rPr>
              <w:t>第</w:t>
            </w:r>
            <w:r>
              <w:rPr>
                <w:rStyle w:val="16"/>
                <w:rFonts w:ascii="Times New Roman" w:hAnsi="Times New Roman" w:eastAsia="宋体"/>
                <w:color w:val="auto"/>
                <w:highlight w:val="none"/>
              </w:rPr>
              <w:t>1.4.5</w:t>
            </w:r>
            <w:r>
              <w:rPr>
                <w:rStyle w:val="16"/>
                <w:rFonts w:hint="eastAsia" w:ascii="Times New Roman" w:hAnsi="Times New Roman" w:eastAsia="宋体"/>
                <w:color w:val="auto"/>
                <w:highlight w:val="none"/>
                <w:lang w:val="zh-CN"/>
              </w:rPr>
              <w:t>项规定</w:t>
            </w:r>
            <w:r>
              <w:rPr>
                <w:rStyle w:val="16"/>
                <w:rFonts w:hint="eastAsia" w:ascii="Times New Roman" w:hAnsi="Times New Roman" w:eastAsia="宋体"/>
                <w:color w:val="auto"/>
                <w:highlight w:val="none"/>
                <w:vertAlign w:val="subscript"/>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8" w:hRule="atLeast"/>
        </w:trPr>
        <w:tc>
          <w:tcPr>
            <w:tcW w:w="825"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p>
        </w:tc>
        <w:tc>
          <w:tcPr>
            <w:tcW w:w="1251"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分值构成</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（总分100分）</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napToGrid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第一个信封（商务及技术文件）评分分值构成：</w:t>
            </w:r>
          </w:p>
          <w:p>
            <w:pPr>
              <w:pageBreakBefore w:val="0"/>
              <w:kinsoku/>
              <w:bidi w:val="0"/>
              <w:snapToGrid w:val="0"/>
              <w:spacing w:before="157" w:beforeLines="50" w:line="360" w:lineRule="auto"/>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施工组织设计（A</w:t>
            </w: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w:t>
            </w:r>
            <w:r>
              <w:rPr>
                <w:rFonts w:hint="eastAsia" w:ascii="Times New Roman" w:hAnsi="Times New Roman" w:eastAsia="宋体" w:cs="宋体"/>
                <w:bCs/>
                <w:color w:val="auto"/>
                <w:szCs w:val="21"/>
                <w:highlight w:val="none"/>
                <w:u w:val="single"/>
              </w:rPr>
              <w:t>5分</w:t>
            </w:r>
          </w:p>
          <w:p>
            <w:pPr>
              <w:pageBreakBefore w:val="0"/>
              <w:kinsoku/>
              <w:bidi w:val="0"/>
              <w:snapToGrid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主要人员(B)：  </w:t>
            </w:r>
            <w:r>
              <w:rPr>
                <w:rFonts w:hint="eastAsia" w:ascii="Times New Roman" w:hAnsi="Times New Roman" w:eastAsia="宋体" w:cs="宋体"/>
                <w:color w:val="auto"/>
                <w:szCs w:val="21"/>
                <w:highlight w:val="none"/>
                <w:u w:val="single"/>
              </w:rPr>
              <w:t xml:space="preserve">0  </w:t>
            </w:r>
            <w:r>
              <w:rPr>
                <w:rFonts w:hint="eastAsia" w:ascii="Times New Roman" w:hAnsi="Times New Roman" w:eastAsia="宋体" w:cs="宋体"/>
                <w:color w:val="auto"/>
                <w:szCs w:val="21"/>
                <w:highlight w:val="none"/>
              </w:rPr>
              <w:t>分</w:t>
            </w:r>
          </w:p>
          <w:p>
            <w:pPr>
              <w:pageBreakBefore w:val="0"/>
              <w:kinsoku/>
              <w:bidi w:val="0"/>
              <w:snapToGrid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其它因素(D)</w:t>
            </w:r>
          </w:p>
          <w:p>
            <w:pPr>
              <w:pageBreakBefore w:val="0"/>
              <w:kinsoku/>
              <w:bidi w:val="0"/>
              <w:snapToGrid w:val="0"/>
              <w:spacing w:before="157" w:beforeLines="50" w:line="360" w:lineRule="auto"/>
              <w:ind w:firstLine="315" w:firstLineChars="150"/>
              <w:rPr>
                <w:rFonts w:hint="eastAsia" w:ascii="Times New Roman" w:hAnsi="Times New Roman" w:eastAsia="宋体" w:cs="宋体"/>
                <w:color w:val="auto"/>
                <w:szCs w:val="21"/>
                <w:highlight w:val="none"/>
                <w:u w:val="single"/>
              </w:rPr>
            </w:pPr>
            <w:r>
              <w:rPr>
                <w:rFonts w:hint="eastAsia" w:ascii="Times New Roman" w:hAnsi="Times New Roman" w:eastAsia="宋体"/>
                <w:color w:val="auto"/>
                <w:szCs w:val="21"/>
                <w:highlight w:val="none"/>
              </w:rPr>
              <w:t>设备配置</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5分</w:t>
            </w:r>
          </w:p>
          <w:p>
            <w:pPr>
              <w:pageBreakBefore w:val="0"/>
              <w:kinsoku/>
              <w:bidi w:val="0"/>
              <w:snapToGrid w:val="0"/>
              <w:spacing w:before="157" w:beforeLines="50"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u w:val="single"/>
              </w:rPr>
              <w:t>财务能力：1分</w:t>
            </w:r>
            <w:r>
              <w:rPr>
                <w:rFonts w:hint="eastAsia" w:ascii="Times New Roman" w:hAnsi="Times New Roman" w:eastAsia="宋体" w:cs="宋体"/>
                <w:color w:val="auto"/>
                <w:szCs w:val="21"/>
                <w:highlight w:val="none"/>
              </w:rPr>
              <w:t xml:space="preserve"> </w:t>
            </w:r>
          </w:p>
          <w:p>
            <w:pPr>
              <w:pageBreakBefore w:val="0"/>
              <w:kinsoku/>
              <w:bidi w:val="0"/>
              <w:snapToGrid w:val="0"/>
              <w:spacing w:before="157" w:beforeLines="50" w:line="360" w:lineRule="auto"/>
              <w:ind w:firstLine="315" w:firstLineChars="150"/>
              <w:rPr>
                <w:rFonts w:hint="eastAsia" w:ascii="Times New Roman" w:hAnsi="Times New Roman" w:eastAsia="宋体" w:cs="宋体"/>
                <w:color w:val="auto"/>
                <w:szCs w:val="21"/>
                <w:highlight w:val="none"/>
                <w:u w:val="single"/>
              </w:rPr>
            </w:pPr>
            <w:r>
              <w:rPr>
                <w:rFonts w:hint="eastAsia" w:ascii="Times New Roman" w:hAnsi="Times New Roman" w:eastAsia="宋体" w:cs="宋体"/>
                <w:color w:val="auto"/>
                <w:szCs w:val="21"/>
                <w:highlight w:val="none"/>
              </w:rPr>
              <w:t>业    绩：</w:t>
            </w:r>
            <w:r>
              <w:rPr>
                <w:rFonts w:hint="eastAsia" w:ascii="Times New Roman" w:hAnsi="Times New Roman" w:eastAsia="宋体" w:cs="宋体"/>
                <w:color w:val="auto"/>
                <w:szCs w:val="21"/>
                <w:highlight w:val="none"/>
                <w:u w:val="single"/>
              </w:rPr>
              <w:t>4分</w:t>
            </w:r>
          </w:p>
          <w:p>
            <w:pPr>
              <w:pageBreakBefore w:val="0"/>
              <w:kinsoku/>
              <w:bidi w:val="0"/>
              <w:snapToGrid w:val="0"/>
              <w:spacing w:before="157" w:beforeLines="50" w:line="360" w:lineRule="auto"/>
              <w:ind w:firstLine="315" w:firstLineChars="150"/>
              <w:rPr>
                <w:rFonts w:hint="eastAsia" w:ascii="Times New Roman" w:hAnsi="Times New Roman" w:eastAsia="宋体" w:cs="宋体"/>
                <w:color w:val="auto"/>
                <w:szCs w:val="21"/>
                <w:highlight w:val="none"/>
                <w:u w:val="single"/>
              </w:rPr>
            </w:pPr>
            <w:r>
              <w:rPr>
                <w:rFonts w:hint="eastAsia" w:ascii="Times New Roman" w:hAnsi="Times New Roman" w:eastAsia="宋体" w:cs="宋体"/>
                <w:color w:val="auto"/>
                <w:szCs w:val="21"/>
                <w:highlight w:val="none"/>
              </w:rPr>
              <w:t>履约信誉：</w:t>
            </w:r>
            <w:r>
              <w:rPr>
                <w:rFonts w:hint="eastAsia" w:ascii="Times New Roman" w:hAnsi="Times New Roman" w:eastAsia="宋体" w:cs="宋体"/>
                <w:bCs/>
                <w:color w:val="auto"/>
                <w:szCs w:val="21"/>
                <w:highlight w:val="none"/>
                <w:u w:val="single"/>
              </w:rPr>
              <w:t>5分</w:t>
            </w:r>
          </w:p>
          <w:p>
            <w:pPr>
              <w:pageBreakBefore w:val="0"/>
              <w:kinsoku/>
              <w:bidi w:val="0"/>
              <w:snapToGrid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第二个信封报价（评标价）的分值(C)：</w:t>
            </w:r>
          </w:p>
          <w:p>
            <w:pPr>
              <w:pStyle w:val="17"/>
              <w:pageBreakBefore w:val="0"/>
              <w:shd w:val="clear" w:color="auto" w:fill="auto"/>
              <w:kinsoku/>
              <w:bidi w:val="0"/>
              <w:spacing w:before="157" w:beforeLines="50" w:line="360" w:lineRule="auto"/>
              <w:jc w:val="both"/>
              <w:rPr>
                <w:rFonts w:hint="eastAsia" w:ascii="Times New Roman" w:hAnsi="Times New Roman" w:eastAsia="宋体" w:cs="宋体"/>
                <w:color w:val="auto"/>
                <w:kern w:val="2"/>
                <w:sz w:val="21"/>
                <w:szCs w:val="21"/>
                <w:highlight w:val="none"/>
                <w:lang w:val="en-US" w:eastAsia="zh-CN"/>
              </w:rPr>
            </w:pPr>
            <w:r>
              <w:rPr>
                <w:rStyle w:val="18"/>
                <w:rFonts w:hint="eastAsia" w:ascii="Times New Roman" w:hAnsi="Times New Roman" w:eastAsia="宋体"/>
                <w:b w:val="0"/>
                <w:color w:val="auto"/>
                <w:kern w:val="2"/>
                <w:sz w:val="21"/>
                <w:szCs w:val="21"/>
                <w:highlight w:val="none"/>
                <w:lang w:val="en-US" w:eastAsia="zh-CN"/>
              </w:rPr>
              <w:t xml:space="preserve">   </w:t>
            </w:r>
            <w:r>
              <w:rPr>
                <w:rStyle w:val="18"/>
                <w:rFonts w:hint="eastAsia" w:ascii="Times New Roman" w:hAnsi="Times New Roman" w:eastAsia="宋体"/>
                <w:b w:val="0"/>
                <w:color w:val="auto"/>
                <w:kern w:val="2"/>
                <w:sz w:val="21"/>
                <w:szCs w:val="21"/>
                <w:highlight w:val="none"/>
                <w:lang w:val="zh-CN" w:eastAsia="zh-CN"/>
              </w:rPr>
              <w:t>第二个信封（报价文件）评分分值构成：</w:t>
            </w:r>
          </w:p>
          <w:p>
            <w:pPr>
              <w:pageBreakBefore w:val="0"/>
              <w:kinsoku/>
              <w:bidi w:val="0"/>
              <w:snapToGrid w:val="0"/>
              <w:spacing w:before="157" w:beforeLines="50" w:line="360" w:lineRule="auto"/>
              <w:rPr>
                <w:rStyle w:val="16"/>
                <w:rFonts w:hint="eastAsia" w:ascii="Times New Roman" w:hAnsi="Times New Roman" w:eastAsia="宋体"/>
                <w:color w:val="auto"/>
                <w:highlight w:val="none"/>
              </w:rPr>
            </w:pPr>
            <w:r>
              <w:rPr>
                <w:rFonts w:hint="eastAsia" w:ascii="Times New Roman" w:hAnsi="Times New Roman" w:eastAsia="宋体" w:cs="宋体"/>
                <w:color w:val="auto"/>
                <w:szCs w:val="21"/>
                <w:highlight w:val="none"/>
              </w:rPr>
              <w:t xml:space="preserve">   评标价：</w:t>
            </w:r>
            <w:r>
              <w:rPr>
                <w:rFonts w:hint="eastAsia" w:ascii="Times New Roman" w:hAnsi="Times New Roman" w:eastAsia="宋体" w:cs="宋体"/>
                <w:bCs/>
                <w:color w:val="auto"/>
                <w:szCs w:val="21"/>
                <w:highlight w:val="none"/>
                <w:u w:val="single"/>
              </w:rPr>
              <w:t>80</w:t>
            </w:r>
            <w:r>
              <w:rPr>
                <w:rFonts w:hint="eastAsia" w:ascii="Times New Roman" w:hAnsi="Times New Roman"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3" w:hRule="atLeast"/>
        </w:trPr>
        <w:tc>
          <w:tcPr>
            <w:tcW w:w="825"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2.2.2</w:t>
            </w:r>
          </w:p>
        </w:tc>
        <w:tc>
          <w:tcPr>
            <w:tcW w:w="1251"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评标</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基准价</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计算方法</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ind w:firstLine="210" w:firstLineChars="1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评标基准价的计算：</w:t>
            </w:r>
          </w:p>
          <w:p>
            <w:pPr>
              <w:pageBreakBefore w:val="0"/>
              <w:kinsoku/>
              <w:bidi w:val="0"/>
              <w:spacing w:before="157" w:beforeLines="50" w:line="360" w:lineRule="auto"/>
              <w:ind w:firstLine="210" w:firstLineChars="100"/>
              <w:jc w:val="left"/>
              <w:rPr>
                <w:rFonts w:hint="eastAsia" w:ascii="Times New Roman" w:hAnsi="Times New Roman" w:eastAsia="宋体" w:cs="宋体"/>
                <w:color w:val="auto"/>
                <w:szCs w:val="21"/>
                <w:highlight w:val="none"/>
              </w:rPr>
            </w:pPr>
            <w:r>
              <w:rPr>
                <w:rStyle w:val="16"/>
                <w:rFonts w:hint="eastAsia" w:ascii="Times New Roman" w:hAnsi="Times New Roman" w:eastAsia="宋体"/>
                <w:color w:val="auto"/>
                <w:sz w:val="21"/>
                <w:szCs w:val="21"/>
                <w:highlight w:val="none"/>
                <w:lang w:val="zh-CN"/>
              </w:rPr>
              <w:t>在开标现场，招标人将当场计算并宣布评标基准价。</w:t>
            </w:r>
          </w:p>
          <w:p>
            <w:pPr>
              <w:pageBreakBefore w:val="0"/>
              <w:kinsoku/>
              <w:bidi w:val="0"/>
              <w:spacing w:before="157" w:beforeLines="50" w:line="360" w:lineRule="auto"/>
              <w:ind w:firstLine="210" w:firstLineChars="1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（1）评标价的确定：</w:t>
            </w:r>
          </w:p>
          <w:p>
            <w:pPr>
              <w:pageBreakBefore w:val="0"/>
              <w:kinsoku/>
              <w:bidi w:val="0"/>
              <w:spacing w:before="157" w:beforeLines="50" w:line="360" w:lineRule="auto"/>
              <w:ind w:firstLine="210" w:firstLineChars="1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评标价＝投标函文字报价</w:t>
            </w:r>
          </w:p>
          <w:p>
            <w:pPr>
              <w:pageBreakBefore w:val="0"/>
              <w:numPr>
                <w:ilvl w:val="0"/>
                <w:numId w:val="2"/>
              </w:numPr>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最高评标限价的确定</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最高投标限价下浮率在开标前在开标现场采取摇珠方式确定。摇珠操作办法如下：在下浮率摇珠范围内，以0.1%为一档次增序确定摇珠号码，不少于</w:t>
            </w:r>
            <w:r>
              <w:rPr>
                <w:rFonts w:hint="eastAsia" w:ascii="Times New Roman" w:hAnsi="Times New Roman" w:eastAsia="宋体"/>
                <w:caps w:val="0"/>
                <w:color w:val="auto"/>
                <w:highlight w:val="none"/>
                <w:lang w:eastAsia="zh-CN"/>
              </w:rPr>
              <w:t>3</w:t>
            </w:r>
            <w:r>
              <w:rPr>
                <w:rFonts w:hint="eastAsia" w:ascii="Times New Roman" w:hAnsi="Times New Roman" w:eastAsia="宋体"/>
                <w:color w:val="auto"/>
                <w:highlight w:val="none"/>
              </w:rPr>
              <w:t>1个球，一次性摇出3 个球（摇出的球不放回），摇出3个球对应的下浮率的平均值即为本项目招标的下浮率。</w:t>
            </w:r>
          </w:p>
          <w:p>
            <w:pPr>
              <w:pageBreakBefore w:val="0"/>
              <w:kinsoku/>
              <w:autoSpaceDE w:val="0"/>
              <w:autoSpaceDN w:val="0"/>
              <w:bidi w:val="0"/>
              <w:spacing w:before="157" w:beforeLines="50" w:line="360" w:lineRule="auto"/>
              <w:ind w:firstLine="211" w:firstLineChars="100"/>
              <w:rPr>
                <w:rFonts w:hint="eastAsia" w:ascii="Times New Roman" w:hAnsi="Times New Roman" w:eastAsia="宋体" w:cs="宋体"/>
                <w:color w:val="auto"/>
                <w:szCs w:val="21"/>
                <w:highlight w:val="none"/>
              </w:rPr>
            </w:pPr>
            <w:r>
              <w:rPr>
                <w:rFonts w:hint="eastAsia" w:ascii="Times New Roman" w:hAnsi="Times New Roman" w:eastAsia="宋体"/>
                <w:b/>
                <w:snapToGrid w:val="0"/>
                <w:color w:val="auto"/>
                <w:szCs w:val="21"/>
                <w:highlight w:val="none"/>
              </w:rPr>
              <w:t>（注：下浮率范围控制在2%</w:t>
            </w:r>
            <w:r>
              <w:rPr>
                <w:rFonts w:hint="eastAsia" w:ascii="Times New Roman" w:hAnsi="Times New Roman" w:eastAsia="宋体" w:cs="宋体"/>
                <w:b/>
                <w:snapToGrid w:val="0"/>
                <w:color w:val="auto"/>
                <w:szCs w:val="21"/>
                <w:highlight w:val="none"/>
              </w:rPr>
              <w:t>～</w:t>
            </w:r>
            <w:r>
              <w:rPr>
                <w:rFonts w:hint="eastAsia" w:ascii="Times New Roman" w:hAnsi="Times New Roman" w:eastAsia="宋体"/>
                <w:b/>
                <w:caps w:val="0"/>
                <w:snapToGrid w:val="0"/>
                <w:color w:val="auto"/>
                <w:szCs w:val="21"/>
                <w:highlight w:val="none"/>
                <w:lang w:eastAsia="zh-CN"/>
              </w:rPr>
              <w:t>5</w:t>
            </w:r>
            <w:r>
              <w:rPr>
                <w:rFonts w:hint="eastAsia" w:ascii="Times New Roman" w:hAnsi="Times New Roman" w:eastAsia="宋体"/>
                <w:b/>
                <w:snapToGrid w:val="0"/>
                <w:color w:val="auto"/>
                <w:szCs w:val="21"/>
                <w:highlight w:val="none"/>
              </w:rPr>
              <w:t>%，三个下浮率的平均值四舍五入取整到0.001％）。</w:t>
            </w:r>
          </w:p>
          <w:p>
            <w:pPr>
              <w:pageBreakBefore w:val="0"/>
              <w:kinsoku/>
              <w:bidi w:val="0"/>
              <w:spacing w:before="157" w:beforeLines="50" w:line="360" w:lineRule="auto"/>
              <w:ind w:firstLine="36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18"/>
                <w:szCs w:val="18"/>
                <w:highlight w:val="none"/>
              </w:rPr>
              <w:t xml:space="preserve"> </w:t>
            </w:r>
            <w:r>
              <w:rPr>
                <w:rFonts w:hint="eastAsia" w:ascii="Times New Roman" w:hAnsi="Times New Roman" w:eastAsia="宋体"/>
                <w:color w:val="auto"/>
                <w:highlight w:val="none"/>
              </w:rPr>
              <w:t>最高评标限价＝最高投标限价×（1-下浮率）</w:t>
            </w:r>
          </w:p>
          <w:p>
            <w:pPr>
              <w:pageBreakBefore w:val="0"/>
              <w:kinsoku/>
              <w:bidi w:val="0"/>
              <w:spacing w:before="157" w:beforeLines="50"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(3)有效评标价范围：</w:t>
            </w:r>
          </w:p>
          <w:p>
            <w:pPr>
              <w:pageBreakBefore w:val="0"/>
              <w:kinsoku/>
              <w:bidi w:val="0"/>
              <w:spacing w:before="157" w:beforeLines="50"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有效评标价范围：不大于招标人最高评标限价的评标价为有效评标价。大于招标人最高评标限价的评标价，将否决其投标。</w:t>
            </w:r>
          </w:p>
          <w:p>
            <w:pPr>
              <w:pageBreakBefore w:val="0"/>
              <w:kinsoku/>
              <w:bidi w:val="0"/>
              <w:spacing w:before="157" w:beforeLines="50"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（4）评标基准价的确定：</w:t>
            </w:r>
          </w:p>
          <w:p>
            <w:pPr>
              <w:pageBreakBefore w:val="0"/>
              <w:kinsoku/>
              <w:bidi w:val="0"/>
              <w:spacing w:before="157" w:beforeLines="50"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招标人最高评标限价下浮1%为评标基准价。</w:t>
            </w:r>
          </w:p>
          <w:p>
            <w:pPr>
              <w:pageBreakBefore w:val="0"/>
              <w:kinsoku/>
              <w:bidi w:val="0"/>
              <w:snapToGrid w:val="0"/>
              <w:spacing w:before="157" w:beforeLines="50" w:line="360" w:lineRule="auto"/>
              <w:ind w:firstLine="181" w:firstLineChars="100"/>
              <w:rPr>
                <w:rFonts w:hint="eastAsia" w:ascii="Times New Roman" w:hAnsi="Times New Roman" w:eastAsia="宋体" w:cs="宋体"/>
                <w:color w:val="auto"/>
                <w:szCs w:val="21"/>
                <w:highlight w:val="none"/>
              </w:rPr>
            </w:pPr>
            <w:r>
              <w:rPr>
                <w:rFonts w:hint="eastAsia" w:ascii="Times New Roman" w:hAnsi="Times New Roman" w:eastAsia="宋体" w:cs="宋体"/>
                <w:b/>
                <w:color w:val="auto"/>
                <w:sz w:val="18"/>
                <w:szCs w:val="18"/>
                <w:highlight w:val="none"/>
              </w:rPr>
              <w:t>（注: 招标人最高评标限价、评标基准价四舍五入至个位整数。）</w:t>
            </w:r>
            <w:r>
              <w:rPr>
                <w:rFonts w:hint="eastAsia" w:ascii="Times New Roman" w:hAnsi="Times New Roman" w:eastAsia="宋体" w:cs="宋体"/>
                <w:color w:val="auto"/>
                <w:sz w:val="18"/>
                <w:szCs w:val="18"/>
                <w:highlight w:val="none"/>
              </w:rPr>
              <w:t xml:space="preserve">  </w:t>
            </w:r>
            <w:r>
              <w:rPr>
                <w:rFonts w:hint="eastAsia" w:ascii="Times New Roman" w:hAnsi="Times New Roman" w:eastAsia="宋体" w:cs="宋体"/>
                <w:vanish/>
                <w:color w:val="auto"/>
                <w:sz w:val="18"/>
                <w:szCs w:val="18"/>
                <w:highlight w:val="none"/>
              </w:rPr>
              <w:c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825"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w:t>
            </w:r>
          </w:p>
        </w:tc>
        <w:tc>
          <w:tcPr>
            <w:tcW w:w="1251" w:type="dxa"/>
            <w:tcBorders>
              <w:top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评标价</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的偏差率计算公式</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偏差率=100% ×（投标人评标价－评标基准价）/评标基准价</w:t>
            </w:r>
          </w:p>
          <w:p>
            <w:pPr>
              <w:pageBreakBefore w:val="0"/>
              <w:kinsoku/>
              <w:bidi w:val="0"/>
              <w:spacing w:before="157" w:beforeLines="50" w:line="360" w:lineRule="auto"/>
              <w:rPr>
                <w:rFonts w:hint="eastAsia" w:ascii="Times New Roman" w:hAnsi="Times New Roman" w:eastAsia="宋体" w:cs="宋体"/>
                <w:b/>
                <w:color w:val="auto"/>
                <w:sz w:val="18"/>
                <w:szCs w:val="18"/>
                <w:highlight w:val="none"/>
              </w:rPr>
            </w:pPr>
            <w:r>
              <w:rPr>
                <w:rFonts w:hint="eastAsia" w:ascii="Times New Roman" w:hAnsi="Times New Roman" w:eastAsia="宋体" w:cs="宋体"/>
                <w:color w:val="auto"/>
                <w:szCs w:val="21"/>
                <w:highlight w:val="none"/>
              </w:rPr>
              <w:t>注：偏差率精确至小数点后四位</w:t>
            </w:r>
          </w:p>
        </w:tc>
      </w:tr>
    </w:tbl>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
        <w:gridCol w:w="792"/>
        <w:gridCol w:w="1158"/>
        <w:gridCol w:w="620"/>
        <w:gridCol w:w="467"/>
        <w:gridCol w:w="455"/>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428" w:type="dxa"/>
            <w:gridSpan w:val="7"/>
            <w:noWrap w:val="0"/>
            <w:vAlign w:val="top"/>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评分因素与权重分值</w:t>
            </w:r>
          </w:p>
        </w:tc>
        <w:tc>
          <w:tcPr>
            <w:tcW w:w="4872" w:type="dxa"/>
            <w:vMerge w:val="restart"/>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6" w:type="dxa"/>
            <w:gridSpan w:val="2"/>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条款号</w:t>
            </w:r>
          </w:p>
        </w:tc>
        <w:tc>
          <w:tcPr>
            <w:tcW w:w="792"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评分</w:t>
            </w:r>
          </w:p>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因素</w:t>
            </w:r>
          </w:p>
        </w:tc>
        <w:tc>
          <w:tcPr>
            <w:tcW w:w="1158"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评分因素权重分值</w:t>
            </w:r>
          </w:p>
        </w:tc>
        <w:tc>
          <w:tcPr>
            <w:tcW w:w="1087" w:type="dxa"/>
            <w:gridSpan w:val="2"/>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各评分因素细分项</w:t>
            </w:r>
          </w:p>
        </w:tc>
        <w:tc>
          <w:tcPr>
            <w:tcW w:w="455"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分值</w:t>
            </w:r>
          </w:p>
        </w:tc>
        <w:tc>
          <w:tcPr>
            <w:tcW w:w="4872" w:type="dxa"/>
            <w:vMerge w:val="continue"/>
            <w:noWrap w:val="0"/>
            <w:vAlign w:val="top"/>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gridSpan w:val="2"/>
            <w:vMerge w:val="restart"/>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2.2.4（1）</w:t>
            </w:r>
          </w:p>
        </w:tc>
        <w:tc>
          <w:tcPr>
            <w:tcW w:w="792" w:type="dxa"/>
            <w:vMerge w:val="restart"/>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施工组织设计</w:t>
            </w:r>
          </w:p>
        </w:tc>
        <w:tc>
          <w:tcPr>
            <w:tcW w:w="1158" w:type="dxa"/>
            <w:vMerge w:val="restart"/>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5分</w:t>
            </w:r>
          </w:p>
        </w:tc>
        <w:tc>
          <w:tcPr>
            <w:tcW w:w="1087" w:type="dxa"/>
            <w:gridSpan w:val="2"/>
            <w:noWrap w:val="0"/>
            <w:vAlign w:val="center"/>
          </w:tcPr>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工期保证</w:t>
            </w:r>
          </w:p>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体系及</w:t>
            </w:r>
          </w:p>
          <w:p>
            <w:pPr>
              <w:pageBreakBefore w:val="0"/>
              <w:kinsoku/>
              <w:bidi w:val="0"/>
              <w:spacing w:before="157" w:beforeLines="50" w:line="360" w:lineRule="auto"/>
              <w:jc w:val="center"/>
              <w:rPr>
                <w:rFonts w:ascii="Times New Roman" w:hAnsi="Times New Roman" w:eastAsia="宋体"/>
                <w:color w:val="auto"/>
                <w:spacing w:val="20"/>
                <w:szCs w:val="21"/>
                <w:highlight w:val="none"/>
              </w:rPr>
            </w:pPr>
            <w:r>
              <w:rPr>
                <w:rFonts w:hint="eastAsia" w:ascii="Times New Roman" w:hAnsi="Times New Roman" w:eastAsia="宋体"/>
                <w:color w:val="auto"/>
                <w:szCs w:val="21"/>
                <w:highlight w:val="none"/>
              </w:rPr>
              <w:t>保证措施</w:t>
            </w:r>
          </w:p>
        </w:tc>
        <w:tc>
          <w:tcPr>
            <w:tcW w:w="455"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1分</w:t>
            </w:r>
          </w:p>
        </w:tc>
        <w:tc>
          <w:tcPr>
            <w:tcW w:w="4872" w:type="dxa"/>
            <w:noWrap w:val="0"/>
            <w:vAlign w:val="center"/>
          </w:tcPr>
          <w:p>
            <w:pPr>
              <w:pageBreakBefore w:val="0"/>
              <w:kinsoku/>
              <w:bidi w:val="0"/>
              <w:spacing w:before="157" w:beforeLines="50" w:line="360" w:lineRule="auto"/>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进度控制措施得当，对本项目的工期重要性理解特别透彻，对地形地貌特征、重点工序、天气、关键设备故障、与其他承包人衔接、社会环境等问题有切实可行的应对或应急方案，计划科学合理，可操作性性高，得0.8～1分；</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2、工期保证体系及保证措施基本可行，内容较为充实、全面的，得0.6～0.8分； </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s="宋体"/>
                <w:color w:val="auto"/>
                <w:kern w:val="0"/>
                <w:szCs w:val="21"/>
                <w:highlight w:val="none"/>
              </w:rPr>
              <w:t xml:space="preserve"> 一般但不被评定为不响应的，</w:t>
            </w:r>
            <w:r>
              <w:rPr>
                <w:rFonts w:hint="eastAsia" w:ascii="Times New Roman" w:hAnsi="Times New Roman" w:eastAsia="宋体"/>
                <w:color w:val="auto"/>
                <w:szCs w:val="21"/>
                <w:highlight w:val="none"/>
              </w:rPr>
              <w:t>起评分0.6分。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gridSpan w:val="2"/>
            <w:vMerge w:val="continue"/>
            <w:noWrap w:val="0"/>
            <w:vAlign w:val="top"/>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792" w:type="dxa"/>
            <w:vMerge w:val="continue"/>
            <w:noWrap w:val="0"/>
            <w:vAlign w:val="top"/>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1158" w:type="dxa"/>
            <w:vMerge w:val="continue"/>
            <w:noWrap w:val="0"/>
            <w:vAlign w:val="top"/>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1087" w:type="dxa"/>
            <w:gridSpan w:val="2"/>
            <w:noWrap w:val="0"/>
            <w:vAlign w:val="center"/>
          </w:tcPr>
          <w:p>
            <w:pPr>
              <w:pageBreakBefore w:val="0"/>
              <w:kinsoku/>
              <w:bidi w:val="0"/>
              <w:spacing w:before="157" w:beforeLines="50" w:line="360" w:lineRule="auto"/>
              <w:jc w:val="center"/>
              <w:rPr>
                <w:rFonts w:ascii="Times New Roman" w:hAnsi="Times New Roman" w:eastAsia="宋体"/>
                <w:color w:val="auto"/>
                <w:spacing w:val="20"/>
                <w:szCs w:val="21"/>
                <w:highlight w:val="none"/>
              </w:rPr>
            </w:pPr>
            <w:r>
              <w:rPr>
                <w:rFonts w:hint="eastAsia" w:ascii="Times New Roman" w:hAnsi="Times New Roman" w:eastAsia="宋体"/>
                <w:color w:val="auto"/>
                <w:szCs w:val="21"/>
                <w:highlight w:val="none"/>
              </w:rPr>
              <w:t xml:space="preserve"> 质量、安全保证体系及保证措施</w:t>
            </w:r>
          </w:p>
        </w:tc>
        <w:tc>
          <w:tcPr>
            <w:tcW w:w="455"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2分</w:t>
            </w:r>
          </w:p>
        </w:tc>
        <w:tc>
          <w:tcPr>
            <w:tcW w:w="4872" w:type="dxa"/>
            <w:noWrap w:val="0"/>
            <w:vAlign w:val="center"/>
          </w:tcPr>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1、对本项目质量及安全控制有透彻的认识，能采取有效的施工方法和措施，保证工程质量稳定，对施工过程中可能发生的各种质量和安全问题有深刻的认识和合理的预见，并有相应的应对措施，应对措施应科学、充分，能有效处理各种突发问题的，得1.6～2分； </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2、对本项目质量及安全控制有一定的认识，基本能合理的预见施工过程中可能发生的各种质量和安全问题，并有相应的应对措施，应对措施较为科学、充分，基本能有效处理各种质量和安全问题的，得 1.2～1.6分； </w:t>
            </w:r>
          </w:p>
          <w:p>
            <w:pPr>
              <w:pageBreakBefore w:val="0"/>
              <w:kinsoku/>
              <w:bidi w:val="0"/>
              <w:spacing w:before="157" w:beforeLines="50" w:line="360" w:lineRule="auto"/>
              <w:ind w:firstLine="105" w:firstLineChars="50"/>
              <w:jc w:val="left"/>
              <w:rPr>
                <w:rFonts w:ascii="Times New Roman" w:hAnsi="Times New Roman" w:eastAsia="宋体" w:cs="宋体"/>
                <w:color w:val="auto"/>
                <w:kern w:val="0"/>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s="宋体"/>
                <w:color w:val="auto"/>
                <w:kern w:val="0"/>
                <w:szCs w:val="21"/>
                <w:highlight w:val="none"/>
              </w:rPr>
              <w:t>一般但不被评定为不响应的，</w:t>
            </w:r>
            <w:r>
              <w:rPr>
                <w:rFonts w:hint="eastAsia" w:ascii="Times New Roman" w:hAnsi="Times New Roman" w:eastAsia="宋体"/>
                <w:color w:val="auto"/>
                <w:szCs w:val="21"/>
                <w:highlight w:val="none"/>
              </w:rPr>
              <w:t>起评分1.2分。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gridSpan w:val="2"/>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792" w:type="dxa"/>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1158" w:type="dxa"/>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1087" w:type="dxa"/>
            <w:gridSpan w:val="2"/>
            <w:noWrap w:val="0"/>
            <w:vAlign w:val="center"/>
          </w:tcPr>
          <w:p>
            <w:pPr>
              <w:pageBreakBefore w:val="0"/>
              <w:kinsoku/>
              <w:bidi w:val="0"/>
              <w:spacing w:before="157" w:beforeLines="50" w:line="360" w:lineRule="auto"/>
              <w:jc w:val="center"/>
              <w:rPr>
                <w:rFonts w:ascii="Times New Roman" w:hAnsi="Times New Roman" w:eastAsia="宋体"/>
                <w:color w:val="auto"/>
                <w:spacing w:val="20"/>
                <w:szCs w:val="21"/>
                <w:highlight w:val="none"/>
              </w:rPr>
            </w:pPr>
            <w:r>
              <w:rPr>
                <w:rFonts w:ascii="Times New Roman" w:hAnsi="Times New Roman" w:eastAsia="宋体"/>
                <w:color w:val="auto"/>
                <w:spacing w:val="20"/>
                <w:szCs w:val="21"/>
                <w:highlight w:val="none"/>
              </w:rPr>
              <w:t>交通组织</w:t>
            </w:r>
          </w:p>
          <w:p>
            <w:pPr>
              <w:pageBreakBefore w:val="0"/>
              <w:kinsoku/>
              <w:bidi w:val="0"/>
              <w:spacing w:before="157" w:beforeLines="50" w:line="360" w:lineRule="auto"/>
              <w:jc w:val="center"/>
              <w:rPr>
                <w:rFonts w:hint="eastAsia" w:ascii="Times New Roman" w:hAnsi="Times New Roman" w:eastAsia="宋体"/>
                <w:color w:val="auto"/>
                <w:spacing w:val="20"/>
                <w:szCs w:val="21"/>
                <w:highlight w:val="none"/>
              </w:rPr>
            </w:pPr>
          </w:p>
        </w:tc>
        <w:tc>
          <w:tcPr>
            <w:tcW w:w="455" w:type="dxa"/>
            <w:noWrap w:val="0"/>
            <w:vAlign w:val="center"/>
          </w:tcPr>
          <w:p>
            <w:pPr>
              <w:pageBreakBefore w:val="0"/>
              <w:tabs>
                <w:tab w:val="left" w:pos="1260"/>
              </w:tabs>
              <w:kinsoku/>
              <w:bidi w:val="0"/>
              <w:snapToGrid w:val="0"/>
              <w:spacing w:before="157" w:beforeLines="50" w:line="360" w:lineRule="auto"/>
              <w:ind w:left="11"/>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1分</w:t>
            </w:r>
          </w:p>
        </w:tc>
        <w:tc>
          <w:tcPr>
            <w:tcW w:w="4872" w:type="dxa"/>
            <w:noWrap w:val="0"/>
            <w:vAlign w:val="center"/>
          </w:tcPr>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ascii="Times New Roman" w:hAnsi="Times New Roman" w:eastAsia="宋体"/>
                <w:color w:val="auto"/>
                <w:szCs w:val="21"/>
                <w:highlight w:val="none"/>
              </w:rPr>
              <w:t>交通组织方案科学可行</w:t>
            </w:r>
            <w:r>
              <w:rPr>
                <w:rFonts w:hint="eastAsia" w:ascii="Times New Roman" w:hAnsi="Times New Roman" w:eastAsia="宋体"/>
                <w:color w:val="auto"/>
                <w:szCs w:val="21"/>
                <w:highlight w:val="none"/>
              </w:rPr>
              <w:t>，</w:t>
            </w:r>
            <w:r>
              <w:rPr>
                <w:rFonts w:ascii="Times New Roman" w:hAnsi="Times New Roman" w:eastAsia="宋体"/>
                <w:color w:val="auto"/>
                <w:szCs w:val="21"/>
                <w:highlight w:val="none"/>
              </w:rPr>
              <w:t>交通组织机构健全，分工明确，责任明晰，管理</w:t>
            </w:r>
            <w:r>
              <w:rPr>
                <w:rFonts w:hint="eastAsia" w:ascii="Times New Roman" w:hAnsi="Times New Roman" w:eastAsia="宋体"/>
                <w:color w:val="auto"/>
                <w:szCs w:val="21"/>
                <w:highlight w:val="none"/>
              </w:rPr>
              <w:t>措施得力</w:t>
            </w:r>
            <w:r>
              <w:rPr>
                <w:rFonts w:ascii="Times New Roman" w:hAnsi="Times New Roman" w:eastAsia="宋体"/>
                <w:color w:val="auto"/>
                <w:szCs w:val="21"/>
                <w:highlight w:val="none"/>
              </w:rPr>
              <w:t>，能有效保证施工安全和高速公路营运畅通，并有相应的应急方案，能满足本项目交通组织的要求</w:t>
            </w:r>
            <w:r>
              <w:rPr>
                <w:rFonts w:hint="eastAsia" w:ascii="Times New Roman" w:hAnsi="Times New Roman" w:eastAsia="宋体"/>
                <w:color w:val="auto"/>
                <w:szCs w:val="21"/>
                <w:highlight w:val="none"/>
              </w:rPr>
              <w:t xml:space="preserve">，得0.8～1分； </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w:t>
            </w:r>
            <w:r>
              <w:rPr>
                <w:rFonts w:ascii="Times New Roman" w:hAnsi="Times New Roman" w:eastAsia="宋体"/>
                <w:color w:val="auto"/>
                <w:szCs w:val="21"/>
                <w:highlight w:val="none"/>
              </w:rPr>
              <w:t>交通组织方案</w:t>
            </w:r>
            <w:r>
              <w:rPr>
                <w:rFonts w:hint="eastAsia" w:ascii="Times New Roman" w:hAnsi="Times New Roman" w:eastAsia="宋体"/>
                <w:color w:val="auto"/>
                <w:szCs w:val="21"/>
                <w:highlight w:val="none"/>
              </w:rPr>
              <w:t>基本</w:t>
            </w:r>
            <w:r>
              <w:rPr>
                <w:rFonts w:ascii="Times New Roman" w:hAnsi="Times New Roman" w:eastAsia="宋体"/>
                <w:color w:val="auto"/>
                <w:szCs w:val="21"/>
                <w:highlight w:val="none"/>
              </w:rPr>
              <w:t>可行</w:t>
            </w:r>
            <w:r>
              <w:rPr>
                <w:rFonts w:hint="eastAsia" w:ascii="Times New Roman" w:hAnsi="Times New Roman" w:eastAsia="宋体"/>
                <w:color w:val="auto"/>
                <w:szCs w:val="21"/>
                <w:highlight w:val="none"/>
              </w:rPr>
              <w:t>，有建立</w:t>
            </w:r>
            <w:r>
              <w:rPr>
                <w:rFonts w:ascii="Times New Roman" w:hAnsi="Times New Roman" w:eastAsia="宋体"/>
                <w:color w:val="auto"/>
                <w:szCs w:val="21"/>
                <w:highlight w:val="none"/>
              </w:rPr>
              <w:t>交通组织机构健全，能保证施工安全和高速公路营运畅通，并有相应的应急方案，</w:t>
            </w:r>
            <w:r>
              <w:rPr>
                <w:rFonts w:hint="eastAsia" w:ascii="Times New Roman" w:hAnsi="Times New Roman" w:eastAsia="宋体"/>
                <w:color w:val="auto"/>
                <w:szCs w:val="21"/>
                <w:highlight w:val="none"/>
              </w:rPr>
              <w:t>基本</w:t>
            </w:r>
            <w:r>
              <w:rPr>
                <w:rFonts w:ascii="Times New Roman" w:hAnsi="Times New Roman" w:eastAsia="宋体"/>
                <w:color w:val="auto"/>
                <w:szCs w:val="21"/>
                <w:highlight w:val="none"/>
              </w:rPr>
              <w:t>能满足本项目交通组织的要求</w:t>
            </w:r>
            <w:r>
              <w:rPr>
                <w:rFonts w:hint="eastAsia" w:ascii="Times New Roman" w:hAnsi="Times New Roman" w:eastAsia="宋体"/>
                <w:color w:val="auto"/>
                <w:szCs w:val="21"/>
                <w:highlight w:val="none"/>
              </w:rPr>
              <w:t xml:space="preserve">，得0.6～0.8分； </w:t>
            </w:r>
          </w:p>
          <w:p>
            <w:pPr>
              <w:pageBreakBefore w:val="0"/>
              <w:kinsoku/>
              <w:bidi w:val="0"/>
              <w:spacing w:before="157" w:beforeLines="50" w:line="360" w:lineRule="auto"/>
              <w:ind w:firstLine="105" w:firstLineChars="50"/>
              <w:jc w:val="left"/>
              <w:rPr>
                <w:rFonts w:ascii="Times New Roman" w:hAnsi="Times New Roman" w:eastAsia="宋体" w:cs="宋体"/>
                <w:color w:val="auto"/>
                <w:kern w:val="0"/>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s="宋体"/>
                <w:color w:val="auto"/>
                <w:kern w:val="0"/>
                <w:szCs w:val="21"/>
                <w:highlight w:val="none"/>
              </w:rPr>
              <w:t>一般但不被评定为不响应的，</w:t>
            </w:r>
            <w:r>
              <w:rPr>
                <w:rFonts w:hint="eastAsia" w:ascii="Times New Roman" w:hAnsi="Times New Roman" w:eastAsia="宋体"/>
                <w:color w:val="auto"/>
                <w:szCs w:val="21"/>
                <w:highlight w:val="none"/>
              </w:rPr>
              <w:t>起评分0.6分。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36" w:type="dxa"/>
            <w:gridSpan w:val="2"/>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792" w:type="dxa"/>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1158" w:type="dxa"/>
            <w:vMerge w:val="continue"/>
            <w:noWrap w:val="0"/>
            <w:vAlign w:val="top"/>
          </w:tcPr>
          <w:p>
            <w:pPr>
              <w:pageBreakBefore w:val="0"/>
              <w:kinsoku/>
              <w:bidi w:val="0"/>
              <w:spacing w:before="157" w:beforeLines="50" w:line="360" w:lineRule="auto"/>
              <w:jc w:val="center"/>
              <w:rPr>
                <w:rFonts w:ascii="Times New Roman" w:hAnsi="Times New Roman" w:eastAsia="宋体"/>
                <w:color w:val="auto"/>
                <w:highlight w:val="none"/>
              </w:rPr>
            </w:pPr>
          </w:p>
        </w:tc>
        <w:tc>
          <w:tcPr>
            <w:tcW w:w="1087" w:type="dxa"/>
            <w:gridSpan w:val="2"/>
            <w:noWrap w:val="0"/>
            <w:vAlign w:val="center"/>
          </w:tcPr>
          <w:p>
            <w:pPr>
              <w:pageBreakBefore w:val="0"/>
              <w:kinsoku/>
              <w:bidi w:val="0"/>
              <w:spacing w:before="157"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环境保护、文明施工保证体系及措施</w:t>
            </w:r>
          </w:p>
        </w:tc>
        <w:tc>
          <w:tcPr>
            <w:tcW w:w="455"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1分</w:t>
            </w:r>
          </w:p>
        </w:tc>
        <w:tc>
          <w:tcPr>
            <w:tcW w:w="4872" w:type="dxa"/>
            <w:noWrap w:val="0"/>
            <w:vAlign w:val="center"/>
          </w:tcPr>
          <w:p>
            <w:pPr>
              <w:pageBreakBefore w:val="0"/>
              <w:kinsoku/>
              <w:autoSpaceDE w:val="0"/>
              <w:autoSpaceDN w:val="0"/>
              <w:bidi w:val="0"/>
              <w:adjustRightInd w:val="0"/>
              <w:spacing w:before="157" w:beforeLines="50" w:line="360" w:lineRule="auto"/>
              <w:jc w:val="left"/>
              <w:rPr>
                <w:rFonts w:hint="eastAsia" w:ascii="Times New Roman" w:hAnsi="Times New Roman" w:eastAsia="宋体" w:cs="宋体"/>
                <w:color w:val="auto"/>
                <w:kern w:val="0"/>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s="宋体"/>
                <w:color w:val="auto"/>
                <w:kern w:val="0"/>
                <w:szCs w:val="21"/>
                <w:highlight w:val="none"/>
              </w:rPr>
              <w:t>对本项目的环保及文明施工等工作有独到的见解，能制定科学的措施，施工做到符合环保的要求，对文明施工有相应的措施，能创造良好的施工环境的，</w:t>
            </w:r>
            <w:r>
              <w:rPr>
                <w:rFonts w:hint="eastAsia" w:ascii="Times New Roman" w:hAnsi="Times New Roman" w:eastAsia="宋体"/>
                <w:color w:val="auto"/>
                <w:szCs w:val="21"/>
                <w:highlight w:val="none"/>
              </w:rPr>
              <w:t xml:space="preserve">得 0.8～1分； </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2、对工程环保及文明施工等工作制定有相关的措施， 基本能满足本项目环保及文明施工的要求的，得0.6～0.8分； </w:t>
            </w:r>
          </w:p>
          <w:p>
            <w:pPr>
              <w:pageBreakBefore w:val="0"/>
              <w:kinsoku/>
              <w:bidi w:val="0"/>
              <w:spacing w:before="157" w:beforeLines="50" w:line="360" w:lineRule="auto"/>
              <w:ind w:firstLine="105" w:firstLineChars="5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s="宋体"/>
                <w:color w:val="auto"/>
                <w:kern w:val="0"/>
                <w:szCs w:val="21"/>
                <w:highlight w:val="none"/>
              </w:rPr>
              <w:t>一般但不被评定为不响应的，</w:t>
            </w:r>
            <w:r>
              <w:rPr>
                <w:rFonts w:hint="eastAsia" w:ascii="Times New Roman" w:hAnsi="Times New Roman" w:eastAsia="宋体"/>
                <w:color w:val="auto"/>
                <w:szCs w:val="21"/>
                <w:highlight w:val="none"/>
              </w:rPr>
              <w:t>起评分0.6分。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86" w:type="dxa"/>
            <w:gridSpan w:val="4"/>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条款号</w:t>
            </w:r>
          </w:p>
        </w:tc>
        <w:tc>
          <w:tcPr>
            <w:tcW w:w="6414" w:type="dxa"/>
            <w:gridSpan w:val="4"/>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8"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2.2.4（2）</w:t>
            </w:r>
          </w:p>
        </w:tc>
        <w:tc>
          <w:tcPr>
            <w:tcW w:w="900" w:type="dxa"/>
            <w:gridSpan w:val="2"/>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主要人员</w:t>
            </w:r>
          </w:p>
        </w:tc>
        <w:tc>
          <w:tcPr>
            <w:tcW w:w="1158"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0</w:t>
            </w:r>
            <w:r>
              <w:rPr>
                <w:rFonts w:ascii="Times New Roman" w:hAnsi="Times New Roman" w:eastAsia="宋体"/>
                <w:color w:val="auto"/>
                <w:szCs w:val="21"/>
                <w:highlight w:val="none"/>
              </w:rPr>
              <w:t>分</w:t>
            </w:r>
          </w:p>
        </w:tc>
        <w:tc>
          <w:tcPr>
            <w:tcW w:w="6414" w:type="dxa"/>
            <w:gridSpan w:val="4"/>
            <w:noWrap w:val="0"/>
            <w:vAlign w:val="top"/>
          </w:tcPr>
          <w:p>
            <w:pPr>
              <w:pageBreakBefore w:val="0"/>
              <w:kinsoku/>
              <w:bidi w:val="0"/>
              <w:spacing w:before="157" w:beforeLines="50" w:line="360" w:lineRule="auto"/>
              <w:rPr>
                <w:rFonts w:hint="eastAsia" w:ascii="Times New Roman" w:hAnsi="Times New Roman"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2.2.4（3）</w:t>
            </w:r>
          </w:p>
        </w:tc>
        <w:tc>
          <w:tcPr>
            <w:tcW w:w="900" w:type="dxa"/>
            <w:gridSpan w:val="2"/>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评标价</w:t>
            </w:r>
          </w:p>
        </w:tc>
        <w:tc>
          <w:tcPr>
            <w:tcW w:w="1158"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80分</w:t>
            </w:r>
          </w:p>
        </w:tc>
        <w:tc>
          <w:tcPr>
            <w:tcW w:w="6414" w:type="dxa"/>
            <w:gridSpan w:val="4"/>
            <w:noWrap w:val="0"/>
            <w:vAlign w:val="top"/>
          </w:tcPr>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评标价得分计算公式示例：</w:t>
            </w:r>
          </w:p>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(1)如果投标人的评标价&gt;评标基准价，则评标价得分＝80-偏差率×100×1.5；</w:t>
            </w:r>
          </w:p>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(2)如果投标人的评标价≤评标基准价，则评标价得分＝80+偏差率×100×0.5。</w:t>
            </w:r>
          </w:p>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备注：</w:t>
            </w:r>
            <w:r>
              <w:rPr>
                <w:rFonts w:hint="eastAsia" w:ascii="Times New Roman" w:hAnsi="Times New Roman" w:eastAsia="宋体"/>
                <w:color w:val="auto"/>
                <w:szCs w:val="21"/>
                <w:highlight w:val="none"/>
              </w:rPr>
              <w:t>评标价得分四舍五入至小数点后四位。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828" w:type="dxa"/>
            <w:vMerge w:val="restart"/>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2.2.4（4）</w:t>
            </w:r>
          </w:p>
        </w:tc>
        <w:tc>
          <w:tcPr>
            <w:tcW w:w="900" w:type="dxa"/>
            <w:gridSpan w:val="2"/>
            <w:vMerge w:val="restart"/>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其它因素</w:t>
            </w:r>
          </w:p>
        </w:tc>
        <w:tc>
          <w:tcPr>
            <w:tcW w:w="1158"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5分</w:t>
            </w:r>
          </w:p>
        </w:tc>
        <w:tc>
          <w:tcPr>
            <w:tcW w:w="620"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设备配置</w:t>
            </w:r>
          </w:p>
        </w:tc>
        <w:tc>
          <w:tcPr>
            <w:tcW w:w="5794" w:type="dxa"/>
            <w:gridSpan w:val="3"/>
            <w:noWrap w:val="0"/>
            <w:vAlign w:val="top"/>
          </w:tcPr>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投标人在各标段的本项得分，以本标段内要求提供的沥青混合料拌合站的实际状况来计算得分。</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投标人配置的沥青混合料拌合站设备的得分计算方法如下：</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（1）投标人自有沥青混合料拌合站，且在高速公路养护基地内，距离所投标段内任一高速公路出入口行驶里程在50公里以内的，得5分；</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（2）投标人自有沥青混合料拌合站，且在高速公路养护基地内，距离所投标段内任一高速公路出入口行驶里程在100公里以内的，得4.5分。</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（3）投标人自有沥青混合料拌合站，但不在高速公路养护基地内，距离所投标段内任一高速公路出入口行驶里程在50公里以内的，得4分； </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（4）投标人自有沥青混合料拌合站，但不在高速公路养护基地内，距离所投标段内任一高速公路出入口行驶里程在100公里以内的，得3.5分。</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（5）租赁的沥青混合料拌合站的，或满足投标须知资格审查条件（关键设备最低要求）最低要求的，得3分。</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注：第1标段内高速公路出入口为：</w:t>
            </w:r>
            <w:r>
              <w:rPr>
                <w:rFonts w:hint="eastAsia" w:ascii="Times New Roman" w:hAnsi="Times New Roman" w:eastAsia="宋体"/>
                <w:color w:val="auto"/>
                <w:szCs w:val="21"/>
                <w:highlight w:val="none"/>
              </w:rPr>
              <w:t>达濠（K2569+330）、河浦（K2575+359）、海门（K2581+704）、田心（K2598+208）、仙庵（K2603+508）、美园（K2621+000）</w:t>
            </w:r>
            <w:r>
              <w:rPr>
                <w:rFonts w:hint="eastAsia" w:ascii="Times New Roman" w:hAnsi="Times New Roman" w:eastAsia="宋体"/>
                <w:color w:val="auto"/>
                <w:highlight w:val="none"/>
              </w:rPr>
              <w:t>；</w:t>
            </w:r>
          </w:p>
          <w:p>
            <w:pPr>
              <w:pageBreakBefore w:val="0"/>
              <w:kinsoku/>
              <w:autoSpaceDE w:val="0"/>
              <w:autoSpaceDN w:val="0"/>
              <w:bidi w:val="0"/>
              <w:spacing w:before="157" w:beforeLines="50" w:line="360" w:lineRule="auto"/>
              <w:ind w:firstLine="210" w:firstLineChars="100"/>
              <w:rPr>
                <w:rFonts w:hint="eastAsia" w:ascii="Times New Roman" w:hAnsi="Times New Roman" w:eastAsia="宋体"/>
                <w:color w:val="auto"/>
                <w:highlight w:val="none"/>
              </w:rPr>
            </w:pPr>
            <w:r>
              <w:rPr>
                <w:rFonts w:hint="eastAsia" w:ascii="Times New Roman" w:hAnsi="Times New Roman" w:eastAsia="宋体"/>
                <w:color w:val="auto"/>
                <w:highlight w:val="none"/>
              </w:rPr>
              <w:t>第2标段内高速公路出入口为：</w:t>
            </w:r>
            <w:r>
              <w:rPr>
                <w:rFonts w:hint="eastAsia" w:ascii="Times New Roman" w:hAnsi="Times New Roman" w:eastAsia="宋体"/>
                <w:color w:val="auto"/>
                <w:szCs w:val="21"/>
                <w:highlight w:val="none"/>
              </w:rPr>
              <w:t>仙庵（K2603+508）、美园（K2621+000）、惠来（K2629+668）、隆江（K2644+552）、东港（K2663+648）</w:t>
            </w:r>
            <w:r>
              <w:rPr>
                <w:rFonts w:hint="eastAsia" w:ascii="Times New Roman" w:hAnsi="Times New Roman"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continue"/>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900" w:type="dxa"/>
            <w:gridSpan w:val="2"/>
            <w:vMerge w:val="continue"/>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p>
        </w:tc>
        <w:tc>
          <w:tcPr>
            <w:tcW w:w="1158"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1分</w:t>
            </w:r>
          </w:p>
        </w:tc>
        <w:tc>
          <w:tcPr>
            <w:tcW w:w="620"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财务能力</w:t>
            </w:r>
          </w:p>
        </w:tc>
        <w:tc>
          <w:tcPr>
            <w:tcW w:w="5794" w:type="dxa"/>
            <w:gridSpan w:val="3"/>
            <w:noWrap w:val="0"/>
            <w:vAlign w:val="center"/>
          </w:tcPr>
          <w:p>
            <w:pPr>
              <w:pageBreakBefore w:val="0"/>
              <w:kinsoku/>
              <w:bidi w:val="0"/>
              <w:spacing w:before="157" w:beforeLines="50" w:line="360" w:lineRule="auto"/>
              <w:ind w:firstLine="210" w:firstLineChars="100"/>
              <w:rPr>
                <w:rFonts w:hint="eastAsia"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满足投标须知资格审查条件（财务最低要求）最低要求的，得1分。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28" w:type="dxa"/>
            <w:vMerge w:val="continue"/>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900" w:type="dxa"/>
            <w:gridSpan w:val="2"/>
            <w:vMerge w:val="continue"/>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p>
        </w:tc>
        <w:tc>
          <w:tcPr>
            <w:tcW w:w="1158"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4分</w:t>
            </w:r>
          </w:p>
        </w:tc>
        <w:tc>
          <w:tcPr>
            <w:tcW w:w="620"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业绩</w:t>
            </w:r>
          </w:p>
        </w:tc>
        <w:tc>
          <w:tcPr>
            <w:tcW w:w="5794" w:type="dxa"/>
            <w:gridSpan w:val="3"/>
            <w:noWrap w:val="0"/>
            <w:vAlign w:val="center"/>
          </w:tcPr>
          <w:p>
            <w:pPr>
              <w:pageBreakBefore w:val="0"/>
              <w:kinsoku/>
              <w:bidi w:val="0"/>
              <w:spacing w:before="157" w:beforeLines="50" w:line="360" w:lineRule="auto"/>
              <w:ind w:firstLine="210" w:firstLineChars="100"/>
              <w:rPr>
                <w:rFonts w:hint="eastAsia"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 xml:space="preserve">其中，路面工程业绩满分4分： </w:t>
            </w:r>
          </w:p>
          <w:p>
            <w:pPr>
              <w:pageBreakBefore w:val="0"/>
              <w:kinsoku/>
              <w:bidi w:val="0"/>
              <w:spacing w:before="157" w:beforeLines="50" w:line="360" w:lineRule="auto"/>
              <w:ind w:firstLine="210" w:firstLineChars="100"/>
              <w:rPr>
                <w:rFonts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1、2018年1月1日至投标文件递交截止日，成功独立完成合同金额在1500万元及以上类似营运高速公路沥青路面维修/养护工程</w:t>
            </w:r>
            <w:r>
              <w:rPr>
                <w:rFonts w:hint="eastAsia" w:ascii="Times New Roman" w:hAnsi="Times New Roman" w:eastAsia="宋体" w:cs="宋体"/>
                <w:snapToGrid w:val="0"/>
                <w:color w:val="auto"/>
                <w:kern w:val="0"/>
                <w:szCs w:val="21"/>
                <w:highlight w:val="none"/>
                <w:lang w:val="en-US" w:eastAsia="zh-CN"/>
              </w:rPr>
              <w:t>2</w:t>
            </w:r>
            <w:r>
              <w:rPr>
                <w:rFonts w:hint="eastAsia" w:ascii="Times New Roman" w:hAnsi="Times New Roman" w:eastAsia="宋体" w:cs="宋体"/>
                <w:snapToGrid w:val="0"/>
                <w:color w:val="auto"/>
                <w:kern w:val="0"/>
                <w:szCs w:val="21"/>
                <w:highlight w:val="none"/>
              </w:rPr>
              <w:t>项及以上：</w:t>
            </w:r>
          </w:p>
          <w:p>
            <w:pPr>
              <w:pageBreakBefore w:val="0"/>
              <w:kinsoku/>
              <w:bidi w:val="0"/>
              <w:spacing w:before="157" w:beforeLines="50" w:line="360" w:lineRule="auto"/>
              <w:ind w:firstLine="210" w:firstLineChars="100"/>
              <w:rPr>
                <w:rFonts w:hint="eastAsia"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满足招标文件的最低要求得起评分2.4分；在此基础上完成合同金额在1500万元及以上类似营运高速公路沥青路面维修/养护工程项目每增加一项加0.4分，最高加分不超过1.6分。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28" w:type="dxa"/>
            <w:vMerge w:val="continue"/>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p>
        </w:tc>
        <w:tc>
          <w:tcPr>
            <w:tcW w:w="900" w:type="dxa"/>
            <w:gridSpan w:val="2"/>
            <w:vMerge w:val="continue"/>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p>
        </w:tc>
        <w:tc>
          <w:tcPr>
            <w:tcW w:w="1158"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5分</w:t>
            </w:r>
          </w:p>
        </w:tc>
        <w:tc>
          <w:tcPr>
            <w:tcW w:w="620" w:type="dxa"/>
            <w:noWrap w:val="0"/>
            <w:vAlign w:val="center"/>
          </w:tcPr>
          <w:p>
            <w:pPr>
              <w:pageBreakBefore w:val="0"/>
              <w:kinsoku/>
              <w:bidi w:val="0"/>
              <w:spacing w:before="157" w:beforeLines="50" w:line="360" w:lineRule="auto"/>
              <w:ind w:left="-105" w:leftChars="-50" w:right="-105" w:rightChars="-5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履约信誉</w:t>
            </w:r>
          </w:p>
        </w:tc>
        <w:tc>
          <w:tcPr>
            <w:tcW w:w="5794" w:type="dxa"/>
            <w:gridSpan w:val="3"/>
            <w:noWrap w:val="0"/>
            <w:vAlign w:val="top"/>
          </w:tcPr>
          <w:p>
            <w:pPr>
              <w:pStyle w:val="5"/>
              <w:pageBreakBefore w:val="0"/>
              <w:kinsoku/>
              <w:bidi w:val="0"/>
              <w:spacing w:before="157" w:beforeLines="50" w:line="360" w:lineRule="auto"/>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 xml:space="preserve">  履约情况（5分）</w:t>
            </w:r>
          </w:p>
          <w:p>
            <w:pPr>
              <w:pStyle w:val="5"/>
              <w:pageBreakBefore w:val="0"/>
              <w:kinsoku/>
              <w:bidi w:val="0"/>
              <w:spacing w:before="157" w:beforeLines="50" w:line="360" w:lineRule="auto"/>
              <w:ind w:firstLine="420" w:firstLineChars="200"/>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若没出现下述情形得满分；</w:t>
            </w:r>
          </w:p>
          <w:p>
            <w:pPr>
              <w:pageBreakBefore w:val="0"/>
              <w:kinsoku/>
              <w:autoSpaceDE w:val="0"/>
              <w:autoSpaceDN w:val="0"/>
              <w:bidi w:val="0"/>
              <w:spacing w:before="157" w:beforeLines="50"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自2021年6月1日至投标文件递交截止日（投标文件递交截止日前2 年内），因公路工程（含附属设施）质量、安全、履约或招标投标问题等原因被：</w:t>
            </w:r>
          </w:p>
          <w:p>
            <w:pPr>
              <w:pageBreakBefore w:val="0"/>
              <w:kinsoku/>
              <w:autoSpaceDE w:val="0"/>
              <w:autoSpaceDN w:val="0"/>
              <w:bidi w:val="0"/>
              <w:spacing w:before="157" w:beforeLines="50"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rPr>
              <w:t>（1）交通运输部通报批评的，扣5 分/次；</w:t>
            </w:r>
          </w:p>
          <w:p>
            <w:pPr>
              <w:pageBreakBefore w:val="0"/>
              <w:kinsoku/>
              <w:autoSpaceDE w:val="0"/>
              <w:autoSpaceDN w:val="0"/>
              <w:bidi w:val="0"/>
              <w:spacing w:before="157" w:beforeLines="50"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rPr>
              <w:t>（2）广东省交通运输厅通报批评的，扣4 分/次；</w:t>
            </w:r>
          </w:p>
          <w:p>
            <w:pPr>
              <w:pageBreakBefore w:val="0"/>
              <w:kinsoku/>
              <w:autoSpaceDE w:val="0"/>
              <w:autoSpaceDN w:val="0"/>
              <w:bidi w:val="0"/>
              <w:spacing w:before="157" w:beforeLines="50"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rPr>
              <w:t>（3）项目所在地地市级交通局（委）、本项目招标人或</w:t>
            </w:r>
          </w:p>
          <w:p>
            <w:pPr>
              <w:pageBreakBefore w:val="0"/>
              <w:kinsoku/>
              <w:autoSpaceDE w:val="0"/>
              <w:autoSpaceDN w:val="0"/>
              <w:bidi w:val="0"/>
              <w:spacing w:before="157" w:beforeLines="50" w:line="360" w:lineRule="auto"/>
              <w:rPr>
                <w:rFonts w:hint="eastAsia" w:ascii="Times New Roman" w:hAnsi="Times New Roman" w:eastAsia="宋体"/>
                <w:color w:val="auto"/>
                <w:sz w:val="11"/>
                <w:highlight w:val="none"/>
              </w:rPr>
            </w:pPr>
            <w:r>
              <w:rPr>
                <w:rFonts w:hint="eastAsia" w:ascii="Times New Roman" w:hAnsi="Times New Roman" w:eastAsia="宋体"/>
                <w:color w:val="auto"/>
                <w:highlight w:val="none"/>
              </w:rPr>
              <w:t>招标人上级管理单位通报批评扣1 分/次。</w:t>
            </w:r>
          </w:p>
          <w:p>
            <w:pPr>
              <w:pageBreakBefore w:val="0"/>
              <w:tabs>
                <w:tab w:val="left" w:pos="2056"/>
              </w:tabs>
              <w:kinsoku/>
              <w:autoSpaceDE w:val="0"/>
              <w:autoSpaceDN w:val="0"/>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olor w:val="auto"/>
                <w:highlight w:val="none"/>
              </w:rPr>
              <w:t>同一事项同时被多个部门通报批评只按最高的扣分计算1 次。如果扣完本项分值，可以从总分中扣。</w:t>
            </w:r>
          </w:p>
        </w:tc>
      </w:tr>
    </w:tbl>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r>
        <w:rPr>
          <w:rStyle w:val="20"/>
          <w:rFonts w:hint="eastAsia" w:ascii="Times New Roman" w:hAnsi="Times New Roman" w:eastAsia="宋体" w:cs="宋体"/>
          <w:color w:val="auto"/>
          <w:highlight w:val="none"/>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8" w:type="dxa"/>
            <w:gridSpan w:val="2"/>
            <w:noWrap w:val="0"/>
            <w:vAlign w:val="top"/>
          </w:tcPr>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53" w:type="dxa"/>
            <w:noWrap w:val="0"/>
            <w:vAlign w:val="center"/>
          </w:tcPr>
          <w:p>
            <w:pPr>
              <w:pageBreakBefore w:val="0"/>
              <w:kinsoku/>
              <w:bidi w:val="0"/>
              <w:spacing w:before="157" w:beforeLines="50"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条款号</w:t>
            </w:r>
          </w:p>
        </w:tc>
        <w:tc>
          <w:tcPr>
            <w:tcW w:w="8325"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3" w:hRule="atLeast"/>
          <w:jc w:val="center"/>
        </w:trPr>
        <w:tc>
          <w:tcPr>
            <w:tcW w:w="1153"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8325" w:type="dxa"/>
            <w:noWrap w:val="0"/>
            <w:vAlign w:val="center"/>
          </w:tcPr>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将评标办法范本原文第</w:t>
            </w:r>
            <w:r>
              <w:rPr>
                <w:rFonts w:ascii="Times New Roman" w:hAnsi="Times New Roman" w:eastAsia="宋体" w:cs="宋体"/>
                <w:snapToGrid w:val="0"/>
                <w:color w:val="auto"/>
                <w:szCs w:val="21"/>
                <w:highlight w:val="none"/>
              </w:rPr>
              <w:t xml:space="preserve"> 1 </w:t>
            </w:r>
            <w:r>
              <w:rPr>
                <w:rFonts w:hint="eastAsia" w:ascii="Times New Roman" w:hAnsi="Times New Roman" w:eastAsia="宋体" w:cs="宋体"/>
                <w:snapToGrid w:val="0"/>
                <w:color w:val="auto"/>
                <w:szCs w:val="21"/>
                <w:highlight w:val="none"/>
              </w:rPr>
              <w:t>条“评标方法”改为“评标方法、组织及工作程序”，并且原文内容修改如下：</w:t>
            </w:r>
          </w:p>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1.1 </w:t>
            </w:r>
            <w:r>
              <w:rPr>
                <w:rFonts w:hint="eastAsia" w:ascii="Times New Roman" w:hAnsi="Times New Roman" w:eastAsia="宋体" w:cs="宋体"/>
                <w:snapToGrid w:val="0"/>
                <w:color w:val="auto"/>
                <w:szCs w:val="21"/>
                <w:highlight w:val="none"/>
              </w:rPr>
              <w:t>评标方法</w:t>
            </w:r>
          </w:p>
          <w:p>
            <w:pPr>
              <w:pageBreakBefore w:val="0"/>
              <w:kinsoku/>
              <w:bidi w:val="0"/>
              <w:spacing w:before="157" w:beforeLines="50" w:line="360" w:lineRule="auto"/>
              <w:ind w:firstLine="426" w:firstLineChars="203"/>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本次评标采用双信封的综合评分法。评标委员会对满足招标文件实质性要求的投标文件，按照本章第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1.2 </w:t>
            </w:r>
            <w:r>
              <w:rPr>
                <w:rFonts w:hint="eastAsia" w:ascii="Times New Roman" w:hAnsi="Times New Roman" w:eastAsia="宋体" w:cs="宋体"/>
                <w:snapToGrid w:val="0"/>
                <w:color w:val="auto"/>
                <w:szCs w:val="21"/>
                <w:highlight w:val="none"/>
              </w:rPr>
              <w:t>评标组织</w:t>
            </w:r>
          </w:p>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1.2.1 </w:t>
            </w:r>
            <w:r>
              <w:rPr>
                <w:rFonts w:hint="eastAsia" w:ascii="Times New Roman" w:hAnsi="Times New Roman" w:eastAsia="宋体" w:cs="宋体"/>
                <w:snapToGrid w:val="0"/>
                <w:color w:val="auto"/>
                <w:szCs w:val="21"/>
                <w:highlight w:val="none"/>
              </w:rPr>
              <w:t>协助工作组</w:t>
            </w:r>
          </w:p>
          <w:p>
            <w:pPr>
              <w:pageBreakBefore w:val="0"/>
              <w:kinsoku/>
              <w:bidi w:val="0"/>
              <w:spacing w:before="157" w:beforeLines="50" w:line="360" w:lineRule="auto"/>
              <w:ind w:firstLine="426" w:firstLineChars="203"/>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招标人可在评标工作开始前成立协助工作组，选派熟悉招标工作、政治素质高的人员组成，协助评标委员会工作。协助工作组人员的具体数量由招标人视评标工作量确定。</w:t>
            </w:r>
          </w:p>
          <w:p>
            <w:pPr>
              <w:pageBreakBefore w:val="0"/>
              <w:kinsoku/>
              <w:bidi w:val="0"/>
              <w:spacing w:before="157" w:beforeLines="50" w:line="360" w:lineRule="auto"/>
              <w:ind w:firstLine="220" w:firstLineChars="105"/>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 </w:t>
            </w:r>
            <w:r>
              <w:rPr>
                <w:rFonts w:hint="eastAsia" w:ascii="Times New Roman" w:hAnsi="Times New Roman" w:eastAsia="宋体" w:cs="宋体"/>
                <w:snapToGrid w:val="0"/>
                <w:color w:val="auto"/>
                <w:szCs w:val="21"/>
                <w:highlight w:val="none"/>
              </w:rPr>
              <w:t xml:space="preserve"> 招标人可以协助评标委员会开展下列工作并提供相关信息：</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w:t>
            </w:r>
            <w:r>
              <w:rPr>
                <w:rFonts w:ascii="Times New Roman" w:hAnsi="Times New Roman" w:eastAsia="宋体" w:cs="宋体"/>
                <w:snapToGrid w:val="0"/>
                <w:color w:val="auto"/>
                <w:szCs w:val="21"/>
                <w:highlight w:val="none"/>
              </w:rPr>
              <w:t>1</w:t>
            </w:r>
            <w:r>
              <w:rPr>
                <w:rFonts w:hint="eastAsia" w:ascii="Times New Roman" w:hAnsi="Times New Roman" w:eastAsia="宋体" w:cs="宋体"/>
                <w:snapToGrid w:val="0"/>
                <w:color w:val="auto"/>
                <w:szCs w:val="21"/>
                <w:highlight w:val="none"/>
              </w:rPr>
              <w:t>）根据招标文件，编制评标使用的相应表格；</w:t>
            </w:r>
          </w:p>
          <w:p>
            <w:pPr>
              <w:pageBreakBefore w:val="0"/>
              <w:kinsoku/>
              <w:bidi w:val="0"/>
              <w:spacing w:before="157" w:beforeLines="50" w:line="360" w:lineRule="auto"/>
              <w:ind w:firstLine="323" w:firstLineChars="154"/>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（2）以评标标准和方法为依据，列出投标文件相对于招标文件的所有偏差，并进行归类汇总；</w:t>
            </w:r>
          </w:p>
          <w:p>
            <w:pPr>
              <w:pageBreakBefore w:val="0"/>
              <w:kinsoku/>
              <w:bidi w:val="0"/>
              <w:spacing w:before="157" w:beforeLines="50" w:line="360" w:lineRule="auto"/>
              <w:ind w:firstLine="323" w:firstLineChars="154"/>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（3）根据投标人递交的投标文件对投标人的资质、业绩、主要人员资历和目前在岗情况、信用等级进行核实。</w:t>
            </w:r>
          </w:p>
          <w:p>
            <w:pPr>
              <w:pageBreakBefore w:val="0"/>
              <w:kinsoku/>
              <w:bidi w:val="0"/>
              <w:spacing w:before="157" w:beforeLines="50" w:line="360" w:lineRule="auto"/>
              <w:ind w:firstLine="426" w:firstLineChars="203"/>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招标人不得对投标文件作出任何评价，不得故意遗漏或者片面摘录，不得在评标委员会对所有偏差定性之前透露存有偏差的投标人名称。</w:t>
            </w:r>
          </w:p>
          <w:p>
            <w:pPr>
              <w:pageBreakBefore w:val="0"/>
              <w:kinsoku/>
              <w:bidi w:val="0"/>
              <w:spacing w:before="157" w:beforeLines="50" w:line="360" w:lineRule="auto"/>
              <w:ind w:firstLine="220" w:firstLineChars="105"/>
              <w:rPr>
                <w:rFonts w:hint="eastAsia" w:ascii="Times New Roman" w:hAnsi="Times New Roman" w:eastAsia="宋体" w:cs="宋体"/>
                <w:snapToGrid w:val="0"/>
                <w:color w:val="auto"/>
                <w:szCs w:val="21"/>
                <w:highlight w:val="none"/>
              </w:rPr>
            </w:pPr>
          </w:p>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1.2.2 </w:t>
            </w:r>
            <w:r>
              <w:rPr>
                <w:rFonts w:hint="eastAsia" w:ascii="Times New Roman" w:hAnsi="Times New Roman" w:eastAsia="宋体" w:cs="宋体"/>
                <w:snapToGrid w:val="0"/>
                <w:color w:val="auto"/>
                <w:szCs w:val="21"/>
                <w:highlight w:val="none"/>
              </w:rPr>
              <w:t>评标委员会由招标人按国家、广东省等的有关规定依法组建。评标委员人数为七人及以上单数。评标委员会的主要工作内容包括：</w:t>
            </w:r>
          </w:p>
          <w:p>
            <w:pPr>
              <w:pageBreakBefore w:val="0"/>
              <w:kinsoku/>
              <w:bidi w:val="0"/>
              <w:spacing w:before="157" w:beforeLines="50" w:line="360" w:lineRule="auto"/>
              <w:ind w:firstLine="323" w:firstLineChars="154"/>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w:t>
            </w:r>
            <w:r>
              <w:rPr>
                <w:rFonts w:ascii="Times New Roman" w:hAnsi="Times New Roman" w:eastAsia="宋体" w:cs="宋体"/>
                <w:snapToGrid w:val="0"/>
                <w:color w:val="auto"/>
                <w:szCs w:val="21"/>
                <w:highlight w:val="none"/>
              </w:rPr>
              <w:t>1</w:t>
            </w:r>
            <w:r>
              <w:rPr>
                <w:rFonts w:hint="eastAsia" w:ascii="Times New Roman" w:hAnsi="Times New Roman" w:eastAsia="宋体" w:cs="宋体"/>
                <w:snapToGrid w:val="0"/>
                <w:color w:val="auto"/>
                <w:szCs w:val="21"/>
                <w:highlight w:val="none"/>
              </w:rPr>
              <w:t>）评标委员会开始评标工作之前，首先听取招标人、协助工作组关于工程情况和辅助工作的说明，并认真研读招标文件，获取评标所需的重要信息和数据；</w:t>
            </w:r>
          </w:p>
          <w:p>
            <w:pPr>
              <w:pageBreakBefore w:val="0"/>
              <w:kinsoku/>
              <w:bidi w:val="0"/>
              <w:spacing w:before="157" w:beforeLines="50" w:line="360" w:lineRule="auto"/>
              <w:ind w:firstLine="323" w:firstLineChars="154"/>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w:t>
            </w:r>
            <w:r>
              <w:rPr>
                <w:rFonts w:ascii="Times New Roman" w:hAnsi="Times New Roman" w:eastAsia="宋体" w:cs="宋体"/>
                <w:snapToGrid w:val="0"/>
                <w:color w:val="auto"/>
                <w:szCs w:val="21"/>
                <w:highlight w:val="none"/>
              </w:rPr>
              <w:t>2</w:t>
            </w:r>
            <w:r>
              <w:rPr>
                <w:rFonts w:hint="eastAsia" w:ascii="Times New Roman" w:hAnsi="Times New Roman" w:eastAsia="宋体" w:cs="宋体"/>
                <w:snapToGrid w:val="0"/>
                <w:color w:val="auto"/>
                <w:szCs w:val="21"/>
                <w:highlight w:val="none"/>
              </w:rPr>
              <w:t>）对协助工作组提供的评标工作用表和评标内容进行核查。</w:t>
            </w:r>
          </w:p>
          <w:p>
            <w:pPr>
              <w:pageBreakBefore w:val="0"/>
              <w:kinsoku/>
              <w:bidi w:val="0"/>
              <w:spacing w:before="157" w:beforeLines="50" w:line="360" w:lineRule="auto"/>
              <w:ind w:firstLine="323" w:firstLineChars="154"/>
              <w:rPr>
                <w:rFonts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w:t>
            </w:r>
            <w:r>
              <w:rPr>
                <w:rFonts w:ascii="Times New Roman" w:hAnsi="Times New Roman" w:eastAsia="宋体" w:cs="宋体"/>
                <w:snapToGrid w:val="0"/>
                <w:color w:val="auto"/>
                <w:szCs w:val="21"/>
                <w:highlight w:val="none"/>
              </w:rPr>
              <w:t>3</w:t>
            </w:r>
            <w:r>
              <w:rPr>
                <w:rFonts w:hint="eastAsia" w:ascii="Times New Roman" w:hAnsi="Times New Roman" w:eastAsia="宋体" w:cs="宋体"/>
                <w:snapToGrid w:val="0"/>
                <w:color w:val="auto"/>
                <w:szCs w:val="21"/>
                <w:highlight w:val="none"/>
              </w:rPr>
              <w:t>）按照以下</w:t>
            </w:r>
            <w:r>
              <w:rPr>
                <w:rFonts w:ascii="Times New Roman" w:hAnsi="Times New Roman" w:eastAsia="宋体" w:cs="宋体"/>
                <w:snapToGrid w:val="0"/>
                <w:color w:val="auto"/>
                <w:szCs w:val="21"/>
                <w:highlight w:val="none"/>
              </w:rPr>
              <w:t xml:space="preserve"> 1.3 </w:t>
            </w:r>
            <w:r>
              <w:rPr>
                <w:rFonts w:hint="eastAsia" w:ascii="Times New Roman" w:hAnsi="Times New Roman" w:eastAsia="宋体" w:cs="宋体"/>
                <w:snapToGrid w:val="0"/>
                <w:color w:val="auto"/>
                <w:szCs w:val="21"/>
                <w:highlight w:val="none"/>
              </w:rPr>
              <w:t>款程序进行各项评审工作。</w:t>
            </w:r>
          </w:p>
          <w:p>
            <w:pPr>
              <w:pageBreakBefore w:val="0"/>
              <w:kinsoku/>
              <w:bidi w:val="0"/>
              <w:spacing w:before="157" w:beforeLines="50" w:line="360" w:lineRule="auto"/>
              <w:ind w:firstLine="426" w:firstLineChars="203"/>
              <w:rPr>
                <w:rFonts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1.3 </w:t>
            </w:r>
            <w:r>
              <w:rPr>
                <w:rFonts w:hint="eastAsia" w:ascii="Times New Roman" w:hAnsi="Times New Roman" w:eastAsia="宋体" w:cs="宋体"/>
                <w:snapToGrid w:val="0"/>
                <w:color w:val="auto"/>
                <w:szCs w:val="21"/>
                <w:highlight w:val="none"/>
              </w:rPr>
              <w:t>评审工作程序</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（一）第一信封（商务文件和技术文件）：</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 xml:space="preserve"> l</w:t>
            </w:r>
            <w:r>
              <w:rPr>
                <w:rFonts w:hint="eastAsia" w:ascii="Times New Roman" w:hAnsi="Times New Roman" w:eastAsia="宋体" w:cs="宋体"/>
                <w:snapToGrid w:val="0"/>
                <w:color w:val="auto"/>
                <w:szCs w:val="21"/>
                <w:highlight w:val="none"/>
              </w:rPr>
              <w:t>、初步评审：包括形式评审与响应性评审，</w:t>
            </w:r>
            <w:r>
              <w:rPr>
                <w:rFonts w:hint="eastAsia" w:ascii="Times New Roman" w:hAnsi="Times New Roman" w:eastAsia="宋体"/>
                <w:color w:val="auto"/>
                <w:szCs w:val="21"/>
                <w:highlight w:val="none"/>
              </w:rPr>
              <w:t>资格评审</w:t>
            </w:r>
            <w:r>
              <w:rPr>
                <w:rFonts w:hint="eastAsia" w:ascii="Times New Roman" w:hAnsi="Times New Roman" w:eastAsia="宋体" w:cs="宋体"/>
                <w:snapToGrid w:val="0"/>
                <w:color w:val="auto"/>
                <w:szCs w:val="21"/>
                <w:highlight w:val="none"/>
              </w:rPr>
              <w:t>；</w:t>
            </w:r>
            <w:r>
              <w:rPr>
                <w:rFonts w:ascii="Times New Roman" w:hAnsi="Times New Roman" w:eastAsia="宋体" w:cs="宋体"/>
                <w:snapToGrid w:val="0"/>
                <w:color w:val="auto"/>
                <w:szCs w:val="21"/>
                <w:highlight w:val="none"/>
              </w:rPr>
              <w:t xml:space="preserve"> </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 xml:space="preserve"> </w:t>
            </w:r>
            <w:r>
              <w:rPr>
                <w:rFonts w:ascii="Times New Roman" w:hAnsi="Times New Roman" w:eastAsia="宋体" w:cs="宋体"/>
                <w:snapToGrid w:val="0"/>
                <w:color w:val="auto"/>
                <w:szCs w:val="21"/>
                <w:highlight w:val="none"/>
              </w:rPr>
              <w:t>2</w:t>
            </w:r>
            <w:r>
              <w:rPr>
                <w:rFonts w:hint="eastAsia" w:ascii="Times New Roman" w:hAnsi="Times New Roman" w:eastAsia="宋体" w:cs="宋体"/>
                <w:snapToGrid w:val="0"/>
                <w:color w:val="auto"/>
                <w:szCs w:val="21"/>
                <w:highlight w:val="none"/>
              </w:rPr>
              <w:t>、详细评审（评审打分）：评标委员会首先对通过初步评审的投标文件第一个信封（商务及技术文件）进行详细评审，对投标人的施工组织设计、主要人员、其他部分等因素分别评审打分。</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（二）第二信封（报价文件）：</w:t>
            </w:r>
          </w:p>
          <w:p>
            <w:pPr>
              <w:pageBreakBefore w:val="0"/>
              <w:kinsoku/>
              <w:bidi w:val="0"/>
              <w:spacing w:before="157" w:beforeLines="50" w:line="360" w:lineRule="auto"/>
              <w:ind w:firstLine="426" w:firstLineChars="203"/>
              <w:rPr>
                <w:rFonts w:hint="eastAsia" w:ascii="Times New Roman" w:hAnsi="Times New Roman" w:eastAsia="宋体" w:cs="宋体"/>
                <w:snapToGrid w:val="0"/>
                <w:color w:val="auto"/>
                <w:szCs w:val="21"/>
                <w:highlight w:val="none"/>
              </w:rPr>
            </w:pPr>
            <w:r>
              <w:rPr>
                <w:rFonts w:ascii="Times New Roman" w:hAnsi="Times New Roman" w:eastAsia="宋体" w:cs="宋体"/>
                <w:snapToGrid w:val="0"/>
                <w:color w:val="auto"/>
                <w:szCs w:val="21"/>
                <w:highlight w:val="none"/>
              </w:rPr>
              <w:t>1</w:t>
            </w:r>
            <w:r>
              <w:rPr>
                <w:rFonts w:hint="eastAsia" w:ascii="Times New Roman" w:hAnsi="Times New Roman" w:eastAsia="宋体" w:cs="宋体"/>
                <w:snapToGrid w:val="0"/>
                <w:color w:val="auto"/>
                <w:szCs w:val="21"/>
                <w:highlight w:val="none"/>
              </w:rPr>
              <w:t>、初步评审：只有投标文件第一个信封通过初步评审的投标人才能继续参加第二信封报价文件的形式评审与响应性评审。对第一个信封不通过初步评审的投标人的第二信封直接退回，不再开启内层信封。</w:t>
            </w:r>
          </w:p>
          <w:p>
            <w:pPr>
              <w:pageBreakBefore w:val="0"/>
              <w:kinsoku/>
              <w:bidi w:val="0"/>
              <w:spacing w:before="157" w:beforeLines="50" w:line="360" w:lineRule="auto"/>
              <w:ind w:firstLine="426" w:firstLineChars="203"/>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详细评审（评审打分）：评标委员会对投标人的施工组织设计、项目管理机构、其他部分等因素分别评审打分后，在相关人员在场的情况下，进行公开开标，拆启投标人的第二个信封（报价文件），对其进行初步评审。</w:t>
            </w:r>
          </w:p>
          <w:p>
            <w:pPr>
              <w:pageBreakBefore w:val="0"/>
              <w:kinsoku/>
              <w:bidi w:val="0"/>
              <w:spacing w:before="157" w:beforeLines="50" w:line="360" w:lineRule="auto"/>
              <w:ind w:firstLine="323" w:firstLineChars="154"/>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（三）投标文件相关信息的核查。</w:t>
            </w:r>
          </w:p>
          <w:p>
            <w:pPr>
              <w:pageBreakBefore w:val="0"/>
              <w:kinsoku/>
              <w:bidi w:val="0"/>
              <w:spacing w:before="157" w:beforeLines="50" w:line="360" w:lineRule="auto"/>
              <w:ind w:firstLine="323" w:firstLineChars="154"/>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(四)投标文件的澄清和说明(如有)</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（五）综合评分，提出评标意见。</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（六）根据《中华人民共和国招标投标法实施条例》第三十九条、第四十条、第四十一条的有关规定，对在评标过程中发现的投标人与投标人之间、投标人与招标人之间存在的串通投标的情形进行评审和认定。</w:t>
            </w:r>
          </w:p>
          <w:p>
            <w:pPr>
              <w:pageBreakBefore w:val="0"/>
              <w:kinsoku/>
              <w:bidi w:val="0"/>
              <w:spacing w:before="157" w:beforeLines="50" w:line="360" w:lineRule="auto"/>
              <w:ind w:firstLine="323" w:firstLineChars="154"/>
              <w:rPr>
                <w:rFonts w:hint="eastAsia" w:ascii="Times New Roman" w:hAnsi="Times New Roman" w:eastAsia="宋体" w:cs="宋体"/>
                <w:snapToGrid w:val="0"/>
                <w:color w:val="auto"/>
                <w:szCs w:val="21"/>
                <w:highlight w:val="none"/>
              </w:rPr>
            </w:pPr>
            <w:r>
              <w:rPr>
                <w:rFonts w:hint="eastAsia" w:ascii="Times New Roman" w:hAnsi="Times New Roman" w:eastAsia="宋体"/>
                <w:color w:val="auto"/>
                <w:szCs w:val="21"/>
                <w:highlight w:val="none"/>
              </w:rPr>
              <w:t>（七）按评标办法规定推荐中标候选人，编写评标报告。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1153"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3.2.3</w:t>
            </w:r>
          </w:p>
        </w:tc>
        <w:tc>
          <w:tcPr>
            <w:tcW w:w="8325" w:type="dxa"/>
            <w:noWrap w:val="0"/>
            <w:vAlign w:val="center"/>
          </w:tcPr>
          <w:p>
            <w:pPr>
              <w:pageBreakBefore w:val="0"/>
              <w:kinsoku/>
              <w:bidi w:val="0"/>
              <w:spacing w:before="157" w:beforeLines="50" w:line="360" w:lineRule="auto"/>
              <w:ind w:firstLine="420" w:firstLineChars="200"/>
              <w:rPr>
                <w:rFonts w:ascii="Times New Roman" w:hAnsi="Times New Roman" w:eastAsia="宋体" w:cs="宋体"/>
                <w:snapToGrid w:val="0"/>
                <w:color w:val="auto"/>
                <w:kern w:val="0"/>
                <w:szCs w:val="21"/>
                <w:highlight w:val="none"/>
              </w:rPr>
            </w:pPr>
            <w:r>
              <w:rPr>
                <w:rFonts w:ascii="Times New Roman" w:hAnsi="Times New Roman" w:eastAsia="宋体" w:cs="宋体"/>
                <w:snapToGrid w:val="0"/>
                <w:color w:val="auto"/>
                <w:kern w:val="0"/>
                <w:szCs w:val="21"/>
                <w:highlight w:val="none"/>
              </w:rPr>
              <w:t>将评标办法范本原文第3.2.3款细化如下：</w:t>
            </w:r>
          </w:p>
          <w:p>
            <w:pPr>
              <w:pageBreakBefore w:val="0"/>
              <w:kinsoku/>
              <w:bidi w:val="0"/>
              <w:spacing w:before="157" w:beforeLines="50" w:line="360" w:lineRule="auto"/>
              <w:ind w:firstLine="420" w:firstLineChars="200"/>
              <w:rPr>
                <w:rFonts w:hint="eastAsia"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投标人</w:t>
            </w:r>
            <w:r>
              <w:rPr>
                <w:rFonts w:ascii="Times New Roman" w:hAnsi="Times New Roman" w:eastAsia="宋体" w:cs="宋体"/>
                <w:snapToGrid w:val="0"/>
                <w:color w:val="auto"/>
                <w:kern w:val="0"/>
                <w:szCs w:val="21"/>
                <w:highlight w:val="none"/>
              </w:rPr>
              <w:t>的商务和技术</w:t>
            </w:r>
            <w:r>
              <w:rPr>
                <w:rFonts w:hint="eastAsia" w:ascii="Times New Roman" w:hAnsi="Times New Roman" w:eastAsia="宋体" w:cs="宋体"/>
                <w:snapToGrid w:val="0"/>
                <w:color w:val="auto"/>
                <w:kern w:val="0"/>
                <w:szCs w:val="21"/>
                <w:highlight w:val="none"/>
              </w:rPr>
              <w:t>得分=A+B+</w:t>
            </w:r>
            <w:r>
              <w:rPr>
                <w:rFonts w:ascii="Times New Roman" w:hAnsi="Times New Roman" w:eastAsia="宋体" w:cs="宋体"/>
                <w:snapToGrid w:val="0"/>
                <w:color w:val="auto"/>
                <w:kern w:val="0"/>
                <w:szCs w:val="21"/>
                <w:highlight w:val="none"/>
              </w:rPr>
              <w:t>D</w:t>
            </w:r>
            <w:r>
              <w:rPr>
                <w:rFonts w:hint="eastAsia" w:ascii="Times New Roman" w:hAnsi="Times New Roman" w:eastAsia="宋体" w:cs="宋体"/>
                <w:snapToGrid w:val="0"/>
                <w:color w:val="auto"/>
                <w:kern w:val="0"/>
                <w:szCs w:val="21"/>
                <w:highlight w:val="none"/>
              </w:rPr>
              <w:t>。</w:t>
            </w:r>
          </w:p>
          <w:p>
            <w:pPr>
              <w:pageBreakBefore w:val="0"/>
              <w:kinsoku/>
              <w:bidi w:val="0"/>
              <w:spacing w:before="157" w:beforeLines="50" w:line="360" w:lineRule="auto"/>
              <w:ind w:firstLine="420" w:firstLineChars="200"/>
              <w:rPr>
                <w:rFonts w:ascii="Times New Roman" w:hAnsi="Times New Roman" w:eastAsia="宋体" w:cs="宋体"/>
                <w:snapToGrid w:val="0"/>
                <w:color w:val="auto"/>
                <w:kern w:val="0"/>
                <w:szCs w:val="21"/>
                <w:highlight w:val="none"/>
              </w:rPr>
            </w:pPr>
            <w:r>
              <w:rPr>
                <w:rFonts w:hint="eastAsia" w:ascii="Times New Roman" w:hAnsi="Times New Roman" w:eastAsia="宋体" w:cs="宋体"/>
                <w:snapToGrid w:val="0"/>
                <w:color w:val="auto"/>
                <w:kern w:val="0"/>
                <w:szCs w:val="21"/>
                <w:highlight w:val="none"/>
              </w:rPr>
              <w:t>投标人的综合得分= A+B+C+D。</w:t>
            </w:r>
          </w:p>
          <w:p>
            <w:pPr>
              <w:pageBreakBefore w:val="0"/>
              <w:kinsoku/>
              <w:bidi w:val="0"/>
              <w:spacing w:before="157" w:beforeLines="50" w:line="360" w:lineRule="auto"/>
              <w:ind w:firstLine="420" w:firstLineChars="200"/>
              <w:rPr>
                <w:rFonts w:hint="eastAsia" w:ascii="Times New Roman" w:hAnsi="Times New Roman" w:eastAsia="宋体" w:cs="宋体"/>
                <w:snapToGrid w:val="0"/>
                <w:color w:val="auto"/>
                <w:szCs w:val="21"/>
                <w:highlight w:val="none"/>
              </w:rPr>
            </w:pPr>
            <w:r>
              <w:rPr>
                <w:rFonts w:ascii="Times New Roman" w:hAnsi="Times New Roman" w:eastAsia="宋体" w:cs="宋体"/>
                <w:snapToGrid w:val="0"/>
                <w:color w:val="auto"/>
                <w:kern w:val="0"/>
                <w:szCs w:val="21"/>
                <w:highlight w:val="none"/>
              </w:rPr>
              <w:t>除评标价、技术能力、履约信誉得分外，投标文件各评分因素细分项得分均不应低于其权重分的60%，评分低于权重分值60%的，评标委员会成员应当在评标报告中作出说明。</w:t>
            </w:r>
            <w:r>
              <w:rPr>
                <w:rFonts w:hint="eastAsia" w:ascii="Times New Roman" w:hAnsi="Times New Roman" w:eastAsia="宋体" w:cs="宋体"/>
                <w:snapToGrid w:val="0"/>
                <w:color w:val="auto"/>
                <w:kern w:val="0"/>
                <w:szCs w:val="21"/>
                <w:highlight w:val="none"/>
              </w:rPr>
              <w:t xml:space="preserve"> </w:t>
            </w:r>
            <w:r>
              <w:rPr>
                <w:rFonts w:ascii="Times New Roman" w:hAnsi="Times New Roman" w:eastAsia="宋体" w:cs="宋体"/>
                <w:snapToGrid w:val="0"/>
                <w:color w:val="auto"/>
                <w:kern w:val="0"/>
                <w:szCs w:val="21"/>
                <w:highlight w:val="none"/>
              </w:rPr>
              <w:t>计算投标人技术得分时: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3"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olor w:val="auto"/>
                <w:szCs w:val="21"/>
                <w:highlight w:val="none"/>
              </w:rPr>
              <w:t>3.6</w:t>
            </w:r>
          </w:p>
        </w:tc>
        <w:tc>
          <w:tcPr>
            <w:tcW w:w="8325" w:type="dxa"/>
            <w:noWrap w:val="0"/>
            <w:vAlign w:val="center"/>
          </w:tcPr>
          <w:p>
            <w:pPr>
              <w:pageBreakBefore w:val="0"/>
              <w:kinsoku/>
              <w:bidi w:val="0"/>
              <w:spacing w:before="157" w:beforeLines="50" w:line="360" w:lineRule="auto"/>
              <w:ind w:firstLine="323" w:firstLineChars="154"/>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增加3.6.3款：</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3.6.3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1153"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3.7.1</w:t>
            </w:r>
          </w:p>
        </w:tc>
        <w:tc>
          <w:tcPr>
            <w:tcW w:w="8325" w:type="dxa"/>
            <w:noWrap w:val="0"/>
            <w:vAlign w:val="center"/>
          </w:tcPr>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将评标办法范本原文第 3.7.1 款修改为：</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 投标文件中的下列偏差为细微偏差：（采用固化工程量清单，则 a－d步骤省略）：</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a、在算术性复核中发现的算术性差错：</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b、在招标人给定的工程量清单中漏报了某个工程细目的单价和合价；</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c、在招标人给定的工程量清单中多报了某个工程细目的单价和合价或所报单价增加或减少了报价范围；</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d、在招标人给定的工程量清单中修改了某些支付号的工程数量；</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e、施工组织设计（不含关键工程技术方案）不够完善。</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（2）评标委员会对投标文件中的细微偏差按如下规定处理：（采用固化工程量清单，则 a－d 步骤省略）：</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a、按本评标办法的规定对算术性错误予以修正；</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b、对于漏报的工程细目单价和合价或单价和合价减少的报价内容视为已含入其它工程细目的单价和合价之中；</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c、在保证投标总价不变的前提下，对于多报的工程细目报价或工程细目报价中增加的部分报价从投标报价中予以扣除，并对其它细目作相应的平衡性调整；</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s="宋体"/>
                <w:snapToGrid w:val="0"/>
                <w:color w:val="auto"/>
                <w:szCs w:val="21"/>
                <w:highlight w:val="none"/>
              </w:rPr>
            </w:pPr>
            <w:r>
              <w:rPr>
                <w:rFonts w:hint="eastAsia" w:ascii="Times New Roman" w:hAnsi="Times New Roman" w:eastAsia="宋体"/>
                <w:color w:val="auto"/>
                <w:szCs w:val="21"/>
                <w:highlight w:val="none"/>
              </w:rPr>
              <w:t>d、在保证投标总价不变的前提下，对与给定工程量清单数量不符的工程数量进行更正，并对其它细目作相应的平衡性调整。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3" w:type="dxa"/>
            <w:noWrap w:val="0"/>
            <w:vAlign w:val="center"/>
          </w:tcPr>
          <w:p>
            <w:pPr>
              <w:pageBreakBefore w:val="0"/>
              <w:kinsoku/>
              <w:bidi w:val="0"/>
              <w:spacing w:before="157" w:beforeLines="50"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3.9</w:t>
            </w:r>
          </w:p>
        </w:tc>
        <w:tc>
          <w:tcPr>
            <w:tcW w:w="8325" w:type="dxa"/>
            <w:noWrap w:val="0"/>
            <w:vAlign w:val="center"/>
          </w:tcPr>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kern w:val="0"/>
                <w:szCs w:val="21"/>
                <w:highlight w:val="none"/>
              </w:rPr>
            </w:pPr>
            <w:r>
              <w:rPr>
                <w:rFonts w:hint="eastAsia" w:ascii="Times New Roman" w:hAnsi="Times New Roman" w:eastAsia="宋体"/>
                <w:color w:val="auto"/>
                <w:kern w:val="0"/>
                <w:szCs w:val="21"/>
                <w:highlight w:val="none"/>
              </w:rPr>
              <w:t>增加3.9.3-3.9.7款：</w:t>
            </w:r>
          </w:p>
          <w:p>
            <w:pPr>
              <w:pageBreakBefore w:val="0"/>
              <w:kinsoku/>
              <w:bidi w:val="0"/>
              <w:spacing w:before="157" w:beforeLines="50" w:line="360" w:lineRule="auto"/>
              <w:ind w:firstLine="420" w:firstLineChars="200"/>
              <w:jc w:val="left"/>
              <w:rPr>
                <w:rFonts w:hint="eastAsia"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3.</w:t>
            </w:r>
            <w:r>
              <w:rPr>
                <w:rFonts w:hint="eastAsia" w:ascii="Times New Roman" w:hAnsi="Times New Roman" w:eastAsia="宋体" w:cs="宋体"/>
                <w:color w:val="auto"/>
                <w:kern w:val="0"/>
                <w:szCs w:val="21"/>
                <w:highlight w:val="none"/>
              </w:rPr>
              <w:t>9</w:t>
            </w:r>
            <w:r>
              <w:rPr>
                <w:rFonts w:ascii="Times New Roman" w:hAnsi="Times New Roman" w:eastAsia="宋体" w:cs="宋体"/>
                <w:color w:val="auto"/>
                <w:kern w:val="0"/>
                <w:szCs w:val="21"/>
                <w:highlight w:val="none"/>
              </w:rPr>
              <w:t>.</w:t>
            </w:r>
            <w:r>
              <w:rPr>
                <w:rFonts w:hint="eastAsia" w:ascii="Times New Roman" w:hAnsi="Times New Roman" w:eastAsia="宋体" w:cs="宋体"/>
                <w:color w:val="auto"/>
                <w:kern w:val="0"/>
                <w:szCs w:val="21"/>
                <w:highlight w:val="none"/>
              </w:rPr>
              <w:t>3</w:t>
            </w:r>
            <w:r>
              <w:rPr>
                <w:rFonts w:ascii="Times New Roman" w:hAnsi="Times New Roman" w:eastAsia="宋体" w:cs="宋体"/>
                <w:color w:val="auto"/>
                <w:kern w:val="0"/>
                <w:szCs w:val="21"/>
                <w:highlight w:val="none"/>
              </w:rPr>
              <w:t xml:space="preserve"> </w:t>
            </w:r>
            <w:r>
              <w:rPr>
                <w:rFonts w:hint="eastAsia" w:ascii="Times New Roman" w:hAnsi="Times New Roman" w:eastAsia="宋体" w:cs="宋体"/>
                <w:color w:val="auto"/>
                <w:kern w:val="0"/>
                <w:szCs w:val="21"/>
                <w:highlight w:val="none"/>
              </w:rPr>
              <w:t>按上述评审办法的综合得分从高到低进行排名</w:t>
            </w:r>
            <w:r>
              <w:rPr>
                <w:rFonts w:ascii="Times New Roman" w:hAnsi="Times New Roman" w:eastAsia="宋体" w:cs="宋体"/>
                <w:color w:val="auto"/>
                <w:kern w:val="0"/>
                <w:szCs w:val="21"/>
                <w:highlight w:val="none"/>
              </w:rPr>
              <w:t>,</w:t>
            </w:r>
            <w:r>
              <w:rPr>
                <w:rFonts w:hint="eastAsia" w:ascii="Times New Roman" w:hAnsi="Times New Roman" w:eastAsia="宋体"/>
                <w:color w:val="auto"/>
                <w:highlight w:val="none"/>
              </w:rPr>
              <w:t xml:space="preserve"> </w:t>
            </w:r>
            <w:r>
              <w:rPr>
                <w:rFonts w:hint="eastAsia" w:ascii="Times New Roman" w:hAnsi="Times New Roman" w:eastAsia="宋体" w:cs="宋体"/>
                <w:color w:val="auto"/>
                <w:kern w:val="0"/>
                <w:szCs w:val="21"/>
                <w:highlight w:val="none"/>
              </w:rPr>
              <w:t>投标人在所投两个标段中只能中一个标（即兼投不兼中），第1标段（业主控制价较高的标段）优先排名，如果同一投标人同时在两个标段的综合得分排名第一时，则评标委员会推荐该投标人在第1标段（业主控制价较高的标段）为第一中标候选人，该投标人自动失去第2标段第一中标候选人的资格，以此类推，推荐第2标段中标候选人。</w:t>
            </w:r>
          </w:p>
          <w:p>
            <w:pPr>
              <w:pageBreakBefore w:val="0"/>
              <w:kinsoku/>
              <w:bidi w:val="0"/>
              <w:spacing w:before="157" w:beforeLines="50" w:line="360" w:lineRule="auto"/>
              <w:ind w:firstLine="420" w:firstLineChars="200"/>
              <w:jc w:val="left"/>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同一标段内，如果综合得分相同，以投标报价较低的投标人排名优先。当一家以上投标人综合得分相等且评标价也相等时，若各投标人工程量清单细目单价也相同，视为串标（仅一工作细目报价的除外），应否决其投标；若各投标人工程量清单细目单价不尽相同，由评标委员会按照以下顺序确定其名次：</w:t>
            </w:r>
          </w:p>
          <w:p>
            <w:pPr>
              <w:pageBreakBefore w:val="0"/>
              <w:kinsoku/>
              <w:bidi w:val="0"/>
              <w:spacing w:before="157" w:beforeLines="50" w:line="360" w:lineRule="auto"/>
              <w:ind w:firstLine="420" w:firstLineChars="200"/>
              <w:jc w:val="left"/>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(1)</w:t>
            </w:r>
            <w:r>
              <w:rPr>
                <w:rFonts w:hint="eastAsia" w:ascii="Times New Roman" w:hAnsi="Times New Roman" w:eastAsia="宋体" w:cs="宋体"/>
                <w:color w:val="auto"/>
                <w:kern w:val="0"/>
                <w:szCs w:val="21"/>
                <w:highlight w:val="none"/>
              </w:rPr>
              <w:t>被广东省交通运输厅评为较高信用等级的投标人优先（对于信用等级为</w:t>
            </w:r>
            <w:r>
              <w:rPr>
                <w:rFonts w:ascii="Times New Roman" w:hAnsi="Times New Roman" w:eastAsia="宋体" w:cs="宋体"/>
                <w:color w:val="auto"/>
                <w:kern w:val="0"/>
                <w:szCs w:val="21"/>
                <w:highlight w:val="none"/>
              </w:rPr>
              <w:t xml:space="preserve"> AA</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 xml:space="preserve">A </w:t>
            </w:r>
            <w:r>
              <w:rPr>
                <w:rFonts w:hint="eastAsia" w:ascii="Times New Roman" w:hAnsi="Times New Roman" w:eastAsia="宋体" w:cs="宋体"/>
                <w:color w:val="auto"/>
                <w:kern w:val="0"/>
                <w:szCs w:val="21"/>
                <w:highlight w:val="none"/>
              </w:rPr>
              <w:t>的企业在递交投标文件时应按要求提交使用广东省信用评价等级申请承诺书，否则，</w:t>
            </w:r>
            <w:r>
              <w:rPr>
                <w:rFonts w:ascii="Times New Roman" w:hAnsi="Times New Roman" w:eastAsia="宋体" w:cs="宋体"/>
                <w:color w:val="auto"/>
                <w:kern w:val="0"/>
                <w:szCs w:val="21"/>
                <w:highlight w:val="none"/>
              </w:rPr>
              <w:t xml:space="preserve">AA </w:t>
            </w:r>
            <w:r>
              <w:rPr>
                <w:rFonts w:hint="eastAsia" w:ascii="Times New Roman" w:hAnsi="Times New Roman" w:eastAsia="宋体" w:cs="宋体"/>
                <w:color w:val="auto"/>
                <w:kern w:val="0"/>
                <w:szCs w:val="21"/>
                <w:highlight w:val="none"/>
              </w:rPr>
              <w:t>级信用等级企业按</w:t>
            </w:r>
            <w:r>
              <w:rPr>
                <w:rFonts w:ascii="Times New Roman" w:hAnsi="Times New Roman" w:eastAsia="宋体" w:cs="宋体"/>
                <w:color w:val="auto"/>
                <w:kern w:val="0"/>
                <w:szCs w:val="21"/>
                <w:highlight w:val="none"/>
              </w:rPr>
              <w:t xml:space="preserve"> A </w:t>
            </w:r>
            <w:r>
              <w:rPr>
                <w:rFonts w:hint="eastAsia" w:ascii="Times New Roman" w:hAnsi="Times New Roman" w:eastAsia="宋体" w:cs="宋体"/>
                <w:color w:val="auto"/>
                <w:kern w:val="0"/>
                <w:szCs w:val="21"/>
                <w:highlight w:val="none"/>
              </w:rPr>
              <w:t>级对待、</w:t>
            </w:r>
            <w:r>
              <w:rPr>
                <w:rFonts w:ascii="Times New Roman" w:hAnsi="Times New Roman" w:eastAsia="宋体" w:cs="宋体"/>
                <w:color w:val="auto"/>
                <w:kern w:val="0"/>
                <w:szCs w:val="21"/>
                <w:highlight w:val="none"/>
              </w:rPr>
              <w:t xml:space="preserve">A </w:t>
            </w:r>
            <w:r>
              <w:rPr>
                <w:rFonts w:hint="eastAsia" w:ascii="Times New Roman" w:hAnsi="Times New Roman" w:eastAsia="宋体" w:cs="宋体"/>
                <w:color w:val="auto"/>
                <w:kern w:val="0"/>
                <w:szCs w:val="21"/>
                <w:highlight w:val="none"/>
              </w:rPr>
              <w:t>级信用等级企业按</w:t>
            </w:r>
            <w:r>
              <w:rPr>
                <w:rFonts w:ascii="Times New Roman" w:hAnsi="Times New Roman" w:eastAsia="宋体" w:cs="宋体"/>
                <w:color w:val="auto"/>
                <w:kern w:val="0"/>
                <w:szCs w:val="21"/>
                <w:highlight w:val="none"/>
              </w:rPr>
              <w:t xml:space="preserve"> B </w:t>
            </w:r>
            <w:r>
              <w:rPr>
                <w:rFonts w:hint="eastAsia" w:ascii="Times New Roman" w:hAnsi="Times New Roman" w:eastAsia="宋体" w:cs="宋体"/>
                <w:color w:val="auto"/>
                <w:kern w:val="0"/>
                <w:szCs w:val="21"/>
                <w:highlight w:val="none"/>
              </w:rPr>
              <w:t>级对待）；</w:t>
            </w:r>
          </w:p>
          <w:p>
            <w:pPr>
              <w:pageBreakBefore w:val="0"/>
              <w:kinsoku/>
              <w:bidi w:val="0"/>
              <w:spacing w:before="157" w:beforeLines="50" w:line="360" w:lineRule="auto"/>
              <w:ind w:firstLine="420" w:firstLineChars="200"/>
              <w:jc w:val="left"/>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 xml:space="preserve">(2) </w:t>
            </w:r>
            <w:r>
              <w:rPr>
                <w:rFonts w:hint="eastAsia" w:ascii="Times New Roman" w:hAnsi="Times New Roman" w:eastAsia="宋体" w:cs="宋体"/>
                <w:color w:val="auto"/>
                <w:kern w:val="0"/>
                <w:szCs w:val="21"/>
                <w:highlight w:val="none"/>
              </w:rPr>
              <w:t>由评标委员会视企业净资产、投标人技术能力、施工方案等情况经评议后，投票确定其名次；</w:t>
            </w:r>
          </w:p>
          <w:p>
            <w:pPr>
              <w:pageBreakBefore w:val="0"/>
              <w:tabs>
                <w:tab w:val="left" w:pos="858"/>
              </w:tabs>
              <w:kinsoku/>
              <w:bidi w:val="0"/>
              <w:spacing w:before="157" w:beforeLines="50" w:line="360" w:lineRule="auto"/>
              <w:ind w:firstLine="420" w:firstLineChars="200"/>
              <w:jc w:val="left"/>
              <w:rPr>
                <w:rFonts w:hint="eastAsia" w:ascii="Times New Roman" w:hAnsi="Times New Roman" w:eastAsia="宋体"/>
                <w:color w:val="auto"/>
                <w:kern w:val="0"/>
                <w:szCs w:val="21"/>
                <w:highlight w:val="none"/>
              </w:rPr>
            </w:pPr>
            <w:r>
              <w:rPr>
                <w:rFonts w:ascii="Times New Roman" w:hAnsi="Times New Roman" w:eastAsia="宋体" w:cs="宋体"/>
                <w:color w:val="auto"/>
                <w:kern w:val="0"/>
                <w:szCs w:val="21"/>
                <w:highlight w:val="none"/>
              </w:rPr>
              <w:t>3.</w:t>
            </w:r>
            <w:r>
              <w:rPr>
                <w:rFonts w:hint="eastAsia" w:ascii="Times New Roman" w:hAnsi="Times New Roman" w:eastAsia="宋体" w:cs="宋体"/>
                <w:color w:val="auto"/>
                <w:kern w:val="0"/>
                <w:szCs w:val="21"/>
                <w:highlight w:val="none"/>
              </w:rPr>
              <w:t>9</w:t>
            </w:r>
            <w:r>
              <w:rPr>
                <w:rFonts w:ascii="Times New Roman" w:hAnsi="Times New Roman" w:eastAsia="宋体" w:cs="宋体"/>
                <w:color w:val="auto"/>
                <w:kern w:val="0"/>
                <w:szCs w:val="21"/>
                <w:highlight w:val="none"/>
              </w:rPr>
              <w:t>.</w:t>
            </w:r>
            <w:r>
              <w:rPr>
                <w:rFonts w:hint="eastAsia" w:ascii="Times New Roman" w:hAnsi="Times New Roman" w:eastAsia="宋体" w:cs="宋体"/>
                <w:color w:val="auto"/>
                <w:kern w:val="0"/>
                <w:szCs w:val="21"/>
                <w:highlight w:val="none"/>
              </w:rPr>
              <w:t>4</w:t>
            </w:r>
            <w:r>
              <w:rPr>
                <w:rFonts w:ascii="Times New Roman" w:hAnsi="Times New Roman" w:eastAsia="宋体" w:cs="宋体"/>
                <w:color w:val="auto"/>
                <w:kern w:val="0"/>
                <w:szCs w:val="21"/>
                <w:highlight w:val="none"/>
              </w:rPr>
              <w:t xml:space="preserve"> </w:t>
            </w:r>
            <w:r>
              <w:rPr>
                <w:rFonts w:hint="eastAsia" w:ascii="Times New Roman" w:hAnsi="Times New Roman" w:eastAsia="宋体" w:cs="宋体"/>
                <w:color w:val="auto"/>
                <w:kern w:val="0"/>
                <w:szCs w:val="21"/>
                <w:highlight w:val="none"/>
              </w:rPr>
              <w:t>按照上述第</w:t>
            </w:r>
            <w:r>
              <w:rPr>
                <w:rFonts w:ascii="Times New Roman" w:hAnsi="Times New Roman" w:eastAsia="宋体" w:cs="宋体"/>
                <w:color w:val="auto"/>
                <w:kern w:val="0"/>
                <w:szCs w:val="21"/>
                <w:highlight w:val="none"/>
              </w:rPr>
              <w:t xml:space="preserve"> 3.</w:t>
            </w:r>
            <w:r>
              <w:rPr>
                <w:rFonts w:hint="eastAsia" w:ascii="Times New Roman" w:hAnsi="Times New Roman" w:eastAsia="宋体" w:cs="宋体"/>
                <w:color w:val="auto"/>
                <w:kern w:val="0"/>
                <w:szCs w:val="21"/>
                <w:highlight w:val="none"/>
              </w:rPr>
              <w:t>9</w:t>
            </w:r>
            <w:r>
              <w:rPr>
                <w:rFonts w:ascii="Times New Roman" w:hAnsi="Times New Roman" w:eastAsia="宋体" w:cs="宋体"/>
                <w:color w:val="auto"/>
                <w:kern w:val="0"/>
                <w:szCs w:val="21"/>
                <w:highlight w:val="none"/>
              </w:rPr>
              <w:t>.</w:t>
            </w:r>
            <w:r>
              <w:rPr>
                <w:rFonts w:hint="eastAsia" w:ascii="Times New Roman" w:hAnsi="Times New Roman" w:eastAsia="宋体" w:cs="宋体"/>
                <w:color w:val="auto"/>
                <w:kern w:val="0"/>
                <w:szCs w:val="21"/>
                <w:highlight w:val="none"/>
              </w:rPr>
              <w:t>3</w:t>
            </w:r>
            <w:r>
              <w:rPr>
                <w:rFonts w:ascii="Times New Roman" w:hAnsi="Times New Roman" w:eastAsia="宋体" w:cs="宋体"/>
                <w:color w:val="auto"/>
                <w:kern w:val="0"/>
                <w:szCs w:val="21"/>
                <w:highlight w:val="none"/>
              </w:rPr>
              <w:t xml:space="preserve"> </w:t>
            </w:r>
            <w:r>
              <w:rPr>
                <w:rFonts w:hint="eastAsia" w:ascii="Times New Roman" w:hAnsi="Times New Roman" w:eastAsia="宋体" w:cs="宋体"/>
                <w:color w:val="auto"/>
                <w:kern w:val="0"/>
                <w:szCs w:val="21"/>
                <w:highlight w:val="none"/>
              </w:rPr>
              <w:t>款原则，按排名次序推荐出2名中标候选人。</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3.9.5通过第一信封商务文件和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3.9.6通过第一信封商务文件和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3.9.7如果推荐的第一中标候选人放弃中标、或因不可抗力提出不能履行合同，或招标文件规定应当提交履约保证金而在规定的期限内未能提交的，招标人可以按照评标委员会提出的中标候选人名单排序依次确定其他中标候选人为中标人，也可以重新招标，但第一中标候选人的投标保证金不予退还（因不可抗力的情况除外）。</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3.9.8如果推荐的中标候选人因被投诉并查证属实存在造假行为的，按否决其投标处理，且没收其投标保证金。</w:t>
            </w:r>
          </w:p>
          <w:p>
            <w:pPr>
              <w:pageBreakBefore w:val="0"/>
              <w:tabs>
                <w:tab w:val="left" w:pos="858"/>
              </w:tabs>
              <w:kinsoku/>
              <w:bidi w:val="0"/>
              <w:snapToGrid w:val="0"/>
              <w:spacing w:before="157" w:beforeLines="50"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3.9.9如果发生无法确定推荐中标候选人的其它意外情况，评标委员会可建议招标人重新招标。</w:t>
            </w:r>
          </w:p>
          <w:p>
            <w:pPr>
              <w:pageBreakBefore w:val="0"/>
              <w:kinsoku/>
              <w:bidi w:val="0"/>
              <w:spacing w:before="157" w:beforeLines="50" w:line="360" w:lineRule="auto"/>
              <w:rPr>
                <w:rFonts w:hint="eastAsia" w:ascii="Times New Roman" w:hAnsi="Times New Roman" w:eastAsia="宋体" w:cs="宋体"/>
                <w:color w:val="auto"/>
                <w:szCs w:val="21"/>
                <w:highlight w:val="none"/>
              </w:rPr>
            </w:pPr>
          </w:p>
        </w:tc>
      </w:tr>
    </w:tbl>
    <w:p>
      <w:pPr>
        <w:pStyle w:val="19"/>
        <w:pageBreakBefore w:val="0"/>
        <w:shd w:val="clear" w:color="auto" w:fill="auto"/>
        <w:kinsoku/>
        <w:bidi w:val="0"/>
        <w:spacing w:before="157" w:beforeLines="50" w:line="360" w:lineRule="auto"/>
        <w:ind w:right="440"/>
        <w:rPr>
          <w:rStyle w:val="20"/>
          <w:rFonts w:hint="eastAsia" w:ascii="Times New Roman" w:hAnsi="Times New Roman" w:eastAsia="宋体" w:cs="宋体"/>
          <w:color w:val="auto"/>
          <w:highlight w:val="none"/>
        </w:rPr>
      </w:pPr>
    </w:p>
    <w:p>
      <w:pPr>
        <w:pageBreakBefore w:val="0"/>
        <w:kinsoku/>
        <w:bidi w:val="0"/>
        <w:spacing w:before="157" w:beforeLines="50" w:line="360" w:lineRule="auto"/>
        <w:rPr>
          <w:rFonts w:hint="eastAsia"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评标办法正文内容参见：</w:t>
      </w:r>
    </w:p>
    <w:p>
      <w:pPr>
        <w:pStyle w:val="4"/>
        <w:pageBreakBefore w:val="0"/>
        <w:kinsoku/>
        <w:bidi w:val="0"/>
        <w:spacing w:before="157" w:beforeLines="50"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sz w:val="28"/>
          <w:szCs w:val="28"/>
          <w:highlight w:val="none"/>
        </w:rPr>
        <w:t xml:space="preserve">  </w:t>
      </w:r>
      <w:r>
        <w:rPr>
          <w:rFonts w:ascii="Times New Roman" w:hAnsi="Times New Roman" w:eastAsia="宋体"/>
          <w:color w:val="auto"/>
          <w:sz w:val="28"/>
          <w:szCs w:val="28"/>
          <w:highlight w:val="none"/>
        </w:rPr>
        <w:t>《公路工程标准施工招标文件》（20</w:t>
      </w:r>
      <w:r>
        <w:rPr>
          <w:rFonts w:hint="eastAsia" w:ascii="Times New Roman" w:hAnsi="Times New Roman" w:eastAsia="宋体"/>
          <w:color w:val="auto"/>
          <w:sz w:val="28"/>
          <w:szCs w:val="28"/>
          <w:highlight w:val="none"/>
        </w:rPr>
        <w:t>18</w:t>
      </w:r>
      <w:r>
        <w:rPr>
          <w:rFonts w:ascii="Times New Roman" w:hAnsi="Times New Roman" w:eastAsia="宋体"/>
          <w:color w:val="auto"/>
          <w:sz w:val="28"/>
          <w:szCs w:val="28"/>
          <w:highlight w:val="none"/>
        </w:rPr>
        <w:t>年版）</w:t>
      </w:r>
      <w:r>
        <w:rPr>
          <w:rFonts w:hint="eastAsia" w:ascii="Times New Roman" w:hAnsi="Times New Roman" w:eastAsia="宋体"/>
          <w:color w:val="auto"/>
          <w:sz w:val="28"/>
          <w:szCs w:val="28"/>
          <w:highlight w:val="none"/>
        </w:rPr>
        <w:t>第三章“评标办法（综合评分法）”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singleLevel"/>
    <w:tmpl w:val="00000027"/>
    <w:lvl w:ilvl="0" w:tentative="0">
      <w:start w:val="2"/>
      <w:numFmt w:val="decimal"/>
      <w:suff w:val="nothing"/>
      <w:lvlText w:val="（%1）"/>
      <w:lvlJc w:val="left"/>
    </w:lvl>
  </w:abstractNum>
  <w:abstractNum w:abstractNumId="1">
    <w:nsid w:val="3248F9E3"/>
    <w:multiLevelType w:val="singleLevel"/>
    <w:tmpl w:val="3248F9E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452BA"/>
    <w:rsid w:val="2554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Times New Roman" w:hAnsi="Times New Roman" w:eastAsia="宋体" w:cs="Times New Roman"/>
      <w:szCs w:val="24"/>
    </w:rPr>
  </w:style>
  <w:style w:type="paragraph" w:styleId="3">
    <w:name w:val="Body Text Indent"/>
    <w:basedOn w:val="1"/>
    <w:uiPriority w:val="0"/>
    <w:pPr>
      <w:spacing w:after="120" w:afterLines="0"/>
      <w:ind w:left="420" w:leftChars="200"/>
    </w:pPr>
    <w:rPr>
      <w:rFonts w:ascii="Times New Roman" w:hAnsi="Times New Roman" w:eastAsia="宋体" w:cs="Times New Roman"/>
      <w:szCs w:val="24"/>
    </w:r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Plain Text"/>
    <w:basedOn w:val="1"/>
    <w:qFormat/>
    <w:uiPriority w:val="0"/>
    <w:rPr>
      <w:rFonts w:ascii="宋体" w:hAnsi="Courier New"/>
      <w:szCs w:val="20"/>
    </w:rPr>
  </w:style>
  <w:style w:type="paragraph" w:customStyle="1" w:styleId="8">
    <w:name w:val="正文文本 (24)"/>
    <w:basedOn w:val="1"/>
    <w:link w:val="9"/>
    <w:qFormat/>
    <w:uiPriority w:val="0"/>
    <w:pPr>
      <w:shd w:val="clear" w:color="auto" w:fill="FFFFFF"/>
      <w:spacing w:after="600" w:afterLines="0" w:line="240" w:lineRule="atLeast"/>
      <w:jc w:val="center"/>
    </w:pPr>
    <w:rPr>
      <w:rFonts w:ascii="MingLiU" w:eastAsia="MingLiU"/>
      <w:spacing w:val="30"/>
      <w:kern w:val="0"/>
      <w:sz w:val="42"/>
      <w:szCs w:val="42"/>
      <w:shd w:val="clear" w:color="auto" w:fill="FFFFFF"/>
    </w:rPr>
  </w:style>
  <w:style w:type="character" w:customStyle="1" w:styleId="9">
    <w:name w:val="正文文本 (24)_"/>
    <w:link w:val="8"/>
    <w:qFormat/>
    <w:uiPriority w:val="0"/>
    <w:rPr>
      <w:rFonts w:ascii="MingLiU" w:eastAsia="MingLiU"/>
      <w:spacing w:val="30"/>
      <w:kern w:val="0"/>
      <w:sz w:val="42"/>
      <w:szCs w:val="42"/>
      <w:shd w:val="clear" w:color="auto" w:fill="FFFFFF"/>
    </w:rPr>
  </w:style>
  <w:style w:type="paragraph" w:customStyle="1" w:styleId="10">
    <w:name w:val="表格标题 (4)"/>
    <w:basedOn w:val="1"/>
    <w:link w:val="11"/>
    <w:qFormat/>
    <w:uiPriority w:val="0"/>
    <w:pPr>
      <w:shd w:val="clear" w:color="auto" w:fill="FFFFFF"/>
      <w:spacing w:line="240" w:lineRule="atLeast"/>
      <w:jc w:val="left"/>
    </w:pPr>
    <w:rPr>
      <w:rFonts w:ascii="MingLiU" w:eastAsia="MingLiU"/>
      <w:b/>
      <w:bCs/>
      <w:kern w:val="0"/>
      <w:sz w:val="22"/>
      <w:szCs w:val="22"/>
      <w:shd w:val="clear" w:color="auto" w:fill="FFFFFF"/>
    </w:rPr>
  </w:style>
  <w:style w:type="character" w:customStyle="1" w:styleId="11">
    <w:name w:val="表格标题 (4)_"/>
    <w:link w:val="10"/>
    <w:uiPriority w:val="0"/>
    <w:rPr>
      <w:rFonts w:ascii="MingLiU" w:eastAsia="MingLiU"/>
      <w:b/>
      <w:bCs/>
      <w:kern w:val="0"/>
      <w:sz w:val="22"/>
      <w:szCs w:val="22"/>
      <w:shd w:val="clear" w:color="auto" w:fill="FFFFFF"/>
    </w:rPr>
  </w:style>
  <w:style w:type="paragraph" w:customStyle="1" w:styleId="12">
    <w:name w:val="Table Paragraph"/>
    <w:basedOn w:val="1"/>
    <w:uiPriority w:val="0"/>
    <w:pPr>
      <w:jc w:val="left"/>
    </w:pPr>
    <w:rPr>
      <w:rFonts w:ascii="Calibri" w:hAnsi="Calibri"/>
      <w:kern w:val="0"/>
      <w:sz w:val="22"/>
      <w:szCs w:val="22"/>
      <w:lang w:eastAsia="en-US"/>
    </w:rPr>
  </w:style>
  <w:style w:type="character" w:customStyle="1" w:styleId="13">
    <w:name w:val="正文文本 (2) + 10 pt37"/>
    <w:uiPriority w:val="0"/>
    <w:rPr>
      <w:rFonts w:ascii="MingLiU" w:eastAsia="MingLiU" w:cs="MingLiU"/>
      <w:spacing w:val="0"/>
      <w:sz w:val="20"/>
      <w:szCs w:val="20"/>
      <w:u w:val="none"/>
    </w:rPr>
  </w:style>
  <w:style w:type="paragraph" w:customStyle="1" w:styleId="14">
    <w:name w:val="正文文本 (5)1"/>
    <w:basedOn w:val="1"/>
    <w:link w:val="15"/>
    <w:qFormat/>
    <w:uiPriority w:val="0"/>
    <w:pPr>
      <w:shd w:val="clear" w:color="auto" w:fill="FFFFFF"/>
      <w:spacing w:before="5100" w:beforeLines="0" w:line="240" w:lineRule="atLeast"/>
      <w:jc w:val="left"/>
    </w:pPr>
    <w:rPr>
      <w:rFonts w:ascii="MingLiU" w:eastAsia="MingLiU"/>
      <w:kern w:val="0"/>
      <w:sz w:val="20"/>
      <w:szCs w:val="20"/>
      <w:shd w:val="clear" w:color="auto" w:fill="FFFFFF"/>
    </w:rPr>
  </w:style>
  <w:style w:type="character" w:customStyle="1" w:styleId="15">
    <w:name w:val="正文文本 (5)_"/>
    <w:link w:val="14"/>
    <w:qFormat/>
    <w:uiPriority w:val="0"/>
    <w:rPr>
      <w:rFonts w:ascii="MingLiU" w:eastAsia="MingLiU"/>
      <w:kern w:val="0"/>
      <w:sz w:val="20"/>
      <w:szCs w:val="20"/>
      <w:shd w:val="clear" w:color="auto" w:fill="FFFFFF"/>
    </w:rPr>
  </w:style>
  <w:style w:type="character" w:customStyle="1" w:styleId="16">
    <w:name w:val="正文文本 (2) + 间距 0 pt5"/>
    <w:qFormat/>
    <w:uiPriority w:val="0"/>
    <w:rPr>
      <w:rFonts w:ascii="MingLiU" w:eastAsia="MingLiU" w:cs="MingLiU"/>
      <w:spacing w:val="0"/>
      <w:sz w:val="22"/>
      <w:szCs w:val="22"/>
      <w:u w:val="none"/>
    </w:rPr>
  </w:style>
  <w:style w:type="paragraph" w:customStyle="1" w:styleId="17">
    <w:name w:val="正文文本 (2)1"/>
    <w:basedOn w:val="1"/>
    <w:qFormat/>
    <w:uiPriority w:val="0"/>
    <w:pPr>
      <w:shd w:val="clear" w:color="auto" w:fill="FFFFFF"/>
      <w:spacing w:before="300" w:beforeLines="0" w:line="439" w:lineRule="exact"/>
      <w:jc w:val="distribute"/>
    </w:pPr>
    <w:rPr>
      <w:rFonts w:ascii="MingLiU" w:eastAsia="MingLiU"/>
      <w:spacing w:val="20"/>
      <w:kern w:val="0"/>
      <w:sz w:val="22"/>
      <w:szCs w:val="22"/>
      <w:shd w:val="clear" w:color="auto" w:fill="FFFFFF"/>
    </w:rPr>
  </w:style>
  <w:style w:type="character" w:customStyle="1" w:styleId="18">
    <w:name w:val="正文文本 (2) + 10 pt24"/>
    <w:qFormat/>
    <w:uiPriority w:val="0"/>
    <w:rPr>
      <w:rFonts w:ascii="MingLiU" w:eastAsia="MingLiU" w:cs="MingLiU"/>
      <w:b/>
      <w:bCs/>
      <w:spacing w:val="0"/>
      <w:sz w:val="20"/>
      <w:szCs w:val="20"/>
      <w:u w:val="none"/>
    </w:rPr>
  </w:style>
  <w:style w:type="paragraph" w:customStyle="1" w:styleId="19">
    <w:name w:val="表格标题 (5)"/>
    <w:basedOn w:val="1"/>
    <w:link w:val="20"/>
    <w:qFormat/>
    <w:uiPriority w:val="0"/>
    <w:pPr>
      <w:shd w:val="clear" w:color="auto" w:fill="FFFFFF"/>
      <w:spacing w:line="240" w:lineRule="atLeast"/>
      <w:jc w:val="left"/>
    </w:pPr>
    <w:rPr>
      <w:rFonts w:ascii="MingLiU" w:eastAsia="MingLiU"/>
      <w:kern w:val="0"/>
      <w:sz w:val="22"/>
      <w:szCs w:val="22"/>
      <w:shd w:val="clear" w:color="auto" w:fill="FFFFFF"/>
    </w:rPr>
  </w:style>
  <w:style w:type="character" w:customStyle="1" w:styleId="20">
    <w:name w:val="表格标题 (5)_"/>
    <w:link w:val="19"/>
    <w:qFormat/>
    <w:uiPriority w:val="0"/>
    <w:rPr>
      <w:rFonts w:ascii="MingLiU" w:eastAsia="MingLiU"/>
      <w:kern w:val="0"/>
      <w:sz w:val="22"/>
      <w:szCs w:val="22"/>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2024-03-15T05:51:00Z</dcterms:created>
  <dc:creator>LLaura</dc:creator>
  <cp:lastModifiedBy>LLaura</cp:lastModifiedBy>
  <dcterms:modified xsi:type="dcterms:W3CDTF">2024-03-15T05:54:11Z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17FDD0B0F21749E7BEB099DFCE837467</vt:lpwstr>
  </property>
</Properties>
</file>