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157" w:beforeLines="50" w:line="360" w:lineRule="auto"/>
        <w:jc w:val="left"/>
        <w:rPr>
          <w:rFonts w:hint="eastAsia" w:ascii="Times New Roman" w:hAnsi="Times New Roman" w:eastAsia="宋体" w:cs="宋体"/>
          <w:b/>
          <w:bCs/>
          <w:color w:val="auto"/>
          <w:kern w:val="0"/>
          <w:sz w:val="28"/>
          <w:szCs w:val="28"/>
          <w:highlight w:val="none"/>
        </w:rPr>
      </w:pPr>
      <w:r>
        <w:rPr>
          <w:rFonts w:hint="eastAsia" w:ascii="Times New Roman" w:hAnsi="Times New Roman" w:eastAsia="宋体" w:cs="宋体"/>
          <w:b/>
          <w:bCs/>
          <w:color w:val="auto"/>
          <w:kern w:val="0"/>
          <w:sz w:val="28"/>
          <w:szCs w:val="28"/>
          <w:highlight w:val="none"/>
        </w:rPr>
        <w:t xml:space="preserve">附件1                     </w:t>
      </w:r>
    </w:p>
    <w:p>
      <w:pPr>
        <w:pageBreakBefore w:val="0"/>
        <w:kinsoku/>
        <w:bidi w:val="0"/>
        <w:spacing w:before="157" w:beforeLines="50" w:line="360" w:lineRule="auto"/>
        <w:jc w:val="center"/>
        <w:rPr>
          <w:rFonts w:hint="eastAsia"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工程项目情况</w:t>
      </w:r>
    </w:p>
    <w:p>
      <w:pPr>
        <w:pageBreakBefore w:val="0"/>
        <w:kinsoku/>
        <w:bidi w:val="0"/>
        <w:adjustRightInd w:val="0"/>
        <w:snapToGrid w:val="0"/>
        <w:spacing w:before="157" w:beforeLines="50" w:line="360" w:lineRule="auto"/>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一、工程项目描述</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1、工程地点和建设意义</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深汕高速公路东段（G15汕头至汕尾段）东起汕头达濠，与海湾大桥相接，向西途经汕头市、揭阳市、汕尾市，西止于陆丰潭西，与深汕高速西段连接，国高网桩号范围为K2565+348～K2705+364，路段全长140.016km，均为沥青混凝土路面。全线共有桥梁210 座，其中特大桥1 座、大桥10 座、中桥47 座、小桥152 座，涵洞644 座，设达濠、河浦、海门、田心、仙庵、惠来、隆江、东港、内湖、霞湖十个收费站，十二个出入口，设计为全封闭、全立交双向四车道的高速公路，路基宽24.5m，设计时速为100km/h。1993 年11 月1 日开工，1996 年11 月8 日竣工。</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工程内容：</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第1标段主要针对K2573+900～K2612+648段病害严重的沥青路面进行铣刨重铺维修，同时对基层病害进行处置；对下列K2566+423葛洲大桥等9座病害较为严重的水泥混凝土桥面铺装进行凿除修复、灌缝、填缝料更换等病害处治，并对其中2座桥梁实施精铣刨后进行1.5cm厚HET-Y(B)</w:t>
      </w:r>
      <w:r>
        <w:rPr>
          <w:rFonts w:hint="eastAsia" w:ascii="Times New Roman" w:hAnsi="Times New Roman" w:eastAsia="宋体"/>
          <w:color w:val="auto"/>
          <w:highlight w:val="none"/>
        </w:rPr>
        <w:t xml:space="preserve"> </w:t>
      </w:r>
      <w:r>
        <w:rPr>
          <w:rFonts w:hint="eastAsia" w:ascii="Times New Roman" w:hAnsi="Times New Roman" w:eastAsia="宋体"/>
          <w:color w:val="auto"/>
          <w:szCs w:val="21"/>
          <w:highlight w:val="none"/>
        </w:rPr>
        <w:t>高性能经济薄层处治；恢复路面标线及道钉等。</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652"/>
        <w:gridCol w:w="693"/>
        <w:gridCol w:w="1270"/>
        <w:gridCol w:w="837"/>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序号</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桥名</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方向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中心桩号</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长度m</w:t>
            </w:r>
          </w:p>
        </w:tc>
        <w:tc>
          <w:tcPr>
            <w:tcW w:w="3544" w:type="dxa"/>
            <w:noWrap w:val="0"/>
            <w:vAlign w:val="center"/>
          </w:tcPr>
          <w:p>
            <w:pPr>
              <w:pageBreakBefore w:val="0"/>
              <w:kinsoku/>
              <w:bidi w:val="0"/>
              <w:spacing w:before="157" w:beforeLines="50" w:line="360" w:lineRule="auto"/>
              <w:jc w:val="center"/>
              <w:rPr>
                <w:rFonts w:hint="eastAsia"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处治方式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1</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葛洲大桥</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K2566+423</w:t>
            </w:r>
          </w:p>
        </w:tc>
        <w:tc>
          <w:tcPr>
            <w:tcW w:w="850"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240</w:t>
            </w:r>
          </w:p>
        </w:tc>
        <w:tc>
          <w:tcPr>
            <w:tcW w:w="3544" w:type="dxa"/>
            <w:noWrap w:val="0"/>
            <w:vAlign w:val="center"/>
          </w:tcPr>
          <w:p>
            <w:pPr>
              <w:pageBreakBefore w:val="0"/>
              <w:kinsoku/>
              <w:bidi w:val="0"/>
              <w:spacing w:before="157" w:beforeLines="50" w:line="360" w:lineRule="auto"/>
              <w:jc w:val="left"/>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原桥面铺装病害处治后，精铣刨并进行HET-Y(B)薄层罩面。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2</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东埔溪中桥</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K2602+466</w:t>
            </w:r>
          </w:p>
        </w:tc>
        <w:tc>
          <w:tcPr>
            <w:tcW w:w="850"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64</w:t>
            </w:r>
          </w:p>
        </w:tc>
        <w:tc>
          <w:tcPr>
            <w:tcW w:w="3544" w:type="dxa"/>
            <w:noWrap w:val="0"/>
            <w:vAlign w:val="center"/>
          </w:tcPr>
          <w:p>
            <w:pPr>
              <w:pageBreakBefore w:val="0"/>
              <w:kinsoku/>
              <w:bidi w:val="0"/>
              <w:spacing w:before="157" w:beforeLines="50" w:line="360" w:lineRule="auto"/>
              <w:jc w:val="left"/>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原桥面铺装病害处治后，精铣刨并进行HET-Y(B)薄层罩面。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3</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葛洲大桥</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K2566+423</w:t>
            </w:r>
          </w:p>
        </w:tc>
        <w:tc>
          <w:tcPr>
            <w:tcW w:w="850"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240</w:t>
            </w:r>
          </w:p>
        </w:tc>
        <w:tc>
          <w:tcPr>
            <w:tcW w:w="3544" w:type="dxa"/>
            <w:noWrap w:val="0"/>
            <w:vAlign w:val="center"/>
          </w:tcPr>
          <w:p>
            <w:pPr>
              <w:pageBreakBefore w:val="0"/>
              <w:kinsoku/>
              <w:bidi w:val="0"/>
              <w:spacing w:before="157" w:beforeLines="50" w:line="360" w:lineRule="auto"/>
              <w:jc w:val="left"/>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4</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达豪立交桥</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K2569+870</w:t>
            </w:r>
          </w:p>
        </w:tc>
        <w:tc>
          <w:tcPr>
            <w:tcW w:w="850"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106</w:t>
            </w:r>
          </w:p>
        </w:tc>
        <w:tc>
          <w:tcPr>
            <w:tcW w:w="3544" w:type="dxa"/>
            <w:noWrap w:val="0"/>
            <w:vAlign w:val="center"/>
          </w:tcPr>
          <w:p>
            <w:pPr>
              <w:pageBreakBefore w:val="0"/>
              <w:kinsoku/>
              <w:bidi w:val="0"/>
              <w:spacing w:before="157" w:beforeLines="50" w:line="360" w:lineRule="auto"/>
              <w:jc w:val="left"/>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5</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濠江大桥</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K2571+162</w:t>
            </w:r>
          </w:p>
        </w:tc>
        <w:tc>
          <w:tcPr>
            <w:tcW w:w="850"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970</w:t>
            </w:r>
          </w:p>
        </w:tc>
        <w:tc>
          <w:tcPr>
            <w:tcW w:w="3544" w:type="dxa"/>
            <w:noWrap w:val="0"/>
            <w:vAlign w:val="center"/>
          </w:tcPr>
          <w:p>
            <w:pPr>
              <w:pageBreakBefore w:val="0"/>
              <w:kinsoku/>
              <w:bidi w:val="0"/>
              <w:spacing w:before="157" w:beforeLines="50" w:line="360" w:lineRule="auto"/>
              <w:jc w:val="left"/>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6</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河浦立交桥（二）</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K2574+964</w:t>
            </w:r>
          </w:p>
        </w:tc>
        <w:tc>
          <w:tcPr>
            <w:tcW w:w="850"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64</w:t>
            </w:r>
          </w:p>
        </w:tc>
        <w:tc>
          <w:tcPr>
            <w:tcW w:w="3544" w:type="dxa"/>
            <w:noWrap w:val="0"/>
            <w:vAlign w:val="center"/>
          </w:tcPr>
          <w:p>
            <w:pPr>
              <w:pageBreakBefore w:val="0"/>
              <w:kinsoku/>
              <w:bidi w:val="0"/>
              <w:spacing w:before="157" w:beforeLines="50" w:line="360" w:lineRule="auto"/>
              <w:jc w:val="left"/>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7</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塔铺小桥（一）</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K2576+435</w:t>
            </w:r>
          </w:p>
        </w:tc>
        <w:tc>
          <w:tcPr>
            <w:tcW w:w="850"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10</w:t>
            </w:r>
          </w:p>
        </w:tc>
        <w:tc>
          <w:tcPr>
            <w:tcW w:w="3544" w:type="dxa"/>
            <w:noWrap w:val="0"/>
            <w:vAlign w:val="center"/>
          </w:tcPr>
          <w:p>
            <w:pPr>
              <w:pageBreakBefore w:val="0"/>
              <w:kinsoku/>
              <w:bidi w:val="0"/>
              <w:spacing w:before="157" w:beforeLines="50" w:line="360" w:lineRule="auto"/>
              <w:jc w:val="left"/>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8</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海门特大桥</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K2582+903</w:t>
            </w:r>
          </w:p>
        </w:tc>
        <w:tc>
          <w:tcPr>
            <w:tcW w:w="850"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1820</w:t>
            </w:r>
          </w:p>
        </w:tc>
        <w:tc>
          <w:tcPr>
            <w:tcW w:w="3544" w:type="dxa"/>
            <w:noWrap w:val="0"/>
            <w:vAlign w:val="center"/>
          </w:tcPr>
          <w:p>
            <w:pPr>
              <w:pageBreakBefore w:val="0"/>
              <w:kinsoku/>
              <w:bidi w:val="0"/>
              <w:spacing w:before="157" w:beforeLines="50" w:line="360" w:lineRule="auto"/>
              <w:jc w:val="left"/>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9</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华林大桥</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K2596+602</w:t>
            </w:r>
          </w:p>
        </w:tc>
        <w:tc>
          <w:tcPr>
            <w:tcW w:w="850" w:type="dxa"/>
            <w:noWrap w:val="0"/>
            <w:vAlign w:val="center"/>
          </w:tcPr>
          <w:p>
            <w:pPr>
              <w:pageBreakBefore w:val="0"/>
              <w:kinsoku/>
              <w:bidi w:val="0"/>
              <w:spacing w:before="157" w:beforeLines="50" w:line="360" w:lineRule="auto"/>
              <w:jc w:val="center"/>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120</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bl>
    <w:p>
      <w:pPr>
        <w:pageBreakBefore w:val="0"/>
        <w:kinsoku/>
        <w:bidi w:val="0"/>
        <w:adjustRightInd w:val="0"/>
        <w:snapToGrid w:val="0"/>
        <w:spacing w:before="157" w:beforeLines="50" w:line="360" w:lineRule="auto"/>
        <w:jc w:val="left"/>
        <w:rPr>
          <w:rFonts w:hint="eastAsia" w:ascii="Times New Roman" w:hAnsi="Times New Roman" w:eastAsia="宋体"/>
          <w:color w:val="auto"/>
          <w:szCs w:val="21"/>
          <w:highlight w:val="none"/>
        </w:rPr>
      </w:pPr>
    </w:p>
    <w:p>
      <w:pPr>
        <w:pageBreakBefore w:val="0"/>
        <w:kinsoku/>
        <w:bidi w:val="0"/>
        <w:adjustRightInd w:val="0"/>
        <w:snapToGrid w:val="0"/>
        <w:spacing w:before="157" w:beforeLines="50" w:line="360" w:lineRule="auto"/>
        <w:jc w:val="left"/>
        <w:rPr>
          <w:rFonts w:hint="eastAsia" w:ascii="Times New Roman" w:hAnsi="Times New Roman" w:eastAsia="宋体"/>
          <w:color w:val="auto"/>
          <w:szCs w:val="21"/>
          <w:highlight w:val="none"/>
        </w:rPr>
      </w:pP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2、第2标段主要针对K2617+604～K2653+874段病害严重的沥青路面进行铣刨重铺维修，同时对基层病害进行处置；对下列</w:t>
      </w:r>
      <w:r>
        <w:rPr>
          <w:rFonts w:ascii="Times New Roman" w:hAnsi="Times New Roman" w:eastAsia="宋体"/>
          <w:color w:val="auto"/>
          <w:szCs w:val="21"/>
          <w:highlight w:val="none"/>
        </w:rPr>
        <w:t>K2704+518</w:t>
      </w:r>
      <w:r>
        <w:rPr>
          <w:rFonts w:hint="eastAsia" w:ascii="Times New Roman" w:hAnsi="Times New Roman" w:eastAsia="宋体"/>
          <w:color w:val="auto"/>
          <w:szCs w:val="21"/>
          <w:highlight w:val="none"/>
        </w:rPr>
        <w:t>冲心村中桥等16座病害较为严重的水泥混凝土桥面铺装进行凿除修复、灌缝、填缝料更换等病害处治，并对其中7座桥梁实施精铣刨后进行1.5cm厚HET-Y(B)</w:t>
      </w:r>
      <w:r>
        <w:rPr>
          <w:rFonts w:hint="eastAsia" w:ascii="Times New Roman" w:hAnsi="Times New Roman" w:eastAsia="宋体"/>
          <w:color w:val="auto"/>
          <w:highlight w:val="none"/>
        </w:rPr>
        <w:t xml:space="preserve"> </w:t>
      </w:r>
      <w:r>
        <w:rPr>
          <w:rFonts w:hint="eastAsia" w:ascii="Times New Roman" w:hAnsi="Times New Roman" w:eastAsia="宋体"/>
          <w:color w:val="auto"/>
          <w:szCs w:val="21"/>
          <w:highlight w:val="none"/>
        </w:rPr>
        <w:t>高性能经济薄层处治；恢复路面标线及道钉等等。</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637"/>
        <w:gridCol w:w="694"/>
        <w:gridCol w:w="1271"/>
        <w:gridCol w:w="838"/>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序号</w:t>
            </w:r>
          </w:p>
        </w:tc>
        <w:tc>
          <w:tcPr>
            <w:tcW w:w="1701" w:type="dxa"/>
            <w:noWrap w:val="0"/>
            <w:vAlign w:val="center"/>
          </w:tcPr>
          <w:p>
            <w:pPr>
              <w:pageBreakBefore w:val="0"/>
              <w:kinsoku/>
              <w:bidi w:val="0"/>
              <w:spacing w:before="157" w:beforeLines="50" w:line="360" w:lineRule="auto"/>
              <w:jc w:val="center"/>
              <w:rPr>
                <w:rFonts w:hint="eastAsia"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桥名</w:t>
            </w:r>
          </w:p>
        </w:tc>
        <w:tc>
          <w:tcPr>
            <w:tcW w:w="709" w:type="dxa"/>
            <w:noWrap w:val="0"/>
            <w:vAlign w:val="center"/>
          </w:tcPr>
          <w:p>
            <w:pPr>
              <w:pageBreakBefore w:val="0"/>
              <w:kinsoku/>
              <w:bidi w:val="0"/>
              <w:spacing w:before="157" w:beforeLines="50" w:line="360" w:lineRule="auto"/>
              <w:jc w:val="center"/>
              <w:rPr>
                <w:rFonts w:hint="eastAsia"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方向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中心桩号</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长度m</w:t>
            </w:r>
          </w:p>
        </w:tc>
        <w:tc>
          <w:tcPr>
            <w:tcW w:w="3544" w:type="dxa"/>
            <w:noWrap w:val="0"/>
            <w:vAlign w:val="center"/>
          </w:tcPr>
          <w:p>
            <w:pPr>
              <w:pageBreakBefore w:val="0"/>
              <w:kinsoku/>
              <w:bidi w:val="0"/>
              <w:spacing w:before="157" w:beforeLines="50" w:line="360" w:lineRule="auto"/>
              <w:jc w:val="center"/>
              <w:rPr>
                <w:rFonts w:hint="eastAsia" w:ascii="Times New Roman" w:hAnsi="Times New Roman" w:eastAsia="宋体"/>
                <w:b/>
                <w:color w:val="auto"/>
                <w:sz w:val="20"/>
                <w:szCs w:val="20"/>
                <w:highlight w:val="none"/>
              </w:rPr>
            </w:pPr>
            <w:r>
              <w:rPr>
                <w:rFonts w:hint="eastAsia" w:ascii="Times New Roman" w:hAnsi="Times New Roman" w:eastAsia="宋体"/>
                <w:b/>
                <w:color w:val="auto"/>
                <w:sz w:val="20"/>
                <w:szCs w:val="20"/>
                <w:highlight w:val="none"/>
              </w:rPr>
              <w:t>处治方式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1</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山尾中桥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K2638+055</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64</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原桥面铺装病害处治后，精铣刨并进行HET-Y(B)薄层罩面。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2</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石榴潭中桥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K2639+878</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64</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原桥面铺装病害处治后，精铣刨并进行HET-Y(B)薄层罩面。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3</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隆江大桥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K2643+770</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375</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原桥面铺装病害处治后，精铣刨并进行HET-Y(B)薄层罩面。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4</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坡沟河大桥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K2679+638</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100</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原桥面铺装病害处治后，精铣刨并进行HET-Y(B)薄层罩面。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5</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螺河东大桥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K2696+966</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150</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原桥面铺装病害处治后，精铣刨并进行HET-Y(B)薄层罩面。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6</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石桂渠中桥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K2701+028</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32</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原桥面铺装病害处治后，精铣刨并进行HET-Y(B)薄层罩面。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7</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冲心村中桥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K2704+518</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52</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原桥面铺装病害处治后，精铣刨并进行HET-Y(B)薄层罩面。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8</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祭坑立交桥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K2617+901</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75</w:t>
            </w:r>
          </w:p>
        </w:tc>
        <w:tc>
          <w:tcPr>
            <w:tcW w:w="3544" w:type="dxa"/>
            <w:noWrap w:val="0"/>
            <w:vAlign w:val="center"/>
          </w:tcPr>
          <w:p>
            <w:pPr>
              <w:pageBreakBefore w:val="0"/>
              <w:kinsoku/>
              <w:bidi w:val="0"/>
              <w:spacing w:before="157" w:beforeLines="50" w:line="360" w:lineRule="auto"/>
              <w:jc w:val="left"/>
              <w:rPr>
                <w:rFonts w:hint="eastAsia"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9</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雷岭河大桥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K2624+933</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140</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10</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盐岭河中桥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K2628+679</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80</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11</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岗前小桥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K2642+314</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24</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12</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小乌小桥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K2674+413</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16</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13</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螺河特大桥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K2700+202</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1000</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14</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螺河西中桥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K2701+277</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48</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15</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湖口立交桥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K2702+732</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39</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16</w:t>
            </w:r>
          </w:p>
        </w:tc>
        <w:tc>
          <w:tcPr>
            <w:tcW w:w="1701"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后底通道小桥</w:t>
            </w:r>
          </w:p>
        </w:tc>
        <w:tc>
          <w:tcPr>
            <w:tcW w:w="709"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双向</w:t>
            </w:r>
          </w:p>
        </w:tc>
        <w:tc>
          <w:tcPr>
            <w:tcW w:w="1276"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K2704+832</w:t>
            </w:r>
          </w:p>
        </w:tc>
        <w:tc>
          <w:tcPr>
            <w:tcW w:w="850" w:type="dxa"/>
            <w:noWrap w:val="0"/>
            <w:vAlign w:val="center"/>
          </w:tcPr>
          <w:p>
            <w:pPr>
              <w:pageBreakBefore w:val="0"/>
              <w:kinsoku/>
              <w:bidi w:val="0"/>
              <w:spacing w:before="157" w:beforeLines="50" w:line="360"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8</w:t>
            </w:r>
          </w:p>
        </w:tc>
        <w:tc>
          <w:tcPr>
            <w:tcW w:w="3544" w:type="dxa"/>
            <w:noWrap w:val="0"/>
            <w:vAlign w:val="center"/>
          </w:tcPr>
          <w:p>
            <w:pPr>
              <w:pageBreakBefore w:val="0"/>
              <w:kinsoku/>
              <w:bidi w:val="0"/>
              <w:spacing w:before="157" w:beforeLines="50" w:line="360" w:lineRule="auto"/>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更换填缝料</w:t>
            </w:r>
          </w:p>
        </w:tc>
      </w:tr>
    </w:tbl>
    <w:p>
      <w:pPr>
        <w:pageBreakBefore w:val="0"/>
        <w:kinsoku/>
        <w:bidi w:val="0"/>
        <w:adjustRightInd w:val="0"/>
        <w:snapToGrid w:val="0"/>
        <w:spacing w:before="157" w:beforeLines="50" w:line="360" w:lineRule="auto"/>
        <w:jc w:val="left"/>
        <w:rPr>
          <w:rFonts w:hint="eastAsia" w:ascii="Times New Roman" w:hAnsi="Times New Roman" w:eastAsia="宋体"/>
          <w:color w:val="auto"/>
          <w:szCs w:val="21"/>
          <w:highlight w:val="none"/>
        </w:rPr>
      </w:pP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2、工程地质、地形与地貌</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路线所经地区为粤东沿海山地丘陵台地与滨海平原、河口平原、冲积平原交替区。总的地势是西北高、东南低，背山（莲花山、大南山）面海（南海）呈阶梯状。沿路线相对高差小于百米。其中平原台地约占路线总长的40%，低山微丘约占路线总长的60%。</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3、水文与气候</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本项目所在区域沿线处于北回归线以南属南亚热带季风海洋性气候，夏热多雨，东暖而霜期短。年平均气温22～23℃，其中7 月份平均温度最高,均值为28.1～28.5℃，最高温度39.0～39.2℃。1 月份平均温度最低，均值为13.4～13.5℃，极端最低温度-0.7～1.0℃。年平均降雨量为183～2200mm。公路自然区划属IV7 区，按公路工程自然区划气候分区属夏季炎热，冬季温暖潮湿区。</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4、交通、动力供应及其他服务条件</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本工程交通方面可通过高速公路到达施工现场。</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施工期间必须严格按照规定办理上路施工作业审批手续（办理施工交通组织方案评审、施工许可审批、施工公告费用等由中标人自行负责），按照规范要求设置各类道路施工标志，配备专门人员维护施工作业区域安全秩序，加强路面维修专项工程实施期间安全管理，确保自身作业安全和过往车辆交通安全。</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各类施工车辆行驶道路所需缴纳的通行费用等由承包人自行承担。发包人将按工程量清单100章106-1子目中固定总额报价的金额，在工程完工后一次性支付给承包人，作为本项目承包人施工车辆及机械行驶道路的包干通行费用。 </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5、 工程说明</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（1）、本项目分为两个标段，其中</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a、第1标段桩号范围为K2573+900～K2612+648段沥青路面及K2566+423葛洲大桥等9座桥梁桥面铺装（见上述），包含达濠（K2569+330）、河浦（K2575+359）、海门（K2581+704）、田心（K2598+208）、仙庵（K2603+508）、美园（K2621+000）等出入口。工程主要内容为：针对K2573+900～K2612+648段病害严重的沥青路面进行铣刨重铺维修，同时对基层病害进行处置；对下列K2566+423葛洲大桥等9座病害较为严重的水泥混凝土桥面铺装进行凿除修复、灌缝、填缝料更换等病害处治，并对其中2座桥梁实施精铣刨后进行1.5cm厚HET-Y(B) 高性能经济薄层处治等；恢复路面标线及道钉等。具体见施工图设计文件。</w:t>
      </w:r>
      <w:r>
        <w:rPr>
          <w:rFonts w:hint="eastAsia" w:ascii="Times New Roman" w:hAnsi="Times New Roman" w:eastAsia="宋体"/>
          <w:color w:val="auto"/>
          <w:szCs w:val="21"/>
          <w:highlight w:val="none"/>
        </w:rPr>
        <w:tab/>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b、第2标段桩号范围为K2617+604～K2653+874段沥青路面及K2704+518冲心村中桥等16座桥梁桥面铺装，包含仙庵（K2603+508）、美园（K2621+000）、惠来（K2629+668）、隆江（K2644+552）、东港（K2663+648）、内湖（K2676+889）、霞湖（K2696+935）等出入口。工程主要内容为：针对K2617+604～K2653+874段病害严重的沥青路面进行铣刨重铺维修，同时对基层病害进行处置；对下列K2704+518冲心村中桥等16座病害较为严重的水泥混凝土桥面铺装进行凿除修复、灌缝、填缝料更换等病害处治，并对其中7座桥梁实施精铣刨后进行1.5cm厚HET-Y(B) 高性能经济薄层处治；恢复路面标线及道钉等。具体见施工图设计文件。</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2）、本项目所使用的沥青混合料必须由投标人投标文件中配置的沥青混合料拌合设备生产。沥青混合料必须采用符合设计技术指标要求优质进口改性沥青，且所采用碎石的质量、粒径规格必须满足设计的要求。沥青混合料所有的粗集料必须在拌合楼基地内现场水洗除尘，水洗设备生产能力必须与拌合站生产能力匹配。</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（3）、由于路面病害存在动态变化，本工程实际维修的桩号及数量将可能存在变化，承包人应无条件执行发包人的相关工作指令。</w:t>
      </w:r>
    </w:p>
    <w:p>
      <w:pPr>
        <w:pageBreakBefore w:val="0"/>
        <w:kinsoku/>
        <w:bidi w:val="0"/>
        <w:adjustRightInd w:val="0"/>
        <w:snapToGrid w:val="0"/>
        <w:spacing w:before="157" w:beforeLines="50" w:line="360" w:lineRule="auto"/>
        <w:ind w:firstLine="420" w:firstLineChars="200"/>
        <w:jc w:val="left"/>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（4）、承包人所有施工车辆及机械均必须严格遵守相关交通法律法规及安全操作规程、相关行业管理规定，特种车辆、设备操作人员必须持证上岗，所有施工车辆不得超限超载、不得人货混载。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959DD"/>
    <w:rsid w:val="2049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szCs w:val="24"/>
    </w:rPr>
  </w:style>
  <w:style w:type="paragraph" w:styleId="3">
    <w:name w:val="Body Text Indent"/>
    <w:basedOn w:val="1"/>
    <w:uiPriority w:val="0"/>
    <w:pPr>
      <w:spacing w:after="120" w:afterLines="0"/>
      <w:ind w:left="420" w:left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2024-03-15T05:51:00Z</dcterms:created>
  <dc:creator>LLaura</dc:creator>
  <cp:lastModifiedBy>LLaura</cp:lastModifiedBy>
  <dcterms:modified xsi:type="dcterms:W3CDTF">2024-03-15T05:52:17Z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ED1D9F3648E3441AAFE474DC71068005</vt:lpwstr>
  </property>
</Properties>
</file>