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南沙粮食通用码头分公司1-3#仓库周边道路硬化工程</w:t>
      </w:r>
    </w:p>
    <w:p>
      <w:pPr>
        <w:spacing w:line="360" w:lineRule="auto"/>
        <w:ind w:firstLine="643" w:firstLineChars="200"/>
        <w:jc w:val="center"/>
        <w:rPr>
          <w:rFonts w:hint="eastAsia" w:ascii="宋体" w:hAnsi="宋体"/>
          <w:b/>
          <w:color w:val="auto"/>
          <w:sz w:val="32"/>
          <w:szCs w:val="32"/>
          <w:highlight w:val="none"/>
        </w:rPr>
      </w:pPr>
      <w:r>
        <w:rPr>
          <w:rFonts w:hint="eastAsia" w:ascii="宋体" w:hAnsi="宋体"/>
          <w:b/>
          <w:color w:val="auto"/>
          <w:sz w:val="32"/>
          <w:szCs w:val="32"/>
          <w:highlight w:val="none"/>
        </w:rPr>
        <w:t>设计施工总承包招标公告</w:t>
      </w:r>
    </w:p>
    <w:p>
      <w:pPr>
        <w:spacing w:line="360" w:lineRule="auto"/>
        <w:ind w:firstLine="482" w:firstLineChars="200"/>
        <w:rPr>
          <w:rFonts w:hint="eastAsia" w:ascii="宋体" w:hAnsi="宋体"/>
          <w:b/>
          <w:color w:val="auto"/>
          <w:sz w:val="24"/>
          <w:highlight w:val="none"/>
        </w:rPr>
      </w:pPr>
      <w:bookmarkStart w:id="0" w:name="_Toc378513983"/>
      <w:bookmarkStart w:id="1" w:name="_Toc152045512"/>
      <w:bookmarkStart w:id="2" w:name="_Toc144974480"/>
      <w:bookmarkStart w:id="3" w:name="_Toc247513934"/>
      <w:bookmarkStart w:id="4" w:name="_Toc247527535"/>
      <w:bookmarkStart w:id="5" w:name="_Toc152042288"/>
      <w:r>
        <w:rPr>
          <w:rFonts w:hint="eastAsia" w:ascii="宋体" w:hAnsi="宋体"/>
          <w:b/>
          <w:color w:val="auto"/>
          <w:sz w:val="24"/>
          <w:highlight w:val="none"/>
        </w:rPr>
        <w:t>1. 招标条件</w:t>
      </w:r>
      <w:bookmarkEnd w:id="0"/>
      <w:bookmarkEnd w:id="1"/>
      <w:bookmarkEnd w:id="2"/>
      <w:bookmarkEnd w:id="3"/>
      <w:bookmarkEnd w:id="4"/>
      <w:bookmarkEnd w:id="5"/>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本招标项目</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南沙粮食通用码头分公司1-3#仓库周边道路硬化工程</w:t>
      </w:r>
      <w:r>
        <w:rPr>
          <w:rFonts w:hint="eastAsia" w:ascii="宋体" w:hAnsi="宋体"/>
          <w:color w:val="auto"/>
          <w:sz w:val="24"/>
          <w:highlight w:val="none"/>
          <w:u w:val="single"/>
        </w:rPr>
        <w:t xml:space="preserve"> </w:t>
      </w:r>
      <w:r>
        <w:rPr>
          <w:rFonts w:hint="eastAsia" w:ascii="宋体" w:hAnsi="宋体"/>
          <w:color w:val="auto"/>
          <w:sz w:val="24"/>
          <w:highlight w:val="none"/>
        </w:rPr>
        <w:t>已由</w:t>
      </w:r>
      <w:r>
        <w:rPr>
          <w:rFonts w:hint="eastAsia" w:ascii="宋体" w:hAnsi="宋体"/>
          <w:color w:val="auto"/>
          <w:sz w:val="24"/>
          <w:highlight w:val="none"/>
          <w:u w:val="single"/>
          <w:lang w:val="en-US" w:eastAsia="zh-CN"/>
        </w:rPr>
        <w:t xml:space="preserve"> 广州南沙经济技术开发区行政审批局 </w:t>
      </w:r>
      <w:r>
        <w:rPr>
          <w:rFonts w:hint="eastAsia" w:ascii="宋体" w:hAnsi="宋体"/>
          <w:color w:val="auto"/>
          <w:sz w:val="24"/>
          <w:highlight w:val="none"/>
        </w:rPr>
        <w:t>以</w:t>
      </w:r>
      <w:r>
        <w:rPr>
          <w:rFonts w:hint="eastAsia" w:ascii="宋体" w:hAnsi="宋体"/>
          <w:color w:val="auto"/>
          <w:sz w:val="24"/>
          <w:highlight w:val="none"/>
          <w:u w:val="single"/>
        </w:rPr>
        <w:t>广东省企业投资项目备案证（</w:t>
      </w:r>
      <w:r>
        <w:rPr>
          <w:rFonts w:hint="eastAsia" w:ascii="宋体" w:hAnsi="宋体"/>
          <w:color w:val="auto"/>
          <w:sz w:val="24"/>
          <w:highlight w:val="none"/>
          <w:u w:val="single"/>
          <w:lang w:val="en-US" w:eastAsia="zh-CN"/>
        </w:rPr>
        <w:t>项目代码</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2312-440115-04-05-530676</w:t>
      </w:r>
      <w:r>
        <w:rPr>
          <w:rFonts w:hint="eastAsia" w:ascii="宋体" w:hAnsi="宋体"/>
          <w:color w:val="auto"/>
          <w:sz w:val="24"/>
          <w:highlight w:val="none"/>
          <w:u w:val="single"/>
        </w:rPr>
        <w:t xml:space="preserve">） </w:t>
      </w:r>
      <w:r>
        <w:rPr>
          <w:rFonts w:hint="eastAsia" w:ascii="宋体" w:hAnsi="宋体"/>
          <w:color w:val="auto"/>
          <w:sz w:val="24"/>
          <w:highlight w:val="none"/>
        </w:rPr>
        <w:t>批准建设，项目业主为</w:t>
      </w:r>
      <w:r>
        <w:rPr>
          <w:rFonts w:hint="eastAsia" w:ascii="宋体" w:hAnsi="宋体"/>
          <w:color w:val="auto"/>
          <w:sz w:val="24"/>
          <w:highlight w:val="none"/>
          <w:u w:val="single"/>
          <w:lang w:val="en-US" w:eastAsia="zh-CN"/>
        </w:rPr>
        <w:t>广州港股份有限公司</w:t>
      </w:r>
      <w:r>
        <w:rPr>
          <w:rFonts w:hint="eastAsia" w:ascii="宋体" w:hAnsi="宋体"/>
          <w:color w:val="auto"/>
          <w:sz w:val="24"/>
          <w:highlight w:val="none"/>
        </w:rPr>
        <w:t>，建设资金来自</w:t>
      </w:r>
      <w:r>
        <w:rPr>
          <w:rFonts w:hint="eastAsia" w:ascii="宋体" w:hAnsi="宋体"/>
          <w:color w:val="auto"/>
          <w:sz w:val="24"/>
          <w:highlight w:val="none"/>
          <w:u w:val="single"/>
        </w:rPr>
        <w:t xml:space="preserve"> 企业自筹 </w:t>
      </w:r>
      <w:r>
        <w:rPr>
          <w:rFonts w:hint="eastAsia" w:ascii="宋体" w:hAnsi="宋体"/>
          <w:color w:val="auto"/>
          <w:sz w:val="24"/>
          <w:highlight w:val="none"/>
        </w:rPr>
        <w:t>，项目出资比例为</w:t>
      </w:r>
      <w:r>
        <w:rPr>
          <w:rFonts w:hint="eastAsia" w:ascii="宋体" w:hAnsi="宋体"/>
          <w:color w:val="auto"/>
          <w:sz w:val="24"/>
          <w:highlight w:val="none"/>
          <w:u w:val="single"/>
        </w:rPr>
        <w:t>100%</w:t>
      </w:r>
      <w:r>
        <w:rPr>
          <w:rFonts w:hint="eastAsia" w:ascii="宋体" w:hAnsi="宋体"/>
          <w:color w:val="auto"/>
          <w:sz w:val="24"/>
          <w:highlight w:val="none"/>
        </w:rPr>
        <w:t>，招标人为</w:t>
      </w:r>
      <w:r>
        <w:rPr>
          <w:rFonts w:hint="eastAsia" w:ascii="宋体" w:hAnsi="宋体"/>
          <w:color w:val="auto"/>
          <w:sz w:val="24"/>
          <w:highlight w:val="none"/>
          <w:u w:val="single"/>
          <w:lang w:val="en-US" w:eastAsia="zh-CN"/>
        </w:rPr>
        <w:t>广州港股份有限公司</w:t>
      </w:r>
      <w:r>
        <w:rPr>
          <w:rFonts w:hint="eastAsia" w:ascii="宋体" w:hAnsi="宋体"/>
          <w:color w:val="auto"/>
          <w:sz w:val="24"/>
          <w:highlight w:val="none"/>
        </w:rPr>
        <w:t>。项目已具备招标条件，现对该项目的设计施工总承包进行公开招标。</w:t>
      </w:r>
    </w:p>
    <w:p>
      <w:pPr>
        <w:spacing w:line="360" w:lineRule="auto"/>
        <w:ind w:firstLine="482" w:firstLineChars="200"/>
        <w:rPr>
          <w:rFonts w:hint="eastAsia" w:ascii="宋体" w:hAnsi="宋体"/>
          <w:b/>
          <w:color w:val="auto"/>
          <w:sz w:val="24"/>
          <w:highlight w:val="none"/>
        </w:rPr>
      </w:pPr>
      <w:bookmarkStart w:id="6" w:name="_Toc378513984"/>
      <w:bookmarkStart w:id="7" w:name="_Toc152042289"/>
      <w:bookmarkStart w:id="8" w:name="_Toc247513935"/>
      <w:bookmarkStart w:id="9" w:name="_Toc152045513"/>
      <w:bookmarkStart w:id="10" w:name="_Toc247527536"/>
      <w:bookmarkStart w:id="11" w:name="_Toc144974481"/>
      <w:r>
        <w:rPr>
          <w:rFonts w:hint="eastAsia" w:ascii="宋体" w:hAnsi="宋体"/>
          <w:b/>
          <w:color w:val="auto"/>
          <w:sz w:val="24"/>
          <w:highlight w:val="none"/>
        </w:rPr>
        <w:t>2. 项目概况与招标范围</w:t>
      </w:r>
      <w:bookmarkEnd w:id="6"/>
      <w:bookmarkEnd w:id="7"/>
      <w:bookmarkEnd w:id="8"/>
      <w:bookmarkEnd w:id="9"/>
      <w:bookmarkEnd w:id="10"/>
      <w:bookmarkEnd w:id="11"/>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 工程概况</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2.1.1 工程名称：</w:t>
      </w:r>
      <w:r>
        <w:rPr>
          <w:rFonts w:hint="eastAsia" w:ascii="宋体" w:hAnsi="宋体" w:eastAsia="宋体" w:cs="Times New Roman"/>
          <w:color w:val="auto"/>
          <w:sz w:val="24"/>
          <w:highlight w:val="none"/>
          <w:lang w:val="en-US" w:eastAsia="zh-CN"/>
        </w:rPr>
        <w:t>南沙粮食通用码头分公司1-3#仓库周边道路硬化工程</w:t>
      </w:r>
      <w:r>
        <w:rPr>
          <w:rFonts w:hint="eastAsia" w:ascii="宋体" w:hAnsi="宋体" w:eastAsia="宋体" w:cs="Times New Roman"/>
          <w:color w:val="auto"/>
          <w:sz w:val="24"/>
          <w:highlight w:val="none"/>
        </w:rPr>
        <w:t>设计施工总承包</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2.1.2 工程地点：</w:t>
      </w:r>
      <w:r>
        <w:rPr>
          <w:rFonts w:hint="eastAsia" w:ascii="宋体" w:hAnsi="宋体" w:eastAsia="宋体" w:cs="Times New Roman"/>
          <w:color w:val="auto"/>
          <w:sz w:val="24"/>
          <w:highlight w:val="none"/>
          <w:lang w:val="en-US" w:eastAsia="zh-CN"/>
        </w:rPr>
        <w:t>广州市南沙区龙穴街道启航路5号</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2.1.3 建设规模：</w:t>
      </w:r>
      <w:r>
        <w:rPr>
          <w:rFonts w:hint="eastAsia" w:ascii="宋体" w:hAnsi="宋体" w:eastAsia="宋体" w:cs="Times New Roman"/>
          <w:b w:val="0"/>
          <w:bCs w:val="0"/>
          <w:i w:val="0"/>
          <w:iCs w:val="0"/>
          <w:color w:val="auto"/>
          <w:sz w:val="24"/>
          <w:szCs w:val="24"/>
          <w:highlight w:val="none"/>
        </w:rPr>
        <w:t>本项目硬化总面积约为 22555m</w:t>
      </w:r>
      <w:r>
        <w:rPr>
          <w:rFonts w:hint="eastAsia" w:ascii="宋体" w:hAnsi="宋体" w:eastAsia="宋体" w:cs="Times New Roman"/>
          <w:b w:val="0"/>
          <w:bCs w:val="0"/>
          <w:i w:val="0"/>
          <w:iCs w:val="0"/>
          <w:color w:val="auto"/>
          <w:sz w:val="24"/>
          <w:szCs w:val="24"/>
          <w:highlight w:val="none"/>
          <w:vertAlign w:val="superscript"/>
        </w:rPr>
        <w:t>2</w:t>
      </w:r>
      <w:r>
        <w:rPr>
          <w:rFonts w:hint="eastAsia" w:ascii="宋体" w:hAnsi="宋体" w:eastAsia="宋体" w:cs="Times New Roman"/>
          <w:b w:val="0"/>
          <w:bCs w:val="0"/>
          <w:i w:val="0"/>
          <w:iCs w:val="0"/>
          <w:color w:val="auto"/>
          <w:sz w:val="24"/>
          <w:szCs w:val="24"/>
          <w:highlight w:val="none"/>
        </w:rPr>
        <w:t>，建设内容为道路硬化、散水改造、新增排水管网。</w:t>
      </w:r>
      <w:r>
        <w:rPr>
          <w:rFonts w:hint="eastAsia" w:ascii="宋体" w:hAnsi="宋体" w:eastAsia="宋体" w:cs="Times New Roman"/>
          <w:color w:val="auto"/>
          <w:sz w:val="24"/>
          <w:szCs w:val="24"/>
          <w:highlight w:val="none"/>
        </w:rPr>
        <w:t xml:space="preserve">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2.1.4 质量要求：设计</w:t>
      </w:r>
      <w:r>
        <w:rPr>
          <w:rFonts w:hint="eastAsia" w:ascii="宋体" w:hAnsi="宋体"/>
          <w:color w:val="auto"/>
          <w:sz w:val="24"/>
          <w:highlight w:val="none"/>
          <w:lang w:val="en-US" w:eastAsia="zh-CN"/>
        </w:rPr>
        <w:t>文件</w:t>
      </w:r>
      <w:r>
        <w:rPr>
          <w:rFonts w:hint="eastAsia" w:ascii="宋体" w:hAnsi="宋体"/>
          <w:color w:val="auto"/>
          <w:sz w:val="24"/>
          <w:highlight w:val="none"/>
        </w:rPr>
        <w:t>符合国家相关规范及行业标准要求，满足招标人的功能需求，并通过招标人及有关部门或专业机构的审查；施工</w:t>
      </w:r>
      <w:r>
        <w:rPr>
          <w:rFonts w:hint="eastAsia" w:ascii="宋体" w:hAnsi="宋体"/>
          <w:color w:val="auto"/>
          <w:sz w:val="24"/>
          <w:highlight w:val="none"/>
          <w:lang w:val="en-US" w:eastAsia="zh-CN"/>
        </w:rPr>
        <w:t>质量</w:t>
      </w:r>
      <w:r>
        <w:rPr>
          <w:rFonts w:hint="eastAsia" w:ascii="宋体" w:hAnsi="宋体"/>
          <w:color w:val="auto"/>
          <w:sz w:val="24"/>
          <w:highlight w:val="none"/>
        </w:rPr>
        <w:t>符合设计图纸</w:t>
      </w:r>
      <w:r>
        <w:rPr>
          <w:rFonts w:hint="eastAsia" w:ascii="宋体" w:hAnsi="宋体"/>
          <w:color w:val="auto"/>
          <w:sz w:val="24"/>
          <w:highlight w:val="none"/>
          <w:lang w:eastAsia="zh-CN"/>
        </w:rPr>
        <w:t>、</w:t>
      </w:r>
      <w:r>
        <w:rPr>
          <w:rFonts w:hint="eastAsia" w:ascii="宋体" w:hAnsi="宋体"/>
          <w:color w:val="auto"/>
          <w:sz w:val="24"/>
          <w:highlight w:val="none"/>
        </w:rPr>
        <w:t>国家相关规范及行业标准要求，工程质量</w:t>
      </w:r>
      <w:r>
        <w:rPr>
          <w:rFonts w:hint="eastAsia" w:ascii="宋体" w:hAnsi="宋体"/>
          <w:color w:val="auto"/>
          <w:sz w:val="24"/>
          <w:highlight w:val="none"/>
          <w:lang w:val="en-US" w:eastAsia="zh-CN"/>
        </w:rPr>
        <w:t>评定为</w:t>
      </w:r>
      <w:r>
        <w:rPr>
          <w:rFonts w:hint="eastAsia" w:ascii="宋体" w:hAnsi="宋体"/>
          <w:color w:val="auto"/>
          <w:sz w:val="24"/>
          <w:highlight w:val="none"/>
        </w:rPr>
        <w:t>合格。</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2.1.5 工期要求：合同签订之日起</w:t>
      </w:r>
      <w:r>
        <w:rPr>
          <w:rFonts w:hint="eastAsia" w:ascii="宋体" w:hAnsi="宋体"/>
          <w:color w:val="auto"/>
          <w:sz w:val="24"/>
          <w:highlight w:val="none"/>
          <w:lang w:val="en-US" w:eastAsia="zh-CN"/>
        </w:rPr>
        <w:t>120</w:t>
      </w:r>
      <w:r>
        <w:rPr>
          <w:rFonts w:hint="eastAsia" w:ascii="宋体" w:hAnsi="宋体"/>
          <w:color w:val="auto"/>
          <w:sz w:val="24"/>
          <w:highlight w:val="none"/>
        </w:rPr>
        <w:t>个日历天（含设计、施工工期）。</w:t>
      </w:r>
    </w:p>
    <w:p>
      <w:pPr>
        <w:spacing w:line="360" w:lineRule="auto"/>
        <w:ind w:firstLine="480" w:firstLineChars="200"/>
        <w:rPr>
          <w:rFonts w:hint="eastAsia"/>
          <w:color w:val="auto"/>
          <w:highlight w:val="none"/>
        </w:rPr>
      </w:pPr>
      <w:r>
        <w:rPr>
          <w:rFonts w:hint="eastAsia" w:ascii="宋体" w:hAnsi="宋体" w:eastAsia="宋体" w:cs="宋体"/>
          <w:color w:val="auto"/>
          <w:sz w:val="24"/>
          <w:highlight w:val="none"/>
          <w:lang w:val="en-US" w:eastAsia="zh-CN"/>
        </w:rPr>
        <w:t>2.1.6工程总投资：</w:t>
      </w:r>
      <w:r>
        <w:rPr>
          <w:rFonts w:hint="eastAsia" w:ascii="宋体" w:hAnsi="宋体" w:eastAsia="宋体" w:cs="宋体"/>
          <w:color w:val="auto"/>
          <w:sz w:val="24"/>
          <w:highlight w:val="none"/>
        </w:rPr>
        <w:t xml:space="preserve">783.30 </w:t>
      </w:r>
      <w:r>
        <w:rPr>
          <w:rFonts w:hint="eastAsia" w:ascii="宋体" w:hAnsi="宋体" w:eastAsia="宋体" w:cs="宋体"/>
          <w:color w:val="auto"/>
          <w:sz w:val="24"/>
          <w:highlight w:val="none"/>
          <w:lang w:val="en-US" w:eastAsia="zh-CN"/>
        </w:rPr>
        <w:t>万元。</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2.2 招标范围：</w:t>
      </w:r>
      <w:bookmarkStart w:id="12" w:name="_Toc144974482"/>
      <w:bookmarkStart w:id="13" w:name="_Toc247527537"/>
      <w:bookmarkStart w:id="14" w:name="_Toc378513985"/>
      <w:bookmarkStart w:id="15" w:name="_Toc247513936"/>
      <w:bookmarkStart w:id="16" w:name="_Toc152045514"/>
      <w:bookmarkStart w:id="17" w:name="_Toc152042290"/>
      <w:r>
        <w:rPr>
          <w:rFonts w:hint="eastAsia" w:ascii="宋体" w:hAnsi="宋体"/>
          <w:color w:val="auto"/>
          <w:sz w:val="24"/>
          <w:highlight w:val="none"/>
        </w:rPr>
        <w:t>完成本项目设计工作（</w:t>
      </w:r>
      <w:r>
        <w:rPr>
          <w:rFonts w:hint="eastAsia" w:ascii="宋体" w:hAnsi="宋体" w:cs="宋体"/>
          <w:color w:val="auto"/>
          <w:sz w:val="24"/>
          <w:highlight w:val="none"/>
        </w:rPr>
        <w:t>包括但不限于</w:t>
      </w:r>
      <w:r>
        <w:rPr>
          <w:rFonts w:hint="eastAsia" w:ascii="宋体" w:hAnsi="宋体" w:cs="宋体"/>
          <w:color w:val="auto"/>
          <w:sz w:val="24"/>
          <w:highlight w:val="none"/>
          <w:lang w:val="en-US" w:eastAsia="zh-CN"/>
        </w:rPr>
        <w:t>初步设计、</w:t>
      </w:r>
      <w:r>
        <w:rPr>
          <w:rFonts w:hint="eastAsia" w:ascii="宋体" w:hAnsi="宋体" w:cs="宋体"/>
          <w:color w:val="auto"/>
          <w:sz w:val="24"/>
          <w:highlight w:val="none"/>
        </w:rPr>
        <w:t>施工图设计（包括安全等专项专篇等）、施工图优化、竣工图以及相关技术文件编制、预算编制、现场技术服务、配合做好设计审查等工作</w:t>
      </w:r>
      <w:r>
        <w:rPr>
          <w:rFonts w:hint="eastAsia" w:ascii="宋体" w:hAnsi="宋体"/>
          <w:color w:val="auto"/>
          <w:sz w:val="24"/>
          <w:highlight w:val="none"/>
        </w:rPr>
        <w:t>）、施工至工程验收、档案验收、结算。</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3. 投标人资格要求</w:t>
      </w:r>
      <w:bookmarkEnd w:id="12"/>
      <w:bookmarkEnd w:id="13"/>
      <w:bookmarkEnd w:id="14"/>
      <w:bookmarkEnd w:id="15"/>
      <w:bookmarkEnd w:id="16"/>
      <w:bookmarkEnd w:id="17"/>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3.1 本次招标要求投标人须同时具备以下资质：</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3.1.1工程设计资质：</w:t>
      </w:r>
      <w:r>
        <w:rPr>
          <w:rFonts w:hint="eastAsia" w:ascii="宋体" w:hAnsi="宋体"/>
          <w:color w:val="auto"/>
          <w:sz w:val="24"/>
          <w:highlight w:val="none"/>
        </w:rPr>
        <w:t>投标人须具备工程设计综合甲级资质，或水运行业甲级资质，或水运行业（港口工程）专业甲级资质。</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3.1.2工程施工资质：</w:t>
      </w:r>
      <w:r>
        <w:rPr>
          <w:rFonts w:hint="eastAsia" w:ascii="宋体" w:hAnsi="宋体"/>
          <w:color w:val="auto"/>
          <w:sz w:val="24"/>
          <w:highlight w:val="none"/>
        </w:rPr>
        <w:t>港口与航道工程施工总承包</w:t>
      </w:r>
      <w:r>
        <w:rPr>
          <w:rFonts w:hint="eastAsia" w:ascii="宋体" w:hAnsi="宋体"/>
          <w:color w:val="auto"/>
          <w:sz w:val="24"/>
          <w:highlight w:val="none"/>
          <w:lang w:val="en-US" w:eastAsia="zh-CN"/>
        </w:rPr>
        <w:t>三</w:t>
      </w:r>
      <w:r>
        <w:rPr>
          <w:rFonts w:hint="eastAsia" w:ascii="宋体" w:hAnsi="宋体"/>
          <w:color w:val="auto"/>
          <w:sz w:val="24"/>
          <w:highlight w:val="none"/>
        </w:rPr>
        <w:t>级（或以上）资质</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并具有建设行政主管部门颁发的有效的安全生产许可证。</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2</w:t>
      </w:r>
      <w:r>
        <w:rPr>
          <w:rFonts w:hint="eastAsia" w:ascii="宋体" w:hAnsi="宋体"/>
          <w:color w:val="auto"/>
          <w:sz w:val="24"/>
          <w:highlight w:val="none"/>
        </w:rPr>
        <w:t xml:space="preserve"> 业绩要求：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2021</w:t>
      </w:r>
      <w:r>
        <w:rPr>
          <w:rFonts w:hint="eastAsia" w:ascii="宋体" w:hAnsi="宋体"/>
          <w:color w:val="auto"/>
          <w:sz w:val="24"/>
          <w:highlight w:val="none"/>
        </w:rPr>
        <w:t>年1月1日至今投标人至少承担过1项合同额</w:t>
      </w:r>
      <w:r>
        <w:rPr>
          <w:rFonts w:hint="eastAsia" w:ascii="宋体" w:hAnsi="宋体"/>
          <w:color w:val="auto"/>
          <w:sz w:val="24"/>
          <w:highlight w:val="none"/>
          <w:lang w:val="en-US" w:eastAsia="zh-CN"/>
        </w:rPr>
        <w:t>450</w:t>
      </w:r>
      <w:r>
        <w:rPr>
          <w:rFonts w:hint="eastAsia" w:ascii="宋体" w:hAnsi="宋体"/>
          <w:color w:val="auto"/>
          <w:sz w:val="24"/>
          <w:highlight w:val="none"/>
        </w:rPr>
        <w:t>万元或以上的水运工程设计</w:t>
      </w:r>
      <w:r>
        <w:rPr>
          <w:rFonts w:hint="eastAsia" w:ascii="宋体" w:hAnsi="宋体"/>
          <w:color w:val="auto"/>
          <w:sz w:val="24"/>
          <w:highlight w:val="none"/>
          <w:lang w:val="en-US" w:eastAsia="zh-CN"/>
        </w:rPr>
        <w:t>或者施工</w:t>
      </w:r>
      <w:r>
        <w:rPr>
          <w:rFonts w:hint="eastAsia" w:ascii="宋体" w:hAnsi="宋体"/>
          <w:color w:val="auto"/>
          <w:sz w:val="24"/>
          <w:highlight w:val="none"/>
        </w:rPr>
        <w:t>或者设计施工总承包业绩,以交（竣）工验收时间为准，业绩证明资料须提供中标通知书或合同协议书、工程验收证书复印件或其他相关证明文件。</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本次招标</w:t>
      </w:r>
      <w:r>
        <w:rPr>
          <w:rFonts w:hint="eastAsia" w:ascii="宋体" w:hAnsi="宋体"/>
          <w:color w:val="auto"/>
          <w:sz w:val="24"/>
          <w:highlight w:val="none"/>
          <w:u w:val="single"/>
        </w:rPr>
        <w:t>接受</w:t>
      </w:r>
      <w:r>
        <w:rPr>
          <w:rFonts w:hint="eastAsia" w:ascii="宋体" w:hAnsi="宋体"/>
          <w:color w:val="auto"/>
          <w:sz w:val="24"/>
          <w:highlight w:val="none"/>
        </w:rPr>
        <w:t>联合体投标的，应满足下列要求：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3</w:t>
      </w:r>
      <w:r>
        <w:rPr>
          <w:rFonts w:hint="eastAsia" w:ascii="宋体" w:hAnsi="宋体"/>
          <w:color w:val="auto"/>
          <w:sz w:val="24"/>
          <w:highlight w:val="none"/>
        </w:rPr>
        <w:t>.1允许联合体投标，但只接受最多由2家单位（即一家设计单位、一家施工单位）组成的联合体，且应以承接</w:t>
      </w:r>
      <w:r>
        <w:rPr>
          <w:rFonts w:hint="eastAsia" w:ascii="宋体" w:hAnsi="宋体"/>
          <w:color w:val="auto"/>
          <w:sz w:val="24"/>
          <w:highlight w:val="none"/>
          <w:lang w:val="en-US" w:eastAsia="zh-CN"/>
        </w:rPr>
        <w:t>设计</w:t>
      </w:r>
      <w:r>
        <w:rPr>
          <w:rFonts w:hint="eastAsia" w:ascii="宋体" w:hAnsi="宋体"/>
          <w:color w:val="auto"/>
          <w:sz w:val="24"/>
          <w:highlight w:val="none"/>
        </w:rPr>
        <w:t>任务的一方为主办方，</w:t>
      </w:r>
      <w:r>
        <w:rPr>
          <w:rFonts w:hint="eastAsia" w:ascii="宋体" w:hAnsi="宋体"/>
          <w:color w:val="auto"/>
          <w:sz w:val="24"/>
          <w:highlight w:val="none"/>
          <w:lang w:val="en-US" w:eastAsia="zh-CN"/>
        </w:rPr>
        <w:t>承接施工任务的一方为成员方，</w:t>
      </w:r>
      <w:r>
        <w:rPr>
          <w:rFonts w:hint="eastAsia" w:ascii="宋体" w:hAnsi="宋体"/>
          <w:color w:val="auto"/>
          <w:sz w:val="24"/>
          <w:highlight w:val="none"/>
        </w:rPr>
        <w:t>并签订联合体协议书（</w:t>
      </w:r>
      <w:r>
        <w:rPr>
          <w:rFonts w:hint="eastAsia" w:ascii="宋体" w:hAnsi="宋体"/>
          <w:color w:val="auto"/>
          <w:sz w:val="24"/>
          <w:highlight w:val="none"/>
          <w:lang w:val="en-US" w:eastAsia="zh-CN"/>
        </w:rPr>
        <w:t>见附录</w:t>
      </w:r>
      <w:r>
        <w:rPr>
          <w:rFonts w:hint="eastAsia" w:ascii="宋体" w:hAnsi="宋体"/>
          <w:color w:val="auto"/>
          <w:sz w:val="24"/>
          <w:highlight w:val="none"/>
        </w:rPr>
        <w:t>）。联合体协议书应明确约定各方拟承担的工作和责任；</w:t>
      </w:r>
    </w:p>
    <w:p>
      <w:pPr>
        <w:spacing w:line="360" w:lineRule="auto"/>
        <w:ind w:firstLine="480" w:firstLineChars="200"/>
        <w:rPr>
          <w:rFonts w:hint="eastAsia"/>
          <w:color w:val="auto"/>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3</w:t>
      </w:r>
      <w:r>
        <w:rPr>
          <w:rFonts w:hint="eastAsia" w:ascii="宋体" w:hAnsi="宋体"/>
          <w:color w:val="auto"/>
          <w:sz w:val="24"/>
          <w:highlight w:val="none"/>
        </w:rPr>
        <w:t>.2投标人拟任本工程项目负责人、设计负责人、</w:t>
      </w:r>
      <w:r>
        <w:rPr>
          <w:rFonts w:hint="eastAsia" w:ascii="宋体" w:hAnsi="宋体"/>
          <w:color w:val="auto"/>
          <w:sz w:val="24"/>
          <w:highlight w:val="none"/>
          <w:lang w:val="en-US" w:eastAsia="zh-CN"/>
        </w:rPr>
        <w:t>施工负责人</w:t>
      </w:r>
      <w:r>
        <w:rPr>
          <w:rFonts w:hint="eastAsia" w:ascii="宋体" w:hAnsi="宋体"/>
          <w:color w:val="auto"/>
          <w:sz w:val="24"/>
          <w:highlight w:val="none"/>
        </w:rPr>
        <w:t>必须是联合体中对应分工成员的员工</w:t>
      </w:r>
      <w:r>
        <w:rPr>
          <w:rFonts w:hint="eastAsia" w:ascii="宋体" w:hAnsi="宋体"/>
          <w:color w:val="auto"/>
          <w:sz w:val="24"/>
          <w:highlight w:val="none"/>
          <w:lang w:eastAsia="zh-CN"/>
        </w:rPr>
        <w:t>，</w:t>
      </w:r>
      <w:r>
        <w:rPr>
          <w:rFonts w:hint="eastAsia" w:ascii="宋体" w:hAnsi="宋体"/>
          <w:color w:val="auto"/>
          <w:sz w:val="24"/>
          <w:highlight w:val="none"/>
        </w:rPr>
        <w:t>以上</w:t>
      </w:r>
      <w:r>
        <w:rPr>
          <w:rFonts w:hint="eastAsia" w:ascii="宋体" w:hAnsi="宋体"/>
          <w:color w:val="auto"/>
          <w:sz w:val="24"/>
          <w:highlight w:val="none"/>
          <w:lang w:val="en-US" w:eastAsia="zh-CN"/>
        </w:rPr>
        <w:t>3</w:t>
      </w:r>
      <w:r>
        <w:rPr>
          <w:rFonts w:hint="eastAsia" w:ascii="宋体" w:hAnsi="宋体"/>
          <w:color w:val="auto"/>
          <w:sz w:val="24"/>
          <w:highlight w:val="none"/>
        </w:rPr>
        <w:t>项人员不得重复兼任。须同时附上截止投标前近三个月有效的社保证明材料，社保证明需能反映参保人在相应单位缴纳。</w:t>
      </w:r>
    </w:p>
    <w:p>
      <w:pPr>
        <w:spacing w:line="360" w:lineRule="auto"/>
        <w:ind w:firstLine="480" w:firstLineChars="200"/>
        <w:rPr>
          <w:rFonts w:hint="default"/>
          <w:color w:val="auto"/>
          <w:highlight w:val="none"/>
          <w:lang w:val="en-US" w:eastAsia="zh-CN"/>
        </w:rPr>
      </w:pPr>
      <w:r>
        <w:rPr>
          <w:rFonts w:hint="eastAsia" w:ascii="宋体" w:hAnsi="宋体"/>
          <w:color w:val="auto"/>
          <w:sz w:val="24"/>
          <w:highlight w:val="none"/>
          <w:lang w:val="en-US" w:eastAsia="zh-CN"/>
        </w:rPr>
        <w:t>3.3.3联合体各方不得再以自己名义单独或加入其他联合体参加本项目的投标。组成联合体投标各方在投标登记后，不得再变更其组织形式及成员构成。出现上述情况者，其投标申请和与此有关的联合体的投标将被拒绝。联合体投标人，其投标文件以及中标时签订的合同，对联合体各方都产生约束力。</w:t>
      </w:r>
    </w:p>
    <w:p>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3.3.4</w:t>
      </w:r>
      <w:r>
        <w:rPr>
          <w:rFonts w:hint="eastAsia" w:ascii="宋体" w:hAnsi="宋体"/>
          <w:bCs/>
          <w:color w:val="auto"/>
          <w:sz w:val="24"/>
          <w:highlight w:val="none"/>
        </w:rPr>
        <w:t>联合体的资格条件按联合体任务分工进行评审（其中工程设计资质、项目负责人</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设计负责人</w:t>
      </w:r>
      <w:r>
        <w:rPr>
          <w:rFonts w:hint="eastAsia" w:ascii="宋体" w:hAnsi="宋体"/>
          <w:bCs/>
          <w:color w:val="auto"/>
          <w:sz w:val="24"/>
          <w:highlight w:val="none"/>
        </w:rPr>
        <w:t>及</w:t>
      </w:r>
      <w:r>
        <w:rPr>
          <w:rFonts w:hint="eastAsia" w:ascii="宋体" w:hAnsi="宋体"/>
          <w:bCs/>
          <w:color w:val="auto"/>
          <w:sz w:val="24"/>
          <w:highlight w:val="none"/>
          <w:lang w:val="en-US" w:eastAsia="zh-CN"/>
        </w:rPr>
        <w:t>对应</w:t>
      </w:r>
      <w:r>
        <w:rPr>
          <w:rFonts w:hint="eastAsia" w:ascii="宋体" w:hAnsi="宋体"/>
          <w:bCs/>
          <w:color w:val="auto"/>
          <w:sz w:val="24"/>
          <w:highlight w:val="none"/>
        </w:rPr>
        <w:t>业绩以承接设计任务的</w:t>
      </w:r>
      <w:r>
        <w:rPr>
          <w:rFonts w:hint="eastAsia" w:ascii="宋体" w:hAnsi="宋体"/>
          <w:bCs/>
          <w:color w:val="auto"/>
          <w:sz w:val="24"/>
          <w:highlight w:val="none"/>
          <w:lang w:val="en-US" w:eastAsia="zh-CN"/>
        </w:rPr>
        <w:t>主办方</w:t>
      </w:r>
      <w:r>
        <w:rPr>
          <w:rFonts w:hint="eastAsia" w:ascii="宋体" w:hAnsi="宋体"/>
          <w:bCs/>
          <w:color w:val="auto"/>
          <w:sz w:val="24"/>
          <w:highlight w:val="none"/>
        </w:rPr>
        <w:t>为准；施工资质、安全生产许可证</w:t>
      </w:r>
      <w:r>
        <w:rPr>
          <w:rFonts w:hint="eastAsia" w:ascii="宋体" w:hAnsi="宋体"/>
          <w:bCs/>
          <w:color w:val="auto"/>
          <w:sz w:val="24"/>
          <w:highlight w:val="none"/>
          <w:lang w:eastAsia="zh-CN"/>
        </w:rPr>
        <w:t>、</w:t>
      </w:r>
      <w:r>
        <w:rPr>
          <w:rFonts w:hint="eastAsia" w:ascii="宋体" w:hAnsi="宋体"/>
          <w:bCs/>
          <w:color w:val="auto"/>
          <w:sz w:val="24"/>
          <w:highlight w:val="none"/>
        </w:rPr>
        <w:t>施工负责人</w:t>
      </w:r>
      <w:r>
        <w:rPr>
          <w:rFonts w:hint="eastAsia" w:ascii="宋体" w:hAnsi="宋体"/>
          <w:bCs/>
          <w:color w:val="auto"/>
          <w:sz w:val="24"/>
          <w:highlight w:val="none"/>
          <w:lang w:val="en-US" w:eastAsia="zh-CN"/>
        </w:rPr>
        <w:t>及对应业绩</w:t>
      </w:r>
      <w:r>
        <w:rPr>
          <w:rFonts w:hint="eastAsia" w:ascii="宋体" w:hAnsi="宋体"/>
          <w:bCs/>
          <w:color w:val="auto"/>
          <w:sz w:val="24"/>
          <w:highlight w:val="none"/>
        </w:rPr>
        <w:t>以承接施工任务的成员</w:t>
      </w:r>
      <w:r>
        <w:rPr>
          <w:rFonts w:hint="eastAsia" w:ascii="宋体" w:hAnsi="宋体"/>
          <w:bCs/>
          <w:color w:val="auto"/>
          <w:sz w:val="24"/>
          <w:highlight w:val="none"/>
          <w:lang w:val="en-US" w:eastAsia="zh-CN"/>
        </w:rPr>
        <w:t>方</w:t>
      </w:r>
      <w:r>
        <w:rPr>
          <w:rFonts w:hint="eastAsia" w:ascii="宋体" w:hAnsi="宋体"/>
          <w:bCs/>
          <w:color w:val="auto"/>
          <w:sz w:val="24"/>
          <w:highlight w:val="none"/>
        </w:rPr>
        <w:t>为准）。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4</w:t>
      </w:r>
      <w:r>
        <w:rPr>
          <w:rFonts w:hint="eastAsia" w:ascii="宋体" w:hAnsi="宋体"/>
          <w:color w:val="auto"/>
          <w:sz w:val="24"/>
          <w:highlight w:val="none"/>
        </w:rPr>
        <w:t>人员资格要求：</w:t>
      </w:r>
    </w:p>
    <w:p>
      <w:pPr>
        <w:spacing w:line="360" w:lineRule="auto"/>
        <w:ind w:firstLine="480" w:firstLineChars="200"/>
        <w:rPr>
          <w:rFonts w:hint="eastAsia" w:ascii="宋体" w:hAnsi="宋体"/>
          <w:color w:val="auto"/>
          <w:sz w:val="24"/>
          <w:highlight w:val="none"/>
        </w:rPr>
      </w:pPr>
      <w:r>
        <w:rPr>
          <w:rFonts w:hint="eastAsia" w:ascii="宋体" w:hAnsi="宋体"/>
          <w:b w:val="0"/>
          <w:bCs/>
          <w:color w:val="auto"/>
          <w:sz w:val="24"/>
          <w:highlight w:val="none"/>
          <w:lang w:val="en-US" w:eastAsia="zh-CN"/>
        </w:rPr>
        <w:t>拟派</w:t>
      </w:r>
      <w:r>
        <w:rPr>
          <w:rFonts w:hint="eastAsia" w:ascii="宋体" w:hAnsi="宋体"/>
          <w:color w:val="auto"/>
          <w:sz w:val="24"/>
          <w:highlight w:val="none"/>
        </w:rPr>
        <w:t>项目负责人资格：须具备注册土木工程师（港口与航道工程）执业资格证，且具有水运</w:t>
      </w:r>
      <w:r>
        <w:rPr>
          <w:rFonts w:hint="eastAsia" w:ascii="宋体" w:hAnsi="宋体"/>
          <w:color w:val="auto"/>
          <w:sz w:val="24"/>
          <w:highlight w:val="none"/>
          <w:lang w:val="en-US" w:eastAsia="zh-CN"/>
        </w:rPr>
        <w:t>工程系列</w:t>
      </w:r>
      <w:r>
        <w:rPr>
          <w:rFonts w:hint="eastAsia" w:ascii="宋体" w:hAnsi="宋体"/>
          <w:color w:val="auto"/>
          <w:sz w:val="24"/>
          <w:highlight w:val="none"/>
        </w:rPr>
        <w:t>专业工程师</w:t>
      </w:r>
      <w:r>
        <w:rPr>
          <w:rFonts w:hint="eastAsia" w:ascii="宋体" w:hAnsi="宋体"/>
          <w:color w:val="auto"/>
          <w:sz w:val="24"/>
          <w:highlight w:val="none"/>
          <w:lang w:eastAsia="zh-CN"/>
        </w:rPr>
        <w:t>（</w:t>
      </w:r>
      <w:r>
        <w:rPr>
          <w:rFonts w:hint="eastAsia" w:ascii="宋体" w:hAnsi="宋体"/>
          <w:color w:val="auto"/>
          <w:sz w:val="24"/>
          <w:highlight w:val="none"/>
        </w:rPr>
        <w:t>或以上</w:t>
      </w:r>
      <w:r>
        <w:rPr>
          <w:rFonts w:hint="eastAsia" w:ascii="宋体" w:hAnsi="宋体"/>
          <w:color w:val="auto"/>
          <w:sz w:val="24"/>
          <w:highlight w:val="none"/>
          <w:lang w:eastAsia="zh-CN"/>
        </w:rPr>
        <w:t>）</w:t>
      </w:r>
      <w:r>
        <w:rPr>
          <w:rFonts w:hint="eastAsia" w:ascii="宋体" w:hAnsi="宋体"/>
          <w:color w:val="auto"/>
          <w:sz w:val="24"/>
          <w:highlight w:val="none"/>
        </w:rPr>
        <w:t>职称，</w:t>
      </w:r>
      <w:r>
        <w:rPr>
          <w:rFonts w:hint="eastAsia" w:ascii="宋体" w:hAnsi="宋体"/>
          <w:color w:val="auto"/>
          <w:sz w:val="24"/>
          <w:highlight w:val="none"/>
          <w:lang w:val="en-US" w:eastAsia="zh-CN"/>
        </w:rPr>
        <w:t>2021年</w:t>
      </w:r>
      <w:r>
        <w:rPr>
          <w:rFonts w:hint="eastAsia" w:ascii="宋体" w:hAnsi="宋体"/>
          <w:color w:val="auto"/>
          <w:sz w:val="24"/>
          <w:highlight w:val="none"/>
        </w:rPr>
        <w:t>1月1日至今</w:t>
      </w:r>
      <w:r>
        <w:rPr>
          <w:rFonts w:hint="eastAsia" w:ascii="宋体" w:hAnsi="宋体" w:eastAsia="宋体" w:cs="Times New Roman"/>
          <w:color w:val="auto"/>
          <w:sz w:val="24"/>
          <w:highlight w:val="none"/>
          <w:lang w:eastAsia="zh-CN"/>
        </w:rPr>
        <w:t>【以交（竣）工验收时间为准】</w:t>
      </w:r>
      <w:r>
        <w:rPr>
          <w:rFonts w:hint="eastAsia" w:ascii="宋体" w:hAnsi="宋体"/>
          <w:color w:val="auto"/>
          <w:sz w:val="24"/>
          <w:highlight w:val="none"/>
        </w:rPr>
        <w:t>至少担任过1项合同额</w:t>
      </w:r>
      <w:r>
        <w:rPr>
          <w:rFonts w:hint="eastAsia" w:ascii="宋体" w:hAnsi="宋体"/>
          <w:color w:val="auto"/>
          <w:sz w:val="24"/>
          <w:highlight w:val="none"/>
          <w:lang w:val="en-US" w:eastAsia="zh-CN"/>
        </w:rPr>
        <w:t>450万元</w:t>
      </w:r>
      <w:r>
        <w:rPr>
          <w:rFonts w:hint="eastAsia" w:ascii="宋体" w:hAnsi="宋体"/>
          <w:color w:val="auto"/>
          <w:sz w:val="24"/>
          <w:highlight w:val="none"/>
        </w:rPr>
        <w:t>或以上的水运工程设计或者设计施工总承包项目的项目负责人（或设计负责人）。项目负责人必须为投标人</w:t>
      </w:r>
      <w:r>
        <w:rPr>
          <w:rFonts w:hint="eastAsia" w:ascii="宋体" w:hAnsi="宋体"/>
          <w:b w:val="0"/>
          <w:bCs/>
          <w:color w:val="auto"/>
          <w:sz w:val="24"/>
          <w:highlight w:val="none"/>
          <w:lang w:val="en-US" w:eastAsia="zh-CN"/>
        </w:rPr>
        <w:t>（若联合体投标，指联合体主办方）</w:t>
      </w:r>
      <w:r>
        <w:rPr>
          <w:rFonts w:hint="eastAsia" w:ascii="宋体" w:hAnsi="宋体"/>
          <w:color w:val="auto"/>
          <w:sz w:val="24"/>
          <w:highlight w:val="none"/>
        </w:rPr>
        <w:t>的正式员工，需提供近三个月的社保证明。项目</w:t>
      </w:r>
      <w:r>
        <w:rPr>
          <w:rFonts w:hint="eastAsia" w:ascii="宋体" w:hAnsi="宋体"/>
          <w:color w:val="auto"/>
          <w:sz w:val="24"/>
          <w:highlight w:val="none"/>
          <w:lang w:val="en-US" w:eastAsia="zh-CN"/>
        </w:rPr>
        <w:t>负责人</w:t>
      </w:r>
      <w:r>
        <w:rPr>
          <w:rFonts w:hint="eastAsia" w:ascii="宋体" w:hAnsi="宋体"/>
          <w:color w:val="auto"/>
          <w:sz w:val="24"/>
          <w:highlight w:val="none"/>
        </w:rPr>
        <w:t>不可兼任设计负责人和施工负责人。上述要求需提供证明材料，包括执业资格证、职称证书复印件，业绩项目中标通知书或合同协议书、工程验收证书复印件或其他相关证明文件。</w:t>
      </w:r>
    </w:p>
    <w:p>
      <w:pPr>
        <w:numPr>
          <w:ilvl w:val="0"/>
          <w:numId w:val="0"/>
        </w:numPr>
        <w:spacing w:line="360" w:lineRule="auto"/>
        <w:ind w:firstLine="480" w:firstLineChars="200"/>
        <w:rPr>
          <w:rFonts w:hint="default" w:ascii="宋体" w:hAnsi="宋体" w:eastAsia="宋体" w:cs="Times New Roman"/>
          <w:b w:val="0"/>
          <w:bCs/>
          <w:color w:val="auto"/>
          <w:sz w:val="24"/>
          <w:highlight w:val="none"/>
          <w:lang w:val="en-US" w:eastAsia="zh-CN"/>
        </w:rPr>
      </w:pPr>
      <w:r>
        <w:rPr>
          <w:rFonts w:hint="eastAsia" w:ascii="宋体" w:hAnsi="宋体"/>
          <w:b w:val="0"/>
          <w:bCs/>
          <w:color w:val="auto"/>
          <w:sz w:val="24"/>
          <w:highlight w:val="none"/>
          <w:lang w:val="en-US" w:eastAsia="zh-CN"/>
        </w:rPr>
        <w:t>3.5</w:t>
      </w:r>
      <w:r>
        <w:rPr>
          <w:rFonts w:hint="default" w:ascii="宋体" w:hAnsi="宋体" w:eastAsia="宋体" w:cs="Times New Roman"/>
          <w:b w:val="0"/>
          <w:bCs/>
          <w:color w:val="auto"/>
          <w:sz w:val="24"/>
          <w:highlight w:val="none"/>
          <w:lang w:val="en-US" w:eastAsia="zh-CN"/>
        </w:rPr>
        <w:t>信誉要求：</w:t>
      </w:r>
    </w:p>
    <w:p>
      <w:pPr>
        <w:numPr>
          <w:ilvl w:val="0"/>
          <w:numId w:val="0"/>
        </w:numPr>
        <w:spacing w:line="360" w:lineRule="auto"/>
        <w:ind w:firstLine="480" w:firstLineChars="200"/>
        <w:rPr>
          <w:rFonts w:hint="default"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（1）投标人</w:t>
      </w:r>
      <w:r>
        <w:rPr>
          <w:rFonts w:hint="eastAsia" w:ascii="宋体" w:hAnsi="宋体"/>
          <w:b w:val="0"/>
          <w:bCs/>
          <w:color w:val="auto"/>
          <w:sz w:val="24"/>
          <w:highlight w:val="none"/>
          <w:lang w:val="en-US" w:eastAsia="zh-CN"/>
        </w:rPr>
        <w:t>（若联合体投标，指联合体主办方）</w:t>
      </w:r>
      <w:r>
        <w:rPr>
          <w:rFonts w:hint="default" w:ascii="宋体" w:hAnsi="宋体" w:eastAsia="宋体" w:cs="Times New Roman"/>
          <w:b w:val="0"/>
          <w:bCs/>
          <w:color w:val="auto"/>
          <w:sz w:val="24"/>
          <w:highlight w:val="none"/>
          <w:lang w:val="en-US" w:eastAsia="zh-CN"/>
        </w:rPr>
        <w:t>在最新年度广东省水运工程从业单位（</w:t>
      </w:r>
      <w:r>
        <w:rPr>
          <w:rFonts w:hint="eastAsia" w:ascii="宋体" w:hAnsi="宋体" w:eastAsia="宋体" w:cs="Times New Roman"/>
          <w:b w:val="0"/>
          <w:bCs/>
          <w:color w:val="auto"/>
          <w:sz w:val="24"/>
          <w:highlight w:val="none"/>
          <w:lang w:val="en-US" w:eastAsia="zh-CN"/>
        </w:rPr>
        <w:t>设计</w:t>
      </w:r>
      <w:r>
        <w:rPr>
          <w:rFonts w:hint="default" w:ascii="宋体" w:hAnsi="宋体" w:eastAsia="宋体" w:cs="Times New Roman"/>
          <w:b w:val="0"/>
          <w:bCs/>
          <w:color w:val="auto"/>
          <w:sz w:val="24"/>
          <w:highlight w:val="none"/>
          <w:lang w:val="en-US" w:eastAsia="zh-CN"/>
        </w:rPr>
        <w:t>单位）信用评价（含无最新年度而上一年度有信用评价）中，信用等级未被评为D级；初次进入广东省的投标人，在最新年度的全国水运从业单位（</w:t>
      </w:r>
      <w:r>
        <w:rPr>
          <w:rFonts w:hint="eastAsia" w:ascii="宋体" w:hAnsi="宋体" w:eastAsia="宋体" w:cs="Times New Roman"/>
          <w:b w:val="0"/>
          <w:bCs/>
          <w:color w:val="auto"/>
          <w:sz w:val="24"/>
          <w:highlight w:val="none"/>
          <w:lang w:val="en-US" w:eastAsia="zh-CN"/>
        </w:rPr>
        <w:t>设计</w:t>
      </w:r>
      <w:r>
        <w:rPr>
          <w:rFonts w:hint="default" w:ascii="宋体" w:hAnsi="宋体" w:eastAsia="宋体" w:cs="Times New Roman"/>
          <w:b w:val="0"/>
          <w:bCs/>
          <w:color w:val="auto"/>
          <w:sz w:val="24"/>
          <w:highlight w:val="none"/>
          <w:lang w:val="en-US" w:eastAsia="zh-CN"/>
        </w:rPr>
        <w:t>单位）信用评价结果中未被评为D级；</w:t>
      </w:r>
    </w:p>
    <w:p>
      <w:pPr>
        <w:numPr>
          <w:ilvl w:val="0"/>
          <w:numId w:val="0"/>
        </w:numPr>
        <w:spacing w:line="360" w:lineRule="auto"/>
        <w:ind w:firstLine="480" w:firstLineChars="200"/>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（2）投标人</w:t>
      </w:r>
      <w:r>
        <w:rPr>
          <w:rFonts w:hint="eastAsia" w:ascii="宋体" w:hAnsi="宋体"/>
          <w:b w:val="0"/>
          <w:bCs/>
          <w:color w:val="auto"/>
          <w:sz w:val="24"/>
          <w:highlight w:val="none"/>
          <w:lang w:val="en-US" w:eastAsia="zh-CN"/>
        </w:rPr>
        <w:t>（若联合体投标，指联合体施工方）</w:t>
      </w:r>
      <w:r>
        <w:rPr>
          <w:rFonts w:hint="default" w:ascii="宋体" w:hAnsi="宋体" w:eastAsia="宋体" w:cs="Times New Roman"/>
          <w:b w:val="0"/>
          <w:bCs/>
          <w:color w:val="auto"/>
          <w:sz w:val="24"/>
          <w:highlight w:val="none"/>
          <w:lang w:val="en-US" w:eastAsia="zh-CN"/>
        </w:rPr>
        <w:t>在最新年度广东省水运工程从业单位（施工单位）信用评价（含无最新年度而上一年度有信用评价）中，信用等级未被评为D级；初次进入广东省的投标人，在最新年度的全国水运从业单位（施工单位）信用评价结果中未被评为D级</w:t>
      </w:r>
      <w:r>
        <w:rPr>
          <w:rFonts w:hint="eastAsia" w:ascii="宋体" w:hAnsi="宋体" w:eastAsia="宋体" w:cs="Times New Roman"/>
          <w:b w:val="0"/>
          <w:bCs/>
          <w:color w:val="auto"/>
          <w:sz w:val="24"/>
          <w:highlight w:val="none"/>
          <w:lang w:val="en-US" w:eastAsia="zh-CN"/>
        </w:rPr>
        <w:t>；</w:t>
      </w:r>
    </w:p>
    <w:p>
      <w:pPr>
        <w:numPr>
          <w:ilvl w:val="0"/>
          <w:numId w:val="0"/>
        </w:numPr>
        <w:spacing w:line="360" w:lineRule="auto"/>
        <w:ind w:firstLine="480" w:firstLineChars="200"/>
        <w:rPr>
          <w:rFonts w:hint="eastAsia" w:ascii="宋体" w:hAnsi="宋体" w:eastAsia="宋体" w:cs="Times New Roman"/>
          <w:bCs/>
          <w:color w:val="auto"/>
          <w:spacing w:val="0"/>
          <w:kern w:val="2"/>
          <w:sz w:val="24"/>
          <w:szCs w:val="24"/>
          <w:highlight w:val="none"/>
          <w:lang w:val="en-US" w:eastAsia="zh-CN"/>
        </w:rPr>
      </w:pPr>
      <w:r>
        <w:rPr>
          <w:rFonts w:hint="eastAsia" w:ascii="宋体" w:hAnsi="宋体" w:eastAsia="宋体" w:cs="Times New Roman"/>
          <w:b w:val="0"/>
          <w:bCs/>
          <w:color w:val="auto"/>
          <w:sz w:val="24"/>
          <w:highlight w:val="none"/>
          <w:lang w:val="en-US" w:eastAsia="zh-CN"/>
        </w:rPr>
        <w:t>（3）投标人</w:t>
      </w:r>
      <w:r>
        <w:rPr>
          <w:rFonts w:hint="eastAsia" w:ascii="宋体" w:hAnsi="宋体"/>
          <w:b w:val="0"/>
          <w:bCs/>
          <w:color w:val="auto"/>
          <w:sz w:val="24"/>
          <w:highlight w:val="none"/>
          <w:lang w:val="en-US" w:eastAsia="zh-CN"/>
        </w:rPr>
        <w:t>（若联合体投标，指联合体各方）</w:t>
      </w:r>
      <w:r>
        <w:rPr>
          <w:rFonts w:hint="eastAsia" w:ascii="宋体" w:hAnsi="宋体" w:eastAsia="宋体" w:cs="Times New Roman"/>
          <w:bCs/>
          <w:color w:val="auto"/>
          <w:spacing w:val="0"/>
          <w:kern w:val="2"/>
          <w:sz w:val="24"/>
          <w:szCs w:val="24"/>
          <w:highlight w:val="none"/>
          <w:lang w:val="en-US"/>
        </w:rPr>
        <w:t>在“信用中国”网站（</w:t>
      </w:r>
      <w:r>
        <w:rPr>
          <w:rFonts w:hint="eastAsia" w:ascii="宋体" w:hAnsi="宋体" w:eastAsia="宋体" w:cs="Times New Roman"/>
          <w:bCs/>
          <w:color w:val="auto"/>
          <w:spacing w:val="0"/>
          <w:kern w:val="2"/>
          <w:sz w:val="24"/>
          <w:szCs w:val="24"/>
          <w:highlight w:val="none"/>
          <w:lang w:val="en-US"/>
        </w:rPr>
        <w:fldChar w:fldCharType="begin"/>
      </w:r>
      <w:r>
        <w:rPr>
          <w:rFonts w:hint="eastAsia" w:ascii="宋体" w:hAnsi="宋体" w:eastAsia="宋体" w:cs="Times New Roman"/>
          <w:bCs/>
          <w:color w:val="auto"/>
          <w:spacing w:val="0"/>
          <w:kern w:val="2"/>
          <w:sz w:val="24"/>
          <w:szCs w:val="24"/>
          <w:highlight w:val="none"/>
          <w:lang w:val="en-US"/>
        </w:rPr>
        <w:instrText xml:space="preserve"> HYPERLINK "http://www.creditchina.gov.cn/)%e4%b8%ad%e8%a2%ab%e5%88%97%e5%85%a5%e5%a4%b1%e4%bf%a1%e8%a2%ab%e6%89%a7" </w:instrText>
      </w:r>
      <w:r>
        <w:rPr>
          <w:rFonts w:hint="eastAsia" w:ascii="宋体" w:hAnsi="宋体" w:eastAsia="宋体" w:cs="Times New Roman"/>
          <w:bCs/>
          <w:color w:val="auto"/>
          <w:spacing w:val="0"/>
          <w:kern w:val="2"/>
          <w:sz w:val="24"/>
          <w:szCs w:val="24"/>
          <w:highlight w:val="none"/>
          <w:lang w:val="en-US"/>
        </w:rPr>
        <w:fldChar w:fldCharType="separate"/>
      </w:r>
      <w:r>
        <w:rPr>
          <w:rFonts w:hint="eastAsia" w:ascii="宋体" w:hAnsi="宋体" w:eastAsia="宋体" w:cs="Times New Roman"/>
          <w:bCs/>
          <w:color w:val="auto"/>
          <w:spacing w:val="0"/>
          <w:kern w:val="2"/>
          <w:sz w:val="24"/>
          <w:szCs w:val="24"/>
          <w:highlight w:val="none"/>
          <w:lang w:val="en-US"/>
        </w:rPr>
        <w:t>http://www.creditchina.gov.cn/)中被列入失信被执</w:t>
      </w:r>
      <w:r>
        <w:rPr>
          <w:rFonts w:hint="eastAsia" w:ascii="宋体" w:hAnsi="宋体" w:eastAsia="宋体" w:cs="Times New Roman"/>
          <w:bCs/>
          <w:color w:val="auto"/>
          <w:spacing w:val="0"/>
          <w:kern w:val="2"/>
          <w:sz w:val="24"/>
          <w:szCs w:val="24"/>
          <w:highlight w:val="none"/>
          <w:lang w:val="en-US"/>
        </w:rPr>
        <w:fldChar w:fldCharType="end"/>
      </w:r>
      <w:r>
        <w:rPr>
          <w:rFonts w:hint="eastAsia" w:ascii="宋体" w:hAnsi="宋体" w:eastAsia="宋体" w:cs="Times New Roman"/>
          <w:bCs/>
          <w:color w:val="auto"/>
          <w:spacing w:val="0"/>
          <w:kern w:val="2"/>
          <w:sz w:val="24"/>
          <w:szCs w:val="24"/>
          <w:highlight w:val="none"/>
          <w:lang w:val="en-US"/>
        </w:rPr>
        <w:t>行人名单的</w:t>
      </w:r>
      <w:r>
        <w:rPr>
          <w:rFonts w:hint="eastAsia" w:ascii="宋体" w:hAnsi="宋体" w:eastAsia="宋体" w:cs="Times New Roman"/>
          <w:b w:val="0"/>
          <w:bCs/>
          <w:color w:val="auto"/>
          <w:sz w:val="24"/>
          <w:highlight w:val="none"/>
          <w:lang w:val="en-US" w:eastAsia="zh-CN"/>
        </w:rPr>
        <w:t>，不得参加本次招标项目投标</w:t>
      </w:r>
      <w:r>
        <w:rPr>
          <w:rFonts w:hint="eastAsia" w:ascii="宋体" w:hAnsi="宋体" w:eastAsia="宋体" w:cs="Times New Roman"/>
          <w:bCs/>
          <w:color w:val="auto"/>
          <w:spacing w:val="0"/>
          <w:kern w:val="2"/>
          <w:sz w:val="24"/>
          <w:szCs w:val="24"/>
          <w:highlight w:val="none"/>
          <w:lang w:val="en-US" w:eastAsia="zh-CN"/>
        </w:rPr>
        <w:t>；</w:t>
      </w:r>
    </w:p>
    <w:p>
      <w:pPr>
        <w:numPr>
          <w:ilvl w:val="0"/>
          <w:numId w:val="0"/>
        </w:numPr>
        <w:spacing w:line="360" w:lineRule="auto"/>
        <w:ind w:firstLine="480" w:firstLineChars="200"/>
        <w:rPr>
          <w:rFonts w:hint="default" w:ascii="宋体" w:hAnsi="宋体" w:eastAsia="宋体" w:cs="Times New Roman"/>
          <w:b w:val="0"/>
          <w:bCs/>
          <w:color w:val="auto"/>
          <w:sz w:val="24"/>
          <w:highlight w:val="none"/>
          <w:lang w:val="en-US" w:eastAsia="zh-CN"/>
        </w:rPr>
      </w:pPr>
      <w:r>
        <w:rPr>
          <w:rFonts w:hint="eastAsia" w:ascii="宋体" w:hAnsi="宋体" w:eastAsia="宋体" w:cs="Times New Roman"/>
          <w:bCs/>
          <w:color w:val="auto"/>
          <w:spacing w:val="0"/>
          <w:kern w:val="2"/>
          <w:sz w:val="24"/>
          <w:szCs w:val="24"/>
          <w:highlight w:val="none"/>
          <w:lang w:val="en-US" w:eastAsia="zh-CN"/>
        </w:rPr>
        <w:t>（4）</w:t>
      </w:r>
      <w:r>
        <w:rPr>
          <w:rFonts w:hint="eastAsia" w:ascii="宋体" w:hAnsi="宋体" w:eastAsia="宋体" w:cs="Times New Roman"/>
          <w:b w:val="0"/>
          <w:bCs/>
          <w:color w:val="auto"/>
          <w:sz w:val="24"/>
          <w:highlight w:val="none"/>
          <w:lang w:val="en-US" w:eastAsia="zh-CN"/>
        </w:rPr>
        <w:t>投标人</w:t>
      </w:r>
      <w:r>
        <w:rPr>
          <w:rFonts w:hint="eastAsia" w:ascii="宋体" w:hAnsi="宋体"/>
          <w:b w:val="0"/>
          <w:bCs/>
          <w:color w:val="auto"/>
          <w:sz w:val="24"/>
          <w:highlight w:val="none"/>
          <w:lang w:val="en-US" w:eastAsia="zh-CN"/>
        </w:rPr>
        <w:t>（若联合体投标，指联合体各方）</w:t>
      </w:r>
      <w:r>
        <w:rPr>
          <w:rFonts w:hint="eastAsia" w:ascii="宋体" w:hAnsi="宋体" w:eastAsia="宋体" w:cs="Times New Roman"/>
          <w:bCs/>
          <w:color w:val="auto"/>
          <w:spacing w:val="0"/>
          <w:kern w:val="2"/>
          <w:sz w:val="24"/>
          <w:szCs w:val="24"/>
          <w:highlight w:val="none"/>
          <w:lang w:val="en-US"/>
        </w:rPr>
        <w:t>在国家企业信用信息公示系统（http://www.gsxt.gov.cn）中被列入严重违法失信企业名单的</w:t>
      </w:r>
      <w:r>
        <w:rPr>
          <w:rFonts w:hint="eastAsia" w:ascii="宋体" w:hAnsi="宋体" w:eastAsia="宋体" w:cs="Times New Roman"/>
          <w:b w:val="0"/>
          <w:bCs/>
          <w:color w:val="auto"/>
          <w:sz w:val="24"/>
          <w:highlight w:val="none"/>
          <w:lang w:val="en-US" w:eastAsia="zh-CN"/>
        </w:rPr>
        <w:t>，不得参加本次招标项目投标。</w:t>
      </w:r>
    </w:p>
    <w:p>
      <w:pPr>
        <w:numPr>
          <w:ilvl w:val="0"/>
          <w:numId w:val="0"/>
        </w:numPr>
        <w:spacing w:line="360" w:lineRule="auto"/>
        <w:ind w:firstLine="480" w:firstLineChars="200"/>
        <w:rPr>
          <w:color w:val="auto"/>
          <w:highlight w:val="none"/>
        </w:rPr>
      </w:pPr>
      <w:r>
        <w:rPr>
          <w:rFonts w:hint="eastAsia" w:ascii="宋体" w:hAnsi="宋体" w:cs="Times New Roman"/>
          <w:b w:val="0"/>
          <w:bCs/>
          <w:color w:val="auto"/>
          <w:sz w:val="24"/>
          <w:highlight w:val="none"/>
          <w:lang w:val="en-US" w:eastAsia="zh-CN"/>
        </w:rPr>
        <w:t>3.6</w:t>
      </w:r>
      <w:r>
        <w:rPr>
          <w:rFonts w:hint="default" w:ascii="宋体" w:hAnsi="宋体" w:eastAsia="宋体" w:cs="Times New Roman"/>
          <w:b w:val="0"/>
          <w:bCs/>
          <w:color w:val="auto"/>
          <w:sz w:val="24"/>
          <w:highlight w:val="none"/>
          <w:lang w:val="en-US" w:eastAsia="zh-CN"/>
        </w:rPr>
        <w:t>财务要求：</w:t>
      </w:r>
      <w:r>
        <w:rPr>
          <w:rFonts w:hint="eastAsia" w:ascii="宋体" w:hAnsi="宋体" w:eastAsia="宋体" w:cs="Times New Roman"/>
          <w:b w:val="0"/>
          <w:bCs/>
          <w:color w:val="auto"/>
          <w:sz w:val="24"/>
          <w:highlight w:val="none"/>
          <w:lang w:val="en-US" w:eastAsia="zh-CN"/>
        </w:rPr>
        <w:t>投标人</w:t>
      </w:r>
      <w:r>
        <w:rPr>
          <w:rFonts w:hint="eastAsia" w:ascii="宋体" w:hAnsi="宋体"/>
          <w:b w:val="0"/>
          <w:bCs/>
          <w:color w:val="auto"/>
          <w:sz w:val="24"/>
          <w:highlight w:val="none"/>
          <w:lang w:val="en-US" w:eastAsia="zh-CN"/>
        </w:rPr>
        <w:t>（若联合体投标，指联合体主办方）</w:t>
      </w:r>
      <w:r>
        <w:rPr>
          <w:rFonts w:hint="eastAsia" w:ascii="宋体" w:hAnsi="宋体" w:eastAsia="宋体" w:cs="Times New Roman"/>
          <w:b w:val="0"/>
          <w:bCs/>
          <w:color w:val="auto"/>
          <w:sz w:val="24"/>
          <w:highlight w:val="none"/>
          <w:lang w:val="en-US" w:eastAsia="zh-CN"/>
        </w:rPr>
        <w:t>2020</w:t>
      </w:r>
      <w:r>
        <w:rPr>
          <w:rFonts w:hint="default" w:ascii="宋体" w:hAnsi="宋体" w:eastAsia="宋体" w:cs="Times New Roman"/>
          <w:b w:val="0"/>
          <w:bCs/>
          <w:color w:val="auto"/>
          <w:sz w:val="24"/>
          <w:highlight w:val="none"/>
          <w:lang w:val="en-US" w:eastAsia="zh-CN"/>
        </w:rPr>
        <w:t>年至</w:t>
      </w:r>
      <w:r>
        <w:rPr>
          <w:rFonts w:hint="eastAsia" w:ascii="宋体" w:hAnsi="宋体" w:eastAsia="宋体" w:cs="Times New Roman"/>
          <w:b w:val="0"/>
          <w:bCs/>
          <w:color w:val="auto"/>
          <w:sz w:val="24"/>
          <w:highlight w:val="none"/>
          <w:lang w:val="en-US" w:eastAsia="zh-CN"/>
        </w:rPr>
        <w:t>2022</w:t>
      </w:r>
      <w:r>
        <w:rPr>
          <w:rFonts w:hint="default" w:ascii="宋体" w:hAnsi="宋体" w:eastAsia="宋体" w:cs="Times New Roman"/>
          <w:b w:val="0"/>
          <w:bCs/>
          <w:color w:val="auto"/>
          <w:sz w:val="24"/>
          <w:highlight w:val="none"/>
          <w:lang w:val="en-US" w:eastAsia="zh-CN"/>
        </w:rPr>
        <w:t>年均盈利，需提供2</w:t>
      </w:r>
      <w:r>
        <w:rPr>
          <w:rFonts w:hint="eastAsia" w:ascii="宋体" w:hAnsi="宋体" w:eastAsia="宋体" w:cs="Times New Roman"/>
          <w:b w:val="0"/>
          <w:bCs/>
          <w:color w:val="auto"/>
          <w:sz w:val="24"/>
          <w:highlight w:val="none"/>
          <w:lang w:val="en-US" w:eastAsia="zh-CN"/>
        </w:rPr>
        <w:t>020</w:t>
      </w:r>
      <w:r>
        <w:rPr>
          <w:rFonts w:hint="default" w:ascii="宋体" w:hAnsi="宋体" w:eastAsia="宋体" w:cs="Times New Roman"/>
          <w:b w:val="0"/>
          <w:bCs/>
          <w:color w:val="auto"/>
          <w:sz w:val="24"/>
          <w:highlight w:val="none"/>
          <w:lang w:val="en-US" w:eastAsia="zh-CN"/>
        </w:rPr>
        <w:t>年至202</w:t>
      </w:r>
      <w:r>
        <w:rPr>
          <w:rFonts w:hint="eastAsia" w:ascii="宋体" w:hAnsi="宋体" w:eastAsia="宋体" w:cs="Times New Roman"/>
          <w:b w:val="0"/>
          <w:bCs/>
          <w:color w:val="auto"/>
          <w:sz w:val="24"/>
          <w:highlight w:val="none"/>
          <w:lang w:val="en-US" w:eastAsia="zh-CN"/>
        </w:rPr>
        <w:t>2</w:t>
      </w:r>
      <w:r>
        <w:rPr>
          <w:rFonts w:hint="default" w:ascii="宋体" w:hAnsi="宋体" w:eastAsia="宋体" w:cs="Times New Roman"/>
          <w:b w:val="0"/>
          <w:bCs/>
          <w:color w:val="auto"/>
          <w:sz w:val="24"/>
          <w:highlight w:val="none"/>
          <w:lang w:val="en-US" w:eastAsia="zh-CN"/>
        </w:rPr>
        <w:t>年经具有专业资质审计机构审计的财务审计报告和财务报表（包括损益表、资金流量表和资产负债表）。</w:t>
      </w:r>
    </w:p>
    <w:p>
      <w:pPr>
        <w:spacing w:line="360" w:lineRule="auto"/>
        <w:ind w:firstLine="480" w:firstLineChars="200"/>
        <w:rPr>
          <w:rFonts w:hint="default"/>
          <w:color w:val="auto"/>
          <w:highlight w:val="none"/>
          <w:lang w:val="en-US" w:eastAsia="zh-CN"/>
        </w:rPr>
      </w:pPr>
      <w:bookmarkStart w:id="18" w:name="_Toc247513937"/>
      <w:bookmarkStart w:id="19" w:name="_Toc144974483"/>
      <w:bookmarkStart w:id="20" w:name="_Toc152045515"/>
      <w:bookmarkStart w:id="21" w:name="_Toc247527538"/>
      <w:bookmarkStart w:id="22" w:name="_Toc152042291"/>
      <w:bookmarkStart w:id="23" w:name="_Toc378513986"/>
      <w:r>
        <w:rPr>
          <w:rFonts w:hint="eastAsia" w:ascii="宋体" w:hAnsi="宋体"/>
          <w:b w:val="0"/>
          <w:bCs/>
          <w:color w:val="auto"/>
          <w:sz w:val="24"/>
          <w:highlight w:val="none"/>
          <w:lang w:val="en-US" w:eastAsia="zh-CN"/>
        </w:rPr>
        <w:t>3.7其他要求：</w:t>
      </w:r>
    </w:p>
    <w:p>
      <w:pPr>
        <w:spacing w:line="360" w:lineRule="auto"/>
        <w:ind w:firstLine="480" w:firstLineChars="200"/>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3.7.1投标人（若联合体投标，指联合体各方）具有独立法人资格，持有有效的法人营业执照，按国家法律经营。</w:t>
      </w:r>
    </w:p>
    <w:p>
      <w:pPr>
        <w:numPr>
          <w:ilvl w:val="0"/>
          <w:numId w:val="0"/>
        </w:numPr>
        <w:spacing w:line="360" w:lineRule="auto"/>
        <w:ind w:firstLine="480" w:firstLineChars="200"/>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3.7.2与招标人存在利害关系可能影响招标公正性的法人、其他组织或个人，不得参加投标。单位负责人为同一人或者存在控股、管理关系的不同单位，不得参加同一标段投标或者未划分标段的同一招标项目投标，否则按否决其投标处理。（注：单位负责人是指单位的法定代表人或者法律、行政法规规定代表单位行使职权的主要负责人；控股是指股份占股份有限公司股本总额的 50%以上的绝对控股、相对控股或协议控股；管理关系是指不具有出资持股关系的其他单位之间存在的管理与被管理关系）。</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4. 招标文件的获取</w:t>
      </w:r>
      <w:bookmarkEnd w:id="18"/>
      <w:bookmarkEnd w:id="19"/>
      <w:bookmarkEnd w:id="20"/>
      <w:bookmarkEnd w:id="21"/>
      <w:bookmarkEnd w:id="22"/>
      <w:bookmarkEnd w:id="23"/>
    </w:p>
    <w:p>
      <w:pPr>
        <w:spacing w:line="360" w:lineRule="auto"/>
        <w:ind w:firstLine="480" w:firstLineChars="200"/>
        <w:rPr>
          <w:rFonts w:hint="eastAsia" w:ascii="宋体" w:hAnsi="宋体" w:cs="宋体"/>
          <w:color w:val="auto"/>
          <w:sz w:val="24"/>
          <w:highlight w:val="none"/>
        </w:rPr>
      </w:pPr>
      <w:r>
        <w:rPr>
          <w:rFonts w:hint="eastAsia" w:ascii="宋体" w:hAnsi="宋体"/>
          <w:color w:val="auto"/>
          <w:sz w:val="24"/>
          <w:highlight w:val="none"/>
        </w:rPr>
        <w:t xml:space="preserve">4.1  </w:t>
      </w:r>
      <w:r>
        <w:rPr>
          <w:rFonts w:hint="eastAsia" w:ascii="宋体" w:hAnsi="宋体" w:cs="宋体"/>
          <w:color w:val="auto"/>
          <w:sz w:val="24"/>
          <w:highlight w:val="none"/>
        </w:rPr>
        <w:t>凡有意参加本项目投标的投标人，请于</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u w:val="none"/>
          <w:lang w:eastAsia="zh-CN"/>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rPr>
        <w:t>日9:00至</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u w:val="none"/>
          <w:lang w:eastAsia="zh-CN"/>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rPr>
        <w:t xml:space="preserve">日16:00，登陆广州公共资源交易中心网站（http://www.gzggzy.cn）交易平台（即建设工程新交易系统，下同）选择对应本项目进行投标登记（北京时间，下同），投标登记成功后， 投标人方可自行下载招标文件等相关资料。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4.2下载电子招标文件及基础资料需要说明的有关事宜具体为：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将以下填写并加盖公章的资料的扫描件发至招标代理邮箱（以到达邮箱时间为准），并将资料</w:t>
      </w:r>
      <w:r>
        <w:rPr>
          <w:rFonts w:hint="eastAsia" w:ascii="宋体" w:hAnsi="宋体" w:cs="宋体"/>
          <w:color w:val="auto"/>
          <w:sz w:val="24"/>
          <w:highlight w:val="none"/>
          <w:lang w:val="en-US" w:eastAsia="zh-CN"/>
        </w:rPr>
        <w:t>原件</w:t>
      </w:r>
      <w:r>
        <w:rPr>
          <w:rFonts w:hint="eastAsia" w:ascii="宋体" w:hAnsi="宋体" w:cs="宋体"/>
          <w:color w:val="auto"/>
          <w:sz w:val="24"/>
          <w:highlight w:val="none"/>
        </w:rPr>
        <w:t xml:space="preserve">快递至招标代理机构。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 《投标登记申请表》二份【表格在广州交易集团有限公司（广州公共资源交易中心）网上下载，须有投标人单位公章和法定代表人盖章，见公告附件</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 招标文件发放登记表（格式见附件</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 法定代表人证明书原件、法定代表人授权委托书原件（授权内容必须包含投标登记和</w:t>
      </w:r>
      <w:r>
        <w:rPr>
          <w:rFonts w:hint="eastAsia" w:ascii="宋体" w:hAnsi="宋体" w:cs="宋体"/>
          <w:color w:val="auto"/>
          <w:sz w:val="24"/>
          <w:highlight w:val="none"/>
          <w:lang w:val="en-US" w:eastAsia="zh-CN"/>
        </w:rPr>
        <w:t>领取</w:t>
      </w:r>
      <w:r>
        <w:rPr>
          <w:rFonts w:hint="eastAsia" w:ascii="宋体" w:hAnsi="宋体" w:cs="宋体"/>
          <w:color w:val="auto"/>
          <w:sz w:val="24"/>
          <w:highlight w:val="none"/>
        </w:rPr>
        <w:t xml:space="preserve">招标文件）及盖有公章的被授权人有效身份证复印件；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w:t>
      </w:r>
      <w:r>
        <w:rPr>
          <w:rFonts w:ascii="宋体" w:hAnsi="宋体" w:cs="宋体"/>
          <w:color w:val="auto"/>
          <w:sz w:val="24"/>
          <w:highlight w:val="none"/>
        </w:rPr>
        <w:t>“投标登记申请表”中法人单位的营业执照、资质证书、项目负责人资格证书等彩色复印件一套（加盖公章）</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⑤联合体协议书（如有）（见附录）</w:t>
      </w:r>
    </w:p>
    <w:p>
      <w:pPr>
        <w:spacing w:line="360" w:lineRule="auto"/>
        <w:ind w:firstLine="482" w:firstLineChars="200"/>
        <w:rPr>
          <w:rFonts w:hint="eastAsia" w:ascii="宋体" w:hAnsi="宋体" w:eastAsia="宋体"/>
          <w:color w:val="auto"/>
          <w:sz w:val="24"/>
          <w:highlight w:val="none"/>
          <w:lang w:eastAsia="zh-CN"/>
        </w:rPr>
      </w:pPr>
      <w:r>
        <w:rPr>
          <w:rFonts w:hint="eastAsia" w:ascii="宋体" w:hAnsi="宋体" w:cs="宋体"/>
          <w:b/>
          <w:bCs/>
          <w:color w:val="auto"/>
          <w:sz w:val="24"/>
          <w:highlight w:val="none"/>
        </w:rPr>
        <w:t>注：投标人完成上面投标登记后及时联系招标代理机构进行确认。同时满足上述要求， 方视为投标登记成功。联合体填报投标人名称时需填写联合体各方的企业名称（例如：（主）**公司</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（成）**公司）</w:t>
      </w:r>
      <w:r>
        <w:rPr>
          <w:rFonts w:hint="eastAsia" w:ascii="宋体" w:hAnsi="宋体" w:cs="宋体"/>
          <w:b/>
          <w:bCs/>
          <w:color w:val="auto"/>
          <w:sz w:val="24"/>
          <w:highlight w:val="none"/>
          <w:lang w:eastAsia="zh-CN"/>
        </w:rPr>
        <w:t>。</w:t>
      </w:r>
    </w:p>
    <w:p>
      <w:pPr>
        <w:spacing w:line="360" w:lineRule="auto"/>
        <w:ind w:firstLine="482" w:firstLineChars="200"/>
        <w:rPr>
          <w:rFonts w:hint="eastAsia" w:ascii="宋体" w:hAnsi="宋体"/>
          <w:b/>
          <w:color w:val="auto"/>
          <w:sz w:val="24"/>
          <w:highlight w:val="none"/>
        </w:rPr>
      </w:pPr>
      <w:bookmarkStart w:id="24" w:name="_Toc152045516"/>
      <w:bookmarkStart w:id="25" w:name="_Toc144974484"/>
      <w:bookmarkStart w:id="26" w:name="_Toc378513987"/>
      <w:bookmarkStart w:id="27" w:name="_Toc247513938"/>
      <w:bookmarkStart w:id="28" w:name="_Toc152042292"/>
      <w:bookmarkStart w:id="29" w:name="_Toc247527539"/>
      <w:r>
        <w:rPr>
          <w:rFonts w:hint="eastAsia" w:ascii="宋体" w:hAnsi="宋体"/>
          <w:b/>
          <w:color w:val="auto"/>
          <w:sz w:val="24"/>
          <w:highlight w:val="none"/>
        </w:rPr>
        <w:t>5. 投标文件的递交</w:t>
      </w:r>
      <w:bookmarkEnd w:id="24"/>
      <w:bookmarkEnd w:id="25"/>
      <w:bookmarkEnd w:id="26"/>
      <w:bookmarkEnd w:id="27"/>
      <w:bookmarkEnd w:id="28"/>
      <w:bookmarkEnd w:id="29"/>
    </w:p>
    <w:p>
      <w:pPr>
        <w:wordWrap w:val="0"/>
        <w:spacing w:line="360" w:lineRule="auto"/>
        <w:ind w:firstLine="480" w:firstLineChars="200"/>
        <w:jc w:val="left"/>
        <w:rPr>
          <w:rFonts w:hint="eastAsia" w:ascii="宋体" w:hAnsi="宋体" w:cs="宋体"/>
          <w:color w:val="auto"/>
          <w:sz w:val="24"/>
          <w:highlight w:val="none"/>
        </w:rPr>
      </w:pPr>
      <w:r>
        <w:rPr>
          <w:rFonts w:hint="eastAsia" w:ascii="宋体" w:hAnsi="宋体"/>
          <w:color w:val="auto"/>
          <w:sz w:val="24"/>
          <w:highlight w:val="none"/>
        </w:rPr>
        <w:t>5.1 投标文件递交的截止时间（投标截止时间，下同）为202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4</w:t>
      </w:r>
      <w:r>
        <w:rPr>
          <w:rFonts w:hint="eastAsia" w:ascii="宋体" w:hAnsi="宋体"/>
          <w:color w:val="auto"/>
          <w:sz w:val="24"/>
          <w:highlight w:val="none"/>
        </w:rPr>
        <w:t>月</w:t>
      </w:r>
      <w:r>
        <w:rPr>
          <w:rFonts w:hint="eastAsia" w:ascii="宋体" w:hAnsi="宋体"/>
          <w:color w:val="auto"/>
          <w:sz w:val="24"/>
          <w:highlight w:val="none"/>
          <w:lang w:val="en-US" w:eastAsia="zh-CN"/>
        </w:rPr>
        <w:t>9</w:t>
      </w:r>
      <w:r>
        <w:rPr>
          <w:rFonts w:hint="eastAsia" w:ascii="宋体" w:hAnsi="宋体"/>
          <w:color w:val="auto"/>
          <w:sz w:val="24"/>
          <w:highlight w:val="none"/>
        </w:rPr>
        <w:t>日9时00分，</w:t>
      </w:r>
      <w:r>
        <w:rPr>
          <w:rFonts w:hint="eastAsia" w:ascii="宋体" w:hAnsi="宋体" w:cs="宋体"/>
          <w:color w:val="auto"/>
          <w:sz w:val="24"/>
          <w:highlight w:val="none"/>
        </w:rPr>
        <w:t>投标人应在截止时间前通过</w:t>
      </w:r>
      <w:r>
        <w:rPr>
          <w:rFonts w:hint="eastAsia" w:ascii="宋体" w:hAnsi="宋体" w:cs="宋体"/>
          <w:color w:val="auto"/>
          <w:sz w:val="24"/>
          <w:highlight w:val="none"/>
          <w:u w:val="single"/>
        </w:rPr>
        <w:t>广州公共资源交易中心数字交易平台（网址：http://www.gzggzy.cn/）</w:t>
      </w:r>
      <w:r>
        <w:rPr>
          <w:rFonts w:hint="eastAsia" w:ascii="宋体" w:hAnsi="宋体" w:cs="宋体"/>
          <w:color w:val="auto"/>
          <w:sz w:val="24"/>
          <w:highlight w:val="none"/>
        </w:rPr>
        <w:t>递交电子投标文件。</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投标人应按照广州公共资源交易中心全流程电子化通用系统的相关指南进行操作，详见：广州公共资源交易中心网站发布的“【专业工程】新数字交易平台操作指引”。投标人完成电子投标文件上传后，广州公共资源交易中心数字交易平台即时向投标人发出递交回执通知。递交时间以递交回执通知载明的传输时间为准。</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5.2递交投标文件u盘（备用）的规定时间为：</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日8时45分至202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日9时00分</w:t>
      </w:r>
      <w:r>
        <w:rPr>
          <w:rFonts w:hint="eastAsia" w:ascii="宋体" w:hAnsi="宋体" w:cs="宋体"/>
          <w:color w:val="auto"/>
          <w:sz w:val="24"/>
          <w:highlight w:val="none"/>
        </w:rPr>
        <w:t>；地点：</w:t>
      </w:r>
      <w:r>
        <w:rPr>
          <w:rFonts w:hint="eastAsia" w:ascii="宋体" w:hAnsi="宋体" w:cs="宋体"/>
          <w:color w:val="auto"/>
          <w:sz w:val="24"/>
          <w:highlight w:val="none"/>
          <w:u w:val="single"/>
        </w:rPr>
        <w:t>广州公共资源交易中心开标室（具体以交易中心公告的开标室为准）</w:t>
      </w:r>
      <w:r>
        <w:rPr>
          <w:rFonts w:hint="eastAsia" w:ascii="宋体" w:hAnsi="宋体" w:cs="宋体"/>
          <w:color w:val="auto"/>
          <w:sz w:val="24"/>
          <w:highlight w:val="none"/>
        </w:rPr>
        <w:t>。（投标文件u盘（备用）需按规定封装，投标人将数据刻录到u盘之后，请于投标前自行检查文件是否可以读取）。</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投标文件解密时间为202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日9时00分至202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日9时30分，投标人应在截止时间前按照广州公共资源交易中心全流程电子化通用系统的相关指南进行操作。</w:t>
      </w:r>
    </w:p>
    <w:p>
      <w:pPr>
        <w:spacing w:line="360" w:lineRule="auto"/>
        <w:ind w:left="239" w:leftChars="114" w:firstLine="180" w:firstLineChars="75"/>
        <w:jc w:val="left"/>
        <w:rPr>
          <w:rFonts w:hint="eastAsia" w:ascii="宋体" w:hAnsi="宋体" w:cs="宋体"/>
          <w:color w:val="auto"/>
          <w:sz w:val="24"/>
          <w:highlight w:val="none"/>
        </w:rPr>
      </w:pPr>
      <w:r>
        <w:rPr>
          <w:rFonts w:hint="eastAsia" w:ascii="宋体" w:hAnsi="宋体" w:cs="宋体"/>
          <w:color w:val="auto"/>
          <w:sz w:val="24"/>
          <w:highlight w:val="none"/>
        </w:rPr>
        <w:t>本招标项目采用电子开标，在新交易平台上公开进行。开标开始时间：202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日9时00分（与投标截止时间为同一时间）。邀请所有投标人准时在线参加开标。投标人参与电子开标的具体操作详见交易平台发布的相关操作指引。</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投标截止时间与开标时间是否有变化，请密切留意招标答疑中的相关信息。截标后，开标时间因故推迟的，相关评标信息仍以原定的投标截止时间的信息为准。</w:t>
      </w:r>
    </w:p>
    <w:p>
      <w:pPr>
        <w:spacing w:line="360" w:lineRule="auto"/>
        <w:ind w:firstLine="480" w:firstLineChars="200"/>
        <w:jc w:val="left"/>
        <w:rPr>
          <w:rFonts w:hint="eastAsia" w:ascii="宋体" w:hAnsi="宋体"/>
          <w:color w:val="auto"/>
          <w:sz w:val="24"/>
          <w:highlight w:val="none"/>
        </w:rPr>
      </w:pPr>
      <w:r>
        <w:rPr>
          <w:rFonts w:hint="eastAsia" w:ascii="宋体" w:hAnsi="宋体" w:cs="宋体"/>
          <w:color w:val="auto"/>
          <w:sz w:val="24"/>
          <w:highlight w:val="none"/>
        </w:rPr>
        <w:t>5.3逾期送达的投标文件，电子招标投标交易平台将予以拒收。</w:t>
      </w:r>
    </w:p>
    <w:p>
      <w:pPr>
        <w:spacing w:line="360" w:lineRule="auto"/>
        <w:ind w:firstLine="482" w:firstLineChars="200"/>
        <w:rPr>
          <w:rFonts w:hint="eastAsia" w:ascii="宋体" w:hAnsi="宋体"/>
          <w:b/>
          <w:color w:val="auto"/>
          <w:sz w:val="24"/>
          <w:highlight w:val="none"/>
        </w:rPr>
      </w:pPr>
      <w:bookmarkStart w:id="30" w:name="_Toc247513939"/>
      <w:bookmarkStart w:id="31" w:name="_Toc378513988"/>
      <w:bookmarkStart w:id="32" w:name="_Toc157499355"/>
      <w:bookmarkStart w:id="33" w:name="_Toc247527540"/>
      <w:r>
        <w:rPr>
          <w:rFonts w:hint="eastAsia" w:ascii="宋体" w:hAnsi="宋体"/>
          <w:b/>
          <w:color w:val="auto"/>
          <w:sz w:val="24"/>
          <w:highlight w:val="none"/>
        </w:rPr>
        <w:t>6. 发布公告的媒介</w:t>
      </w:r>
      <w:bookmarkEnd w:id="30"/>
      <w:bookmarkEnd w:id="31"/>
      <w:bookmarkEnd w:id="32"/>
      <w:bookmarkEnd w:id="33"/>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本次招标公告同时在广州公共资源交易中心网站、广东省招标投标监管网、中国招标投标公共服务平台上发布、</w:t>
      </w:r>
      <w:r>
        <w:rPr>
          <w:rFonts w:hint="eastAsia" w:hAnsi="宋体"/>
          <w:color w:val="auto"/>
          <w:sz w:val="24"/>
          <w:szCs w:val="21"/>
          <w:highlight w:val="none"/>
        </w:rPr>
        <w:t>广州国企阳光采购信息发布平台</w:t>
      </w:r>
      <w:r>
        <w:rPr>
          <w:rFonts w:hint="eastAsia" w:ascii="宋体" w:hAnsi="宋体"/>
          <w:color w:val="auto"/>
          <w:sz w:val="24"/>
          <w:highlight w:val="none"/>
        </w:rPr>
        <w:t>上发布。</w:t>
      </w:r>
    </w:p>
    <w:p>
      <w:pPr>
        <w:spacing w:line="360" w:lineRule="auto"/>
        <w:ind w:firstLine="482" w:firstLineChars="200"/>
        <w:rPr>
          <w:rFonts w:hint="eastAsia" w:ascii="宋体" w:hAnsi="宋体"/>
          <w:b/>
          <w:color w:val="auto"/>
          <w:sz w:val="24"/>
          <w:highlight w:val="none"/>
        </w:rPr>
      </w:pPr>
      <w:bookmarkStart w:id="34" w:name="_Toc378513989"/>
      <w:bookmarkStart w:id="35" w:name="_Toc152045517"/>
      <w:bookmarkStart w:id="36" w:name="_Toc247513940"/>
      <w:bookmarkStart w:id="37" w:name="_Toc247527541"/>
      <w:bookmarkStart w:id="38" w:name="_Toc144974485"/>
      <w:bookmarkStart w:id="39" w:name="_Toc152042293"/>
      <w:r>
        <w:rPr>
          <w:rFonts w:hint="eastAsia" w:ascii="宋体" w:hAnsi="宋体"/>
          <w:b/>
          <w:color w:val="auto"/>
          <w:sz w:val="24"/>
          <w:highlight w:val="none"/>
        </w:rPr>
        <w:t>7. 联系方式</w:t>
      </w:r>
      <w:bookmarkEnd w:id="34"/>
      <w:bookmarkEnd w:id="35"/>
      <w:bookmarkEnd w:id="36"/>
      <w:bookmarkEnd w:id="37"/>
      <w:bookmarkEnd w:id="38"/>
      <w:bookmarkEnd w:id="39"/>
    </w:p>
    <w:p>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招 标 人：</w:t>
      </w:r>
      <w:r>
        <w:rPr>
          <w:rFonts w:hint="eastAsia" w:ascii="宋体" w:hAnsi="宋体"/>
          <w:color w:val="auto"/>
          <w:sz w:val="24"/>
          <w:highlight w:val="none"/>
          <w:lang w:val="en-US" w:eastAsia="zh-CN"/>
        </w:rPr>
        <w:t>广州港股份有限公司</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lang w:eastAsia="zh-CN"/>
        </w:rPr>
        <w:t>广州市越秀区沿江东路406号</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联 系 人：</w:t>
      </w:r>
      <w:r>
        <w:rPr>
          <w:rFonts w:hint="eastAsia" w:ascii="宋体" w:hAnsi="宋体"/>
          <w:color w:val="auto"/>
          <w:sz w:val="24"/>
          <w:highlight w:val="none"/>
          <w:lang w:val="en-US" w:eastAsia="zh-CN"/>
        </w:rPr>
        <w:t>赵工</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p>
    <w:p>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电    话：</w:t>
      </w:r>
      <w:r>
        <w:rPr>
          <w:rFonts w:hint="eastAsia" w:ascii="宋体" w:hAnsi="宋体"/>
          <w:color w:val="auto"/>
          <w:sz w:val="24"/>
          <w:highlight w:val="none"/>
          <w:lang w:eastAsia="zh-CN"/>
        </w:rPr>
        <w:t>020-83051007</w:t>
      </w:r>
      <w:r>
        <w:rPr>
          <w:rFonts w:hint="eastAsia" w:ascii="宋体" w:hAnsi="宋体"/>
          <w:color w:val="auto"/>
          <w:sz w:val="24"/>
          <w:highlight w:val="none"/>
        </w:rPr>
        <w:t xml:space="preserve">               传    真：</w:t>
      </w:r>
      <w:r>
        <w:rPr>
          <w:rFonts w:hint="eastAsia" w:ascii="宋体" w:hAnsi="宋体"/>
          <w:color w:val="auto"/>
          <w:sz w:val="24"/>
          <w:highlight w:val="none"/>
          <w:lang w:val="en-US" w:eastAsia="zh-CN"/>
        </w:rPr>
        <w:t xml:space="preserve"> /</w:t>
      </w: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招标代理：广州港工程管理有限公司</w:t>
      </w:r>
    </w:p>
    <w:p>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地    址：广州经济技术开发区志诚大道331号201</w:t>
      </w:r>
      <w:r>
        <w:rPr>
          <w:rFonts w:hint="eastAsia" w:ascii="宋体" w:hAnsi="宋体"/>
          <w:color w:val="auto"/>
          <w:sz w:val="24"/>
          <w:highlight w:val="none"/>
          <w:lang w:val="en-US" w:eastAsia="zh-CN"/>
        </w:rPr>
        <w:t>室</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邮    编：510730</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联 系 人：</w:t>
      </w:r>
      <w:r>
        <w:rPr>
          <w:rFonts w:hint="eastAsia" w:ascii="宋体" w:hAnsi="宋体"/>
          <w:color w:val="auto"/>
          <w:sz w:val="24"/>
          <w:highlight w:val="none"/>
          <w:lang w:val="en-US" w:eastAsia="zh-CN"/>
        </w:rPr>
        <w:t>黄工、彭工</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电子邮箱: </w:t>
      </w:r>
      <w:r>
        <w:rPr>
          <w:rFonts w:ascii="宋体" w:hAnsi="宋体"/>
          <w:color w:val="auto"/>
          <w:sz w:val="24"/>
          <w:highlight w:val="none"/>
        </w:rPr>
        <w:fldChar w:fldCharType="begin"/>
      </w:r>
      <w:r>
        <w:rPr>
          <w:rFonts w:ascii="宋体" w:hAnsi="宋体"/>
          <w:color w:val="auto"/>
          <w:sz w:val="24"/>
          <w:highlight w:val="none"/>
        </w:rPr>
        <w:instrText xml:space="preserve"> HYPERLINK "mailto:zbdl2008@126.com" </w:instrText>
      </w:r>
      <w:r>
        <w:rPr>
          <w:rFonts w:ascii="宋体" w:hAnsi="宋体"/>
          <w:color w:val="auto"/>
          <w:sz w:val="24"/>
          <w:highlight w:val="none"/>
        </w:rPr>
        <w:fldChar w:fldCharType="separate"/>
      </w:r>
      <w:r>
        <w:rPr>
          <w:rStyle w:val="7"/>
          <w:rFonts w:ascii="宋体" w:hAnsi="宋体"/>
          <w:color w:val="auto"/>
          <w:sz w:val="24"/>
          <w:highlight w:val="none"/>
        </w:rPr>
        <w:t>zbdl2008@126.com</w:t>
      </w:r>
      <w:r>
        <w:rPr>
          <w:rFonts w:ascii="宋体" w:hAnsi="宋体"/>
          <w:color w:val="auto"/>
          <w:sz w:val="24"/>
          <w:highlight w:val="none"/>
        </w:rPr>
        <w:fldChar w:fldCharType="end"/>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电    话：</w:t>
      </w:r>
      <w:r>
        <w:rPr>
          <w:rFonts w:hint="eastAsia" w:ascii="宋体" w:hAnsi="宋体"/>
          <w:color w:val="auto"/>
          <w:sz w:val="24"/>
          <w:highlight w:val="none"/>
          <w:lang w:eastAsia="zh-CN"/>
        </w:rPr>
        <w:t>020-82212731、020-82027239</w:t>
      </w:r>
      <w:r>
        <w:rPr>
          <w:rFonts w:hint="eastAsia" w:ascii="宋体" w:hAnsi="宋体"/>
          <w:color w:val="auto"/>
          <w:sz w:val="24"/>
          <w:highlight w:val="none"/>
        </w:rPr>
        <w:t xml:space="preserve">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传    真：020-82212796                                                                                          </w:t>
      </w:r>
    </w:p>
    <w:p>
      <w:pPr>
        <w:spacing w:line="360" w:lineRule="auto"/>
        <w:jc w:val="righ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eastAsia="zh-CN"/>
        </w:rPr>
        <w:t>2024年</w:t>
      </w:r>
      <w:r>
        <w:rPr>
          <w:rFonts w:hint="eastAsia" w:ascii="宋体" w:hAnsi="宋体"/>
          <w:color w:val="auto"/>
          <w:sz w:val="24"/>
          <w:highlight w:val="none"/>
          <w:lang w:val="en-US" w:eastAsia="zh-CN"/>
        </w:rPr>
        <w:t>3</w:t>
      </w:r>
      <w:r>
        <w:rPr>
          <w:rFonts w:hint="eastAsia" w:ascii="宋体" w:hAnsi="宋体"/>
          <w:color w:val="auto"/>
          <w:sz w:val="24"/>
          <w:highlight w:val="none"/>
        </w:rPr>
        <w:t>月</w:t>
      </w:r>
      <w:r>
        <w:rPr>
          <w:rFonts w:hint="eastAsia" w:ascii="宋体" w:hAnsi="宋体"/>
          <w:color w:val="auto"/>
          <w:sz w:val="24"/>
          <w:highlight w:val="none"/>
          <w:lang w:val="en-US" w:eastAsia="zh-CN"/>
        </w:rPr>
        <w:t>12</w:t>
      </w:r>
      <w:r>
        <w:rPr>
          <w:rFonts w:hint="eastAsia" w:ascii="宋体" w:hAnsi="宋体"/>
          <w:color w:val="auto"/>
          <w:sz w:val="24"/>
          <w:highlight w:val="none"/>
        </w:rPr>
        <w:t>日</w:t>
      </w:r>
    </w:p>
    <w:p>
      <w:pPr>
        <w:pStyle w:val="3"/>
        <w:jc w:val="center"/>
        <w:rPr>
          <w:color w:val="auto"/>
          <w:highlight w:val="none"/>
        </w:rPr>
      </w:pPr>
      <w:r>
        <w:rPr>
          <w:rFonts w:hint="eastAsia"/>
          <w:color w:val="auto"/>
          <w:highlight w:val="none"/>
        </w:rPr>
        <w:br w:type="page"/>
      </w:r>
      <w:r>
        <w:rPr>
          <w:rFonts w:hint="eastAsia"/>
          <w:color w:val="auto"/>
          <w:highlight w:val="none"/>
        </w:rPr>
        <w:t>附录    联合体协议书</w:t>
      </w:r>
    </w:p>
    <w:p>
      <w:pPr>
        <w:topLinePunct/>
        <w:spacing w:line="440" w:lineRule="exact"/>
        <w:ind w:firstLine="420" w:firstLineChars="200"/>
        <w:rPr>
          <w:color w:val="auto"/>
          <w:szCs w:val="21"/>
          <w:highlight w:val="none"/>
        </w:rPr>
      </w:pPr>
      <w:r>
        <w:rPr>
          <w:color w:val="auto"/>
          <w:szCs w:val="21"/>
          <w:highlight w:val="none"/>
          <w:u w:val="single"/>
        </w:rPr>
        <w:t xml:space="preserve">          </w:t>
      </w:r>
      <w:r>
        <w:rPr>
          <w:color w:val="auto"/>
          <w:szCs w:val="21"/>
          <w:highlight w:val="none"/>
        </w:rPr>
        <w:t>（所有成员单位名称）自愿组成</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（联合体名称）</w:t>
      </w:r>
      <w:r>
        <w:rPr>
          <w:rFonts w:hint="eastAsia"/>
          <w:color w:val="auto"/>
          <w:szCs w:val="21"/>
          <w:highlight w:val="none"/>
        </w:rPr>
        <w:t>联合体</w:t>
      </w:r>
      <w:r>
        <w:rPr>
          <w:color w:val="auto"/>
          <w:szCs w:val="21"/>
          <w:highlight w:val="none"/>
        </w:rPr>
        <w:t>，共同参加</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（项目名称）</w:t>
      </w:r>
      <w:r>
        <w:rPr>
          <w:rFonts w:hint="eastAsia"/>
          <w:color w:val="auto"/>
          <w:szCs w:val="21"/>
          <w:highlight w:val="none"/>
        </w:rPr>
        <w:t>设计</w:t>
      </w:r>
      <w:r>
        <w:rPr>
          <w:color w:val="auto"/>
          <w:szCs w:val="21"/>
          <w:highlight w:val="none"/>
        </w:rPr>
        <w:t>施工</w:t>
      </w:r>
      <w:r>
        <w:rPr>
          <w:rFonts w:hint="eastAsia"/>
          <w:color w:val="auto"/>
          <w:szCs w:val="21"/>
          <w:highlight w:val="none"/>
        </w:rPr>
        <w:t>总承包</w:t>
      </w:r>
      <w:r>
        <w:rPr>
          <w:color w:val="auto"/>
          <w:szCs w:val="21"/>
          <w:highlight w:val="none"/>
        </w:rPr>
        <w:t>投标。现就联合体投标事宜订立如下协议。</w:t>
      </w:r>
    </w:p>
    <w:p>
      <w:pPr>
        <w:topLinePunct/>
        <w:spacing w:line="440" w:lineRule="exact"/>
        <w:ind w:firstLine="420" w:firstLineChars="200"/>
        <w:rPr>
          <w:color w:val="auto"/>
          <w:szCs w:val="21"/>
          <w:highlight w:val="none"/>
        </w:rPr>
      </w:pPr>
      <w:r>
        <w:rPr>
          <w:color w:val="auto"/>
          <w:szCs w:val="21"/>
          <w:highlight w:val="none"/>
        </w:rPr>
        <w:t>1</w:t>
      </w:r>
      <w:r>
        <w:rPr>
          <w:rFonts w:hint="eastAsia"/>
          <w:color w:val="auto"/>
          <w:szCs w:val="21"/>
          <w:highlight w:val="none"/>
        </w:rPr>
        <w:t>、</w:t>
      </w:r>
      <w:r>
        <w:rPr>
          <w:color w:val="auto"/>
          <w:szCs w:val="21"/>
          <w:highlight w:val="none"/>
          <w:u w:val="single"/>
        </w:rPr>
        <w:t xml:space="preserve">       </w:t>
      </w:r>
      <w:r>
        <w:rPr>
          <w:color w:val="auto"/>
          <w:szCs w:val="21"/>
          <w:highlight w:val="none"/>
        </w:rPr>
        <w:t>（</w:t>
      </w:r>
      <w:r>
        <w:rPr>
          <w:rFonts w:hint="eastAsia"/>
          <w:color w:val="auto"/>
          <w:szCs w:val="21"/>
          <w:highlight w:val="none"/>
        </w:rPr>
        <w:t>设计方单位名称</w:t>
      </w:r>
      <w:r>
        <w:rPr>
          <w:color w:val="auto"/>
          <w:szCs w:val="21"/>
          <w:highlight w:val="none"/>
        </w:rPr>
        <w:t>）为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（联合体名称）</w:t>
      </w:r>
      <w:r>
        <w:rPr>
          <w:rFonts w:hint="eastAsia"/>
          <w:color w:val="auto"/>
          <w:szCs w:val="21"/>
          <w:highlight w:val="none"/>
          <w:lang w:val="en-US" w:eastAsia="zh-CN"/>
        </w:rPr>
        <w:t>主办方</w:t>
      </w:r>
      <w:r>
        <w:rPr>
          <w:color w:val="auto"/>
          <w:szCs w:val="21"/>
          <w:highlight w:val="none"/>
        </w:rPr>
        <w:t>。</w:t>
      </w:r>
    </w:p>
    <w:p>
      <w:pPr>
        <w:topLinePunct/>
        <w:spacing w:line="440" w:lineRule="exact"/>
        <w:ind w:firstLine="420" w:firstLineChars="200"/>
        <w:rPr>
          <w:color w:val="auto"/>
          <w:szCs w:val="21"/>
          <w:highlight w:val="none"/>
        </w:rPr>
      </w:pPr>
      <w:r>
        <w:rPr>
          <w:color w:val="auto"/>
          <w:szCs w:val="21"/>
          <w:highlight w:val="none"/>
        </w:rPr>
        <w:t>2、联合体</w:t>
      </w:r>
      <w:r>
        <w:rPr>
          <w:rFonts w:hint="eastAsia"/>
          <w:color w:val="auto"/>
          <w:szCs w:val="21"/>
          <w:highlight w:val="none"/>
          <w:lang w:val="en-US" w:eastAsia="zh-CN"/>
        </w:rPr>
        <w:t>主办方</w:t>
      </w:r>
      <w:r>
        <w:rPr>
          <w:rFonts w:hint="eastAsia"/>
          <w:color w:val="auto"/>
          <w:szCs w:val="21"/>
          <w:highlight w:val="none"/>
        </w:rPr>
        <w:t>合法代表联合体各成员负责本招标项目投标文件编制和合同谈判活动，并代表联合体提交和接收相关的资料、信息及指示，并处理与之有关的一切事务，</w:t>
      </w:r>
      <w:r>
        <w:rPr>
          <w:color w:val="auto"/>
          <w:szCs w:val="21"/>
          <w:highlight w:val="none"/>
        </w:rPr>
        <w:t>负责合同实施阶段的主办、组织和协调工作。</w:t>
      </w:r>
    </w:p>
    <w:p>
      <w:pPr>
        <w:topLinePunct/>
        <w:spacing w:line="440" w:lineRule="exact"/>
        <w:ind w:firstLine="420" w:firstLineChars="200"/>
        <w:rPr>
          <w:color w:val="auto"/>
          <w:szCs w:val="21"/>
          <w:highlight w:val="none"/>
        </w:rPr>
      </w:pPr>
      <w:r>
        <w:rPr>
          <w:color w:val="auto"/>
          <w:szCs w:val="21"/>
          <w:highlight w:val="none"/>
        </w:rPr>
        <w:t>3、联合体将严格按照招标文件的各项要求，递交投标文件，履行合同，并对外承担连带责任。</w:t>
      </w:r>
    </w:p>
    <w:p>
      <w:pPr>
        <w:topLinePunct/>
        <w:spacing w:line="440" w:lineRule="exact"/>
        <w:ind w:firstLine="420" w:firstLineChars="200"/>
        <w:rPr>
          <w:rFonts w:hint="eastAsia"/>
          <w:color w:val="auto"/>
          <w:szCs w:val="21"/>
          <w:highlight w:val="none"/>
        </w:rPr>
      </w:pPr>
      <w:r>
        <w:rPr>
          <w:color w:val="auto"/>
          <w:szCs w:val="21"/>
          <w:highlight w:val="none"/>
        </w:rPr>
        <w:t>4、联合体各成员单位内部的职责分工如下：</w:t>
      </w:r>
    </w:p>
    <w:p>
      <w:pPr>
        <w:topLinePunct/>
        <w:spacing w:line="440" w:lineRule="exact"/>
        <w:ind w:firstLine="420" w:firstLineChars="200"/>
        <w:rPr>
          <w:rFonts w:hint="eastAsia"/>
          <w:color w:val="auto"/>
          <w:szCs w:val="21"/>
          <w:highlight w:val="none"/>
        </w:rPr>
      </w:pPr>
      <w:r>
        <w:rPr>
          <w:rFonts w:hint="eastAsia"/>
          <w:color w:val="auto"/>
          <w:szCs w:val="21"/>
          <w:highlight w:val="none"/>
        </w:rPr>
        <w:t xml:space="preserve">① </w:t>
      </w:r>
      <w:r>
        <w:rPr>
          <w:rFonts w:hint="eastAsia"/>
          <w:color w:val="auto"/>
          <w:szCs w:val="21"/>
          <w:highlight w:val="none"/>
          <w:u w:val="single"/>
        </w:rPr>
        <w:t xml:space="preserve">               （设计方</w:t>
      </w:r>
      <w:r>
        <w:rPr>
          <w:color w:val="auto"/>
          <w:szCs w:val="21"/>
          <w:highlight w:val="none"/>
          <w:u w:val="single"/>
        </w:rPr>
        <w:t>单位名称</w:t>
      </w:r>
      <w:r>
        <w:rPr>
          <w:rFonts w:hint="eastAsia"/>
          <w:color w:val="auto"/>
          <w:szCs w:val="21"/>
          <w:highlight w:val="none"/>
          <w:u w:val="single"/>
        </w:rPr>
        <w:t>）：</w:t>
      </w:r>
      <w:r>
        <w:rPr>
          <w:rFonts w:hint="eastAsia"/>
          <w:color w:val="auto"/>
          <w:szCs w:val="21"/>
          <w:highlight w:val="none"/>
        </w:rPr>
        <w:t>主要负责本工程的设计、及主办和</w:t>
      </w:r>
      <w:r>
        <w:rPr>
          <w:color w:val="auto"/>
          <w:szCs w:val="21"/>
          <w:highlight w:val="none"/>
        </w:rPr>
        <w:t>组织协调工作</w:t>
      </w:r>
      <w:r>
        <w:rPr>
          <w:rFonts w:hint="eastAsia"/>
          <w:color w:val="auto"/>
          <w:szCs w:val="21"/>
          <w:highlight w:val="none"/>
        </w:rPr>
        <w:t>。</w:t>
      </w:r>
    </w:p>
    <w:p>
      <w:pPr>
        <w:topLinePunct/>
        <w:spacing w:line="440" w:lineRule="exact"/>
        <w:ind w:firstLine="420" w:firstLineChars="200"/>
        <w:rPr>
          <w:rFonts w:hint="eastAsia"/>
          <w:color w:val="auto"/>
          <w:szCs w:val="21"/>
          <w:highlight w:val="none"/>
        </w:rPr>
      </w:pPr>
      <w:r>
        <w:rPr>
          <w:rFonts w:hint="eastAsia"/>
          <w:color w:val="auto"/>
          <w:szCs w:val="21"/>
          <w:highlight w:val="none"/>
        </w:rPr>
        <w:t xml:space="preserve">② </w:t>
      </w:r>
      <w:r>
        <w:rPr>
          <w:rFonts w:hint="eastAsia"/>
          <w:color w:val="auto"/>
          <w:szCs w:val="21"/>
          <w:highlight w:val="none"/>
          <w:u w:val="single"/>
        </w:rPr>
        <w:t xml:space="preserve">               （施工方</w:t>
      </w:r>
      <w:r>
        <w:rPr>
          <w:color w:val="auto"/>
          <w:szCs w:val="21"/>
          <w:highlight w:val="none"/>
          <w:u w:val="single"/>
        </w:rPr>
        <w:t>单位名称</w:t>
      </w:r>
      <w:r>
        <w:rPr>
          <w:rFonts w:hint="eastAsia"/>
          <w:color w:val="auto"/>
          <w:szCs w:val="21"/>
          <w:highlight w:val="none"/>
          <w:u w:val="single"/>
        </w:rPr>
        <w:t>）：</w:t>
      </w:r>
      <w:r>
        <w:rPr>
          <w:rFonts w:hint="eastAsia"/>
          <w:color w:val="auto"/>
          <w:szCs w:val="21"/>
          <w:highlight w:val="none"/>
        </w:rPr>
        <w:t>主要负责本工程的施工。</w:t>
      </w:r>
    </w:p>
    <w:p>
      <w:pPr>
        <w:topLinePunct/>
        <w:spacing w:line="440" w:lineRule="exact"/>
        <w:ind w:right="-197" w:rightChars="-94" w:firstLine="420" w:firstLineChars="200"/>
        <w:rPr>
          <w:rFonts w:hint="eastAsia"/>
          <w:color w:val="auto"/>
          <w:szCs w:val="21"/>
          <w:highlight w:val="none"/>
        </w:rPr>
      </w:pPr>
      <w:r>
        <w:rPr>
          <w:rFonts w:hint="eastAsia"/>
          <w:color w:val="auto"/>
          <w:szCs w:val="21"/>
          <w:highlight w:val="none"/>
        </w:rPr>
        <w:t>③ 若我联合体单位成为中标单位，在工程实施过程中的收款的分工为：</w:t>
      </w:r>
      <w:r>
        <w:rPr>
          <w:rFonts w:hint="eastAsia"/>
          <w:color w:val="auto"/>
          <w:szCs w:val="21"/>
          <w:highlight w:val="none"/>
          <w:u w:val="single"/>
        </w:rPr>
        <w:t xml:space="preserve">              </w:t>
      </w:r>
      <w:r>
        <w:rPr>
          <w:rFonts w:hint="eastAsia"/>
          <w:color w:val="auto"/>
          <w:szCs w:val="21"/>
          <w:highlight w:val="none"/>
        </w:rPr>
        <w:t>。</w:t>
      </w:r>
    </w:p>
    <w:p>
      <w:pPr>
        <w:topLinePunct/>
        <w:spacing w:line="440" w:lineRule="exact"/>
        <w:ind w:firstLine="420" w:firstLineChars="200"/>
        <w:rPr>
          <w:color w:val="auto"/>
          <w:szCs w:val="21"/>
          <w:highlight w:val="none"/>
        </w:rPr>
      </w:pPr>
      <w:r>
        <w:rPr>
          <w:color w:val="auto"/>
          <w:szCs w:val="21"/>
          <w:highlight w:val="none"/>
        </w:rPr>
        <w:t xml:space="preserve">5、本协议书自签署之日起生效，合同履行完毕后自动失效。 </w:t>
      </w:r>
    </w:p>
    <w:p>
      <w:pPr>
        <w:topLinePunct/>
        <w:spacing w:line="440" w:lineRule="exact"/>
        <w:ind w:firstLine="420" w:firstLineChars="200"/>
        <w:rPr>
          <w:color w:val="auto"/>
          <w:szCs w:val="21"/>
          <w:highlight w:val="none"/>
        </w:rPr>
      </w:pPr>
      <w:r>
        <w:rPr>
          <w:color w:val="auto"/>
          <w:szCs w:val="21"/>
          <w:highlight w:val="none"/>
        </w:rPr>
        <w:t>6、本协议书一式</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份，联合体成员和招标人各执一份。</w:t>
      </w:r>
    </w:p>
    <w:p>
      <w:pPr>
        <w:topLinePunct/>
        <w:spacing w:line="440" w:lineRule="exact"/>
        <w:rPr>
          <w:color w:val="auto"/>
          <w:szCs w:val="21"/>
          <w:highlight w:val="none"/>
        </w:rPr>
      </w:pPr>
    </w:p>
    <w:p>
      <w:pPr>
        <w:topLinePunct/>
        <w:spacing w:line="440" w:lineRule="exact"/>
        <w:ind w:firstLine="420" w:firstLineChars="200"/>
        <w:rPr>
          <w:color w:val="auto"/>
          <w:szCs w:val="21"/>
          <w:highlight w:val="none"/>
        </w:rPr>
      </w:pPr>
      <w:r>
        <w:rPr>
          <w:rFonts w:hint="eastAsia"/>
          <w:color w:val="auto"/>
          <w:szCs w:val="21"/>
          <w:highlight w:val="none"/>
        </w:rPr>
        <w:t>注：本协议书由委托代理人签字的，应附法定代表人签字的授权委托书。</w:t>
      </w:r>
    </w:p>
    <w:p>
      <w:pPr>
        <w:topLinePunct/>
        <w:spacing w:line="440" w:lineRule="exact"/>
        <w:rPr>
          <w:color w:val="auto"/>
          <w:szCs w:val="21"/>
          <w:highlight w:val="none"/>
        </w:rPr>
      </w:pPr>
      <w:r>
        <w:rPr>
          <w:rFonts w:hint="eastAsia"/>
          <w:color w:val="auto"/>
          <w:szCs w:val="21"/>
          <w:highlight w:val="none"/>
          <w:lang w:val="en-US" w:eastAsia="zh-CN"/>
        </w:rPr>
        <w:t>主办方</w:t>
      </w:r>
      <w:r>
        <w:rPr>
          <w:color w:val="auto"/>
          <w:szCs w:val="21"/>
          <w:highlight w:val="none"/>
        </w:rPr>
        <w:t>名称：</w:t>
      </w:r>
      <w:r>
        <w:rPr>
          <w:color w:val="auto"/>
          <w:szCs w:val="21"/>
          <w:highlight w:val="none"/>
          <w:u w:val="single"/>
        </w:rPr>
        <w:t xml:space="preserve">                                 </w:t>
      </w:r>
      <w:r>
        <w:rPr>
          <w:color w:val="auto"/>
          <w:szCs w:val="21"/>
          <w:highlight w:val="none"/>
        </w:rPr>
        <w:t>（盖单位章）</w:t>
      </w:r>
    </w:p>
    <w:p>
      <w:pPr>
        <w:topLinePunct/>
        <w:spacing w:line="440" w:lineRule="exact"/>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color w:val="auto"/>
          <w:szCs w:val="21"/>
          <w:highlight w:val="none"/>
        </w:rPr>
        <w:t>（签字）</w:t>
      </w:r>
    </w:p>
    <w:p>
      <w:pPr>
        <w:topLinePunct/>
        <w:spacing w:line="440" w:lineRule="exact"/>
        <w:rPr>
          <w:color w:val="auto"/>
          <w:szCs w:val="21"/>
          <w:highlight w:val="none"/>
        </w:rPr>
      </w:pPr>
    </w:p>
    <w:p>
      <w:pPr>
        <w:topLinePunct/>
        <w:spacing w:line="440" w:lineRule="exact"/>
        <w:rPr>
          <w:color w:val="auto"/>
          <w:szCs w:val="21"/>
          <w:highlight w:val="none"/>
        </w:rPr>
      </w:pPr>
      <w:r>
        <w:rPr>
          <w:color w:val="auto"/>
          <w:szCs w:val="21"/>
          <w:highlight w:val="none"/>
        </w:rPr>
        <w:t>成员一名称：</w:t>
      </w:r>
      <w:r>
        <w:rPr>
          <w:color w:val="auto"/>
          <w:szCs w:val="21"/>
          <w:highlight w:val="none"/>
          <w:u w:val="single"/>
        </w:rPr>
        <w:t xml:space="preserve">                                 </w:t>
      </w:r>
      <w:r>
        <w:rPr>
          <w:color w:val="auto"/>
          <w:szCs w:val="21"/>
          <w:highlight w:val="none"/>
        </w:rPr>
        <w:t>（盖单位章）</w:t>
      </w:r>
    </w:p>
    <w:p>
      <w:pPr>
        <w:topLinePunct/>
        <w:spacing w:line="440" w:lineRule="exact"/>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color w:val="auto"/>
          <w:szCs w:val="21"/>
          <w:highlight w:val="none"/>
        </w:rPr>
        <w:t>（签字）</w:t>
      </w:r>
    </w:p>
    <w:p>
      <w:pPr>
        <w:pStyle w:val="2"/>
        <w:rPr>
          <w:rFonts w:hint="eastAsia"/>
          <w:color w:val="auto"/>
          <w:highlight w:val="none"/>
        </w:rPr>
      </w:pPr>
    </w:p>
    <w:p>
      <w:pPr>
        <w:spacing w:line="360" w:lineRule="auto"/>
        <w:ind w:firstLine="420" w:firstLineChars="200"/>
        <w:jc w:val="right"/>
        <w:rPr>
          <w:rFonts w:hint="eastAsia"/>
          <w:color w:val="auto"/>
          <w:highlight w:val="none"/>
        </w:rPr>
      </w:pPr>
      <w:r>
        <w:rPr>
          <w:color w:val="auto"/>
          <w:highlight w:val="none"/>
          <w:u w:val="single"/>
        </w:rPr>
        <w:t xml:space="preserve">        </w:t>
      </w:r>
      <w:r>
        <w:rPr>
          <w:color w:val="auto"/>
          <w:highlight w:val="none"/>
        </w:rPr>
        <w:t>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月</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日</w:t>
      </w:r>
    </w:p>
    <w:p>
      <w:pPr>
        <w:spacing w:line="360" w:lineRule="auto"/>
        <w:rPr>
          <w:rFonts w:hint="eastAsia" w:ascii="宋体" w:hAnsi="宋体" w:cs="宋体"/>
          <w:color w:val="auto"/>
          <w:highlight w:val="none"/>
        </w:rPr>
      </w:pPr>
    </w:p>
    <w:p>
      <w:pPr>
        <w:spacing w:line="360" w:lineRule="auto"/>
        <w:jc w:val="left"/>
        <w:rPr>
          <w:color w:val="auto"/>
          <w:sz w:val="36"/>
          <w:szCs w:val="36"/>
          <w:highlight w:val="none"/>
        </w:rPr>
      </w:pPr>
    </w:p>
    <w:p>
      <w:pPr>
        <w:spacing w:line="360" w:lineRule="auto"/>
        <w:jc w:val="left"/>
        <w:rPr>
          <w:color w:val="auto"/>
          <w:sz w:val="36"/>
          <w:szCs w:val="36"/>
          <w:highlight w:val="none"/>
        </w:rPr>
        <w:sectPr>
          <w:footerReference r:id="rId3" w:type="default"/>
          <w:pgSz w:w="11920" w:h="16840"/>
          <w:pgMar w:top="1418" w:right="1418" w:bottom="1418" w:left="1418" w:header="720" w:footer="720" w:gutter="0"/>
          <w:cols w:space="720" w:num="1"/>
        </w:sectPr>
      </w:pPr>
    </w:p>
    <w:p>
      <w:pPr>
        <w:jc w:val="left"/>
        <w:rPr>
          <w:rFonts w:ascii="宋体" w:hAnsi="宋体" w:cs="宋体"/>
          <w:b/>
          <w:bCs/>
          <w:color w:val="auto"/>
          <w:w w:val="95"/>
          <w:sz w:val="47"/>
          <w:highlight w:val="none"/>
        </w:rPr>
      </w:pPr>
      <w:r>
        <w:rPr>
          <w:rFonts w:hint="eastAsia" w:ascii="宋体" w:hAnsi="宋体" w:cs="宋体"/>
          <w:b/>
          <w:bCs/>
          <w:color w:val="auto"/>
          <w:sz w:val="36"/>
          <w:szCs w:val="36"/>
          <w:highlight w:val="none"/>
        </w:rPr>
        <w:t>附件</w:t>
      </w:r>
      <w:r>
        <w:rPr>
          <w:rFonts w:hint="eastAsia" w:ascii="宋体" w:hAnsi="宋体" w:cs="宋体"/>
          <w:b/>
          <w:bCs/>
          <w:color w:val="auto"/>
          <w:sz w:val="36"/>
          <w:szCs w:val="36"/>
          <w:highlight w:val="none"/>
          <w:lang w:val="en-US" w:eastAsia="zh-CN"/>
        </w:rPr>
        <w:t>1</w:t>
      </w:r>
      <w:r>
        <w:rPr>
          <w:rFonts w:ascii="宋体" w:hAnsi="宋体" w:cs="宋体"/>
          <w:b/>
          <w:bCs/>
          <w:color w:val="auto"/>
          <w:sz w:val="36"/>
          <w:szCs w:val="36"/>
          <w:highlight w:val="none"/>
        </w:rPr>
        <w:t xml:space="preserve">                     </w:t>
      </w:r>
      <w:r>
        <w:rPr>
          <w:rFonts w:hint="eastAsia" w:ascii="宋体" w:hAnsi="宋体" w:cs="宋体"/>
          <w:b/>
          <w:bCs/>
          <w:color w:val="auto"/>
          <w:w w:val="95"/>
          <w:sz w:val="47"/>
          <w:highlight w:val="none"/>
        </w:rPr>
        <w:t>投标登记申请表</w:t>
      </w:r>
    </w:p>
    <w:p>
      <w:pPr>
        <w:pStyle w:val="4"/>
        <w:kinsoku w:val="0"/>
        <w:overflowPunct w:val="0"/>
        <w:spacing w:before="158" w:after="56"/>
        <w:ind w:right="499"/>
        <w:jc w:val="right"/>
        <w:rPr>
          <w:color w:val="auto"/>
          <w:sz w:val="25"/>
          <w:highlight w:val="none"/>
        </w:rPr>
      </w:pPr>
      <w:r>
        <w:rPr>
          <w:color w:val="auto"/>
          <w:sz w:val="25"/>
          <w:highlight w:val="none"/>
        </w:rPr>
        <w:t xml:space="preserve"> </w:t>
      </w:r>
      <w:r>
        <w:rPr>
          <w:color w:val="auto"/>
          <w:spacing w:val="3"/>
          <w:sz w:val="25"/>
          <w:highlight w:val="none"/>
        </w:rPr>
        <w:t xml:space="preserve"> </w:t>
      </w:r>
      <w:r>
        <w:rPr>
          <w:color w:val="auto"/>
          <w:sz w:val="25"/>
          <w:highlight w:val="none"/>
        </w:rPr>
        <w:t xml:space="preserve"> </w:t>
      </w:r>
      <w:r>
        <w:rPr>
          <w:color w:val="auto"/>
          <w:spacing w:val="1"/>
          <w:sz w:val="25"/>
          <w:highlight w:val="none"/>
        </w:rPr>
        <w:t xml:space="preserve"> </w:t>
      </w:r>
      <w:r>
        <w:rPr>
          <w:color w:val="auto"/>
          <w:sz w:val="25"/>
          <w:highlight w:val="none"/>
        </w:rPr>
        <w:t xml:space="preserve"> </w:t>
      </w:r>
      <w:r>
        <w:rPr>
          <w:color w:val="auto"/>
          <w:spacing w:val="3"/>
          <w:sz w:val="25"/>
          <w:highlight w:val="none"/>
        </w:rPr>
        <w:t xml:space="preserve"> </w:t>
      </w:r>
      <w:r>
        <w:rPr>
          <w:color w:val="auto"/>
          <w:sz w:val="25"/>
          <w:highlight w:val="none"/>
        </w:rPr>
        <w:t xml:space="preserve"> </w:t>
      </w:r>
      <w:r>
        <w:rPr>
          <w:color w:val="auto"/>
          <w:spacing w:val="1"/>
          <w:sz w:val="25"/>
          <w:highlight w:val="none"/>
        </w:rPr>
        <w:t xml:space="preserve"> </w:t>
      </w:r>
      <w:r>
        <w:rPr>
          <w:color w:val="auto"/>
          <w:sz w:val="25"/>
          <w:highlight w:val="none"/>
        </w:rPr>
        <w:t xml:space="preserve"> </w:t>
      </w:r>
      <w:r>
        <w:rPr>
          <w:color w:val="auto"/>
          <w:spacing w:val="3"/>
          <w:sz w:val="25"/>
          <w:highlight w:val="none"/>
        </w:rPr>
        <w:t xml:space="preserve"> </w:t>
      </w:r>
      <w:r>
        <w:rPr>
          <w:color w:val="auto"/>
          <w:sz w:val="25"/>
          <w:highlight w:val="none"/>
        </w:rPr>
        <w:t xml:space="preserve"> 年     月     日</w:t>
      </w:r>
    </w:p>
    <w:tbl>
      <w:tblPr>
        <w:tblStyle w:val="5"/>
        <w:tblW w:w="0" w:type="auto"/>
        <w:tblInd w:w="222" w:type="dxa"/>
        <w:tblLayout w:type="fixed"/>
        <w:tblCellMar>
          <w:top w:w="0" w:type="dxa"/>
          <w:left w:w="108" w:type="dxa"/>
          <w:bottom w:w="0" w:type="dxa"/>
          <w:right w:w="108" w:type="dxa"/>
        </w:tblCellMar>
      </w:tblPr>
      <w:tblGrid>
        <w:gridCol w:w="2643"/>
        <w:gridCol w:w="3967"/>
        <w:gridCol w:w="1577"/>
        <w:gridCol w:w="1589"/>
        <w:gridCol w:w="1777"/>
        <w:gridCol w:w="2745"/>
      </w:tblGrid>
      <w:tr>
        <w:tblPrEx>
          <w:tblCellMar>
            <w:top w:w="0" w:type="dxa"/>
            <w:left w:w="108" w:type="dxa"/>
            <w:bottom w:w="0" w:type="dxa"/>
            <w:right w:w="108" w:type="dxa"/>
          </w:tblCellMar>
        </w:tblPrEx>
        <w:trPr>
          <w:trHeight w:val="489" w:hRule="atLeast"/>
        </w:trPr>
        <w:tc>
          <w:tcPr>
            <w:tcW w:w="2643" w:type="dxa"/>
            <w:tcBorders>
              <w:top w:val="single" w:color="000000" w:sz="8" w:space="0"/>
              <w:left w:val="single" w:color="000000" w:sz="8" w:space="0"/>
              <w:bottom w:val="single" w:color="000000" w:sz="8" w:space="0"/>
              <w:right w:val="single" w:color="000000" w:sz="8" w:space="0"/>
            </w:tcBorders>
            <w:noWrap w:val="0"/>
            <w:vAlign w:val="top"/>
          </w:tcPr>
          <w:p>
            <w:pPr>
              <w:pStyle w:val="8"/>
              <w:kinsoku w:val="0"/>
              <w:overflowPunct w:val="0"/>
              <w:spacing w:before="4"/>
              <w:rPr>
                <w:color w:val="auto"/>
                <w:sz w:val="19"/>
                <w:highlight w:val="none"/>
              </w:rPr>
            </w:pPr>
          </w:p>
          <w:p>
            <w:pPr>
              <w:pStyle w:val="8"/>
              <w:kinsoku w:val="0"/>
              <w:overflowPunct w:val="0"/>
              <w:ind w:left="89" w:right="56"/>
              <w:jc w:val="center"/>
              <w:rPr>
                <w:color w:val="auto"/>
                <w:sz w:val="25"/>
                <w:highlight w:val="none"/>
              </w:rPr>
            </w:pPr>
            <w:r>
              <w:rPr>
                <w:color w:val="auto"/>
                <w:sz w:val="25"/>
                <w:highlight w:val="none"/>
              </w:rPr>
              <w:t>项目名称</w:t>
            </w:r>
          </w:p>
        </w:tc>
        <w:tc>
          <w:tcPr>
            <w:tcW w:w="7133" w:type="dxa"/>
            <w:gridSpan w:val="3"/>
            <w:tcBorders>
              <w:top w:val="single" w:color="000000" w:sz="8" w:space="0"/>
              <w:left w:val="single" w:color="000000" w:sz="8" w:space="0"/>
              <w:bottom w:val="single" w:color="000000" w:sz="8" w:space="0"/>
              <w:right w:val="single" w:color="000000" w:sz="8" w:space="0"/>
            </w:tcBorders>
            <w:noWrap w:val="0"/>
            <w:vAlign w:val="top"/>
          </w:tcPr>
          <w:p>
            <w:pPr>
              <w:pStyle w:val="8"/>
              <w:kinsoku w:val="0"/>
              <w:overflowPunct w:val="0"/>
              <w:rPr>
                <w:color w:val="auto"/>
                <w:highlight w:val="none"/>
              </w:rPr>
            </w:pPr>
          </w:p>
        </w:tc>
        <w:tc>
          <w:tcPr>
            <w:tcW w:w="1777" w:type="dxa"/>
            <w:tcBorders>
              <w:top w:val="single" w:color="000000" w:sz="8" w:space="0"/>
              <w:left w:val="single" w:color="000000" w:sz="8" w:space="0"/>
              <w:bottom w:val="single" w:color="000000" w:sz="8" w:space="0"/>
              <w:right w:val="single" w:color="000000" w:sz="8" w:space="0"/>
            </w:tcBorders>
            <w:noWrap w:val="0"/>
            <w:vAlign w:val="top"/>
          </w:tcPr>
          <w:p>
            <w:pPr>
              <w:pStyle w:val="8"/>
              <w:kinsoku w:val="0"/>
              <w:overflowPunct w:val="0"/>
              <w:spacing w:before="95" w:line="312" w:lineRule="exact"/>
              <w:ind w:left="411"/>
              <w:rPr>
                <w:color w:val="auto"/>
                <w:sz w:val="25"/>
                <w:highlight w:val="none"/>
              </w:rPr>
            </w:pPr>
            <w:r>
              <w:rPr>
                <w:color w:val="auto"/>
                <w:sz w:val="25"/>
                <w:highlight w:val="none"/>
              </w:rPr>
              <w:t>项目编号</w:t>
            </w:r>
          </w:p>
          <w:p>
            <w:pPr>
              <w:pStyle w:val="8"/>
              <w:kinsoku w:val="0"/>
              <w:overflowPunct w:val="0"/>
              <w:spacing w:line="312" w:lineRule="exact"/>
              <w:ind w:left="473"/>
              <w:rPr>
                <w:color w:val="auto"/>
                <w:sz w:val="25"/>
                <w:highlight w:val="none"/>
              </w:rPr>
            </w:pPr>
            <w:r>
              <w:rPr>
                <w:color w:val="auto"/>
                <w:sz w:val="25"/>
                <w:highlight w:val="none"/>
              </w:rPr>
              <w:t>/标段号</w:t>
            </w:r>
          </w:p>
        </w:tc>
        <w:tc>
          <w:tcPr>
            <w:tcW w:w="2745" w:type="dxa"/>
            <w:tcBorders>
              <w:top w:val="single" w:color="000000" w:sz="8" w:space="0"/>
              <w:left w:val="single" w:color="000000" w:sz="8" w:space="0"/>
              <w:bottom w:val="single" w:color="000000" w:sz="8" w:space="0"/>
              <w:right w:val="single" w:color="000000" w:sz="8" w:space="0"/>
            </w:tcBorders>
            <w:noWrap w:val="0"/>
            <w:vAlign w:val="top"/>
          </w:tcPr>
          <w:p>
            <w:pPr>
              <w:pStyle w:val="8"/>
              <w:kinsoku w:val="0"/>
              <w:overflowPunct w:val="0"/>
              <w:rPr>
                <w:color w:val="auto"/>
                <w:highlight w:val="none"/>
              </w:rPr>
            </w:pPr>
          </w:p>
        </w:tc>
      </w:tr>
      <w:tr>
        <w:tblPrEx>
          <w:tblCellMar>
            <w:top w:w="0" w:type="dxa"/>
            <w:left w:w="108" w:type="dxa"/>
            <w:bottom w:w="0" w:type="dxa"/>
            <w:right w:w="108" w:type="dxa"/>
          </w:tblCellMar>
        </w:tblPrEx>
        <w:trPr>
          <w:trHeight w:val="426" w:hRule="atLeast"/>
        </w:trPr>
        <w:tc>
          <w:tcPr>
            <w:tcW w:w="2643" w:type="dxa"/>
            <w:tcBorders>
              <w:top w:val="single" w:color="000000" w:sz="8" w:space="0"/>
              <w:left w:val="single" w:color="000000" w:sz="8" w:space="0"/>
              <w:bottom w:val="single" w:color="000000" w:sz="8" w:space="0"/>
              <w:right w:val="single" w:color="000000" w:sz="8" w:space="0"/>
            </w:tcBorders>
            <w:noWrap w:val="0"/>
            <w:vAlign w:val="top"/>
          </w:tcPr>
          <w:p>
            <w:pPr>
              <w:pStyle w:val="8"/>
              <w:kinsoku w:val="0"/>
              <w:overflowPunct w:val="0"/>
              <w:spacing w:before="102" w:line="312" w:lineRule="exact"/>
              <w:ind w:left="89" w:right="56"/>
              <w:jc w:val="center"/>
              <w:rPr>
                <w:color w:val="auto"/>
                <w:sz w:val="25"/>
                <w:highlight w:val="none"/>
              </w:rPr>
            </w:pPr>
            <w:r>
              <w:rPr>
                <w:color w:val="auto"/>
                <w:sz w:val="25"/>
                <w:highlight w:val="none"/>
              </w:rPr>
              <w:t>投标人名称</w:t>
            </w:r>
          </w:p>
          <w:p>
            <w:pPr>
              <w:pStyle w:val="8"/>
              <w:kinsoku w:val="0"/>
              <w:overflowPunct w:val="0"/>
              <w:spacing w:line="312" w:lineRule="exact"/>
              <w:ind w:left="89" w:right="58"/>
              <w:jc w:val="center"/>
              <w:rPr>
                <w:color w:val="auto"/>
                <w:sz w:val="25"/>
                <w:highlight w:val="none"/>
              </w:rPr>
            </w:pPr>
            <w:r>
              <w:rPr>
                <w:color w:val="auto"/>
                <w:sz w:val="25"/>
                <w:highlight w:val="none"/>
              </w:rPr>
              <w:t>（企业编号）</w:t>
            </w:r>
          </w:p>
        </w:tc>
        <w:tc>
          <w:tcPr>
            <w:tcW w:w="3967" w:type="dxa"/>
            <w:tcBorders>
              <w:top w:val="single" w:color="000000" w:sz="8" w:space="0"/>
              <w:left w:val="single" w:color="000000" w:sz="8" w:space="0"/>
              <w:bottom w:val="single" w:color="000000" w:sz="8" w:space="0"/>
              <w:right w:val="single" w:color="000000" w:sz="8" w:space="0"/>
            </w:tcBorders>
            <w:noWrap w:val="0"/>
            <w:vAlign w:val="top"/>
          </w:tcPr>
          <w:p>
            <w:pPr>
              <w:pStyle w:val="8"/>
              <w:kinsoku w:val="0"/>
              <w:overflowPunct w:val="0"/>
              <w:rPr>
                <w:color w:val="auto"/>
                <w:highlight w:val="none"/>
              </w:rPr>
            </w:pPr>
          </w:p>
        </w:tc>
        <w:tc>
          <w:tcPr>
            <w:tcW w:w="1577" w:type="dxa"/>
            <w:tcBorders>
              <w:top w:val="single" w:color="000000" w:sz="8" w:space="0"/>
              <w:left w:val="single" w:color="000000" w:sz="8" w:space="0"/>
              <w:bottom w:val="single" w:color="000000" w:sz="8" w:space="0"/>
              <w:right w:val="single" w:color="000000" w:sz="8" w:space="0"/>
            </w:tcBorders>
            <w:noWrap w:val="0"/>
            <w:vAlign w:val="top"/>
          </w:tcPr>
          <w:p>
            <w:pPr>
              <w:pStyle w:val="8"/>
              <w:kinsoku w:val="0"/>
              <w:overflowPunct w:val="0"/>
              <w:spacing w:before="10"/>
              <w:rPr>
                <w:color w:val="auto"/>
                <w:sz w:val="19"/>
                <w:highlight w:val="none"/>
              </w:rPr>
            </w:pPr>
          </w:p>
          <w:p>
            <w:pPr>
              <w:pStyle w:val="8"/>
              <w:kinsoku w:val="0"/>
              <w:overflowPunct w:val="0"/>
              <w:ind w:left="289"/>
              <w:rPr>
                <w:color w:val="auto"/>
                <w:sz w:val="25"/>
                <w:highlight w:val="none"/>
              </w:rPr>
            </w:pPr>
            <w:r>
              <w:rPr>
                <w:color w:val="auto"/>
                <w:sz w:val="25"/>
                <w:highlight w:val="none"/>
              </w:rPr>
              <w:t>被授权人</w:t>
            </w:r>
          </w:p>
        </w:tc>
        <w:tc>
          <w:tcPr>
            <w:tcW w:w="1589" w:type="dxa"/>
            <w:tcBorders>
              <w:top w:val="single" w:color="000000" w:sz="8" w:space="0"/>
              <w:left w:val="single" w:color="000000" w:sz="8" w:space="0"/>
              <w:bottom w:val="single" w:color="000000" w:sz="8" w:space="0"/>
              <w:right w:val="single" w:color="000000" w:sz="8" w:space="0"/>
            </w:tcBorders>
            <w:noWrap w:val="0"/>
            <w:vAlign w:val="top"/>
          </w:tcPr>
          <w:p>
            <w:pPr>
              <w:pStyle w:val="8"/>
              <w:kinsoku w:val="0"/>
              <w:overflowPunct w:val="0"/>
              <w:rPr>
                <w:color w:val="auto"/>
                <w:highlight w:val="none"/>
              </w:rPr>
            </w:pPr>
          </w:p>
        </w:tc>
        <w:tc>
          <w:tcPr>
            <w:tcW w:w="1777" w:type="dxa"/>
            <w:tcBorders>
              <w:top w:val="single" w:color="000000" w:sz="8" w:space="0"/>
              <w:left w:val="single" w:color="000000" w:sz="8" w:space="0"/>
              <w:bottom w:val="single" w:color="000000" w:sz="8" w:space="0"/>
              <w:right w:val="single" w:color="000000" w:sz="8" w:space="0"/>
            </w:tcBorders>
            <w:noWrap w:val="0"/>
            <w:vAlign w:val="top"/>
          </w:tcPr>
          <w:p>
            <w:pPr>
              <w:pStyle w:val="8"/>
              <w:kinsoku w:val="0"/>
              <w:overflowPunct w:val="0"/>
              <w:spacing w:before="10"/>
              <w:rPr>
                <w:color w:val="auto"/>
                <w:sz w:val="19"/>
                <w:highlight w:val="none"/>
              </w:rPr>
            </w:pPr>
          </w:p>
          <w:p>
            <w:pPr>
              <w:pStyle w:val="8"/>
              <w:kinsoku w:val="0"/>
              <w:overflowPunct w:val="0"/>
              <w:ind w:left="413"/>
              <w:rPr>
                <w:color w:val="auto"/>
                <w:sz w:val="25"/>
                <w:highlight w:val="none"/>
              </w:rPr>
            </w:pPr>
            <w:r>
              <w:rPr>
                <w:color w:val="auto"/>
                <w:sz w:val="25"/>
                <w:highlight w:val="none"/>
              </w:rPr>
              <w:t>联系电话</w:t>
            </w:r>
          </w:p>
        </w:tc>
        <w:tc>
          <w:tcPr>
            <w:tcW w:w="2745" w:type="dxa"/>
            <w:tcBorders>
              <w:top w:val="single" w:color="000000" w:sz="8" w:space="0"/>
              <w:left w:val="single" w:color="000000" w:sz="8" w:space="0"/>
              <w:bottom w:val="single" w:color="000000" w:sz="8" w:space="0"/>
              <w:right w:val="single" w:color="000000" w:sz="8" w:space="0"/>
            </w:tcBorders>
            <w:noWrap w:val="0"/>
            <w:vAlign w:val="top"/>
          </w:tcPr>
          <w:p>
            <w:pPr>
              <w:pStyle w:val="8"/>
              <w:kinsoku w:val="0"/>
              <w:overflowPunct w:val="0"/>
              <w:rPr>
                <w:color w:val="auto"/>
                <w:highlight w:val="none"/>
              </w:rPr>
            </w:pPr>
          </w:p>
        </w:tc>
      </w:tr>
      <w:tr>
        <w:tblPrEx>
          <w:tblCellMar>
            <w:top w:w="0" w:type="dxa"/>
            <w:left w:w="108" w:type="dxa"/>
            <w:bottom w:w="0" w:type="dxa"/>
            <w:right w:w="108" w:type="dxa"/>
          </w:tblCellMar>
        </w:tblPrEx>
        <w:trPr>
          <w:trHeight w:val="516" w:hRule="atLeast"/>
        </w:trPr>
        <w:tc>
          <w:tcPr>
            <w:tcW w:w="2643" w:type="dxa"/>
            <w:tcBorders>
              <w:top w:val="single" w:color="000000" w:sz="8" w:space="0"/>
              <w:left w:val="single" w:color="000000" w:sz="8" w:space="0"/>
              <w:bottom w:val="single" w:color="000000" w:sz="8" w:space="0"/>
              <w:right w:val="single" w:color="000000" w:sz="8" w:space="0"/>
            </w:tcBorders>
            <w:noWrap w:val="0"/>
            <w:vAlign w:val="top"/>
          </w:tcPr>
          <w:p>
            <w:pPr>
              <w:pStyle w:val="8"/>
              <w:kinsoku w:val="0"/>
              <w:overflowPunct w:val="0"/>
              <w:spacing w:before="102" w:line="311" w:lineRule="exact"/>
              <w:ind w:left="89" w:right="56"/>
              <w:jc w:val="center"/>
              <w:rPr>
                <w:color w:val="auto"/>
                <w:sz w:val="25"/>
                <w:highlight w:val="none"/>
              </w:rPr>
            </w:pPr>
            <w:r>
              <w:rPr>
                <w:color w:val="auto"/>
                <w:sz w:val="25"/>
                <w:highlight w:val="none"/>
              </w:rPr>
              <w:t>项目负责人</w:t>
            </w:r>
          </w:p>
          <w:p>
            <w:pPr>
              <w:pStyle w:val="8"/>
              <w:kinsoku w:val="0"/>
              <w:overflowPunct w:val="0"/>
              <w:spacing w:line="311" w:lineRule="exact"/>
              <w:ind w:left="89" w:right="61"/>
              <w:jc w:val="center"/>
              <w:rPr>
                <w:color w:val="auto"/>
                <w:sz w:val="25"/>
                <w:highlight w:val="none"/>
              </w:rPr>
            </w:pPr>
            <w:r>
              <w:rPr>
                <w:color w:val="auto"/>
                <w:sz w:val="25"/>
                <w:highlight w:val="none"/>
              </w:rPr>
              <w:t>（经理/总监/其他）</w:t>
            </w:r>
          </w:p>
        </w:tc>
        <w:tc>
          <w:tcPr>
            <w:tcW w:w="3967" w:type="dxa"/>
            <w:tcBorders>
              <w:top w:val="single" w:color="000000" w:sz="8" w:space="0"/>
              <w:left w:val="single" w:color="000000" w:sz="8" w:space="0"/>
              <w:bottom w:val="single" w:color="000000" w:sz="8" w:space="0"/>
              <w:right w:val="single" w:color="000000" w:sz="8" w:space="0"/>
            </w:tcBorders>
            <w:noWrap w:val="0"/>
            <w:vAlign w:val="top"/>
          </w:tcPr>
          <w:p>
            <w:pPr>
              <w:pStyle w:val="8"/>
              <w:kinsoku w:val="0"/>
              <w:overflowPunct w:val="0"/>
              <w:rPr>
                <w:color w:val="auto"/>
                <w:highlight w:val="none"/>
              </w:rPr>
            </w:pPr>
          </w:p>
        </w:tc>
        <w:tc>
          <w:tcPr>
            <w:tcW w:w="3166" w:type="dxa"/>
            <w:gridSpan w:val="2"/>
            <w:tcBorders>
              <w:top w:val="single" w:color="000000" w:sz="8" w:space="0"/>
              <w:left w:val="single" w:color="000000" w:sz="8" w:space="0"/>
              <w:bottom w:val="single" w:color="000000" w:sz="8" w:space="0"/>
              <w:right w:val="single" w:color="000000" w:sz="8" w:space="0"/>
            </w:tcBorders>
            <w:noWrap w:val="0"/>
            <w:vAlign w:val="top"/>
          </w:tcPr>
          <w:p>
            <w:pPr>
              <w:pStyle w:val="8"/>
              <w:kinsoku w:val="0"/>
              <w:overflowPunct w:val="0"/>
              <w:spacing w:before="9"/>
              <w:rPr>
                <w:color w:val="auto"/>
                <w:sz w:val="19"/>
                <w:highlight w:val="none"/>
              </w:rPr>
            </w:pPr>
          </w:p>
          <w:p>
            <w:pPr>
              <w:pStyle w:val="8"/>
              <w:kinsoku w:val="0"/>
              <w:overflowPunct w:val="0"/>
              <w:spacing w:before="1"/>
              <w:ind w:left="450"/>
              <w:rPr>
                <w:color w:val="auto"/>
                <w:sz w:val="25"/>
                <w:highlight w:val="none"/>
              </w:rPr>
            </w:pPr>
            <w:r>
              <w:rPr>
                <w:color w:val="auto"/>
                <w:sz w:val="25"/>
                <w:highlight w:val="none"/>
              </w:rPr>
              <w:t>项目负责人资质证号</w:t>
            </w:r>
          </w:p>
        </w:tc>
        <w:tc>
          <w:tcPr>
            <w:tcW w:w="4522" w:type="dxa"/>
            <w:gridSpan w:val="2"/>
            <w:tcBorders>
              <w:top w:val="single" w:color="000000" w:sz="8" w:space="0"/>
              <w:left w:val="single" w:color="000000" w:sz="8" w:space="0"/>
              <w:bottom w:val="single" w:color="000000" w:sz="8" w:space="0"/>
              <w:right w:val="single" w:color="000000" w:sz="8" w:space="0"/>
            </w:tcBorders>
            <w:noWrap w:val="0"/>
            <w:vAlign w:val="top"/>
          </w:tcPr>
          <w:p>
            <w:pPr>
              <w:pStyle w:val="8"/>
              <w:kinsoku w:val="0"/>
              <w:overflowPunct w:val="0"/>
              <w:rPr>
                <w:color w:val="auto"/>
                <w:highlight w:val="none"/>
              </w:rPr>
            </w:pPr>
          </w:p>
        </w:tc>
      </w:tr>
      <w:tr>
        <w:tblPrEx>
          <w:tblCellMar>
            <w:top w:w="0" w:type="dxa"/>
            <w:left w:w="108" w:type="dxa"/>
            <w:bottom w:w="0" w:type="dxa"/>
            <w:right w:w="108" w:type="dxa"/>
          </w:tblCellMar>
        </w:tblPrEx>
        <w:trPr>
          <w:trHeight w:val="791" w:hRule="atLeast"/>
        </w:trPr>
        <w:tc>
          <w:tcPr>
            <w:tcW w:w="2643" w:type="dxa"/>
            <w:tcBorders>
              <w:top w:val="single" w:color="000000" w:sz="8" w:space="0"/>
              <w:left w:val="single" w:color="000000" w:sz="8" w:space="0"/>
              <w:bottom w:val="single" w:color="000000" w:sz="8" w:space="0"/>
              <w:right w:val="single" w:color="000000" w:sz="8" w:space="0"/>
            </w:tcBorders>
            <w:noWrap w:val="0"/>
            <w:vAlign w:val="top"/>
          </w:tcPr>
          <w:p>
            <w:pPr>
              <w:pStyle w:val="8"/>
              <w:kinsoku w:val="0"/>
              <w:overflowPunct w:val="0"/>
              <w:spacing w:before="9"/>
              <w:rPr>
                <w:color w:val="auto"/>
                <w:sz w:val="19"/>
                <w:highlight w:val="none"/>
              </w:rPr>
            </w:pPr>
          </w:p>
          <w:p>
            <w:pPr>
              <w:pStyle w:val="8"/>
              <w:kinsoku w:val="0"/>
              <w:overflowPunct w:val="0"/>
              <w:ind w:left="89" w:right="58"/>
              <w:jc w:val="center"/>
              <w:rPr>
                <w:color w:val="auto"/>
                <w:sz w:val="25"/>
                <w:highlight w:val="none"/>
              </w:rPr>
            </w:pPr>
            <w:r>
              <w:rPr>
                <w:color w:val="auto"/>
                <w:sz w:val="25"/>
                <w:highlight w:val="none"/>
              </w:rPr>
              <w:t>安全员</w:t>
            </w:r>
          </w:p>
        </w:tc>
        <w:tc>
          <w:tcPr>
            <w:tcW w:w="3967" w:type="dxa"/>
            <w:tcBorders>
              <w:top w:val="single" w:color="000000" w:sz="8" w:space="0"/>
              <w:left w:val="single" w:color="000000" w:sz="8" w:space="0"/>
              <w:bottom w:val="single" w:color="000000" w:sz="8" w:space="0"/>
              <w:right w:val="single" w:color="000000" w:sz="8" w:space="0"/>
            </w:tcBorders>
            <w:noWrap w:val="0"/>
            <w:vAlign w:val="top"/>
          </w:tcPr>
          <w:p>
            <w:pPr>
              <w:pStyle w:val="8"/>
              <w:kinsoku w:val="0"/>
              <w:overflowPunct w:val="0"/>
              <w:rPr>
                <w:color w:val="auto"/>
                <w:highlight w:val="none"/>
              </w:rPr>
            </w:pPr>
          </w:p>
        </w:tc>
        <w:tc>
          <w:tcPr>
            <w:tcW w:w="3166" w:type="dxa"/>
            <w:gridSpan w:val="2"/>
            <w:tcBorders>
              <w:top w:val="single" w:color="000000" w:sz="8" w:space="0"/>
              <w:left w:val="single" w:color="000000" w:sz="8" w:space="0"/>
              <w:bottom w:val="single" w:color="000000" w:sz="8" w:space="0"/>
              <w:right w:val="single" w:color="000000" w:sz="8" w:space="0"/>
            </w:tcBorders>
            <w:noWrap w:val="0"/>
            <w:vAlign w:val="top"/>
          </w:tcPr>
          <w:p>
            <w:pPr>
              <w:pStyle w:val="8"/>
              <w:kinsoku w:val="0"/>
              <w:overflowPunct w:val="0"/>
              <w:spacing w:before="9"/>
              <w:rPr>
                <w:color w:val="auto"/>
                <w:sz w:val="19"/>
                <w:highlight w:val="none"/>
              </w:rPr>
            </w:pPr>
          </w:p>
          <w:p>
            <w:pPr>
              <w:pStyle w:val="8"/>
              <w:kinsoku w:val="0"/>
              <w:overflowPunct w:val="0"/>
              <w:ind w:left="450"/>
              <w:rPr>
                <w:color w:val="auto"/>
                <w:sz w:val="25"/>
                <w:highlight w:val="none"/>
              </w:rPr>
            </w:pPr>
            <w:r>
              <w:rPr>
                <w:color w:val="auto"/>
                <w:sz w:val="25"/>
                <w:highlight w:val="none"/>
              </w:rPr>
              <w:t>安全员安全考核证号</w:t>
            </w:r>
          </w:p>
        </w:tc>
        <w:tc>
          <w:tcPr>
            <w:tcW w:w="4522" w:type="dxa"/>
            <w:gridSpan w:val="2"/>
            <w:tcBorders>
              <w:top w:val="single" w:color="000000" w:sz="8" w:space="0"/>
              <w:left w:val="single" w:color="000000" w:sz="8" w:space="0"/>
              <w:bottom w:val="single" w:color="000000" w:sz="8" w:space="0"/>
              <w:right w:val="single" w:color="000000" w:sz="8" w:space="0"/>
            </w:tcBorders>
            <w:noWrap w:val="0"/>
            <w:vAlign w:val="top"/>
          </w:tcPr>
          <w:p>
            <w:pPr>
              <w:pStyle w:val="8"/>
              <w:kinsoku w:val="0"/>
              <w:overflowPunct w:val="0"/>
              <w:rPr>
                <w:color w:val="auto"/>
                <w:highlight w:val="none"/>
              </w:rPr>
            </w:pPr>
          </w:p>
        </w:tc>
      </w:tr>
      <w:tr>
        <w:tblPrEx>
          <w:tblCellMar>
            <w:top w:w="0" w:type="dxa"/>
            <w:left w:w="108" w:type="dxa"/>
            <w:bottom w:w="0" w:type="dxa"/>
            <w:right w:w="108" w:type="dxa"/>
          </w:tblCellMar>
        </w:tblPrEx>
        <w:trPr>
          <w:trHeight w:val="642" w:hRule="atLeast"/>
        </w:trPr>
        <w:tc>
          <w:tcPr>
            <w:tcW w:w="2643" w:type="dxa"/>
            <w:tcBorders>
              <w:top w:val="single" w:color="000000" w:sz="8" w:space="0"/>
              <w:left w:val="single" w:color="000000" w:sz="8" w:space="0"/>
              <w:bottom w:val="single" w:color="000000" w:sz="8" w:space="0"/>
              <w:right w:val="single" w:color="000000" w:sz="8" w:space="0"/>
            </w:tcBorders>
            <w:noWrap w:val="0"/>
            <w:vAlign w:val="top"/>
          </w:tcPr>
          <w:p>
            <w:pPr>
              <w:pStyle w:val="8"/>
              <w:kinsoku w:val="0"/>
              <w:overflowPunct w:val="0"/>
              <w:spacing w:before="179"/>
              <w:ind w:left="89" w:right="58"/>
              <w:jc w:val="center"/>
              <w:rPr>
                <w:color w:val="auto"/>
                <w:sz w:val="25"/>
                <w:highlight w:val="none"/>
              </w:rPr>
            </w:pPr>
            <w:r>
              <w:rPr>
                <w:color w:val="auto"/>
                <w:sz w:val="25"/>
                <w:highlight w:val="none"/>
              </w:rPr>
              <w:t>保证书</w:t>
            </w:r>
          </w:p>
        </w:tc>
        <w:tc>
          <w:tcPr>
            <w:tcW w:w="11655" w:type="dxa"/>
            <w:gridSpan w:val="5"/>
            <w:tcBorders>
              <w:top w:val="single" w:color="000000" w:sz="8" w:space="0"/>
              <w:left w:val="single" w:color="000000" w:sz="8" w:space="0"/>
              <w:bottom w:val="single" w:color="000000" w:sz="8" w:space="0"/>
              <w:right w:val="single" w:color="000000" w:sz="8" w:space="0"/>
            </w:tcBorders>
            <w:noWrap w:val="0"/>
            <w:vAlign w:val="top"/>
          </w:tcPr>
          <w:p>
            <w:pPr>
              <w:pStyle w:val="8"/>
              <w:kinsoku w:val="0"/>
              <w:overflowPunct w:val="0"/>
              <w:spacing w:before="179"/>
              <w:ind w:left="326"/>
              <w:rPr>
                <w:color w:val="auto"/>
                <w:sz w:val="25"/>
                <w:highlight w:val="none"/>
              </w:rPr>
            </w:pPr>
            <w:r>
              <w:rPr>
                <w:color w:val="auto"/>
                <w:sz w:val="25"/>
                <w:highlight w:val="none"/>
              </w:rPr>
              <w:t>我公司保证该项目由本单位承包，不接受他人挂靠，不转包，不非法分包。如有违犯，责任自负。</w:t>
            </w:r>
          </w:p>
        </w:tc>
      </w:tr>
      <w:tr>
        <w:tblPrEx>
          <w:tblCellMar>
            <w:top w:w="0" w:type="dxa"/>
            <w:left w:w="108" w:type="dxa"/>
            <w:bottom w:w="0" w:type="dxa"/>
            <w:right w:w="108" w:type="dxa"/>
          </w:tblCellMar>
        </w:tblPrEx>
        <w:trPr>
          <w:trHeight w:val="510" w:hRule="atLeast"/>
        </w:trPr>
        <w:tc>
          <w:tcPr>
            <w:tcW w:w="2643" w:type="dxa"/>
            <w:tcBorders>
              <w:top w:val="single" w:color="000000" w:sz="8" w:space="0"/>
              <w:left w:val="single" w:color="000000" w:sz="8" w:space="0"/>
              <w:bottom w:val="single" w:color="000000" w:sz="8" w:space="0"/>
              <w:right w:val="single" w:color="000000" w:sz="8" w:space="0"/>
            </w:tcBorders>
            <w:noWrap w:val="0"/>
            <w:vAlign w:val="top"/>
          </w:tcPr>
          <w:p>
            <w:pPr>
              <w:pStyle w:val="8"/>
              <w:kinsoku w:val="0"/>
              <w:overflowPunct w:val="0"/>
              <w:jc w:val="center"/>
              <w:rPr>
                <w:color w:val="auto"/>
                <w:highlight w:val="none"/>
              </w:rPr>
            </w:pPr>
          </w:p>
          <w:p>
            <w:pPr>
              <w:pStyle w:val="8"/>
              <w:kinsoku w:val="0"/>
              <w:overflowPunct w:val="0"/>
              <w:ind w:right="56"/>
              <w:jc w:val="center"/>
              <w:rPr>
                <w:color w:val="auto"/>
                <w:sz w:val="25"/>
                <w:highlight w:val="none"/>
              </w:rPr>
            </w:pPr>
            <w:r>
              <w:rPr>
                <w:color w:val="auto"/>
                <w:sz w:val="25"/>
                <w:highlight w:val="none"/>
              </w:rPr>
              <w:t>投标人盖章</w:t>
            </w:r>
          </w:p>
        </w:tc>
        <w:tc>
          <w:tcPr>
            <w:tcW w:w="3967" w:type="dxa"/>
            <w:tcBorders>
              <w:top w:val="single" w:color="000000" w:sz="8" w:space="0"/>
              <w:left w:val="single" w:color="000000" w:sz="8" w:space="0"/>
              <w:bottom w:val="single" w:color="000000" w:sz="8" w:space="0"/>
              <w:right w:val="single" w:color="000000" w:sz="8" w:space="0"/>
            </w:tcBorders>
            <w:noWrap w:val="0"/>
            <w:vAlign w:val="top"/>
          </w:tcPr>
          <w:p>
            <w:pPr>
              <w:pStyle w:val="8"/>
              <w:kinsoku w:val="0"/>
              <w:overflowPunct w:val="0"/>
              <w:jc w:val="center"/>
              <w:rPr>
                <w:color w:val="auto"/>
                <w:highlight w:val="none"/>
              </w:rPr>
            </w:pPr>
          </w:p>
        </w:tc>
        <w:tc>
          <w:tcPr>
            <w:tcW w:w="3166" w:type="dxa"/>
            <w:gridSpan w:val="2"/>
            <w:tcBorders>
              <w:top w:val="single" w:color="000000" w:sz="8" w:space="0"/>
              <w:left w:val="single" w:color="000000" w:sz="8" w:space="0"/>
              <w:bottom w:val="single" w:color="000000" w:sz="8" w:space="0"/>
              <w:right w:val="single" w:color="000000" w:sz="8" w:space="0"/>
            </w:tcBorders>
            <w:noWrap w:val="0"/>
            <w:vAlign w:val="top"/>
          </w:tcPr>
          <w:p>
            <w:pPr>
              <w:pStyle w:val="8"/>
              <w:kinsoku w:val="0"/>
              <w:overflowPunct w:val="0"/>
              <w:jc w:val="center"/>
              <w:rPr>
                <w:color w:val="auto"/>
                <w:highlight w:val="none"/>
              </w:rPr>
            </w:pPr>
          </w:p>
          <w:p>
            <w:pPr>
              <w:pStyle w:val="8"/>
              <w:kinsoku w:val="0"/>
              <w:overflowPunct w:val="0"/>
              <w:jc w:val="center"/>
              <w:rPr>
                <w:color w:val="auto"/>
                <w:sz w:val="25"/>
                <w:highlight w:val="none"/>
              </w:rPr>
            </w:pPr>
            <w:r>
              <w:rPr>
                <w:color w:val="auto"/>
                <w:sz w:val="25"/>
                <w:highlight w:val="none"/>
              </w:rPr>
              <w:t>法定代表人盖章</w:t>
            </w:r>
          </w:p>
        </w:tc>
        <w:tc>
          <w:tcPr>
            <w:tcW w:w="4522" w:type="dxa"/>
            <w:gridSpan w:val="2"/>
            <w:tcBorders>
              <w:top w:val="single" w:color="000000" w:sz="8" w:space="0"/>
              <w:left w:val="single" w:color="000000" w:sz="8" w:space="0"/>
              <w:bottom w:val="single" w:color="000000" w:sz="8" w:space="0"/>
              <w:right w:val="single" w:color="000000" w:sz="8" w:space="0"/>
            </w:tcBorders>
            <w:noWrap w:val="0"/>
            <w:vAlign w:val="top"/>
          </w:tcPr>
          <w:p>
            <w:pPr>
              <w:pStyle w:val="8"/>
              <w:kinsoku w:val="0"/>
              <w:overflowPunct w:val="0"/>
              <w:rPr>
                <w:color w:val="auto"/>
                <w:highlight w:val="none"/>
              </w:rPr>
            </w:pPr>
          </w:p>
        </w:tc>
      </w:tr>
      <w:tr>
        <w:tblPrEx>
          <w:tblCellMar>
            <w:top w:w="0" w:type="dxa"/>
            <w:left w:w="108" w:type="dxa"/>
            <w:bottom w:w="0" w:type="dxa"/>
            <w:right w:w="108" w:type="dxa"/>
          </w:tblCellMar>
        </w:tblPrEx>
        <w:trPr>
          <w:trHeight w:val="898" w:hRule="atLeast"/>
        </w:trPr>
        <w:tc>
          <w:tcPr>
            <w:tcW w:w="2643" w:type="dxa"/>
            <w:tcBorders>
              <w:top w:val="single" w:color="000000" w:sz="8" w:space="0"/>
              <w:left w:val="single" w:color="000000" w:sz="8" w:space="0"/>
              <w:bottom w:val="single" w:color="000000" w:sz="8" w:space="0"/>
              <w:right w:val="single" w:color="000000" w:sz="8" w:space="0"/>
            </w:tcBorders>
            <w:noWrap w:val="0"/>
            <w:vAlign w:val="top"/>
          </w:tcPr>
          <w:p>
            <w:pPr>
              <w:pStyle w:val="8"/>
              <w:kinsoku w:val="0"/>
              <w:overflowPunct w:val="0"/>
              <w:rPr>
                <w:color w:val="auto"/>
                <w:highlight w:val="none"/>
              </w:rPr>
            </w:pPr>
          </w:p>
          <w:p>
            <w:pPr>
              <w:pStyle w:val="8"/>
              <w:kinsoku w:val="0"/>
              <w:overflowPunct w:val="0"/>
              <w:spacing w:before="157"/>
              <w:ind w:left="89" w:right="56"/>
              <w:jc w:val="center"/>
              <w:rPr>
                <w:color w:val="auto"/>
                <w:sz w:val="25"/>
                <w:highlight w:val="none"/>
              </w:rPr>
            </w:pPr>
            <w:r>
              <w:rPr>
                <w:color w:val="auto"/>
                <w:sz w:val="25"/>
                <w:highlight w:val="none"/>
              </w:rPr>
              <w:t>招标人意见</w:t>
            </w:r>
          </w:p>
        </w:tc>
        <w:tc>
          <w:tcPr>
            <w:tcW w:w="11655" w:type="dxa"/>
            <w:gridSpan w:val="5"/>
            <w:tcBorders>
              <w:top w:val="single" w:color="000000" w:sz="8" w:space="0"/>
              <w:left w:val="single" w:color="000000" w:sz="8" w:space="0"/>
              <w:bottom w:val="single" w:color="000000" w:sz="8" w:space="0"/>
              <w:right w:val="single" w:color="000000" w:sz="8" w:space="0"/>
            </w:tcBorders>
            <w:noWrap w:val="0"/>
            <w:vAlign w:val="top"/>
          </w:tcPr>
          <w:p>
            <w:pPr>
              <w:pStyle w:val="8"/>
              <w:kinsoku w:val="0"/>
              <w:overflowPunct w:val="0"/>
              <w:rPr>
                <w:color w:val="auto"/>
                <w:highlight w:val="none"/>
              </w:rPr>
            </w:pPr>
          </w:p>
        </w:tc>
      </w:tr>
    </w:tbl>
    <w:p>
      <w:pPr>
        <w:pStyle w:val="4"/>
        <w:kinsoku w:val="0"/>
        <w:overflowPunct w:val="0"/>
        <w:spacing w:before="78"/>
        <w:jc w:val="right"/>
        <w:rPr>
          <w:color w:val="auto"/>
          <w:sz w:val="23"/>
          <w:highlight w:val="none"/>
        </w:rPr>
      </w:pPr>
      <w:r>
        <w:rPr>
          <w:rFonts w:hint="eastAsia"/>
          <w:color w:val="auto"/>
          <w:sz w:val="23"/>
          <w:highlight w:val="none"/>
        </w:rPr>
        <w:t>广州交易集团有限公司（广州公共资源交易中心）</w:t>
      </w:r>
    </w:p>
    <w:p>
      <w:pPr>
        <w:pStyle w:val="9"/>
        <w:numPr>
          <w:ilvl w:val="0"/>
          <w:numId w:val="1"/>
        </w:numPr>
        <w:tabs>
          <w:tab w:val="left" w:pos="365"/>
        </w:tabs>
        <w:kinsoku w:val="0"/>
        <w:overflowPunct w:val="0"/>
        <w:spacing w:before="97"/>
        <w:ind w:firstLine="420"/>
        <w:rPr>
          <w:rFonts w:ascii="宋体" w:hAnsi="宋体" w:cs="宋体"/>
          <w:color w:val="auto"/>
          <w:highlight w:val="none"/>
        </w:rPr>
      </w:pPr>
      <w:r>
        <w:rPr>
          <w:rFonts w:hint="eastAsia" w:ascii="宋体" w:hAnsi="宋体" w:cs="宋体"/>
          <w:color w:val="auto"/>
          <w:highlight w:val="none"/>
        </w:rPr>
        <w:t>本表内容不允许涂改或增删。</w:t>
      </w:r>
    </w:p>
    <w:p>
      <w:pPr>
        <w:pStyle w:val="9"/>
        <w:numPr>
          <w:ilvl w:val="0"/>
          <w:numId w:val="1"/>
        </w:numPr>
        <w:tabs>
          <w:tab w:val="left" w:pos="365"/>
        </w:tabs>
        <w:kinsoku w:val="0"/>
        <w:overflowPunct w:val="0"/>
        <w:ind w:firstLine="420"/>
        <w:rPr>
          <w:rFonts w:ascii="宋体" w:hAnsi="宋体" w:cs="宋体"/>
          <w:color w:val="auto"/>
          <w:highlight w:val="none"/>
        </w:rPr>
      </w:pPr>
      <w:r>
        <w:rPr>
          <w:rFonts w:hint="eastAsia" w:ascii="宋体" w:hAnsi="宋体" w:cs="宋体"/>
          <w:color w:val="auto"/>
          <w:highlight w:val="none"/>
        </w:rPr>
        <w:t>如项目没有划分标段时，标段号不必填写。</w:t>
      </w:r>
    </w:p>
    <w:p>
      <w:pPr>
        <w:pStyle w:val="9"/>
        <w:numPr>
          <w:ilvl w:val="0"/>
          <w:numId w:val="1"/>
        </w:numPr>
        <w:tabs>
          <w:tab w:val="left" w:pos="365"/>
        </w:tabs>
        <w:kinsoku w:val="0"/>
        <w:overflowPunct w:val="0"/>
        <w:ind w:firstLine="420"/>
        <w:rPr>
          <w:rFonts w:ascii="宋体" w:hAnsi="宋体" w:cs="宋体"/>
          <w:color w:val="auto"/>
          <w:highlight w:val="none"/>
        </w:rPr>
      </w:pPr>
      <w:r>
        <w:rPr>
          <w:rFonts w:hint="eastAsia" w:ascii="宋体" w:hAnsi="宋体" w:cs="宋体"/>
          <w:color w:val="auto"/>
          <w:highlight w:val="none"/>
        </w:rPr>
        <w:t>如一个项目中划分多个标段时，应将所投标段的标段号及项目编号填写完整。</w:t>
      </w:r>
    </w:p>
    <w:p>
      <w:pPr>
        <w:pStyle w:val="9"/>
        <w:numPr>
          <w:ilvl w:val="0"/>
          <w:numId w:val="1"/>
        </w:numPr>
        <w:tabs>
          <w:tab w:val="left" w:pos="365"/>
        </w:tabs>
        <w:kinsoku w:val="0"/>
        <w:overflowPunct w:val="0"/>
        <w:ind w:firstLine="420"/>
        <w:rPr>
          <w:rFonts w:ascii="宋体" w:hAnsi="宋体" w:cs="宋体"/>
          <w:color w:val="auto"/>
          <w:highlight w:val="none"/>
        </w:rPr>
      </w:pPr>
      <w:r>
        <w:rPr>
          <w:rFonts w:hint="eastAsia" w:ascii="宋体" w:hAnsi="宋体" w:cs="宋体"/>
          <w:color w:val="auto"/>
          <w:highlight w:val="none"/>
        </w:rPr>
        <w:t>如为联合体投标时，必须将联合体的所有成员单位的全称填写完整。</w:t>
      </w:r>
    </w:p>
    <w:p>
      <w:pPr>
        <w:pStyle w:val="9"/>
        <w:numPr>
          <w:ilvl w:val="0"/>
          <w:numId w:val="1"/>
        </w:numPr>
        <w:tabs>
          <w:tab w:val="left" w:pos="365"/>
        </w:tabs>
        <w:kinsoku w:val="0"/>
        <w:overflowPunct w:val="0"/>
        <w:ind w:firstLine="420"/>
        <w:rPr>
          <w:rFonts w:hint="eastAsia" w:ascii="宋体" w:hAnsi="宋体" w:cs="宋体"/>
          <w:color w:val="auto"/>
          <w:sz w:val="36"/>
          <w:szCs w:val="36"/>
          <w:highlight w:val="none"/>
        </w:rPr>
      </w:pPr>
      <w:r>
        <w:rPr>
          <w:rFonts w:hint="eastAsia" w:ascii="宋体" w:hAnsi="宋体" w:cs="宋体"/>
          <w:color w:val="auto"/>
          <w:highlight w:val="none"/>
        </w:rPr>
        <w:t>本表由招标人保存。</w:t>
      </w:r>
    </w:p>
    <w:p>
      <w:pPr>
        <w:pStyle w:val="9"/>
        <w:numPr>
          <w:ilvl w:val="0"/>
          <w:numId w:val="1"/>
        </w:numPr>
        <w:tabs>
          <w:tab w:val="left" w:pos="365"/>
        </w:tabs>
        <w:kinsoku w:val="0"/>
        <w:overflowPunct w:val="0"/>
        <w:ind w:firstLine="420"/>
        <w:rPr>
          <w:rFonts w:hint="eastAsia" w:ascii="宋体" w:hAnsi="宋体" w:cs="宋体"/>
          <w:color w:val="auto"/>
          <w:sz w:val="36"/>
          <w:szCs w:val="36"/>
          <w:highlight w:val="none"/>
        </w:rPr>
      </w:pPr>
      <w:r>
        <w:rPr>
          <w:rFonts w:hint="eastAsia" w:ascii="宋体" w:hAnsi="宋体" w:cs="宋体"/>
          <w:color w:val="auto"/>
          <w:highlight w:val="none"/>
        </w:rPr>
        <w:t>本表可在广州交易集团有限公司（广州公共资源交易中心）网站下载。</w:t>
      </w:r>
    </w:p>
    <w:p>
      <w:pPr>
        <w:spacing w:line="360" w:lineRule="auto"/>
        <w:rPr>
          <w:rFonts w:hint="eastAsia" w:ascii="宋体" w:hAnsi="宋体" w:cs="宋体"/>
          <w:color w:val="auto"/>
          <w:sz w:val="36"/>
          <w:szCs w:val="36"/>
          <w:highlight w:val="none"/>
        </w:rPr>
      </w:pPr>
    </w:p>
    <w:p>
      <w:pPr>
        <w:spacing w:line="360" w:lineRule="auto"/>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rPr>
        <w:t>附件</w:t>
      </w:r>
      <w:r>
        <w:rPr>
          <w:rFonts w:hint="eastAsia" w:ascii="宋体" w:hAnsi="宋体" w:cs="宋体"/>
          <w:color w:val="auto"/>
          <w:sz w:val="36"/>
          <w:szCs w:val="36"/>
          <w:highlight w:val="none"/>
          <w:lang w:val="en-US" w:eastAsia="zh-CN"/>
        </w:rPr>
        <w:t>2</w:t>
      </w:r>
    </w:p>
    <w:p>
      <w:pPr>
        <w:spacing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招标文件发放登记表</w:t>
      </w:r>
    </w:p>
    <w:tbl>
      <w:tblPr>
        <w:tblStyle w:val="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2592"/>
        <w:gridCol w:w="1930"/>
        <w:gridCol w:w="2390"/>
        <w:gridCol w:w="3030"/>
        <w:gridCol w:w="3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544" w:type="dxa"/>
            <w:gridSpan w:val="2"/>
            <w:noWrap w:val="0"/>
            <w:vAlign w:val="center"/>
          </w:tcPr>
          <w:p>
            <w:pPr>
              <w:tabs>
                <w:tab w:val="left" w:pos="765"/>
              </w:tabs>
              <w:spacing w:line="46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招标项目编号</w:t>
            </w:r>
          </w:p>
        </w:tc>
        <w:tc>
          <w:tcPr>
            <w:tcW w:w="4320" w:type="dxa"/>
            <w:gridSpan w:val="2"/>
            <w:noWrap w:val="0"/>
            <w:vAlign w:val="center"/>
          </w:tcPr>
          <w:p>
            <w:pPr>
              <w:tabs>
                <w:tab w:val="left" w:pos="765"/>
              </w:tabs>
              <w:spacing w:line="460" w:lineRule="exact"/>
              <w:jc w:val="center"/>
              <w:rPr>
                <w:rFonts w:hint="eastAsia" w:ascii="宋体" w:hAnsi="宋体" w:cs="宋体"/>
                <w:color w:val="auto"/>
                <w:sz w:val="28"/>
                <w:szCs w:val="28"/>
                <w:highlight w:val="none"/>
              </w:rPr>
            </w:pPr>
          </w:p>
        </w:tc>
        <w:tc>
          <w:tcPr>
            <w:tcW w:w="3030" w:type="dxa"/>
            <w:noWrap w:val="0"/>
            <w:vAlign w:val="center"/>
          </w:tcPr>
          <w:p>
            <w:pPr>
              <w:tabs>
                <w:tab w:val="left" w:pos="765"/>
              </w:tabs>
              <w:spacing w:line="46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投标登记时间</w:t>
            </w:r>
          </w:p>
        </w:tc>
        <w:tc>
          <w:tcPr>
            <w:tcW w:w="3699" w:type="dxa"/>
            <w:noWrap w:val="0"/>
            <w:vAlign w:val="center"/>
          </w:tcPr>
          <w:p>
            <w:pPr>
              <w:tabs>
                <w:tab w:val="left" w:pos="765"/>
              </w:tabs>
              <w:spacing w:line="46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2024年</w:t>
            </w:r>
            <w:r>
              <w:rPr>
                <w:rFonts w:hint="eastAsia" w:ascii="宋体" w:hAnsi="宋体" w:cs="宋体"/>
                <w:color w:val="auto"/>
                <w:sz w:val="28"/>
                <w:szCs w:val="28"/>
                <w:highlight w:val="none"/>
              </w:rPr>
              <w:t xml:space="preserve"> 月  日  时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544" w:type="dxa"/>
            <w:gridSpan w:val="2"/>
            <w:noWrap w:val="0"/>
            <w:vAlign w:val="center"/>
          </w:tcPr>
          <w:p>
            <w:pPr>
              <w:tabs>
                <w:tab w:val="left" w:pos="765"/>
              </w:tabs>
              <w:spacing w:line="46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招标项目名称</w:t>
            </w:r>
          </w:p>
        </w:tc>
        <w:tc>
          <w:tcPr>
            <w:tcW w:w="11049" w:type="dxa"/>
            <w:gridSpan w:val="4"/>
            <w:noWrap w:val="0"/>
            <w:vAlign w:val="center"/>
          </w:tcPr>
          <w:p>
            <w:pPr>
              <w:jc w:val="center"/>
              <w:rPr>
                <w:rFonts w:hint="eastAsia" w:ascii="宋体" w:hAnsi="宋体" w:cs="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2" w:type="dxa"/>
            <w:vMerge w:val="restart"/>
            <w:noWrap w:val="0"/>
            <w:textDirection w:val="tbRlV"/>
            <w:vAlign w:val="center"/>
          </w:tcPr>
          <w:p>
            <w:pPr>
              <w:tabs>
                <w:tab w:val="left" w:pos="765"/>
              </w:tabs>
              <w:spacing w:line="276" w:lineRule="auto"/>
              <w:ind w:left="113" w:right="113"/>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投 标 人 资 料</w:t>
            </w:r>
          </w:p>
        </w:tc>
        <w:tc>
          <w:tcPr>
            <w:tcW w:w="2592" w:type="dxa"/>
            <w:noWrap w:val="0"/>
            <w:vAlign w:val="center"/>
          </w:tcPr>
          <w:p>
            <w:pPr>
              <w:tabs>
                <w:tab w:val="left" w:pos="765"/>
              </w:tabs>
              <w:spacing w:line="5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投标人名称</w:t>
            </w:r>
          </w:p>
        </w:tc>
        <w:tc>
          <w:tcPr>
            <w:tcW w:w="4320" w:type="dxa"/>
            <w:gridSpan w:val="2"/>
            <w:noWrap w:val="0"/>
            <w:vAlign w:val="center"/>
          </w:tcPr>
          <w:p>
            <w:pPr>
              <w:tabs>
                <w:tab w:val="left" w:pos="765"/>
              </w:tabs>
              <w:spacing w:line="500" w:lineRule="exact"/>
              <w:jc w:val="center"/>
              <w:rPr>
                <w:rFonts w:hint="eastAsia" w:ascii="宋体" w:hAnsi="宋体" w:cs="宋体"/>
                <w:color w:val="auto"/>
                <w:sz w:val="28"/>
                <w:szCs w:val="28"/>
                <w:highlight w:val="none"/>
              </w:rPr>
            </w:pPr>
          </w:p>
        </w:tc>
        <w:tc>
          <w:tcPr>
            <w:tcW w:w="3030" w:type="dxa"/>
            <w:noWrap w:val="0"/>
            <w:vAlign w:val="center"/>
          </w:tcPr>
          <w:p>
            <w:pPr>
              <w:tabs>
                <w:tab w:val="left" w:pos="765"/>
              </w:tabs>
              <w:spacing w:line="5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w:t>
            </w:r>
          </w:p>
        </w:tc>
        <w:tc>
          <w:tcPr>
            <w:tcW w:w="3699" w:type="dxa"/>
            <w:noWrap w:val="0"/>
            <w:vAlign w:val="center"/>
          </w:tcPr>
          <w:p>
            <w:pPr>
              <w:tabs>
                <w:tab w:val="left" w:pos="765"/>
              </w:tabs>
              <w:spacing w:line="500" w:lineRule="exact"/>
              <w:jc w:val="center"/>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2" w:type="dxa"/>
            <w:vMerge w:val="continue"/>
            <w:noWrap w:val="0"/>
            <w:textDirection w:val="tbRlV"/>
            <w:vAlign w:val="center"/>
          </w:tcPr>
          <w:p>
            <w:pPr>
              <w:tabs>
                <w:tab w:val="left" w:pos="765"/>
              </w:tabs>
              <w:spacing w:line="276" w:lineRule="auto"/>
              <w:ind w:left="113" w:right="113"/>
              <w:jc w:val="center"/>
              <w:rPr>
                <w:rFonts w:hint="eastAsia" w:ascii="宋体" w:hAnsi="宋体" w:cs="宋体"/>
                <w:color w:val="auto"/>
                <w:sz w:val="28"/>
                <w:szCs w:val="28"/>
                <w:highlight w:val="none"/>
              </w:rPr>
            </w:pPr>
          </w:p>
        </w:tc>
        <w:tc>
          <w:tcPr>
            <w:tcW w:w="2592" w:type="dxa"/>
            <w:noWrap w:val="0"/>
            <w:vAlign w:val="center"/>
          </w:tcPr>
          <w:p>
            <w:pPr>
              <w:tabs>
                <w:tab w:val="left" w:pos="765"/>
              </w:tabs>
              <w:spacing w:line="5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联系地址</w:t>
            </w:r>
          </w:p>
        </w:tc>
        <w:tc>
          <w:tcPr>
            <w:tcW w:w="4320" w:type="dxa"/>
            <w:gridSpan w:val="2"/>
            <w:noWrap w:val="0"/>
            <w:vAlign w:val="center"/>
          </w:tcPr>
          <w:p>
            <w:pPr>
              <w:tabs>
                <w:tab w:val="left" w:pos="765"/>
              </w:tabs>
              <w:spacing w:line="500" w:lineRule="exact"/>
              <w:jc w:val="center"/>
              <w:rPr>
                <w:rFonts w:hint="eastAsia" w:ascii="宋体" w:hAnsi="宋体" w:cs="宋体"/>
                <w:color w:val="auto"/>
                <w:sz w:val="28"/>
                <w:szCs w:val="28"/>
                <w:highlight w:val="none"/>
              </w:rPr>
            </w:pPr>
          </w:p>
        </w:tc>
        <w:tc>
          <w:tcPr>
            <w:tcW w:w="3030" w:type="dxa"/>
            <w:noWrap w:val="0"/>
            <w:vAlign w:val="center"/>
          </w:tcPr>
          <w:p>
            <w:pPr>
              <w:tabs>
                <w:tab w:val="left" w:pos="765"/>
              </w:tabs>
              <w:spacing w:line="5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统一社会信用代码</w:t>
            </w:r>
          </w:p>
        </w:tc>
        <w:tc>
          <w:tcPr>
            <w:tcW w:w="3699" w:type="dxa"/>
            <w:noWrap w:val="0"/>
            <w:vAlign w:val="center"/>
          </w:tcPr>
          <w:p>
            <w:pPr>
              <w:tabs>
                <w:tab w:val="left" w:pos="765"/>
              </w:tabs>
              <w:spacing w:line="500" w:lineRule="exact"/>
              <w:jc w:val="center"/>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52" w:type="dxa"/>
            <w:vMerge w:val="continue"/>
            <w:noWrap w:val="0"/>
            <w:vAlign w:val="center"/>
          </w:tcPr>
          <w:p>
            <w:pPr>
              <w:tabs>
                <w:tab w:val="left" w:pos="765"/>
              </w:tabs>
              <w:spacing w:line="276" w:lineRule="auto"/>
              <w:jc w:val="center"/>
              <w:rPr>
                <w:rFonts w:hint="eastAsia" w:ascii="宋体" w:hAnsi="宋体" w:cs="宋体"/>
                <w:color w:val="auto"/>
                <w:sz w:val="28"/>
                <w:szCs w:val="28"/>
                <w:highlight w:val="none"/>
              </w:rPr>
            </w:pPr>
          </w:p>
        </w:tc>
        <w:tc>
          <w:tcPr>
            <w:tcW w:w="2592" w:type="dxa"/>
            <w:noWrap w:val="0"/>
            <w:vAlign w:val="center"/>
          </w:tcPr>
          <w:p>
            <w:pPr>
              <w:tabs>
                <w:tab w:val="left" w:pos="765"/>
              </w:tabs>
              <w:spacing w:line="276"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领取资料组成</w:t>
            </w:r>
          </w:p>
        </w:tc>
        <w:tc>
          <w:tcPr>
            <w:tcW w:w="4320" w:type="dxa"/>
            <w:gridSpan w:val="2"/>
            <w:noWrap w:val="0"/>
            <w:vAlign w:val="center"/>
          </w:tcPr>
          <w:p>
            <w:pPr>
              <w:tabs>
                <w:tab w:val="left" w:pos="765"/>
              </w:tabs>
              <w:spacing w:line="276"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招标文件、技术资料</w:t>
            </w:r>
          </w:p>
        </w:tc>
        <w:tc>
          <w:tcPr>
            <w:tcW w:w="3030" w:type="dxa"/>
            <w:noWrap w:val="0"/>
            <w:vAlign w:val="center"/>
          </w:tcPr>
          <w:p>
            <w:pPr>
              <w:tabs>
                <w:tab w:val="left" w:pos="765"/>
              </w:tabs>
              <w:spacing w:line="276"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是否提交登记书面文件</w:t>
            </w:r>
          </w:p>
        </w:tc>
        <w:tc>
          <w:tcPr>
            <w:tcW w:w="3699" w:type="dxa"/>
            <w:noWrap w:val="0"/>
            <w:vAlign w:val="center"/>
          </w:tcPr>
          <w:p>
            <w:pPr>
              <w:tabs>
                <w:tab w:val="left" w:pos="765"/>
              </w:tabs>
              <w:spacing w:line="276" w:lineRule="auto"/>
              <w:jc w:val="center"/>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52" w:type="dxa"/>
            <w:vMerge w:val="continue"/>
            <w:noWrap w:val="0"/>
            <w:vAlign w:val="center"/>
          </w:tcPr>
          <w:p>
            <w:pPr>
              <w:tabs>
                <w:tab w:val="left" w:pos="765"/>
              </w:tabs>
              <w:spacing w:line="276" w:lineRule="auto"/>
              <w:jc w:val="center"/>
              <w:rPr>
                <w:rFonts w:hint="eastAsia" w:ascii="宋体" w:hAnsi="宋体" w:cs="宋体"/>
                <w:color w:val="auto"/>
                <w:sz w:val="28"/>
                <w:szCs w:val="28"/>
                <w:highlight w:val="none"/>
              </w:rPr>
            </w:pPr>
          </w:p>
        </w:tc>
        <w:tc>
          <w:tcPr>
            <w:tcW w:w="2592" w:type="dxa"/>
            <w:vMerge w:val="restart"/>
            <w:noWrap w:val="0"/>
            <w:vAlign w:val="center"/>
          </w:tcPr>
          <w:p>
            <w:pPr>
              <w:tabs>
                <w:tab w:val="left" w:pos="765"/>
              </w:tabs>
              <w:spacing w:line="276"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经办人信息</w:t>
            </w:r>
          </w:p>
        </w:tc>
        <w:tc>
          <w:tcPr>
            <w:tcW w:w="1930" w:type="dxa"/>
            <w:noWrap w:val="0"/>
            <w:vAlign w:val="center"/>
          </w:tcPr>
          <w:p>
            <w:pPr>
              <w:tabs>
                <w:tab w:val="left" w:pos="765"/>
              </w:tabs>
              <w:spacing w:line="276" w:lineRule="auto"/>
              <w:jc w:val="cente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经办人</w:t>
            </w:r>
            <w:r>
              <w:rPr>
                <w:rFonts w:hint="eastAsia" w:ascii="宋体" w:hAnsi="宋体" w:cs="宋体"/>
                <w:color w:val="auto"/>
                <w:sz w:val="28"/>
                <w:szCs w:val="28"/>
                <w:highlight w:val="none"/>
                <w:lang w:val="en-US" w:eastAsia="zh-CN"/>
              </w:rPr>
              <w:t>签名</w:t>
            </w:r>
          </w:p>
        </w:tc>
        <w:tc>
          <w:tcPr>
            <w:tcW w:w="2390" w:type="dxa"/>
            <w:noWrap w:val="0"/>
            <w:vAlign w:val="center"/>
          </w:tcPr>
          <w:p>
            <w:pPr>
              <w:tabs>
                <w:tab w:val="left" w:pos="765"/>
              </w:tabs>
              <w:spacing w:line="276"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手机号码</w:t>
            </w:r>
          </w:p>
        </w:tc>
        <w:tc>
          <w:tcPr>
            <w:tcW w:w="3030" w:type="dxa"/>
            <w:noWrap w:val="0"/>
            <w:vAlign w:val="center"/>
          </w:tcPr>
          <w:p>
            <w:pPr>
              <w:tabs>
                <w:tab w:val="left" w:pos="765"/>
              </w:tabs>
              <w:spacing w:line="276"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电子邮箱</w:t>
            </w:r>
          </w:p>
        </w:tc>
        <w:tc>
          <w:tcPr>
            <w:tcW w:w="3699" w:type="dxa"/>
            <w:noWrap w:val="0"/>
            <w:vAlign w:val="center"/>
          </w:tcPr>
          <w:p>
            <w:pPr>
              <w:tabs>
                <w:tab w:val="left" w:pos="765"/>
              </w:tabs>
              <w:spacing w:line="276"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952" w:type="dxa"/>
            <w:vMerge w:val="continue"/>
            <w:noWrap w:val="0"/>
            <w:vAlign w:val="center"/>
          </w:tcPr>
          <w:p>
            <w:pPr>
              <w:tabs>
                <w:tab w:val="left" w:pos="765"/>
              </w:tabs>
              <w:spacing w:line="276" w:lineRule="auto"/>
              <w:jc w:val="center"/>
              <w:rPr>
                <w:rFonts w:hint="eastAsia" w:ascii="宋体" w:hAnsi="宋体" w:cs="宋体"/>
                <w:color w:val="auto"/>
                <w:sz w:val="28"/>
                <w:szCs w:val="28"/>
                <w:highlight w:val="none"/>
              </w:rPr>
            </w:pPr>
          </w:p>
        </w:tc>
        <w:tc>
          <w:tcPr>
            <w:tcW w:w="2592" w:type="dxa"/>
            <w:vMerge w:val="continue"/>
            <w:noWrap w:val="0"/>
            <w:vAlign w:val="center"/>
          </w:tcPr>
          <w:p>
            <w:pPr>
              <w:tabs>
                <w:tab w:val="left" w:pos="765"/>
              </w:tabs>
              <w:spacing w:line="276" w:lineRule="auto"/>
              <w:jc w:val="center"/>
              <w:rPr>
                <w:rFonts w:hint="eastAsia" w:ascii="宋体" w:hAnsi="宋体" w:cs="宋体"/>
                <w:color w:val="auto"/>
                <w:sz w:val="28"/>
                <w:szCs w:val="28"/>
                <w:highlight w:val="none"/>
              </w:rPr>
            </w:pPr>
          </w:p>
        </w:tc>
        <w:tc>
          <w:tcPr>
            <w:tcW w:w="1930" w:type="dxa"/>
            <w:noWrap w:val="0"/>
            <w:vAlign w:val="center"/>
          </w:tcPr>
          <w:p>
            <w:pPr>
              <w:tabs>
                <w:tab w:val="left" w:pos="765"/>
              </w:tabs>
              <w:spacing w:line="276" w:lineRule="auto"/>
              <w:jc w:val="center"/>
              <w:rPr>
                <w:rFonts w:hint="eastAsia" w:ascii="宋体" w:hAnsi="宋体" w:cs="宋体"/>
                <w:color w:val="auto"/>
                <w:sz w:val="28"/>
                <w:szCs w:val="28"/>
                <w:highlight w:val="none"/>
              </w:rPr>
            </w:pPr>
          </w:p>
        </w:tc>
        <w:tc>
          <w:tcPr>
            <w:tcW w:w="2390" w:type="dxa"/>
            <w:noWrap w:val="0"/>
            <w:vAlign w:val="center"/>
          </w:tcPr>
          <w:p>
            <w:pPr>
              <w:tabs>
                <w:tab w:val="left" w:pos="765"/>
              </w:tabs>
              <w:spacing w:line="276" w:lineRule="auto"/>
              <w:jc w:val="center"/>
              <w:rPr>
                <w:rFonts w:hint="eastAsia" w:ascii="宋体" w:hAnsi="宋体" w:cs="宋体"/>
                <w:color w:val="auto"/>
                <w:sz w:val="28"/>
                <w:szCs w:val="28"/>
                <w:highlight w:val="none"/>
              </w:rPr>
            </w:pPr>
          </w:p>
        </w:tc>
        <w:tc>
          <w:tcPr>
            <w:tcW w:w="3030" w:type="dxa"/>
            <w:noWrap w:val="0"/>
            <w:vAlign w:val="center"/>
          </w:tcPr>
          <w:p>
            <w:pPr>
              <w:tabs>
                <w:tab w:val="left" w:pos="765"/>
              </w:tabs>
              <w:spacing w:line="276" w:lineRule="auto"/>
              <w:jc w:val="center"/>
              <w:rPr>
                <w:rFonts w:hint="eastAsia" w:ascii="宋体" w:hAnsi="宋体" w:cs="宋体"/>
                <w:color w:val="auto"/>
                <w:sz w:val="28"/>
                <w:szCs w:val="28"/>
                <w:highlight w:val="none"/>
              </w:rPr>
            </w:pPr>
          </w:p>
        </w:tc>
        <w:tc>
          <w:tcPr>
            <w:tcW w:w="3699" w:type="dxa"/>
            <w:noWrap w:val="0"/>
            <w:vAlign w:val="center"/>
          </w:tcPr>
          <w:p>
            <w:pPr>
              <w:tabs>
                <w:tab w:val="left" w:pos="765"/>
              </w:tabs>
              <w:spacing w:line="276" w:lineRule="auto"/>
              <w:jc w:val="center"/>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952" w:type="dxa"/>
            <w:noWrap w:val="0"/>
            <w:vAlign w:val="center"/>
          </w:tcPr>
          <w:p>
            <w:pPr>
              <w:tabs>
                <w:tab w:val="left" w:pos="765"/>
              </w:tabs>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备注</w:t>
            </w:r>
          </w:p>
        </w:tc>
        <w:tc>
          <w:tcPr>
            <w:tcW w:w="13641" w:type="dxa"/>
            <w:gridSpan w:val="5"/>
            <w:noWrap w:val="0"/>
            <w:vAlign w:val="center"/>
          </w:tcPr>
          <w:p>
            <w:pPr>
              <w:tabs>
                <w:tab w:val="left" w:pos="-96"/>
              </w:tabs>
              <w:rPr>
                <w:rFonts w:hint="eastAsia" w:ascii="宋体" w:hAnsi="宋体" w:cs="宋体"/>
                <w:color w:val="auto"/>
                <w:sz w:val="28"/>
                <w:szCs w:val="28"/>
                <w:highlight w:val="none"/>
              </w:rPr>
            </w:pPr>
          </w:p>
        </w:tc>
      </w:tr>
    </w:tbl>
    <w:p>
      <w:pPr>
        <w:pStyle w:val="4"/>
        <w:rPr>
          <w:color w:val="auto"/>
          <w:highlight w:val="none"/>
        </w:rPr>
        <w:sectPr>
          <w:pgSz w:w="16840" w:h="11920" w:orient="landscape"/>
          <w:pgMar w:top="1418" w:right="1418" w:bottom="1418" w:left="1418" w:header="720" w:footer="720" w:gutter="0"/>
          <w:cols w:space="720" w:num="1"/>
        </w:sectPr>
      </w:pPr>
    </w:p>
    <w:p>
      <w:bookmarkStart w:id="40" w:name="_GoBack"/>
      <w:bookmarkEnd w:id="4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14</w:t>
    </w:r>
    <w: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2"/>
    <w:multiLevelType w:val="multilevel"/>
    <w:tmpl w:val="00000402"/>
    <w:lvl w:ilvl="0" w:tentative="0">
      <w:start w:val="1"/>
      <w:numFmt w:val="decimal"/>
      <w:lvlText w:val="%1."/>
      <w:lvlJc w:val="left"/>
      <w:pPr>
        <w:ind w:left="364" w:hanging="217"/>
      </w:pPr>
      <w:rPr>
        <w:rFonts w:hint="eastAsia" w:ascii="宋体" w:hAnsi="宋体" w:eastAsia="宋体"/>
        <w:w w:val="102"/>
        <w:sz w:val="19"/>
        <w:u w:val="none"/>
      </w:rPr>
    </w:lvl>
    <w:lvl w:ilvl="1" w:tentative="0">
      <w:start w:val="1"/>
      <w:numFmt w:val="bullet"/>
      <w:lvlText w:val="•"/>
      <w:lvlJc w:val="left"/>
      <w:pPr>
        <w:ind w:left="1745" w:hanging="217"/>
      </w:pPr>
      <w:rPr>
        <w:rFonts w:hint="default"/>
        <w:u w:val="none"/>
      </w:rPr>
    </w:lvl>
    <w:lvl w:ilvl="2" w:tentative="0">
      <w:start w:val="1"/>
      <w:numFmt w:val="bullet"/>
      <w:lvlText w:val="•"/>
      <w:lvlJc w:val="left"/>
      <w:pPr>
        <w:ind w:left="3131" w:hanging="217"/>
      </w:pPr>
      <w:rPr>
        <w:rFonts w:hint="default"/>
        <w:u w:val="none"/>
      </w:rPr>
    </w:lvl>
    <w:lvl w:ilvl="3" w:tentative="0">
      <w:start w:val="1"/>
      <w:numFmt w:val="bullet"/>
      <w:lvlText w:val="•"/>
      <w:lvlJc w:val="left"/>
      <w:pPr>
        <w:ind w:left="4517" w:hanging="217"/>
      </w:pPr>
      <w:rPr>
        <w:rFonts w:hint="default"/>
        <w:u w:val="none"/>
      </w:rPr>
    </w:lvl>
    <w:lvl w:ilvl="4" w:tentative="0">
      <w:start w:val="1"/>
      <w:numFmt w:val="bullet"/>
      <w:lvlText w:val="•"/>
      <w:lvlJc w:val="left"/>
      <w:pPr>
        <w:ind w:left="5902" w:hanging="217"/>
      </w:pPr>
      <w:rPr>
        <w:rFonts w:hint="default"/>
        <w:u w:val="none"/>
      </w:rPr>
    </w:lvl>
    <w:lvl w:ilvl="5" w:tentative="0">
      <w:start w:val="1"/>
      <w:numFmt w:val="bullet"/>
      <w:lvlText w:val="•"/>
      <w:lvlJc w:val="left"/>
      <w:pPr>
        <w:ind w:left="7288" w:hanging="217"/>
      </w:pPr>
      <w:rPr>
        <w:rFonts w:hint="default"/>
        <w:u w:val="none"/>
      </w:rPr>
    </w:lvl>
    <w:lvl w:ilvl="6" w:tentative="0">
      <w:start w:val="1"/>
      <w:numFmt w:val="bullet"/>
      <w:lvlText w:val="•"/>
      <w:lvlJc w:val="left"/>
      <w:pPr>
        <w:ind w:left="8674" w:hanging="217"/>
      </w:pPr>
      <w:rPr>
        <w:rFonts w:hint="default"/>
        <w:u w:val="none"/>
      </w:rPr>
    </w:lvl>
    <w:lvl w:ilvl="7" w:tentative="0">
      <w:start w:val="1"/>
      <w:numFmt w:val="bullet"/>
      <w:lvlText w:val="•"/>
      <w:lvlJc w:val="left"/>
      <w:pPr>
        <w:ind w:left="10059" w:hanging="217"/>
      </w:pPr>
      <w:rPr>
        <w:rFonts w:hint="default"/>
        <w:u w:val="none"/>
      </w:rPr>
    </w:lvl>
    <w:lvl w:ilvl="8" w:tentative="0">
      <w:start w:val="1"/>
      <w:numFmt w:val="bullet"/>
      <w:lvlText w:val="•"/>
      <w:lvlJc w:val="left"/>
      <w:pPr>
        <w:ind w:left="11445" w:hanging="217"/>
      </w:pPr>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4A4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4">
    <w:name w:val="Body Text"/>
    <w:basedOn w:val="1"/>
    <w:next w:val="1"/>
    <w:uiPriority w:val="0"/>
    <w:pPr>
      <w:spacing w:after="120" w:afterLines="0"/>
    </w:pPr>
  </w:style>
  <w:style w:type="character" w:styleId="7">
    <w:name w:val="Hyperlink"/>
    <w:qFormat/>
    <w:uiPriority w:val="99"/>
    <w:rPr>
      <w:color w:val="0000FF"/>
      <w:u w:val="single"/>
    </w:rPr>
  </w:style>
  <w:style w:type="paragraph" w:customStyle="1" w:styleId="8">
    <w:name w:val="Table Paragraph"/>
    <w:basedOn w:val="1"/>
    <w:qFormat/>
    <w:uiPriority w:val="0"/>
    <w:pPr>
      <w:autoSpaceDE w:val="0"/>
      <w:autoSpaceDN w:val="0"/>
      <w:jc w:val="left"/>
    </w:pPr>
    <w:rPr>
      <w:rFonts w:ascii="宋体" w:hAnsi="宋体" w:eastAsia="宋体" w:cs="宋体"/>
      <w:kern w:val="0"/>
      <w:sz w:val="22"/>
      <w:szCs w:val="22"/>
      <w:lang w:val="zh-CN" w:bidi="zh-CN"/>
    </w:rPr>
  </w:style>
  <w:style w:type="paragraph" w:customStyle="1" w:styleId="9">
    <w:name w:val="List Paragraph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2024-03-12T07:38:17Z</dcterms:created>
  <dc:creator>61729</dc:creator>
  <cp:lastModifiedBy>GGB-HJY</cp:lastModifiedBy>
  <dcterms:modified xsi:type="dcterms:W3CDTF">2024-03-12T07:38:33Z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66500408C31F4F159D1F501B8EAD90EA</vt:lpwstr>
  </property>
</Properties>
</file>