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hint="eastAsia" w:ascii="宋体" w:hAnsi="宋体" w:cs="宋体"/>
          <w:color w:val="auto"/>
          <w:sz w:val="36"/>
          <w:szCs w:val="16"/>
          <w:highlight w:val="none"/>
        </w:rPr>
      </w:pPr>
      <w:bookmarkStart w:id="0" w:name="_Toc1345"/>
      <w:r>
        <w:rPr>
          <w:rFonts w:hint="eastAsia" w:ascii="宋体" w:hAnsi="宋体" w:cs="宋体"/>
          <w:color w:val="auto"/>
          <w:sz w:val="36"/>
          <w:szCs w:val="16"/>
          <w:highlight w:val="none"/>
        </w:rPr>
        <w:t>粤电阳江青洲一、二海上风电场项目海洋生态补偿（增殖放流）苗种供应与放流服务项目招标公告</w:t>
      </w:r>
      <w:bookmarkEnd w:id="0"/>
    </w:p>
    <w:p>
      <w:pPr>
        <w:spacing w:line="440" w:lineRule="exact"/>
        <w:jc w:val="center"/>
        <w:rPr>
          <w:rFonts w:hint="eastAsia" w:ascii="宋体" w:hAnsi="宋体" w:cs="宋体"/>
          <w:color w:val="auto"/>
          <w:sz w:val="28"/>
          <w:szCs w:val="28"/>
          <w:highlight w:val="none"/>
        </w:rPr>
      </w:pPr>
    </w:p>
    <w:p>
      <w:pPr>
        <w:snapToGrid w:val="0"/>
        <w:spacing w:line="360" w:lineRule="auto"/>
        <w:jc w:val="left"/>
        <w:rPr>
          <w:rFonts w:hint="eastAsia" w:ascii="宋体" w:hAnsi="宋体" w:cs="宋体"/>
          <w:color w:val="auto"/>
          <w:szCs w:val="21"/>
          <w:highlight w:val="none"/>
        </w:rPr>
      </w:pPr>
      <w:r>
        <w:rPr>
          <w:rFonts w:hint="eastAsia" w:ascii="宋体" w:hAnsi="宋体" w:cs="宋体"/>
          <w:bCs/>
          <w:color w:val="auto"/>
          <w:szCs w:val="21"/>
          <w:highlight w:val="none"/>
        </w:rPr>
        <w:t>项目名称：</w:t>
      </w:r>
      <w:r>
        <w:rPr>
          <w:rFonts w:hint="eastAsia" w:ascii="宋体" w:hAnsi="宋体" w:cs="宋体"/>
          <w:bCs/>
          <w:color w:val="auto"/>
          <w:szCs w:val="21"/>
          <w:highlight w:val="none"/>
          <w:u w:val="single"/>
        </w:rPr>
        <w:t>粤电阳江青洲一、二海上风电场项目海洋生态补偿（增殖放流）苗种供应与放流服务项目</w:t>
      </w:r>
      <w:r>
        <w:rPr>
          <w:rFonts w:hint="eastAsia" w:ascii="宋体" w:hAnsi="宋体" w:cs="宋体"/>
          <w:color w:val="auto"/>
          <w:szCs w:val="21"/>
          <w:highlight w:val="none"/>
        </w:rPr>
        <w:t>（以下简称“项目”）</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招标编号：GXTC-C-24280006</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日    期：2024年</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rPr>
        <w:t>日</w:t>
      </w:r>
    </w:p>
    <w:p>
      <w:pPr>
        <w:pStyle w:val="4"/>
        <w:spacing w:line="240" w:lineRule="auto"/>
        <w:rPr>
          <w:rFonts w:hint="eastAsia" w:ascii="宋体" w:hAnsi="宋体" w:eastAsia="宋体" w:cs="宋体"/>
          <w:color w:val="auto"/>
          <w:highlight w:val="none"/>
        </w:rPr>
      </w:pPr>
      <w:bookmarkStart w:id="1" w:name="_Toc5748"/>
      <w:bookmarkStart w:id="2" w:name="_Toc95489486"/>
      <w:r>
        <w:rPr>
          <w:rFonts w:hint="eastAsia" w:ascii="宋体" w:hAnsi="宋体" w:eastAsia="宋体" w:cs="宋体"/>
          <w:color w:val="auto"/>
          <w:highlight w:val="none"/>
        </w:rPr>
        <w:t>1. 招标条件</w:t>
      </w:r>
      <w:bookmarkEnd w:id="1"/>
      <w:bookmarkEnd w:id="2"/>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u w:val="single"/>
        </w:rPr>
        <w:t>国信招标集团股份有限公司</w:t>
      </w:r>
      <w:r>
        <w:rPr>
          <w:rFonts w:hint="eastAsia" w:ascii="宋体" w:hAnsi="宋体" w:cs="宋体"/>
          <w:bCs/>
          <w:color w:val="auto"/>
          <w:szCs w:val="21"/>
          <w:highlight w:val="none"/>
        </w:rPr>
        <w:t>（以下简称“招标代理机构”）受</w:t>
      </w:r>
      <w:r>
        <w:rPr>
          <w:rFonts w:hint="eastAsia" w:ascii="宋体" w:hAnsi="宋体" w:cs="宋体"/>
          <w:bCs/>
          <w:color w:val="auto"/>
          <w:szCs w:val="21"/>
          <w:highlight w:val="none"/>
          <w:u w:val="single"/>
        </w:rPr>
        <w:t>广东能源青洲海上风电有限公司</w:t>
      </w:r>
      <w:r>
        <w:rPr>
          <w:rFonts w:hint="eastAsia" w:ascii="宋体" w:hAnsi="宋体" w:cs="宋体"/>
          <w:bCs/>
          <w:color w:val="auto"/>
          <w:szCs w:val="21"/>
          <w:highlight w:val="none"/>
        </w:rPr>
        <w:t>（以下简称“招标人”）委托，就</w:t>
      </w:r>
      <w:r>
        <w:rPr>
          <w:rFonts w:hint="eastAsia" w:ascii="宋体" w:hAnsi="宋体" w:cs="宋体"/>
          <w:bCs/>
          <w:color w:val="auto"/>
          <w:szCs w:val="21"/>
          <w:highlight w:val="none"/>
          <w:u w:val="single"/>
        </w:rPr>
        <w:t>粤电阳江青洲一、二海上风电场项目海洋生态补偿（增殖放流）苗种供应与放流服务项目</w:t>
      </w:r>
      <w:r>
        <w:rPr>
          <w:rFonts w:hint="eastAsia" w:ascii="宋体" w:hAnsi="宋体" w:cs="宋体"/>
          <w:bCs/>
          <w:color w:val="auto"/>
          <w:szCs w:val="21"/>
          <w:highlight w:val="none"/>
        </w:rPr>
        <w:t>进行</w:t>
      </w:r>
      <w:bookmarkStart w:id="3" w:name="bm3"/>
      <w:r>
        <w:rPr>
          <w:rFonts w:hint="eastAsia" w:ascii="宋体" w:hAnsi="宋体" w:cs="宋体"/>
          <w:bCs/>
          <w:color w:val="auto"/>
          <w:szCs w:val="21"/>
          <w:highlight w:val="none"/>
          <w:u w:val="single"/>
        </w:rPr>
        <w:t>公开招标</w:t>
      </w:r>
      <w:bookmarkEnd w:id="3"/>
      <w:r>
        <w:rPr>
          <w:rFonts w:hint="eastAsia" w:ascii="宋体" w:hAnsi="宋体" w:cs="宋体"/>
          <w:bCs/>
          <w:color w:val="auto"/>
          <w:szCs w:val="21"/>
          <w:highlight w:val="none"/>
        </w:rPr>
        <w:t>，资金来源为</w:t>
      </w:r>
      <w:r>
        <w:rPr>
          <w:rFonts w:hint="eastAsia" w:ascii="宋体" w:hAnsi="宋体" w:cs="宋体"/>
          <w:bCs/>
          <w:color w:val="auto"/>
          <w:szCs w:val="21"/>
          <w:highlight w:val="none"/>
          <w:u w:val="single"/>
        </w:rPr>
        <w:t>企业自筹</w:t>
      </w:r>
      <w:r>
        <w:rPr>
          <w:rFonts w:hint="eastAsia" w:ascii="宋体" w:hAnsi="宋体" w:cs="宋体"/>
          <w:bCs/>
          <w:color w:val="auto"/>
          <w:szCs w:val="21"/>
          <w:highlight w:val="none"/>
        </w:rPr>
        <w:t>，现邀请有兴趣的潜在投标人（以下简称投标人）按照本公告的要求提出投标登记申请。</w:t>
      </w:r>
    </w:p>
    <w:p>
      <w:pPr>
        <w:pStyle w:val="4"/>
        <w:spacing w:line="240" w:lineRule="auto"/>
        <w:rPr>
          <w:rFonts w:hint="eastAsia" w:ascii="宋体" w:hAnsi="宋体" w:eastAsia="宋体" w:cs="宋体"/>
          <w:color w:val="auto"/>
          <w:highlight w:val="none"/>
        </w:rPr>
      </w:pPr>
      <w:bookmarkStart w:id="4" w:name="_Toc95489487"/>
      <w:bookmarkStart w:id="5" w:name="_Toc16554"/>
      <w:r>
        <w:rPr>
          <w:rFonts w:hint="eastAsia" w:ascii="宋体" w:hAnsi="宋体" w:eastAsia="宋体" w:cs="宋体"/>
          <w:color w:val="auto"/>
          <w:highlight w:val="none"/>
        </w:rPr>
        <w:t>2. 项目概况与招标范围</w:t>
      </w:r>
      <w:bookmarkEnd w:id="4"/>
      <w:bookmarkEnd w:id="5"/>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2.1项目概况：</w:t>
      </w:r>
    </w:p>
    <w:p>
      <w:pPr>
        <w:snapToGrid w:val="0"/>
        <w:spacing w:line="360" w:lineRule="auto"/>
        <w:ind w:firstLine="420" w:firstLineChars="200"/>
        <w:jc w:val="left"/>
        <w:rPr>
          <w:rFonts w:hint="eastAsia" w:ascii="宋体" w:hAnsi="宋体" w:cs="宋体"/>
          <w:bCs/>
          <w:color w:val="auto"/>
          <w:szCs w:val="21"/>
          <w:highlight w:val="none"/>
        </w:rPr>
      </w:pPr>
      <w:bookmarkStart w:id="6" w:name="_Hlk80090665"/>
      <w:r>
        <w:rPr>
          <w:rFonts w:hint="eastAsia" w:ascii="宋体" w:hAnsi="宋体"/>
          <w:color w:val="auto"/>
          <w:highlight w:val="none"/>
        </w:rPr>
        <w:t>根据《粤电阳江青洲一海上风电场项目调整变更补充专题报告》、《粤电阳江青洲二海上风电场项目调整变更补充专题报告》、《粤电阳江青洲一海上风电场项目海洋生态补偿技术的研究与应用项目实施方案》、《粤电阳江青洲二海上风电场项目海洋生态补偿技术的研究与应用项目实施方案》</w:t>
      </w:r>
      <w:r>
        <w:rPr>
          <w:rFonts w:hint="eastAsia"/>
          <w:color w:val="auto"/>
          <w:highlight w:val="none"/>
        </w:rPr>
        <w:t>。</w:t>
      </w:r>
      <w:r>
        <w:rPr>
          <w:rFonts w:hint="eastAsia" w:ascii="宋体" w:hAnsi="宋体"/>
          <w:color w:val="auto"/>
          <w:highlight w:val="none"/>
        </w:rPr>
        <w:t>为此，公司拟依据《中华人民共和国渔业法》、《水生生物增殖放流技术规程》（SC/T9401-2010）和《农业农村部关于做好“十四五”水生生物增殖放流工作的指导意见》 （农渔发〔2022〕1号）等法规，通过增殖放流的方式进行生态补偿。</w:t>
      </w:r>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2.2招标范围：</w:t>
      </w:r>
    </w:p>
    <w:tbl>
      <w:tblPr>
        <w:tblStyle w:val="10"/>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814"/>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jc w:val="center"/>
        </w:trPr>
        <w:tc>
          <w:tcPr>
            <w:tcW w:w="1587" w:type="dxa"/>
            <w:noWrap w:val="0"/>
            <w:vAlign w:val="center"/>
          </w:tcPr>
          <w:p>
            <w:pPr>
              <w:snapToGrid w:val="0"/>
              <w:spacing w:before="48" w:beforeLines="20" w:after="48" w:afterLines="20" w:line="30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招标编号/包号</w:t>
            </w:r>
          </w:p>
        </w:tc>
        <w:tc>
          <w:tcPr>
            <w:tcW w:w="1814" w:type="dxa"/>
            <w:noWrap w:val="0"/>
            <w:vAlign w:val="center"/>
          </w:tcPr>
          <w:p>
            <w:pPr>
              <w:snapToGrid w:val="0"/>
              <w:spacing w:before="48" w:beforeLines="20" w:after="48" w:afterLines="20" w:line="30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项目/包名称</w:t>
            </w:r>
          </w:p>
        </w:tc>
        <w:tc>
          <w:tcPr>
            <w:tcW w:w="5573" w:type="dxa"/>
            <w:noWrap w:val="0"/>
            <w:vAlign w:val="center"/>
          </w:tcPr>
          <w:p>
            <w:pPr>
              <w:snapToGrid w:val="0"/>
              <w:spacing w:before="48" w:beforeLines="20" w:after="48" w:afterLines="20" w:line="30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招标范围</w:t>
            </w:r>
          </w:p>
          <w:p>
            <w:pPr>
              <w:snapToGrid w:val="0"/>
              <w:spacing w:before="48" w:beforeLines="20" w:after="48" w:afterLines="20" w:line="300" w:lineRule="auto"/>
              <w:jc w:val="center"/>
              <w:rPr>
                <w:rFonts w:hint="eastAsia" w:ascii="宋体" w:hAnsi="宋体" w:cs="宋体"/>
                <w:bCs/>
                <w:color w:val="auto"/>
                <w:szCs w:val="21"/>
                <w:highlight w:val="none"/>
              </w:rPr>
            </w:pPr>
            <w:r>
              <w:rPr>
                <w:rFonts w:hint="eastAsia" w:ascii="宋体" w:hAnsi="宋体" w:cs="宋体"/>
                <w:b/>
                <w:bCs/>
                <w:color w:val="auto"/>
                <w:szCs w:val="21"/>
                <w:highlight w:val="none"/>
              </w:rPr>
              <w:t>（以技术规范书要求为准）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587" w:type="dxa"/>
            <w:noWrap w:val="0"/>
            <w:vAlign w:val="center"/>
          </w:tcPr>
          <w:p>
            <w:pPr>
              <w:snapToGrid w:val="0"/>
              <w:spacing w:before="48" w:beforeLines="20" w:after="48" w:afterLines="20" w:line="30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GXTC-C-24280006-001</w:t>
            </w:r>
          </w:p>
          <w:p>
            <w:pPr>
              <w:snapToGrid w:val="0"/>
              <w:spacing w:before="48" w:beforeLines="20" w:after="48" w:afterLines="20" w:line="30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包1</w:t>
            </w:r>
          </w:p>
        </w:tc>
        <w:tc>
          <w:tcPr>
            <w:tcW w:w="1814" w:type="dxa"/>
            <w:noWrap w:val="0"/>
            <w:vAlign w:val="center"/>
          </w:tcPr>
          <w:p>
            <w:pPr>
              <w:snapToGrid w:val="0"/>
              <w:spacing w:before="48" w:beforeLines="20" w:after="48" w:afterLines="20" w:line="30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粤电阳江青洲一海上风电场项目海洋生态补偿（增殖放流）苗种供应与放流服务项目</w:t>
            </w:r>
          </w:p>
        </w:tc>
        <w:tc>
          <w:tcPr>
            <w:tcW w:w="5573" w:type="dxa"/>
            <w:noWrap w:val="0"/>
            <w:vAlign w:val="center"/>
          </w:tcPr>
          <w:p>
            <w:pPr>
              <w:pStyle w:val="5"/>
              <w:ind w:firstLine="0"/>
              <w:rPr>
                <w:rFonts w:hint="eastAsia" w:ascii="宋体" w:hAnsi="宋体" w:cs="宋体"/>
                <w:color w:val="auto"/>
                <w:szCs w:val="21"/>
                <w:highlight w:val="none"/>
              </w:rPr>
            </w:pPr>
            <w:r>
              <w:rPr>
                <w:rFonts w:hint="eastAsia"/>
                <w:color w:val="auto"/>
                <w:highlight w:val="none"/>
              </w:rPr>
              <w:t>负责</w:t>
            </w:r>
            <w:r>
              <w:rPr>
                <w:color w:val="auto"/>
                <w:highlight w:val="none"/>
              </w:rPr>
              <w:t>粤电</w:t>
            </w:r>
            <w:r>
              <w:rPr>
                <w:rFonts w:hint="eastAsia"/>
                <w:color w:val="auto"/>
                <w:highlight w:val="none"/>
              </w:rPr>
              <w:t>阳江青洲一海上风电场项目海洋生态补偿（增殖放流）苗种供应与放流服务，</w:t>
            </w:r>
            <w:r>
              <w:rPr>
                <w:rFonts w:hint="eastAsia" w:ascii="宋体" w:hAnsi="宋体" w:cs="宋体"/>
                <w:color w:val="auto"/>
                <w:kern w:val="0"/>
                <w:szCs w:val="21"/>
                <w:highlight w:val="none"/>
              </w:rPr>
              <w:t>工作内容主要包括以下（包括但不限于）：</w:t>
            </w:r>
          </w:p>
          <w:p>
            <w:pPr>
              <w:pStyle w:val="5"/>
              <w:ind w:firstLine="0"/>
              <w:rPr>
                <w:rFonts w:hint="eastAsia" w:ascii="宋体" w:hAnsi="宋体" w:cs="宋体"/>
                <w:color w:val="auto"/>
                <w:szCs w:val="21"/>
                <w:highlight w:val="none"/>
              </w:rPr>
            </w:pPr>
            <w:r>
              <w:rPr>
                <w:rFonts w:hint="eastAsia" w:ascii="宋体" w:hAnsi="宋体" w:cs="宋体"/>
                <w:color w:val="auto"/>
                <w:szCs w:val="21"/>
                <w:highlight w:val="none"/>
              </w:rPr>
              <w:t>1、放流苗种繁育、质检、野化、包装、运输、标志与放流；</w:t>
            </w:r>
          </w:p>
          <w:p>
            <w:pPr>
              <w:pStyle w:val="5"/>
              <w:ind w:firstLine="0"/>
              <w:rPr>
                <w:rFonts w:hint="eastAsia" w:ascii="宋体" w:hAnsi="宋体" w:cs="宋体"/>
                <w:color w:val="auto"/>
                <w:highlight w:val="none"/>
              </w:rPr>
            </w:pPr>
            <w:r>
              <w:rPr>
                <w:rFonts w:hint="eastAsia" w:ascii="宋体" w:hAnsi="宋体" w:cs="宋体"/>
                <w:color w:val="auto"/>
                <w:highlight w:val="none"/>
              </w:rPr>
              <w:t>2、开展增殖放流关键技术研究；</w:t>
            </w:r>
          </w:p>
          <w:p>
            <w:pPr>
              <w:pStyle w:val="5"/>
              <w:ind w:firstLine="0"/>
              <w:rPr>
                <w:rFonts w:hint="eastAsia" w:ascii="宋体" w:hAnsi="宋体" w:cs="宋体"/>
                <w:color w:val="auto"/>
                <w:highlight w:val="none"/>
              </w:rPr>
            </w:pPr>
            <w:r>
              <w:rPr>
                <w:rFonts w:hint="eastAsia" w:ascii="宋体" w:hAnsi="宋体" w:cs="宋体"/>
                <w:color w:val="auto"/>
                <w:highlight w:val="none"/>
              </w:rPr>
              <w:t>3、配合增殖放流成果宣传；</w:t>
            </w:r>
          </w:p>
          <w:p>
            <w:pPr>
              <w:pStyle w:val="5"/>
              <w:ind w:firstLine="0"/>
              <w:rPr>
                <w:rFonts w:hint="eastAsia" w:ascii="宋体" w:hAnsi="宋体" w:cs="宋体"/>
                <w:color w:val="auto"/>
                <w:szCs w:val="21"/>
                <w:highlight w:val="none"/>
              </w:rPr>
            </w:pPr>
            <w:r>
              <w:rPr>
                <w:rFonts w:hint="eastAsia" w:ascii="宋体" w:hAnsi="宋体" w:cs="宋体"/>
                <w:color w:val="auto"/>
                <w:szCs w:val="21"/>
                <w:highlight w:val="none"/>
              </w:rPr>
              <w:t>4、配合总体项目验收；</w:t>
            </w:r>
          </w:p>
          <w:p>
            <w:pPr>
              <w:pStyle w:val="5"/>
              <w:ind w:firstLine="0"/>
              <w:rPr>
                <w:rFonts w:hint="eastAsia" w:ascii="宋体" w:hAnsi="宋体" w:cs="宋体"/>
                <w:color w:val="auto"/>
                <w:szCs w:val="21"/>
                <w:highlight w:val="none"/>
              </w:rPr>
            </w:pPr>
            <w:r>
              <w:rPr>
                <w:rFonts w:hint="eastAsia" w:ascii="宋体" w:hAnsi="宋体" w:cs="宋体"/>
                <w:color w:val="auto"/>
                <w:szCs w:val="21"/>
                <w:highlight w:val="none"/>
              </w:rPr>
              <w:t>具体内容以《技术规范书》为准。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587" w:type="dxa"/>
            <w:noWrap w:val="0"/>
            <w:vAlign w:val="center"/>
          </w:tcPr>
          <w:p>
            <w:pPr>
              <w:snapToGrid w:val="0"/>
              <w:spacing w:before="48" w:beforeLines="20" w:after="48" w:afterLines="20" w:line="30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GXTC-C-24280006-002</w:t>
            </w:r>
          </w:p>
          <w:p>
            <w:pPr>
              <w:snapToGrid w:val="0"/>
              <w:spacing w:before="48" w:beforeLines="20" w:after="48" w:afterLines="20" w:line="30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包2</w:t>
            </w:r>
          </w:p>
        </w:tc>
        <w:tc>
          <w:tcPr>
            <w:tcW w:w="1814" w:type="dxa"/>
            <w:noWrap w:val="0"/>
            <w:vAlign w:val="center"/>
          </w:tcPr>
          <w:p>
            <w:pPr>
              <w:snapToGrid w:val="0"/>
              <w:spacing w:before="48" w:beforeLines="20" w:after="48" w:afterLines="20" w:line="30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粤电阳江青洲二海上风电场项目海洋生态补偿（增殖放流）苗种供应与放流服务项目</w:t>
            </w:r>
          </w:p>
        </w:tc>
        <w:tc>
          <w:tcPr>
            <w:tcW w:w="5573" w:type="dxa"/>
            <w:noWrap w:val="0"/>
            <w:vAlign w:val="center"/>
          </w:tcPr>
          <w:p>
            <w:pPr>
              <w:pStyle w:val="5"/>
              <w:ind w:firstLine="0"/>
              <w:rPr>
                <w:rFonts w:hint="eastAsia"/>
                <w:color w:val="auto"/>
                <w:highlight w:val="none"/>
              </w:rPr>
            </w:pPr>
            <w:r>
              <w:rPr>
                <w:rFonts w:hint="eastAsia"/>
                <w:color w:val="auto"/>
                <w:highlight w:val="none"/>
              </w:rPr>
              <w:t>负责粤电阳江青洲二海上风电场项目海洋生态补偿（增殖放流）苗种供应与放流服务项目，工作内容主要包括以下（包括但不限于）：</w:t>
            </w:r>
          </w:p>
          <w:p>
            <w:pPr>
              <w:pStyle w:val="5"/>
              <w:ind w:firstLine="0"/>
              <w:rPr>
                <w:rFonts w:hint="eastAsia" w:ascii="宋体" w:hAnsi="宋体" w:cs="仿宋_GB2312"/>
                <w:color w:val="auto"/>
                <w:szCs w:val="21"/>
                <w:highlight w:val="none"/>
              </w:rPr>
            </w:pPr>
            <w:r>
              <w:rPr>
                <w:rFonts w:hint="eastAsia" w:ascii="宋体" w:hAnsi="宋体" w:cs="仿宋_GB2312"/>
                <w:color w:val="auto"/>
                <w:szCs w:val="21"/>
                <w:highlight w:val="none"/>
              </w:rPr>
              <w:t>1、放流苗种繁育、质检、野化、包装、运输、标志与放流；</w:t>
            </w:r>
          </w:p>
          <w:p>
            <w:pPr>
              <w:pStyle w:val="5"/>
              <w:ind w:firstLine="0"/>
              <w:rPr>
                <w:rFonts w:hint="eastAsia" w:hAnsi="宋体"/>
                <w:color w:val="auto"/>
                <w:highlight w:val="none"/>
              </w:rPr>
            </w:pPr>
            <w:r>
              <w:rPr>
                <w:rFonts w:hint="eastAsia" w:ascii="宋体" w:hAnsi="宋体" w:cs="仿宋_GB2312"/>
                <w:color w:val="auto"/>
                <w:szCs w:val="21"/>
                <w:highlight w:val="none"/>
              </w:rPr>
              <w:t>2、开展</w:t>
            </w:r>
            <w:r>
              <w:rPr>
                <w:rFonts w:hint="eastAsia" w:hAnsi="宋体"/>
                <w:color w:val="auto"/>
                <w:highlight w:val="none"/>
              </w:rPr>
              <w:t>增殖放流关键技术研究；</w:t>
            </w:r>
          </w:p>
          <w:p>
            <w:pPr>
              <w:pStyle w:val="5"/>
              <w:ind w:firstLine="0"/>
              <w:rPr>
                <w:rFonts w:hint="eastAsia" w:ascii="宋体" w:hAnsi="宋体" w:cs="仿宋_GB2312"/>
                <w:color w:val="auto"/>
                <w:szCs w:val="21"/>
                <w:highlight w:val="none"/>
              </w:rPr>
            </w:pPr>
            <w:r>
              <w:rPr>
                <w:rFonts w:hint="eastAsia" w:ascii="宋体" w:hAnsi="宋体" w:cs="仿宋_GB2312"/>
                <w:color w:val="auto"/>
                <w:szCs w:val="21"/>
                <w:highlight w:val="none"/>
              </w:rPr>
              <w:t>3、配合增殖放流成果宣传；</w:t>
            </w:r>
          </w:p>
          <w:p>
            <w:pPr>
              <w:pStyle w:val="5"/>
              <w:ind w:firstLine="0"/>
              <w:rPr>
                <w:rFonts w:hint="eastAsia" w:ascii="宋体" w:hAnsi="宋体" w:cs="仿宋_GB2312"/>
                <w:color w:val="auto"/>
                <w:szCs w:val="21"/>
                <w:highlight w:val="none"/>
              </w:rPr>
            </w:pPr>
            <w:r>
              <w:rPr>
                <w:rFonts w:hint="eastAsia" w:ascii="宋体" w:hAnsi="宋体" w:cs="仿宋_GB2312"/>
                <w:color w:val="auto"/>
                <w:szCs w:val="21"/>
                <w:highlight w:val="none"/>
              </w:rPr>
              <w:t>4、配合总体项目验收；</w:t>
            </w:r>
          </w:p>
          <w:p>
            <w:pPr>
              <w:pStyle w:val="5"/>
              <w:ind w:firstLine="0"/>
              <w:rPr>
                <w:rFonts w:hint="eastAsia" w:ascii="宋体" w:hAnsi="宋体" w:cs="仿宋_GB2312"/>
                <w:color w:val="auto"/>
                <w:szCs w:val="21"/>
                <w:highlight w:val="none"/>
              </w:rPr>
            </w:pPr>
            <w:r>
              <w:rPr>
                <w:rFonts w:hint="eastAsia" w:ascii="宋体" w:hAnsi="宋体" w:cs="宋体"/>
                <w:color w:val="auto"/>
                <w:szCs w:val="21"/>
                <w:highlight w:val="none"/>
              </w:rPr>
              <w:t>具体内容以《技术规范书》为准。</w:t>
            </w:r>
          </w:p>
        </w:tc>
      </w:tr>
    </w:tbl>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投标人必须对包组招标范围内的全部内容进行投标，不允许只对包组的部分内容投标；如有重大缺漏，将导致投标被否决。具体内容详见招标文件并以其要求为准。</w:t>
      </w:r>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2.3包组划分：</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本项目共分2个包，可兼投不可兼中。各包中标候选人顺序确定方法如下：若某个投标人被推荐为该项目某一个包的第一中标候选人，该投标人在其他包不再推荐为中标候选人。若某个投标人在2个包同时成为第一中标候选人时，则将确定其投标报价最大的包为第一中标候选人；该投标人在其他包不再作为中标候选人；评标委员会完成所有包第一中标候选人的推荐工作后，在各包剩余的候选单位中按照投标人总分排名依次推荐每个包的第二中标候选人；若在推荐第一中标候选人的过程中某包仅有唯一候选人，则该候选人将直接被推荐为此包的第一中标候选人，</w:t>
      </w:r>
      <w:r>
        <w:rPr>
          <w:rFonts w:hint="eastAsia" w:ascii="宋体" w:hAnsi="宋体" w:cs="宋体"/>
          <w:bCs/>
          <w:color w:val="auto"/>
          <w:szCs w:val="21"/>
          <w:highlight w:val="none"/>
        </w:rPr>
        <w:tab/>
      </w:r>
      <w:r>
        <w:rPr>
          <w:rFonts w:hint="eastAsia" w:ascii="宋体" w:hAnsi="宋体" w:cs="宋体"/>
          <w:bCs/>
          <w:color w:val="auto"/>
          <w:szCs w:val="21"/>
          <w:highlight w:val="none"/>
        </w:rPr>
        <w:t>以此类推；若某一包无可推荐的中标候选人，则该包重新进行招标。</w:t>
      </w:r>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2.4服务期要求：</w:t>
      </w:r>
    </w:p>
    <w:p>
      <w:pPr>
        <w:snapToGrid w:val="0"/>
        <w:spacing w:line="360" w:lineRule="auto"/>
        <w:ind w:firstLine="420" w:firstLineChars="200"/>
        <w:jc w:val="left"/>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签订合同后7个月内。具体安排以招标人通知为准。</w:t>
      </w:r>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2.5工作地点：</w:t>
      </w:r>
    </w:p>
    <w:p>
      <w:pPr>
        <w:snapToGrid w:val="0"/>
        <w:spacing w:line="360" w:lineRule="auto"/>
        <w:ind w:firstLine="420" w:firstLineChars="200"/>
        <w:jc w:val="left"/>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招标人指定地点。</w:t>
      </w:r>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2.6质量要求：</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满足技术规范书要求，符合合同规定的服务标准。</w:t>
      </w:r>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2.7承包方式：</w:t>
      </w:r>
    </w:p>
    <w:p>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固定综合单价承包</w:t>
      </w:r>
    </w:p>
    <w:bookmarkEnd w:id="6"/>
    <w:p>
      <w:pPr>
        <w:pStyle w:val="4"/>
        <w:spacing w:line="240" w:lineRule="auto"/>
        <w:rPr>
          <w:rFonts w:hint="eastAsia" w:ascii="宋体" w:hAnsi="宋体" w:eastAsia="宋体" w:cs="宋体"/>
          <w:color w:val="auto"/>
          <w:highlight w:val="none"/>
        </w:rPr>
      </w:pPr>
      <w:bookmarkStart w:id="7" w:name="_Toc13386"/>
      <w:bookmarkStart w:id="8" w:name="_Toc95489488"/>
      <w:r>
        <w:rPr>
          <w:rFonts w:hint="eastAsia" w:ascii="宋体" w:hAnsi="宋体" w:eastAsia="宋体" w:cs="宋体"/>
          <w:color w:val="auto"/>
          <w:highlight w:val="none"/>
        </w:rPr>
        <w:t>3. 投标人资格要求</w:t>
      </w:r>
      <w:bookmarkEnd w:id="7"/>
      <w:bookmarkEnd w:id="8"/>
    </w:p>
    <w:p>
      <w:pPr>
        <w:snapToGrid w:val="0"/>
        <w:spacing w:line="360" w:lineRule="auto"/>
        <w:jc w:val="left"/>
        <w:rPr>
          <w:rFonts w:hint="eastAsia" w:ascii="宋体" w:hAnsi="宋体" w:cs="宋体"/>
          <w:b/>
          <w:bCs/>
          <w:color w:val="auto"/>
          <w:szCs w:val="21"/>
          <w:highlight w:val="none"/>
        </w:rPr>
      </w:pPr>
      <w:bookmarkStart w:id="9" w:name="_Toc482188415"/>
      <w:bookmarkStart w:id="10" w:name="_Toc361508565"/>
      <w:bookmarkStart w:id="11" w:name="_Toc390409512"/>
      <w:bookmarkStart w:id="12" w:name="_Toc384308190"/>
      <w:r>
        <w:rPr>
          <w:rFonts w:hint="eastAsia" w:ascii="宋体" w:hAnsi="宋体" w:cs="宋体"/>
          <w:b/>
          <w:bCs/>
          <w:color w:val="auto"/>
          <w:szCs w:val="21"/>
          <w:highlight w:val="none"/>
        </w:rPr>
        <w:t>3.1基本要求</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（1）投标人必须是中华人民共和国境内注册的独立法人，且具有独立订立合同的资格。</w:t>
      </w:r>
    </w:p>
    <w:p>
      <w:pPr>
        <w:pStyle w:val="5"/>
        <w:spacing w:line="360" w:lineRule="auto"/>
        <w:ind w:firstLineChars="200"/>
        <w:rPr>
          <w:rFonts w:hint="eastAsia" w:ascii="宋体" w:hAnsi="宋体" w:cs="宋体"/>
          <w:bCs/>
          <w:color w:val="auto"/>
          <w:szCs w:val="21"/>
          <w:highlight w:val="none"/>
        </w:rPr>
      </w:pPr>
      <w:r>
        <w:rPr>
          <w:rFonts w:hint="eastAsia" w:ascii="宋体" w:hAnsi="宋体" w:cs="宋体"/>
          <w:bCs/>
          <w:color w:val="auto"/>
          <w:szCs w:val="21"/>
          <w:highlight w:val="none"/>
        </w:rPr>
        <w:t>（2）投标人应持有有效期内的《水产苗种生产许可证》，且具有履行合同所需的水产种苗生产基地(场)(提供有效期内的场地租售相关证明材料及相关证书复印件)。</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（4）本次招标不接受联合体投标。</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（5）投标人没有被列入广东省能源集团有限公司级、二级平台企业级和招标人供应商黑名单或灰名单的，包括处于“黑名单或灰名单通知”中禁止参加投标的期间。</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（6）投标人不得存在下列情形之一：</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1）在国家企业信用信息公示系统（http://www.gsxt.gov.cn/）中被列入严重违法失信企业名单；</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2）在“信用中国”网站（http://www.creditchina.gov.cn/）或“中国执行信息公开网”网站（http://zxgk.court.gov.cn/）中列入失信被执行人名单；</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3）近三年内在中国裁判文书网（http://wenshu.court.gov.cn/）中投标人或其法定代表人、拟委任的项目经理（项目负责人）有行贿犯罪行为记录；</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4）投标人在递交投标文件时需提供不存在上述3种情形的声明函并附对应网站查询结果截图。</w:t>
      </w:r>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3.2业绩要求</w:t>
      </w:r>
    </w:p>
    <w:p>
      <w:pPr>
        <w:snapToGrid w:val="0"/>
        <w:spacing w:line="360" w:lineRule="auto"/>
        <w:ind w:firstLine="420" w:firstLineChars="200"/>
        <w:jc w:val="left"/>
        <w:rPr>
          <w:rFonts w:hint="eastAsia" w:ascii="宋体" w:hAnsi="宋体" w:cs="宋体"/>
          <w:bCs/>
          <w:color w:val="auto"/>
          <w:szCs w:val="21"/>
          <w:highlight w:val="none"/>
        </w:rPr>
      </w:pPr>
      <w:bookmarkStart w:id="13" w:name="_Hlk80090859"/>
      <w:r>
        <w:rPr>
          <w:rFonts w:hint="eastAsia" w:ascii="宋体" w:hAnsi="宋体" w:cs="宋体"/>
          <w:bCs/>
          <w:color w:val="auto"/>
          <w:szCs w:val="21"/>
          <w:highlight w:val="none"/>
        </w:rPr>
        <w:t>（1）投标人自2019年1月1日至投标截止日，具有不少于1项</w:t>
      </w:r>
      <w:r>
        <w:rPr>
          <w:rFonts w:hint="eastAsia" w:hAnsi="宋体"/>
          <w:color w:val="auto"/>
          <w:highlight w:val="none"/>
        </w:rPr>
        <w:t>增殖放流或水产养殖服务</w:t>
      </w:r>
      <w:r>
        <w:rPr>
          <w:rFonts w:hint="eastAsia" w:ascii="宋体" w:hAnsi="宋体" w:cs="宋体"/>
          <w:bCs/>
          <w:color w:val="auto"/>
          <w:szCs w:val="21"/>
          <w:highlight w:val="none"/>
        </w:rPr>
        <w:t>业绩；</w:t>
      </w:r>
    </w:p>
    <w:bookmarkEnd w:id="13"/>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投标人所提供的业绩应是投标人的，而不是其母公司、合作方的；投标人应当提供业绩合同复印件作为证明文件，业绩时间以合同签订时间为准。证明文件能清晰显示项目名称、合同承包范围、合同签订日期、签字盖章页。</w:t>
      </w:r>
    </w:p>
    <w:bookmarkEnd w:id="9"/>
    <w:bookmarkEnd w:id="10"/>
    <w:bookmarkEnd w:id="11"/>
    <w:bookmarkEnd w:id="12"/>
    <w:p>
      <w:pPr>
        <w:pStyle w:val="4"/>
        <w:spacing w:line="240" w:lineRule="auto"/>
        <w:rPr>
          <w:rFonts w:hint="eastAsia" w:ascii="宋体" w:hAnsi="宋体" w:eastAsia="宋体" w:cs="宋体"/>
          <w:color w:val="auto"/>
          <w:highlight w:val="none"/>
        </w:rPr>
      </w:pPr>
      <w:bookmarkStart w:id="14" w:name="_Toc8084"/>
      <w:bookmarkStart w:id="15" w:name="_Toc95489489"/>
      <w:r>
        <w:rPr>
          <w:rFonts w:hint="eastAsia" w:ascii="宋体" w:hAnsi="宋体" w:eastAsia="宋体" w:cs="宋体"/>
          <w:color w:val="auto"/>
          <w:highlight w:val="none"/>
        </w:rPr>
        <w:t>4. 招标文件的获取</w:t>
      </w:r>
      <w:bookmarkEnd w:id="14"/>
      <w:bookmarkEnd w:id="15"/>
    </w:p>
    <w:p>
      <w:pPr>
        <w:adjustRightInd w:val="0"/>
        <w:snapToGrid w:val="0"/>
        <w:spacing w:line="360" w:lineRule="auto"/>
        <w:jc w:val="left"/>
        <w:textAlignment w:val="baseline"/>
        <w:rPr>
          <w:rFonts w:hint="eastAsia" w:ascii="宋体" w:hAnsi="宋体" w:cs="宋体"/>
          <w:color w:val="auto"/>
          <w:kern w:val="0"/>
          <w:szCs w:val="21"/>
          <w:highlight w:val="none"/>
        </w:rPr>
      </w:pPr>
      <w:r>
        <w:rPr>
          <w:rFonts w:hint="eastAsia" w:ascii="宋体" w:hAnsi="宋体" w:cs="宋体"/>
          <w:bCs/>
          <w:color w:val="auto"/>
          <w:kern w:val="0"/>
          <w:szCs w:val="21"/>
          <w:highlight w:val="none"/>
        </w:rPr>
        <w:t>4.1</w:t>
      </w:r>
      <w:r>
        <w:rPr>
          <w:rFonts w:hint="eastAsia" w:ascii="宋体" w:hAnsi="宋体" w:cs="宋体"/>
          <w:color w:val="auto"/>
          <w:kern w:val="0"/>
          <w:szCs w:val="21"/>
          <w:highlight w:val="none"/>
        </w:rPr>
        <w:t>有兴趣且符合本公告第3条资格要求的投标申请人在投标登记前应在广州公共资源交易中心办理好企业信息登记，按本公告后附的格式和要求编写并递交投标登记资料购买招标文件。</w:t>
      </w:r>
    </w:p>
    <w:p>
      <w:pPr>
        <w:adjustRightInd w:val="0"/>
        <w:spacing w:line="360" w:lineRule="auto"/>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（a）《投标登记申请表》（一式两份，加盖公章及法定代表人章，可从广州公共资源交易中心网站下载）。</w:t>
      </w:r>
    </w:p>
    <w:p>
      <w:pPr>
        <w:adjustRightInd w:val="0"/>
        <w:spacing w:line="360" w:lineRule="auto"/>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（b）证明投标人满足本公告第3点的原始文件的复印件。</w:t>
      </w:r>
    </w:p>
    <w:p>
      <w:pPr>
        <w:adjustRightInd w:val="0"/>
        <w:spacing w:line="360" w:lineRule="auto"/>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c）各投标人须将以上资料（除《投标登记申请表》单独递交外）按本公告附件的格式顺序整理成册，每页加盖公章扫描。按本公告第3点提交的扫描件需加盖公章。所提供的资料必须真实完整，如被发现有任何虚假、隐瞒情况者，经招标监督部门核实，其投标资格将被取消。</w:t>
      </w:r>
    </w:p>
    <w:p>
      <w:pPr>
        <w:adjustRightIn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4.2投标登记时间：</w:t>
      </w:r>
    </w:p>
    <w:p>
      <w:pPr>
        <w:adjustRightIn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4.2.1招标公告发布时间：2024年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日至2024年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djustRightIn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4.2.2投标登记及递交投标登记资料时间：2024年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日至2024年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日，每天（法定公休日，法定节假日除外）9:30至11:30，14:00至16:00（北京时间）。</w:t>
      </w:r>
    </w:p>
    <w:p>
      <w:pPr>
        <w:adjustRightIn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4.2.3投标登记及递交投标登记资料形式：投标申请人将投标登</w:t>
      </w:r>
      <w:bookmarkStart w:id="72" w:name="_GoBack"/>
      <w:bookmarkEnd w:id="72"/>
      <w:r>
        <w:rPr>
          <w:rFonts w:hint="eastAsia" w:ascii="宋体" w:hAnsi="宋体" w:cs="宋体"/>
          <w:color w:val="auto"/>
          <w:kern w:val="0"/>
          <w:szCs w:val="21"/>
          <w:highlight w:val="none"/>
        </w:rPr>
        <w:t>记申请文件电子版发送到2467920974@qq.com邮箱中，并联系本项目经办人：王工18826258503办理登记。</w:t>
      </w:r>
    </w:p>
    <w:p>
      <w:pPr>
        <w:adjustRightIn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4.2.4经登记审核即可发售招标文件。</w:t>
      </w:r>
    </w:p>
    <w:p>
      <w:pPr>
        <w:adjustRightIn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4.3招标文件发售：</w:t>
      </w:r>
    </w:p>
    <w:p>
      <w:pPr>
        <w:adjustRightIn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4.3.1招标文件售价：</w:t>
      </w:r>
      <w:r>
        <w:rPr>
          <w:rFonts w:hint="eastAsia" w:ascii="宋体" w:hAnsi="宋体" w:cs="宋体"/>
          <w:color w:val="auto"/>
          <w:kern w:val="0"/>
          <w:szCs w:val="21"/>
          <w:highlight w:val="none"/>
          <w:u w:val="single"/>
        </w:rPr>
        <w:t>1000</w:t>
      </w:r>
      <w:r>
        <w:rPr>
          <w:rFonts w:hint="eastAsia" w:ascii="宋体" w:hAnsi="宋体" w:cs="宋体"/>
          <w:color w:val="auto"/>
          <w:kern w:val="0"/>
          <w:szCs w:val="21"/>
          <w:highlight w:val="none"/>
        </w:rPr>
        <w:t xml:space="preserve">元/套（含技术资料，售后不退）。 </w:t>
      </w:r>
    </w:p>
    <w:p>
      <w:pPr>
        <w:adjustRightIn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4.3.2发售时间：2024年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日至2024年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djustRightIn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4.4投标登记注意事项：</w:t>
      </w:r>
    </w:p>
    <w:p>
      <w:pPr>
        <w:adjustRightInd w:val="0"/>
        <w:snapToGri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4.4.1本招标项目的登记申请文件格式可从广州公共资源交易中心网</w:t>
      </w:r>
      <w:r>
        <w:rPr>
          <w:rFonts w:hint="eastAsia" w:ascii="宋体" w:hAnsi="宋体" w:cs="宋体"/>
          <w:color w:val="auto"/>
          <w:kern w:val="0"/>
          <w:szCs w:val="21"/>
          <w:highlight w:val="none"/>
        </w:rPr>
        <w:t>（网址：http://www.gzggzy.cn）</w:t>
      </w:r>
      <w:r>
        <w:rPr>
          <w:rFonts w:hint="eastAsia" w:ascii="宋体" w:hAnsi="宋体" w:cs="宋体"/>
          <w:bCs/>
          <w:color w:val="auto"/>
          <w:kern w:val="0"/>
          <w:szCs w:val="21"/>
          <w:highlight w:val="none"/>
        </w:rPr>
        <w:t>下载。</w:t>
      </w:r>
    </w:p>
    <w:p>
      <w:pPr>
        <w:adjustRightInd w:val="0"/>
        <w:snapToGri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4.4.2投标登记材料，请按照本公告后附的格式将扫描件整理成册，每页加盖单位公章。</w:t>
      </w:r>
    </w:p>
    <w:p>
      <w:pPr>
        <w:adjustRightInd w:val="0"/>
        <w:snapToGri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4.4.3投标人必须在规定的时间内办理投标登记及递交投标登记资料。</w:t>
      </w:r>
    </w:p>
    <w:p>
      <w:pPr>
        <w:pStyle w:val="4"/>
        <w:spacing w:line="240" w:lineRule="auto"/>
        <w:rPr>
          <w:rFonts w:hint="eastAsia" w:ascii="宋体" w:hAnsi="宋体" w:eastAsia="宋体" w:cs="宋体"/>
          <w:color w:val="auto"/>
          <w:highlight w:val="none"/>
        </w:rPr>
      </w:pPr>
      <w:bookmarkStart w:id="16" w:name="_Toc29804"/>
      <w:bookmarkStart w:id="17" w:name="_Toc95489490"/>
      <w:r>
        <w:rPr>
          <w:rFonts w:hint="eastAsia" w:ascii="宋体" w:hAnsi="宋体" w:eastAsia="宋体" w:cs="宋体"/>
          <w:color w:val="auto"/>
          <w:highlight w:val="none"/>
        </w:rPr>
        <w:t>5. 投标文件的递交</w:t>
      </w:r>
      <w:bookmarkEnd w:id="16"/>
      <w:bookmarkEnd w:id="17"/>
    </w:p>
    <w:p>
      <w:pPr>
        <w:snapToGrid w:val="0"/>
        <w:spacing w:line="360" w:lineRule="auto"/>
        <w:jc w:val="left"/>
        <w:rPr>
          <w:rFonts w:hint="eastAsia" w:ascii="宋体" w:hAnsi="宋体" w:cs="宋体"/>
          <w:bCs/>
          <w:color w:val="auto"/>
          <w:szCs w:val="21"/>
          <w:highlight w:val="none"/>
        </w:rPr>
      </w:pPr>
      <w:bookmarkStart w:id="18" w:name="_Toc95489491"/>
      <w:r>
        <w:rPr>
          <w:rFonts w:hint="eastAsia" w:ascii="宋体" w:hAnsi="宋体" w:cs="宋体"/>
          <w:bCs/>
          <w:color w:val="auto"/>
          <w:szCs w:val="21"/>
          <w:highlight w:val="none"/>
        </w:rPr>
        <w:t>5.1投标文件递交的截止时间和开标时间为2024年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szCs w:val="21"/>
          <w:highlight w:val="none"/>
        </w:rPr>
        <w:t>上午09:00时（北京时间），地点：</w:t>
      </w:r>
      <w:r>
        <w:rPr>
          <w:rFonts w:hint="eastAsia" w:ascii="宋体" w:hAnsi="宋体" w:cs="宋体"/>
          <w:bCs/>
          <w:color w:val="auto"/>
          <w:szCs w:val="21"/>
          <w:highlight w:val="none"/>
          <w:u w:val="single"/>
        </w:rPr>
        <w:t>广州公共资源交易中心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05</w:t>
      </w:r>
      <w:r>
        <w:rPr>
          <w:rFonts w:hint="eastAsia" w:ascii="宋体" w:hAnsi="宋体" w:cs="宋体"/>
          <w:color w:val="auto"/>
          <w:kern w:val="0"/>
          <w:szCs w:val="21"/>
          <w:highlight w:val="none"/>
          <w:u w:val="single"/>
        </w:rPr>
        <w:t xml:space="preserve"> </w:t>
      </w:r>
      <w:r>
        <w:rPr>
          <w:rFonts w:hint="eastAsia" w:ascii="宋体" w:hAnsi="宋体" w:cs="宋体"/>
          <w:bCs/>
          <w:color w:val="auto"/>
          <w:szCs w:val="21"/>
          <w:highlight w:val="none"/>
          <w:u w:val="single"/>
        </w:rPr>
        <w:t>开标室（广东省广州市天河区天润路333号）</w:t>
      </w:r>
      <w:r>
        <w:rPr>
          <w:rFonts w:hint="eastAsia" w:ascii="宋体" w:hAnsi="宋体" w:cs="宋体"/>
          <w:bCs/>
          <w:color w:val="auto"/>
          <w:szCs w:val="21"/>
          <w:highlight w:val="none"/>
        </w:rPr>
        <w:t>。</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注：投标人可自行登录广州公共资源交易中心网站首页，点击“建设工程”专栏中的“项目查询（日程安排、答疑纪要）”，输入项目编号或项目名称即可查询，并请密切留意招标答疑中的相关信息。</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5.2逾期送达的或者未送达指定地点的投标文件，招标人不予受理。</w:t>
      </w:r>
    </w:p>
    <w:p>
      <w:pPr>
        <w:pStyle w:val="4"/>
        <w:spacing w:line="240" w:lineRule="auto"/>
        <w:rPr>
          <w:rFonts w:hint="eastAsia" w:ascii="宋体" w:hAnsi="宋体" w:eastAsia="宋体" w:cs="宋体"/>
          <w:color w:val="auto"/>
          <w:highlight w:val="none"/>
        </w:rPr>
      </w:pPr>
      <w:bookmarkStart w:id="19" w:name="_Toc13873"/>
      <w:r>
        <w:rPr>
          <w:rFonts w:hint="eastAsia" w:ascii="宋体" w:hAnsi="宋体" w:eastAsia="宋体" w:cs="宋体"/>
          <w:color w:val="auto"/>
          <w:highlight w:val="none"/>
        </w:rPr>
        <w:t>6. 发布公告的媒介</w:t>
      </w:r>
      <w:bookmarkEnd w:id="18"/>
      <w:bookmarkEnd w:id="19"/>
    </w:p>
    <w:p>
      <w:pPr>
        <w:widowControl/>
        <w:tabs>
          <w:tab w:val="left" w:pos="360"/>
        </w:tabs>
        <w:autoSpaceDE w:val="0"/>
        <w:autoSpaceDN w:val="0"/>
        <w:spacing w:line="360" w:lineRule="auto"/>
        <w:ind w:firstLine="420" w:firstLineChars="200"/>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本次招标公告同时在广州公共资源交易中心网（网址：http://www.gzggzy.cn）、中国招标投标公共服务平台（网址：http://www.cebpubservice.com）、</w:t>
      </w:r>
      <w:r>
        <w:rPr>
          <w:rFonts w:hint="eastAsia" w:ascii="宋体" w:hAnsi="宋体"/>
          <w:color w:val="auto"/>
          <w:szCs w:val="21"/>
          <w:highlight w:val="none"/>
        </w:rPr>
        <w:t>广东省招标投标监管网（网址：</w:t>
      </w:r>
      <w:r>
        <w:rPr>
          <w:rFonts w:ascii="宋体" w:hAnsi="宋体"/>
          <w:color w:val="auto"/>
          <w:szCs w:val="21"/>
          <w:highlight w:val="none"/>
        </w:rPr>
        <w:t>http://zbtb.gd.gov.cn</w:t>
      </w:r>
      <w:r>
        <w:rPr>
          <w:rFonts w:hint="eastAsia" w:ascii="宋体" w:hAnsi="宋体"/>
          <w:color w:val="auto"/>
          <w:szCs w:val="21"/>
          <w:highlight w:val="none"/>
        </w:rPr>
        <w:t>）</w:t>
      </w:r>
      <w:r>
        <w:rPr>
          <w:rFonts w:hint="eastAsia" w:ascii="宋体" w:hAnsi="宋体" w:cs="宋体"/>
          <w:color w:val="auto"/>
          <w:szCs w:val="21"/>
          <w:highlight w:val="none"/>
        </w:rPr>
        <w:t>和“粤采易”阳光采购平台（网址：https://www.gdycy.com/）发布。本公告在各媒体发布的文本如有不同之处，以在广州公共资源交易中心网发布的文本为准。</w:t>
      </w:r>
    </w:p>
    <w:p>
      <w:pPr>
        <w:pStyle w:val="4"/>
        <w:spacing w:line="240" w:lineRule="auto"/>
        <w:rPr>
          <w:rFonts w:hint="eastAsia" w:ascii="宋体" w:hAnsi="宋体" w:eastAsia="宋体" w:cs="宋体"/>
          <w:color w:val="auto"/>
          <w:highlight w:val="none"/>
        </w:rPr>
      </w:pPr>
      <w:bookmarkStart w:id="20" w:name="_Toc95489492"/>
      <w:bookmarkStart w:id="21" w:name="_Toc25259"/>
      <w:r>
        <w:rPr>
          <w:rFonts w:hint="eastAsia" w:ascii="宋体" w:hAnsi="宋体" w:eastAsia="宋体" w:cs="宋体"/>
          <w:color w:val="auto"/>
          <w:highlight w:val="none"/>
        </w:rPr>
        <w:t>7. 联系方式</w:t>
      </w:r>
      <w:bookmarkEnd w:id="20"/>
      <w:bookmarkEnd w:id="21"/>
    </w:p>
    <w:p>
      <w:pPr>
        <w:widowControl/>
        <w:tabs>
          <w:tab w:val="left" w:pos="360"/>
        </w:tabs>
        <w:autoSpaceDE w:val="0"/>
        <w:autoSpaceDN w:val="0"/>
        <w:spacing w:line="360" w:lineRule="auto"/>
        <w:jc w:val="left"/>
        <w:textAlignment w:val="bottom"/>
        <w:rPr>
          <w:rFonts w:hint="eastAsia" w:ascii="宋体" w:hAnsi="宋体" w:cs="宋体"/>
          <w:color w:val="auto"/>
          <w:szCs w:val="21"/>
          <w:highlight w:val="none"/>
        </w:rPr>
      </w:pPr>
      <w:bookmarkStart w:id="22" w:name="_Toc144974480"/>
      <w:bookmarkEnd w:id="22"/>
      <w:bookmarkStart w:id="23" w:name="_Toc361508563"/>
      <w:bookmarkEnd w:id="23"/>
      <w:bookmarkStart w:id="24" w:name="_Toc384308187"/>
      <w:bookmarkEnd w:id="24"/>
      <w:bookmarkStart w:id="25" w:name="_Toc361508578"/>
      <w:bookmarkEnd w:id="25"/>
      <w:bookmarkStart w:id="26" w:name="_Toc247527535"/>
      <w:bookmarkEnd w:id="26"/>
      <w:bookmarkStart w:id="27" w:name="_Toc300834943"/>
      <w:bookmarkEnd w:id="27"/>
      <w:bookmarkStart w:id="28" w:name="_Toc14865"/>
      <w:bookmarkEnd w:id="28"/>
      <w:bookmarkStart w:id="29" w:name="_Toc300834929"/>
      <w:bookmarkEnd w:id="29"/>
      <w:bookmarkStart w:id="30" w:name="_Toc300834941"/>
      <w:bookmarkEnd w:id="30"/>
      <w:bookmarkStart w:id="31" w:name="_Toc300834930"/>
      <w:bookmarkEnd w:id="31"/>
      <w:bookmarkStart w:id="32" w:name="_Toc247527547"/>
      <w:bookmarkEnd w:id="32"/>
      <w:bookmarkStart w:id="33" w:name="_Toc369531495"/>
      <w:bookmarkEnd w:id="33"/>
      <w:bookmarkStart w:id="34" w:name="_Toc144974493"/>
      <w:bookmarkEnd w:id="34"/>
      <w:bookmarkStart w:id="35" w:name="_Toc144974491"/>
      <w:bookmarkEnd w:id="35"/>
      <w:bookmarkStart w:id="36" w:name="_Toc369531497"/>
      <w:bookmarkEnd w:id="36"/>
      <w:bookmarkStart w:id="37" w:name="_Toc152045513"/>
      <w:bookmarkEnd w:id="37"/>
      <w:bookmarkStart w:id="38" w:name="_Toc247513934"/>
      <w:bookmarkEnd w:id="38"/>
      <w:bookmarkStart w:id="39" w:name="_Toc352691453"/>
      <w:bookmarkEnd w:id="39"/>
      <w:bookmarkStart w:id="40" w:name="_Toc247513948"/>
      <w:bookmarkEnd w:id="40"/>
      <w:bookmarkStart w:id="41" w:name="_Toc369531511"/>
      <w:bookmarkEnd w:id="41"/>
      <w:bookmarkStart w:id="42" w:name="_Toc369531509"/>
      <w:bookmarkEnd w:id="42"/>
      <w:bookmarkStart w:id="43" w:name="_Toc352691455"/>
      <w:bookmarkEnd w:id="43"/>
      <w:bookmarkStart w:id="44" w:name="_Toc384308203"/>
      <w:bookmarkEnd w:id="44"/>
      <w:bookmarkStart w:id="45" w:name="_Toc152042301"/>
      <w:bookmarkEnd w:id="45"/>
      <w:bookmarkStart w:id="46" w:name="_Toc300834927"/>
      <w:bookmarkEnd w:id="46"/>
      <w:bookmarkStart w:id="47" w:name="_Toc361508580"/>
      <w:bookmarkEnd w:id="47"/>
      <w:bookmarkStart w:id="48" w:name="_Toc17972"/>
      <w:bookmarkEnd w:id="48"/>
      <w:bookmarkStart w:id="49" w:name="_Toc247513935"/>
      <w:bookmarkEnd w:id="49"/>
      <w:bookmarkStart w:id="50" w:name="_Toc352691469"/>
      <w:bookmarkEnd w:id="50"/>
      <w:bookmarkStart w:id="51" w:name="_Toc384308205"/>
      <w:bookmarkEnd w:id="51"/>
      <w:bookmarkStart w:id="52" w:name="_Toc384308185"/>
      <w:bookmarkEnd w:id="52"/>
      <w:bookmarkStart w:id="53" w:name="_Toc247527549"/>
      <w:bookmarkEnd w:id="53"/>
      <w:bookmarkStart w:id="54" w:name="_Toc361508562"/>
      <w:bookmarkEnd w:id="54"/>
      <w:bookmarkStart w:id="55" w:name="_Toc19794"/>
      <w:bookmarkEnd w:id="55"/>
      <w:bookmarkStart w:id="56" w:name="_Toc30817"/>
      <w:bookmarkEnd w:id="56"/>
      <w:bookmarkStart w:id="57" w:name="_Toc152045525"/>
      <w:bookmarkEnd w:id="57"/>
      <w:bookmarkStart w:id="58" w:name="_Toc352691456"/>
      <w:bookmarkEnd w:id="58"/>
      <w:bookmarkStart w:id="59" w:name="_Toc369531498"/>
      <w:bookmarkEnd w:id="59"/>
      <w:bookmarkStart w:id="60" w:name="_Toc10785"/>
      <w:bookmarkEnd w:id="60"/>
      <w:bookmarkStart w:id="61" w:name="_Toc152042299"/>
      <w:bookmarkEnd w:id="61"/>
      <w:bookmarkStart w:id="62" w:name="_Toc152042288"/>
      <w:bookmarkEnd w:id="62"/>
      <w:bookmarkStart w:id="63" w:name="_Toc352691467"/>
      <w:bookmarkEnd w:id="63"/>
      <w:bookmarkStart w:id="64" w:name="_Toc384308188"/>
      <w:bookmarkEnd w:id="64"/>
      <w:bookmarkStart w:id="65" w:name="_Toc152045523"/>
      <w:bookmarkEnd w:id="65"/>
      <w:bookmarkStart w:id="66" w:name="_Toc247513946"/>
      <w:bookmarkEnd w:id="66"/>
      <w:bookmarkStart w:id="67" w:name="_Toc144974481"/>
      <w:bookmarkEnd w:id="67"/>
      <w:bookmarkStart w:id="68" w:name="_Toc361508560"/>
      <w:bookmarkEnd w:id="68"/>
      <w:bookmarkStart w:id="69" w:name="_Toc152042289"/>
      <w:bookmarkEnd w:id="69"/>
      <w:bookmarkStart w:id="70" w:name="_Toc152045512"/>
      <w:bookmarkEnd w:id="70"/>
      <w:bookmarkStart w:id="71" w:name="_Toc247527536"/>
      <w:bookmarkEnd w:id="71"/>
      <w:r>
        <w:rPr>
          <w:rFonts w:hint="eastAsia" w:ascii="宋体" w:hAnsi="宋体" w:cs="宋体"/>
          <w:color w:val="auto"/>
          <w:szCs w:val="21"/>
          <w:highlight w:val="none"/>
        </w:rPr>
        <w:t>（1）招标代理机构项目联系人及方式：</w:t>
      </w:r>
    </w:p>
    <w:p>
      <w:pPr>
        <w:widowControl/>
        <w:tabs>
          <w:tab w:val="left" w:pos="360"/>
        </w:tabs>
        <w:autoSpaceDE w:val="0"/>
        <w:autoSpaceDN w:val="0"/>
        <w:spacing w:line="360" w:lineRule="auto"/>
        <w:ind w:firstLine="420" w:firstLineChars="200"/>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招标代理机构：国信招标集团股份有限公司</w:t>
      </w:r>
    </w:p>
    <w:p>
      <w:pPr>
        <w:widowControl/>
        <w:tabs>
          <w:tab w:val="left" w:pos="360"/>
        </w:tabs>
        <w:autoSpaceDE w:val="0"/>
        <w:autoSpaceDN w:val="0"/>
        <w:spacing w:line="360" w:lineRule="auto"/>
        <w:ind w:firstLine="420" w:firstLineChars="200"/>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执行机构：国信招标集团股份有限公司广东分公司</w:t>
      </w:r>
    </w:p>
    <w:p>
      <w:pPr>
        <w:widowControl/>
        <w:tabs>
          <w:tab w:val="left" w:pos="360"/>
        </w:tabs>
        <w:autoSpaceDE w:val="0"/>
        <w:autoSpaceDN w:val="0"/>
        <w:spacing w:line="360" w:lineRule="auto"/>
        <w:ind w:firstLine="420" w:firstLineChars="200"/>
        <w:jc w:val="left"/>
        <w:textAlignment w:val="bottom"/>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联系地址：</w:t>
      </w:r>
      <w:r>
        <w:rPr>
          <w:rFonts w:hint="eastAsia" w:ascii="宋体" w:hAnsi="宋体" w:cs="宋体"/>
          <w:color w:val="auto"/>
          <w:szCs w:val="21"/>
          <w:highlight w:val="none"/>
          <w:lang w:eastAsia="zh-CN"/>
        </w:rPr>
        <w:t>广州市白云区京溪街道梅园路8号一层国信招标</w:t>
      </w:r>
    </w:p>
    <w:p>
      <w:pPr>
        <w:widowControl/>
        <w:tabs>
          <w:tab w:val="left" w:pos="360"/>
        </w:tabs>
        <w:autoSpaceDE w:val="0"/>
        <w:autoSpaceDN w:val="0"/>
        <w:spacing w:line="360" w:lineRule="auto"/>
        <w:ind w:firstLine="420" w:firstLineChars="200"/>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联 系 人：王工、冯工</w:t>
      </w:r>
    </w:p>
    <w:p>
      <w:pPr>
        <w:widowControl/>
        <w:tabs>
          <w:tab w:val="left" w:pos="360"/>
        </w:tabs>
        <w:autoSpaceDE w:val="0"/>
        <w:autoSpaceDN w:val="0"/>
        <w:spacing w:line="360" w:lineRule="auto"/>
        <w:ind w:firstLine="420" w:firstLineChars="200"/>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联系电话：020-83180883、</w:t>
      </w:r>
      <w:r>
        <w:rPr>
          <w:rFonts w:hint="eastAsia" w:ascii="宋体" w:hAnsi="宋体" w:cs="宋体"/>
          <w:color w:val="auto"/>
          <w:kern w:val="0"/>
          <w:szCs w:val="21"/>
          <w:highlight w:val="none"/>
        </w:rPr>
        <w:t>18826258503</w:t>
      </w:r>
    </w:p>
    <w:p>
      <w:pPr>
        <w:widowControl/>
        <w:tabs>
          <w:tab w:val="left" w:pos="360"/>
        </w:tabs>
        <w:autoSpaceDE w:val="0"/>
        <w:autoSpaceDN w:val="0"/>
        <w:spacing w:line="360" w:lineRule="auto"/>
        <w:ind w:firstLine="420" w:firstLineChars="200"/>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电子邮箱：2467920974@qq.com</w:t>
      </w:r>
    </w:p>
    <w:p>
      <w:pPr>
        <w:widowControl/>
        <w:tabs>
          <w:tab w:val="left" w:pos="360"/>
        </w:tabs>
        <w:autoSpaceDE w:val="0"/>
        <w:autoSpaceDN w:val="0"/>
        <w:spacing w:line="360" w:lineRule="auto"/>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（2）招标人联系方式：</w:t>
      </w:r>
    </w:p>
    <w:p>
      <w:pPr>
        <w:widowControl/>
        <w:tabs>
          <w:tab w:val="left" w:pos="360"/>
        </w:tabs>
        <w:autoSpaceDE w:val="0"/>
        <w:autoSpaceDN w:val="0"/>
        <w:spacing w:line="360" w:lineRule="auto"/>
        <w:ind w:firstLine="420" w:firstLineChars="200"/>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名  称：广东能源青洲海上风电有限公司</w:t>
      </w:r>
    </w:p>
    <w:p>
      <w:pPr>
        <w:widowControl/>
        <w:tabs>
          <w:tab w:val="left" w:pos="360"/>
        </w:tabs>
        <w:autoSpaceDE w:val="0"/>
        <w:autoSpaceDN w:val="0"/>
        <w:spacing w:line="360" w:lineRule="auto"/>
        <w:ind w:firstLine="420" w:firstLineChars="200"/>
        <w:jc w:val="left"/>
        <w:textAlignment w:val="bottom"/>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址：广东省</w:t>
      </w:r>
      <w:r>
        <w:rPr>
          <w:rFonts w:hint="eastAsia" w:ascii="宋体" w:hAnsi="宋体" w:cs="宋体"/>
          <w:color w:val="auto"/>
          <w:szCs w:val="21"/>
          <w:highlight w:val="none"/>
          <w:lang w:eastAsia="zh-CN"/>
        </w:rPr>
        <w:t>阳江市江城区江朗大道99号阳江绿地中心C区13幢</w:t>
      </w:r>
    </w:p>
    <w:p>
      <w:pPr>
        <w:widowControl/>
        <w:tabs>
          <w:tab w:val="left" w:pos="360"/>
        </w:tabs>
        <w:autoSpaceDE w:val="0"/>
        <w:autoSpaceDN w:val="0"/>
        <w:spacing w:line="360" w:lineRule="auto"/>
        <w:ind w:firstLine="420" w:firstLineChars="200"/>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联系人：邓工</w:t>
      </w:r>
    </w:p>
    <w:p>
      <w:pPr>
        <w:widowControl/>
        <w:tabs>
          <w:tab w:val="left" w:pos="360"/>
        </w:tabs>
        <w:autoSpaceDE w:val="0"/>
        <w:autoSpaceDN w:val="0"/>
        <w:spacing w:line="360" w:lineRule="auto"/>
        <w:ind w:firstLine="420" w:firstLineChars="200"/>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电  话：15627258224</w:t>
      </w:r>
    </w:p>
    <w:p>
      <w:pPr>
        <w:pStyle w:val="9"/>
        <w:rPr>
          <w:rFonts w:hint="eastAsia"/>
          <w:color w:val="auto"/>
          <w:highlight w:val="none"/>
        </w:rPr>
      </w:pPr>
    </w:p>
    <w:p>
      <w:pPr>
        <w:snapToGrid w:val="0"/>
        <w:spacing w:line="360" w:lineRule="auto"/>
        <w:jc w:val="right"/>
        <w:rPr>
          <w:rFonts w:hint="eastAsia" w:ascii="宋体" w:hAnsi="宋体" w:cs="宋体"/>
          <w:bCs/>
          <w:color w:val="auto"/>
          <w:szCs w:val="21"/>
          <w:highlight w:val="none"/>
        </w:rPr>
      </w:pPr>
      <w:r>
        <w:rPr>
          <w:rFonts w:hint="eastAsia" w:ascii="宋体" w:hAnsi="宋体" w:cs="宋体"/>
          <w:bCs/>
          <w:color w:val="auto"/>
          <w:szCs w:val="21"/>
          <w:highlight w:val="none"/>
        </w:rPr>
        <w:t>广东能源青洲海上风电有限公司</w:t>
      </w:r>
    </w:p>
    <w:p>
      <w:pPr>
        <w:snapToGrid w:val="0"/>
        <w:spacing w:line="360" w:lineRule="auto"/>
        <w:jc w:val="right"/>
        <w:rPr>
          <w:rFonts w:hint="eastAsia" w:ascii="宋体" w:hAnsi="宋体" w:cs="宋体"/>
          <w:bCs/>
          <w:color w:val="auto"/>
          <w:szCs w:val="21"/>
          <w:highlight w:val="none"/>
        </w:rPr>
      </w:pPr>
      <w:r>
        <w:rPr>
          <w:rFonts w:hint="eastAsia" w:ascii="宋体" w:hAnsi="宋体" w:cs="宋体"/>
          <w:bCs/>
          <w:color w:val="auto"/>
          <w:szCs w:val="21"/>
          <w:highlight w:val="none"/>
        </w:rPr>
        <w:t>国信招标集团股份有限公司</w:t>
      </w:r>
    </w:p>
    <w:p>
      <w:pPr>
        <w:snapToGrid w:val="0"/>
        <w:spacing w:line="360" w:lineRule="auto"/>
        <w:jc w:val="right"/>
        <w:rPr>
          <w:rFonts w:hint="eastAsia" w:ascii="宋体" w:hAnsi="宋体" w:cs="宋体"/>
          <w:bCs/>
          <w:color w:val="auto"/>
          <w:szCs w:val="21"/>
          <w:highlight w:val="none"/>
        </w:rPr>
      </w:pPr>
      <w:r>
        <w:rPr>
          <w:rFonts w:hint="eastAsia" w:ascii="宋体" w:hAnsi="宋体" w:cs="宋体"/>
          <w:bCs/>
          <w:color w:val="auto"/>
          <w:szCs w:val="21"/>
          <w:highlight w:val="none"/>
        </w:rPr>
        <w:t>2024年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5C99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1">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Normal Indent"/>
    <w:basedOn w:val="1"/>
    <w:next w:val="6"/>
    <w:qFormat/>
    <w:uiPriority w:val="0"/>
    <w:pPr>
      <w:ind w:firstLine="420"/>
    </w:pPr>
  </w:style>
  <w:style w:type="paragraph" w:styleId="6">
    <w:name w:val="header"/>
    <w:basedOn w:val="1"/>
    <w:qFormat/>
    <w:uiPriority w:val="99"/>
    <w:pPr>
      <w:tabs>
        <w:tab w:val="center" w:pos="4153"/>
        <w:tab w:val="right" w:pos="8306"/>
      </w:tabs>
      <w:snapToGrid w:val="0"/>
    </w:pPr>
    <w:rPr>
      <w:rFonts w:ascii="Times New Roman" w:hAnsi="Times New Roman"/>
      <w:sz w:val="18"/>
      <w:szCs w:val="20"/>
    </w:rPr>
  </w:style>
  <w:style w:type="paragraph" w:styleId="7">
    <w:name w:val="Body Text"/>
    <w:basedOn w:val="1"/>
    <w:next w:val="1"/>
    <w:unhideWhenUsed/>
    <w:qFormat/>
    <w:uiPriority w:val="0"/>
    <w:pPr>
      <w:spacing w:after="120"/>
    </w:pPr>
    <w:rPr>
      <w:rFonts w:ascii="Times New Roman" w:hAnsi="Times New Roman"/>
      <w:szCs w:val="20"/>
    </w:rPr>
  </w:style>
  <w:style w:type="paragraph" w:styleId="8">
    <w:name w:val="footer"/>
    <w:basedOn w:val="1"/>
    <w:uiPriority w:val="0"/>
    <w:pPr>
      <w:tabs>
        <w:tab w:val="center" w:pos="4153"/>
        <w:tab w:val="right" w:pos="8306"/>
      </w:tabs>
      <w:snapToGrid w:val="0"/>
      <w:jc w:val="left"/>
    </w:pPr>
    <w:rPr>
      <w:sz w:val="18"/>
    </w:rPr>
  </w:style>
  <w:style w:type="paragraph" w:styleId="9">
    <w:name w:val="Body Text First Indent"/>
    <w:basedOn w:val="7"/>
    <w:next w:val="1"/>
    <w:qFormat/>
    <w:uiPriority w:val="0"/>
    <w:pPr>
      <w:spacing w:line="312" w:lineRule="auto"/>
      <w:ind w:firstLine="42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2024-03-11T06:08:02Z</dcterms:created>
  <dc:creator>24679</dc:creator>
  <cp:lastModifiedBy>24679</cp:lastModifiedBy>
  <cp:lastPrinted>2024-03-11T06:09:55Z</cp:lastPrinted>
  <dcterms:modified xsi:type="dcterms:W3CDTF">2024-03-11T06:13:50Z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EAD0A6F6EB7447C58752D6314C42E779_12</vt:lpwstr>
  </property>
</Properties>
</file>