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olor w:val="auto"/>
          <w:sz w:val="24"/>
          <w:szCs w:val="24"/>
          <w:highlight w:val="none"/>
          <w:u w:val="single"/>
        </w:rPr>
      </w:pPr>
    </w:p>
    <w:p>
      <w:pPr>
        <w:rPr>
          <w:color w:val="auto"/>
          <w:highlight w:val="none"/>
        </w:rPr>
      </w:pPr>
    </w:p>
    <w:p>
      <w:pPr>
        <w:rPr>
          <w:color w:val="auto"/>
          <w:highlight w:val="none"/>
        </w:rPr>
      </w:pPr>
    </w:p>
    <w:p>
      <w:pPr>
        <w:rPr>
          <w:color w:val="auto"/>
          <w:highlight w:val="none"/>
        </w:rPr>
      </w:pPr>
    </w:p>
    <w:p>
      <w:pPr>
        <w:spacing w:line="360" w:lineRule="auto"/>
        <w:jc w:val="center"/>
        <w:rPr>
          <w:rFonts w:hint="eastAsia" w:ascii="宋体" w:eastAsia="宋体"/>
          <w:b/>
          <w:bCs/>
          <w:color w:val="auto"/>
          <w:spacing w:val="20"/>
          <w:sz w:val="44"/>
          <w:szCs w:val="44"/>
          <w:highlight w:val="none"/>
          <w:lang w:eastAsia="zh-CN"/>
        </w:rPr>
      </w:pPr>
      <w:r>
        <w:rPr>
          <w:rFonts w:hint="eastAsia" w:ascii="宋体" w:hAnsi="宋体" w:cs="宋体"/>
          <w:b/>
          <w:color w:val="auto"/>
          <w:sz w:val="48"/>
          <w:szCs w:val="48"/>
          <w:highlight w:val="none"/>
          <w:lang w:eastAsia="zh-CN"/>
        </w:rPr>
        <w:t>番禺区新造镇大沙路（滨河路-广医南路段）工程（二期）施工总承包项目</w:t>
      </w:r>
    </w:p>
    <w:p>
      <w:pPr>
        <w:spacing w:line="360" w:lineRule="auto"/>
        <w:jc w:val="center"/>
        <w:rPr>
          <w:rFonts w:ascii="宋体"/>
          <w:b/>
          <w:bCs/>
          <w:color w:val="auto"/>
          <w:spacing w:val="20"/>
          <w:sz w:val="44"/>
          <w:szCs w:val="44"/>
          <w:highlight w:val="none"/>
        </w:rPr>
      </w:pPr>
    </w:p>
    <w:p>
      <w:pPr>
        <w:spacing w:line="360" w:lineRule="auto"/>
        <w:jc w:val="center"/>
        <w:rPr>
          <w:color w:val="auto"/>
          <w:spacing w:val="20"/>
          <w:sz w:val="36"/>
          <w:highlight w:val="none"/>
          <w:u w:val="single"/>
        </w:rPr>
      </w:pPr>
    </w:p>
    <w:p>
      <w:pPr>
        <w:spacing w:line="360" w:lineRule="auto"/>
        <w:jc w:val="center"/>
        <w:rPr>
          <w:color w:val="auto"/>
          <w:spacing w:val="20"/>
          <w:sz w:val="36"/>
          <w:highlight w:val="none"/>
          <w:u w:val="single"/>
        </w:rPr>
      </w:pPr>
    </w:p>
    <w:p>
      <w:pPr>
        <w:pStyle w:val="6"/>
        <w:rPr>
          <w:color w:val="auto"/>
          <w:highlight w:val="none"/>
        </w:rPr>
      </w:pPr>
    </w:p>
    <w:p>
      <w:pPr>
        <w:spacing w:line="360" w:lineRule="auto"/>
        <w:jc w:val="center"/>
        <w:rPr>
          <w:color w:val="auto"/>
          <w:spacing w:val="20"/>
          <w:sz w:val="36"/>
          <w:highlight w:val="none"/>
          <w:u w:val="single"/>
        </w:rPr>
      </w:pPr>
    </w:p>
    <w:p>
      <w:pPr>
        <w:spacing w:line="360" w:lineRule="auto"/>
        <w:jc w:val="center"/>
        <w:rPr>
          <w:color w:val="auto"/>
          <w:spacing w:val="20"/>
          <w:sz w:val="36"/>
          <w:highlight w:val="none"/>
          <w:u w:val="single"/>
        </w:rPr>
      </w:pPr>
    </w:p>
    <w:p>
      <w:pPr>
        <w:spacing w:line="360" w:lineRule="auto"/>
        <w:jc w:val="center"/>
        <w:rPr>
          <w:rFonts w:eastAsia="楷体_GB2312"/>
          <w:b/>
          <w:bCs/>
          <w:color w:val="auto"/>
          <w:spacing w:val="20"/>
          <w:sz w:val="110"/>
          <w:szCs w:val="110"/>
          <w:highlight w:val="none"/>
        </w:rPr>
      </w:pPr>
      <w:r>
        <w:rPr>
          <w:rFonts w:hint="eastAsia" w:eastAsia="楷体_GB2312"/>
          <w:b/>
          <w:bCs/>
          <w:color w:val="auto"/>
          <w:spacing w:val="20"/>
          <w:sz w:val="110"/>
          <w:szCs w:val="110"/>
          <w:highlight w:val="none"/>
        </w:rPr>
        <w:t>招标文件</w:t>
      </w:r>
    </w:p>
    <w:p>
      <w:pPr>
        <w:spacing w:line="360" w:lineRule="auto"/>
        <w:jc w:val="center"/>
        <w:rPr>
          <w:color w:val="auto"/>
          <w:spacing w:val="20"/>
          <w:sz w:val="32"/>
          <w:highlight w:val="none"/>
        </w:rPr>
      </w:pPr>
    </w:p>
    <w:p>
      <w:pPr>
        <w:spacing w:line="360" w:lineRule="auto"/>
        <w:rPr>
          <w:color w:val="auto"/>
          <w:spacing w:val="20"/>
          <w:sz w:val="32"/>
          <w:highlight w:val="none"/>
        </w:rPr>
      </w:pPr>
    </w:p>
    <w:p>
      <w:pPr>
        <w:spacing w:line="360" w:lineRule="auto"/>
        <w:rPr>
          <w:color w:val="auto"/>
          <w:spacing w:val="20"/>
          <w:sz w:val="52"/>
          <w:highlight w:val="none"/>
        </w:rPr>
      </w:pPr>
    </w:p>
    <w:p>
      <w:pPr>
        <w:pStyle w:val="6"/>
        <w:rPr>
          <w:color w:val="auto"/>
          <w:highlight w:val="none"/>
        </w:rPr>
      </w:pPr>
    </w:p>
    <w:p>
      <w:pPr>
        <w:pStyle w:val="6"/>
        <w:rPr>
          <w:color w:val="auto"/>
          <w:highlight w:val="none"/>
        </w:rPr>
      </w:pPr>
    </w:p>
    <w:p>
      <w:pPr>
        <w:rPr>
          <w:color w:val="auto"/>
          <w:highlight w:val="none"/>
        </w:rPr>
      </w:pPr>
    </w:p>
    <w:p>
      <w:pPr>
        <w:pStyle w:val="6"/>
        <w:rPr>
          <w:color w:val="auto"/>
          <w:highlight w:val="none"/>
        </w:rPr>
      </w:pPr>
    </w:p>
    <w:p>
      <w:pPr>
        <w:pStyle w:val="6"/>
        <w:rPr>
          <w:color w:val="auto"/>
          <w:highlight w:val="none"/>
        </w:rPr>
      </w:pPr>
    </w:p>
    <w:p>
      <w:pPr>
        <w:spacing w:line="360" w:lineRule="auto"/>
        <w:ind w:firstLine="680" w:firstLineChars="200"/>
        <w:rPr>
          <w:rFonts w:ascii="宋体" w:hAnsi="宋体" w:cs="宋体"/>
          <w:color w:val="auto"/>
          <w:spacing w:val="20"/>
          <w:sz w:val="30"/>
          <w:szCs w:val="30"/>
          <w:highlight w:val="none"/>
          <w:u w:val="single"/>
        </w:rPr>
      </w:pPr>
      <w:r>
        <w:rPr>
          <w:rFonts w:hint="eastAsia" w:ascii="宋体" w:hAnsi="宋体" w:cs="宋体"/>
          <w:color w:val="auto"/>
          <w:spacing w:val="20"/>
          <w:sz w:val="30"/>
          <w:szCs w:val="30"/>
          <w:highlight w:val="none"/>
        </w:rPr>
        <w:t>招 标 单 位：</w:t>
      </w:r>
      <w:r>
        <w:rPr>
          <w:rFonts w:hint="eastAsia" w:ascii="宋体" w:hAnsi="宋体" w:cs="宋体"/>
          <w:color w:val="auto"/>
          <w:spacing w:val="20"/>
          <w:sz w:val="30"/>
          <w:szCs w:val="30"/>
          <w:highlight w:val="none"/>
          <w:u w:val="single"/>
        </w:rPr>
        <w:t>广州市番禺区基本建设投资管理中心</w:t>
      </w:r>
    </w:p>
    <w:p>
      <w:pPr>
        <w:spacing w:line="360" w:lineRule="auto"/>
        <w:ind w:firstLine="680" w:firstLineChars="200"/>
        <w:rPr>
          <w:rFonts w:hint="eastAsia" w:ascii="宋体" w:hAnsi="宋体" w:eastAsia="宋体" w:cs="宋体"/>
          <w:color w:val="auto"/>
          <w:spacing w:val="20"/>
          <w:sz w:val="30"/>
          <w:szCs w:val="30"/>
          <w:highlight w:val="none"/>
          <w:u w:val="single"/>
          <w:lang w:eastAsia="zh-CN"/>
        </w:rPr>
      </w:pPr>
      <w:r>
        <w:rPr>
          <w:rFonts w:hint="eastAsia" w:ascii="宋体" w:hAnsi="宋体" w:cs="宋体"/>
          <w:color w:val="auto"/>
          <w:spacing w:val="20"/>
          <w:sz w:val="30"/>
          <w:szCs w:val="30"/>
          <w:highlight w:val="none"/>
        </w:rPr>
        <w:t>招标代理单位：</w:t>
      </w:r>
      <w:r>
        <w:rPr>
          <w:rFonts w:hint="eastAsia" w:ascii="宋体" w:hAnsi="宋体" w:cs="宋体"/>
          <w:color w:val="auto"/>
          <w:spacing w:val="20"/>
          <w:sz w:val="30"/>
          <w:szCs w:val="30"/>
          <w:highlight w:val="none"/>
          <w:u w:val="single"/>
          <w:lang w:eastAsia="zh-CN"/>
        </w:rPr>
        <w:t>广州建达建设管理有限公司</w:t>
      </w:r>
    </w:p>
    <w:p>
      <w:pPr>
        <w:spacing w:line="360" w:lineRule="auto"/>
        <w:ind w:firstLine="680" w:firstLineChars="200"/>
        <w:rPr>
          <w:rFonts w:ascii="宋体" w:hAnsi="宋体" w:cs="宋体"/>
          <w:color w:val="auto"/>
          <w:spacing w:val="20"/>
          <w:sz w:val="30"/>
          <w:szCs w:val="30"/>
          <w:highlight w:val="none"/>
          <w:u w:val="single"/>
        </w:rPr>
      </w:pPr>
      <w:r>
        <w:rPr>
          <w:rFonts w:hint="eastAsia" w:ascii="宋体" w:hAnsi="宋体" w:cs="宋体"/>
          <w:color w:val="auto"/>
          <w:spacing w:val="20"/>
          <w:sz w:val="30"/>
          <w:szCs w:val="30"/>
          <w:highlight w:val="none"/>
        </w:rPr>
        <w:t>日       期：</w:t>
      </w:r>
      <w:r>
        <w:rPr>
          <w:rFonts w:hint="eastAsia" w:ascii="宋体" w:hAnsi="宋体" w:cs="宋体"/>
          <w:color w:val="auto"/>
          <w:spacing w:val="20"/>
          <w:sz w:val="30"/>
          <w:szCs w:val="30"/>
          <w:highlight w:val="none"/>
          <w:u w:val="single"/>
        </w:rPr>
        <w:t>202</w:t>
      </w:r>
      <w:r>
        <w:rPr>
          <w:rFonts w:hint="eastAsia" w:ascii="宋体" w:hAnsi="宋体" w:cs="宋体"/>
          <w:color w:val="auto"/>
          <w:spacing w:val="20"/>
          <w:sz w:val="30"/>
          <w:szCs w:val="30"/>
          <w:highlight w:val="none"/>
          <w:u w:val="single"/>
          <w:lang w:val="en-US" w:eastAsia="zh-CN"/>
        </w:rPr>
        <w:t>4</w:t>
      </w:r>
      <w:r>
        <w:rPr>
          <w:rFonts w:hint="eastAsia" w:ascii="宋体" w:hAnsi="宋体" w:cs="宋体"/>
          <w:color w:val="auto"/>
          <w:spacing w:val="20"/>
          <w:sz w:val="30"/>
          <w:szCs w:val="30"/>
          <w:highlight w:val="none"/>
          <w:u w:val="single"/>
        </w:rPr>
        <w:t>年</w:t>
      </w:r>
      <w:r>
        <w:rPr>
          <w:rFonts w:hint="eastAsia" w:ascii="宋体" w:hAnsi="宋体" w:cs="宋体"/>
          <w:color w:val="auto"/>
          <w:spacing w:val="20"/>
          <w:sz w:val="30"/>
          <w:szCs w:val="30"/>
          <w:highlight w:val="none"/>
          <w:u w:val="single"/>
          <w:lang w:val="en-US" w:eastAsia="zh-CN"/>
        </w:rPr>
        <w:t>3</w:t>
      </w:r>
      <w:r>
        <w:rPr>
          <w:rFonts w:hint="eastAsia" w:ascii="宋体" w:hAnsi="宋体" w:cs="宋体"/>
          <w:color w:val="auto"/>
          <w:spacing w:val="20"/>
          <w:sz w:val="30"/>
          <w:szCs w:val="30"/>
          <w:highlight w:val="none"/>
          <w:u w:val="single"/>
        </w:rPr>
        <w:t>月</w:t>
      </w:r>
    </w:p>
    <w:p>
      <w:pPr>
        <w:rPr>
          <w:rStyle w:val="60"/>
          <w:b/>
          <w:bCs/>
          <w:color w:val="auto"/>
          <w:highlight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134" w:right="1418" w:bottom="1247" w:left="1418" w:header="851" w:footer="907" w:gutter="0"/>
          <w:cols w:space="720" w:num="1"/>
          <w:titlePg/>
          <w:docGrid w:type="lines" w:linePitch="312" w:charSpace="0"/>
        </w:sectPr>
      </w:pPr>
    </w:p>
    <w:p>
      <w:pPr>
        <w:jc w:val="center"/>
        <w:rPr>
          <w:rFonts w:ascii="宋体" w:hAnsi="宋体"/>
          <w:b/>
          <w:caps/>
          <w:color w:val="auto"/>
          <w:kern w:val="0"/>
          <w:highlight w:val="none"/>
        </w:rPr>
      </w:pPr>
      <w:r>
        <w:rPr>
          <w:rStyle w:val="60"/>
          <w:rFonts w:hint="eastAsia"/>
          <w:b/>
          <w:bCs/>
          <w:color w:val="auto"/>
          <w:sz w:val="28"/>
          <w:szCs w:val="28"/>
          <w:highlight w:val="none"/>
        </w:rPr>
        <w:t>目录</w:t>
      </w:r>
    </w:p>
    <w:p>
      <w:pPr>
        <w:pStyle w:val="37"/>
        <w:tabs>
          <w:tab w:val="right" w:leader="dot" w:pos="9070"/>
          <w:tab w:val="clear" w:pos="9060"/>
        </w:tabs>
        <w:rPr>
          <w:color w:val="auto"/>
          <w:highlight w:val="none"/>
        </w:rPr>
      </w:pPr>
      <w:r>
        <w:rPr>
          <w:color w:val="auto"/>
          <w:highlight w:val="none"/>
        </w:rPr>
        <w:fldChar w:fldCharType="begin"/>
      </w:r>
      <w:r>
        <w:rPr>
          <w:color w:val="auto"/>
          <w:highlight w:val="none"/>
        </w:rPr>
        <w:instrText xml:space="preserve"> TOC \o "1-3" \h \z \u </w:instrText>
      </w:r>
      <w:r>
        <w:rPr>
          <w:color w:val="auto"/>
          <w:highlight w:val="none"/>
        </w:rPr>
        <w:fldChar w:fldCharType="separate"/>
      </w:r>
      <w:r>
        <w:rPr>
          <w:color w:val="auto"/>
          <w:highlight w:val="none"/>
        </w:rPr>
        <w:fldChar w:fldCharType="begin"/>
      </w:r>
      <w:r>
        <w:rPr>
          <w:color w:val="auto"/>
          <w:highlight w:val="none"/>
        </w:rPr>
        <w:instrText xml:space="preserve"> HYPERLINK \l "_Toc15424" </w:instrText>
      </w:r>
      <w:r>
        <w:rPr>
          <w:color w:val="auto"/>
          <w:highlight w:val="none"/>
        </w:rPr>
        <w:fldChar w:fldCharType="separate"/>
      </w:r>
      <w:r>
        <w:rPr>
          <w:rFonts w:hint="eastAsia"/>
          <w:color w:val="auto"/>
          <w:highlight w:val="none"/>
        </w:rPr>
        <w:t>第一章</w:t>
      </w:r>
      <w:r>
        <w:rPr>
          <w:color w:val="auto"/>
          <w:highlight w:val="none"/>
        </w:rPr>
        <w:t xml:space="preserve">  </w:t>
      </w:r>
      <w:r>
        <w:rPr>
          <w:rFonts w:hint="eastAsia"/>
          <w:color w:val="auto"/>
          <w:highlight w:val="none"/>
        </w:rPr>
        <w:t>投标须知</w:t>
      </w:r>
      <w:r>
        <w:rPr>
          <w:color w:val="auto"/>
          <w:highlight w:val="none"/>
        </w:rPr>
        <w:tab/>
      </w:r>
      <w:r>
        <w:rPr>
          <w:color w:val="auto"/>
          <w:highlight w:val="none"/>
        </w:rPr>
        <w:fldChar w:fldCharType="begin"/>
      </w:r>
      <w:r>
        <w:rPr>
          <w:color w:val="auto"/>
          <w:highlight w:val="none"/>
        </w:rPr>
        <w:instrText xml:space="preserve"> PAGEREF _Toc15424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4"/>
        <w:tabs>
          <w:tab w:val="right" w:leader="dot" w:pos="9070"/>
          <w:tab w:val="clear" w:pos="9060"/>
        </w:tabs>
        <w:rPr>
          <w:color w:val="auto"/>
          <w:highlight w:val="none"/>
        </w:rPr>
      </w:pPr>
      <w:r>
        <w:rPr>
          <w:color w:val="auto"/>
          <w:highlight w:val="none"/>
        </w:rPr>
        <w:fldChar w:fldCharType="begin"/>
      </w:r>
      <w:r>
        <w:rPr>
          <w:color w:val="auto"/>
          <w:highlight w:val="none"/>
        </w:rPr>
        <w:instrText xml:space="preserve"> HYPERLINK \l "_Toc21914" </w:instrText>
      </w:r>
      <w:r>
        <w:rPr>
          <w:color w:val="auto"/>
          <w:highlight w:val="none"/>
        </w:rPr>
        <w:fldChar w:fldCharType="separate"/>
      </w:r>
      <w:r>
        <w:rPr>
          <w:rFonts w:hint="eastAsia"/>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_Toc21914 </w:instrText>
      </w:r>
      <w:r>
        <w:rPr>
          <w:color w:val="auto"/>
          <w:highlight w:val="none"/>
        </w:rPr>
        <w:fldChar w:fldCharType="separate"/>
      </w:r>
      <w:r>
        <w:rPr>
          <w:color w:val="auto"/>
          <w:highlight w:val="none"/>
        </w:rPr>
        <w:t>2</w:t>
      </w:r>
      <w:r>
        <w:rPr>
          <w:color w:val="auto"/>
          <w:highlight w:val="none"/>
        </w:rPr>
        <w:fldChar w:fldCharType="end"/>
      </w:r>
      <w:r>
        <w:rPr>
          <w:color w:val="auto"/>
          <w:highlight w:val="none"/>
        </w:rPr>
        <w:fldChar w:fldCharType="end"/>
      </w:r>
    </w:p>
    <w:p>
      <w:pPr>
        <w:pStyle w:val="44"/>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"_Toc12295" </w:instrText>
      </w:r>
      <w:r>
        <w:rPr>
          <w:color w:val="auto"/>
          <w:highlight w:val="none"/>
        </w:rPr>
        <w:fldChar w:fldCharType="separate"/>
      </w:r>
      <w:r>
        <w:rPr>
          <w:rFonts w:hint="eastAsia"/>
          <w:color w:val="auto"/>
          <w:highlight w:val="none"/>
        </w:rPr>
        <w:t>二、投标须知修改表</w:t>
      </w:r>
      <w:r>
        <w:rPr>
          <w:color w:val="auto"/>
          <w:highlight w:val="none"/>
        </w:rPr>
        <w:tab/>
      </w:r>
      <w:r>
        <w:rPr>
          <w:color w:val="auto"/>
          <w:highlight w:val="none"/>
        </w:rPr>
        <w:fldChar w:fldCharType="end"/>
      </w:r>
      <w:r>
        <w:rPr>
          <w:rFonts w:hint="eastAsia"/>
          <w:color w:val="auto"/>
          <w:highlight w:val="none"/>
          <w:lang w:val="en-US" w:eastAsia="zh-CN"/>
        </w:rPr>
        <w:t>9</w:t>
      </w:r>
    </w:p>
    <w:p>
      <w:pPr>
        <w:pStyle w:val="44"/>
        <w:tabs>
          <w:tab w:val="right" w:leader="dot" w:pos="9070"/>
          <w:tab w:val="clear" w:pos="906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"_Toc21506" </w:instrText>
      </w:r>
      <w:r>
        <w:rPr>
          <w:color w:val="auto"/>
          <w:highlight w:val="none"/>
        </w:rPr>
        <w:fldChar w:fldCharType="separate"/>
      </w:r>
      <w:r>
        <w:rPr>
          <w:rFonts w:hint="eastAsia"/>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_Toc21506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9070"/>
        </w:tabs>
        <w:ind w:left="84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"_Toc6714"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_Toc6714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pStyle w:val="29"/>
        <w:tabs>
          <w:tab w:val="right" w:leader="dot" w:pos="9070"/>
        </w:tabs>
        <w:ind w:left="84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"_Toc3398" </w:instrText>
      </w:r>
      <w:r>
        <w:rPr>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_Toc3398 </w:instrText>
      </w:r>
      <w:r>
        <w:rPr>
          <w:color w:val="auto"/>
          <w:highlight w:val="none"/>
        </w:rPr>
        <w:fldChar w:fldCharType="separate"/>
      </w:r>
      <w:r>
        <w:rPr>
          <w:color w:val="auto"/>
          <w:highlight w:val="none"/>
        </w:rPr>
        <w:t>25</w:t>
      </w:r>
      <w:r>
        <w:rPr>
          <w:color w:val="auto"/>
          <w:highlight w:val="none"/>
        </w:rPr>
        <w:fldChar w:fldCharType="end"/>
      </w:r>
      <w:r>
        <w:rPr>
          <w:color w:val="auto"/>
          <w:highlight w:val="none"/>
        </w:rPr>
        <w:fldChar w:fldCharType="end"/>
      </w:r>
    </w:p>
    <w:p>
      <w:pPr>
        <w:pStyle w:val="29"/>
        <w:tabs>
          <w:tab w:val="right" w:leader="dot" w:pos="9070"/>
        </w:tabs>
        <w:ind w:left="84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"_Toc3704" </w:instrText>
      </w:r>
      <w:r>
        <w:rPr>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_Toc3704 </w:instrText>
      </w:r>
      <w:r>
        <w:rPr>
          <w:color w:val="auto"/>
          <w:highlight w:val="none"/>
        </w:rPr>
        <w:fldChar w:fldCharType="separate"/>
      </w:r>
      <w:r>
        <w:rPr>
          <w:color w:val="auto"/>
          <w:highlight w:val="none"/>
        </w:rPr>
        <w:t>27</w:t>
      </w:r>
      <w:r>
        <w:rPr>
          <w:color w:val="auto"/>
          <w:highlight w:val="none"/>
        </w:rPr>
        <w:fldChar w:fldCharType="end"/>
      </w:r>
      <w:r>
        <w:rPr>
          <w:color w:val="auto"/>
          <w:highlight w:val="none"/>
        </w:rPr>
        <w:fldChar w:fldCharType="end"/>
      </w:r>
    </w:p>
    <w:p>
      <w:pPr>
        <w:pStyle w:val="29"/>
        <w:tabs>
          <w:tab w:val="right" w:leader="dot" w:pos="9070"/>
        </w:tabs>
        <w:ind w:left="840"/>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"_Toc14743" </w:instrText>
      </w:r>
      <w:r>
        <w:rPr>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_Toc14743 </w:instrText>
      </w:r>
      <w:r>
        <w:rPr>
          <w:color w:val="auto"/>
          <w:highlight w:val="none"/>
        </w:rPr>
        <w:fldChar w:fldCharType="separate"/>
      </w:r>
      <w:r>
        <w:rPr>
          <w:color w:val="auto"/>
          <w:highlight w:val="none"/>
        </w:rPr>
        <w:t>35</w:t>
      </w:r>
      <w:r>
        <w:rPr>
          <w:color w:val="auto"/>
          <w:highlight w:val="none"/>
        </w:rPr>
        <w:fldChar w:fldCharType="end"/>
      </w:r>
      <w:r>
        <w:rPr>
          <w:color w:val="auto"/>
          <w:highlight w:val="none"/>
        </w:rPr>
        <w:fldChar w:fldCharType="end"/>
      </w:r>
    </w:p>
    <w:p>
      <w:pPr>
        <w:pStyle w:val="29"/>
        <w:tabs>
          <w:tab w:val="right" w:leader="dot" w:pos="9070"/>
        </w:tabs>
        <w:ind w:left="840"/>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"_Toc13065" </w:instrText>
      </w:r>
      <w:r>
        <w:rPr>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_Toc13065 </w:instrText>
      </w:r>
      <w:r>
        <w:rPr>
          <w:color w:val="auto"/>
          <w:highlight w:val="none"/>
        </w:rPr>
        <w:fldChar w:fldCharType="separate"/>
      </w:r>
      <w:r>
        <w:rPr>
          <w:color w:val="auto"/>
          <w:highlight w:val="none"/>
        </w:rPr>
        <w:t>36</w:t>
      </w:r>
      <w:r>
        <w:rPr>
          <w:color w:val="auto"/>
          <w:highlight w:val="none"/>
        </w:rPr>
        <w:fldChar w:fldCharType="end"/>
      </w:r>
      <w:r>
        <w:rPr>
          <w:color w:val="auto"/>
          <w:highlight w:val="none"/>
        </w:rPr>
        <w:fldChar w:fldCharType="end"/>
      </w:r>
    </w:p>
    <w:p>
      <w:pPr>
        <w:pStyle w:val="37"/>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"_Toc367" </w:instrText>
      </w:r>
      <w:r>
        <w:rPr>
          <w:color w:val="auto"/>
          <w:highlight w:val="none"/>
        </w:rPr>
        <w:fldChar w:fldCharType="separate"/>
      </w:r>
      <w:r>
        <w:rPr>
          <w:rFonts w:hint="eastAsia"/>
          <w:color w:val="auto"/>
          <w:highlight w:val="none"/>
        </w:rPr>
        <w:t>第二章</w:t>
      </w:r>
      <w:r>
        <w:rPr>
          <w:color w:val="auto"/>
          <w:highlight w:val="none"/>
        </w:rPr>
        <w:t xml:space="preserve">  </w:t>
      </w:r>
      <w:r>
        <w:rPr>
          <w:rFonts w:hint="eastAsia"/>
          <w:color w:val="auto"/>
          <w:highlight w:val="none"/>
        </w:rPr>
        <w:t>开标、评标及定标办法</w:t>
      </w:r>
      <w:r>
        <w:rPr>
          <w:color w:val="auto"/>
          <w:highlight w:val="none"/>
        </w:rPr>
        <w:tab/>
      </w:r>
      <w:r>
        <w:rPr>
          <w:color w:val="auto"/>
          <w:highlight w:val="none"/>
        </w:rPr>
        <w:fldChar w:fldCharType="end"/>
      </w:r>
      <w:r>
        <w:rPr>
          <w:rFonts w:hint="eastAsia"/>
          <w:color w:val="auto"/>
          <w:highlight w:val="none"/>
          <w:lang w:val="en-US" w:eastAsia="zh-CN"/>
        </w:rPr>
        <w:t>40</w:t>
      </w:r>
    </w:p>
    <w:p>
      <w:pPr>
        <w:pStyle w:val="44"/>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"_Toc9336" </w:instrText>
      </w:r>
      <w:r>
        <w:rPr>
          <w:color w:val="auto"/>
          <w:highlight w:val="none"/>
        </w:rPr>
        <w:fldChar w:fldCharType="separate"/>
      </w:r>
      <w:r>
        <w:rPr>
          <w:rFonts w:hint="eastAsia"/>
          <w:color w:val="auto"/>
          <w:szCs w:val="28"/>
          <w:highlight w:val="none"/>
        </w:rPr>
        <w:t>一、</w:t>
      </w:r>
      <w:r>
        <w:rPr>
          <w:rFonts w:hint="eastAsia"/>
          <w:color w:val="auto"/>
          <w:highlight w:val="none"/>
        </w:rPr>
        <w:t>开标、评标及定标办法修改表</w:t>
      </w:r>
      <w:r>
        <w:rPr>
          <w:color w:val="auto"/>
          <w:highlight w:val="none"/>
        </w:rPr>
        <w:tab/>
      </w:r>
      <w:r>
        <w:rPr>
          <w:color w:val="auto"/>
          <w:highlight w:val="none"/>
        </w:rPr>
        <w:fldChar w:fldCharType="end"/>
      </w:r>
      <w:r>
        <w:rPr>
          <w:rFonts w:hint="eastAsia"/>
          <w:color w:val="auto"/>
          <w:highlight w:val="none"/>
          <w:lang w:val="en-US" w:eastAsia="zh-CN"/>
        </w:rPr>
        <w:t>40</w:t>
      </w:r>
    </w:p>
    <w:p>
      <w:pPr>
        <w:pStyle w:val="44"/>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"_Toc5473" </w:instrText>
      </w:r>
      <w:r>
        <w:rPr>
          <w:color w:val="auto"/>
          <w:highlight w:val="none"/>
        </w:rPr>
        <w:fldChar w:fldCharType="separate"/>
      </w:r>
      <w:r>
        <w:rPr>
          <w:rFonts w:hint="eastAsia"/>
          <w:color w:val="auto"/>
          <w:highlight w:val="none"/>
        </w:rPr>
        <w:t>二、开标、评标及定标办法</w:t>
      </w:r>
      <w:r>
        <w:rPr>
          <w:rFonts w:hint="eastAsia"/>
          <w:color w:val="auto"/>
          <w:szCs w:val="30"/>
          <w:highlight w:val="none"/>
        </w:rPr>
        <w:t>通用条款</w:t>
      </w:r>
      <w:r>
        <w:rPr>
          <w:color w:val="auto"/>
          <w:highlight w:val="none"/>
        </w:rPr>
        <w:tab/>
      </w:r>
      <w:r>
        <w:rPr>
          <w:color w:val="auto"/>
          <w:highlight w:val="none"/>
        </w:rPr>
        <w:fldChar w:fldCharType="end"/>
      </w:r>
      <w:r>
        <w:rPr>
          <w:rFonts w:hint="eastAsia"/>
          <w:color w:val="auto"/>
          <w:highlight w:val="none"/>
          <w:lang w:val="en-US" w:eastAsia="zh-CN"/>
        </w:rPr>
        <w:t>44</w:t>
      </w:r>
    </w:p>
    <w:p>
      <w:pPr>
        <w:pStyle w:val="29"/>
        <w:tabs>
          <w:tab w:val="right" w:leader="dot" w:pos="9070"/>
        </w:tabs>
        <w:ind w:left="840"/>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"_Toc26250" </w:instrText>
      </w:r>
      <w:r>
        <w:rPr>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end"/>
      </w:r>
      <w:r>
        <w:rPr>
          <w:rFonts w:hint="eastAsia"/>
          <w:color w:val="auto"/>
          <w:highlight w:val="none"/>
          <w:lang w:val="en-US" w:eastAsia="zh-CN"/>
        </w:rPr>
        <w:t>44</w:t>
      </w:r>
    </w:p>
    <w:p>
      <w:pPr>
        <w:pStyle w:val="29"/>
        <w:tabs>
          <w:tab w:val="right" w:leader="dot" w:pos="9070"/>
        </w:tabs>
        <w:ind w:left="840"/>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"_Toc12688" </w:instrText>
      </w:r>
      <w:r>
        <w:rPr>
          <w:color w:val="auto"/>
          <w:highlight w:val="none"/>
        </w:rPr>
        <w:fldChar w:fldCharType="separate"/>
      </w:r>
      <w:r>
        <w:rPr>
          <w:rFonts w:hint="eastAsia"/>
          <w:color w:val="auto"/>
          <w:highlight w:val="none"/>
        </w:rPr>
        <w:t>（二）开标评标办法程序和细则</w:t>
      </w:r>
      <w:r>
        <w:rPr>
          <w:color w:val="auto"/>
          <w:highlight w:val="none"/>
        </w:rPr>
        <w:tab/>
      </w:r>
      <w:r>
        <w:rPr>
          <w:color w:val="auto"/>
          <w:highlight w:val="none"/>
        </w:rPr>
        <w:fldChar w:fldCharType="end"/>
      </w:r>
      <w:r>
        <w:rPr>
          <w:rFonts w:hint="eastAsia"/>
          <w:color w:val="auto"/>
          <w:highlight w:val="none"/>
          <w:lang w:val="en-US" w:eastAsia="zh-CN"/>
        </w:rPr>
        <w:t>46</w:t>
      </w:r>
    </w:p>
    <w:p>
      <w:pPr>
        <w:pStyle w:val="29"/>
        <w:tabs>
          <w:tab w:val="right" w:leader="dot" w:pos="9070"/>
        </w:tabs>
        <w:ind w:left="840"/>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"_Toc22121" </w:instrText>
      </w:r>
      <w:r>
        <w:rPr>
          <w:color w:val="auto"/>
          <w:highlight w:val="none"/>
        </w:rPr>
        <w:fldChar w:fldCharType="separate"/>
      </w:r>
      <w:r>
        <w:rPr>
          <w:rFonts w:hint="eastAsia"/>
          <w:color w:val="auto"/>
          <w:highlight w:val="none"/>
        </w:rPr>
        <w:t>可选办法七（适合综合评分法四，技术标与经济标同时开启）</w:t>
      </w:r>
      <w:r>
        <w:rPr>
          <w:color w:val="auto"/>
          <w:highlight w:val="none"/>
        </w:rPr>
        <w:tab/>
      </w:r>
      <w:r>
        <w:rPr>
          <w:color w:val="auto"/>
          <w:highlight w:val="none"/>
        </w:rPr>
        <w:fldChar w:fldCharType="end"/>
      </w:r>
      <w:r>
        <w:rPr>
          <w:rFonts w:hint="eastAsia"/>
          <w:color w:val="auto"/>
          <w:highlight w:val="none"/>
          <w:lang w:val="en-US" w:eastAsia="zh-CN"/>
        </w:rPr>
        <w:t>46</w:t>
      </w:r>
    </w:p>
    <w:p>
      <w:pPr>
        <w:pStyle w:val="37"/>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"_Toc20942" </w:instrText>
      </w:r>
      <w:r>
        <w:rPr>
          <w:color w:val="auto"/>
          <w:highlight w:val="none"/>
        </w:rPr>
        <w:fldChar w:fldCharType="separate"/>
      </w:r>
      <w:r>
        <w:rPr>
          <w:rFonts w:hint="eastAsia"/>
          <w:color w:val="auto"/>
          <w:highlight w:val="none"/>
        </w:rPr>
        <w:t>第三章</w:t>
      </w:r>
      <w:r>
        <w:rPr>
          <w:color w:val="auto"/>
          <w:highlight w:val="none"/>
        </w:rPr>
        <w:t xml:space="preserve">  </w:t>
      </w:r>
      <w:r>
        <w:rPr>
          <w:rFonts w:hint="eastAsia"/>
          <w:color w:val="auto"/>
          <w:highlight w:val="none"/>
        </w:rPr>
        <w:t>合同条款</w:t>
      </w:r>
      <w:r>
        <w:rPr>
          <w:color w:val="auto"/>
          <w:highlight w:val="none"/>
        </w:rPr>
        <w:tab/>
      </w:r>
      <w:r>
        <w:rPr>
          <w:color w:val="auto"/>
          <w:highlight w:val="none"/>
        </w:rPr>
        <w:fldChar w:fldCharType="end"/>
      </w:r>
      <w:r>
        <w:rPr>
          <w:rFonts w:hint="eastAsia"/>
          <w:color w:val="auto"/>
          <w:highlight w:val="none"/>
          <w:lang w:val="en-US" w:eastAsia="zh-CN"/>
        </w:rPr>
        <w:t>64</w:t>
      </w:r>
    </w:p>
    <w:p>
      <w:pPr>
        <w:pStyle w:val="37"/>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"_Toc28354" </w:instrText>
      </w:r>
      <w:r>
        <w:rPr>
          <w:color w:val="auto"/>
          <w:highlight w:val="none"/>
        </w:rPr>
        <w:fldChar w:fldCharType="separate"/>
      </w:r>
      <w:r>
        <w:rPr>
          <w:rFonts w:hint="eastAsia"/>
          <w:color w:val="auto"/>
          <w:highlight w:val="none"/>
        </w:rPr>
        <w:t>第四章</w:t>
      </w:r>
      <w:r>
        <w:rPr>
          <w:color w:val="auto"/>
          <w:highlight w:val="none"/>
        </w:rPr>
        <w:t xml:space="preserve">  </w:t>
      </w:r>
      <w:r>
        <w:rPr>
          <w:rFonts w:hint="eastAsia"/>
          <w:color w:val="auto"/>
          <w:highlight w:val="none"/>
        </w:rPr>
        <w:t>投标文件格式</w:t>
      </w:r>
      <w:r>
        <w:rPr>
          <w:color w:val="auto"/>
          <w:highlight w:val="none"/>
        </w:rPr>
        <w:tab/>
      </w:r>
      <w:r>
        <w:rPr>
          <w:color w:val="auto"/>
          <w:highlight w:val="none"/>
        </w:rPr>
        <w:fldChar w:fldCharType="end"/>
      </w:r>
      <w:r>
        <w:rPr>
          <w:rFonts w:hint="eastAsia"/>
          <w:color w:val="auto"/>
          <w:highlight w:val="none"/>
          <w:lang w:val="en-US" w:eastAsia="zh-CN"/>
        </w:rPr>
        <w:t>65</w:t>
      </w:r>
    </w:p>
    <w:p>
      <w:pPr>
        <w:pStyle w:val="37"/>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"_Toc17321" </w:instrText>
      </w:r>
      <w:r>
        <w:rPr>
          <w:color w:val="auto"/>
          <w:highlight w:val="none"/>
        </w:rPr>
        <w:fldChar w:fldCharType="separate"/>
      </w:r>
      <w:r>
        <w:rPr>
          <w:rFonts w:hint="eastAsia"/>
          <w:color w:val="auto"/>
          <w:highlight w:val="none"/>
        </w:rPr>
        <w:t>第五章</w:t>
      </w:r>
      <w:r>
        <w:rPr>
          <w:color w:val="auto"/>
          <w:highlight w:val="none"/>
        </w:rPr>
        <w:t xml:space="preserve">  </w:t>
      </w:r>
      <w:r>
        <w:rPr>
          <w:rFonts w:hint="eastAsia"/>
          <w:color w:val="auto"/>
          <w:highlight w:val="none"/>
        </w:rPr>
        <w:t>技术条件（工程建设标准）</w:t>
      </w:r>
      <w:r>
        <w:rPr>
          <w:color w:val="auto"/>
          <w:highlight w:val="none"/>
        </w:rPr>
        <w:tab/>
      </w:r>
      <w:r>
        <w:rPr>
          <w:color w:val="auto"/>
          <w:highlight w:val="none"/>
        </w:rPr>
        <w:fldChar w:fldCharType="end"/>
      </w:r>
      <w:r>
        <w:rPr>
          <w:rFonts w:hint="eastAsia"/>
          <w:color w:val="auto"/>
          <w:highlight w:val="none"/>
          <w:lang w:val="en-US" w:eastAsia="zh-CN"/>
        </w:rPr>
        <w:t>80</w:t>
      </w:r>
    </w:p>
    <w:p>
      <w:pPr>
        <w:pStyle w:val="37"/>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"_Toc30238" </w:instrText>
      </w:r>
      <w:r>
        <w:rPr>
          <w:color w:val="auto"/>
          <w:highlight w:val="none"/>
        </w:rPr>
        <w:fldChar w:fldCharType="separate"/>
      </w:r>
      <w:r>
        <w:rPr>
          <w:rFonts w:hint="eastAsia"/>
          <w:color w:val="auto"/>
          <w:highlight w:val="none"/>
        </w:rPr>
        <w:t>第六章</w:t>
      </w:r>
      <w:r>
        <w:rPr>
          <w:color w:val="auto"/>
          <w:highlight w:val="none"/>
        </w:rPr>
        <w:t xml:space="preserve">  </w:t>
      </w:r>
      <w:r>
        <w:rPr>
          <w:rFonts w:hint="eastAsia"/>
          <w:color w:val="auto"/>
          <w:highlight w:val="none"/>
        </w:rPr>
        <w:t>图纸及勘察资料</w:t>
      </w:r>
      <w:r>
        <w:rPr>
          <w:color w:val="auto"/>
          <w:highlight w:val="none"/>
        </w:rPr>
        <w:tab/>
      </w:r>
      <w:r>
        <w:rPr>
          <w:color w:val="auto"/>
          <w:highlight w:val="none"/>
        </w:rPr>
        <w:fldChar w:fldCharType="end"/>
      </w:r>
      <w:r>
        <w:rPr>
          <w:rFonts w:hint="eastAsia"/>
          <w:color w:val="auto"/>
          <w:highlight w:val="none"/>
          <w:lang w:val="en-US" w:eastAsia="zh-CN"/>
        </w:rPr>
        <w:t>86</w:t>
      </w:r>
    </w:p>
    <w:p>
      <w:pPr>
        <w:pStyle w:val="37"/>
        <w:tabs>
          <w:tab w:val="right" w:leader="dot" w:pos="9070"/>
          <w:tab w:val="clear" w:pos="9060"/>
        </w:tabs>
        <w:rPr>
          <w:rFonts w:hint="eastAsia" w:eastAsia="宋体"/>
          <w:color w:val="auto"/>
          <w:highlight w:val="none"/>
          <w:lang w:eastAsia="zh-CN"/>
        </w:rPr>
      </w:pPr>
      <w:r>
        <w:rPr>
          <w:color w:val="auto"/>
          <w:highlight w:val="none"/>
        </w:rPr>
        <w:fldChar w:fldCharType="begin"/>
      </w:r>
      <w:r>
        <w:rPr>
          <w:color w:val="auto"/>
          <w:highlight w:val="none"/>
        </w:rPr>
        <w:instrText xml:space="preserve"> HYPERLINK \l "_Toc28147" </w:instrText>
      </w:r>
      <w:r>
        <w:rPr>
          <w:color w:val="auto"/>
          <w:highlight w:val="none"/>
        </w:rPr>
        <w:fldChar w:fldCharType="separate"/>
      </w:r>
      <w:r>
        <w:rPr>
          <w:rFonts w:hint="eastAsia"/>
          <w:color w:val="auto"/>
          <w:highlight w:val="none"/>
        </w:rPr>
        <w:t>第七章</w:t>
      </w:r>
      <w:r>
        <w:rPr>
          <w:color w:val="auto"/>
          <w:highlight w:val="none"/>
        </w:rPr>
        <w:t xml:space="preserve">  </w:t>
      </w:r>
      <w:r>
        <w:rPr>
          <w:rFonts w:hint="eastAsia"/>
          <w:color w:val="auto"/>
          <w:highlight w:val="none"/>
        </w:rPr>
        <w:t>工程量清单</w:t>
      </w:r>
      <w:r>
        <w:rPr>
          <w:color w:val="auto"/>
          <w:highlight w:val="none"/>
        </w:rPr>
        <w:tab/>
      </w:r>
      <w:r>
        <w:rPr>
          <w:color w:val="auto"/>
          <w:highlight w:val="none"/>
        </w:rPr>
        <w:fldChar w:fldCharType="begin"/>
      </w:r>
      <w:r>
        <w:rPr>
          <w:color w:val="auto"/>
          <w:highlight w:val="none"/>
        </w:rPr>
        <w:instrText xml:space="preserve"> PAGEREF _Toc28147 </w:instrText>
      </w:r>
      <w:r>
        <w:rPr>
          <w:color w:val="auto"/>
          <w:highlight w:val="none"/>
        </w:rPr>
        <w:fldChar w:fldCharType="separate"/>
      </w:r>
      <w:r>
        <w:rPr>
          <w:color w:val="auto"/>
          <w:highlight w:val="none"/>
        </w:rPr>
        <w:t>86</w:t>
      </w:r>
      <w:r>
        <w:rPr>
          <w:color w:val="auto"/>
          <w:highlight w:val="none"/>
        </w:rPr>
        <w:fldChar w:fldCharType="end"/>
      </w:r>
      <w:r>
        <w:rPr>
          <w:color w:val="auto"/>
          <w:highlight w:val="none"/>
        </w:rPr>
        <w:fldChar w:fldCharType="end"/>
      </w:r>
    </w:p>
    <w:p>
      <w:pPr>
        <w:pStyle w:val="37"/>
        <w:tabs>
          <w:tab w:val="right" w:leader="dot" w:pos="9070"/>
          <w:tab w:val="clear" w:pos="9060"/>
        </w:tabs>
        <w:rPr>
          <w:rFonts w:hint="default" w:eastAsia="宋体"/>
          <w:color w:val="auto"/>
          <w:highlight w:val="none"/>
          <w:lang w:val="en-US" w:eastAsia="zh-CN"/>
        </w:rPr>
      </w:pPr>
      <w:r>
        <w:rPr>
          <w:color w:val="auto"/>
          <w:highlight w:val="none"/>
        </w:rPr>
        <w:fldChar w:fldCharType="begin"/>
      </w:r>
      <w:r>
        <w:rPr>
          <w:color w:val="auto"/>
          <w:highlight w:val="none"/>
        </w:rPr>
        <w:instrText xml:space="preserve"> HYPERLINK \l "_Toc12485" </w:instrText>
      </w:r>
      <w:r>
        <w:rPr>
          <w:color w:val="auto"/>
          <w:highlight w:val="none"/>
        </w:rPr>
        <w:fldChar w:fldCharType="separate"/>
      </w:r>
      <w:r>
        <w:rPr>
          <w:rFonts w:hint="eastAsia"/>
          <w:color w:val="auto"/>
          <w:highlight w:val="none"/>
        </w:rPr>
        <w:t>第八章</w:t>
      </w:r>
      <w:r>
        <w:rPr>
          <w:color w:val="auto"/>
          <w:highlight w:val="none"/>
        </w:rPr>
        <w:t xml:space="preserve">  </w:t>
      </w:r>
      <w:r>
        <w:rPr>
          <w:rFonts w:hint="eastAsia"/>
          <w:color w:val="auto"/>
          <w:highlight w:val="none"/>
        </w:rPr>
        <w:t>最高投标限价</w:t>
      </w:r>
      <w:r>
        <w:rPr>
          <w:color w:val="auto"/>
          <w:highlight w:val="none"/>
        </w:rPr>
        <w:tab/>
      </w:r>
      <w:r>
        <w:rPr>
          <w:color w:val="auto"/>
          <w:highlight w:val="none"/>
        </w:rPr>
        <w:fldChar w:fldCharType="end"/>
      </w:r>
      <w:r>
        <w:rPr>
          <w:rFonts w:hint="eastAsia"/>
          <w:color w:val="auto"/>
          <w:highlight w:val="none"/>
          <w:lang w:val="en-US" w:eastAsia="zh-CN"/>
        </w:rPr>
        <w:t>90</w:t>
      </w:r>
    </w:p>
    <w:p>
      <w:pPr>
        <w:pStyle w:val="3"/>
        <w:jc w:val="both"/>
        <w:rPr>
          <w:color w:val="auto"/>
          <w:highlight w:val="none"/>
        </w:rPr>
      </w:pPr>
      <w:r>
        <w:rPr>
          <w:color w:val="auto"/>
          <w:highlight w:val="none"/>
        </w:rPr>
        <w:fldChar w:fldCharType="end"/>
      </w:r>
      <w:bookmarkStart w:id="0" w:name="_Toc15424"/>
      <w:r>
        <w:rPr>
          <w:color w:val="auto"/>
          <w:highlight w:val="none"/>
        </w:rPr>
        <w:br w:type="page"/>
      </w:r>
      <w:r>
        <w:rPr>
          <w:rFonts w:hint="eastAsia"/>
          <w:color w:val="auto"/>
          <w:highlight w:val="none"/>
        </w:rPr>
        <w:t>第一章</w:t>
      </w:r>
      <w:r>
        <w:rPr>
          <w:color w:val="auto"/>
          <w:highlight w:val="none"/>
        </w:rPr>
        <w:t xml:space="preserve">  </w:t>
      </w:r>
      <w:r>
        <w:rPr>
          <w:rFonts w:hint="eastAsia"/>
          <w:color w:val="auto"/>
          <w:highlight w:val="none"/>
        </w:rPr>
        <w:t>投标须知</w:t>
      </w:r>
      <w:bookmarkEnd w:id="0"/>
    </w:p>
    <w:p>
      <w:pPr>
        <w:pStyle w:val="7"/>
        <w:rPr>
          <w:color w:val="auto"/>
          <w:highlight w:val="none"/>
        </w:rPr>
      </w:pPr>
      <w:bookmarkStart w:id="1" w:name="_Toc21914"/>
      <w:r>
        <w:rPr>
          <w:rFonts w:hint="eastAsia"/>
          <w:color w:val="auto"/>
          <w:highlight w:val="none"/>
        </w:rPr>
        <w:t>一、投标须知前附表</w:t>
      </w:r>
      <w:bookmarkEnd w:id="1"/>
    </w:p>
    <w:p>
      <w:pPr>
        <w:pStyle w:val="8"/>
        <w:spacing w:line="360" w:lineRule="auto"/>
        <w:ind w:firstLineChars="200"/>
        <w:rPr>
          <w:rFonts w:ascii="宋体" w:hAnsi="宋体" w:cs="宋体"/>
          <w:color w:val="auto"/>
          <w:szCs w:val="21"/>
          <w:highlight w:val="none"/>
        </w:rPr>
      </w:pPr>
      <w:r>
        <w:rPr>
          <w:rFonts w:hint="eastAsia" w:ascii="宋体" w:hAnsi="宋体" w:cs="宋体"/>
          <w:color w:val="auto"/>
          <w:szCs w:val="21"/>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50"/>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81"/>
        <w:gridCol w:w="1810"/>
        <w:gridCol w:w="585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blHeader/>
        </w:trPr>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w:t>
            </w:r>
          </w:p>
        </w:tc>
        <w:tc>
          <w:tcPr>
            <w:tcW w:w="981" w:type="dxa"/>
            <w:tcBorders>
              <w:top w:val="doub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条款号</w:t>
            </w:r>
          </w:p>
        </w:tc>
        <w:tc>
          <w:tcPr>
            <w:tcW w:w="1810"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r>
              <w:rPr>
                <w:rFonts w:hint="eastAsia" w:ascii="宋体" w:hAnsi="宋体" w:cs="宋体"/>
                <w:color w:val="auto"/>
                <w:szCs w:val="21"/>
                <w:highlight w:val="none"/>
              </w:rPr>
              <w:t>内容</w:t>
            </w:r>
          </w:p>
        </w:tc>
        <w:tc>
          <w:tcPr>
            <w:tcW w:w="5857" w:type="dxa"/>
            <w:tcBorders>
              <w:top w:val="double" w:color="auto" w:sz="4" w:space="0"/>
              <w:left w:val="single" w:color="auto" w:sz="4" w:space="0"/>
              <w:bottom w:val="single" w:color="auto" w:sz="4" w:space="0"/>
              <w:right w:val="double" w:color="auto" w:sz="4" w:space="0"/>
            </w:tcBorders>
            <w:vAlign w:val="center"/>
          </w:tcPr>
          <w:p>
            <w:pPr>
              <w:pStyle w:val="31"/>
              <w:ind w:firstLine="458"/>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3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定义</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广州市番禺区基本建设投资管理中心</w:t>
            </w:r>
          </w:p>
          <w:p>
            <w:pPr>
              <w:rPr>
                <w:rFonts w:ascii="宋体" w:hAnsi="宋体" w:cs="宋体"/>
                <w:color w:val="auto"/>
                <w:szCs w:val="21"/>
                <w:highlight w:val="none"/>
              </w:rPr>
            </w:pPr>
            <w:r>
              <w:rPr>
                <w:rFonts w:hint="eastAsia" w:ascii="宋体" w:hAnsi="宋体" w:cs="宋体"/>
                <w:color w:val="auto"/>
                <w:szCs w:val="21"/>
                <w:highlight w:val="none"/>
              </w:rPr>
              <w:t>项目建设管理单位：</w:t>
            </w:r>
            <w:r>
              <w:rPr>
                <w:rFonts w:hint="eastAsia" w:ascii="宋体" w:hAnsi="宋体" w:cs="宋体"/>
                <w:color w:val="auto"/>
                <w:szCs w:val="21"/>
                <w:highlight w:val="none"/>
                <w:u w:val="single"/>
              </w:rPr>
              <w:t xml:space="preserve">             /                   </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广州建达建设管理有限公司</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eastAsia="zh-CN"/>
              </w:rPr>
              <w:t>中恩工程技术有限公司</w:t>
            </w:r>
          </w:p>
          <w:p>
            <w:pPr>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eastAsia="宋体" w:cs="宋体"/>
                <w:color w:val="auto"/>
                <w:sz w:val="21"/>
                <w:szCs w:val="21"/>
                <w:highlight w:val="none"/>
                <w:u w:val="single"/>
                <w:lang w:val="zh-CN"/>
              </w:rPr>
              <w:t>广东弘海实业发展有限公司</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工程名称</w:t>
            </w:r>
          </w:p>
        </w:tc>
        <w:tc>
          <w:tcPr>
            <w:tcW w:w="5857" w:type="dxa"/>
            <w:tcBorders>
              <w:top w:val="single" w:color="auto" w:sz="4" w:space="0"/>
              <w:left w:val="single" w:color="auto" w:sz="4" w:space="0"/>
              <w:bottom w:val="single" w:color="auto" w:sz="4" w:space="0"/>
              <w:right w:val="double" w:color="auto" w:sz="4" w:space="0"/>
            </w:tcBorders>
            <w:vAlign w:val="center"/>
          </w:tcPr>
          <w:p>
            <w:pPr>
              <w:pStyle w:val="6"/>
              <w:rPr>
                <w:rFonts w:hint="eastAsia" w:ascii="宋体" w:hAnsi="宋体" w:eastAsia="宋体" w:cs="宋体"/>
                <w:color w:val="auto"/>
                <w:szCs w:val="21"/>
                <w:highlight w:val="none"/>
                <w:u w:val="single"/>
                <w:lang w:eastAsia="zh-CN"/>
              </w:rPr>
            </w:pPr>
            <w:r>
              <w:rPr>
                <w:rFonts w:hint="eastAsia" w:ascii="宋体" w:hAnsi="宋体" w:cs="宋体"/>
                <w:color w:val="auto"/>
                <w:kern w:val="2"/>
                <w:sz w:val="21"/>
                <w:szCs w:val="21"/>
                <w:highlight w:val="none"/>
                <w:u w:val="single"/>
                <w:lang w:eastAsia="zh-CN"/>
              </w:rPr>
              <w:t>番禺区新造镇大沙路（滨河路-广医南路段）工程（二期）施工总承包项目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建设地点</w:t>
            </w:r>
          </w:p>
        </w:tc>
        <w:tc>
          <w:tcPr>
            <w:tcW w:w="5857" w:type="dxa"/>
            <w:tcBorders>
              <w:top w:val="single" w:color="auto" w:sz="4" w:space="0"/>
              <w:left w:val="single" w:color="auto" w:sz="4" w:space="0"/>
              <w:bottom w:val="single" w:color="auto" w:sz="4" w:space="0"/>
              <w:right w:val="double" w:color="auto" w:sz="4" w:space="0"/>
            </w:tcBorders>
            <w:vAlign w:val="center"/>
          </w:tcPr>
          <w:p>
            <w:pPr>
              <w:pStyle w:val="6"/>
              <w:rPr>
                <w:rFonts w:hint="eastAsia" w:ascii="宋体" w:hAnsi="宋体" w:eastAsia="宋体" w:cs="宋体"/>
                <w:color w:val="auto"/>
                <w:szCs w:val="21"/>
                <w:highlight w:val="none"/>
                <w:u w:val="single"/>
                <w:lang w:eastAsia="zh-CN"/>
              </w:rPr>
            </w:pPr>
            <w:r>
              <w:rPr>
                <w:rFonts w:hint="eastAsia" w:ascii="宋体" w:hAnsi="宋体" w:cs="宋体"/>
                <w:color w:val="auto"/>
                <w:kern w:val="2"/>
                <w:sz w:val="21"/>
                <w:szCs w:val="21"/>
                <w:highlight w:val="none"/>
                <w:u w:val="single"/>
                <w:lang w:eastAsia="zh-CN"/>
              </w:rPr>
              <w:t>番禺区新造镇广州医科大学新校区东北侧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建设规模</w:t>
            </w:r>
          </w:p>
        </w:tc>
        <w:tc>
          <w:tcPr>
            <w:tcW w:w="5857"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详见本工程招标公告</w:t>
            </w:r>
            <w:r>
              <w:rPr>
                <w:rFonts w:hint="eastAsia" w:ascii="宋体" w:hAnsi="宋体" w:cs="宋体"/>
                <w:color w:val="auto"/>
                <w:szCs w:val="21"/>
                <w:highlight w:val="none"/>
                <w:u w:val="single"/>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承包方式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包工、包料、包工期、包质量、包安全、包文明施工。合同约定风险范围内按投标综合单价（含项目措施费综合单价）不变、不可计量项目措施费包干。总价合同，图纸大包干。</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rPr>
              <w:t>工程质量符合现行《工程施工质量验收规范》合格标准。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招标范围</w:t>
            </w:r>
          </w:p>
        </w:tc>
        <w:tc>
          <w:tcPr>
            <w:tcW w:w="585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ascii="宋体" w:hAnsi="宋体" w:cs="宋体"/>
                <w:color w:val="auto"/>
                <w:szCs w:val="21"/>
                <w:highlight w:val="none"/>
              </w:rPr>
            </w:pPr>
            <w:r>
              <w:rPr>
                <w:rFonts w:hint="eastAsia" w:ascii="宋体" w:hAnsi="宋体" w:cs="宋体"/>
                <w:color w:val="auto"/>
                <w:szCs w:val="21"/>
                <w:highlight w:val="none"/>
                <w:u w:val="single"/>
                <w:lang w:val="en-US" w:eastAsia="zh-CN"/>
              </w:rPr>
              <w:t>详见</w:t>
            </w:r>
            <w:r>
              <w:rPr>
                <w:rFonts w:hint="eastAsia" w:ascii="宋体" w:hAnsi="宋体" w:cs="宋体"/>
                <w:color w:val="auto"/>
                <w:szCs w:val="21"/>
                <w:highlight w:val="none"/>
                <w:u w:val="single"/>
              </w:rPr>
              <w:t>本工程</w:t>
            </w:r>
            <w:r>
              <w:rPr>
                <w:rFonts w:hint="eastAsia" w:ascii="宋体" w:hAnsi="宋体" w:cs="宋体"/>
                <w:color w:val="auto"/>
                <w:szCs w:val="21"/>
                <w:highlight w:val="none"/>
                <w:u w:val="single"/>
                <w:lang w:val="en-US" w:eastAsia="zh-CN"/>
              </w:rPr>
              <w:t>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施工总工期：</w:t>
            </w:r>
            <w:r>
              <w:rPr>
                <w:rFonts w:hint="eastAsia" w:ascii="宋体" w:hAnsi="宋体" w:cs="宋体"/>
                <w:color w:val="auto"/>
                <w:szCs w:val="21"/>
                <w:highlight w:val="none"/>
                <w:u w:val="single"/>
                <w:lang w:val="en-US" w:eastAsia="zh-CN"/>
              </w:rPr>
              <w:t>150日历天</w:t>
            </w:r>
            <w:r>
              <w:rPr>
                <w:rFonts w:hint="eastAsia" w:ascii="宋体" w:hAnsi="宋体" w:cs="宋体"/>
                <w:color w:val="auto"/>
                <w:szCs w:val="21"/>
                <w:highlight w:val="none"/>
              </w:rPr>
              <w:t xml:space="preserve">内完工，完工是指在完成合同约定的工程各项内容（包括项目实体及应由施工单位提供的相关资料），经发包人检查确认并签发《工程完工确认书》为准。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rPr>
              <w:t>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66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11</w:t>
            </w:r>
          </w:p>
        </w:tc>
        <w:tc>
          <w:tcPr>
            <w:tcW w:w="981"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资格后审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工程量清单计价。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2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15.1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1.本项目</w:t>
            </w:r>
            <w:r>
              <w:rPr>
                <w:rFonts w:ascii="宋体" w:hAnsi="宋体" w:cs="宋体"/>
                <w:color w:val="auto"/>
                <w:szCs w:val="21"/>
                <w:highlight w:val="none"/>
              </w:rPr>
              <w:t>免收投标保证金，具体规定如下：</w:t>
            </w:r>
            <w:r>
              <w:rPr>
                <w:rFonts w:hint="eastAsia" w:ascii="宋体" w:hAnsi="宋体" w:cs="宋体"/>
                <w:color w:val="auto"/>
                <w:szCs w:val="21"/>
                <w:highlight w:val="none"/>
              </w:rPr>
              <w:t>提供《关于投标保证金的承诺》（详见附件1</w:t>
            </w:r>
            <w:r>
              <w:rPr>
                <w:rFonts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w:t>
            </w:r>
            <w:r>
              <w:rPr>
                <w:rFonts w:ascii="宋体" w:hAnsi="宋体" w:cs="宋体"/>
                <w:color w:val="auto"/>
                <w:szCs w:val="21"/>
                <w:highlight w:val="none"/>
              </w:rPr>
              <w:t>对于投标人已提供《关于投标保证金的承诺》，若投标人存在16.</w:t>
            </w:r>
            <w:r>
              <w:rPr>
                <w:rFonts w:hint="eastAsia" w:ascii="宋体" w:hAnsi="宋体" w:cs="宋体"/>
                <w:color w:val="auto"/>
                <w:szCs w:val="21"/>
                <w:highlight w:val="none"/>
                <w:lang w:val="en-US" w:eastAsia="zh-CN"/>
              </w:rPr>
              <w:t>4</w:t>
            </w:r>
            <w:r>
              <w:rPr>
                <w:rFonts w:ascii="宋体" w:hAnsi="宋体" w:cs="宋体"/>
                <w:color w:val="auto"/>
                <w:szCs w:val="21"/>
                <w:highlight w:val="none"/>
              </w:rPr>
              <w:t>条款所列情形，该投标人应在发现存在16.</w:t>
            </w:r>
            <w:r>
              <w:rPr>
                <w:rFonts w:hint="eastAsia" w:ascii="宋体" w:hAnsi="宋体" w:cs="宋体"/>
                <w:color w:val="auto"/>
                <w:szCs w:val="21"/>
                <w:highlight w:val="none"/>
                <w:lang w:val="en-US" w:eastAsia="zh-CN"/>
              </w:rPr>
              <w:t>4</w:t>
            </w:r>
            <w:r>
              <w:rPr>
                <w:rFonts w:ascii="宋体" w:hAnsi="宋体" w:cs="宋体"/>
                <w:color w:val="auto"/>
                <w:szCs w:val="21"/>
                <w:highlight w:val="none"/>
              </w:rPr>
              <w:t>条款所列情形之日起5个工作日内补交</w:t>
            </w:r>
            <w:r>
              <w:rPr>
                <w:rFonts w:hint="eastAsia" w:ascii="宋体" w:hAnsi="宋体" w:cs="宋体"/>
                <w:color w:val="auto"/>
                <w:szCs w:val="21"/>
                <w:highlight w:val="none"/>
              </w:rPr>
              <w:t>人民币</w:t>
            </w:r>
            <w:r>
              <w:rPr>
                <w:rFonts w:hint="eastAsia" w:ascii="宋体" w:hAnsi="宋体" w:cs="宋体"/>
                <w:color w:val="auto"/>
                <w:szCs w:val="21"/>
                <w:highlight w:val="none"/>
                <w:lang w:val="en-US" w:eastAsia="zh-CN"/>
              </w:rPr>
              <w:t>25万元</w:t>
            </w:r>
            <w:r>
              <w:rPr>
                <w:rFonts w:ascii="宋体" w:hAnsi="宋体" w:cs="宋体"/>
                <w:color w:val="auto"/>
                <w:szCs w:val="21"/>
                <w:highlight w:val="none"/>
              </w:rPr>
              <w:t>投标保证金</w:t>
            </w:r>
            <w:r>
              <w:rPr>
                <w:rFonts w:hint="eastAsia" w:ascii="宋体" w:hAnsi="宋体" w:cs="宋体"/>
                <w:color w:val="auto"/>
                <w:szCs w:val="21"/>
                <w:highlight w:val="none"/>
              </w:rPr>
              <w:t>；</w:t>
            </w:r>
            <w:r>
              <w:rPr>
                <w:rFonts w:ascii="宋体" w:hAnsi="宋体" w:cs="宋体"/>
                <w:color w:val="auto"/>
                <w:szCs w:val="21"/>
                <w:highlight w:val="none"/>
              </w:rPr>
              <w:t>若未按要求补交投标保证金的将暂停其参与招标人后续工程投标，直至完成补交手续为止。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00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踏勘现场</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自公告发布之日起具备现场踏勘条件；招标人不集中组织，由投标人自行踏勘。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投标答疑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eastAsia="Times New Roman"/>
                <w:color w:val="auto"/>
                <w:highlight w:val="none"/>
              </w:rPr>
            </w:pPr>
            <w:r>
              <w:rPr>
                <w:rFonts w:hint="eastAsia" w:ascii="宋体" w:hAnsi="宋体" w:eastAsia="Times New Roman"/>
                <w:color w:val="auto"/>
                <w:highlight w:val="none"/>
              </w:rPr>
              <w:t>1.方式：网上答疑：</w:t>
            </w:r>
          </w:p>
          <w:p>
            <w:pPr>
              <w:rPr>
                <w:rFonts w:ascii="宋体" w:hAnsi="宋体" w:eastAsia="Times New Roman"/>
                <w:color w:val="auto"/>
                <w:highlight w:val="none"/>
              </w:rPr>
            </w:pPr>
            <w:r>
              <w:rPr>
                <w:rFonts w:hint="eastAsia" w:ascii="宋体" w:hAnsi="宋体" w:eastAsia="Times New Roman"/>
                <w:color w:val="auto"/>
                <w:highlight w:val="none"/>
              </w:rPr>
              <w:t>2.投标人质疑期限：在递交投标文件截止日期前</w:t>
            </w:r>
            <w:r>
              <w:rPr>
                <w:rFonts w:hint="eastAsia" w:ascii="宋体" w:hAnsi="宋体" w:eastAsia="Times New Roman"/>
                <w:color w:val="auto"/>
                <w:highlight w:val="none"/>
                <w:u w:val="single"/>
              </w:rPr>
              <w:t>18</w:t>
            </w:r>
            <w:r>
              <w:rPr>
                <w:rFonts w:hint="eastAsia" w:ascii="宋体" w:hAnsi="宋体" w:eastAsia="Times New Roman"/>
                <w:color w:val="auto"/>
                <w:highlight w:val="none"/>
              </w:rPr>
              <w:t>日</w:t>
            </w:r>
          </w:p>
          <w:p>
            <w:pPr>
              <w:rPr>
                <w:rFonts w:ascii="宋体" w:hAnsi="宋体" w:eastAsia="Times New Roman"/>
                <w:color w:val="auto"/>
                <w:highlight w:val="none"/>
              </w:rPr>
            </w:pPr>
            <w:r>
              <w:rPr>
                <w:rFonts w:hint="eastAsia" w:ascii="宋体" w:hAnsi="宋体" w:eastAsia="Times New Roman"/>
                <w:color w:val="auto"/>
                <w:highlight w:val="none"/>
              </w:rPr>
              <w:t>3.招标人澄清、修补或答疑期限：在递交投标文件截止日期前</w:t>
            </w:r>
            <w:r>
              <w:rPr>
                <w:rFonts w:hint="eastAsia" w:ascii="宋体" w:hAnsi="宋体" w:eastAsia="Times New Roman"/>
                <w:color w:val="auto"/>
                <w:highlight w:val="none"/>
                <w:u w:val="single"/>
              </w:rPr>
              <w:t>15</w:t>
            </w:r>
            <w:r>
              <w:rPr>
                <w:rFonts w:hint="eastAsia" w:ascii="宋体" w:hAnsi="宋体" w:eastAsia="Times New Roman"/>
                <w:color w:val="auto"/>
                <w:highlight w:val="none"/>
              </w:rPr>
              <w:t xml:space="preserve"> 日</w:t>
            </w:r>
          </w:p>
          <w:p>
            <w:pPr>
              <w:rPr>
                <w:rFonts w:ascii="宋体" w:hAnsi="宋体"/>
                <w:color w:val="auto"/>
                <w:szCs w:val="21"/>
                <w:highlight w:val="none"/>
              </w:rPr>
            </w:pPr>
            <w:r>
              <w:rPr>
                <w:rFonts w:hint="eastAsia" w:ascii="宋体" w:hAnsi="宋体" w:eastAsia="Times New Roman"/>
                <w:color w:val="auto"/>
                <w:szCs w:val="21"/>
                <w:highlight w:val="none"/>
              </w:rPr>
              <w:t>4.网上答疑的操作指南为：登陆广州公共资源交易中心新建设工程交易平台中“我是投标人”→“我的投标”→“招标答疑提问”通过项目编号或名称找到所需的项目→在上述的答疑时间内点击“提问”→无记名或匿名提出问题以及查看所有的问题（提交问题时需插入投标人CA证书）。</w:t>
            </w:r>
          </w:p>
          <w:p>
            <w:pPr>
              <w:rPr>
                <w:rFonts w:ascii="宋体" w:hAnsi="宋体" w:eastAsia="Times New Roman"/>
                <w:color w:val="auto"/>
                <w:highlight w:val="none"/>
              </w:rPr>
            </w:pPr>
            <w:r>
              <w:rPr>
                <w:rFonts w:hint="eastAsia" w:ascii="宋体" w:hAnsi="宋体" w:eastAsia="Times New Roman"/>
                <w:color w:val="auto"/>
                <w:highlight w:val="none"/>
              </w:rPr>
              <w:t>5.网上答疑的相关事项详见招标文件8款。</w:t>
            </w:r>
          </w:p>
          <w:p>
            <w:pPr>
              <w:rPr>
                <w:rFonts w:ascii="宋体" w:hAnsi="宋体" w:cs="宋体"/>
                <w:color w:val="auto"/>
                <w:szCs w:val="21"/>
                <w:highlight w:val="none"/>
              </w:rPr>
            </w:pPr>
            <w:r>
              <w:rPr>
                <w:rFonts w:hint="eastAsia" w:ascii="宋体" w:hAnsi="宋体" w:eastAsia="Times New Roman"/>
                <w:color w:val="auto"/>
                <w:szCs w:val="21"/>
                <w:highlight w:val="none"/>
                <w:u w:val="single"/>
              </w:rPr>
              <w:t>6.答疑纪要在广州公共资源交易中心网站“建设工程”→“项目查询（日程安排、答疑纪要）”专区发布。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17</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5857" w:type="dxa"/>
            <w:tcBorders>
              <w:top w:val="single" w:color="auto" w:sz="4" w:space="0"/>
              <w:left w:val="single" w:color="auto" w:sz="4" w:space="0"/>
              <w:bottom w:val="single" w:color="auto" w:sz="4" w:space="0"/>
              <w:right w:val="double" w:color="auto" w:sz="4" w:space="0"/>
            </w:tcBorders>
            <w:vAlign w:val="center"/>
          </w:tcPr>
          <w:p>
            <w:pPr>
              <w:ind w:firstLine="630" w:firstLineChars="300"/>
              <w:rPr>
                <w:rFonts w:ascii="宋体" w:hAnsi="宋体" w:cs="宋体"/>
                <w:strike/>
                <w:color w:val="auto"/>
                <w:szCs w:val="21"/>
                <w:highlight w:val="none"/>
              </w:rPr>
            </w:pPr>
            <w:r>
              <w:rPr>
                <w:rFonts w:hint="eastAsia" w:ascii="宋体" w:hAnsi="宋体" w:cs="宋体"/>
                <w:color w:val="auto"/>
                <w:szCs w:val="21"/>
                <w:highlight w:val="none"/>
                <w:u w:val="none"/>
              </w:rPr>
              <w:t xml:space="preserve">年   </w:t>
            </w:r>
            <w:r>
              <w:rPr>
                <w:rFonts w:hint="eastAsia" w:ascii="宋体" w:hAnsi="宋体" w:cs="宋体"/>
                <w:color w:val="auto"/>
                <w:szCs w:val="21"/>
                <w:highlight w:val="none"/>
              </w:rPr>
              <w:t>月</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none"/>
                <w:lang w:val="en-US" w:eastAsia="zh-CN"/>
              </w:rPr>
              <w:t xml:space="preserve">   </w:t>
            </w:r>
            <w:r>
              <w:rPr>
                <w:rFonts w:hint="eastAsia" w:ascii="宋体" w:hAnsi="宋体"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1"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5857" w:type="dxa"/>
            <w:tcBorders>
              <w:top w:val="single" w:color="auto" w:sz="4" w:space="0"/>
              <w:left w:val="single" w:color="auto" w:sz="4" w:space="0"/>
              <w:bottom w:val="single" w:color="auto" w:sz="4" w:space="0"/>
              <w:right w:val="double" w:color="auto" w:sz="4" w:space="0"/>
            </w:tcBorders>
            <w:vAlign w:val="center"/>
          </w:tcPr>
          <w:p>
            <w:pPr>
              <w:keepNext w:val="0"/>
              <w:keepLines w:val="0"/>
              <w:suppressLineNumbers w:val="0"/>
              <w:spacing w:before="0" w:beforeAutospacing="0" w:after="0" w:afterAutospacing="0"/>
              <w:ind w:left="0" w:right="0"/>
              <w:rPr>
                <w:rFonts w:hint="eastAsia" w:ascii="宋体" w:hAnsi="宋体" w:eastAsia="宋体" w:cs="宋体"/>
                <w:szCs w:val="21"/>
                <w:highlight w:val="none"/>
              </w:rPr>
            </w:pPr>
            <w:r>
              <w:rPr>
                <w:rFonts w:hint="eastAsia" w:ascii="宋体" w:hAnsi="宋体" w:eastAsia="宋体" w:cs="宋体"/>
                <w:szCs w:val="21"/>
                <w:highlight w:val="none"/>
              </w:rPr>
              <w:t>（技术标和经济标同时开标）</w:t>
            </w:r>
          </w:p>
          <w:p>
            <w:pPr>
              <w:keepNext w:val="0"/>
              <w:keepLines w:val="0"/>
              <w:suppressLineNumbers w:val="0"/>
              <w:spacing w:before="0" w:beforeAutospacing="0" w:after="0" w:afterAutospacing="0"/>
              <w:ind w:left="0" w:right="0"/>
              <w:rPr>
                <w:rFonts w:hint="eastAsia" w:ascii="宋体" w:hAnsi="宋体" w:eastAsia="宋体" w:cs="宋体"/>
                <w:szCs w:val="21"/>
                <w:highlight w:val="none"/>
                <w:u w:val="single"/>
              </w:rPr>
            </w:pPr>
            <w:r>
              <w:rPr>
                <w:rFonts w:hint="eastAsia" w:ascii="宋体" w:hAnsi="宋体" w:eastAsia="宋体" w:cs="宋体"/>
                <w:szCs w:val="21"/>
                <w:highlight w:val="none"/>
              </w:rPr>
              <w:t>1、开标开始时间：</w:t>
            </w:r>
            <w:r>
              <w:rPr>
                <w:rFonts w:hint="eastAsia" w:ascii="宋体" w:hAnsi="宋体" w:cs="宋体"/>
                <w:szCs w:val="21"/>
                <w:highlight w:val="none"/>
                <w:lang w:val="en-US" w:eastAsia="zh-CN"/>
              </w:rPr>
              <w:t xml:space="preserve">    </w:t>
            </w:r>
            <w:r>
              <w:rPr>
                <w:rFonts w:hint="eastAsia" w:ascii="宋体" w:hAnsi="宋体" w:cs="宋体"/>
                <w:color w:val="auto"/>
                <w:szCs w:val="21"/>
                <w:highlight w:val="none"/>
                <w:u w:val="none"/>
              </w:rPr>
              <w:t xml:space="preserve">年   </w:t>
            </w:r>
            <w:r>
              <w:rPr>
                <w:rFonts w:hint="eastAsia" w:ascii="宋体" w:hAnsi="宋体" w:cs="宋体"/>
                <w:color w:val="auto"/>
                <w:szCs w:val="21"/>
                <w:highlight w:val="none"/>
              </w:rPr>
              <w:t>月</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日</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时</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分（与投标截止时间为同一时间），地点：</w:t>
            </w:r>
            <w:r>
              <w:rPr>
                <w:rFonts w:hint="eastAsia" w:eastAsia="宋体" w:cs="Times New Roman"/>
                <w:color w:val="auto"/>
                <w:highlight w:val="none"/>
                <w:u w:val="single"/>
                <w:lang w:eastAsia="zh-CN"/>
              </w:rPr>
              <w:t>广州公共资源交易中心番禺交易部开标室</w:t>
            </w:r>
            <w:r>
              <w:rPr>
                <w:rFonts w:hint="eastAsia" w:ascii="宋体" w:hAnsi="宋体" w:eastAsia="宋体" w:cs="宋体"/>
                <w:spacing w:val="20"/>
                <w:szCs w:val="21"/>
                <w:highlight w:val="none"/>
              </w:rPr>
              <w:t>。投标人也可选择参加在线开标，具体按照交易平台相关指南进行操作。详见：        。</w:t>
            </w:r>
          </w:p>
          <w:p>
            <w:pPr>
              <w:keepNext w:val="0"/>
              <w:keepLines w:val="0"/>
              <w:suppressLineNumbers w:val="0"/>
              <w:spacing w:before="0" w:beforeAutospacing="0" w:after="0" w:afterAutospacing="0"/>
              <w:ind w:left="0" w:right="0"/>
              <w:rPr>
                <w:rFonts w:hint="eastAsia" w:ascii="宋体" w:hAnsi="宋体" w:eastAsia="宋体" w:cs="宋体"/>
                <w:szCs w:val="21"/>
                <w:highlight w:val="none"/>
              </w:rPr>
            </w:pPr>
            <w:r>
              <w:rPr>
                <w:rFonts w:hint="eastAsia" w:ascii="宋体" w:hAnsi="宋体" w:eastAsia="宋体" w:cs="宋体"/>
                <w:szCs w:val="21"/>
                <w:highlight w:val="none"/>
              </w:rPr>
              <w:t>注：投标文件解密问题。投标人只用执行一次解密，招标人执行解密次数根据招标文件开标次数确定。</w:t>
            </w:r>
          </w:p>
          <w:p>
            <w:pPr>
              <w:keepNext w:val="0"/>
              <w:keepLines w:val="0"/>
              <w:numPr>
                <w:ilvl w:val="0"/>
                <w:numId w:val="5"/>
              </w:numPr>
              <w:suppressLineNumbers w:val="0"/>
              <w:spacing w:before="0" w:beforeAutospacing="0" w:after="0" w:afterAutospacing="0"/>
              <w:ind w:left="0" w:right="0"/>
              <w:rPr>
                <w:rFonts w:hint="eastAsia" w:ascii="宋体" w:hAnsi="宋体" w:eastAsia="宋体" w:cs="宋体"/>
                <w:szCs w:val="21"/>
                <w:highlight w:val="none"/>
              </w:rPr>
            </w:pPr>
            <w:r>
              <w:rPr>
                <w:rFonts w:hint="eastAsia" w:ascii="宋体" w:hAnsi="宋体" w:eastAsia="宋体" w:cs="宋体"/>
                <w:szCs w:val="21"/>
                <w:highlight w:val="none"/>
              </w:rPr>
              <w:t>递交投标文件备用光盘时间：</w:t>
            </w:r>
            <w:r>
              <w:rPr>
                <w:rFonts w:hint="eastAsia" w:ascii="宋体" w:hAnsi="宋体" w:cs="宋体"/>
                <w:szCs w:val="21"/>
                <w:highlight w:val="none"/>
                <w:lang w:val="en-US" w:eastAsia="zh-CN"/>
              </w:rPr>
              <w:t xml:space="preserve">    </w:t>
            </w:r>
            <w:r>
              <w:rPr>
                <w:rFonts w:hint="eastAsia" w:ascii="宋体" w:hAnsi="宋体" w:cs="宋体"/>
                <w:color w:val="auto"/>
                <w:szCs w:val="21"/>
                <w:highlight w:val="none"/>
                <w:u w:val="none"/>
              </w:rPr>
              <w:t xml:space="preserve">年   </w:t>
            </w:r>
            <w:r>
              <w:rPr>
                <w:rFonts w:hint="eastAsia" w:ascii="宋体" w:hAnsi="宋体" w:cs="宋体"/>
                <w:color w:val="auto"/>
                <w:szCs w:val="21"/>
                <w:highlight w:val="none"/>
              </w:rPr>
              <w:t>月</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日</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时</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分至</w:t>
            </w:r>
            <w:r>
              <w:rPr>
                <w:rFonts w:hint="eastAsia" w:ascii="宋体" w:hAnsi="宋体" w:cs="宋体"/>
                <w:szCs w:val="21"/>
                <w:highlight w:val="none"/>
                <w:lang w:val="en-US" w:eastAsia="zh-CN"/>
              </w:rPr>
              <w:t xml:space="preserve">    </w:t>
            </w:r>
            <w:r>
              <w:rPr>
                <w:rFonts w:hint="eastAsia" w:ascii="宋体" w:hAnsi="宋体" w:cs="宋体"/>
                <w:color w:val="auto"/>
                <w:szCs w:val="21"/>
                <w:highlight w:val="none"/>
                <w:u w:val="none"/>
              </w:rPr>
              <w:t xml:space="preserve">年   </w:t>
            </w:r>
            <w:r>
              <w:rPr>
                <w:rFonts w:hint="eastAsia" w:ascii="宋体" w:hAnsi="宋体" w:cs="宋体"/>
                <w:color w:val="auto"/>
                <w:szCs w:val="21"/>
                <w:highlight w:val="none"/>
              </w:rPr>
              <w:t>月</w:t>
            </w:r>
            <w:r>
              <w:rPr>
                <w:rFonts w:hint="eastAsia" w:ascii="宋体" w:hAnsi="宋体" w:cs="宋体"/>
                <w:color w:val="auto"/>
                <w:szCs w:val="21"/>
                <w:highlight w:val="none"/>
                <w:u w:val="none"/>
              </w:rPr>
              <w:t xml:space="preserve">    </w:t>
            </w:r>
            <w:r>
              <w:rPr>
                <w:rFonts w:hint="eastAsia" w:ascii="宋体" w:hAnsi="宋体" w:cs="宋体"/>
                <w:color w:val="auto"/>
                <w:szCs w:val="21"/>
                <w:highlight w:val="none"/>
              </w:rPr>
              <w:t>日</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时</w:t>
            </w:r>
            <w:r>
              <w:rPr>
                <w:rFonts w:hint="eastAsia" w:ascii="宋体" w:hAnsi="宋体" w:cs="宋体"/>
                <w:szCs w:val="21"/>
                <w:highlight w:val="none"/>
                <w:u w:val="single"/>
                <w:lang w:val="en-US" w:eastAsia="zh-CN"/>
              </w:rPr>
              <w:t xml:space="preserve">  </w:t>
            </w:r>
            <w:r>
              <w:rPr>
                <w:rFonts w:hint="eastAsia" w:ascii="宋体" w:hAnsi="宋体" w:eastAsia="宋体" w:cs="宋体"/>
                <w:szCs w:val="21"/>
                <w:highlight w:val="none"/>
              </w:rPr>
              <w:t>分；递交地点：</w:t>
            </w:r>
            <w:r>
              <w:rPr>
                <w:rFonts w:hint="eastAsia" w:eastAsia="宋体" w:cs="Times New Roman"/>
                <w:color w:val="auto"/>
                <w:highlight w:val="none"/>
                <w:u w:val="single"/>
                <w:lang w:eastAsia="zh-CN"/>
              </w:rPr>
              <w:t>广州公共资源交易中心番禺交易部开标室</w:t>
            </w:r>
            <w:r>
              <w:rPr>
                <w:rFonts w:hint="eastAsia" w:ascii="宋体" w:hAnsi="宋体" w:eastAsia="宋体" w:cs="宋体"/>
                <w:szCs w:val="21"/>
                <w:highlight w:val="none"/>
                <w:u w:val="single"/>
              </w:rPr>
              <w:t>。</w:t>
            </w:r>
          </w:p>
          <w:p>
            <w:pPr>
              <w:rPr>
                <w:rFonts w:ascii="宋体" w:hAnsi="宋体" w:eastAsia="仿宋_GB2312" w:cs="宋体"/>
                <w:color w:val="auto"/>
                <w:highlight w:val="none"/>
              </w:rPr>
            </w:pPr>
            <w:r>
              <w:rPr>
                <w:rFonts w:hint="eastAsia" w:cs="宋体" w:asciiTheme="majorEastAsia" w:hAnsiTheme="majorEastAsia" w:eastAsiaTheme="majorEastAsia"/>
                <w:bCs/>
                <w:color w:val="auto"/>
                <w:kern w:val="0"/>
                <w:sz w:val="22"/>
                <w:highlight w:val="none"/>
              </w:rPr>
              <w:t>上述时间及地点是否有改变，请密切留意</w:t>
            </w:r>
            <w:r>
              <w:rPr>
                <w:rFonts w:hint="eastAsia" w:cs="宋体" w:asciiTheme="majorEastAsia" w:hAnsiTheme="majorEastAsia" w:eastAsiaTheme="majorEastAsia"/>
                <w:b w:val="0"/>
                <w:bCs/>
                <w:color w:val="auto"/>
                <w:kern w:val="0"/>
                <w:sz w:val="22"/>
                <w:highlight w:val="none"/>
              </w:rPr>
              <w:t>补充公告和</w:t>
            </w:r>
            <w:r>
              <w:rPr>
                <w:rFonts w:hint="eastAsia" w:cs="宋体" w:asciiTheme="majorEastAsia" w:hAnsiTheme="majorEastAsia" w:eastAsiaTheme="majorEastAsia"/>
                <w:bCs/>
                <w:color w:val="auto"/>
                <w:kern w:val="0"/>
                <w:sz w:val="22"/>
                <w:highlight w:val="none"/>
              </w:rPr>
              <w:t>招</w:t>
            </w:r>
            <w:bookmarkStart w:id="22" w:name="_GoBack"/>
            <w:bookmarkEnd w:id="22"/>
            <w:r>
              <w:rPr>
                <w:rFonts w:hint="eastAsia" w:cs="宋体" w:asciiTheme="majorEastAsia" w:hAnsiTheme="majorEastAsia" w:eastAsiaTheme="majorEastAsia"/>
                <w:bCs/>
                <w:color w:val="auto"/>
                <w:kern w:val="0"/>
                <w:sz w:val="22"/>
                <w:highlight w:val="none"/>
              </w:rPr>
              <w:t>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6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5857" w:type="dxa"/>
            <w:tcBorders>
              <w:top w:val="single" w:color="auto" w:sz="4" w:space="0"/>
              <w:left w:val="single" w:color="auto" w:sz="4" w:space="0"/>
              <w:bottom w:val="single" w:color="auto" w:sz="4" w:space="0"/>
              <w:right w:val="double" w:color="auto" w:sz="4" w:space="0"/>
            </w:tcBorders>
            <w:vAlign w:val="center"/>
          </w:tcPr>
          <w:p>
            <w:pPr>
              <w:pStyle w:val="5"/>
              <w:ind w:firstLine="0"/>
              <w:rPr>
                <w:rFonts w:ascii="宋体" w:hAnsi="宋体" w:cs="宋体"/>
                <w:color w:val="auto"/>
                <w:kern w:val="2"/>
                <w:sz w:val="21"/>
                <w:szCs w:val="21"/>
                <w:highlight w:val="none"/>
              </w:rPr>
            </w:pPr>
            <w:r>
              <w:rPr>
                <w:rFonts w:hint="eastAsia" w:cs="宋体" w:asciiTheme="majorEastAsia" w:hAnsiTheme="majorEastAsia" w:eastAsiaTheme="majorEastAsia"/>
                <w:bCs/>
                <w:color w:val="auto"/>
                <w:kern w:val="0"/>
                <w:sz w:val="22"/>
                <w:szCs w:val="22"/>
                <w:highlight w:val="none"/>
              </w:rPr>
              <w:t>方式一：选取方法</w:t>
            </w:r>
            <w:r>
              <w:rPr>
                <w:rFonts w:hint="eastAsia" w:cs="宋体" w:asciiTheme="majorEastAsia" w:hAnsiTheme="majorEastAsia" w:eastAsiaTheme="majorEastAsia"/>
                <w:bCs/>
                <w:color w:val="auto"/>
                <w:kern w:val="0"/>
                <w:sz w:val="22"/>
                <w:szCs w:val="22"/>
                <w:highlight w:val="none"/>
                <w:u w:val="none"/>
              </w:rPr>
              <w:t xml:space="preserve"> </w:t>
            </w:r>
            <w:r>
              <w:rPr>
                <w:rFonts w:hint="eastAsia" w:cs="宋体" w:asciiTheme="majorEastAsia" w:hAnsiTheme="majorEastAsia" w:eastAsiaTheme="majorEastAsia"/>
                <w:bCs/>
                <w:color w:val="auto"/>
                <w:kern w:val="0"/>
                <w:sz w:val="22"/>
                <w:szCs w:val="22"/>
                <w:highlight w:val="none"/>
                <w:u w:val="single"/>
              </w:rPr>
              <w:t>七</w:t>
            </w:r>
            <w:r>
              <w:rPr>
                <w:rFonts w:hint="eastAsia" w:cs="宋体" w:asciiTheme="majorEastAsia" w:hAnsiTheme="majorEastAsia" w:eastAsiaTheme="majorEastAsia"/>
                <w:bCs/>
                <w:color w:val="auto"/>
                <w:kern w:val="0"/>
                <w:sz w:val="22"/>
                <w:szCs w:val="22"/>
                <w:highlight w:val="none"/>
                <w:u w:val="none"/>
              </w:rPr>
              <w:t xml:space="preserve"> </w:t>
            </w:r>
            <w:r>
              <w:rPr>
                <w:rFonts w:hint="eastAsia" w:cs="宋体" w:asciiTheme="majorEastAsia" w:hAnsiTheme="majorEastAsia" w:eastAsiaTheme="majorEastAsia"/>
                <w:bCs/>
                <w:color w:val="auto"/>
                <w:kern w:val="0"/>
                <w:sz w:val="22"/>
                <w:szCs w:val="22"/>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10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29.1</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履约担保</w:t>
            </w:r>
          </w:p>
        </w:tc>
        <w:tc>
          <w:tcPr>
            <w:tcW w:w="5857" w:type="dxa"/>
            <w:tcBorders>
              <w:top w:val="single" w:color="auto" w:sz="4" w:space="0"/>
              <w:left w:val="single" w:color="auto" w:sz="4" w:space="0"/>
              <w:bottom w:val="single" w:color="auto" w:sz="4" w:space="0"/>
              <w:right w:val="double" w:color="auto" w:sz="4" w:space="0"/>
            </w:tcBorders>
            <w:vAlign w:val="center"/>
          </w:tcPr>
          <w:p>
            <w:pPr>
              <w:widowControl/>
              <w:ind w:firstLine="210" w:firstLineChars="100"/>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履约担保可采用现金或者支票、银行保函、保证保险、专业担保公司担保等方式：</w:t>
            </w:r>
          </w:p>
          <w:p>
            <w:pPr>
              <w:widowControl/>
              <w:ind w:firstLine="210" w:firstLineChars="100"/>
              <w:jc w:val="left"/>
              <w:rPr>
                <w:rFonts w:ascii="宋体" w:hAnsi="宋体" w:cs="宋体"/>
                <w:color w:val="auto"/>
                <w:szCs w:val="21"/>
                <w:highlight w:val="none"/>
              </w:rPr>
            </w:pPr>
            <w:r>
              <w:rPr>
                <w:rFonts w:hint="eastAsia" w:ascii="宋体" w:hAnsi="宋体" w:cs="宋体"/>
                <w:color w:val="auto"/>
                <w:szCs w:val="21"/>
                <w:highlight w:val="none"/>
                <w:lang w:val="en-US" w:eastAsia="zh-CN"/>
              </w:rPr>
              <w:t>若采用现金或者支票方式的</w:t>
            </w:r>
            <w:r>
              <w:rPr>
                <w:rFonts w:hint="eastAsia" w:ascii="宋体" w:hAnsi="宋体" w:cs="宋体"/>
                <w:color w:val="auto"/>
                <w:szCs w:val="21"/>
                <w:highlight w:val="none"/>
              </w:rPr>
              <w:t>：中标人提供的履约保证金为中标价款的10%。</w:t>
            </w:r>
          </w:p>
          <w:p>
            <w:pPr>
              <w:widowControl/>
              <w:jc w:val="left"/>
              <w:rPr>
                <w:rFonts w:ascii="宋体" w:hAnsi="宋体" w:cs="宋体"/>
                <w:color w:val="auto"/>
                <w:szCs w:val="21"/>
                <w:highlight w:val="none"/>
              </w:rPr>
            </w:pPr>
            <w:r>
              <w:rPr>
                <w:rFonts w:hint="eastAsia" w:ascii="宋体" w:hAnsi="宋体" w:cs="宋体"/>
                <w:color w:val="auto"/>
                <w:szCs w:val="21"/>
                <w:highlight w:val="none"/>
              </w:rPr>
              <w:t>中标通知书发放后</w:t>
            </w:r>
            <w:r>
              <w:rPr>
                <w:rFonts w:hint="eastAsia" w:ascii="宋体" w:hAnsi="宋体" w:cs="宋体"/>
                <w:color w:val="auto"/>
                <w:szCs w:val="21"/>
                <w:highlight w:val="none"/>
                <w:u w:val="single"/>
              </w:rPr>
              <w:t>15</w:t>
            </w:r>
            <w:r>
              <w:rPr>
                <w:rFonts w:hint="eastAsia" w:ascii="宋体" w:hAnsi="宋体" w:cs="宋体"/>
                <w:color w:val="auto"/>
                <w:szCs w:val="21"/>
                <w:highlight w:val="none"/>
              </w:rPr>
              <w:t>个日历天内,中标人须向招标人提交履约保证金，履约保证金的提交方式为：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pPr>
              <w:widowControl/>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方式二：中标人按本合同附件中的格式3向发包人提供保证额为中标价款的10%的履约保证金银行保函，该银行保函应由在中国注册的银行开具。</w:t>
            </w:r>
          </w:p>
          <w:p>
            <w:pPr>
              <w:widowControl/>
              <w:jc w:val="left"/>
              <w:rPr>
                <w:rFonts w:ascii="宋体" w:hAnsi="宋体" w:cs="宋体"/>
                <w:color w:val="auto"/>
                <w:szCs w:val="21"/>
                <w:highlight w:val="none"/>
              </w:rPr>
            </w:pPr>
            <w:r>
              <w:rPr>
                <w:rFonts w:hint="eastAsia" w:ascii="宋体" w:hAnsi="宋体" w:cs="宋体"/>
                <w:color w:val="auto"/>
                <w:szCs w:val="21"/>
                <w:highlight w:val="none"/>
              </w:rPr>
              <w:t>在中标通知书发放后</w:t>
            </w:r>
            <w:r>
              <w:rPr>
                <w:rFonts w:hint="eastAsia" w:ascii="宋体" w:hAnsi="宋体" w:cs="宋体"/>
                <w:color w:val="auto"/>
                <w:szCs w:val="21"/>
                <w:highlight w:val="none"/>
                <w:u w:val="single"/>
              </w:rPr>
              <w:t>15</w:t>
            </w:r>
            <w:r>
              <w:rPr>
                <w:rFonts w:hint="eastAsia" w:ascii="宋体" w:hAnsi="宋体" w:cs="宋体"/>
                <w:color w:val="auto"/>
                <w:szCs w:val="21"/>
                <w:highlight w:val="none"/>
              </w:rPr>
              <w:t>个日历天内，中标人未提交履约担保且未征得招标人同意延期缴交的，招标人有权取消其中标资格</w:t>
            </w:r>
            <w:r>
              <w:rPr>
                <w:rFonts w:hint="eastAsia" w:ascii="宋体" w:hAnsi="宋体" w:cs="宋体"/>
                <w:color w:val="auto"/>
                <w:szCs w:val="21"/>
                <w:highlight w:val="none"/>
                <w:lang w:eastAsia="zh-CN"/>
              </w:rPr>
              <w:t>并没收其</w:t>
            </w:r>
            <w:r>
              <w:rPr>
                <w:rFonts w:hint="eastAsia" w:ascii="宋体" w:hAnsi="宋体"/>
                <w:color w:val="auto"/>
                <w:highlight w:val="none"/>
                <w:u w:val="single"/>
                <w:lang w:val="en-US" w:eastAsia="zh-CN"/>
              </w:rPr>
              <w:t>补交的</w:t>
            </w:r>
            <w:r>
              <w:rPr>
                <w:rFonts w:hint="eastAsia" w:ascii="宋体" w:hAnsi="宋体" w:cs="宋体"/>
                <w:color w:val="auto"/>
                <w:szCs w:val="21"/>
                <w:highlight w:val="none"/>
                <w:lang w:eastAsia="zh-CN"/>
              </w:rPr>
              <w:t>投标保证金</w:t>
            </w:r>
            <w:r>
              <w:rPr>
                <w:rFonts w:hint="eastAsia" w:ascii="宋体" w:hAnsi="宋体" w:cs="宋体"/>
                <w:color w:val="auto"/>
                <w:szCs w:val="21"/>
                <w:highlight w:val="none"/>
                <w:u w:val="single"/>
              </w:rPr>
              <w:t>，并由其他中标候选人顺次序替补</w:t>
            </w:r>
            <w:r>
              <w:rPr>
                <w:rFonts w:hint="eastAsia" w:ascii="宋体" w:hAnsi="宋体" w:cs="宋体"/>
                <w:color w:val="auto"/>
                <w:szCs w:val="21"/>
                <w:highlight w:val="none"/>
              </w:rPr>
              <w:t>。</w:t>
            </w:r>
          </w:p>
          <w:p>
            <w:pPr>
              <w:widowControl/>
              <w:ind w:firstLine="210" w:firstLineChars="100"/>
              <w:jc w:val="left"/>
              <w:rPr>
                <w:rFonts w:ascii="宋体" w:hAnsi="宋体" w:cs="宋体"/>
                <w:color w:val="auto"/>
                <w:szCs w:val="21"/>
                <w:highlight w:val="none"/>
              </w:rPr>
            </w:pPr>
            <w:r>
              <w:rPr>
                <w:rFonts w:hint="eastAsia" w:ascii="宋体" w:hAnsi="宋体" w:cs="宋体"/>
                <w:color w:val="auto"/>
                <w:szCs w:val="21"/>
                <w:highlight w:val="none"/>
              </w:rPr>
              <w:t>中标人须于中标通知书发出之日起，18个日历天内完成签订施工合同的工作，并将中标人已签妥的施工合同及相关协议文件提交招标人。</w:t>
            </w:r>
            <w:r>
              <w:rPr>
                <w:rFonts w:hint="eastAsia" w:ascii="宋体" w:hAnsi="宋体" w:cs="宋体"/>
                <w:color w:val="auto"/>
                <w:szCs w:val="21"/>
                <w:highlight w:val="none"/>
                <w:u w:val="single"/>
              </w:rPr>
              <w:t>若不提交，招标人有权取消其中标资格</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7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21</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5857" w:type="dxa"/>
            <w:tcBorders>
              <w:top w:val="single" w:color="auto" w:sz="4" w:space="0"/>
              <w:left w:val="single" w:color="auto" w:sz="4" w:space="0"/>
              <w:bottom w:val="single" w:color="auto" w:sz="4" w:space="0"/>
              <w:right w:val="double" w:color="auto" w:sz="4" w:space="0"/>
            </w:tcBorders>
            <w:vAlign w:val="center"/>
          </w:tcPr>
          <w:p>
            <w:pPr>
              <w:ind w:left="-27" w:leftChars="-13" w:right="-59" w:rightChars="-28"/>
              <w:rPr>
                <w:rFonts w:ascii="宋体" w:hAnsi="宋体" w:cs="宋体"/>
                <w:color w:val="auto"/>
                <w:szCs w:val="21"/>
                <w:highlight w:val="none"/>
              </w:rPr>
            </w:pPr>
            <w:r>
              <w:rPr>
                <w:rFonts w:hint="eastAsia" w:ascii="宋体" w:hAnsi="宋体" w:cs="宋体"/>
                <w:color w:val="auto"/>
                <w:szCs w:val="21"/>
                <w:highlight w:val="none"/>
              </w:rPr>
              <w:t>本项目设置最高投标限价、综合单价最高限价，最高投标限价为人民币</w:t>
            </w:r>
            <w:r>
              <w:rPr>
                <w:rFonts w:hint="eastAsia" w:ascii="宋体" w:hAnsi="宋体" w:cs="宋体"/>
                <w:color w:val="auto"/>
                <w:szCs w:val="21"/>
                <w:highlight w:val="none"/>
                <w:u w:val="single"/>
                <w:lang w:val="en-US" w:eastAsia="zh-CN"/>
              </w:rPr>
              <w:t>14939108.17</w:t>
            </w:r>
            <w:r>
              <w:rPr>
                <w:rFonts w:hint="eastAsia" w:ascii="宋体" w:hAnsi="宋体" w:cs="宋体"/>
                <w:color w:val="auto"/>
                <w:szCs w:val="21"/>
                <w:highlight w:val="none"/>
              </w:rPr>
              <w:t>元，综合单价最高限价详见招标工程量清单；其中措施费合计为</w:t>
            </w:r>
            <w:r>
              <w:rPr>
                <w:rFonts w:hint="eastAsia" w:ascii="宋体" w:hAnsi="宋体" w:cs="宋体"/>
                <w:color w:val="auto"/>
                <w:szCs w:val="21"/>
                <w:highlight w:val="none"/>
                <w:u w:val="single"/>
                <w:lang w:val="en-US" w:eastAsia="zh-CN"/>
              </w:rPr>
              <w:t>1602285.39</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元；绿色施工安全防护措施费为</w:t>
            </w:r>
            <w:r>
              <w:rPr>
                <w:rFonts w:hint="eastAsia" w:ascii="宋体" w:hAnsi="宋体" w:cs="宋体"/>
                <w:color w:val="auto"/>
                <w:szCs w:val="21"/>
                <w:highlight w:val="none"/>
                <w:u w:val="single"/>
                <w:lang w:val="en-US" w:eastAsia="zh-CN"/>
              </w:rPr>
              <w:t>1058408.52</w:t>
            </w:r>
            <w:r>
              <w:rPr>
                <w:rFonts w:hint="eastAsia" w:ascii="宋体" w:hAnsi="宋体" w:cs="宋体"/>
                <w:color w:val="auto"/>
                <w:szCs w:val="21"/>
                <w:highlight w:val="none"/>
              </w:rPr>
              <w:t>元；其他项目费用为</w:t>
            </w:r>
            <w:r>
              <w:rPr>
                <w:rFonts w:hint="eastAsia" w:ascii="宋体" w:hAnsi="宋体" w:eastAsia="宋体" w:cs="宋体"/>
                <w:color w:val="auto"/>
                <w:kern w:val="2"/>
                <w:sz w:val="21"/>
                <w:szCs w:val="21"/>
                <w:highlight w:val="none"/>
                <w:u w:val="single"/>
                <w:lang w:val="en-US" w:eastAsia="zh-CN" w:bidi="ar"/>
              </w:rPr>
              <w:t>152733.76</w:t>
            </w:r>
            <w:r>
              <w:rPr>
                <w:rFonts w:hint="eastAsia" w:ascii="宋体" w:hAnsi="宋体" w:cs="宋体"/>
                <w:color w:val="auto"/>
                <w:szCs w:val="21"/>
                <w:highlight w:val="none"/>
              </w:rPr>
              <w:t>元。投标总价超过最高投标限价、投标报价中任一项综合单价超过招标工程量清单中相应的综合单价最高限价时，投标文件将被拒绝。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166"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1058408.52</w:t>
            </w:r>
            <w:r>
              <w:rPr>
                <w:rFonts w:hint="eastAsia" w:ascii="宋体" w:hAnsi="宋体" w:cs="宋体"/>
                <w:color w:val="auto"/>
                <w:szCs w:val="21"/>
                <w:highlight w:val="none"/>
              </w:rPr>
              <w:t>元，暂列金额为</w:t>
            </w:r>
            <w:r>
              <w:rPr>
                <w:rFonts w:hint="eastAsia" w:ascii="宋体" w:hAnsi="宋体" w:cs="宋体"/>
                <w:color w:val="auto"/>
                <w:szCs w:val="21"/>
                <w:highlight w:val="none"/>
                <w:u w:val="single"/>
              </w:rPr>
              <w:t>0</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0</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0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pStyle w:val="5"/>
              <w:ind w:firstLine="0"/>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644"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lang w:val="en-US" w:eastAsia="zh-CN"/>
              </w:rPr>
              <w:t>12698241.94</w:t>
            </w:r>
            <w:r>
              <w:rPr>
                <w:rFonts w:hint="eastAsia" w:ascii="宋体" w:hAnsi="宋体" w:cs="宋体"/>
                <w:color w:val="auto"/>
                <w:szCs w:val="21"/>
                <w:highlight w:val="none"/>
              </w:rPr>
              <w:t>元（最高投标限价的8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28</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highlight w:val="none"/>
              </w:rPr>
              <w:t>45</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highlight w:val="none"/>
              </w:rPr>
              <w:t>投标人经济标评审和得分汇总</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b/>
                <w:color w:val="auto"/>
                <w:szCs w:val="21"/>
                <w:highlight w:val="none"/>
                <w:u w:val="single"/>
              </w:rPr>
            </w:pPr>
            <w:r>
              <w:rPr>
                <w:rFonts w:ascii="宋体" w:hAnsi="宋体"/>
                <w:b/>
                <w:color w:val="auto"/>
                <w:szCs w:val="21"/>
                <w:highlight w:val="none"/>
                <w:u w:val="single"/>
              </w:rPr>
              <w:t>1、确定经济标评审的评标参考价：</w:t>
            </w:r>
          </w:p>
          <w:p>
            <w:pPr>
              <w:ind w:firstLine="210" w:firstLineChars="100"/>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经济标报价在[工程成本警戒价，招标控制价]区间的投标人的技术得分由高至低排序后，得出的前N名(如满足前述条件的投标人大于等于10家，则N=10；如满足前述条件的投标人小于10家，则N为满足前述条件的投标人的数量。若出现技术得分相同的单位，按报价低者排前的原则，若报价亦一致的，由评标委员会采用记名投票方式，确定其排序)投标人的经济报价加权平均，计算评标参考价。</w:t>
            </w:r>
          </w:p>
          <w:p>
            <w:pPr>
              <w:rPr>
                <w:rFonts w:ascii="宋体" w:hAnsi="宋体"/>
                <w:color w:val="auto"/>
                <w:szCs w:val="21"/>
                <w:highlight w:val="none"/>
                <w:u w:val="single"/>
              </w:rPr>
            </w:pPr>
            <w:r>
              <w:rPr>
                <w:rFonts w:ascii="宋体" w:hAnsi="宋体"/>
                <w:color w:val="auto"/>
                <w:szCs w:val="21"/>
                <w:highlight w:val="none"/>
                <w:u w:val="single"/>
              </w:rPr>
              <w:t>即：假设参与评标参考价计算的投标人共有N名，评标参考价=Σ（投标人的投标报价×报价权重）。前N名的投标人的报价权重按其</w:t>
            </w:r>
            <w:r>
              <w:rPr>
                <w:rFonts w:hint="eastAsia" w:ascii="宋体" w:hAnsi="宋体"/>
                <w:color w:val="auto"/>
                <w:szCs w:val="21"/>
                <w:highlight w:val="none"/>
                <w:u w:val="single"/>
              </w:rPr>
              <w:t>技术</w:t>
            </w:r>
            <w:r>
              <w:rPr>
                <w:rFonts w:ascii="宋体" w:hAnsi="宋体"/>
                <w:color w:val="auto"/>
                <w:szCs w:val="21"/>
                <w:highlight w:val="none"/>
                <w:u w:val="single"/>
              </w:rPr>
              <w:t>得分高低确定，得分越高，权重越大。具体计算方法为：将N名投标人按</w:t>
            </w:r>
            <w:r>
              <w:rPr>
                <w:rFonts w:hint="eastAsia" w:ascii="宋体" w:hAnsi="宋体"/>
                <w:color w:val="auto"/>
                <w:szCs w:val="21"/>
                <w:highlight w:val="none"/>
                <w:u w:val="single"/>
              </w:rPr>
              <w:t>技术得分</w:t>
            </w:r>
            <w:r>
              <w:rPr>
                <w:rFonts w:ascii="宋体" w:hAnsi="宋体"/>
                <w:color w:val="auto"/>
                <w:szCs w:val="21"/>
                <w:highlight w:val="none"/>
                <w:u w:val="single"/>
              </w:rPr>
              <w:t>由高至低进行排序，第一名投标人的权重为（</w:t>
            </w:r>
            <m:oMath>
              <m:f>
                <m:fPr>
                  <m:ctrlPr>
                    <w:rPr>
                      <w:rFonts w:ascii="Cambria Math" w:hAnsi="Cambria Math" w:eastAsia="Times New Roman"/>
                      <w:color w:val="auto"/>
                      <w:szCs w:val="21"/>
                      <w:highlight w:val="none"/>
                    </w:rPr>
                  </m:ctrlPr>
                </m:fPr>
                <m:num>
                  <m:r>
                    <m:rPr/>
                    <w:rPr>
                      <w:rFonts w:ascii="Cambria Math" w:hAnsi="Cambria Math" w:eastAsia="Times New Roman"/>
                      <w:color w:val="auto"/>
                      <w:szCs w:val="21"/>
                      <w:highlight w:val="none"/>
                    </w:rPr>
                    <m:t>N</m:t>
                  </m:r>
                  <m:ctrlPr>
                    <w:rPr>
                      <w:rFonts w:ascii="Cambria Math" w:hAnsi="Cambria Math" w:eastAsia="Times New Roman"/>
                      <w:color w:val="auto"/>
                      <w:szCs w:val="21"/>
                      <w:highlight w:val="none"/>
                    </w:rPr>
                  </m:ctrlPr>
                </m:num>
                <m:den>
                  <m:nary>
                    <m:naryPr>
                      <m:chr m:val="∑"/>
                      <m:limLoc m:val="subSup"/>
                      <m:ctrlPr>
                        <w:rPr>
                          <w:rFonts w:ascii="Cambria Math" w:hAnsi="Cambria Math" w:eastAsia="Times New Roman"/>
                          <w:i/>
                          <w:color w:val="auto"/>
                          <w:szCs w:val="21"/>
                          <w:highlight w:val="none"/>
                        </w:rPr>
                      </m:ctrlPr>
                    </m:naryPr>
                    <m:sub>
                      <m:r>
                        <m:rPr/>
                        <w:rPr>
                          <w:rFonts w:ascii="Cambria Math" w:hAnsi="Cambria Math" w:eastAsia="Times New Roman"/>
                          <w:color w:val="auto"/>
                          <w:szCs w:val="21"/>
                          <w:highlight w:val="none"/>
                        </w:rPr>
                        <m:t>1</m:t>
                      </m:r>
                      <m:ctrlPr>
                        <w:rPr>
                          <w:rFonts w:ascii="Cambria Math" w:hAnsi="Cambria Math" w:eastAsia="Times New Roman"/>
                          <w:i/>
                          <w:color w:val="auto"/>
                          <w:szCs w:val="21"/>
                          <w:highlight w:val="none"/>
                        </w:rPr>
                      </m:ctrlPr>
                    </m:sub>
                    <m:sup>
                      <m:r>
                        <m:rPr/>
                        <w:rPr>
                          <w:rFonts w:ascii="Cambria Math" w:hAnsi="Cambria Math" w:eastAsia="Times New Roman"/>
                          <w:color w:val="auto"/>
                          <w:szCs w:val="21"/>
                          <w:highlight w:val="none"/>
                        </w:rPr>
                        <m:t>N</m:t>
                      </m:r>
                      <m:ctrlPr>
                        <w:rPr>
                          <w:rFonts w:ascii="Cambria Math" w:hAnsi="Cambria Math" w:eastAsia="Times New Roman"/>
                          <w:i/>
                          <w:color w:val="auto"/>
                          <w:szCs w:val="21"/>
                          <w:highlight w:val="none"/>
                        </w:rPr>
                      </m:ctrlPr>
                    </m:sup>
                    <m:e>
                      <m:r>
                        <m:rPr/>
                        <w:rPr>
                          <w:rFonts w:ascii="Cambria Math" w:hAnsi="Cambria Math" w:eastAsia="Times New Roman"/>
                          <w:color w:val="auto"/>
                          <w:szCs w:val="21"/>
                          <w:highlight w:val="none"/>
                        </w:rPr>
                        <m:t>n</m:t>
                      </m:r>
                      <m:ctrlPr>
                        <w:rPr>
                          <w:rFonts w:ascii="Cambria Math" w:hAnsi="Cambria Math" w:eastAsia="Times New Roman"/>
                          <w:i/>
                          <w:color w:val="auto"/>
                          <w:szCs w:val="21"/>
                          <w:highlight w:val="none"/>
                        </w:rPr>
                      </m:ctrlPr>
                    </m:e>
                  </m:nary>
                  <m:ctrlPr>
                    <w:rPr>
                      <w:rFonts w:ascii="Cambria Math" w:hAnsi="Cambria Math" w:eastAsia="Times New Roman"/>
                      <w:color w:val="auto"/>
                      <w:szCs w:val="21"/>
                      <w:highlight w:val="none"/>
                    </w:rPr>
                  </m:ctrlPr>
                </m:den>
              </m:f>
            </m:oMath>
            <w:r>
              <w:rPr>
                <w:rFonts w:ascii="宋体" w:hAnsi="宋体"/>
                <w:color w:val="auto"/>
                <w:szCs w:val="21"/>
                <w:highlight w:val="none"/>
                <w:u w:val="single"/>
              </w:rPr>
              <w:t>）,第二名投标人的权重为（</w:t>
            </w:r>
            <m:oMath>
              <m:f>
                <m:fPr>
                  <m:ctrlPr>
                    <w:rPr>
                      <w:rFonts w:ascii="Cambria Math" w:hAnsi="Cambria Math" w:eastAsia="Times New Roman"/>
                      <w:color w:val="auto"/>
                      <w:szCs w:val="21"/>
                      <w:highlight w:val="none"/>
                    </w:rPr>
                  </m:ctrlPr>
                </m:fPr>
                <m:num>
                  <m:r>
                    <m:rPr/>
                    <w:rPr>
                      <w:rFonts w:ascii="Cambria Math" w:hAnsi="Cambria Math" w:eastAsia="Times New Roman"/>
                      <w:color w:val="auto"/>
                      <w:szCs w:val="21"/>
                      <w:highlight w:val="none"/>
                    </w:rPr>
                    <m:t>N−1</m:t>
                  </m:r>
                  <m:ctrlPr>
                    <w:rPr>
                      <w:rFonts w:ascii="Cambria Math" w:hAnsi="Cambria Math" w:eastAsia="Times New Roman"/>
                      <w:color w:val="auto"/>
                      <w:szCs w:val="21"/>
                      <w:highlight w:val="none"/>
                    </w:rPr>
                  </m:ctrlPr>
                </m:num>
                <m:den>
                  <m:nary>
                    <m:naryPr>
                      <m:chr m:val="∑"/>
                      <m:limLoc m:val="subSup"/>
                      <m:ctrlPr>
                        <w:rPr>
                          <w:rFonts w:ascii="Cambria Math" w:hAnsi="Cambria Math" w:eastAsia="Times New Roman"/>
                          <w:i/>
                          <w:color w:val="auto"/>
                          <w:szCs w:val="21"/>
                          <w:highlight w:val="none"/>
                        </w:rPr>
                      </m:ctrlPr>
                    </m:naryPr>
                    <m:sub>
                      <m:r>
                        <m:rPr/>
                        <w:rPr>
                          <w:rFonts w:ascii="Cambria Math" w:hAnsi="Cambria Math" w:eastAsia="Times New Roman"/>
                          <w:color w:val="auto"/>
                          <w:szCs w:val="21"/>
                          <w:highlight w:val="none"/>
                        </w:rPr>
                        <m:t>1</m:t>
                      </m:r>
                      <m:ctrlPr>
                        <w:rPr>
                          <w:rFonts w:ascii="Cambria Math" w:hAnsi="Cambria Math" w:eastAsia="Times New Roman"/>
                          <w:i/>
                          <w:color w:val="auto"/>
                          <w:szCs w:val="21"/>
                          <w:highlight w:val="none"/>
                        </w:rPr>
                      </m:ctrlPr>
                    </m:sub>
                    <m:sup>
                      <m:r>
                        <m:rPr/>
                        <w:rPr>
                          <w:rFonts w:ascii="Cambria Math" w:hAnsi="Cambria Math" w:eastAsia="Times New Roman"/>
                          <w:color w:val="auto"/>
                          <w:szCs w:val="21"/>
                          <w:highlight w:val="none"/>
                        </w:rPr>
                        <m:t>N</m:t>
                      </m:r>
                      <m:ctrlPr>
                        <w:rPr>
                          <w:rFonts w:ascii="Cambria Math" w:hAnsi="Cambria Math" w:eastAsia="Times New Roman"/>
                          <w:i/>
                          <w:color w:val="auto"/>
                          <w:szCs w:val="21"/>
                          <w:highlight w:val="none"/>
                        </w:rPr>
                      </m:ctrlPr>
                    </m:sup>
                    <m:e>
                      <m:r>
                        <m:rPr/>
                        <w:rPr>
                          <w:rFonts w:ascii="Cambria Math" w:hAnsi="Cambria Math" w:eastAsia="Times New Roman"/>
                          <w:color w:val="auto"/>
                          <w:szCs w:val="21"/>
                          <w:highlight w:val="none"/>
                        </w:rPr>
                        <m:t>n</m:t>
                      </m:r>
                      <m:ctrlPr>
                        <w:rPr>
                          <w:rFonts w:ascii="Cambria Math" w:hAnsi="Cambria Math" w:eastAsia="Times New Roman"/>
                          <w:i/>
                          <w:color w:val="auto"/>
                          <w:szCs w:val="21"/>
                          <w:highlight w:val="none"/>
                        </w:rPr>
                      </m:ctrlPr>
                    </m:e>
                  </m:nary>
                  <m:ctrlPr>
                    <w:rPr>
                      <w:rFonts w:ascii="Cambria Math" w:hAnsi="Cambria Math" w:eastAsia="Times New Roman"/>
                      <w:color w:val="auto"/>
                      <w:szCs w:val="21"/>
                      <w:highlight w:val="none"/>
                    </w:rPr>
                  </m:ctrlPr>
                </m:den>
              </m:f>
            </m:oMath>
            <w:r>
              <w:rPr>
                <w:rFonts w:ascii="宋体" w:hAnsi="宋体"/>
                <w:color w:val="auto"/>
                <w:szCs w:val="21"/>
                <w:highlight w:val="none"/>
                <w:u w:val="single"/>
              </w:rPr>
              <w:t>），以此类推，最后一名投标人的权重为（</w:t>
            </w:r>
            <m:oMath>
              <m:f>
                <m:fPr>
                  <m:ctrlPr>
                    <w:rPr>
                      <w:rFonts w:ascii="Cambria Math" w:hAnsi="Cambria Math" w:eastAsia="Times New Roman"/>
                      <w:color w:val="auto"/>
                      <w:szCs w:val="21"/>
                      <w:highlight w:val="none"/>
                    </w:rPr>
                  </m:ctrlPr>
                </m:fPr>
                <m:num>
                  <m:r>
                    <m:rPr/>
                    <w:rPr>
                      <w:rFonts w:ascii="Cambria Math" w:hAnsi="Cambria Math" w:eastAsia="Times New Roman"/>
                      <w:color w:val="auto"/>
                      <w:szCs w:val="21"/>
                      <w:highlight w:val="none"/>
                    </w:rPr>
                    <m:t>1</m:t>
                  </m:r>
                  <m:ctrlPr>
                    <w:rPr>
                      <w:rFonts w:ascii="Cambria Math" w:hAnsi="Cambria Math" w:eastAsia="Times New Roman"/>
                      <w:color w:val="auto"/>
                      <w:szCs w:val="21"/>
                      <w:highlight w:val="none"/>
                    </w:rPr>
                  </m:ctrlPr>
                </m:num>
                <m:den>
                  <m:nary>
                    <m:naryPr>
                      <m:chr m:val="∑"/>
                      <m:limLoc m:val="subSup"/>
                      <m:ctrlPr>
                        <w:rPr>
                          <w:rFonts w:ascii="Cambria Math" w:hAnsi="Cambria Math" w:eastAsia="Times New Roman"/>
                          <w:i/>
                          <w:color w:val="auto"/>
                          <w:szCs w:val="21"/>
                          <w:highlight w:val="none"/>
                        </w:rPr>
                      </m:ctrlPr>
                    </m:naryPr>
                    <m:sub>
                      <m:r>
                        <m:rPr/>
                        <w:rPr>
                          <w:rFonts w:ascii="Cambria Math" w:hAnsi="Cambria Math" w:eastAsia="Times New Roman"/>
                          <w:color w:val="auto"/>
                          <w:szCs w:val="21"/>
                          <w:highlight w:val="none"/>
                        </w:rPr>
                        <m:t>1</m:t>
                      </m:r>
                      <m:ctrlPr>
                        <w:rPr>
                          <w:rFonts w:ascii="Cambria Math" w:hAnsi="Cambria Math" w:eastAsia="Times New Roman"/>
                          <w:i/>
                          <w:color w:val="auto"/>
                          <w:szCs w:val="21"/>
                          <w:highlight w:val="none"/>
                        </w:rPr>
                      </m:ctrlPr>
                    </m:sub>
                    <m:sup>
                      <m:r>
                        <m:rPr/>
                        <w:rPr>
                          <w:rFonts w:ascii="Cambria Math" w:hAnsi="Cambria Math" w:eastAsia="Times New Roman"/>
                          <w:color w:val="auto"/>
                          <w:szCs w:val="21"/>
                          <w:highlight w:val="none"/>
                        </w:rPr>
                        <m:t>N</m:t>
                      </m:r>
                      <m:ctrlPr>
                        <w:rPr>
                          <w:rFonts w:ascii="Cambria Math" w:hAnsi="Cambria Math" w:eastAsia="Times New Roman"/>
                          <w:i/>
                          <w:color w:val="auto"/>
                          <w:szCs w:val="21"/>
                          <w:highlight w:val="none"/>
                        </w:rPr>
                      </m:ctrlPr>
                    </m:sup>
                    <m:e>
                      <m:r>
                        <m:rPr/>
                        <w:rPr>
                          <w:rFonts w:ascii="Cambria Math" w:hAnsi="Cambria Math" w:eastAsia="Times New Roman"/>
                          <w:color w:val="auto"/>
                          <w:szCs w:val="21"/>
                          <w:highlight w:val="none"/>
                        </w:rPr>
                        <m:t>n</m:t>
                      </m:r>
                      <m:ctrlPr>
                        <w:rPr>
                          <w:rFonts w:ascii="Cambria Math" w:hAnsi="Cambria Math" w:eastAsia="Times New Roman"/>
                          <w:i/>
                          <w:color w:val="auto"/>
                          <w:szCs w:val="21"/>
                          <w:highlight w:val="none"/>
                        </w:rPr>
                      </m:ctrlPr>
                    </m:e>
                  </m:nary>
                  <m:ctrlPr>
                    <w:rPr>
                      <w:rFonts w:ascii="Cambria Math" w:hAnsi="Cambria Math" w:eastAsia="Times New Roman"/>
                      <w:color w:val="auto"/>
                      <w:szCs w:val="21"/>
                      <w:highlight w:val="none"/>
                    </w:rPr>
                  </m:ctrlPr>
                </m:den>
              </m:f>
            </m:oMath>
            <w:r>
              <w:rPr>
                <w:rFonts w:ascii="宋体" w:hAnsi="宋体"/>
                <w:color w:val="auto"/>
                <w:szCs w:val="21"/>
                <w:highlight w:val="none"/>
                <w:u w:val="single"/>
              </w:rPr>
              <w:t>）。</w:t>
            </w:r>
          </w:p>
          <w:p>
            <w:pPr>
              <w:rPr>
                <w:rFonts w:hint="eastAsia" w:ascii="宋体" w:hAnsi="宋体" w:eastAsia="宋体"/>
                <w:color w:val="auto"/>
                <w:szCs w:val="21"/>
                <w:highlight w:val="none"/>
                <w:u w:val="single"/>
                <w:lang w:eastAsia="zh-CN"/>
              </w:rPr>
            </w:pPr>
            <w:r>
              <w:rPr>
                <w:rFonts w:ascii="宋体" w:hAnsi="宋体"/>
                <w:b/>
                <w:color w:val="auto"/>
                <w:szCs w:val="21"/>
                <w:highlight w:val="none"/>
                <w:u w:val="single"/>
              </w:rPr>
              <w:t>2、确定投标人的经济标得分：</w:t>
            </w:r>
            <w:r>
              <w:rPr>
                <w:rFonts w:ascii="宋体" w:hAnsi="宋体"/>
                <w:color w:val="auto"/>
                <w:szCs w:val="21"/>
                <w:highlight w:val="none"/>
                <w:u w:val="single"/>
              </w:rPr>
              <w:t>当投标报价等于评标参考价时得100分，投标报价每高于评标参考价1%，</w:t>
            </w:r>
            <w:r>
              <w:rPr>
                <w:rFonts w:hint="eastAsia" w:ascii="宋体" w:hAnsi="宋体"/>
                <w:color w:val="auto"/>
                <w:szCs w:val="21"/>
                <w:highlight w:val="none"/>
                <w:u w:val="single"/>
                <w:lang w:eastAsia="zh-CN"/>
              </w:rPr>
              <w:t>扣0.5分，每低于评标参考价1%，扣0.2分，扣至0分为止，得出经济分，精确到小数点后两位。</w:t>
            </w:r>
          </w:p>
          <w:p>
            <w:pPr>
              <w:rPr>
                <w:rFonts w:ascii="宋体" w:hAnsi="宋体"/>
                <w:color w:val="auto"/>
                <w:szCs w:val="21"/>
                <w:highlight w:val="none"/>
                <w:u w:val="single"/>
              </w:rPr>
            </w:pPr>
            <w:r>
              <w:rPr>
                <w:rFonts w:ascii="宋体" w:hAnsi="宋体"/>
                <w:b/>
                <w:color w:val="auto"/>
                <w:szCs w:val="21"/>
                <w:highlight w:val="none"/>
                <w:u w:val="single"/>
              </w:rPr>
              <w:t>3、</w:t>
            </w:r>
            <w:r>
              <w:rPr>
                <w:rFonts w:hint="eastAsia" w:ascii="宋体" w:hAnsi="宋体"/>
                <w:color w:val="auto"/>
                <w:szCs w:val="21"/>
                <w:highlight w:val="none"/>
                <w:u w:val="single"/>
              </w:rPr>
              <w:t>计算通过技术标有效性审查的投标人总得分。投标人总得分=技术得分</w:t>
            </w:r>
            <w:r>
              <w:rPr>
                <w:rFonts w:ascii="宋体" w:hAnsi="宋体"/>
                <w:color w:val="auto"/>
                <w:szCs w:val="21"/>
                <w:highlight w:val="none"/>
                <w:u w:val="single"/>
              </w:rPr>
              <w:t>×</w:t>
            </w:r>
            <w:r>
              <w:rPr>
                <w:rFonts w:hint="eastAsia" w:ascii="宋体" w:hAnsi="宋体"/>
                <w:color w:val="auto"/>
                <w:szCs w:val="21"/>
                <w:highlight w:val="none"/>
                <w:u w:val="single"/>
              </w:rPr>
              <w:t>技术得分权重（</w:t>
            </w:r>
            <w:r>
              <w:rPr>
                <w:rFonts w:ascii="宋体" w:hAnsi="宋体"/>
                <w:color w:val="auto"/>
                <w:szCs w:val="21"/>
                <w:highlight w:val="none"/>
                <w:u w:val="single"/>
              </w:rPr>
              <w:t>20%</w:t>
            </w:r>
            <w:r>
              <w:rPr>
                <w:rFonts w:hint="eastAsia" w:ascii="宋体" w:hAnsi="宋体"/>
                <w:color w:val="auto"/>
                <w:szCs w:val="21"/>
                <w:highlight w:val="none"/>
                <w:u w:val="single"/>
              </w:rPr>
              <w:t>）＋经济得分</w:t>
            </w:r>
            <w:r>
              <w:rPr>
                <w:rFonts w:ascii="宋体" w:hAnsi="宋体"/>
                <w:color w:val="auto"/>
                <w:szCs w:val="21"/>
                <w:highlight w:val="none"/>
                <w:u w:val="single"/>
              </w:rPr>
              <w:t>×</w:t>
            </w:r>
            <w:r>
              <w:rPr>
                <w:rFonts w:hint="eastAsia" w:ascii="宋体" w:hAnsi="宋体"/>
                <w:color w:val="auto"/>
                <w:szCs w:val="21"/>
                <w:highlight w:val="none"/>
                <w:u w:val="single"/>
              </w:rPr>
              <w:t>经济得分权重（</w:t>
            </w:r>
            <w:r>
              <w:rPr>
                <w:rFonts w:ascii="宋体" w:hAnsi="宋体"/>
                <w:color w:val="auto"/>
                <w:szCs w:val="21"/>
                <w:highlight w:val="none"/>
                <w:u w:val="single"/>
              </w:rPr>
              <w:t>80%</w:t>
            </w:r>
            <w:r>
              <w:rPr>
                <w:rFonts w:hint="eastAsia" w:ascii="宋体" w:hAnsi="宋体"/>
                <w:color w:val="auto"/>
                <w:szCs w:val="21"/>
                <w:highlight w:val="none"/>
                <w:u w:val="single"/>
              </w:rPr>
              <w:t>）。技术、经济得分权重按投标须知前附表的规定执行。总得分四舍五入保留两位小数。</w:t>
            </w:r>
          </w:p>
          <w:p>
            <w:pPr>
              <w:ind w:firstLine="420" w:firstLineChars="200"/>
              <w:rPr>
                <w:rFonts w:ascii="宋体" w:hAnsi="宋体" w:cs="宋体"/>
                <w:color w:val="auto"/>
                <w:highlight w:val="none"/>
              </w:rPr>
            </w:pPr>
            <w:r>
              <w:rPr>
                <w:rFonts w:hint="eastAsia" w:ascii="宋体" w:hAnsi="宋体"/>
                <w:color w:val="auto"/>
                <w:szCs w:val="21"/>
                <w:highlight w:val="none"/>
                <w:u w:val="single"/>
              </w:rPr>
              <w:t>投标人总得分相等时，以技术标得分高的排前；经济得分与技术标得分均相同的投标文件，以投标报价较低的排前；如仍存在相同情况，则对具有相同情况的投标人，由评标委员会采用记名投票方式，确定投标人的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30</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34</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13.4、13.5.2</w:t>
            </w: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35</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kern w:val="0"/>
                <w:szCs w:val="21"/>
                <w:highlight w:val="none"/>
                <w:lang w:val="zh-CN"/>
              </w:rPr>
              <w:t>建设工程质量检测管理办法</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lang w:val="zh-CN"/>
              </w:rPr>
            </w:pPr>
            <w:r>
              <w:rPr>
                <w:rFonts w:hint="eastAsia" w:ascii="宋体" w:hAnsi="宋体" w:cs="宋体"/>
                <w:bCs/>
                <w:szCs w:val="21"/>
                <w:highlight w:val="none"/>
                <w:u w:val="singl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36</w:t>
            </w:r>
          </w:p>
        </w:tc>
        <w:tc>
          <w:tcPr>
            <w:tcW w:w="981"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5857" w:type="dxa"/>
            <w:tcBorders>
              <w:top w:val="single" w:color="auto" w:sz="4" w:space="0"/>
              <w:left w:val="single" w:color="auto" w:sz="4" w:space="0"/>
              <w:bottom w:val="single" w:color="auto" w:sz="4" w:space="0"/>
              <w:right w:val="double" w:color="auto" w:sz="4" w:space="0"/>
            </w:tcBorders>
            <w:vAlign w:val="center"/>
          </w:tcPr>
          <w:p>
            <w:pPr>
              <w:spacing w:line="276" w:lineRule="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允许：允许非主体、非关键性工程进行分包，承包人不具备相应资质的，需经发包人审核批准后分包给具有相应资质和能力的专业单位实施。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37</w:t>
            </w:r>
          </w:p>
        </w:tc>
        <w:tc>
          <w:tcPr>
            <w:tcW w:w="9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电子招标投标解密失败及突发情况的补救</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rPr>
              <w:t>广州公共资源交易中心网站。</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ind w:left="-27" w:leftChars="-13" w:right="-59" w:rightChars="-28"/>
              <w:jc w:val="center"/>
              <w:rPr>
                <w:rFonts w:ascii="宋体" w:hAnsi="宋体" w:cs="宋体"/>
                <w:color w:val="auto"/>
                <w:szCs w:val="21"/>
                <w:highlight w:val="none"/>
              </w:rPr>
            </w:pPr>
            <w:r>
              <w:rPr>
                <w:rFonts w:hint="eastAsia" w:ascii="宋体" w:hAnsi="宋体" w:cs="宋体"/>
                <w:color w:val="auto"/>
                <w:szCs w:val="21"/>
                <w:highlight w:val="none"/>
              </w:rPr>
              <w:t>38</w:t>
            </w:r>
          </w:p>
        </w:tc>
        <w:tc>
          <w:tcPr>
            <w:tcW w:w="981" w:type="dxa"/>
            <w:tcBorders>
              <w:top w:val="single" w:color="auto" w:sz="4" w:space="0"/>
              <w:left w:val="single" w:color="auto" w:sz="4" w:space="0"/>
              <w:bottom w:val="single" w:color="auto" w:sz="4" w:space="0"/>
              <w:right w:val="single" w:color="auto" w:sz="4" w:space="0"/>
            </w:tcBorders>
            <w:vAlign w:val="center"/>
          </w:tcPr>
          <w:p>
            <w:pPr>
              <w:ind w:left="-27" w:leftChars="-13" w:right="-59" w:rightChars="-28"/>
              <w:jc w:val="cente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工程项目银行专户</w:t>
            </w:r>
          </w:p>
        </w:tc>
        <w:tc>
          <w:tcPr>
            <w:tcW w:w="5857"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lang w:val="zh-CN"/>
              </w:rPr>
              <w:t>根据《番禺区基建办工程项目银行专户管理办法》（番基建办规章【2019】10号）规定，中标人在施工合同签订前需</w:t>
            </w:r>
            <w:r>
              <w:rPr>
                <w:rFonts w:hint="eastAsia" w:ascii="宋体" w:hAnsi="宋体" w:cs="宋体"/>
                <w:color w:val="auto"/>
                <w:szCs w:val="21"/>
                <w:highlight w:val="none"/>
              </w:rPr>
              <w:t>按相关规定</w:t>
            </w:r>
            <w:r>
              <w:rPr>
                <w:rFonts w:hint="eastAsia" w:ascii="宋体" w:hAnsi="宋体" w:cs="宋体"/>
                <w:color w:val="auto"/>
                <w:szCs w:val="21"/>
                <w:highlight w:val="none"/>
                <w:lang w:val="zh-CN"/>
              </w:rPr>
              <w:t>设立本工程的银行专户，未经招标人同意，中标人在投标过程中使用的银行名称及帐号至完成竣工结算不得变更，若中标人违反上述约定的，招标人有权停止工程款项的拔付及至解除合同，由此造成的一切责任由中标人承担</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ind w:left="-27" w:leftChars="-13" w:right="-59" w:rightChars="-28"/>
              <w:jc w:val="center"/>
              <w:rPr>
                <w:rFonts w:ascii="宋体" w:hAnsi="宋体" w:cs="宋体"/>
                <w:color w:val="auto"/>
                <w:szCs w:val="21"/>
                <w:highlight w:val="none"/>
              </w:rPr>
            </w:pPr>
            <w:r>
              <w:rPr>
                <w:rFonts w:hint="eastAsia" w:ascii="宋体" w:hAnsi="宋体" w:cs="宋体"/>
                <w:color w:val="auto"/>
                <w:szCs w:val="21"/>
                <w:highlight w:val="none"/>
              </w:rPr>
              <w:t>39</w:t>
            </w:r>
          </w:p>
        </w:tc>
        <w:tc>
          <w:tcPr>
            <w:tcW w:w="981" w:type="dxa"/>
            <w:tcBorders>
              <w:top w:val="single" w:color="auto" w:sz="4" w:space="0"/>
              <w:left w:val="single" w:color="auto" w:sz="4" w:space="0"/>
              <w:bottom w:val="single" w:color="auto" w:sz="4" w:space="0"/>
              <w:right w:val="single" w:color="auto" w:sz="4" w:space="0"/>
            </w:tcBorders>
            <w:vAlign w:val="center"/>
          </w:tcPr>
          <w:p>
            <w:pPr>
              <w:ind w:left="-27" w:leftChars="-13" w:right="-59" w:rightChars="-28"/>
              <w:jc w:val="cente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工人工资支付专用帐户</w:t>
            </w:r>
          </w:p>
        </w:tc>
        <w:tc>
          <w:tcPr>
            <w:tcW w:w="5857"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中标人须以工程项目为单位，在商业银行设立建设领域工人工资支付专用帐户用于支付工人工资。具体执行及管理办法参照</w:t>
            </w:r>
            <w:r>
              <w:rPr>
                <w:rFonts w:hint="eastAsia" w:ascii="宋体" w:hAnsi="宋体" w:cs="宋体"/>
                <w:color w:val="auto"/>
                <w:highlight w:val="none"/>
              </w:rPr>
              <w:t>《广州市住房和城乡建设局、广州市人力资源和社会保障局、广州市交通运输局等关于印发广州市建设领域工人工资支付分账管理实施细则的通知》（穗建规字〔2020〕37号）</w:t>
            </w:r>
            <w:r>
              <w:rPr>
                <w:rFonts w:hint="eastAsia" w:ascii="宋体" w:hAnsi="宋体" w:cs="宋体"/>
                <w:bCs/>
                <w:color w:val="auto"/>
                <w:kern w:val="0"/>
                <w:szCs w:val="21"/>
                <w:highlight w:val="none"/>
                <w:u w:val="none"/>
              </w:rPr>
              <w:t>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15" w:hRule="atLeast"/>
        </w:trPr>
        <w:tc>
          <w:tcPr>
            <w:tcW w:w="702" w:type="dxa"/>
            <w:tcBorders>
              <w:top w:val="single" w:color="auto" w:sz="4" w:space="0"/>
              <w:left w:val="double" w:color="auto" w:sz="4" w:space="0"/>
              <w:bottom w:val="single" w:color="auto" w:sz="4" w:space="0"/>
              <w:right w:val="single" w:color="auto" w:sz="4" w:space="0"/>
            </w:tcBorders>
            <w:vAlign w:val="center"/>
          </w:tcPr>
          <w:p>
            <w:pPr>
              <w:ind w:left="-27" w:leftChars="-13" w:right="-59" w:rightChars="-28"/>
              <w:jc w:val="center"/>
              <w:rPr>
                <w:rFonts w:ascii="宋体" w:hAnsi="宋体" w:cs="宋体"/>
                <w:color w:val="auto"/>
                <w:szCs w:val="21"/>
                <w:highlight w:val="none"/>
              </w:rPr>
            </w:pPr>
            <w:r>
              <w:rPr>
                <w:rFonts w:hint="eastAsia" w:ascii="宋体" w:hAnsi="宋体" w:cs="宋体"/>
                <w:color w:val="auto"/>
                <w:szCs w:val="21"/>
                <w:highlight w:val="none"/>
              </w:rPr>
              <w:t>40</w:t>
            </w:r>
          </w:p>
        </w:tc>
        <w:tc>
          <w:tcPr>
            <w:tcW w:w="981" w:type="dxa"/>
            <w:tcBorders>
              <w:top w:val="single" w:color="auto" w:sz="4" w:space="0"/>
              <w:left w:val="single" w:color="auto" w:sz="4" w:space="0"/>
              <w:bottom w:val="single" w:color="auto" w:sz="4" w:space="0"/>
              <w:right w:val="single" w:color="auto" w:sz="4" w:space="0"/>
            </w:tcBorders>
            <w:vAlign w:val="center"/>
          </w:tcPr>
          <w:p>
            <w:pPr>
              <w:ind w:left="-27" w:leftChars="-13" w:right="-59" w:rightChars="-28"/>
              <w:jc w:val="center"/>
              <w:rPr>
                <w:rFonts w:ascii="宋体" w:hAnsi="宋体" w:cs="宋体"/>
                <w:color w:val="auto"/>
                <w:szCs w:val="21"/>
                <w:highlight w:val="none"/>
              </w:rPr>
            </w:pPr>
          </w:p>
        </w:tc>
        <w:tc>
          <w:tcPr>
            <w:tcW w:w="181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广州市本级财政性资金投资施工招标项目</w:t>
            </w:r>
          </w:p>
        </w:tc>
        <w:tc>
          <w:tcPr>
            <w:tcW w:w="5857" w:type="dxa"/>
            <w:tcBorders>
              <w:top w:val="single" w:color="auto" w:sz="4" w:space="0"/>
              <w:left w:val="single" w:color="auto" w:sz="4" w:space="0"/>
              <w:bottom w:val="single" w:color="auto" w:sz="4" w:space="0"/>
              <w:right w:val="double" w:color="auto" w:sz="4" w:space="0"/>
            </w:tcBorders>
            <w:vAlign w:val="center"/>
          </w:tcPr>
          <w:p>
            <w:pPr>
              <w:autoSpaceDE w:val="0"/>
              <w:autoSpaceDN w:val="0"/>
              <w:adjustRightInd w:val="0"/>
              <w:jc w:val="left"/>
              <w:rPr>
                <w:rFonts w:ascii="宋体" w:hAnsi="宋体" w:cs="宋体"/>
                <w:color w:val="auto"/>
                <w:szCs w:val="21"/>
                <w:highlight w:val="none"/>
              </w:rPr>
            </w:pPr>
            <w:r>
              <w:rPr>
                <w:rFonts w:hint="eastAsia" w:ascii="宋体" w:hAnsi="宋体" w:cs="宋体"/>
                <w:color w:val="auto"/>
                <w:szCs w:val="21"/>
                <w:highlight w:val="none"/>
              </w:rPr>
              <w:t>广州市本级财政性资金投资施工招标项目按《广州市政府投资管理条例》及《广州市政府投资管理条例实施细则（试行）》执行。</w:t>
            </w:r>
          </w:p>
        </w:tc>
      </w:tr>
    </w:tbl>
    <w:p>
      <w:pPr>
        <w:pStyle w:val="6"/>
        <w:rPr>
          <w:color w:val="auto"/>
          <w:highlight w:val="none"/>
        </w:rPr>
      </w:pPr>
    </w:p>
    <w:p>
      <w:pPr>
        <w:spacing w:line="480" w:lineRule="auto"/>
        <w:rPr>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工程施工地点位置（红色标识）示意图：</w:t>
      </w:r>
    </w:p>
    <w:p>
      <w:pPr>
        <w:rPr>
          <w:rFonts w:hint="eastAsia" w:ascii="宋体" w:hAnsi="宋体"/>
          <w:color w:val="auto"/>
          <w:sz w:val="24"/>
          <w:szCs w:val="24"/>
        </w:rPr>
      </w:pPr>
      <w:r>
        <w:rPr>
          <w:rFonts w:hint="eastAsia" w:ascii="宋体" w:hAnsi="宋体"/>
          <w:color w:val="auto"/>
          <w:sz w:val="24"/>
          <w:szCs w:val="24"/>
        </w:rPr>
        <w:drawing>
          <wp:inline distT="0" distB="0" distL="114300" distR="114300">
            <wp:extent cx="5758180" cy="4637405"/>
            <wp:effectExtent l="0" t="0" r="13970" b="10795"/>
            <wp:docPr id="10" name="图片 7" descr="$SEWM(UAY%QM2@[YMDYE}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SEWM(UAY%QM2@[YMDYE}OP"/>
                    <pic:cNvPicPr>
                      <a:picLocks noChangeAspect="1"/>
                    </pic:cNvPicPr>
                  </pic:nvPicPr>
                  <pic:blipFill>
                    <a:blip r:embed="rId21"/>
                    <a:stretch>
                      <a:fillRect/>
                    </a:stretch>
                  </pic:blipFill>
                  <pic:spPr>
                    <a:xfrm>
                      <a:off x="0" y="0"/>
                      <a:ext cx="5758180" cy="4637405"/>
                    </a:xfrm>
                    <a:prstGeom prst="rect">
                      <a:avLst/>
                    </a:prstGeom>
                    <a:noFill/>
                    <a:ln>
                      <a:noFill/>
                    </a:ln>
                  </pic:spPr>
                </pic:pic>
              </a:graphicData>
            </a:graphic>
          </wp:inline>
        </w:drawing>
      </w:r>
    </w:p>
    <w:p>
      <w:pPr>
        <w:rPr>
          <w:rFonts w:hint="eastAsia" w:ascii="宋体" w:hAnsi="宋体"/>
          <w:color w:val="auto"/>
          <w:sz w:val="24"/>
          <w:szCs w:val="24"/>
        </w:rPr>
      </w:pPr>
      <w:r>
        <w:rPr>
          <w:rFonts w:hint="eastAsia" w:ascii="宋体" w:hAnsi="宋体"/>
          <w:color w:val="auto"/>
          <w:sz w:val="24"/>
          <w:szCs w:val="24"/>
        </w:rPr>
        <w:br w:type="page"/>
      </w:r>
    </w:p>
    <w:p>
      <w:pPr>
        <w:pStyle w:val="7"/>
        <w:ind w:leftChars="216" w:firstLine="2407" w:firstLineChars="999"/>
        <w:jc w:val="both"/>
        <w:rPr>
          <w:color w:val="auto"/>
          <w:highlight w:val="none"/>
        </w:rPr>
      </w:pPr>
      <w:bookmarkStart w:id="2" w:name="_Toc12295"/>
      <w:r>
        <w:rPr>
          <w:rFonts w:hint="eastAsia"/>
          <w:color w:val="auto"/>
          <w:highlight w:val="none"/>
        </w:rPr>
        <w:t>二、投标须知修改表</w:t>
      </w:r>
      <w:bookmarkEnd w:id="2"/>
    </w:p>
    <w:p>
      <w:pPr>
        <w:pStyle w:val="5"/>
        <w:spacing w:line="360" w:lineRule="auto"/>
        <w:rPr>
          <w:rFonts w:asciiTheme="minorEastAsia" w:hAnsiTheme="minorEastAsia" w:eastAsiaTheme="minorEastAsia"/>
          <w:b/>
          <w:color w:val="auto"/>
          <w:highlight w:val="none"/>
        </w:rPr>
      </w:pPr>
      <w:r>
        <w:rPr>
          <w:rFonts w:hint="eastAsia" w:cs="宋体" w:asciiTheme="minorEastAsia" w:hAnsiTheme="minorEastAsia" w:eastAsiaTheme="minorEastAsia"/>
          <w:b/>
          <w:bCs/>
          <w:color w:val="auto"/>
          <w:highlight w:val="none"/>
        </w:rPr>
        <w:t>声明：本投标须知使用</w:t>
      </w:r>
      <w:r>
        <w:rPr>
          <w:rFonts w:cs="宋体" w:asciiTheme="minorEastAsia" w:hAnsiTheme="minorEastAsia" w:eastAsiaTheme="minorEastAsia"/>
          <w:b/>
          <w:bCs/>
          <w:color w:val="auto"/>
          <w:highlight w:val="none"/>
        </w:rPr>
        <w:t>GZZB2018-3招标文件范本的投标须知通用条款，与该通用条款不同之处，均在本表中列明，并以现文为准，原文不再有效。本招标文件中不再转录投标须知通用条款，请投标人自行到广州市住房和城乡建设局网站</w:t>
      </w:r>
      <w:r>
        <w:rPr>
          <w:rFonts w:hint="eastAsia" w:cs="宋体" w:asciiTheme="minorEastAsia" w:hAnsiTheme="minorEastAsia" w:eastAsiaTheme="minorEastAsia"/>
          <w:b/>
          <w:bCs/>
          <w:color w:val="auto"/>
          <w:highlight w:val="none"/>
        </w:rPr>
        <w:t>（网址：</w:t>
      </w:r>
      <w:r>
        <w:rPr>
          <w:rFonts w:cs="宋体" w:asciiTheme="minorEastAsia" w:hAnsiTheme="minorEastAsia" w:eastAsiaTheme="minorEastAsia"/>
          <w:b/>
          <w:bCs/>
          <w:color w:val="auto"/>
          <w:highlight w:val="none"/>
        </w:rPr>
        <w:t>http://zfcj.gz.gov.cn/</w:t>
      </w:r>
      <w:r>
        <w:rPr>
          <w:rFonts w:hint="eastAsia" w:cs="宋体" w:asciiTheme="minorEastAsia" w:hAnsiTheme="minorEastAsia" w:eastAsiaTheme="minorEastAsia"/>
          <w:b/>
          <w:bCs/>
          <w:color w:val="auto"/>
          <w:highlight w:val="none"/>
        </w:rPr>
        <w:t>）下载查阅。</w:t>
      </w:r>
    </w:p>
    <w:p>
      <w:pPr>
        <w:pStyle w:val="5"/>
        <w:spacing w:line="360" w:lineRule="auto"/>
        <w:ind w:firstLine="0"/>
        <w:rPr>
          <w:b/>
          <w:color w:val="auto"/>
          <w:szCs w:val="21"/>
          <w:highlight w:val="none"/>
          <w:u w:val="single"/>
        </w:rPr>
      </w:pPr>
      <w:r>
        <w:rPr>
          <w:rFonts w:hint="eastAsia"/>
          <w:b/>
          <w:color w:val="auto"/>
          <w:szCs w:val="21"/>
          <w:highlight w:val="none"/>
          <w:u w:val="single"/>
        </w:rPr>
        <w:t xml:space="preserve">                                                                                            </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条款号：5.1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5.1 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Cs w:val="21"/>
          <w:highlight w:val="none"/>
          <w:u w:val="single"/>
        </w:rPr>
        <w:t>投标人不进行踏勘的，视为已熟知现场条件，自行承担相关风险。投标人需根据现场踏勘情况以及图纸及工程量清单，如有疑问的应在招标答疑时提出，招标答疑后经招标单位修正确认的工程量清单作为综合单价包干的结算依据，投标单位必须按此清单统一报价。</w:t>
      </w:r>
      <w:r>
        <w:rPr>
          <w:rFonts w:hint="eastAsia" w:ascii="宋体" w:hAnsi="宋体"/>
          <w:color w:val="auto"/>
          <w:szCs w:val="21"/>
          <w:highlight w:val="none"/>
        </w:rPr>
        <w:t>一旦中标，这种考察即被认为其结果已在中标文件中得到充分反映。考察现场的费用由投标人自己承担。</w:t>
      </w:r>
    </w:p>
    <w:p>
      <w:pPr>
        <w:pStyle w:val="6"/>
        <w:rPr>
          <w:color w:val="auto"/>
          <w:highlight w:val="none"/>
          <w:u w:val="single"/>
        </w:rPr>
      </w:pPr>
      <w:r>
        <w:rPr>
          <w:rFonts w:hint="eastAsia" w:ascii="宋体" w:hAnsi="宋体"/>
          <w:color w:val="auto"/>
          <w:szCs w:val="21"/>
          <w:highlight w:val="none"/>
          <w:u w:val="single"/>
        </w:rPr>
        <w:t xml:space="preserve">                                                                                           </w:t>
      </w:r>
    </w:p>
    <w:p>
      <w:pPr>
        <w:spacing w:line="360" w:lineRule="auto"/>
        <w:ind w:firstLine="527" w:firstLineChars="250"/>
        <w:rPr>
          <w:rFonts w:ascii="宋体" w:hAnsi="宋体"/>
          <w:b/>
          <w:szCs w:val="21"/>
        </w:rPr>
      </w:pPr>
      <w:r>
        <w:rPr>
          <w:rFonts w:hint="eastAsia" w:ascii="宋体" w:hAnsi="宋体"/>
          <w:b/>
          <w:szCs w:val="21"/>
        </w:rPr>
        <w:t>条款号：7.1</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hint="eastAsia" w:ascii="宋体" w:hAnsi="宋体"/>
          <w:szCs w:val="21"/>
        </w:rPr>
      </w:pPr>
      <w:r>
        <w:rPr>
          <w:rFonts w:hint="eastAsia" w:ascii="宋体" w:hAnsi="宋体"/>
          <w:b/>
          <w:bCs/>
          <w:szCs w:val="21"/>
        </w:rPr>
        <w:t>原文：</w:t>
      </w:r>
      <w:r>
        <w:rPr>
          <w:rFonts w:hint="eastAsia" w:ascii="宋体" w:hAnsi="宋体"/>
          <w:szCs w:val="21"/>
        </w:rPr>
        <w:t>7.1 本招标文件包括下列文件，以及所有按本须知第8条发出的招标答疑会会议纪要和按本须知第9条发出的澄清或修改：</w:t>
      </w:r>
    </w:p>
    <w:p>
      <w:pPr>
        <w:spacing w:line="360" w:lineRule="auto"/>
        <w:ind w:firstLine="525" w:firstLineChars="250"/>
        <w:rPr>
          <w:rFonts w:hint="eastAsia" w:ascii="宋体" w:hAnsi="宋体"/>
          <w:szCs w:val="21"/>
        </w:rPr>
      </w:pPr>
      <w:r>
        <w:rPr>
          <w:rFonts w:hint="eastAsia" w:ascii="宋体" w:hAnsi="宋体"/>
          <w:szCs w:val="21"/>
        </w:rPr>
        <w:t>第一章  投标须知</w:t>
      </w:r>
    </w:p>
    <w:p>
      <w:pPr>
        <w:spacing w:line="360" w:lineRule="auto"/>
        <w:ind w:firstLine="525" w:firstLineChars="250"/>
        <w:rPr>
          <w:rFonts w:hint="eastAsia" w:ascii="宋体" w:hAnsi="宋体"/>
          <w:szCs w:val="21"/>
        </w:rPr>
      </w:pPr>
      <w:r>
        <w:rPr>
          <w:rFonts w:hint="eastAsia" w:ascii="宋体" w:hAnsi="宋体"/>
          <w:szCs w:val="21"/>
        </w:rPr>
        <w:t>第二章  开标、评标及定标办法</w:t>
      </w:r>
    </w:p>
    <w:p>
      <w:pPr>
        <w:spacing w:line="360" w:lineRule="auto"/>
        <w:ind w:firstLine="525" w:firstLineChars="250"/>
        <w:rPr>
          <w:rFonts w:hint="eastAsia" w:ascii="宋体" w:hAnsi="宋体"/>
          <w:szCs w:val="21"/>
        </w:rPr>
      </w:pPr>
      <w:r>
        <w:rPr>
          <w:rFonts w:hint="eastAsia" w:ascii="宋体" w:hAnsi="宋体"/>
          <w:szCs w:val="21"/>
        </w:rPr>
        <w:t>第三章  合同条款</w:t>
      </w:r>
    </w:p>
    <w:p>
      <w:pPr>
        <w:spacing w:line="360" w:lineRule="auto"/>
        <w:ind w:firstLine="525" w:firstLineChars="250"/>
        <w:rPr>
          <w:rFonts w:hint="eastAsia" w:ascii="宋体" w:hAnsi="宋体"/>
          <w:szCs w:val="21"/>
        </w:rPr>
      </w:pPr>
      <w:r>
        <w:rPr>
          <w:rFonts w:hint="eastAsia" w:ascii="宋体" w:hAnsi="宋体"/>
          <w:szCs w:val="21"/>
        </w:rPr>
        <w:t>第四章  投标文件格式</w:t>
      </w:r>
    </w:p>
    <w:p>
      <w:pPr>
        <w:spacing w:line="360" w:lineRule="auto"/>
        <w:ind w:firstLine="525" w:firstLineChars="250"/>
        <w:rPr>
          <w:rFonts w:hint="eastAsia" w:ascii="宋体" w:hAnsi="宋体"/>
          <w:szCs w:val="21"/>
        </w:rPr>
      </w:pPr>
      <w:r>
        <w:rPr>
          <w:rFonts w:hint="eastAsia" w:ascii="宋体" w:hAnsi="宋体"/>
          <w:szCs w:val="21"/>
        </w:rPr>
        <w:t>第五章  技术条件（工程建设标准）（另册）</w:t>
      </w:r>
    </w:p>
    <w:p>
      <w:pPr>
        <w:spacing w:line="360" w:lineRule="auto"/>
        <w:ind w:firstLine="525" w:firstLineChars="250"/>
        <w:rPr>
          <w:rFonts w:hint="eastAsia" w:ascii="宋体" w:hAnsi="宋体"/>
          <w:szCs w:val="21"/>
        </w:rPr>
      </w:pPr>
      <w:r>
        <w:rPr>
          <w:rFonts w:hint="eastAsia" w:ascii="宋体" w:hAnsi="宋体"/>
          <w:szCs w:val="21"/>
        </w:rPr>
        <w:t>第六章  图纸及勘察资料（另册）</w:t>
      </w:r>
    </w:p>
    <w:p>
      <w:pPr>
        <w:spacing w:line="360" w:lineRule="auto"/>
        <w:ind w:firstLine="525" w:firstLineChars="250"/>
        <w:rPr>
          <w:rFonts w:hint="eastAsia" w:ascii="宋体" w:hAnsi="宋体"/>
          <w:szCs w:val="21"/>
        </w:rPr>
      </w:pPr>
      <w:r>
        <w:rPr>
          <w:rFonts w:hint="eastAsia" w:ascii="宋体" w:hAnsi="宋体"/>
          <w:szCs w:val="21"/>
        </w:rPr>
        <w:t>第七章  招标工程量清单（另册）</w:t>
      </w:r>
    </w:p>
    <w:p>
      <w:pPr>
        <w:spacing w:line="360" w:lineRule="auto"/>
        <w:ind w:firstLine="525" w:firstLineChars="250"/>
        <w:rPr>
          <w:rFonts w:hint="eastAsia" w:ascii="宋体" w:hAnsi="宋体"/>
          <w:szCs w:val="21"/>
        </w:rPr>
      </w:pPr>
      <w:r>
        <w:rPr>
          <w:rFonts w:hint="eastAsia" w:ascii="宋体" w:hAnsi="宋体"/>
          <w:szCs w:val="21"/>
        </w:rPr>
        <w:t>第八章  最高投标限价</w:t>
      </w:r>
    </w:p>
    <w:p>
      <w:pPr>
        <w:spacing w:line="360" w:lineRule="auto"/>
        <w:ind w:firstLine="525" w:firstLineChars="250"/>
        <w:rPr>
          <w:rFonts w:hint="eastAsia" w:ascii="宋体" w:hAnsi="宋体"/>
          <w:szCs w:val="21"/>
        </w:rPr>
      </w:pPr>
      <w:r>
        <w:rPr>
          <w:rFonts w:hint="eastAsia" w:ascii="宋体" w:hAnsi="宋体"/>
          <w:szCs w:val="21"/>
        </w:rPr>
        <w:t>注：招标人应在技术条件（工程建设标准）中明确施工现场建筑垃圾源头减量的具体要求和建筑垃圾综合利用产品的使用要求。</w:t>
      </w:r>
    </w:p>
    <w:p>
      <w:pPr>
        <w:spacing w:line="360" w:lineRule="auto"/>
        <w:ind w:firstLine="527" w:firstLineChars="250"/>
        <w:rPr>
          <w:rFonts w:hint="eastAsia" w:ascii="宋体" w:hAnsi="宋体"/>
          <w:szCs w:val="21"/>
        </w:rPr>
      </w:pPr>
      <w:r>
        <w:rPr>
          <w:rFonts w:hint="eastAsia" w:ascii="宋体" w:hAnsi="宋体"/>
          <w:b/>
          <w:bCs/>
          <w:szCs w:val="21"/>
        </w:rPr>
        <w:t>现文：</w:t>
      </w:r>
      <w:r>
        <w:rPr>
          <w:rFonts w:hint="eastAsia" w:ascii="宋体" w:hAnsi="宋体"/>
          <w:szCs w:val="21"/>
        </w:rPr>
        <w:t>7.1 本招标文件包括下列文件，以及所有按本须知第8条发出的招标答疑会会议纪要和按本须知第9条发出的澄清或修改：</w:t>
      </w:r>
    </w:p>
    <w:p>
      <w:pPr>
        <w:spacing w:line="360" w:lineRule="auto"/>
        <w:ind w:firstLine="525" w:firstLineChars="250"/>
        <w:rPr>
          <w:rFonts w:hint="eastAsia" w:ascii="宋体" w:hAnsi="宋体"/>
          <w:szCs w:val="21"/>
        </w:rPr>
      </w:pPr>
      <w:r>
        <w:rPr>
          <w:rFonts w:hint="eastAsia" w:ascii="宋体" w:hAnsi="宋体"/>
          <w:szCs w:val="21"/>
        </w:rPr>
        <w:t>第一章  投标须知</w:t>
      </w:r>
    </w:p>
    <w:p>
      <w:pPr>
        <w:spacing w:line="360" w:lineRule="auto"/>
        <w:ind w:firstLine="525" w:firstLineChars="250"/>
        <w:rPr>
          <w:rFonts w:hint="eastAsia" w:ascii="宋体" w:hAnsi="宋体"/>
          <w:szCs w:val="21"/>
        </w:rPr>
      </w:pPr>
      <w:r>
        <w:rPr>
          <w:rFonts w:hint="eastAsia" w:ascii="宋体" w:hAnsi="宋体"/>
          <w:szCs w:val="21"/>
        </w:rPr>
        <w:t>第二章  开标、评标及定标办法</w:t>
      </w:r>
    </w:p>
    <w:p>
      <w:pPr>
        <w:spacing w:line="360" w:lineRule="auto"/>
        <w:ind w:firstLine="525" w:firstLineChars="250"/>
        <w:rPr>
          <w:rFonts w:hint="eastAsia" w:ascii="宋体" w:hAnsi="宋体"/>
          <w:szCs w:val="21"/>
        </w:rPr>
      </w:pPr>
      <w:r>
        <w:rPr>
          <w:rFonts w:hint="eastAsia" w:ascii="宋体" w:hAnsi="宋体"/>
          <w:szCs w:val="21"/>
        </w:rPr>
        <w:t>第三章  合同条款</w:t>
      </w:r>
      <w:r>
        <w:rPr>
          <w:rFonts w:hint="eastAsia" w:ascii="宋体" w:hAnsi="宋体"/>
          <w:szCs w:val="21"/>
          <w:u w:val="single"/>
        </w:rPr>
        <w:t>（另册）</w:t>
      </w:r>
    </w:p>
    <w:p>
      <w:pPr>
        <w:spacing w:line="360" w:lineRule="auto"/>
        <w:ind w:firstLine="525" w:firstLineChars="250"/>
        <w:rPr>
          <w:rFonts w:hint="eastAsia" w:ascii="宋体" w:hAnsi="宋体"/>
          <w:szCs w:val="21"/>
        </w:rPr>
      </w:pPr>
      <w:r>
        <w:rPr>
          <w:rFonts w:hint="eastAsia" w:ascii="宋体" w:hAnsi="宋体"/>
          <w:szCs w:val="21"/>
        </w:rPr>
        <w:t>第四章  投标文件格式</w:t>
      </w:r>
    </w:p>
    <w:p>
      <w:pPr>
        <w:spacing w:line="360" w:lineRule="auto"/>
        <w:ind w:firstLine="525" w:firstLineChars="250"/>
        <w:rPr>
          <w:rFonts w:hint="eastAsia" w:ascii="宋体" w:hAnsi="宋体"/>
          <w:szCs w:val="21"/>
        </w:rPr>
      </w:pPr>
      <w:r>
        <w:rPr>
          <w:rFonts w:hint="eastAsia" w:ascii="宋体" w:hAnsi="宋体"/>
          <w:szCs w:val="21"/>
        </w:rPr>
        <w:t>第五章  技术条件（工程建设标准）</w:t>
      </w:r>
      <w:r>
        <w:rPr>
          <w:rFonts w:hint="eastAsia" w:ascii="宋体" w:hAnsi="宋体"/>
          <w:strike/>
          <w:szCs w:val="21"/>
        </w:rPr>
        <w:t>（另册）</w:t>
      </w:r>
    </w:p>
    <w:p>
      <w:pPr>
        <w:spacing w:line="360" w:lineRule="auto"/>
        <w:ind w:firstLine="525" w:firstLineChars="250"/>
        <w:rPr>
          <w:rFonts w:hint="eastAsia" w:ascii="宋体" w:hAnsi="宋体"/>
          <w:szCs w:val="21"/>
        </w:rPr>
      </w:pPr>
      <w:r>
        <w:rPr>
          <w:rFonts w:hint="eastAsia" w:ascii="宋体" w:hAnsi="宋体"/>
          <w:szCs w:val="21"/>
        </w:rPr>
        <w:t>第六章  图纸及勘察资料（另册）</w:t>
      </w:r>
    </w:p>
    <w:p>
      <w:pPr>
        <w:spacing w:line="360" w:lineRule="auto"/>
        <w:ind w:firstLine="525" w:firstLineChars="250"/>
        <w:rPr>
          <w:rFonts w:hint="eastAsia" w:ascii="宋体" w:hAnsi="宋体"/>
          <w:szCs w:val="21"/>
        </w:rPr>
      </w:pPr>
      <w:r>
        <w:rPr>
          <w:rFonts w:hint="eastAsia" w:ascii="宋体" w:hAnsi="宋体"/>
          <w:szCs w:val="21"/>
        </w:rPr>
        <w:t>第七章  招标工程量清单（另册）</w:t>
      </w:r>
    </w:p>
    <w:p>
      <w:pPr>
        <w:spacing w:line="360" w:lineRule="auto"/>
        <w:ind w:firstLine="525" w:firstLineChars="250"/>
        <w:rPr>
          <w:rFonts w:hint="eastAsia" w:ascii="宋体" w:hAnsi="宋体"/>
          <w:szCs w:val="21"/>
        </w:rPr>
      </w:pPr>
      <w:r>
        <w:rPr>
          <w:rFonts w:hint="eastAsia" w:ascii="宋体" w:hAnsi="宋体"/>
          <w:szCs w:val="21"/>
        </w:rPr>
        <w:t>第八章  最高投标限价（</w:t>
      </w:r>
      <w:r>
        <w:rPr>
          <w:rFonts w:hint="eastAsia" w:ascii="宋体" w:hAnsi="宋体"/>
          <w:szCs w:val="21"/>
          <w:u w:val="single"/>
        </w:rPr>
        <w:t>另册）</w:t>
      </w:r>
    </w:p>
    <w:p>
      <w:pPr>
        <w:pBdr>
          <w:bottom w:val="single" w:color="auto" w:sz="6" w:space="1"/>
        </w:pBdr>
        <w:spacing w:line="360" w:lineRule="auto"/>
        <w:ind w:right="105" w:rightChars="50" w:firstLine="525" w:firstLineChars="250"/>
        <w:rPr>
          <w:rFonts w:hint="eastAsia" w:ascii="宋体" w:hAnsi="宋体" w:cs="宋体"/>
          <w:szCs w:val="21"/>
        </w:rPr>
      </w:pPr>
      <w:r>
        <w:rPr>
          <w:rFonts w:hint="eastAsia" w:ascii="宋体" w:hAnsi="宋体" w:cs="宋体"/>
          <w:kern w:val="0"/>
          <w:szCs w:val="21"/>
        </w:rPr>
        <w:t>注：招标人应在技术条件（工程建设标准）中明确施工现场建筑垃圾源头减量的具体要求和建筑垃圾综合利用产品的使用要求。</w:t>
      </w:r>
    </w:p>
    <w:p>
      <w:pPr>
        <w:spacing w:line="360" w:lineRule="auto"/>
        <w:ind w:firstLine="527" w:firstLineChars="250"/>
        <w:rPr>
          <w:rFonts w:hint="eastAsia" w:ascii="宋体" w:hAnsi="宋体"/>
          <w:b/>
          <w:color w:val="auto"/>
          <w:szCs w:val="21"/>
          <w:highlight w:val="none"/>
        </w:rPr>
      </w:pP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条款号：8.1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ascii="宋体" w:hAnsi="宋体"/>
          <w:color w:val="auto"/>
          <w:szCs w:val="21"/>
          <w:highlight w:val="none"/>
        </w:rPr>
        <w:t xml:space="preserve">8.1 </w:t>
      </w:r>
      <w:r>
        <w:rPr>
          <w:rFonts w:hint="eastAsia" w:ascii="宋体" w:hAnsi="宋体"/>
          <w:color w:val="auto"/>
          <w:szCs w:val="21"/>
          <w:highlight w:val="none"/>
        </w:rPr>
        <w:t>投标人若对招标文件（包括招标图纸）中有疑问，可以书面形式通过</w:t>
      </w:r>
      <w:r>
        <w:rPr>
          <w:rFonts w:ascii="宋体" w:hAnsi="宋体"/>
          <w:color w:val="auto"/>
          <w:szCs w:val="21"/>
          <w:highlight w:val="none"/>
          <w:u w:val="single"/>
        </w:rPr>
        <w:t xml:space="preserve">        </w:t>
      </w:r>
      <w:r>
        <w:rPr>
          <w:rFonts w:hint="eastAsia" w:ascii="宋体" w:hAnsi="宋体"/>
          <w:color w:val="auto"/>
          <w:szCs w:val="21"/>
          <w:highlight w:val="none"/>
        </w:rPr>
        <w:t>交易平台提交给招标人或招标代理人，提交形式见本须知前附表第</w:t>
      </w:r>
      <w:r>
        <w:rPr>
          <w:rFonts w:ascii="宋体" w:hAnsi="宋体"/>
          <w:color w:val="auto"/>
          <w:szCs w:val="21"/>
          <w:highlight w:val="none"/>
        </w:rPr>
        <w:t>16</w:t>
      </w:r>
      <w:r>
        <w:rPr>
          <w:rFonts w:hint="eastAsia" w:ascii="宋体" w:hAnsi="宋体"/>
          <w:color w:val="auto"/>
          <w:szCs w:val="21"/>
          <w:highlight w:val="none"/>
        </w:rPr>
        <w:t>项。</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现文：</w:t>
      </w:r>
      <w:r>
        <w:rPr>
          <w:rFonts w:ascii="宋体" w:hAnsi="宋体"/>
          <w:color w:val="auto"/>
          <w:szCs w:val="21"/>
          <w:highlight w:val="none"/>
        </w:rPr>
        <w:t xml:space="preserve">8.1 </w:t>
      </w:r>
      <w:r>
        <w:rPr>
          <w:rFonts w:hint="eastAsia" w:ascii="宋体" w:hAnsi="宋体"/>
          <w:color w:val="auto"/>
          <w:szCs w:val="21"/>
          <w:highlight w:val="none"/>
        </w:rPr>
        <w:t>投标人若对招标文件（包括招标图纸）中有疑问，可以书面形式通过</w:t>
      </w:r>
      <w:r>
        <w:rPr>
          <w:rFonts w:ascii="宋体" w:hAnsi="宋体"/>
          <w:color w:val="auto"/>
          <w:szCs w:val="21"/>
          <w:highlight w:val="none"/>
          <w:u w:val="single"/>
        </w:rPr>
        <w:t xml:space="preserve"> </w:t>
      </w:r>
      <w:r>
        <w:rPr>
          <w:rFonts w:hint="eastAsia" w:ascii="宋体" w:hAnsi="宋体"/>
          <w:color w:val="auto"/>
          <w:szCs w:val="21"/>
          <w:highlight w:val="none"/>
          <w:u w:val="single"/>
        </w:rPr>
        <w:t>广州公共资源交易中心</w:t>
      </w:r>
      <w:r>
        <w:rPr>
          <w:rFonts w:ascii="宋体" w:hAnsi="宋体"/>
          <w:color w:val="auto"/>
          <w:szCs w:val="21"/>
          <w:highlight w:val="none"/>
          <w:u w:val="single"/>
        </w:rPr>
        <w:t xml:space="preserve"> </w:t>
      </w:r>
      <w:r>
        <w:rPr>
          <w:rFonts w:hint="eastAsia" w:ascii="宋体" w:hAnsi="宋体"/>
          <w:color w:val="auto"/>
          <w:szCs w:val="21"/>
          <w:highlight w:val="none"/>
        </w:rPr>
        <w:t>交易平台提交给招标人或招标代理人，提交形式见本须知前附表第</w:t>
      </w:r>
      <w:r>
        <w:rPr>
          <w:rFonts w:ascii="宋体" w:hAnsi="宋体"/>
          <w:color w:val="auto"/>
          <w:szCs w:val="21"/>
          <w:highlight w:val="none"/>
        </w:rPr>
        <w:t>16</w:t>
      </w:r>
      <w:r>
        <w:rPr>
          <w:rFonts w:hint="eastAsia" w:ascii="宋体" w:hAnsi="宋体"/>
          <w:color w:val="auto"/>
          <w:szCs w:val="21"/>
          <w:highlight w:val="none"/>
        </w:rPr>
        <w:t>项。</w:t>
      </w:r>
    </w:p>
    <w:p>
      <w:pPr>
        <w:pBdr>
          <w:bottom w:val="single" w:color="auto" w:sz="6" w:space="1"/>
        </w:pBdr>
        <w:spacing w:line="360" w:lineRule="auto"/>
        <w:ind w:right="105" w:rightChars="50" w:firstLine="525" w:firstLineChars="250"/>
        <w:rPr>
          <w:color w:val="auto"/>
          <w:highlight w:val="none"/>
        </w:rPr>
      </w:pPr>
      <w:r>
        <w:rPr>
          <w:rFonts w:hint="eastAsia" w:ascii="宋体" w:hAnsi="宋体"/>
          <w:color w:val="auto"/>
          <w:szCs w:val="21"/>
          <w:highlight w:val="none"/>
          <w:u w:val="singl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pPr>
        <w:spacing w:line="360" w:lineRule="auto"/>
        <w:ind w:firstLine="527" w:firstLineChars="250"/>
        <w:rPr>
          <w:rFonts w:ascii="宋体" w:hAnsi="宋体"/>
          <w:b/>
          <w:szCs w:val="21"/>
        </w:rPr>
      </w:pPr>
      <w:r>
        <w:rPr>
          <w:rFonts w:hint="eastAsia" w:ascii="宋体" w:hAnsi="宋体"/>
          <w:b/>
          <w:szCs w:val="21"/>
        </w:rPr>
        <w:t>条款号：8.2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8.2 招标答疑会会议纪要将在提交投标文件截止时间15日前在</w:t>
      </w:r>
      <w:r>
        <w:rPr>
          <w:rFonts w:hint="eastAsia" w:ascii="宋体" w:hAnsi="宋体"/>
          <w:szCs w:val="21"/>
          <w:u w:val="single"/>
        </w:rPr>
        <w:t xml:space="preserve">        </w:t>
      </w:r>
      <w:r>
        <w:rPr>
          <w:rFonts w:hint="eastAsia" w:ascii="宋体" w:hAnsi="宋体"/>
          <w:szCs w:val="21"/>
        </w:rPr>
        <w:t>交易平台“项目答疑纪要”专区公开发布。答疑纪要一经在</w:t>
      </w:r>
      <w:r>
        <w:rPr>
          <w:rFonts w:hint="eastAsia" w:ascii="宋体" w:hAnsi="宋体"/>
          <w:szCs w:val="21"/>
          <w:u w:val="single"/>
        </w:rPr>
        <w:t xml:space="preserve">        </w:t>
      </w:r>
      <w:r>
        <w:rPr>
          <w:rFonts w:hint="eastAsia" w:ascii="宋体" w:hAnsi="宋体"/>
          <w:szCs w:val="21"/>
        </w:rPr>
        <w:t>交易平台发布，视作已发放给所有投标人。</w:t>
      </w:r>
    </w:p>
    <w:p>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szCs w:val="21"/>
        </w:rPr>
        <w:t>8.2 招标答疑会会议纪要将在提交投标文件截止时间15日前在</w:t>
      </w:r>
      <w:r>
        <w:rPr>
          <w:rFonts w:hint="eastAsia" w:ascii="宋体" w:hAnsi="宋体"/>
          <w:szCs w:val="21"/>
          <w:u w:val="single"/>
        </w:rPr>
        <w:t xml:space="preserve"> 广州公共资源交易中心 </w:t>
      </w:r>
      <w:r>
        <w:rPr>
          <w:rFonts w:hint="eastAsia" w:ascii="宋体" w:hAnsi="宋体"/>
          <w:szCs w:val="21"/>
        </w:rPr>
        <w:t>交易平台</w:t>
      </w:r>
      <w:r>
        <w:rPr>
          <w:rFonts w:hint="eastAsia" w:ascii="宋体" w:hAnsi="宋体"/>
          <w:szCs w:val="21"/>
          <w:u w:val="single"/>
        </w:rPr>
        <w:t>“建设工程”→“项目查询（日程安排、答疑纪要）”</w:t>
      </w:r>
      <w:r>
        <w:rPr>
          <w:rFonts w:hint="eastAsia" w:ascii="宋体" w:hAnsi="宋体"/>
          <w:szCs w:val="21"/>
        </w:rPr>
        <w:t>专区公开发布。答疑纪要一经在</w:t>
      </w:r>
      <w:r>
        <w:rPr>
          <w:rFonts w:hint="eastAsia" w:ascii="宋体" w:hAnsi="宋体"/>
          <w:szCs w:val="21"/>
          <w:u w:val="single"/>
        </w:rPr>
        <w:t xml:space="preserve"> 广州公共资源交易中心 </w:t>
      </w:r>
      <w:r>
        <w:rPr>
          <w:rFonts w:hint="eastAsia" w:ascii="宋体" w:hAnsi="宋体"/>
          <w:szCs w:val="21"/>
        </w:rPr>
        <w:t>交易平台发布，视作已发放给所有投标人。</w:t>
      </w:r>
    </w:p>
    <w:p>
      <w:pPr>
        <w:spacing w:line="360" w:lineRule="auto"/>
        <w:ind w:firstLine="527" w:firstLineChars="250"/>
        <w:rPr>
          <w:rFonts w:ascii="宋体" w:hAnsi="宋体"/>
          <w:b/>
          <w:szCs w:val="21"/>
        </w:rPr>
      </w:pPr>
      <w:r>
        <w:rPr>
          <w:rFonts w:hint="eastAsia" w:ascii="宋体" w:hAnsi="宋体"/>
          <w:b/>
          <w:szCs w:val="21"/>
        </w:rPr>
        <w:t>条款号：9.2</w:t>
      </w:r>
      <w:r>
        <w:rPr>
          <w:rFonts w:ascii="宋体" w:hAnsi="宋体"/>
          <w:b/>
          <w:szCs w:val="21"/>
        </w:rPr>
        <w:t xml:space="preserve">      </w:t>
      </w:r>
      <w:r>
        <w:rPr>
          <w:rFonts w:hint="eastAsia" w:ascii="宋体" w:hAnsi="宋体"/>
          <w:b/>
          <w:szCs w:val="21"/>
        </w:rPr>
        <w:t xml:space="preserve">                       </w:t>
      </w:r>
      <w:r>
        <w:rPr>
          <w:rFonts w:ascii="宋体" w:hAnsi="宋体"/>
          <w:b/>
          <w:szCs w:val="21"/>
        </w:rPr>
        <w:t xml:space="preserve">    </w:t>
      </w:r>
      <w:r>
        <w:rPr>
          <w:rFonts w:hint="eastAsia" w:ascii="宋体" w:hAnsi="宋体"/>
          <w:b/>
          <w:szCs w:val="21"/>
        </w:rPr>
        <w:t>修改类型：修改</w:t>
      </w:r>
    </w:p>
    <w:p>
      <w:pPr>
        <w:spacing w:line="360" w:lineRule="auto"/>
        <w:ind w:firstLine="527" w:firstLineChars="250"/>
        <w:rPr>
          <w:rFonts w:ascii="宋体" w:hAnsi="宋体"/>
          <w:b/>
          <w:szCs w:val="21"/>
        </w:rPr>
      </w:pPr>
      <w:r>
        <w:rPr>
          <w:rFonts w:hint="eastAsia" w:ascii="宋体" w:hAnsi="宋体"/>
          <w:b/>
          <w:szCs w:val="21"/>
        </w:rPr>
        <w:t>原文：</w:t>
      </w:r>
      <w:r>
        <w:rPr>
          <w:rFonts w:hint="eastAsia" w:ascii="宋体" w:hAnsi="宋体"/>
          <w:szCs w:val="21"/>
        </w:rPr>
        <w:t>9.2 招标文件的澄清或修改将在</w:t>
      </w:r>
      <w:r>
        <w:rPr>
          <w:rFonts w:hint="eastAsia" w:ascii="宋体" w:hAnsi="宋体"/>
          <w:szCs w:val="21"/>
          <w:u w:val="single"/>
        </w:rPr>
        <w:t xml:space="preserve">        </w:t>
      </w:r>
      <w:r>
        <w:rPr>
          <w:rFonts w:hint="eastAsia" w:ascii="宋体" w:hAnsi="宋体"/>
          <w:szCs w:val="21"/>
        </w:rPr>
        <w:t>交易平台“项目答疑纪要”专区公开发布。答疑纪要一经在</w:t>
      </w:r>
      <w:r>
        <w:rPr>
          <w:rFonts w:hint="eastAsia" w:ascii="宋体" w:hAnsi="宋体"/>
          <w:szCs w:val="21"/>
          <w:u w:val="single"/>
        </w:rPr>
        <w:t xml:space="preserve">        </w:t>
      </w:r>
      <w:r>
        <w:rPr>
          <w:rFonts w:hint="eastAsia" w:ascii="宋体" w:hAnsi="宋体"/>
          <w:szCs w:val="21"/>
        </w:rPr>
        <w:t>交易平台发布，视作已发放给所有投标人，以</w:t>
      </w:r>
      <w:r>
        <w:rPr>
          <w:rFonts w:hint="eastAsia" w:ascii="宋体" w:hAnsi="宋体"/>
          <w:szCs w:val="21"/>
          <w:u w:val="single"/>
        </w:rPr>
        <w:t xml:space="preserve">        </w:t>
      </w:r>
      <w:r>
        <w:rPr>
          <w:rFonts w:hint="eastAsia" w:ascii="宋体" w:hAnsi="宋体"/>
          <w:szCs w:val="21"/>
        </w:rPr>
        <w:t>交易平台上网发布时间作为送达时间。</w:t>
      </w:r>
    </w:p>
    <w:p>
      <w:pPr>
        <w:pBdr>
          <w:bottom w:val="single" w:color="auto" w:sz="6" w:space="1"/>
        </w:pBdr>
        <w:spacing w:line="360" w:lineRule="auto"/>
        <w:ind w:firstLine="527" w:firstLineChars="250"/>
        <w:rPr>
          <w:rFonts w:hint="eastAsia" w:ascii="宋体" w:hAnsi="宋体"/>
          <w:b/>
          <w:szCs w:val="21"/>
        </w:rPr>
      </w:pPr>
      <w:r>
        <w:rPr>
          <w:rFonts w:hint="eastAsia" w:ascii="宋体" w:hAnsi="宋体"/>
          <w:b/>
          <w:szCs w:val="21"/>
        </w:rPr>
        <w:t>现文：</w:t>
      </w:r>
      <w:r>
        <w:rPr>
          <w:rFonts w:hint="eastAsia" w:ascii="宋体" w:hAnsi="宋体"/>
          <w:szCs w:val="21"/>
        </w:rPr>
        <w:t>9.2 招标文件的澄清或修改将在</w:t>
      </w:r>
      <w:r>
        <w:rPr>
          <w:rFonts w:hint="eastAsia" w:ascii="宋体" w:hAnsi="宋体"/>
          <w:szCs w:val="21"/>
          <w:u w:val="single"/>
        </w:rPr>
        <w:t xml:space="preserve"> 广州公共资源交易中心 </w:t>
      </w:r>
      <w:r>
        <w:rPr>
          <w:rFonts w:hint="eastAsia" w:ascii="宋体" w:hAnsi="宋体"/>
          <w:szCs w:val="21"/>
        </w:rPr>
        <w:t>交易平台</w:t>
      </w:r>
      <w:r>
        <w:rPr>
          <w:rFonts w:hint="eastAsia" w:ascii="宋体" w:hAnsi="宋体"/>
          <w:szCs w:val="21"/>
          <w:u w:val="single"/>
        </w:rPr>
        <w:t>“建设工程”→“项目查询（日程安排、答疑纪要）”</w:t>
      </w:r>
      <w:r>
        <w:rPr>
          <w:rFonts w:hint="eastAsia" w:ascii="宋体" w:hAnsi="宋体"/>
          <w:szCs w:val="21"/>
        </w:rPr>
        <w:t>专区公开发布。答疑纪要一经在</w:t>
      </w:r>
      <w:r>
        <w:rPr>
          <w:rFonts w:hint="eastAsia" w:ascii="宋体" w:hAnsi="宋体"/>
          <w:szCs w:val="21"/>
          <w:u w:val="single"/>
        </w:rPr>
        <w:t xml:space="preserve"> 广州公共资源交易中心 </w:t>
      </w:r>
      <w:r>
        <w:rPr>
          <w:rFonts w:hint="eastAsia" w:ascii="宋体" w:hAnsi="宋体"/>
          <w:szCs w:val="21"/>
        </w:rPr>
        <w:t>交易平台发布，视作已发放给所有投标人，以</w:t>
      </w:r>
      <w:r>
        <w:rPr>
          <w:rFonts w:hint="eastAsia" w:ascii="宋体" w:hAnsi="宋体"/>
          <w:szCs w:val="21"/>
          <w:u w:val="single"/>
        </w:rPr>
        <w:t xml:space="preserve"> 广州公共资源交易中心 </w:t>
      </w:r>
      <w:r>
        <w:rPr>
          <w:rFonts w:hint="eastAsia" w:ascii="宋体" w:hAnsi="宋体"/>
          <w:szCs w:val="21"/>
        </w:rPr>
        <w:t>交易平台上网发布时间作为送达时间。</w:t>
      </w:r>
    </w:p>
    <w:p>
      <w:pPr>
        <w:spacing w:line="360" w:lineRule="auto"/>
        <w:ind w:firstLine="527" w:firstLineChars="250"/>
        <w:rPr>
          <w:rFonts w:hint="eastAsia" w:ascii="宋体" w:hAnsi="宋体"/>
          <w:b/>
          <w:color w:val="auto"/>
          <w:szCs w:val="21"/>
          <w:highlight w:val="none"/>
        </w:rPr>
      </w:pP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条款号：9.4</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9.4 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hint="eastAsia"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9.4 招标文件的澄清或修改均以在广州公共资源交易中心交易平台“建设工程”→“项目查询（日程安排、答疑纪要）”专区公开发布的内容为准。当招标文件的澄清、修改、补充等在同一内容的表述不一致时，以最后发出的文件为准。</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原文：11．投标文件的组成</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11.1 投标文件由技术部分（含资格审查文件）和经济部分二部分投标文件组成。</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 投标文件技术标部分主要包括下列内容:</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11.2.1 技术投标文件(按招标文件的要求填写)；</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11.2.2 资格审查文件：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 xml:space="preserve">（1）投标人声明； </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（2）法定代表人证明书、法定代表人签字或盖章的本投标文件授权委托证明书；</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（3）企业营业执照（取自库内上传件）；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（4）企业资质证书（取自库内上传件）；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（5）建筑施工企业安全生产许可证（取自库内上传件）；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（6）项目负责人（按网上投标登记时选择拟投标的项目负责人）</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（7）专职安全员（按网上投标登记时选择拟投标的专职安全员）</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（8）拟委托技术负责人的相关证书、资料（具体要求由招标人明确）</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 xml:space="preserve">（9）拟委派项目负责人的建造师注册证书（取自平台内上传件）； </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（10）</w:t>
      </w:r>
      <w:r>
        <w:rPr>
          <w:rFonts w:ascii="宋体" w:hAnsi="宋体"/>
          <w:color w:val="auto"/>
          <w:szCs w:val="21"/>
          <w:highlight w:val="none"/>
        </w:rPr>
        <w:t>项目负责人安全</w:t>
      </w:r>
      <w:r>
        <w:rPr>
          <w:rFonts w:hint="eastAsia" w:ascii="宋体" w:hAnsi="宋体"/>
          <w:color w:val="auto"/>
          <w:szCs w:val="21"/>
          <w:highlight w:val="none"/>
        </w:rPr>
        <w:t>生产</w:t>
      </w:r>
      <w:r>
        <w:rPr>
          <w:rFonts w:ascii="宋体" w:hAnsi="宋体"/>
          <w:color w:val="auto"/>
          <w:szCs w:val="21"/>
          <w:highlight w:val="none"/>
        </w:rPr>
        <w:t>考核合格证明或在有效期内的安全考核合格证书（B类）</w:t>
      </w:r>
      <w:r>
        <w:rPr>
          <w:rFonts w:hint="eastAsia" w:ascii="宋体" w:hAnsi="宋体"/>
          <w:color w:val="auto"/>
          <w:szCs w:val="21"/>
          <w:highlight w:val="none"/>
        </w:rPr>
        <w:t>或建筑施工企业项目负责人安全生产考核合格证书（取自平台内上传件）；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（11）专职安全员须具有在有效期内的安全考核合格证书（C类）（取自库内上传件），或提供广东省建筑施工企业管理人员安全生产考核信息系统安全生产管理人员证书信息的网页截图；</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（12）用于资格审查的业绩（设置业绩要求时选择此项，投标人须提供类似工程业绩的项目名称及项目编号，具体格式由招标人自定）；</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（13）资格审查前，投标人须在广州市住房和城乡建设局建立企业诚信档案，拟担任本工程项目负责人须是本企业诚信档案中的在册人员。</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 xml:space="preserve">（14）列明主办单位的联合体工作协议（采用联合体投标时需递交，投标人拟任本工程项目负责人应为联合体主办方诚信档案中的在册人员，联合体工作协议应明确约定各方拟承担的工作和责任）； </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15）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11.2.3 项目管理机构配备。</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（1）投标人应列出该项目工程的施工组织机构构成和画出机构框架图及其负责人；</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（2）投标人应详细列出该施工组织机构中主要成员的名单、简历资料、职务职称和在本项目中拟担任的职务等资料，并附上有关证明材料扫描件；</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（3）其他辅助说明资料。</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11.2.4 投标人在广州市可使用适合本工程的机械设备（附：机械设备为自有或租赁的说明；及承诺机械设备如属于租赁的，其租赁是不属于重复租赁）。</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11.2.5 施工组织设计或施工方案。</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11.2.6 按照招标文件要求填写的《参与编制技术标投标文件人员名单》。</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11.3 经济部分投标文件主要包括下列内容：</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11.3.1 经济投标文件(按招标文件的要求填写)。</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 xml:space="preserve">11.3.2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 </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（1）投标总价封面、扉页；</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（2）总说明</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（3）工程项目投标报价汇总表；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（4）单项工程投标报价汇总表；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（5）单位工程投标报价汇总表；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（6）分部分项工程清单与计价表；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（7）单价措施项目清单与计价表；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（8）总价措施项目清单与计价表；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（9）综合单价分析表；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（10）其他项目清单与计价汇总表；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（11）暂列金额明细表；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（12）材料（工程设备）暂估价明细表；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（13）专业工程暂估价明细表；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（14）计日工表；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（15）总承包服务计价表；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（16）规费和税金项目计价表；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（17）人工、主要材料和设备一览表</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11.3.3 按照招标文件要求填写的《参与编制经济标投标文件人员名单》。</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11.3.4 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02" w:firstLineChars="200"/>
        <w:rPr>
          <w:rFonts w:ascii="宋体"/>
          <w:b/>
          <w:bCs/>
          <w:color w:val="auto"/>
          <w:sz w:val="21"/>
          <w:szCs w:val="21"/>
          <w:highlight w:val="none"/>
        </w:rPr>
      </w:pPr>
      <w:r>
        <w:rPr>
          <w:rFonts w:hint="eastAsia" w:ascii="宋体" w:hAnsi="宋体"/>
          <w:b/>
          <w:color w:val="auto"/>
          <w:szCs w:val="21"/>
          <w:highlight w:val="none"/>
        </w:rPr>
        <w:t>现文：</w:t>
      </w:r>
      <w:r>
        <w:rPr>
          <w:rFonts w:ascii="宋体" w:hAnsi="宋体"/>
          <w:b/>
          <w:bCs/>
          <w:color w:val="auto"/>
          <w:sz w:val="21"/>
          <w:szCs w:val="21"/>
          <w:highlight w:val="none"/>
        </w:rPr>
        <w:t>11</w:t>
      </w:r>
      <w:r>
        <w:rPr>
          <w:rFonts w:hint="eastAsia" w:ascii="宋体" w:hAnsi="宋体"/>
          <w:b/>
          <w:bCs/>
          <w:color w:val="auto"/>
          <w:sz w:val="21"/>
          <w:szCs w:val="21"/>
          <w:highlight w:val="none"/>
        </w:rPr>
        <w:t>．投标文件的组成</w:t>
      </w:r>
    </w:p>
    <w:p>
      <w:pPr>
        <w:pStyle w:val="5"/>
        <w:spacing w:after="0" w:line="360" w:lineRule="auto"/>
        <w:ind w:firstLineChars="200"/>
        <w:rPr>
          <w:rFonts w:ascii="宋体"/>
          <w:b/>
          <w:color w:val="auto"/>
          <w:sz w:val="21"/>
          <w:szCs w:val="21"/>
          <w:highlight w:val="none"/>
        </w:rPr>
      </w:pPr>
      <w:r>
        <w:rPr>
          <w:rFonts w:ascii="宋体" w:hAnsi="宋体"/>
          <w:color w:val="auto"/>
          <w:sz w:val="21"/>
          <w:szCs w:val="21"/>
          <w:highlight w:val="none"/>
        </w:rPr>
        <w:t xml:space="preserve">11.1 </w:t>
      </w:r>
      <w:r>
        <w:rPr>
          <w:rFonts w:hint="eastAsia" w:ascii="宋体" w:hAnsi="宋体"/>
          <w:color w:val="auto"/>
          <w:sz w:val="21"/>
          <w:szCs w:val="21"/>
          <w:highlight w:val="none"/>
        </w:rPr>
        <w:t>投标文件由技术部分（含资格审查文件）和经济部分二部分投标文件组成</w:t>
      </w:r>
      <w:r>
        <w:rPr>
          <w:rFonts w:hint="eastAsia" w:ascii="宋体" w:hAnsi="宋体"/>
          <w:b/>
          <w:color w:val="auto"/>
          <w:sz w:val="21"/>
          <w:szCs w:val="21"/>
          <w:highlight w:val="none"/>
        </w:rPr>
        <w:t>。</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11.2</w:t>
      </w:r>
      <w:r>
        <w:rPr>
          <w:rFonts w:hint="eastAsia" w:ascii="宋体" w:hAnsi="宋体"/>
          <w:bCs/>
          <w:color w:val="auto"/>
          <w:szCs w:val="21"/>
          <w:highlight w:val="none"/>
        </w:rPr>
        <w:t>投标文件技术标部分主要包括下列内容</w:t>
      </w:r>
      <w:r>
        <w:rPr>
          <w:rFonts w:ascii="宋体" w:hAnsi="宋体"/>
          <w:bCs/>
          <w:color w:val="auto"/>
          <w:szCs w:val="21"/>
          <w:highlight w:val="none"/>
        </w:rPr>
        <w:t>:</w:t>
      </w:r>
    </w:p>
    <w:p>
      <w:pPr>
        <w:spacing w:line="360" w:lineRule="auto"/>
        <w:ind w:firstLine="420" w:firstLineChars="200"/>
        <w:rPr>
          <w:rFonts w:ascii="宋体"/>
          <w:bCs/>
          <w:color w:val="auto"/>
          <w:szCs w:val="21"/>
          <w:highlight w:val="none"/>
        </w:rPr>
      </w:pPr>
      <w:r>
        <w:rPr>
          <w:rFonts w:hint="eastAsia" w:ascii="宋体"/>
          <w:bCs/>
          <w:color w:val="auto"/>
          <w:szCs w:val="21"/>
          <w:highlight w:val="none"/>
        </w:rPr>
        <w:t>11.2.1 技术投标文件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bCs/>
          <w:color w:val="auto"/>
          <w:szCs w:val="21"/>
          <w:highlight w:val="none"/>
        </w:rPr>
        <w:t>；</w:t>
      </w:r>
    </w:p>
    <w:p>
      <w:pPr>
        <w:spacing w:line="360" w:lineRule="auto"/>
        <w:ind w:firstLine="420" w:firstLineChars="200"/>
        <w:rPr>
          <w:rFonts w:ascii="宋体" w:hAnsi="宋体" w:cs="Calibri"/>
          <w:bCs/>
          <w:color w:val="auto"/>
          <w:szCs w:val="21"/>
          <w:highlight w:val="none"/>
          <w:u w:val="none"/>
        </w:rPr>
      </w:pPr>
      <w:r>
        <w:rPr>
          <w:rFonts w:ascii="宋体" w:hAnsi="宋体" w:cs="Calibri"/>
          <w:bCs/>
          <w:color w:val="auto"/>
          <w:szCs w:val="21"/>
          <w:highlight w:val="none"/>
          <w:u w:val="none"/>
        </w:rPr>
        <w:t>11.2.2 资格审查文件：</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（1）投标人声明（按招标</w:t>
      </w:r>
      <w:r>
        <w:rPr>
          <w:rFonts w:hint="eastAsia" w:ascii="宋体" w:hAnsi="宋体" w:cs="Calibri"/>
          <w:bCs/>
          <w:color w:val="auto"/>
          <w:szCs w:val="21"/>
          <w:highlight w:val="none"/>
          <w:u w:val="single"/>
        </w:rPr>
        <w:t>公告</w:t>
      </w:r>
      <w:r>
        <w:rPr>
          <w:rFonts w:ascii="宋体" w:hAnsi="宋体" w:cs="Calibri"/>
          <w:bCs/>
          <w:color w:val="auto"/>
          <w:szCs w:val="21"/>
          <w:highlight w:val="none"/>
          <w:u w:val="single"/>
        </w:rPr>
        <w:t xml:space="preserve">的要求填写）； </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（2）法定代表人证明书、法定代表人签字或盖章的本投标文件授权委托证明书；</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（3）企业营业执照</w:t>
      </w:r>
      <w:r>
        <w:rPr>
          <w:rFonts w:hint="default" w:ascii="宋体" w:hAnsi="宋体" w:cs="Calibri"/>
          <w:bCs/>
          <w:color w:val="auto"/>
          <w:sz w:val="21"/>
          <w:szCs w:val="21"/>
          <w:highlight w:val="none"/>
          <w:u w:val="single"/>
        </w:rPr>
        <w:t>（取自平台内上传件）</w:t>
      </w:r>
      <w:r>
        <w:rPr>
          <w:rFonts w:ascii="宋体" w:hAnsi="宋体" w:cs="Calibri"/>
          <w:bCs/>
          <w:color w:val="auto"/>
          <w:szCs w:val="21"/>
          <w:highlight w:val="none"/>
          <w:u w:val="single"/>
        </w:rPr>
        <w:t>；</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（4）企业资质证书</w:t>
      </w:r>
      <w:r>
        <w:rPr>
          <w:rFonts w:hint="default" w:ascii="宋体" w:hAnsi="宋体" w:cs="Calibri"/>
          <w:bCs/>
          <w:color w:val="auto"/>
          <w:sz w:val="21"/>
          <w:szCs w:val="21"/>
          <w:highlight w:val="none"/>
          <w:u w:val="single"/>
        </w:rPr>
        <w:t>（取自平台内上传件）</w:t>
      </w:r>
      <w:r>
        <w:rPr>
          <w:rFonts w:ascii="宋体" w:hAnsi="宋体" w:cs="Calibri"/>
          <w:bCs/>
          <w:color w:val="auto"/>
          <w:szCs w:val="21"/>
          <w:highlight w:val="none"/>
          <w:u w:val="single"/>
        </w:rPr>
        <w:t>；</w:t>
      </w:r>
      <w:r>
        <w:rPr>
          <w:rFonts w:hint="eastAsia" w:ascii="宋体" w:hAnsi="宋体" w:cs="Calibri"/>
          <w:bCs/>
          <w:color w:val="auto"/>
          <w:szCs w:val="21"/>
          <w:highlight w:val="none"/>
          <w:u w:val="single"/>
        </w:rPr>
        <w:t>（注：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（5）建筑施工企业安全生产许可证</w:t>
      </w:r>
      <w:r>
        <w:rPr>
          <w:rFonts w:hint="default" w:ascii="宋体" w:hAnsi="宋体" w:cs="Calibri"/>
          <w:bCs/>
          <w:color w:val="auto"/>
          <w:sz w:val="21"/>
          <w:szCs w:val="21"/>
          <w:highlight w:val="none"/>
          <w:u w:val="single"/>
        </w:rPr>
        <w:t>（取自平台内上传件）</w:t>
      </w:r>
      <w:r>
        <w:rPr>
          <w:rFonts w:ascii="宋体" w:hAnsi="宋体" w:cs="Calibri"/>
          <w:bCs/>
          <w:color w:val="auto"/>
          <w:szCs w:val="21"/>
          <w:highlight w:val="none"/>
          <w:u w:val="single"/>
        </w:rPr>
        <w:t>；</w:t>
      </w:r>
    </w:p>
    <w:p>
      <w:pPr>
        <w:spacing w:line="360" w:lineRule="auto"/>
        <w:ind w:firstLine="420" w:firstLineChars="200"/>
        <w:rPr>
          <w:rFonts w:hint="eastAsia" w:ascii="宋体" w:hAnsi="宋体" w:eastAsia="宋体" w:cs="Calibri"/>
          <w:bCs/>
          <w:color w:val="auto"/>
          <w:szCs w:val="21"/>
          <w:highlight w:val="none"/>
          <w:u w:val="single"/>
          <w:lang w:eastAsia="zh-CN"/>
        </w:rPr>
      </w:pPr>
      <w:r>
        <w:rPr>
          <w:rFonts w:ascii="宋体" w:hAnsi="宋体" w:cs="Calibri"/>
          <w:bCs/>
          <w:color w:val="auto"/>
          <w:szCs w:val="21"/>
          <w:highlight w:val="none"/>
          <w:u w:val="single"/>
        </w:rPr>
        <w:t>（6）项目负责人（按网上投标登记时选择拟投标的项目负责人）</w:t>
      </w:r>
      <w:r>
        <w:rPr>
          <w:rFonts w:hint="eastAsia" w:ascii="宋体" w:hAnsi="宋体" w:cs="Calibri"/>
          <w:bCs/>
          <w:color w:val="auto"/>
          <w:szCs w:val="21"/>
          <w:highlight w:val="none"/>
          <w:u w:val="single"/>
          <w:lang w:eastAsia="zh-CN"/>
        </w:rPr>
        <w:t>；</w:t>
      </w:r>
    </w:p>
    <w:p>
      <w:pPr>
        <w:spacing w:line="360" w:lineRule="auto"/>
        <w:ind w:firstLine="420" w:firstLineChars="200"/>
        <w:rPr>
          <w:rFonts w:hint="eastAsia" w:ascii="宋体" w:hAnsi="宋体" w:eastAsia="宋体" w:cs="Calibri"/>
          <w:bCs/>
          <w:color w:val="auto"/>
          <w:szCs w:val="21"/>
          <w:highlight w:val="none"/>
          <w:u w:val="single"/>
          <w:lang w:eastAsia="zh-CN"/>
        </w:rPr>
      </w:pPr>
      <w:r>
        <w:rPr>
          <w:rFonts w:ascii="宋体" w:hAnsi="宋体" w:cs="Calibri"/>
          <w:bCs/>
          <w:color w:val="auto"/>
          <w:szCs w:val="21"/>
          <w:highlight w:val="none"/>
          <w:u w:val="single"/>
        </w:rPr>
        <w:t>（7）专职安全员（按网上投标登记时选择拟投标的专职安全员）</w:t>
      </w:r>
      <w:r>
        <w:rPr>
          <w:rFonts w:hint="eastAsia" w:ascii="宋体" w:hAnsi="宋体" w:cs="Calibri"/>
          <w:bCs/>
          <w:color w:val="auto"/>
          <w:szCs w:val="21"/>
          <w:highlight w:val="none"/>
          <w:u w:val="single"/>
          <w:lang w:eastAsia="zh-CN"/>
        </w:rPr>
        <w:t>；</w:t>
      </w:r>
    </w:p>
    <w:p>
      <w:pPr>
        <w:spacing w:line="360" w:lineRule="auto"/>
        <w:ind w:firstLine="420" w:firstLineChars="200"/>
        <w:rPr>
          <w:rFonts w:hint="eastAsia" w:ascii="宋体" w:hAnsi="宋体" w:eastAsia="宋体" w:cs="Calibri"/>
          <w:bCs/>
          <w:strike w:val="0"/>
          <w:color w:val="auto"/>
          <w:szCs w:val="21"/>
          <w:highlight w:val="none"/>
          <w:u w:val="single"/>
          <w:lang w:eastAsia="zh-CN"/>
        </w:rPr>
      </w:pPr>
      <w:r>
        <w:rPr>
          <w:rFonts w:ascii="宋体" w:hAnsi="宋体" w:cs="Calibri"/>
          <w:bCs/>
          <w:color w:val="auto"/>
          <w:szCs w:val="21"/>
          <w:highlight w:val="none"/>
          <w:u w:val="single"/>
        </w:rPr>
        <w:t>（8）拟委托技术负责人的相关证书、资料</w:t>
      </w:r>
      <w:r>
        <w:rPr>
          <w:rFonts w:hint="eastAsia" w:ascii="宋体" w:hAnsi="宋体" w:cs="Calibri"/>
          <w:bCs/>
          <w:color w:val="auto"/>
          <w:szCs w:val="21"/>
          <w:highlight w:val="none"/>
          <w:u w:val="single"/>
          <w:lang w:eastAsia="zh-CN"/>
        </w:rPr>
        <w:t>；</w:t>
      </w:r>
    </w:p>
    <w:p>
      <w:pPr>
        <w:spacing w:line="360" w:lineRule="auto"/>
        <w:ind w:firstLine="420" w:firstLineChars="200"/>
        <w:rPr>
          <w:rFonts w:ascii="宋体" w:hAnsi="宋体" w:cs="Calibri"/>
          <w:bCs/>
          <w:color w:val="auto"/>
          <w:szCs w:val="21"/>
          <w:highlight w:val="none"/>
          <w:u w:val="single"/>
        </w:rPr>
      </w:pPr>
      <w:r>
        <w:rPr>
          <w:rFonts w:hint="eastAsia" w:ascii="宋体" w:hAnsi="宋体" w:cs="Calibri"/>
          <w:bCs/>
          <w:color w:val="auto"/>
          <w:szCs w:val="21"/>
          <w:highlight w:val="none"/>
          <w:u w:val="single"/>
        </w:rPr>
        <w:t>（9）拟委派项目负责人</w:t>
      </w:r>
      <w:r>
        <w:rPr>
          <w:rFonts w:hint="default" w:ascii="宋体" w:hAnsi="宋体" w:cs="Calibri"/>
          <w:bCs/>
          <w:color w:val="auto"/>
          <w:szCs w:val="21"/>
          <w:highlight w:val="none"/>
          <w:u w:val="single"/>
          <w:lang w:val="en-US" w:eastAsia="zh-CN"/>
        </w:rPr>
        <w:t>有效</w:t>
      </w:r>
      <w:r>
        <w:rPr>
          <w:rFonts w:hint="eastAsia" w:ascii="宋体" w:hAnsi="宋体" w:cs="Calibri"/>
          <w:bCs/>
          <w:color w:val="auto"/>
          <w:szCs w:val="21"/>
          <w:highlight w:val="none"/>
          <w:u w:val="single"/>
        </w:rPr>
        <w:t>的市政公用工程二级（或以上）注册建造师注册证书</w:t>
      </w:r>
      <w:r>
        <w:rPr>
          <w:rFonts w:hint="default" w:ascii="宋体" w:hAnsi="宋体" w:cs="Calibri"/>
          <w:bCs/>
          <w:color w:val="auto"/>
          <w:sz w:val="21"/>
          <w:szCs w:val="21"/>
          <w:highlight w:val="none"/>
          <w:u w:val="single"/>
        </w:rPr>
        <w:t>（取自平台内上传件）</w:t>
      </w:r>
      <w:r>
        <w:rPr>
          <w:rFonts w:hint="eastAsia" w:ascii="宋体" w:hAnsi="宋体" w:cs="Calibri"/>
          <w:bCs/>
          <w:color w:val="auto"/>
          <w:szCs w:val="21"/>
          <w:highlight w:val="none"/>
          <w:u w:val="single"/>
        </w:rPr>
        <w:t>；</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（10）项目负责人持有安全</w:t>
      </w:r>
      <w:r>
        <w:rPr>
          <w:rFonts w:hint="eastAsia" w:ascii="宋体" w:hAnsi="宋体" w:cs="Calibri"/>
          <w:bCs/>
          <w:color w:val="auto"/>
          <w:szCs w:val="21"/>
          <w:highlight w:val="none"/>
          <w:u w:val="single"/>
        </w:rPr>
        <w:t>生产</w:t>
      </w:r>
      <w:r>
        <w:rPr>
          <w:rFonts w:ascii="宋体" w:hAnsi="宋体" w:cs="Calibri"/>
          <w:bCs/>
          <w:color w:val="auto"/>
          <w:szCs w:val="21"/>
          <w:highlight w:val="none"/>
          <w:u w:val="single"/>
        </w:rPr>
        <w:t>考核合格证（B类）或</w:t>
      </w:r>
      <w:r>
        <w:rPr>
          <w:rFonts w:hint="eastAsia" w:ascii="宋体" w:hAnsi="宋体" w:cs="Calibri"/>
          <w:bCs/>
          <w:color w:val="auto"/>
          <w:szCs w:val="21"/>
          <w:highlight w:val="none"/>
          <w:u w:val="single"/>
        </w:rPr>
        <w:t>建筑施工企业项目负责人安全生产考核合格证书</w:t>
      </w:r>
      <w:r>
        <w:rPr>
          <w:rFonts w:hint="default" w:ascii="宋体" w:hAnsi="宋体" w:cs="Calibri"/>
          <w:bCs/>
          <w:color w:val="auto"/>
          <w:sz w:val="21"/>
          <w:szCs w:val="21"/>
          <w:highlight w:val="none"/>
          <w:u w:val="single"/>
        </w:rPr>
        <w:t>（取自平台内上传件）</w:t>
      </w:r>
      <w:r>
        <w:rPr>
          <w:rFonts w:hint="eastAsia" w:ascii="宋体" w:hAnsi="宋体" w:cs="Calibri"/>
          <w:bCs/>
          <w:color w:val="auto"/>
          <w:szCs w:val="21"/>
          <w:highlight w:val="none"/>
          <w:u w:val="single"/>
        </w:rPr>
        <w:t>；</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（11）专职安全员须具有在有效期内的安全</w:t>
      </w:r>
      <w:r>
        <w:rPr>
          <w:rFonts w:hint="eastAsia" w:ascii="宋体" w:hAnsi="宋体" w:cs="Calibri"/>
          <w:bCs/>
          <w:color w:val="auto"/>
          <w:szCs w:val="21"/>
          <w:highlight w:val="none"/>
          <w:u w:val="single"/>
        </w:rPr>
        <w:t>生产</w:t>
      </w:r>
      <w:r>
        <w:rPr>
          <w:rFonts w:ascii="宋体" w:hAnsi="宋体" w:cs="Calibri"/>
          <w:bCs/>
          <w:color w:val="auto"/>
          <w:szCs w:val="21"/>
          <w:highlight w:val="none"/>
          <w:u w:val="single"/>
        </w:rPr>
        <w:t>考核合格证（C类）</w:t>
      </w:r>
      <w:r>
        <w:rPr>
          <w:rFonts w:hint="eastAsia" w:ascii="宋体" w:hAnsi="宋体" w:cs="Calibri"/>
          <w:bCs/>
          <w:color w:val="auto"/>
          <w:szCs w:val="21"/>
          <w:highlight w:val="none"/>
          <w:u w:val="single"/>
        </w:rPr>
        <w:t>或建筑施工企业专职安全生产管理人员安全生产考核合格证书（C3类）</w:t>
      </w:r>
      <w:r>
        <w:rPr>
          <w:rFonts w:hint="default" w:ascii="宋体" w:hAnsi="宋体" w:cs="Calibri"/>
          <w:bCs/>
          <w:color w:val="auto"/>
          <w:sz w:val="21"/>
          <w:szCs w:val="21"/>
          <w:highlight w:val="none"/>
          <w:u w:val="single"/>
        </w:rPr>
        <w:t>（取自平台内上传件）</w:t>
      </w:r>
      <w:r>
        <w:rPr>
          <w:rFonts w:hint="eastAsia" w:ascii="宋体" w:hAnsi="宋体" w:cs="Calibri"/>
          <w:bCs/>
          <w:color w:val="auto"/>
          <w:szCs w:val="21"/>
          <w:highlight w:val="none"/>
          <w:u w:val="single"/>
        </w:rPr>
        <w:t>；</w:t>
      </w:r>
    </w:p>
    <w:p>
      <w:pPr>
        <w:spacing w:line="360" w:lineRule="auto"/>
        <w:ind w:firstLine="420" w:firstLineChars="200"/>
        <w:rPr>
          <w:rFonts w:ascii="宋体" w:hAnsi="宋体" w:cs="Calibri"/>
          <w:bCs/>
          <w:color w:val="auto"/>
          <w:szCs w:val="21"/>
          <w:highlight w:val="none"/>
          <w:u w:val="single"/>
        </w:rPr>
      </w:pPr>
      <w:r>
        <w:rPr>
          <w:rFonts w:ascii="宋体" w:hAnsi="宋体" w:cs="Calibri"/>
          <w:bCs/>
          <w:color w:val="auto"/>
          <w:szCs w:val="21"/>
          <w:highlight w:val="none"/>
          <w:u w:val="single"/>
        </w:rPr>
        <w:t>（13）资格审查前，</w:t>
      </w:r>
      <w:r>
        <w:rPr>
          <w:rFonts w:hint="eastAsia" w:ascii="宋体" w:hAnsi="宋体" w:cs="Calibri"/>
          <w:bCs/>
          <w:color w:val="auto"/>
          <w:szCs w:val="21"/>
          <w:highlight w:val="none"/>
          <w:u w:val="single"/>
        </w:rPr>
        <w:t>投标人须在广州公共资源交易中心办理信息登记等相关投标登记手续及拟担任本工程项目负责人、专职安全员须是本企业的在册人员且与广州公共资源交易中心办理信息登记一致。</w:t>
      </w:r>
    </w:p>
    <w:p>
      <w:pPr>
        <w:spacing w:line="360" w:lineRule="auto"/>
        <w:ind w:firstLine="420" w:firstLineChars="200"/>
        <w:rPr>
          <w:rFonts w:ascii="宋体"/>
          <w:color w:val="auto"/>
          <w:szCs w:val="21"/>
          <w:highlight w:val="none"/>
        </w:rPr>
      </w:pPr>
      <w:r>
        <w:rPr>
          <w:rFonts w:ascii="宋体" w:hAnsi="宋体"/>
          <w:color w:val="auto"/>
          <w:szCs w:val="21"/>
          <w:highlight w:val="none"/>
        </w:rPr>
        <w:t>11.2.3</w:t>
      </w:r>
      <w:r>
        <w:rPr>
          <w:rFonts w:hint="eastAsia" w:ascii="宋体" w:hAnsi="宋体"/>
          <w:color w:val="auto"/>
          <w:szCs w:val="21"/>
          <w:highlight w:val="none"/>
        </w:rPr>
        <w:t>项目管理机构配备。</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（1）本工程的施工组织机构图；</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（2）施工组织机构主要成员的名单及有关证明材料扫描件；</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w:t>
      </w:r>
      <w:r>
        <w:rPr>
          <w:rFonts w:ascii="宋体" w:hAnsi="宋体"/>
          <w:color w:val="auto"/>
          <w:szCs w:val="21"/>
          <w:highlight w:val="none"/>
          <w:u w:val="single"/>
        </w:rPr>
        <w:t>1.2.4企业资信相关证明文件</w:t>
      </w:r>
      <w:r>
        <w:rPr>
          <w:rFonts w:hint="eastAsia" w:ascii="宋体" w:hAnsi="宋体"/>
          <w:color w:val="auto"/>
          <w:szCs w:val="21"/>
          <w:highlight w:val="none"/>
          <w:u w:val="single"/>
        </w:rPr>
        <w:t>；</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5</w:t>
      </w:r>
      <w:r>
        <w:rPr>
          <w:rFonts w:hint="eastAsia" w:ascii="宋体" w:hAnsi="宋体"/>
          <w:color w:val="auto"/>
          <w:szCs w:val="21"/>
          <w:highlight w:val="none"/>
          <w:u w:val="single"/>
        </w:rPr>
        <w:t>《投标函》（格式见第四章）；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6</w:t>
      </w:r>
      <w:r>
        <w:rPr>
          <w:rFonts w:hint="eastAsia" w:ascii="宋体" w:hAnsi="宋体"/>
          <w:color w:val="auto"/>
          <w:szCs w:val="21"/>
          <w:highlight w:val="none"/>
          <w:u w:val="single"/>
        </w:rPr>
        <w:t>《响应招标文件所附施工组织设计要点的承诺书》（格式见第四章）；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7</w:t>
      </w:r>
      <w:r>
        <w:rPr>
          <w:rFonts w:hint="eastAsia" w:ascii="宋体" w:hAnsi="宋体"/>
          <w:color w:val="auto"/>
          <w:szCs w:val="21"/>
          <w:highlight w:val="none"/>
          <w:u w:val="single"/>
        </w:rPr>
        <w:t>《技术承诺函》（格式见第四章）；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8</w:t>
      </w:r>
      <w:r>
        <w:rPr>
          <w:rFonts w:hint="eastAsia" w:ascii="宋体" w:hAnsi="宋体"/>
          <w:color w:val="auto"/>
          <w:szCs w:val="21"/>
          <w:highlight w:val="none"/>
          <w:u w:val="single"/>
        </w:rPr>
        <w:t>《施工项目管理团队人员信息表》（格式见第四章）；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9</w:t>
      </w:r>
      <w:r>
        <w:rPr>
          <w:rFonts w:hint="eastAsia" w:ascii="宋体" w:hAnsi="宋体"/>
          <w:color w:val="auto"/>
          <w:szCs w:val="21"/>
          <w:highlight w:val="none"/>
          <w:u w:val="single"/>
        </w:rPr>
        <w:t>《承诺书》和《对投标文件编制的承诺》（格式见第四章）；</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10</w:t>
      </w:r>
      <w:r>
        <w:rPr>
          <w:rFonts w:hint="eastAsia" w:ascii="宋体" w:hAnsi="宋体"/>
          <w:color w:val="auto"/>
          <w:szCs w:val="21"/>
          <w:highlight w:val="none"/>
          <w:u w:val="single"/>
        </w:rPr>
        <w:t xml:space="preserve"> 《投标人基本资料》（格式见第四章，不作为废标条款）；</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w:t>
      </w:r>
      <w:r>
        <w:rPr>
          <w:rFonts w:ascii="宋体" w:hAnsi="宋体"/>
          <w:color w:val="auto"/>
          <w:szCs w:val="21"/>
          <w:highlight w:val="none"/>
          <w:u w:val="single"/>
        </w:rPr>
        <w:t>1</w:t>
      </w:r>
      <w:r>
        <w:rPr>
          <w:rFonts w:hint="eastAsia" w:ascii="宋体" w:hAnsi="宋体"/>
          <w:color w:val="auto"/>
          <w:szCs w:val="21"/>
          <w:highlight w:val="none"/>
          <w:u w:val="single"/>
        </w:rPr>
        <w:t>1 按照招标文件要求填写的《参与编制技术标投标文件人员名单》。</w:t>
      </w:r>
    </w:p>
    <w:p>
      <w:pPr>
        <w:spacing w:line="360" w:lineRule="auto"/>
        <w:ind w:firstLine="420" w:firstLineChars="200"/>
        <w:rPr>
          <w:rFonts w:ascii="宋体" w:hAnsi="宋体"/>
          <w:color w:val="auto"/>
          <w:szCs w:val="21"/>
          <w:highlight w:val="none"/>
          <w:u w:val="single"/>
        </w:rPr>
      </w:pPr>
      <w:r>
        <w:rPr>
          <w:rFonts w:hint="eastAsia" w:ascii="宋体" w:hAnsi="宋体"/>
          <w:color w:val="auto"/>
          <w:szCs w:val="21"/>
          <w:highlight w:val="none"/>
          <w:u w:val="single"/>
        </w:rPr>
        <w:t>11.2.12 《危险性较大的分部分项工程清单及超过一定规模的危险性较大的分部分项工程清单》（格式见第四章）；</w:t>
      </w:r>
    </w:p>
    <w:p>
      <w:pPr>
        <w:spacing w:line="360" w:lineRule="auto"/>
        <w:ind w:firstLine="420" w:firstLineChars="200"/>
        <w:rPr>
          <w:rFonts w:hint="eastAsia" w:ascii="宋体" w:hAnsi="宋体"/>
          <w:color w:val="auto"/>
          <w:szCs w:val="21"/>
          <w:highlight w:val="none"/>
          <w:u w:val="single"/>
        </w:rPr>
      </w:pPr>
      <w:r>
        <w:rPr>
          <w:rFonts w:hint="eastAsia" w:ascii="宋体" w:hAnsi="宋体"/>
          <w:color w:val="auto"/>
          <w:szCs w:val="21"/>
          <w:highlight w:val="none"/>
          <w:u w:val="single"/>
        </w:rPr>
        <w:t>11.2.13《关于投标保证金的承诺》（格式见第四章）；</w:t>
      </w:r>
    </w:p>
    <w:p>
      <w:pPr>
        <w:spacing w:line="360" w:lineRule="auto"/>
        <w:ind w:firstLine="420" w:firstLineChars="200"/>
        <w:rPr>
          <w:rFonts w:hint="eastAsia" w:ascii="宋体" w:hAnsi="宋体"/>
          <w:bCs w:val="0"/>
          <w:color w:val="auto"/>
          <w:szCs w:val="21"/>
          <w:highlight w:val="none"/>
          <w:u w:val="single"/>
        </w:rPr>
      </w:pPr>
      <w:r>
        <w:rPr>
          <w:rFonts w:hint="eastAsia" w:ascii="宋体" w:hAnsi="宋体"/>
          <w:color w:val="auto"/>
          <w:szCs w:val="21"/>
          <w:highlight w:val="none"/>
          <w:u w:val="single"/>
        </w:rPr>
        <w:t>11.2.14其他投标人认为应该提供的资料。</w:t>
      </w:r>
    </w:p>
    <w:p>
      <w:pPr>
        <w:spacing w:line="360" w:lineRule="auto"/>
        <w:ind w:firstLine="420" w:firstLineChars="200"/>
        <w:rPr>
          <w:rFonts w:ascii="宋体"/>
          <w:bCs/>
          <w:color w:val="auto"/>
          <w:szCs w:val="21"/>
          <w:highlight w:val="none"/>
        </w:rPr>
      </w:pPr>
      <w:r>
        <w:rPr>
          <w:rFonts w:ascii="宋体" w:hAnsi="宋体"/>
          <w:bCs/>
          <w:color w:val="auto"/>
          <w:szCs w:val="21"/>
          <w:highlight w:val="none"/>
        </w:rPr>
        <w:t xml:space="preserve">11.3 </w:t>
      </w:r>
      <w:r>
        <w:rPr>
          <w:rFonts w:hint="eastAsia" w:ascii="宋体" w:hAnsi="宋体"/>
          <w:bCs/>
          <w:color w:val="auto"/>
          <w:szCs w:val="21"/>
          <w:highlight w:val="none"/>
        </w:rPr>
        <w:t>经济部分投标文件主要包括下列内容：</w:t>
      </w:r>
    </w:p>
    <w:p>
      <w:pPr>
        <w:spacing w:line="360" w:lineRule="auto"/>
        <w:ind w:firstLine="420" w:firstLineChars="200"/>
        <w:rPr>
          <w:rFonts w:ascii="宋体"/>
          <w:color w:val="auto"/>
          <w:szCs w:val="21"/>
          <w:highlight w:val="none"/>
        </w:rPr>
      </w:pPr>
      <w:r>
        <w:rPr>
          <w:rFonts w:ascii="宋体" w:hAnsi="宋体"/>
          <w:color w:val="auto"/>
          <w:szCs w:val="21"/>
          <w:highlight w:val="none"/>
        </w:rPr>
        <w:t xml:space="preserve">11.3.1 </w:t>
      </w:r>
      <w:r>
        <w:rPr>
          <w:rFonts w:hint="eastAsia" w:ascii="宋体" w:hAnsi="宋体"/>
          <w:color w:val="auto"/>
          <w:szCs w:val="21"/>
          <w:highlight w:val="none"/>
        </w:rPr>
        <w:t>经济投标文件</w:t>
      </w:r>
      <w:r>
        <w:rPr>
          <w:rFonts w:ascii="宋体" w:hAnsi="宋体"/>
          <w:color w:val="auto"/>
          <w:szCs w:val="21"/>
          <w:highlight w:val="none"/>
        </w:rPr>
        <w:t>(</w:t>
      </w:r>
      <w:r>
        <w:rPr>
          <w:rFonts w:hint="eastAsia" w:ascii="宋体" w:hAnsi="宋体"/>
          <w:color w:val="auto"/>
          <w:szCs w:val="21"/>
          <w:highlight w:val="none"/>
        </w:rPr>
        <w:t>按招标文件的要求填写</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color w:val="auto"/>
          <w:szCs w:val="21"/>
          <w:highlight w:val="none"/>
        </w:rPr>
      </w:pPr>
      <w:r>
        <w:rPr>
          <w:rFonts w:ascii="宋体" w:hAnsi="宋体"/>
          <w:color w:val="auto"/>
          <w:szCs w:val="21"/>
          <w:highlight w:val="none"/>
        </w:rPr>
        <w:t>11.3.2</w:t>
      </w:r>
      <w:r>
        <w:rPr>
          <w:rFonts w:hint="eastAsia" w:ascii="宋体" w:hAnsi="宋体"/>
          <w:color w:val="auto"/>
          <w:szCs w:val="21"/>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Cs w:val="21"/>
          <w:highlight w:val="none"/>
          <w:u w:val="single"/>
        </w:rPr>
        <w:t>（投标报价的工程量清单的组成、格式等按广州公共资源交易中心的投标文件管理软件自动生成）</w:t>
      </w:r>
      <w:r>
        <w:rPr>
          <w:rFonts w:hint="eastAsia" w:ascii="宋体" w:hAnsi="宋体"/>
          <w:color w:val="auto"/>
          <w:szCs w:val="21"/>
          <w:highlight w:val="none"/>
        </w:rPr>
        <w:t>。</w:t>
      </w:r>
    </w:p>
    <w:p>
      <w:pPr>
        <w:tabs>
          <w:tab w:val="left" w:pos="1125"/>
        </w:tabs>
        <w:spacing w:line="360" w:lineRule="auto"/>
        <w:ind w:firstLine="420" w:firstLineChars="200"/>
        <w:rPr>
          <w:rFonts w:ascii="宋体" w:hAnsi="宋体"/>
          <w:color w:val="auto"/>
          <w:szCs w:val="21"/>
          <w:highlight w:val="none"/>
        </w:rPr>
      </w:pPr>
      <w:r>
        <w:rPr>
          <w:rFonts w:ascii="宋体" w:hAnsi="宋体"/>
          <w:color w:val="auto"/>
          <w:szCs w:val="21"/>
          <w:highlight w:val="none"/>
        </w:rPr>
        <w:t>11.3.</w:t>
      </w:r>
      <w:r>
        <w:rPr>
          <w:rFonts w:hint="eastAsia" w:ascii="宋体" w:hAnsi="宋体"/>
          <w:color w:val="auto"/>
          <w:szCs w:val="21"/>
          <w:highlight w:val="none"/>
        </w:rPr>
        <w:t>3按照</w:t>
      </w:r>
      <w:r>
        <w:rPr>
          <w:rFonts w:hint="eastAsia" w:ascii="宋体" w:hAnsi="宋体"/>
          <w:bCs/>
          <w:color w:val="auto"/>
          <w:szCs w:val="21"/>
          <w:highlight w:val="none"/>
        </w:rPr>
        <w:t>招标文件要求</w:t>
      </w:r>
      <w:r>
        <w:rPr>
          <w:rFonts w:hint="eastAsia" w:ascii="宋体" w:hAnsi="宋体"/>
          <w:color w:val="auto"/>
          <w:szCs w:val="21"/>
          <w:highlight w:val="none"/>
        </w:rPr>
        <w:t>填写的《参与编制经济标投标文件人员名单》。</w:t>
      </w:r>
    </w:p>
    <w:p>
      <w:pPr>
        <w:tabs>
          <w:tab w:val="left" w:pos="1125"/>
        </w:tabs>
        <w:spacing w:line="360" w:lineRule="auto"/>
        <w:ind w:firstLine="420" w:firstLineChars="200"/>
        <w:rPr>
          <w:rFonts w:ascii="宋体" w:hAnsi="宋体"/>
          <w:bCs/>
          <w:color w:val="auto"/>
          <w:szCs w:val="21"/>
          <w:highlight w:val="none"/>
          <w:u w:val="single"/>
        </w:rPr>
      </w:pPr>
      <w:r>
        <w:rPr>
          <w:rFonts w:hint="eastAsia" w:ascii="宋体" w:hAnsi="宋体"/>
          <w:bCs/>
          <w:color w:val="auto"/>
          <w:szCs w:val="21"/>
          <w:highlight w:val="none"/>
          <w:u w:val="single"/>
        </w:rPr>
        <w:t>11.3.4 《对投标文件编制的承诺》。</w:t>
      </w:r>
    </w:p>
    <w:p>
      <w:pPr>
        <w:tabs>
          <w:tab w:val="left" w:pos="1125"/>
        </w:tabs>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u w:val="single"/>
        </w:rPr>
        <w:t xml:space="preserve">11.3.5 </w:t>
      </w:r>
      <w:r>
        <w:rPr>
          <w:rFonts w:hint="eastAsia" w:ascii="宋体" w:hAnsi="宋体"/>
          <w:bCs/>
          <w:color w:val="auto"/>
          <w:szCs w:val="21"/>
          <w:highlight w:val="none"/>
        </w:rPr>
        <w:t>若投标人的投标报价低于工程成本警戒价的，投标人还须提供详细的施工组织设计、单价、措施性费用、单价分析表、主要材料价格表、投标人成本分析供评标委员会评审。</w:t>
      </w:r>
    </w:p>
    <w:p>
      <w:pPr>
        <w:spacing w:line="360" w:lineRule="auto"/>
        <w:ind w:firstLine="525" w:firstLineChars="250"/>
        <w:rPr>
          <w:rFonts w:ascii="宋体" w:hAnsi="宋体"/>
          <w:bCs/>
          <w:color w:val="auto"/>
          <w:szCs w:val="21"/>
          <w:highlight w:val="none"/>
        </w:rPr>
      </w:pPr>
      <w:r>
        <w:rPr>
          <w:rFonts w:hint="eastAsia" w:ascii="宋体" w:hAnsi="宋体"/>
          <w:bCs/>
          <w:color w:val="auto"/>
          <w:szCs w:val="21"/>
          <w:highlight w:val="none"/>
          <w:u w:val="single"/>
        </w:rPr>
        <w:t>11.3.</w:t>
      </w:r>
      <w:r>
        <w:rPr>
          <w:rFonts w:ascii="宋体" w:hAnsi="宋体"/>
          <w:bCs/>
          <w:color w:val="auto"/>
          <w:szCs w:val="21"/>
          <w:highlight w:val="none"/>
          <w:u w:val="single"/>
        </w:rPr>
        <w:t>6</w:t>
      </w:r>
      <w:r>
        <w:rPr>
          <w:rFonts w:hint="eastAsia" w:ascii="宋体" w:hAnsi="宋体"/>
          <w:bCs/>
          <w:color w:val="auto"/>
          <w:szCs w:val="21"/>
          <w:highlight w:val="none"/>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区财政局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pPr>
        <w:pStyle w:val="6"/>
        <w:rPr>
          <w:color w:val="auto"/>
          <w:highlight w:val="none"/>
          <w:u w:val="single"/>
        </w:rPr>
      </w:pPr>
      <w:r>
        <w:rPr>
          <w:rFonts w:hint="eastAsia"/>
          <w:color w:val="auto"/>
          <w:highlight w:val="none"/>
          <w:u w:val="single"/>
        </w:rPr>
        <w:t xml:space="preserve">                                                                                           </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条款号：12.2</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12.2 投标文件全部采用电子文档，投标文件所附证书证件均为原件扫描件，并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color w:val="auto"/>
          <w:szCs w:val="21"/>
          <w:highlight w:val="none"/>
          <w:u w:val="single"/>
        </w:rPr>
        <w:t>应加盖个人电子印章或手签或盖章</w:t>
      </w:r>
      <w:r>
        <w:rPr>
          <w:rFonts w:hint="eastAsia" w:ascii="宋体" w:hAnsi="宋体"/>
          <w:color w:val="auto"/>
          <w:szCs w:val="21"/>
          <w:highlight w:val="none"/>
        </w:rPr>
        <w:t>后扫描上传。</w:t>
      </w:r>
      <w:r>
        <w:rPr>
          <w:rFonts w:hint="eastAsia" w:ascii="宋体" w:hAnsi="宋体"/>
          <w:color w:val="auto"/>
          <w:szCs w:val="21"/>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Cs w:val="21"/>
          <w:highlight w:val="none"/>
        </w:rPr>
        <w:t>按照交易平台关于全流程电子化项目的相关指南进行操作。详见：</w:t>
      </w:r>
      <w:r>
        <w:rPr>
          <w:rFonts w:hint="eastAsia" w:ascii="宋体" w:hAnsi="宋体"/>
          <w:color w:val="auto"/>
          <w:szCs w:val="21"/>
          <w:highlight w:val="none"/>
          <w:u w:val="single"/>
        </w:rPr>
        <w:t>【全流程电子化项目】电子招投标操作手册（无纸化）</w:t>
      </w:r>
      <w:r>
        <w:rPr>
          <w:rFonts w:hint="eastAsia" w:ascii="宋体" w:hAnsi="宋体"/>
          <w:color w:val="auto"/>
          <w:szCs w:val="21"/>
          <w:highlight w:val="none"/>
        </w:rPr>
        <w:t>。</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 xml:space="preserve">13.1.1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修改类型：增加</w:t>
      </w:r>
    </w:p>
    <w:p>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13.1.1投标报价的计费依据：</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13.1.1.1工程计价执行《广东省建设工程计价依据（2018）》等有关规定。</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13.1.1.2材料综合价格部分、人工日工资价格及机械台班价格执行本项目概算财政评审批复所参考的同期月度有关文件。</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13.1.1.3材料价格依据：本项目概算财政评审批复所参考的同期月度广州地区建设工程常用材料税前综合信息价，不足部分参考同期《广州地区建设工程材料（设备）厂商价格信息》及市场价等有关价格文件。</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13.1.1.4本项目所使用的材料、其质量档次按本招标文件所附施工合同专用条款49.9要求进行计价。</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13.3.1-</w:t>
      </w:r>
      <w:r>
        <w:rPr>
          <w:rFonts w:hint="eastAsia" w:ascii="宋体" w:hAnsi="宋体"/>
          <w:b/>
          <w:color w:val="auto"/>
          <w:szCs w:val="21"/>
          <w:highlight w:val="none"/>
        </w:rPr>
        <w:t>13.3.9</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修改类型：增加</w:t>
      </w:r>
    </w:p>
    <w:p>
      <w:pPr>
        <w:pBdr>
          <w:bottom w:val="single" w:color="auto" w:sz="6" w:space="1"/>
        </w:pBdr>
        <w:spacing w:line="360" w:lineRule="auto"/>
        <w:ind w:firstLine="527" w:firstLineChars="250"/>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13.3.1技术措施项目费、绿色施工安全防护措施费、措施其它项目费〔包括夜间施工增加费、交通干扰工程施工增加费、赶工措施费、地下管线交叉降效费、特殊工程培训费、施工排水费、施工降水费、大型机械进出场费、泥浆池(槽)砌筑及拆除费、地上、地下设施、建筑物的临时保护设施、交通安全维护设施费、 道路交通疏导费、临时占用道路费、永久管线标志设置费、硬式扫床验收费、环境保护费、淤泥疏通费、环保报批费、施工便道、栈桥、机械浮船、工程保险费、工程保修费等费用〕、其它项目费用｛包括总承包服务费、管理配合费、材料保管费、预算包干费等费用｝、拟建工程(道路、建筑物等) 周边的房屋进行房屋鉴定费用（因施工原因引起的鉴定）费用等与工程有关的费用及保证质量、安全的各项技术措施费，由投标人自行考虑并计入投标报价。</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预算包干费包括:施工雨(污)水的排除、地下水的排除；因地形影响造成的场内料具二次运输；工程用水加压措施；完工清场后的垃圾外运;材料堆放场地的整理；水电安装后的补洞工料费；工程成品、半成品的保护、照顾费；施工中的临时停电停水的应急措施；基础埋深2米以内挖土方的塌方；日间照明施工增加费。</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13.3.2本次投标报价是包含施工过程风险的报价，承包人在施工过程所需的施工风险处理费用及不可预见费用在投标报价中已包含，承包人在施工过程造成附近建筑物、构筑物及现场已完成的构件破坏，由此引起的所有费用由承包人承担。</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13.3.3凡施工图纸中未有详细注明的做法，则按国家及广东省有关的设计规范及施工验收规范进行施工，投标人在投标报价时须将些因素考虑在内。</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13.3.4投标人还应在本次投标报价中充分考虑由招标人另外委托的其他专业承包人（例如各种专业设备安装等非本次招标范围的工程项目）等进入现场施工的管理配合费用，并须在施工过程中在人力和机械方面给予配合和管理。</w:t>
      </w:r>
    </w:p>
    <w:p>
      <w:pPr>
        <w:pBdr>
          <w:bottom w:val="single" w:color="auto" w:sz="6" w:space="1"/>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13.3.5</w:t>
      </w:r>
      <w:r>
        <w:rPr>
          <w:rFonts w:hint="eastAsia" w:ascii="宋体" w:hAnsi="宋体"/>
          <w:color w:val="auto"/>
          <w:kern w:val="0"/>
          <w:szCs w:val="21"/>
          <w:highlight w:val="none"/>
          <w:u w:val="single"/>
        </w:rPr>
        <w:t>承包人按现行的相关规定及施工合同条款要求购买工程保险，所需费用由各投标人综合考虑在投标报价中。。</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13.3.6本工程开工日期以发包人书面通知时间为准，工期需与其它标段配合，施工需与其它标段穿插进行，相关费用及工期须在投标报价中考虑，发包人不再另行增加费用及工期。</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13.3.7招标人不提供取土点，土方的运距按15公里考虑进行计价，因运距而引起造价变化属投标风险，招标人在项目实施时对相关影响不作增减。</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13.3.8中标人需配合由发包人委托的桩基等检测项目的检测工作，负责按检测单位要求提供水源、电源、脚手架、修建检测车辆出入便道、检测场地平整、钻芯孔回灌封闭所需的水泥等、检测用桩帽的制作、相关预埋件的埋设、结构实体检测后的恢复工作等准备、配合工作，相关费用投标人须在投标报价中考虑，发包人不再另行增加费用。</w:t>
      </w:r>
    </w:p>
    <w:p>
      <w:pPr>
        <w:pBdr>
          <w:bottom w:val="single" w:color="auto" w:sz="6" w:space="1"/>
        </w:pBdr>
        <w:spacing w:line="360" w:lineRule="auto"/>
        <w:ind w:firstLine="525" w:firstLineChars="250"/>
        <w:rPr>
          <w:rFonts w:ascii="宋体" w:hAnsi="宋体"/>
          <w:color w:val="auto"/>
          <w:szCs w:val="21"/>
          <w:highlight w:val="none"/>
          <w:u w:val="single"/>
        </w:rPr>
      </w:pPr>
      <w:r>
        <w:rPr>
          <w:rFonts w:hint="eastAsia" w:ascii="宋体" w:hAnsi="宋体"/>
          <w:color w:val="auto"/>
          <w:szCs w:val="21"/>
          <w:highlight w:val="none"/>
          <w:u w:val="single"/>
        </w:rPr>
        <w:t>13.3.9根据《广州市城乡建设委员会印发〈关于进一步加强广州市建设工程质量检测委托管理工作方案〉的通知》（穗建质[2012]1767号）第二条规定：“新招标的建设工程，应在施工招标文件中明确建设单位为委托工程质量检测的主体，工程质量检测费用不应纳入投标总价。”因此，在编制本工程投标预算时，其他项目费中的材料检验试验费不应包含在投标报价中。</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.4            修改类型：修改</w:t>
      </w:r>
    </w:p>
    <w:p>
      <w:pPr>
        <w:pBdr>
          <w:bottom w:val="single" w:color="auto" w:sz="4" w:space="1"/>
        </w:pBdr>
        <w:spacing w:line="360" w:lineRule="auto"/>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4" w:space="1"/>
        </w:pBdr>
        <w:spacing w:line="360" w:lineRule="auto"/>
        <w:ind w:firstLine="472" w:firstLineChars="224"/>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kern w:val="0"/>
          <w:szCs w:val="21"/>
          <w:highlight w:val="none"/>
        </w:rPr>
        <w:t>13.4投标人一旦中标，投标人对招标人提供的招标工程量清单中列出的工程项目所报出的综合单价</w:t>
      </w:r>
      <w:r>
        <w:rPr>
          <w:rFonts w:hint="eastAsia" w:ascii="宋体" w:hAnsi="宋体"/>
          <w:color w:val="auto"/>
          <w:kern w:val="0"/>
          <w:szCs w:val="21"/>
          <w:highlight w:val="none"/>
          <w:u w:val="single"/>
        </w:rPr>
        <w:t>，原则上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color w:val="auto"/>
          <w:kern w:val="0"/>
          <w:szCs w:val="21"/>
          <w:highlight w:val="none"/>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w:t>
      </w:r>
      <w:r>
        <w:rPr>
          <w:rFonts w:ascii="宋体" w:hAnsi="宋体"/>
          <w:b/>
          <w:color w:val="auto"/>
          <w:szCs w:val="21"/>
          <w:highlight w:val="none"/>
        </w:rPr>
        <w:t>5.2</w:t>
      </w:r>
      <w:r>
        <w:rPr>
          <w:rFonts w:hint="eastAsia" w:ascii="宋体" w:hAnsi="宋体"/>
          <w:b/>
          <w:color w:val="auto"/>
          <w:szCs w:val="21"/>
          <w:highlight w:val="none"/>
        </w:rPr>
        <w:t xml:space="preserve">             修改类型：修改</w:t>
      </w:r>
    </w:p>
    <w:p>
      <w:pPr>
        <w:spacing w:line="360" w:lineRule="auto"/>
        <w:ind w:firstLine="472" w:firstLineChars="224"/>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spacing w:line="360" w:lineRule="auto"/>
        <w:ind w:firstLine="472" w:firstLineChars="224"/>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rPr>
        <w:t>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w:t>
      </w:r>
      <w:r>
        <w:rPr>
          <w:rFonts w:hint="eastAsia" w:ascii="宋体" w:hAnsi="宋体"/>
          <w:color w:val="auto"/>
          <w:szCs w:val="21"/>
          <w:highlight w:val="none"/>
          <w:u w:val="single"/>
        </w:rPr>
        <w:t>则参照广州市造价管理站同期《广州地区建设工程材料（设备）厂商价格信息》并进行市场询价；对《广州地区建设工程材料（设备）厂商价格</w:t>
      </w:r>
      <w:r>
        <w:rPr>
          <w:rFonts w:hint="eastAsia" w:ascii="宋体" w:hAnsi="宋体"/>
          <w:color w:val="auto"/>
          <w:szCs w:val="21"/>
          <w:highlight w:val="none"/>
          <w:u w:val="single"/>
          <w:lang w:val="en-US" w:eastAsia="zh-CN"/>
        </w:rPr>
        <w:t xml:space="preserve"> b</w:t>
      </w:r>
      <w:r>
        <w:rPr>
          <w:rFonts w:hint="eastAsia" w:ascii="宋体" w:hAnsi="宋体"/>
          <w:color w:val="auto"/>
          <w:szCs w:val="21"/>
          <w:highlight w:val="none"/>
          <w:u w:val="single"/>
        </w:rPr>
        <w:t>信息》仍然没有的材料单价，则由承包人提出适当的材料单价，经招标人和监理单位确认后执行。详见本招标文件所附施工合同专用条款第72.工程变更事件的有关规定。</w:t>
      </w:r>
    </w:p>
    <w:p>
      <w:pPr>
        <w:pStyle w:val="2"/>
        <w:rPr>
          <w:rFonts w:hint="default" w:eastAsia="宋体"/>
          <w:lang w:val="en-US" w:eastAsia="zh-CN"/>
        </w:rPr>
      </w:pPr>
      <w:r>
        <w:rPr>
          <w:rFonts w:hint="eastAsia" w:hAnsi="宋体"/>
          <w:color w:val="auto"/>
          <w:szCs w:val="21"/>
          <w:highlight w:val="none"/>
          <w:u w:val="none"/>
          <w:lang w:val="en-US" w:eastAsia="zh-CN"/>
        </w:rPr>
        <w:t xml:space="preserve">                                                                                                                                                                                   </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w:t>
      </w:r>
      <w:r>
        <w:rPr>
          <w:rFonts w:ascii="宋体" w:hAnsi="宋体"/>
          <w:b/>
          <w:color w:val="auto"/>
          <w:szCs w:val="21"/>
          <w:highlight w:val="none"/>
        </w:rPr>
        <w:t>5.3</w:t>
      </w:r>
      <w:r>
        <w:rPr>
          <w:rFonts w:hint="eastAsia" w:ascii="宋体" w:hAnsi="宋体"/>
          <w:b/>
          <w:color w:val="auto"/>
          <w:szCs w:val="21"/>
          <w:highlight w:val="none"/>
        </w:rPr>
        <w:t xml:space="preserve">             修改类型：修改</w:t>
      </w:r>
    </w:p>
    <w:p>
      <w:pPr>
        <w:spacing w:line="360" w:lineRule="auto"/>
        <w:ind w:firstLine="472" w:firstLineChars="224"/>
        <w:rPr>
          <w:rFonts w:ascii="宋体" w:hAnsi="宋体"/>
          <w:color w:val="auto"/>
          <w:sz w:val="24"/>
          <w:highlight w:val="none"/>
        </w:rPr>
      </w:pPr>
      <w:r>
        <w:rPr>
          <w:rFonts w:hint="eastAsia" w:ascii="宋体" w:hAnsi="宋体"/>
          <w:b/>
          <w:color w:val="auto"/>
          <w:szCs w:val="21"/>
          <w:highlight w:val="none"/>
        </w:rPr>
        <w:t>原文：</w:t>
      </w:r>
      <w:r>
        <w:rPr>
          <w:rFonts w:hint="eastAsia" w:ascii="宋体" w:hAnsi="宋体"/>
          <w:bCs/>
          <w:color w:val="auto"/>
          <w:szCs w:val="21"/>
          <w:highlight w:val="none"/>
        </w:rPr>
        <w:t>中标的投标文件工程量清单中没有相同项目或类似项目的，如可套取相关定额，则以相关定额为基数下浮计算单价</w:t>
      </w:r>
      <w:r>
        <w:rPr>
          <w:rFonts w:ascii="宋体" w:hAnsi="宋体"/>
          <w:bCs/>
          <w:color w:val="auto"/>
          <w:szCs w:val="21"/>
          <w:highlight w:val="none"/>
        </w:rPr>
        <w:t>,</w:t>
      </w:r>
      <w:r>
        <w:rPr>
          <w:rFonts w:hint="eastAsia" w:ascii="宋体" w:hAnsi="宋体"/>
          <w:bCs/>
          <w:color w:val="auto"/>
          <w:szCs w:val="21"/>
          <w:highlight w:val="none"/>
        </w:rPr>
        <w:t>下浮率为中标价相对于最高投标限价的下浮率（下浮率</w:t>
      </w:r>
      <w:r>
        <w:rPr>
          <w:rFonts w:ascii="宋体" w:hAnsi="宋体"/>
          <w:bCs/>
          <w:color w:val="auto"/>
          <w:szCs w:val="21"/>
          <w:highlight w:val="none"/>
        </w:rPr>
        <w:t>=(</w:t>
      </w:r>
      <w:r>
        <w:rPr>
          <w:rFonts w:hint="eastAsia" w:ascii="宋体" w:hAnsi="宋体"/>
          <w:bCs/>
          <w:color w:val="auto"/>
          <w:szCs w:val="21"/>
          <w:highlight w:val="none"/>
        </w:rPr>
        <w:t>最高投标限价</w:t>
      </w:r>
      <w:r>
        <w:rPr>
          <w:rFonts w:ascii="宋体" w:hAnsi="宋体"/>
          <w:bCs/>
          <w:color w:val="auto"/>
          <w:szCs w:val="21"/>
          <w:highlight w:val="none"/>
        </w:rPr>
        <w:t>-</w:t>
      </w:r>
      <w:r>
        <w:rPr>
          <w:rFonts w:hint="eastAsia" w:ascii="宋体" w:hAnsi="宋体"/>
          <w:bCs/>
          <w:color w:val="auto"/>
          <w:szCs w:val="21"/>
          <w:highlight w:val="none"/>
        </w:rPr>
        <w:t>中标价</w:t>
      </w:r>
      <w:r>
        <w:rPr>
          <w:rFonts w:ascii="宋体" w:hAnsi="宋体"/>
          <w:bCs/>
          <w:color w:val="auto"/>
          <w:szCs w:val="21"/>
          <w:highlight w:val="none"/>
        </w:rPr>
        <w:t xml:space="preserve">)/ </w:t>
      </w:r>
      <w:r>
        <w:rPr>
          <w:rFonts w:hint="eastAsia" w:ascii="宋体" w:hAnsi="宋体"/>
          <w:bCs/>
          <w:color w:val="auto"/>
          <w:szCs w:val="21"/>
          <w:highlight w:val="none"/>
        </w:rPr>
        <w:t>最高投标限价）。</w:t>
      </w:r>
    </w:p>
    <w:p>
      <w:pPr>
        <w:spacing w:line="360" w:lineRule="auto"/>
        <w:ind w:firstLine="472" w:firstLineChars="224"/>
        <w:rPr>
          <w:rFonts w:hint="eastAsia" w:ascii="宋体" w:hAnsi="宋体"/>
          <w:bCs/>
          <w:color w:val="auto"/>
          <w:szCs w:val="21"/>
          <w:highlight w:val="none"/>
          <w:u w:val="single"/>
        </w:rPr>
      </w:pPr>
      <w:r>
        <w:rPr>
          <w:rFonts w:hint="eastAsia" w:ascii="宋体" w:hAnsi="宋体"/>
          <w:b/>
          <w:color w:val="auto"/>
          <w:szCs w:val="21"/>
          <w:highlight w:val="none"/>
        </w:rPr>
        <w:t>现文：</w:t>
      </w:r>
      <w:r>
        <w:rPr>
          <w:rFonts w:hint="eastAsia" w:ascii="宋体" w:hAnsi="宋体"/>
          <w:bCs/>
          <w:color w:val="auto"/>
          <w:szCs w:val="21"/>
          <w:highlight w:val="none"/>
        </w:rPr>
        <w:t>中标的投标文件工程量清单中没有相同项目或类似项目的，如可套取相关定额，则以相关定额为基数下浮计算单价</w:t>
      </w:r>
      <w:r>
        <w:rPr>
          <w:rFonts w:ascii="宋体" w:hAnsi="宋体"/>
          <w:bCs/>
          <w:color w:val="auto"/>
          <w:szCs w:val="21"/>
          <w:highlight w:val="none"/>
        </w:rPr>
        <w:t>,</w:t>
      </w:r>
      <w:r>
        <w:rPr>
          <w:rFonts w:hint="eastAsia" w:ascii="宋体" w:hAnsi="宋体"/>
          <w:bCs/>
          <w:color w:val="auto"/>
          <w:szCs w:val="21"/>
          <w:highlight w:val="none"/>
        </w:rPr>
        <w:t>下浮率为中标价相对于最高投标限价的下浮率（下浮率</w:t>
      </w:r>
      <w:r>
        <w:rPr>
          <w:rFonts w:ascii="宋体" w:hAnsi="宋体"/>
          <w:bCs/>
          <w:color w:val="auto"/>
          <w:szCs w:val="21"/>
          <w:highlight w:val="none"/>
        </w:rPr>
        <w:t>=(</w:t>
      </w:r>
      <w:r>
        <w:rPr>
          <w:rFonts w:hint="eastAsia" w:ascii="宋体" w:hAnsi="宋体"/>
          <w:bCs/>
          <w:color w:val="auto"/>
          <w:szCs w:val="21"/>
          <w:highlight w:val="none"/>
        </w:rPr>
        <w:t>最高投标限价</w:t>
      </w:r>
      <w:r>
        <w:rPr>
          <w:rFonts w:ascii="宋体" w:hAnsi="宋体"/>
          <w:bCs/>
          <w:color w:val="auto"/>
          <w:szCs w:val="21"/>
          <w:highlight w:val="none"/>
        </w:rPr>
        <w:t>-</w:t>
      </w:r>
      <w:r>
        <w:rPr>
          <w:rFonts w:hint="eastAsia" w:ascii="宋体" w:hAnsi="宋体"/>
          <w:bCs/>
          <w:color w:val="auto"/>
          <w:szCs w:val="21"/>
          <w:highlight w:val="none"/>
        </w:rPr>
        <w:t>中标价</w:t>
      </w:r>
      <w:r>
        <w:rPr>
          <w:rFonts w:ascii="宋体" w:hAnsi="宋体"/>
          <w:bCs/>
          <w:color w:val="auto"/>
          <w:szCs w:val="21"/>
          <w:highlight w:val="none"/>
        </w:rPr>
        <w:t xml:space="preserve">)/ </w:t>
      </w:r>
      <w:r>
        <w:rPr>
          <w:rFonts w:hint="eastAsia" w:ascii="宋体" w:hAnsi="宋体"/>
          <w:bCs/>
          <w:color w:val="auto"/>
          <w:szCs w:val="21"/>
          <w:highlight w:val="none"/>
        </w:rPr>
        <w:t>最高投标限价）。</w:t>
      </w:r>
      <w:r>
        <w:rPr>
          <w:rFonts w:hint="eastAsia" w:ascii="宋体" w:hAnsi="宋体"/>
          <w:bCs/>
          <w:color w:val="auto"/>
          <w:szCs w:val="21"/>
          <w:highlight w:val="none"/>
          <w:u w:val="single"/>
        </w:rPr>
        <w:t>材料价格按广州市造价管理站同期《广州地区建设工程常用材料税前综合价格》计算，《广州地区建设工程常用材料税前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w:t>
      </w:r>
    </w:p>
    <w:p>
      <w:pPr>
        <w:pStyle w:val="2"/>
        <w:rPr>
          <w:rFonts w:hint="default" w:eastAsia="宋体"/>
          <w:lang w:val="en-US" w:eastAsia="zh-CN"/>
        </w:rPr>
      </w:pPr>
      <w:r>
        <w:rPr>
          <w:rFonts w:hint="eastAsia" w:hAnsi="宋体"/>
          <w:bCs/>
          <w:color w:val="auto"/>
          <w:szCs w:val="21"/>
          <w:highlight w:val="none"/>
          <w:u w:val="single"/>
          <w:lang w:val="en-US" w:eastAsia="zh-CN"/>
        </w:rPr>
        <w:t xml:space="preserve">                                                                                          </w:t>
      </w:r>
      <w:r>
        <w:rPr>
          <w:rFonts w:hint="eastAsia" w:hAnsi="宋体"/>
          <w:bCs/>
          <w:color w:val="auto"/>
          <w:szCs w:val="21"/>
          <w:highlight w:val="none"/>
          <w:u w:val="none"/>
          <w:lang w:val="en-US" w:eastAsia="zh-CN"/>
        </w:rPr>
        <w:t xml:space="preserve">                                                                                          </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13</w:t>
      </w:r>
      <w:r>
        <w:rPr>
          <w:rFonts w:hint="eastAsia" w:ascii="宋体" w:hAnsi="宋体"/>
          <w:b/>
          <w:color w:val="auto"/>
          <w:szCs w:val="21"/>
          <w:highlight w:val="none"/>
        </w:rPr>
        <w:t>.</w:t>
      </w:r>
      <w:r>
        <w:rPr>
          <w:rFonts w:ascii="宋体" w:hAnsi="宋体"/>
          <w:b/>
          <w:color w:val="auto"/>
          <w:szCs w:val="21"/>
          <w:highlight w:val="none"/>
        </w:rPr>
        <w:t>10-13.12</w:t>
      </w:r>
      <w:r>
        <w:rPr>
          <w:rFonts w:hint="eastAsia" w:ascii="宋体" w:hAnsi="宋体"/>
          <w:b/>
          <w:color w:val="auto"/>
          <w:szCs w:val="21"/>
          <w:highlight w:val="none"/>
        </w:rPr>
        <w:t xml:space="preserve">             修改类型：增加</w:t>
      </w:r>
    </w:p>
    <w:p>
      <w:pPr>
        <w:spacing w:line="360" w:lineRule="auto"/>
        <w:ind w:firstLine="472" w:firstLineChars="224"/>
        <w:rPr>
          <w:rFonts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13.10投标人一旦中标，中标价即为合同价，合同价款在合同条款签订后，任何一方不得擅自改变。投标人在报价时要充分考虑本工程的一切风险因素（如场地因素、地质资料和地下障碍物因素、材料设备价格因素、工程费用调整因素、外部环境影响因素等），在投标报价时作出最优和最合适、最有竞争力的报价。</w:t>
      </w:r>
    </w:p>
    <w:p>
      <w:pPr>
        <w:spacing w:line="360" w:lineRule="auto"/>
        <w:ind w:firstLine="470" w:firstLineChars="224"/>
        <w:rPr>
          <w:rFonts w:ascii="宋体" w:hAnsi="宋体"/>
          <w:color w:val="auto"/>
          <w:szCs w:val="21"/>
          <w:highlight w:val="none"/>
          <w:u w:val="single"/>
        </w:rPr>
      </w:pPr>
      <w:r>
        <w:rPr>
          <w:rFonts w:hint="eastAsia" w:ascii="宋体" w:hAnsi="宋体"/>
          <w:color w:val="auto"/>
          <w:szCs w:val="21"/>
          <w:highlight w:val="none"/>
          <w:u w:val="single"/>
        </w:rPr>
        <w:t>13.11工程变更详见本招标文件所附施工合同专用条款第72.工程变更事件的有关规定。</w:t>
      </w:r>
    </w:p>
    <w:p>
      <w:pPr>
        <w:pBdr>
          <w:bottom w:val="single" w:color="auto" w:sz="4" w:space="1"/>
        </w:pBd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13.12工程量清单说明详见本招标文件第七章。</w:t>
      </w:r>
    </w:p>
    <w:p>
      <w:pPr>
        <w:pStyle w:val="2"/>
        <w:rPr>
          <w:rFonts w:hint="default"/>
          <w:u w:val="single"/>
        </w:rPr>
      </w:pP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条款号：16.1</w:t>
      </w:r>
      <w:r>
        <w:rPr>
          <w:rFonts w:ascii="宋体" w:hAnsi="宋体"/>
          <w:b/>
          <w:color w:val="auto"/>
          <w:szCs w:val="21"/>
          <w:highlight w:val="none"/>
        </w:rPr>
        <w:t xml:space="preserve"> </w:t>
      </w:r>
      <w:r>
        <w:rPr>
          <w:rFonts w:hint="eastAsia" w:ascii="宋体" w:hAnsi="宋体"/>
          <w:b/>
          <w:color w:val="auto"/>
          <w:szCs w:val="21"/>
          <w:highlight w:val="none"/>
        </w:rPr>
        <w:t>-16.6</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原文：16.1投标人应按投标须知前附表第14项所述金额和时间递交投标保证金。招标人应当允许投标人自主选择现金、银行保函、保证保险、专业工程担保公司担保等方式缴纳投标保证金。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16.1.1 采用现金或者支票形式提交的，投标保证金须从投标人的银行基本账户转出。</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16.1.3 采用电子形式的保函、担保或保证保险提交投标保证金的，应在招标文件中明确电子递交途径。</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16.3投标保证金应依据法律法规的相关规定退还。</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16.4如有下列情况之一的，招标人可以不予退还投标保证金（是否退还投标保证金由招标人在招标文件中规定）：</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16.4.1因投标人原因造成投标文件未解密的；</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16.4.2投标人在投标有效期内撤销投标文件；</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16.4.3中标人未能在规定期限内按要求提交履约担保；</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16.4.4中标人未能在规定期限内签署合同协议。</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16.5投标人如存在下列情况之一的，将被拒绝在一定时期内参与招标人后续工程投标（拒绝</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限需在招标文件中明确）：</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16.5.1投标人存在16.4条款所列情形且投标人提交的保函、担保或保证保险无法兑付的；</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16.5.3按招标文件要求免于提供投标保证金的投标人存在16.4条款所列情形，且未按招标人要求补交投标保证金的；</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16.5.3按招标文件要求免于提供投标保证金的投标人存在16.4条款所列情形的。</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rPr>
        <w:t>注：16.5.3款由招标人二选一，需在招标文件中明确。</w:t>
      </w:r>
    </w:p>
    <w:p>
      <w:pPr>
        <w:spacing w:line="360" w:lineRule="auto"/>
        <w:ind w:firstLine="472" w:firstLineChars="224"/>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16.1本项目免收投标保证金，投标人提供《关于投标保证金的承诺》（详见附件1）。</w:t>
      </w:r>
    </w:p>
    <w:p>
      <w:pP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16.2对于投标人已提供《关于投标保证金的承诺》，若投标人存在16.4条款所列情形，该投标人应在发现存在16.4条款所列情形之日起5个工作日内按投标须知前附表第14项所述金额补交投标保证金。若未按要求补交投标保证金的将暂停其参与招标人后续工程投标，直至完成补交手续为止。</w:t>
      </w:r>
    </w:p>
    <w:p>
      <w:pPr>
        <w:spacing w:line="360" w:lineRule="auto"/>
        <w:ind w:firstLine="470" w:firstLineChars="224"/>
        <w:rPr>
          <w:rFonts w:hint="eastAsia" w:ascii="宋体" w:hAnsi="宋体"/>
          <w:color w:val="auto"/>
          <w:szCs w:val="21"/>
          <w:highlight w:val="none"/>
          <w:u w:val="single"/>
        </w:rPr>
      </w:pPr>
      <w:r>
        <w:rPr>
          <w:rFonts w:hint="eastAsia" w:ascii="宋体" w:hAnsi="宋体"/>
          <w:strike w:val="0"/>
          <w:color w:val="auto"/>
          <w:szCs w:val="21"/>
          <w:highlight w:val="none"/>
          <w:u w:val="single"/>
        </w:rPr>
        <w:t>16.3开标时投标人没有按招标文件要求提交符合免予提供投标保证金相关证明材料，且未提交投标保证金的投标人，视为未按要求提供投标保证金。</w:t>
      </w:r>
    </w:p>
    <w:p>
      <w:pP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16.4如有下列情况之一的，招标人可以不予退还投标保证金（是否退还投标保证金由招标人在招标文件中规定）：</w:t>
      </w:r>
    </w:p>
    <w:p>
      <w:pP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16.4.1因投标人原因造成投标文件未解密的；</w:t>
      </w:r>
    </w:p>
    <w:p>
      <w:pP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16.4.2投标人在投标有效期内撤销投标文件；</w:t>
      </w:r>
    </w:p>
    <w:p>
      <w:pP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16.4.3中标人未能在规定期限内按要求提交履约担保；</w:t>
      </w:r>
    </w:p>
    <w:p>
      <w:pPr>
        <w:spacing w:line="360" w:lineRule="auto"/>
        <w:ind w:firstLine="470" w:firstLineChars="224"/>
        <w:rPr>
          <w:rFonts w:hint="eastAsia" w:ascii="宋体" w:hAnsi="宋体"/>
          <w:color w:val="auto"/>
          <w:szCs w:val="21"/>
          <w:highlight w:val="none"/>
          <w:u w:val="single"/>
        </w:rPr>
      </w:pPr>
      <w:r>
        <w:rPr>
          <w:rFonts w:hint="eastAsia" w:ascii="宋体" w:hAnsi="宋体"/>
          <w:color w:val="auto"/>
          <w:szCs w:val="21"/>
          <w:highlight w:val="none"/>
          <w:u w:val="single"/>
        </w:rPr>
        <w:t>16.4.4中标人未能在规定期限内签署合同协议。</w:t>
      </w:r>
    </w:p>
    <w:p>
      <w:pPr>
        <w:pStyle w:val="6"/>
        <w:rPr>
          <w:color w:val="auto"/>
          <w:highlight w:val="none"/>
          <w:u w:val="single"/>
        </w:rPr>
      </w:pP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条款号：17.1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17.1投标人应采用单位数字证书，按招标文件要求在相应位置加盖电子印章。投标文件中需个人签字或盖章的，应手签后扫描上传。按照交易平台关于全流程电子化项目的相关指南进行操作。详见：</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pBdr>
          <w:bottom w:val="single" w:color="auto" w:sz="6" w:space="1"/>
        </w:pBdr>
        <w:spacing w:line="360" w:lineRule="auto"/>
        <w:ind w:firstLine="527" w:firstLineChars="250"/>
        <w:rPr>
          <w:rFonts w:ascii="宋体" w:hAnsi="宋体"/>
          <w:color w:val="auto"/>
          <w:highlight w:val="none"/>
        </w:rPr>
      </w:pPr>
      <w:r>
        <w:rPr>
          <w:rFonts w:hint="eastAsia" w:ascii="宋体" w:hAnsi="宋体"/>
          <w:b/>
          <w:color w:val="auto"/>
          <w:szCs w:val="21"/>
          <w:highlight w:val="none"/>
        </w:rPr>
        <w:t>现文：</w:t>
      </w:r>
      <w:r>
        <w:rPr>
          <w:rFonts w:hint="eastAsia" w:ascii="宋体" w:hAnsi="宋体"/>
          <w:color w:val="auto"/>
          <w:szCs w:val="21"/>
          <w:highlight w:val="none"/>
        </w:rPr>
        <w:t>17.1投标人应采用单位数字证书，按招标文件要求在相应位置加盖电子印章。投标文件中需个人签字或盖章的，应</w:t>
      </w:r>
      <w:r>
        <w:rPr>
          <w:rFonts w:hint="eastAsia" w:ascii="宋体" w:hAnsi="宋体"/>
          <w:color w:val="auto"/>
          <w:szCs w:val="21"/>
          <w:highlight w:val="none"/>
          <w:u w:val="single"/>
        </w:rPr>
        <w:t>加盖个人电子印章或手签或盖章</w:t>
      </w:r>
      <w:r>
        <w:rPr>
          <w:rFonts w:hint="eastAsia" w:ascii="宋体" w:hAnsi="宋体"/>
          <w:color w:val="auto"/>
          <w:szCs w:val="21"/>
          <w:highlight w:val="none"/>
        </w:rPr>
        <w:t>后扫描上传。</w:t>
      </w:r>
      <w:r>
        <w:rPr>
          <w:rFonts w:hint="eastAsia" w:ascii="宋体" w:hAnsi="宋体"/>
          <w:color w:val="auto"/>
          <w:szCs w:val="21"/>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Cs w:val="21"/>
          <w:highlight w:val="none"/>
        </w:rPr>
        <w:t>按照交易平台关于全流程电子化项目的相关指南进行操作。详见：</w:t>
      </w:r>
      <w:r>
        <w:rPr>
          <w:rFonts w:hint="eastAsia" w:ascii="宋体" w:hAnsi="宋体"/>
          <w:color w:val="auto"/>
          <w:szCs w:val="21"/>
          <w:highlight w:val="none"/>
          <w:u w:val="single"/>
        </w:rPr>
        <w:t>【全流程电子化项目】电子招投标操作手册（无纸化）</w:t>
      </w:r>
      <w:r>
        <w:rPr>
          <w:rFonts w:hint="eastAsia" w:ascii="宋体" w:hAnsi="宋体"/>
          <w:color w:val="auto"/>
          <w:szCs w:val="21"/>
          <w:highlight w:val="none"/>
        </w:rPr>
        <w:t>。</w:t>
      </w:r>
    </w:p>
    <w:p>
      <w:pPr>
        <w:pBdr>
          <w:bottom w:val="single" w:color="auto" w:sz="6" w:space="1"/>
        </w:pBdr>
        <w:spacing w:line="360" w:lineRule="auto"/>
        <w:ind w:firstLine="525" w:firstLineChars="250"/>
        <w:rPr>
          <w:rFonts w:hint="eastAsia" w:ascii="宋体" w:hAnsi="宋体"/>
          <w:color w:val="auto"/>
          <w:szCs w:val="21"/>
          <w:highlight w:val="none"/>
          <w:u w:val="single"/>
        </w:rPr>
      </w:pPr>
      <w:r>
        <w:rPr>
          <w:rFonts w:hint="eastAsia" w:ascii="宋体" w:hAnsi="宋体"/>
          <w:color w:val="auto"/>
          <w:szCs w:val="21"/>
          <w:highlight w:val="none"/>
          <w:u w:val="single"/>
        </w:rPr>
        <w:t>17.</w:t>
      </w:r>
      <w:r>
        <w:rPr>
          <w:rFonts w:ascii="宋体" w:hAnsi="宋体"/>
          <w:color w:val="auto"/>
          <w:szCs w:val="21"/>
          <w:highlight w:val="none"/>
          <w:u w:val="single"/>
        </w:rPr>
        <w:t>2</w:t>
      </w:r>
      <w:r>
        <w:rPr>
          <w:rFonts w:hint="eastAsia" w:ascii="宋体" w:hAnsi="宋体"/>
          <w:color w:val="auto"/>
          <w:szCs w:val="21"/>
          <w:highlight w:val="none"/>
          <w:u w:val="single"/>
        </w:rPr>
        <w:t>发放中标通知书后3个工作天内投标人需到招标人处，在招标人、招标代理、投标人三方共同见证下，将在广州公共资源交易中心网站下载的投标文件打印(其中的预算文件需转换成《建设工程工程量清单计价规范》规定的格式)，并三方签名确认，投标人加盖公章，然后再复印4套，合共5套投标文件提供给招标人，相关费用由投标人支付。</w:t>
      </w:r>
    </w:p>
    <w:p>
      <w:pPr>
        <w:pStyle w:val="2"/>
      </w:pP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条款号：19.5</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Bdr>
          <w:bottom w:val="single" w:color="auto" w:sz="6" w:space="1"/>
        </w:pBd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19.5如技术标和经济标先后分别开启，</w:t>
      </w:r>
      <w:r>
        <w:rPr>
          <w:rFonts w:hint="eastAsia" w:ascii="宋体" w:hAnsi="宋体"/>
          <w:color w:val="auto"/>
          <w:szCs w:val="21"/>
          <w:highlight w:val="none"/>
          <w:u w:val="single"/>
        </w:rPr>
        <w:t xml:space="preserve">        </w:t>
      </w:r>
      <w:r>
        <w:rPr>
          <w:rFonts w:hint="eastAsia" w:ascii="宋体" w:hAnsi="宋体"/>
          <w:color w:val="auto"/>
          <w:szCs w:val="21"/>
          <w:highlight w:val="none"/>
        </w:rPr>
        <w:t>交易平台将按招标文件规定的时间分别开启技术标和经济标。</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条款号：19.6</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修改类型：删除</w:t>
      </w:r>
    </w:p>
    <w:p>
      <w:pPr>
        <w:pBdr>
          <w:bottom w:val="single" w:color="auto" w:sz="6" w:space="1"/>
        </w:pBd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19.6在规定的时间内，项目负责人须到自助签到。按照交易平台有关项目负责人自助签到流程进行操作。项目负责人凡未凭身份证按时到达指定地点签到的，该投标文件将不能参与资格审查和评标（选择性条款）。</w:t>
      </w:r>
    </w:p>
    <w:p>
      <w:pPr>
        <w:spacing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条款号：27.1</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Theme="minorEastAsia" w:hAnsiTheme="minorEastAsia" w:eastAsiaTheme="minorEastAsia"/>
          <w:b/>
          <w:color w:val="auto"/>
          <w:szCs w:val="21"/>
          <w:highlight w:val="none"/>
        </w:rPr>
      </w:pPr>
      <w:r>
        <w:rPr>
          <w:rFonts w:hint="eastAsia" w:ascii="宋体" w:hAnsi="宋体"/>
          <w:b/>
          <w:color w:val="auto"/>
          <w:szCs w:val="21"/>
          <w:highlight w:val="none"/>
        </w:rPr>
        <w:t>原文：</w:t>
      </w:r>
      <w:r>
        <w:rPr>
          <w:rFonts w:asciiTheme="minorEastAsia" w:hAnsiTheme="minorEastAsia" w:eastAsiaTheme="minorEastAsia"/>
          <w:color w:val="auto"/>
          <w:szCs w:val="21"/>
          <w:highlight w:val="none"/>
        </w:rPr>
        <w:t>27.1</w:t>
      </w:r>
      <w:r>
        <w:rPr>
          <w:rFonts w:hint="eastAsia" w:cs="宋体" w:asciiTheme="minorEastAsia" w:hAnsiTheme="minorEastAsia" w:eastAsiaTheme="minorEastAsia"/>
          <w:bCs/>
          <w:color w:val="auto"/>
          <w:kern w:val="0"/>
          <w:sz w:val="22"/>
          <w:highlight w:val="none"/>
        </w:rPr>
        <w:t>招标人将在</w:t>
      </w:r>
      <w:r>
        <w:rPr>
          <w:rFonts w:cs="宋体" w:asciiTheme="minorEastAsia" w:hAnsiTheme="minorEastAsia" w:eastAsiaTheme="minorEastAsia"/>
          <w:bCs/>
          <w:color w:val="auto"/>
          <w:kern w:val="0"/>
          <w:sz w:val="22"/>
          <w:highlight w:val="none"/>
          <w:u w:val="single"/>
        </w:rPr>
        <w:t xml:space="preserve">        </w:t>
      </w:r>
      <w:r>
        <w:rPr>
          <w:rFonts w:hint="eastAsia" w:cs="宋体" w:asciiTheme="minorEastAsia" w:hAnsiTheme="minorEastAsia" w:eastAsiaTheme="minorEastAsia"/>
          <w:bCs/>
          <w:color w:val="auto"/>
          <w:kern w:val="0"/>
          <w:sz w:val="22"/>
          <w:highlight w:val="none"/>
        </w:rPr>
        <w:t>交易平台、广东省招标投标监管网和中国招标投标公共服务平台公示中标候选人，公示期为三天。</w:t>
      </w:r>
      <w:r>
        <w:rPr>
          <w:rFonts w:hint="eastAsia" w:cs="宋体" w:asciiTheme="minorEastAsia" w:hAnsiTheme="minorEastAsia" w:eastAsiaTheme="minorEastAsia"/>
          <w:b/>
          <w:bCs/>
          <w:color w:val="auto"/>
          <w:kern w:val="0"/>
          <w:sz w:val="22"/>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Theme="minorEastAsia" w:hAnsiTheme="minorEastAsia" w:eastAsiaTheme="minorEastAsia"/>
          <w:color w:val="auto"/>
          <w:szCs w:val="21"/>
          <w:highlight w:val="none"/>
        </w:rPr>
        <w:t>。</w:t>
      </w:r>
    </w:p>
    <w:p>
      <w:pPr>
        <w:pBdr>
          <w:bottom w:val="single" w:color="auto" w:sz="6" w:space="1"/>
        </w:pBdr>
        <w:spacing w:line="360" w:lineRule="auto"/>
        <w:ind w:firstLine="527" w:firstLineChars="250"/>
        <w:rPr>
          <w:rFonts w:ascii="宋体" w:hAnsi="宋体"/>
          <w:color w:val="auto"/>
          <w:highlight w:val="none"/>
        </w:rPr>
      </w:pPr>
      <w:r>
        <w:rPr>
          <w:rFonts w:hint="eastAsia" w:asciiTheme="minorEastAsia" w:hAnsiTheme="minorEastAsia" w:eastAsiaTheme="minorEastAsia"/>
          <w:b/>
          <w:color w:val="auto"/>
          <w:szCs w:val="21"/>
          <w:highlight w:val="none"/>
        </w:rPr>
        <w:t>现文：</w:t>
      </w:r>
      <w:r>
        <w:rPr>
          <w:rFonts w:asciiTheme="minorEastAsia" w:hAnsiTheme="minorEastAsia" w:eastAsiaTheme="minorEastAsia"/>
          <w:color w:val="auto"/>
          <w:szCs w:val="21"/>
          <w:highlight w:val="none"/>
        </w:rPr>
        <w:t>27.1</w:t>
      </w:r>
      <w:r>
        <w:rPr>
          <w:rFonts w:hint="eastAsia" w:cs="宋体" w:asciiTheme="minorEastAsia" w:hAnsiTheme="minorEastAsia" w:eastAsiaTheme="minorEastAsia"/>
          <w:bCs/>
          <w:color w:val="auto"/>
          <w:kern w:val="0"/>
          <w:sz w:val="22"/>
          <w:highlight w:val="none"/>
        </w:rPr>
        <w:t>招标人将在</w:t>
      </w:r>
      <w:r>
        <w:rPr>
          <w:rFonts w:hint="eastAsia" w:asciiTheme="minorEastAsia" w:hAnsiTheme="minorEastAsia" w:eastAsiaTheme="minorEastAsia"/>
          <w:color w:val="auto"/>
          <w:szCs w:val="21"/>
          <w:highlight w:val="none"/>
          <w:u w:val="single"/>
        </w:rPr>
        <w:t>广州公共资源交易中心</w:t>
      </w:r>
      <w:r>
        <w:rPr>
          <w:rFonts w:hint="eastAsia" w:cs="宋体" w:asciiTheme="minorEastAsia" w:hAnsiTheme="minorEastAsia" w:eastAsiaTheme="minorEastAsia"/>
          <w:bCs/>
          <w:color w:val="auto"/>
          <w:kern w:val="0"/>
          <w:sz w:val="22"/>
          <w:highlight w:val="none"/>
        </w:rPr>
        <w:t>交易平台、广东省招标投标监管网和中国招标投标公共服务平台公示中标候选人，公示期为三天。</w:t>
      </w:r>
      <w:r>
        <w:rPr>
          <w:rFonts w:hint="eastAsia" w:cs="宋体" w:asciiTheme="minorEastAsia" w:hAnsiTheme="minorEastAsia" w:eastAsiaTheme="minorEastAsia"/>
          <w:b/>
          <w:bCs/>
          <w:color w:val="auto"/>
          <w:kern w:val="0"/>
          <w:sz w:val="22"/>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olor w:val="auto"/>
          <w:szCs w:val="21"/>
          <w:highlight w:val="none"/>
          <w:u w:val="single"/>
        </w:rPr>
        <w:t>中标单位的法定代表人或授权委托代理人和项目经理必须在中标公示期满之日起3个工作日内，持个人身份证原件、单位公章印鉴、营业执照、资质证书、项目主要管理人员个人身份证原件和资格证（或岗位证）以及在中标单位购买的近1个月的社保证明原件、复印件（加盖中标单位公章）到建设（或代建）单位进行身份核查备案。经核查，确认与投标文件一致的，方可签订施工合同。若身份核查发现与投标文件不一致的，中标无效。逾期不办理的，视为自动放弃中标资格，由其他中标候选人顺次序替补。</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条款号：27.5</w:t>
      </w:r>
      <w:r>
        <w:rPr>
          <w:rFonts w:ascii="宋体" w:hAnsi="宋体"/>
          <w:b/>
          <w:color w:val="auto"/>
          <w:szCs w:val="21"/>
          <w:highlight w:val="none"/>
        </w:rPr>
        <w:t>-</w:t>
      </w:r>
      <w:r>
        <w:rPr>
          <w:rFonts w:hint="eastAsia" w:ascii="宋体" w:hAnsi="宋体"/>
          <w:b/>
          <w:color w:val="auto"/>
          <w:szCs w:val="21"/>
          <w:highlight w:val="none"/>
        </w:rPr>
        <w:t>27.6             修改类型：增加</w:t>
      </w:r>
    </w:p>
    <w:p>
      <w:pPr>
        <w:spacing w:line="360" w:lineRule="auto"/>
        <w:ind w:firstLine="472" w:firstLineChars="224"/>
        <w:rPr>
          <w:rFonts w:hint="eastAsia" w:ascii="宋体" w:hAnsi="宋体"/>
          <w:color w:val="auto"/>
          <w:szCs w:val="21"/>
          <w:highlight w:val="none"/>
          <w:u w:val="single"/>
        </w:rPr>
      </w:pPr>
      <w:r>
        <w:rPr>
          <w:rFonts w:hint="eastAsia" w:ascii="宋体" w:hAnsi="宋体"/>
          <w:b/>
          <w:color w:val="auto"/>
          <w:szCs w:val="21"/>
          <w:highlight w:val="none"/>
        </w:rPr>
        <w:t>现文：</w:t>
      </w:r>
      <w:r>
        <w:rPr>
          <w:rFonts w:hint="eastAsia" w:ascii="宋体" w:hAnsi="宋体"/>
          <w:color w:val="auto"/>
          <w:szCs w:val="21"/>
          <w:highlight w:val="none"/>
          <w:u w:val="single"/>
        </w:rPr>
        <w:t>27.5在广州公共资源交易中心交易平台发布中标通知书之日起，即视为中标人确认收到中标通知书。中标人必须在3个工作日内由其委托代理人携带身份证及法人授权委托证明按招标人通知的时间和地点领取纸质图纸。中标人领取纸质图纸后必须与招标人在网上发布的电子版图纸进行核对，如有不符须于收到纸质图纸后五个工作日内将问题以书面形式向招标人提出；如纸质图纸和电子版图纸核对无误，中标人须于领取纸质图纸后五个工作日内在其中两套图纸上每页盖公章确认连同经盖公章的图纸确认函（一式两份）一并送回给招标人，表明中标人认同纸质图纸中内容与投标时的电子版图纸内容一致。</w:t>
      </w:r>
    </w:p>
    <w:p>
      <w:pPr>
        <w:spacing w:line="360" w:lineRule="auto"/>
        <w:ind w:firstLine="470" w:firstLineChars="224"/>
        <w:rPr>
          <w:rFonts w:hint="eastAsia" w:ascii="宋体" w:hAnsi="宋体"/>
          <w:color w:val="auto"/>
          <w:szCs w:val="21"/>
          <w:highlight w:val="none"/>
          <w:u w:val="single"/>
          <w:lang w:val="en-US" w:eastAsia="zh-CN"/>
        </w:rPr>
      </w:pPr>
      <w:r>
        <w:rPr>
          <w:rFonts w:hint="eastAsia" w:ascii="宋体" w:hAnsi="宋体"/>
          <w:color w:val="auto"/>
          <w:szCs w:val="21"/>
          <w:highlight w:val="none"/>
          <w:u w:val="single"/>
          <w:lang w:val="en-US" w:eastAsia="zh-CN"/>
        </w:rPr>
        <w:t>27.6 招标人或招标代理机构将在中标候选人公示结束后对第一中标候选人的企业资质证书有效期进行复核，如果第一中标候选人在中标候选人公示结束后7天内尚未取得资质有效期延续核准的，招标人有权否决其投标，由其他中标候选人顺次序替补或重新组织招标。</w:t>
      </w:r>
    </w:p>
    <w:p>
      <w:pPr>
        <w:spacing w:line="360" w:lineRule="auto"/>
        <w:ind w:firstLine="470" w:firstLineChars="224"/>
        <w:rPr>
          <w:rFonts w:ascii="宋体" w:hAnsi="宋体"/>
          <w:color w:val="auto"/>
          <w:szCs w:val="21"/>
          <w:highlight w:val="none"/>
        </w:rPr>
      </w:pPr>
      <w:r>
        <w:rPr>
          <w:rFonts w:hint="eastAsia" w:ascii="宋体" w:hAnsi="宋体"/>
          <w:color w:val="auto"/>
          <w:szCs w:val="21"/>
          <w:highlight w:val="none"/>
          <w:u w:val="single"/>
        </w:rPr>
        <w:t xml:space="preserve">                                                                                            </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条款号：28                                  修改类型：修改</w:t>
      </w:r>
    </w:p>
    <w:p>
      <w:pPr>
        <w:spacing w:line="360" w:lineRule="auto"/>
        <w:ind w:firstLine="422" w:firstLineChars="200"/>
        <w:rPr>
          <w:rFonts w:ascii="宋体" w:hAnsi="宋体"/>
          <w:b/>
          <w:bCs/>
          <w:color w:val="auto"/>
          <w:szCs w:val="21"/>
          <w:highlight w:val="none"/>
        </w:rPr>
      </w:pPr>
      <w:r>
        <w:rPr>
          <w:rFonts w:hint="eastAsia" w:ascii="宋体" w:hAnsi="宋体"/>
          <w:b/>
          <w:color w:val="auto"/>
          <w:szCs w:val="21"/>
          <w:highlight w:val="none"/>
        </w:rPr>
        <w:t>原文：</w:t>
      </w:r>
      <w:r>
        <w:rPr>
          <w:rFonts w:ascii="宋体" w:hAnsi="宋体"/>
          <w:b/>
          <w:bCs/>
          <w:color w:val="auto"/>
          <w:szCs w:val="21"/>
          <w:highlight w:val="none"/>
        </w:rPr>
        <w:t>28</w:t>
      </w:r>
      <w:r>
        <w:rPr>
          <w:rFonts w:hint="eastAsia" w:ascii="宋体" w:hAnsi="宋体"/>
          <w:b/>
          <w:bCs/>
          <w:color w:val="auto"/>
          <w:szCs w:val="21"/>
          <w:highlight w:val="none"/>
        </w:rPr>
        <w:t>．合同协议书的签订</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 xml:space="preserve">28.1 </w:t>
      </w:r>
      <w:r>
        <w:rPr>
          <w:rFonts w:hint="eastAsia" w:ascii="宋体" w:hAnsi="宋体"/>
          <w:bCs/>
          <w:color w:val="auto"/>
          <w:szCs w:val="21"/>
          <w:highlight w:val="none"/>
        </w:rPr>
        <w:t>招标人与中标人将于中标通知书发出之日起</w:t>
      </w:r>
      <w:r>
        <w:rPr>
          <w:rFonts w:ascii="宋体" w:hAnsi="宋体"/>
          <w:bCs/>
          <w:color w:val="auto"/>
          <w:szCs w:val="21"/>
          <w:highlight w:val="none"/>
        </w:rPr>
        <w:t>30</w:t>
      </w:r>
      <w:r>
        <w:rPr>
          <w:rFonts w:hint="eastAsia" w:ascii="宋体" w:hAnsi="宋体"/>
          <w:bCs/>
          <w:color w:val="auto"/>
          <w:szCs w:val="21"/>
          <w:highlight w:val="none"/>
        </w:rPr>
        <w:t>日内，按照招标文件和中标人的投标文件商定和签订合同，招标人和中标人不得再行订立背离合同实质性内容的其他协议。</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28.2</w:t>
      </w:r>
      <w:r>
        <w:rPr>
          <w:rFonts w:hint="eastAsia" w:ascii="宋体" w:hAnsi="宋体"/>
          <w:bCs/>
          <w:color w:val="auto"/>
          <w:szCs w:val="21"/>
          <w:highlight w:val="none"/>
        </w:rPr>
        <w:t>中标通知书发出之日起</w:t>
      </w:r>
      <w:r>
        <w:rPr>
          <w:rFonts w:ascii="宋体" w:hAnsi="宋体"/>
          <w:bCs/>
          <w:color w:val="auto"/>
          <w:szCs w:val="21"/>
          <w:highlight w:val="none"/>
        </w:rPr>
        <w:t>30</w:t>
      </w:r>
      <w:r>
        <w:rPr>
          <w:rFonts w:hint="eastAsia" w:ascii="宋体" w:hAnsi="宋体"/>
          <w:bCs/>
          <w:color w:val="auto"/>
          <w:szCs w:val="21"/>
          <w:highlight w:val="none"/>
        </w:rPr>
        <w:t>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28.3</w:t>
      </w:r>
      <w:r>
        <w:rPr>
          <w:rFonts w:hint="eastAsia" w:ascii="宋体" w:hAnsi="宋体"/>
          <w:bCs/>
          <w:color w:val="auto"/>
          <w:szCs w:val="21"/>
          <w:highlight w:val="none"/>
        </w:rPr>
        <w:t>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20" w:firstLineChars="200"/>
        <w:rPr>
          <w:rFonts w:ascii="宋体" w:hAnsi="宋体"/>
          <w:bCs/>
          <w:color w:val="auto"/>
          <w:szCs w:val="21"/>
          <w:highlight w:val="none"/>
        </w:rPr>
      </w:pPr>
      <w:r>
        <w:rPr>
          <w:rFonts w:ascii="宋体" w:hAnsi="宋体"/>
          <w:bCs/>
          <w:color w:val="auto"/>
          <w:szCs w:val="21"/>
          <w:highlight w:val="none"/>
        </w:rPr>
        <w:t>28.4</w:t>
      </w:r>
      <w:r>
        <w:rPr>
          <w:rFonts w:hint="eastAsia" w:ascii="宋体" w:hAnsi="宋体"/>
          <w:bCs/>
          <w:color w:val="auto"/>
          <w:szCs w:val="21"/>
          <w:highlight w:val="none"/>
        </w:rPr>
        <w:t>招标人支付工程款时，中标人应提供工程所在地发票。</w:t>
      </w:r>
    </w:p>
    <w:p>
      <w:pPr>
        <w:spacing w:line="360" w:lineRule="auto"/>
        <w:ind w:firstLine="422" w:firstLineChars="200"/>
        <w:rPr>
          <w:rFonts w:ascii="宋体" w:hAnsi="宋体"/>
          <w:b/>
          <w:bCs/>
          <w:color w:val="auto"/>
          <w:szCs w:val="21"/>
          <w:highlight w:val="none"/>
        </w:rPr>
      </w:pPr>
      <w:r>
        <w:rPr>
          <w:rFonts w:hint="eastAsia" w:ascii="宋体" w:hAnsi="宋体"/>
          <w:b/>
          <w:color w:val="auto"/>
          <w:szCs w:val="21"/>
          <w:highlight w:val="none"/>
        </w:rPr>
        <w:t>现文：28</w:t>
      </w:r>
      <w:r>
        <w:rPr>
          <w:rFonts w:hint="eastAsia" w:ascii="宋体" w:hAnsi="宋体"/>
          <w:b/>
          <w:bCs/>
          <w:color w:val="auto"/>
          <w:szCs w:val="21"/>
          <w:highlight w:val="none"/>
        </w:rPr>
        <w:t>．合同协议书的签订</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28.1 招标人与中标人将于中标通知书发出之日起</w:t>
      </w:r>
      <w:r>
        <w:rPr>
          <w:rFonts w:hint="eastAsia" w:ascii="宋体" w:hAnsi="宋体"/>
          <w:color w:val="auto"/>
          <w:szCs w:val="21"/>
          <w:highlight w:val="none"/>
          <w:u w:val="single"/>
        </w:rPr>
        <w:t>18个</w:t>
      </w:r>
      <w:r>
        <w:rPr>
          <w:rFonts w:hint="eastAsia" w:ascii="宋体" w:hAnsi="宋体"/>
          <w:color w:val="auto"/>
          <w:szCs w:val="21"/>
          <w:highlight w:val="none"/>
        </w:rPr>
        <w:t>日历天内，按照招标文件和中标人的投标文件商定和签订合同，招标人和中标人不得再行订立背离合同实质性内容的其他协议。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28.2中标通知书发出之日起</w:t>
      </w:r>
      <w:r>
        <w:rPr>
          <w:rFonts w:hint="eastAsia" w:ascii="宋体" w:hAnsi="宋体"/>
          <w:color w:val="auto"/>
          <w:szCs w:val="21"/>
          <w:highlight w:val="none"/>
          <w:u w:val="single"/>
        </w:rPr>
        <w:t>18个</w:t>
      </w:r>
      <w:r>
        <w:rPr>
          <w:rFonts w:hint="eastAsia" w:ascii="宋体" w:hAnsi="宋体"/>
          <w:color w:val="auto"/>
          <w:szCs w:val="21"/>
          <w:highlight w:val="none"/>
        </w:rPr>
        <w:t>日历天后，中标人未按上款的规定与招标人订立合同，招标人</w:t>
      </w:r>
      <w:r>
        <w:rPr>
          <w:rFonts w:hint="eastAsia" w:ascii="宋体" w:hAnsi="宋体"/>
          <w:color w:val="auto"/>
          <w:szCs w:val="21"/>
          <w:highlight w:val="none"/>
          <w:u w:val="single"/>
        </w:rPr>
        <w:t>有权</w:t>
      </w:r>
      <w:r>
        <w:rPr>
          <w:rFonts w:hint="eastAsia" w:ascii="宋体" w:hAnsi="宋体"/>
          <w:color w:val="auto"/>
          <w:szCs w:val="21"/>
          <w:highlight w:val="none"/>
        </w:rPr>
        <w:t>解除中标通知书，原中标人的投标担保不予退还，且依法承担相应法律责任</w:t>
      </w:r>
      <w:r>
        <w:rPr>
          <w:rFonts w:hint="eastAsia" w:ascii="宋体" w:hAnsi="宋体"/>
          <w:color w:val="auto"/>
          <w:szCs w:val="21"/>
          <w:highlight w:val="none"/>
          <w:u w:val="single"/>
        </w:rPr>
        <w:t>，招标人并且有权确定排名第二的中标候选人为中标人，排名第二的中标候选人出现前款所列的情形的，招标人可以确定排名第三的中标候选人为中标人</w:t>
      </w:r>
      <w:r>
        <w:rPr>
          <w:rFonts w:hint="eastAsia" w:ascii="宋体" w:hAnsi="宋体"/>
          <w:color w:val="auto"/>
          <w:szCs w:val="21"/>
          <w:highlight w:val="none"/>
        </w:rPr>
        <w:t>。原中标人给招标人造成的损失超过投标担保数额的，还应当对超过部分予以赔偿。原中标人有异议的，可以向人民法院起诉。</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28.3</w:t>
      </w:r>
      <w:r>
        <w:rPr>
          <w:rFonts w:hint="eastAsia" w:ascii="宋体" w:hAnsi="宋体"/>
          <w:color w:val="auto"/>
          <w:szCs w:val="21"/>
          <w:highlight w:val="none"/>
          <w:u w:val="single"/>
        </w:rPr>
        <w:t>根据《番禺区基建办工程项目银行专户管理办法》（番基建办规章【2019】10号）规定，中标人在施工合同签订前需按相关规定设立本工程的银行专户，</w:t>
      </w:r>
      <w:r>
        <w:rPr>
          <w:rFonts w:hint="eastAsia" w:ascii="宋体" w:hAnsi="宋体"/>
          <w:color w:val="auto"/>
          <w:szCs w:val="21"/>
          <w:highlight w:val="none"/>
        </w:rPr>
        <w:t>未经招标人同意，中标人在投标过程中使用的银行名称及帐号至完成竣工结算不得变更，</w:t>
      </w:r>
      <w:r>
        <w:rPr>
          <w:rFonts w:hint="eastAsia" w:ascii="宋体" w:hAnsi="宋体"/>
          <w:color w:val="auto"/>
          <w:szCs w:val="21"/>
          <w:highlight w:val="none"/>
          <w:u w:val="single"/>
        </w:rPr>
        <w:t>若中标人违反上述约定的，招标人有权停止工程款项的拔付及至解除合同，</w:t>
      </w:r>
      <w:r>
        <w:rPr>
          <w:rFonts w:hint="eastAsia" w:ascii="宋体" w:hAnsi="宋体"/>
          <w:color w:val="auto"/>
          <w:szCs w:val="21"/>
          <w:highlight w:val="none"/>
        </w:rPr>
        <w:t>由此造成的一切责任由中标人承担。</w:t>
      </w:r>
    </w:p>
    <w:p>
      <w:pPr>
        <w:pBdr>
          <w:bottom w:val="single" w:color="auto" w:sz="6" w:space="1"/>
        </w:pBdr>
        <w:spacing w:line="360" w:lineRule="auto"/>
        <w:ind w:firstLine="525" w:firstLineChars="250"/>
        <w:rPr>
          <w:rFonts w:ascii="宋体" w:hAnsi="宋体"/>
          <w:bCs/>
          <w:color w:val="auto"/>
          <w:szCs w:val="21"/>
          <w:highlight w:val="none"/>
          <w:u w:val="single"/>
        </w:rPr>
      </w:pPr>
      <w:r>
        <w:rPr>
          <w:rFonts w:hint="eastAsia" w:ascii="宋体" w:hAnsi="宋体"/>
          <w:color w:val="auto"/>
          <w:szCs w:val="21"/>
          <w:highlight w:val="none"/>
          <w:u w:val="single"/>
        </w:rPr>
        <w:t>28.4</w:t>
      </w:r>
      <w:r>
        <w:rPr>
          <w:rFonts w:hint="eastAsia" w:ascii="宋体" w:hAnsi="宋体"/>
          <w:color w:val="auto"/>
          <w:szCs w:val="21"/>
          <w:highlight w:val="none"/>
        </w:rPr>
        <w:t>中标人须以工程项目为单位，在商业银行设立建设领域工人工资支付专用帐户用于支付工人工资。具体执行及管理办法参照</w:t>
      </w:r>
      <w:r>
        <w:rPr>
          <w:rFonts w:hint="eastAsia" w:ascii="宋体" w:hAnsi="宋体"/>
          <w:color w:val="auto"/>
          <w:szCs w:val="21"/>
          <w:highlight w:val="none"/>
          <w:u w:val="single"/>
        </w:rPr>
        <w:t>《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w:t>
      </w:r>
      <w:r>
        <w:rPr>
          <w:rFonts w:hint="eastAsia" w:ascii="宋体" w:hAnsi="宋体" w:cs="宋体"/>
          <w:bCs/>
          <w:color w:val="auto"/>
          <w:kern w:val="0"/>
          <w:szCs w:val="21"/>
          <w:highlight w:val="none"/>
          <w:u w:val="single"/>
        </w:rPr>
        <w:t>。</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条款号：29           修改类型：修改</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 xml:space="preserve">原文： </w:t>
      </w:r>
      <w:r>
        <w:rPr>
          <w:rFonts w:ascii="宋体" w:hAnsi="宋体"/>
          <w:b/>
          <w:color w:val="auto"/>
          <w:szCs w:val="21"/>
          <w:highlight w:val="none"/>
        </w:rPr>
        <w:t>29</w:t>
      </w:r>
      <w:r>
        <w:rPr>
          <w:rFonts w:hint="eastAsia" w:ascii="宋体" w:hAnsi="宋体"/>
          <w:b/>
          <w:color w:val="auto"/>
          <w:szCs w:val="21"/>
          <w:highlight w:val="none"/>
        </w:rPr>
        <w:t>．履约担保</w:t>
      </w:r>
    </w:p>
    <w:p>
      <w:pPr>
        <w:pBdr>
          <w:bottom w:val="single" w:color="auto" w:sz="6" w:space="1"/>
        </w:pBdr>
        <w:spacing w:line="360" w:lineRule="auto"/>
        <w:ind w:firstLine="525" w:firstLineChars="250"/>
        <w:rPr>
          <w:rFonts w:ascii="宋体" w:hAnsi="宋体"/>
          <w:bCs/>
          <w:color w:val="auto"/>
          <w:szCs w:val="21"/>
          <w:highlight w:val="none"/>
        </w:rPr>
      </w:pPr>
      <w:r>
        <w:rPr>
          <w:rFonts w:ascii="宋体" w:hAnsi="宋体"/>
          <w:bCs/>
          <w:color w:val="auto"/>
          <w:szCs w:val="21"/>
          <w:highlight w:val="none"/>
        </w:rPr>
        <w:t xml:space="preserve">29.1 </w:t>
      </w:r>
      <w:r>
        <w:rPr>
          <w:rFonts w:hint="eastAsia" w:ascii="宋体" w:hAnsi="宋体"/>
          <w:bCs/>
          <w:color w:val="auto"/>
          <w:szCs w:val="21"/>
          <w:highlight w:val="none"/>
        </w:rPr>
        <w:t>在收到中标通知书后的</w:t>
      </w:r>
      <w:r>
        <w:rPr>
          <w:rFonts w:ascii="宋体" w:hAnsi="宋体"/>
          <w:bCs/>
          <w:color w:val="auto"/>
          <w:szCs w:val="21"/>
          <w:highlight w:val="none"/>
        </w:rPr>
        <w:t>15</w:t>
      </w:r>
      <w:r>
        <w:rPr>
          <w:rFonts w:hint="eastAsia" w:ascii="宋体" w:hAnsi="宋体"/>
          <w:bCs/>
          <w:color w:val="auto"/>
          <w:szCs w:val="21"/>
          <w:highlight w:val="none"/>
        </w:rPr>
        <w:t>日内，中标人应按本须知前附表第</w:t>
      </w:r>
      <w:r>
        <w:rPr>
          <w:rFonts w:ascii="宋体" w:hAnsi="宋体"/>
          <w:bCs/>
          <w:color w:val="auto"/>
          <w:szCs w:val="21"/>
          <w:highlight w:val="none"/>
        </w:rPr>
        <w:t>2</w:t>
      </w:r>
      <w:r>
        <w:rPr>
          <w:rFonts w:hint="eastAsia" w:ascii="宋体" w:hAnsi="宋体"/>
          <w:bCs/>
          <w:color w:val="auto"/>
          <w:szCs w:val="21"/>
          <w:highlight w:val="none"/>
        </w:rPr>
        <w:t>0项的规定向招标人提交履约担保；如果中标人的履约担保是以银行保函的形式提供，则该银行保函应由在中国注册且营业地点在广州行政辖区内的银行开具。</w:t>
      </w:r>
    </w:p>
    <w:p>
      <w:pPr>
        <w:pBdr>
          <w:bottom w:val="single" w:color="auto" w:sz="6" w:space="1"/>
        </w:pBdr>
        <w:spacing w:line="360" w:lineRule="auto"/>
        <w:ind w:firstLine="525" w:firstLineChars="250"/>
        <w:rPr>
          <w:rFonts w:ascii="宋体" w:hAnsi="宋体"/>
          <w:color w:val="auto"/>
          <w:szCs w:val="21"/>
          <w:highlight w:val="none"/>
        </w:rPr>
      </w:pPr>
      <w:r>
        <w:rPr>
          <w:rFonts w:ascii="宋体" w:hAnsi="宋体"/>
          <w:bCs/>
          <w:color w:val="auto"/>
          <w:szCs w:val="21"/>
          <w:highlight w:val="none"/>
        </w:rPr>
        <w:t>29.2</w:t>
      </w:r>
      <w:r>
        <w:rPr>
          <w:rFonts w:hint="eastAsia" w:ascii="宋体" w:hAnsi="宋体"/>
          <w:bCs/>
          <w:color w:val="auto"/>
          <w:szCs w:val="21"/>
          <w:highlight w:val="none"/>
        </w:rPr>
        <w:t>中标通知书发出之日起</w:t>
      </w:r>
      <w:r>
        <w:rPr>
          <w:rFonts w:ascii="宋体" w:hAnsi="宋体"/>
          <w:bCs/>
          <w:color w:val="auto"/>
          <w:szCs w:val="21"/>
          <w:highlight w:val="none"/>
        </w:rPr>
        <w:t>15</w:t>
      </w:r>
      <w:r>
        <w:rPr>
          <w:rFonts w:hint="eastAsia" w:ascii="宋体" w:hAnsi="宋体"/>
          <w:bCs/>
          <w:color w:val="auto"/>
          <w:szCs w:val="21"/>
          <w:highlight w:val="none"/>
        </w:rPr>
        <w:t>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rFonts w:ascii="宋体" w:hAnsi="宋体"/>
          <w:bCs/>
          <w:color w:val="auto"/>
          <w:szCs w:val="21"/>
          <w:highlight w:val="none"/>
        </w:rPr>
      </w:pPr>
      <w:r>
        <w:rPr>
          <w:rFonts w:hint="eastAsia" w:ascii="宋体" w:hAnsi="宋体"/>
          <w:b/>
          <w:color w:val="auto"/>
          <w:szCs w:val="21"/>
          <w:highlight w:val="none"/>
        </w:rPr>
        <w:t>现文：</w:t>
      </w:r>
      <w:r>
        <w:rPr>
          <w:rFonts w:ascii="宋体" w:hAnsi="宋体"/>
          <w:b/>
          <w:bCs/>
          <w:color w:val="auto"/>
          <w:szCs w:val="21"/>
          <w:highlight w:val="none"/>
        </w:rPr>
        <w:t>29</w:t>
      </w:r>
      <w:r>
        <w:rPr>
          <w:rFonts w:hint="eastAsia" w:ascii="宋体" w:hAnsi="宋体"/>
          <w:b/>
          <w:bCs/>
          <w:color w:val="auto"/>
          <w:szCs w:val="21"/>
          <w:highlight w:val="none"/>
        </w:rPr>
        <w:t>．履约担保</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bCs/>
          <w:color w:val="auto"/>
          <w:szCs w:val="21"/>
          <w:highlight w:val="none"/>
        </w:rPr>
        <w:t>29.1 在收到中标通知书后的15个日历天内，中标人应按本须知前附表第24项的</w:t>
      </w:r>
      <w:r>
        <w:rPr>
          <w:rFonts w:hint="eastAsia" w:ascii="宋体" w:hAnsi="宋体" w:cs="宋体"/>
          <w:color w:val="auto"/>
          <w:szCs w:val="21"/>
          <w:highlight w:val="none"/>
        </w:rPr>
        <w:t>规定向招标人递交履约担保；</w:t>
      </w:r>
      <w:r>
        <w:rPr>
          <w:rFonts w:hint="eastAsia" w:ascii="宋体" w:hAnsi="宋体" w:cs="宋体"/>
          <w:color w:val="auto"/>
          <w:szCs w:val="21"/>
          <w:highlight w:val="none"/>
          <w:u w:val="single"/>
        </w:rPr>
        <w:t>履约担保缴交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r>
        <w:rPr>
          <w:rFonts w:hint="eastAsia" w:ascii="宋体" w:hAnsi="宋体" w:cs="宋体"/>
          <w:color w:val="auto"/>
          <w:szCs w:val="21"/>
          <w:highlight w:val="none"/>
        </w:rPr>
        <w:t xml:space="preserve">    </w:t>
      </w:r>
    </w:p>
    <w:p>
      <w:pPr>
        <w:pBdr>
          <w:bottom w:val="single" w:color="auto" w:sz="6" w:space="1"/>
        </w:pBdr>
        <w:spacing w:line="360" w:lineRule="auto"/>
        <w:ind w:firstLine="525" w:firstLineChars="250"/>
        <w:rPr>
          <w:rFonts w:ascii="宋体" w:hAnsi="宋体" w:cs="宋体"/>
          <w:color w:val="auto"/>
          <w:szCs w:val="21"/>
          <w:highlight w:val="none"/>
          <w:u w:val="single"/>
        </w:rPr>
      </w:pPr>
      <w:r>
        <w:rPr>
          <w:rFonts w:hint="eastAsia" w:ascii="宋体" w:hAnsi="宋体" w:cs="宋体"/>
          <w:color w:val="auto"/>
          <w:szCs w:val="21"/>
          <w:highlight w:val="none"/>
        </w:rPr>
        <w:t>方式二：中标人按本合同附件中的格式3向发包人提供保证额为中标价款的10%的履约保证金银行保函，该银行保函应由在中国注册的银行开具。</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w:t>
      </w:r>
      <w:r>
        <w:rPr>
          <w:rFonts w:hint="eastAsia" w:ascii="宋体" w:hAnsi="宋体" w:cs="宋体"/>
          <w:color w:val="auto"/>
          <w:szCs w:val="21"/>
          <w:highlight w:val="none"/>
          <w:u w:val="single"/>
        </w:rPr>
        <w:t>15个日历天</w:t>
      </w:r>
      <w:r>
        <w:rPr>
          <w:rFonts w:hint="eastAsia" w:ascii="宋体" w:hAnsi="宋体" w:cs="宋体"/>
          <w:color w:val="auto"/>
          <w:szCs w:val="21"/>
          <w:highlight w:val="none"/>
        </w:rPr>
        <w:t>内，中标人未按上款的规定递交履约担保</w:t>
      </w:r>
      <w:r>
        <w:rPr>
          <w:rFonts w:hint="eastAsia" w:ascii="宋体" w:hAnsi="宋体" w:cs="宋体"/>
          <w:color w:val="auto"/>
          <w:szCs w:val="21"/>
          <w:highlight w:val="none"/>
          <w:u w:val="single"/>
        </w:rPr>
        <w:t>且未征得招标人同意延期缴交的</w:t>
      </w:r>
      <w:r>
        <w:rPr>
          <w:rFonts w:hint="eastAsia" w:ascii="宋体" w:hAnsi="宋体" w:cs="宋体"/>
          <w:color w:val="auto"/>
          <w:szCs w:val="21"/>
          <w:highlight w:val="none"/>
        </w:rPr>
        <w:t>，招标人将解除中标通知书，原中标人的投标担保不予退还，且依法承担相应法律责任。原中标人给招标人造成的损失超过投标担保数额的，还应当对超过部分予以赔偿。原中标人有异议的，可以向人民法院起诉。</w:t>
      </w:r>
    </w:p>
    <w:p>
      <w:pPr>
        <w:spacing w:line="360" w:lineRule="auto"/>
        <w:ind w:firstLine="472" w:firstLineChars="224"/>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31</w:t>
      </w:r>
      <w:r>
        <w:rPr>
          <w:rFonts w:hint="eastAsia" w:ascii="宋体" w:hAnsi="宋体"/>
          <w:b/>
          <w:color w:val="auto"/>
          <w:szCs w:val="21"/>
          <w:highlight w:val="none"/>
        </w:rPr>
        <w:t xml:space="preserve">             修改类型：增加</w:t>
      </w:r>
    </w:p>
    <w:p>
      <w:pPr>
        <w:spacing w:line="360" w:lineRule="auto"/>
        <w:ind w:left="482"/>
        <w:rPr>
          <w:rFonts w:ascii="宋体" w:hAnsi="宋体"/>
          <w:b/>
          <w:bCs/>
          <w:color w:val="auto"/>
          <w:szCs w:val="21"/>
          <w:highlight w:val="none"/>
        </w:rPr>
      </w:pPr>
      <w:r>
        <w:rPr>
          <w:rFonts w:hint="eastAsia" w:ascii="宋体" w:hAnsi="宋体"/>
          <w:b/>
          <w:color w:val="auto"/>
          <w:szCs w:val="21"/>
          <w:highlight w:val="none"/>
        </w:rPr>
        <w:t>现文：</w:t>
      </w:r>
      <w:r>
        <w:rPr>
          <w:rFonts w:ascii="宋体" w:hAnsi="宋体"/>
          <w:b/>
          <w:bCs/>
          <w:color w:val="auto"/>
          <w:szCs w:val="21"/>
          <w:highlight w:val="none"/>
        </w:rPr>
        <w:t>31</w:t>
      </w:r>
      <w:r>
        <w:rPr>
          <w:rFonts w:hint="eastAsia" w:ascii="宋体" w:hAnsi="宋体"/>
          <w:b/>
          <w:bCs/>
          <w:color w:val="auto"/>
          <w:szCs w:val="21"/>
          <w:highlight w:val="none"/>
        </w:rPr>
        <w:t>．其它费用</w:t>
      </w:r>
    </w:p>
    <w:p>
      <w:pPr>
        <w:pBdr>
          <w:bottom w:val="single" w:color="auto" w:sz="6" w:space="1"/>
        </w:pBd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中标人代缴公共资源交易服务费，其费用包含在中标人投标报价中，</w:t>
      </w:r>
      <w:r>
        <w:rPr>
          <w:rFonts w:hint="eastAsia" w:ascii="宋体" w:hAnsi="宋体"/>
          <w:color w:val="auto"/>
          <w:spacing w:val="20"/>
          <w:szCs w:val="21"/>
          <w:highlight w:val="none"/>
        </w:rPr>
        <w:t>由</w:t>
      </w:r>
      <w:r>
        <w:rPr>
          <w:rFonts w:hint="eastAsia" w:ascii="宋体" w:hAnsi="宋体"/>
          <w:color w:val="auto"/>
          <w:spacing w:val="20"/>
          <w:szCs w:val="21"/>
          <w:highlight w:val="none"/>
          <w:u w:val="single"/>
        </w:rPr>
        <w:t>广州公共资源</w:t>
      </w:r>
      <w:r>
        <w:rPr>
          <w:rFonts w:hint="eastAsia" w:ascii="宋体" w:hAnsi="宋体"/>
          <w:color w:val="auto"/>
          <w:szCs w:val="21"/>
          <w:highlight w:val="none"/>
          <w:u w:val="single"/>
        </w:rPr>
        <w:t>交易中心</w:t>
      </w:r>
      <w:r>
        <w:rPr>
          <w:rFonts w:hint="eastAsia" w:ascii="宋体" w:hAnsi="宋体"/>
          <w:color w:val="auto"/>
          <w:szCs w:val="21"/>
          <w:highlight w:val="none"/>
        </w:rPr>
        <w:t>向中标人开具增值税发票。</w:t>
      </w:r>
    </w:p>
    <w:p>
      <w:pPr>
        <w:spacing w:line="360" w:lineRule="auto"/>
        <w:ind w:firstLine="211" w:firstLineChars="100"/>
        <w:rPr>
          <w:rFonts w:ascii="宋体" w:hAnsi="宋体"/>
          <w:b/>
          <w:color w:val="auto"/>
          <w:szCs w:val="21"/>
          <w:highlight w:val="none"/>
        </w:rPr>
      </w:pPr>
      <w:r>
        <w:rPr>
          <w:rFonts w:hint="eastAsia" w:ascii="宋体" w:hAnsi="宋体"/>
          <w:b/>
          <w:color w:val="auto"/>
          <w:szCs w:val="21"/>
          <w:highlight w:val="none"/>
        </w:rPr>
        <w:t>注：以上修改，仅限于本范本中有可供选择条款的情形。</w:t>
      </w:r>
    </w:p>
    <w:p>
      <w:pPr>
        <w:spacing w:line="360" w:lineRule="auto"/>
        <w:rPr>
          <w:color w:val="auto"/>
          <w:highlight w:val="none"/>
        </w:rPr>
      </w:pPr>
      <w:r>
        <w:rPr>
          <w:rFonts w:hint="eastAsia" w:ascii="宋体" w:hAnsi="宋体"/>
          <w:b/>
          <w:color w:val="auto"/>
          <w:szCs w:val="21"/>
          <w:highlight w:val="none"/>
        </w:rPr>
        <w:t>（以下无正文）</w:t>
      </w:r>
    </w:p>
    <w:p>
      <w:pPr>
        <w:pStyle w:val="7"/>
        <w:rPr>
          <w:color w:val="auto"/>
          <w:highlight w:val="none"/>
        </w:rPr>
      </w:pPr>
      <w:r>
        <w:rPr>
          <w:color w:val="auto"/>
          <w:highlight w:val="none"/>
        </w:rPr>
        <w:br w:type="page"/>
      </w:r>
      <w:bookmarkStart w:id="3" w:name="_Toc21506"/>
      <w:r>
        <w:rPr>
          <w:rFonts w:hint="eastAsia"/>
          <w:color w:val="auto"/>
          <w:highlight w:val="none"/>
        </w:rPr>
        <w:t>三、投标须知通用条款</w:t>
      </w:r>
      <w:bookmarkEnd w:id="3"/>
    </w:p>
    <w:p>
      <w:pPr>
        <w:pStyle w:val="9"/>
        <w:spacing w:before="156" w:after="156"/>
        <w:jc w:val="center"/>
        <w:rPr>
          <w:color w:val="auto"/>
          <w:highlight w:val="none"/>
        </w:rPr>
      </w:pPr>
      <w:bookmarkStart w:id="4" w:name="_Toc6714"/>
      <w:r>
        <w:rPr>
          <w:rFonts w:hint="eastAsia"/>
          <w:color w:val="auto"/>
          <w:highlight w:val="none"/>
        </w:rPr>
        <w:t>（一）总则</w:t>
      </w:r>
      <w:bookmarkEnd w:id="4"/>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w:t>
      </w:r>
      <w:r>
        <w:rPr>
          <w:rFonts w:hint="eastAsia" w:ascii="宋体" w:hAnsi="宋体"/>
          <w:b/>
          <w:bCs/>
          <w:color w:val="auto"/>
          <w:sz w:val="24"/>
          <w:highlight w:val="none"/>
        </w:rPr>
        <w:t>、定义</w:t>
      </w:r>
    </w:p>
    <w:p>
      <w:pPr>
        <w:pStyle w:val="5"/>
        <w:spacing w:after="0" w:line="360" w:lineRule="auto"/>
        <w:ind w:firstLine="480" w:firstLineChars="200"/>
        <w:rPr>
          <w:rFonts w:ascii="宋体"/>
          <w:b/>
          <w:bCs/>
          <w:color w:val="auto"/>
          <w:sz w:val="24"/>
          <w:highlight w:val="none"/>
        </w:rPr>
      </w:pPr>
      <w:r>
        <w:rPr>
          <w:rFonts w:hint="eastAsia" w:ascii="宋体" w:hAnsi="宋体"/>
          <w:color w:val="auto"/>
          <w:sz w:val="24"/>
          <w:highlight w:val="none"/>
        </w:rPr>
        <w:t>本招标文件使用的下列词语具有如下规定的意义：</w:t>
      </w:r>
    </w:p>
    <w:p>
      <w:pPr>
        <w:pStyle w:val="5"/>
        <w:spacing w:after="0" w:line="360" w:lineRule="auto"/>
        <w:ind w:firstLine="480" w:firstLineChars="200"/>
        <w:rPr>
          <w:rFonts w:ascii="宋体"/>
          <w:b/>
          <w:bCs/>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）“招标人”（即发包人）、“项目建设管理单位</w:t>
      </w:r>
      <w:r>
        <w:rPr>
          <w:rFonts w:hint="eastAsia" w:ascii="宋体"/>
          <w:color w:val="auto"/>
          <w:sz w:val="24"/>
          <w:highlight w:val="none"/>
        </w:rPr>
        <w:t>”</w:t>
      </w:r>
      <w:r>
        <w:rPr>
          <w:rFonts w:hint="eastAsia" w:ascii="宋体" w:hAnsi="宋体"/>
          <w:color w:val="auto"/>
          <w:sz w:val="24"/>
          <w:highlight w:val="none"/>
        </w:rPr>
        <w:t>（或称“项目代建单位”）、“招标代理”、“设计单位”、“监理单位”均已在投标须知前附表中列明。</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）“投标人”指向招标人提交投标文件的当事人。</w:t>
      </w:r>
      <w:r>
        <w:rPr>
          <w:rFonts w:ascii="宋体" w:hAnsi="宋体"/>
          <w:color w:val="auto"/>
          <w:sz w:val="24"/>
          <w:highlight w:val="none"/>
        </w:rPr>
        <w:t xml:space="preserve">   </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）“承包人”指其投标被招标人接受并与其签订承包合同的当事人。</w:t>
      </w:r>
    </w:p>
    <w:p>
      <w:pPr>
        <w:pStyle w:val="5"/>
        <w:spacing w:after="0" w:line="360" w:lineRule="auto"/>
        <w:ind w:firstLine="480" w:firstLineChars="200"/>
        <w:rPr>
          <w:rFonts w:ascii="宋体"/>
          <w:color w:val="auto"/>
          <w:sz w:val="24"/>
          <w:highlight w:val="none"/>
          <w:u w:val="single"/>
        </w:rPr>
      </w:pPr>
      <w:r>
        <w:rPr>
          <w:rFonts w:hint="eastAsia" w:ascii="宋体" w:hAnsi="宋体"/>
          <w:color w:val="auto"/>
          <w:sz w:val="24"/>
          <w:highlight w:val="none"/>
        </w:rPr>
        <w:t>（</w:t>
      </w:r>
      <w:r>
        <w:rPr>
          <w:rFonts w:ascii="宋体" w:hAnsi="宋体"/>
          <w:color w:val="auto"/>
          <w:sz w:val="24"/>
          <w:highlight w:val="none"/>
        </w:rPr>
        <w:t>4</w:t>
      </w:r>
      <w:r>
        <w:rPr>
          <w:rFonts w:hint="eastAsia" w:ascii="宋体" w:hAnsi="宋体"/>
          <w:color w:val="auto"/>
          <w:sz w:val="24"/>
          <w:highlight w:val="none"/>
        </w:rPr>
        <w:t>）“招标文件”指由招标代理发出的本文件（包括全部章节、附件）及招标答疑会会议纪要和</w:t>
      </w:r>
      <w:r>
        <w:rPr>
          <w:rFonts w:hint="eastAsia" w:ascii="宋体" w:hAnsi="宋体"/>
          <w:bCs/>
          <w:color w:val="auto"/>
          <w:sz w:val="24"/>
          <w:highlight w:val="none"/>
        </w:rPr>
        <w:t>招标文件的澄清与修改</w:t>
      </w:r>
      <w:r>
        <w:rPr>
          <w:rFonts w:hint="eastAsia" w:ascii="宋体" w:hAnsi="宋体"/>
          <w:color w:val="auto"/>
          <w:sz w:val="24"/>
          <w:highlight w:val="none"/>
        </w:rPr>
        <w:t>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5</w:t>
      </w:r>
      <w:r>
        <w:rPr>
          <w:rFonts w:hint="eastAsia" w:ascii="宋体" w:hAnsi="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6</w:t>
      </w:r>
      <w:r>
        <w:rPr>
          <w:rFonts w:hint="eastAsia" w:ascii="宋体" w:hAnsi="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szCs w:val="24"/>
          <w:highlight w:val="none"/>
          <w:u w:val="single"/>
        </w:rPr>
      </w:pPr>
      <w:r>
        <w:rPr>
          <w:rFonts w:hint="eastAsia" w:ascii="宋体" w:hAnsi="宋体"/>
          <w:color w:val="auto"/>
          <w:sz w:val="24"/>
          <w:szCs w:val="24"/>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olor w:val="auto"/>
          <w:sz w:val="24"/>
          <w:szCs w:val="24"/>
          <w:highlight w:val="none"/>
          <w:u w:val="single"/>
        </w:rPr>
        <w:t>投标人不进行踏勘的，视为已熟知现场条件，自行承担相关风险。投标人需根据现场踏勘情况以及图纸及工程量清单，如有疑问的应在招标答疑时提出，招标答疑后经招标单位修正确认的工程量清单作为综合单价包干的结算依据，投标单位必须按此清单统一报价。</w:t>
      </w:r>
      <w:r>
        <w:rPr>
          <w:rFonts w:hint="eastAsia" w:ascii="宋体" w:hAnsi="宋体"/>
          <w:color w:val="auto"/>
          <w:sz w:val="24"/>
          <w:szCs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9"/>
        <w:spacing w:before="156" w:after="156"/>
        <w:jc w:val="center"/>
        <w:rPr>
          <w:color w:val="auto"/>
          <w:highlight w:val="none"/>
        </w:rPr>
      </w:pPr>
      <w:bookmarkStart w:id="5" w:name="_Toc3398"/>
      <w:r>
        <w:rPr>
          <w:rFonts w:hint="eastAsia"/>
          <w:color w:val="auto"/>
          <w:highlight w:val="none"/>
        </w:rPr>
        <w:t>（二）招标文件</w:t>
      </w:r>
      <w:bookmarkEnd w:id="5"/>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w:t>
      </w:r>
      <w:r>
        <w:rPr>
          <w:rFonts w:ascii="宋体" w:hAnsi="宋体"/>
          <w:color w:val="auto"/>
          <w:sz w:val="24"/>
          <w:highlight w:val="none"/>
        </w:rPr>
        <w:t>8</w:t>
      </w:r>
      <w:r>
        <w:rPr>
          <w:rFonts w:hint="eastAsia" w:ascii="宋体" w:hAnsi="宋体"/>
          <w:color w:val="auto"/>
          <w:sz w:val="24"/>
          <w:highlight w:val="none"/>
        </w:rPr>
        <w:t>条发出的招标答疑会会议纪要和按本须知第</w:t>
      </w:r>
      <w:r>
        <w:rPr>
          <w:rFonts w:ascii="宋体" w:hAnsi="宋体"/>
          <w:color w:val="auto"/>
          <w:sz w:val="24"/>
          <w:highlight w:val="none"/>
        </w:rPr>
        <w:t>9</w:t>
      </w:r>
      <w:r>
        <w:rPr>
          <w:rFonts w:hint="eastAsia" w:ascii="宋体" w:hAnsi="宋体"/>
          <w:color w:val="auto"/>
          <w:sz w:val="24"/>
          <w:highlight w:val="none"/>
        </w:rPr>
        <w:t>条发出的澄清或修改：</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第一章</w:t>
      </w:r>
      <w:r>
        <w:rPr>
          <w:rFonts w:ascii="宋体" w:hAnsi="宋体"/>
          <w:bCs/>
          <w:color w:val="auto"/>
          <w:sz w:val="24"/>
          <w:highlight w:val="none"/>
        </w:rPr>
        <w:t xml:space="preserve">  </w:t>
      </w:r>
      <w:r>
        <w:rPr>
          <w:rFonts w:hint="eastAsia" w:ascii="宋体" w:hAnsi="宋体"/>
          <w:color w:val="auto"/>
          <w:sz w:val="24"/>
          <w:highlight w:val="none"/>
        </w:rPr>
        <w:t>投标须知</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第二章</w:t>
      </w:r>
      <w:r>
        <w:rPr>
          <w:rFonts w:ascii="宋体" w:hAnsi="宋体"/>
          <w:bCs/>
          <w:color w:val="auto"/>
          <w:sz w:val="24"/>
          <w:highlight w:val="none"/>
        </w:rPr>
        <w:t xml:space="preserve">  </w:t>
      </w:r>
      <w:r>
        <w:rPr>
          <w:rFonts w:hint="eastAsia" w:ascii="宋体" w:hAnsi="宋体"/>
          <w:color w:val="auto"/>
          <w:sz w:val="24"/>
          <w:highlight w:val="none"/>
        </w:rPr>
        <w:t>开标、评标及定标办法</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第三章</w:t>
      </w:r>
      <w:r>
        <w:rPr>
          <w:rFonts w:ascii="宋体" w:hAnsi="宋体"/>
          <w:color w:val="auto"/>
          <w:sz w:val="24"/>
          <w:highlight w:val="none"/>
        </w:rPr>
        <w:t xml:space="preserve">  </w:t>
      </w:r>
      <w:r>
        <w:rPr>
          <w:rFonts w:hint="eastAsia" w:ascii="宋体" w:hAnsi="宋体"/>
          <w:color w:val="auto"/>
          <w:sz w:val="24"/>
          <w:highlight w:val="none"/>
        </w:rPr>
        <w:t>合同条款（另册）</w:t>
      </w:r>
    </w:p>
    <w:p>
      <w:pPr>
        <w:pStyle w:val="5"/>
        <w:spacing w:after="0" w:line="360" w:lineRule="auto"/>
        <w:ind w:firstLine="480" w:firstLineChars="200"/>
        <w:rPr>
          <w:rFonts w:ascii="宋体"/>
          <w:color w:val="auto"/>
          <w:sz w:val="24"/>
          <w:highlight w:val="none"/>
        </w:rPr>
      </w:pPr>
      <w:r>
        <w:rPr>
          <w:rFonts w:hint="eastAsia" w:ascii="宋体" w:hAnsi="宋体"/>
          <w:bCs/>
          <w:color w:val="auto"/>
          <w:sz w:val="24"/>
          <w:highlight w:val="none"/>
        </w:rPr>
        <w:t>第四章</w:t>
      </w:r>
      <w:r>
        <w:rPr>
          <w:rFonts w:ascii="宋体" w:hAnsi="宋体"/>
          <w:bCs/>
          <w:color w:val="auto"/>
          <w:sz w:val="24"/>
          <w:highlight w:val="none"/>
        </w:rPr>
        <w:t xml:space="preserve">  </w:t>
      </w:r>
      <w:r>
        <w:rPr>
          <w:rFonts w:hint="eastAsia" w:ascii="宋体" w:hAnsi="宋体"/>
          <w:color w:val="auto"/>
          <w:sz w:val="24"/>
          <w:highlight w:val="none"/>
        </w:rPr>
        <w:t>投标文件格式</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第五章</w:t>
      </w:r>
      <w:r>
        <w:rPr>
          <w:rFonts w:ascii="宋体" w:hAnsi="宋体"/>
          <w:bCs/>
          <w:color w:val="auto"/>
          <w:sz w:val="24"/>
          <w:highlight w:val="none"/>
        </w:rPr>
        <w:t xml:space="preserve">  </w:t>
      </w:r>
      <w:r>
        <w:rPr>
          <w:rFonts w:hint="eastAsia" w:ascii="宋体" w:hAnsi="宋体"/>
          <w:color w:val="auto"/>
          <w:sz w:val="24"/>
          <w:highlight w:val="none"/>
        </w:rPr>
        <w:t>技术条件（工程建设标准）</w:t>
      </w:r>
      <w:r>
        <w:rPr>
          <w:rFonts w:hint="eastAsia" w:ascii="宋体" w:hAnsi="宋体"/>
          <w:strike/>
          <w:color w:val="auto"/>
          <w:sz w:val="24"/>
          <w:highlight w:val="none"/>
        </w:rPr>
        <w:t>（另册）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第六章</w:t>
      </w:r>
      <w:r>
        <w:rPr>
          <w:rFonts w:ascii="宋体" w:hAnsi="宋体"/>
          <w:bCs/>
          <w:color w:val="auto"/>
          <w:sz w:val="24"/>
          <w:highlight w:val="none"/>
        </w:rPr>
        <w:t xml:space="preserve">  </w:t>
      </w:r>
      <w:r>
        <w:rPr>
          <w:rFonts w:hint="eastAsia" w:ascii="宋体" w:hAnsi="宋体"/>
          <w:color w:val="auto"/>
          <w:sz w:val="24"/>
          <w:highlight w:val="none"/>
        </w:rPr>
        <w:t>图纸及勘察资料（另册）</w:t>
      </w:r>
    </w:p>
    <w:p>
      <w:pPr>
        <w:pStyle w:val="5"/>
        <w:spacing w:after="0" w:line="360" w:lineRule="auto"/>
        <w:ind w:left="-2" w:firstLine="480" w:firstLineChars="200"/>
        <w:rPr>
          <w:rFonts w:ascii="宋体"/>
          <w:color w:val="auto"/>
          <w:sz w:val="24"/>
          <w:highlight w:val="none"/>
        </w:rPr>
      </w:pPr>
      <w:r>
        <w:rPr>
          <w:rFonts w:hint="eastAsia" w:ascii="宋体" w:hAnsi="宋体"/>
          <w:bCs/>
          <w:color w:val="auto"/>
          <w:sz w:val="24"/>
          <w:highlight w:val="none"/>
        </w:rPr>
        <w:t>第七章</w:t>
      </w:r>
      <w:r>
        <w:rPr>
          <w:rFonts w:ascii="宋体" w:hAnsi="宋体"/>
          <w:bCs/>
          <w:color w:val="auto"/>
          <w:sz w:val="24"/>
          <w:highlight w:val="none"/>
        </w:rPr>
        <w:t xml:space="preserve">  </w:t>
      </w:r>
      <w:r>
        <w:rPr>
          <w:rFonts w:hint="eastAsia" w:ascii="宋体" w:hAnsi="宋体"/>
          <w:bCs/>
          <w:color w:val="auto"/>
          <w:sz w:val="24"/>
          <w:highlight w:val="none"/>
        </w:rPr>
        <w:t>招标</w:t>
      </w:r>
      <w:r>
        <w:rPr>
          <w:rFonts w:hint="eastAsia" w:ascii="宋体" w:hAnsi="宋体"/>
          <w:color w:val="auto"/>
          <w:sz w:val="24"/>
          <w:highlight w:val="none"/>
        </w:rPr>
        <w:t>工程量清单（另册）</w:t>
      </w:r>
    </w:p>
    <w:p>
      <w:pPr>
        <w:pStyle w:val="5"/>
        <w:spacing w:after="0" w:line="360" w:lineRule="auto"/>
        <w:ind w:left="-2" w:firstLine="480" w:firstLineChars="200"/>
        <w:rPr>
          <w:rFonts w:hint="eastAsia" w:ascii="宋体" w:hAnsi="宋体"/>
          <w:color w:val="auto"/>
          <w:sz w:val="24"/>
          <w:highlight w:val="none"/>
        </w:rPr>
      </w:pPr>
      <w:r>
        <w:rPr>
          <w:rFonts w:hint="eastAsia" w:ascii="宋体" w:hAnsi="宋体"/>
          <w:color w:val="auto"/>
          <w:sz w:val="24"/>
          <w:highlight w:val="none"/>
        </w:rPr>
        <w:t>第八章</w:t>
      </w:r>
      <w:r>
        <w:rPr>
          <w:rFonts w:ascii="宋体" w:hAnsi="宋体"/>
          <w:color w:val="auto"/>
          <w:sz w:val="24"/>
          <w:highlight w:val="none"/>
        </w:rPr>
        <w:t xml:space="preserve">  </w:t>
      </w:r>
      <w:r>
        <w:rPr>
          <w:rFonts w:hint="eastAsia" w:ascii="宋体" w:hAnsi="宋体"/>
          <w:color w:val="auto"/>
          <w:sz w:val="24"/>
          <w:highlight w:val="none"/>
        </w:rPr>
        <w:t>最高投标限价</w:t>
      </w:r>
      <w:r>
        <w:rPr>
          <w:rFonts w:hint="eastAsia" w:ascii="宋体" w:hAnsi="宋体"/>
          <w:color w:val="auto"/>
          <w:sz w:val="24"/>
          <w:highlight w:val="none"/>
          <w:u w:val="single"/>
        </w:rPr>
        <w:t>（另册）</w:t>
      </w:r>
    </w:p>
    <w:p>
      <w:pPr>
        <w:pStyle w:val="5"/>
        <w:spacing w:after="0" w:line="360" w:lineRule="auto"/>
        <w:ind w:left="-2"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lang w:eastAsia="zh-CN"/>
        </w:rPr>
        <w:t>注：</w:t>
      </w:r>
      <w:r>
        <w:rPr>
          <w:rFonts w:hint="eastAsia" w:ascii="宋体" w:hAnsi="宋体"/>
          <w:color w:val="auto"/>
          <w:sz w:val="24"/>
          <w:highlight w:val="none"/>
        </w:rPr>
        <w:t>招标人</w:t>
      </w:r>
      <w:r>
        <w:rPr>
          <w:rFonts w:hint="eastAsia" w:ascii="宋体" w:hAnsi="宋体"/>
          <w:color w:val="auto"/>
          <w:sz w:val="24"/>
          <w:highlight w:val="none"/>
          <w:lang w:eastAsia="zh-CN"/>
        </w:rPr>
        <w:t>应在技术条件（工程建设标准）中明确</w:t>
      </w:r>
      <w:r>
        <w:rPr>
          <w:rFonts w:hint="eastAsia" w:ascii="宋体" w:hAnsi="宋体"/>
          <w:color w:val="auto"/>
          <w:sz w:val="24"/>
          <w:highlight w:val="none"/>
        </w:rPr>
        <w:t>施工现场建筑垃圾源头减量的具体要求</w:t>
      </w:r>
      <w:r>
        <w:rPr>
          <w:rFonts w:hint="eastAsia" w:ascii="宋体" w:hAnsi="宋体"/>
          <w:color w:val="auto"/>
          <w:sz w:val="24"/>
          <w:highlight w:val="none"/>
          <w:lang w:eastAsia="zh-CN"/>
        </w:rPr>
        <w:t>和</w:t>
      </w:r>
      <w:r>
        <w:rPr>
          <w:rFonts w:hint="eastAsia" w:ascii="宋体" w:hAnsi="宋体"/>
          <w:color w:val="auto"/>
          <w:sz w:val="24"/>
          <w:highlight w:val="none"/>
        </w:rPr>
        <w:t>建筑垃圾综合利用产品的使用要求</w:t>
      </w:r>
      <w:r>
        <w:rPr>
          <w:rFonts w:hint="eastAsia" w:ascii="宋体" w:hAnsi="宋体"/>
          <w:color w:val="auto"/>
          <w:sz w:val="24"/>
          <w:highlight w:val="none"/>
          <w:lang w:eastAsia="zh-CN"/>
        </w:rPr>
        <w:t>。</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7.2 </w:t>
      </w:r>
      <w:r>
        <w:rPr>
          <w:rFonts w:hint="eastAsia" w:ascii="宋体" w:hAnsi="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7.3 </w:t>
      </w:r>
      <w:r>
        <w:rPr>
          <w:rFonts w:hint="eastAsia" w:ascii="宋体" w:hAnsi="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8</w:t>
      </w:r>
      <w:r>
        <w:rPr>
          <w:rFonts w:hint="eastAsia" w:ascii="宋体" w:hAnsi="宋体"/>
          <w:b/>
          <w:bCs/>
          <w:color w:val="auto"/>
          <w:sz w:val="24"/>
          <w:highlight w:val="none"/>
        </w:rPr>
        <w:t>．招标答疑</w:t>
      </w:r>
    </w:p>
    <w:p>
      <w:pPr>
        <w:spacing w:line="360" w:lineRule="auto"/>
        <w:ind w:firstLine="600" w:firstLineChars="250"/>
        <w:rPr>
          <w:rFonts w:ascii="宋体" w:hAnsi="宋体"/>
          <w:b/>
          <w:color w:val="auto"/>
          <w:sz w:val="24"/>
          <w:szCs w:val="24"/>
          <w:highlight w:val="none"/>
        </w:rPr>
      </w:pPr>
      <w:r>
        <w:rPr>
          <w:rFonts w:ascii="宋体" w:hAnsi="宋体"/>
          <w:color w:val="auto"/>
          <w:sz w:val="24"/>
          <w:szCs w:val="24"/>
          <w:highlight w:val="none"/>
        </w:rPr>
        <w:t xml:space="preserve">8.1 </w:t>
      </w:r>
      <w:r>
        <w:rPr>
          <w:rFonts w:hint="eastAsia" w:ascii="宋体" w:hAnsi="宋体"/>
          <w:color w:val="auto"/>
          <w:sz w:val="24"/>
          <w:szCs w:val="24"/>
          <w:highlight w:val="none"/>
        </w:rPr>
        <w:t>投标人若对招标文件（包括招标图纸）中有疑问，可以书面形式通过</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ascii="宋体" w:hAnsi="宋体"/>
          <w:color w:val="auto"/>
          <w:sz w:val="24"/>
          <w:szCs w:val="24"/>
          <w:highlight w:val="none"/>
          <w:u w:val="single"/>
        </w:rPr>
        <w:t xml:space="preserve"> </w:t>
      </w:r>
      <w:r>
        <w:rPr>
          <w:rFonts w:hint="eastAsia" w:ascii="宋体" w:hAnsi="宋体"/>
          <w:color w:val="auto"/>
          <w:sz w:val="24"/>
          <w:szCs w:val="24"/>
          <w:highlight w:val="none"/>
        </w:rPr>
        <w:t>交易平台提交给招标人或招标代理人，提交形式见本须知前附表第</w:t>
      </w:r>
      <w:r>
        <w:rPr>
          <w:rFonts w:ascii="宋体" w:hAnsi="宋体"/>
          <w:color w:val="auto"/>
          <w:sz w:val="24"/>
          <w:szCs w:val="24"/>
          <w:highlight w:val="none"/>
        </w:rPr>
        <w:t>16</w:t>
      </w:r>
      <w:r>
        <w:rPr>
          <w:rFonts w:hint="eastAsia" w:ascii="宋体" w:hAnsi="宋体"/>
          <w:color w:val="auto"/>
          <w:sz w:val="24"/>
          <w:szCs w:val="24"/>
          <w:highlight w:val="none"/>
        </w:rPr>
        <w:t>项。</w:t>
      </w:r>
    </w:p>
    <w:p>
      <w:pPr>
        <w:spacing w:line="360" w:lineRule="auto"/>
        <w:ind w:firstLine="600" w:firstLineChars="250"/>
        <w:rPr>
          <w:rFonts w:ascii="宋体" w:hAnsi="宋体"/>
          <w:color w:val="auto"/>
          <w:sz w:val="24"/>
          <w:szCs w:val="24"/>
          <w:highlight w:val="none"/>
          <w:u w:val="single"/>
        </w:rPr>
      </w:pPr>
      <w:r>
        <w:rPr>
          <w:rFonts w:hint="eastAsia" w:ascii="宋体" w:hAnsi="宋体"/>
          <w:color w:val="auto"/>
          <w:sz w:val="24"/>
          <w:szCs w:val="24"/>
          <w:highlight w:val="none"/>
          <w:u w:val="single"/>
        </w:rPr>
        <w:t>网上答疑的操作指南为：登陆广州公共资源交易中心新建设工程交易平台中“我是投标人”→“我的投标”→“招标答疑提问”通过项目编号或名称找到所需的项目→在上述的答疑时间内点击“提问” →无记名或匿名提出问题以及查看所有的问题（提交问题时需插入投标人CA证书）。</w:t>
      </w:r>
    </w:p>
    <w:p>
      <w:pPr>
        <w:spacing w:line="360" w:lineRule="auto"/>
        <w:ind w:firstLine="480" w:firstLineChars="200"/>
        <w:rPr>
          <w:rFonts w:ascii="宋体" w:hAnsi="宋体"/>
          <w:color w:val="auto"/>
          <w:sz w:val="24"/>
          <w:szCs w:val="20"/>
          <w:highlight w:val="none"/>
        </w:rPr>
      </w:pPr>
      <w:r>
        <w:rPr>
          <w:rFonts w:ascii="宋体" w:hAnsi="宋体"/>
          <w:color w:val="auto"/>
          <w:sz w:val="24"/>
          <w:szCs w:val="20"/>
          <w:highlight w:val="none"/>
        </w:rPr>
        <w:t>8.2</w:t>
      </w:r>
      <w:r>
        <w:rPr>
          <w:rFonts w:hint="eastAsia" w:ascii="宋体"/>
          <w:color w:val="auto"/>
          <w:sz w:val="24"/>
          <w:szCs w:val="20"/>
          <w:highlight w:val="none"/>
        </w:rPr>
        <w:t>招标答疑会会议纪要将在提交投标文件截止时间15日前在 广州公共资源交易中心 交易平台“建设工程”→“项目查询（日程安排、答疑纪要）”专区公开发布。答疑纪要一经在 广州公共资源交易中心 交易平台发布，视作已发放给所有投标人。</w:t>
      </w:r>
    </w:p>
    <w:p>
      <w:pPr>
        <w:spacing w:line="360" w:lineRule="auto"/>
        <w:ind w:firstLine="480" w:firstLineChars="200"/>
        <w:rPr>
          <w:rFonts w:ascii="宋体"/>
          <w:color w:val="auto"/>
          <w:sz w:val="24"/>
          <w:szCs w:val="20"/>
          <w:highlight w:val="none"/>
        </w:rPr>
      </w:pPr>
      <w:r>
        <w:rPr>
          <w:rFonts w:ascii="宋体" w:hAnsi="宋体"/>
          <w:color w:val="auto"/>
          <w:sz w:val="24"/>
          <w:szCs w:val="20"/>
          <w:highlight w:val="none"/>
        </w:rPr>
        <w:t>8.3</w:t>
      </w:r>
      <w:r>
        <w:rPr>
          <w:rFonts w:hint="eastAsia" w:ascii="宋体" w:hAnsi="宋体"/>
          <w:color w:val="auto"/>
          <w:sz w:val="24"/>
          <w:szCs w:val="20"/>
          <w:highlight w:val="none"/>
        </w:rPr>
        <w:t>答疑会会议纪要为招标文件的一部分。</w:t>
      </w:r>
    </w:p>
    <w:p>
      <w:pPr>
        <w:pStyle w:val="5"/>
        <w:spacing w:after="0" w:line="360" w:lineRule="auto"/>
        <w:ind w:firstLine="480" w:firstLineChars="200"/>
        <w:rPr>
          <w:rFonts w:ascii="宋体" w:hAnsi="宋体"/>
          <w:color w:val="auto"/>
          <w:sz w:val="24"/>
          <w:highlight w:val="none"/>
        </w:rPr>
      </w:pPr>
      <w:r>
        <w:rPr>
          <w:rFonts w:ascii="宋体" w:hAnsi="宋体"/>
          <w:color w:val="auto"/>
          <w:kern w:val="2"/>
          <w:sz w:val="24"/>
          <w:szCs w:val="22"/>
          <w:highlight w:val="none"/>
        </w:rPr>
        <w:t>8.4</w:t>
      </w:r>
      <w:r>
        <w:rPr>
          <w:rFonts w:hint="eastAsia" w:ascii="宋体" w:hAnsi="宋体"/>
          <w:color w:val="auto"/>
          <w:kern w:val="2"/>
          <w:sz w:val="24"/>
          <w:szCs w:val="22"/>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9.</w:t>
      </w:r>
      <w:r>
        <w:rPr>
          <w:rFonts w:hint="eastAsia" w:ascii="宋体" w:hAnsi="宋体"/>
          <w:b/>
          <w:bCs/>
          <w:color w:val="auto"/>
          <w:sz w:val="24"/>
          <w:highlight w:val="none"/>
        </w:rPr>
        <w:t>招标文件的澄清与修改</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9.1</w:t>
      </w:r>
      <w:r>
        <w:rPr>
          <w:rFonts w:hint="eastAsia" w:ascii="宋体" w:hAnsi="宋体"/>
          <w:color w:val="auto"/>
          <w:sz w:val="24"/>
          <w:highlight w:val="none"/>
        </w:rPr>
        <w:t>招标文件发出后</w:t>
      </w:r>
      <w:r>
        <w:rPr>
          <w:rFonts w:ascii="宋体"/>
          <w:color w:val="auto"/>
          <w:sz w:val="24"/>
          <w:highlight w:val="none"/>
        </w:rPr>
        <w:t>,</w:t>
      </w:r>
      <w:r>
        <w:rPr>
          <w:rFonts w:hint="eastAsia" w:ascii="宋体" w:hAnsi="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9.2</w:t>
      </w:r>
      <w:r>
        <w:rPr>
          <w:rFonts w:hint="eastAsia" w:ascii="宋体"/>
          <w:color w:val="auto"/>
          <w:sz w:val="24"/>
          <w:highlight w:val="none"/>
        </w:rPr>
        <w:t>招标文件的澄清或修改将在 广州公共资源交易中心 交易平台“建设工程”→“项目查询（日程安排、答疑纪要）”专区公开发布。答疑纪要一经在 广州公共资源交易中心 交易平台发布，视作已发放给所有投标人，以 广州公共资源交易中心 交易平台上网发布时间作为送达时间。</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9.3</w:t>
      </w:r>
      <w:r>
        <w:rPr>
          <w:rFonts w:hint="eastAsia" w:ascii="宋体" w:hAnsi="宋体"/>
          <w:color w:val="auto"/>
          <w:sz w:val="24"/>
          <w:highlight w:val="none"/>
        </w:rPr>
        <w:t>招标文件的修改内容为招标文件的组成部分。</w:t>
      </w:r>
    </w:p>
    <w:p>
      <w:pPr>
        <w:pStyle w:val="5"/>
        <w:spacing w:after="0" w:line="360" w:lineRule="auto"/>
        <w:ind w:firstLine="480" w:firstLineChars="200"/>
        <w:rPr>
          <w:rFonts w:ascii="宋体"/>
          <w:color w:val="auto"/>
          <w:sz w:val="24"/>
          <w:szCs w:val="24"/>
          <w:highlight w:val="none"/>
        </w:rPr>
      </w:pPr>
      <w:r>
        <w:rPr>
          <w:rFonts w:hint="eastAsia" w:ascii="宋体" w:hAnsi="宋体"/>
          <w:color w:val="auto"/>
          <w:sz w:val="24"/>
          <w:szCs w:val="24"/>
          <w:highlight w:val="none"/>
        </w:rPr>
        <w:t>9.4 招标文件的澄清或修改均以</w:t>
      </w:r>
      <w:r>
        <w:rPr>
          <w:rFonts w:hint="eastAsia" w:ascii="宋体" w:hAnsi="宋体"/>
          <w:color w:val="auto"/>
          <w:sz w:val="24"/>
          <w:szCs w:val="24"/>
          <w:highlight w:val="none"/>
          <w:u w:val="single"/>
        </w:rPr>
        <w:t>在广州公共资源交易中心交易平台“项目答疑纪要”专区公开发布</w:t>
      </w:r>
      <w:r>
        <w:rPr>
          <w:rFonts w:hint="eastAsia" w:ascii="宋体" w:hAnsi="宋体"/>
          <w:color w:val="auto"/>
          <w:sz w:val="24"/>
          <w:szCs w:val="24"/>
          <w:highlight w:val="none"/>
        </w:rPr>
        <w:t>的内容为准。当招标文件的澄清、修改、补充等在同一内容的表述不一致时，以最后发出的文件为准。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9.5</w:t>
      </w:r>
      <w:r>
        <w:rPr>
          <w:rFonts w:hint="eastAsia" w:ascii="宋体" w:hAnsi="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pacing w:before="156" w:after="156"/>
        <w:jc w:val="center"/>
        <w:rPr>
          <w:color w:val="auto"/>
          <w:highlight w:val="none"/>
        </w:rPr>
      </w:pPr>
      <w:bookmarkStart w:id="6" w:name="_Toc3704"/>
      <w:r>
        <w:rPr>
          <w:rFonts w:hint="eastAsia"/>
          <w:color w:val="auto"/>
          <w:highlight w:val="none"/>
        </w:rPr>
        <w:t>（三）投标文件的编制</w:t>
      </w:r>
      <w:bookmarkEnd w:id="6"/>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10</w:t>
      </w:r>
      <w:r>
        <w:rPr>
          <w:rFonts w:hint="eastAsia" w:ascii="宋体" w:hAnsi="宋体"/>
          <w:b/>
          <w:bCs/>
          <w:color w:val="auto"/>
          <w:sz w:val="24"/>
          <w:highlight w:val="none"/>
        </w:rPr>
        <w:t>．投标文件的语言及度量衡单位</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10.1 </w:t>
      </w:r>
      <w:r>
        <w:rPr>
          <w:rFonts w:hint="eastAsia" w:ascii="宋体" w:hAnsi="宋体"/>
          <w:color w:val="auto"/>
          <w:sz w:val="24"/>
          <w:highlight w:val="none"/>
        </w:rPr>
        <w:t>投标文件和与投标有关的所有文件均应使用中文。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 xml:space="preserve">10.2 </w:t>
      </w:r>
      <w:r>
        <w:rPr>
          <w:rFonts w:hint="eastAsia" w:ascii="宋体" w:hAnsi="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11</w:t>
      </w:r>
      <w:r>
        <w:rPr>
          <w:rFonts w:hint="eastAsia" w:ascii="宋体" w:hAnsi="宋体"/>
          <w:b/>
          <w:bCs/>
          <w:color w:val="auto"/>
          <w:sz w:val="24"/>
          <w:highlight w:val="none"/>
        </w:rPr>
        <w:t>．投标文件的组成</w:t>
      </w:r>
    </w:p>
    <w:p>
      <w:pPr>
        <w:pStyle w:val="5"/>
        <w:spacing w:after="0" w:line="276" w:lineRule="auto"/>
        <w:ind w:firstLine="480" w:firstLineChars="200"/>
        <w:rPr>
          <w:rFonts w:ascii="宋体"/>
          <w:b/>
          <w:color w:val="auto"/>
          <w:sz w:val="24"/>
          <w:szCs w:val="24"/>
          <w:highlight w:val="none"/>
        </w:rPr>
      </w:pPr>
      <w:r>
        <w:rPr>
          <w:rFonts w:ascii="宋体" w:hAnsi="宋体"/>
          <w:color w:val="auto"/>
          <w:sz w:val="24"/>
          <w:szCs w:val="24"/>
          <w:highlight w:val="none"/>
        </w:rPr>
        <w:t xml:space="preserve">11.1 </w:t>
      </w:r>
      <w:r>
        <w:rPr>
          <w:rFonts w:hint="eastAsia" w:ascii="宋体" w:hAnsi="宋体"/>
          <w:color w:val="auto"/>
          <w:sz w:val="24"/>
          <w:szCs w:val="24"/>
          <w:highlight w:val="none"/>
        </w:rPr>
        <w:t>投标文件由技术部分（含资格审查文件）和经济部分二部分投标文件组成</w:t>
      </w:r>
      <w:r>
        <w:rPr>
          <w:rFonts w:hint="eastAsia" w:ascii="宋体" w:hAnsi="宋体"/>
          <w:b/>
          <w:color w:val="auto"/>
          <w:sz w:val="24"/>
          <w:szCs w:val="24"/>
          <w:highlight w:val="none"/>
        </w:rPr>
        <w:t>。</w:t>
      </w:r>
    </w:p>
    <w:p>
      <w:pPr>
        <w:spacing w:line="276" w:lineRule="auto"/>
        <w:ind w:firstLine="480" w:firstLineChars="200"/>
        <w:rPr>
          <w:rFonts w:ascii="宋体" w:hAnsi="宋体"/>
          <w:bCs/>
          <w:color w:val="auto"/>
          <w:sz w:val="24"/>
          <w:szCs w:val="24"/>
          <w:highlight w:val="none"/>
        </w:rPr>
      </w:pPr>
      <w:r>
        <w:rPr>
          <w:rFonts w:ascii="宋体" w:hAnsi="宋体"/>
          <w:bCs/>
          <w:color w:val="auto"/>
          <w:sz w:val="24"/>
          <w:szCs w:val="24"/>
          <w:highlight w:val="none"/>
        </w:rPr>
        <w:t>11.2</w:t>
      </w:r>
      <w:r>
        <w:rPr>
          <w:rFonts w:hint="eastAsia" w:ascii="宋体" w:hAnsi="宋体"/>
          <w:bCs/>
          <w:color w:val="auto"/>
          <w:sz w:val="24"/>
          <w:szCs w:val="24"/>
          <w:highlight w:val="none"/>
        </w:rPr>
        <w:t>投标文件技术标部分主要包括下列内容</w:t>
      </w:r>
      <w:r>
        <w:rPr>
          <w:rFonts w:ascii="宋体" w:hAnsi="宋体"/>
          <w:bCs/>
          <w:color w:val="auto"/>
          <w:sz w:val="24"/>
          <w:szCs w:val="24"/>
          <w:highlight w:val="none"/>
        </w:rPr>
        <w:t>:</w:t>
      </w:r>
    </w:p>
    <w:p>
      <w:pPr>
        <w:spacing w:line="276" w:lineRule="auto"/>
        <w:ind w:firstLine="480" w:firstLineChars="200"/>
        <w:rPr>
          <w:rFonts w:ascii="宋体"/>
          <w:bCs/>
          <w:color w:val="auto"/>
          <w:sz w:val="24"/>
          <w:szCs w:val="24"/>
          <w:highlight w:val="none"/>
        </w:rPr>
      </w:pPr>
      <w:r>
        <w:rPr>
          <w:rFonts w:hint="eastAsia" w:ascii="宋体"/>
          <w:bCs/>
          <w:color w:val="auto"/>
          <w:sz w:val="24"/>
          <w:szCs w:val="24"/>
          <w:highlight w:val="none"/>
        </w:rPr>
        <w:t>11.2.1 技术投标文件</w:t>
      </w:r>
      <w:r>
        <w:rPr>
          <w:rFonts w:ascii="宋体" w:hAnsi="宋体"/>
          <w:color w:val="auto"/>
          <w:sz w:val="24"/>
          <w:szCs w:val="24"/>
          <w:highlight w:val="none"/>
        </w:rPr>
        <w:t>(</w:t>
      </w:r>
      <w:r>
        <w:rPr>
          <w:rFonts w:hint="eastAsia" w:ascii="宋体" w:hAnsi="宋体"/>
          <w:color w:val="auto"/>
          <w:sz w:val="24"/>
          <w:szCs w:val="24"/>
          <w:highlight w:val="none"/>
        </w:rPr>
        <w:t>按招标文件的要求填写</w:t>
      </w:r>
      <w:r>
        <w:rPr>
          <w:rFonts w:ascii="宋体" w:hAnsi="宋体"/>
          <w:color w:val="auto"/>
          <w:sz w:val="24"/>
          <w:szCs w:val="24"/>
          <w:highlight w:val="none"/>
        </w:rPr>
        <w:t>)</w:t>
      </w:r>
      <w:r>
        <w:rPr>
          <w:rFonts w:hint="eastAsia" w:ascii="宋体"/>
          <w:bCs/>
          <w:color w:val="auto"/>
          <w:sz w:val="24"/>
          <w:szCs w:val="24"/>
          <w:highlight w:val="none"/>
        </w:rPr>
        <w:t>；</w:t>
      </w:r>
    </w:p>
    <w:p>
      <w:pPr>
        <w:spacing w:line="276" w:lineRule="auto"/>
        <w:ind w:firstLine="480" w:firstLineChars="200"/>
        <w:rPr>
          <w:rFonts w:ascii="宋体" w:hAnsi="宋体" w:cs="Calibri"/>
          <w:bCs/>
          <w:color w:val="auto"/>
          <w:sz w:val="24"/>
          <w:szCs w:val="24"/>
          <w:highlight w:val="none"/>
          <w:u w:val="none"/>
        </w:rPr>
      </w:pPr>
      <w:r>
        <w:rPr>
          <w:rFonts w:ascii="宋体" w:hAnsi="宋体" w:cs="Calibri"/>
          <w:bCs/>
          <w:color w:val="auto"/>
          <w:sz w:val="24"/>
          <w:szCs w:val="24"/>
          <w:highlight w:val="none"/>
          <w:u w:val="none"/>
        </w:rPr>
        <w:t>11.2.2 资格审查文件：</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（1）投标人声明（按招标</w:t>
      </w:r>
      <w:r>
        <w:rPr>
          <w:rFonts w:hint="eastAsia" w:ascii="宋体" w:hAnsi="宋体" w:cs="Calibri"/>
          <w:bCs/>
          <w:color w:val="auto"/>
          <w:sz w:val="24"/>
          <w:szCs w:val="24"/>
          <w:highlight w:val="none"/>
          <w:u w:val="single"/>
        </w:rPr>
        <w:t>公告</w:t>
      </w:r>
      <w:r>
        <w:rPr>
          <w:rFonts w:ascii="宋体" w:hAnsi="宋体" w:cs="Calibri"/>
          <w:bCs/>
          <w:color w:val="auto"/>
          <w:sz w:val="24"/>
          <w:szCs w:val="24"/>
          <w:highlight w:val="none"/>
          <w:u w:val="single"/>
        </w:rPr>
        <w:t xml:space="preserve">的要求填写）； </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（2）法定代表人证明书、法定代表人签字或盖章的本投标文件授权委托证明书；</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（3）企业营业执照</w:t>
      </w:r>
      <w:r>
        <w:rPr>
          <w:rFonts w:hint="eastAsia" w:ascii="宋体" w:hAnsi="宋体" w:cs="Calibri"/>
          <w:bCs/>
          <w:color w:val="auto"/>
          <w:sz w:val="24"/>
          <w:szCs w:val="24"/>
          <w:highlight w:val="none"/>
          <w:u w:val="single"/>
        </w:rPr>
        <w:t>（取自平台内上传件）</w:t>
      </w:r>
      <w:r>
        <w:rPr>
          <w:rFonts w:ascii="宋体" w:hAnsi="宋体" w:cs="Calibri"/>
          <w:bCs/>
          <w:color w:val="auto"/>
          <w:sz w:val="24"/>
          <w:szCs w:val="24"/>
          <w:highlight w:val="none"/>
          <w:u w:val="single"/>
        </w:rPr>
        <w:t>；</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（4）企业资质证书</w:t>
      </w:r>
      <w:r>
        <w:rPr>
          <w:rFonts w:hint="eastAsia" w:ascii="宋体" w:hAnsi="宋体" w:cs="Calibri"/>
          <w:bCs/>
          <w:color w:val="auto"/>
          <w:sz w:val="24"/>
          <w:szCs w:val="24"/>
          <w:highlight w:val="none"/>
          <w:u w:val="single"/>
        </w:rPr>
        <w:t>（取自平台内上传件）</w:t>
      </w:r>
      <w:r>
        <w:rPr>
          <w:rFonts w:ascii="宋体" w:hAnsi="宋体" w:cs="Calibri"/>
          <w:bCs/>
          <w:color w:val="auto"/>
          <w:sz w:val="24"/>
          <w:szCs w:val="24"/>
          <w:highlight w:val="none"/>
          <w:u w:val="single"/>
        </w:rPr>
        <w:t>；</w:t>
      </w:r>
      <w:r>
        <w:rPr>
          <w:rFonts w:hint="eastAsia" w:ascii="宋体" w:hAnsi="宋体" w:cs="Calibri"/>
          <w:bCs/>
          <w:color w:val="auto"/>
          <w:sz w:val="24"/>
          <w:szCs w:val="24"/>
          <w:highlight w:val="none"/>
          <w:u w:val="single"/>
        </w:rPr>
        <w:t>（注：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（5）建筑施工企业安全生产许可证</w:t>
      </w:r>
      <w:r>
        <w:rPr>
          <w:rFonts w:hint="eastAsia" w:ascii="宋体" w:hAnsi="宋体" w:cs="Calibri"/>
          <w:bCs/>
          <w:color w:val="auto"/>
          <w:sz w:val="24"/>
          <w:szCs w:val="24"/>
          <w:highlight w:val="none"/>
          <w:u w:val="single"/>
        </w:rPr>
        <w:t>（取自平台内上传件）</w:t>
      </w:r>
      <w:r>
        <w:rPr>
          <w:rFonts w:ascii="宋体" w:hAnsi="宋体" w:cs="Calibri"/>
          <w:bCs/>
          <w:color w:val="auto"/>
          <w:sz w:val="24"/>
          <w:szCs w:val="24"/>
          <w:highlight w:val="none"/>
          <w:u w:val="single"/>
        </w:rPr>
        <w:t>；</w:t>
      </w:r>
    </w:p>
    <w:p>
      <w:pPr>
        <w:spacing w:line="360" w:lineRule="auto"/>
        <w:ind w:firstLine="480" w:firstLineChars="200"/>
        <w:rPr>
          <w:rFonts w:hint="eastAsia" w:ascii="宋体" w:hAnsi="宋体" w:eastAsia="宋体" w:cs="Calibri"/>
          <w:bCs/>
          <w:color w:val="auto"/>
          <w:sz w:val="24"/>
          <w:szCs w:val="24"/>
          <w:highlight w:val="none"/>
          <w:u w:val="single"/>
          <w:lang w:eastAsia="zh-CN"/>
        </w:rPr>
      </w:pPr>
      <w:r>
        <w:rPr>
          <w:rFonts w:ascii="宋体" w:hAnsi="宋体" w:cs="Calibri"/>
          <w:bCs/>
          <w:color w:val="auto"/>
          <w:sz w:val="24"/>
          <w:szCs w:val="24"/>
          <w:highlight w:val="none"/>
          <w:u w:val="single"/>
        </w:rPr>
        <w:t>（6）项目负责人（按网上投标登记时选择拟投标的项目负责人）</w:t>
      </w:r>
      <w:r>
        <w:rPr>
          <w:rFonts w:hint="eastAsia" w:ascii="宋体" w:hAnsi="宋体" w:cs="Calibri"/>
          <w:bCs/>
          <w:color w:val="auto"/>
          <w:sz w:val="24"/>
          <w:szCs w:val="24"/>
          <w:highlight w:val="none"/>
          <w:u w:val="single"/>
          <w:lang w:eastAsia="zh-CN"/>
        </w:rPr>
        <w:t>；</w:t>
      </w:r>
    </w:p>
    <w:p>
      <w:pPr>
        <w:spacing w:line="360" w:lineRule="auto"/>
        <w:ind w:firstLine="480" w:firstLineChars="200"/>
        <w:rPr>
          <w:rFonts w:hint="eastAsia" w:ascii="宋体" w:hAnsi="宋体" w:eastAsia="宋体" w:cs="Calibri"/>
          <w:bCs/>
          <w:color w:val="auto"/>
          <w:sz w:val="24"/>
          <w:szCs w:val="24"/>
          <w:highlight w:val="none"/>
          <w:u w:val="single"/>
          <w:lang w:eastAsia="zh-CN"/>
        </w:rPr>
      </w:pPr>
      <w:r>
        <w:rPr>
          <w:rFonts w:ascii="宋体" w:hAnsi="宋体" w:cs="Calibri"/>
          <w:bCs/>
          <w:color w:val="auto"/>
          <w:sz w:val="24"/>
          <w:szCs w:val="24"/>
          <w:highlight w:val="none"/>
          <w:u w:val="single"/>
        </w:rPr>
        <w:t>（7）专职安全员（按网上投标登记时选择拟投标的专职安全员）</w:t>
      </w:r>
      <w:r>
        <w:rPr>
          <w:rFonts w:hint="eastAsia" w:ascii="宋体" w:hAnsi="宋体" w:cs="Calibri"/>
          <w:bCs/>
          <w:color w:val="auto"/>
          <w:sz w:val="24"/>
          <w:szCs w:val="24"/>
          <w:highlight w:val="none"/>
          <w:u w:val="single"/>
          <w:lang w:eastAsia="zh-CN"/>
        </w:rPr>
        <w:t>；</w:t>
      </w:r>
    </w:p>
    <w:p>
      <w:pPr>
        <w:spacing w:line="360" w:lineRule="auto"/>
        <w:ind w:firstLine="480" w:firstLineChars="200"/>
        <w:rPr>
          <w:rFonts w:hint="eastAsia" w:ascii="宋体" w:hAnsi="宋体" w:eastAsia="宋体" w:cs="Calibri"/>
          <w:bCs/>
          <w:strike/>
          <w:color w:val="auto"/>
          <w:sz w:val="24"/>
          <w:szCs w:val="24"/>
          <w:highlight w:val="none"/>
          <w:u w:val="single"/>
          <w:lang w:eastAsia="zh-CN"/>
        </w:rPr>
      </w:pPr>
      <w:r>
        <w:rPr>
          <w:rFonts w:ascii="宋体" w:hAnsi="宋体" w:cs="Calibri"/>
          <w:bCs/>
          <w:color w:val="auto"/>
          <w:sz w:val="24"/>
          <w:szCs w:val="24"/>
          <w:highlight w:val="none"/>
          <w:u w:val="single"/>
        </w:rPr>
        <w:t>（8）拟委托技术负责人的相关证书、资料</w:t>
      </w:r>
      <w:r>
        <w:rPr>
          <w:rFonts w:hint="eastAsia" w:ascii="宋体" w:hAnsi="宋体" w:cs="Calibri"/>
          <w:bCs/>
          <w:color w:val="auto"/>
          <w:sz w:val="24"/>
          <w:szCs w:val="24"/>
          <w:highlight w:val="none"/>
          <w:u w:val="single"/>
          <w:lang w:eastAsia="zh-CN"/>
        </w:rPr>
        <w:t>；</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（9）</w:t>
      </w:r>
      <w:r>
        <w:rPr>
          <w:rFonts w:hint="eastAsia" w:ascii="宋体" w:hAnsi="宋体" w:cs="Calibri"/>
          <w:bCs/>
          <w:color w:val="auto"/>
          <w:sz w:val="24"/>
          <w:szCs w:val="24"/>
          <w:highlight w:val="none"/>
          <w:u w:val="single"/>
        </w:rPr>
        <w:t>拟委派项目负责人</w:t>
      </w:r>
      <w:r>
        <w:rPr>
          <w:rFonts w:hint="eastAsia" w:ascii="宋体" w:hAnsi="宋体" w:cs="Calibri"/>
          <w:bCs/>
          <w:color w:val="auto"/>
          <w:sz w:val="24"/>
          <w:szCs w:val="24"/>
          <w:highlight w:val="none"/>
          <w:u w:val="single"/>
          <w:lang w:val="en-US" w:eastAsia="zh-CN"/>
        </w:rPr>
        <w:t>有效的</w:t>
      </w:r>
      <w:r>
        <w:rPr>
          <w:rFonts w:hint="eastAsia" w:ascii="宋体" w:hAnsi="宋体" w:cs="Calibri"/>
          <w:bCs/>
          <w:color w:val="auto"/>
          <w:sz w:val="24"/>
          <w:szCs w:val="24"/>
          <w:highlight w:val="none"/>
          <w:u w:val="single"/>
        </w:rPr>
        <w:t>的市政公用工程</w:t>
      </w:r>
      <w:r>
        <w:rPr>
          <w:rFonts w:hint="eastAsia" w:ascii="宋体" w:hAnsi="宋体" w:eastAsia="宋体" w:cs="宋体"/>
          <w:color w:val="auto"/>
          <w:sz w:val="24"/>
          <w:highlight w:val="none"/>
          <w:u w:val="single"/>
          <w:lang w:val="en-US" w:eastAsia="zh-CN"/>
        </w:rPr>
        <w:t>二</w:t>
      </w:r>
      <w:r>
        <w:rPr>
          <w:rFonts w:ascii="宋体" w:hAnsi="宋体" w:eastAsia="宋体" w:cs="宋体"/>
          <w:color w:val="auto"/>
          <w:sz w:val="24"/>
          <w:highlight w:val="none"/>
          <w:u w:val="single"/>
        </w:rPr>
        <w:t>级</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highlight w:val="none"/>
          <w:u w:val="single"/>
          <w:lang w:val="en-US" w:eastAsia="zh-CN"/>
        </w:rPr>
        <w:t>或以上）</w:t>
      </w:r>
      <w:r>
        <w:rPr>
          <w:rFonts w:hint="eastAsia" w:ascii="宋体" w:hAnsi="宋体" w:cs="Calibri"/>
          <w:bCs/>
          <w:color w:val="auto"/>
          <w:sz w:val="24"/>
          <w:szCs w:val="24"/>
          <w:highlight w:val="none"/>
          <w:u w:val="single"/>
        </w:rPr>
        <w:t>注册建造师注册证书（取自平台内上传件）；</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（10）项目负责人持有安全</w:t>
      </w:r>
      <w:r>
        <w:rPr>
          <w:rFonts w:hint="eastAsia" w:ascii="宋体" w:hAnsi="宋体" w:cs="Calibri"/>
          <w:bCs/>
          <w:color w:val="auto"/>
          <w:sz w:val="24"/>
          <w:szCs w:val="24"/>
          <w:highlight w:val="none"/>
          <w:u w:val="single"/>
        </w:rPr>
        <w:t>生产</w:t>
      </w:r>
      <w:r>
        <w:rPr>
          <w:rFonts w:ascii="宋体" w:hAnsi="宋体" w:cs="Calibri"/>
          <w:bCs/>
          <w:color w:val="auto"/>
          <w:sz w:val="24"/>
          <w:szCs w:val="24"/>
          <w:highlight w:val="none"/>
          <w:u w:val="single"/>
        </w:rPr>
        <w:t>考核合格证（B类）或</w:t>
      </w:r>
      <w:r>
        <w:rPr>
          <w:rFonts w:hint="eastAsia" w:ascii="宋体" w:hAnsi="宋体" w:cs="Calibri"/>
          <w:bCs/>
          <w:color w:val="auto"/>
          <w:sz w:val="24"/>
          <w:szCs w:val="24"/>
          <w:highlight w:val="none"/>
          <w:u w:val="single"/>
        </w:rPr>
        <w:t>建筑施工企业项目负责人安全生产考核合格证书（取自平台内上传件）；</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（11）专职安全员须具有在有效期内的安全</w:t>
      </w:r>
      <w:r>
        <w:rPr>
          <w:rFonts w:hint="eastAsia" w:ascii="宋体" w:hAnsi="宋体" w:cs="Calibri"/>
          <w:bCs/>
          <w:color w:val="auto"/>
          <w:sz w:val="24"/>
          <w:szCs w:val="24"/>
          <w:highlight w:val="none"/>
          <w:u w:val="single"/>
        </w:rPr>
        <w:t>生产</w:t>
      </w:r>
      <w:r>
        <w:rPr>
          <w:rFonts w:ascii="宋体" w:hAnsi="宋体" w:cs="Calibri"/>
          <w:bCs/>
          <w:color w:val="auto"/>
          <w:sz w:val="24"/>
          <w:szCs w:val="24"/>
          <w:highlight w:val="none"/>
          <w:u w:val="single"/>
        </w:rPr>
        <w:t>考核合格证（C类）</w:t>
      </w:r>
      <w:r>
        <w:rPr>
          <w:rFonts w:hint="eastAsia" w:ascii="宋体" w:hAnsi="宋体" w:cs="Calibri"/>
          <w:bCs/>
          <w:color w:val="auto"/>
          <w:sz w:val="24"/>
          <w:szCs w:val="24"/>
          <w:highlight w:val="none"/>
          <w:u w:val="single"/>
        </w:rPr>
        <w:t>或建筑施工企业专职安全生产管理人员安全生产考核合格证书</w:t>
      </w:r>
      <w:r>
        <w:rPr>
          <w:rFonts w:hint="eastAsia" w:ascii="宋体" w:hAnsi="宋体"/>
          <w:color w:val="auto"/>
          <w:sz w:val="24"/>
          <w:highlight w:val="none"/>
          <w:u w:val="single"/>
        </w:rPr>
        <w:t>（C3类）</w:t>
      </w:r>
      <w:r>
        <w:rPr>
          <w:rFonts w:hint="eastAsia" w:ascii="宋体" w:hAnsi="宋体" w:cs="Calibri"/>
          <w:bCs/>
          <w:color w:val="auto"/>
          <w:sz w:val="24"/>
          <w:szCs w:val="24"/>
          <w:highlight w:val="none"/>
          <w:u w:val="single"/>
        </w:rPr>
        <w:t>（取自平台内上传件）；</w:t>
      </w:r>
    </w:p>
    <w:p>
      <w:pPr>
        <w:spacing w:line="360" w:lineRule="auto"/>
        <w:ind w:firstLine="480" w:firstLineChars="200"/>
        <w:rPr>
          <w:rFonts w:ascii="宋体" w:hAnsi="宋体" w:cs="Calibri"/>
          <w:bCs/>
          <w:color w:val="auto"/>
          <w:sz w:val="24"/>
          <w:szCs w:val="24"/>
          <w:highlight w:val="none"/>
          <w:u w:val="single"/>
        </w:rPr>
      </w:pPr>
      <w:r>
        <w:rPr>
          <w:rFonts w:ascii="宋体" w:hAnsi="宋体" w:cs="Calibri"/>
          <w:bCs/>
          <w:color w:val="auto"/>
          <w:sz w:val="24"/>
          <w:szCs w:val="24"/>
          <w:highlight w:val="none"/>
          <w:u w:val="single"/>
        </w:rPr>
        <w:t>（13）资格审查前，</w:t>
      </w:r>
      <w:r>
        <w:rPr>
          <w:rFonts w:hint="eastAsia" w:ascii="宋体" w:hAnsi="宋体" w:cs="Calibri"/>
          <w:bCs/>
          <w:color w:val="auto"/>
          <w:sz w:val="24"/>
          <w:szCs w:val="24"/>
          <w:highlight w:val="none"/>
          <w:u w:val="single"/>
        </w:rPr>
        <w:t>投标人须在广州公共资源交易中心办理信息登记等相关投标登记手续及拟担任本工程项目负责人、专职安全员须是本企业的在册人员且与广州公共资源交易中心办理信息登记一致。</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11.2.3</w:t>
      </w:r>
      <w:r>
        <w:rPr>
          <w:rFonts w:hint="eastAsia" w:ascii="宋体" w:hAnsi="宋体"/>
          <w:color w:val="auto"/>
          <w:sz w:val="24"/>
          <w:szCs w:val="24"/>
          <w:highlight w:val="none"/>
        </w:rPr>
        <w:t>项目管理机构配备。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（1）本工程的施工组织机构图；</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（2）施工组织机构主要成员的名单及有关证明材料扫描件；</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w:t>
      </w:r>
      <w:r>
        <w:rPr>
          <w:rFonts w:ascii="宋体" w:hAnsi="宋体"/>
          <w:color w:val="auto"/>
          <w:sz w:val="24"/>
          <w:szCs w:val="24"/>
          <w:highlight w:val="none"/>
          <w:u w:val="single"/>
        </w:rPr>
        <w:t>1.2.4企业资信相关证明文件</w:t>
      </w:r>
      <w:r>
        <w:rPr>
          <w:rFonts w:hint="eastAsia" w:ascii="宋体" w:hAnsi="宋体"/>
          <w:color w:val="auto"/>
          <w:sz w:val="24"/>
          <w:szCs w:val="24"/>
          <w:highlight w:val="none"/>
          <w:u w:val="single"/>
        </w:rPr>
        <w:t>；</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5</w:t>
      </w:r>
      <w:r>
        <w:rPr>
          <w:rFonts w:hint="eastAsia" w:ascii="宋体" w:hAnsi="宋体"/>
          <w:color w:val="auto"/>
          <w:sz w:val="24"/>
          <w:szCs w:val="24"/>
          <w:highlight w:val="none"/>
          <w:u w:val="single"/>
        </w:rPr>
        <w:t>《投标函》（格式见第四章）；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6</w:t>
      </w:r>
      <w:r>
        <w:rPr>
          <w:rFonts w:hint="eastAsia" w:ascii="宋体" w:hAnsi="宋体"/>
          <w:color w:val="auto"/>
          <w:sz w:val="24"/>
          <w:szCs w:val="24"/>
          <w:highlight w:val="none"/>
          <w:u w:val="single"/>
        </w:rPr>
        <w:t>《响应招标文件所附施工组织设计要点的承诺书》（格式见第四章）；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7</w:t>
      </w:r>
      <w:r>
        <w:rPr>
          <w:rFonts w:hint="eastAsia" w:ascii="宋体" w:hAnsi="宋体"/>
          <w:color w:val="auto"/>
          <w:sz w:val="24"/>
          <w:szCs w:val="24"/>
          <w:highlight w:val="none"/>
          <w:u w:val="single"/>
        </w:rPr>
        <w:t>《技术承诺函》（格式见第四章）；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8</w:t>
      </w:r>
      <w:r>
        <w:rPr>
          <w:rFonts w:hint="eastAsia" w:ascii="宋体" w:hAnsi="宋体"/>
          <w:color w:val="auto"/>
          <w:sz w:val="24"/>
          <w:szCs w:val="24"/>
          <w:highlight w:val="none"/>
          <w:u w:val="single"/>
        </w:rPr>
        <w:t>《施工项目管理团队人员信息表》（格式见第四章）；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9</w:t>
      </w:r>
      <w:r>
        <w:rPr>
          <w:rFonts w:hint="eastAsia" w:ascii="宋体" w:hAnsi="宋体"/>
          <w:color w:val="auto"/>
          <w:sz w:val="24"/>
          <w:szCs w:val="24"/>
          <w:highlight w:val="none"/>
          <w:u w:val="single"/>
        </w:rPr>
        <w:t>《承诺书》和《对投标文件编制的承诺》（格式见第四章）；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10</w:t>
      </w:r>
      <w:r>
        <w:rPr>
          <w:rFonts w:hint="eastAsia" w:ascii="宋体" w:hAnsi="宋体"/>
          <w:color w:val="auto"/>
          <w:sz w:val="24"/>
          <w:szCs w:val="24"/>
          <w:highlight w:val="none"/>
          <w:u w:val="single"/>
        </w:rPr>
        <w:t xml:space="preserve"> 《投标人基本资料》（格式见第四章，不作为废标条款）；</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w:t>
      </w:r>
      <w:r>
        <w:rPr>
          <w:rFonts w:ascii="宋体" w:hAnsi="宋体"/>
          <w:color w:val="auto"/>
          <w:sz w:val="24"/>
          <w:szCs w:val="24"/>
          <w:highlight w:val="none"/>
          <w:u w:val="single"/>
        </w:rPr>
        <w:t>1</w:t>
      </w:r>
      <w:r>
        <w:rPr>
          <w:rFonts w:hint="eastAsia" w:ascii="宋体" w:hAnsi="宋体"/>
          <w:color w:val="auto"/>
          <w:sz w:val="24"/>
          <w:szCs w:val="24"/>
          <w:highlight w:val="none"/>
          <w:u w:val="single"/>
        </w:rPr>
        <w:t>1 按照招标文件要求填写的《参与编制技术标投标文件人员名单》。</w:t>
      </w:r>
    </w:p>
    <w:p>
      <w:pPr>
        <w:spacing w:line="360" w:lineRule="auto"/>
        <w:ind w:firstLine="480" w:firstLineChars="200"/>
        <w:rPr>
          <w:rFonts w:hint="eastAsia" w:ascii="宋体" w:hAnsi="宋体"/>
          <w:color w:val="auto"/>
          <w:sz w:val="24"/>
          <w:szCs w:val="24"/>
          <w:highlight w:val="none"/>
          <w:u w:val="single"/>
        </w:rPr>
      </w:pPr>
      <w:r>
        <w:rPr>
          <w:rFonts w:hint="eastAsia" w:ascii="宋体" w:hAnsi="宋体"/>
          <w:color w:val="auto"/>
          <w:sz w:val="24"/>
          <w:szCs w:val="24"/>
          <w:highlight w:val="none"/>
          <w:u w:val="single"/>
        </w:rPr>
        <w:t>11.2.12 《危险性较大的分部分项工程清单及超过一定规模的危险性较大的分部分项工程清单》（格式见第四章）；</w:t>
      </w:r>
    </w:p>
    <w:p>
      <w:pPr>
        <w:pStyle w:val="2"/>
        <w:ind w:firstLine="480" w:firstLineChars="200"/>
        <w:rPr>
          <w:rFonts w:hint="eastAsia" w:hAnsi="宋体" w:eastAsia="宋体"/>
          <w:color w:val="auto"/>
          <w:kern w:val="2"/>
          <w:sz w:val="24"/>
          <w:szCs w:val="24"/>
          <w:highlight w:val="none"/>
          <w:u w:val="single"/>
          <w:lang w:val="en-US" w:eastAsia="zh-CN"/>
        </w:rPr>
      </w:pPr>
      <w:r>
        <w:rPr>
          <w:rFonts w:hint="eastAsia" w:hAnsi="宋体"/>
          <w:color w:val="auto"/>
          <w:sz w:val="24"/>
          <w:szCs w:val="24"/>
          <w:highlight w:val="none"/>
          <w:u w:val="single"/>
          <w:lang w:val="en-US" w:eastAsia="zh-CN"/>
        </w:rPr>
        <w:t>11.2.13</w:t>
      </w:r>
      <w:r>
        <w:rPr>
          <w:rFonts w:hint="eastAsia" w:ascii="宋体" w:hAnsi="宋体" w:eastAsia="宋体"/>
          <w:color w:val="auto"/>
          <w:kern w:val="2"/>
          <w:sz w:val="24"/>
          <w:szCs w:val="24"/>
          <w:highlight w:val="none"/>
          <w:u w:val="single"/>
        </w:rPr>
        <w:t>《关于投标保证金的承诺》</w:t>
      </w:r>
      <w:r>
        <w:rPr>
          <w:rFonts w:hint="eastAsia" w:ascii="宋体" w:hAnsi="宋体"/>
          <w:color w:val="auto"/>
          <w:sz w:val="24"/>
          <w:szCs w:val="24"/>
          <w:highlight w:val="none"/>
          <w:u w:val="single"/>
        </w:rPr>
        <w:t>（格式见第四章）；</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u w:val="single"/>
        </w:rPr>
        <w:t>11.2.1</w:t>
      </w:r>
      <w:r>
        <w:rPr>
          <w:rFonts w:hint="eastAsia" w:ascii="宋体" w:hAnsi="宋体"/>
          <w:color w:val="auto"/>
          <w:sz w:val="24"/>
          <w:szCs w:val="24"/>
          <w:highlight w:val="none"/>
          <w:u w:val="single"/>
          <w:lang w:val="en-US" w:eastAsia="zh-CN"/>
        </w:rPr>
        <w:t>4</w:t>
      </w:r>
      <w:r>
        <w:rPr>
          <w:rFonts w:hint="eastAsia" w:ascii="宋体" w:hAnsi="宋体"/>
          <w:color w:val="auto"/>
          <w:sz w:val="24"/>
          <w:szCs w:val="24"/>
          <w:highlight w:val="none"/>
          <w:u w:val="single"/>
        </w:rPr>
        <w:t>其他投标人认为应该提供的资料。</w:t>
      </w:r>
    </w:p>
    <w:p>
      <w:pPr>
        <w:spacing w:line="360" w:lineRule="auto"/>
        <w:ind w:firstLine="480" w:firstLineChars="200"/>
        <w:rPr>
          <w:rFonts w:ascii="宋体"/>
          <w:bCs/>
          <w:color w:val="auto"/>
          <w:sz w:val="24"/>
          <w:szCs w:val="24"/>
          <w:highlight w:val="none"/>
        </w:rPr>
      </w:pPr>
      <w:r>
        <w:rPr>
          <w:rFonts w:ascii="宋体" w:hAnsi="宋体"/>
          <w:bCs/>
          <w:color w:val="auto"/>
          <w:sz w:val="24"/>
          <w:szCs w:val="24"/>
          <w:highlight w:val="none"/>
        </w:rPr>
        <w:t xml:space="preserve">11.3 </w:t>
      </w:r>
      <w:r>
        <w:rPr>
          <w:rFonts w:hint="eastAsia" w:ascii="宋体" w:hAnsi="宋体"/>
          <w:bCs/>
          <w:color w:val="auto"/>
          <w:sz w:val="24"/>
          <w:szCs w:val="24"/>
          <w:highlight w:val="none"/>
        </w:rPr>
        <w:t>经济部分投标文件主要包括下列内容：</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11.3.1 </w:t>
      </w:r>
      <w:r>
        <w:rPr>
          <w:rFonts w:hint="eastAsia" w:ascii="宋体" w:hAnsi="宋体"/>
          <w:color w:val="auto"/>
          <w:sz w:val="24"/>
          <w:szCs w:val="24"/>
          <w:highlight w:val="none"/>
        </w:rPr>
        <w:t>经济投标文件</w:t>
      </w:r>
      <w:r>
        <w:rPr>
          <w:rFonts w:ascii="宋体" w:hAnsi="宋体"/>
          <w:color w:val="auto"/>
          <w:sz w:val="24"/>
          <w:szCs w:val="24"/>
          <w:highlight w:val="none"/>
        </w:rPr>
        <w:t>(</w:t>
      </w:r>
      <w:r>
        <w:rPr>
          <w:rFonts w:hint="eastAsia" w:ascii="宋体" w:hAnsi="宋体"/>
          <w:color w:val="auto"/>
          <w:sz w:val="24"/>
          <w:szCs w:val="24"/>
          <w:highlight w:val="none"/>
        </w:rPr>
        <w:t>按招标文件的要求填写</w:t>
      </w:r>
      <w:r>
        <w:rPr>
          <w:rFonts w:ascii="宋体" w:hAnsi="宋体"/>
          <w:color w:val="auto"/>
          <w:sz w:val="24"/>
          <w:szCs w:val="24"/>
          <w:highlight w:val="none"/>
        </w:rPr>
        <w:t>)</w:t>
      </w:r>
      <w:r>
        <w:rPr>
          <w:rFonts w:hint="eastAsia" w:ascii="宋体" w:hAnsi="宋体"/>
          <w:color w:val="auto"/>
          <w:sz w:val="24"/>
          <w:szCs w:val="24"/>
          <w:highlight w:val="none"/>
        </w:rPr>
        <w:t>。</w:t>
      </w:r>
    </w:p>
    <w:p>
      <w:pPr>
        <w:spacing w:line="360" w:lineRule="auto"/>
        <w:ind w:firstLine="480" w:firstLineChars="200"/>
        <w:rPr>
          <w:rFonts w:ascii="宋体"/>
          <w:color w:val="auto"/>
          <w:sz w:val="24"/>
          <w:szCs w:val="24"/>
          <w:highlight w:val="none"/>
        </w:rPr>
      </w:pPr>
      <w:r>
        <w:rPr>
          <w:rFonts w:ascii="宋体" w:hAnsi="宋体"/>
          <w:color w:val="auto"/>
          <w:sz w:val="24"/>
          <w:szCs w:val="24"/>
          <w:highlight w:val="none"/>
        </w:rPr>
        <w:t>11.3.2</w:t>
      </w:r>
      <w:r>
        <w:rPr>
          <w:rFonts w:hint="eastAsia" w:ascii="宋体" w:hAnsi="宋体"/>
          <w:color w:val="auto"/>
          <w:sz w:val="24"/>
          <w:szCs w:val="24"/>
          <w:highlight w:val="none"/>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olor w:val="auto"/>
          <w:sz w:val="24"/>
          <w:szCs w:val="24"/>
          <w:highlight w:val="none"/>
          <w:u w:val="single"/>
        </w:rPr>
        <w:t>（投标报价的工程量清单的组成、格式等按广州公共资源交易中心的投标文件管理软件自动生成）</w:t>
      </w:r>
      <w:r>
        <w:rPr>
          <w:rFonts w:hint="eastAsia" w:ascii="宋体" w:hAnsi="宋体"/>
          <w:color w:val="auto"/>
          <w:sz w:val="24"/>
          <w:szCs w:val="24"/>
          <w:highlight w:val="none"/>
        </w:rPr>
        <w:t>。</w:t>
      </w:r>
    </w:p>
    <w:p>
      <w:pPr>
        <w:tabs>
          <w:tab w:val="left" w:pos="1125"/>
        </w:tabs>
        <w:spacing w:line="276" w:lineRule="auto"/>
        <w:ind w:firstLine="480" w:firstLineChars="200"/>
        <w:rPr>
          <w:rFonts w:ascii="宋体" w:hAnsi="宋体"/>
          <w:color w:val="auto"/>
          <w:sz w:val="24"/>
          <w:szCs w:val="24"/>
          <w:highlight w:val="none"/>
        </w:rPr>
      </w:pPr>
      <w:r>
        <w:rPr>
          <w:rFonts w:ascii="宋体" w:hAnsi="宋体"/>
          <w:color w:val="auto"/>
          <w:sz w:val="24"/>
          <w:szCs w:val="24"/>
          <w:highlight w:val="none"/>
        </w:rPr>
        <w:t>11.3.</w:t>
      </w:r>
      <w:r>
        <w:rPr>
          <w:rFonts w:hint="eastAsia" w:ascii="宋体" w:hAnsi="宋体"/>
          <w:color w:val="auto"/>
          <w:sz w:val="24"/>
          <w:szCs w:val="24"/>
          <w:highlight w:val="none"/>
        </w:rPr>
        <w:t>3按照</w:t>
      </w:r>
      <w:r>
        <w:rPr>
          <w:rFonts w:hint="eastAsia" w:ascii="宋体" w:hAnsi="宋体"/>
          <w:bCs/>
          <w:color w:val="auto"/>
          <w:sz w:val="24"/>
          <w:szCs w:val="24"/>
          <w:highlight w:val="none"/>
        </w:rPr>
        <w:t>招标文件要求</w:t>
      </w:r>
      <w:r>
        <w:rPr>
          <w:rFonts w:hint="eastAsia" w:ascii="宋体" w:hAnsi="宋体"/>
          <w:color w:val="auto"/>
          <w:sz w:val="24"/>
          <w:szCs w:val="24"/>
          <w:highlight w:val="none"/>
        </w:rPr>
        <w:t>填写的《参与编制经济标投标文件人员名单》。</w:t>
      </w:r>
    </w:p>
    <w:p>
      <w:pPr>
        <w:tabs>
          <w:tab w:val="left" w:pos="1125"/>
        </w:tabs>
        <w:spacing w:line="276" w:lineRule="auto"/>
        <w:ind w:firstLine="480" w:firstLineChars="200"/>
        <w:rPr>
          <w:rFonts w:ascii="宋体" w:hAnsi="宋体"/>
          <w:bCs/>
          <w:color w:val="auto"/>
          <w:sz w:val="24"/>
          <w:szCs w:val="24"/>
          <w:highlight w:val="none"/>
          <w:u w:val="single"/>
        </w:rPr>
      </w:pPr>
      <w:r>
        <w:rPr>
          <w:rFonts w:hint="eastAsia" w:ascii="宋体" w:hAnsi="宋体"/>
          <w:bCs/>
          <w:color w:val="auto"/>
          <w:sz w:val="24"/>
          <w:szCs w:val="24"/>
          <w:highlight w:val="none"/>
          <w:u w:val="single"/>
        </w:rPr>
        <w:t>11.3.4 《对投标文件编制的承诺》。</w:t>
      </w:r>
    </w:p>
    <w:p>
      <w:pPr>
        <w:tabs>
          <w:tab w:val="left" w:pos="1125"/>
        </w:tabs>
        <w:spacing w:line="276" w:lineRule="auto"/>
        <w:ind w:firstLine="480" w:firstLineChars="200"/>
        <w:rPr>
          <w:rFonts w:ascii="宋体" w:hAnsi="宋体"/>
          <w:bCs/>
          <w:color w:val="auto"/>
          <w:sz w:val="24"/>
          <w:szCs w:val="24"/>
          <w:highlight w:val="none"/>
        </w:rPr>
      </w:pPr>
      <w:r>
        <w:rPr>
          <w:rFonts w:hint="eastAsia" w:ascii="宋体" w:hAnsi="宋体"/>
          <w:bCs/>
          <w:color w:val="auto"/>
          <w:sz w:val="24"/>
          <w:szCs w:val="24"/>
          <w:highlight w:val="none"/>
          <w:u w:val="single"/>
        </w:rPr>
        <w:t xml:space="preserve">11.3.5 </w:t>
      </w:r>
      <w:r>
        <w:rPr>
          <w:rFonts w:hint="eastAsia" w:ascii="宋体" w:hAnsi="宋体"/>
          <w:bCs/>
          <w:color w:val="auto"/>
          <w:sz w:val="24"/>
          <w:szCs w:val="24"/>
          <w:highlight w:val="none"/>
        </w:rPr>
        <w:t>若投标人的投标报价低于工程成本警戒价的，投标人还须提供详细的施工组织设计、单价、措施性费用、单价分析表、主要材料价格表、投标人成本分析供评标委员会评审。</w:t>
      </w:r>
    </w:p>
    <w:p>
      <w:pPr>
        <w:spacing w:line="360" w:lineRule="auto"/>
        <w:ind w:firstLine="600" w:firstLineChars="250"/>
        <w:rPr>
          <w:rFonts w:ascii="宋体" w:hAnsi="宋体"/>
          <w:bCs/>
          <w:color w:val="auto"/>
          <w:sz w:val="24"/>
          <w:szCs w:val="24"/>
          <w:highlight w:val="none"/>
        </w:rPr>
      </w:pPr>
      <w:r>
        <w:rPr>
          <w:rFonts w:hint="eastAsia" w:ascii="宋体" w:hAnsi="宋体"/>
          <w:bCs/>
          <w:color w:val="auto"/>
          <w:sz w:val="24"/>
          <w:szCs w:val="24"/>
          <w:highlight w:val="none"/>
          <w:u w:val="single"/>
        </w:rPr>
        <w:t>11.3.6</w:t>
      </w:r>
      <w:r>
        <w:rPr>
          <w:rFonts w:hint="eastAsia" w:ascii="宋体" w:hAnsi="宋体"/>
          <w:bCs/>
          <w:color w:val="auto"/>
          <w:sz w:val="24"/>
          <w:szCs w:val="24"/>
          <w:highlight w:val="none"/>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区财政局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pPr>
        <w:spacing w:line="276" w:lineRule="auto"/>
        <w:ind w:firstLine="600" w:firstLineChars="250"/>
        <w:rPr>
          <w:rFonts w:ascii="宋体" w:hAnsi="宋体"/>
          <w:bCs/>
          <w:color w:val="auto"/>
          <w:sz w:val="24"/>
          <w:szCs w:val="24"/>
          <w:highlight w:val="none"/>
          <w:u w:val="single"/>
        </w:rPr>
      </w:pP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12．投标文件格式</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12.1 投标文件包括本须知第11条中规定的内容，投标人提交的投标文件应当使用招标文件所提供的投标文件全部格式（表格可以按同样格式扩展）。</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12.2 投标文件全部采用电子文档，投标文件所附证书证件均为原件扫描件，并采用单位数字证书，按招标文件要求在相应位置加盖电子印章。投标文件中需个人签字或盖章的，</w:t>
      </w:r>
      <w:r>
        <w:rPr>
          <w:rFonts w:hint="eastAsia" w:ascii="宋体" w:hAnsi="宋体"/>
          <w:color w:val="auto"/>
          <w:kern w:val="0"/>
          <w:sz w:val="24"/>
          <w:szCs w:val="24"/>
          <w:highlight w:val="none"/>
          <w:u w:val="single"/>
        </w:rPr>
        <w:t>应加盖个人电子印章或手签或盖章</w:t>
      </w:r>
      <w:r>
        <w:rPr>
          <w:rFonts w:hint="eastAsia" w:ascii="宋体" w:hAnsi="宋体"/>
          <w:color w:val="auto"/>
          <w:kern w:val="0"/>
          <w:sz w:val="24"/>
          <w:szCs w:val="24"/>
          <w:highlight w:val="none"/>
        </w:rPr>
        <w:t>后扫描上传。</w:t>
      </w:r>
      <w:r>
        <w:rPr>
          <w:rFonts w:hint="eastAsia" w:ascii="宋体" w:hAnsi="宋体"/>
          <w:color w:val="auto"/>
          <w:kern w:val="0"/>
          <w:sz w:val="24"/>
          <w:szCs w:val="24"/>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kern w:val="0"/>
          <w:sz w:val="24"/>
          <w:szCs w:val="24"/>
          <w:highlight w:val="none"/>
        </w:rPr>
        <w:t>按照交易平台关于全流程电子化项目的相关指南进行操作。详见：</w:t>
      </w:r>
      <w:r>
        <w:rPr>
          <w:rFonts w:hint="eastAsia" w:ascii="宋体" w:hAnsi="宋体"/>
          <w:color w:val="auto"/>
          <w:kern w:val="0"/>
          <w:sz w:val="24"/>
          <w:szCs w:val="24"/>
          <w:highlight w:val="none"/>
          <w:u w:val="single"/>
        </w:rPr>
        <w:t>【全流程电子化项目】电子招投标操作手册（无纸化）。</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12.3 投标文件应按照交易平台关于全流程电子化项目的相关指南进行编制，详见：【全流程电子化项目】电子招投标操作手册（无纸化）。               </w:t>
      </w:r>
    </w:p>
    <w:p>
      <w:pPr>
        <w:widowControl/>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如不按上述要求编制引起系统无法检索、读取相关信息的，其后果由投标人承担。</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13．投标报价及造价承包和变更结算方式</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13.1 本工程的投标报价采用投标须知前附表第12项所规定的方式。投标报价（含单价及总价）精确到“分”。</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13.1.1投标报价的计费依据：</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13.1.1.1工程计价执行《广东省建设工程计价依据（2018）》等有关规定。</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13.1.1.2材料综合价格部分、人工日工资价格及机械台班价格执行本项目概算财政评审批复所参考的同期月度有关文件。</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13.1.1.3材料价格依据：本项目概算财政评审批复所参考的同期月度广州地区建设工程常用材料税前综合信息价，不足部分参考同期《广州地区建设工程材料（设备）厂商价格信息》及市场价等有关价格文件。</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13.1.1.4本项目所使用的材料、其质量档次按本招标文件所附施工合同专用条款49.9要求进行计价。</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widowControl/>
        <w:spacing w:line="360" w:lineRule="auto"/>
        <w:ind w:firstLine="240" w:firstLineChars="1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13.3.1</w:t>
      </w:r>
      <w:r>
        <w:rPr>
          <w:rFonts w:hint="eastAsia" w:ascii="宋体" w:hAnsi="宋体"/>
          <w:color w:val="auto"/>
          <w:kern w:val="0"/>
          <w:sz w:val="24"/>
          <w:szCs w:val="24"/>
          <w:highlight w:val="none"/>
          <w:u w:val="single"/>
        </w:rPr>
        <w:t>技术措施项目费、绿色施工安全防护措施费、措施其它项目费〔包括夜间施工增加费、交通干扰工程施工增加费、赶工措施费、地下管线交叉降效费、特殊工程培训费、施工排水费、施工降水费、大型机械进出场费、泥浆池(槽)砌筑及拆除费、地上、地下设施、建筑物的临时保护设施、交通安全维护设施费、 道路交通疏导费、临时占用道路费、永久管线标志设置费、硬式扫床验收费、环境保护费、淤泥疏通费、环保报批费、施工便道、栈桥、机械浮船、工程保险费、工程保修费等费用〕、其它项目费用｛包括总承包服务费、管理配合费、材料保管费、预算包干费等费用｝、拟建工程(道路、建筑物等) 周边的房屋进行房屋鉴定费用（因施工原因引起的鉴定）费用等与工程有关的费用及保证质量、安全的各项技术措施费，由投标人自行考虑并计入投标报价。</w:t>
      </w:r>
    </w:p>
    <w:p>
      <w:pPr>
        <w:widowControl/>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u w:val="single"/>
        </w:rPr>
        <w:t xml:space="preserve">  预算包干费包括:施工雨(污)水的排除、地下水的排除；因地形影响造成的场内料具二次运输；工程用水加压措施；完工清场后的垃圾外运;材料堆放场地的整理；水电安装后的补洞工料费；工程成品、半成品的保护、照顾费；施工中的临时停电停水的应急措施；基础埋深2米以内挖土方的塌方；日间照明施工增加费</w:t>
      </w:r>
      <w:r>
        <w:rPr>
          <w:rFonts w:hint="eastAsia" w:ascii="宋体" w:hAnsi="宋体"/>
          <w:color w:val="auto"/>
          <w:kern w:val="0"/>
          <w:sz w:val="24"/>
          <w:szCs w:val="24"/>
          <w:highlight w:val="none"/>
        </w:rPr>
        <w:t>。</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13.3.2本次投标报价是包含施工过程风险的报价，承包人在施工过程所需的施工风险处理费用及不可预见费用在投标报价中已包含，承包人在施工过程造成附近建筑物、构筑物及现场已完成的构件破坏，由此引起的所有费用由承包人承担。</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13.3.3凡施工图纸中未有详细注明的做法，则按国家及广东省有关的设计规范及施工验收规范进行施工，投标人在投标报价时须将些因素考虑在内。</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13.3.4投标人还应在本次投标报价中充分考虑由招标人另外委托的其他专业承包人（例如各种专业设备安装等非本次招标范围的工程项目）等进入现场施工的管理配合费用，并须在施工过程中在人力和机械方面给予配合和管理。</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u w:val="single"/>
        </w:rPr>
        <w:t>13.3.5承包人按现行的相关规定及施工合同条款要求购买工程保险，所需费用由各投标人综合考虑在投标报价中。</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13.3.6本工程开工日期以发包人书面通知时间为准，工期需与其它标段配合，施工需与其它标段穿插进行，相关费用及工期须在投标报价中考虑，发包人不再另行增加费用及工期。</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13.3.7招标人不提供取土点，土方的运距按15公里考虑进行计价，因运距而引起造价变化属投标风险，招标人在项目实施时对相关影响不作增减。</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13.3.8中标人需配合由发包人委托的桩基等检测项目的检测工作，负责按检测单位要求提供水源、电源、脚手架、修建检测车辆出入便道、检测场地平整、钻芯孔回灌封闭所需的水泥等、检测用桩帽的制作、相关预埋件的埋设、结构实体检测后的恢复工作等准备、配合工作，相关费用投标人须在投标报价中考虑，发包人不再另行增加费用。</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13.3.9根据《广州市城乡建设委员会印发〈关于进一步加强广州市建设工程质量检测委托管理工作方案〉的通知》（穗建质[2012]1767号）第二条规定：“新招标的建设工程，应在施工招标文件中明确建设单位为委托工程质量检测的主体，工程质量检测费用不应纳入投标总价。”因此，在编制本工程投标预算时，其他项目费中的材料检验试验费不应包含在投标报价中。</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13.4投标人一旦中标，投标人对招标人提供的招标工程量清单中列出的工程项目所报出的综合单价</w:t>
      </w:r>
      <w:r>
        <w:rPr>
          <w:rFonts w:hint="eastAsia" w:ascii="宋体" w:hAnsi="宋体"/>
          <w:color w:val="auto"/>
          <w:kern w:val="0"/>
          <w:sz w:val="24"/>
          <w:szCs w:val="24"/>
          <w:highlight w:val="none"/>
          <w:u w:val="single"/>
        </w:rPr>
        <w:t>，原则上将不得变更，但涉及建设工程材料价格波动异常，超出发承包双方按以往经验所能预见与避免的范围和承担的风险的情况除外，由招标人在招标文件及合同中明确市场价格发生异常变动情况时合同价款的调整办法。</w:t>
      </w:r>
      <w:r>
        <w:rPr>
          <w:rFonts w:hint="eastAsia" w:ascii="宋体" w:hAnsi="宋体"/>
          <w:color w:val="auto"/>
          <w:kern w:val="0"/>
          <w:sz w:val="24"/>
          <w:szCs w:val="24"/>
          <w:highlight w:val="none"/>
        </w:rPr>
        <w:t>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13.5工程项目实施期间和结算时，招标文件工程量清单中漏列而由监理单位和招标人现场签证确认的工程项目、原设计没有而由招标人批准设计变更产生的工程项目，视为新增项目，增加或减少工程量确定价格办法详施工合同。</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13.5.1中标的投标文件工程量清单中已有相同项目的适用综合单价，则沿用；</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w:t>
      </w:r>
      <w:r>
        <w:rPr>
          <w:rFonts w:hint="eastAsia" w:ascii="宋体" w:hAnsi="宋体"/>
          <w:color w:val="auto"/>
          <w:kern w:val="0"/>
          <w:sz w:val="24"/>
          <w:szCs w:val="24"/>
          <w:highlight w:val="none"/>
          <w:u w:val="single"/>
        </w:rPr>
        <w:t>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详见本招标文件所附施工合同专用条款第72.工程变更事件的有关规定。</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rPr>
        <w:t>13.5.3中标的投标文件工程量清单中没有相同项目或类似项目的，如可套取相关定额，则以相关定额为基数下浮计算单价,下浮率为中标价相对于最高投标限价的下浮率（下浮率=(最高投标限价-中标价)/ 最高投标限价）。</w:t>
      </w:r>
      <w:r>
        <w:rPr>
          <w:rFonts w:hint="eastAsia" w:ascii="宋体" w:hAnsi="宋体"/>
          <w:color w:val="auto"/>
          <w:kern w:val="0"/>
          <w:sz w:val="24"/>
          <w:szCs w:val="24"/>
          <w:highlight w:val="none"/>
          <w:u w:val="single"/>
        </w:rPr>
        <w:t>材料价格按广州市造价管理站同期《广州地区建设工程常用材料综合价格》计算，《广州地区建设工程常用材料综合价格》没有的材料单价，则参照广州市造价管理站同期《广州地区建设工程材料（设备）厂商价格信息》并进行市场询价；对《广州地区建设工程材料（设备）厂商价格信息》仍然没有的材料单价，则由承包人提出适当的材料单价，经招标人和监理单位确认后执行。</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13.5.4 如相关定额没有相应子目的，其计价方式由招标人在本招标文件第三章中另行规定。未规定的，中标后双方协商约定。</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13.6暂列金额、暂估价</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widowControl/>
        <w:spacing w:line="360" w:lineRule="auto"/>
        <w:jc w:val="left"/>
        <w:rPr>
          <w:rFonts w:ascii="宋体" w:hAnsi="宋体"/>
          <w:color w:val="auto"/>
          <w:kern w:val="0"/>
          <w:sz w:val="24"/>
          <w:szCs w:val="24"/>
          <w:highlight w:val="none"/>
        </w:rPr>
      </w:pPr>
      <w:r>
        <w:rPr>
          <w:rFonts w:hint="eastAsia" w:ascii="宋体" w:hAnsi="宋体"/>
          <w:color w:val="auto"/>
          <w:kern w:val="0"/>
          <w:sz w:val="24"/>
          <w:szCs w:val="24"/>
          <w:highlight w:val="none"/>
        </w:rPr>
        <w:t>暂估价是指招标人在工程量清单中提供的用于支付必然发生但暂时不能确定价格的材料的单价以及专业工程的金额。</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 xml:space="preserve">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   </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13.5款规定确定。</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13.10投标人一旦中标，中标价即为合同价，合同价款在合同条款签订后，任何一方不得擅自改变。投标人在报价时要充分考虑本工程的一切风险因素（如场地因素、地质资料和地下障碍物因素、材料设备价格因素、工程费用调整因素、外部环境影响因素等），在投标报价时作出最优和最合适、最有竞争力的报价。</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13.11工程变更详见本招标文件所附施工合同专用条款第72.工程变更事件的有关规定。</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13.12工程量清单说明详见本招标文件第七章。</w:t>
      </w:r>
    </w:p>
    <w:p>
      <w:pPr>
        <w:pStyle w:val="5"/>
        <w:spacing w:after="0" w:line="360" w:lineRule="auto"/>
        <w:ind w:firstLine="482" w:firstLineChars="200"/>
        <w:rPr>
          <w:rFonts w:ascii="宋体"/>
          <w:b/>
          <w:bCs/>
          <w:color w:val="auto"/>
          <w:sz w:val="24"/>
          <w:szCs w:val="24"/>
          <w:highlight w:val="none"/>
        </w:rPr>
      </w:pPr>
      <w:r>
        <w:rPr>
          <w:rFonts w:ascii="宋体" w:hAnsi="宋体"/>
          <w:b/>
          <w:bCs/>
          <w:color w:val="auto"/>
          <w:sz w:val="24"/>
          <w:szCs w:val="24"/>
          <w:highlight w:val="none"/>
        </w:rPr>
        <w:t>14</w:t>
      </w:r>
      <w:r>
        <w:rPr>
          <w:rFonts w:hint="eastAsia" w:ascii="宋体" w:hAnsi="宋体"/>
          <w:b/>
          <w:bCs/>
          <w:color w:val="auto"/>
          <w:sz w:val="24"/>
          <w:szCs w:val="24"/>
          <w:highlight w:val="none"/>
        </w:rPr>
        <w:t>．投标货币</w:t>
      </w:r>
    </w:p>
    <w:p>
      <w:pPr>
        <w:pStyle w:val="5"/>
        <w:spacing w:after="0" w:line="360" w:lineRule="auto"/>
        <w:ind w:firstLine="480" w:firstLineChars="200"/>
        <w:rPr>
          <w:rFonts w:ascii="宋体"/>
          <w:color w:val="auto"/>
          <w:sz w:val="24"/>
          <w:szCs w:val="24"/>
          <w:highlight w:val="none"/>
        </w:rPr>
      </w:pPr>
      <w:r>
        <w:rPr>
          <w:rFonts w:ascii="宋体" w:hAnsi="宋体"/>
          <w:color w:val="auto"/>
          <w:sz w:val="24"/>
          <w:szCs w:val="24"/>
          <w:highlight w:val="none"/>
        </w:rPr>
        <w:t xml:space="preserve">14.1 </w:t>
      </w:r>
      <w:r>
        <w:rPr>
          <w:rFonts w:hint="eastAsia" w:ascii="宋体" w:hAnsi="宋体"/>
          <w:color w:val="auto"/>
          <w:sz w:val="24"/>
          <w:szCs w:val="24"/>
          <w:highlight w:val="none"/>
        </w:rPr>
        <w:t>本工程投标报价采用的币种为人民币。</w:t>
      </w:r>
    </w:p>
    <w:p>
      <w:pPr>
        <w:pStyle w:val="5"/>
        <w:spacing w:after="0" w:line="360" w:lineRule="auto"/>
        <w:ind w:firstLine="482" w:firstLineChars="200"/>
        <w:rPr>
          <w:rFonts w:ascii="宋体"/>
          <w:color w:val="auto"/>
          <w:sz w:val="24"/>
          <w:szCs w:val="24"/>
          <w:highlight w:val="none"/>
        </w:rPr>
      </w:pPr>
      <w:r>
        <w:rPr>
          <w:rFonts w:ascii="宋体" w:hAnsi="宋体"/>
          <w:b/>
          <w:bCs/>
          <w:color w:val="auto"/>
          <w:sz w:val="24"/>
          <w:szCs w:val="24"/>
          <w:highlight w:val="none"/>
        </w:rPr>
        <w:t>15</w:t>
      </w:r>
      <w:r>
        <w:rPr>
          <w:rFonts w:hint="eastAsia" w:ascii="宋体" w:hAnsi="宋体"/>
          <w:b/>
          <w:bCs/>
          <w:color w:val="auto"/>
          <w:sz w:val="24"/>
          <w:szCs w:val="24"/>
          <w:highlight w:val="none"/>
        </w:rPr>
        <w:t>．投标有效期</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15.1 投标有效期见投标须知前附表第13项所规定的期限，在此期限内，凡符合本招标文件要求的投标文件均保持有效。</w:t>
      </w:r>
    </w:p>
    <w:p>
      <w:pPr>
        <w:widowControl/>
        <w:spacing w:line="360" w:lineRule="auto"/>
        <w:ind w:firstLine="480" w:firstLineChars="200"/>
        <w:jc w:val="left"/>
        <w:rPr>
          <w:rFonts w:ascii="宋体" w:hAnsi="宋体"/>
          <w:color w:val="auto"/>
          <w:kern w:val="0"/>
          <w:sz w:val="24"/>
          <w:szCs w:val="24"/>
          <w:highlight w:val="none"/>
        </w:rPr>
      </w:pPr>
      <w:r>
        <w:rPr>
          <w:rFonts w:hint="eastAsia" w:ascii="宋体" w:hAnsi="宋体"/>
          <w:color w:val="auto"/>
          <w:kern w:val="0"/>
          <w:sz w:val="24"/>
          <w:szCs w:val="24"/>
          <w:highlight w:val="none"/>
        </w:rPr>
        <w:t>15.2 在特殊情况下，招标人在原定投标有效期内，可以根据需要以书面形式向投标人提出延长投标有效期的要求，对此要求投标人须以书面形式予以答复。投标人可以拒绝招标人这种要求</w:t>
      </w:r>
      <w:r>
        <w:rPr>
          <w:rFonts w:hint="eastAsia" w:ascii="宋体" w:hAnsi="宋体"/>
          <w:strike w:val="0"/>
          <w:color w:val="auto"/>
          <w:kern w:val="0"/>
          <w:sz w:val="24"/>
          <w:szCs w:val="24"/>
          <w:highlight w:val="none"/>
        </w:rPr>
        <w:t>，而不影响退还其投标保证金</w:t>
      </w:r>
      <w:r>
        <w:rPr>
          <w:rFonts w:hint="eastAsia" w:ascii="宋体" w:hAnsi="宋体"/>
          <w:color w:val="auto"/>
          <w:kern w:val="0"/>
          <w:sz w:val="24"/>
          <w:szCs w:val="24"/>
          <w:highlight w:val="none"/>
        </w:rPr>
        <w:t>。同意延长投标有效期的投标人既不能要求也不允许修改其投标文件，</w:t>
      </w:r>
      <w:r>
        <w:rPr>
          <w:rFonts w:hint="eastAsia" w:ascii="宋体" w:hAnsi="宋体"/>
          <w:strike w:val="0"/>
          <w:color w:val="auto"/>
          <w:kern w:val="0"/>
          <w:sz w:val="24"/>
          <w:szCs w:val="24"/>
          <w:highlight w:val="none"/>
        </w:rPr>
        <w:t>但需要相应的延长投标保证金的有效期，</w:t>
      </w:r>
      <w:r>
        <w:rPr>
          <w:rFonts w:hint="eastAsia" w:ascii="宋体" w:hAnsi="宋体"/>
          <w:color w:val="auto"/>
          <w:kern w:val="0"/>
          <w:sz w:val="24"/>
          <w:szCs w:val="24"/>
          <w:highlight w:val="none"/>
        </w:rPr>
        <w:t>在延长的投标有效期内，本须知第16条关于投标保证金的退还与不予退还的规定仍然适用。</w:t>
      </w:r>
    </w:p>
    <w:p>
      <w:pPr>
        <w:pStyle w:val="5"/>
        <w:spacing w:after="0" w:line="360" w:lineRule="auto"/>
        <w:ind w:firstLine="482" w:firstLineChars="200"/>
        <w:rPr>
          <w:rFonts w:ascii="宋体"/>
          <w:b/>
          <w:bCs/>
          <w:color w:val="auto"/>
          <w:sz w:val="24"/>
          <w:szCs w:val="24"/>
          <w:highlight w:val="none"/>
        </w:rPr>
      </w:pPr>
      <w:r>
        <w:rPr>
          <w:rFonts w:ascii="宋体" w:hAnsi="宋体"/>
          <w:b/>
          <w:bCs/>
          <w:color w:val="auto"/>
          <w:sz w:val="24"/>
          <w:szCs w:val="24"/>
          <w:highlight w:val="none"/>
        </w:rPr>
        <w:t>16</w:t>
      </w:r>
      <w:r>
        <w:rPr>
          <w:rFonts w:hint="eastAsia" w:ascii="宋体" w:hAnsi="宋体"/>
          <w:b/>
          <w:bCs/>
          <w:color w:val="auto"/>
          <w:sz w:val="24"/>
          <w:szCs w:val="24"/>
          <w:highlight w:val="none"/>
        </w:rPr>
        <w:t>．投标保证金</w:t>
      </w:r>
    </w:p>
    <w:p>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16.1本项目</w:t>
      </w:r>
      <w:r>
        <w:rPr>
          <w:rFonts w:ascii="宋体" w:hAnsi="宋体"/>
          <w:color w:val="auto"/>
          <w:kern w:val="0"/>
          <w:sz w:val="24"/>
          <w:szCs w:val="24"/>
          <w:highlight w:val="none"/>
          <w:u w:val="single"/>
        </w:rPr>
        <w:t>免收投标保证金，</w:t>
      </w:r>
      <w:r>
        <w:rPr>
          <w:rFonts w:hint="eastAsia" w:ascii="宋体" w:hAnsi="宋体"/>
          <w:color w:val="auto"/>
          <w:kern w:val="0"/>
          <w:sz w:val="24"/>
          <w:szCs w:val="24"/>
          <w:highlight w:val="none"/>
          <w:u w:val="single"/>
        </w:rPr>
        <w:t>投标人提供《关于投标保证金的承诺》（详见附件1</w:t>
      </w:r>
      <w:r>
        <w:rPr>
          <w:rFonts w:ascii="宋体" w:hAnsi="宋体"/>
          <w:color w:val="auto"/>
          <w:kern w:val="0"/>
          <w:sz w:val="24"/>
          <w:szCs w:val="24"/>
          <w:highlight w:val="none"/>
          <w:u w:val="single"/>
        </w:rPr>
        <w:t>）。</w:t>
      </w:r>
    </w:p>
    <w:p>
      <w:pPr>
        <w:spacing w:line="360" w:lineRule="auto"/>
        <w:ind w:firstLine="480" w:firstLineChars="200"/>
        <w:rPr>
          <w:rFonts w:ascii="宋体" w:hAnsi="宋体"/>
          <w:color w:val="auto"/>
          <w:kern w:val="0"/>
          <w:sz w:val="24"/>
          <w:szCs w:val="24"/>
          <w:highlight w:val="none"/>
          <w:u w:val="single"/>
        </w:rPr>
      </w:pPr>
      <w:r>
        <w:rPr>
          <w:rFonts w:hint="eastAsia" w:ascii="宋体" w:hAnsi="宋体"/>
          <w:color w:val="auto"/>
          <w:kern w:val="0"/>
          <w:sz w:val="24"/>
          <w:szCs w:val="24"/>
          <w:highlight w:val="none"/>
          <w:u w:val="single"/>
        </w:rPr>
        <w:t>16.2对于投标人已提供</w:t>
      </w:r>
      <w:r>
        <w:rPr>
          <w:rFonts w:ascii="宋体" w:hAnsi="宋体"/>
          <w:color w:val="auto"/>
          <w:kern w:val="0"/>
          <w:sz w:val="24"/>
          <w:szCs w:val="24"/>
          <w:highlight w:val="none"/>
          <w:u w:val="single"/>
        </w:rPr>
        <w:t>《关于投标保证金的承诺》</w:t>
      </w:r>
      <w:r>
        <w:rPr>
          <w:rFonts w:hint="eastAsia" w:ascii="宋体" w:hAnsi="宋体"/>
          <w:color w:val="auto"/>
          <w:kern w:val="0"/>
          <w:sz w:val="24"/>
          <w:szCs w:val="24"/>
          <w:highlight w:val="none"/>
          <w:u w:val="single"/>
        </w:rPr>
        <w:t>，若投标人存在16.4条款所列情形，该投标人</w:t>
      </w:r>
      <w:r>
        <w:rPr>
          <w:rFonts w:ascii="宋体" w:hAnsi="宋体"/>
          <w:color w:val="auto"/>
          <w:kern w:val="0"/>
          <w:sz w:val="24"/>
          <w:szCs w:val="24"/>
          <w:highlight w:val="none"/>
          <w:u w:val="single"/>
        </w:rPr>
        <w:t>应在</w:t>
      </w:r>
      <w:r>
        <w:rPr>
          <w:rFonts w:hint="eastAsia" w:ascii="宋体" w:hAnsi="宋体"/>
          <w:color w:val="auto"/>
          <w:kern w:val="0"/>
          <w:sz w:val="24"/>
          <w:szCs w:val="24"/>
          <w:highlight w:val="none"/>
          <w:u w:val="single"/>
        </w:rPr>
        <w:t>发现存在16.4条款所列情形之日起</w:t>
      </w:r>
      <w:r>
        <w:rPr>
          <w:rFonts w:ascii="宋体" w:hAnsi="宋体"/>
          <w:color w:val="auto"/>
          <w:kern w:val="0"/>
          <w:sz w:val="24"/>
          <w:szCs w:val="24"/>
          <w:highlight w:val="none"/>
          <w:u w:val="single"/>
        </w:rPr>
        <w:t>5个工作日内</w:t>
      </w:r>
      <w:r>
        <w:rPr>
          <w:rFonts w:hint="eastAsia" w:ascii="宋体" w:hAnsi="宋体"/>
          <w:color w:val="auto"/>
          <w:kern w:val="0"/>
          <w:sz w:val="24"/>
          <w:szCs w:val="24"/>
          <w:highlight w:val="none"/>
          <w:u w:val="single"/>
        </w:rPr>
        <w:t>按投标须知前附表第14项所述金额补交投标保证金。</w:t>
      </w:r>
      <w:r>
        <w:rPr>
          <w:rFonts w:ascii="宋体" w:hAnsi="宋体"/>
          <w:color w:val="auto"/>
          <w:kern w:val="0"/>
          <w:sz w:val="24"/>
          <w:szCs w:val="24"/>
          <w:highlight w:val="none"/>
          <w:u w:val="single"/>
        </w:rPr>
        <w:t>若未按要求补交投标保证金的将暂停其参与</w:t>
      </w:r>
      <w:r>
        <w:rPr>
          <w:rFonts w:hint="eastAsia" w:ascii="宋体" w:hAnsi="宋体"/>
          <w:color w:val="auto"/>
          <w:kern w:val="0"/>
          <w:sz w:val="24"/>
          <w:szCs w:val="24"/>
          <w:highlight w:val="none"/>
          <w:u w:val="single"/>
        </w:rPr>
        <w:t>招标人</w:t>
      </w:r>
      <w:r>
        <w:rPr>
          <w:rFonts w:ascii="宋体" w:hAnsi="宋体"/>
          <w:color w:val="auto"/>
          <w:kern w:val="0"/>
          <w:sz w:val="24"/>
          <w:szCs w:val="24"/>
          <w:highlight w:val="none"/>
          <w:u w:val="single"/>
        </w:rPr>
        <w:t>后续工程投标，直至完成补交手续为止。</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16.3开标时投标人没有按招标文件要求提交符合免予提供投标保证金相关证明材料，且未提交投标保证金的投标人，视为未按要求提供投标保证金。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auto"/>
          <w:kern w:val="0"/>
          <w:sz w:val="24"/>
          <w:szCs w:val="20"/>
          <w:highlight w:val="none"/>
          <w:u w:val="single"/>
        </w:rPr>
      </w:pPr>
      <w:r>
        <w:rPr>
          <w:rFonts w:hint="eastAsia" w:ascii="宋体" w:hAnsi="宋体"/>
          <w:color w:val="auto"/>
          <w:kern w:val="0"/>
          <w:sz w:val="24"/>
          <w:szCs w:val="20"/>
          <w:highlight w:val="none"/>
          <w:u w:val="single"/>
        </w:rPr>
        <w:t>16.</w:t>
      </w:r>
      <w:r>
        <w:rPr>
          <w:rFonts w:hint="eastAsia" w:ascii="宋体" w:hAnsi="宋体"/>
          <w:color w:val="auto"/>
          <w:kern w:val="0"/>
          <w:sz w:val="24"/>
          <w:szCs w:val="20"/>
          <w:highlight w:val="none"/>
          <w:u w:val="single"/>
          <w:lang w:val="en-US" w:eastAsia="zh-CN"/>
        </w:rPr>
        <w:t>4</w:t>
      </w:r>
      <w:r>
        <w:rPr>
          <w:rFonts w:hint="eastAsia" w:ascii="宋体" w:hAnsi="宋体"/>
          <w:color w:val="auto"/>
          <w:kern w:val="0"/>
          <w:sz w:val="24"/>
          <w:szCs w:val="20"/>
          <w:highlight w:val="none"/>
          <w:u w:val="single"/>
        </w:rPr>
        <w:t>如有下列情况之一的，招标人可以不予退还投标保证金（是否退还投标保证金由招标人在招标文件中规定）：</w:t>
      </w:r>
    </w:p>
    <w:p>
      <w:pPr>
        <w:spacing w:line="360" w:lineRule="auto"/>
        <w:ind w:firstLine="480" w:firstLineChars="200"/>
        <w:rPr>
          <w:rFonts w:ascii="宋体" w:hAnsi="宋体"/>
          <w:color w:val="auto"/>
          <w:kern w:val="0"/>
          <w:sz w:val="24"/>
          <w:szCs w:val="20"/>
          <w:highlight w:val="none"/>
          <w:u w:val="single"/>
        </w:rPr>
      </w:pPr>
      <w:r>
        <w:rPr>
          <w:rFonts w:hint="eastAsia" w:ascii="宋体" w:hAnsi="宋体"/>
          <w:color w:val="auto"/>
          <w:kern w:val="0"/>
          <w:sz w:val="24"/>
          <w:szCs w:val="20"/>
          <w:highlight w:val="none"/>
          <w:u w:val="single"/>
        </w:rPr>
        <w:t>16.</w:t>
      </w:r>
      <w:r>
        <w:rPr>
          <w:rFonts w:hint="eastAsia" w:ascii="宋体" w:hAnsi="宋体"/>
          <w:color w:val="auto"/>
          <w:kern w:val="0"/>
          <w:sz w:val="24"/>
          <w:szCs w:val="20"/>
          <w:highlight w:val="none"/>
          <w:u w:val="single"/>
          <w:lang w:val="en-US" w:eastAsia="zh-CN"/>
        </w:rPr>
        <w:t>4</w:t>
      </w:r>
      <w:r>
        <w:rPr>
          <w:rFonts w:hint="eastAsia" w:ascii="宋体" w:hAnsi="宋体"/>
          <w:color w:val="auto"/>
          <w:kern w:val="0"/>
          <w:sz w:val="24"/>
          <w:szCs w:val="20"/>
          <w:highlight w:val="none"/>
          <w:u w:val="single"/>
        </w:rPr>
        <w:t>.1因投标人原因造成投标文件未解密的；</w:t>
      </w:r>
    </w:p>
    <w:p>
      <w:pPr>
        <w:spacing w:line="360" w:lineRule="auto"/>
        <w:ind w:firstLine="480" w:firstLineChars="200"/>
        <w:rPr>
          <w:rFonts w:ascii="宋体" w:hAnsi="宋体"/>
          <w:color w:val="auto"/>
          <w:kern w:val="0"/>
          <w:sz w:val="24"/>
          <w:szCs w:val="20"/>
          <w:highlight w:val="none"/>
          <w:u w:val="single"/>
        </w:rPr>
      </w:pPr>
      <w:r>
        <w:rPr>
          <w:rFonts w:hint="eastAsia" w:ascii="宋体" w:hAnsi="宋体"/>
          <w:color w:val="auto"/>
          <w:kern w:val="0"/>
          <w:sz w:val="24"/>
          <w:szCs w:val="20"/>
          <w:highlight w:val="none"/>
          <w:u w:val="single"/>
        </w:rPr>
        <w:t>16.</w:t>
      </w:r>
      <w:r>
        <w:rPr>
          <w:rFonts w:hint="eastAsia" w:ascii="宋体" w:hAnsi="宋体"/>
          <w:color w:val="auto"/>
          <w:kern w:val="0"/>
          <w:sz w:val="24"/>
          <w:szCs w:val="20"/>
          <w:highlight w:val="none"/>
          <w:u w:val="single"/>
          <w:lang w:val="en-US" w:eastAsia="zh-CN"/>
        </w:rPr>
        <w:t>4</w:t>
      </w:r>
      <w:r>
        <w:rPr>
          <w:rFonts w:hint="eastAsia" w:ascii="宋体" w:hAnsi="宋体"/>
          <w:color w:val="auto"/>
          <w:kern w:val="0"/>
          <w:sz w:val="24"/>
          <w:szCs w:val="20"/>
          <w:highlight w:val="none"/>
          <w:u w:val="single"/>
        </w:rPr>
        <w:t>.2投标人在投标有效期内撤销投标文件；</w:t>
      </w:r>
    </w:p>
    <w:p>
      <w:pPr>
        <w:spacing w:line="360" w:lineRule="auto"/>
        <w:ind w:firstLine="480" w:firstLineChars="200"/>
        <w:rPr>
          <w:rFonts w:ascii="宋体" w:hAnsi="宋体"/>
          <w:color w:val="auto"/>
          <w:kern w:val="0"/>
          <w:sz w:val="24"/>
          <w:szCs w:val="20"/>
          <w:highlight w:val="none"/>
          <w:u w:val="single"/>
        </w:rPr>
      </w:pPr>
      <w:r>
        <w:rPr>
          <w:rFonts w:hint="eastAsia" w:ascii="宋体" w:hAnsi="宋体"/>
          <w:color w:val="auto"/>
          <w:kern w:val="0"/>
          <w:sz w:val="24"/>
          <w:szCs w:val="20"/>
          <w:highlight w:val="none"/>
          <w:u w:val="single"/>
        </w:rPr>
        <w:t>16.</w:t>
      </w:r>
      <w:r>
        <w:rPr>
          <w:rFonts w:hint="eastAsia" w:ascii="宋体" w:hAnsi="宋体"/>
          <w:color w:val="auto"/>
          <w:kern w:val="0"/>
          <w:sz w:val="24"/>
          <w:szCs w:val="20"/>
          <w:highlight w:val="none"/>
          <w:u w:val="single"/>
          <w:lang w:val="en-US" w:eastAsia="zh-CN"/>
        </w:rPr>
        <w:t>4</w:t>
      </w:r>
      <w:r>
        <w:rPr>
          <w:rFonts w:hint="eastAsia" w:ascii="宋体" w:hAnsi="宋体"/>
          <w:color w:val="auto"/>
          <w:kern w:val="0"/>
          <w:sz w:val="24"/>
          <w:szCs w:val="20"/>
          <w:highlight w:val="none"/>
          <w:u w:val="single"/>
        </w:rPr>
        <w:t>.3中标人未能在规定期限内按要求提交履约担保；</w:t>
      </w:r>
    </w:p>
    <w:p>
      <w:pPr>
        <w:spacing w:line="360" w:lineRule="auto"/>
        <w:ind w:firstLine="480" w:firstLineChars="200"/>
        <w:rPr>
          <w:rFonts w:ascii="宋体" w:hAnsi="宋体"/>
          <w:color w:val="auto"/>
          <w:kern w:val="0"/>
          <w:sz w:val="24"/>
          <w:szCs w:val="20"/>
          <w:highlight w:val="none"/>
          <w:u w:val="single"/>
        </w:rPr>
      </w:pPr>
      <w:r>
        <w:rPr>
          <w:rFonts w:hint="eastAsia" w:ascii="宋体" w:hAnsi="宋体"/>
          <w:color w:val="auto"/>
          <w:kern w:val="0"/>
          <w:sz w:val="24"/>
          <w:szCs w:val="20"/>
          <w:highlight w:val="none"/>
          <w:u w:val="single"/>
        </w:rPr>
        <w:t>16.</w:t>
      </w:r>
      <w:r>
        <w:rPr>
          <w:rFonts w:hint="eastAsia" w:ascii="宋体" w:hAnsi="宋体"/>
          <w:color w:val="auto"/>
          <w:kern w:val="0"/>
          <w:sz w:val="24"/>
          <w:szCs w:val="20"/>
          <w:highlight w:val="none"/>
          <w:u w:val="single"/>
          <w:lang w:val="en-US" w:eastAsia="zh-CN"/>
        </w:rPr>
        <w:t>4</w:t>
      </w:r>
      <w:r>
        <w:rPr>
          <w:rFonts w:hint="eastAsia" w:ascii="宋体" w:hAnsi="宋体"/>
          <w:color w:val="auto"/>
          <w:kern w:val="0"/>
          <w:sz w:val="24"/>
          <w:szCs w:val="20"/>
          <w:highlight w:val="none"/>
          <w:u w:val="single"/>
        </w:rPr>
        <w:t>.4中标人未能在规定期限内签署合同协议。</w:t>
      </w:r>
    </w:p>
    <w:p>
      <w:pPr>
        <w:pStyle w:val="6"/>
        <w:rPr>
          <w:color w:val="auto"/>
          <w:highlight w:val="none"/>
        </w:rPr>
      </w:pP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17</w:t>
      </w:r>
      <w:r>
        <w:rPr>
          <w:rFonts w:hint="eastAsia" w:ascii="宋体" w:hAnsi="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17.1投标人应采用单位数字证书，按招标文件要求在相应位置加盖电子印章。投标文件中需个人签字或盖章的，</w:t>
      </w:r>
      <w:r>
        <w:rPr>
          <w:rFonts w:hint="eastAsia" w:ascii="宋体" w:hAnsi="宋体"/>
          <w:color w:val="auto"/>
          <w:sz w:val="24"/>
          <w:highlight w:val="none"/>
          <w:u w:val="single"/>
        </w:rPr>
        <w:t>应加盖个人电子印章或手签或盖章</w:t>
      </w:r>
      <w:r>
        <w:rPr>
          <w:rFonts w:hint="eastAsia" w:ascii="宋体" w:hAnsi="宋体"/>
          <w:color w:val="auto"/>
          <w:sz w:val="24"/>
          <w:highlight w:val="none"/>
          <w:u w:val="none"/>
        </w:rPr>
        <w:t>后扫描上传</w:t>
      </w:r>
      <w:r>
        <w:rPr>
          <w:rFonts w:hint="eastAsia" w:ascii="宋体" w:hAnsi="宋体"/>
          <w:color w:val="auto"/>
          <w:sz w:val="24"/>
          <w:highlight w:val="none"/>
        </w:rPr>
        <w:t>。</w:t>
      </w:r>
      <w:r>
        <w:rPr>
          <w:rFonts w:hint="eastAsia" w:ascii="宋体" w:hAnsi="宋体"/>
          <w:color w:val="auto"/>
          <w:sz w:val="24"/>
          <w:highlight w:val="none"/>
          <w:u w:val="single"/>
        </w:rPr>
        <w:t>由广州投标文件管理专用软件系统生成的“工程量清单主表--工程量清单报价表”封面页及扉页可以仅采用单位数字证书加盖电子印章处理。</w:t>
      </w:r>
      <w:r>
        <w:rPr>
          <w:rFonts w:hint="eastAsia" w:ascii="宋体" w:hAnsi="宋体"/>
          <w:color w:val="auto"/>
          <w:sz w:val="24"/>
          <w:highlight w:val="none"/>
        </w:rPr>
        <w:t>按照交易平台关于全流程电子化项目的相关指南进行操作。详见：</w:t>
      </w:r>
      <w:r>
        <w:rPr>
          <w:rFonts w:hint="eastAsia" w:ascii="宋体" w:hAnsi="宋体"/>
          <w:color w:val="auto"/>
          <w:sz w:val="24"/>
          <w:highlight w:val="none"/>
          <w:u w:val="single"/>
        </w:rPr>
        <w:t>【全流程电子化项目】电子招投标操作手册（无纸化）</w:t>
      </w:r>
      <w:r>
        <w:rPr>
          <w:rFonts w:hint="eastAsia" w:ascii="宋体" w:hAnsi="宋体"/>
          <w:color w:val="auto"/>
          <w:sz w:val="24"/>
          <w:highlight w:val="none"/>
        </w:rPr>
        <w:t>。</w:t>
      </w:r>
    </w:p>
    <w:p>
      <w:pPr>
        <w:spacing w:line="360" w:lineRule="auto"/>
        <w:ind w:firstLine="480" w:firstLineChars="200"/>
        <w:rPr>
          <w:rFonts w:hint="eastAsia" w:ascii="宋体" w:hAnsi="宋体"/>
          <w:color w:val="auto"/>
          <w:sz w:val="24"/>
          <w:highlight w:val="none"/>
          <w:u w:val="single"/>
        </w:rPr>
      </w:pPr>
      <w:r>
        <w:rPr>
          <w:rFonts w:hint="eastAsia" w:ascii="宋体" w:hAnsi="宋体"/>
          <w:color w:val="auto"/>
          <w:sz w:val="24"/>
          <w:highlight w:val="none"/>
          <w:u w:val="single"/>
        </w:rPr>
        <w:t>17.</w:t>
      </w:r>
      <w:r>
        <w:rPr>
          <w:rFonts w:ascii="宋体" w:hAnsi="宋体"/>
          <w:color w:val="auto"/>
          <w:sz w:val="24"/>
          <w:highlight w:val="none"/>
          <w:u w:val="single"/>
        </w:rPr>
        <w:t>2</w:t>
      </w:r>
      <w:r>
        <w:rPr>
          <w:rFonts w:hint="eastAsia" w:ascii="宋体" w:hAnsi="宋体"/>
          <w:color w:val="auto"/>
          <w:sz w:val="24"/>
          <w:highlight w:val="none"/>
          <w:u w:val="single"/>
        </w:rPr>
        <w:t>发放中标通知书后3个工作天内投标人需到招标人处，在招标人、招标代理、投标人三方共同见证下，将在广州公共资源交易中心网站下载的投标文件打印(其中的预算文件需转换成《建设工程工程量清单计价规范》规定的格式)，并三方签名确认，投标人加盖公章，然后再复印4套，合共5套投标文件提供给招标人，相关费用由投标人支付。</w:t>
      </w:r>
    </w:p>
    <w:p>
      <w:pPr>
        <w:pStyle w:val="9"/>
        <w:spacing w:before="156" w:after="156"/>
        <w:jc w:val="center"/>
        <w:rPr>
          <w:color w:val="auto"/>
          <w:highlight w:val="none"/>
        </w:rPr>
      </w:pPr>
      <w:bookmarkStart w:id="7" w:name="_Toc14743"/>
      <w:r>
        <w:rPr>
          <w:rFonts w:hint="eastAsia"/>
          <w:color w:val="auto"/>
          <w:highlight w:val="none"/>
        </w:rPr>
        <w:t>（四）投标文件的提交</w:t>
      </w:r>
      <w:bookmarkEnd w:id="7"/>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18</w:t>
      </w:r>
      <w:r>
        <w:rPr>
          <w:rFonts w:hint="eastAsia" w:ascii="宋体" w:hAnsi="宋体"/>
          <w:b/>
          <w:bCs/>
          <w:color w:val="auto"/>
          <w:sz w:val="24"/>
          <w:highlight w:val="none"/>
        </w:rPr>
        <w:t>．</w:t>
      </w:r>
      <w:r>
        <w:rPr>
          <w:rFonts w:hint="eastAsia"/>
          <w:b/>
          <w:color w:val="auto"/>
          <w:sz w:val="24"/>
          <w:szCs w:val="24"/>
          <w:highlight w:val="none"/>
        </w:rPr>
        <w:t>投标文件的密封和标记</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.1</w:t>
      </w:r>
      <w:r>
        <w:rPr>
          <w:rFonts w:hint="eastAsia" w:ascii="宋体" w:hAnsi="宋体"/>
          <w:bCs/>
          <w:color w:val="auto"/>
          <w:sz w:val="24"/>
          <w:highlight w:val="none"/>
        </w:rPr>
        <w:t>递交的电子投标文件（不含备用光盘）必须进行加密。按照交易平台关于</w:t>
      </w:r>
      <w:r>
        <w:rPr>
          <w:rFonts w:hint="eastAsia"/>
          <w:color w:val="auto"/>
          <w:sz w:val="24"/>
          <w:szCs w:val="24"/>
          <w:highlight w:val="none"/>
        </w:rPr>
        <w:t>全流程电子化项目的相关指南进行操作。详见：</w:t>
      </w:r>
      <w:r>
        <w:rPr>
          <w:rFonts w:hint="eastAsia" w:ascii="宋体" w:hAnsi="宋体"/>
          <w:color w:val="auto"/>
          <w:sz w:val="24"/>
          <w:highlight w:val="none"/>
          <w:u w:val="single"/>
        </w:rPr>
        <w:t>【全流程电子化项目】电子招投标操作手册（无纸化）</w:t>
      </w:r>
      <w:r>
        <w:rPr>
          <w:rFonts w:hint="eastAsia"/>
          <w:color w:val="auto"/>
          <w:sz w:val="24"/>
          <w:szCs w:val="24"/>
          <w:highlight w:val="none"/>
        </w:rPr>
        <w:t>。</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8</w:t>
      </w:r>
      <w:r>
        <w:rPr>
          <w:rFonts w:ascii="宋体" w:hAnsi="宋体"/>
          <w:bCs/>
          <w:color w:val="auto"/>
          <w:sz w:val="24"/>
          <w:highlight w:val="none"/>
        </w:rPr>
        <w:t>.2</w:t>
      </w:r>
      <w:r>
        <w:rPr>
          <w:rFonts w:ascii="宋体"/>
          <w:bCs/>
          <w:color w:val="auto"/>
          <w:sz w:val="24"/>
          <w:highlight w:val="none"/>
        </w:rPr>
        <w:t xml:space="preserve"> </w:t>
      </w:r>
      <w:r>
        <w:rPr>
          <w:rFonts w:hint="eastAsia" w:ascii="宋体"/>
          <w:bCs/>
          <w:color w:val="auto"/>
          <w:sz w:val="24"/>
          <w:highlight w:val="none"/>
        </w:rPr>
        <w:t>未按要求加密的投标文件，</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bCs/>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19</w:t>
      </w:r>
      <w:r>
        <w:rPr>
          <w:rFonts w:hint="eastAsia" w:ascii="宋体" w:hAnsi="宋体"/>
          <w:b/>
          <w:bCs/>
          <w:color w:val="auto"/>
          <w:sz w:val="24"/>
          <w:highlight w:val="none"/>
        </w:rPr>
        <w:t>．投标文件的递交和接收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1投标人通过</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递交电子投标文件。</w:t>
      </w:r>
    </w:p>
    <w:p>
      <w:pPr>
        <w:spacing w:line="360" w:lineRule="auto"/>
        <w:ind w:firstLine="480" w:firstLineChars="200"/>
        <w:rPr>
          <w:rFonts w:ascii="宋体"/>
          <w:bCs/>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2投标人完成电子</w:t>
      </w:r>
      <w:r>
        <w:rPr>
          <w:rFonts w:hint="eastAsia" w:ascii="宋体" w:hAnsi="宋体"/>
          <w:color w:val="auto"/>
          <w:sz w:val="24"/>
          <w:highlight w:val="none"/>
        </w:rPr>
        <w:t>投标文件</w:t>
      </w:r>
      <w:r>
        <w:rPr>
          <w:rFonts w:hint="eastAsia" w:ascii="宋体" w:hAnsi="宋体"/>
          <w:bCs/>
          <w:color w:val="auto"/>
          <w:sz w:val="24"/>
          <w:highlight w:val="none"/>
        </w:rPr>
        <w:t>上传后，</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即时向投标人发出递交回执通知。递交时间以递交回执通知载明的传输完成时间为准。</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bCs/>
          <w:color w:val="auto"/>
          <w:sz w:val="24"/>
          <w:highlight w:val="none"/>
        </w:rPr>
        <w:t>9</w:t>
      </w:r>
      <w:r>
        <w:rPr>
          <w:rFonts w:ascii="宋体" w:hAnsi="宋体"/>
          <w:bCs/>
          <w:color w:val="auto"/>
          <w:sz w:val="24"/>
          <w:highlight w:val="none"/>
        </w:rPr>
        <w:t>.</w:t>
      </w:r>
      <w:r>
        <w:rPr>
          <w:rFonts w:hint="eastAsia" w:ascii="宋体" w:hAnsi="宋体"/>
          <w:bCs/>
          <w:color w:val="auto"/>
          <w:sz w:val="24"/>
          <w:highlight w:val="none"/>
        </w:rPr>
        <w:t>3</w:t>
      </w:r>
      <w:r>
        <w:rPr>
          <w:rFonts w:hint="eastAsia"/>
          <w:bCs/>
          <w:color w:val="auto"/>
          <w:sz w:val="24"/>
          <w:szCs w:val="24"/>
          <w:highlight w:val="none"/>
        </w:rPr>
        <w:t>逾期送达的</w:t>
      </w:r>
      <w:r>
        <w:rPr>
          <w:rFonts w:hint="eastAsia" w:ascii="宋体" w:hAnsi="宋体"/>
          <w:bCs/>
          <w:color w:val="auto"/>
          <w:sz w:val="24"/>
          <w:highlight w:val="none"/>
        </w:rPr>
        <w:t>电子投标文件，</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0" w:firstLineChars="200"/>
        <w:rPr>
          <w:rFonts w:ascii="宋体"/>
          <w:color w:val="auto"/>
          <w:sz w:val="24"/>
          <w:highlight w:val="none"/>
        </w:rPr>
      </w:pPr>
      <w:r>
        <w:rPr>
          <w:rFonts w:ascii="宋体" w:hAnsi="宋体"/>
          <w:color w:val="auto"/>
          <w:sz w:val="24"/>
          <w:highlight w:val="none"/>
        </w:rPr>
        <w:t>19.</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szCs w:val="24"/>
          <w:highlight w:val="none"/>
        </w:rPr>
        <w:t>投标截止前，</w:t>
      </w:r>
      <w:r>
        <w:rPr>
          <w:rFonts w:hint="eastAsia"/>
          <w:color w:val="auto"/>
          <w:sz w:val="24"/>
          <w:szCs w:val="24"/>
          <w:highlight w:val="none"/>
        </w:rPr>
        <w:t>招标人拒绝接收符合条件的投标文件，投标人可向招标投标监督机构投诉。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20</w:t>
      </w:r>
      <w:r>
        <w:rPr>
          <w:rFonts w:hint="eastAsia" w:ascii="宋体" w:hAnsi="宋体"/>
          <w:b/>
          <w:bCs/>
          <w:color w:val="auto"/>
          <w:sz w:val="24"/>
          <w:highlight w:val="none"/>
        </w:rPr>
        <w:t>．投标文件提交的截止时间</w:t>
      </w:r>
    </w:p>
    <w:p>
      <w:pPr>
        <w:spacing w:line="360" w:lineRule="auto"/>
        <w:ind w:firstLine="480" w:firstLineChars="200"/>
        <w:rPr>
          <w:rFonts w:ascii="宋体"/>
          <w:b/>
          <w:bCs/>
          <w:color w:val="auto"/>
          <w:sz w:val="24"/>
          <w:highlight w:val="none"/>
        </w:rPr>
      </w:pPr>
      <w:r>
        <w:rPr>
          <w:rFonts w:ascii="宋体" w:hAnsi="宋体"/>
          <w:color w:val="auto"/>
          <w:sz w:val="24"/>
          <w:highlight w:val="none"/>
        </w:rPr>
        <w:t>20.1</w:t>
      </w:r>
      <w:r>
        <w:rPr>
          <w:rFonts w:hint="eastAsia" w:ascii="宋体" w:hAnsi="宋体"/>
          <w:color w:val="auto"/>
          <w:sz w:val="24"/>
          <w:highlight w:val="none"/>
        </w:rPr>
        <w:t>投标人应在投标须知前附表第17项所述的时间前提交投标文件。</w:t>
      </w:r>
    </w:p>
    <w:p>
      <w:pPr>
        <w:spacing w:line="360" w:lineRule="auto"/>
        <w:ind w:firstLine="480" w:firstLineChars="200"/>
        <w:rPr>
          <w:rFonts w:ascii="宋体"/>
          <w:color w:val="auto"/>
          <w:sz w:val="24"/>
          <w:highlight w:val="none"/>
        </w:rPr>
      </w:pPr>
      <w:r>
        <w:rPr>
          <w:rFonts w:ascii="宋体" w:hAnsi="宋体"/>
          <w:color w:val="auto"/>
          <w:sz w:val="24"/>
          <w:highlight w:val="none"/>
        </w:rPr>
        <w:t>20.2</w:t>
      </w:r>
      <w:r>
        <w:rPr>
          <w:rFonts w:hint="eastAsia" w:ascii="宋体" w:hAnsi="宋体"/>
          <w:color w:val="auto"/>
          <w:sz w:val="24"/>
          <w:highlight w:val="none"/>
        </w:rPr>
        <w:t>招标人可按本须知第</w:t>
      </w:r>
      <w:r>
        <w:rPr>
          <w:rFonts w:ascii="宋体" w:hAnsi="宋体"/>
          <w:color w:val="auto"/>
          <w:sz w:val="24"/>
          <w:highlight w:val="none"/>
        </w:rPr>
        <w:t>9</w:t>
      </w:r>
      <w:r>
        <w:rPr>
          <w:rFonts w:hint="eastAsia" w:ascii="宋体" w:hAnsi="宋体"/>
          <w:color w:val="auto"/>
          <w:sz w:val="24"/>
          <w:highlight w:val="none"/>
        </w:rPr>
        <w:t>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20.3 </w:t>
      </w:r>
      <w:r>
        <w:rPr>
          <w:rFonts w:hint="eastAsia" w:ascii="宋体" w:hAnsi="宋体"/>
          <w:color w:val="auto"/>
          <w:sz w:val="24"/>
          <w:highlight w:val="none"/>
        </w:rPr>
        <w:t>到投标截止时间止，招标人收到的投标文件少于3家的，招标人将重新组织招标</w:t>
      </w:r>
      <w:r>
        <w:rPr>
          <w:rFonts w:hint="eastAsia" w:ascii="宋体" w:hAnsi="宋体"/>
          <w:color w:val="auto"/>
          <w:sz w:val="24"/>
          <w:szCs w:val="24"/>
          <w:highlight w:val="none"/>
        </w:rPr>
        <w:t>（当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r>
        <w:rPr>
          <w:rFonts w:hint="eastAsia" w:ascii="宋体" w:hAnsi="宋体"/>
          <w:color w:val="auto"/>
          <w:sz w:val="24"/>
          <w:highlight w:val="none"/>
        </w:rPr>
        <w:t>。</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21</w:t>
      </w:r>
      <w:r>
        <w:rPr>
          <w:rFonts w:hint="eastAsia" w:ascii="宋体" w:hAnsi="宋体"/>
          <w:b/>
          <w:bCs/>
          <w:color w:val="auto"/>
          <w:sz w:val="24"/>
          <w:highlight w:val="none"/>
        </w:rPr>
        <w:t>．迟交的投标文件</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21.1 </w:t>
      </w:r>
      <w:r>
        <w:rPr>
          <w:rFonts w:hint="eastAsia" w:ascii="宋体" w:hAnsi="宋体"/>
          <w:color w:val="auto"/>
          <w:sz w:val="24"/>
          <w:highlight w:val="none"/>
        </w:rPr>
        <w:t>本须知前附表第</w:t>
      </w:r>
      <w:r>
        <w:rPr>
          <w:rFonts w:ascii="宋体" w:hAnsi="宋体"/>
          <w:color w:val="auto"/>
          <w:sz w:val="24"/>
          <w:highlight w:val="none"/>
        </w:rPr>
        <w:t>1</w:t>
      </w:r>
      <w:r>
        <w:rPr>
          <w:rFonts w:hint="eastAsia" w:ascii="宋体" w:hAnsi="宋体"/>
          <w:color w:val="auto"/>
          <w:sz w:val="24"/>
          <w:highlight w:val="none"/>
        </w:rPr>
        <w:t>7项规定的投标截止时间</w:t>
      </w:r>
      <w:r>
        <w:rPr>
          <w:rFonts w:hint="eastAsia"/>
          <w:bCs/>
          <w:color w:val="auto"/>
          <w:sz w:val="24"/>
          <w:szCs w:val="24"/>
          <w:highlight w:val="none"/>
        </w:rPr>
        <w:t>后送达的</w:t>
      </w:r>
      <w:r>
        <w:rPr>
          <w:rFonts w:hint="eastAsia" w:ascii="宋体" w:hAnsi="宋体"/>
          <w:bCs/>
          <w:color w:val="auto"/>
          <w:sz w:val="24"/>
          <w:highlight w:val="none"/>
        </w:rPr>
        <w:t>电子投标文件，</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olor w:val="auto"/>
          <w:sz w:val="24"/>
          <w:highlight w:val="none"/>
        </w:rPr>
        <w:t>将予以拒收。</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22</w:t>
      </w:r>
      <w:r>
        <w:rPr>
          <w:rFonts w:hint="eastAsia" w:ascii="宋体" w:hAnsi="宋体"/>
          <w:b/>
          <w:bCs/>
          <w:color w:val="auto"/>
          <w:sz w:val="24"/>
          <w:highlight w:val="none"/>
        </w:rPr>
        <w:t>．投标文件的修改与撤回</w:t>
      </w:r>
    </w:p>
    <w:p>
      <w:pPr>
        <w:spacing w:line="360" w:lineRule="auto"/>
        <w:ind w:firstLine="480" w:firstLineChars="200"/>
        <w:rPr>
          <w:rFonts w:ascii="宋体"/>
          <w:color w:val="auto"/>
          <w:sz w:val="24"/>
          <w:highlight w:val="none"/>
        </w:rPr>
      </w:pPr>
      <w:r>
        <w:rPr>
          <w:rFonts w:ascii="宋体" w:hAnsi="宋体"/>
          <w:color w:val="auto"/>
          <w:sz w:val="24"/>
          <w:highlight w:val="none"/>
        </w:rPr>
        <w:t>22.1</w:t>
      </w:r>
      <w:r>
        <w:rPr>
          <w:rFonts w:hint="eastAsia" w:ascii="宋体" w:hAnsi="宋体"/>
          <w:color w:val="auto"/>
          <w:sz w:val="24"/>
          <w:highlight w:val="none"/>
        </w:rPr>
        <w:t>在规定的投标截止时间前，投标人可以修改或撤回已递交的投标文件，但应以书面形式通知招标人。</w:t>
      </w:r>
    </w:p>
    <w:p>
      <w:pPr>
        <w:spacing w:line="360" w:lineRule="auto"/>
        <w:ind w:firstLine="480" w:firstLineChars="200"/>
        <w:rPr>
          <w:color w:val="auto"/>
          <w:sz w:val="24"/>
          <w:szCs w:val="24"/>
          <w:highlight w:val="none"/>
        </w:rPr>
      </w:pPr>
      <w:r>
        <w:rPr>
          <w:rFonts w:ascii="宋体" w:hAnsi="宋体"/>
          <w:color w:val="auto"/>
          <w:sz w:val="24"/>
          <w:szCs w:val="24"/>
          <w:highlight w:val="none"/>
        </w:rPr>
        <w:t>22.2</w:t>
      </w:r>
      <w:r>
        <w:rPr>
          <w:color w:val="auto"/>
          <w:sz w:val="24"/>
          <w:szCs w:val="24"/>
          <w:highlight w:val="none"/>
        </w:rPr>
        <w:t>投标人修改或撤回已递交</w:t>
      </w:r>
      <w:r>
        <w:rPr>
          <w:rFonts w:hint="eastAsia"/>
          <w:color w:val="auto"/>
          <w:sz w:val="24"/>
          <w:szCs w:val="24"/>
          <w:highlight w:val="none"/>
        </w:rPr>
        <w:t>的</w:t>
      </w:r>
      <w:r>
        <w:rPr>
          <w:color w:val="auto"/>
          <w:sz w:val="24"/>
          <w:szCs w:val="24"/>
          <w:highlight w:val="none"/>
        </w:rPr>
        <w:t>投标文件</w:t>
      </w:r>
      <w:r>
        <w:rPr>
          <w:rFonts w:hint="eastAsia"/>
          <w:color w:val="auto"/>
          <w:sz w:val="24"/>
          <w:szCs w:val="24"/>
          <w:highlight w:val="none"/>
        </w:rPr>
        <w:t>，需在</w:t>
      </w:r>
      <w:r>
        <w:rPr>
          <w:rFonts w:hint="eastAsia" w:ascii="宋体" w:hAnsi="宋体"/>
          <w:color w:val="auto"/>
          <w:sz w:val="24"/>
          <w:highlight w:val="none"/>
        </w:rPr>
        <w:t>交易平台发出修改或撤回</w:t>
      </w:r>
      <w:r>
        <w:rPr>
          <w:color w:val="auto"/>
          <w:sz w:val="24"/>
          <w:szCs w:val="24"/>
          <w:highlight w:val="none"/>
        </w:rPr>
        <w:t>通知，</w:t>
      </w:r>
      <w:r>
        <w:rPr>
          <w:rFonts w:hint="eastAsia"/>
          <w:color w:val="auto"/>
          <w:sz w:val="24"/>
          <w:szCs w:val="24"/>
          <w:highlight w:val="none"/>
        </w:rPr>
        <w:t>并按</w:t>
      </w:r>
      <w:r>
        <w:rPr>
          <w:color w:val="auto"/>
          <w:sz w:val="24"/>
          <w:szCs w:val="24"/>
          <w:highlight w:val="none"/>
        </w:rPr>
        <w:t>要求加盖电子印章。</w:t>
      </w:r>
      <w:r>
        <w:rPr>
          <w:bCs/>
          <w:iCs/>
          <w:color w:val="auto"/>
          <w:sz w:val="24"/>
          <w:szCs w:val="24"/>
          <w:highlight w:val="none"/>
        </w:rPr>
        <w:t>电子招标投标交易平台收到通知后，</w:t>
      </w:r>
      <w:r>
        <w:rPr>
          <w:color w:val="auto"/>
          <w:sz w:val="24"/>
          <w:szCs w:val="24"/>
          <w:highlight w:val="none"/>
        </w:rPr>
        <w:t>即时向投标人发出确认回执通知。</w:t>
      </w:r>
    </w:p>
    <w:p>
      <w:pPr>
        <w:spacing w:line="360" w:lineRule="auto"/>
        <w:ind w:firstLine="480" w:firstLineChars="200"/>
        <w:rPr>
          <w:color w:val="auto"/>
          <w:sz w:val="24"/>
          <w:szCs w:val="24"/>
          <w:highlight w:val="none"/>
        </w:rPr>
      </w:pPr>
      <w:r>
        <w:rPr>
          <w:rFonts w:hint="eastAsia" w:ascii="宋体" w:hAnsi="宋体"/>
          <w:color w:val="auto"/>
          <w:sz w:val="24"/>
          <w:szCs w:val="24"/>
          <w:highlight w:val="none"/>
        </w:rPr>
        <w:t>22.3</w:t>
      </w:r>
      <w:r>
        <w:rPr>
          <w:rFonts w:hint="eastAsia" w:ascii="宋体" w:hAnsi="宋体"/>
          <w:color w:val="auto"/>
          <w:sz w:val="24"/>
          <w:szCs w:val="22"/>
          <w:highlight w:val="none"/>
        </w:rPr>
        <w:t>修改后再次递交的，按19点的规定执行。</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22.</w:t>
      </w:r>
      <w:r>
        <w:rPr>
          <w:rFonts w:hint="eastAsia" w:ascii="宋体" w:hAnsi="宋体"/>
          <w:color w:val="auto"/>
          <w:sz w:val="24"/>
          <w:highlight w:val="none"/>
        </w:rPr>
        <w:t>4</w:t>
      </w:r>
      <w:r>
        <w:rPr>
          <w:rFonts w:ascii="宋体" w:hAnsi="宋体"/>
          <w:color w:val="auto"/>
          <w:sz w:val="24"/>
          <w:highlight w:val="none"/>
        </w:rPr>
        <w:t xml:space="preserve"> </w:t>
      </w:r>
      <w:r>
        <w:rPr>
          <w:rFonts w:hint="eastAsia" w:ascii="宋体" w:hAnsi="宋体"/>
          <w:color w:val="auto"/>
          <w:sz w:val="24"/>
          <w:highlight w:val="none"/>
        </w:rPr>
        <w:t>在投标截止时间之后，投标人不得补充、修改和更换投标文件。</w:t>
      </w:r>
    </w:p>
    <w:p>
      <w:pPr>
        <w:pStyle w:val="9"/>
        <w:spacing w:before="156" w:after="156"/>
        <w:jc w:val="center"/>
        <w:rPr>
          <w:color w:val="auto"/>
          <w:highlight w:val="none"/>
        </w:rPr>
      </w:pPr>
      <w:bookmarkStart w:id="8" w:name="_Toc13065"/>
      <w:r>
        <w:rPr>
          <w:rFonts w:hint="eastAsia"/>
          <w:color w:val="auto"/>
          <w:highlight w:val="none"/>
        </w:rPr>
        <w:t>（五）开标、评标、定标及合同签定</w:t>
      </w:r>
      <w:bookmarkEnd w:id="8"/>
    </w:p>
    <w:p>
      <w:pPr>
        <w:spacing w:line="360" w:lineRule="auto"/>
        <w:ind w:firstLine="482" w:firstLineChars="200"/>
        <w:rPr>
          <w:rFonts w:ascii="宋体"/>
          <w:b/>
          <w:bCs/>
          <w:color w:val="auto"/>
          <w:sz w:val="24"/>
          <w:highlight w:val="none"/>
        </w:rPr>
      </w:pPr>
      <w:r>
        <w:rPr>
          <w:rFonts w:ascii="宋体" w:hAnsi="宋体"/>
          <w:b/>
          <w:bCs/>
          <w:color w:val="auto"/>
          <w:sz w:val="24"/>
          <w:highlight w:val="none"/>
        </w:rPr>
        <w:t>23</w:t>
      </w:r>
      <w:r>
        <w:rPr>
          <w:rFonts w:hint="eastAsia" w:ascii="宋体" w:hAnsi="宋体"/>
          <w:b/>
          <w:bCs/>
          <w:color w:val="auto"/>
          <w:sz w:val="24"/>
          <w:highlight w:val="none"/>
        </w:rPr>
        <w:t>、开标。</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24</w:t>
      </w:r>
      <w:r>
        <w:rPr>
          <w:rFonts w:hint="eastAsia" w:ascii="宋体" w:hAnsi="宋体"/>
          <w:b/>
          <w:bCs/>
          <w:color w:val="auto"/>
          <w:sz w:val="24"/>
          <w:highlight w:val="none"/>
        </w:rPr>
        <w:t>．评标过程的保密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24.1 </w:t>
      </w:r>
      <w:r>
        <w:rPr>
          <w:rFonts w:hint="eastAsia" w:ascii="宋体" w:hAnsi="宋体"/>
          <w:color w:val="auto"/>
          <w:sz w:val="24"/>
          <w:highlight w:val="none"/>
        </w:rPr>
        <w:t>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asci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25</w:t>
      </w:r>
      <w:r>
        <w:rPr>
          <w:rFonts w:hint="eastAsia" w:ascii="宋体" w:hAnsi="宋体"/>
          <w:b/>
          <w:bCs/>
          <w:color w:val="auto"/>
          <w:sz w:val="24"/>
          <w:highlight w:val="none"/>
        </w:rPr>
        <w:t>．投标文件的澄清，计算错误的修正</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26</w:t>
      </w:r>
      <w:r>
        <w:rPr>
          <w:rFonts w:hint="eastAsia" w:ascii="宋体" w:hAnsi="宋体"/>
          <w:b/>
          <w:bCs/>
          <w:color w:val="auto"/>
          <w:sz w:val="24"/>
          <w:highlight w:val="none"/>
        </w:rPr>
        <w:t>．投标文件的评审、比较和否决</w:t>
      </w:r>
    </w:p>
    <w:p>
      <w:pPr>
        <w:spacing w:line="360" w:lineRule="auto"/>
        <w:ind w:firstLine="480" w:firstLineChars="200"/>
        <w:rPr>
          <w:rFonts w:ascii="宋体"/>
          <w:bCs/>
          <w:color w:val="auto"/>
          <w:sz w:val="24"/>
          <w:szCs w:val="24"/>
          <w:highlight w:val="none"/>
        </w:rPr>
      </w:pPr>
      <w:r>
        <w:rPr>
          <w:rFonts w:hint="eastAsia" w:ascii="宋体" w:hAnsi="宋体"/>
          <w:color w:val="auto"/>
          <w:sz w:val="24"/>
          <w:highlight w:val="none"/>
        </w:rPr>
        <w:t>详见招标文件第二章开标、评标及定标办法。</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27</w:t>
      </w:r>
      <w:r>
        <w:rPr>
          <w:rFonts w:hint="eastAsia" w:ascii="宋体" w:hAnsi="宋体"/>
          <w:b/>
          <w:bCs/>
          <w:color w:val="auto"/>
          <w:sz w:val="24"/>
          <w:highlight w:val="none"/>
        </w:rPr>
        <w:t>．中标通知书</w:t>
      </w:r>
    </w:p>
    <w:p>
      <w:pPr>
        <w:spacing w:line="360" w:lineRule="auto"/>
        <w:ind w:firstLine="480" w:firstLineChars="200"/>
        <w:rPr>
          <w:rFonts w:ascii="宋体"/>
          <w:color w:val="auto"/>
          <w:sz w:val="24"/>
          <w:szCs w:val="24"/>
          <w:highlight w:val="none"/>
        </w:rPr>
      </w:pPr>
      <w:r>
        <w:rPr>
          <w:rFonts w:ascii="宋体" w:hAnsi="宋体"/>
          <w:color w:val="auto"/>
          <w:sz w:val="24"/>
          <w:highlight w:val="none"/>
        </w:rPr>
        <w:t>27.1</w:t>
      </w:r>
      <w:r>
        <w:rPr>
          <w:rFonts w:hint="eastAsia" w:cs="宋体" w:asciiTheme="minorEastAsia" w:hAnsiTheme="minorEastAsia" w:eastAsiaTheme="minorEastAsia"/>
          <w:bCs/>
          <w:color w:val="auto"/>
          <w:kern w:val="0"/>
          <w:sz w:val="24"/>
          <w:szCs w:val="24"/>
          <w:highlight w:val="none"/>
        </w:rPr>
        <w:t>招标人将在</w:t>
      </w:r>
      <w:r>
        <w:rPr>
          <w:rFonts w:hint="eastAsia" w:asciiTheme="minorEastAsia" w:hAnsiTheme="minorEastAsia" w:eastAsiaTheme="minorEastAsia"/>
          <w:color w:val="auto"/>
          <w:sz w:val="24"/>
          <w:szCs w:val="24"/>
          <w:highlight w:val="none"/>
          <w:u w:val="single"/>
        </w:rPr>
        <w:t>广州公共资源交易中心</w:t>
      </w:r>
      <w:r>
        <w:rPr>
          <w:rFonts w:hint="eastAsia" w:cs="宋体" w:asciiTheme="minorEastAsia" w:hAnsiTheme="minorEastAsia" w:eastAsiaTheme="minorEastAsia"/>
          <w:bCs/>
          <w:color w:val="auto"/>
          <w:kern w:val="0"/>
          <w:sz w:val="24"/>
          <w:szCs w:val="24"/>
          <w:highlight w:val="none"/>
        </w:rPr>
        <w:t>交易平台、广东省招标投标监管网和中国招标投标公共服务平台公示中标候选人，公示期为三天。</w:t>
      </w:r>
      <w:r>
        <w:rPr>
          <w:rFonts w:hint="eastAsia" w:cs="宋体" w:asciiTheme="minorEastAsia" w:hAnsiTheme="minorEastAsia" w:eastAsiaTheme="minorEastAsia"/>
          <w:b/>
          <w:bCs/>
          <w:color w:val="auto"/>
          <w:kern w:val="0"/>
          <w:sz w:val="24"/>
          <w:szCs w:val="24"/>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r>
        <w:rPr>
          <w:rFonts w:hint="eastAsia" w:ascii="宋体" w:hAnsi="宋体"/>
          <w:color w:val="auto"/>
          <w:sz w:val="24"/>
          <w:szCs w:val="24"/>
          <w:highlight w:val="none"/>
          <w:u w:val="single"/>
        </w:rPr>
        <w:t>中标单位的法定代表人或授权委托代理人和项目经理必须在中标公示期满之日起</w:t>
      </w:r>
      <w:r>
        <w:rPr>
          <w:rFonts w:ascii="宋体" w:hAnsi="宋体"/>
          <w:color w:val="auto"/>
          <w:sz w:val="24"/>
          <w:szCs w:val="24"/>
          <w:highlight w:val="none"/>
          <w:u w:val="single"/>
        </w:rPr>
        <w:t>3个工作日内，持个人身份证原件、单位公章印鉴、营业执照、资质证书、项目主要管理人员个人身份证原件和资格证（或岗位证）以及在中标单位购买的近1个月的社保证明原件、复印件（加盖中标单位公章）到建设（或代建）单位进行身份核查备案。经核查，确认与投标文件一致的，方可签订施工合同。若身份核查发现与投标文件不一致的，中标无效。逾期不办理的，视为自动放弃中标资格，由其他中标候选人顺次序替补。</w:t>
      </w:r>
    </w:p>
    <w:p>
      <w:pPr>
        <w:spacing w:line="360" w:lineRule="auto"/>
        <w:ind w:firstLine="480" w:firstLineChars="200"/>
        <w:rPr>
          <w:rFonts w:ascii="仿宋_GB2312" w:hAnsi="宋体" w:eastAsia="仿宋_GB2312"/>
          <w:color w:val="auto"/>
          <w:sz w:val="24"/>
          <w:highlight w:val="none"/>
        </w:rPr>
      </w:pPr>
      <w:r>
        <w:rPr>
          <w:rFonts w:ascii="宋体" w:hAnsi="宋体"/>
          <w:color w:val="auto"/>
          <w:sz w:val="24"/>
          <w:highlight w:val="none"/>
        </w:rPr>
        <w:t>27.2</w:t>
      </w:r>
      <w:r>
        <w:rPr>
          <w:rFonts w:hint="eastAsia" w:ascii="宋体" w:hAnsi="宋体"/>
          <w:color w:val="auto"/>
          <w:sz w:val="24"/>
          <w:highlight w:val="none"/>
        </w:rPr>
        <w:t>招标人应当自确定中标人后，向招标投标监管机构提交招标投标情况的书面报告；经招投标监管机构备案后，方可发出中标通知书。</w:t>
      </w:r>
    </w:p>
    <w:p>
      <w:pPr>
        <w:spacing w:line="360" w:lineRule="auto"/>
        <w:ind w:firstLine="480" w:firstLineChars="200"/>
        <w:rPr>
          <w:rFonts w:ascii="宋体" w:hAnsi="宋体"/>
          <w:color w:val="auto"/>
          <w:sz w:val="24"/>
          <w:highlight w:val="none"/>
        </w:rPr>
      </w:pPr>
      <w:r>
        <w:rPr>
          <w:rFonts w:ascii="宋体" w:hAnsi="宋体"/>
          <w:color w:val="auto"/>
          <w:sz w:val="24"/>
          <w:highlight w:val="none"/>
        </w:rPr>
        <w:t>27.3</w:t>
      </w:r>
      <w:r>
        <w:rPr>
          <w:rFonts w:hint="eastAsia" w:ascii="宋体" w:hAnsi="宋体"/>
          <w:color w:val="auto"/>
          <w:sz w:val="24"/>
          <w:highlight w:val="none"/>
        </w:rPr>
        <w:t>中标通知书自</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交易平台发出</w:t>
      </w:r>
      <w:r>
        <w:rPr>
          <w:rFonts w:hint="eastAsia" w:ascii="宋体" w:hAnsi="宋体"/>
          <w:color w:val="auto"/>
          <w:sz w:val="24"/>
          <w:highlight w:val="none"/>
        </w:rPr>
        <w:t>之日，视作中标人确认收到。</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27.4在产生中标候选人后，招标人将中标候选人的投标文件商务部分文件的所有内容（包括人员、业绩、奖项等资料）在</w:t>
      </w:r>
      <w:r>
        <w:rPr>
          <w:rFonts w:hint="eastAsia" w:ascii="宋体" w:hAnsi="宋体"/>
          <w:color w:val="auto"/>
          <w:sz w:val="24"/>
          <w:highlight w:val="none"/>
          <w:u w:val="single"/>
        </w:rPr>
        <w:t>广州公共资源交易中心</w:t>
      </w:r>
      <w:r>
        <w:rPr>
          <w:rFonts w:hint="eastAsia" w:ascii="宋体" w:hAnsi="宋体"/>
          <w:color w:val="auto"/>
          <w:sz w:val="24"/>
          <w:szCs w:val="24"/>
          <w:highlight w:val="none"/>
        </w:rPr>
        <w:t>交易平台和广东</w:t>
      </w:r>
      <w:r>
        <w:rPr>
          <w:rFonts w:hint="eastAsia" w:ascii="宋体" w:hAnsi="宋体"/>
          <w:color w:val="auto"/>
          <w:sz w:val="24"/>
          <w:highlight w:val="none"/>
        </w:rPr>
        <w:t>省招标投标监管网公开。</w:t>
      </w:r>
    </w:p>
    <w:p>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u w:val="single"/>
        </w:rPr>
        <w:t>27.5在广州公共资源交易中心交易平台发布中标通知书之日起，即视为中标人确认收到中标通知书。中标人必须在</w:t>
      </w:r>
      <w:r>
        <w:rPr>
          <w:rFonts w:ascii="宋体" w:hAnsi="宋体"/>
          <w:color w:val="auto"/>
          <w:sz w:val="24"/>
          <w:highlight w:val="none"/>
          <w:u w:val="single"/>
        </w:rPr>
        <w:t>3个工作日内由其委托代理人携带身份证及法人授权委托证明按招标人通知的时间和地点领取纸质图纸。中标人领取纸质图纸后必须与招标人在网上发布的电子版图纸进行核对，如有不符须于收到纸质图纸后五个工作日内将问题以书面形式向招标人提出；如纸质图纸和电子版图纸核对无误，中标人须于领取纸质图纸后五个工作日内在其中两套图纸上每页盖公章确认连同经盖公章的图纸确认函（一式两份）一并送回给招标人，表明中标人认同纸质图纸中内容与投标时的电子版图纸内容一致。</w:t>
      </w:r>
    </w:p>
    <w:p>
      <w:pPr>
        <w:spacing w:line="360" w:lineRule="auto"/>
        <w:ind w:firstLine="480" w:firstLineChars="200"/>
        <w:rPr>
          <w:rFonts w:hint="default" w:ascii="宋体" w:hAnsi="宋体"/>
          <w:color w:val="auto"/>
          <w:sz w:val="24"/>
          <w:szCs w:val="22"/>
          <w:highlight w:val="none"/>
          <w:u w:val="single"/>
        </w:rPr>
      </w:pPr>
      <w:r>
        <w:rPr>
          <w:rFonts w:hint="default" w:ascii="宋体" w:hAnsi="宋体"/>
          <w:color w:val="auto"/>
          <w:sz w:val="24"/>
          <w:szCs w:val="22"/>
          <w:highlight w:val="none"/>
          <w:u w:val="single"/>
        </w:rPr>
        <w:t>27.6 招标人或招标代理机构将在中标候选人公示结束后对第一中标候选人的企业资质证书有效期进行复核，如果第一中标候选人在中标候选人公示结束后7天内尚未取得资质有效期延续核准的，招标人有权否决其投标，由其他中标候选人顺次序替补或重新组织招标。</w:t>
      </w:r>
    </w:p>
    <w:p>
      <w:pPr>
        <w:pStyle w:val="2"/>
      </w:pPr>
    </w:p>
    <w:p>
      <w:pPr>
        <w:spacing w:line="360" w:lineRule="auto"/>
        <w:ind w:firstLine="482" w:firstLineChars="200"/>
        <w:rPr>
          <w:rFonts w:ascii="宋体"/>
          <w:b/>
          <w:bCs/>
          <w:color w:val="auto"/>
          <w:sz w:val="24"/>
          <w:highlight w:val="none"/>
        </w:rPr>
      </w:pPr>
      <w:r>
        <w:rPr>
          <w:rFonts w:ascii="宋体" w:hAnsi="宋体"/>
          <w:b/>
          <w:bCs/>
          <w:color w:val="auto"/>
          <w:sz w:val="24"/>
          <w:highlight w:val="none"/>
        </w:rPr>
        <w:t>28</w:t>
      </w:r>
      <w:r>
        <w:rPr>
          <w:rFonts w:hint="eastAsia" w:ascii="宋体" w:hAnsi="宋体"/>
          <w:b/>
          <w:bCs/>
          <w:color w:val="auto"/>
          <w:sz w:val="24"/>
          <w:highlight w:val="none"/>
        </w:rPr>
        <w:t>．合同协议书的签订</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28.1 招标人与中标人将于中标通知书发出之日起</w:t>
      </w:r>
      <w:r>
        <w:rPr>
          <w:rFonts w:hint="eastAsia" w:ascii="宋体" w:hAnsi="宋体"/>
          <w:color w:val="auto"/>
          <w:sz w:val="24"/>
          <w:szCs w:val="24"/>
          <w:highlight w:val="none"/>
          <w:u w:val="single"/>
        </w:rPr>
        <w:t>18个</w:t>
      </w:r>
      <w:r>
        <w:rPr>
          <w:rFonts w:hint="eastAsia" w:ascii="宋体" w:hAnsi="宋体"/>
          <w:color w:val="auto"/>
          <w:sz w:val="24"/>
          <w:szCs w:val="24"/>
          <w:highlight w:val="none"/>
        </w:rPr>
        <w:t>日历天内，按照招标文件和中标人的投标文件商定和签订合同，招标人和中标人不得再行订立背离合同实质性内容的其他协议。</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28.2中标通知书发出之日起</w:t>
      </w:r>
      <w:r>
        <w:rPr>
          <w:rFonts w:hint="eastAsia" w:ascii="宋体" w:hAnsi="宋体"/>
          <w:color w:val="auto"/>
          <w:sz w:val="24"/>
          <w:szCs w:val="24"/>
          <w:highlight w:val="none"/>
          <w:u w:val="single"/>
        </w:rPr>
        <w:t>18个</w:t>
      </w:r>
      <w:r>
        <w:rPr>
          <w:rFonts w:hint="eastAsia" w:ascii="宋体" w:hAnsi="宋体"/>
          <w:color w:val="auto"/>
          <w:sz w:val="24"/>
          <w:szCs w:val="24"/>
          <w:highlight w:val="none"/>
        </w:rPr>
        <w:t>日历天后，中标人未按上款的规定与招标人订立合同，招标人</w:t>
      </w:r>
      <w:r>
        <w:rPr>
          <w:rFonts w:hint="eastAsia" w:ascii="宋体" w:hAnsi="宋体"/>
          <w:color w:val="auto"/>
          <w:sz w:val="24"/>
          <w:szCs w:val="24"/>
          <w:highlight w:val="none"/>
          <w:u w:val="single"/>
        </w:rPr>
        <w:t>有权</w:t>
      </w:r>
      <w:r>
        <w:rPr>
          <w:rFonts w:hint="eastAsia" w:ascii="宋体" w:hAnsi="宋体"/>
          <w:color w:val="auto"/>
          <w:sz w:val="24"/>
          <w:szCs w:val="24"/>
          <w:highlight w:val="none"/>
        </w:rPr>
        <w:t>解除中标通知书，原中标人的投标担保不予退还，且依法承担相应法律责任</w:t>
      </w:r>
      <w:r>
        <w:rPr>
          <w:rFonts w:hint="eastAsia" w:ascii="宋体" w:hAnsi="宋体"/>
          <w:color w:val="auto"/>
          <w:sz w:val="24"/>
          <w:szCs w:val="24"/>
          <w:highlight w:val="none"/>
          <w:u w:val="single"/>
        </w:rPr>
        <w:t>，招标人并且有权确定排名第二的中标候选人为中标人，排名第二的中标候选人出现前款所列的情形的，招标人可以确定排名第三的中标候选人为中标人</w:t>
      </w:r>
      <w:r>
        <w:rPr>
          <w:rFonts w:hint="eastAsia" w:ascii="宋体" w:hAnsi="宋体"/>
          <w:color w:val="auto"/>
          <w:sz w:val="24"/>
          <w:szCs w:val="24"/>
          <w:highlight w:val="none"/>
        </w:rPr>
        <w:t>。原中标人给招标人造成的损失超过投标担保数额的，还应当对超过部分予以赔偿。原中标人有异议的，可以向人民法院起诉。</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28.3</w:t>
      </w:r>
      <w:r>
        <w:rPr>
          <w:rFonts w:hint="eastAsia" w:ascii="宋体" w:hAnsi="宋体"/>
          <w:color w:val="auto"/>
          <w:sz w:val="24"/>
          <w:szCs w:val="24"/>
          <w:highlight w:val="none"/>
          <w:u w:val="single"/>
        </w:rPr>
        <w:t>根据《番禺区基建办工程项目银行专户管理办法》（番基建办规章【2019】10号）规定，中标人在施工合同签订前需按相关规定设立本工程的银行专户，</w:t>
      </w:r>
      <w:r>
        <w:rPr>
          <w:rFonts w:hint="eastAsia" w:ascii="宋体" w:hAnsi="宋体"/>
          <w:color w:val="auto"/>
          <w:sz w:val="24"/>
          <w:szCs w:val="24"/>
          <w:highlight w:val="none"/>
        </w:rPr>
        <w:t>未经招标人同意，中标人在投标过程中使用的银行名称及帐号至完成竣工结算不得变更，</w:t>
      </w:r>
      <w:r>
        <w:rPr>
          <w:rFonts w:hint="eastAsia" w:ascii="宋体" w:hAnsi="宋体"/>
          <w:color w:val="auto"/>
          <w:sz w:val="24"/>
          <w:szCs w:val="24"/>
          <w:highlight w:val="none"/>
          <w:u w:val="single"/>
        </w:rPr>
        <w:t>若中标人违反上述约定的，招标人有权停止工程款项的拔付及至解除合同，</w:t>
      </w:r>
      <w:r>
        <w:rPr>
          <w:rFonts w:hint="eastAsia" w:ascii="宋体" w:hAnsi="宋体"/>
          <w:color w:val="auto"/>
          <w:sz w:val="24"/>
          <w:szCs w:val="24"/>
          <w:highlight w:val="none"/>
        </w:rPr>
        <w:t>由此造成的一切责任由中标人承担。</w:t>
      </w:r>
    </w:p>
    <w:p>
      <w:pPr>
        <w:widowControl/>
        <w:spacing w:line="360" w:lineRule="auto"/>
        <w:ind w:firstLine="480" w:firstLineChars="200"/>
        <w:jc w:val="left"/>
        <w:rPr>
          <w:rFonts w:ascii="宋体" w:hAnsi="宋体"/>
          <w:color w:val="auto"/>
          <w:kern w:val="0"/>
          <w:sz w:val="24"/>
          <w:szCs w:val="24"/>
          <w:highlight w:val="none"/>
          <w:u w:val="single"/>
        </w:rPr>
      </w:pPr>
      <w:r>
        <w:rPr>
          <w:rFonts w:hint="eastAsia" w:ascii="宋体" w:hAnsi="宋体"/>
          <w:color w:val="auto"/>
          <w:sz w:val="24"/>
          <w:szCs w:val="24"/>
          <w:highlight w:val="none"/>
          <w:u w:val="single"/>
        </w:rPr>
        <w:t>28.4中标人须以工程项目为单位，在商业银行设立建设领域工人工资支付专用帐户用于支付工人工资。具体执行及管理办法参照《广州市住房和城乡建设局关于印发广州市建筑施工实名制管理办法的通知(2020)》（穗建规字〔2020〕18号）、《广州市住房和城乡建设局、广州市人力资源和社会保障局、广州市交通运输局等关于印发广州市建设领域工人工资支付分账管理实施细则的通知》（穗建规字〔2020〕37号）。</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29</w:t>
      </w:r>
      <w:r>
        <w:rPr>
          <w:rFonts w:hint="eastAsia" w:ascii="宋体" w:hAnsi="宋体"/>
          <w:b/>
          <w:bCs/>
          <w:color w:val="auto"/>
          <w:sz w:val="24"/>
          <w:highlight w:val="none"/>
        </w:rPr>
        <w:t>．履约担保</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29.1 在收到中标通知书后的15个日历天内，中标人应按本须知前附表第24项的规定向招标人递交履约担保；</w:t>
      </w:r>
      <w:r>
        <w:rPr>
          <w:rFonts w:hint="eastAsia" w:ascii="宋体" w:hAnsi="宋体"/>
          <w:color w:val="auto"/>
          <w:sz w:val="24"/>
          <w:highlight w:val="none"/>
          <w:u w:val="single"/>
        </w:rPr>
        <w:t>履约担保缴交方式一：从中标人开户银行帐户中转帐或汇款到招标人以下三个银行帐户﹙收款单位：广州市番禺区基本建设投资管理中心，银行帐号一：3602070119200076312，开户银行：工商银行广州番禺平康支行；银行帐号二：44001531416059000078，开户银行：中国建设银行番禺东区支行；银行帐号三：391160100100059844，开户银行：兴业银行番禺支行﹚中的任一个帐户内。</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方式二：中标人按本合同附件中的格式3向发包人提供保证额为中标价款的10%的履约保证金银行保函，该银行保函应由在中国注册的银行开具。</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29.2中标通知书发出之日起</w:t>
      </w:r>
      <w:r>
        <w:rPr>
          <w:rFonts w:hint="eastAsia" w:ascii="宋体" w:hAnsi="宋体"/>
          <w:color w:val="auto"/>
          <w:sz w:val="24"/>
          <w:highlight w:val="none"/>
          <w:u w:val="single"/>
        </w:rPr>
        <w:t>15个日历天</w:t>
      </w:r>
      <w:r>
        <w:rPr>
          <w:rFonts w:hint="eastAsia" w:ascii="宋体" w:hAnsi="宋体"/>
          <w:color w:val="auto"/>
          <w:sz w:val="24"/>
          <w:highlight w:val="none"/>
        </w:rPr>
        <w:t>内，中标人未按上款的规定递交履约担保</w:t>
      </w:r>
      <w:r>
        <w:rPr>
          <w:rFonts w:hint="eastAsia" w:ascii="宋体" w:hAnsi="宋体"/>
          <w:color w:val="auto"/>
          <w:sz w:val="24"/>
          <w:highlight w:val="none"/>
          <w:u w:val="single"/>
        </w:rPr>
        <w:t>且未征得招标人同意延期缴交的</w:t>
      </w:r>
      <w:r>
        <w:rPr>
          <w:rFonts w:hint="eastAsia" w:ascii="宋体" w:hAnsi="宋体"/>
          <w:color w:val="auto"/>
          <w:sz w:val="24"/>
          <w:highlight w:val="none"/>
        </w:rPr>
        <w:t>，招标人将解除中标通知书，原中标人的投标担保不予退还，且依法承担相应法律责任。原中标人给招标人造成的损失超过投标担保数额的，还应当对超过部分予以赔偿。原中标人有异议的，可以向人民法院起诉。</w:t>
      </w:r>
    </w:p>
    <w:p>
      <w:pPr>
        <w:spacing w:line="360" w:lineRule="auto"/>
        <w:ind w:firstLine="482" w:firstLineChars="200"/>
        <w:rPr>
          <w:rFonts w:ascii="宋体"/>
          <w:b/>
          <w:bCs/>
          <w:color w:val="auto"/>
          <w:sz w:val="24"/>
          <w:highlight w:val="none"/>
        </w:rPr>
      </w:pPr>
      <w:r>
        <w:rPr>
          <w:rFonts w:ascii="宋体" w:hAnsi="宋体"/>
          <w:b/>
          <w:bCs/>
          <w:color w:val="auto"/>
          <w:sz w:val="24"/>
          <w:highlight w:val="none"/>
        </w:rPr>
        <w:t>30</w:t>
      </w:r>
      <w:r>
        <w:rPr>
          <w:rFonts w:hint="eastAsia" w:ascii="宋体" w:hAnsi="宋体"/>
          <w:b/>
          <w:bCs/>
          <w:color w:val="auto"/>
          <w:sz w:val="24"/>
          <w:highlight w:val="none"/>
        </w:rPr>
        <w:t>．合同生效</w:t>
      </w:r>
    </w:p>
    <w:p>
      <w:pPr>
        <w:spacing w:line="360" w:lineRule="auto"/>
        <w:ind w:firstLine="480" w:firstLineChars="200"/>
        <w:rPr>
          <w:rFonts w:ascii="宋体"/>
          <w:color w:val="auto"/>
          <w:sz w:val="24"/>
          <w:highlight w:val="none"/>
        </w:rPr>
      </w:pPr>
      <w:r>
        <w:rPr>
          <w:rFonts w:ascii="宋体" w:hAnsi="宋体"/>
          <w:color w:val="auto"/>
          <w:sz w:val="24"/>
          <w:highlight w:val="none"/>
        </w:rPr>
        <w:t>30.1</w:t>
      </w:r>
      <w:r>
        <w:rPr>
          <w:rFonts w:hint="eastAsia" w:ascii="宋体" w:hAnsi="宋体"/>
          <w:color w:val="auto"/>
          <w:sz w:val="24"/>
          <w:highlight w:val="none"/>
        </w:rPr>
        <w:t>在合同双方全权代表在合同协议书上签字，并分别加盖双方单位的公章后，合同正式生效。</w:t>
      </w:r>
    </w:p>
    <w:p>
      <w:pPr>
        <w:spacing w:line="360" w:lineRule="auto"/>
        <w:ind w:firstLine="482" w:firstLineChars="200"/>
        <w:rPr>
          <w:rFonts w:ascii="宋体" w:hAnsi="宋体"/>
          <w:b/>
          <w:bCs/>
          <w:color w:val="auto"/>
          <w:sz w:val="24"/>
          <w:highlight w:val="none"/>
        </w:rPr>
      </w:pPr>
      <w:r>
        <w:rPr>
          <w:rFonts w:ascii="宋体" w:hAnsi="宋体"/>
          <w:b/>
          <w:bCs/>
          <w:color w:val="auto"/>
          <w:sz w:val="24"/>
          <w:highlight w:val="none"/>
        </w:rPr>
        <w:t>31</w:t>
      </w:r>
      <w:r>
        <w:rPr>
          <w:rFonts w:hint="eastAsia" w:ascii="宋体" w:hAnsi="宋体"/>
          <w:b/>
          <w:bCs/>
          <w:color w:val="auto"/>
          <w:sz w:val="24"/>
          <w:highlight w:val="none"/>
        </w:rPr>
        <w:t>．其它费用</w:t>
      </w:r>
    </w:p>
    <w:p>
      <w:pPr>
        <w:spacing w:line="360" w:lineRule="auto"/>
        <w:ind w:firstLine="560" w:firstLineChars="200"/>
        <w:rPr>
          <w:rFonts w:ascii="宋体"/>
          <w:b/>
          <w:bCs/>
          <w:color w:val="auto"/>
          <w:sz w:val="24"/>
          <w:highlight w:val="none"/>
        </w:rPr>
      </w:pPr>
      <w:r>
        <w:rPr>
          <w:rFonts w:ascii="宋体" w:hAnsi="宋体"/>
          <w:color w:val="auto"/>
          <w:spacing w:val="20"/>
          <w:sz w:val="24"/>
          <w:highlight w:val="none"/>
        </w:rPr>
        <w:t>31.1</w:t>
      </w:r>
      <w:r>
        <w:rPr>
          <w:rFonts w:hint="eastAsia" w:ascii="宋体" w:hAnsi="宋体"/>
          <w:color w:val="auto"/>
          <w:sz w:val="24"/>
          <w:szCs w:val="24"/>
          <w:highlight w:val="none"/>
        </w:rPr>
        <w:t>中标人代缴公共资源交易服务费，其费用包含在中标人投标报价中，</w:t>
      </w:r>
      <w:r>
        <w:rPr>
          <w:rFonts w:hint="eastAsia" w:ascii="宋体" w:hAnsi="宋体"/>
          <w:color w:val="auto"/>
          <w:spacing w:val="20"/>
          <w:sz w:val="24"/>
          <w:szCs w:val="24"/>
          <w:highlight w:val="none"/>
        </w:rPr>
        <w:t>由</w:t>
      </w:r>
      <w:r>
        <w:rPr>
          <w:rFonts w:hint="eastAsia" w:ascii="宋体" w:hAnsi="宋体"/>
          <w:color w:val="auto"/>
          <w:spacing w:val="20"/>
          <w:sz w:val="24"/>
          <w:szCs w:val="24"/>
          <w:highlight w:val="none"/>
          <w:u w:val="single"/>
        </w:rPr>
        <w:t>广州公共资源</w:t>
      </w:r>
      <w:r>
        <w:rPr>
          <w:rFonts w:hint="eastAsia" w:ascii="宋体" w:hAnsi="宋体"/>
          <w:color w:val="auto"/>
          <w:sz w:val="24"/>
          <w:szCs w:val="24"/>
          <w:highlight w:val="none"/>
          <w:u w:val="single"/>
        </w:rPr>
        <w:t>交易中心</w:t>
      </w:r>
      <w:r>
        <w:rPr>
          <w:rFonts w:hint="eastAsia" w:ascii="宋体" w:hAnsi="宋体"/>
          <w:color w:val="auto"/>
          <w:sz w:val="24"/>
          <w:szCs w:val="24"/>
          <w:highlight w:val="none"/>
        </w:rPr>
        <w:t>向中标人开具增值税发票。</w:t>
      </w:r>
    </w:p>
    <w:p>
      <w:pPr>
        <w:pStyle w:val="5"/>
        <w:spacing w:after="0" w:line="360" w:lineRule="auto"/>
        <w:ind w:firstLine="482" w:firstLineChars="200"/>
        <w:rPr>
          <w:rFonts w:ascii="宋体"/>
          <w:b/>
          <w:bCs/>
          <w:color w:val="auto"/>
          <w:sz w:val="24"/>
          <w:highlight w:val="none"/>
        </w:rPr>
      </w:pPr>
      <w:r>
        <w:rPr>
          <w:rFonts w:ascii="宋体" w:hAnsi="宋体"/>
          <w:b/>
          <w:bCs/>
          <w:color w:val="auto"/>
          <w:sz w:val="24"/>
          <w:highlight w:val="none"/>
        </w:rPr>
        <w:t>32</w:t>
      </w:r>
      <w:r>
        <w:rPr>
          <w:rFonts w:hint="eastAsia" w:ascii="宋体" w:hAnsi="宋体"/>
          <w:b/>
          <w:bCs/>
          <w:color w:val="auto"/>
          <w:sz w:val="24"/>
          <w:highlight w:val="none"/>
        </w:rPr>
        <w:t>．腐败与欺诈行为</w:t>
      </w:r>
    </w:p>
    <w:p>
      <w:pPr>
        <w:pStyle w:val="5"/>
        <w:spacing w:after="0" w:line="360" w:lineRule="auto"/>
        <w:ind w:firstLine="480" w:firstLineChars="200"/>
        <w:rPr>
          <w:rFonts w:ascii="宋体"/>
          <w:color w:val="auto"/>
          <w:sz w:val="24"/>
          <w:highlight w:val="none"/>
        </w:rPr>
      </w:pPr>
      <w:r>
        <w:rPr>
          <w:rFonts w:hint="eastAsia" w:ascii="宋体" w:hAnsi="宋体"/>
          <w:color w:val="auto"/>
          <w:sz w:val="24"/>
          <w:highlight w:val="none"/>
        </w:rPr>
        <w:t>在招标和合同实施期间，招标人要求投标人和承包人遵守最高的道德标准。</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对本条款的规定，特定义如下词汇：</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1</w:t>
      </w:r>
      <w:r>
        <w:rPr>
          <w:rFonts w:hint="eastAsia" w:ascii="宋体" w:hAnsi="宋体"/>
          <w:color w:val="auto"/>
          <w:sz w:val="24"/>
          <w:highlight w:val="none"/>
        </w:rPr>
        <w:t>）、“腐败行为”是指在招标或合同执行期间，通过提供、给予、接受或索要任何有价值的东西，从而影响招标人有关人员工作的行为；</w:t>
      </w:r>
    </w:p>
    <w:p>
      <w:pPr>
        <w:pStyle w:val="5"/>
        <w:spacing w:after="0" w:line="360" w:lineRule="auto"/>
        <w:ind w:firstLine="480" w:firstLineChars="200"/>
        <w:rPr>
          <w:rFonts w:ascii="宋体"/>
          <w:color w:val="auto"/>
          <w:sz w:val="24"/>
          <w:highlight w:val="none"/>
        </w:rPr>
      </w:pPr>
      <w:r>
        <w:rPr>
          <w:rFonts w:ascii="宋体" w:hAnsi="宋体"/>
          <w:color w:val="auto"/>
          <w:sz w:val="24"/>
          <w:highlight w:val="none"/>
        </w:rPr>
        <w:t>2</w:t>
      </w:r>
      <w:r>
        <w:rPr>
          <w:rFonts w:hint="eastAsia" w:ascii="宋体" w:hAnsi="宋体"/>
          <w:color w:val="auto"/>
          <w:sz w:val="24"/>
          <w:highlight w:val="none"/>
        </w:rPr>
        <w:t>）、“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ascii="宋体" w:hAnsi="宋体"/>
          <w:color w:val="auto"/>
          <w:sz w:val="24"/>
          <w:highlight w:val="none"/>
        </w:rPr>
      </w:pPr>
      <w:r>
        <w:rPr>
          <w:rFonts w:ascii="宋体" w:hAnsi="宋体"/>
          <w:color w:val="auto"/>
          <w:sz w:val="24"/>
          <w:highlight w:val="none"/>
        </w:rPr>
        <w:t>32</w:t>
      </w: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如果投标人被认定在本招标的竞争中有腐败或欺诈行为，则会被取消投标资格。</w:t>
      </w:r>
    </w:p>
    <w:p>
      <w:pPr>
        <w:pStyle w:val="5"/>
        <w:spacing w:after="0" w:line="360" w:lineRule="auto"/>
        <w:ind w:firstLine="480" w:firstLineChars="200"/>
        <w:rPr>
          <w:rFonts w:ascii="宋体"/>
          <w:color w:val="auto"/>
          <w:sz w:val="24"/>
          <w:highlight w:val="none"/>
        </w:rPr>
      </w:pPr>
      <w:r>
        <w:rPr>
          <w:rFonts w:hint="eastAsia" w:ascii="宋体"/>
          <w:color w:val="auto"/>
          <w:sz w:val="24"/>
          <w:highlight w:val="none"/>
        </w:rPr>
        <w:t>32.3</w:t>
      </w:r>
      <w:r>
        <w:rPr>
          <w:rFonts w:hint="eastAsia" w:ascii="宋体" w:hAnsi="宋体"/>
          <w:color w:val="auto"/>
          <w:sz w:val="24"/>
          <w:highlight w:val="none"/>
        </w:rPr>
        <w:t>投标人如在本项目中存在串通投标、弄虚作假骗取中标、行贿情形的，中标无效，行政监督部门将对其违法行为进行政处罚。该投标人将被招标人列入黑名单并限制其参与招标人后续项目的投标。</w:t>
      </w:r>
    </w:p>
    <w:p>
      <w:pPr>
        <w:pBdr>
          <w:bottom w:val="none" w:color="auto" w:sz="0" w:space="1"/>
        </w:pBdr>
        <w:spacing w:line="360" w:lineRule="atLeast"/>
        <w:ind w:firstLine="562" w:firstLineChars="200"/>
        <w:rPr>
          <w:rFonts w:ascii="宋体" w:hAnsi="宋体" w:cs="宋体"/>
          <w:b/>
          <w:bCs/>
          <w:color w:val="auto"/>
          <w:spacing w:val="20"/>
          <w:sz w:val="24"/>
          <w:szCs w:val="24"/>
          <w:highlight w:val="none"/>
          <w:u w:val="single"/>
        </w:rPr>
      </w:pPr>
    </w:p>
    <w:p>
      <w:pPr>
        <w:pStyle w:val="3"/>
        <w:rPr>
          <w:color w:val="auto"/>
          <w:highlight w:val="none"/>
        </w:rPr>
      </w:pPr>
      <w:r>
        <w:rPr>
          <w:rFonts w:ascii="宋体"/>
          <w:color w:val="auto"/>
          <w:sz w:val="24"/>
          <w:highlight w:val="none"/>
        </w:rPr>
        <w:br w:type="page"/>
      </w:r>
      <w:bookmarkStart w:id="9" w:name="_Toc367"/>
      <w:r>
        <w:rPr>
          <w:rFonts w:hint="eastAsia"/>
          <w:color w:val="auto"/>
          <w:highlight w:val="none"/>
        </w:rPr>
        <w:t>第二章</w:t>
      </w:r>
      <w:r>
        <w:rPr>
          <w:color w:val="auto"/>
          <w:highlight w:val="none"/>
        </w:rPr>
        <w:t xml:space="preserve">  </w:t>
      </w:r>
      <w:r>
        <w:rPr>
          <w:rFonts w:hint="eastAsia"/>
          <w:color w:val="auto"/>
          <w:highlight w:val="none"/>
        </w:rPr>
        <w:t>开标、评标及定标办法</w:t>
      </w:r>
      <w:bookmarkEnd w:id="9"/>
    </w:p>
    <w:p>
      <w:pPr>
        <w:pStyle w:val="7"/>
        <w:rPr>
          <w:color w:val="auto"/>
          <w:highlight w:val="none"/>
        </w:rPr>
      </w:pPr>
      <w:bookmarkStart w:id="10" w:name="_Toc9336"/>
      <w:r>
        <w:rPr>
          <w:rFonts w:hint="eastAsia"/>
          <w:color w:val="auto"/>
          <w:sz w:val="28"/>
          <w:szCs w:val="28"/>
          <w:highlight w:val="none"/>
        </w:rPr>
        <w:t>一、</w:t>
      </w:r>
      <w:r>
        <w:rPr>
          <w:rFonts w:hint="eastAsia"/>
          <w:color w:val="auto"/>
          <w:highlight w:val="none"/>
        </w:rPr>
        <w:t>开标、评标及定标办法修改表</w:t>
      </w:r>
      <w:bookmarkEnd w:id="10"/>
    </w:p>
    <w:p>
      <w:pPr>
        <w:pStyle w:val="5"/>
        <w:spacing w:after="0" w:line="360" w:lineRule="auto"/>
        <w:rPr>
          <w:b/>
          <w:color w:val="auto"/>
          <w:kern w:val="2"/>
          <w:sz w:val="21"/>
          <w:szCs w:val="21"/>
          <w:highlight w:val="none"/>
        </w:rPr>
      </w:pPr>
      <w:r>
        <w:rPr>
          <w:rFonts w:hint="eastAsia" w:asciiTheme="minorEastAsia" w:hAnsiTheme="minorEastAsia" w:eastAsiaTheme="minorEastAsia"/>
          <w:b/>
          <w:color w:val="auto"/>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rFonts w:asciiTheme="minorEastAsia" w:hAnsiTheme="minorEastAsia" w:eastAsiaTheme="minorEastAsia"/>
          <w:b/>
          <w:color w:val="auto"/>
          <w:highlight w:val="none"/>
        </w:rPr>
        <w:t>http://zfcj.gz.gov.cn/</w:t>
      </w:r>
      <w:r>
        <w:rPr>
          <w:rFonts w:hint="eastAsia" w:asciiTheme="minorEastAsia" w:hAnsiTheme="minorEastAsia" w:eastAsiaTheme="minorEastAsia"/>
          <w:b/>
          <w:color w:val="auto"/>
          <w:highlight w:val="none"/>
        </w:rPr>
        <w:t>）下载GZZB2018-3范本查阅。</w:t>
      </w:r>
    </w:p>
    <w:p>
      <w:pPr>
        <w:spacing w:line="360" w:lineRule="auto"/>
        <w:ind w:firstLine="472" w:firstLineChars="224"/>
        <w:rPr>
          <w:b/>
          <w:color w:val="auto"/>
          <w:szCs w:val="21"/>
          <w:highlight w:val="none"/>
        </w:rPr>
      </w:pPr>
      <w:r>
        <w:rPr>
          <w:rFonts w:hint="eastAsia"/>
          <w:b/>
          <w:color w:val="auto"/>
          <w:szCs w:val="21"/>
          <w:highlight w:val="none"/>
        </w:rPr>
        <w:t>条款号：可选办法一</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可选办法一（适合综合评分法一，技术标与经济标先后分别开启）</w:t>
      </w:r>
    </w:p>
    <w:p>
      <w:pPr>
        <w:spacing w:line="360" w:lineRule="auto"/>
        <w:ind w:firstLine="472" w:firstLineChars="224"/>
        <w:rPr>
          <w:b/>
          <w:color w:val="auto"/>
          <w:szCs w:val="21"/>
          <w:highlight w:val="none"/>
        </w:rPr>
      </w:pPr>
      <w:r>
        <w:rPr>
          <w:rFonts w:hint="eastAsia"/>
          <w:b/>
          <w:color w:val="auto"/>
          <w:szCs w:val="21"/>
          <w:highlight w:val="none"/>
        </w:rPr>
        <w:t>条款号：可选办法二</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可选办法二（适合综合评分法一，技术标与经济标同时开启）</w:t>
      </w:r>
    </w:p>
    <w:p>
      <w:pPr>
        <w:spacing w:line="360" w:lineRule="auto"/>
        <w:ind w:firstLine="472" w:firstLineChars="224"/>
        <w:rPr>
          <w:b/>
          <w:color w:val="auto"/>
          <w:szCs w:val="21"/>
          <w:highlight w:val="none"/>
        </w:rPr>
      </w:pPr>
      <w:r>
        <w:rPr>
          <w:rFonts w:hint="eastAsia"/>
          <w:b/>
          <w:color w:val="auto"/>
          <w:szCs w:val="21"/>
          <w:highlight w:val="none"/>
        </w:rPr>
        <w:t>条款号：可选办法三</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可选办法三</w:t>
      </w:r>
    </w:p>
    <w:p>
      <w:pPr>
        <w:spacing w:line="360" w:lineRule="auto"/>
        <w:ind w:firstLine="472" w:firstLineChars="224"/>
        <w:rPr>
          <w:b/>
          <w:color w:val="auto"/>
          <w:szCs w:val="21"/>
          <w:highlight w:val="none"/>
        </w:rPr>
      </w:pPr>
      <w:r>
        <w:rPr>
          <w:rFonts w:hint="eastAsia"/>
          <w:b/>
          <w:color w:val="auto"/>
          <w:szCs w:val="21"/>
          <w:highlight w:val="none"/>
        </w:rPr>
        <w:t>条款号：可选办法四</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可选办法四（适合综合评分法二，技术标与经济标同时开启）</w:t>
      </w:r>
    </w:p>
    <w:p>
      <w:pPr>
        <w:spacing w:line="360" w:lineRule="auto"/>
        <w:ind w:firstLine="472" w:firstLineChars="224"/>
        <w:rPr>
          <w:b/>
          <w:color w:val="auto"/>
          <w:szCs w:val="21"/>
          <w:highlight w:val="none"/>
        </w:rPr>
      </w:pPr>
      <w:r>
        <w:rPr>
          <w:rFonts w:hint="eastAsia"/>
          <w:b/>
          <w:color w:val="auto"/>
          <w:szCs w:val="21"/>
          <w:highlight w:val="none"/>
        </w:rPr>
        <w:t>条款号：可选办法五</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可选办法五（适合综合评分法三，技术标与经济标先后分别开启）</w:t>
      </w:r>
    </w:p>
    <w:p>
      <w:pPr>
        <w:spacing w:line="360" w:lineRule="auto"/>
        <w:ind w:firstLine="472" w:firstLineChars="224"/>
        <w:rPr>
          <w:b/>
          <w:color w:val="auto"/>
          <w:szCs w:val="21"/>
          <w:highlight w:val="none"/>
        </w:rPr>
      </w:pPr>
      <w:r>
        <w:rPr>
          <w:rFonts w:hint="eastAsia"/>
          <w:b/>
          <w:color w:val="auto"/>
          <w:szCs w:val="21"/>
          <w:highlight w:val="none"/>
        </w:rPr>
        <w:t>条款号：可选办法六</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可选办法六（适合综合评分法三，技术标与经济标同时开启）</w:t>
      </w:r>
    </w:p>
    <w:p>
      <w:pPr>
        <w:spacing w:line="360" w:lineRule="auto"/>
        <w:ind w:firstLine="472" w:firstLineChars="224"/>
        <w:rPr>
          <w:b/>
          <w:color w:val="auto"/>
          <w:szCs w:val="21"/>
          <w:highlight w:val="none"/>
        </w:rPr>
      </w:pPr>
      <w:r>
        <w:rPr>
          <w:rFonts w:hint="eastAsia"/>
          <w:b/>
          <w:color w:val="auto"/>
          <w:szCs w:val="21"/>
          <w:highlight w:val="none"/>
        </w:rPr>
        <w:t>条款号：可选办法八</w:t>
      </w:r>
      <w:r>
        <w:rPr>
          <w:b/>
          <w:color w:val="auto"/>
          <w:szCs w:val="21"/>
          <w:highlight w:val="none"/>
        </w:rPr>
        <w:t xml:space="preserve">             </w:t>
      </w:r>
      <w:r>
        <w:rPr>
          <w:rFonts w:hint="eastAsia"/>
          <w:b/>
          <w:color w:val="auto"/>
          <w:szCs w:val="21"/>
          <w:highlight w:val="none"/>
        </w:rPr>
        <w:t>修改类型：删除</w:t>
      </w:r>
    </w:p>
    <w:p>
      <w:pPr>
        <w:pBdr>
          <w:bottom w:val="single" w:color="auto" w:sz="6" w:space="1"/>
        </w:pBdr>
        <w:spacing w:line="360" w:lineRule="auto"/>
        <w:ind w:firstLine="472" w:firstLineChars="224"/>
        <w:rPr>
          <w:color w:val="auto"/>
          <w:szCs w:val="21"/>
          <w:highlight w:val="none"/>
        </w:rPr>
      </w:pPr>
      <w:r>
        <w:rPr>
          <w:rFonts w:hint="eastAsia"/>
          <w:b/>
          <w:color w:val="auto"/>
          <w:szCs w:val="21"/>
          <w:highlight w:val="none"/>
        </w:rPr>
        <w:t>原文：</w:t>
      </w:r>
      <w:r>
        <w:rPr>
          <w:rFonts w:hint="eastAsia"/>
          <w:color w:val="auto"/>
          <w:szCs w:val="21"/>
          <w:highlight w:val="none"/>
        </w:rPr>
        <w:t>可选办法八（适合经评审的最低投标价法，技术标与经济标同时开启）</w:t>
      </w:r>
    </w:p>
    <w:p>
      <w:pPr>
        <w:pStyle w:val="8"/>
        <w:ind w:firstLine="0" w:firstLineChars="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szCs w:val="21"/>
          <w:highlight w:val="none"/>
          <w:lang w:val="en-US" w:eastAsia="zh-CN"/>
        </w:rPr>
        <w:t>38.5</w:t>
      </w:r>
      <w:r>
        <w:rPr>
          <w:rFonts w:hint="eastAsia" w:ascii="宋体" w:hAnsi="宋体" w:cs="宋体"/>
          <w:b/>
          <w:color w:val="auto"/>
          <w:szCs w:val="21"/>
          <w:highlight w:val="none"/>
        </w:rPr>
        <w:t xml:space="preserve">                        修改类型：修改</w:t>
      </w:r>
    </w:p>
    <w:p>
      <w:pPr>
        <w:pStyle w:val="8"/>
        <w:spacing w:line="360" w:lineRule="auto"/>
        <w:ind w:firstLine="0"/>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Times New Roman"/>
          <w:color w:val="auto"/>
          <w:sz w:val="21"/>
          <w:szCs w:val="21"/>
          <w:highlight w:val="none"/>
          <w:u w:val="none"/>
          <w:lang w:val="en-US" w:eastAsia="zh-CN"/>
        </w:rPr>
        <w:t xml:space="preserve">    </w:t>
      </w:r>
      <w:r>
        <w:rPr>
          <w:rFonts w:hint="eastAsia" w:ascii="宋体" w:hAnsi="宋体" w:eastAsia="宋体" w:cs="Times New Roman"/>
          <w:b/>
          <w:bCs/>
          <w:color w:val="auto"/>
          <w:sz w:val="21"/>
          <w:szCs w:val="21"/>
          <w:highlight w:val="none"/>
          <w:u w:val="none"/>
          <w:lang w:val="en-US" w:eastAsia="zh-CN"/>
        </w:rPr>
        <w:t xml:space="preserve"> </w:t>
      </w:r>
      <w:r>
        <w:rPr>
          <w:rFonts w:hint="eastAsia" w:ascii="宋体" w:hAnsi="宋体" w:eastAsia="宋体" w:cs="Times New Roman"/>
          <w:b/>
          <w:bCs w:val="0"/>
          <w:color w:val="auto"/>
          <w:sz w:val="21"/>
          <w:szCs w:val="21"/>
          <w:highlight w:val="none"/>
          <w:u w:val="none"/>
          <w:lang w:val="en-US" w:eastAsia="zh-CN"/>
        </w:rPr>
        <w:t>原文</w:t>
      </w:r>
      <w:r>
        <w:rPr>
          <w:rFonts w:hint="eastAsia" w:ascii="宋体" w:hAnsi="宋体" w:eastAsia="宋体" w:cs="Times New Roman"/>
          <w:b/>
          <w:bCs/>
          <w:color w:val="auto"/>
          <w:sz w:val="21"/>
          <w:szCs w:val="21"/>
          <w:highlight w:val="none"/>
          <w:u w:val="none"/>
          <w:lang w:val="en-US" w:eastAsia="zh-CN"/>
        </w:rPr>
        <w:t>：</w:t>
      </w:r>
      <w:r>
        <w:rPr>
          <w:rFonts w:hint="eastAsia" w:ascii="宋体" w:hAnsi="宋体" w:cs="宋体"/>
          <w:color w:val="auto"/>
          <w:sz w:val="21"/>
          <w:szCs w:val="21"/>
          <w:highlight w:val="none"/>
        </w:rPr>
        <w:t>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r>
        <w:rPr>
          <w:rFonts w:hint="eastAsia" w:ascii="宋体" w:hAnsi="宋体" w:cs="宋体"/>
          <w:color w:val="auto"/>
          <w:sz w:val="21"/>
          <w:szCs w:val="21"/>
          <w:highlight w:val="none"/>
          <w:lang w:eastAsia="zh-CN"/>
        </w:rPr>
        <w:t>。</w:t>
      </w:r>
    </w:p>
    <w:p>
      <w:pPr>
        <w:spacing w:line="360" w:lineRule="auto"/>
        <w:rPr>
          <w:rFonts w:hint="eastAsia" w:ascii="宋体" w:hAnsi="宋体" w:eastAsia="宋体" w:cs="宋体"/>
          <w:color w:val="auto"/>
          <w:szCs w:val="21"/>
          <w:highlight w:val="none"/>
          <w:u w:val="single"/>
          <w:lang w:val="en-US" w:eastAsia="zh-CN"/>
        </w:rPr>
      </w:pPr>
      <w:r>
        <w:rPr>
          <w:rFonts w:hint="eastAsia" w:ascii="宋体" w:hAnsi="宋体" w:eastAsia="宋体" w:cs="Times New Roman"/>
          <w:b/>
          <w:bCs/>
          <w:color w:val="auto"/>
          <w:sz w:val="21"/>
          <w:szCs w:val="21"/>
          <w:highlight w:val="none"/>
          <w:u w:val="none"/>
          <w:lang w:val="en-US" w:eastAsia="zh-CN"/>
        </w:rPr>
        <w:t xml:space="preserve">     现文：</w:t>
      </w:r>
      <w:r>
        <w:rPr>
          <w:rFonts w:hint="eastAsia" w:ascii="宋体" w:hAnsi="宋体" w:cs="宋体"/>
          <w:color w:val="auto"/>
          <w:sz w:val="21"/>
          <w:szCs w:val="21"/>
          <w:highlight w:val="none"/>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r>
        <w:rPr>
          <w:rFonts w:hint="eastAsia" w:ascii="宋体" w:hAnsi="宋体" w:cs="宋体"/>
          <w:color w:val="auto"/>
          <w:sz w:val="21"/>
          <w:szCs w:val="21"/>
          <w:highlight w:val="none"/>
          <w:u w:val="single"/>
          <w:lang w:eastAsia="zh-CN"/>
        </w:rPr>
        <w:t>。</w:t>
      </w:r>
    </w:p>
    <w:p>
      <w:pPr>
        <w:spacing w:beforeLines="50" w:line="360" w:lineRule="auto"/>
        <w:ind w:firstLine="0" w:firstLineChars="0"/>
        <w:rPr>
          <w:rFonts w:hint="default" w:ascii="宋体" w:hAnsi="宋体" w:cs="宋体"/>
          <w:b/>
          <w:color w:val="auto"/>
          <w:szCs w:val="21"/>
          <w:highlight w:val="none"/>
          <w:u w:val="single"/>
        </w:rPr>
      </w:pPr>
      <w:r>
        <w:rPr>
          <w:rFonts w:hint="eastAsia" w:ascii="宋体" w:hAnsi="宋体" w:cs="宋体"/>
          <w:b/>
          <w:color w:val="auto"/>
          <w:szCs w:val="21"/>
          <w:highlight w:val="none"/>
          <w:u w:val="single"/>
          <w:lang w:val="en-US" w:eastAsia="zh-CN"/>
        </w:rPr>
        <w:t xml:space="preserve">                                                                                      </w:t>
      </w:r>
    </w:p>
    <w:p>
      <w:pPr>
        <w:spacing w:beforeLines="50"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pPr>
        <w:spacing w:line="360" w:lineRule="auto"/>
        <w:ind w:firstLine="527" w:firstLineChars="250"/>
        <w:rPr>
          <w:rFonts w:ascii="宋体" w:hAnsi="宋体" w:cs="宋体"/>
          <w:color w:val="auto"/>
          <w:szCs w:val="21"/>
          <w:highlight w:val="none"/>
        </w:rPr>
      </w:pPr>
      <w:r>
        <w:rPr>
          <w:rFonts w:hint="eastAsia" w:ascii="宋体" w:hAnsi="宋体"/>
          <w:b/>
          <w:color w:val="auto"/>
          <w:szCs w:val="21"/>
          <w:highlight w:val="none"/>
        </w:rPr>
        <w:t>原文</w:t>
      </w:r>
      <w:r>
        <w:rPr>
          <w:rFonts w:hint="eastAsia" w:ascii="宋体" w:hAnsi="宋体" w:cs="宋体"/>
          <w:b/>
          <w:color w:val="auto"/>
          <w:szCs w:val="21"/>
          <w:highlight w:val="none"/>
        </w:rPr>
        <w:t>：</w:t>
      </w:r>
      <w:r>
        <w:rPr>
          <w:rFonts w:hint="eastAsia" w:ascii="宋体" w:hAnsi="宋体" w:cs="宋体"/>
          <w:color w:val="auto"/>
          <w:szCs w:val="21"/>
          <w:highlight w:val="none"/>
        </w:rPr>
        <w:t>41.1开标由招标人主持；</w:t>
      </w:r>
    </w:p>
    <w:p>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41.1开标由招标人</w:t>
      </w:r>
      <w:r>
        <w:rPr>
          <w:rFonts w:hint="eastAsia" w:ascii="宋体" w:hAnsi="宋体"/>
          <w:color w:val="auto"/>
          <w:szCs w:val="21"/>
          <w:highlight w:val="none"/>
          <w:u w:val="single"/>
        </w:rPr>
        <w:t>或招标代理</w:t>
      </w:r>
      <w:r>
        <w:rPr>
          <w:rFonts w:hint="eastAsia" w:ascii="宋体" w:hAnsi="宋体"/>
          <w:color w:val="auto"/>
          <w:szCs w:val="21"/>
          <w:highlight w:val="none"/>
        </w:rPr>
        <w:t>主持；</w:t>
      </w:r>
    </w:p>
    <w:p>
      <w:pPr>
        <w:pStyle w:val="6"/>
        <w:rPr>
          <w:color w:val="auto"/>
          <w:highlight w:val="none"/>
          <w:u w:val="single"/>
        </w:rPr>
      </w:pPr>
      <w:r>
        <w:rPr>
          <w:rFonts w:hint="eastAsia" w:ascii="宋体" w:hAnsi="宋体"/>
          <w:color w:val="auto"/>
          <w:szCs w:val="21"/>
          <w:highlight w:val="none"/>
          <w:u w:val="single"/>
        </w:rPr>
        <w:t xml:space="preserve">                                                                                          </w:t>
      </w:r>
    </w:p>
    <w:p>
      <w:pPr>
        <w:spacing w:line="480" w:lineRule="auto"/>
        <w:ind w:firstLine="472" w:firstLineChars="224"/>
        <w:rPr>
          <w:rFonts w:hint="eastAsia" w:ascii="宋体" w:eastAsia="宋体"/>
          <w:strike/>
          <w:color w:val="000000"/>
          <w:szCs w:val="21"/>
          <w:lang w:eastAsia="zh-CN"/>
        </w:rPr>
      </w:pPr>
      <w:r>
        <w:rPr>
          <w:rFonts w:hint="eastAsia"/>
          <w:b/>
          <w:color w:val="000000"/>
          <w:szCs w:val="21"/>
        </w:rPr>
        <w:t>条款号：4</w:t>
      </w:r>
      <w:r>
        <w:rPr>
          <w:rFonts w:hint="eastAsia"/>
          <w:b/>
          <w:color w:val="000000"/>
          <w:szCs w:val="21"/>
          <w:lang w:val="en-US" w:eastAsia="zh-CN"/>
        </w:rPr>
        <w:t>1.2.2</w:t>
      </w:r>
      <w:r>
        <w:rPr>
          <w:b/>
          <w:color w:val="000000"/>
          <w:szCs w:val="21"/>
        </w:rPr>
        <w:t xml:space="preserve">        </w:t>
      </w:r>
      <w:r>
        <w:rPr>
          <w:rFonts w:hint="eastAsia"/>
          <w:b/>
          <w:color w:val="000000"/>
          <w:szCs w:val="21"/>
          <w:lang w:val="en-US" w:eastAsia="zh-CN"/>
        </w:rPr>
        <w:t xml:space="preserve">               </w:t>
      </w:r>
      <w:r>
        <w:rPr>
          <w:b/>
          <w:color w:val="000000"/>
          <w:szCs w:val="21"/>
        </w:rPr>
        <w:t xml:space="preserve"> </w:t>
      </w:r>
      <w:r>
        <w:rPr>
          <w:rFonts w:hint="eastAsia"/>
          <w:b/>
          <w:color w:val="000000"/>
          <w:szCs w:val="21"/>
        </w:rPr>
        <w:t>修改类型：</w:t>
      </w:r>
      <w:r>
        <w:rPr>
          <w:b/>
          <w:color w:val="000000"/>
          <w:szCs w:val="21"/>
        </w:rPr>
        <w:t xml:space="preserve"> </w:t>
      </w:r>
      <w:r>
        <w:rPr>
          <w:rFonts w:hint="eastAsia"/>
          <w:b/>
          <w:color w:val="000000"/>
          <w:szCs w:val="21"/>
          <w:lang w:val="en-US" w:eastAsia="zh-CN"/>
        </w:rPr>
        <w:t>删除</w:t>
      </w:r>
    </w:p>
    <w:p>
      <w:pPr>
        <w:spacing w:line="480" w:lineRule="auto"/>
        <w:ind w:firstLine="470" w:firstLineChars="224"/>
        <w:rPr>
          <w:rFonts w:hint="eastAsia"/>
          <w:b/>
          <w:color w:val="000000"/>
          <w:szCs w:val="21"/>
        </w:rPr>
      </w:pPr>
      <w:r>
        <w:rPr>
          <w:rFonts w:hint="eastAsia" w:ascii="宋体"/>
          <w:strike w:val="0"/>
          <w:color w:val="000000"/>
          <w:szCs w:val="21"/>
        </w:rPr>
        <w:t>41.2.2开标前，首先由招标人随机抽取确定该工程计算评标参考价的等分点值X。</w:t>
      </w:r>
    </w:p>
    <w:p>
      <w:pPr>
        <w:spacing w:beforeLines="-2147483648" w:line="480" w:lineRule="auto"/>
        <w:ind w:firstLine="0" w:firstLineChars="0"/>
        <w:rPr>
          <w:rFonts w:hint="default" w:ascii="宋体" w:hAnsi="宋体"/>
          <w:b/>
          <w:color w:val="auto"/>
          <w:szCs w:val="21"/>
          <w:highlight w:val="none"/>
          <w:u w:val="single"/>
        </w:rPr>
      </w:pPr>
      <w:r>
        <w:rPr>
          <w:rFonts w:hint="eastAsia" w:ascii="宋体" w:hAnsi="宋体"/>
          <w:b/>
          <w:color w:val="auto"/>
          <w:szCs w:val="21"/>
          <w:highlight w:val="none"/>
          <w:u w:val="single"/>
          <w:lang w:val="en-US" w:eastAsia="zh-CN"/>
        </w:rPr>
        <w:t xml:space="preserve">                                                                                       </w:t>
      </w:r>
    </w:p>
    <w:p>
      <w:pPr>
        <w:snapToGrid w:val="0"/>
        <w:spacing w:line="360" w:lineRule="auto"/>
        <w:ind w:firstLine="422" w:firstLineChars="200"/>
        <w:rPr>
          <w:rFonts w:hint="eastAsia" w:ascii="宋体"/>
          <w:color w:val="auto"/>
          <w:sz w:val="24"/>
          <w:szCs w:val="24"/>
          <w:highlight w:val="none"/>
        </w:rPr>
      </w:pPr>
      <w:r>
        <w:rPr>
          <w:rFonts w:hint="eastAsia"/>
          <w:b/>
          <w:color w:val="000000"/>
          <w:szCs w:val="21"/>
        </w:rPr>
        <w:t>条款号：4</w:t>
      </w:r>
      <w:r>
        <w:rPr>
          <w:rFonts w:hint="eastAsia"/>
          <w:b/>
          <w:color w:val="000000"/>
          <w:szCs w:val="21"/>
          <w:lang w:val="en-US" w:eastAsia="zh-CN"/>
        </w:rPr>
        <w:t xml:space="preserve">1.2.4.1                       </w:t>
      </w:r>
      <w:r>
        <w:rPr>
          <w:rFonts w:hint="eastAsia"/>
          <w:b/>
          <w:color w:val="000000"/>
          <w:szCs w:val="21"/>
        </w:rPr>
        <w:t>修改类型：</w:t>
      </w:r>
      <w:r>
        <w:rPr>
          <w:b/>
          <w:color w:val="000000"/>
          <w:szCs w:val="21"/>
        </w:rPr>
        <w:t xml:space="preserve"> </w:t>
      </w:r>
      <w:r>
        <w:rPr>
          <w:rFonts w:hint="eastAsia"/>
          <w:b/>
          <w:color w:val="000000"/>
          <w:szCs w:val="21"/>
          <w:lang w:val="en-US" w:eastAsia="zh-CN"/>
        </w:rPr>
        <w:t>修改</w:t>
      </w:r>
      <w:r>
        <w:rPr>
          <w:b/>
          <w:color w:val="000000"/>
          <w:szCs w:val="21"/>
        </w:rPr>
        <w:t xml:space="preserve">   </w:t>
      </w:r>
    </w:p>
    <w:p>
      <w:pPr>
        <w:snapToGrid/>
        <w:spacing w:line="360" w:lineRule="auto"/>
        <w:ind w:firstLine="527" w:firstLineChars="250"/>
        <w:rPr>
          <w:rFonts w:hint="eastAsia" w:ascii="宋体" w:hAnsi="宋体"/>
          <w:color w:val="auto"/>
          <w:sz w:val="21"/>
          <w:szCs w:val="21"/>
          <w:highlight w:val="none"/>
        </w:rPr>
      </w:pPr>
      <w:r>
        <w:rPr>
          <w:rFonts w:hint="eastAsia" w:ascii="宋体" w:hAnsi="宋体"/>
          <w:b/>
          <w:bCs/>
          <w:color w:val="auto"/>
          <w:sz w:val="21"/>
          <w:szCs w:val="21"/>
          <w:highlight w:val="none"/>
          <w:lang w:val="en-US" w:eastAsia="zh-CN"/>
        </w:rPr>
        <w:t>原文：</w:t>
      </w:r>
      <w:r>
        <w:rPr>
          <w:rFonts w:hint="eastAsia" w:ascii="宋体" w:hAnsi="宋体"/>
          <w:color w:val="auto"/>
          <w:sz w:val="21"/>
          <w:szCs w:val="21"/>
          <w:highlight w:val="none"/>
        </w:rPr>
        <w:t>41.2.4.1开标时，公布：a、投标人名称；b、投标文件密封情况；c、投标报价；</w:t>
      </w:r>
      <w:r>
        <w:rPr>
          <w:rFonts w:hint="eastAsia" w:ascii="宋体" w:hAnsi="宋体"/>
          <w:strike w:val="0"/>
          <w:color w:val="auto"/>
          <w:sz w:val="21"/>
          <w:szCs w:val="21"/>
          <w:highlight w:val="none"/>
        </w:rPr>
        <w:t>d、投标保证金；</w:t>
      </w:r>
      <w:r>
        <w:rPr>
          <w:rFonts w:hint="eastAsia" w:ascii="宋体" w:hAnsi="宋体"/>
          <w:color w:val="auto"/>
          <w:sz w:val="21"/>
          <w:szCs w:val="21"/>
          <w:highlight w:val="none"/>
        </w:rPr>
        <w:t>e、项目经理（负责人）名称；f、法定代表人证明及授权委托等主要内容及开标记录表中的其他必要内容。投标报价以数字和文字两种方式表述的，应公布文字表述的投标报价。</w:t>
      </w:r>
    </w:p>
    <w:p>
      <w:pPr>
        <w:snapToGrid/>
        <w:spacing w:line="360" w:lineRule="auto"/>
        <w:ind w:firstLine="527" w:firstLineChars="250"/>
        <w:rPr>
          <w:rFonts w:hint="eastAsia" w:ascii="宋体" w:hAnsi="宋体"/>
          <w:color w:val="auto"/>
          <w:sz w:val="21"/>
          <w:szCs w:val="21"/>
          <w:highlight w:val="none"/>
        </w:rPr>
      </w:pPr>
      <w:r>
        <w:rPr>
          <w:rFonts w:hint="eastAsia" w:ascii="宋体" w:hAnsi="宋体"/>
          <w:b/>
          <w:color w:val="auto"/>
          <w:szCs w:val="21"/>
          <w:highlight w:val="none"/>
          <w:lang w:val="en-US" w:eastAsia="zh-CN"/>
        </w:rPr>
        <w:t>现文：</w:t>
      </w:r>
      <w:r>
        <w:rPr>
          <w:rFonts w:hint="eastAsia" w:ascii="宋体" w:hAnsi="宋体"/>
          <w:color w:val="auto"/>
          <w:sz w:val="21"/>
          <w:szCs w:val="21"/>
          <w:highlight w:val="none"/>
        </w:rPr>
        <w:t>41.2.4.1开标时，公布：a、投标人名称；b、投标文件密封情况；c、投标报价；</w:t>
      </w:r>
      <w:r>
        <w:rPr>
          <w:rFonts w:hint="eastAsia" w:ascii="宋体" w:hAnsi="宋体"/>
          <w:strike/>
          <w:color w:val="auto"/>
          <w:sz w:val="21"/>
          <w:szCs w:val="21"/>
          <w:highlight w:val="none"/>
        </w:rPr>
        <w:t>d、投标保证金；</w:t>
      </w:r>
      <w:r>
        <w:rPr>
          <w:rFonts w:hint="eastAsia" w:ascii="宋体" w:hAnsi="宋体"/>
          <w:color w:val="auto"/>
          <w:sz w:val="21"/>
          <w:szCs w:val="21"/>
          <w:highlight w:val="none"/>
        </w:rPr>
        <w:t>e、项目经理（负责人）名称；f、法定代表人证明及授权委托等主要内容及开标记录表中的其他必要内容。投标报价以数字和文字两种方式表述的，应公布文字表述的投标报价。</w:t>
      </w:r>
    </w:p>
    <w:p>
      <w:pPr>
        <w:spacing w:beforeLines="50" w:line="360" w:lineRule="auto"/>
        <w:ind w:firstLine="527" w:firstLineChars="250"/>
        <w:rPr>
          <w:rFonts w:hint="default" w:ascii="宋体" w:hAnsi="宋体" w:eastAsia="宋体"/>
          <w:b/>
          <w:color w:val="auto"/>
          <w:szCs w:val="21"/>
          <w:highlight w:val="none"/>
          <w:u w:val="single"/>
          <w:lang w:val="en-US" w:eastAsia="zh-CN"/>
        </w:rPr>
      </w:pPr>
      <w:r>
        <w:rPr>
          <w:rFonts w:hint="eastAsia" w:ascii="宋体" w:hAnsi="宋体"/>
          <w:b/>
          <w:color w:val="auto"/>
          <w:szCs w:val="21"/>
          <w:highlight w:val="none"/>
          <w:u w:val="single"/>
          <w:lang w:val="en-US" w:eastAsia="zh-CN"/>
        </w:rPr>
        <w:t xml:space="preserve">                                                                                </w:t>
      </w:r>
    </w:p>
    <w:p>
      <w:pPr>
        <w:spacing w:beforeLines="50" w:line="360" w:lineRule="auto"/>
        <w:ind w:firstLine="527" w:firstLineChars="250"/>
        <w:rPr>
          <w:rFonts w:ascii="宋体" w:hAnsi="宋体"/>
          <w:b/>
          <w:color w:val="auto"/>
          <w:szCs w:val="21"/>
          <w:highlight w:val="none"/>
        </w:rPr>
      </w:pPr>
      <w:r>
        <w:rPr>
          <w:rFonts w:hint="eastAsia" w:ascii="宋体" w:hAnsi="宋体"/>
          <w:b/>
          <w:color w:val="auto"/>
          <w:szCs w:val="21"/>
          <w:highlight w:val="none"/>
        </w:rPr>
        <w:t>条款号：</w:t>
      </w:r>
      <w:r>
        <w:rPr>
          <w:rFonts w:ascii="宋体" w:hAnsi="宋体"/>
          <w:b/>
          <w:color w:val="auto"/>
          <w:szCs w:val="21"/>
          <w:highlight w:val="none"/>
        </w:rPr>
        <w:t>4</w:t>
      </w:r>
      <w:r>
        <w:rPr>
          <w:rFonts w:hint="eastAsia" w:ascii="宋体" w:hAnsi="宋体"/>
          <w:b/>
          <w:color w:val="auto"/>
          <w:szCs w:val="21"/>
          <w:highlight w:val="none"/>
        </w:rPr>
        <w:t>2</w:t>
      </w:r>
      <w:r>
        <w:rPr>
          <w:rFonts w:ascii="宋体" w:hAnsi="宋体"/>
          <w:b/>
          <w:color w:val="auto"/>
          <w:szCs w:val="21"/>
          <w:highlight w:val="none"/>
        </w:rPr>
        <w:t xml:space="preserve">.2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原文：</w:t>
      </w:r>
      <w:r>
        <w:rPr>
          <w:rFonts w:hint="eastAsia" w:ascii="宋体" w:hAnsi="宋体"/>
          <w:color w:val="auto"/>
          <w:szCs w:val="21"/>
          <w:highlight w:val="none"/>
        </w:rPr>
        <w:t>42.</w:t>
      </w:r>
      <w:r>
        <w:rPr>
          <w:rFonts w:ascii="宋体" w:hAnsi="宋体"/>
          <w:color w:val="auto"/>
          <w:szCs w:val="21"/>
          <w:highlight w:val="none"/>
        </w:rPr>
        <w:t>2</w:t>
      </w:r>
      <w:r>
        <w:rPr>
          <w:rFonts w:hint="eastAsia" w:ascii="宋体" w:hAnsi="宋体"/>
          <w:color w:val="auto"/>
          <w:szCs w:val="21"/>
          <w:highlight w:val="none"/>
        </w:rPr>
        <w:t>评标委员会的组成：方式</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方式一：评标委员会为综合评标委员会，负责资格审查及评标工作。</w:t>
      </w:r>
    </w:p>
    <w:p>
      <w:pPr>
        <w:spacing w:line="360" w:lineRule="auto"/>
        <w:ind w:firstLine="525" w:firstLineChars="250"/>
        <w:rPr>
          <w:rFonts w:ascii="宋体" w:hAnsi="宋体"/>
          <w:b/>
          <w:color w:val="auto"/>
          <w:szCs w:val="21"/>
          <w:highlight w:val="none"/>
        </w:rPr>
      </w:pPr>
      <w:r>
        <w:rPr>
          <w:rFonts w:hint="eastAsia" w:ascii="宋体" w:hAnsi="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ascii="宋体" w:hAnsi="宋体"/>
          <w:color w:val="auto"/>
          <w:szCs w:val="21"/>
          <w:highlight w:val="none"/>
        </w:rPr>
      </w:pPr>
      <w:r>
        <w:rPr>
          <w:rFonts w:hint="eastAsia" w:ascii="宋体" w:hAnsi="宋体"/>
          <w:b/>
          <w:color w:val="auto"/>
          <w:szCs w:val="21"/>
          <w:highlight w:val="none"/>
        </w:rPr>
        <w:t>现文：</w:t>
      </w:r>
      <w:r>
        <w:rPr>
          <w:rFonts w:hint="eastAsia" w:ascii="宋体" w:hAnsi="宋体"/>
          <w:color w:val="auto"/>
          <w:szCs w:val="21"/>
          <w:highlight w:val="none"/>
        </w:rPr>
        <w:t>42.</w:t>
      </w:r>
      <w:r>
        <w:rPr>
          <w:rFonts w:ascii="宋体" w:hAnsi="宋体"/>
          <w:color w:val="auto"/>
          <w:szCs w:val="21"/>
          <w:highlight w:val="none"/>
        </w:rPr>
        <w:t>2</w:t>
      </w:r>
      <w:r>
        <w:rPr>
          <w:rFonts w:hint="eastAsia" w:ascii="宋体" w:hAnsi="宋体"/>
          <w:color w:val="auto"/>
          <w:szCs w:val="21"/>
          <w:highlight w:val="none"/>
        </w:rPr>
        <w:t>评标委员会的组成：方式</w:t>
      </w:r>
      <w:r>
        <w:rPr>
          <w:rFonts w:hint="eastAsia" w:ascii="宋体" w:hAnsi="宋体"/>
          <w:color w:val="auto"/>
          <w:szCs w:val="21"/>
          <w:highlight w:val="none"/>
          <w:u w:val="single"/>
        </w:rPr>
        <w:t xml:space="preserve">  一  </w:t>
      </w:r>
      <w:r>
        <w:rPr>
          <w:rFonts w:hint="eastAsia" w:ascii="宋体" w:hAnsi="宋体"/>
          <w:color w:val="auto"/>
          <w:szCs w:val="21"/>
          <w:highlight w:val="none"/>
        </w:rPr>
        <w:t>。</w:t>
      </w:r>
    </w:p>
    <w:p>
      <w:pPr>
        <w:pBdr>
          <w:bottom w:val="single" w:color="auto" w:sz="6" w:space="1"/>
        </w:pBdr>
        <w:spacing w:line="360" w:lineRule="auto"/>
        <w:ind w:firstLine="525" w:firstLineChars="250"/>
        <w:rPr>
          <w:rFonts w:ascii="宋体" w:hAnsi="宋体"/>
          <w:color w:val="auto"/>
          <w:szCs w:val="21"/>
          <w:highlight w:val="none"/>
        </w:rPr>
      </w:pPr>
      <w:r>
        <w:rPr>
          <w:rFonts w:hint="eastAsia" w:ascii="宋体" w:hAnsi="宋体"/>
          <w:color w:val="auto"/>
          <w:szCs w:val="21"/>
          <w:highlight w:val="none"/>
        </w:rPr>
        <w:t>方式一：评标委员会为综合评标委员会，负责资格审查及评标工作。</w:t>
      </w:r>
    </w:p>
    <w:p>
      <w:pPr>
        <w:spacing w:line="360" w:lineRule="auto"/>
        <w:ind w:firstLine="472" w:firstLineChars="224"/>
        <w:rPr>
          <w:b/>
          <w:color w:val="auto"/>
          <w:szCs w:val="21"/>
          <w:highlight w:val="none"/>
        </w:rPr>
      </w:pPr>
      <w:r>
        <w:rPr>
          <w:rFonts w:hint="eastAsia"/>
          <w:b/>
          <w:color w:val="auto"/>
          <w:szCs w:val="21"/>
          <w:highlight w:val="none"/>
        </w:rPr>
        <w:t>条款号：4</w:t>
      </w:r>
      <w:r>
        <w:rPr>
          <w:b/>
          <w:color w:val="auto"/>
          <w:szCs w:val="21"/>
          <w:highlight w:val="none"/>
        </w:rPr>
        <w:t xml:space="preserve">5.1             </w:t>
      </w:r>
      <w:r>
        <w:rPr>
          <w:rFonts w:hint="eastAsia"/>
          <w:b/>
          <w:color w:val="auto"/>
          <w:szCs w:val="21"/>
          <w:highlight w:val="none"/>
        </w:rPr>
        <w:t>修改类型：删除</w:t>
      </w:r>
    </w:p>
    <w:p>
      <w:pPr>
        <w:pBdr>
          <w:bottom w:val="single" w:color="auto" w:sz="6" w:space="1"/>
        </w:pBd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若通过技术标有效性审查的投标人中所有投标报价均大于等于最高投标限价，则本项目招标失败，由招标人依法重新招标。</w:t>
      </w:r>
    </w:p>
    <w:p>
      <w:pPr>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条款号：4</w:t>
      </w:r>
      <w:r>
        <w:rPr>
          <w:rFonts w:ascii="宋体" w:hAnsi="宋体"/>
          <w:b/>
          <w:color w:val="auto"/>
          <w:szCs w:val="21"/>
          <w:highlight w:val="none"/>
        </w:rPr>
        <w:t xml:space="preserve">5.2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修改类型：修改</w:t>
      </w:r>
    </w:p>
    <w:p>
      <w:pPr>
        <w:pBdr>
          <w:bottom w:val="single" w:color="auto" w:sz="6" w:space="1"/>
        </w:pBdr>
        <w:spacing w:line="360" w:lineRule="auto"/>
        <w:ind w:firstLine="527" w:firstLineChars="250"/>
        <w:rPr>
          <w:rFonts w:ascii="宋体" w:hAnsi="宋体"/>
          <w:color w:val="auto"/>
          <w:highlight w:val="none"/>
        </w:rPr>
      </w:pPr>
      <w:r>
        <w:rPr>
          <w:rFonts w:hint="eastAsia" w:ascii="宋体" w:hAnsi="宋体"/>
          <w:b/>
          <w:color w:val="auto"/>
          <w:szCs w:val="21"/>
          <w:highlight w:val="none"/>
        </w:rPr>
        <w:t>原文</w:t>
      </w:r>
      <w:r>
        <w:rPr>
          <w:rFonts w:hint="eastAsia" w:ascii="宋体" w:hAnsi="宋体"/>
          <w:b/>
          <w:color w:val="auto"/>
          <w:highlight w:val="none"/>
        </w:rPr>
        <w:t>：</w:t>
      </w:r>
      <w:r>
        <w:rPr>
          <w:rFonts w:hint="eastAsia" w:ascii="宋体" w:hAnsi="宋体"/>
          <w:color w:val="auto"/>
          <w:highlight w:val="none"/>
        </w:rPr>
        <w:t>4</w:t>
      </w:r>
      <w:r>
        <w:rPr>
          <w:rFonts w:ascii="宋体" w:hAnsi="宋体"/>
          <w:color w:val="auto"/>
          <w:highlight w:val="none"/>
        </w:rPr>
        <w:t>5.2</w:t>
      </w:r>
      <w:r>
        <w:rPr>
          <w:rFonts w:hint="eastAsia" w:ascii="宋体" w:hAnsi="宋体"/>
          <w:color w:val="auto"/>
          <w:highlight w:val="none"/>
        </w:rPr>
        <w:t>按方法</w:t>
      </w:r>
      <w:r>
        <w:rPr>
          <w:rFonts w:hint="eastAsia" w:ascii="宋体" w:hAnsi="宋体"/>
          <w:color w:val="auto"/>
          <w:highlight w:val="none"/>
          <w:u w:val="single"/>
        </w:rPr>
        <w:t xml:space="preserve">    </w:t>
      </w:r>
      <w:r>
        <w:rPr>
          <w:rFonts w:hint="eastAsia" w:ascii="宋体" w:hAnsi="宋体"/>
          <w:color w:val="auto"/>
          <w:highlight w:val="none"/>
        </w:rPr>
        <w:t>计算评标参考价：</w:t>
      </w:r>
    </w:p>
    <w:p>
      <w:pPr>
        <w:pBdr>
          <w:bottom w:val="single" w:color="auto" w:sz="6" w:space="1"/>
        </w:pBdr>
        <w:spacing w:line="360" w:lineRule="auto"/>
        <w:ind w:firstLine="527" w:firstLineChars="250"/>
        <w:rPr>
          <w:rFonts w:ascii="宋体" w:hAnsi="宋体"/>
          <w:b/>
          <w:color w:val="auto"/>
          <w:highlight w:val="none"/>
        </w:rPr>
      </w:pPr>
      <w:r>
        <w:rPr>
          <w:rFonts w:hint="eastAsia" w:ascii="宋体" w:hAnsi="宋体"/>
          <w:b/>
          <w:color w:val="auto"/>
          <w:highlight w:val="none"/>
        </w:rPr>
        <w:t>方法一：加权平均法</w:t>
      </w:r>
    </w:p>
    <w:p>
      <w:pPr>
        <w:pBdr>
          <w:bottom w:val="single" w:color="auto" w:sz="6" w:space="1"/>
        </w:pBdr>
        <w:spacing w:line="360" w:lineRule="auto"/>
        <w:ind w:firstLine="525" w:firstLineChars="250"/>
        <w:rPr>
          <w:rFonts w:ascii="宋体" w:hAnsi="宋体"/>
          <w:color w:val="auto"/>
          <w:highlight w:val="none"/>
        </w:rPr>
      </w:pPr>
      <w:r>
        <w:rPr>
          <w:rFonts w:hint="eastAsia" w:ascii="宋体" w:hAnsi="宋体"/>
          <w:color w:val="auto"/>
          <w:highlight w:val="none"/>
        </w:rPr>
        <w:t>技术标或技术标加诚信得分或技术入围得分（具体由招标人自定）前</w:t>
      </w:r>
      <w:r>
        <w:rPr>
          <w:rFonts w:ascii="宋体" w:hAnsi="宋体"/>
          <w:color w:val="auto"/>
          <w:highlight w:val="none"/>
        </w:rPr>
        <w:t>N</w:t>
      </w:r>
      <w:r>
        <w:rPr>
          <w:rFonts w:hint="eastAsia" w:ascii="宋体" w:hAnsi="宋体"/>
          <w:color w:val="auto"/>
          <w:highlight w:val="none"/>
        </w:rPr>
        <w:t>名（N≥5，具体由招标人自定）的经济报价加权平均，计算评标参考价。公式如下：</w:t>
      </w:r>
    </w:p>
    <w:p>
      <w:pPr>
        <w:pBdr>
          <w:bottom w:val="single" w:color="auto" w:sz="6" w:space="1"/>
        </w:pBdr>
        <w:spacing w:line="360" w:lineRule="auto"/>
        <w:ind w:firstLine="525" w:firstLineChars="250"/>
        <w:rPr>
          <w:rFonts w:ascii="宋体" w:hAnsi="宋体"/>
          <w:color w:val="auto"/>
          <w:highlight w:val="none"/>
        </w:rPr>
      </w:pPr>
      <w:r>
        <w:rPr>
          <w:rFonts w:hint="eastAsia" w:ascii="宋体" w:hAnsi="宋体"/>
          <w:color w:val="auto"/>
          <w:highlight w:val="none"/>
        </w:rPr>
        <w:t>评标参考价</w:t>
      </w:r>
      <w:r>
        <w:rPr>
          <w:rFonts w:ascii="宋体" w:hAnsi="宋体"/>
          <w:color w:val="auto"/>
          <w:highlight w:val="none"/>
        </w:rPr>
        <w:t>=</w:t>
      </w:r>
      <w:r>
        <w:rPr>
          <w:rFonts w:hint="eastAsia" w:ascii="宋体" w:hAnsi="宋体"/>
          <w:color w:val="auto"/>
          <w:highlight w:val="none"/>
        </w:rPr>
        <w:t>Σ（投标人的投标报价</w:t>
      </w:r>
      <w:r>
        <w:rPr>
          <w:rFonts w:ascii="宋体" w:hAnsi="宋体"/>
          <w:color w:val="auto"/>
          <w:highlight w:val="none"/>
        </w:rPr>
        <w:t>*</w:t>
      </w:r>
      <w:r>
        <w:rPr>
          <w:rFonts w:hint="eastAsia" w:ascii="宋体" w:hAnsi="宋体"/>
          <w:color w:val="auto"/>
          <w:highlight w:val="none"/>
        </w:rPr>
        <w:t>报价权重）。</w:t>
      </w:r>
    </w:p>
    <w:p>
      <w:pPr>
        <w:pBdr>
          <w:bottom w:val="single" w:color="auto" w:sz="6" w:space="1"/>
        </w:pBdr>
        <w:spacing w:line="360" w:lineRule="auto"/>
        <w:ind w:firstLine="525" w:firstLineChars="250"/>
        <w:rPr>
          <w:rFonts w:ascii="宋体" w:hAnsi="宋体"/>
          <w:color w:val="auto"/>
          <w:highlight w:val="none"/>
        </w:rPr>
      </w:pPr>
      <w:r>
        <w:rPr>
          <w:rFonts w:hint="eastAsia" w:ascii="宋体" w:hAnsi="宋体"/>
          <w:color w:val="auto"/>
          <w:highlight w:val="none"/>
        </w:rPr>
        <w:t>其中：报价权重的计算方法为：将</w:t>
      </w:r>
      <w:r>
        <w:rPr>
          <w:rFonts w:ascii="宋体" w:hAnsi="宋体"/>
          <w:color w:val="auto"/>
          <w:highlight w:val="none"/>
        </w:rPr>
        <w:t>N</w:t>
      </w:r>
      <w:r>
        <w:rPr>
          <w:rFonts w:hint="eastAsia" w:ascii="宋体" w:hAnsi="宋体"/>
          <w:color w:val="auto"/>
          <w:highlight w:val="none"/>
        </w:rPr>
        <w:t>名投标人按技术分由高至低进行排序，第一名投标人的权重为（</w:t>
      </w:r>
      <w:r>
        <w:rPr>
          <w:rFonts w:ascii="宋体" w:hAnsi="宋体"/>
          <w:color w:val="auto"/>
          <w:highlight w:val="none"/>
        </w:rPr>
        <w:fldChar w:fldCharType="begin"/>
      </w:r>
      <w:r>
        <w:rPr>
          <w:rFonts w:ascii="宋体" w:hAnsi="宋体"/>
          <w:color w:val="auto"/>
          <w:highlight w:val="none"/>
        </w:rPr>
        <w:instrText xml:space="preserve"> QUOTE </w:instrText>
      </w:r>
      <w:r>
        <w:rPr>
          <w:rFonts w:ascii="宋体" w:hAnsi="宋体"/>
          <w:color w:val="auto"/>
          <w:highlight w:val="none"/>
        </w:rPr>
        <w:drawing>
          <wp:inline distT="0" distB="0" distL="114300" distR="114300">
            <wp:extent cx="381000" cy="450850"/>
            <wp:effectExtent l="0" t="0" r="0" b="6350"/>
            <wp:docPr id="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381000" cy="450850"/>
                    </a:xfrm>
                    <a:prstGeom prst="rect">
                      <a:avLst/>
                    </a:prstGeom>
                    <a:noFill/>
                    <a:ln>
                      <a:noFill/>
                    </a:ln>
                  </pic:spPr>
                </pic:pic>
              </a:graphicData>
            </a:graphic>
          </wp:inline>
        </w:drawing>
      </w:r>
      <w:r>
        <w:rPr>
          <w:rFonts w:ascii="宋体" w:hAnsi="宋体"/>
          <w:color w:val="auto"/>
          <w:highlight w:val="none"/>
        </w:rPr>
        <w:instrText xml:space="preserve"> \* MERGEFORMAT </w:instrText>
      </w:r>
      <w:r>
        <w:rPr>
          <w:rFonts w:ascii="宋体" w:hAnsi="宋体"/>
          <w:color w:val="auto"/>
          <w:highlight w:val="none"/>
        </w:rPr>
        <w:fldChar w:fldCharType="separate"/>
      </w:r>
      <w:r>
        <w:rPr>
          <w:rFonts w:ascii="宋体" w:hAnsi="宋体"/>
          <w:color w:val="auto"/>
          <w:highlight w:val="none"/>
        </w:rPr>
        <w:drawing>
          <wp:inline distT="0" distB="0" distL="114300" distR="114300">
            <wp:extent cx="215900" cy="255270"/>
            <wp:effectExtent l="0" t="0" r="12700" b="11430"/>
            <wp:docPr id="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pic:cNvPicPr>
                      <a:picLocks noChangeAspect="1"/>
                    </pic:cNvPicPr>
                  </pic:nvPicPr>
                  <pic:blipFill>
                    <a:blip r:embed="rId22" cstate="print">
                      <a:clrChange>
                        <a:clrFrom>
                          <a:srgbClr val="FFFFFF"/>
                        </a:clrFrom>
                        <a:clrTo>
                          <a:srgbClr val="FFFFFF">
                            <a:alpha val="0"/>
                          </a:srgbClr>
                        </a:clrTo>
                      </a:clrChange>
                    </a:blip>
                    <a:stretch>
                      <a:fillRect/>
                    </a:stretch>
                  </pic:blipFill>
                  <pic:spPr>
                    <a:xfrm>
                      <a:off x="0" y="0"/>
                      <a:ext cx="215900" cy="255270"/>
                    </a:xfrm>
                    <a:prstGeom prst="rect">
                      <a:avLst/>
                    </a:prstGeom>
                    <a:noFill/>
                    <a:ln>
                      <a:noFill/>
                    </a:ln>
                  </pic:spPr>
                </pic:pic>
              </a:graphicData>
            </a:graphic>
          </wp:inline>
        </w:drawing>
      </w:r>
      <w:r>
        <w:rPr>
          <w:rFonts w:ascii="宋体" w:hAnsi="宋体"/>
          <w:color w:val="auto"/>
          <w:highlight w:val="none"/>
        </w:rPr>
        <w:fldChar w:fldCharType="end"/>
      </w:r>
      <w:r>
        <w:rPr>
          <w:rFonts w:hint="eastAsia" w:ascii="宋体" w:hAnsi="宋体"/>
          <w:color w:val="auto"/>
          <w:highlight w:val="none"/>
        </w:rPr>
        <w:t>），第二名投标人的权重为（</w:t>
      </w:r>
      <w:r>
        <w:rPr>
          <w:rFonts w:ascii="宋体" w:hAnsi="宋体"/>
          <w:color w:val="auto"/>
          <w:highlight w:val="none"/>
        </w:rPr>
        <w:fldChar w:fldCharType="begin"/>
      </w:r>
      <w:r>
        <w:rPr>
          <w:rFonts w:ascii="宋体" w:hAnsi="宋体"/>
          <w:color w:val="auto"/>
          <w:highlight w:val="none"/>
        </w:rPr>
        <w:instrText xml:space="preserve"> QUOTE </w:instrText>
      </w:r>
      <w:r>
        <w:rPr>
          <w:rFonts w:ascii="宋体" w:hAnsi="宋体"/>
          <w:color w:val="auto"/>
          <w:highlight w:val="none"/>
        </w:rPr>
        <w:drawing>
          <wp:inline distT="0" distB="0" distL="114300" distR="114300">
            <wp:extent cx="323850" cy="400050"/>
            <wp:effectExtent l="0" t="0" r="0" b="0"/>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pic:cNvPicPr>
                      <a:picLocks noChangeAspect="1"/>
                    </pic:cNvPicPr>
                  </pic:nvPicPr>
                  <pic:blipFill>
                    <a:blip r:embed="rId23"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olor w:val="auto"/>
          <w:highlight w:val="none"/>
        </w:rPr>
        <w:instrText xml:space="preserve"> \* MERGEFORMAT </w:instrText>
      </w:r>
      <w:r>
        <w:rPr>
          <w:rFonts w:ascii="宋体" w:hAnsi="宋体"/>
          <w:color w:val="auto"/>
          <w:highlight w:val="none"/>
        </w:rPr>
        <w:fldChar w:fldCharType="separate"/>
      </w:r>
      <w:r>
        <w:rPr>
          <w:rFonts w:ascii="宋体" w:hAnsi="宋体"/>
          <w:color w:val="auto"/>
          <w:highlight w:val="none"/>
        </w:rPr>
        <w:drawing>
          <wp:inline distT="0" distB="0" distL="114300" distR="114300">
            <wp:extent cx="209550" cy="259080"/>
            <wp:effectExtent l="0" t="0" r="0" b="6985"/>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pic:cNvPicPr>
                  </pic:nvPicPr>
                  <pic:blipFill>
                    <a:blip r:embed="rId23" cstate="print">
                      <a:clrChange>
                        <a:clrFrom>
                          <a:srgbClr val="FFFFFF"/>
                        </a:clrFrom>
                        <a:clrTo>
                          <a:srgbClr val="FFFFFF">
                            <a:alpha val="0"/>
                          </a:srgbClr>
                        </a:clrTo>
                      </a:clrChange>
                    </a:blip>
                    <a:stretch>
                      <a:fillRect/>
                    </a:stretch>
                  </pic:blipFill>
                  <pic:spPr>
                    <a:xfrm>
                      <a:off x="0" y="0"/>
                      <a:ext cx="209550" cy="259080"/>
                    </a:xfrm>
                    <a:prstGeom prst="rect">
                      <a:avLst/>
                    </a:prstGeom>
                    <a:noFill/>
                    <a:ln>
                      <a:noFill/>
                    </a:ln>
                  </pic:spPr>
                </pic:pic>
              </a:graphicData>
            </a:graphic>
          </wp:inline>
        </w:drawing>
      </w:r>
      <w:r>
        <w:rPr>
          <w:rFonts w:ascii="宋体" w:hAnsi="宋体"/>
          <w:color w:val="auto"/>
          <w:highlight w:val="none"/>
        </w:rPr>
        <w:fldChar w:fldCharType="end"/>
      </w:r>
      <w:r>
        <w:rPr>
          <w:rFonts w:hint="eastAsia" w:ascii="宋体" w:hAnsi="宋体"/>
          <w:color w:val="auto"/>
          <w:highlight w:val="none"/>
        </w:rPr>
        <w:t>），以此类推，最后一名投标人的权重为（</w:t>
      </w:r>
      <w:r>
        <w:rPr>
          <w:rFonts w:ascii="宋体" w:hAnsi="宋体"/>
          <w:color w:val="auto"/>
          <w:highlight w:val="none"/>
        </w:rPr>
        <w:fldChar w:fldCharType="begin"/>
      </w:r>
      <w:r>
        <w:rPr>
          <w:rFonts w:ascii="宋体" w:hAnsi="宋体"/>
          <w:color w:val="auto"/>
          <w:highlight w:val="none"/>
        </w:rPr>
        <w:instrText xml:space="preserve"> QUOTE </w:instrText>
      </w:r>
      <w:r>
        <w:rPr>
          <w:rFonts w:ascii="宋体" w:hAnsi="宋体"/>
          <w:color w:val="auto"/>
          <w:highlight w:val="none"/>
        </w:rPr>
        <w:drawing>
          <wp:inline distT="0" distB="0" distL="114300" distR="114300">
            <wp:extent cx="323850" cy="400050"/>
            <wp:effectExtent l="0" t="0" r="0" b="0"/>
            <wp:docPr id="6"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ascii="宋体" w:hAnsi="宋体"/>
          <w:color w:val="auto"/>
          <w:highlight w:val="none"/>
        </w:rPr>
        <w:instrText xml:space="preserve"> \* MERGEFORMAT </w:instrText>
      </w:r>
      <w:r>
        <w:rPr>
          <w:rFonts w:ascii="宋体" w:hAnsi="宋体"/>
          <w:color w:val="auto"/>
          <w:highlight w:val="none"/>
        </w:rPr>
        <w:fldChar w:fldCharType="separate"/>
      </w:r>
      <w:r>
        <w:rPr>
          <w:rFonts w:ascii="宋体" w:hAnsi="宋体"/>
          <w:color w:val="auto"/>
          <w:highlight w:val="none"/>
        </w:rPr>
        <w:drawing>
          <wp:inline distT="0" distB="0" distL="114300" distR="114300">
            <wp:extent cx="226060" cy="279400"/>
            <wp:effectExtent l="0" t="0" r="2540" b="57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4" cstate="print">
                      <a:clrChange>
                        <a:clrFrom>
                          <a:srgbClr val="FFFFFF"/>
                        </a:clrFrom>
                        <a:clrTo>
                          <a:srgbClr val="FFFFFF">
                            <a:alpha val="0"/>
                          </a:srgbClr>
                        </a:clrTo>
                      </a:clrChange>
                    </a:blip>
                    <a:stretch>
                      <a:fillRect/>
                    </a:stretch>
                  </pic:blipFill>
                  <pic:spPr>
                    <a:xfrm>
                      <a:off x="0" y="0"/>
                      <a:ext cx="226060" cy="279400"/>
                    </a:xfrm>
                    <a:prstGeom prst="rect">
                      <a:avLst/>
                    </a:prstGeom>
                    <a:noFill/>
                    <a:ln>
                      <a:noFill/>
                    </a:ln>
                  </pic:spPr>
                </pic:pic>
              </a:graphicData>
            </a:graphic>
          </wp:inline>
        </w:drawing>
      </w:r>
      <w:r>
        <w:rPr>
          <w:rFonts w:ascii="宋体" w:hAnsi="宋体"/>
          <w:color w:val="auto"/>
          <w:highlight w:val="none"/>
        </w:rPr>
        <w:fldChar w:fldCharType="end"/>
      </w:r>
      <w:r>
        <w:rPr>
          <w:rFonts w:hint="eastAsia" w:ascii="宋体" w:hAnsi="宋体"/>
          <w:color w:val="auto"/>
          <w:highlight w:val="none"/>
        </w:rPr>
        <w:t>）。</w:t>
      </w:r>
    </w:p>
    <w:p>
      <w:pPr>
        <w:pBdr>
          <w:bottom w:val="single" w:color="auto" w:sz="6" w:space="1"/>
        </w:pBdr>
        <w:spacing w:line="360" w:lineRule="auto"/>
        <w:ind w:firstLine="527" w:firstLineChars="250"/>
        <w:rPr>
          <w:rFonts w:ascii="宋体" w:hAnsi="宋体"/>
          <w:b/>
          <w:color w:val="auto"/>
          <w:highlight w:val="none"/>
        </w:rPr>
      </w:pPr>
      <w:r>
        <w:rPr>
          <w:rFonts w:hint="eastAsia" w:ascii="宋体" w:hAnsi="宋体"/>
          <w:b/>
          <w:color w:val="auto"/>
          <w:highlight w:val="none"/>
        </w:rPr>
        <w:t>方法二：区间抽取法</w:t>
      </w:r>
    </w:p>
    <w:p>
      <w:pPr>
        <w:pBdr>
          <w:bottom w:val="single" w:color="auto" w:sz="6" w:space="1"/>
        </w:pBdr>
        <w:spacing w:line="360" w:lineRule="auto"/>
        <w:ind w:firstLine="525" w:firstLineChars="250"/>
        <w:rPr>
          <w:rFonts w:ascii="宋体" w:hAnsi="宋体"/>
          <w:color w:val="auto"/>
          <w:highlight w:val="none"/>
        </w:rPr>
      </w:pPr>
      <w:r>
        <w:rPr>
          <w:rFonts w:hint="eastAsia" w:ascii="宋体" w:hAnsi="宋体"/>
          <w:color w:val="auto"/>
          <w:highlight w:val="none"/>
        </w:rPr>
        <w:t>设立入围合格分数线（技术标或技术标加诚信得分或技术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pBdr>
          <w:bottom w:val="single" w:color="auto" w:sz="6" w:space="1"/>
        </w:pBdr>
        <w:spacing w:line="360" w:lineRule="auto"/>
        <w:ind w:firstLine="525" w:firstLineChars="250"/>
        <w:rPr>
          <w:rFonts w:ascii="宋体" w:hAnsi="宋体"/>
          <w:color w:val="auto"/>
          <w:highlight w:val="none"/>
        </w:rPr>
      </w:pPr>
      <w:r>
        <w:rPr>
          <w:rFonts w:hint="eastAsia" w:ascii="宋体" w:hAnsi="宋体"/>
          <w:color w:val="auto"/>
          <w:highlight w:val="none"/>
        </w:rPr>
        <w:t>评标参考价</w:t>
      </w:r>
      <w:r>
        <w:rPr>
          <w:rFonts w:ascii="宋体" w:hAnsi="宋体"/>
          <w:color w:val="auto"/>
          <w:highlight w:val="none"/>
        </w:rPr>
        <w:t>=</w:t>
      </w:r>
      <w:r>
        <w:rPr>
          <w:rFonts w:hint="eastAsia" w:ascii="宋体" w:hAnsi="宋体"/>
          <w:color w:val="auto"/>
          <w:highlight w:val="none"/>
        </w:rPr>
        <w:t>（</w:t>
      </w:r>
      <w:r>
        <w:rPr>
          <w:rFonts w:ascii="宋体" w:hAnsi="宋体"/>
          <w:color w:val="auto"/>
          <w:highlight w:val="none"/>
        </w:rPr>
        <w:t>Q</w:t>
      </w:r>
      <w:r>
        <w:rPr>
          <w:rFonts w:hint="eastAsia" w:ascii="宋体" w:hAnsi="宋体"/>
          <w:color w:val="auto"/>
          <w:highlight w:val="none"/>
        </w:rPr>
        <w:t>高</w:t>
      </w:r>
      <w:r>
        <w:rPr>
          <w:rFonts w:ascii="宋体" w:hAnsi="宋体"/>
          <w:color w:val="auto"/>
          <w:highlight w:val="none"/>
        </w:rPr>
        <w:t>-Q</w:t>
      </w:r>
      <w:r>
        <w:rPr>
          <w:rFonts w:hint="eastAsia" w:ascii="宋体" w:hAnsi="宋体"/>
          <w:color w:val="auto"/>
          <w:highlight w:val="none"/>
        </w:rPr>
        <w:t>低）</w:t>
      </w:r>
      <w:r>
        <w:rPr>
          <w:rFonts w:ascii="宋体" w:hAnsi="宋体"/>
          <w:color w:val="auto"/>
          <w:highlight w:val="none"/>
        </w:rPr>
        <w:t>/100*</w:t>
      </w:r>
      <w:r>
        <w:rPr>
          <w:rFonts w:hint="eastAsia" w:ascii="宋体" w:hAnsi="宋体"/>
          <w:color w:val="auto"/>
          <w:highlight w:val="none"/>
        </w:rPr>
        <w:t>Ｘ</w:t>
      </w:r>
      <w:r>
        <w:rPr>
          <w:rFonts w:ascii="宋体" w:hAnsi="宋体"/>
          <w:color w:val="auto"/>
          <w:highlight w:val="none"/>
        </w:rPr>
        <w:t>+Q</w:t>
      </w:r>
      <w:r>
        <w:rPr>
          <w:rFonts w:hint="eastAsia" w:ascii="宋体" w:hAnsi="宋体"/>
          <w:color w:val="auto"/>
          <w:highlight w:val="none"/>
        </w:rPr>
        <w:t>低</w:t>
      </w:r>
    </w:p>
    <w:p>
      <w:pPr>
        <w:pBdr>
          <w:bottom w:val="single" w:color="auto" w:sz="6" w:space="1"/>
        </w:pBdr>
        <w:spacing w:line="360" w:lineRule="auto"/>
        <w:ind w:firstLine="525" w:firstLineChars="250"/>
        <w:rPr>
          <w:rFonts w:ascii="宋体" w:hAnsi="宋体"/>
          <w:color w:val="auto"/>
          <w:highlight w:val="none"/>
        </w:rPr>
      </w:pPr>
      <w:r>
        <w:rPr>
          <w:rFonts w:ascii="宋体" w:hAnsi="宋体"/>
          <w:color w:val="auto"/>
          <w:highlight w:val="none"/>
        </w:rPr>
        <w:t>Q</w:t>
      </w:r>
      <w:r>
        <w:rPr>
          <w:rFonts w:hint="eastAsia" w:ascii="宋体" w:hAnsi="宋体"/>
          <w:color w:val="auto"/>
          <w:highlight w:val="none"/>
        </w:rPr>
        <w:t>低：为达到或超过技术标及格分数线的投标人最低报价与工程成本警示价两者中的较高值；</w:t>
      </w:r>
    </w:p>
    <w:p>
      <w:pPr>
        <w:pBdr>
          <w:bottom w:val="single" w:color="auto" w:sz="6" w:space="1"/>
        </w:pBdr>
        <w:spacing w:line="360" w:lineRule="auto"/>
        <w:ind w:firstLine="525" w:firstLineChars="250"/>
        <w:rPr>
          <w:rFonts w:hint="eastAsia" w:ascii="宋体" w:hAnsi="宋体"/>
          <w:color w:val="auto"/>
          <w:highlight w:val="none"/>
        </w:rPr>
      </w:pPr>
      <w:r>
        <w:rPr>
          <w:rFonts w:ascii="宋体" w:hAnsi="宋体"/>
          <w:color w:val="auto"/>
          <w:highlight w:val="none"/>
        </w:rPr>
        <w:t>Q</w:t>
      </w:r>
      <w:r>
        <w:rPr>
          <w:rFonts w:hint="eastAsia" w:ascii="宋体" w:hAnsi="宋体"/>
          <w:color w:val="auto"/>
          <w:highlight w:val="none"/>
        </w:rPr>
        <w:t>高：为最高投标限价</w:t>
      </w:r>
    </w:p>
    <w:p>
      <w:pPr>
        <w:pBdr>
          <w:bottom w:val="single" w:color="auto" w:sz="6" w:space="1"/>
        </w:pBdr>
        <w:spacing w:line="360" w:lineRule="auto"/>
        <w:ind w:firstLine="525" w:firstLineChars="250"/>
        <w:rPr>
          <w:rFonts w:ascii="宋体" w:hAnsi="宋体" w:cs="仿宋"/>
          <w:color w:val="auto"/>
          <w:sz w:val="24"/>
          <w:szCs w:val="24"/>
          <w:highlight w:val="none"/>
        </w:rPr>
      </w:pPr>
      <w:r>
        <w:rPr>
          <w:rFonts w:hint="eastAsia" w:ascii="宋体" w:hAnsi="宋体"/>
          <w:color w:val="auto"/>
          <w:highlight w:val="none"/>
        </w:rPr>
        <w:t xml:space="preserve"> </w:t>
      </w:r>
      <w:r>
        <w:rPr>
          <w:rFonts w:ascii="宋体" w:hAnsi="宋体"/>
          <w:color w:val="auto"/>
          <w:highlight w:val="none"/>
        </w:rPr>
        <w:t>X:</w:t>
      </w:r>
      <w:r>
        <w:rPr>
          <w:rFonts w:hint="eastAsia" w:ascii="宋体" w:hAnsi="宋体"/>
          <w:color w:val="auto"/>
          <w:highlight w:val="none"/>
        </w:rPr>
        <w:t>为等分点值，从</w:t>
      </w:r>
      <w:r>
        <w:rPr>
          <w:rFonts w:ascii="宋体" w:hAnsi="宋体"/>
          <w:color w:val="auto"/>
          <w:highlight w:val="none"/>
        </w:rPr>
        <w:t>[0,100]</w:t>
      </w:r>
      <w:r>
        <w:rPr>
          <w:rFonts w:hint="eastAsia" w:ascii="宋体" w:hAnsi="宋体"/>
          <w:color w:val="auto"/>
          <w:highlight w:val="none"/>
        </w:rPr>
        <w:t>整数中随机抽取</w:t>
      </w:r>
    </w:p>
    <w:p>
      <w:pPr>
        <w:pBdr>
          <w:bottom w:val="single" w:color="auto" w:sz="6" w:space="1"/>
        </w:pBdr>
        <w:spacing w:line="360" w:lineRule="auto"/>
        <w:ind w:firstLine="527" w:firstLineChars="250"/>
        <w:rPr>
          <w:rFonts w:ascii="宋体" w:hAnsi="宋体"/>
          <w:color w:val="auto"/>
          <w:highlight w:val="none"/>
        </w:rPr>
      </w:pPr>
      <w:r>
        <w:rPr>
          <w:rFonts w:hint="eastAsia" w:ascii="宋体" w:hAnsi="宋体"/>
          <w:b/>
          <w:color w:val="auto"/>
          <w:szCs w:val="21"/>
          <w:highlight w:val="none"/>
        </w:rPr>
        <w:t>现文：</w:t>
      </w:r>
      <w:r>
        <w:rPr>
          <w:rFonts w:hint="eastAsia" w:ascii="宋体" w:hAnsi="宋体"/>
          <w:color w:val="auto"/>
          <w:highlight w:val="none"/>
        </w:rPr>
        <w:t>4</w:t>
      </w:r>
      <w:r>
        <w:rPr>
          <w:rFonts w:ascii="宋体" w:hAnsi="宋体"/>
          <w:color w:val="auto"/>
          <w:highlight w:val="none"/>
        </w:rPr>
        <w:t>5.2</w:t>
      </w:r>
      <w:r>
        <w:rPr>
          <w:rFonts w:hint="eastAsia" w:ascii="宋体" w:hAnsi="宋体"/>
          <w:color w:val="auto"/>
          <w:highlight w:val="none"/>
        </w:rPr>
        <w:t>按方法</w:t>
      </w:r>
      <w:r>
        <w:rPr>
          <w:rFonts w:hint="eastAsia" w:ascii="宋体" w:hAnsi="宋体"/>
          <w:color w:val="auto"/>
          <w:highlight w:val="none"/>
          <w:u w:val="single"/>
        </w:rPr>
        <w:t xml:space="preserve">  一  </w:t>
      </w:r>
      <w:r>
        <w:rPr>
          <w:rFonts w:hint="eastAsia" w:ascii="宋体" w:hAnsi="宋体"/>
          <w:color w:val="auto"/>
          <w:highlight w:val="none"/>
        </w:rPr>
        <w:t>计算评标参考价：</w:t>
      </w:r>
    </w:p>
    <w:p>
      <w:pPr>
        <w:pBdr>
          <w:bottom w:val="single" w:color="auto" w:sz="6" w:space="1"/>
        </w:pBdr>
        <w:spacing w:line="360" w:lineRule="auto"/>
        <w:ind w:firstLine="527" w:firstLineChars="250"/>
        <w:rPr>
          <w:rFonts w:ascii="宋体" w:hAnsi="宋体"/>
          <w:b/>
          <w:color w:val="auto"/>
          <w:highlight w:val="none"/>
        </w:rPr>
      </w:pPr>
      <w:r>
        <w:rPr>
          <w:rFonts w:hint="eastAsia" w:ascii="宋体" w:hAnsi="宋体"/>
          <w:b/>
          <w:color w:val="auto"/>
          <w:highlight w:val="none"/>
        </w:rPr>
        <w:t>方法一：加权平均法</w:t>
      </w:r>
    </w:p>
    <w:p>
      <w:pPr>
        <w:pBdr>
          <w:bottom w:val="single" w:color="auto" w:sz="6" w:space="1"/>
        </w:pBdr>
        <w:spacing w:line="360" w:lineRule="auto"/>
        <w:ind w:firstLine="420" w:firstLineChars="200"/>
        <w:rPr>
          <w:rFonts w:hint="eastAsia" w:ascii="宋体" w:hAnsi="宋体"/>
          <w:color w:val="auto"/>
          <w:highlight w:val="none"/>
          <w:u w:val="single"/>
        </w:rPr>
      </w:pPr>
      <w:r>
        <w:rPr>
          <w:rFonts w:hint="eastAsia" w:ascii="宋体" w:hAnsi="宋体"/>
          <w:color w:val="auto"/>
          <w:highlight w:val="none"/>
          <w:u w:val="single"/>
        </w:rPr>
        <w:t>经济标报价在[工程成本警戒价，招标控制价]区间的投标人的技术得分由高至低排序后，得出的前N名(如满足前述条件的投标人大于等于10家，则N=10；如满足前述条件的投标人小于10家，则N为满足前述条件的投标人的数量。若出现技术得分相同的单位，按报价低者排前的原则，若报价亦一致的，由评标委员会采用记名投票方式，确定其排序)投标人的经济报价加权平均，计算评标参考价。</w:t>
      </w:r>
    </w:p>
    <w:p>
      <w:pPr>
        <w:pBdr>
          <w:bottom w:val="single" w:color="auto" w:sz="6" w:space="1"/>
        </w:pBdr>
        <w:spacing w:line="360" w:lineRule="auto"/>
        <w:ind w:firstLine="420" w:firstLineChars="200"/>
        <w:rPr>
          <w:rFonts w:ascii="宋体" w:hAnsi="宋体"/>
          <w:strike/>
          <w:color w:val="auto"/>
          <w:highlight w:val="none"/>
        </w:rPr>
      </w:pPr>
      <w:r>
        <w:rPr>
          <w:rFonts w:ascii="宋体" w:hAnsi="宋体"/>
          <w:color w:val="auto"/>
          <w:highlight w:val="none"/>
          <w:u w:val="single"/>
        </w:rPr>
        <w:t>即：假设参与评标参考价计算的投标人共有N名，评标参考价=Σ（投标人的投标报价×报价权重）。前N名的投标人的报价权重按其</w:t>
      </w:r>
      <w:r>
        <w:rPr>
          <w:rFonts w:hint="eastAsia" w:ascii="宋体" w:hAnsi="宋体"/>
          <w:color w:val="auto"/>
          <w:highlight w:val="none"/>
          <w:u w:val="single"/>
        </w:rPr>
        <w:t>技术</w:t>
      </w:r>
      <w:r>
        <w:rPr>
          <w:rFonts w:ascii="宋体" w:hAnsi="宋体"/>
          <w:color w:val="auto"/>
          <w:highlight w:val="none"/>
          <w:u w:val="single"/>
        </w:rPr>
        <w:t>得分高低确定，得分越高，权重越大。具体计算方法为：将N名投标人按</w:t>
      </w:r>
      <w:r>
        <w:rPr>
          <w:rFonts w:hint="eastAsia" w:ascii="宋体" w:hAnsi="宋体"/>
          <w:color w:val="auto"/>
          <w:highlight w:val="none"/>
          <w:u w:val="single"/>
        </w:rPr>
        <w:t>技术得分</w:t>
      </w:r>
      <w:r>
        <w:rPr>
          <w:rFonts w:ascii="宋体" w:hAnsi="宋体"/>
          <w:color w:val="auto"/>
          <w:highlight w:val="none"/>
          <w:u w:val="single"/>
        </w:rPr>
        <w:t>由高至低进行排序，第一名投标人的权重为（</w:t>
      </w:r>
      <m:oMath>
        <m:f>
          <m:fPr>
            <m:ctrlPr>
              <w:rPr>
                <w:rFonts w:ascii="Cambria Math" w:hAnsi="Cambria Math"/>
                <w:color w:val="auto"/>
                <w:szCs w:val="21"/>
                <w:highlight w:val="none"/>
              </w:rPr>
            </m:ctrlPr>
          </m:fPr>
          <m:num>
            <m:r>
              <m:rPr/>
              <w:rPr>
                <w:rFonts w:ascii="Cambria Math" w:hAnsi="Cambria Math"/>
                <w:color w:val="auto"/>
                <w:szCs w:val="21"/>
                <w:highlight w:val="none"/>
              </w:rPr>
              <m:t>N</m:t>
            </m:r>
            <m:ctrlPr>
              <w:rPr>
                <w:rFonts w:ascii="Cambria Math" w:hAnsi="Cambria Math"/>
                <w:color w:val="auto"/>
                <w:szCs w:val="21"/>
                <w:highlight w:val="none"/>
              </w:rPr>
            </m:ctrlPr>
          </m:num>
          <m:den>
            <m:nary>
              <m:naryPr>
                <m:chr m:val="∑"/>
                <m:limLoc m:val="subSup"/>
                <m:ctrlPr>
                  <w:rPr>
                    <w:rFonts w:ascii="Cambria Math" w:hAnsi="Cambria Math"/>
                    <w:i/>
                    <w:color w:val="auto"/>
                    <w:szCs w:val="21"/>
                    <w:highlight w:val="none"/>
                  </w:rPr>
                </m:ctrlPr>
              </m:naryPr>
              <m:sub>
                <m:r>
                  <m:rPr/>
                  <w:rPr>
                    <w:rFonts w:ascii="Cambria Math" w:hAnsi="Cambria Math"/>
                    <w:color w:val="auto"/>
                    <w:szCs w:val="21"/>
                    <w:highlight w:val="none"/>
                  </w:rPr>
                  <m:t>1</m:t>
                </m:r>
                <m:ctrlPr>
                  <w:rPr>
                    <w:rFonts w:ascii="Cambria Math" w:hAnsi="Cambria Math"/>
                    <w:i/>
                    <w:color w:val="auto"/>
                    <w:szCs w:val="21"/>
                    <w:highlight w:val="none"/>
                  </w:rPr>
                </m:ctrlPr>
              </m:sub>
              <m:sup>
                <m:r>
                  <m:rPr/>
                  <w:rPr>
                    <w:rFonts w:ascii="Cambria Math" w:hAnsi="Cambria Math"/>
                    <w:color w:val="auto"/>
                    <w:szCs w:val="21"/>
                    <w:highlight w:val="none"/>
                  </w:rPr>
                  <m:t>N</m:t>
                </m:r>
                <m:ctrlPr>
                  <w:rPr>
                    <w:rFonts w:ascii="Cambria Math" w:hAnsi="Cambria Math"/>
                    <w:i/>
                    <w:color w:val="auto"/>
                    <w:szCs w:val="21"/>
                    <w:highlight w:val="none"/>
                  </w:rPr>
                </m:ctrlPr>
              </m:sup>
              <m:e>
                <m:r>
                  <m:rPr/>
                  <w:rPr>
                    <w:rFonts w:ascii="Cambria Math" w:hAnsi="Cambria Math"/>
                    <w:color w:val="auto"/>
                    <w:szCs w:val="21"/>
                    <w:highlight w:val="none"/>
                  </w:rPr>
                  <m:t>n</m:t>
                </m:r>
                <m:ctrlPr>
                  <w:rPr>
                    <w:rFonts w:ascii="Cambria Math" w:hAnsi="Cambria Math"/>
                    <w:i/>
                    <w:color w:val="auto"/>
                    <w:szCs w:val="21"/>
                    <w:highlight w:val="none"/>
                  </w:rPr>
                </m:ctrlPr>
              </m:e>
            </m:nary>
            <m:ctrlPr>
              <w:rPr>
                <w:rFonts w:ascii="Cambria Math" w:hAnsi="Cambria Math"/>
                <w:color w:val="auto"/>
                <w:szCs w:val="21"/>
                <w:highlight w:val="none"/>
              </w:rPr>
            </m:ctrlPr>
          </m:den>
        </m:f>
      </m:oMath>
      <w:r>
        <w:rPr>
          <w:rFonts w:ascii="宋体" w:hAnsi="宋体"/>
          <w:color w:val="auto"/>
          <w:highlight w:val="none"/>
          <w:u w:val="single"/>
        </w:rPr>
        <w:t>）,第二名投标人的权重为（</w:t>
      </w:r>
      <m:oMath>
        <m:f>
          <m:fPr>
            <m:ctrlPr>
              <w:rPr>
                <w:rFonts w:ascii="Cambria Math" w:hAnsi="Cambria Math"/>
                <w:color w:val="auto"/>
                <w:szCs w:val="21"/>
                <w:highlight w:val="none"/>
              </w:rPr>
            </m:ctrlPr>
          </m:fPr>
          <m:num>
            <m:r>
              <m:rPr/>
              <w:rPr>
                <w:rFonts w:ascii="Cambria Math" w:hAnsi="Cambria Math"/>
                <w:color w:val="auto"/>
                <w:szCs w:val="21"/>
                <w:highlight w:val="none"/>
              </w:rPr>
              <m:t>N−1</m:t>
            </m:r>
            <m:ctrlPr>
              <w:rPr>
                <w:rFonts w:ascii="Cambria Math" w:hAnsi="Cambria Math"/>
                <w:color w:val="auto"/>
                <w:szCs w:val="21"/>
                <w:highlight w:val="none"/>
              </w:rPr>
            </m:ctrlPr>
          </m:num>
          <m:den>
            <m:nary>
              <m:naryPr>
                <m:chr m:val="∑"/>
                <m:limLoc m:val="subSup"/>
                <m:ctrlPr>
                  <w:rPr>
                    <w:rFonts w:ascii="Cambria Math" w:hAnsi="Cambria Math"/>
                    <w:i/>
                    <w:color w:val="auto"/>
                    <w:szCs w:val="21"/>
                    <w:highlight w:val="none"/>
                  </w:rPr>
                </m:ctrlPr>
              </m:naryPr>
              <m:sub>
                <m:r>
                  <m:rPr/>
                  <w:rPr>
                    <w:rFonts w:ascii="Cambria Math" w:hAnsi="Cambria Math"/>
                    <w:color w:val="auto"/>
                    <w:szCs w:val="21"/>
                    <w:highlight w:val="none"/>
                  </w:rPr>
                  <m:t>1</m:t>
                </m:r>
                <m:ctrlPr>
                  <w:rPr>
                    <w:rFonts w:ascii="Cambria Math" w:hAnsi="Cambria Math"/>
                    <w:i/>
                    <w:color w:val="auto"/>
                    <w:szCs w:val="21"/>
                    <w:highlight w:val="none"/>
                  </w:rPr>
                </m:ctrlPr>
              </m:sub>
              <m:sup>
                <m:r>
                  <m:rPr/>
                  <w:rPr>
                    <w:rFonts w:ascii="Cambria Math" w:hAnsi="Cambria Math"/>
                    <w:color w:val="auto"/>
                    <w:szCs w:val="21"/>
                    <w:highlight w:val="none"/>
                  </w:rPr>
                  <m:t>N</m:t>
                </m:r>
                <m:ctrlPr>
                  <w:rPr>
                    <w:rFonts w:ascii="Cambria Math" w:hAnsi="Cambria Math"/>
                    <w:i/>
                    <w:color w:val="auto"/>
                    <w:szCs w:val="21"/>
                    <w:highlight w:val="none"/>
                  </w:rPr>
                </m:ctrlPr>
              </m:sup>
              <m:e>
                <m:r>
                  <m:rPr/>
                  <w:rPr>
                    <w:rFonts w:ascii="Cambria Math" w:hAnsi="Cambria Math"/>
                    <w:color w:val="auto"/>
                    <w:szCs w:val="21"/>
                    <w:highlight w:val="none"/>
                  </w:rPr>
                  <m:t>n</m:t>
                </m:r>
                <m:ctrlPr>
                  <w:rPr>
                    <w:rFonts w:ascii="Cambria Math" w:hAnsi="Cambria Math"/>
                    <w:i/>
                    <w:color w:val="auto"/>
                    <w:szCs w:val="21"/>
                    <w:highlight w:val="none"/>
                  </w:rPr>
                </m:ctrlPr>
              </m:e>
            </m:nary>
            <m:ctrlPr>
              <w:rPr>
                <w:rFonts w:ascii="Cambria Math" w:hAnsi="Cambria Math"/>
                <w:color w:val="auto"/>
                <w:szCs w:val="21"/>
                <w:highlight w:val="none"/>
              </w:rPr>
            </m:ctrlPr>
          </m:den>
        </m:f>
      </m:oMath>
      <w:r>
        <w:rPr>
          <w:rFonts w:ascii="宋体" w:hAnsi="宋体"/>
          <w:color w:val="auto"/>
          <w:highlight w:val="none"/>
          <w:u w:val="single"/>
        </w:rPr>
        <w:t>），以此类推，最后一名投标人的权重为（</w:t>
      </w:r>
      <m:oMath>
        <m:f>
          <m:fPr>
            <m:ctrlPr>
              <w:rPr>
                <w:rFonts w:ascii="Cambria Math" w:hAnsi="Cambria Math"/>
                <w:color w:val="auto"/>
                <w:szCs w:val="21"/>
                <w:highlight w:val="none"/>
              </w:rPr>
            </m:ctrlPr>
          </m:fPr>
          <m:num>
            <m:r>
              <m:rPr/>
              <w:rPr>
                <w:rFonts w:ascii="Cambria Math" w:hAnsi="Cambria Math"/>
                <w:color w:val="auto"/>
                <w:szCs w:val="21"/>
                <w:highlight w:val="none"/>
              </w:rPr>
              <m:t>1</m:t>
            </m:r>
            <m:ctrlPr>
              <w:rPr>
                <w:rFonts w:ascii="Cambria Math" w:hAnsi="Cambria Math"/>
                <w:color w:val="auto"/>
                <w:szCs w:val="21"/>
                <w:highlight w:val="none"/>
              </w:rPr>
            </m:ctrlPr>
          </m:num>
          <m:den>
            <m:nary>
              <m:naryPr>
                <m:chr m:val="∑"/>
                <m:limLoc m:val="subSup"/>
                <m:ctrlPr>
                  <w:rPr>
                    <w:rFonts w:ascii="Cambria Math" w:hAnsi="Cambria Math"/>
                    <w:i/>
                    <w:color w:val="auto"/>
                    <w:szCs w:val="21"/>
                    <w:highlight w:val="none"/>
                  </w:rPr>
                </m:ctrlPr>
              </m:naryPr>
              <m:sub>
                <m:r>
                  <m:rPr/>
                  <w:rPr>
                    <w:rFonts w:ascii="Cambria Math" w:hAnsi="Cambria Math"/>
                    <w:color w:val="auto"/>
                    <w:szCs w:val="21"/>
                    <w:highlight w:val="none"/>
                  </w:rPr>
                  <m:t>1</m:t>
                </m:r>
                <m:ctrlPr>
                  <w:rPr>
                    <w:rFonts w:ascii="Cambria Math" w:hAnsi="Cambria Math"/>
                    <w:i/>
                    <w:color w:val="auto"/>
                    <w:szCs w:val="21"/>
                    <w:highlight w:val="none"/>
                  </w:rPr>
                </m:ctrlPr>
              </m:sub>
              <m:sup>
                <m:r>
                  <m:rPr/>
                  <w:rPr>
                    <w:rFonts w:ascii="Cambria Math" w:hAnsi="Cambria Math"/>
                    <w:color w:val="auto"/>
                    <w:szCs w:val="21"/>
                    <w:highlight w:val="none"/>
                  </w:rPr>
                  <m:t>N</m:t>
                </m:r>
                <m:ctrlPr>
                  <w:rPr>
                    <w:rFonts w:ascii="Cambria Math" w:hAnsi="Cambria Math"/>
                    <w:i/>
                    <w:color w:val="auto"/>
                    <w:szCs w:val="21"/>
                    <w:highlight w:val="none"/>
                  </w:rPr>
                </m:ctrlPr>
              </m:sup>
              <m:e>
                <m:r>
                  <m:rPr/>
                  <w:rPr>
                    <w:rFonts w:ascii="Cambria Math" w:hAnsi="Cambria Math"/>
                    <w:color w:val="auto"/>
                    <w:szCs w:val="21"/>
                    <w:highlight w:val="none"/>
                  </w:rPr>
                  <m:t>n</m:t>
                </m:r>
                <m:ctrlPr>
                  <w:rPr>
                    <w:rFonts w:ascii="Cambria Math" w:hAnsi="Cambria Math"/>
                    <w:i/>
                    <w:color w:val="auto"/>
                    <w:szCs w:val="21"/>
                    <w:highlight w:val="none"/>
                  </w:rPr>
                </m:ctrlPr>
              </m:e>
            </m:nary>
            <m:ctrlPr>
              <w:rPr>
                <w:rFonts w:ascii="Cambria Math" w:hAnsi="Cambria Math"/>
                <w:color w:val="auto"/>
                <w:szCs w:val="21"/>
                <w:highlight w:val="none"/>
              </w:rPr>
            </m:ctrlPr>
          </m:den>
        </m:f>
      </m:oMath>
      <w:r>
        <w:rPr>
          <w:rFonts w:ascii="宋体" w:hAnsi="宋体"/>
          <w:color w:val="auto"/>
          <w:highlight w:val="none"/>
          <w:u w:val="single"/>
        </w:rPr>
        <w:t>）。</w:t>
      </w:r>
    </w:p>
    <w:p>
      <w:pPr>
        <w:spacing w:line="360" w:lineRule="auto"/>
        <w:ind w:firstLine="472" w:firstLineChars="224"/>
        <w:rPr>
          <w:b/>
          <w:color w:val="auto"/>
          <w:szCs w:val="21"/>
          <w:highlight w:val="none"/>
        </w:rPr>
      </w:pPr>
      <w:r>
        <w:rPr>
          <w:rFonts w:hint="eastAsia"/>
          <w:b/>
          <w:color w:val="auto"/>
          <w:szCs w:val="21"/>
          <w:highlight w:val="none"/>
        </w:rPr>
        <w:t>条款号：4</w:t>
      </w:r>
      <w:r>
        <w:rPr>
          <w:b/>
          <w:color w:val="auto"/>
          <w:szCs w:val="21"/>
          <w:highlight w:val="none"/>
        </w:rPr>
        <w:t xml:space="preserve">5.4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spacing w:line="360" w:lineRule="auto"/>
        <w:ind w:firstLine="472" w:firstLineChars="224"/>
        <w:rPr>
          <w:rFonts w:hint="eastAsia"/>
          <w:color w:val="auto"/>
          <w:szCs w:val="21"/>
          <w:highlight w:val="yellow"/>
          <w:u w:val="single"/>
        </w:rPr>
      </w:pPr>
      <w:r>
        <w:rPr>
          <w:rFonts w:hint="eastAsia"/>
          <w:b/>
          <w:color w:val="auto"/>
          <w:szCs w:val="21"/>
          <w:highlight w:val="none"/>
        </w:rPr>
        <w:t>现文：</w:t>
      </w:r>
      <w:r>
        <w:rPr>
          <w:rFonts w:hint="eastAsia"/>
          <w:color w:val="auto"/>
          <w:szCs w:val="21"/>
          <w:highlight w:val="none"/>
          <w:u w:val="single"/>
        </w:rPr>
        <w:t>计算通过技术标有效性审查的投标人总得分。投标人总得分=技术得分</w:t>
      </w:r>
      <w:r>
        <w:rPr>
          <w:color w:val="auto"/>
          <w:szCs w:val="21"/>
          <w:highlight w:val="none"/>
          <w:u w:val="single"/>
        </w:rPr>
        <w:t>×</w:t>
      </w:r>
      <w:r>
        <w:rPr>
          <w:rFonts w:hint="eastAsia"/>
          <w:color w:val="auto"/>
          <w:szCs w:val="21"/>
          <w:highlight w:val="none"/>
          <w:u w:val="single"/>
        </w:rPr>
        <w:t>技术得分权重（</w:t>
      </w:r>
      <w:r>
        <w:rPr>
          <w:color w:val="auto"/>
          <w:szCs w:val="21"/>
          <w:highlight w:val="none"/>
          <w:u w:val="single"/>
        </w:rPr>
        <w:t>20%</w:t>
      </w:r>
      <w:r>
        <w:rPr>
          <w:rFonts w:hint="eastAsia"/>
          <w:color w:val="auto"/>
          <w:szCs w:val="21"/>
          <w:highlight w:val="none"/>
          <w:u w:val="single"/>
        </w:rPr>
        <w:t>）＋经济得分</w:t>
      </w:r>
      <w:r>
        <w:rPr>
          <w:color w:val="auto"/>
          <w:szCs w:val="21"/>
          <w:highlight w:val="none"/>
          <w:u w:val="single"/>
        </w:rPr>
        <w:t>×</w:t>
      </w:r>
      <w:r>
        <w:rPr>
          <w:rFonts w:hint="eastAsia"/>
          <w:color w:val="auto"/>
          <w:szCs w:val="21"/>
          <w:highlight w:val="none"/>
          <w:u w:val="single"/>
        </w:rPr>
        <w:t>经济得分权重（</w:t>
      </w:r>
      <w:r>
        <w:rPr>
          <w:color w:val="auto"/>
          <w:szCs w:val="21"/>
          <w:highlight w:val="none"/>
          <w:u w:val="single"/>
        </w:rPr>
        <w:t>80%</w:t>
      </w:r>
      <w:r>
        <w:rPr>
          <w:rFonts w:hint="eastAsia"/>
          <w:color w:val="auto"/>
          <w:szCs w:val="21"/>
          <w:highlight w:val="none"/>
          <w:u w:val="single"/>
        </w:rPr>
        <w:t>）。技术、经济得分权重按投标须知前附表的规定执行。总得分四舍五入保留两位小数。若出现总得分相同的单位，以技术标得分高的排前；经济得分与技术标得分均相同的，按报价低者排前的原则；若报价亦一致的，由评标委员会采用记名投票方式，确定其排序。</w:t>
      </w:r>
    </w:p>
    <w:p>
      <w:pPr>
        <w:pBdr>
          <w:bottom w:val="single" w:color="auto" w:sz="6" w:space="1"/>
        </w:pBdr>
        <w:spacing w:line="360" w:lineRule="auto"/>
        <w:ind w:firstLine="527" w:firstLineChars="250"/>
        <w:rPr>
          <w:b/>
          <w:color w:val="auto"/>
          <w:szCs w:val="21"/>
          <w:highlight w:val="none"/>
        </w:rPr>
      </w:pPr>
    </w:p>
    <w:p>
      <w:pPr>
        <w:pStyle w:val="2"/>
      </w:pPr>
    </w:p>
    <w:p>
      <w:pPr>
        <w:pStyle w:val="2"/>
        <w:rPr>
          <w:rFonts w:hint="default"/>
          <w:color w:val="auto"/>
          <w:szCs w:val="21"/>
          <w:highlight w:val="none"/>
          <w:u w:val="single"/>
        </w:rPr>
      </w:pPr>
    </w:p>
    <w:p>
      <w:pPr>
        <w:spacing w:line="360" w:lineRule="auto"/>
        <w:ind w:firstLine="472" w:firstLineChars="224"/>
        <w:rPr>
          <w:b/>
          <w:color w:val="auto"/>
          <w:szCs w:val="21"/>
          <w:highlight w:val="none"/>
        </w:rPr>
      </w:pPr>
      <w:r>
        <w:rPr>
          <w:rFonts w:hint="eastAsia"/>
          <w:b/>
          <w:color w:val="auto"/>
          <w:szCs w:val="21"/>
          <w:highlight w:val="none"/>
        </w:rPr>
        <w:t>条款号：附表一</w:t>
      </w:r>
      <w:r>
        <w:rPr>
          <w:b/>
          <w:color w:val="auto"/>
          <w:szCs w:val="21"/>
          <w:highlight w:val="none"/>
        </w:rPr>
        <w:t xml:space="preserve">             </w:t>
      </w:r>
      <w:r>
        <w:rPr>
          <w:rFonts w:hint="eastAsia"/>
          <w:b/>
          <w:color w:val="auto"/>
          <w:szCs w:val="21"/>
          <w:highlight w:val="none"/>
        </w:rPr>
        <w:t>修改类型：修改</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《资格审查表》</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现文：</w:t>
      </w:r>
      <w:r>
        <w:rPr>
          <w:rFonts w:hint="eastAsia"/>
          <w:color w:val="auto"/>
          <w:szCs w:val="21"/>
          <w:highlight w:val="none"/>
        </w:rPr>
        <w:t>详见修改《资格审查表》</w:t>
      </w:r>
    </w:p>
    <w:p>
      <w:pPr>
        <w:spacing w:line="360" w:lineRule="auto"/>
        <w:ind w:firstLine="472" w:firstLineChars="224"/>
        <w:rPr>
          <w:b/>
          <w:color w:val="auto"/>
          <w:szCs w:val="21"/>
          <w:highlight w:val="none"/>
        </w:rPr>
      </w:pPr>
      <w:r>
        <w:rPr>
          <w:rFonts w:hint="eastAsia"/>
          <w:b/>
          <w:color w:val="auto"/>
          <w:szCs w:val="21"/>
          <w:highlight w:val="none"/>
        </w:rPr>
        <w:t>条款号：附表二</w:t>
      </w:r>
      <w:r>
        <w:rPr>
          <w:b/>
          <w:color w:val="auto"/>
          <w:szCs w:val="21"/>
          <w:highlight w:val="none"/>
        </w:rPr>
        <w:t xml:space="preserve">             </w:t>
      </w:r>
      <w:r>
        <w:rPr>
          <w:rFonts w:hint="eastAsia"/>
          <w:b/>
          <w:color w:val="auto"/>
          <w:szCs w:val="21"/>
          <w:highlight w:val="none"/>
        </w:rPr>
        <w:t>修改类型：修改</w:t>
      </w:r>
    </w:p>
    <w:p>
      <w:pPr>
        <w:pBdr>
          <w:bottom w:val="single" w:color="auto" w:sz="6" w:space="1"/>
        </w:pBdr>
        <w:spacing w:line="360" w:lineRule="auto"/>
        <w:ind w:firstLine="527" w:firstLineChars="250"/>
        <w:rPr>
          <w:color w:val="auto"/>
          <w:szCs w:val="21"/>
          <w:highlight w:val="none"/>
        </w:rPr>
      </w:pPr>
      <w:r>
        <w:rPr>
          <w:rFonts w:hint="eastAsia"/>
          <w:b/>
          <w:color w:val="auto"/>
          <w:szCs w:val="21"/>
          <w:highlight w:val="none"/>
        </w:rPr>
        <w:t>原文：</w:t>
      </w:r>
      <w:r>
        <w:rPr>
          <w:rFonts w:hint="eastAsia"/>
          <w:color w:val="auto"/>
          <w:szCs w:val="21"/>
          <w:highlight w:val="none"/>
        </w:rPr>
        <w:t>《技术标有效性审查表》</w:t>
      </w:r>
    </w:p>
    <w:p>
      <w:pPr>
        <w:pBdr>
          <w:bottom w:val="single" w:color="auto" w:sz="6" w:space="1"/>
        </w:pBdr>
        <w:spacing w:line="360" w:lineRule="auto"/>
        <w:ind w:firstLine="527" w:firstLineChars="250"/>
        <w:rPr>
          <w:b/>
          <w:color w:val="auto"/>
          <w:szCs w:val="21"/>
          <w:highlight w:val="none"/>
        </w:rPr>
      </w:pPr>
      <w:r>
        <w:rPr>
          <w:rFonts w:hint="eastAsia"/>
          <w:b/>
          <w:color w:val="auto"/>
          <w:szCs w:val="21"/>
          <w:highlight w:val="none"/>
        </w:rPr>
        <w:t>现文：</w:t>
      </w:r>
      <w:r>
        <w:rPr>
          <w:rFonts w:hint="eastAsia"/>
          <w:color w:val="auto"/>
          <w:szCs w:val="21"/>
          <w:highlight w:val="none"/>
        </w:rPr>
        <w:t>详见修改《技术标有效性审查表》</w:t>
      </w:r>
    </w:p>
    <w:p>
      <w:pPr>
        <w:spacing w:line="360" w:lineRule="auto"/>
        <w:ind w:firstLine="472" w:firstLineChars="224"/>
        <w:rPr>
          <w:b/>
          <w:color w:val="auto"/>
          <w:szCs w:val="21"/>
          <w:highlight w:val="none"/>
        </w:rPr>
      </w:pPr>
      <w:r>
        <w:rPr>
          <w:rFonts w:hint="eastAsia"/>
          <w:b/>
          <w:color w:val="auto"/>
          <w:szCs w:val="21"/>
          <w:highlight w:val="none"/>
        </w:rPr>
        <w:t>条款号：附表五</w:t>
      </w:r>
      <w:r>
        <w:rPr>
          <w:b/>
          <w:color w:val="auto"/>
          <w:szCs w:val="21"/>
          <w:highlight w:val="none"/>
        </w:rPr>
        <w:t xml:space="preserve">            </w:t>
      </w:r>
      <w:r>
        <w:rPr>
          <w:rFonts w:hint="eastAsia"/>
          <w:b/>
          <w:color w:val="auto"/>
          <w:szCs w:val="21"/>
          <w:highlight w:val="none"/>
        </w:rPr>
        <w:t>修改类型：删除</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附表五（适用于区间抽取法）</w:t>
      </w:r>
    </w:p>
    <w:p>
      <w:pPr>
        <w:spacing w:line="360" w:lineRule="auto"/>
        <w:ind w:firstLine="472" w:firstLineChars="224"/>
        <w:rPr>
          <w:b/>
          <w:color w:val="auto"/>
          <w:szCs w:val="21"/>
          <w:highlight w:val="none"/>
        </w:rPr>
      </w:pPr>
      <w:r>
        <w:rPr>
          <w:rFonts w:hint="eastAsia"/>
          <w:b/>
          <w:color w:val="auto"/>
          <w:szCs w:val="21"/>
          <w:highlight w:val="none"/>
        </w:rPr>
        <w:t>条款号：附件一</w:t>
      </w:r>
      <w:r>
        <w:rPr>
          <w:b/>
          <w:color w:val="auto"/>
          <w:szCs w:val="21"/>
          <w:highlight w:val="none"/>
        </w:rPr>
        <w:t xml:space="preserve">            </w:t>
      </w:r>
      <w:r>
        <w:rPr>
          <w:rFonts w:hint="eastAsia"/>
          <w:b/>
          <w:color w:val="auto"/>
          <w:szCs w:val="21"/>
          <w:highlight w:val="none"/>
        </w:rPr>
        <w:t>修改类型：删除</w:t>
      </w:r>
    </w:p>
    <w:p>
      <w:pPr>
        <w:spacing w:line="360" w:lineRule="auto"/>
        <w:ind w:firstLine="472" w:firstLineChars="224"/>
        <w:rPr>
          <w:b/>
          <w:color w:val="auto"/>
          <w:szCs w:val="21"/>
          <w:highlight w:val="none"/>
        </w:rPr>
      </w:pPr>
      <w:r>
        <w:rPr>
          <w:rFonts w:hint="eastAsia"/>
          <w:b/>
          <w:color w:val="auto"/>
          <w:szCs w:val="21"/>
          <w:highlight w:val="none"/>
        </w:rPr>
        <w:t>原文：</w:t>
      </w:r>
      <w:r>
        <w:rPr>
          <w:rFonts w:hint="eastAsia"/>
          <w:color w:val="auto"/>
          <w:szCs w:val="21"/>
          <w:highlight w:val="none"/>
        </w:rPr>
        <w:t>附件一（适用于技术标与经济标分别开启）</w:t>
      </w:r>
    </w:p>
    <w:p>
      <w:pPr>
        <w:autoSpaceDE w:val="0"/>
        <w:autoSpaceDN w:val="0"/>
        <w:adjustRightInd w:val="0"/>
        <w:spacing w:line="360" w:lineRule="auto"/>
        <w:ind w:firstLine="422" w:firstLineChars="200"/>
        <w:rPr>
          <w:b/>
          <w:color w:val="auto"/>
          <w:szCs w:val="21"/>
          <w:highlight w:val="none"/>
        </w:rPr>
      </w:pPr>
    </w:p>
    <w:p>
      <w:pPr>
        <w:spacing w:line="360" w:lineRule="auto"/>
        <w:ind w:firstLine="211" w:firstLineChars="100"/>
        <w:rPr>
          <w:b/>
          <w:color w:val="auto"/>
          <w:szCs w:val="21"/>
          <w:highlight w:val="none"/>
        </w:rPr>
      </w:pPr>
      <w:r>
        <w:rPr>
          <w:rFonts w:hint="eastAsia"/>
          <w:b/>
          <w:color w:val="auto"/>
          <w:szCs w:val="21"/>
          <w:highlight w:val="none"/>
        </w:rPr>
        <w:t>注：以上修改，仅限于本范本中有可供选择条款的情形。</w:t>
      </w:r>
    </w:p>
    <w:p>
      <w:pPr>
        <w:spacing w:line="360" w:lineRule="auto"/>
        <w:rPr>
          <w:color w:val="auto"/>
          <w:highlight w:val="none"/>
        </w:rPr>
      </w:pPr>
      <w:r>
        <w:rPr>
          <w:rFonts w:hint="eastAsia"/>
          <w:b/>
          <w:color w:val="auto"/>
          <w:szCs w:val="21"/>
          <w:highlight w:val="none"/>
        </w:rPr>
        <w:t>（以下无正文）</w:t>
      </w:r>
    </w:p>
    <w:p>
      <w:pPr>
        <w:pStyle w:val="8"/>
        <w:spacing w:line="360" w:lineRule="auto"/>
        <w:ind w:firstLine="0"/>
        <w:rPr>
          <w:b/>
          <w:bCs/>
          <w:color w:val="auto"/>
          <w:highlight w:val="none"/>
        </w:rPr>
      </w:pPr>
    </w:p>
    <w:p>
      <w:pPr>
        <w:spacing w:line="360" w:lineRule="auto"/>
        <w:ind w:firstLine="0"/>
        <w:jc w:val="center"/>
        <w:rPr>
          <w:rFonts w:hint="eastAsia"/>
          <w:b/>
          <w:bCs/>
          <w:color w:val="auto"/>
          <w:highlight w:val="none"/>
        </w:rPr>
      </w:pPr>
      <w:bookmarkStart w:id="11" w:name="_Toc5473"/>
      <w:r>
        <w:rPr>
          <w:rFonts w:hint="eastAsia"/>
          <w:b/>
          <w:bCs/>
          <w:color w:val="auto"/>
          <w:highlight w:val="none"/>
        </w:rPr>
        <w:br w:type="page"/>
      </w:r>
    </w:p>
    <w:p>
      <w:pPr>
        <w:pStyle w:val="8"/>
        <w:spacing w:line="360" w:lineRule="auto"/>
        <w:ind w:firstLine="0"/>
        <w:jc w:val="center"/>
        <w:rPr>
          <w:b/>
          <w:bCs/>
          <w:color w:val="auto"/>
          <w:highlight w:val="none"/>
        </w:rPr>
      </w:pPr>
      <w:r>
        <w:rPr>
          <w:rFonts w:hint="eastAsia"/>
          <w:b/>
          <w:bCs/>
          <w:color w:val="auto"/>
          <w:highlight w:val="none"/>
        </w:rPr>
        <w:t>二、开标、评标及定标办法</w:t>
      </w:r>
      <w:r>
        <w:rPr>
          <w:rFonts w:hint="eastAsia"/>
          <w:b/>
          <w:bCs/>
          <w:color w:val="auto"/>
          <w:szCs w:val="30"/>
          <w:highlight w:val="none"/>
        </w:rPr>
        <w:t>通用条款</w:t>
      </w:r>
      <w:bookmarkEnd w:id="11"/>
    </w:p>
    <w:p>
      <w:pPr>
        <w:pStyle w:val="9"/>
        <w:spacing w:before="156" w:after="156"/>
        <w:ind w:firstLine="540" w:firstLineChars="200"/>
        <w:jc w:val="center"/>
        <w:rPr>
          <w:color w:val="auto"/>
          <w:highlight w:val="none"/>
        </w:rPr>
      </w:pPr>
      <w:bookmarkStart w:id="12" w:name="_Toc26250"/>
      <w:r>
        <w:rPr>
          <w:rFonts w:hint="eastAsia"/>
          <w:color w:val="auto"/>
          <w:highlight w:val="none"/>
        </w:rPr>
        <w:t>（一）总则</w:t>
      </w:r>
      <w:bookmarkEnd w:id="12"/>
    </w:p>
    <w:p>
      <w:pPr>
        <w:spacing w:line="360" w:lineRule="auto"/>
        <w:ind w:firstLine="480" w:firstLineChars="200"/>
        <w:rPr>
          <w:rFonts w:ascii="宋体" w:hAnsi="宋体"/>
          <w:b/>
          <w:color w:val="auto"/>
          <w:sz w:val="24"/>
          <w:szCs w:val="24"/>
          <w:highlight w:val="none"/>
        </w:rPr>
      </w:pPr>
      <w:r>
        <w:rPr>
          <w:rFonts w:ascii="宋体" w:hAnsi="宋体"/>
          <w:color w:val="auto"/>
          <w:sz w:val="24"/>
          <w:szCs w:val="24"/>
          <w:highlight w:val="none"/>
        </w:rPr>
        <w:t xml:space="preserve">35 </w:t>
      </w:r>
      <w:r>
        <w:rPr>
          <w:rFonts w:hint="eastAsia" w:ascii="宋体" w:hAnsi="宋体"/>
          <w:color w:val="auto"/>
          <w:sz w:val="24"/>
          <w:szCs w:val="24"/>
          <w:highlight w:val="none"/>
        </w:rPr>
        <w:t>开标、评标及定标所依据的规则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35.1</w:t>
      </w:r>
      <w:r>
        <w:rPr>
          <w:rFonts w:hint="eastAsia" w:ascii="宋体" w:hAnsi="宋体"/>
          <w:color w:val="auto"/>
          <w:sz w:val="24"/>
          <w:szCs w:val="24"/>
          <w:highlight w:val="none"/>
        </w:rPr>
        <w:t>《中华人民共和国招标投标法》；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35.2</w:t>
      </w:r>
      <w:r>
        <w:rPr>
          <w:rFonts w:hint="eastAsia" w:ascii="宋体" w:hAnsi="宋体"/>
          <w:color w:val="auto"/>
          <w:sz w:val="24"/>
          <w:szCs w:val="24"/>
          <w:highlight w:val="none"/>
        </w:rPr>
        <w:t>《中华人民共和国招标投标法实施条例》；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35.3</w:t>
      </w:r>
      <w:r>
        <w:rPr>
          <w:rFonts w:hint="eastAsia" w:ascii="宋体" w:hAnsi="宋体"/>
          <w:color w:val="auto"/>
          <w:sz w:val="24"/>
          <w:szCs w:val="24"/>
          <w:highlight w:val="none"/>
        </w:rPr>
        <w:t>《评标委员会和评标方法暂行规定》（七部委第</w:t>
      </w:r>
      <w:r>
        <w:rPr>
          <w:rFonts w:ascii="宋体" w:hAnsi="宋体"/>
          <w:color w:val="auto"/>
          <w:sz w:val="24"/>
          <w:szCs w:val="24"/>
          <w:highlight w:val="none"/>
        </w:rPr>
        <w:t>12</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35.4</w:t>
      </w:r>
      <w:r>
        <w:rPr>
          <w:rFonts w:hint="eastAsia" w:ascii="宋体" w:hAnsi="宋体"/>
          <w:color w:val="auto"/>
          <w:sz w:val="24"/>
          <w:szCs w:val="24"/>
          <w:highlight w:val="none"/>
        </w:rPr>
        <w:t>《工程建设项目施工招标投标办法》（七部委</w:t>
      </w:r>
      <w:r>
        <w:rPr>
          <w:rFonts w:ascii="宋体" w:hAnsi="宋体"/>
          <w:color w:val="auto"/>
          <w:sz w:val="24"/>
          <w:szCs w:val="24"/>
          <w:highlight w:val="none"/>
        </w:rPr>
        <w:t>2003</w:t>
      </w:r>
      <w:r>
        <w:rPr>
          <w:rFonts w:hint="eastAsia" w:ascii="宋体" w:hAnsi="宋体"/>
          <w:color w:val="auto"/>
          <w:sz w:val="24"/>
          <w:szCs w:val="24"/>
          <w:highlight w:val="none"/>
        </w:rPr>
        <w:t>年第</w:t>
      </w:r>
      <w:r>
        <w:rPr>
          <w:rFonts w:ascii="宋体" w:hAnsi="宋体"/>
          <w:color w:val="auto"/>
          <w:sz w:val="24"/>
          <w:szCs w:val="24"/>
          <w:highlight w:val="none"/>
        </w:rPr>
        <w:t>30</w:t>
      </w:r>
      <w:r>
        <w:rPr>
          <w:rFonts w:hint="eastAsia" w:ascii="宋体" w:hAnsi="宋体"/>
          <w:color w:val="auto"/>
          <w:sz w:val="24"/>
          <w:szCs w:val="24"/>
          <w:highlight w:val="none"/>
        </w:rPr>
        <w:t>号令）</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35.5</w:t>
      </w:r>
      <w:r>
        <w:rPr>
          <w:rFonts w:hint="eastAsia" w:ascii="宋体" w:hAnsi="宋体"/>
          <w:color w:val="auto"/>
          <w:sz w:val="24"/>
          <w:szCs w:val="24"/>
          <w:highlight w:val="none"/>
        </w:rPr>
        <w:t>《广东省实施〈中华人民共和国招标投标法〉办法》；</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35.6</w:t>
      </w:r>
      <w:r>
        <w:rPr>
          <w:rFonts w:hint="eastAsia" w:ascii="宋体" w:hAnsi="宋体"/>
          <w:color w:val="auto"/>
          <w:sz w:val="24"/>
          <w:szCs w:val="24"/>
          <w:highlight w:val="none"/>
        </w:rPr>
        <w:t>《房屋建筑和市政基础设施工程施工招标投标管理办法》（建设部令第</w:t>
      </w:r>
      <w:r>
        <w:rPr>
          <w:rFonts w:ascii="宋体" w:hAnsi="宋体"/>
          <w:color w:val="auto"/>
          <w:sz w:val="24"/>
          <w:szCs w:val="24"/>
          <w:highlight w:val="none"/>
        </w:rPr>
        <w:t>89</w:t>
      </w:r>
      <w:r>
        <w:rPr>
          <w:rFonts w:hint="eastAsia" w:ascii="宋体" w:hAnsi="宋体"/>
          <w:color w:val="auto"/>
          <w:sz w:val="24"/>
          <w:szCs w:val="24"/>
          <w:highlight w:val="none"/>
        </w:rPr>
        <w:t>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35.7</w:t>
      </w:r>
      <w:r>
        <w:rPr>
          <w:rFonts w:hint="eastAsia" w:ascii="宋体" w:hAnsi="宋体"/>
          <w:color w:val="auto"/>
          <w:sz w:val="24"/>
          <w:szCs w:val="24"/>
          <w:highlight w:val="none"/>
        </w:rPr>
        <w:t>《广东省加强建设工程招标投标监督管理的若干规定》（粤发[2004]4号）；</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35.</w:t>
      </w:r>
      <w:r>
        <w:rPr>
          <w:rFonts w:hint="eastAsia" w:ascii="宋体" w:hAnsi="宋体"/>
          <w:color w:val="auto"/>
          <w:sz w:val="24"/>
          <w:szCs w:val="24"/>
          <w:highlight w:val="none"/>
        </w:rPr>
        <w:t>8《广州市工程建设项目招标投标管理办法》（</w:t>
      </w:r>
      <w:r>
        <w:rPr>
          <w:rFonts w:hint="eastAsia" w:ascii="宋体" w:hAnsi="宋体"/>
          <w:color w:val="auto"/>
          <w:sz w:val="24"/>
          <w:szCs w:val="24"/>
          <w:highlight w:val="none"/>
          <w:lang w:eastAsia="zh-CN"/>
        </w:rPr>
        <w:t>穗建规字〔2023〕12号</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35.9本项目招标文件。</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w:t>
      </w:r>
      <w:r>
        <w:rPr>
          <w:rFonts w:hint="eastAsia" w:ascii="宋体" w:hAnsi="宋体"/>
          <w:color w:val="auto"/>
          <w:sz w:val="24"/>
          <w:szCs w:val="24"/>
          <w:highlight w:val="none"/>
        </w:rPr>
        <w:t>．开标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36.1 </w:t>
      </w:r>
      <w:r>
        <w:rPr>
          <w:rFonts w:hint="eastAsia" w:ascii="宋体" w:hAnsi="宋体"/>
          <w:color w:val="auto"/>
          <w:sz w:val="24"/>
          <w:szCs w:val="24"/>
          <w:highlight w:val="none"/>
        </w:rPr>
        <w:t>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36.2</w:t>
      </w:r>
      <w:r>
        <w:rPr>
          <w:rFonts w:hint="eastAsia" w:ascii="宋体" w:hAnsi="宋体"/>
          <w:color w:val="auto"/>
          <w:sz w:val="24"/>
          <w:szCs w:val="24"/>
          <w:highlight w:val="none"/>
        </w:rPr>
        <w:t xml:space="preserve"> 招标人在招标文件要求提交投标文件的截止时间前收到的投标文件，开标时都当众予以解密、公布。</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36.4若递交投标文件的投标人不足3家，则重新组织招标。（当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w:t>
      </w:r>
      <w:r>
        <w:rPr>
          <w:rFonts w:hint="eastAsia" w:ascii="宋体" w:hAnsi="宋体"/>
          <w:color w:val="auto"/>
          <w:sz w:val="24"/>
          <w:szCs w:val="24"/>
          <w:highlight w:val="none"/>
        </w:rPr>
        <w:t>2家，则重新组织招标）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36.5按下列程序进行开标：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36.5.1</w:t>
      </w:r>
      <w:r>
        <w:rPr>
          <w:rFonts w:hint="eastAsia" w:ascii="宋体" w:hAnsi="宋体"/>
          <w:color w:val="auto"/>
          <w:sz w:val="24"/>
          <w:szCs w:val="24"/>
          <w:highlight w:val="none"/>
        </w:rPr>
        <w:t>在投标截止时间后半小时内，投标人通过交易平台对已递交的电子投标文件进行解密。投标人完成解密后，再由招标人进行解密。解密完成后，公布招标项目名称、投标人名称</w:t>
      </w:r>
      <w:r>
        <w:rPr>
          <w:rFonts w:hint="eastAsia" w:ascii="宋体" w:hAnsi="宋体"/>
          <w:strike w:val="0"/>
          <w:color w:val="auto"/>
          <w:sz w:val="24"/>
          <w:szCs w:val="24"/>
          <w:highlight w:val="none"/>
        </w:rPr>
        <w:t>、投标保证金的递交情况、</w:t>
      </w:r>
      <w:r>
        <w:rPr>
          <w:rFonts w:hint="eastAsia" w:ascii="宋体" w:hAnsi="宋体"/>
          <w:color w:val="auto"/>
          <w:sz w:val="24"/>
          <w:szCs w:val="24"/>
          <w:highlight w:val="none"/>
        </w:rPr>
        <w:t>投标报价、工期及其他内容；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36.5.2备用光盘的读取按投标须知前附表第36项的规定执行；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36.5.3投标人代表、招标人代表、监标人、记录人等有关人员在开标记录上签字确认；若有关人员不签字的，不影响开标程序；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36.5.4开标结束。</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w:t>
      </w:r>
      <w:r>
        <w:rPr>
          <w:rFonts w:hint="eastAsia" w:ascii="宋体" w:hAnsi="宋体"/>
          <w:color w:val="auto"/>
          <w:sz w:val="24"/>
          <w:szCs w:val="24"/>
          <w:highlight w:val="none"/>
        </w:rPr>
        <w:t>．评标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37.1</w:t>
      </w:r>
      <w:r>
        <w:rPr>
          <w:rFonts w:hint="eastAsia" w:ascii="宋体" w:hAnsi="宋体"/>
          <w:color w:val="auto"/>
          <w:sz w:val="24"/>
          <w:szCs w:val="24"/>
          <w:highlight w:val="none"/>
        </w:rPr>
        <w:t>评标委员会由招标人依法组建。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w:t>
      </w:r>
      <w:r>
        <w:rPr>
          <w:rFonts w:hint="eastAsia" w:ascii="宋体" w:hAnsi="宋体"/>
          <w:color w:val="auto"/>
          <w:sz w:val="24"/>
          <w:szCs w:val="24"/>
          <w:highlight w:val="none"/>
        </w:rPr>
        <w:t>评标委员会的职责及守则：</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37.2.1</w:t>
      </w:r>
      <w:r>
        <w:rPr>
          <w:rFonts w:hint="eastAsia" w:ascii="宋体" w:hAnsi="宋体"/>
          <w:color w:val="auto"/>
          <w:sz w:val="24"/>
          <w:szCs w:val="24"/>
          <w:highlight w:val="none"/>
        </w:rPr>
        <w:t>根据评标细则，对</w:t>
      </w:r>
      <w:r>
        <w:rPr>
          <w:rFonts w:hint="eastAsia" w:ascii="宋体" w:hAnsi="宋体"/>
          <w:color w:val="auto"/>
          <w:sz w:val="24"/>
          <w:highlight w:val="none"/>
        </w:rPr>
        <w:t>投标文件</w:t>
      </w:r>
      <w:r>
        <w:rPr>
          <w:rFonts w:hint="eastAsia" w:ascii="宋体" w:hAnsi="宋体"/>
          <w:color w:val="auto"/>
          <w:sz w:val="24"/>
          <w:szCs w:val="24"/>
          <w:highlight w:val="none"/>
        </w:rPr>
        <w:t>进行认真评审，完成评审报告；</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37.2.2</w:t>
      </w:r>
      <w:r>
        <w:rPr>
          <w:rFonts w:hint="eastAsia" w:ascii="宋体" w:hAnsi="宋体"/>
          <w:color w:val="auto"/>
          <w:sz w:val="24"/>
          <w:szCs w:val="24"/>
          <w:highlight w:val="none"/>
        </w:rPr>
        <w:t>向招标人报告评审意见，推荐合格的中标候选人。</w:t>
      </w:r>
    </w:p>
    <w:p>
      <w:pPr>
        <w:spacing w:line="360" w:lineRule="auto"/>
        <w:ind w:firstLine="480" w:firstLineChars="200"/>
        <w:rPr>
          <w:rFonts w:ascii="宋体" w:hAnsi="宋体"/>
          <w:color w:val="auto"/>
          <w:sz w:val="24"/>
          <w:szCs w:val="24"/>
          <w:highlight w:val="none"/>
        </w:rPr>
      </w:pPr>
      <w:r>
        <w:rPr>
          <w:rFonts w:ascii="宋体" w:hAnsi="宋体"/>
          <w:bCs/>
          <w:color w:val="auto"/>
          <w:sz w:val="24"/>
          <w:szCs w:val="24"/>
          <w:highlight w:val="none"/>
        </w:rPr>
        <w:t>37.2.3</w:t>
      </w:r>
      <w:r>
        <w:rPr>
          <w:rFonts w:ascii="宋体" w:hAnsi="宋体"/>
          <w:b/>
          <w:bCs/>
          <w:color w:val="auto"/>
          <w:sz w:val="24"/>
          <w:szCs w:val="24"/>
          <w:highlight w:val="none"/>
        </w:rPr>
        <w:t xml:space="preserve"> </w:t>
      </w:r>
      <w:r>
        <w:rPr>
          <w:rFonts w:hint="eastAsia" w:ascii="宋体" w:hAnsi="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37.2.4</w:t>
      </w:r>
      <w:r>
        <w:rPr>
          <w:rFonts w:hint="eastAsia" w:ascii="宋体" w:hAnsi="宋体"/>
          <w:color w:val="auto"/>
          <w:sz w:val="24"/>
          <w:szCs w:val="24"/>
          <w:highlight w:val="none"/>
        </w:rPr>
        <w:t>全体参与评标人员：</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37.2.4.1 </w:t>
      </w:r>
      <w:r>
        <w:rPr>
          <w:rFonts w:hint="eastAsia" w:ascii="宋体" w:hAnsi="宋体"/>
          <w:color w:val="auto"/>
          <w:sz w:val="24"/>
          <w:szCs w:val="24"/>
          <w:highlight w:val="none"/>
        </w:rPr>
        <w:t>必须遵守评标纪律、不得泄密；</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37.2.4.2 </w:t>
      </w:r>
      <w:r>
        <w:rPr>
          <w:rFonts w:hint="eastAsia" w:ascii="宋体" w:hAnsi="宋体"/>
          <w:color w:val="auto"/>
          <w:sz w:val="24"/>
          <w:szCs w:val="24"/>
          <w:highlight w:val="none"/>
        </w:rPr>
        <w:t>必须公正、不得循私；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37.2.4.3 </w:t>
      </w:r>
      <w:r>
        <w:rPr>
          <w:rFonts w:hint="eastAsia" w:ascii="宋体" w:hAnsi="宋体"/>
          <w:color w:val="auto"/>
          <w:sz w:val="24"/>
          <w:szCs w:val="24"/>
          <w:highlight w:val="none"/>
        </w:rPr>
        <w:t>必须科学、不得草率；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37.2.4.4 </w:t>
      </w:r>
      <w:r>
        <w:rPr>
          <w:rFonts w:hint="eastAsia" w:ascii="宋体" w:hAnsi="宋体"/>
          <w:color w:val="auto"/>
          <w:sz w:val="24"/>
          <w:szCs w:val="24"/>
          <w:highlight w:val="none"/>
        </w:rPr>
        <w:t>必须客观、不得带有成见；</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37.2.4.5 </w:t>
      </w:r>
      <w:r>
        <w:rPr>
          <w:rFonts w:hint="eastAsia" w:ascii="宋体" w:hAnsi="宋体"/>
          <w:color w:val="auto"/>
          <w:sz w:val="24"/>
          <w:szCs w:val="24"/>
          <w:highlight w:val="none"/>
        </w:rPr>
        <w:t>必须平等、不得强加于人；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37.2.4.6 </w:t>
      </w:r>
      <w:r>
        <w:rPr>
          <w:rFonts w:hint="eastAsia" w:ascii="宋体" w:hAnsi="宋体"/>
          <w:color w:val="auto"/>
          <w:sz w:val="24"/>
          <w:szCs w:val="24"/>
          <w:highlight w:val="none"/>
        </w:rPr>
        <w:t>必须严谨、不得随意马虎。</w:t>
      </w:r>
    </w:p>
    <w:p>
      <w:pPr>
        <w:spacing w:line="360" w:lineRule="auto"/>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37.4评标结束后，评标委员会递交评标报告并依法推荐中标候选人。</w:t>
      </w:r>
      <w:r>
        <w:rPr>
          <w:rFonts w:ascii="宋体" w:hAnsi="宋体"/>
          <w:color w:val="auto"/>
          <w:sz w:val="24"/>
          <w:szCs w:val="24"/>
          <w:highlight w:val="none"/>
        </w:rPr>
        <w:t xml:space="preserve"> </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w:t>
      </w:r>
      <w:r>
        <w:rPr>
          <w:rFonts w:hint="eastAsia" w:ascii="宋体" w:hAnsi="宋体"/>
          <w:color w:val="auto"/>
          <w:sz w:val="24"/>
          <w:szCs w:val="24"/>
          <w:highlight w:val="none"/>
        </w:rPr>
        <w:t>．投标文件的澄清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38.1</w:t>
      </w:r>
      <w:r>
        <w:rPr>
          <w:rFonts w:hint="eastAsia" w:ascii="宋体" w:hAnsi="宋体"/>
          <w:color w:val="auto"/>
          <w:sz w:val="24"/>
          <w:szCs w:val="24"/>
          <w:highlight w:val="none"/>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38.2 </w:t>
      </w:r>
      <w:r>
        <w:rPr>
          <w:rFonts w:hint="eastAsia" w:ascii="宋体" w:hAnsi="宋体"/>
          <w:color w:val="auto"/>
          <w:sz w:val="24"/>
          <w:szCs w:val="24"/>
          <w:highlight w:val="none"/>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38.3 </w:t>
      </w:r>
      <w:r>
        <w:rPr>
          <w:rFonts w:hint="eastAsia" w:ascii="宋体" w:hAnsi="宋体"/>
          <w:color w:val="auto"/>
          <w:sz w:val="24"/>
          <w:szCs w:val="24"/>
          <w:highlight w:val="none"/>
        </w:rPr>
        <w:t>评标委员会或评标委员会专业评审组成员均应当阅读投标人的澄清，但应独立参考澄清对投标文件进行评审。</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38.4</w:t>
      </w:r>
      <w:r>
        <w:rPr>
          <w:rFonts w:hint="eastAsia" w:ascii="宋体" w:hAnsi="宋体"/>
          <w:color w:val="auto"/>
          <w:sz w:val="24"/>
          <w:szCs w:val="24"/>
          <w:highlight w:val="none"/>
        </w:rPr>
        <w:t>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38.5</w:t>
      </w:r>
      <w:r>
        <w:rPr>
          <w:rFonts w:hint="eastAsia" w:ascii="宋体" w:hAnsi="宋体"/>
          <w:color w:val="auto"/>
          <w:sz w:val="24"/>
          <w:szCs w:val="24"/>
          <w:highlight w:val="none"/>
          <w:u w:val="singl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w:t>
      </w:r>
      <w:r>
        <w:rPr>
          <w:rFonts w:hint="eastAsia" w:ascii="宋体" w:hAnsi="宋体"/>
          <w:color w:val="auto"/>
          <w:sz w:val="24"/>
          <w:szCs w:val="24"/>
          <w:highlight w:val="none"/>
        </w:rPr>
        <w:t>．定标</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39.1 </w:t>
      </w:r>
      <w:r>
        <w:rPr>
          <w:rFonts w:hint="eastAsia" w:ascii="宋体" w:hAnsi="宋体"/>
          <w:color w:val="auto"/>
          <w:sz w:val="24"/>
          <w:szCs w:val="24"/>
          <w:highlight w:val="none"/>
        </w:rPr>
        <w:t>招标人根据评标委员会递交的评标报告，最终审定中标人。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39.2 </w:t>
      </w:r>
      <w:r>
        <w:rPr>
          <w:rFonts w:hint="eastAsia" w:ascii="宋体" w:hAnsi="宋体"/>
          <w:color w:val="auto"/>
          <w:sz w:val="24"/>
          <w:szCs w:val="24"/>
          <w:highlight w:val="none"/>
        </w:rPr>
        <w:t>依法必须进行公开招标的项目，招标人应当确定排名第一的中标候选人为中标人。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39.3</w:t>
      </w:r>
      <w:r>
        <w:rPr>
          <w:rFonts w:hint="eastAsia" w:ascii="宋体" w:hAnsi="宋体"/>
          <w:color w:val="auto"/>
          <w:sz w:val="24"/>
          <w:szCs w:val="24"/>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39.4</w:t>
      </w:r>
      <w:r>
        <w:rPr>
          <w:rFonts w:hint="eastAsia" w:ascii="宋体" w:hAnsi="宋体"/>
          <w:color w:val="auto"/>
          <w:sz w:val="24"/>
          <w:szCs w:val="24"/>
          <w:highlight w:val="none"/>
        </w:rPr>
        <w:t>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pacing w:before="156" w:after="156"/>
        <w:ind w:firstLine="540" w:firstLineChars="200"/>
        <w:jc w:val="center"/>
        <w:rPr>
          <w:color w:val="auto"/>
          <w:highlight w:val="none"/>
        </w:rPr>
      </w:pPr>
      <w:bookmarkStart w:id="13" w:name="_Toc12688"/>
      <w:r>
        <w:rPr>
          <w:rFonts w:hint="eastAsia"/>
          <w:color w:val="auto"/>
          <w:highlight w:val="none"/>
        </w:rPr>
        <w:t>（二）开标评标办法程序和细则</w:t>
      </w:r>
      <w:bookmarkEnd w:id="13"/>
    </w:p>
    <w:p>
      <w:pPr>
        <w:pStyle w:val="9"/>
        <w:spacing w:before="156" w:after="156"/>
        <w:ind w:firstLine="540" w:firstLineChars="200"/>
        <w:jc w:val="center"/>
        <w:rPr>
          <w:color w:val="auto"/>
          <w:highlight w:val="none"/>
        </w:rPr>
      </w:pPr>
      <w:bookmarkStart w:id="14" w:name="_Toc22121"/>
      <w:r>
        <w:rPr>
          <w:rFonts w:hint="eastAsia"/>
          <w:color w:val="auto"/>
          <w:highlight w:val="none"/>
        </w:rPr>
        <w:t>可选办法七（技术标与经济标同时开启）</w:t>
      </w:r>
      <w:bookmarkEnd w:id="14"/>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40．开标和评标程序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40.3技术标投标文件有效性审查；</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40.4技术标详细审查评分；</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40.5经济标详细审查评分；</w:t>
      </w:r>
      <w:r>
        <w:rPr>
          <w:rFonts w:ascii="宋体"/>
          <w:color w:val="auto"/>
          <w:sz w:val="24"/>
          <w:szCs w:val="24"/>
          <w:highlight w:val="none"/>
        </w:rPr>
        <w:t xml:space="preserve">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40.6评标委员会按照投标人总得分由高至低排序；</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40.7经济标投标文件有效性审查；</w:t>
      </w:r>
    </w:p>
    <w:p>
      <w:pPr>
        <w:snapToGrid w:val="0"/>
        <w:spacing w:line="360" w:lineRule="auto"/>
        <w:ind w:firstLine="480" w:firstLineChars="200"/>
        <w:rPr>
          <w:rFonts w:ascii="宋体"/>
          <w:color w:val="auto"/>
          <w:szCs w:val="21"/>
          <w:highlight w:val="none"/>
        </w:rPr>
      </w:pPr>
      <w:r>
        <w:rPr>
          <w:rFonts w:hint="eastAsia" w:ascii="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41．开标细则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41.1</w:t>
      </w:r>
      <w:r>
        <w:rPr>
          <w:rFonts w:hint="eastAsia" w:ascii="宋体" w:hAnsi="宋体"/>
          <w:color w:val="auto"/>
          <w:sz w:val="24"/>
          <w:szCs w:val="24"/>
          <w:highlight w:val="none"/>
        </w:rPr>
        <w:t>开标由招标人</w:t>
      </w:r>
      <w:r>
        <w:rPr>
          <w:rFonts w:hint="eastAsia" w:ascii="宋体" w:hAnsi="宋体"/>
          <w:color w:val="auto"/>
          <w:sz w:val="24"/>
          <w:szCs w:val="24"/>
          <w:highlight w:val="none"/>
          <w:u w:val="single"/>
        </w:rPr>
        <w:t>或招标代理</w:t>
      </w:r>
      <w:r>
        <w:rPr>
          <w:rFonts w:hint="eastAsia" w:ascii="宋体" w:hAnsi="宋体"/>
          <w:color w:val="auto"/>
          <w:sz w:val="24"/>
          <w:szCs w:val="24"/>
          <w:highlight w:val="none"/>
        </w:rPr>
        <w:t>主持；</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 细则</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41.2.1投标截止期前，各投标人递交投标文件（包括技术标投标文件、经济标投标文件）至</w:t>
      </w:r>
      <w:r>
        <w:rPr>
          <w:rFonts w:hint="eastAsia" w:ascii="宋体" w:hAnsi="宋体"/>
          <w:color w:val="auto"/>
          <w:sz w:val="24"/>
          <w:highlight w:val="none"/>
          <w:u w:val="single"/>
        </w:rPr>
        <w:t>广州公共资源交易中心</w:t>
      </w:r>
      <w:r>
        <w:rPr>
          <w:rFonts w:hint="eastAsia" w:ascii="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ascii="宋体"/>
          <w:strike/>
          <w:color w:val="auto"/>
          <w:sz w:val="24"/>
          <w:szCs w:val="24"/>
          <w:highlight w:val="none"/>
        </w:rPr>
      </w:pPr>
      <w:r>
        <w:rPr>
          <w:rFonts w:hint="eastAsia" w:ascii="宋体"/>
          <w:strike/>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41.2.4.1开标时，公布：a、投标人名称；b、</w:t>
      </w:r>
      <w:r>
        <w:rPr>
          <w:rFonts w:hint="eastAsia" w:ascii="宋体" w:hAnsi="宋体"/>
          <w:color w:val="auto"/>
          <w:sz w:val="24"/>
          <w:highlight w:val="none"/>
        </w:rPr>
        <w:t>投标文件</w:t>
      </w:r>
      <w:r>
        <w:rPr>
          <w:rFonts w:hint="eastAsia" w:ascii="宋体"/>
          <w:color w:val="auto"/>
          <w:sz w:val="24"/>
          <w:szCs w:val="24"/>
          <w:highlight w:val="none"/>
        </w:rPr>
        <w:t>密封情况；c、投标报价；</w:t>
      </w:r>
      <w:r>
        <w:rPr>
          <w:rFonts w:hint="eastAsia" w:ascii="宋体"/>
          <w:strike/>
          <w:color w:val="auto"/>
          <w:sz w:val="24"/>
          <w:szCs w:val="24"/>
          <w:highlight w:val="none"/>
        </w:rPr>
        <w:t>d、投标保证金；</w:t>
      </w:r>
      <w:r>
        <w:rPr>
          <w:rFonts w:hint="eastAsia" w:ascii="宋体"/>
          <w:color w:val="auto"/>
          <w:sz w:val="24"/>
          <w:szCs w:val="24"/>
          <w:highlight w:val="none"/>
        </w:rPr>
        <w:t>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42.2评标委员会的组成：方式</w:t>
      </w:r>
      <w:r>
        <w:rPr>
          <w:rFonts w:hint="eastAsia" w:ascii="宋体"/>
          <w:color w:val="auto"/>
          <w:sz w:val="24"/>
          <w:szCs w:val="24"/>
          <w:highlight w:val="none"/>
          <w:u w:val="single"/>
        </w:rPr>
        <w:t xml:space="preserve"> 一 </w:t>
      </w:r>
      <w:r>
        <w:rPr>
          <w:rFonts w:hint="eastAsia" w:ascii="宋体"/>
          <w:color w:val="auto"/>
          <w:sz w:val="24"/>
          <w:szCs w:val="24"/>
          <w:highlight w:val="none"/>
        </w:rPr>
        <w:t>。</w:t>
      </w:r>
    </w:p>
    <w:p>
      <w:pPr>
        <w:snapToGrid w:val="0"/>
        <w:spacing w:line="360" w:lineRule="auto"/>
        <w:ind w:firstLine="480" w:firstLineChars="200"/>
        <w:rPr>
          <w:rFonts w:ascii="宋体"/>
          <w:color w:val="auto"/>
          <w:sz w:val="24"/>
          <w:szCs w:val="24"/>
          <w:highlight w:val="none"/>
        </w:rPr>
      </w:pPr>
      <w:r>
        <w:rPr>
          <w:rFonts w:hint="eastAsia" w:ascii="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43．投标人资格审查</w:t>
      </w:r>
    </w:p>
    <w:p>
      <w:pPr>
        <w:pStyle w:val="5"/>
        <w:tabs>
          <w:tab w:val="left" w:pos="7380"/>
        </w:tabs>
        <w:snapToGrid w:val="0"/>
        <w:spacing w:after="0" w:line="360" w:lineRule="auto"/>
        <w:ind w:firstLine="480" w:firstLineChars="200"/>
        <w:rPr>
          <w:rFonts w:ascii="宋体"/>
          <w:b/>
          <w:color w:val="auto"/>
          <w:kern w:val="2"/>
          <w:sz w:val="24"/>
          <w:szCs w:val="24"/>
          <w:highlight w:val="none"/>
        </w:rPr>
      </w:pPr>
      <w:r>
        <w:rPr>
          <w:rFonts w:hint="eastAsia" w:ascii="宋体"/>
          <w:color w:val="auto"/>
          <w:sz w:val="24"/>
          <w:szCs w:val="24"/>
          <w:highlight w:val="none"/>
        </w:rPr>
        <w:t>43.1</w:t>
      </w:r>
      <w:r>
        <w:rPr>
          <w:rFonts w:hint="eastAsia" w:ascii="宋体"/>
          <w:color w:val="auto"/>
          <w:kern w:val="2"/>
          <w:sz w:val="24"/>
          <w:szCs w:val="24"/>
          <w:highlight w:val="none"/>
        </w:rPr>
        <w:t>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b/>
          <w:color w:val="auto"/>
          <w:kern w:val="2"/>
          <w:sz w:val="24"/>
          <w:szCs w:val="24"/>
          <w:highlight w:val="none"/>
        </w:rPr>
        <w:t>评委</w:t>
      </w:r>
      <w:r>
        <w:rPr>
          <w:rFonts w:ascii="宋体"/>
          <w:b/>
          <w:color w:val="auto"/>
          <w:kern w:val="2"/>
          <w:sz w:val="24"/>
          <w:szCs w:val="24"/>
          <w:highlight w:val="none"/>
        </w:rPr>
        <w:t>发现</w:t>
      </w:r>
      <w:r>
        <w:rPr>
          <w:rFonts w:hint="eastAsia" w:ascii="宋体"/>
          <w:b/>
          <w:color w:val="auto"/>
          <w:kern w:val="2"/>
          <w:sz w:val="24"/>
          <w:szCs w:val="24"/>
          <w:highlight w:val="none"/>
        </w:rPr>
        <w:t>资格审查文件</w:t>
      </w:r>
      <w:r>
        <w:rPr>
          <w:rFonts w:ascii="宋体"/>
          <w:b/>
          <w:color w:val="auto"/>
          <w:kern w:val="2"/>
          <w:sz w:val="24"/>
          <w:szCs w:val="24"/>
          <w:highlight w:val="none"/>
        </w:rPr>
        <w:t>中</w:t>
      </w:r>
      <w:r>
        <w:rPr>
          <w:rFonts w:hint="eastAsia" w:ascii="宋体"/>
          <w:b/>
          <w:color w:val="auto"/>
          <w:kern w:val="2"/>
          <w:sz w:val="24"/>
          <w:szCs w:val="24"/>
          <w:highlight w:val="none"/>
        </w:rPr>
        <w:t>含义不明确</w:t>
      </w:r>
      <w:r>
        <w:rPr>
          <w:rFonts w:ascii="宋体"/>
          <w:b/>
          <w:color w:val="auto"/>
          <w:kern w:val="2"/>
          <w:sz w:val="24"/>
          <w:szCs w:val="24"/>
          <w:highlight w:val="none"/>
        </w:rPr>
        <w:t>、对同类问题表述不一致、有明显</w:t>
      </w:r>
      <w:r>
        <w:rPr>
          <w:rFonts w:hint="eastAsia" w:ascii="宋体"/>
          <w:b/>
          <w:color w:val="auto"/>
          <w:kern w:val="2"/>
          <w:sz w:val="24"/>
          <w:szCs w:val="24"/>
          <w:highlight w:val="none"/>
        </w:rPr>
        <w:t>文字</w:t>
      </w:r>
      <w:r>
        <w:rPr>
          <w:rFonts w:ascii="宋体"/>
          <w:b/>
          <w:color w:val="auto"/>
          <w:kern w:val="2"/>
          <w:sz w:val="24"/>
          <w:szCs w:val="24"/>
          <w:highlight w:val="none"/>
        </w:rPr>
        <w:t>和计算错误的，应当</w:t>
      </w:r>
      <w:r>
        <w:rPr>
          <w:rFonts w:hint="eastAsia" w:ascii="宋体"/>
          <w:b/>
          <w:color w:val="auto"/>
          <w:kern w:val="2"/>
          <w:sz w:val="24"/>
          <w:szCs w:val="24"/>
          <w:highlight w:val="none"/>
        </w:rPr>
        <w:t>要求</w:t>
      </w:r>
      <w:r>
        <w:rPr>
          <w:rFonts w:ascii="宋体"/>
          <w:b/>
          <w:color w:val="auto"/>
          <w:kern w:val="2"/>
          <w:sz w:val="24"/>
          <w:szCs w:val="24"/>
          <w:highlight w:val="none"/>
        </w:rPr>
        <w:t>投标人作必要的澄清、说明</w:t>
      </w:r>
      <w:r>
        <w:rPr>
          <w:rFonts w:hint="eastAsia" w:ascii="宋体"/>
          <w:b/>
          <w:color w:val="auto"/>
          <w:kern w:val="2"/>
          <w:sz w:val="24"/>
          <w:szCs w:val="24"/>
          <w:highlight w:val="none"/>
        </w:rPr>
        <w:t>后再判定投标人是否通过资格审查</w:t>
      </w:r>
      <w:r>
        <w:rPr>
          <w:rFonts w:ascii="宋体"/>
          <w:b/>
          <w:color w:val="auto"/>
          <w:kern w:val="2"/>
          <w:sz w:val="24"/>
          <w:szCs w:val="24"/>
          <w:highlight w:val="none"/>
        </w:rPr>
        <w:t>，不得直接</w:t>
      </w:r>
      <w:r>
        <w:rPr>
          <w:rFonts w:hint="eastAsia" w:ascii="宋体"/>
          <w:b/>
          <w:color w:val="auto"/>
          <w:kern w:val="2"/>
          <w:sz w:val="24"/>
          <w:szCs w:val="24"/>
          <w:highlight w:val="none"/>
        </w:rPr>
        <w:t>认定其不通过资格审查。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43.2汇总资格审查情况，编写资格审查报告。</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43.3资格审查不合格的投标文件不参加下一阶段的评标，不参与评标参考价的计算。</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43.5资审合格后，投标人的资格发生变化而不满足投标人合格条件，在发出中标通知书前，资格问题仍未解决的，招标人将取消其中标资格。</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43.6资格审查合格的投标人少于3名的（当N个标段同时招标且不允许兼中时，资格审查合格的投标人少于N+2名），则本项目招标失败。</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44．技术标评审</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w:t>
      </w:r>
      <w:r>
        <w:rPr>
          <w:rFonts w:ascii="宋体"/>
          <w:color w:val="auto"/>
          <w:sz w:val="24"/>
          <w:szCs w:val="24"/>
          <w:highlight w:val="none"/>
        </w:rPr>
        <w:t>N个标段同时招标且不允许兼中时，若通过技术标有效性审查投标人不足N+2家，则重新招标）。</w:t>
      </w:r>
      <w:r>
        <w:rPr>
          <w:rFonts w:hint="eastAsia" w:ascii="宋体" w:hAnsi="宋体"/>
          <w:b/>
          <w:color w:val="auto"/>
          <w:sz w:val="24"/>
          <w:szCs w:val="24"/>
          <w:highlight w:val="none"/>
        </w:rPr>
        <w:t>评委</w:t>
      </w:r>
      <w:r>
        <w:rPr>
          <w:rFonts w:ascii="宋体" w:hAnsi="宋体"/>
          <w:b/>
          <w:color w:val="auto"/>
          <w:sz w:val="24"/>
          <w:szCs w:val="24"/>
          <w:highlight w:val="none"/>
        </w:rPr>
        <w:t>发现投标</w:t>
      </w:r>
      <w:r>
        <w:rPr>
          <w:rFonts w:hint="eastAsia" w:ascii="宋体" w:hAnsi="宋体"/>
          <w:b/>
          <w:color w:val="auto"/>
          <w:sz w:val="24"/>
          <w:szCs w:val="24"/>
          <w:highlight w:val="none"/>
        </w:rPr>
        <w:t>文件</w:t>
      </w:r>
      <w:r>
        <w:rPr>
          <w:rFonts w:ascii="宋体" w:hAnsi="宋体"/>
          <w:b/>
          <w:color w:val="auto"/>
          <w:sz w:val="24"/>
          <w:szCs w:val="24"/>
          <w:highlight w:val="none"/>
        </w:rPr>
        <w:t>中</w:t>
      </w:r>
      <w:r>
        <w:rPr>
          <w:rFonts w:hint="eastAsia" w:ascii="宋体" w:hAnsi="宋体"/>
          <w:b/>
          <w:color w:val="auto"/>
          <w:sz w:val="24"/>
          <w:szCs w:val="24"/>
          <w:highlight w:val="none"/>
        </w:rPr>
        <w:t>含义不明确</w:t>
      </w:r>
      <w:r>
        <w:rPr>
          <w:rFonts w:ascii="宋体" w:hAnsi="宋体"/>
          <w:b/>
          <w:color w:val="auto"/>
          <w:sz w:val="24"/>
          <w:szCs w:val="24"/>
          <w:highlight w:val="none"/>
        </w:rPr>
        <w:t>、对同类问题表述不一致、有明显</w:t>
      </w:r>
      <w:r>
        <w:rPr>
          <w:rFonts w:hint="eastAsia" w:ascii="宋体" w:hAnsi="宋体"/>
          <w:b/>
          <w:color w:val="auto"/>
          <w:sz w:val="24"/>
          <w:szCs w:val="24"/>
          <w:highlight w:val="none"/>
        </w:rPr>
        <w:t>文字</w:t>
      </w:r>
      <w:r>
        <w:rPr>
          <w:rFonts w:ascii="宋体" w:hAnsi="宋体"/>
          <w:b/>
          <w:color w:val="auto"/>
          <w:sz w:val="24"/>
          <w:szCs w:val="24"/>
          <w:highlight w:val="none"/>
        </w:rPr>
        <w:t>和计算错误</w:t>
      </w:r>
      <w:r>
        <w:rPr>
          <w:rFonts w:hint="eastAsia" w:ascii="宋体" w:hAnsi="宋体"/>
          <w:b/>
          <w:color w:val="auto"/>
          <w:sz w:val="24"/>
          <w:szCs w:val="24"/>
          <w:highlight w:val="none"/>
        </w:rPr>
        <w:t>的，</w:t>
      </w:r>
      <w:r>
        <w:rPr>
          <w:rFonts w:ascii="宋体" w:hAnsi="宋体"/>
          <w:b/>
          <w:color w:val="auto"/>
          <w:sz w:val="24"/>
          <w:szCs w:val="24"/>
          <w:highlight w:val="none"/>
        </w:rPr>
        <w:t>应当</w:t>
      </w:r>
      <w:r>
        <w:rPr>
          <w:rFonts w:hint="eastAsia" w:ascii="宋体" w:hAnsi="宋体"/>
          <w:b/>
          <w:color w:val="auto"/>
          <w:sz w:val="24"/>
          <w:szCs w:val="24"/>
          <w:highlight w:val="none"/>
        </w:rPr>
        <w:t>要求</w:t>
      </w:r>
      <w:r>
        <w:rPr>
          <w:rFonts w:ascii="宋体" w:hAnsi="宋体"/>
          <w:b/>
          <w:color w:val="auto"/>
          <w:sz w:val="24"/>
          <w:szCs w:val="24"/>
          <w:highlight w:val="none"/>
        </w:rPr>
        <w:t>投标人作必要的澄清、说明</w:t>
      </w:r>
      <w:r>
        <w:rPr>
          <w:rFonts w:hint="eastAsia" w:ascii="宋体" w:hAnsi="宋体"/>
          <w:b/>
          <w:color w:val="auto"/>
          <w:sz w:val="24"/>
          <w:szCs w:val="24"/>
          <w:highlight w:val="none"/>
        </w:rPr>
        <w:t>后再判定投标人是否通过有效性审查</w:t>
      </w:r>
      <w:r>
        <w:rPr>
          <w:rFonts w:ascii="宋体" w:hAnsi="宋体"/>
          <w:b/>
          <w:color w:val="auto"/>
          <w:sz w:val="24"/>
          <w:szCs w:val="24"/>
          <w:highlight w:val="none"/>
        </w:rPr>
        <w:t>，不得直接否决投标</w:t>
      </w:r>
      <w:r>
        <w:rPr>
          <w:rFonts w:hint="eastAsia" w:ascii="宋体" w:hAnsi="宋体"/>
          <w:b/>
          <w:color w:val="auto"/>
          <w:sz w:val="24"/>
          <w:szCs w:val="24"/>
          <w:highlight w:val="none"/>
        </w:rPr>
        <w:t>。</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tabs>
          <w:tab w:val="left" w:pos="7380"/>
        </w:tabs>
        <w:snapToGrid w:val="0"/>
        <w:spacing w:after="0" w:line="360" w:lineRule="auto"/>
        <w:ind w:firstLine="480" w:firstLineChars="200"/>
        <w:rPr>
          <w:rFonts w:ascii="宋体"/>
          <w:color w:val="auto"/>
          <w:sz w:val="24"/>
          <w:szCs w:val="24"/>
          <w:highlight w:val="none"/>
        </w:rPr>
      </w:pPr>
      <w:r>
        <w:rPr>
          <w:rFonts w:hint="eastAsia" w:ascii="宋体"/>
          <w:color w:val="auto"/>
          <w:sz w:val="24"/>
          <w:szCs w:val="24"/>
          <w:highlight w:val="none"/>
        </w:rPr>
        <w:t>45．经济标评审和得分汇总</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w:t>
      </w:r>
      <w:r>
        <w:rPr>
          <w:rFonts w:ascii="宋体" w:hAnsi="宋体"/>
          <w:color w:val="auto"/>
          <w:sz w:val="24"/>
          <w:szCs w:val="24"/>
          <w:highlight w:val="none"/>
        </w:rPr>
        <w:t>5.2</w:t>
      </w:r>
      <w:r>
        <w:rPr>
          <w:rFonts w:hint="eastAsia" w:ascii="宋体" w:hAnsi="宋体"/>
          <w:color w:val="auto"/>
          <w:sz w:val="24"/>
          <w:szCs w:val="24"/>
          <w:highlight w:val="none"/>
        </w:rPr>
        <w:t>按方法</w:t>
      </w:r>
      <w:r>
        <w:rPr>
          <w:rFonts w:hint="eastAsia" w:ascii="宋体" w:hAnsi="宋体"/>
          <w:color w:val="auto"/>
          <w:sz w:val="24"/>
          <w:szCs w:val="24"/>
          <w:highlight w:val="none"/>
          <w:u w:val="single"/>
        </w:rPr>
        <w:t xml:space="preserve">  一  </w:t>
      </w:r>
      <w:r>
        <w:rPr>
          <w:rFonts w:hint="eastAsia" w:ascii="宋体" w:hAnsi="宋体"/>
          <w:color w:val="auto"/>
          <w:sz w:val="24"/>
          <w:szCs w:val="24"/>
          <w:highlight w:val="none"/>
        </w:rPr>
        <w:t>计算评标参考价：</w:t>
      </w:r>
    </w:p>
    <w:p>
      <w:pPr>
        <w:pBdr>
          <w:bottom w:val="single" w:color="auto" w:sz="6" w:space="1"/>
        </w:pBdr>
        <w:spacing w:line="360" w:lineRule="auto"/>
        <w:ind w:firstLine="602" w:firstLineChars="250"/>
        <w:rPr>
          <w:rFonts w:ascii="宋体" w:hAnsi="宋体"/>
          <w:b/>
          <w:color w:val="auto"/>
          <w:sz w:val="24"/>
          <w:szCs w:val="24"/>
          <w:highlight w:val="none"/>
        </w:rPr>
      </w:pPr>
      <w:r>
        <w:rPr>
          <w:rFonts w:hint="eastAsia" w:ascii="宋体" w:hAnsi="宋体"/>
          <w:b/>
          <w:color w:val="auto"/>
          <w:sz w:val="24"/>
          <w:szCs w:val="24"/>
          <w:highlight w:val="none"/>
        </w:rPr>
        <w:t>方法一：加权平均法</w:t>
      </w:r>
    </w:p>
    <w:p>
      <w:pPr>
        <w:pBdr>
          <w:bottom w:val="single" w:color="auto" w:sz="6" w:space="1"/>
        </w:pBdr>
        <w:spacing w:line="360" w:lineRule="auto"/>
        <w:ind w:firstLine="600" w:firstLineChars="250"/>
        <w:rPr>
          <w:rFonts w:hint="eastAsia" w:ascii="宋体" w:hAnsi="宋体"/>
          <w:color w:val="auto"/>
          <w:sz w:val="24"/>
          <w:szCs w:val="24"/>
          <w:highlight w:val="none"/>
          <w:u w:val="single"/>
        </w:rPr>
      </w:pPr>
      <w:r>
        <w:rPr>
          <w:rFonts w:hint="eastAsia" w:ascii="宋体" w:hAnsi="宋体"/>
          <w:color w:val="auto"/>
          <w:sz w:val="24"/>
          <w:szCs w:val="24"/>
          <w:highlight w:val="none"/>
          <w:u w:val="single"/>
        </w:rPr>
        <w:t>经济标报价在[工程成本警戒价，招标控制价]区间的投标人的技术得分由高至低排序后，得出的前N名(如满足前述条件的投标人大于等于10家，则N=10；如满足前述条件的投标人小于10家，则N为满足前述条件的投标人的数量。若出现技术得分相同的单位，按报价低者排前的原则，若报价亦一致的，由评标委员会采用记名投票方式，确定其排序)投标人的经济报价加权平均，计算评标参考价。</w:t>
      </w:r>
    </w:p>
    <w:p>
      <w:pPr>
        <w:pBdr>
          <w:bottom w:val="single" w:color="auto" w:sz="6" w:space="1"/>
        </w:pBdr>
        <w:spacing w:line="360" w:lineRule="auto"/>
        <w:ind w:firstLine="600" w:firstLineChars="250"/>
        <w:rPr>
          <w:rFonts w:ascii="宋体" w:hAnsi="宋体"/>
          <w:color w:val="auto"/>
          <w:sz w:val="24"/>
          <w:szCs w:val="24"/>
          <w:highlight w:val="none"/>
          <w:u w:val="single"/>
        </w:rPr>
      </w:pPr>
      <w:r>
        <w:rPr>
          <w:rFonts w:ascii="宋体" w:hAnsi="宋体"/>
          <w:color w:val="auto"/>
          <w:sz w:val="24"/>
          <w:szCs w:val="24"/>
          <w:highlight w:val="none"/>
          <w:u w:val="single"/>
        </w:rPr>
        <w:t>即：假设参与评标参考价计算的投标人共有N名，评标参考价=Σ（投标人的投标报价×报价权重）。前N名的投标人的报价权重按其</w:t>
      </w:r>
      <w:r>
        <w:rPr>
          <w:rFonts w:hint="eastAsia" w:ascii="宋体" w:hAnsi="宋体"/>
          <w:color w:val="auto"/>
          <w:sz w:val="24"/>
          <w:szCs w:val="24"/>
          <w:highlight w:val="none"/>
          <w:u w:val="single"/>
        </w:rPr>
        <w:t>技术</w:t>
      </w:r>
      <w:r>
        <w:rPr>
          <w:rFonts w:ascii="宋体" w:hAnsi="宋体"/>
          <w:color w:val="auto"/>
          <w:sz w:val="24"/>
          <w:szCs w:val="24"/>
          <w:highlight w:val="none"/>
          <w:u w:val="single"/>
        </w:rPr>
        <w:t>得分高低确定，得分越高，权重越大。具体计算方法为：将N名投标人按</w:t>
      </w:r>
      <w:r>
        <w:rPr>
          <w:rFonts w:hint="eastAsia" w:ascii="宋体" w:hAnsi="宋体"/>
          <w:color w:val="auto"/>
          <w:sz w:val="24"/>
          <w:szCs w:val="24"/>
          <w:highlight w:val="none"/>
          <w:u w:val="single"/>
        </w:rPr>
        <w:t>技术得分</w:t>
      </w:r>
      <w:r>
        <w:rPr>
          <w:rFonts w:ascii="宋体" w:hAnsi="宋体"/>
          <w:color w:val="auto"/>
          <w:sz w:val="24"/>
          <w:szCs w:val="24"/>
          <w:highlight w:val="none"/>
          <w:u w:val="single"/>
        </w:rPr>
        <w:t>由高至低进行排序，第一名投标人的权重为（</w:t>
      </w:r>
      <w:r>
        <w:rPr>
          <w:rFonts w:ascii="宋体" w:hAnsi="宋体"/>
          <w:color w:val="auto"/>
          <w:sz w:val="24"/>
          <w:szCs w:val="24"/>
          <w:highlight w:val="none"/>
          <w:u w:val="single"/>
        </w:rPr>
        <w:fldChar w:fldCharType="begin"/>
      </w:r>
      <w:r>
        <w:rPr>
          <w:rFonts w:ascii="宋体" w:hAnsi="宋体"/>
          <w:color w:val="auto"/>
          <w:sz w:val="24"/>
          <w:szCs w:val="24"/>
          <w:highlight w:val="none"/>
          <w:u w:val="single"/>
        </w:rPr>
        <w:instrText xml:space="preserve"> QUOTE </w:instrText>
      </w:r>
      <w:r>
        <w:rPr>
          <w:color w:val="auto"/>
          <w:position w:val="-26"/>
          <w:sz w:val="24"/>
          <w:szCs w:val="24"/>
          <w:highlight w:val="none"/>
        </w:rPr>
        <w:pict>
          <v:shape id="_x0000_i1025" o:spt="75" type="#_x0000_t75" style="height:31pt;width:1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06F1A&quot;/&gt;&lt;wsp:rsid wsp:val=&quot;00007E51&quot;/&gt;&lt;wsp:rsid wsp:val=&quot;00020A10&quot;/&gt;&lt;wsp:rsid wsp:val=&quot;00021215&quot;/&gt;&lt;wsp:rsid wsp:val=&quot;000324E5&quot;/&gt;&lt;wsp:rsid wsp:val=&quot;000477E9&quot;/&gt;&lt;wsp:rsid wsp:val=&quot;00057C27&quot;/&gt;&lt;wsp:rsid wsp:val=&quot;00072A2B&quot;/&gt;&lt;wsp:rsid wsp:val=&quot;00075D0C&quot;/&gt;&lt;wsp:rsid wsp:val=&quot;00075ED5&quot;/&gt;&lt;wsp:rsid wsp:val=&quot;00076837&quot;/&gt;&lt;wsp:rsid wsp:val=&quot;0008002C&quot;/&gt;&lt;wsp:rsid wsp:val=&quot;0008329B&quot;/&gt;&lt;wsp:rsid wsp:val=&quot;00087876&quot;/&gt;&lt;wsp:rsid wsp:val=&quot;000905EE&quot;/&gt;&lt;wsp:rsid wsp:val=&quot;000A68CE&quot;/&gt;&lt;wsp:rsid wsp:val=&quot;000B0301&quot;/&gt;&lt;wsp:rsid wsp:val=&quot;000C1B8F&quot;/&gt;&lt;wsp:rsid wsp:val=&quot;000C4EFD&quot;/&gt;&lt;wsp:rsid wsp:val=&quot;000C6689&quot;/&gt;&lt;wsp:rsid wsp:val=&quot;000D640D&quot;/&gt;&lt;wsp:rsid wsp:val=&quot;000E3D52&quot;/&gt;&lt;wsp:rsid wsp:val=&quot;000E5601&quot;/&gt;&lt;wsp:rsid wsp:val=&quot;000F0AF7&quot;/&gt;&lt;wsp:rsid wsp:val=&quot;000F3ED4&quot;/&gt;&lt;wsp:rsid wsp:val=&quot;00102559&quot;/&gt;&lt;wsp:rsid wsp:val=&quot;001043D3&quot;/&gt;&lt;wsp:rsid wsp:val=&quot;0011000F&quot;/&gt;&lt;wsp:rsid wsp:val=&quot;00130415&quot;/&gt;&lt;wsp:rsid wsp:val=&quot;00140939&quot;/&gt;&lt;wsp:rsid wsp:val=&quot;00152CF2&quot;/&gt;&lt;wsp:rsid wsp:val=&quot;0016302F&quot;/&gt;&lt;wsp:rsid wsp:val=&quot;00177DE9&quot;/&gt;&lt;wsp:rsid wsp:val=&quot;001815B5&quot;/&gt;&lt;wsp:rsid wsp:val=&quot;001952AB&quot;/&gt;&lt;wsp:rsid wsp:val=&quot;001962B9&quot;/&gt;&lt;wsp:rsid wsp:val=&quot;001A02CE&quot;/&gt;&lt;wsp:rsid wsp:val=&quot;001A06AD&quot;/&gt;&lt;wsp:rsid wsp:val=&quot;001C51B2&quot;/&gt;&lt;wsp:rsid wsp:val=&quot;001C78D8&quot;/&gt;&lt;wsp:rsid wsp:val=&quot;001C7C5D&quot;/&gt;&lt;wsp:rsid wsp:val=&quot;001D0171&quot;/&gt;&lt;wsp:rsid wsp:val=&quot;00207966&quot;/&gt;&lt;wsp:rsid wsp:val=&quot;002115C4&quot;/&gt;&lt;wsp:rsid wsp:val=&quot;00217AA1&quot;/&gt;&lt;wsp:rsid wsp:val=&quot;00227398&quot;/&gt;&lt;wsp:rsid wsp:val=&quot;002361A8&quot;/&gt;&lt;wsp:rsid wsp:val=&quot;00237E28&quot;/&gt;&lt;wsp:rsid wsp:val=&quot;00240E85&quot;/&gt;&lt;wsp:rsid wsp:val=&quot;002428EE&quot;/&gt;&lt;wsp:rsid wsp:val=&quot;00254D5D&quot;/&gt;&lt;wsp:rsid wsp:val=&quot;00255301&quot;/&gt;&lt;wsp:rsid wsp:val=&quot;002615BB&quot;/&gt;&lt;wsp:rsid wsp:val=&quot;00264048&quot;/&gt;&lt;wsp:rsid wsp:val=&quot;002641DB&quot;/&gt;&lt;wsp:rsid wsp:val=&quot;00265159&quot;/&gt;&lt;wsp:rsid wsp:val=&quot;00285782&quot;/&gt;&lt;wsp:rsid wsp:val=&quot;00291CE3&quot;/&gt;&lt;wsp:rsid wsp:val=&quot;00296E5A&quot;/&gt;&lt;wsp:rsid wsp:val=&quot;002A13CE&quot;/&gt;&lt;wsp:rsid wsp:val=&quot;002A6C86&quot;/&gt;&lt;wsp:rsid wsp:val=&quot;002B0328&quot;/&gt;&lt;wsp:rsid wsp:val=&quot;002B2B5D&quot;/&gt;&lt;wsp:rsid wsp:val=&quot;002C2022&quot;/&gt;&lt;wsp:rsid wsp:val=&quot;002C61BA&quot;/&gt;&lt;wsp:rsid wsp:val=&quot;002E0A9A&quot;/&gt;&lt;wsp:rsid wsp:val=&quot;002E12E5&quot;/&gt;&lt;wsp:rsid wsp:val=&quot;002F553C&quot;/&gt;&lt;wsp:rsid wsp:val=&quot;003067A4&quot;/&gt;&lt;wsp:rsid wsp:val=&quot;00313B2C&quot;/&gt;&lt;wsp:rsid wsp:val=&quot;00315E5D&quot;/&gt;&lt;wsp:rsid wsp:val=&quot;00317804&quot;/&gt;&lt;wsp:rsid wsp:val=&quot;0032461E&quot;/&gt;&lt;wsp:rsid wsp:val=&quot;00327B69&quot;/&gt;&lt;wsp:rsid wsp:val=&quot;00330DE6&quot;/&gt;&lt;wsp:rsid wsp:val=&quot;00333F87&quot;/&gt;&lt;wsp:rsid wsp:val=&quot;003348FD&quot;/&gt;&lt;wsp:rsid wsp:val=&quot;00335354&quot;/&gt;&lt;wsp:rsid wsp:val=&quot;003522D1&quot;/&gt;&lt;wsp:rsid wsp:val=&quot;003526C3&quot;/&gt;&lt;wsp:rsid wsp:val=&quot;00366167&quot;/&gt;&lt;wsp:rsid wsp:val=&quot;00371C81&quot;/&gt;&lt;wsp:rsid wsp:val=&quot;00371CB0&quot;/&gt;&lt;wsp:rsid wsp:val=&quot;00382ADD&quot;/&gt;&lt;wsp:rsid wsp:val=&quot;00386F5B&quot;/&gt;&lt;wsp:rsid wsp:val=&quot;003879A7&quot;/&gt;&lt;wsp:rsid wsp:val=&quot;00394F76&quot;/&gt;&lt;wsp:rsid wsp:val=&quot;00396BE6&quot;/&gt;&lt;wsp:rsid wsp:val=&quot;003A4B0A&quot;/&gt;&lt;wsp:rsid wsp:val=&quot;003B306A&quot;/&gt;&lt;wsp:rsid wsp:val=&quot;003C0E5C&quot;/&gt;&lt;wsp:rsid wsp:val=&quot;003C3D3C&quot;/&gt;&lt;wsp:rsid wsp:val=&quot;003C6584&quot;/&gt;&lt;wsp:rsid wsp:val=&quot;003D7289&quot;/&gt;&lt;wsp:rsid wsp:val=&quot;003E4322&quot;/&gt;&lt;wsp:rsid wsp:val=&quot;003F0FC4&quot;/&gt;&lt;wsp:rsid wsp:val=&quot;003F571F&quot;/&gt;&lt;wsp:rsid wsp:val=&quot;0040471C&quot;/&gt;&lt;wsp:rsid wsp:val=&quot;004102B2&quot;/&gt;&lt;wsp:rsid wsp:val=&quot;0041385E&quot;/&gt;&lt;wsp:rsid wsp:val=&quot;00417D6F&quot;/&gt;&lt;wsp:rsid wsp:val=&quot;00431FFB&quot;/&gt;&lt;wsp:rsid wsp:val=&quot;00432E11&quot;/&gt;&lt;wsp:rsid wsp:val=&quot;004357ED&quot;/&gt;&lt;wsp:rsid wsp:val=&quot;00442AB3&quot;/&gt;&lt;wsp:rsid wsp:val=&quot;00445B6E&quot;/&gt;&lt;wsp:rsid wsp:val=&quot;004518A2&quot;/&gt;&lt;wsp:rsid wsp:val=&quot;0045295A&quot;/&gt;&lt;wsp:rsid wsp:val=&quot;00457E48&quot;/&gt;&lt;wsp:rsid wsp:val=&quot;004650D9&quot;/&gt;&lt;wsp:rsid wsp:val=&quot;0048402E&quot;/&gt;&lt;wsp:rsid wsp:val=&quot;00484805&quot;/&gt;&lt;wsp:rsid wsp:val=&quot;004A1B03&quot;/&gt;&lt;wsp:rsid wsp:val=&quot;004A5F83&quot;/&gt;&lt;wsp:rsid wsp:val=&quot;004A617E&quot;/&gt;&lt;wsp:rsid wsp:val=&quot;004B5364&quot;/&gt;&lt;wsp:rsid wsp:val=&quot;004C27EC&quot;/&gt;&lt;wsp:rsid wsp:val=&quot;004C524F&quot;/&gt;&lt;wsp:rsid wsp:val=&quot;004D2901&quot;/&gt;&lt;wsp:rsid wsp:val=&quot;0050376E&quot;/&gt;&lt;wsp:rsid wsp:val=&quot;00504DBA&quot;/&gt;&lt;wsp:rsid wsp:val=&quot;00513598&quot;/&gt;&lt;wsp:rsid wsp:val=&quot;00516CE1&quot;/&gt;&lt;wsp:rsid wsp:val=&quot;00517341&quot;/&gt;&lt;wsp:rsid wsp:val=&quot;00523A2D&quot;/&gt;&lt;wsp:rsid wsp:val=&quot;00525C33&quot;/&gt;&lt;wsp:rsid wsp:val=&quot;0053690D&quot;/&gt;&lt;wsp:rsid wsp:val=&quot;005430F0&quot;/&gt;&lt;wsp:rsid wsp:val=&quot;00563784&quot;/&gt;&lt;wsp:rsid wsp:val=&quot;0056407F&quot;/&gt;&lt;wsp:rsid wsp:val=&quot;0057670E&quot;/&gt;&lt;wsp:rsid wsp:val=&quot;00594885&quot;/&gt;&lt;wsp:rsid wsp:val=&quot;00595900&quot;/&gt;&lt;wsp:rsid wsp:val=&quot;005C2CED&quot;/&gt;&lt;wsp:rsid wsp:val=&quot;005D14A6&quot;/&gt;&lt;wsp:rsid wsp:val=&quot;005F00FE&quot;/&gt;&lt;wsp:rsid wsp:val=&quot;005F1D1C&quot;/&gt;&lt;wsp:rsid wsp:val=&quot;005F40F3&quot;/&gt;&lt;wsp:rsid wsp:val=&quot;0060317D&quot;/&gt;&lt;wsp:rsid wsp:val=&quot;006065AF&quot;/&gt;&lt;wsp:rsid wsp:val=&quot;006109C9&quot;/&gt;&lt;wsp:rsid wsp:val=&quot;00624AA1&quot;/&gt;&lt;wsp:rsid wsp:val=&quot;006333C6&quot;/&gt;&lt;wsp:rsid wsp:val=&quot;006352BF&quot;/&gt;&lt;wsp:rsid wsp:val=&quot;006422D2&quot;/&gt;&lt;wsp:rsid wsp:val=&quot;00643AF1&quot;/&gt;&lt;wsp:rsid wsp:val=&quot;00656123&quot;/&gt;&lt;wsp:rsid wsp:val=&quot;006617EA&quot;/&gt;&lt;wsp:rsid wsp:val=&quot;00667F0C&quot;/&gt;&lt;wsp:rsid wsp:val=&quot;006715FF&quot;/&gt;&lt;wsp:rsid wsp:val=&quot;00676A9B&quot;/&gt;&lt;wsp:rsid wsp:val=&quot;006951CC&quot;/&gt;&lt;wsp:rsid wsp:val=&quot;006B2956&quot;/&gt;&lt;wsp:rsid wsp:val=&quot;006B6B0D&quot;/&gt;&lt;wsp:rsid wsp:val=&quot;006D0462&quot;/&gt;&lt;wsp:rsid wsp:val=&quot;006E53F2&quot;/&gt;&lt;wsp:rsid wsp:val=&quot;00704352&quot;/&gt;&lt;wsp:rsid wsp:val=&quot;00722250&quot;/&gt;&lt;wsp:rsid wsp:val=&quot;00734ACD&quot;/&gt;&lt;wsp:rsid wsp:val=&quot;00736852&quot;/&gt;&lt;wsp:rsid wsp:val=&quot;00747747&quot;/&gt;&lt;wsp:rsid wsp:val=&quot;00747DDB&quot;/&gt;&lt;wsp:rsid wsp:val=&quot;0076060A&quot;/&gt;&lt;wsp:rsid wsp:val=&quot;007667B4&quot;/&gt;&lt;wsp:rsid wsp:val=&quot;00766EA6&quot;/&gt;&lt;wsp:rsid wsp:val=&quot;007836E3&quot;/&gt;&lt;wsp:rsid wsp:val=&quot;00785D05&quot;/&gt;&lt;wsp:rsid wsp:val=&quot;007B0DB1&quot;/&gt;&lt;wsp:rsid wsp:val=&quot;007B41BE&quot;/&gt;&lt;wsp:rsid wsp:val=&quot;007C2DCD&quot;/&gt;&lt;wsp:rsid wsp:val=&quot;007D5DB9&quot;/&gt;&lt;wsp:rsid wsp:val=&quot;007F15F5&quot;/&gt;&lt;wsp:rsid wsp:val=&quot;00805F18&quot;/&gt;&lt;wsp:rsid wsp:val=&quot;008100A9&quot;/&gt;&lt;wsp:rsid wsp:val=&quot;00815D5E&quot;/&gt;&lt;wsp:rsid wsp:val=&quot;00821B8C&quot;/&gt;&lt;wsp:rsid wsp:val=&quot;00826815&quot;/&gt;&lt;wsp:rsid wsp:val=&quot;00826CA9&quot;/&gt;&lt;wsp:rsid wsp:val=&quot;00831B79&quot;/&gt;&lt;wsp:rsid wsp:val=&quot;008449D3&quot;/&gt;&lt;wsp:rsid wsp:val=&quot;00847038&quot;/&gt;&lt;wsp:rsid wsp:val=&quot;00853529&quot;/&gt;&lt;wsp:rsid wsp:val=&quot;00855DF8&quot;/&gt;&lt;wsp:rsid wsp:val=&quot;0085741F&quot;/&gt;&lt;wsp:rsid wsp:val=&quot;008610B7&quot;/&gt;&lt;wsp:rsid wsp:val=&quot;008624DC&quot;/&gt;&lt;wsp:rsid wsp:val=&quot;0086260D&quot;/&gt;&lt;wsp:rsid wsp:val=&quot;00863329&quot;/&gt;&lt;wsp:rsid wsp:val=&quot;0086516E&quot;/&gt;&lt;wsp:rsid wsp:val=&quot;00875632&quot;/&gt;&lt;wsp:rsid wsp:val=&quot;00880F8B&quot;/&gt;&lt;wsp:rsid wsp:val=&quot;00881879&quot;/&gt;&lt;wsp:rsid wsp:val=&quot;00883788&quot;/&gt;&lt;wsp:rsid wsp:val=&quot;008863FA&quot;/&gt;&lt;wsp:rsid wsp:val=&quot;00896624&quot;/&gt;&lt;wsp:rsid wsp:val=&quot;00897CFA&quot;/&gt;&lt;wsp:rsid wsp:val=&quot;00897EE5&quot;/&gt;&lt;wsp:rsid wsp:val=&quot;008A0349&quot;/&gt;&lt;wsp:rsid wsp:val=&quot;008A1536&quot;/&gt;&lt;wsp:rsid wsp:val=&quot;008B1C37&quot;/&gt;&lt;wsp:rsid wsp:val=&quot;008B7608&quot;/&gt;&lt;wsp:rsid wsp:val=&quot;008D6739&quot;/&gt;&lt;wsp:rsid wsp:val=&quot;008F35F8&quot;/&gt;&lt;wsp:rsid wsp:val=&quot;00910925&quot;/&gt;&lt;wsp:rsid wsp:val=&quot;009153D5&quot;/&gt;&lt;wsp:rsid wsp:val=&quot;0092235B&quot;/&gt;&lt;wsp:rsid wsp:val=&quot;009237A8&quot;/&gt;&lt;wsp:rsid wsp:val=&quot;0092698F&quot;/&gt;&lt;wsp:rsid wsp:val=&quot;00947FBF&quot;/&gt;&lt;wsp:rsid wsp:val=&quot;00955AEF&quot;/&gt;&lt;wsp:rsid wsp:val=&quot;009613F8&quot;/&gt;&lt;wsp:rsid wsp:val=&quot;00964203&quot;/&gt;&lt;wsp:rsid wsp:val=&quot;00965C9C&quot;/&gt;&lt;wsp:rsid wsp:val=&quot;00970EB6&quot;/&gt;&lt;wsp:rsid wsp:val=&quot;00976F0E&quot;/&gt;&lt;wsp:rsid wsp:val=&quot;009865BE&quot;/&gt;&lt;wsp:rsid wsp:val=&quot;00986F57&quot;/&gt;&lt;wsp:rsid wsp:val=&quot;0099075E&quot;/&gt;&lt;wsp:rsid wsp:val=&quot;00994CA1&quot;/&gt;&lt;wsp:rsid wsp:val=&quot;0099768F&quot;/&gt;&lt;wsp:rsid wsp:val=&quot;00997757&quot;/&gt;&lt;wsp:rsid wsp:val=&quot;009B1F09&quot;/&gt;&lt;wsp:rsid wsp:val=&quot;009B6DEC&quot;/&gt;&lt;wsp:rsid wsp:val=&quot;009C29C9&quot;/&gt;&lt;wsp:rsid wsp:val=&quot;009D7CE3&quot;/&gt;&lt;wsp:rsid wsp:val=&quot;00A024F5&quot;/&gt;&lt;wsp:rsid wsp:val=&quot;00A35622&quot;/&gt;&lt;wsp:rsid wsp:val=&quot;00A456D5&quot;/&gt;&lt;wsp:rsid wsp:val=&quot;00A540E9&quot;/&gt;&lt;wsp:rsid wsp:val=&quot;00A61EAB&quot;/&gt;&lt;wsp:rsid wsp:val=&quot;00A65B31&quot;/&gt;&lt;wsp:rsid wsp:val=&quot;00A665F0&quot;/&gt;&lt;wsp:rsid wsp:val=&quot;00A66B33&quot;/&gt;&lt;wsp:rsid wsp:val=&quot;00A733EE&quot;/&gt;&lt;wsp:rsid wsp:val=&quot;00A80E3F&quot;/&gt;&lt;wsp:rsid wsp:val=&quot;00A92FB5&quot;/&gt;&lt;wsp:rsid wsp:val=&quot;00A935F1&quot;/&gt;&lt;wsp:rsid wsp:val=&quot;00AB134C&quot;/&gt;&lt;wsp:rsid wsp:val=&quot;00AB6CD8&quot;/&gt;&lt;wsp:rsid wsp:val=&quot;00AB7559&quot;/&gt;&lt;wsp:rsid wsp:val=&quot;00AD09E5&quot;/&gt;&lt;wsp:rsid wsp:val=&quot;00AD2004&quot;/&gt;&lt;wsp:rsid wsp:val=&quot;00AF4CEB&quot;/&gt;&lt;wsp:rsid wsp:val=&quot;00B04828&quot;/&gt;&lt;wsp:rsid wsp:val=&quot;00B10668&quot;/&gt;&lt;wsp:rsid wsp:val=&quot;00B15F09&quot;/&gt;&lt;wsp:rsid wsp:val=&quot;00B23A0B&quot;/&gt;&lt;wsp:rsid wsp:val=&quot;00B244A8&quot;/&gt;&lt;wsp:rsid wsp:val=&quot;00B339F9&quot;/&gt;&lt;wsp:rsid wsp:val=&quot;00B377D8&quot;/&gt;&lt;wsp:rsid wsp:val=&quot;00B5278F&quot;/&gt;&lt;wsp:rsid wsp:val=&quot;00B55CB1&quot;/&gt;&lt;wsp:rsid wsp:val=&quot;00B66ECB&quot;/&gt;&lt;wsp:rsid wsp:val=&quot;00B81E28&quot;/&gt;&lt;wsp:rsid wsp:val=&quot;00B9192A&quot;/&gt;&lt;wsp:rsid wsp:val=&quot;00B93351&quot;/&gt;&lt;wsp:rsid wsp:val=&quot;00B96A0C&quot;/&gt;&lt;wsp:rsid wsp:val=&quot;00BA1175&quot;/&gt;&lt;wsp:rsid wsp:val=&quot;00BB4AFB&quot;/&gt;&lt;wsp:rsid wsp:val=&quot;00BC161C&quot;/&gt;&lt;wsp:rsid wsp:val=&quot;00BC45FF&quot;/&gt;&lt;wsp:rsid wsp:val=&quot;00BD1CE9&quot;/&gt;&lt;wsp:rsid wsp:val=&quot;00BD4E60&quot;/&gt;&lt;wsp:rsid wsp:val=&quot;00BD55AC&quot;/&gt;&lt;wsp:rsid wsp:val=&quot;00BE17C4&quot;/&gt;&lt;wsp:rsid wsp:val=&quot;00BF06E8&quot;/&gt;&lt;wsp:rsid wsp:val=&quot;00BF5FFE&quot;/&gt;&lt;wsp:rsid wsp:val=&quot;00C12A93&quot;/&gt;&lt;wsp:rsid wsp:val=&quot;00C23657&quot;/&gt;&lt;wsp:rsid wsp:val=&quot;00C31D71&quot;/&gt;&lt;wsp:rsid wsp:val=&quot;00C32EE0&quot;/&gt;&lt;wsp:rsid wsp:val=&quot;00C349B6&quot;/&gt;&lt;wsp:rsid wsp:val=&quot;00C356CB&quot;/&gt;&lt;wsp:rsid wsp:val=&quot;00C408D3&quot;/&gt;&lt;wsp:rsid wsp:val=&quot;00C46D7B&quot;/&gt;&lt;wsp:rsid wsp:val=&quot;00C51BE4&quot;/&gt;&lt;wsp:rsid wsp:val=&quot;00C65559&quot;/&gt;&lt;wsp:rsid wsp:val=&quot;00C6771C&quot;/&gt;&lt;wsp:rsid wsp:val=&quot;00C834D4&quot;/&gt;&lt;wsp:rsid wsp:val=&quot;00C86130&quot;/&gt;&lt;wsp:rsid wsp:val=&quot;00CA2D54&quot;/&gt;&lt;wsp:rsid wsp:val=&quot;00CB0AB5&quot;/&gt;&lt;wsp:rsid wsp:val=&quot;00CB3EAB&quot;/&gt;&lt;wsp:rsid wsp:val=&quot;00CC2BD7&quot;/&gt;&lt;wsp:rsid wsp:val=&quot;00CD0840&quot;/&gt;&lt;wsp:rsid wsp:val=&quot;00CD09D7&quot;/&gt;&lt;wsp:rsid wsp:val=&quot;00CD517C&quot;/&gt;&lt;wsp:rsid wsp:val=&quot;00CE3BD3&quot;/&gt;&lt;wsp:rsid wsp:val=&quot;00CF7247&quot;/&gt;&lt;wsp:rsid wsp:val=&quot;00D052E8&quot;/&gt;&lt;wsp:rsid wsp:val=&quot;00D1277A&quot;/&gt;&lt;wsp:rsid wsp:val=&quot;00D13F94&quot;/&gt;&lt;wsp:rsid wsp:val=&quot;00D23DF9&quot;/&gt;&lt;wsp:rsid wsp:val=&quot;00D27280&quot;/&gt;&lt;wsp:rsid wsp:val=&quot;00D47795&quot;/&gt;&lt;wsp:rsid wsp:val=&quot;00D63F39&quot;/&gt;&lt;wsp:rsid wsp:val=&quot;00D66825&quot;/&gt;&lt;wsp:rsid wsp:val=&quot;00D668BF&quot;/&gt;&lt;wsp:rsid wsp:val=&quot;00D85019&quot;/&gt;&lt;wsp:rsid wsp:val=&quot;00D87A48&quot;/&gt;&lt;wsp:rsid wsp:val=&quot;00DA33DC&quot;/&gt;&lt;wsp:rsid wsp:val=&quot;00DC726E&quot;/&gt;&lt;wsp:rsid wsp:val=&quot;00DD087A&quot;/&gt;&lt;wsp:rsid wsp:val=&quot;00DD15DA&quot;/&gt;&lt;wsp:rsid wsp:val=&quot;00DD39F7&quot;/&gt;&lt;wsp:rsid wsp:val=&quot;00DE2532&quot;/&gt;&lt;wsp:rsid wsp:val=&quot;00DE7F75&quot;/&gt;&lt;wsp:rsid wsp:val=&quot;00DF0FEA&quot;/&gt;&lt;wsp:rsid wsp:val=&quot;00E00DBC&quot;/&gt;&lt;wsp:rsid wsp:val=&quot;00E0419C&quot;/&gt;&lt;wsp:rsid wsp:val=&quot;00E05A58&quot;/&gt;&lt;wsp:rsid wsp:val=&quot;00E111B7&quot;/&gt;&lt;wsp:rsid wsp:val=&quot;00E1755F&quot;/&gt;&lt;wsp:rsid wsp:val=&quot;00E21904&quot;/&gt;&lt;wsp:rsid wsp:val=&quot;00E31316&quot;/&gt;&lt;wsp:rsid wsp:val=&quot;00E417A7&quot;/&gt;&lt;wsp:rsid wsp:val=&quot;00E56B1C&quot;/&gt;&lt;wsp:rsid wsp:val=&quot;00E61ECE&quot;/&gt;&lt;wsp:rsid wsp:val=&quot;00E6607A&quot;/&gt;&lt;wsp:rsid wsp:val=&quot;00E93861&quot;/&gt;&lt;wsp:rsid wsp:val=&quot;00E97297&quot;/&gt;&lt;wsp:rsid wsp:val=&quot;00EA3E65&quot;/&gt;&lt;wsp:rsid wsp:val=&quot;00EB4D9C&quot;/&gt;&lt;wsp:rsid wsp:val=&quot;00EC3064&quot;/&gt;&lt;wsp:rsid wsp:val=&quot;00ED21EA&quot;/&gt;&lt;wsp:rsid wsp:val=&quot;00ED6676&quot;/&gt;&lt;wsp:rsid wsp:val=&quot;00EE617E&quot;/&gt;&lt;wsp:rsid wsp:val=&quot;00EF081F&quot;/&gt;&lt;wsp:rsid wsp:val=&quot;00EF59DF&quot;/&gt;&lt;wsp:rsid wsp:val=&quot;00EF67B9&quot;/&gt;&lt;wsp:rsid wsp:val=&quot;00EF7292&quot;/&gt;&lt;wsp:rsid wsp:val=&quot;00F023EF&quot;/&gt;&lt;wsp:rsid wsp:val=&quot;00F0401B&quot;/&gt;&lt;wsp:rsid wsp:val=&quot;00F04099&quot;/&gt;&lt;wsp:rsid wsp:val=&quot;00F05B05&quot;/&gt;&lt;wsp:rsid wsp:val=&quot;00F164CF&quot;/&gt;&lt;wsp:rsid wsp:val=&quot;00F1692E&quot;/&gt;&lt;wsp:rsid wsp:val=&quot;00F53525&quot;/&gt;&lt;wsp:rsid wsp:val=&quot;00F60B9A&quot;/&gt;&lt;wsp:rsid wsp:val=&quot;00F64547&quot;/&gt;&lt;wsp:rsid wsp:val=&quot;00F811CE&quot;/&gt;&lt;wsp:rsid wsp:val=&quot;00F842F3&quot;/&gt;&lt;wsp:rsid wsp:val=&quot;00F867D6&quot;/&gt;&lt;wsp:rsid wsp:val=&quot;00F93145&quot;/&gt;&lt;wsp:rsid wsp:val=&quot;00F94EA3&quot;/&gt;&lt;wsp:rsid wsp:val=&quot;00FA7B70&quot;/&gt;&lt;wsp:rsid wsp:val=&quot;00FB755A&quot;/&gt;&lt;wsp:rsid wsp:val=&quot;00FC0C2C&quot;/&gt;&lt;wsp:rsid wsp:val=&quot;00FD273B&quot;/&gt;&lt;wsp:rsid wsp:val=&quot;00FD711D&quot;/&gt;&lt;wsp:rsid wsp:val=&quot;00FF1F0E&quot;/&gt;&lt;wsp:rsid wsp:val=&quot;00FF6EB1&quot;/&gt;&lt;wsp:rsid wsp:val=&quot;00FF70D3&quot;/&gt;&lt;wsp:rsid wsp:val=&quot;0132288A&quot;/&gt;&lt;wsp:rsid wsp:val=&quot;01384C43&quot;/&gt;&lt;wsp:rsid wsp:val=&quot;01AB79F4&quot;/&gt;&lt;wsp:rsid wsp:val=&quot;01E70B0E&quot;/&gt;&lt;wsp:rsid wsp:val=&quot;02547AA6&quot;/&gt;&lt;wsp:rsid wsp:val=&quot;025E1490&quot;/&gt;&lt;wsp:rsid wsp:val=&quot;026D01A7&quot;/&gt;&lt;wsp:rsid wsp:val=&quot;0292705A&quot;/&gt;&lt;wsp:rsid wsp:val=&quot;02BB2BB6&quot;/&gt;&lt;wsp:rsid wsp:val=&quot;02D44769&quot;/&gt;&lt;wsp:rsid wsp:val=&quot;03223D53&quot;/&gt;&lt;wsp:rsid wsp:val=&quot;03305E1E&quot;/&gt;&lt;wsp:rsid wsp:val=&quot;034B6F5E&quot;/&gt;&lt;wsp:rsid wsp:val=&quot;0369677B&quot;/&gt;&lt;wsp:rsid wsp:val=&quot;036E2876&quot;/&gt;&lt;wsp:rsid wsp:val=&quot;038B55AE&quot;/&gt;&lt;wsp:rsid wsp:val=&quot;038E6EF8&quot;/&gt;&lt;wsp:rsid wsp:val=&quot;03AD02FF&quot;/&gt;&lt;wsp:rsid wsp:val=&quot;03CF176F&quot;/&gt;&lt;wsp:rsid wsp:val=&quot;048B38BC&quot;/&gt;&lt;wsp:rsid wsp:val=&quot;049D5F19&quot;/&gt;&lt;wsp:rsid wsp:val=&quot;04D42ADE&quot;/&gt;&lt;wsp:rsid wsp:val=&quot;04E02384&quot;/&gt;&lt;wsp:rsid wsp:val=&quot;05345F66&quot;/&gt;&lt;wsp:rsid wsp:val=&quot;053F5515&quot;/&gt;&lt;wsp:rsid wsp:val=&quot;05CC574A&quot;/&gt;&lt;wsp:rsid wsp:val=&quot;05F97374&quot;/&gt;&lt;wsp:rsid wsp:val=&quot;06024098&quot;/&gt;&lt;wsp:rsid wsp:val=&quot;064514F9&quot;/&gt;&lt;wsp:rsid wsp:val=&quot;06BE0E86&quot;/&gt;&lt;wsp:rsid wsp:val=&quot;06BE4BFC&quot;/&gt;&lt;wsp:rsid wsp:val=&quot;075703F5&quot;/&gt;&lt;wsp:rsid wsp:val=&quot;07751A06&quot;/&gt;&lt;wsp:rsid wsp:val=&quot;078142A4&quot;/&gt;&lt;wsp:rsid wsp:val=&quot;07834C9D&quot;/&gt;&lt;wsp:rsid wsp:val=&quot;07924E0C&quot;/&gt;&lt;wsp:rsid wsp:val=&quot;079F2E01&quot;/&gt;&lt;wsp:rsid wsp:val=&quot;07AE57A4&quot;/&gt;&lt;wsp:rsid wsp:val=&quot;07BB4543&quot;/&gt;&lt;wsp:rsid wsp:val=&quot;07D85C5A&quot;/&gt;&lt;wsp:rsid wsp:val=&quot;081E2428&quot;/&gt;&lt;wsp:rsid wsp:val=&quot;081F69D8&quot;/&gt;&lt;wsp:rsid wsp:val=&quot;08312FC7&quot;/&gt;&lt;wsp:rsid wsp:val=&quot;08434891&quot;/&gt;&lt;wsp:rsid wsp:val=&quot;08A23B9F&quot;/&gt;&lt;wsp:rsid wsp:val=&quot;08AC3ED3&quot;/&gt;&lt;wsp:rsid wsp:val=&quot;08C2021F&quot;/&gt;&lt;wsp:rsid wsp:val=&quot;08D265F0&quot;/&gt;&lt;wsp:rsid wsp:val=&quot;08E143F1&quot;/&gt;&lt;wsp:rsid wsp:val=&quot;090B0E8E&quot;/&gt;&lt;wsp:rsid wsp:val=&quot;095D5B9F&quot;/&gt;&lt;wsp:rsid wsp:val=&quot;09676399&quot;/&gt;&lt;wsp:rsid wsp:val=&quot;09D662E7&quot;/&gt;&lt;wsp:rsid wsp:val=&quot;0A242726&quot;/&gt;&lt;wsp:rsid wsp:val=&quot;0A323426&quot;/&gt;&lt;wsp:rsid wsp:val=&quot;0A912F86&quot;/&gt;&lt;wsp:rsid wsp:val=&quot;0ABF1AEC&quot;/&gt;&lt;wsp:rsid wsp:val=&quot;0B17316E&quot;/&gt;&lt;wsp:rsid wsp:val=&quot;0B7E5061&quot;/&gt;&lt;wsp:rsid wsp:val=&quot;0B9B0808&quot;/&gt;&lt;wsp:rsid wsp:val=&quot;0BB11083&quot;/&gt;&lt;wsp:rsid wsp:val=&quot;0BE66A48&quot;/&gt;&lt;wsp:rsid wsp:val=&quot;0C1F15F1&quot;/&gt;&lt;wsp:rsid wsp:val=&quot;0C730A4A&quot;/&gt;&lt;wsp:rsid wsp:val=&quot;0C984991&quot;/&gt;&lt;wsp:rsid wsp:val=&quot;0CD51310&quot;/&gt;&lt;wsp:rsid wsp:val=&quot;0D0175B1&quot;/&gt;&lt;wsp:rsid wsp:val=&quot;0D4E212A&quot;/&gt;&lt;wsp:rsid wsp:val=&quot;0D5A7A00&quot;/&gt;&lt;wsp:rsid wsp:val=&quot;0D8F7FD4&quot;/&gt;&lt;wsp:rsid wsp:val=&quot;0D9C7F7E&quot;/&gt;&lt;wsp:rsid wsp:val=&quot;0DA26C14&quot;/&gt;&lt;wsp:rsid wsp:val=&quot;0DA80C95&quot;/&gt;&lt;wsp:rsid wsp:val=&quot;0E29306E&quot;/&gt;&lt;wsp:rsid wsp:val=&quot;0F32428B&quot;/&gt;&lt;wsp:rsid wsp:val=&quot;0F34709D&quot;/&gt;&lt;wsp:rsid wsp:val=&quot;0F3970C7&quot;/&gt;&lt;wsp:rsid wsp:val=&quot;1018426F&quot;/&gt;&lt;wsp:rsid wsp:val=&quot;101A2C21&quot;/&gt;&lt;wsp:rsid wsp:val=&quot;107002C4&quot;/&gt;&lt;wsp:rsid wsp:val=&quot;107A19FF&quot;/&gt;&lt;wsp:rsid wsp:val=&quot;108B7D11&quot;/&gt;&lt;wsp:rsid wsp:val=&quot;10E624D4&quot;/&gt;&lt;wsp:rsid wsp:val=&quot;110132F2&quot;/&gt;&lt;wsp:rsid wsp:val=&quot;11800030&quot;/&gt;&lt;wsp:rsid wsp:val=&quot;11A00F75&quot;/&gt;&lt;wsp:rsid wsp:val=&quot;11E2703C&quot;/&gt;&lt;wsp:rsid wsp:val=&quot;126D2B01&quot;/&gt;&lt;wsp:rsid wsp:val=&quot;1275369F&quot;/&gt;&lt;wsp:rsid wsp:val=&quot;129004AD&quot;/&gt;&lt;wsp:rsid wsp:val=&quot;12A00582&quot;/&gt;&lt;wsp:rsid wsp:val=&quot;138035BB&quot;/&gt;&lt;wsp:rsid wsp:val=&quot;138358B3&quot;/&gt;&lt;wsp:rsid wsp:val=&quot;139A4730&quot;/&gt;&lt;wsp:rsid wsp:val=&quot;13A8278C&quot;/&gt;&lt;wsp:rsid wsp:val=&quot;13B876A8&quot;/&gt;&lt;wsp:rsid wsp:val=&quot;13C5153D&quot;/&gt;&lt;wsp:rsid wsp:val=&quot;14A42F04&quot;/&gt;&lt;wsp:rsid wsp:val=&quot;14D10BF7&quot;/&gt;&lt;wsp:rsid wsp:val=&quot;15435428&quot;/&gt;&lt;wsp:rsid wsp:val=&quot;15A06877&quot;/&gt;&lt;wsp:rsid wsp:val=&quot;15FF3688&quot;/&gt;&lt;wsp:rsid wsp:val=&quot;16052814&quot;/&gt;&lt;wsp:rsid wsp:val=&quot;163A5AA9&quot;/&gt;&lt;wsp:rsid wsp:val=&quot;16EA1B61&quot;/&gt;&lt;wsp:rsid wsp:val=&quot;172E636F&quot;/&gt;&lt;wsp:rsid wsp:val=&quot;17746AC4&quot;/&gt;&lt;wsp:rsid wsp:val=&quot;178D730C&quot;/&gt;&lt;wsp:rsid wsp:val=&quot;17E648BC&quot;/&gt;&lt;wsp:rsid wsp:val=&quot;186616EC&quot;/&gt;&lt;wsp:rsid wsp:val=&quot;18721531&quot;/&gt;&lt;wsp:rsid wsp:val=&quot;19885448&quot;/&gt;&lt;wsp:rsid wsp:val=&quot;19905A54&quot;/&gt;&lt;wsp:rsid wsp:val=&quot;1A27276A&quot;/&gt;&lt;wsp:rsid wsp:val=&quot;1A5F33D2&quot;/&gt;&lt;wsp:rsid wsp:val=&quot;1A616B7D&quot;/&gt;&lt;wsp:rsid wsp:val=&quot;1A7276A4&quot;/&gt;&lt;wsp:rsid wsp:val=&quot;1AAB12B9&quot;/&gt;&lt;wsp:rsid wsp:val=&quot;1B0510F1&quot;/&gt;&lt;wsp:rsid wsp:val=&quot;1B0A4A84&quot;/&gt;&lt;wsp:rsid wsp:val=&quot;1C400A08&quot;/&gt;&lt;wsp:rsid wsp:val=&quot;1C7328CC&quot;/&gt;&lt;wsp:rsid wsp:val=&quot;1C8D42DD&quot;/&gt;&lt;wsp:rsid wsp:val=&quot;1CC54AB8&quot;/&gt;&lt;wsp:rsid wsp:val=&quot;1CD87FC9&quot;/&gt;&lt;wsp:rsid wsp:val=&quot;1CF00F4A&quot;/&gt;&lt;wsp:rsid wsp:val=&quot;1D7C1969&quot;/&gt;&lt;wsp:rsid wsp:val=&quot;1DC7240D&quot;/&gt;&lt;wsp:rsid wsp:val=&quot;1DC74FC1&quot;/&gt;&lt;wsp:rsid wsp:val=&quot;1DCB7C76&quot;/&gt;&lt;wsp:rsid wsp:val=&quot;1DD24998&quot;/&gt;&lt;wsp:rsid wsp:val=&quot;1E593C5F&quot;/&gt;&lt;wsp:rsid wsp:val=&quot;1E714C4F&quot;/&gt;&lt;wsp:rsid wsp:val=&quot;1EAB55A1&quot;/&gt;&lt;wsp:rsid wsp:val=&quot;1EE30BE5&quot;/&gt;&lt;wsp:rsid wsp:val=&quot;1EE81D26&quot;/&gt;&lt;wsp:rsid wsp:val=&quot;1EF0287C&quot;/&gt;&lt;wsp:rsid wsp:val=&quot;1F3B196F&quot;/&gt;&lt;wsp:rsid wsp:val=&quot;1F6555FC&quot;/&gt;&lt;wsp:rsid wsp:val=&quot;20963B34&quot;/&gt;&lt;wsp:rsid wsp:val=&quot;20B35CD5&quot;/&gt;&lt;wsp:rsid wsp:val=&quot;20B84C29&quot;/&gt;&lt;wsp:rsid wsp:val=&quot;20E93171&quot;/&gt;&lt;wsp:rsid wsp:val=&quot;211E2367&quot;/&gt;&lt;wsp:rsid wsp:val=&quot;212075C0&quot;/&gt;&lt;wsp:rsid wsp:val=&quot;21851CA3&quot;/&gt;&lt;wsp:rsid wsp:val=&quot;21AA703D&quot;/&gt;&lt;wsp:rsid wsp:val=&quot;21F637D0&quot;/&gt;&lt;wsp:rsid wsp:val=&quot;22001FFA&quot;/&gt;&lt;wsp:rsid wsp:val=&quot;22321F91&quot;/&gt;&lt;wsp:rsid wsp:val=&quot;2244237F&quot;/&gt;&lt;wsp:rsid wsp:val=&quot;224934A6&quot;/&gt;&lt;wsp:rsid wsp:val=&quot;22DE25CD&quot;/&gt;&lt;wsp:rsid wsp:val=&quot;23167ECF&quot;/&gt;&lt;wsp:rsid wsp:val=&quot;23240186&quot;/&gt;&lt;wsp:rsid wsp:val=&quot;233305EF&quot;/&gt;&lt;wsp:rsid wsp:val=&quot;23421931&quot;/&gt;&lt;wsp:rsid wsp:val=&quot;236005E1&quot;/&gt;&lt;wsp:rsid wsp:val=&quot;2362371F&quot;/&gt;&lt;wsp:rsid wsp:val=&quot;2403572C&quot;/&gt;&lt;wsp:rsid wsp:val=&quot;240B6F5D&quot;/&gt;&lt;wsp:rsid wsp:val=&quot;242541FF&quot;/&gt;&lt;wsp:rsid wsp:val=&quot;24361C3B&quot;/&gt;&lt;wsp:rsid wsp:val=&quot;243E4F46&quot;/&gt;&lt;wsp:rsid wsp:val=&quot;245143B6&quot;/&gt;&lt;wsp:rsid wsp:val=&quot;24617A1E&quot;/&gt;&lt;wsp:rsid wsp:val=&quot;24BE26EE&quot;/&gt;&lt;wsp:rsid wsp:val=&quot;24C40DD0&quot;/&gt;&lt;wsp:rsid wsp:val=&quot;24F80AD2&quot;/&gt;&lt;wsp:rsid wsp:val=&quot;24F84EB4&quot;/&gt;&lt;wsp:rsid wsp:val=&quot;25001582&quot;/&gt;&lt;wsp:rsid wsp:val=&quot;250E7EB7&quot;/&gt;&lt;wsp:rsid wsp:val=&quot;253B45B1&quot;/&gt;&lt;wsp:rsid wsp:val=&quot;254D572E&quot;/&gt;&lt;wsp:rsid wsp:val=&quot;258306DF&quot;/&gt;&lt;wsp:rsid wsp:val=&quot;25C36084&quot;/&gt;&lt;wsp:rsid wsp:val=&quot;26194434&quot;/&gt;&lt;wsp:rsid wsp:val=&quot;263943E5&quot;/&gt;&lt;wsp:rsid wsp:val=&quot;2791306A&quot;/&gt;&lt;wsp:rsid wsp:val=&quot;27950104&quot;/&gt;&lt;wsp:rsid wsp:val=&quot;27C3339B&quot;/&gt;&lt;wsp:rsid wsp:val=&quot;28562284&quot;/&gt;&lt;wsp:rsid wsp:val=&quot;285D24C3&quot;/&gt;&lt;wsp:rsid wsp:val=&quot;28A42644&quot;/&gt;&lt;wsp:rsid wsp:val=&quot;28BF607D&quot;/&gt;&lt;wsp:rsid wsp:val=&quot;28C90C22&quot;/&gt;&lt;wsp:rsid wsp:val=&quot;28FE2AB2&quot;/&gt;&lt;wsp:rsid wsp:val=&quot;298E7153&quot;/&gt;&lt;wsp:rsid wsp:val=&quot;29AC18AF&quot;/&gt;&lt;wsp:rsid wsp:val=&quot;29D3586A&quot;/&gt;&lt;wsp:rsid wsp:val=&quot;29E60EF5&quot;/&gt;&lt;wsp:rsid wsp:val=&quot;2A1000A0&quot;/&gt;&lt;wsp:rsid wsp:val=&quot;2A4B1B1C&quot;/&gt;&lt;wsp:rsid wsp:val=&quot;2A776515&quot;/&gt;&lt;wsp:rsid wsp:val=&quot;2ACD64B2&quot;/&gt;&lt;wsp:rsid wsp:val=&quot;2B164D17&quot;/&gt;&lt;wsp:rsid wsp:val=&quot;2B4B4CCE&quot;/&gt;&lt;wsp:rsid wsp:val=&quot;2B9E5F83&quot;/&gt;&lt;wsp:rsid wsp:val=&quot;2BFC3660&quot;/&gt;&lt;wsp:rsid wsp:val=&quot;2C032498&quot;/&gt;&lt;wsp:rsid wsp:val=&quot;2C3C29F1&quot;/&gt;&lt;wsp:rsid wsp:val=&quot;2D0D3F93&quot;/&gt;&lt;wsp:rsid wsp:val=&quot;2D1F42D5&quot;/&gt;&lt;wsp:rsid wsp:val=&quot;2D583DDF&quot;/&gt;&lt;wsp:rsid wsp:val=&quot;2D941E82&quot;/&gt;&lt;wsp:rsid wsp:val=&quot;2E1D6BA6&quot;/&gt;&lt;wsp:rsid wsp:val=&quot;2EEF0413&quot;/&gt;&lt;wsp:rsid wsp:val=&quot;2F181F4E&quot;/&gt;&lt;wsp:rsid wsp:val=&quot;2F8B34F0&quot;/&gt;&lt;wsp:rsid wsp:val=&quot;30114936&quot;/&gt;&lt;wsp:rsid wsp:val=&quot;30676AFF&quot;/&gt;&lt;wsp:rsid wsp:val=&quot;30707EAF&quot;/&gt;&lt;wsp:rsid wsp:val=&quot;30C25DAA&quot;/&gt;&lt;wsp:rsid wsp:val=&quot;30E06760&quot;/&gt;&lt;wsp:rsid wsp:val=&quot;31306C96&quot;/&gt;&lt;wsp:rsid wsp:val=&quot;319005ED&quot;/&gt;&lt;wsp:rsid wsp:val=&quot;31A85FFD&quot;/&gt;&lt;wsp:rsid wsp:val=&quot;31FD6D03&quot;/&gt;&lt;wsp:rsid wsp:val=&quot;324967E6&quot;/&gt;&lt;wsp:rsid wsp:val=&quot;32626D6F&quot;/&gt;&lt;wsp:rsid wsp:val=&quot;32862EB4&quot;/&gt;&lt;wsp:rsid wsp:val=&quot;328A0EAF&quot;/&gt;&lt;wsp:rsid wsp:val=&quot;328E477D&quot;/&gt;&lt;wsp:rsid wsp:val=&quot;329A0A0D&quot;/&gt;&lt;wsp:rsid wsp:val=&quot;32A2269E&quot;/&gt;&lt;wsp:rsid wsp:val=&quot;32A61CCB&quot;/&gt;&lt;wsp:rsid wsp:val=&quot;32A92DD7&quot;/&gt;&lt;wsp:rsid wsp:val=&quot;33251A7F&quot;/&gt;&lt;wsp:rsid wsp:val=&quot;334E4210&quot;/&gt;&lt;wsp:rsid wsp:val=&quot;338D7359&quot;/&gt;&lt;wsp:rsid wsp:val=&quot;33F62E53&quot;/&gt;&lt;wsp:rsid wsp:val=&quot;33F924A6&quot;/&gt;&lt;wsp:rsid wsp:val=&quot;348B02D6&quot;/&gt;&lt;wsp:rsid wsp:val=&quot;34E06B9F&quot;/&gt;&lt;wsp:rsid wsp:val=&quot;3508011E&quot;/&gt;&lt;wsp:rsid wsp:val=&quot;356316EA&quot;/&gt;&lt;wsp:rsid wsp:val=&quot;35A93E43&quot;/&gt;&lt;wsp:rsid wsp:val=&quot;35FF5C21&quot;/&gt;&lt;wsp:rsid wsp:val=&quot;368376EA&quot;/&gt;&lt;wsp:rsid wsp:val=&quot;368E7C55&quot;/&gt;&lt;wsp:rsid wsp:val=&quot;36983CC8&quot;/&gt;&lt;wsp:rsid wsp:val=&quot;36CE11B8&quot;/&gt;&lt;wsp:rsid wsp:val=&quot;36D776BA&quot;/&gt;&lt;wsp:rsid wsp:val=&quot;3747162A&quot;/&gt;&lt;wsp:rsid wsp:val=&quot;379C2032&quot;/&gt;&lt;wsp:rsid wsp:val=&quot;383A0F28&quot;/&gt;&lt;wsp:rsid wsp:val=&quot;383E0C74&quot;/&gt;&lt;wsp:rsid wsp:val=&quot;3893525C&quot;/&gt;&lt;wsp:rsid wsp:val=&quot;38BF17B4&quot;/&gt;&lt;wsp:rsid wsp:val=&quot;38DB34CE&quot;/&gt;&lt;wsp:rsid wsp:val=&quot;39C90197&quot;/&gt;&lt;wsp:rsid wsp:val=&quot;39F465F0&quot;/&gt;&lt;wsp:rsid wsp:val=&quot;3A0F61A5&quot;/&gt;&lt;wsp:rsid wsp:val=&quot;3B7B3AE6&quot;/&gt;&lt;wsp:rsid wsp:val=&quot;3BDF0FE9&quot;/&gt;&lt;wsp:rsid wsp:val=&quot;3C0B160B&quot;/&gt;&lt;wsp:rsid wsp:val=&quot;3C4E4D54&quot;/&gt;&lt;wsp:rsid wsp:val=&quot;3C621531&quot;/&gt;&lt;wsp:rsid wsp:val=&quot;3C6748E0&quot;/&gt;&lt;wsp:rsid wsp:val=&quot;3C8111E3&quot;/&gt;&lt;wsp:rsid wsp:val=&quot;3CB21BF2&quot;/&gt;&lt;wsp:rsid wsp:val=&quot;3CC51207&quot;/&gt;&lt;wsp:rsid wsp:val=&quot;3CD1311A&quot;/&gt;&lt;wsp:rsid wsp:val=&quot;3CDB29CF&quot;/&gt;&lt;wsp:rsid wsp:val=&quot;3CFE0DE8&quot;/&gt;&lt;wsp:rsid wsp:val=&quot;3DB11A96&quot;/&gt;&lt;wsp:rsid wsp:val=&quot;3DE139D0&quot;/&gt;&lt;wsp:rsid wsp:val=&quot;3E142466&quot;/&gt;&lt;wsp:rsid wsp:val=&quot;3E6542EA&quot;/&gt;&lt;wsp:rsid wsp:val=&quot;3EF42BDD&quot;/&gt;&lt;wsp:rsid wsp:val=&quot;3EF9295A&quot;/&gt;&lt;wsp:rsid wsp:val=&quot;3F185670&quot;/&gt;&lt;wsp:rsid wsp:val=&quot;3F8A7432&quot;/&gt;&lt;wsp:rsid wsp:val=&quot;3FB757BD&quot;/&gt;&lt;wsp:rsid wsp:val=&quot;3FD2735B&quot;/&gt;&lt;wsp:rsid wsp:val=&quot;3FF554B7&quot;/&gt;&lt;wsp:rsid wsp:val=&quot;40793B50&quot;/&gt;&lt;wsp:rsid wsp:val=&quot;40933050&quot;/&gt;&lt;wsp:rsid wsp:val=&quot;40EA5F75&quot;/&gt;&lt;wsp:rsid wsp:val=&quot;411169EC&quot;/&gt;&lt;wsp:rsid wsp:val=&quot;41950207&quot;/&gt;&lt;wsp:rsid wsp:val=&quot;419E6AB5&quot;/&gt;&lt;wsp:rsid wsp:val=&quot;41DF354F&quot;/&gt;&lt;wsp:rsid wsp:val=&quot;4298263D&quot;/&gt;&lt;wsp:rsid wsp:val=&quot;433E5304&quot;/&gt;&lt;wsp:rsid wsp:val=&quot;43A1090D&quot;/&gt;&lt;wsp:rsid wsp:val=&quot;43DC3583&quot;/&gt;&lt;wsp:rsid wsp:val=&quot;43EB2A7A&quot;/&gt;&lt;wsp:rsid wsp:val=&quot;43FB2F59&quot;/&gt;&lt;wsp:rsid wsp:val=&quot;44022C46&quot;/&gt;&lt;wsp:rsid wsp:val=&quot;44044B33&quot;/&gt;&lt;wsp:rsid wsp:val=&quot;44054EC0&quot;/&gt;&lt;wsp:rsid wsp:val=&quot;440A2023&quot;/&gt;&lt;wsp:rsid wsp:val=&quot;4430448B&quot;/&gt;&lt;wsp:rsid wsp:val=&quot;444B7414&quot;/&gt;&lt;wsp:rsid wsp:val=&quot;446D459D&quot;/&gt;&lt;wsp:rsid wsp:val=&quot;44797438&quot;/&gt;&lt;wsp:rsid wsp:val=&quot;45103535&quot;/&gt;&lt;wsp:rsid wsp:val=&quot;45222A6A&quot;/&gt;&lt;wsp:rsid wsp:val=&quot;452C3927&quot;/&gt;&lt;wsp:rsid wsp:val=&quot;45416348&quot;/&gt;&lt;wsp:rsid wsp:val=&quot;455F59F2&quot;/&gt;&lt;wsp:rsid wsp:val=&quot;45A70FC7&quot;/&gt;&lt;wsp:rsid wsp:val=&quot;46096E2C&quot;/&gt;&lt;wsp:rsid wsp:val=&quot;465805B7&quot;/&gt;&lt;wsp:rsid wsp:val=&quot;46973645&quot;/&gt;&lt;wsp:rsid wsp:val=&quot;46F24D18&quot;/&gt;&lt;wsp:rsid wsp:val=&quot;47082F6C&quot;/&gt;&lt;wsp:rsid wsp:val=&quot;471A6947&quot;/&gt;&lt;wsp:rsid wsp:val=&quot;47535501&quot;/&gt;&lt;wsp:rsid wsp:val=&quot;476237A3&quot;/&gt;&lt;wsp:rsid wsp:val=&quot;47B80A73&quot;/&gt;&lt;wsp:rsid wsp:val=&quot;47D054E1&quot;/&gt;&lt;wsp:rsid wsp:val=&quot;48151DFA&quot;/&gt;&lt;wsp:rsid wsp:val=&quot;48231A30&quot;/&gt;&lt;wsp:rsid wsp:val=&quot;48B739C6&quot;/&gt;&lt;wsp:rsid wsp:val=&quot;48C72F42&quot;/&gt;&lt;wsp:rsid wsp:val=&quot;48F85A59&quot;/&gt;&lt;wsp:rsid wsp:val=&quot;48FE2851&quot;/&gt;&lt;wsp:rsid wsp:val=&quot;494320D3&quot;/&gt;&lt;wsp:rsid wsp:val=&quot;497534B4&quot;/&gt;&lt;wsp:rsid wsp:val=&quot;49DA38A0&quot;/&gt;&lt;wsp:rsid wsp:val=&quot;4A361A71&quot;/&gt;&lt;wsp:rsid wsp:val=&quot;4A6E2928&quot;/&gt;&lt;wsp:rsid wsp:val=&quot;4AA27259&quot;/&gt;&lt;wsp:rsid wsp:val=&quot;4AE46A56&quot;/&gt;&lt;wsp:rsid wsp:val=&quot;4B124441&quot;/&gt;&lt;wsp:rsid wsp:val=&quot;4B2A769A&quot;/&gt;&lt;wsp:rsid wsp:val=&quot;4B55120F&quot;/&gt;&lt;wsp:rsid wsp:val=&quot;4B661614&quot;/&gt;&lt;wsp:rsid wsp:val=&quot;4B6907A1&quot;/&gt;&lt;wsp:rsid wsp:val=&quot;4B7A43D1&quot;/&gt;&lt;wsp:rsid wsp:val=&quot;4B946B9A&quot;/&gt;&lt;wsp:rsid wsp:val=&quot;4BC36227&quot;/&gt;&lt;wsp:rsid wsp:val=&quot;4BFB4BF6&quot;/&gt;&lt;wsp:rsid wsp:val=&quot;4C912CFA&quot;/&gt;&lt;wsp:rsid wsp:val=&quot;4C931577&quot;/&gt;&lt;wsp:rsid wsp:val=&quot;4CA74C54&quot;/&gt;&lt;wsp:rsid wsp:val=&quot;4CCA6F70&quot;/&gt;&lt;wsp:rsid wsp:val=&quot;4CE62A1A&quot;/&gt;&lt;wsp:rsid wsp:val=&quot;4CF460E9&quot;/&gt;&lt;wsp:rsid wsp:val=&quot;4D8C1B97&quot;/&gt;&lt;wsp:rsid wsp:val=&quot;4DA578A0&quot;/&gt;&lt;wsp:rsid wsp:val=&quot;4DA57C69&quot;/&gt;&lt;wsp:rsid wsp:val=&quot;4DB4585C&quot;/&gt;&lt;wsp:rsid wsp:val=&quot;4DB471C6&quot;/&gt;&lt;wsp:rsid wsp:val=&quot;4DBC175A&quot;/&gt;&lt;wsp:rsid wsp:val=&quot;4DC0329F&quot;/&gt;&lt;wsp:rsid wsp:val=&quot;4DE73B54&quot;/&gt;&lt;wsp:rsid wsp:val=&quot;4E901E9C&quot;/&gt;&lt;wsp:rsid wsp:val=&quot;4EAF36D3&quot;/&gt;&lt;wsp:rsid wsp:val=&quot;4EB82B45&quot;/&gt;&lt;wsp:rsid wsp:val=&quot;4ECE6320&quot;/&gt;&lt;wsp:rsid wsp:val=&quot;4F0A2E63&quot;/&gt;&lt;wsp:rsid wsp:val=&quot;4F231210&quot;/&gt;&lt;wsp:rsid wsp:val=&quot;4F541A82&quot;/&gt;&lt;wsp:rsid wsp:val=&quot;4F5D3ED4&quot;/&gt;&lt;wsp:rsid wsp:val=&quot;4F9040CA&quot;/&gt;&lt;wsp:rsid wsp:val=&quot;4F9E1131&quot;/&gt;&lt;wsp:rsid wsp:val=&quot;500B3969&quot;/&gt;&lt;wsp:rsid wsp:val=&quot;501773AC&quot;/&gt;&lt;wsp:rsid wsp:val=&quot;506C11F9&quot;/&gt;&lt;wsp:rsid wsp:val=&quot;50CC67E3&quot;/&gt;&lt;wsp:rsid wsp:val=&quot;51051697&quot;/&gt;&lt;wsp:rsid wsp:val=&quot;510D0EFD&quot;/&gt;&lt;wsp:rsid wsp:val=&quot;510D475D&quot;/&gt;&lt;wsp:rsid wsp:val=&quot;517D7BEB&quot;/&gt;&lt;wsp:rsid wsp:val=&quot;519A1E57&quot;/&gt;&lt;wsp:rsid wsp:val=&quot;51A15B22&quot;/&gt;&lt;wsp:rsid wsp:val=&quot;51AD32A1&quot;/&gt;&lt;wsp:rsid wsp:val=&quot;51C536B3&quot;/&gt;&lt;wsp:rsid wsp:val=&quot;52156C24&quot;/&gt;&lt;wsp:rsid wsp:val=&quot;521B72A5&quot;/&gt;&lt;wsp:rsid wsp:val=&quot;524D4853&quot;/&gt;&lt;wsp:rsid wsp:val=&quot;529A2D6C&quot;/&gt;&lt;wsp:rsid wsp:val=&quot;53116184&quot;/&gt;&lt;wsp:rsid wsp:val=&quot;532375F6&quot;/&gt;&lt;wsp:rsid wsp:val=&quot;53371361&quot;/&gt;&lt;wsp:rsid wsp:val=&quot;53596D1B&quot;/&gt;&lt;wsp:rsid wsp:val=&quot;538815F7&quot;/&gt;&lt;wsp:rsid wsp:val=&quot;53A91191&quot;/&gt;&lt;wsp:rsid wsp:val=&quot;542550E7&quot;/&gt;&lt;wsp:rsid wsp:val=&quot;54B5325B&quot;/&gt;&lt;wsp:rsid wsp:val=&quot;54E35B7C&quot;/&gt;&lt;wsp:rsid wsp:val=&quot;550F5EEE&quot;/&gt;&lt;wsp:rsid wsp:val=&quot;55166920&quot;/&gt;&lt;wsp:rsid wsp:val=&quot;5523662D&quot;/&gt;&lt;wsp:rsid wsp:val=&quot;552B5A4D&quot;/&gt;&lt;wsp:rsid wsp:val=&quot;55387CCB&quot;/&gt;&lt;wsp:rsid wsp:val=&quot;55555F09&quot;/&gt;&lt;wsp:rsid wsp:val=&quot;55F76D30&quot;/&gt;&lt;wsp:rsid wsp:val=&quot;569E7A85&quot;/&gt;&lt;wsp:rsid wsp:val=&quot;56E26349&quot;/&gt;&lt;wsp:rsid wsp:val=&quot;56F57BAF&quot;/&gt;&lt;wsp:rsid wsp:val=&quot;57214138&quot;/&gt;&lt;wsp:rsid wsp:val=&quot;575C47AE&quot;/&gt;&lt;wsp:rsid wsp:val=&quot;57940052&quot;/&gt;&lt;wsp:rsid wsp:val=&quot;57D668D6&quot;/&gt;&lt;wsp:rsid wsp:val=&quot;57E047E4&quot;/&gt;&lt;wsp:rsid wsp:val=&quot;57E4116F&quot;/&gt;&lt;wsp:rsid wsp:val=&quot;585D0E02&quot;/&gt;&lt;wsp:rsid wsp:val=&quot;58856FCD&quot;/&gt;&lt;wsp:rsid wsp:val=&quot;58967499&quot;/&gt;&lt;wsp:rsid wsp:val=&quot;59482155&quot;/&gt;&lt;wsp:rsid wsp:val=&quot;59A9006E&quot;/&gt;&lt;wsp:rsid wsp:val=&quot;59B47B55&quot;/&gt;&lt;wsp:rsid wsp:val=&quot;59F37FC5&quot;/&gt;&lt;wsp:rsid wsp:val=&quot;5A2D70FA&quot;/&gt;&lt;wsp:rsid wsp:val=&quot;5A78146B&quot;/&gt;&lt;wsp:rsid wsp:val=&quot;5A7F266F&quot;/&gt;&lt;wsp:rsid wsp:val=&quot;5A86336D&quot;/&gt;&lt;wsp:rsid wsp:val=&quot;5ABD4091&quot;/&gt;&lt;wsp:rsid wsp:val=&quot;5AC60F27&quot;/&gt;&lt;wsp:rsid wsp:val=&quot;5AEA288A&quot;/&gt;&lt;wsp:rsid wsp:val=&quot;5B2E5A3C&quot;/&gt;&lt;wsp:rsid wsp:val=&quot;5B460D50&quot;/&gt;&lt;wsp:rsid wsp:val=&quot;5B662DD9&quot;/&gt;&lt;wsp:rsid wsp:val=&quot;5B7853A3&quot;/&gt;&lt;wsp:rsid wsp:val=&quot;5B814437&quot;/&gt;&lt;wsp:rsid wsp:val=&quot;5BA3149E&quot;/&gt;&lt;wsp:rsid wsp:val=&quot;5BA45F9A&quot;/&gt;&lt;wsp:rsid wsp:val=&quot;5BF37A20&quot;/&gt;&lt;wsp:rsid wsp:val=&quot;5C144168&quot;/&gt;&lt;wsp:rsid wsp:val=&quot;5C6B0AA1&quot;/&gt;&lt;wsp:rsid wsp:val=&quot;5CA15820&quot;/&gt;&lt;wsp:rsid wsp:val=&quot;5CB66C54&quot;/&gt;&lt;wsp:rsid wsp:val=&quot;5CFD0715&quot;/&gt;&lt;wsp:rsid wsp:val=&quot;5D14050A&quot;/&gt;&lt;wsp:rsid wsp:val=&quot;5D431E2E&quot;/&gt;&lt;wsp:rsid wsp:val=&quot;5D4B508E&quot;/&gt;&lt;wsp:rsid wsp:val=&quot;5DFB7ED7&quot;/&gt;&lt;wsp:rsid wsp:val=&quot;5E0C7890&quot;/&gt;&lt;wsp:rsid wsp:val=&quot;5E1B44AC&quot;/&gt;&lt;wsp:rsid wsp:val=&quot;5E384ACE&quot;/&gt;&lt;wsp:rsid wsp:val=&quot;5E6E4CBF&quot;/&gt;&lt;wsp:rsid wsp:val=&quot;5E9C0882&quot;/&gt;&lt;wsp:rsid wsp:val=&quot;5ED5786C&quot;/&gt;&lt;wsp:rsid wsp:val=&quot;5F2A0C65&quot;/&gt;&lt;wsp:rsid wsp:val=&quot;5F4953D8&quot;/&gt;&lt;wsp:rsid wsp:val=&quot;5F9C052F&quot;/&gt;&lt;wsp:rsid wsp:val=&quot;5FAE4FD1&quot;/&gt;&lt;wsp:rsid wsp:val=&quot;5FF02C6C&quot;/&gt;&lt;wsp:rsid wsp:val=&quot;607D344D&quot;/&gt;&lt;wsp:rsid wsp:val=&quot;608D00DF&quot;/&gt;&lt;wsp:rsid wsp:val=&quot;60A26592&quot;/&gt;&lt;wsp:rsid wsp:val=&quot;60C32C51&quot;/&gt;&lt;wsp:rsid wsp:val=&quot;60C93644&quot;/&gt;&lt;wsp:rsid wsp:val=&quot;60F50A86&quot;/&gt;&lt;wsp:rsid wsp:val=&quot;60FB32DA&quot;/&gt;&lt;wsp:rsid wsp:val=&quot;61217355&quot;/&gt;&lt;wsp:rsid wsp:val=&quot;61412388&quot;/&gt;&lt;wsp:rsid wsp:val=&quot;618A7364&quot;/&gt;&lt;wsp:rsid wsp:val=&quot;61B60BAE&quot;/&gt;&lt;wsp:rsid wsp:val=&quot;62847F3C&quot;/&gt;&lt;wsp:rsid wsp:val=&quot;63162CDE&quot;/&gt;&lt;wsp:rsid wsp:val=&quot;632637D9&quot;/&gt;&lt;wsp:rsid wsp:val=&quot;632744DE&quot;/&gt;&lt;wsp:rsid wsp:val=&quot;63315D8B&quot;/&gt;&lt;wsp:rsid wsp:val=&quot;635E6959&quot;/&gt;&lt;wsp:rsid wsp:val=&quot;637C517D&quot;/&gt;&lt;wsp:rsid wsp:val=&quot;63CC1AEC&quot;/&gt;&lt;wsp:rsid wsp:val=&quot;63FC310E&quot;/&gt;&lt;wsp:rsid wsp:val=&quot;647E66F8&quot;/&gt;&lt;wsp:rsid wsp:val=&quot;64B7332D&quot;/&gt;&lt;wsp:rsid wsp:val=&quot;654A6F89&quot;/&gt;&lt;wsp:rsid wsp:val=&quot;657C7C64&quot;/&gt;&lt;wsp:rsid wsp:val=&quot;6593698D&quot;/&gt;&lt;wsp:rsid wsp:val=&quot;65CE3E56&quot;/&gt;&lt;wsp:rsid wsp:val=&quot;65FD4A13&quot;/&gt;&lt;wsp:rsid wsp:val=&quot;663A6CF4&quot;/&gt;&lt;wsp:rsid wsp:val=&quot;664D6053&quot;/&gt;&lt;wsp:rsid wsp:val=&quot;66806EE2&quot;/&gt;&lt;wsp:rsid wsp:val=&quot;668332C9&quot;/&gt;&lt;wsp:rsid wsp:val=&quot;66AE3579&quot;/&gt;&lt;wsp:rsid wsp:val=&quot;66DC5157&quot;/&gt;&lt;wsp:rsid wsp:val=&quot;67003C27&quot;/&gt;&lt;wsp:rsid wsp:val=&quot;670850A7&quot;/&gt;&lt;wsp:rsid wsp:val=&quot;67D345A3&quot;/&gt;&lt;wsp:rsid wsp:val=&quot;67E47A65&quot;/&gt;&lt;wsp:rsid wsp:val=&quot;68090B7B&quot;/&gt;&lt;wsp:rsid wsp:val=&quot;680E4CDF&quot;/&gt;&lt;wsp:rsid wsp:val=&quot;68962BCC&quot;/&gt;&lt;wsp:rsid wsp:val=&quot;689A34AB&quot;/&gt;&lt;wsp:rsid wsp:val=&quot;68B91C8F&quot;/&gt;&lt;wsp:rsid wsp:val=&quot;68BC72C5&quot;/&gt;&lt;wsp:rsid wsp:val=&quot;68DC48E0&quot;/&gt;&lt;wsp:rsid wsp:val=&quot;69022C1A&quot;/&gt;&lt;wsp:rsid wsp:val=&quot;69155734&quot;/&gt;&lt;wsp:rsid wsp:val=&quot;694A731E&quot;/&gt;&lt;wsp:rsid wsp:val=&quot;69774A45&quot;/&gt;&lt;wsp:rsid wsp:val=&quot;69A81E0E&quot;/&gt;&lt;wsp:rsid wsp:val=&quot;69AA5889&quot;/&gt;&lt;wsp:rsid wsp:val=&quot;69B206E0&quot;/&gt;&lt;wsp:rsid wsp:val=&quot;69ED1242&quot;/&gt;&lt;wsp:rsid wsp:val=&quot;69F121DE&quot;/&gt;&lt;wsp:rsid wsp:val=&quot;6A22511A&quot;/&gt;&lt;wsp:rsid wsp:val=&quot;6A390836&quot;/&gt;&lt;wsp:rsid wsp:val=&quot;6A5E4F9A&quot;/&gt;&lt;wsp:rsid wsp:val=&quot;6A900A08&quot;/&gt;&lt;wsp:rsid wsp:val=&quot;6AFA13E0&quot;/&gt;&lt;wsp:rsid wsp:val=&quot;6AFA6FBB&quot;/&gt;&lt;wsp:rsid wsp:val=&quot;6AFA7658&quot;/&gt;&lt;wsp:rsid wsp:val=&quot;6C6F4D3D&quot;/&gt;&lt;wsp:rsid wsp:val=&quot;6C956C96&quot;/&gt;&lt;wsp:rsid wsp:val=&quot;6CB730A4&quot;/&gt;&lt;wsp:rsid wsp:val=&quot;6CD61291&quot;/&gt;&lt;wsp:rsid wsp:val=&quot;6CE9060B&quot;/&gt;&lt;wsp:rsid wsp:val=&quot;6D0268D6&quot;/&gt;&lt;wsp:rsid wsp:val=&quot;6D280C63&quot;/&gt;&lt;wsp:rsid wsp:val=&quot;6DCD7F6B&quot;/&gt;&lt;wsp:rsid wsp:val=&quot;6DFA70C2&quot;/&gt;&lt;wsp:rsid wsp:val=&quot;6E3D0B6A&quot;/&gt;&lt;wsp:rsid wsp:val=&quot;6E466662&quot;/&gt;&lt;wsp:rsid wsp:val=&quot;6E6B71DB&quot;/&gt;&lt;wsp:rsid wsp:val=&quot;6EA362F4&quot;/&gt;&lt;wsp:rsid wsp:val=&quot;6EB0191A&quot;/&gt;&lt;wsp:rsid wsp:val=&quot;6F6824B9&quot;/&gt;&lt;wsp:rsid wsp:val=&quot;6F764F7F&quot;/&gt;&lt;wsp:rsid wsp:val=&quot;6FA21116&quot;/&gt;&lt;wsp:rsid wsp:val=&quot;70081199&quot;/&gt;&lt;wsp:rsid wsp:val=&quot;700B0D0E&quot;/&gt;&lt;wsp:rsid wsp:val=&quot;70AF29F5&quot;/&gt;&lt;wsp:rsid wsp:val=&quot;70B80716&quot;/&gt;&lt;wsp:rsid wsp:val=&quot;70C2541E&quot;/&gt;&lt;wsp:rsid wsp:val=&quot;713F279B&quot;/&gt;&lt;wsp:rsid wsp:val=&quot;715B2C94&quot;/&gt;&lt;wsp:rsid wsp:val=&quot;715C640D&quot;/&gt;&lt;wsp:rsid wsp:val=&quot;719A03AB&quot;/&gt;&lt;wsp:rsid wsp:val=&quot;71B765A5&quot;/&gt;&lt;wsp:rsid wsp:val=&quot;72A008F2&quot;/&gt;&lt;wsp:rsid wsp:val=&quot;72A87DF6&quot;/&gt;&lt;wsp:rsid wsp:val=&quot;72E516D6&quot;/&gt;&lt;wsp:rsid wsp:val=&quot;734A53A3&quot;/&gt;&lt;wsp:rsid wsp:val=&quot;73A9330E&quot;/&gt;&lt;wsp:rsid wsp:val=&quot;73A96097&quot;/&gt;&lt;wsp:rsid wsp:val=&quot;73CE5EEA&quot;/&gt;&lt;wsp:rsid wsp:val=&quot;73D32E8F&quot;/&gt;&lt;wsp:rsid wsp:val=&quot;73E06E92&quot;/&gt;&lt;wsp:rsid wsp:val=&quot;740B66A0&quot;/&gt;&lt;wsp:rsid wsp:val=&quot;74705A35&quot;/&gt;&lt;wsp:rsid wsp:val=&quot;74A416B3&quot;/&gt;&lt;wsp:rsid wsp:val=&quot;74CE35BD&quot;/&gt;&lt;wsp:rsid wsp:val=&quot;750C27EE&quot;/&gt;&lt;wsp:rsid wsp:val=&quot;75F47043&quot;/&gt;&lt;wsp:rsid wsp:val=&quot;76026D8D&quot;/&gt;&lt;wsp:rsid wsp:val=&quot;7704215A&quot;/&gt;&lt;wsp:rsid wsp:val=&quot;7753414A&quot;/&gt;&lt;wsp:rsid wsp:val=&quot;778D06EB&quot;/&gt;&lt;wsp:rsid wsp:val=&quot;78D200FA&quot;/&gt;&lt;wsp:rsid wsp:val=&quot;78DC42FD&quot;/&gt;&lt;wsp:rsid wsp:val=&quot;78F04373&quot;/&gt;&lt;wsp:rsid wsp:val=&quot;791D5FBB&quot;/&gt;&lt;wsp:rsid wsp:val=&quot;797E7DFC&quot;/&gt;&lt;wsp:rsid wsp:val=&quot;79DA1E6F&quot;/&gt;&lt;wsp:rsid wsp:val=&quot;79FA43CB&quot;/&gt;&lt;wsp:rsid wsp:val=&quot;79FD1061&quot;/&gt;&lt;wsp:rsid wsp:val=&quot;7A9101BF&quot;/&gt;&lt;wsp:rsid wsp:val=&quot;7A982BC4&quot;/&gt;&lt;wsp:rsid wsp:val=&quot;7AE86EFD&quot;/&gt;&lt;wsp:rsid wsp:val=&quot;7B400F9B&quot;/&gt;&lt;wsp:rsid wsp:val=&quot;7B715700&quot;/&gt;&lt;wsp:rsid wsp:val=&quot;7B787442&quot;/&gt;&lt;wsp:rsid wsp:val=&quot;7B8955CC&quot;/&gt;&lt;wsp:rsid wsp:val=&quot;7BCF48E4&quot;/&gt;&lt;wsp:rsid wsp:val=&quot;7BF96742&quot;/&gt;&lt;wsp:rsid wsp:val=&quot;7C356FDB&quot;/&gt;&lt;wsp:rsid wsp:val=&quot;7C503141&quot;/&gt;&lt;wsp:rsid wsp:val=&quot;7C900D2C&quot;/&gt;&lt;wsp:rsid wsp:val=&quot;7C9761F6&quot;/&gt;&lt;wsp:rsid wsp:val=&quot;7C9F542C&quot;/&gt;&lt;wsp:rsid wsp:val=&quot;7CA76A3B&quot;/&gt;&lt;wsp:rsid wsp:val=&quot;7D083865&quot;/&gt;&lt;wsp:rsid wsp:val=&quot;7D21002C&quot;/&gt;&lt;wsp:rsid wsp:val=&quot;7D3326A5&quot;/&gt;&lt;wsp:rsid wsp:val=&quot;7DA40CBD&quot;/&gt;&lt;wsp:rsid wsp:val=&quot;7DB4432B&quot;/&gt;&lt;wsp:rsid wsp:val=&quot;7DF7660D&quot;/&gt;&lt;wsp:rsid wsp:val=&quot;7E4176AB&quot;/&gt;&lt;wsp:rsid wsp:val=&quot;7E447767&quot;/&gt;&lt;wsp:rsid wsp:val=&quot;7EC11AD2&quot;/&gt;&lt;wsp:rsid wsp:val=&quot;7F8819A0&quot;/&gt;&lt;/wsp:rsids&gt;&lt;/w:docPr&gt;&lt;w:body&gt;&lt;wx:sect&gt;&lt;w:p wsp:rsidR=&quot;00000000&quot; wsp:rsidRDefault=&quot;00B23A0B&quot; wsp:rsidP=&quot;00B23A0B&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N&lt;/m:t&gt;&lt;/m:r&gt;&lt;/m:num&gt;&lt;m:den&gt;&lt;m:nary&gt;&lt;m:naryPr&gt;&lt;m:chr m:val=&quot;∑&quot;/&gt;&lt;m:limLoc m:val=&quot;subSup&quot;/&gt;&lt;m:ctrlPr&gt;&lt;w:rPr&gt;&lt;w:rFonts w:ascii=&quot;Cambria Math&quot; w:h-ansi=&quot;Cambria Math&quot;/&gt;&lt;wx:font wx:val=&quot;Cambria Math&quot;/&gt;&lt;w:i/&gt;bbbbbbbbbbbbbbbbbbbbbbbbbbbbbbbbb&lt;wi:sz-cs w:val=&quot;21&quot;/&gt;&lt;/w:rPr&gt;&lt;/m:ctrlPr&gt;&lt;/m:naryPr&gt;&lt;m:sub&gt;&lt;m:r&gt;&lt;w:rPr&gt;&lt;w:rFonts w:ascii=&quot;Cambria Math&quot; w:h-ansi=&quot;Cambria Math&quot;/&gt;&lt;wx:font wx:val=&quot;Cambria Math&quot;/&gt;&lt;w:i/&gt;&lt;w:sz-cs w:val=&quot;21&quot;/&gt;&lt;/w:rPr&gt;&lt;m:t&gt;1&lt;/m:t&gt;&lt;/m:r&gt;&lt;/m:sub&gt;&lt;m:sup&gt;&lt;m:r&gt;&lt;w:rPr&gt;&lt;w:rFonts w:ascii=&quot;Cambria Math&quot; w:h-ansi=&quot;Cambria Math&quot;/&gt;&lt;wx:font wx:val=&quot;Cambria Math&quot;/&gt;&lt;w:i/&gt;&lt;w:sz-cs w:val=&quot;21&quot;/&gt;&lt;/w:rPr&gt;&lt;m:t&gt;N&lt;/m:t&gt;&lt;/m:r&gt;&lt;/m:sup&gt;&lt;m:e&gt;&lt;m:r&gt;&lt;w:rPr&gt;&lt;w:rFonts w:ascii=&quot;Cambria Math&quot; w:h-ansi=&quot;Cambria Math&quot;/&gt;&lt;wx:font wx:val=&quot;Cambria Math&quot;/&gt;&lt;w:i/&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5" chromakey="#FFFFFF" o:title=""/>
            <o:lock v:ext="edit" aspectratio="t"/>
            <w10:wrap type="none"/>
            <w10:anchorlock/>
          </v:shape>
        </w:pict>
      </w:r>
      <w:r>
        <w:rPr>
          <w:rFonts w:ascii="宋体" w:hAnsi="宋体"/>
          <w:color w:val="auto"/>
          <w:sz w:val="24"/>
          <w:szCs w:val="24"/>
          <w:highlight w:val="none"/>
          <w:u w:val="single"/>
        </w:rPr>
        <w:instrText xml:space="preserve">  \* MERGEFORMAT </w:instrText>
      </w:r>
      <w:r>
        <w:rPr>
          <w:rFonts w:ascii="宋体" w:hAnsi="宋体"/>
          <w:color w:val="auto"/>
          <w:sz w:val="24"/>
          <w:szCs w:val="24"/>
          <w:highlight w:val="none"/>
          <w:u w:val="single"/>
        </w:rPr>
        <w:fldChar w:fldCharType="separate"/>
      </w:r>
      <w:r>
        <w:rPr>
          <w:color w:val="auto"/>
          <w:position w:val="-26"/>
          <w:sz w:val="24"/>
          <w:szCs w:val="24"/>
          <w:highlight w:val="none"/>
        </w:rPr>
        <w:pict>
          <v:shape id="_x0000_i1026" o:spt="75" type="#_x0000_t75" style="height:31pt;width:1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06F1A&quot;/&gt;&lt;wsp:rsid wsp:val=&quot;00007E51&quot;/&gt;&lt;wsp:rsid wsp:val=&quot;00020A10&quot;/&gt;&lt;wsp:rsid wsp:val=&quot;00021215&quot;/&gt;&lt;wsp:rsid wsp:val=&quot;000324E5&quot;/&gt;&lt;wsp:rsid wsp:val=&quot;000477E9&quot;/&gt;&lt;wsp:rsid wsp:val=&quot;00057C27&quot;/&gt;&lt;wsp:rsid wsp:val=&quot;00072A2B&quot;/&gt;&lt;wsp:rsid wsp:val=&quot;00075D0C&quot;/&gt;&lt;wsp:rsid wsp:val=&quot;00075ED5&quot;/&gt;&lt;wsp:rsid wsp:val=&quot;00076837&quot;/&gt;&lt;wsp:rsid wsp:val=&quot;0008002C&quot;/&gt;&lt;wsp:rsid wsp:val=&quot;0008329B&quot;/&gt;&lt;wsp:rsid wsp:val=&quot;00087876&quot;/&gt;&lt;wsp:rsid wsp:val=&quot;000905EE&quot;/&gt;&lt;wsp:rsid wsp:val=&quot;000A68CE&quot;/&gt;&lt;wsp:rsid wsp:val=&quot;000B0301&quot;/&gt;&lt;wsp:rsid wsp:val=&quot;000C1B8F&quot;/&gt;&lt;wsp:rsid wsp:val=&quot;000C4EFD&quot;/&gt;&lt;wsp:rsid wsp:val=&quot;000C6689&quot;/&gt;&lt;wsp:rsid wsp:val=&quot;000D640D&quot;/&gt;&lt;wsp:rsid wsp:val=&quot;000E3D52&quot;/&gt;&lt;wsp:rsid wsp:val=&quot;000E5601&quot;/&gt;&lt;wsp:rsid wsp:val=&quot;000F0AF7&quot;/&gt;&lt;wsp:rsid wsp:val=&quot;000F3ED4&quot;/&gt;&lt;wsp:rsid wsp:val=&quot;00102559&quot;/&gt;&lt;wsp:rsid wsp:val=&quot;001043D3&quot;/&gt;&lt;wsp:rsid wsp:val=&quot;0011000F&quot;/&gt;&lt;wsp:rsid wsp:val=&quot;00130415&quot;/&gt;&lt;wsp:rsid wsp:val=&quot;00140939&quot;/&gt;&lt;wsp:rsid wsp:val=&quot;00152CF2&quot;/&gt;&lt;wsp:rsid wsp:val=&quot;0016302F&quot;/&gt;&lt;wsp:rsid wsp:val=&quot;00177DE9&quot;/&gt;&lt;wsp:rsid wsp:val=&quot;001815B5&quot;/&gt;&lt;wsp:rsid wsp:val=&quot;001952AB&quot;/&gt;&lt;wsp:rsid wsp:val=&quot;001962B9&quot;/&gt;&lt;wsp:rsid wsp:val=&quot;001A02CE&quot;/&gt;&lt;wsp:rsid wsp:val=&quot;001A06AD&quot;/&gt;&lt;wsp:rsid wsp:val=&quot;001C51B2&quot;/&gt;&lt;wsp:rsid wsp:val=&quot;001C78D8&quot;/&gt;&lt;wsp:rsid wsp:val=&quot;001C7C5D&quot;/&gt;&lt;wsp:rsid wsp:val=&quot;001D0171&quot;/&gt;&lt;wsp:rsid wsp:val=&quot;00207966&quot;/&gt;&lt;wsp:rsid wsp:val=&quot;002115C4&quot;/&gt;&lt;wsp:rsid wsp:val=&quot;00217AA1&quot;/&gt;&lt;wsp:rsid wsp:val=&quot;00227398&quot;/&gt;&lt;wsp:rsid wsp:val=&quot;002361A8&quot;/&gt;&lt;wsp:rsid wsp:val=&quot;00237E28&quot;/&gt;&lt;wsp:rsid wsp:val=&quot;00240E85&quot;/&gt;&lt;wsp:rsid wsp:val=&quot;002428EE&quot;/&gt;&lt;wsp:rsid wsp:val=&quot;00254D5D&quot;/&gt;&lt;wsp:rsid wsp:val=&quot;00255301&quot;/&gt;&lt;wsp:rsid wsp:val=&quot;002615BB&quot;/&gt;&lt;wsp:rsid wsp:val=&quot;00264048&quot;/&gt;&lt;wsp:rsid wsp:val=&quot;002641DB&quot;/&gt;&lt;wsp:rsid wsp:val=&quot;00265159&quot;/&gt;&lt;wsp:rsid wsp:val=&quot;00285782&quot;/&gt;&lt;wsp:rsid wsp:val=&quot;00291CE3&quot;/&gt;&lt;wsp:rsid wsp:val=&quot;00296E5A&quot;/&gt;&lt;wsp:rsid wsp:val=&quot;002A13CE&quot;/&gt;&lt;wsp:rsid wsp:val=&quot;002A6C86&quot;/&gt;&lt;wsp:rsid wsp:val=&quot;002B0328&quot;/&gt;&lt;wsp:rsid wsp:val=&quot;002B2B5D&quot;/&gt;&lt;wsp:rsid wsp:val=&quot;002C2022&quot;/&gt;&lt;wsp:rsid wsp:val=&quot;002C61BA&quot;/&gt;&lt;wsp:rsid wsp:val=&quot;002E0A9A&quot;/&gt;&lt;wsp:rsid wsp:val=&quot;002E12E5&quot;/&gt;&lt;wsp:rsid wsp:val=&quot;002F553C&quot;/&gt;&lt;wsp:rsid wsp:val=&quot;003067A4&quot;/&gt;&lt;wsp:rsid wsp:val=&quot;00313B2C&quot;/&gt;&lt;wsp:rsid wsp:val=&quot;00315E5D&quot;/&gt;&lt;wsp:rsid wsp:val=&quot;00317804&quot;/&gt;&lt;wsp:rsid wsp:val=&quot;0032461E&quot;/&gt;&lt;wsp:rsid wsp:val=&quot;00327B69&quot;/&gt;&lt;wsp:rsid wsp:val=&quot;00330DE6&quot;/&gt;&lt;wsp:rsid wsp:val=&quot;00333F87&quot;/&gt;&lt;wsp:rsid wsp:val=&quot;003348FD&quot;/&gt;&lt;wsp:rsid wsp:val=&quot;00335354&quot;/&gt;&lt;wsp:rsid wsp:val=&quot;003522D1&quot;/&gt;&lt;wsp:rsid wsp:val=&quot;003526C3&quot;/&gt;&lt;wsp:rsid wsp:val=&quot;00366167&quot;/&gt;&lt;wsp:rsid wsp:val=&quot;00371C81&quot;/&gt;&lt;wsp:rsid wsp:val=&quot;00371CB0&quot;/&gt;&lt;wsp:rsid wsp:val=&quot;00382ADD&quot;/&gt;&lt;wsp:rsid wsp:val=&quot;00386F5B&quot;/&gt;&lt;wsp:rsid wsp:val=&quot;003879A7&quot;/&gt;&lt;wsp:rsid wsp:val=&quot;00394F76&quot;/&gt;&lt;wsp:rsid wsp:val=&quot;00396BE6&quot;/&gt;&lt;wsp:rsid wsp:val=&quot;003A4B0A&quot;/&gt;&lt;wsp:rsid wsp:val=&quot;003B306A&quot;/&gt;&lt;wsp:rsid wsp:val=&quot;003C0E5C&quot;/&gt;&lt;wsp:rsid wsp:val=&quot;003C3D3C&quot;/&gt;&lt;wsp:rsid wsp:val=&quot;003C6584&quot;/&gt;&lt;wsp:rsid wsp:val=&quot;003D7289&quot;/&gt;&lt;wsp:rsid wsp:val=&quot;003E4322&quot;/&gt;&lt;wsp:rsid wsp:val=&quot;003F0FC4&quot;/&gt;&lt;wsp:rsid wsp:val=&quot;003F571F&quot;/&gt;&lt;wsp:rsid wsp:val=&quot;0040471C&quot;/&gt;&lt;wsp:rsid wsp:val=&quot;004102B2&quot;/&gt;&lt;wsp:rsid wsp:val=&quot;0041385E&quot;/&gt;&lt;wsp:rsid wsp:val=&quot;00417D6F&quot;/&gt;&lt;wsp:rsid wsp:val=&quot;00431FFB&quot;/&gt;&lt;wsp:rsid wsp:val=&quot;00432E11&quot;/&gt;&lt;wsp:rsid wsp:val=&quot;004357ED&quot;/&gt;&lt;wsp:rsid wsp:val=&quot;00442AB3&quot;/&gt;&lt;wsp:rsid wsp:val=&quot;00445B6E&quot;/&gt;&lt;wsp:rsid wsp:val=&quot;004518A2&quot;/&gt;&lt;wsp:rsid wsp:val=&quot;0045295A&quot;/&gt;&lt;wsp:rsid wsp:val=&quot;00457E48&quot;/&gt;&lt;wsp:rsid wsp:val=&quot;004650D9&quot;/&gt;&lt;wsp:rsid wsp:val=&quot;0048402E&quot;/&gt;&lt;wsp:rsid wsp:val=&quot;00484805&quot;/&gt;&lt;wsp:rsid wsp:val=&quot;004A1B03&quot;/&gt;&lt;wsp:rsid wsp:val=&quot;004A5F83&quot;/&gt;&lt;wsp:rsid wsp:val=&quot;004A617E&quot;/&gt;&lt;wsp:rsid wsp:val=&quot;004B5364&quot;/&gt;&lt;wsp:rsid wsp:val=&quot;004C27EC&quot;/&gt;&lt;wsp:rsid wsp:val=&quot;004C524F&quot;/&gt;&lt;wsp:rsid wsp:val=&quot;004D2901&quot;/&gt;&lt;wsp:rsid wsp:val=&quot;0050376E&quot;/&gt;&lt;wsp:rsid wsp:val=&quot;00504DBA&quot;/&gt;&lt;wsp:rsid wsp:val=&quot;00513598&quot;/&gt;&lt;wsp:rsid wsp:val=&quot;00516CE1&quot;/&gt;&lt;wsp:rsid wsp:val=&quot;00517341&quot;/&gt;&lt;wsp:rsid wsp:val=&quot;00523A2D&quot;/&gt;&lt;wsp:rsid wsp:val=&quot;00525C33&quot;/&gt;&lt;wsp:rsid wsp:val=&quot;0053690D&quot;/&gt;&lt;wsp:rsid wsp:val=&quot;005430F0&quot;/&gt;&lt;wsp:rsid wsp:val=&quot;00563784&quot;/&gt;&lt;wsp:rsid wsp:val=&quot;0056407F&quot;/&gt;&lt;wsp:rsid wsp:val=&quot;0057670E&quot;/&gt;&lt;wsp:rsid wsp:val=&quot;00594885&quot;/&gt;&lt;wsp:rsid wsp:val=&quot;00595900&quot;/&gt;&lt;wsp:rsid wsp:val=&quot;005C2CED&quot;/&gt;&lt;wsp:rsid wsp:val=&quot;005D14A6&quot;/&gt;&lt;wsp:rsid wsp:val=&quot;005F00FE&quot;/&gt;&lt;wsp:rsid wsp:val=&quot;005F1D1C&quot;/&gt;&lt;wsp:rsid wsp:val=&quot;005F40F3&quot;/&gt;&lt;wsp:rsid wsp:val=&quot;0060317D&quot;/&gt;&lt;wsp:rsid wsp:val=&quot;006065AF&quot;/&gt;&lt;wsp:rsid wsp:val=&quot;006109C9&quot;/&gt;&lt;wsp:rsid wsp:val=&quot;00624AA1&quot;/&gt;&lt;wsp:rsid wsp:val=&quot;006333C6&quot;/&gt;&lt;wsp:rsid wsp:val=&quot;006352BF&quot;/&gt;&lt;wsp:rsid wsp:val=&quot;006422D2&quot;/&gt;&lt;wsp:rsid wsp:val=&quot;00643AF1&quot;/&gt;&lt;wsp:rsid wsp:val=&quot;00656123&quot;/&gt;&lt;wsp:rsid wsp:val=&quot;006617EA&quot;/&gt;&lt;wsp:rsid wsp:val=&quot;00667F0C&quot;/&gt;&lt;wsp:rsid wsp:val=&quot;006715FF&quot;/&gt;&lt;wsp:rsid wsp:val=&quot;00676A9B&quot;/&gt;&lt;wsp:rsid wsp:val=&quot;006951CC&quot;/&gt;&lt;wsp:rsid wsp:val=&quot;006B2956&quot;/&gt;&lt;wsp:rsid wsp:val=&quot;006B6B0D&quot;/&gt;&lt;wsp:rsid wsp:val=&quot;006D0462&quot;/&gt;&lt;wsp:rsid wsp:val=&quot;006E53F2&quot;/&gt;&lt;wsp:rsid wsp:val=&quot;00704352&quot;/&gt;&lt;wsp:rsid wsp:val=&quot;00722250&quot;/&gt;&lt;wsp:rsid wsp:val=&quot;00734ACD&quot;/&gt;&lt;wsp:rsid wsp:val=&quot;00736852&quot;/&gt;&lt;wsp:rsid wsp:val=&quot;00747747&quot;/&gt;&lt;wsp:rsid wsp:val=&quot;00747DDB&quot;/&gt;&lt;wsp:rsid wsp:val=&quot;0076060A&quot;/&gt;&lt;wsp:rsid wsp:val=&quot;007667B4&quot;/&gt;&lt;wsp:rsid wsp:val=&quot;00766EA6&quot;/&gt;&lt;wsp:rsid wsp:val=&quot;007836E3&quot;/&gt;&lt;wsp:rsid wsp:val=&quot;00785D05&quot;/&gt;&lt;wsp:rsid wsp:val=&quot;007B0DB1&quot;/&gt;&lt;wsp:rsid wsp:val=&quot;007B41BE&quot;/&gt;&lt;wsp:rsid wsp:val=&quot;007C2DCD&quot;/&gt;&lt;wsp:rsid wsp:val=&quot;007D5DB9&quot;/&gt;&lt;wsp:rsid wsp:val=&quot;007F15F5&quot;/&gt;&lt;wsp:rsid wsp:val=&quot;00805F18&quot;/&gt;&lt;wsp:rsid wsp:val=&quot;008100A9&quot;/&gt;&lt;wsp:rsid wsp:val=&quot;00815D5E&quot;/&gt;&lt;wsp:rsid wsp:val=&quot;00821B8C&quot;/&gt;&lt;wsp:rsid wsp:val=&quot;00826815&quot;/&gt;&lt;wsp:rsid wsp:val=&quot;00826CA9&quot;/&gt;&lt;wsp:rsid wsp:val=&quot;00831B79&quot;/&gt;&lt;wsp:rsid wsp:val=&quot;008449D3&quot;/&gt;&lt;wsp:rsid wsp:val=&quot;00847038&quot;/&gt;&lt;wsp:rsid wsp:val=&quot;00853529&quot;/&gt;&lt;wsp:rsid wsp:val=&quot;00855DF8&quot;/&gt;&lt;wsp:rsid wsp:val=&quot;0085741F&quot;/&gt;&lt;wsp:rsid wsp:val=&quot;008610B7&quot;/&gt;&lt;wsp:rsid wsp:val=&quot;008624DC&quot;/&gt;&lt;wsp:rsid wsp:val=&quot;0086260D&quot;/&gt;&lt;wsp:rsid wsp:val=&quot;00863329&quot;/&gt;&lt;wsp:rsid wsp:val=&quot;0086516E&quot;/&gt;&lt;wsp:rsid wsp:val=&quot;00875632&quot;/&gt;&lt;wsp:rsid wsp:val=&quot;00880F8B&quot;/&gt;&lt;wsp:rsid wsp:val=&quot;00881879&quot;/&gt;&lt;wsp:rsid wsp:val=&quot;00883788&quot;/&gt;&lt;wsp:rsid wsp:val=&quot;008863FA&quot;/&gt;&lt;wsp:rsid wsp:val=&quot;00896624&quot;/&gt;&lt;wsp:rsid wsp:val=&quot;00897CFA&quot;/&gt;&lt;wsp:rsid wsp:val=&quot;00897EE5&quot;/&gt;&lt;wsp:rsid wsp:val=&quot;008A0349&quot;/&gt;&lt;wsp:rsid wsp:val=&quot;008A1536&quot;/&gt;&lt;wsp:rsid wsp:val=&quot;008B1C37&quot;/&gt;&lt;wsp:rsid wsp:val=&quot;008B7608&quot;/&gt;&lt;wsp:rsid wsp:val=&quot;008D6739&quot;/&gt;&lt;wsp:rsid wsp:val=&quot;008F35F8&quot;/&gt;&lt;wsp:rsid wsp:val=&quot;00910925&quot;/&gt;&lt;wsp:rsid wsp:val=&quot;009153D5&quot;/&gt;&lt;wsp:rsid wsp:val=&quot;0092235B&quot;/&gt;&lt;wsp:rsid wsp:val=&quot;009237A8&quot;/&gt;&lt;wsp:rsid wsp:val=&quot;0092698F&quot;/&gt;&lt;wsp:rsid wsp:val=&quot;00947FBF&quot;/&gt;&lt;wsp:rsid wsp:val=&quot;00955AEF&quot;/&gt;&lt;wsp:rsid wsp:val=&quot;009613F8&quot;/&gt;&lt;wsp:rsid wsp:val=&quot;00964203&quot;/&gt;&lt;wsp:rsid wsp:val=&quot;00965C9C&quot;/&gt;&lt;wsp:rsid wsp:val=&quot;00970EB6&quot;/&gt;&lt;wsp:rsid wsp:val=&quot;00976F0E&quot;/&gt;&lt;wsp:rsid wsp:val=&quot;009865BE&quot;/&gt;&lt;wsp:rsid wsp:val=&quot;00986F57&quot;/&gt;&lt;wsp:rsid wsp:val=&quot;0099075E&quot;/&gt;&lt;wsp:rsid wsp:val=&quot;00994CA1&quot;/&gt;&lt;wsp:rsid wsp:val=&quot;0099768F&quot;/&gt;&lt;wsp:rsid wsp:val=&quot;00997757&quot;/&gt;&lt;wsp:rsid wsp:val=&quot;009B1F09&quot;/&gt;&lt;wsp:rsid wsp:val=&quot;009B6DEC&quot;/&gt;&lt;wsp:rsid wsp:val=&quot;009C29C9&quot;/&gt;&lt;wsp:rsid wsp:val=&quot;009D7CE3&quot;/&gt;&lt;wsp:rsid wsp:val=&quot;00A024F5&quot;/&gt;&lt;wsp:rsid wsp:val=&quot;00A35622&quot;/&gt;&lt;wsp:rsid wsp:val=&quot;00A456D5&quot;/&gt;&lt;wsp:rsid wsp:val=&quot;00A540E9&quot;/&gt;&lt;wsp:rsid wsp:val=&quot;00A61EAB&quot;/&gt;&lt;wsp:rsid wsp:val=&quot;00A65B31&quot;/&gt;&lt;wsp:rsid wsp:val=&quot;00A665F0&quot;/&gt;&lt;wsp:rsid wsp:val=&quot;00A66B33&quot;/&gt;&lt;wsp:rsid wsp:val=&quot;00A733EE&quot;/&gt;&lt;wsp:rsid wsp:val=&quot;00A80E3F&quot;/&gt;&lt;wsp:rsid wsp:val=&quot;00A92FB5&quot;/&gt;&lt;wsp:rsid wsp:val=&quot;00A935F1&quot;/&gt;&lt;wsp:rsid wsp:val=&quot;00AB134C&quot;/&gt;&lt;wsp:rsid wsp:val=&quot;00AB6CD8&quot;/&gt;&lt;wsp:rsid wsp:val=&quot;00AB7559&quot;/&gt;&lt;wsp:rsid wsp:val=&quot;00AD09E5&quot;/&gt;&lt;wsp:rsid wsp:val=&quot;00AD2004&quot;/&gt;&lt;wsp:rsid wsp:val=&quot;00AF4CEB&quot;/&gt;&lt;wsp:rsid wsp:val=&quot;00B04828&quot;/&gt;&lt;wsp:rsid wsp:val=&quot;00B10668&quot;/&gt;&lt;wsp:rsid wsp:val=&quot;00B15F09&quot;/&gt;&lt;wsp:rsid wsp:val=&quot;00B23A0B&quot;/&gt;&lt;wsp:rsid wsp:val=&quot;00B244A8&quot;/&gt;&lt;wsp:rsid wsp:val=&quot;00B339F9&quot;/&gt;&lt;wsp:rsid wsp:val=&quot;00B377D8&quot;/&gt;&lt;wsp:rsid wsp:val=&quot;00B5278F&quot;/&gt;&lt;wsp:rsid wsp:val=&quot;00B55CB1&quot;/&gt;&lt;wsp:rsid wsp:val=&quot;00B66ECB&quot;/&gt;&lt;wsp:rsid wsp:val=&quot;00B81E28&quot;/&gt;&lt;wsp:rsid wsp:val=&quot;00B9192A&quot;/&gt;&lt;wsp:rsid wsp:val=&quot;00B93351&quot;/&gt;&lt;wsp:rsid wsp:val=&quot;00B96A0C&quot;/&gt;&lt;wsp:rsid wsp:val=&quot;00BA1175&quot;/&gt;&lt;wsp:rsid wsp:val=&quot;00BB4AFB&quot;/&gt;&lt;wsp:rsid wsp:val=&quot;00BC161C&quot;/&gt;&lt;wsp:rsid wsp:val=&quot;00BC45FF&quot;/&gt;&lt;wsp:rsid wsp:val=&quot;00BD1CE9&quot;/&gt;&lt;wsp:rsid wsp:val=&quot;00BD4E60&quot;/&gt;&lt;wsp:rsid wsp:val=&quot;00BD55AC&quot;/&gt;&lt;wsp:rsid wsp:val=&quot;00BE17C4&quot;/&gt;&lt;wsp:rsid wsp:val=&quot;00BF06E8&quot;/&gt;&lt;wsp:rsid wsp:val=&quot;00BF5FFE&quot;/&gt;&lt;wsp:rsid wsp:val=&quot;00C12A93&quot;/&gt;&lt;wsp:rsid wsp:val=&quot;00C23657&quot;/&gt;&lt;wsp:rsid wsp:val=&quot;00C31D71&quot;/&gt;&lt;wsp:rsid wsp:val=&quot;00C32EE0&quot;/&gt;&lt;wsp:rsid wsp:val=&quot;00C349B6&quot;/&gt;&lt;wsp:rsid wsp:val=&quot;00C356CB&quot;/&gt;&lt;wsp:rsid wsp:val=&quot;00C408D3&quot;/&gt;&lt;wsp:rsid wsp:val=&quot;00C46D7B&quot;/&gt;&lt;wsp:rsid wsp:val=&quot;00C51BE4&quot;/&gt;&lt;wsp:rsid wsp:val=&quot;00C65559&quot;/&gt;&lt;wsp:rsid wsp:val=&quot;00C6771C&quot;/&gt;&lt;wsp:rsid wsp:val=&quot;00C834D4&quot;/&gt;&lt;wsp:rsid wsp:val=&quot;00C86130&quot;/&gt;&lt;wsp:rsid wsp:val=&quot;00CA2D54&quot;/&gt;&lt;wsp:rsid wsp:val=&quot;00CB0AB5&quot;/&gt;&lt;wsp:rsid wsp:val=&quot;00CB3EAB&quot;/&gt;&lt;wsp:rsid wsp:val=&quot;00CC2BD7&quot;/&gt;&lt;wsp:rsid wsp:val=&quot;00CD0840&quot;/&gt;&lt;wsp:rsid wsp:val=&quot;00CD09D7&quot;/&gt;&lt;wsp:rsid wsp:val=&quot;00CD517C&quot;/&gt;&lt;wsp:rsid wsp:val=&quot;00CE3BD3&quot;/&gt;&lt;wsp:rsid wsp:val=&quot;00CF7247&quot;/&gt;&lt;wsp:rsid wsp:val=&quot;00D052E8&quot;/&gt;&lt;wsp:rsid wsp:val=&quot;00D1277A&quot;/&gt;&lt;wsp:rsid wsp:val=&quot;00D13F94&quot;/&gt;&lt;wsp:rsid wsp:val=&quot;00D23DF9&quot;/&gt;&lt;wsp:rsid wsp:val=&quot;00D27280&quot;/&gt;&lt;wsp:rsid wsp:val=&quot;00D47795&quot;/&gt;&lt;wsp:rsid wsp:val=&quot;00D63F39&quot;/&gt;&lt;wsp:rsid wsp:val=&quot;00D66825&quot;/&gt;&lt;wsp:rsid wsp:val=&quot;00D668BF&quot;/&gt;&lt;wsp:rsid wsp:val=&quot;00D85019&quot;/&gt;&lt;wsp:rsid wsp:val=&quot;00D87A48&quot;/&gt;&lt;wsp:rsid wsp:val=&quot;00DA33DC&quot;/&gt;&lt;wsp:rsid wsp:val=&quot;00DC726E&quot;/&gt;&lt;wsp:rsid wsp:val=&quot;00DD087A&quot;/&gt;&lt;wsp:rsid wsp:val=&quot;00DD15DA&quot;/&gt;&lt;wsp:rsid wsp:val=&quot;00DD39F7&quot;/&gt;&lt;wsp:rsid wsp:val=&quot;00DE2532&quot;/&gt;&lt;wsp:rsid wsp:val=&quot;00DE7F75&quot;/&gt;&lt;wsp:rsid wsp:val=&quot;00DF0FEA&quot;/&gt;&lt;wsp:rsid wsp:val=&quot;00E00DBC&quot;/&gt;&lt;wsp:rsid wsp:val=&quot;00E0419C&quot;/&gt;&lt;wsp:rsid wsp:val=&quot;00E05A58&quot;/&gt;&lt;wsp:rsid wsp:val=&quot;00E111B7&quot;/&gt;&lt;wsp:rsid wsp:val=&quot;00E1755F&quot;/&gt;&lt;wsp:rsid wsp:val=&quot;00E21904&quot;/&gt;&lt;wsp:rsid wsp:val=&quot;00E31316&quot;/&gt;&lt;wsp:rsid wsp:val=&quot;00E417A7&quot;/&gt;&lt;wsp:rsid wsp:val=&quot;00E56B1C&quot;/&gt;&lt;wsp:rsid wsp:val=&quot;00E61ECE&quot;/&gt;&lt;wsp:rsid wsp:val=&quot;00E6607A&quot;/&gt;&lt;wsp:rsid wsp:val=&quot;00E93861&quot;/&gt;&lt;wsp:rsid wsp:val=&quot;00E97297&quot;/&gt;&lt;wsp:rsid wsp:val=&quot;00EA3E65&quot;/&gt;&lt;wsp:rsid wsp:val=&quot;00EB4D9C&quot;/&gt;&lt;wsp:rsid wsp:val=&quot;00EC3064&quot;/&gt;&lt;wsp:rsid wsp:val=&quot;00ED21EA&quot;/&gt;&lt;wsp:rsid wsp:val=&quot;00ED6676&quot;/&gt;&lt;wsp:rsid wsp:val=&quot;00EE617E&quot;/&gt;&lt;wsp:rsid wsp:val=&quot;00EF081F&quot;/&gt;&lt;wsp:rsid wsp:val=&quot;00EF59DF&quot;/&gt;&lt;wsp:rsid wsp:val=&quot;00EF67B9&quot;/&gt;&lt;wsp:rsid wsp:val=&quot;00EF7292&quot;/&gt;&lt;wsp:rsid wsp:val=&quot;00F023EF&quot;/&gt;&lt;wsp:rsid wsp:val=&quot;00F0401B&quot;/&gt;&lt;wsp:rsid wsp:val=&quot;00F04099&quot;/&gt;&lt;wsp:rsid wsp:val=&quot;00F05B05&quot;/&gt;&lt;wsp:rsid wsp:val=&quot;00F164CF&quot;/&gt;&lt;wsp:rsid wsp:val=&quot;00F1692E&quot;/&gt;&lt;wsp:rsid wsp:val=&quot;00F53525&quot;/&gt;&lt;wsp:rsid wsp:val=&quot;00F60B9A&quot;/&gt;&lt;wsp:rsid wsp:val=&quot;00F64547&quot;/&gt;&lt;wsp:rsid wsp:val=&quot;00F811CE&quot;/&gt;&lt;wsp:rsid wsp:val=&quot;00F842F3&quot;/&gt;&lt;wsp:rsid wsp:val=&quot;00F867D6&quot;/&gt;&lt;wsp:rsid wsp:val=&quot;00F93145&quot;/&gt;&lt;wsp:rsid wsp:val=&quot;00F94EA3&quot;/&gt;&lt;wsp:rsid wsp:val=&quot;00FA7B70&quot;/&gt;&lt;wsp:rsid wsp:val=&quot;00FB755A&quot;/&gt;&lt;wsp:rsid wsp:val=&quot;00FC0C2C&quot;/&gt;&lt;wsp:rsid wsp:val=&quot;00FD273B&quot;/&gt;&lt;wsp:rsid wsp:val=&quot;00FD711D&quot;/&gt;&lt;wsp:rsid wsp:val=&quot;00FF1F0E&quot;/&gt;&lt;wsp:rsid wsp:val=&quot;00FF6EB1&quot;/&gt;&lt;wsp:rsid wsp:val=&quot;00FF70D3&quot;/&gt;&lt;wsp:rsid wsp:val=&quot;0132288A&quot;/&gt;&lt;wsp:rsid wsp:val=&quot;01384C43&quot;/&gt;&lt;wsp:rsid wsp:val=&quot;01AB79F4&quot;/&gt;&lt;wsp:rsid wsp:val=&quot;01E70B0E&quot;/&gt;&lt;wsp:rsid wsp:val=&quot;02547AA6&quot;/&gt;&lt;wsp:rsid wsp:val=&quot;025E1490&quot;/&gt;&lt;wsp:rsid wsp:val=&quot;026D01A7&quot;/&gt;&lt;wsp:rsid wsp:val=&quot;0292705A&quot;/&gt;&lt;wsp:rsid wsp:val=&quot;02BB2BB6&quot;/&gt;&lt;wsp:rsid wsp:val=&quot;02D44769&quot;/&gt;&lt;wsp:rsid wsp:val=&quot;03223D53&quot;/&gt;&lt;wsp:rsid wsp:val=&quot;03305E1E&quot;/&gt;&lt;wsp:rsid wsp:val=&quot;034B6F5E&quot;/&gt;&lt;wsp:rsid wsp:val=&quot;0369677B&quot;/&gt;&lt;wsp:rsid wsp:val=&quot;036E2876&quot;/&gt;&lt;wsp:rsid wsp:val=&quot;038B55AE&quot;/&gt;&lt;wsp:rsid wsp:val=&quot;038E6EF8&quot;/&gt;&lt;wsp:rsid wsp:val=&quot;03AD02FF&quot;/&gt;&lt;wsp:rsid wsp:val=&quot;03CF176F&quot;/&gt;&lt;wsp:rsid wsp:val=&quot;048B38BC&quot;/&gt;&lt;wsp:rsid wsp:val=&quot;049D5F19&quot;/&gt;&lt;wsp:rsid wsp:val=&quot;04D42ADE&quot;/&gt;&lt;wsp:rsid wsp:val=&quot;04E02384&quot;/&gt;&lt;wsp:rsid wsp:val=&quot;05345F66&quot;/&gt;&lt;wsp:rsid wsp:val=&quot;053F5515&quot;/&gt;&lt;wsp:rsid wsp:val=&quot;05CC574A&quot;/&gt;&lt;wsp:rsid wsp:val=&quot;05F97374&quot;/&gt;&lt;wsp:rsid wsp:val=&quot;06024098&quot;/&gt;&lt;wsp:rsid wsp:val=&quot;064514F9&quot;/&gt;&lt;wsp:rsid wsp:val=&quot;06BE0E86&quot;/&gt;&lt;wsp:rsid wsp:val=&quot;06BE4BFC&quot;/&gt;&lt;wsp:rsid wsp:val=&quot;075703F5&quot;/&gt;&lt;wsp:rsid wsp:val=&quot;07751A06&quot;/&gt;&lt;wsp:rsid wsp:val=&quot;078142A4&quot;/&gt;&lt;wsp:rsid wsp:val=&quot;07834C9D&quot;/&gt;&lt;wsp:rsid wsp:val=&quot;07924E0C&quot;/&gt;&lt;wsp:rsid wsp:val=&quot;079F2E01&quot;/&gt;&lt;wsp:rsid wsp:val=&quot;07AE57A4&quot;/&gt;&lt;wsp:rsid wsp:val=&quot;07BB4543&quot;/&gt;&lt;wsp:rsid wsp:val=&quot;07D85C5A&quot;/&gt;&lt;wsp:rsid wsp:val=&quot;081E2428&quot;/&gt;&lt;wsp:rsid wsp:val=&quot;081F69D8&quot;/&gt;&lt;wsp:rsid wsp:val=&quot;08312FC7&quot;/&gt;&lt;wsp:rsid wsp:val=&quot;08434891&quot;/&gt;&lt;wsp:rsid wsp:val=&quot;08A23B9F&quot;/&gt;&lt;wsp:rsid wsp:val=&quot;08AC3ED3&quot;/&gt;&lt;wsp:rsid wsp:val=&quot;08C2021F&quot;/&gt;&lt;wsp:rsid wsp:val=&quot;08D265F0&quot;/&gt;&lt;wsp:rsid wsp:val=&quot;08E143F1&quot;/&gt;&lt;wsp:rsid wsp:val=&quot;090B0E8E&quot;/&gt;&lt;wsp:rsid wsp:val=&quot;095D5B9F&quot;/&gt;&lt;wsp:rsid wsp:val=&quot;09676399&quot;/&gt;&lt;wsp:rsid wsp:val=&quot;09D662E7&quot;/&gt;&lt;wsp:rsid wsp:val=&quot;0A242726&quot;/&gt;&lt;wsp:rsid wsp:val=&quot;0A323426&quot;/&gt;&lt;wsp:rsid wsp:val=&quot;0A912F86&quot;/&gt;&lt;wsp:rsid wsp:val=&quot;0ABF1AEC&quot;/&gt;&lt;wsp:rsid wsp:val=&quot;0B17316E&quot;/&gt;&lt;wsp:rsid wsp:val=&quot;0B7E5061&quot;/&gt;&lt;wsp:rsid wsp:val=&quot;0B9B0808&quot;/&gt;&lt;wsp:rsid wsp:val=&quot;0BB11083&quot;/&gt;&lt;wsp:rsid wsp:val=&quot;0BE66A48&quot;/&gt;&lt;wsp:rsid wsp:val=&quot;0C1F15F1&quot;/&gt;&lt;wsp:rsid wsp:val=&quot;0C730A4A&quot;/&gt;&lt;wsp:rsid wsp:val=&quot;0C984991&quot;/&gt;&lt;wsp:rsid wsp:val=&quot;0CD51310&quot;/&gt;&lt;wsp:rsid wsp:val=&quot;0D0175B1&quot;/&gt;&lt;wsp:rsid wsp:val=&quot;0D4E212A&quot;/&gt;&lt;wsp:rsid wsp:val=&quot;0D5A7A00&quot;/&gt;&lt;wsp:rsid wsp:val=&quot;0D8F7FD4&quot;/&gt;&lt;wsp:rsid wsp:val=&quot;0D9C7F7E&quot;/&gt;&lt;wsp:rsid wsp:val=&quot;0DA26C14&quot;/&gt;&lt;wsp:rsid wsp:val=&quot;0DA80C95&quot;/&gt;&lt;wsp:rsid wsp:val=&quot;0E29306E&quot;/&gt;&lt;wsp:rsid wsp:val=&quot;0F32428B&quot;/&gt;&lt;wsp:rsid wsp:val=&quot;0F34709D&quot;/&gt;&lt;wsp:rsid wsp:val=&quot;0F3970C7&quot;/&gt;&lt;wsp:rsid wsp:val=&quot;1018426F&quot;/&gt;&lt;wsp:rsid wsp:val=&quot;101A2C21&quot;/&gt;&lt;wsp:rsid wsp:val=&quot;107002C4&quot;/&gt;&lt;wsp:rsid wsp:val=&quot;107A19FF&quot;/&gt;&lt;wsp:rsid wsp:val=&quot;108B7D11&quot;/&gt;&lt;wsp:rsid wsp:val=&quot;10E624D4&quot;/&gt;&lt;wsp:rsid wsp:val=&quot;110132F2&quot;/&gt;&lt;wsp:rsid wsp:val=&quot;11800030&quot;/&gt;&lt;wsp:rsid wsp:val=&quot;11A00F75&quot;/&gt;&lt;wsp:rsid wsp:val=&quot;11E2703C&quot;/&gt;&lt;wsp:rsid wsp:val=&quot;126D2B01&quot;/&gt;&lt;wsp:rsid wsp:val=&quot;1275369F&quot;/&gt;&lt;wsp:rsid wsp:val=&quot;129004AD&quot;/&gt;&lt;wsp:rsid wsp:val=&quot;12A00582&quot;/&gt;&lt;wsp:rsid wsp:val=&quot;138035BB&quot;/&gt;&lt;wsp:rsid wsp:val=&quot;138358B3&quot;/&gt;&lt;wsp:rsid wsp:val=&quot;139A4730&quot;/&gt;&lt;wsp:rsid wsp:val=&quot;13A8278C&quot;/&gt;&lt;wsp:rsid wsp:val=&quot;13B876A8&quot;/&gt;&lt;wsp:rsid wsp:val=&quot;13C5153D&quot;/&gt;&lt;wsp:rsid wsp:val=&quot;14A42F04&quot;/&gt;&lt;wsp:rsid wsp:val=&quot;14D10BF7&quot;/&gt;&lt;wsp:rsid wsp:val=&quot;15435428&quot;/&gt;&lt;wsp:rsid wsp:val=&quot;15A06877&quot;/&gt;&lt;wsp:rsid wsp:val=&quot;15FF3688&quot;/&gt;&lt;wsp:rsid wsp:val=&quot;16052814&quot;/&gt;&lt;wsp:rsid wsp:val=&quot;163A5AA9&quot;/&gt;&lt;wsp:rsid wsp:val=&quot;16EA1B61&quot;/&gt;&lt;wsp:rsid wsp:val=&quot;172E636F&quot;/&gt;&lt;wsp:rsid wsp:val=&quot;17746AC4&quot;/&gt;&lt;wsp:rsid wsp:val=&quot;178D730C&quot;/&gt;&lt;wsp:rsid wsp:val=&quot;17E648BC&quot;/&gt;&lt;wsp:rsid wsp:val=&quot;186616EC&quot;/&gt;&lt;wsp:rsid wsp:val=&quot;18721531&quot;/&gt;&lt;wsp:rsid wsp:val=&quot;19885448&quot;/&gt;&lt;wsp:rsid wsp:val=&quot;19905A54&quot;/&gt;&lt;wsp:rsid wsp:val=&quot;1A27276A&quot;/&gt;&lt;wsp:rsid wsp:val=&quot;1A5F33D2&quot;/&gt;&lt;wsp:rsid wsp:val=&quot;1A616B7D&quot;/&gt;&lt;wsp:rsid wsp:val=&quot;1A7276A4&quot;/&gt;&lt;wsp:rsid wsp:val=&quot;1AAB12B9&quot;/&gt;&lt;wsp:rsid wsp:val=&quot;1B0510F1&quot;/&gt;&lt;wsp:rsid wsp:val=&quot;1B0A4A84&quot;/&gt;&lt;wsp:rsid wsp:val=&quot;1C400A08&quot;/&gt;&lt;wsp:rsid wsp:val=&quot;1C7328CC&quot;/&gt;&lt;wsp:rsid wsp:val=&quot;1C8D42DD&quot;/&gt;&lt;wsp:rsid wsp:val=&quot;1CC54AB8&quot;/&gt;&lt;wsp:rsid wsp:val=&quot;1CD87FC9&quot;/&gt;&lt;wsp:rsid wsp:val=&quot;1CF00F4A&quot;/&gt;&lt;wsp:rsid wsp:val=&quot;1D7C1969&quot;/&gt;&lt;wsp:rsid wsp:val=&quot;1DC7240D&quot;/&gt;&lt;wsp:rsid wsp:val=&quot;1DC74FC1&quot;/&gt;&lt;wsp:rsid wsp:val=&quot;1DCB7C76&quot;/&gt;&lt;wsp:rsid wsp:val=&quot;1DD24998&quot;/&gt;&lt;wsp:rsid wsp:val=&quot;1E593C5F&quot;/&gt;&lt;wsp:rsid wsp:val=&quot;1E714C4F&quot;/&gt;&lt;wsp:rsid wsp:val=&quot;1EAB55A1&quot;/&gt;&lt;wsp:rsid wsp:val=&quot;1EE30BE5&quot;/&gt;&lt;wsp:rsid wsp:val=&quot;1EE81D26&quot;/&gt;&lt;wsp:rsid wsp:val=&quot;1EF0287C&quot;/&gt;&lt;wsp:rsid wsp:val=&quot;1F3B196F&quot;/&gt;&lt;wsp:rsid wsp:val=&quot;1F6555FC&quot;/&gt;&lt;wsp:rsid wsp:val=&quot;20963B34&quot;/&gt;&lt;wsp:rsid wsp:val=&quot;20B35CD5&quot;/&gt;&lt;wsp:rsid wsp:val=&quot;20B84C29&quot;/&gt;&lt;wsp:rsid wsp:val=&quot;20E93171&quot;/&gt;&lt;wsp:rsid wsp:val=&quot;211E2367&quot;/&gt;&lt;wsp:rsid wsp:val=&quot;212075C0&quot;/&gt;&lt;wsp:rsid wsp:val=&quot;21851CA3&quot;/&gt;&lt;wsp:rsid wsp:val=&quot;21AA703D&quot;/&gt;&lt;wsp:rsid wsp:val=&quot;21F637D0&quot;/&gt;&lt;wsp:rsid wsp:val=&quot;22001FFA&quot;/&gt;&lt;wsp:rsid wsp:val=&quot;22321F91&quot;/&gt;&lt;wsp:rsid wsp:val=&quot;2244237F&quot;/&gt;&lt;wsp:rsid wsp:val=&quot;224934A6&quot;/&gt;&lt;wsp:rsid wsp:val=&quot;22DE25CD&quot;/&gt;&lt;wsp:rsid wsp:val=&quot;23167ECF&quot;/&gt;&lt;wsp:rsid wsp:val=&quot;23240186&quot;/&gt;&lt;wsp:rsid wsp:val=&quot;233305EF&quot;/&gt;&lt;wsp:rsid wsp:val=&quot;23421931&quot;/&gt;&lt;wsp:rsid wsp:val=&quot;236005E1&quot;/&gt;&lt;wsp:rsid wsp:val=&quot;2362371F&quot;/&gt;&lt;wsp:rsid wsp:val=&quot;2403572C&quot;/&gt;&lt;wsp:rsid wsp:val=&quot;240B6F5D&quot;/&gt;&lt;wsp:rsid wsp:val=&quot;242541FF&quot;/&gt;&lt;wsp:rsid wsp:val=&quot;24361C3B&quot;/&gt;&lt;wsp:rsid wsp:val=&quot;243E4F46&quot;/&gt;&lt;wsp:rsid wsp:val=&quot;245143B6&quot;/&gt;&lt;wsp:rsid wsp:val=&quot;24617A1E&quot;/&gt;&lt;wsp:rsid wsp:val=&quot;24BE26EE&quot;/&gt;&lt;wsp:rsid wsp:val=&quot;24C40DD0&quot;/&gt;&lt;wsp:rsid wsp:val=&quot;24F80AD2&quot;/&gt;&lt;wsp:rsid wsp:val=&quot;24F84EB4&quot;/&gt;&lt;wsp:rsid wsp:val=&quot;25001582&quot;/&gt;&lt;wsp:rsid wsp:val=&quot;250E7EB7&quot;/&gt;&lt;wsp:rsid wsp:val=&quot;253B45B1&quot;/&gt;&lt;wsp:rsid wsp:val=&quot;254D572E&quot;/&gt;&lt;wsp:rsid wsp:val=&quot;258306DF&quot;/&gt;&lt;wsp:rsid wsp:val=&quot;25C36084&quot;/&gt;&lt;wsp:rsid wsp:val=&quot;26194434&quot;/&gt;&lt;wsp:rsid wsp:val=&quot;263943E5&quot;/&gt;&lt;wsp:rsid wsp:val=&quot;2791306A&quot;/&gt;&lt;wsp:rsid wsp:val=&quot;27950104&quot;/&gt;&lt;wsp:rsid wsp:val=&quot;27C3339B&quot;/&gt;&lt;wsp:rsid wsp:val=&quot;28562284&quot;/&gt;&lt;wsp:rsid wsp:val=&quot;285D24C3&quot;/&gt;&lt;wsp:rsid wsp:val=&quot;28A42644&quot;/&gt;&lt;wsp:rsid wsp:val=&quot;28BF607D&quot;/&gt;&lt;wsp:rsid wsp:val=&quot;28C90C22&quot;/&gt;&lt;wsp:rsid wsp:val=&quot;28FE2AB2&quot;/&gt;&lt;wsp:rsid wsp:val=&quot;298E7153&quot;/&gt;&lt;wsp:rsid wsp:val=&quot;29AC18AF&quot;/&gt;&lt;wsp:rsid wsp:val=&quot;29D3586A&quot;/&gt;&lt;wsp:rsid wsp:val=&quot;29E60EF5&quot;/&gt;&lt;wsp:rsid wsp:val=&quot;2A1000A0&quot;/&gt;&lt;wsp:rsid wsp:val=&quot;2A4B1B1C&quot;/&gt;&lt;wsp:rsid wsp:val=&quot;2A776515&quot;/&gt;&lt;wsp:rsid wsp:val=&quot;2ACD64B2&quot;/&gt;&lt;wsp:rsid wsp:val=&quot;2B164D17&quot;/&gt;&lt;wsp:rsid wsp:val=&quot;2B4B4CCE&quot;/&gt;&lt;wsp:rsid wsp:val=&quot;2B9E5F83&quot;/&gt;&lt;wsp:rsid wsp:val=&quot;2BFC3660&quot;/&gt;&lt;wsp:rsid wsp:val=&quot;2C032498&quot;/&gt;&lt;wsp:rsid wsp:val=&quot;2C3C29F1&quot;/&gt;&lt;wsp:rsid wsp:val=&quot;2D0D3F93&quot;/&gt;&lt;wsp:rsid wsp:val=&quot;2D1F42D5&quot;/&gt;&lt;wsp:rsid wsp:val=&quot;2D583DDF&quot;/&gt;&lt;wsp:rsid wsp:val=&quot;2D941E82&quot;/&gt;&lt;wsp:rsid wsp:val=&quot;2E1D6BA6&quot;/&gt;&lt;wsp:rsid wsp:val=&quot;2EEF0413&quot;/&gt;&lt;wsp:rsid wsp:val=&quot;2F181F4E&quot;/&gt;&lt;wsp:rsid wsp:val=&quot;2F8B34F0&quot;/&gt;&lt;wsp:rsid wsp:val=&quot;30114936&quot;/&gt;&lt;wsp:rsid wsp:val=&quot;30676AFF&quot;/&gt;&lt;wsp:rsid wsp:val=&quot;30707EAF&quot;/&gt;&lt;wsp:rsid wsp:val=&quot;30C25DAA&quot;/&gt;&lt;wsp:rsid wsp:val=&quot;30E06760&quot;/&gt;&lt;wsp:rsid wsp:val=&quot;31306C96&quot;/&gt;&lt;wsp:rsid wsp:val=&quot;319005ED&quot;/&gt;&lt;wsp:rsid wsp:val=&quot;31A85FFD&quot;/&gt;&lt;wsp:rsid wsp:val=&quot;31FD6D03&quot;/&gt;&lt;wsp:rsid wsp:val=&quot;324967E6&quot;/&gt;&lt;wsp:rsid wsp:val=&quot;32626D6F&quot;/&gt;&lt;wsp:rsid wsp:val=&quot;32862EB4&quot;/&gt;&lt;wsp:rsid wsp:val=&quot;328A0EAF&quot;/&gt;&lt;wsp:rsid wsp:val=&quot;328E477D&quot;/&gt;&lt;wsp:rsid wsp:val=&quot;329A0A0D&quot;/&gt;&lt;wsp:rsid wsp:val=&quot;32A2269E&quot;/&gt;&lt;wsp:rsid wsp:val=&quot;32A61CCB&quot;/&gt;&lt;wsp:rsid wsp:val=&quot;32A92DD7&quot;/&gt;&lt;wsp:rsid wsp:val=&quot;33251A7F&quot;/&gt;&lt;wsp:rsid wsp:val=&quot;334E4210&quot;/&gt;&lt;wsp:rsid wsp:val=&quot;338D7359&quot;/&gt;&lt;wsp:rsid wsp:val=&quot;33F62E53&quot;/&gt;&lt;wsp:rsid wsp:val=&quot;33F924A6&quot;/&gt;&lt;wsp:rsid wsp:val=&quot;348B02D6&quot;/&gt;&lt;wsp:rsid wsp:val=&quot;34E06B9F&quot;/&gt;&lt;wsp:rsid wsp:val=&quot;3508011E&quot;/&gt;&lt;wsp:rsid wsp:val=&quot;356316EA&quot;/&gt;&lt;wsp:rsid wsp:val=&quot;35A93E43&quot;/&gt;&lt;wsp:rsid wsp:val=&quot;35FF5C21&quot;/&gt;&lt;wsp:rsid wsp:val=&quot;368376EA&quot;/&gt;&lt;wsp:rsid wsp:val=&quot;368E7C55&quot;/&gt;&lt;wsp:rsid wsp:val=&quot;36983CC8&quot;/&gt;&lt;wsp:rsid wsp:val=&quot;36CE11B8&quot;/&gt;&lt;wsp:rsid wsp:val=&quot;36D776BA&quot;/&gt;&lt;wsp:rsid wsp:val=&quot;3747162A&quot;/&gt;&lt;wsp:rsid wsp:val=&quot;379C2032&quot;/&gt;&lt;wsp:rsid wsp:val=&quot;383A0F28&quot;/&gt;&lt;wsp:rsid wsp:val=&quot;383E0C74&quot;/&gt;&lt;wsp:rsid wsp:val=&quot;3893525C&quot;/&gt;&lt;wsp:rsid wsp:val=&quot;38BF17B4&quot;/&gt;&lt;wsp:rsid wsp:val=&quot;38DB34CE&quot;/&gt;&lt;wsp:rsid wsp:val=&quot;39C90197&quot;/&gt;&lt;wsp:rsid wsp:val=&quot;39F465F0&quot;/&gt;&lt;wsp:rsid wsp:val=&quot;3A0F61A5&quot;/&gt;&lt;wsp:rsid wsp:val=&quot;3B7B3AE6&quot;/&gt;&lt;wsp:rsid wsp:val=&quot;3BDF0FE9&quot;/&gt;&lt;wsp:rsid wsp:val=&quot;3C0B160B&quot;/&gt;&lt;wsp:rsid wsp:val=&quot;3C4E4D54&quot;/&gt;&lt;wsp:rsid wsp:val=&quot;3C621531&quot;/&gt;&lt;wsp:rsid wsp:val=&quot;3C6748E0&quot;/&gt;&lt;wsp:rsid wsp:val=&quot;3C8111E3&quot;/&gt;&lt;wsp:rsid wsp:val=&quot;3CB21BF2&quot;/&gt;&lt;wsp:rsid wsp:val=&quot;3CC51207&quot;/&gt;&lt;wsp:rsid wsp:val=&quot;3CD1311A&quot;/&gt;&lt;wsp:rsid wsp:val=&quot;3CDB29CF&quot;/&gt;&lt;wsp:rsid wsp:val=&quot;3CFE0DE8&quot;/&gt;&lt;wsp:rsid wsp:val=&quot;3DB11A96&quot;/&gt;&lt;wsp:rsid wsp:val=&quot;3DE139D0&quot;/&gt;&lt;wsp:rsid wsp:val=&quot;3E142466&quot;/&gt;&lt;wsp:rsid wsp:val=&quot;3E6542EA&quot;/&gt;&lt;wsp:rsid wsp:val=&quot;3EF42BDD&quot;/&gt;&lt;wsp:rsid wsp:val=&quot;3EF9295A&quot;/&gt;&lt;wsp:rsid wsp:val=&quot;3F185670&quot;/&gt;&lt;wsp:rsid wsp:val=&quot;3F8A7432&quot;/&gt;&lt;wsp:rsid wsp:val=&quot;3FB757BD&quot;/&gt;&lt;wsp:rsid wsp:val=&quot;3FD2735B&quot;/&gt;&lt;wsp:rsid wsp:val=&quot;3FF554B7&quot;/&gt;&lt;wsp:rsid wsp:val=&quot;40793B50&quot;/&gt;&lt;wsp:rsid wsp:val=&quot;40933050&quot;/&gt;&lt;wsp:rsid wsp:val=&quot;40EA5F75&quot;/&gt;&lt;wsp:rsid wsp:val=&quot;411169EC&quot;/&gt;&lt;wsp:rsid wsp:val=&quot;41950207&quot;/&gt;&lt;wsp:rsid wsp:val=&quot;419E6AB5&quot;/&gt;&lt;wsp:rsid wsp:val=&quot;41DF354F&quot;/&gt;&lt;wsp:rsid wsp:val=&quot;4298263D&quot;/&gt;&lt;wsp:rsid wsp:val=&quot;433E5304&quot;/&gt;&lt;wsp:rsid wsp:val=&quot;43A1090D&quot;/&gt;&lt;wsp:rsid wsp:val=&quot;43DC3583&quot;/&gt;&lt;wsp:rsid wsp:val=&quot;43EB2A7A&quot;/&gt;&lt;wsp:rsid wsp:val=&quot;43FB2F59&quot;/&gt;&lt;wsp:rsid wsp:val=&quot;44022C46&quot;/&gt;&lt;wsp:rsid wsp:val=&quot;44044B33&quot;/&gt;&lt;wsp:rsid wsp:val=&quot;44054EC0&quot;/&gt;&lt;wsp:rsid wsp:val=&quot;440A2023&quot;/&gt;&lt;wsp:rsid wsp:val=&quot;4430448B&quot;/&gt;&lt;wsp:rsid wsp:val=&quot;444B7414&quot;/&gt;&lt;wsp:rsid wsp:val=&quot;446D459D&quot;/&gt;&lt;wsp:rsid wsp:val=&quot;44797438&quot;/&gt;&lt;wsp:rsid wsp:val=&quot;45103535&quot;/&gt;&lt;wsp:rsid wsp:val=&quot;45222A6A&quot;/&gt;&lt;wsp:rsid wsp:val=&quot;452C3927&quot;/&gt;&lt;wsp:rsid wsp:val=&quot;45416348&quot;/&gt;&lt;wsp:rsid wsp:val=&quot;455F59F2&quot;/&gt;&lt;wsp:rsid wsp:val=&quot;45A70FC7&quot;/&gt;&lt;wsp:rsid wsp:val=&quot;46096E2C&quot;/&gt;&lt;wsp:rsid wsp:val=&quot;465805B7&quot;/&gt;&lt;wsp:rsid wsp:val=&quot;46973645&quot;/&gt;&lt;wsp:rsid wsp:val=&quot;46F24D18&quot;/&gt;&lt;wsp:rsid wsp:val=&quot;47082F6C&quot;/&gt;&lt;wsp:rsid wsp:val=&quot;471A6947&quot;/&gt;&lt;wsp:rsid wsp:val=&quot;47535501&quot;/&gt;&lt;wsp:rsid wsp:val=&quot;476237A3&quot;/&gt;&lt;wsp:rsid wsp:val=&quot;47B80A73&quot;/&gt;&lt;wsp:rsid wsp:val=&quot;47D054E1&quot;/&gt;&lt;wsp:rsid wsp:val=&quot;48151DFA&quot;/&gt;&lt;wsp:rsid wsp:val=&quot;48231A30&quot;/&gt;&lt;wsp:rsid wsp:val=&quot;48B739C6&quot;/&gt;&lt;wsp:rsid wsp:val=&quot;48C72F42&quot;/&gt;&lt;wsp:rsid wsp:val=&quot;48F85A59&quot;/&gt;&lt;wsp:rsid wsp:val=&quot;48FE2851&quot;/&gt;&lt;wsp:rsid wsp:val=&quot;494320D3&quot;/&gt;&lt;wsp:rsid wsp:val=&quot;497534B4&quot;/&gt;&lt;wsp:rsid wsp:val=&quot;49DA38A0&quot;/&gt;&lt;wsp:rsid wsp:val=&quot;4A361A71&quot;/&gt;&lt;wsp:rsid wsp:val=&quot;4A6E2928&quot;/&gt;&lt;wsp:rsid wsp:val=&quot;4AA27259&quot;/&gt;&lt;wsp:rsid wsp:val=&quot;4AE46A56&quot;/&gt;&lt;wsp:rsid wsp:val=&quot;4B124441&quot;/&gt;&lt;wsp:rsid wsp:val=&quot;4B2A769A&quot;/&gt;&lt;wsp:rsid wsp:val=&quot;4B55120F&quot;/&gt;&lt;wsp:rsid wsp:val=&quot;4B661614&quot;/&gt;&lt;wsp:rsid wsp:val=&quot;4B6907A1&quot;/&gt;&lt;wsp:rsid wsp:val=&quot;4B7A43D1&quot;/&gt;&lt;wsp:rsid wsp:val=&quot;4B946B9A&quot;/&gt;&lt;wsp:rsid wsp:val=&quot;4BC36227&quot;/&gt;&lt;wsp:rsid wsp:val=&quot;4BFB4BF6&quot;/&gt;&lt;wsp:rsid wsp:val=&quot;4C912CFA&quot;/&gt;&lt;wsp:rsid wsp:val=&quot;4C931577&quot;/&gt;&lt;wsp:rsid wsp:val=&quot;4CA74C54&quot;/&gt;&lt;wsp:rsid wsp:val=&quot;4CCA6F70&quot;/&gt;&lt;wsp:rsid wsp:val=&quot;4CE62A1A&quot;/&gt;&lt;wsp:rsid wsp:val=&quot;4CF460E9&quot;/&gt;&lt;wsp:rsid wsp:val=&quot;4D8C1B97&quot;/&gt;&lt;wsp:rsid wsp:val=&quot;4DA578A0&quot;/&gt;&lt;wsp:rsid wsp:val=&quot;4DA57C69&quot;/&gt;&lt;wsp:rsid wsp:val=&quot;4DB4585C&quot;/&gt;&lt;wsp:rsid wsp:val=&quot;4DB471C6&quot;/&gt;&lt;wsp:rsid wsp:val=&quot;4DBC175A&quot;/&gt;&lt;wsp:rsid wsp:val=&quot;4DC0329F&quot;/&gt;&lt;wsp:rsid wsp:val=&quot;4DE73B54&quot;/&gt;&lt;wsp:rsid wsp:val=&quot;4E901E9C&quot;/&gt;&lt;wsp:rsid wsp:val=&quot;4EAF36D3&quot;/&gt;&lt;wsp:rsid wsp:val=&quot;4EB82B45&quot;/&gt;&lt;wsp:rsid wsp:val=&quot;4ECE6320&quot;/&gt;&lt;wsp:rsid wsp:val=&quot;4F0A2E63&quot;/&gt;&lt;wsp:rsid wsp:val=&quot;4F231210&quot;/&gt;&lt;wsp:rsid wsp:val=&quot;4F541A82&quot;/&gt;&lt;wsp:rsid wsp:val=&quot;4F5D3ED4&quot;/&gt;&lt;wsp:rsid wsp:val=&quot;4F9040CA&quot;/&gt;&lt;wsp:rsid wsp:val=&quot;4F9E1131&quot;/&gt;&lt;wsp:rsid wsp:val=&quot;500B3969&quot;/&gt;&lt;wsp:rsid wsp:val=&quot;501773AC&quot;/&gt;&lt;wsp:rsid wsp:val=&quot;506C11F9&quot;/&gt;&lt;wsp:rsid wsp:val=&quot;50CC67E3&quot;/&gt;&lt;wsp:rsid wsp:val=&quot;51051697&quot;/&gt;&lt;wsp:rsid wsp:val=&quot;510D0EFD&quot;/&gt;&lt;wsp:rsid wsp:val=&quot;510D475D&quot;/&gt;&lt;wsp:rsid wsp:val=&quot;517D7BEB&quot;/&gt;&lt;wsp:rsid wsp:val=&quot;519A1E57&quot;/&gt;&lt;wsp:rsid wsp:val=&quot;51A15B22&quot;/&gt;&lt;wsp:rsid wsp:val=&quot;51AD32A1&quot;/&gt;&lt;wsp:rsid wsp:val=&quot;51C536B3&quot;/&gt;&lt;wsp:rsid wsp:val=&quot;52156C24&quot;/&gt;&lt;wsp:rsid wsp:val=&quot;521B72A5&quot;/&gt;&lt;wsp:rsid wsp:val=&quot;524D4853&quot;/&gt;&lt;wsp:rsid wsp:val=&quot;529A2D6C&quot;/&gt;&lt;wsp:rsid wsp:val=&quot;53116184&quot;/&gt;&lt;wsp:rsid wsp:val=&quot;532375F6&quot;/&gt;&lt;wsp:rsid wsp:val=&quot;53371361&quot;/&gt;&lt;wsp:rsid wsp:val=&quot;53596D1B&quot;/&gt;&lt;wsp:rsid wsp:val=&quot;538815F7&quot;/&gt;&lt;wsp:rsid wsp:val=&quot;53A91191&quot;/&gt;&lt;wsp:rsid wsp:val=&quot;542550E7&quot;/&gt;&lt;wsp:rsid wsp:val=&quot;54B5325B&quot;/&gt;&lt;wsp:rsid wsp:val=&quot;54E35B7C&quot;/&gt;&lt;wsp:rsid wsp:val=&quot;550F5EEE&quot;/&gt;&lt;wsp:rsid wsp:val=&quot;55166920&quot;/&gt;&lt;wsp:rsid wsp:val=&quot;5523662D&quot;/&gt;&lt;wsp:rsid wsp:val=&quot;552B5A4D&quot;/&gt;&lt;wsp:rsid wsp:val=&quot;55387CCB&quot;/&gt;&lt;wsp:rsid wsp:val=&quot;55555F09&quot;/&gt;&lt;wsp:rsid wsp:val=&quot;55F76D30&quot;/&gt;&lt;wsp:rsid wsp:val=&quot;569E7A85&quot;/&gt;&lt;wsp:rsid wsp:val=&quot;56E26349&quot;/&gt;&lt;wsp:rsid wsp:val=&quot;56F57BAF&quot;/&gt;&lt;wsp:rsid wsp:val=&quot;57214138&quot;/&gt;&lt;wsp:rsid wsp:val=&quot;575C47AE&quot;/&gt;&lt;wsp:rsid wsp:val=&quot;57940052&quot;/&gt;&lt;wsp:rsid wsp:val=&quot;57D668D6&quot;/&gt;&lt;wsp:rsid wsp:val=&quot;57E047E4&quot;/&gt;&lt;wsp:rsid wsp:val=&quot;57E4116F&quot;/&gt;&lt;wsp:rsid wsp:val=&quot;585D0E02&quot;/&gt;&lt;wsp:rsid wsp:val=&quot;58856FCD&quot;/&gt;&lt;wsp:rsid wsp:val=&quot;58967499&quot;/&gt;&lt;wsp:rsid wsp:val=&quot;59482155&quot;/&gt;&lt;wsp:rsid wsp:val=&quot;59A9006E&quot;/&gt;&lt;wsp:rsid wsp:val=&quot;59B47B55&quot;/&gt;&lt;wsp:rsid wsp:val=&quot;59F37FC5&quot;/&gt;&lt;wsp:rsid wsp:val=&quot;5A2D70FA&quot;/&gt;&lt;wsp:rsid wsp:val=&quot;5A78146B&quot;/&gt;&lt;wsp:rsid wsp:val=&quot;5A7F266F&quot;/&gt;&lt;wsp:rsid wsp:val=&quot;5A86336D&quot;/&gt;&lt;wsp:rsid wsp:val=&quot;5ABD4091&quot;/&gt;&lt;wsp:rsid wsp:val=&quot;5AC60F27&quot;/&gt;&lt;wsp:rsid wsp:val=&quot;5AEA288A&quot;/&gt;&lt;wsp:rsid wsp:val=&quot;5B2E5A3C&quot;/&gt;&lt;wsp:rsid wsp:val=&quot;5B460D50&quot;/&gt;&lt;wsp:rsid wsp:val=&quot;5B662DD9&quot;/&gt;&lt;wsp:rsid wsp:val=&quot;5B7853A3&quot;/&gt;&lt;wsp:rsid wsp:val=&quot;5B814437&quot;/&gt;&lt;wsp:rsid wsp:val=&quot;5BA3149E&quot;/&gt;&lt;wsp:rsid wsp:val=&quot;5BA45F9A&quot;/&gt;&lt;wsp:rsid wsp:val=&quot;5BF37A20&quot;/&gt;&lt;wsp:rsid wsp:val=&quot;5C144168&quot;/&gt;&lt;wsp:rsid wsp:val=&quot;5C6B0AA1&quot;/&gt;&lt;wsp:rsid wsp:val=&quot;5CA15820&quot;/&gt;&lt;wsp:rsid wsp:val=&quot;5CB66C54&quot;/&gt;&lt;wsp:rsid wsp:val=&quot;5CFD0715&quot;/&gt;&lt;wsp:rsid wsp:val=&quot;5D14050A&quot;/&gt;&lt;wsp:rsid wsp:val=&quot;5D431E2E&quot;/&gt;&lt;wsp:rsid wsp:val=&quot;5D4B508E&quot;/&gt;&lt;wsp:rsid wsp:val=&quot;5DFB7ED7&quot;/&gt;&lt;wsp:rsid wsp:val=&quot;5E0C7890&quot;/&gt;&lt;wsp:rsid wsp:val=&quot;5E1B44AC&quot;/&gt;&lt;wsp:rsid wsp:val=&quot;5E384ACE&quot;/&gt;&lt;wsp:rsid wsp:val=&quot;5E6E4CBF&quot;/&gt;&lt;wsp:rsid wsp:val=&quot;5E9C0882&quot;/&gt;&lt;wsp:rsid wsp:val=&quot;5ED5786C&quot;/&gt;&lt;wsp:rsid wsp:val=&quot;5F2A0C65&quot;/&gt;&lt;wsp:rsid wsp:val=&quot;5F4953D8&quot;/&gt;&lt;wsp:rsid wsp:val=&quot;5F9C052F&quot;/&gt;&lt;wsp:rsid wsp:val=&quot;5FAE4FD1&quot;/&gt;&lt;wsp:rsid wsp:val=&quot;5FF02C6C&quot;/&gt;&lt;wsp:rsid wsp:val=&quot;607D344D&quot;/&gt;&lt;wsp:rsid wsp:val=&quot;608D00DF&quot;/&gt;&lt;wsp:rsid wsp:val=&quot;60A26592&quot;/&gt;&lt;wsp:rsid wsp:val=&quot;60C32C51&quot;/&gt;&lt;wsp:rsid wsp:val=&quot;60C93644&quot;/&gt;&lt;wsp:rsid wsp:val=&quot;60F50A86&quot;/&gt;&lt;wsp:rsid wsp:val=&quot;60FB32DA&quot;/&gt;&lt;wsp:rsid wsp:val=&quot;61217355&quot;/&gt;&lt;wsp:rsid wsp:val=&quot;61412388&quot;/&gt;&lt;wsp:rsid wsp:val=&quot;618A7364&quot;/&gt;&lt;wsp:rsid wsp:val=&quot;61B60BAE&quot;/&gt;&lt;wsp:rsid wsp:val=&quot;62847F3C&quot;/&gt;&lt;wsp:rsid wsp:val=&quot;63162CDE&quot;/&gt;&lt;wsp:rsid wsp:val=&quot;632637D9&quot;/&gt;&lt;wsp:rsid wsp:val=&quot;632744DE&quot;/&gt;&lt;wsp:rsid wsp:val=&quot;63315D8B&quot;/&gt;&lt;wsp:rsid wsp:val=&quot;635E6959&quot;/&gt;&lt;wsp:rsid wsp:val=&quot;637C517D&quot;/&gt;&lt;wsp:rsid wsp:val=&quot;63CC1AEC&quot;/&gt;&lt;wsp:rsid wsp:val=&quot;63FC310E&quot;/&gt;&lt;wsp:rsid wsp:val=&quot;647E66F8&quot;/&gt;&lt;wsp:rsid wsp:val=&quot;64B7332D&quot;/&gt;&lt;wsp:rsid wsp:val=&quot;654A6F89&quot;/&gt;&lt;wsp:rsid wsp:val=&quot;657C7C64&quot;/&gt;&lt;wsp:rsid wsp:val=&quot;6593698D&quot;/&gt;&lt;wsp:rsid wsp:val=&quot;65CE3E56&quot;/&gt;&lt;wsp:rsid wsp:val=&quot;65FD4A13&quot;/&gt;&lt;wsp:rsid wsp:val=&quot;663A6CF4&quot;/&gt;&lt;wsp:rsid wsp:val=&quot;664D6053&quot;/&gt;&lt;wsp:rsid wsp:val=&quot;66806EE2&quot;/&gt;&lt;wsp:rsid wsp:val=&quot;668332C9&quot;/&gt;&lt;wsp:rsid wsp:val=&quot;66AE3579&quot;/&gt;&lt;wsp:rsid wsp:val=&quot;66DC5157&quot;/&gt;&lt;wsp:rsid wsp:val=&quot;67003C27&quot;/&gt;&lt;wsp:rsid wsp:val=&quot;670850A7&quot;/&gt;&lt;wsp:rsid wsp:val=&quot;67D345A3&quot;/&gt;&lt;wsp:rsid wsp:val=&quot;67E47A65&quot;/&gt;&lt;wsp:rsid wsp:val=&quot;68090B7B&quot;/&gt;&lt;wsp:rsid wsp:val=&quot;680E4CDF&quot;/&gt;&lt;wsp:rsid wsp:val=&quot;68962BCC&quot;/&gt;&lt;wsp:rsid wsp:val=&quot;689A34AB&quot;/&gt;&lt;wsp:rsid wsp:val=&quot;68B91C8F&quot;/&gt;&lt;wsp:rsid wsp:val=&quot;68BC72C5&quot;/&gt;&lt;wsp:rsid wsp:val=&quot;68DC48E0&quot;/&gt;&lt;wsp:rsid wsp:val=&quot;69022C1A&quot;/&gt;&lt;wsp:rsid wsp:val=&quot;69155734&quot;/&gt;&lt;wsp:rsid wsp:val=&quot;694A731E&quot;/&gt;&lt;wsp:rsid wsp:val=&quot;69774A45&quot;/&gt;&lt;wsp:rsid wsp:val=&quot;69A81E0E&quot;/&gt;&lt;wsp:rsid wsp:val=&quot;69AA5889&quot;/&gt;&lt;wsp:rsid wsp:val=&quot;69B206E0&quot;/&gt;&lt;wsp:rsid wsp:val=&quot;69ED1242&quot;/&gt;&lt;wsp:rsid wsp:val=&quot;69F121DE&quot;/&gt;&lt;wsp:rsid wsp:val=&quot;6A22511A&quot;/&gt;&lt;wsp:rsid wsp:val=&quot;6A390836&quot;/&gt;&lt;wsp:rsid wsp:val=&quot;6A5E4F9A&quot;/&gt;&lt;wsp:rsid wsp:val=&quot;6A900A08&quot;/&gt;&lt;wsp:rsid wsp:val=&quot;6AFA13E0&quot;/&gt;&lt;wsp:rsid wsp:val=&quot;6AFA6FBB&quot;/&gt;&lt;wsp:rsid wsp:val=&quot;6AFA7658&quot;/&gt;&lt;wsp:rsid wsp:val=&quot;6C6F4D3D&quot;/&gt;&lt;wsp:rsid wsp:val=&quot;6C956C96&quot;/&gt;&lt;wsp:rsid wsp:val=&quot;6CB730A4&quot;/&gt;&lt;wsp:rsid wsp:val=&quot;6CD61291&quot;/&gt;&lt;wsp:rsid wsp:val=&quot;6CE9060B&quot;/&gt;&lt;wsp:rsid wsp:val=&quot;6D0268D6&quot;/&gt;&lt;wsp:rsid wsp:val=&quot;6D280C63&quot;/&gt;&lt;wsp:rsid wsp:val=&quot;6DCD7F6B&quot;/&gt;&lt;wsp:rsid wsp:val=&quot;6DFA70C2&quot;/&gt;&lt;wsp:rsid wsp:val=&quot;6E3D0B6A&quot;/&gt;&lt;wsp:rsid wsp:val=&quot;6E466662&quot;/&gt;&lt;wsp:rsid wsp:val=&quot;6E6B71DB&quot;/&gt;&lt;wsp:rsid wsp:val=&quot;6EA362F4&quot;/&gt;&lt;wsp:rsid wsp:val=&quot;6EB0191A&quot;/&gt;&lt;wsp:rsid wsp:val=&quot;6F6824B9&quot;/&gt;&lt;wsp:rsid wsp:val=&quot;6F764F7F&quot;/&gt;&lt;wsp:rsid wsp:val=&quot;6FA21116&quot;/&gt;&lt;wsp:rsid wsp:val=&quot;70081199&quot;/&gt;&lt;wsp:rsid wsp:val=&quot;700B0D0E&quot;/&gt;&lt;wsp:rsid wsp:val=&quot;70AF29F5&quot;/&gt;&lt;wsp:rsid wsp:val=&quot;70B80716&quot;/&gt;&lt;wsp:rsid wsp:val=&quot;70C2541E&quot;/&gt;&lt;wsp:rsid wsp:val=&quot;713F279B&quot;/&gt;&lt;wsp:rsid wsp:val=&quot;715B2C94&quot;/&gt;&lt;wsp:rsid wsp:val=&quot;715C640D&quot;/&gt;&lt;wsp:rsid wsp:val=&quot;719A03AB&quot;/&gt;&lt;wsp:rsid wsp:val=&quot;71B765A5&quot;/&gt;&lt;wsp:rsid wsp:val=&quot;72A008F2&quot;/&gt;&lt;wsp:rsid wsp:val=&quot;72A87DF6&quot;/&gt;&lt;wsp:rsid wsp:val=&quot;72E516D6&quot;/&gt;&lt;wsp:rsid wsp:val=&quot;734A53A3&quot;/&gt;&lt;wsp:rsid wsp:val=&quot;73A9330E&quot;/&gt;&lt;wsp:rsid wsp:val=&quot;73A96097&quot;/&gt;&lt;wsp:rsid wsp:val=&quot;73CE5EEA&quot;/&gt;&lt;wsp:rsid wsp:val=&quot;73D32E8F&quot;/&gt;&lt;wsp:rsid wsp:val=&quot;73E06E92&quot;/&gt;&lt;wsp:rsid wsp:val=&quot;740B66A0&quot;/&gt;&lt;wsp:rsid wsp:val=&quot;74705A35&quot;/&gt;&lt;wsp:rsid wsp:val=&quot;74A416B3&quot;/&gt;&lt;wsp:rsid wsp:val=&quot;74CE35BD&quot;/&gt;&lt;wsp:rsid wsp:val=&quot;750C27EE&quot;/&gt;&lt;wsp:rsid wsp:val=&quot;75F47043&quot;/&gt;&lt;wsp:rsid wsp:val=&quot;76026D8D&quot;/&gt;&lt;wsp:rsid wsp:val=&quot;7704215A&quot;/&gt;&lt;wsp:rsid wsp:val=&quot;7753414A&quot;/&gt;&lt;wsp:rsid wsp:val=&quot;778D06EB&quot;/&gt;&lt;wsp:rsid wsp:val=&quot;78D200FA&quot;/&gt;&lt;wsp:rsid wsp:val=&quot;78DC42FD&quot;/&gt;&lt;wsp:rsid wsp:val=&quot;78F04373&quot;/&gt;&lt;wsp:rsid wsp:val=&quot;791D5FBB&quot;/&gt;&lt;wsp:rsid wsp:val=&quot;797E7DFC&quot;/&gt;&lt;wsp:rsid wsp:val=&quot;79DA1E6F&quot;/&gt;&lt;wsp:rsid wsp:val=&quot;79FA43CB&quot;/&gt;&lt;wsp:rsid wsp:val=&quot;79FD1061&quot;/&gt;&lt;wsp:rsid wsp:val=&quot;7A9101BF&quot;/&gt;&lt;wsp:rsid wsp:val=&quot;7A982BC4&quot;/&gt;&lt;wsp:rsid wsp:val=&quot;7AE86EFD&quot;/&gt;&lt;wsp:rsid wsp:val=&quot;7B400F9B&quot;/&gt;&lt;wsp:rsid wsp:val=&quot;7B715700&quot;/&gt;&lt;wsp:rsid wsp:val=&quot;7B787442&quot;/&gt;&lt;wsp:rsid wsp:val=&quot;7B8955CC&quot;/&gt;&lt;wsp:rsid wsp:val=&quot;7BCF48E4&quot;/&gt;&lt;wsp:rsid wsp:val=&quot;7BF96742&quot;/&gt;&lt;wsp:rsid wsp:val=&quot;7C356FDB&quot;/&gt;&lt;wsp:rsid wsp:val=&quot;7C503141&quot;/&gt;&lt;wsp:rsid wsp:val=&quot;7C900D2C&quot;/&gt;&lt;wsp:rsid wsp:val=&quot;7C9761F6&quot;/&gt;&lt;wsp:rsid wsp:val=&quot;7C9F542C&quot;/&gt;&lt;wsp:rsid wsp:val=&quot;7CA76A3B&quot;/&gt;&lt;wsp:rsid wsp:val=&quot;7D083865&quot;/&gt;&lt;wsp:rsid wsp:val=&quot;7D21002C&quot;/&gt;&lt;wsp:rsid wsp:val=&quot;7D3326A5&quot;/&gt;&lt;wsp:rsid wsp:val=&quot;7DA40CBD&quot;/&gt;&lt;wsp:rsid wsp:val=&quot;7DB4432B&quot;/&gt;&lt;wsp:rsid wsp:val=&quot;7DF7660D&quot;/&gt;&lt;wsp:rsid wsp:val=&quot;7E4176AB&quot;/&gt;&lt;wsp:rsid wsp:val=&quot;7E447767&quot;/&gt;&lt;wsp:rsid wsp:val=&quot;7EC11AD2&quot;/&gt;&lt;wsp:rsid wsp:val=&quot;7F8819A0&quot;/&gt;&lt;/wsp:rsids&gt;&lt;/w:docPr&gt;&lt;w:body&gt;&lt;wx:sect&gt;&lt;w:p wsp:rsidR=&quot;00000000&quot; wsp:rsidRDefault=&quot;00B23A0B&quot; wsp:rsidP=&quot;00B23A0B&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N&lt;/m:t&gt;&lt;/m:r&gt;&lt;/m:num&gt;&lt;m:den&gt;&lt;m:nary&gt;&lt;m:naryPr&gt;&lt;m:chr m:val=&quot;∑&quot;/&gt;&lt;m:limLoc m:val=&quot;subSup&quot;/&gt;&lt;m:ctrlPr&gt;&lt;w:rPr&gt;&lt;w:rFonts w:ascii=&quot;Cambria Math&quot; w:h-ansi=&quot;Cambria Math&quot;/&gt;&lt;wx:font wx:val=&quot;Cambria Math&quot;/&gt;&lt;w:i/&gt;bbbbbbbbbbbbbbbbbbbbbbbbbbbbbbbbb&lt;wi:sz-cs w:val=&quot;21&quot;/&gt;&lt;/w:rPr&gt;&lt;/m:ctrlPr&gt;&lt;/m:naryPr&gt;&lt;m:sub&gt;&lt;m:r&gt;&lt;w:rPr&gt;&lt;w:rFonts w:ascii=&quot;Cambria Math&quot; w:h-ansi=&quot;Cambria Math&quot;/&gt;&lt;wx:font wx:val=&quot;Cambria Math&quot;/&gt;&lt;w:i/&gt;&lt;w:sz-cs w:val=&quot;21&quot;/&gt;&lt;/w:rPr&gt;&lt;m:t&gt;1&lt;/m:t&gt;&lt;/m:r&gt;&lt;/m:sub&gt;&lt;m:sup&gt;&lt;m:r&gt;&lt;w:rPr&gt;&lt;w:rFonts w:ascii=&quot;Cambria Math&quot; w:h-ansi=&quot;Cambria Math&quot;/&gt;&lt;wx:font wx:val=&quot;Cambria Math&quot;/&gt;&lt;w:i/&gt;&lt;w:sz-cs w:val=&quot;21&quot;/&gt;&lt;/w:rPr&gt;&lt;m:t&gt;N&lt;/m:t&gt;&lt;/m:r&gt;&lt;/m:sup&gt;&lt;m:e&gt;&lt;m:r&gt;&lt;w:rPr&gt;&lt;w:rFonts w:ascii=&quot;Cambria Math&quot; w:h-ansi=&quot;Cambria Math&quot;/&gt;&lt;wx:font wx:val=&quot;Cambria Math&quot;/&gt;&lt;w:i/&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5" chromakey="#FFFFFF" o:title=""/>
            <o:lock v:ext="edit" aspectratio="t"/>
            <w10:wrap type="none"/>
            <w10:anchorlock/>
          </v:shape>
        </w:pict>
      </w:r>
      <w:r>
        <w:rPr>
          <w:rFonts w:ascii="宋体" w:hAnsi="宋体"/>
          <w:color w:val="auto"/>
          <w:sz w:val="24"/>
          <w:szCs w:val="24"/>
          <w:highlight w:val="none"/>
          <w:u w:val="single"/>
        </w:rPr>
        <w:fldChar w:fldCharType="end"/>
      </w:r>
      <w:r>
        <w:rPr>
          <w:rFonts w:ascii="宋体" w:hAnsi="宋体"/>
          <w:color w:val="auto"/>
          <w:sz w:val="24"/>
          <w:szCs w:val="24"/>
          <w:highlight w:val="none"/>
          <w:u w:val="single"/>
        </w:rPr>
        <w:t>）,第二名投标人的权重为（</w:t>
      </w:r>
      <w:r>
        <w:rPr>
          <w:rFonts w:ascii="宋体" w:hAnsi="宋体"/>
          <w:color w:val="auto"/>
          <w:sz w:val="24"/>
          <w:szCs w:val="24"/>
          <w:highlight w:val="none"/>
          <w:u w:val="single"/>
        </w:rPr>
        <w:fldChar w:fldCharType="begin"/>
      </w:r>
      <w:r>
        <w:rPr>
          <w:rFonts w:ascii="宋体" w:hAnsi="宋体"/>
          <w:color w:val="auto"/>
          <w:sz w:val="24"/>
          <w:szCs w:val="24"/>
          <w:highlight w:val="none"/>
          <w:u w:val="single"/>
        </w:rPr>
        <w:instrText xml:space="preserve"> QUOTE </w:instrText>
      </w:r>
      <w:r>
        <w:rPr>
          <w:color w:val="auto"/>
          <w:position w:val="-26"/>
          <w:sz w:val="24"/>
          <w:szCs w:val="24"/>
          <w:highlight w:val="none"/>
        </w:rPr>
        <w:pict>
          <v:shape id="_x0000_i1027" o:spt="75" type="#_x0000_t75" style="height:31pt;width:1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06F1A&quot;/&gt;&lt;wsp:rsid wsp:val=&quot;00007E51&quot;/&gt;&lt;wsp:rsid wsp:val=&quot;00020A10&quot;/&gt;&lt;wsp:rsid wsp:val=&quot;00021215&quot;/&gt;&lt;wsp:rsid wsp:val=&quot;000324E5&quot;/&gt;&lt;wsp:rsid wsp:val=&quot;000477E9&quot;/&gt;&lt;wsp:rsid wsp:val=&quot;00057C27&quot;/&gt;&lt;wsp:rsid wsp:val=&quot;00072A2B&quot;/&gt;&lt;wsp:rsid wsp:val=&quot;00075D0C&quot;/&gt;&lt;wsp:rsid wsp:val=&quot;00075ED5&quot;/&gt;&lt;wsp:rsid wsp:val=&quot;00076837&quot;/&gt;&lt;wsp:rsid wsp:val=&quot;0008002C&quot;/&gt;&lt;wsp:rsid wsp:val=&quot;0008329B&quot;/&gt;&lt;wsp:rsid wsp:val=&quot;00087876&quot;/&gt;&lt;wsp:rsid wsp:val=&quot;000905EE&quot;/&gt;&lt;wsp:rsid wsp:val=&quot;000A68CE&quot;/&gt;&lt;wsp:rsid wsp:val=&quot;000B0301&quot;/&gt;&lt;wsp:rsid wsp:val=&quot;000C1B8F&quot;/&gt;&lt;wsp:rsid wsp:val=&quot;000C4EFD&quot;/&gt;&lt;wsp:rsid wsp:val=&quot;000C6689&quot;/&gt;&lt;wsp:rsid wsp:val=&quot;000D640D&quot;/&gt;&lt;wsp:rsid wsp:val=&quot;000E3D52&quot;/&gt;&lt;wsp:rsid wsp:val=&quot;000E5601&quot;/&gt;&lt;wsp:rsid wsp:val=&quot;000F0AF7&quot;/&gt;&lt;wsp:rsid wsp:val=&quot;000F3ED4&quot;/&gt;&lt;wsp:rsid wsp:val=&quot;00102559&quot;/&gt;&lt;wsp:rsid wsp:val=&quot;001043D3&quot;/&gt;&lt;wsp:rsid wsp:val=&quot;0011000F&quot;/&gt;&lt;wsp:rsid wsp:val=&quot;00130415&quot;/&gt;&lt;wsp:rsid wsp:val=&quot;00140939&quot;/&gt;&lt;wsp:rsid wsp:val=&quot;00152CF2&quot;/&gt;&lt;wsp:rsid wsp:val=&quot;0016302F&quot;/&gt;&lt;wsp:rsid wsp:val=&quot;00177DE9&quot;/&gt;&lt;wsp:rsid wsp:val=&quot;001815B5&quot;/&gt;&lt;wsp:rsid wsp:val=&quot;001952AB&quot;/&gt;&lt;wsp:rsid wsp:val=&quot;001962B9&quot;/&gt;&lt;wsp:rsid wsp:val=&quot;001A02CE&quot;/&gt;&lt;wsp:rsid wsp:val=&quot;001A06AD&quot;/&gt;&lt;wsp:rsid wsp:val=&quot;001C51B2&quot;/&gt;&lt;wsp:rsid wsp:val=&quot;001C78D8&quot;/&gt;&lt;wsp:rsid wsp:val=&quot;001C7C5D&quot;/&gt;&lt;wsp:rsid wsp:val=&quot;001D0171&quot;/&gt;&lt;wsp:rsid wsp:val=&quot;00207966&quot;/&gt;&lt;wsp:rsid wsp:val=&quot;002115C4&quot;/&gt;&lt;wsp:rsid wsp:val=&quot;00217AA1&quot;/&gt;&lt;wsp:rsid wsp:val=&quot;00227398&quot;/&gt;&lt;wsp:rsid wsp:val=&quot;002361A8&quot;/&gt;&lt;wsp:rsid wsp:val=&quot;00237E28&quot;/&gt;&lt;wsp:rsid wsp:val=&quot;00240E85&quot;/&gt;&lt;wsp:rsid wsp:val=&quot;002428EE&quot;/&gt;&lt;wsp:rsid wsp:val=&quot;00254D5D&quot;/&gt;&lt;wsp:rsid wsp:val=&quot;00255301&quot;/&gt;&lt;wsp:rsid wsp:val=&quot;002615BB&quot;/&gt;&lt;wsp:rsid wsp:val=&quot;00264048&quot;/&gt;&lt;wsp:rsid wsp:val=&quot;002641DB&quot;/&gt;&lt;wsp:rsid wsp:val=&quot;00265159&quot;/&gt;&lt;wsp:rsid wsp:val=&quot;00285782&quot;/&gt;&lt;wsp:rsid wsp:val=&quot;00291CE3&quot;/&gt;&lt;wsp:rsid wsp:val=&quot;00296E5A&quot;/&gt;&lt;wsp:rsid wsp:val=&quot;002A13CE&quot;/&gt;&lt;wsp:rsid wsp:val=&quot;002A6C86&quot;/&gt;&lt;wsp:rsid wsp:val=&quot;002B0328&quot;/&gt;&lt;wsp:rsid wsp:val=&quot;002B2B5D&quot;/&gt;&lt;wsp:rsid wsp:val=&quot;002C2022&quot;/&gt;&lt;wsp:rsid wsp:val=&quot;002C61BA&quot;/&gt;&lt;wsp:rsid wsp:val=&quot;002E0A9A&quot;/&gt;&lt;wsp:rsid wsp:val=&quot;002E12E5&quot;/&gt;&lt;wsp:rsid wsp:val=&quot;002F553C&quot;/&gt;&lt;wsp:rsid wsp:val=&quot;003067A4&quot;/&gt;&lt;wsp:rsid wsp:val=&quot;00313B2C&quot;/&gt;&lt;wsp:rsid wsp:val=&quot;00315E5D&quot;/&gt;&lt;wsp:rsid wsp:val=&quot;00317804&quot;/&gt;&lt;wsp:rsid wsp:val=&quot;0032461E&quot;/&gt;&lt;wsp:rsid wsp:val=&quot;00327B69&quot;/&gt;&lt;wsp:rsid wsp:val=&quot;00330DE6&quot;/&gt;&lt;wsp:rsid wsp:val=&quot;00333F87&quot;/&gt;&lt;wsp:rsid wsp:val=&quot;003348FD&quot;/&gt;&lt;wsp:rsid wsp:val=&quot;00335354&quot;/&gt;&lt;wsp:rsid wsp:val=&quot;003522D1&quot;/&gt;&lt;wsp:rsid wsp:val=&quot;003526C3&quot;/&gt;&lt;wsp:rsid wsp:val=&quot;00366167&quot;/&gt;&lt;wsp:rsid wsp:val=&quot;00371C81&quot;/&gt;&lt;wsp:rsid wsp:val=&quot;00371CB0&quot;/&gt;&lt;wsp:rsid wsp:val=&quot;00382ADD&quot;/&gt;&lt;wsp:rsid wsp:val=&quot;00386F5B&quot;/&gt;&lt;wsp:rsid wsp:val=&quot;003879A7&quot;/&gt;&lt;wsp:rsid wsp:val=&quot;00394F76&quot;/&gt;&lt;wsp:rsid wsp:val=&quot;00396BE6&quot;/&gt;&lt;wsp:rsid wsp:val=&quot;003A4B0A&quot;/&gt;&lt;wsp:rsid wsp:val=&quot;003B306A&quot;/&gt;&lt;wsp:rsid wsp:val=&quot;003C0E5C&quot;/&gt;&lt;wsp:rsid wsp:val=&quot;003C3D3C&quot;/&gt;&lt;wsp:rsid wsp:val=&quot;003C6584&quot;/&gt;&lt;wsp:rsid wsp:val=&quot;003D7289&quot;/&gt;&lt;wsp:rsid wsp:val=&quot;003E4322&quot;/&gt;&lt;wsp:rsid wsp:val=&quot;003F0FC4&quot;/&gt;&lt;wsp:rsid wsp:val=&quot;003F571F&quot;/&gt;&lt;wsp:rsid wsp:val=&quot;0040471C&quot;/&gt;&lt;wsp:rsid wsp:val=&quot;004102B2&quot;/&gt;&lt;wsp:rsid wsp:val=&quot;0041385E&quot;/&gt;&lt;wsp:rsid wsp:val=&quot;00417D6F&quot;/&gt;&lt;wsp:rsid wsp:val=&quot;00431FFB&quot;/&gt;&lt;wsp:rsid wsp:val=&quot;00432E11&quot;/&gt;&lt;wsp:rsid wsp:val=&quot;004357ED&quot;/&gt;&lt;wsp:rsid wsp:val=&quot;00442AB3&quot;/&gt;&lt;wsp:rsid wsp:val=&quot;00445B6E&quot;/&gt;&lt;wsp:rsid wsp:val=&quot;004518A2&quot;/&gt;&lt;wsp:rsid wsp:val=&quot;0045295A&quot;/&gt;&lt;wsp:rsid wsp:val=&quot;00457E48&quot;/&gt;&lt;wsp:rsid wsp:val=&quot;004650D9&quot;/&gt;&lt;wsp:rsid wsp:val=&quot;0048402E&quot;/&gt;&lt;wsp:rsid wsp:val=&quot;00484805&quot;/&gt;&lt;wsp:rsid wsp:val=&quot;004A1B03&quot;/&gt;&lt;wsp:rsid wsp:val=&quot;004A5F83&quot;/&gt;&lt;wsp:rsid wsp:val=&quot;004A617E&quot;/&gt;&lt;wsp:rsid wsp:val=&quot;004B5364&quot;/&gt;&lt;wsp:rsid wsp:val=&quot;004C27EC&quot;/&gt;&lt;wsp:rsid wsp:val=&quot;004C524F&quot;/&gt;&lt;wsp:rsid wsp:val=&quot;004D2901&quot;/&gt;&lt;wsp:rsid wsp:val=&quot;0050376E&quot;/&gt;&lt;wsp:rsid wsp:val=&quot;00504DBA&quot;/&gt;&lt;wsp:rsid wsp:val=&quot;00513598&quot;/&gt;&lt;wsp:rsid wsp:val=&quot;00516CE1&quot;/&gt;&lt;wsp:rsid wsp:val=&quot;00517341&quot;/&gt;&lt;wsp:rsid wsp:val=&quot;00523A2D&quot;/&gt;&lt;wsp:rsid wsp:val=&quot;00525C33&quot;/&gt;&lt;wsp:rsid wsp:val=&quot;0053690D&quot;/&gt;&lt;wsp:rsid wsp:val=&quot;005430F0&quot;/&gt;&lt;wsp:rsid wsp:val=&quot;00563784&quot;/&gt;&lt;wsp:rsid wsp:val=&quot;0056407F&quot;/&gt;&lt;wsp:rsid wsp:val=&quot;0057670E&quot;/&gt;&lt;wsp:rsid wsp:val=&quot;00594885&quot;/&gt;&lt;wsp:rsid wsp:val=&quot;00595900&quot;/&gt;&lt;wsp:rsid wsp:val=&quot;005C2CED&quot;/&gt;&lt;wsp:rsid wsp:val=&quot;005D14A6&quot;/&gt;&lt;wsp:rsid wsp:val=&quot;005F00FE&quot;/&gt;&lt;wsp:rsid wsp:val=&quot;005F1D1C&quot;/&gt;&lt;wsp:rsid wsp:val=&quot;005F40F3&quot;/&gt;&lt;wsp:rsid wsp:val=&quot;0060317D&quot;/&gt;&lt;wsp:rsid wsp:val=&quot;006065AF&quot;/&gt;&lt;wsp:rsid wsp:val=&quot;006109C9&quot;/&gt;&lt;wsp:rsid wsp:val=&quot;00624AA1&quot;/&gt;&lt;wsp:rsid wsp:val=&quot;006333C6&quot;/&gt;&lt;wsp:rsid wsp:val=&quot;006352BF&quot;/&gt;&lt;wsp:rsid wsp:val=&quot;006422D2&quot;/&gt;&lt;wsp:rsid wsp:val=&quot;00643AF1&quot;/&gt;&lt;wsp:rsid wsp:val=&quot;00656123&quot;/&gt;&lt;wsp:rsid wsp:val=&quot;006617EA&quot;/&gt;&lt;wsp:rsid wsp:val=&quot;00667F0C&quot;/&gt;&lt;wsp:rsid wsp:val=&quot;006715FF&quot;/&gt;&lt;wsp:rsid wsp:val=&quot;00676A9B&quot;/&gt;&lt;wsp:rsid wsp:val=&quot;006951CC&quot;/&gt;&lt;wsp:rsid wsp:val=&quot;006B2956&quot;/&gt;&lt;wsp:rsid wsp:val=&quot;006B6B0D&quot;/&gt;&lt;wsp:rsid wsp:val=&quot;006D0462&quot;/&gt;&lt;wsp:rsid wsp:val=&quot;006E53F2&quot;/&gt;&lt;wsp:rsid wsp:val=&quot;00704352&quot;/&gt;&lt;wsp:rsid wsp:val=&quot;00722250&quot;/&gt;&lt;wsp:rsid wsp:val=&quot;00734ACD&quot;/&gt;&lt;wsp:rsid wsp:val=&quot;00736852&quot;/&gt;&lt;wsp:rsid wsp:val=&quot;00747747&quot;/&gt;&lt;wsp:rsid wsp:val=&quot;00747DDB&quot;/&gt;&lt;wsp:rsid wsp:val=&quot;0076060A&quot;/&gt;&lt;wsp:rsid wsp:val=&quot;007667B4&quot;/&gt;&lt;wsp:rsid wsp:val=&quot;00766EA6&quot;/&gt;&lt;wsp:rsid wsp:val=&quot;007836E3&quot;/&gt;&lt;wsp:rsid wsp:val=&quot;00785D05&quot;/&gt;&lt;wsp:rsid wsp:val=&quot;007B0DB1&quot;/&gt;&lt;wsp:rsid wsp:val=&quot;007B41BE&quot;/&gt;&lt;wsp:rsid wsp:val=&quot;007C2DCD&quot;/&gt;&lt;wsp:rsid wsp:val=&quot;007D5DB9&quot;/&gt;&lt;wsp:rsid wsp:val=&quot;007F15F5&quot;/&gt;&lt;wsp:rsid wsp:val=&quot;00805F18&quot;/&gt;&lt;wsp:rsid wsp:val=&quot;008100A9&quot;/&gt;&lt;wsp:rsid wsp:val=&quot;00815D5E&quot;/&gt;&lt;wsp:rsid wsp:val=&quot;00821B8C&quot;/&gt;&lt;wsp:rsid wsp:val=&quot;00826815&quot;/&gt;&lt;wsp:rsid wsp:val=&quot;00826CA9&quot;/&gt;&lt;wsp:rsid wsp:val=&quot;00831B79&quot;/&gt;&lt;wsp:rsid wsp:val=&quot;008449D3&quot;/&gt;&lt;wsp:rsid wsp:val=&quot;00847038&quot;/&gt;&lt;wsp:rsid wsp:val=&quot;00853529&quot;/&gt;&lt;wsp:rsid wsp:val=&quot;00855DF8&quot;/&gt;&lt;wsp:rsid wsp:val=&quot;0085741F&quot;/&gt;&lt;wsp:rsid wsp:val=&quot;008610B7&quot;/&gt;&lt;wsp:rsid wsp:val=&quot;008624DC&quot;/&gt;&lt;wsp:rsid wsp:val=&quot;0086260D&quot;/&gt;&lt;wsp:rsid wsp:val=&quot;00863329&quot;/&gt;&lt;wsp:rsid wsp:val=&quot;0086516E&quot;/&gt;&lt;wsp:rsid wsp:val=&quot;00875632&quot;/&gt;&lt;wsp:rsid wsp:val=&quot;00880F8B&quot;/&gt;&lt;wsp:rsid wsp:val=&quot;00881879&quot;/&gt;&lt;wsp:rsid wsp:val=&quot;00883788&quot;/&gt;&lt;wsp:rsid wsp:val=&quot;008863FA&quot;/&gt;&lt;wsp:rsid wsp:val=&quot;00896624&quot;/&gt;&lt;wsp:rsid wsp:val=&quot;00897CFA&quot;/&gt;&lt;wsp:rsid wsp:val=&quot;00897EE5&quot;/&gt;&lt;wsp:rsid wsp:val=&quot;008A0349&quot;/&gt;&lt;wsp:rsid wsp:val=&quot;008A1536&quot;/&gt;&lt;wsp:rsid wsp:val=&quot;008B1C37&quot;/&gt;&lt;wsp:rsid wsp:val=&quot;008B7608&quot;/&gt;&lt;wsp:rsid wsp:val=&quot;008D6739&quot;/&gt;&lt;wsp:rsid wsp:val=&quot;008F35F8&quot;/&gt;&lt;wsp:rsid wsp:val=&quot;00910925&quot;/&gt;&lt;wsp:rsid wsp:val=&quot;009153D5&quot;/&gt;&lt;wsp:rsid wsp:val=&quot;0092235B&quot;/&gt;&lt;wsp:rsid wsp:val=&quot;009237A8&quot;/&gt;&lt;wsp:rsid wsp:val=&quot;0092698F&quot;/&gt;&lt;wsp:rsid wsp:val=&quot;00947FBF&quot;/&gt;&lt;wsp:rsid wsp:val=&quot;00955AEF&quot;/&gt;&lt;wsp:rsid wsp:val=&quot;009613F8&quot;/&gt;&lt;wsp:rsid wsp:val=&quot;00964203&quot;/&gt;&lt;wsp:rsid wsp:val=&quot;00965C9C&quot;/&gt;&lt;wsp:rsid wsp:val=&quot;00970EB6&quot;/&gt;&lt;wsp:rsid wsp:val=&quot;00976F0E&quot;/&gt;&lt;wsp:rsid wsp:val=&quot;009865BE&quot;/&gt;&lt;wsp:rsid wsp:val=&quot;00986F57&quot;/&gt;&lt;wsp:rsid wsp:val=&quot;0099075E&quot;/&gt;&lt;wsp:rsid wsp:val=&quot;00994CA1&quot;/&gt;&lt;wsp:rsid wsp:val=&quot;0099768F&quot;/&gt;&lt;wsp:rsid wsp:val=&quot;00997757&quot;/&gt;&lt;wsp:rsid wsp:val=&quot;009B1F09&quot;/&gt;&lt;wsp:rsid wsp:val=&quot;009B6DEC&quot;/&gt;&lt;wsp:rsid wsp:val=&quot;009C29C9&quot;/&gt;&lt;wsp:rsid wsp:val=&quot;009D7CE3&quot;/&gt;&lt;wsp:rsid wsp:val=&quot;00A024F5&quot;/&gt;&lt;wsp:rsid wsp:val=&quot;00A35622&quot;/&gt;&lt;wsp:rsid wsp:val=&quot;00A456D5&quot;/&gt;&lt;wsp:rsid wsp:val=&quot;00A540E9&quot;/&gt;&lt;wsp:rsid wsp:val=&quot;00A61EAB&quot;/&gt;&lt;wsp:rsid wsp:val=&quot;00A65B31&quot;/&gt;&lt;wsp:rsid wsp:val=&quot;00A665F0&quot;/&gt;&lt;wsp:rsid wsp:val=&quot;00A66B33&quot;/&gt;&lt;wsp:rsid wsp:val=&quot;00A733EE&quot;/&gt;&lt;wsp:rsid wsp:val=&quot;00A80E3F&quot;/&gt;&lt;wsp:rsid wsp:val=&quot;00A92FB5&quot;/&gt;&lt;wsp:rsid wsp:val=&quot;00A935F1&quot;/&gt;&lt;wsp:rsid wsp:val=&quot;00AB134C&quot;/&gt;&lt;wsp:rsid wsp:val=&quot;00AB6CD8&quot;/&gt;&lt;wsp:rsid wsp:val=&quot;00AB7559&quot;/&gt;&lt;wsp:rsid wsp:val=&quot;00AD09E5&quot;/&gt;&lt;wsp:rsid wsp:val=&quot;00AD2004&quot;/&gt;&lt;wsp:rsid wsp:val=&quot;00AF4CEB&quot;/&gt;&lt;wsp:rsid wsp:val=&quot;00B04828&quot;/&gt;&lt;wsp:rsid wsp:val=&quot;00B10668&quot;/&gt;&lt;wsp:rsid wsp:val=&quot;00B15F09&quot;/&gt;&lt;wsp:rsid wsp:val=&quot;00B244A8&quot;/&gt;&lt;wsp:rsid wsp:val=&quot;00B30FF9&quot;/&gt;&lt;wsp:rsid wsp:val=&quot;00B339F9&quot;/&gt;&lt;wsp:rsid wsp:val=&quot;00B377D8&quot;/&gt;&lt;wsp:rsid wsp:val=&quot;00B5278F&quot;/&gt;&lt;wsp:rsid wsp:val=&quot;00B55CB1&quot;/&gt;&lt;wsp:rsid wsp:val=&quot;00B66ECB&quot;/&gt;&lt;wsp:rsid wsp:val=&quot;00B81E28&quot;/&gt;&lt;wsp:rsid wsp:val=&quot;00B9192A&quot;/&gt;&lt;wsp:rsid wsp:val=&quot;00B93351&quot;/&gt;&lt;wsp:rsid wsp:val=&quot;00B96A0C&quot;/&gt;&lt;wsp:rsid wsp:val=&quot;00BA1175&quot;/&gt;&lt;wsp:rsid wsp:val=&quot;00BB4AFB&quot;/&gt;&lt;wsp:rsid wsp:val=&quot;00BC161C&quot;/&gt;&lt;wsp:rsid wsp:val=&quot;00BC45FF&quot;/&gt;&lt;wsp:rsid wsp:val=&quot;00BD1CE9&quot;/&gt;&lt;wsp:rsid wsp:val=&quot;00BD4E60&quot;/&gt;&lt;wsp:rsid wsp:val=&quot;00BD55AC&quot;/&gt;&lt;wsp:rsid wsp:val=&quot;00BE17C4&quot;/&gt;&lt;wsp:rsid wsp:val=&quot;00BF06E8&quot;/&gt;&lt;wsp:rsid wsp:val=&quot;00BF5FFE&quot;/&gt;&lt;wsp:rsid wsp:val=&quot;00C12A93&quot;/&gt;&lt;wsp:rsid wsp:val=&quot;00C23657&quot;/&gt;&lt;wsp:rsid wsp:val=&quot;00C31D71&quot;/&gt;&lt;wsp:rsid wsp:val=&quot;00C32EE0&quot;/&gt;&lt;wsp:rsid wsp:val=&quot;00C349B6&quot;/&gt;&lt;wsp:rsid wsp:val=&quot;00C356CB&quot;/&gt;&lt;wsp:rsid wsp:val=&quot;00C408D3&quot;/&gt;&lt;wsp:rsid wsp:val=&quot;00C46D7B&quot;/&gt;&lt;wsp:rsid wsp:val=&quot;00C51BE4&quot;/&gt;&lt;wsp:rsid wsp:val=&quot;00C65559&quot;/&gt;&lt;wsp:rsid wsp:val=&quot;00C6771C&quot;/&gt;&lt;wsp:rsid wsp:val=&quot;00C834D4&quot;/&gt;&lt;wsp:rsid wsp:val=&quot;00C86130&quot;/&gt;&lt;wsp:rsid wsp:val=&quot;00CA2D54&quot;/&gt;&lt;wsp:rsid wsp:val=&quot;00CB0AB5&quot;/&gt;&lt;wsp:rsid wsp:val=&quot;00CB3EAB&quot;/&gt;&lt;wsp:rsid wsp:val=&quot;00CC2BD7&quot;/&gt;&lt;wsp:rsid wsp:val=&quot;00CD0840&quot;/&gt;&lt;wsp:rsid wsp:val=&quot;00CD09D7&quot;/&gt;&lt;wsp:rsid wsp:val=&quot;00CD517C&quot;/&gt;&lt;wsp:rsid wsp:val=&quot;00CE3BD3&quot;/&gt;&lt;wsp:rsid wsp:val=&quot;00CF7247&quot;/&gt;&lt;wsp:rsid wsp:val=&quot;00D052E8&quot;/&gt;&lt;wsp:rsid wsp:val=&quot;00D1277A&quot;/&gt;&lt;wsp:rsid wsp:val=&quot;00D13F94&quot;/&gt;&lt;wsp:rsid wsp:val=&quot;00D23DF9&quot;/&gt;&lt;wsp:rsid wsp:val=&quot;00D27280&quot;/&gt;&lt;wsp:rsid wsp:val=&quot;00D47795&quot;/&gt;&lt;wsp:rsid wsp:val=&quot;00D63F39&quot;/&gt;&lt;wsp:rsid wsp:val=&quot;00D66825&quot;/&gt;&lt;wsp:rsid wsp:val=&quot;00D668BF&quot;/&gt;&lt;wsp:rsid wsp:val=&quot;00D85019&quot;/&gt;&lt;wsp:rsid wsp:val=&quot;00D87A48&quot;/&gt;&lt;wsp:rsid wsp:val=&quot;00DA33DC&quot;/&gt;&lt;wsp:rsid wsp:val=&quot;00DC726E&quot;/&gt;&lt;wsp:rsid wsp:val=&quot;00DD087A&quot;/&gt;&lt;wsp:rsid wsp:val=&quot;00DD15DA&quot;/&gt;&lt;wsp:rsid wsp:val=&quot;00DD39F7&quot;/&gt;&lt;wsp:rsid wsp:val=&quot;00DE2532&quot;/&gt;&lt;wsp:rsid wsp:val=&quot;00DE7F75&quot;/&gt;&lt;wsp:rsid wsp:val=&quot;00DF0FEA&quot;/&gt;&lt;wsp:rsid wsp:val=&quot;00E00DBC&quot;/&gt;&lt;wsp:rsid wsp:val=&quot;00E0419C&quot;/&gt;&lt;wsp:rsid wsp:val=&quot;00E05A58&quot;/&gt;&lt;wsp:rsid wsp:val=&quot;00E111B7&quot;/&gt;&lt;wsp:rsid wsp:val=&quot;00E1755F&quot;/&gt;&lt;wsp:rsid wsp:val=&quot;00E21904&quot;/&gt;&lt;wsp:rsid wsp:val=&quot;00E31316&quot;/&gt;&lt;wsp:rsid wsp:val=&quot;00E417A7&quot;/&gt;&lt;wsp:rsid wsp:val=&quot;00E56B1C&quot;/&gt;&lt;wsp:rsid wsp:val=&quot;00E61ECE&quot;/&gt;&lt;wsp:rsid wsp:val=&quot;00E6607A&quot;/&gt;&lt;wsp:rsid wsp:val=&quot;00E93861&quot;/&gt;&lt;wsp:rsid wsp:val=&quot;00E97297&quot;/&gt;&lt;wsp:rsid wsp:val=&quot;00EA3E65&quot;/&gt;&lt;wsp:rsid wsp:val=&quot;00EB4D9C&quot;/&gt;&lt;wsp:rsid wsp:val=&quot;00EC3064&quot;/&gt;&lt;wsp:rsid wsp:val=&quot;00ED21EA&quot;/&gt;&lt;wsp:rsid wsp:val=&quot;00ED6676&quot;/&gt;&lt;wsp:rsid wsp:val=&quot;00EE617E&quot;/&gt;&lt;wsp:rsid wsp:val=&quot;00EF081F&quot;/&gt;&lt;wsp:rsid wsp:val=&quot;00EF59DF&quot;/&gt;&lt;wsp:rsid wsp:val=&quot;00EF67B9&quot;/&gt;&lt;wsp:rsid wsp:val=&quot;00EF7292&quot;/&gt;&lt;wsp:rsid wsp:val=&quot;00F023EF&quot;/&gt;&lt;wsp:rsid wsp:val=&quot;00F0401B&quot;/&gt;&lt;wsp:rsid wsp:val=&quot;00F04099&quot;/&gt;&lt;wsp:rsid wsp:val=&quot;00F05B05&quot;/&gt;&lt;wsp:rsid wsp:val=&quot;00F164CF&quot;/&gt;&lt;wsp:rsid wsp:val=&quot;00F1692E&quot;/&gt;&lt;wsp:rsid wsp:val=&quot;00F53525&quot;/&gt;&lt;wsp:rsid wsp:val=&quot;00F60B9A&quot;/&gt;&lt;wsp:rsid wsp:val=&quot;00F64547&quot;/&gt;&lt;wsp:rsid wsp:val=&quot;00F811CE&quot;/&gt;&lt;wsp:rsid wsp:val=&quot;00F842F3&quot;/&gt;&lt;wsp:rsid wsp:val=&quot;00F867D6&quot;/&gt;&lt;wsp:rsid wsp:val=&quot;00F93145&quot;/&gt;&lt;wsp:rsid wsp:val=&quot;00F94EA3&quot;/&gt;&lt;wsp:rsid wsp:val=&quot;00FA7B70&quot;/&gt;&lt;wsp:rsid wsp:val=&quot;00FB755A&quot;/&gt;&lt;wsp:rsid wsp:val=&quot;00FC0C2C&quot;/&gt;&lt;wsp:rsid wsp:val=&quot;00FD273B&quot;/&gt;&lt;wsp:rsid wsp:val=&quot;00FD711D&quot;/&gt;&lt;wsp:rsid wsp:val=&quot;00FF1F0E&quot;/&gt;&lt;wsp:rsid wsp:val=&quot;00FF6EB1&quot;/&gt;&lt;wsp:rsid wsp:val=&quot;00FF70D3&quot;/&gt;&lt;wsp:rsid wsp:val=&quot;0132288A&quot;/&gt;&lt;wsp:rsid wsp:val=&quot;01384C43&quot;/&gt;&lt;wsp:rsid wsp:val=&quot;01AB79F4&quot;/&gt;&lt;wsp:rsid wsp:val=&quot;01E70B0E&quot;/&gt;&lt;wsp:rsid wsp:val=&quot;02547AA6&quot;/&gt;&lt;wsp:rsid wsp:val=&quot;025E1490&quot;/&gt;&lt;wsp:rsid wsp:val=&quot;026D01A7&quot;/&gt;&lt;wsp:rsid wsp:val=&quot;0292705A&quot;/&gt;&lt;wsp:rsid wsp:val=&quot;02BB2BB6&quot;/&gt;&lt;wsp:rsid wsp:val=&quot;02D44769&quot;/&gt;&lt;wsp:rsid wsp:val=&quot;03223D53&quot;/&gt;&lt;wsp:rsid wsp:val=&quot;03305E1E&quot;/&gt;&lt;wsp:rsid wsp:val=&quot;034B6F5E&quot;/&gt;&lt;wsp:rsid wsp:val=&quot;0369677B&quot;/&gt;&lt;wsp:rsid wsp:val=&quot;036E2876&quot;/&gt;&lt;wsp:rsid wsp:val=&quot;038B55AE&quot;/&gt;&lt;wsp:rsid wsp:val=&quot;038E6EF8&quot;/&gt;&lt;wsp:rsid wsp:val=&quot;03AD02FF&quot;/&gt;&lt;wsp:rsid wsp:val=&quot;03CF176F&quot;/&gt;&lt;wsp:rsid wsp:val=&quot;048B38BC&quot;/&gt;&lt;wsp:rsid wsp:val=&quot;049D5F19&quot;/&gt;&lt;wsp:rsid wsp:val=&quot;04D42ADE&quot;/&gt;&lt;wsp:rsid wsp:val=&quot;04E02384&quot;/&gt;&lt;wsp:rsid wsp:val=&quot;05345F66&quot;/&gt;&lt;wsp:rsid wsp:val=&quot;053F5515&quot;/&gt;&lt;wsp:rsid wsp:val=&quot;05CC574A&quot;/&gt;&lt;wsp:rsid wsp:val=&quot;05F97374&quot;/&gt;&lt;wsp:rsid wsp:val=&quot;06024098&quot;/&gt;&lt;wsp:rsid wsp:val=&quot;064514F9&quot;/&gt;&lt;wsp:rsid wsp:val=&quot;06BE0E86&quot;/&gt;&lt;wsp:rsid wsp:val=&quot;06BE4BFC&quot;/&gt;&lt;wsp:rsid wsp:val=&quot;075703F5&quot;/&gt;&lt;wsp:rsid wsp:val=&quot;07751A06&quot;/&gt;&lt;wsp:rsid wsp:val=&quot;078142A4&quot;/&gt;&lt;wsp:rsid wsp:val=&quot;07834C9D&quot;/&gt;&lt;wsp:rsid wsp:val=&quot;07924E0C&quot;/&gt;&lt;wsp:rsid wsp:val=&quot;079F2E01&quot;/&gt;&lt;wsp:rsid wsp:val=&quot;07AE57A4&quot;/&gt;&lt;wsp:rsid wsp:val=&quot;07BB4543&quot;/&gt;&lt;wsp:rsid wsp:val=&quot;07D85C5A&quot;/&gt;&lt;wsp:rsid wsp:val=&quot;081E2428&quot;/&gt;&lt;wsp:rsid wsp:val=&quot;081F69D8&quot;/&gt;&lt;wsp:rsid wsp:val=&quot;08312FC7&quot;/&gt;&lt;wsp:rsid wsp:val=&quot;08434891&quot;/&gt;&lt;wsp:rsid wsp:val=&quot;08A23B9F&quot;/&gt;&lt;wsp:rsid wsp:val=&quot;08AC3ED3&quot;/&gt;&lt;wsp:rsid wsp:val=&quot;08C2021F&quot;/&gt;&lt;wsp:rsid wsp:val=&quot;08D265F0&quot;/&gt;&lt;wsp:rsid wsp:val=&quot;08E143F1&quot;/&gt;&lt;wsp:rsid wsp:val=&quot;090B0E8E&quot;/&gt;&lt;wsp:rsid wsp:val=&quot;095D5B9F&quot;/&gt;&lt;wsp:rsid wsp:val=&quot;09676399&quot;/&gt;&lt;wsp:rsid wsp:val=&quot;09D662E7&quot;/&gt;&lt;wsp:rsid wsp:val=&quot;0A242726&quot;/&gt;&lt;wsp:rsid wsp:val=&quot;0A323426&quot;/&gt;&lt;wsp:rsid wsp:val=&quot;0A912F86&quot;/&gt;&lt;wsp:rsid wsp:val=&quot;0ABF1AEC&quot;/&gt;&lt;wsp:rsid wsp:val=&quot;0B17316E&quot;/&gt;&lt;wsp:rsid wsp:val=&quot;0B7E5061&quot;/&gt;&lt;wsp:rsid wsp:val=&quot;0B9B0808&quot;/&gt;&lt;wsp:rsid wsp:val=&quot;0BB11083&quot;/&gt;&lt;wsp:rsid wsp:val=&quot;0BE66A48&quot;/&gt;&lt;wsp:rsid wsp:val=&quot;0C1F15F1&quot;/&gt;&lt;wsp:rsid wsp:val=&quot;0C730A4A&quot;/&gt;&lt;wsp:rsid wsp:val=&quot;0C984991&quot;/&gt;&lt;wsp:rsid wsp:val=&quot;0CD51310&quot;/&gt;&lt;wsp:rsid wsp:val=&quot;0D0175B1&quot;/&gt;&lt;wsp:rsid wsp:val=&quot;0D4E212A&quot;/&gt;&lt;wsp:rsid wsp:val=&quot;0D5A7A00&quot;/&gt;&lt;wsp:rsid wsp:val=&quot;0D8F7FD4&quot;/&gt;&lt;wsp:rsid wsp:val=&quot;0D9C7F7E&quot;/&gt;&lt;wsp:rsid wsp:val=&quot;0DA26C14&quot;/&gt;&lt;wsp:rsid wsp:val=&quot;0DA80C95&quot;/&gt;&lt;wsp:rsid wsp:val=&quot;0E29306E&quot;/&gt;&lt;wsp:rsid wsp:val=&quot;0F32428B&quot;/&gt;&lt;wsp:rsid wsp:val=&quot;0F34709D&quot;/&gt;&lt;wsp:rsid wsp:val=&quot;0F3970C7&quot;/&gt;&lt;wsp:rsid wsp:val=&quot;1018426F&quot;/&gt;&lt;wsp:rsid wsp:val=&quot;101A2C21&quot;/&gt;&lt;wsp:rsid wsp:val=&quot;107002C4&quot;/&gt;&lt;wsp:rsid wsp:val=&quot;107A19FF&quot;/&gt;&lt;wsp:rsid wsp:val=&quot;108B7D11&quot;/&gt;&lt;wsp:rsid wsp:val=&quot;10E624D4&quot;/&gt;&lt;wsp:rsid wsp:val=&quot;110132F2&quot;/&gt;&lt;wsp:rsid wsp:val=&quot;11800030&quot;/&gt;&lt;wsp:rsid wsp:val=&quot;11A00F75&quot;/&gt;&lt;wsp:rsid wsp:val=&quot;11E2703C&quot;/&gt;&lt;wsp:rsid wsp:val=&quot;126D2B01&quot;/&gt;&lt;wsp:rsid wsp:val=&quot;1275369F&quot;/&gt;&lt;wsp:rsid wsp:val=&quot;129004AD&quot;/&gt;&lt;wsp:rsid wsp:val=&quot;12A00582&quot;/&gt;&lt;wsp:rsid wsp:val=&quot;138035BB&quot;/&gt;&lt;wsp:rsid wsp:val=&quot;138358B3&quot;/&gt;&lt;wsp:rsid wsp:val=&quot;139A4730&quot;/&gt;&lt;wsp:rsid wsp:val=&quot;13A8278C&quot;/&gt;&lt;wsp:rsid wsp:val=&quot;13B876A8&quot;/&gt;&lt;wsp:rsid wsp:val=&quot;13C5153D&quot;/&gt;&lt;wsp:rsid wsp:val=&quot;14A42F04&quot;/&gt;&lt;wsp:rsid wsp:val=&quot;14D10BF7&quot;/&gt;&lt;wsp:rsid wsp:val=&quot;15435428&quot;/&gt;&lt;wsp:rsid wsp:val=&quot;15A06877&quot;/&gt;&lt;wsp:rsid wsp:val=&quot;15FF3688&quot;/&gt;&lt;wsp:rsid wsp:val=&quot;16052814&quot;/&gt;&lt;wsp:rsid wsp:val=&quot;163A5AA9&quot;/&gt;&lt;wsp:rsid wsp:val=&quot;16EA1B61&quot;/&gt;&lt;wsp:rsid wsp:val=&quot;172E636F&quot;/&gt;&lt;wsp:rsid wsp:val=&quot;17746AC4&quot;/&gt;&lt;wsp:rsid wsp:val=&quot;178D730C&quot;/&gt;&lt;wsp:rsid wsp:val=&quot;17E648BC&quot;/&gt;&lt;wsp:rsid wsp:val=&quot;186616EC&quot;/&gt;&lt;wsp:rsid wsp:val=&quot;18721531&quot;/&gt;&lt;wsp:rsid wsp:val=&quot;19885448&quot;/&gt;&lt;wsp:rsid wsp:val=&quot;19905A54&quot;/&gt;&lt;wsp:rsid wsp:val=&quot;1A27276A&quot;/&gt;&lt;wsp:rsid wsp:val=&quot;1A5F33D2&quot;/&gt;&lt;wsp:rsid wsp:val=&quot;1A616B7D&quot;/&gt;&lt;wsp:rsid wsp:val=&quot;1A7276A4&quot;/&gt;&lt;wsp:rsid wsp:val=&quot;1AAB12B9&quot;/&gt;&lt;wsp:rsid wsp:val=&quot;1B0510F1&quot;/&gt;&lt;wsp:rsid wsp:val=&quot;1B0A4A84&quot;/&gt;&lt;wsp:rsid wsp:val=&quot;1C400A08&quot;/&gt;&lt;wsp:rsid wsp:val=&quot;1C7328CC&quot;/&gt;&lt;wsp:rsid wsp:val=&quot;1C8D42DD&quot;/&gt;&lt;wsp:rsid wsp:val=&quot;1CC54AB8&quot;/&gt;&lt;wsp:rsid wsp:val=&quot;1CD87FC9&quot;/&gt;&lt;wsp:rsid wsp:val=&quot;1CF00F4A&quot;/&gt;&lt;wsp:rsid wsp:val=&quot;1D7C1969&quot;/&gt;&lt;wsp:rsid wsp:val=&quot;1DC7240D&quot;/&gt;&lt;wsp:rsid wsp:val=&quot;1DC74FC1&quot;/&gt;&lt;wsp:rsid wsp:val=&quot;1DCB7C76&quot;/&gt;&lt;wsp:rsid wsp:val=&quot;1DD24998&quot;/&gt;&lt;wsp:rsid wsp:val=&quot;1E593C5F&quot;/&gt;&lt;wsp:rsid wsp:val=&quot;1E714C4F&quot;/&gt;&lt;wsp:rsid wsp:val=&quot;1EAB55A1&quot;/&gt;&lt;wsp:rsid wsp:val=&quot;1EE30BE5&quot;/&gt;&lt;wsp:rsid wsp:val=&quot;1EE81D26&quot;/&gt;&lt;wsp:rsid wsp:val=&quot;1EF0287C&quot;/&gt;&lt;wsp:rsid wsp:val=&quot;1F3B196F&quot;/&gt;&lt;wsp:rsid wsp:val=&quot;1F6555FC&quot;/&gt;&lt;wsp:rsid wsp:val=&quot;20963B34&quot;/&gt;&lt;wsp:rsid wsp:val=&quot;20B35CD5&quot;/&gt;&lt;wsp:rsid wsp:val=&quot;20B84C29&quot;/&gt;&lt;wsp:rsid wsp:val=&quot;20E93171&quot;/&gt;&lt;wsp:rsid wsp:val=&quot;211E2367&quot;/&gt;&lt;wsp:rsid wsp:val=&quot;212075C0&quot;/&gt;&lt;wsp:rsid wsp:val=&quot;21851CA3&quot;/&gt;&lt;wsp:rsid wsp:val=&quot;21AA703D&quot;/&gt;&lt;wsp:rsid wsp:val=&quot;21F637D0&quot;/&gt;&lt;wsp:rsid wsp:val=&quot;22001FFA&quot;/&gt;&lt;wsp:rsid wsp:val=&quot;22321F91&quot;/&gt;&lt;wsp:rsid wsp:val=&quot;2244237F&quot;/&gt;&lt;wsp:rsid wsp:val=&quot;224934A6&quot;/&gt;&lt;wsp:rsid wsp:val=&quot;22DE25CD&quot;/&gt;&lt;wsp:rsid wsp:val=&quot;23167ECF&quot;/&gt;&lt;wsp:rsid wsp:val=&quot;23240186&quot;/&gt;&lt;wsp:rsid wsp:val=&quot;233305EF&quot;/&gt;&lt;wsp:rsid wsp:val=&quot;23421931&quot;/&gt;&lt;wsp:rsid wsp:val=&quot;236005E1&quot;/&gt;&lt;wsp:rsid wsp:val=&quot;2362371F&quot;/&gt;&lt;wsp:rsid wsp:val=&quot;2403572C&quot;/&gt;&lt;wsp:rsid wsp:val=&quot;240B6F5D&quot;/&gt;&lt;wsp:rsid wsp:val=&quot;242541FF&quot;/&gt;&lt;wsp:rsid wsp:val=&quot;24361C3B&quot;/&gt;&lt;wsp:rsid wsp:val=&quot;243E4F46&quot;/&gt;&lt;wsp:rsid wsp:val=&quot;245143B6&quot;/&gt;&lt;wsp:rsid wsp:val=&quot;24617A1E&quot;/&gt;&lt;wsp:rsid wsp:val=&quot;24BE26EE&quot;/&gt;&lt;wsp:rsid wsp:val=&quot;24C40DD0&quot;/&gt;&lt;wsp:rsid wsp:val=&quot;24F80AD2&quot;/&gt;&lt;wsp:rsid wsp:val=&quot;24F84EB4&quot;/&gt;&lt;wsp:rsid wsp:val=&quot;25001582&quot;/&gt;&lt;wsp:rsid wsp:val=&quot;250E7EB7&quot;/&gt;&lt;wsp:rsid wsp:val=&quot;253B45B1&quot;/&gt;&lt;wsp:rsid wsp:val=&quot;254D572E&quot;/&gt;&lt;wsp:rsid wsp:val=&quot;258306DF&quot;/&gt;&lt;wsp:rsid wsp:val=&quot;25C36084&quot;/&gt;&lt;wsp:rsid wsp:val=&quot;26194434&quot;/&gt;&lt;wsp:rsid wsp:val=&quot;263943E5&quot;/&gt;&lt;wsp:rsid wsp:val=&quot;2791306A&quot;/&gt;&lt;wsp:rsid wsp:val=&quot;27950104&quot;/&gt;&lt;wsp:rsid wsp:val=&quot;27C3339B&quot;/&gt;&lt;wsp:rsid wsp:val=&quot;28562284&quot;/&gt;&lt;wsp:rsid wsp:val=&quot;285D24C3&quot;/&gt;&lt;wsp:rsid wsp:val=&quot;28A42644&quot;/&gt;&lt;wsp:rsid wsp:val=&quot;28BF607D&quot;/&gt;&lt;wsp:rsid wsp:val=&quot;28C90C22&quot;/&gt;&lt;wsp:rsid wsp:val=&quot;28FE2AB2&quot;/&gt;&lt;wsp:rsid wsp:val=&quot;298E7153&quot;/&gt;&lt;wsp:rsid wsp:val=&quot;29AC18AF&quot;/&gt;&lt;wsp:rsid wsp:val=&quot;29D3586A&quot;/&gt;&lt;wsp:rsid wsp:val=&quot;29E60EF5&quot;/&gt;&lt;wsp:rsid wsp:val=&quot;2A1000A0&quot;/&gt;&lt;wsp:rsid wsp:val=&quot;2A4B1B1C&quot;/&gt;&lt;wsp:rsid wsp:val=&quot;2A776515&quot;/&gt;&lt;wsp:rsid wsp:val=&quot;2ACD64B2&quot;/&gt;&lt;wsp:rsid wsp:val=&quot;2B164D17&quot;/&gt;&lt;wsp:rsid wsp:val=&quot;2B4B4CCE&quot;/&gt;&lt;wsp:rsid wsp:val=&quot;2B9E5F83&quot;/&gt;&lt;wsp:rsid wsp:val=&quot;2BFC3660&quot;/&gt;&lt;wsp:rsid wsp:val=&quot;2C032498&quot;/&gt;&lt;wsp:rsid wsp:val=&quot;2C3C29F1&quot;/&gt;&lt;wsp:rsid wsp:val=&quot;2D0D3F93&quot;/&gt;&lt;wsp:rsid wsp:val=&quot;2D1F42D5&quot;/&gt;&lt;wsp:rsid wsp:val=&quot;2D583DDF&quot;/&gt;&lt;wsp:rsid wsp:val=&quot;2D941E82&quot;/&gt;&lt;wsp:rsid wsp:val=&quot;2E1D6BA6&quot;/&gt;&lt;wsp:rsid wsp:val=&quot;2EEF0413&quot;/&gt;&lt;wsp:rsid wsp:val=&quot;2F181F4E&quot;/&gt;&lt;wsp:rsid wsp:val=&quot;2F8B34F0&quot;/&gt;&lt;wsp:rsid wsp:val=&quot;30114936&quot;/&gt;&lt;wsp:rsid wsp:val=&quot;30676AFF&quot;/&gt;&lt;wsp:rsid wsp:val=&quot;30707EAF&quot;/&gt;&lt;wsp:rsid wsp:val=&quot;30C25DAA&quot;/&gt;&lt;wsp:rsid wsp:val=&quot;30E06760&quot;/&gt;&lt;wsp:rsid wsp:val=&quot;31306C96&quot;/&gt;&lt;wsp:rsid wsp:val=&quot;319005ED&quot;/&gt;&lt;wsp:rsid wsp:val=&quot;31A85FFD&quot;/&gt;&lt;wsp:rsid wsp:val=&quot;31FD6D03&quot;/&gt;&lt;wsp:rsid wsp:val=&quot;324967E6&quot;/&gt;&lt;wsp:rsid wsp:val=&quot;32626D6F&quot;/&gt;&lt;wsp:rsid wsp:val=&quot;32862EB4&quot;/&gt;&lt;wsp:rsid wsp:val=&quot;328A0EAF&quot;/&gt;&lt;wsp:rsid wsp:val=&quot;328E477D&quot;/&gt;&lt;wsp:rsid wsp:val=&quot;329A0A0D&quot;/&gt;&lt;wsp:rsid wsp:val=&quot;32A2269E&quot;/&gt;&lt;wsp:rsid wsp:val=&quot;32A61CCB&quot;/&gt;&lt;wsp:rsid wsp:val=&quot;32A92DD7&quot;/&gt;&lt;wsp:rsid wsp:val=&quot;33251A7F&quot;/&gt;&lt;wsp:rsid wsp:val=&quot;334E4210&quot;/&gt;&lt;wsp:rsid wsp:val=&quot;338D7359&quot;/&gt;&lt;wsp:rsid wsp:val=&quot;33F62E53&quot;/&gt;&lt;wsp:rsid wsp:val=&quot;33F924A6&quot;/&gt;&lt;wsp:rsid wsp:val=&quot;348B02D6&quot;/&gt;&lt;wsp:rsid wsp:val=&quot;34E06B9F&quot;/&gt;&lt;wsp:rsid wsp:val=&quot;3508011E&quot;/&gt;&lt;wsp:rsid wsp:val=&quot;356316EA&quot;/&gt;&lt;wsp:rsid wsp:val=&quot;35A93E43&quot;/&gt;&lt;wsp:rsid wsp:val=&quot;35FF5C21&quot;/&gt;&lt;wsp:rsid wsp:val=&quot;368376EA&quot;/&gt;&lt;wsp:rsid wsp:val=&quot;368E7C55&quot;/&gt;&lt;wsp:rsid wsp:val=&quot;36983CC8&quot;/&gt;&lt;wsp:rsid wsp:val=&quot;36CE11B8&quot;/&gt;&lt;wsp:rsid wsp:val=&quot;36D776BA&quot;/&gt;&lt;wsp:rsid wsp:val=&quot;3747162A&quot;/&gt;&lt;wsp:rsid wsp:val=&quot;379C2032&quot;/&gt;&lt;wsp:rsid wsp:val=&quot;383A0F28&quot;/&gt;&lt;wsp:rsid wsp:val=&quot;383E0C74&quot;/&gt;&lt;wsp:rsid wsp:val=&quot;3893525C&quot;/&gt;&lt;wsp:rsid wsp:val=&quot;38BF17B4&quot;/&gt;&lt;wsp:rsid wsp:val=&quot;38DB34CE&quot;/&gt;&lt;wsp:rsid wsp:val=&quot;39C90197&quot;/&gt;&lt;wsp:rsid wsp:val=&quot;39F465F0&quot;/&gt;&lt;wsp:rsid wsp:val=&quot;3A0F61A5&quot;/&gt;&lt;wsp:rsid wsp:val=&quot;3B7B3AE6&quot;/&gt;&lt;wsp:rsid wsp:val=&quot;3BDF0FE9&quot;/&gt;&lt;wsp:rsid wsp:val=&quot;3C0B160B&quot;/&gt;&lt;wsp:rsid wsp:val=&quot;3C4E4D54&quot;/&gt;&lt;wsp:rsid wsp:val=&quot;3C621531&quot;/&gt;&lt;wsp:rsid wsp:val=&quot;3C6748E0&quot;/&gt;&lt;wsp:rsid wsp:val=&quot;3C8111E3&quot;/&gt;&lt;wsp:rsid wsp:val=&quot;3CB21BF2&quot;/&gt;&lt;wsp:rsid wsp:val=&quot;3CC51207&quot;/&gt;&lt;wsp:rsid wsp:val=&quot;3CD1311A&quot;/&gt;&lt;wsp:rsid wsp:val=&quot;3CDB29CF&quot;/&gt;&lt;wsp:rsid wsp:val=&quot;3CFE0DE8&quot;/&gt;&lt;wsp:rsid wsp:val=&quot;3DB11A96&quot;/&gt;&lt;wsp:rsid wsp:val=&quot;3DE139D0&quot;/&gt;&lt;wsp:rsid wsp:val=&quot;3E142466&quot;/&gt;&lt;wsp:rsid wsp:val=&quot;3E6542EA&quot;/&gt;&lt;wsp:rsid wsp:val=&quot;3EF42BDD&quot;/&gt;&lt;wsp:rsid wsp:val=&quot;3EF9295A&quot;/&gt;&lt;wsp:rsid wsp:val=&quot;3F185670&quot;/&gt;&lt;wsp:rsid wsp:val=&quot;3F8A7432&quot;/&gt;&lt;wsp:rsid wsp:val=&quot;3FB757BD&quot;/&gt;&lt;wsp:rsid wsp:val=&quot;3FD2735B&quot;/&gt;&lt;wsp:rsid wsp:val=&quot;3FF554B7&quot;/&gt;&lt;wsp:rsid wsp:val=&quot;40793B50&quot;/&gt;&lt;wsp:rsid wsp:val=&quot;40933050&quot;/&gt;&lt;wsp:rsid wsp:val=&quot;40EA5F75&quot;/&gt;&lt;wsp:rsid wsp:val=&quot;411169EC&quot;/&gt;&lt;wsp:rsid wsp:val=&quot;41950207&quot;/&gt;&lt;wsp:rsid wsp:val=&quot;419E6AB5&quot;/&gt;&lt;wsp:rsid wsp:val=&quot;41DF354F&quot;/&gt;&lt;wsp:rsid wsp:val=&quot;4298263D&quot;/&gt;&lt;wsp:rsid wsp:val=&quot;433E5304&quot;/&gt;&lt;wsp:rsid wsp:val=&quot;43A1090D&quot;/&gt;&lt;wsp:rsid wsp:val=&quot;43DC3583&quot;/&gt;&lt;wsp:rsid wsp:val=&quot;43EB2A7A&quot;/&gt;&lt;wsp:rsid wsp:val=&quot;43FB2F59&quot;/&gt;&lt;wsp:rsid wsp:val=&quot;44022C46&quot;/&gt;&lt;wsp:rsid wsp:val=&quot;44044B33&quot;/&gt;&lt;wsp:rsid wsp:val=&quot;44054EC0&quot;/&gt;&lt;wsp:rsid wsp:val=&quot;440A2023&quot;/&gt;&lt;wsp:rsid wsp:val=&quot;4430448B&quot;/&gt;&lt;wsp:rsid wsp:val=&quot;444B7414&quot;/&gt;&lt;wsp:rsid wsp:val=&quot;446D459D&quot;/&gt;&lt;wsp:rsid wsp:val=&quot;44797438&quot;/&gt;&lt;wsp:rsid wsp:val=&quot;45103535&quot;/&gt;&lt;wsp:rsid wsp:val=&quot;45222A6A&quot;/&gt;&lt;wsp:rsid wsp:val=&quot;452C3927&quot;/&gt;&lt;wsp:rsid wsp:val=&quot;45416348&quot;/&gt;&lt;wsp:rsid wsp:val=&quot;455F59F2&quot;/&gt;&lt;wsp:rsid wsp:val=&quot;45A70FC7&quot;/&gt;&lt;wsp:rsid wsp:val=&quot;46096E2C&quot;/&gt;&lt;wsp:rsid wsp:val=&quot;465805B7&quot;/&gt;&lt;wsp:rsid wsp:val=&quot;46973645&quot;/&gt;&lt;wsp:rsid wsp:val=&quot;46F24D18&quot;/&gt;&lt;wsp:rsid wsp:val=&quot;47082F6C&quot;/&gt;&lt;wsp:rsid wsp:val=&quot;471A6947&quot;/&gt;&lt;wsp:rsid wsp:val=&quot;47535501&quot;/&gt;&lt;wsp:rsid wsp:val=&quot;476237A3&quot;/&gt;&lt;wsp:rsid wsp:val=&quot;47B80A73&quot;/&gt;&lt;wsp:rsid wsp:val=&quot;47D054E1&quot;/&gt;&lt;wsp:rsid wsp:val=&quot;48151DFA&quot;/&gt;&lt;wsp:rsid wsp:val=&quot;48231A30&quot;/&gt;&lt;wsp:rsid wsp:val=&quot;48B739C6&quot;/&gt;&lt;wsp:rsid wsp:val=&quot;48C72F42&quot;/&gt;&lt;wsp:rsid wsp:val=&quot;48F85A59&quot;/&gt;&lt;wsp:rsid wsp:val=&quot;48FE2851&quot;/&gt;&lt;wsp:rsid wsp:val=&quot;494320D3&quot;/&gt;&lt;wsp:rsid wsp:val=&quot;497534B4&quot;/&gt;&lt;wsp:rsid wsp:val=&quot;49DA38A0&quot;/&gt;&lt;wsp:rsid wsp:val=&quot;4A361A71&quot;/&gt;&lt;wsp:rsid wsp:val=&quot;4A6E2928&quot;/&gt;&lt;wsp:rsid wsp:val=&quot;4AA27259&quot;/&gt;&lt;wsp:rsid wsp:val=&quot;4AE46A56&quot;/&gt;&lt;wsp:rsid wsp:val=&quot;4B124441&quot;/&gt;&lt;wsp:rsid wsp:val=&quot;4B2A769A&quot;/&gt;&lt;wsp:rsid wsp:val=&quot;4B55120F&quot;/&gt;&lt;wsp:rsid wsp:val=&quot;4B661614&quot;/&gt;&lt;wsp:rsid wsp:val=&quot;4B6907A1&quot;/&gt;&lt;wsp:rsid wsp:val=&quot;4B7A43D1&quot;/&gt;&lt;wsp:rsid wsp:val=&quot;4B946B9A&quot;/&gt;&lt;wsp:rsid wsp:val=&quot;4BC36227&quot;/&gt;&lt;wsp:rsid wsp:val=&quot;4BFB4BF6&quot;/&gt;&lt;wsp:rsid wsp:val=&quot;4C912CFA&quot;/&gt;&lt;wsp:rsid wsp:val=&quot;4C931577&quot;/&gt;&lt;wsp:rsid wsp:val=&quot;4CA74C54&quot;/&gt;&lt;wsp:rsid wsp:val=&quot;4CCA6F70&quot;/&gt;&lt;wsp:rsid wsp:val=&quot;4CE62A1A&quot;/&gt;&lt;wsp:rsid wsp:val=&quot;4CF460E9&quot;/&gt;&lt;wsp:rsid wsp:val=&quot;4D8C1B97&quot;/&gt;&lt;wsp:rsid wsp:val=&quot;4DA578A0&quot;/&gt;&lt;wsp:rsid wsp:val=&quot;4DA57C69&quot;/&gt;&lt;wsp:rsid wsp:val=&quot;4DB4585C&quot;/&gt;&lt;wsp:rsid wsp:val=&quot;4DB471C6&quot;/&gt;&lt;wsp:rsid wsp:val=&quot;4DBC175A&quot;/&gt;&lt;wsp:rsid wsp:val=&quot;4DC0329F&quot;/&gt;&lt;wsp:rsid wsp:val=&quot;4DE73B54&quot;/&gt;&lt;wsp:rsid wsp:val=&quot;4E901E9C&quot;/&gt;&lt;wsp:rsid wsp:val=&quot;4EAF36D3&quot;/&gt;&lt;wsp:rsid wsp:val=&quot;4EB82B45&quot;/&gt;&lt;wsp:rsid wsp:val=&quot;4ECE6320&quot;/&gt;&lt;wsp:rsid wsp:val=&quot;4F0A2E63&quot;/&gt;&lt;wsp:rsid wsp:val=&quot;4F231210&quot;/&gt;&lt;wsp:rsid wsp:val=&quot;4F541A82&quot;/&gt;&lt;wsp:rsid wsp:val=&quot;4F5D3ED4&quot;/&gt;&lt;wsp:rsid wsp:val=&quot;4F9040CA&quot;/&gt;&lt;wsp:rsid wsp:val=&quot;4F9E1131&quot;/&gt;&lt;wsp:rsid wsp:val=&quot;500B3969&quot;/&gt;&lt;wsp:rsid wsp:val=&quot;501773AC&quot;/&gt;&lt;wsp:rsid wsp:val=&quot;506C11F9&quot;/&gt;&lt;wsp:rsid wsp:val=&quot;50CC67E3&quot;/&gt;&lt;wsp:rsid wsp:val=&quot;51051697&quot;/&gt;&lt;wsp:rsid wsp:val=&quot;510D0EFD&quot;/&gt;&lt;wsp:rsid wsp:val=&quot;510D475D&quot;/&gt;&lt;wsp:rsid wsp:val=&quot;517D7BEB&quot;/&gt;&lt;wsp:rsid wsp:val=&quot;519A1E57&quot;/&gt;&lt;wsp:rsid wsp:val=&quot;51A15B22&quot;/&gt;&lt;wsp:rsid wsp:val=&quot;51AD32A1&quot;/&gt;&lt;wsp:rsid wsp:val=&quot;51C536B3&quot;/&gt;&lt;wsp:rsid wsp:val=&quot;52156C24&quot;/&gt;&lt;wsp:rsid wsp:val=&quot;521B72A5&quot;/&gt;&lt;wsp:rsid wsp:val=&quot;524D4853&quot;/&gt;&lt;wsp:rsid wsp:val=&quot;529A2D6C&quot;/&gt;&lt;wsp:rsid wsp:val=&quot;53116184&quot;/&gt;&lt;wsp:rsid wsp:val=&quot;532375F6&quot;/&gt;&lt;wsp:rsid wsp:val=&quot;53371361&quot;/&gt;&lt;wsp:rsid wsp:val=&quot;53596D1B&quot;/&gt;&lt;wsp:rsid wsp:val=&quot;538815F7&quot;/&gt;&lt;wsp:rsid wsp:val=&quot;53A91191&quot;/&gt;&lt;wsp:rsid wsp:val=&quot;542550E7&quot;/&gt;&lt;wsp:rsid wsp:val=&quot;54B5325B&quot;/&gt;&lt;wsp:rsid wsp:val=&quot;54E35B7C&quot;/&gt;&lt;wsp:rsid wsp:val=&quot;550F5EEE&quot;/&gt;&lt;wsp:rsid wsp:val=&quot;55166920&quot;/&gt;&lt;wsp:rsid wsp:val=&quot;5523662D&quot;/&gt;&lt;wsp:rsid wsp:val=&quot;552B5A4D&quot;/&gt;&lt;wsp:rsid wsp:val=&quot;55387CCB&quot;/&gt;&lt;wsp:rsid wsp:val=&quot;55555F09&quot;/&gt;&lt;wsp:rsid wsp:val=&quot;55F76D30&quot;/&gt;&lt;wsp:rsid wsp:val=&quot;569E7A85&quot;/&gt;&lt;wsp:rsid wsp:val=&quot;56E26349&quot;/&gt;&lt;wsp:rsid wsp:val=&quot;56F57BAF&quot;/&gt;&lt;wsp:rsid wsp:val=&quot;57214138&quot;/&gt;&lt;wsp:rsid wsp:val=&quot;575C47AE&quot;/&gt;&lt;wsp:rsid wsp:val=&quot;57940052&quot;/&gt;&lt;wsp:rsid wsp:val=&quot;57D668D6&quot;/&gt;&lt;wsp:rsid wsp:val=&quot;57E047E4&quot;/&gt;&lt;wsp:rsid wsp:val=&quot;57E4116F&quot;/&gt;&lt;wsp:rsid wsp:val=&quot;585D0E02&quot;/&gt;&lt;wsp:rsid wsp:val=&quot;58856FCD&quot;/&gt;&lt;wsp:rsid wsp:val=&quot;58967499&quot;/&gt;&lt;wsp:rsid wsp:val=&quot;59482155&quot;/&gt;&lt;wsp:rsid wsp:val=&quot;59A9006E&quot;/&gt;&lt;wsp:rsid wsp:val=&quot;59B47B55&quot;/&gt;&lt;wsp:rsid wsp:val=&quot;59F37FC5&quot;/&gt;&lt;wsp:rsid wsp:val=&quot;5A2D70FA&quot;/&gt;&lt;wsp:rsid wsp:val=&quot;5A78146B&quot;/&gt;&lt;wsp:rsid wsp:val=&quot;5A7F266F&quot;/&gt;&lt;wsp:rsid wsp:val=&quot;5A86336D&quot;/&gt;&lt;wsp:rsid wsp:val=&quot;5ABD4091&quot;/&gt;&lt;wsp:rsid wsp:val=&quot;5AC60F27&quot;/&gt;&lt;wsp:rsid wsp:val=&quot;5AEA288A&quot;/&gt;&lt;wsp:rsid wsp:val=&quot;5B2E5A3C&quot;/&gt;&lt;wsp:rsid wsp:val=&quot;5B460D50&quot;/&gt;&lt;wsp:rsid wsp:val=&quot;5B662DD9&quot;/&gt;&lt;wsp:rsid wsp:val=&quot;5B7853A3&quot;/&gt;&lt;wsp:rsid wsp:val=&quot;5B814437&quot;/&gt;&lt;wsp:rsid wsp:val=&quot;5BA3149E&quot;/&gt;&lt;wsp:rsid wsp:val=&quot;5BA45F9A&quot;/&gt;&lt;wsp:rsid wsp:val=&quot;5BF37A20&quot;/&gt;&lt;wsp:rsid wsp:val=&quot;5C144168&quot;/&gt;&lt;wsp:rsid wsp:val=&quot;5C6B0AA1&quot;/&gt;&lt;wsp:rsid wsp:val=&quot;5CA15820&quot;/&gt;&lt;wsp:rsid wsp:val=&quot;5CB66C54&quot;/&gt;&lt;wsp:rsid wsp:val=&quot;5CFD0715&quot;/&gt;&lt;wsp:rsid wsp:val=&quot;5D14050A&quot;/&gt;&lt;wsp:rsid wsp:val=&quot;5D431E2E&quot;/&gt;&lt;wsp:rsid wsp:val=&quot;5D4B508E&quot;/&gt;&lt;wsp:rsid wsp:val=&quot;5DFB7ED7&quot;/&gt;&lt;wsp:rsid wsp:val=&quot;5E0C7890&quot;/&gt;&lt;wsp:rsid wsp:val=&quot;5E1B44AC&quot;/&gt;&lt;wsp:rsid wsp:val=&quot;5E384ACE&quot;/&gt;&lt;wsp:rsid wsp:val=&quot;5E6E4CBF&quot;/&gt;&lt;wsp:rsid wsp:val=&quot;5E9C0882&quot;/&gt;&lt;wsp:rsid wsp:val=&quot;5ED5786C&quot;/&gt;&lt;wsp:rsid wsp:val=&quot;5F2A0C65&quot;/&gt;&lt;wsp:rsid wsp:val=&quot;5F4953D8&quot;/&gt;&lt;wsp:rsid wsp:val=&quot;5F9C052F&quot;/&gt;&lt;wsp:rsid wsp:val=&quot;5FAE4FD1&quot;/&gt;&lt;wsp:rsid wsp:val=&quot;5FF02C6C&quot;/&gt;&lt;wsp:rsid wsp:val=&quot;607D344D&quot;/&gt;&lt;wsp:rsid wsp:val=&quot;608D00DF&quot;/&gt;&lt;wsp:rsid wsp:val=&quot;60A26592&quot;/&gt;&lt;wsp:rsid wsp:val=&quot;60C32C51&quot;/&gt;&lt;wsp:rsid wsp:val=&quot;60C93644&quot;/&gt;&lt;wsp:rsid wsp:val=&quot;60F50A86&quot;/&gt;&lt;wsp:rsid wsp:val=&quot;60FB32DA&quot;/&gt;&lt;wsp:rsid wsp:val=&quot;61217355&quot;/&gt;&lt;wsp:rsid wsp:val=&quot;61412388&quot;/&gt;&lt;wsp:rsid wsp:val=&quot;618A7364&quot;/&gt;&lt;wsp:rsid wsp:val=&quot;61B60BAE&quot;/&gt;&lt;wsp:rsid wsp:val=&quot;62847F3C&quot;/&gt;&lt;wsp:rsid wsp:val=&quot;63162CDE&quot;/&gt;&lt;wsp:rsid wsp:val=&quot;632637D9&quot;/&gt;&lt;wsp:rsid wsp:val=&quot;632744DE&quot;/&gt;&lt;wsp:rsid wsp:val=&quot;63315D8B&quot;/&gt;&lt;wsp:rsid wsp:val=&quot;635E6959&quot;/&gt;&lt;wsp:rsid wsp:val=&quot;637C517D&quot;/&gt;&lt;wsp:rsid wsp:val=&quot;63CC1AEC&quot;/&gt;&lt;wsp:rsid wsp:val=&quot;63FC310E&quot;/&gt;&lt;wsp:rsid wsp:val=&quot;647E66F8&quot;/&gt;&lt;wsp:rsid wsp:val=&quot;64B7332D&quot;/&gt;&lt;wsp:rsid wsp:val=&quot;654A6F89&quot;/&gt;&lt;wsp:rsid wsp:val=&quot;657C7C64&quot;/&gt;&lt;wsp:rsid wsp:val=&quot;6593698D&quot;/&gt;&lt;wsp:rsid wsp:val=&quot;65CE3E56&quot;/&gt;&lt;wsp:rsid wsp:val=&quot;65FD4A13&quot;/&gt;&lt;wsp:rsid wsp:val=&quot;663A6CF4&quot;/&gt;&lt;wsp:rsid wsp:val=&quot;664D6053&quot;/&gt;&lt;wsp:rsid wsp:val=&quot;66806EE2&quot;/&gt;&lt;wsp:rsid wsp:val=&quot;668332C9&quot;/&gt;&lt;wsp:rsid wsp:val=&quot;66AE3579&quot;/&gt;&lt;wsp:rsid wsp:val=&quot;66DC5157&quot;/&gt;&lt;wsp:rsid wsp:val=&quot;67003C27&quot;/&gt;&lt;wsp:rsid wsp:val=&quot;670850A7&quot;/&gt;&lt;wsp:rsid wsp:val=&quot;67D345A3&quot;/&gt;&lt;wsp:rsid wsp:val=&quot;67E47A65&quot;/&gt;&lt;wsp:rsid wsp:val=&quot;68090B7B&quot;/&gt;&lt;wsp:rsid wsp:val=&quot;680E4CDF&quot;/&gt;&lt;wsp:rsid wsp:val=&quot;68962BCC&quot;/&gt;&lt;wsp:rsid wsp:val=&quot;689A34AB&quot;/&gt;&lt;wsp:rsid wsp:val=&quot;68B91C8F&quot;/&gt;&lt;wsp:rsid wsp:val=&quot;68BC72C5&quot;/&gt;&lt;wsp:rsid wsp:val=&quot;68DC48E0&quot;/&gt;&lt;wsp:rsid wsp:val=&quot;69022C1A&quot;/&gt;&lt;wsp:rsid wsp:val=&quot;69155734&quot;/&gt;&lt;wsp:rsid wsp:val=&quot;694A731E&quot;/&gt;&lt;wsp:rsid wsp:val=&quot;69774A45&quot;/&gt;&lt;wsp:rsid wsp:val=&quot;69A81E0E&quot;/&gt;&lt;wsp:rsid wsp:val=&quot;69AA5889&quot;/&gt;&lt;wsp:rsid wsp:val=&quot;69B206E0&quot;/&gt;&lt;wsp:rsid wsp:val=&quot;69ED1242&quot;/&gt;&lt;wsp:rsid wsp:val=&quot;69F121DE&quot;/&gt;&lt;wsp:rsid wsp:val=&quot;6A22511A&quot;/&gt;&lt;wsp:rsid wsp:val=&quot;6A390836&quot;/&gt;&lt;wsp:rsid wsp:val=&quot;6A5E4F9A&quot;/&gt;&lt;wsp:rsid wsp:val=&quot;6A900A08&quot;/&gt;&lt;wsp:rsid wsp:val=&quot;6AFA13E0&quot;/&gt;&lt;wsp:rsid wsp:val=&quot;6AFA6FBB&quot;/&gt;&lt;wsp:rsid wsp:val=&quot;6AFA7658&quot;/&gt;&lt;wsp:rsid wsp:val=&quot;6C6F4D3D&quot;/&gt;&lt;wsp:rsid wsp:val=&quot;6C956C96&quot;/&gt;&lt;wsp:rsid wsp:val=&quot;6CB730A4&quot;/&gt;&lt;wsp:rsid wsp:val=&quot;6CD61291&quot;/&gt;&lt;wsp:rsid wsp:val=&quot;6CE9060B&quot;/&gt;&lt;wsp:rsid wsp:val=&quot;6D0268D6&quot;/&gt;&lt;wsp:rsid wsp:val=&quot;6D280C63&quot;/&gt;&lt;wsp:rsid wsp:val=&quot;6DCD7F6B&quot;/&gt;&lt;wsp:rsid wsp:val=&quot;6DFA70C2&quot;/&gt;&lt;wsp:rsid wsp:val=&quot;6E3D0B6A&quot;/&gt;&lt;wsp:rsid wsp:val=&quot;6E466662&quot;/&gt;&lt;wsp:rsid wsp:val=&quot;6E6B71DB&quot;/&gt;&lt;wsp:rsid wsp:val=&quot;6EA362F4&quot;/&gt;&lt;wsp:rsid wsp:val=&quot;6EB0191A&quot;/&gt;&lt;wsp:rsid wsp:val=&quot;6F6824B9&quot;/&gt;&lt;wsp:rsid wsp:val=&quot;6F764F7F&quot;/&gt;&lt;wsp:rsid wsp:val=&quot;6FA21116&quot;/&gt;&lt;wsp:rsid wsp:val=&quot;70081199&quot;/&gt;&lt;wsp:rsid wsp:val=&quot;700B0D0E&quot;/&gt;&lt;wsp:rsid wsp:val=&quot;70AF29F5&quot;/&gt;&lt;wsp:rsid wsp:val=&quot;70B80716&quot;/&gt;&lt;wsp:rsid wsp:val=&quot;70C2541E&quot;/&gt;&lt;wsp:rsid wsp:val=&quot;713F279B&quot;/&gt;&lt;wsp:rsid wsp:val=&quot;715B2C94&quot;/&gt;&lt;wsp:rsid wsp:val=&quot;715C640D&quot;/&gt;&lt;wsp:rsid wsp:val=&quot;719A03AB&quot;/&gt;&lt;wsp:rsid wsp:val=&quot;71B765A5&quot;/&gt;&lt;wsp:rsid wsp:val=&quot;72A008F2&quot;/&gt;&lt;wsp:rsid wsp:val=&quot;72A87DF6&quot;/&gt;&lt;wsp:rsid wsp:val=&quot;72E516D6&quot;/&gt;&lt;wsp:rsid wsp:val=&quot;734A53A3&quot;/&gt;&lt;wsp:rsid wsp:val=&quot;73A9330E&quot;/&gt;&lt;wsp:rsid wsp:val=&quot;73A96097&quot;/&gt;&lt;wsp:rsid wsp:val=&quot;73CE5EEA&quot;/&gt;&lt;wsp:rsid wsp:val=&quot;73D32E8F&quot;/&gt;&lt;wsp:rsid wsp:val=&quot;73E06E92&quot;/&gt;&lt;wsp:rsid wsp:val=&quot;740B66A0&quot;/&gt;&lt;wsp:rsid wsp:val=&quot;74705A35&quot;/&gt;&lt;wsp:rsid wsp:val=&quot;74A416B3&quot;/&gt;&lt;wsp:rsid wsp:val=&quot;74CE35BD&quot;/&gt;&lt;wsp:rsid wsp:val=&quot;750C27EE&quot;/&gt;&lt;wsp:rsid wsp:val=&quot;75F47043&quot;/&gt;&lt;wsp:rsid wsp:val=&quot;76026D8D&quot;/&gt;&lt;wsp:rsid wsp:val=&quot;7704215A&quot;/&gt;&lt;wsp:rsid wsp:val=&quot;7753414A&quot;/&gt;&lt;wsp:rsid wsp:val=&quot;778D06EB&quot;/&gt;&lt;wsp:rsid wsp:val=&quot;78D200FA&quot;/&gt;&lt;wsp:rsid wsp:val=&quot;78DC42FD&quot;/&gt;&lt;wsp:rsid wsp:val=&quot;78F04373&quot;/&gt;&lt;wsp:rsid wsp:val=&quot;791D5FBB&quot;/&gt;&lt;wsp:rsid wsp:val=&quot;797E7DFC&quot;/&gt;&lt;wsp:rsid wsp:val=&quot;79DA1E6F&quot;/&gt;&lt;wsp:rsid wsp:val=&quot;79FA43CB&quot;/&gt;&lt;wsp:rsid wsp:val=&quot;79FD1061&quot;/&gt;&lt;wsp:rsid wsp:val=&quot;7A9101BF&quot;/&gt;&lt;wsp:rsid wsp:val=&quot;7A982BC4&quot;/&gt;&lt;wsp:rsid wsp:val=&quot;7AE86EFD&quot;/&gt;&lt;wsp:rsid wsp:val=&quot;7B400F9B&quot;/&gt;&lt;wsp:rsid wsp:val=&quot;7B715700&quot;/&gt;&lt;wsp:rsid wsp:val=&quot;7B787442&quot;/&gt;&lt;wsp:rsid wsp:val=&quot;7B8955CC&quot;/&gt;&lt;wsp:rsid wsp:val=&quot;7BCF48E4&quot;/&gt;&lt;wsp:rsid wsp:val=&quot;7BF96742&quot;/&gt;&lt;wsp:rsid wsp:val=&quot;7C356FDB&quot;/&gt;&lt;wsp:rsid wsp:val=&quot;7C503141&quot;/&gt;&lt;wsp:rsid wsp:val=&quot;7C900D2C&quot;/&gt;&lt;wsp:rsid wsp:val=&quot;7C9761F6&quot;/&gt;&lt;wsp:rsid wsp:val=&quot;7C9F542C&quot;/&gt;&lt;wsp:rsid wsp:val=&quot;7CA76A3B&quot;/&gt;&lt;wsp:rsid wsp:val=&quot;7D083865&quot;/&gt;&lt;wsp:rsid wsp:val=&quot;7D21002C&quot;/&gt;&lt;wsp:rsid wsp:val=&quot;7D3326A5&quot;/&gt;&lt;wsp:rsid wsp:val=&quot;7DA40CBD&quot;/&gt;&lt;wsp:rsid wsp:val=&quot;7DB4432B&quot;/&gt;&lt;wsp:rsid wsp:val=&quot;7DF7660D&quot;/&gt;&lt;wsp:rsid wsp:val=&quot;7E4176AB&quot;/&gt;&lt;wsp:rsid wsp:val=&quot;7E447767&quot;/&gt;&lt;wsp:rsid wsp:val=&quot;7EC11AD2&quot;/&gt;&lt;wsp:rsid wsp:val=&quot;7F8819A0&quot;/&gt;&lt;/wsp:rsids&gt;&lt;/w:docPr&gt;&lt;w:body&gt;&lt;wx:sect&gt;&lt;w:p wsp:rsidR=&quot;00000000&quot; wsp:rsidRDefault=&quot;00B30FF9&quot; wsp:rsidP=&quot;00B30FF9&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N-1&lt;/m:t&gt;&lt;/m:r&gt;&lt;/m:num&gt;&lt;m:den&gt;&lt;m:nary&gt;&lt;m:naryPr&gt;&lt;m:chr m:val=&quot;∑&quot;/&gt;&lt;m:limLoc m:val=&quot;subSup&quot;/&gt;&lt;m:ctrlPr&gt;&lt;w:rPr&gt;&lt;w:rFonts w:ascii=&quot;Cambria Math&quot; w:h-ansi=&quot;Cambria Math&quot;/&gt;&lt;wx:font wx:val=&quot;Cambria Math&quot;/&gt;&lt;w:ibbbbbbbbbbbbbbbbbbbbbbbbbbbbbbbbb/&gt;i&lt;w:sz-cs w:val=&quot;21&quot;/&gt;&lt;/w:rPr&gt;&lt;/m:ctrlPr&gt;&lt;/m:naryPr&gt;&lt;m:sub&gt;&lt;m:r&gt;&lt;w:rPr&gt;&lt;w:rFonts w:ascii=&quot;Cambria Math&quot; w:h-ansi=&quot;Cambria Math&quot;/&gt;&lt;wx:font wx:val=&quot;Cambria Math&quot;/&gt;&lt;w:i/&gt;&lt;w:sz-cs w:val=&quot;21&quot;/&gt;&lt;/w:rPr&gt;&lt;m:t&gt;1&lt;/m:t&gt;&lt;/m:r&gt;&lt;/m:sub&gt;&lt;m:sup&gt;&lt;m:r&gt;&lt;w:rPr&gt;&lt;w:rFonts w:ascii=&quot;Cambria Math&quot; w:h-ansi=&quot;Cambria Math&quot;/&gt;&lt;wx:font wx:val=&quot;Cambria Math&quot;/&gt;&lt;w:i/&gt;&lt;w:sz-cs w:val=&quot;21&quot;/&gt;&lt;/w:rPr&gt;&lt;m:t&gt;N&lt;/m:t&gt;&lt;/m:r&gt;&lt;/m:sup&gt;&lt;m:e&gt;&lt;m:r&gt;&lt;w:rPr&gt;&lt;w:rFonts w:ascii=&quot;Cambria Math&quot; w:h-ansi=&quot;Cambria Math&quot;/&gt;&lt;wx:font wx:val=&quot;Cambria Math&quot;/&gt;&lt;w:i/&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6" chromakey="#FFFFFF" o:title=""/>
            <o:lock v:ext="edit" aspectratio="t"/>
            <w10:wrap type="none"/>
            <w10:anchorlock/>
          </v:shape>
        </w:pict>
      </w:r>
      <w:r>
        <w:rPr>
          <w:rFonts w:ascii="宋体" w:hAnsi="宋体"/>
          <w:color w:val="auto"/>
          <w:sz w:val="24"/>
          <w:szCs w:val="24"/>
          <w:highlight w:val="none"/>
          <w:u w:val="single"/>
        </w:rPr>
        <w:instrText xml:space="preserve">  \* MERGEFORMAT </w:instrText>
      </w:r>
      <w:r>
        <w:rPr>
          <w:rFonts w:ascii="宋体" w:hAnsi="宋体"/>
          <w:color w:val="auto"/>
          <w:sz w:val="24"/>
          <w:szCs w:val="24"/>
          <w:highlight w:val="none"/>
          <w:u w:val="single"/>
        </w:rPr>
        <w:fldChar w:fldCharType="separate"/>
      </w:r>
      <w:r>
        <w:rPr>
          <w:color w:val="auto"/>
          <w:position w:val="-26"/>
          <w:sz w:val="24"/>
          <w:szCs w:val="24"/>
          <w:highlight w:val="none"/>
        </w:rPr>
        <w:pict>
          <v:shape id="_x0000_i1028" o:spt="75" type="#_x0000_t75" style="height:31pt;width:1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06F1A&quot;/&gt;&lt;wsp:rsid wsp:val=&quot;00007E51&quot;/&gt;&lt;wsp:rsid wsp:val=&quot;00020A10&quot;/&gt;&lt;wsp:rsid wsp:val=&quot;00021215&quot;/&gt;&lt;wsp:rsid wsp:val=&quot;000324E5&quot;/&gt;&lt;wsp:rsid wsp:val=&quot;000477E9&quot;/&gt;&lt;wsp:rsid wsp:val=&quot;00057C27&quot;/&gt;&lt;wsp:rsid wsp:val=&quot;00072A2B&quot;/&gt;&lt;wsp:rsid wsp:val=&quot;00075D0C&quot;/&gt;&lt;wsp:rsid wsp:val=&quot;00075ED5&quot;/&gt;&lt;wsp:rsid wsp:val=&quot;00076837&quot;/&gt;&lt;wsp:rsid wsp:val=&quot;0008002C&quot;/&gt;&lt;wsp:rsid wsp:val=&quot;0008329B&quot;/&gt;&lt;wsp:rsid wsp:val=&quot;00087876&quot;/&gt;&lt;wsp:rsid wsp:val=&quot;000905EE&quot;/&gt;&lt;wsp:rsid wsp:val=&quot;000A68CE&quot;/&gt;&lt;wsp:rsid wsp:val=&quot;000B0301&quot;/&gt;&lt;wsp:rsid wsp:val=&quot;000C1B8F&quot;/&gt;&lt;wsp:rsid wsp:val=&quot;000C4EFD&quot;/&gt;&lt;wsp:rsid wsp:val=&quot;000C6689&quot;/&gt;&lt;wsp:rsid wsp:val=&quot;000D640D&quot;/&gt;&lt;wsp:rsid wsp:val=&quot;000E3D52&quot;/&gt;&lt;wsp:rsid wsp:val=&quot;000E5601&quot;/&gt;&lt;wsp:rsid wsp:val=&quot;000F0AF7&quot;/&gt;&lt;wsp:rsid wsp:val=&quot;000F3ED4&quot;/&gt;&lt;wsp:rsid wsp:val=&quot;00102559&quot;/&gt;&lt;wsp:rsid wsp:val=&quot;001043D3&quot;/&gt;&lt;wsp:rsid wsp:val=&quot;0011000F&quot;/&gt;&lt;wsp:rsid wsp:val=&quot;00130415&quot;/&gt;&lt;wsp:rsid wsp:val=&quot;00140939&quot;/&gt;&lt;wsp:rsid wsp:val=&quot;00152CF2&quot;/&gt;&lt;wsp:rsid wsp:val=&quot;0016302F&quot;/&gt;&lt;wsp:rsid wsp:val=&quot;00177DE9&quot;/&gt;&lt;wsp:rsid wsp:val=&quot;001815B5&quot;/&gt;&lt;wsp:rsid wsp:val=&quot;001952AB&quot;/&gt;&lt;wsp:rsid wsp:val=&quot;001962B9&quot;/&gt;&lt;wsp:rsid wsp:val=&quot;001A02CE&quot;/&gt;&lt;wsp:rsid wsp:val=&quot;001A06AD&quot;/&gt;&lt;wsp:rsid wsp:val=&quot;001C51B2&quot;/&gt;&lt;wsp:rsid wsp:val=&quot;001C78D8&quot;/&gt;&lt;wsp:rsid wsp:val=&quot;001C7C5D&quot;/&gt;&lt;wsp:rsid wsp:val=&quot;001D0171&quot;/&gt;&lt;wsp:rsid wsp:val=&quot;00207966&quot;/&gt;&lt;wsp:rsid wsp:val=&quot;002115C4&quot;/&gt;&lt;wsp:rsid wsp:val=&quot;00217AA1&quot;/&gt;&lt;wsp:rsid wsp:val=&quot;00227398&quot;/&gt;&lt;wsp:rsid wsp:val=&quot;002361A8&quot;/&gt;&lt;wsp:rsid wsp:val=&quot;00237E28&quot;/&gt;&lt;wsp:rsid wsp:val=&quot;00240E85&quot;/&gt;&lt;wsp:rsid wsp:val=&quot;002428EE&quot;/&gt;&lt;wsp:rsid wsp:val=&quot;00254D5D&quot;/&gt;&lt;wsp:rsid wsp:val=&quot;00255301&quot;/&gt;&lt;wsp:rsid wsp:val=&quot;002615BB&quot;/&gt;&lt;wsp:rsid wsp:val=&quot;00264048&quot;/&gt;&lt;wsp:rsid wsp:val=&quot;002641DB&quot;/&gt;&lt;wsp:rsid wsp:val=&quot;00265159&quot;/&gt;&lt;wsp:rsid wsp:val=&quot;00285782&quot;/&gt;&lt;wsp:rsid wsp:val=&quot;00291CE3&quot;/&gt;&lt;wsp:rsid wsp:val=&quot;00296E5A&quot;/&gt;&lt;wsp:rsid wsp:val=&quot;002A13CE&quot;/&gt;&lt;wsp:rsid wsp:val=&quot;002A6C86&quot;/&gt;&lt;wsp:rsid wsp:val=&quot;002B0328&quot;/&gt;&lt;wsp:rsid wsp:val=&quot;002B2B5D&quot;/&gt;&lt;wsp:rsid wsp:val=&quot;002C2022&quot;/&gt;&lt;wsp:rsid wsp:val=&quot;002C61BA&quot;/&gt;&lt;wsp:rsid wsp:val=&quot;002E0A9A&quot;/&gt;&lt;wsp:rsid wsp:val=&quot;002E12E5&quot;/&gt;&lt;wsp:rsid wsp:val=&quot;002F553C&quot;/&gt;&lt;wsp:rsid wsp:val=&quot;003067A4&quot;/&gt;&lt;wsp:rsid wsp:val=&quot;00313B2C&quot;/&gt;&lt;wsp:rsid wsp:val=&quot;00315E5D&quot;/&gt;&lt;wsp:rsid wsp:val=&quot;00317804&quot;/&gt;&lt;wsp:rsid wsp:val=&quot;0032461E&quot;/&gt;&lt;wsp:rsid wsp:val=&quot;00327B69&quot;/&gt;&lt;wsp:rsid wsp:val=&quot;00330DE6&quot;/&gt;&lt;wsp:rsid wsp:val=&quot;00333F87&quot;/&gt;&lt;wsp:rsid wsp:val=&quot;003348FD&quot;/&gt;&lt;wsp:rsid wsp:val=&quot;00335354&quot;/&gt;&lt;wsp:rsid wsp:val=&quot;003522D1&quot;/&gt;&lt;wsp:rsid wsp:val=&quot;003526C3&quot;/&gt;&lt;wsp:rsid wsp:val=&quot;00366167&quot;/&gt;&lt;wsp:rsid wsp:val=&quot;00371C81&quot;/&gt;&lt;wsp:rsid wsp:val=&quot;00371CB0&quot;/&gt;&lt;wsp:rsid wsp:val=&quot;00382ADD&quot;/&gt;&lt;wsp:rsid wsp:val=&quot;00386F5B&quot;/&gt;&lt;wsp:rsid wsp:val=&quot;003879A7&quot;/&gt;&lt;wsp:rsid wsp:val=&quot;00394F76&quot;/&gt;&lt;wsp:rsid wsp:val=&quot;00396BE6&quot;/&gt;&lt;wsp:rsid wsp:val=&quot;003A4B0A&quot;/&gt;&lt;wsp:rsid wsp:val=&quot;003B306A&quot;/&gt;&lt;wsp:rsid wsp:val=&quot;003C0E5C&quot;/&gt;&lt;wsp:rsid wsp:val=&quot;003C3D3C&quot;/&gt;&lt;wsp:rsid wsp:val=&quot;003C6584&quot;/&gt;&lt;wsp:rsid wsp:val=&quot;003D7289&quot;/&gt;&lt;wsp:rsid wsp:val=&quot;003E4322&quot;/&gt;&lt;wsp:rsid wsp:val=&quot;003F0FC4&quot;/&gt;&lt;wsp:rsid wsp:val=&quot;003F571F&quot;/&gt;&lt;wsp:rsid wsp:val=&quot;0040471C&quot;/&gt;&lt;wsp:rsid wsp:val=&quot;004102B2&quot;/&gt;&lt;wsp:rsid wsp:val=&quot;0041385E&quot;/&gt;&lt;wsp:rsid wsp:val=&quot;00417D6F&quot;/&gt;&lt;wsp:rsid wsp:val=&quot;00431FFB&quot;/&gt;&lt;wsp:rsid wsp:val=&quot;00432E11&quot;/&gt;&lt;wsp:rsid wsp:val=&quot;004357ED&quot;/&gt;&lt;wsp:rsid wsp:val=&quot;00442AB3&quot;/&gt;&lt;wsp:rsid wsp:val=&quot;00445B6E&quot;/&gt;&lt;wsp:rsid wsp:val=&quot;004518A2&quot;/&gt;&lt;wsp:rsid wsp:val=&quot;0045295A&quot;/&gt;&lt;wsp:rsid wsp:val=&quot;00457E48&quot;/&gt;&lt;wsp:rsid wsp:val=&quot;004650D9&quot;/&gt;&lt;wsp:rsid wsp:val=&quot;0048402E&quot;/&gt;&lt;wsp:rsid wsp:val=&quot;00484805&quot;/&gt;&lt;wsp:rsid wsp:val=&quot;004A1B03&quot;/&gt;&lt;wsp:rsid wsp:val=&quot;004A5F83&quot;/&gt;&lt;wsp:rsid wsp:val=&quot;004A617E&quot;/&gt;&lt;wsp:rsid wsp:val=&quot;004B5364&quot;/&gt;&lt;wsp:rsid wsp:val=&quot;004C27EC&quot;/&gt;&lt;wsp:rsid wsp:val=&quot;004C524F&quot;/&gt;&lt;wsp:rsid wsp:val=&quot;004D2901&quot;/&gt;&lt;wsp:rsid wsp:val=&quot;0050376E&quot;/&gt;&lt;wsp:rsid wsp:val=&quot;00504DBA&quot;/&gt;&lt;wsp:rsid wsp:val=&quot;00513598&quot;/&gt;&lt;wsp:rsid wsp:val=&quot;00516CE1&quot;/&gt;&lt;wsp:rsid wsp:val=&quot;00517341&quot;/&gt;&lt;wsp:rsid wsp:val=&quot;00523A2D&quot;/&gt;&lt;wsp:rsid wsp:val=&quot;00525C33&quot;/&gt;&lt;wsp:rsid wsp:val=&quot;0053690D&quot;/&gt;&lt;wsp:rsid wsp:val=&quot;005430F0&quot;/&gt;&lt;wsp:rsid wsp:val=&quot;00563784&quot;/&gt;&lt;wsp:rsid wsp:val=&quot;0056407F&quot;/&gt;&lt;wsp:rsid wsp:val=&quot;0057670E&quot;/&gt;&lt;wsp:rsid wsp:val=&quot;00594885&quot;/&gt;&lt;wsp:rsid wsp:val=&quot;00595900&quot;/&gt;&lt;wsp:rsid wsp:val=&quot;005C2CED&quot;/&gt;&lt;wsp:rsid wsp:val=&quot;005D14A6&quot;/&gt;&lt;wsp:rsid wsp:val=&quot;005F00FE&quot;/&gt;&lt;wsp:rsid wsp:val=&quot;005F1D1C&quot;/&gt;&lt;wsp:rsid wsp:val=&quot;005F40F3&quot;/&gt;&lt;wsp:rsid wsp:val=&quot;0060317D&quot;/&gt;&lt;wsp:rsid wsp:val=&quot;006065AF&quot;/&gt;&lt;wsp:rsid wsp:val=&quot;006109C9&quot;/&gt;&lt;wsp:rsid wsp:val=&quot;00624AA1&quot;/&gt;&lt;wsp:rsid wsp:val=&quot;006333C6&quot;/&gt;&lt;wsp:rsid wsp:val=&quot;006352BF&quot;/&gt;&lt;wsp:rsid wsp:val=&quot;006422D2&quot;/&gt;&lt;wsp:rsid wsp:val=&quot;00643AF1&quot;/&gt;&lt;wsp:rsid wsp:val=&quot;00656123&quot;/&gt;&lt;wsp:rsid wsp:val=&quot;006617EA&quot;/&gt;&lt;wsp:rsid wsp:val=&quot;00667F0C&quot;/&gt;&lt;wsp:rsid wsp:val=&quot;006715FF&quot;/&gt;&lt;wsp:rsid wsp:val=&quot;00676A9B&quot;/&gt;&lt;wsp:rsid wsp:val=&quot;006951CC&quot;/&gt;&lt;wsp:rsid wsp:val=&quot;006B2956&quot;/&gt;&lt;wsp:rsid wsp:val=&quot;006B6B0D&quot;/&gt;&lt;wsp:rsid wsp:val=&quot;006D0462&quot;/&gt;&lt;wsp:rsid wsp:val=&quot;006E53F2&quot;/&gt;&lt;wsp:rsid wsp:val=&quot;00704352&quot;/&gt;&lt;wsp:rsid wsp:val=&quot;00722250&quot;/&gt;&lt;wsp:rsid wsp:val=&quot;00734ACD&quot;/&gt;&lt;wsp:rsid wsp:val=&quot;00736852&quot;/&gt;&lt;wsp:rsid wsp:val=&quot;00747747&quot;/&gt;&lt;wsp:rsid wsp:val=&quot;00747DDB&quot;/&gt;&lt;wsp:rsid wsp:val=&quot;0076060A&quot;/&gt;&lt;wsp:rsid wsp:val=&quot;007667B4&quot;/&gt;&lt;wsp:rsid wsp:val=&quot;00766EA6&quot;/&gt;&lt;wsp:rsid wsp:val=&quot;007836E3&quot;/&gt;&lt;wsp:rsid wsp:val=&quot;00785D05&quot;/&gt;&lt;wsp:rsid wsp:val=&quot;007B0DB1&quot;/&gt;&lt;wsp:rsid wsp:val=&quot;007B41BE&quot;/&gt;&lt;wsp:rsid wsp:val=&quot;007C2DCD&quot;/&gt;&lt;wsp:rsid wsp:val=&quot;007D5DB9&quot;/&gt;&lt;wsp:rsid wsp:val=&quot;007F15F5&quot;/&gt;&lt;wsp:rsid wsp:val=&quot;00805F18&quot;/&gt;&lt;wsp:rsid wsp:val=&quot;008100A9&quot;/&gt;&lt;wsp:rsid wsp:val=&quot;00815D5E&quot;/&gt;&lt;wsp:rsid wsp:val=&quot;00821B8C&quot;/&gt;&lt;wsp:rsid wsp:val=&quot;00826815&quot;/&gt;&lt;wsp:rsid wsp:val=&quot;00826CA9&quot;/&gt;&lt;wsp:rsid wsp:val=&quot;00831B79&quot;/&gt;&lt;wsp:rsid wsp:val=&quot;008449D3&quot;/&gt;&lt;wsp:rsid wsp:val=&quot;00847038&quot;/&gt;&lt;wsp:rsid wsp:val=&quot;00853529&quot;/&gt;&lt;wsp:rsid wsp:val=&quot;00855DF8&quot;/&gt;&lt;wsp:rsid wsp:val=&quot;0085741F&quot;/&gt;&lt;wsp:rsid wsp:val=&quot;008610B7&quot;/&gt;&lt;wsp:rsid wsp:val=&quot;008624DC&quot;/&gt;&lt;wsp:rsid wsp:val=&quot;0086260D&quot;/&gt;&lt;wsp:rsid wsp:val=&quot;00863329&quot;/&gt;&lt;wsp:rsid wsp:val=&quot;0086516E&quot;/&gt;&lt;wsp:rsid wsp:val=&quot;00875632&quot;/&gt;&lt;wsp:rsid wsp:val=&quot;00880F8B&quot;/&gt;&lt;wsp:rsid wsp:val=&quot;00881879&quot;/&gt;&lt;wsp:rsid wsp:val=&quot;00883788&quot;/&gt;&lt;wsp:rsid wsp:val=&quot;008863FA&quot;/&gt;&lt;wsp:rsid wsp:val=&quot;00896624&quot;/&gt;&lt;wsp:rsid wsp:val=&quot;00897CFA&quot;/&gt;&lt;wsp:rsid wsp:val=&quot;00897EE5&quot;/&gt;&lt;wsp:rsid wsp:val=&quot;008A0349&quot;/&gt;&lt;wsp:rsid wsp:val=&quot;008A1536&quot;/&gt;&lt;wsp:rsid wsp:val=&quot;008B1C37&quot;/&gt;&lt;wsp:rsid wsp:val=&quot;008B7608&quot;/&gt;&lt;wsp:rsid wsp:val=&quot;008D6739&quot;/&gt;&lt;wsp:rsid wsp:val=&quot;008F35F8&quot;/&gt;&lt;wsp:rsid wsp:val=&quot;00910925&quot;/&gt;&lt;wsp:rsid wsp:val=&quot;009153D5&quot;/&gt;&lt;wsp:rsid wsp:val=&quot;0092235B&quot;/&gt;&lt;wsp:rsid wsp:val=&quot;009237A8&quot;/&gt;&lt;wsp:rsid wsp:val=&quot;0092698F&quot;/&gt;&lt;wsp:rsid wsp:val=&quot;00947FBF&quot;/&gt;&lt;wsp:rsid wsp:val=&quot;00955AEF&quot;/&gt;&lt;wsp:rsid wsp:val=&quot;009613F8&quot;/&gt;&lt;wsp:rsid wsp:val=&quot;00964203&quot;/&gt;&lt;wsp:rsid wsp:val=&quot;00965C9C&quot;/&gt;&lt;wsp:rsid wsp:val=&quot;00970EB6&quot;/&gt;&lt;wsp:rsid wsp:val=&quot;00976F0E&quot;/&gt;&lt;wsp:rsid wsp:val=&quot;009865BE&quot;/&gt;&lt;wsp:rsid wsp:val=&quot;00986F57&quot;/&gt;&lt;wsp:rsid wsp:val=&quot;0099075E&quot;/&gt;&lt;wsp:rsid wsp:val=&quot;00994CA1&quot;/&gt;&lt;wsp:rsid wsp:val=&quot;0099768F&quot;/&gt;&lt;wsp:rsid wsp:val=&quot;00997757&quot;/&gt;&lt;wsp:rsid wsp:val=&quot;009B1F09&quot;/&gt;&lt;wsp:rsid wsp:val=&quot;009B6DEC&quot;/&gt;&lt;wsp:rsid wsp:val=&quot;009C29C9&quot;/&gt;&lt;wsp:rsid wsp:val=&quot;009D7CE3&quot;/&gt;&lt;wsp:rsid wsp:val=&quot;00A024F5&quot;/&gt;&lt;wsp:rsid wsp:val=&quot;00A35622&quot;/&gt;&lt;wsp:rsid wsp:val=&quot;00A456D5&quot;/&gt;&lt;wsp:rsid wsp:val=&quot;00A540E9&quot;/&gt;&lt;wsp:rsid wsp:val=&quot;00A61EAB&quot;/&gt;&lt;wsp:rsid wsp:val=&quot;00A65B31&quot;/&gt;&lt;wsp:rsid wsp:val=&quot;00A665F0&quot;/&gt;&lt;wsp:rsid wsp:val=&quot;00A66B33&quot;/&gt;&lt;wsp:rsid wsp:val=&quot;00A733EE&quot;/&gt;&lt;wsp:rsid wsp:val=&quot;00A80E3F&quot;/&gt;&lt;wsp:rsid wsp:val=&quot;00A92FB5&quot;/&gt;&lt;wsp:rsid wsp:val=&quot;00A935F1&quot;/&gt;&lt;wsp:rsid wsp:val=&quot;00AB134C&quot;/&gt;&lt;wsp:rsid wsp:val=&quot;00AB6CD8&quot;/&gt;&lt;wsp:rsid wsp:val=&quot;00AB7559&quot;/&gt;&lt;wsp:rsid wsp:val=&quot;00AD09E5&quot;/&gt;&lt;wsp:rsid wsp:val=&quot;00AD2004&quot;/&gt;&lt;wsp:rsid wsp:val=&quot;00AF4CEB&quot;/&gt;&lt;wsp:rsid wsp:val=&quot;00B04828&quot;/&gt;&lt;wsp:rsid wsp:val=&quot;00B10668&quot;/&gt;&lt;wsp:rsid wsp:val=&quot;00B15F09&quot;/&gt;&lt;wsp:rsid wsp:val=&quot;00B244A8&quot;/&gt;&lt;wsp:rsid wsp:val=&quot;00B30FF9&quot;/&gt;&lt;wsp:rsid wsp:val=&quot;00B339F9&quot;/&gt;&lt;wsp:rsid wsp:val=&quot;00B377D8&quot;/&gt;&lt;wsp:rsid wsp:val=&quot;00B5278F&quot;/&gt;&lt;wsp:rsid wsp:val=&quot;00B55CB1&quot;/&gt;&lt;wsp:rsid wsp:val=&quot;00B66ECB&quot;/&gt;&lt;wsp:rsid wsp:val=&quot;00B81E28&quot;/&gt;&lt;wsp:rsid wsp:val=&quot;00B9192A&quot;/&gt;&lt;wsp:rsid wsp:val=&quot;00B93351&quot;/&gt;&lt;wsp:rsid wsp:val=&quot;00B96A0C&quot;/&gt;&lt;wsp:rsid wsp:val=&quot;00BA1175&quot;/&gt;&lt;wsp:rsid wsp:val=&quot;00BB4AFB&quot;/&gt;&lt;wsp:rsid wsp:val=&quot;00BC161C&quot;/&gt;&lt;wsp:rsid wsp:val=&quot;00BC45FF&quot;/&gt;&lt;wsp:rsid wsp:val=&quot;00BD1CE9&quot;/&gt;&lt;wsp:rsid wsp:val=&quot;00BD4E60&quot;/&gt;&lt;wsp:rsid wsp:val=&quot;00BD55AC&quot;/&gt;&lt;wsp:rsid wsp:val=&quot;00BE17C4&quot;/&gt;&lt;wsp:rsid wsp:val=&quot;00BF06E8&quot;/&gt;&lt;wsp:rsid wsp:val=&quot;00BF5FFE&quot;/&gt;&lt;wsp:rsid wsp:val=&quot;00C12A93&quot;/&gt;&lt;wsp:rsid wsp:val=&quot;00C23657&quot;/&gt;&lt;wsp:rsid wsp:val=&quot;00C31D71&quot;/&gt;&lt;wsp:rsid wsp:val=&quot;00C32EE0&quot;/&gt;&lt;wsp:rsid wsp:val=&quot;00C349B6&quot;/&gt;&lt;wsp:rsid wsp:val=&quot;00C356CB&quot;/&gt;&lt;wsp:rsid wsp:val=&quot;00C408D3&quot;/&gt;&lt;wsp:rsid wsp:val=&quot;00C46D7B&quot;/&gt;&lt;wsp:rsid wsp:val=&quot;00C51BE4&quot;/&gt;&lt;wsp:rsid wsp:val=&quot;00C65559&quot;/&gt;&lt;wsp:rsid wsp:val=&quot;00C6771C&quot;/&gt;&lt;wsp:rsid wsp:val=&quot;00C834D4&quot;/&gt;&lt;wsp:rsid wsp:val=&quot;00C86130&quot;/&gt;&lt;wsp:rsid wsp:val=&quot;00CA2D54&quot;/&gt;&lt;wsp:rsid wsp:val=&quot;00CB0AB5&quot;/&gt;&lt;wsp:rsid wsp:val=&quot;00CB3EAB&quot;/&gt;&lt;wsp:rsid wsp:val=&quot;00CC2BD7&quot;/&gt;&lt;wsp:rsid wsp:val=&quot;00CD0840&quot;/&gt;&lt;wsp:rsid wsp:val=&quot;00CD09D7&quot;/&gt;&lt;wsp:rsid wsp:val=&quot;00CD517C&quot;/&gt;&lt;wsp:rsid wsp:val=&quot;00CE3BD3&quot;/&gt;&lt;wsp:rsid wsp:val=&quot;00CF7247&quot;/&gt;&lt;wsp:rsid wsp:val=&quot;00D052E8&quot;/&gt;&lt;wsp:rsid wsp:val=&quot;00D1277A&quot;/&gt;&lt;wsp:rsid wsp:val=&quot;00D13F94&quot;/&gt;&lt;wsp:rsid wsp:val=&quot;00D23DF9&quot;/&gt;&lt;wsp:rsid wsp:val=&quot;00D27280&quot;/&gt;&lt;wsp:rsid wsp:val=&quot;00D47795&quot;/&gt;&lt;wsp:rsid wsp:val=&quot;00D63F39&quot;/&gt;&lt;wsp:rsid wsp:val=&quot;00D66825&quot;/&gt;&lt;wsp:rsid wsp:val=&quot;00D668BF&quot;/&gt;&lt;wsp:rsid wsp:val=&quot;00D85019&quot;/&gt;&lt;wsp:rsid wsp:val=&quot;00D87A48&quot;/&gt;&lt;wsp:rsid wsp:val=&quot;00DA33DC&quot;/&gt;&lt;wsp:rsid wsp:val=&quot;00DC726E&quot;/&gt;&lt;wsp:rsid wsp:val=&quot;00DD087A&quot;/&gt;&lt;wsp:rsid wsp:val=&quot;00DD15DA&quot;/&gt;&lt;wsp:rsid wsp:val=&quot;00DD39F7&quot;/&gt;&lt;wsp:rsid wsp:val=&quot;00DE2532&quot;/&gt;&lt;wsp:rsid wsp:val=&quot;00DE7F75&quot;/&gt;&lt;wsp:rsid wsp:val=&quot;00DF0FEA&quot;/&gt;&lt;wsp:rsid wsp:val=&quot;00E00DBC&quot;/&gt;&lt;wsp:rsid wsp:val=&quot;00E0419C&quot;/&gt;&lt;wsp:rsid wsp:val=&quot;00E05A58&quot;/&gt;&lt;wsp:rsid wsp:val=&quot;00E111B7&quot;/&gt;&lt;wsp:rsid wsp:val=&quot;00E1755F&quot;/&gt;&lt;wsp:rsid wsp:val=&quot;00E21904&quot;/&gt;&lt;wsp:rsid wsp:val=&quot;00E31316&quot;/&gt;&lt;wsp:rsid wsp:val=&quot;00E417A7&quot;/&gt;&lt;wsp:rsid wsp:val=&quot;00E56B1C&quot;/&gt;&lt;wsp:rsid wsp:val=&quot;00E61ECE&quot;/&gt;&lt;wsp:rsid wsp:val=&quot;00E6607A&quot;/&gt;&lt;wsp:rsid wsp:val=&quot;00E93861&quot;/&gt;&lt;wsp:rsid wsp:val=&quot;00E97297&quot;/&gt;&lt;wsp:rsid wsp:val=&quot;00EA3E65&quot;/&gt;&lt;wsp:rsid wsp:val=&quot;00EB4D9C&quot;/&gt;&lt;wsp:rsid wsp:val=&quot;00EC3064&quot;/&gt;&lt;wsp:rsid wsp:val=&quot;00ED21EA&quot;/&gt;&lt;wsp:rsid wsp:val=&quot;00ED6676&quot;/&gt;&lt;wsp:rsid wsp:val=&quot;00EE617E&quot;/&gt;&lt;wsp:rsid wsp:val=&quot;00EF081F&quot;/&gt;&lt;wsp:rsid wsp:val=&quot;00EF59DF&quot;/&gt;&lt;wsp:rsid wsp:val=&quot;00EF67B9&quot;/&gt;&lt;wsp:rsid wsp:val=&quot;00EF7292&quot;/&gt;&lt;wsp:rsid wsp:val=&quot;00F023EF&quot;/&gt;&lt;wsp:rsid wsp:val=&quot;00F0401B&quot;/&gt;&lt;wsp:rsid wsp:val=&quot;00F04099&quot;/&gt;&lt;wsp:rsid wsp:val=&quot;00F05B05&quot;/&gt;&lt;wsp:rsid wsp:val=&quot;00F164CF&quot;/&gt;&lt;wsp:rsid wsp:val=&quot;00F1692E&quot;/&gt;&lt;wsp:rsid wsp:val=&quot;00F53525&quot;/&gt;&lt;wsp:rsid wsp:val=&quot;00F60B9A&quot;/&gt;&lt;wsp:rsid wsp:val=&quot;00F64547&quot;/&gt;&lt;wsp:rsid wsp:val=&quot;00F811CE&quot;/&gt;&lt;wsp:rsid wsp:val=&quot;00F842F3&quot;/&gt;&lt;wsp:rsid wsp:val=&quot;00F867D6&quot;/&gt;&lt;wsp:rsid wsp:val=&quot;00F93145&quot;/&gt;&lt;wsp:rsid wsp:val=&quot;00F94EA3&quot;/&gt;&lt;wsp:rsid wsp:val=&quot;00FA7B70&quot;/&gt;&lt;wsp:rsid wsp:val=&quot;00FB755A&quot;/&gt;&lt;wsp:rsid wsp:val=&quot;00FC0C2C&quot;/&gt;&lt;wsp:rsid wsp:val=&quot;00FD273B&quot;/&gt;&lt;wsp:rsid wsp:val=&quot;00FD711D&quot;/&gt;&lt;wsp:rsid wsp:val=&quot;00FF1F0E&quot;/&gt;&lt;wsp:rsid wsp:val=&quot;00FF6EB1&quot;/&gt;&lt;wsp:rsid wsp:val=&quot;00FF70D3&quot;/&gt;&lt;wsp:rsid wsp:val=&quot;0132288A&quot;/&gt;&lt;wsp:rsid wsp:val=&quot;01384C43&quot;/&gt;&lt;wsp:rsid wsp:val=&quot;01AB79F4&quot;/&gt;&lt;wsp:rsid wsp:val=&quot;01E70B0E&quot;/&gt;&lt;wsp:rsid wsp:val=&quot;02547AA6&quot;/&gt;&lt;wsp:rsid wsp:val=&quot;025E1490&quot;/&gt;&lt;wsp:rsid wsp:val=&quot;026D01A7&quot;/&gt;&lt;wsp:rsid wsp:val=&quot;0292705A&quot;/&gt;&lt;wsp:rsid wsp:val=&quot;02BB2BB6&quot;/&gt;&lt;wsp:rsid wsp:val=&quot;02D44769&quot;/&gt;&lt;wsp:rsid wsp:val=&quot;03223D53&quot;/&gt;&lt;wsp:rsid wsp:val=&quot;03305E1E&quot;/&gt;&lt;wsp:rsid wsp:val=&quot;034B6F5E&quot;/&gt;&lt;wsp:rsid wsp:val=&quot;0369677B&quot;/&gt;&lt;wsp:rsid wsp:val=&quot;036E2876&quot;/&gt;&lt;wsp:rsid wsp:val=&quot;038B55AE&quot;/&gt;&lt;wsp:rsid wsp:val=&quot;038E6EF8&quot;/&gt;&lt;wsp:rsid wsp:val=&quot;03AD02FF&quot;/&gt;&lt;wsp:rsid wsp:val=&quot;03CF176F&quot;/&gt;&lt;wsp:rsid wsp:val=&quot;048B38BC&quot;/&gt;&lt;wsp:rsid wsp:val=&quot;049D5F19&quot;/&gt;&lt;wsp:rsid wsp:val=&quot;04D42ADE&quot;/&gt;&lt;wsp:rsid wsp:val=&quot;04E02384&quot;/&gt;&lt;wsp:rsid wsp:val=&quot;05345F66&quot;/&gt;&lt;wsp:rsid wsp:val=&quot;053F5515&quot;/&gt;&lt;wsp:rsid wsp:val=&quot;05CC574A&quot;/&gt;&lt;wsp:rsid wsp:val=&quot;05F97374&quot;/&gt;&lt;wsp:rsid wsp:val=&quot;06024098&quot;/&gt;&lt;wsp:rsid wsp:val=&quot;064514F9&quot;/&gt;&lt;wsp:rsid wsp:val=&quot;06BE0E86&quot;/&gt;&lt;wsp:rsid wsp:val=&quot;06BE4BFC&quot;/&gt;&lt;wsp:rsid wsp:val=&quot;075703F5&quot;/&gt;&lt;wsp:rsid wsp:val=&quot;07751A06&quot;/&gt;&lt;wsp:rsid wsp:val=&quot;078142A4&quot;/&gt;&lt;wsp:rsid wsp:val=&quot;07834C9D&quot;/&gt;&lt;wsp:rsid wsp:val=&quot;07924E0C&quot;/&gt;&lt;wsp:rsid wsp:val=&quot;079F2E01&quot;/&gt;&lt;wsp:rsid wsp:val=&quot;07AE57A4&quot;/&gt;&lt;wsp:rsid wsp:val=&quot;07BB4543&quot;/&gt;&lt;wsp:rsid wsp:val=&quot;07D85C5A&quot;/&gt;&lt;wsp:rsid wsp:val=&quot;081E2428&quot;/&gt;&lt;wsp:rsid wsp:val=&quot;081F69D8&quot;/&gt;&lt;wsp:rsid wsp:val=&quot;08312FC7&quot;/&gt;&lt;wsp:rsid wsp:val=&quot;08434891&quot;/&gt;&lt;wsp:rsid wsp:val=&quot;08A23B9F&quot;/&gt;&lt;wsp:rsid wsp:val=&quot;08AC3ED3&quot;/&gt;&lt;wsp:rsid wsp:val=&quot;08C2021F&quot;/&gt;&lt;wsp:rsid wsp:val=&quot;08D265F0&quot;/&gt;&lt;wsp:rsid wsp:val=&quot;08E143F1&quot;/&gt;&lt;wsp:rsid wsp:val=&quot;090B0E8E&quot;/&gt;&lt;wsp:rsid wsp:val=&quot;095D5B9F&quot;/&gt;&lt;wsp:rsid wsp:val=&quot;09676399&quot;/&gt;&lt;wsp:rsid wsp:val=&quot;09D662E7&quot;/&gt;&lt;wsp:rsid wsp:val=&quot;0A242726&quot;/&gt;&lt;wsp:rsid wsp:val=&quot;0A323426&quot;/&gt;&lt;wsp:rsid wsp:val=&quot;0A912F86&quot;/&gt;&lt;wsp:rsid wsp:val=&quot;0ABF1AEC&quot;/&gt;&lt;wsp:rsid wsp:val=&quot;0B17316E&quot;/&gt;&lt;wsp:rsid wsp:val=&quot;0B7E5061&quot;/&gt;&lt;wsp:rsid wsp:val=&quot;0B9B0808&quot;/&gt;&lt;wsp:rsid wsp:val=&quot;0BB11083&quot;/&gt;&lt;wsp:rsid wsp:val=&quot;0BE66A48&quot;/&gt;&lt;wsp:rsid wsp:val=&quot;0C1F15F1&quot;/&gt;&lt;wsp:rsid wsp:val=&quot;0C730A4A&quot;/&gt;&lt;wsp:rsid wsp:val=&quot;0C984991&quot;/&gt;&lt;wsp:rsid wsp:val=&quot;0CD51310&quot;/&gt;&lt;wsp:rsid wsp:val=&quot;0D0175B1&quot;/&gt;&lt;wsp:rsid wsp:val=&quot;0D4E212A&quot;/&gt;&lt;wsp:rsid wsp:val=&quot;0D5A7A00&quot;/&gt;&lt;wsp:rsid wsp:val=&quot;0D8F7FD4&quot;/&gt;&lt;wsp:rsid wsp:val=&quot;0D9C7F7E&quot;/&gt;&lt;wsp:rsid wsp:val=&quot;0DA26C14&quot;/&gt;&lt;wsp:rsid wsp:val=&quot;0DA80C95&quot;/&gt;&lt;wsp:rsid wsp:val=&quot;0E29306E&quot;/&gt;&lt;wsp:rsid wsp:val=&quot;0F32428B&quot;/&gt;&lt;wsp:rsid wsp:val=&quot;0F34709D&quot;/&gt;&lt;wsp:rsid wsp:val=&quot;0F3970C7&quot;/&gt;&lt;wsp:rsid wsp:val=&quot;1018426F&quot;/&gt;&lt;wsp:rsid wsp:val=&quot;101A2C21&quot;/&gt;&lt;wsp:rsid wsp:val=&quot;107002C4&quot;/&gt;&lt;wsp:rsid wsp:val=&quot;107A19FF&quot;/&gt;&lt;wsp:rsid wsp:val=&quot;108B7D11&quot;/&gt;&lt;wsp:rsid wsp:val=&quot;10E624D4&quot;/&gt;&lt;wsp:rsid wsp:val=&quot;110132F2&quot;/&gt;&lt;wsp:rsid wsp:val=&quot;11800030&quot;/&gt;&lt;wsp:rsid wsp:val=&quot;11A00F75&quot;/&gt;&lt;wsp:rsid wsp:val=&quot;11E2703C&quot;/&gt;&lt;wsp:rsid wsp:val=&quot;126D2B01&quot;/&gt;&lt;wsp:rsid wsp:val=&quot;1275369F&quot;/&gt;&lt;wsp:rsid wsp:val=&quot;129004AD&quot;/&gt;&lt;wsp:rsid wsp:val=&quot;12A00582&quot;/&gt;&lt;wsp:rsid wsp:val=&quot;138035BB&quot;/&gt;&lt;wsp:rsid wsp:val=&quot;138358B3&quot;/&gt;&lt;wsp:rsid wsp:val=&quot;139A4730&quot;/&gt;&lt;wsp:rsid wsp:val=&quot;13A8278C&quot;/&gt;&lt;wsp:rsid wsp:val=&quot;13B876A8&quot;/&gt;&lt;wsp:rsid wsp:val=&quot;13C5153D&quot;/&gt;&lt;wsp:rsid wsp:val=&quot;14A42F04&quot;/&gt;&lt;wsp:rsid wsp:val=&quot;14D10BF7&quot;/&gt;&lt;wsp:rsid wsp:val=&quot;15435428&quot;/&gt;&lt;wsp:rsid wsp:val=&quot;15A06877&quot;/&gt;&lt;wsp:rsid wsp:val=&quot;15FF3688&quot;/&gt;&lt;wsp:rsid wsp:val=&quot;16052814&quot;/&gt;&lt;wsp:rsid wsp:val=&quot;163A5AA9&quot;/&gt;&lt;wsp:rsid wsp:val=&quot;16EA1B61&quot;/&gt;&lt;wsp:rsid wsp:val=&quot;172E636F&quot;/&gt;&lt;wsp:rsid wsp:val=&quot;17746AC4&quot;/&gt;&lt;wsp:rsid wsp:val=&quot;178D730C&quot;/&gt;&lt;wsp:rsid wsp:val=&quot;17E648BC&quot;/&gt;&lt;wsp:rsid wsp:val=&quot;186616EC&quot;/&gt;&lt;wsp:rsid wsp:val=&quot;18721531&quot;/&gt;&lt;wsp:rsid wsp:val=&quot;19885448&quot;/&gt;&lt;wsp:rsid wsp:val=&quot;19905A54&quot;/&gt;&lt;wsp:rsid wsp:val=&quot;1A27276A&quot;/&gt;&lt;wsp:rsid wsp:val=&quot;1A5F33D2&quot;/&gt;&lt;wsp:rsid wsp:val=&quot;1A616B7D&quot;/&gt;&lt;wsp:rsid wsp:val=&quot;1A7276A4&quot;/&gt;&lt;wsp:rsid wsp:val=&quot;1AAB12B9&quot;/&gt;&lt;wsp:rsid wsp:val=&quot;1B0510F1&quot;/&gt;&lt;wsp:rsid wsp:val=&quot;1B0A4A84&quot;/&gt;&lt;wsp:rsid wsp:val=&quot;1C400A08&quot;/&gt;&lt;wsp:rsid wsp:val=&quot;1C7328CC&quot;/&gt;&lt;wsp:rsid wsp:val=&quot;1C8D42DD&quot;/&gt;&lt;wsp:rsid wsp:val=&quot;1CC54AB8&quot;/&gt;&lt;wsp:rsid wsp:val=&quot;1CD87FC9&quot;/&gt;&lt;wsp:rsid wsp:val=&quot;1CF00F4A&quot;/&gt;&lt;wsp:rsid wsp:val=&quot;1D7C1969&quot;/&gt;&lt;wsp:rsid wsp:val=&quot;1DC7240D&quot;/&gt;&lt;wsp:rsid wsp:val=&quot;1DC74FC1&quot;/&gt;&lt;wsp:rsid wsp:val=&quot;1DCB7C76&quot;/&gt;&lt;wsp:rsid wsp:val=&quot;1DD24998&quot;/&gt;&lt;wsp:rsid wsp:val=&quot;1E593C5F&quot;/&gt;&lt;wsp:rsid wsp:val=&quot;1E714C4F&quot;/&gt;&lt;wsp:rsid wsp:val=&quot;1EAB55A1&quot;/&gt;&lt;wsp:rsid wsp:val=&quot;1EE30BE5&quot;/&gt;&lt;wsp:rsid wsp:val=&quot;1EE81D26&quot;/&gt;&lt;wsp:rsid wsp:val=&quot;1EF0287C&quot;/&gt;&lt;wsp:rsid wsp:val=&quot;1F3B196F&quot;/&gt;&lt;wsp:rsid wsp:val=&quot;1F6555FC&quot;/&gt;&lt;wsp:rsid wsp:val=&quot;20963B34&quot;/&gt;&lt;wsp:rsid wsp:val=&quot;20B35CD5&quot;/&gt;&lt;wsp:rsid wsp:val=&quot;20B84C29&quot;/&gt;&lt;wsp:rsid wsp:val=&quot;20E93171&quot;/&gt;&lt;wsp:rsid wsp:val=&quot;211E2367&quot;/&gt;&lt;wsp:rsid wsp:val=&quot;212075C0&quot;/&gt;&lt;wsp:rsid wsp:val=&quot;21851CA3&quot;/&gt;&lt;wsp:rsid wsp:val=&quot;21AA703D&quot;/&gt;&lt;wsp:rsid wsp:val=&quot;21F637D0&quot;/&gt;&lt;wsp:rsid wsp:val=&quot;22001FFA&quot;/&gt;&lt;wsp:rsid wsp:val=&quot;22321F91&quot;/&gt;&lt;wsp:rsid wsp:val=&quot;2244237F&quot;/&gt;&lt;wsp:rsid wsp:val=&quot;224934A6&quot;/&gt;&lt;wsp:rsid wsp:val=&quot;22DE25CD&quot;/&gt;&lt;wsp:rsid wsp:val=&quot;23167ECF&quot;/&gt;&lt;wsp:rsid wsp:val=&quot;23240186&quot;/&gt;&lt;wsp:rsid wsp:val=&quot;233305EF&quot;/&gt;&lt;wsp:rsid wsp:val=&quot;23421931&quot;/&gt;&lt;wsp:rsid wsp:val=&quot;236005E1&quot;/&gt;&lt;wsp:rsid wsp:val=&quot;2362371F&quot;/&gt;&lt;wsp:rsid wsp:val=&quot;2403572C&quot;/&gt;&lt;wsp:rsid wsp:val=&quot;240B6F5D&quot;/&gt;&lt;wsp:rsid wsp:val=&quot;242541FF&quot;/&gt;&lt;wsp:rsid wsp:val=&quot;24361C3B&quot;/&gt;&lt;wsp:rsid wsp:val=&quot;243E4F46&quot;/&gt;&lt;wsp:rsid wsp:val=&quot;245143B6&quot;/&gt;&lt;wsp:rsid wsp:val=&quot;24617A1E&quot;/&gt;&lt;wsp:rsid wsp:val=&quot;24BE26EE&quot;/&gt;&lt;wsp:rsid wsp:val=&quot;24C40DD0&quot;/&gt;&lt;wsp:rsid wsp:val=&quot;24F80AD2&quot;/&gt;&lt;wsp:rsid wsp:val=&quot;24F84EB4&quot;/&gt;&lt;wsp:rsid wsp:val=&quot;25001582&quot;/&gt;&lt;wsp:rsid wsp:val=&quot;250E7EB7&quot;/&gt;&lt;wsp:rsid wsp:val=&quot;253B45B1&quot;/&gt;&lt;wsp:rsid wsp:val=&quot;254D572E&quot;/&gt;&lt;wsp:rsid wsp:val=&quot;258306DF&quot;/&gt;&lt;wsp:rsid wsp:val=&quot;25C36084&quot;/&gt;&lt;wsp:rsid wsp:val=&quot;26194434&quot;/&gt;&lt;wsp:rsid wsp:val=&quot;263943E5&quot;/&gt;&lt;wsp:rsid wsp:val=&quot;2791306A&quot;/&gt;&lt;wsp:rsid wsp:val=&quot;27950104&quot;/&gt;&lt;wsp:rsid wsp:val=&quot;27C3339B&quot;/&gt;&lt;wsp:rsid wsp:val=&quot;28562284&quot;/&gt;&lt;wsp:rsid wsp:val=&quot;285D24C3&quot;/&gt;&lt;wsp:rsid wsp:val=&quot;28A42644&quot;/&gt;&lt;wsp:rsid wsp:val=&quot;28BF607D&quot;/&gt;&lt;wsp:rsid wsp:val=&quot;28C90C22&quot;/&gt;&lt;wsp:rsid wsp:val=&quot;28FE2AB2&quot;/&gt;&lt;wsp:rsid wsp:val=&quot;298E7153&quot;/&gt;&lt;wsp:rsid wsp:val=&quot;29AC18AF&quot;/&gt;&lt;wsp:rsid wsp:val=&quot;29D3586A&quot;/&gt;&lt;wsp:rsid wsp:val=&quot;29E60EF5&quot;/&gt;&lt;wsp:rsid wsp:val=&quot;2A1000A0&quot;/&gt;&lt;wsp:rsid wsp:val=&quot;2A4B1B1C&quot;/&gt;&lt;wsp:rsid wsp:val=&quot;2A776515&quot;/&gt;&lt;wsp:rsid wsp:val=&quot;2ACD64B2&quot;/&gt;&lt;wsp:rsid wsp:val=&quot;2B164D17&quot;/&gt;&lt;wsp:rsid wsp:val=&quot;2B4B4CCE&quot;/&gt;&lt;wsp:rsid wsp:val=&quot;2B9E5F83&quot;/&gt;&lt;wsp:rsid wsp:val=&quot;2BFC3660&quot;/&gt;&lt;wsp:rsid wsp:val=&quot;2C032498&quot;/&gt;&lt;wsp:rsid wsp:val=&quot;2C3C29F1&quot;/&gt;&lt;wsp:rsid wsp:val=&quot;2D0D3F93&quot;/&gt;&lt;wsp:rsid wsp:val=&quot;2D1F42D5&quot;/&gt;&lt;wsp:rsid wsp:val=&quot;2D583DDF&quot;/&gt;&lt;wsp:rsid wsp:val=&quot;2D941E82&quot;/&gt;&lt;wsp:rsid wsp:val=&quot;2E1D6BA6&quot;/&gt;&lt;wsp:rsid wsp:val=&quot;2EEF0413&quot;/&gt;&lt;wsp:rsid wsp:val=&quot;2F181F4E&quot;/&gt;&lt;wsp:rsid wsp:val=&quot;2F8B34F0&quot;/&gt;&lt;wsp:rsid wsp:val=&quot;30114936&quot;/&gt;&lt;wsp:rsid wsp:val=&quot;30676AFF&quot;/&gt;&lt;wsp:rsid wsp:val=&quot;30707EAF&quot;/&gt;&lt;wsp:rsid wsp:val=&quot;30C25DAA&quot;/&gt;&lt;wsp:rsid wsp:val=&quot;30E06760&quot;/&gt;&lt;wsp:rsid wsp:val=&quot;31306C96&quot;/&gt;&lt;wsp:rsid wsp:val=&quot;319005ED&quot;/&gt;&lt;wsp:rsid wsp:val=&quot;31A85FFD&quot;/&gt;&lt;wsp:rsid wsp:val=&quot;31FD6D03&quot;/&gt;&lt;wsp:rsid wsp:val=&quot;324967E6&quot;/&gt;&lt;wsp:rsid wsp:val=&quot;32626D6F&quot;/&gt;&lt;wsp:rsid wsp:val=&quot;32862EB4&quot;/&gt;&lt;wsp:rsid wsp:val=&quot;328A0EAF&quot;/&gt;&lt;wsp:rsid wsp:val=&quot;328E477D&quot;/&gt;&lt;wsp:rsid wsp:val=&quot;329A0A0D&quot;/&gt;&lt;wsp:rsid wsp:val=&quot;32A2269E&quot;/&gt;&lt;wsp:rsid wsp:val=&quot;32A61CCB&quot;/&gt;&lt;wsp:rsid wsp:val=&quot;32A92DD7&quot;/&gt;&lt;wsp:rsid wsp:val=&quot;33251A7F&quot;/&gt;&lt;wsp:rsid wsp:val=&quot;334E4210&quot;/&gt;&lt;wsp:rsid wsp:val=&quot;338D7359&quot;/&gt;&lt;wsp:rsid wsp:val=&quot;33F62E53&quot;/&gt;&lt;wsp:rsid wsp:val=&quot;33F924A6&quot;/&gt;&lt;wsp:rsid wsp:val=&quot;348B02D6&quot;/&gt;&lt;wsp:rsid wsp:val=&quot;34E06B9F&quot;/&gt;&lt;wsp:rsid wsp:val=&quot;3508011E&quot;/&gt;&lt;wsp:rsid wsp:val=&quot;356316EA&quot;/&gt;&lt;wsp:rsid wsp:val=&quot;35A93E43&quot;/&gt;&lt;wsp:rsid wsp:val=&quot;35FF5C21&quot;/&gt;&lt;wsp:rsid wsp:val=&quot;368376EA&quot;/&gt;&lt;wsp:rsid wsp:val=&quot;368E7C55&quot;/&gt;&lt;wsp:rsid wsp:val=&quot;36983CC8&quot;/&gt;&lt;wsp:rsid wsp:val=&quot;36CE11B8&quot;/&gt;&lt;wsp:rsid wsp:val=&quot;36D776BA&quot;/&gt;&lt;wsp:rsid wsp:val=&quot;3747162A&quot;/&gt;&lt;wsp:rsid wsp:val=&quot;379C2032&quot;/&gt;&lt;wsp:rsid wsp:val=&quot;383A0F28&quot;/&gt;&lt;wsp:rsid wsp:val=&quot;383E0C74&quot;/&gt;&lt;wsp:rsid wsp:val=&quot;3893525C&quot;/&gt;&lt;wsp:rsid wsp:val=&quot;38BF17B4&quot;/&gt;&lt;wsp:rsid wsp:val=&quot;38DB34CE&quot;/&gt;&lt;wsp:rsid wsp:val=&quot;39C90197&quot;/&gt;&lt;wsp:rsid wsp:val=&quot;39F465F0&quot;/&gt;&lt;wsp:rsid wsp:val=&quot;3A0F61A5&quot;/&gt;&lt;wsp:rsid wsp:val=&quot;3B7B3AE6&quot;/&gt;&lt;wsp:rsid wsp:val=&quot;3BDF0FE9&quot;/&gt;&lt;wsp:rsid wsp:val=&quot;3C0B160B&quot;/&gt;&lt;wsp:rsid wsp:val=&quot;3C4E4D54&quot;/&gt;&lt;wsp:rsid wsp:val=&quot;3C621531&quot;/&gt;&lt;wsp:rsid wsp:val=&quot;3C6748E0&quot;/&gt;&lt;wsp:rsid wsp:val=&quot;3C8111E3&quot;/&gt;&lt;wsp:rsid wsp:val=&quot;3CB21BF2&quot;/&gt;&lt;wsp:rsid wsp:val=&quot;3CC51207&quot;/&gt;&lt;wsp:rsid wsp:val=&quot;3CD1311A&quot;/&gt;&lt;wsp:rsid wsp:val=&quot;3CDB29CF&quot;/&gt;&lt;wsp:rsid wsp:val=&quot;3CFE0DE8&quot;/&gt;&lt;wsp:rsid wsp:val=&quot;3DB11A96&quot;/&gt;&lt;wsp:rsid wsp:val=&quot;3DE139D0&quot;/&gt;&lt;wsp:rsid wsp:val=&quot;3E142466&quot;/&gt;&lt;wsp:rsid wsp:val=&quot;3E6542EA&quot;/&gt;&lt;wsp:rsid wsp:val=&quot;3EF42BDD&quot;/&gt;&lt;wsp:rsid wsp:val=&quot;3EF9295A&quot;/&gt;&lt;wsp:rsid wsp:val=&quot;3F185670&quot;/&gt;&lt;wsp:rsid wsp:val=&quot;3F8A7432&quot;/&gt;&lt;wsp:rsid wsp:val=&quot;3FB757BD&quot;/&gt;&lt;wsp:rsid wsp:val=&quot;3FD2735B&quot;/&gt;&lt;wsp:rsid wsp:val=&quot;3FF554B7&quot;/&gt;&lt;wsp:rsid wsp:val=&quot;40793B50&quot;/&gt;&lt;wsp:rsid wsp:val=&quot;40933050&quot;/&gt;&lt;wsp:rsid wsp:val=&quot;40EA5F75&quot;/&gt;&lt;wsp:rsid wsp:val=&quot;411169EC&quot;/&gt;&lt;wsp:rsid wsp:val=&quot;41950207&quot;/&gt;&lt;wsp:rsid wsp:val=&quot;419E6AB5&quot;/&gt;&lt;wsp:rsid wsp:val=&quot;41DF354F&quot;/&gt;&lt;wsp:rsid wsp:val=&quot;4298263D&quot;/&gt;&lt;wsp:rsid wsp:val=&quot;433E5304&quot;/&gt;&lt;wsp:rsid wsp:val=&quot;43A1090D&quot;/&gt;&lt;wsp:rsid wsp:val=&quot;43DC3583&quot;/&gt;&lt;wsp:rsid wsp:val=&quot;43EB2A7A&quot;/&gt;&lt;wsp:rsid wsp:val=&quot;43FB2F59&quot;/&gt;&lt;wsp:rsid wsp:val=&quot;44022C46&quot;/&gt;&lt;wsp:rsid wsp:val=&quot;44044B33&quot;/&gt;&lt;wsp:rsid wsp:val=&quot;44054EC0&quot;/&gt;&lt;wsp:rsid wsp:val=&quot;440A2023&quot;/&gt;&lt;wsp:rsid wsp:val=&quot;4430448B&quot;/&gt;&lt;wsp:rsid wsp:val=&quot;444B7414&quot;/&gt;&lt;wsp:rsid wsp:val=&quot;446D459D&quot;/&gt;&lt;wsp:rsid wsp:val=&quot;44797438&quot;/&gt;&lt;wsp:rsid wsp:val=&quot;45103535&quot;/&gt;&lt;wsp:rsid wsp:val=&quot;45222A6A&quot;/&gt;&lt;wsp:rsid wsp:val=&quot;452C3927&quot;/&gt;&lt;wsp:rsid wsp:val=&quot;45416348&quot;/&gt;&lt;wsp:rsid wsp:val=&quot;455F59F2&quot;/&gt;&lt;wsp:rsid wsp:val=&quot;45A70FC7&quot;/&gt;&lt;wsp:rsid wsp:val=&quot;46096E2C&quot;/&gt;&lt;wsp:rsid wsp:val=&quot;465805B7&quot;/&gt;&lt;wsp:rsid wsp:val=&quot;46973645&quot;/&gt;&lt;wsp:rsid wsp:val=&quot;46F24D18&quot;/&gt;&lt;wsp:rsid wsp:val=&quot;47082F6C&quot;/&gt;&lt;wsp:rsid wsp:val=&quot;471A6947&quot;/&gt;&lt;wsp:rsid wsp:val=&quot;47535501&quot;/&gt;&lt;wsp:rsid wsp:val=&quot;476237A3&quot;/&gt;&lt;wsp:rsid wsp:val=&quot;47B80A73&quot;/&gt;&lt;wsp:rsid wsp:val=&quot;47D054E1&quot;/&gt;&lt;wsp:rsid wsp:val=&quot;48151DFA&quot;/&gt;&lt;wsp:rsid wsp:val=&quot;48231A30&quot;/&gt;&lt;wsp:rsid wsp:val=&quot;48B739C6&quot;/&gt;&lt;wsp:rsid wsp:val=&quot;48C72F42&quot;/&gt;&lt;wsp:rsid wsp:val=&quot;48F85A59&quot;/&gt;&lt;wsp:rsid wsp:val=&quot;48FE2851&quot;/&gt;&lt;wsp:rsid wsp:val=&quot;494320D3&quot;/&gt;&lt;wsp:rsid wsp:val=&quot;497534B4&quot;/&gt;&lt;wsp:rsid wsp:val=&quot;49DA38A0&quot;/&gt;&lt;wsp:rsid wsp:val=&quot;4A361A71&quot;/&gt;&lt;wsp:rsid wsp:val=&quot;4A6E2928&quot;/&gt;&lt;wsp:rsid wsp:val=&quot;4AA27259&quot;/&gt;&lt;wsp:rsid wsp:val=&quot;4AE46A56&quot;/&gt;&lt;wsp:rsid wsp:val=&quot;4B124441&quot;/&gt;&lt;wsp:rsid wsp:val=&quot;4B2A769A&quot;/&gt;&lt;wsp:rsid wsp:val=&quot;4B55120F&quot;/&gt;&lt;wsp:rsid wsp:val=&quot;4B661614&quot;/&gt;&lt;wsp:rsid wsp:val=&quot;4B6907A1&quot;/&gt;&lt;wsp:rsid wsp:val=&quot;4B7A43D1&quot;/&gt;&lt;wsp:rsid wsp:val=&quot;4B946B9A&quot;/&gt;&lt;wsp:rsid wsp:val=&quot;4BC36227&quot;/&gt;&lt;wsp:rsid wsp:val=&quot;4BFB4BF6&quot;/&gt;&lt;wsp:rsid wsp:val=&quot;4C912CFA&quot;/&gt;&lt;wsp:rsid wsp:val=&quot;4C931577&quot;/&gt;&lt;wsp:rsid wsp:val=&quot;4CA74C54&quot;/&gt;&lt;wsp:rsid wsp:val=&quot;4CCA6F70&quot;/&gt;&lt;wsp:rsid wsp:val=&quot;4CE62A1A&quot;/&gt;&lt;wsp:rsid wsp:val=&quot;4CF460E9&quot;/&gt;&lt;wsp:rsid wsp:val=&quot;4D8C1B97&quot;/&gt;&lt;wsp:rsid wsp:val=&quot;4DA578A0&quot;/&gt;&lt;wsp:rsid wsp:val=&quot;4DA57C69&quot;/&gt;&lt;wsp:rsid wsp:val=&quot;4DB4585C&quot;/&gt;&lt;wsp:rsid wsp:val=&quot;4DB471C6&quot;/&gt;&lt;wsp:rsid wsp:val=&quot;4DBC175A&quot;/&gt;&lt;wsp:rsid wsp:val=&quot;4DC0329F&quot;/&gt;&lt;wsp:rsid wsp:val=&quot;4DE73B54&quot;/&gt;&lt;wsp:rsid wsp:val=&quot;4E901E9C&quot;/&gt;&lt;wsp:rsid wsp:val=&quot;4EAF36D3&quot;/&gt;&lt;wsp:rsid wsp:val=&quot;4EB82B45&quot;/&gt;&lt;wsp:rsid wsp:val=&quot;4ECE6320&quot;/&gt;&lt;wsp:rsid wsp:val=&quot;4F0A2E63&quot;/&gt;&lt;wsp:rsid wsp:val=&quot;4F231210&quot;/&gt;&lt;wsp:rsid wsp:val=&quot;4F541A82&quot;/&gt;&lt;wsp:rsid wsp:val=&quot;4F5D3ED4&quot;/&gt;&lt;wsp:rsid wsp:val=&quot;4F9040CA&quot;/&gt;&lt;wsp:rsid wsp:val=&quot;4F9E1131&quot;/&gt;&lt;wsp:rsid wsp:val=&quot;500B3969&quot;/&gt;&lt;wsp:rsid wsp:val=&quot;501773AC&quot;/&gt;&lt;wsp:rsid wsp:val=&quot;506C11F9&quot;/&gt;&lt;wsp:rsid wsp:val=&quot;50CC67E3&quot;/&gt;&lt;wsp:rsid wsp:val=&quot;51051697&quot;/&gt;&lt;wsp:rsid wsp:val=&quot;510D0EFD&quot;/&gt;&lt;wsp:rsid wsp:val=&quot;510D475D&quot;/&gt;&lt;wsp:rsid wsp:val=&quot;517D7BEB&quot;/&gt;&lt;wsp:rsid wsp:val=&quot;519A1E57&quot;/&gt;&lt;wsp:rsid wsp:val=&quot;51A15B22&quot;/&gt;&lt;wsp:rsid wsp:val=&quot;51AD32A1&quot;/&gt;&lt;wsp:rsid wsp:val=&quot;51C536B3&quot;/&gt;&lt;wsp:rsid wsp:val=&quot;52156C24&quot;/&gt;&lt;wsp:rsid wsp:val=&quot;521B72A5&quot;/&gt;&lt;wsp:rsid wsp:val=&quot;524D4853&quot;/&gt;&lt;wsp:rsid wsp:val=&quot;529A2D6C&quot;/&gt;&lt;wsp:rsid wsp:val=&quot;53116184&quot;/&gt;&lt;wsp:rsid wsp:val=&quot;532375F6&quot;/&gt;&lt;wsp:rsid wsp:val=&quot;53371361&quot;/&gt;&lt;wsp:rsid wsp:val=&quot;53596D1B&quot;/&gt;&lt;wsp:rsid wsp:val=&quot;538815F7&quot;/&gt;&lt;wsp:rsid wsp:val=&quot;53A91191&quot;/&gt;&lt;wsp:rsid wsp:val=&quot;542550E7&quot;/&gt;&lt;wsp:rsid wsp:val=&quot;54B5325B&quot;/&gt;&lt;wsp:rsid wsp:val=&quot;54E35B7C&quot;/&gt;&lt;wsp:rsid wsp:val=&quot;550F5EEE&quot;/&gt;&lt;wsp:rsid wsp:val=&quot;55166920&quot;/&gt;&lt;wsp:rsid wsp:val=&quot;5523662D&quot;/&gt;&lt;wsp:rsid wsp:val=&quot;552B5A4D&quot;/&gt;&lt;wsp:rsid wsp:val=&quot;55387CCB&quot;/&gt;&lt;wsp:rsid wsp:val=&quot;55555F09&quot;/&gt;&lt;wsp:rsid wsp:val=&quot;55F76D30&quot;/&gt;&lt;wsp:rsid wsp:val=&quot;569E7A85&quot;/&gt;&lt;wsp:rsid wsp:val=&quot;56E26349&quot;/&gt;&lt;wsp:rsid wsp:val=&quot;56F57BAF&quot;/&gt;&lt;wsp:rsid wsp:val=&quot;57214138&quot;/&gt;&lt;wsp:rsid wsp:val=&quot;575C47AE&quot;/&gt;&lt;wsp:rsid wsp:val=&quot;57940052&quot;/&gt;&lt;wsp:rsid wsp:val=&quot;57D668D6&quot;/&gt;&lt;wsp:rsid wsp:val=&quot;57E047E4&quot;/&gt;&lt;wsp:rsid wsp:val=&quot;57E4116F&quot;/&gt;&lt;wsp:rsid wsp:val=&quot;585D0E02&quot;/&gt;&lt;wsp:rsid wsp:val=&quot;58856FCD&quot;/&gt;&lt;wsp:rsid wsp:val=&quot;58967499&quot;/&gt;&lt;wsp:rsid wsp:val=&quot;59482155&quot;/&gt;&lt;wsp:rsid wsp:val=&quot;59A9006E&quot;/&gt;&lt;wsp:rsid wsp:val=&quot;59B47B55&quot;/&gt;&lt;wsp:rsid wsp:val=&quot;59F37FC5&quot;/&gt;&lt;wsp:rsid wsp:val=&quot;5A2D70FA&quot;/&gt;&lt;wsp:rsid wsp:val=&quot;5A78146B&quot;/&gt;&lt;wsp:rsid wsp:val=&quot;5A7F266F&quot;/&gt;&lt;wsp:rsid wsp:val=&quot;5A86336D&quot;/&gt;&lt;wsp:rsid wsp:val=&quot;5ABD4091&quot;/&gt;&lt;wsp:rsid wsp:val=&quot;5AC60F27&quot;/&gt;&lt;wsp:rsid wsp:val=&quot;5AEA288A&quot;/&gt;&lt;wsp:rsid wsp:val=&quot;5B2E5A3C&quot;/&gt;&lt;wsp:rsid wsp:val=&quot;5B460D50&quot;/&gt;&lt;wsp:rsid wsp:val=&quot;5B662DD9&quot;/&gt;&lt;wsp:rsid wsp:val=&quot;5B7853A3&quot;/&gt;&lt;wsp:rsid wsp:val=&quot;5B814437&quot;/&gt;&lt;wsp:rsid wsp:val=&quot;5BA3149E&quot;/&gt;&lt;wsp:rsid wsp:val=&quot;5BA45F9A&quot;/&gt;&lt;wsp:rsid wsp:val=&quot;5BF37A20&quot;/&gt;&lt;wsp:rsid wsp:val=&quot;5C144168&quot;/&gt;&lt;wsp:rsid wsp:val=&quot;5C6B0AA1&quot;/&gt;&lt;wsp:rsid wsp:val=&quot;5CA15820&quot;/&gt;&lt;wsp:rsid wsp:val=&quot;5CB66C54&quot;/&gt;&lt;wsp:rsid wsp:val=&quot;5CFD0715&quot;/&gt;&lt;wsp:rsid wsp:val=&quot;5D14050A&quot;/&gt;&lt;wsp:rsid wsp:val=&quot;5D431E2E&quot;/&gt;&lt;wsp:rsid wsp:val=&quot;5D4B508E&quot;/&gt;&lt;wsp:rsid wsp:val=&quot;5DFB7ED7&quot;/&gt;&lt;wsp:rsid wsp:val=&quot;5E0C7890&quot;/&gt;&lt;wsp:rsid wsp:val=&quot;5E1B44AC&quot;/&gt;&lt;wsp:rsid wsp:val=&quot;5E384ACE&quot;/&gt;&lt;wsp:rsid wsp:val=&quot;5E6E4CBF&quot;/&gt;&lt;wsp:rsid wsp:val=&quot;5E9C0882&quot;/&gt;&lt;wsp:rsid wsp:val=&quot;5ED5786C&quot;/&gt;&lt;wsp:rsid wsp:val=&quot;5F2A0C65&quot;/&gt;&lt;wsp:rsid wsp:val=&quot;5F4953D8&quot;/&gt;&lt;wsp:rsid wsp:val=&quot;5F9C052F&quot;/&gt;&lt;wsp:rsid wsp:val=&quot;5FAE4FD1&quot;/&gt;&lt;wsp:rsid wsp:val=&quot;5FF02C6C&quot;/&gt;&lt;wsp:rsid wsp:val=&quot;607D344D&quot;/&gt;&lt;wsp:rsid wsp:val=&quot;608D00DF&quot;/&gt;&lt;wsp:rsid wsp:val=&quot;60A26592&quot;/&gt;&lt;wsp:rsid wsp:val=&quot;60C32C51&quot;/&gt;&lt;wsp:rsid wsp:val=&quot;60C93644&quot;/&gt;&lt;wsp:rsid wsp:val=&quot;60F50A86&quot;/&gt;&lt;wsp:rsid wsp:val=&quot;60FB32DA&quot;/&gt;&lt;wsp:rsid wsp:val=&quot;61217355&quot;/&gt;&lt;wsp:rsid wsp:val=&quot;61412388&quot;/&gt;&lt;wsp:rsid wsp:val=&quot;618A7364&quot;/&gt;&lt;wsp:rsid wsp:val=&quot;61B60BAE&quot;/&gt;&lt;wsp:rsid wsp:val=&quot;62847F3C&quot;/&gt;&lt;wsp:rsid wsp:val=&quot;63162CDE&quot;/&gt;&lt;wsp:rsid wsp:val=&quot;632637D9&quot;/&gt;&lt;wsp:rsid wsp:val=&quot;632744DE&quot;/&gt;&lt;wsp:rsid wsp:val=&quot;63315D8B&quot;/&gt;&lt;wsp:rsid wsp:val=&quot;635E6959&quot;/&gt;&lt;wsp:rsid wsp:val=&quot;637C517D&quot;/&gt;&lt;wsp:rsid wsp:val=&quot;63CC1AEC&quot;/&gt;&lt;wsp:rsid wsp:val=&quot;63FC310E&quot;/&gt;&lt;wsp:rsid wsp:val=&quot;647E66F8&quot;/&gt;&lt;wsp:rsid wsp:val=&quot;64B7332D&quot;/&gt;&lt;wsp:rsid wsp:val=&quot;654A6F89&quot;/&gt;&lt;wsp:rsid wsp:val=&quot;657C7C64&quot;/&gt;&lt;wsp:rsid wsp:val=&quot;6593698D&quot;/&gt;&lt;wsp:rsid wsp:val=&quot;65CE3E56&quot;/&gt;&lt;wsp:rsid wsp:val=&quot;65FD4A13&quot;/&gt;&lt;wsp:rsid wsp:val=&quot;663A6CF4&quot;/&gt;&lt;wsp:rsid wsp:val=&quot;664D6053&quot;/&gt;&lt;wsp:rsid wsp:val=&quot;66806EE2&quot;/&gt;&lt;wsp:rsid wsp:val=&quot;668332C9&quot;/&gt;&lt;wsp:rsid wsp:val=&quot;66AE3579&quot;/&gt;&lt;wsp:rsid wsp:val=&quot;66DC5157&quot;/&gt;&lt;wsp:rsid wsp:val=&quot;67003C27&quot;/&gt;&lt;wsp:rsid wsp:val=&quot;670850A7&quot;/&gt;&lt;wsp:rsid wsp:val=&quot;67D345A3&quot;/&gt;&lt;wsp:rsid wsp:val=&quot;67E47A65&quot;/&gt;&lt;wsp:rsid wsp:val=&quot;68090B7B&quot;/&gt;&lt;wsp:rsid wsp:val=&quot;680E4CDF&quot;/&gt;&lt;wsp:rsid wsp:val=&quot;68962BCC&quot;/&gt;&lt;wsp:rsid wsp:val=&quot;689A34AB&quot;/&gt;&lt;wsp:rsid wsp:val=&quot;68B91C8F&quot;/&gt;&lt;wsp:rsid wsp:val=&quot;68BC72C5&quot;/&gt;&lt;wsp:rsid wsp:val=&quot;68DC48E0&quot;/&gt;&lt;wsp:rsid wsp:val=&quot;69022C1A&quot;/&gt;&lt;wsp:rsid wsp:val=&quot;69155734&quot;/&gt;&lt;wsp:rsid wsp:val=&quot;694A731E&quot;/&gt;&lt;wsp:rsid wsp:val=&quot;69774A45&quot;/&gt;&lt;wsp:rsid wsp:val=&quot;69A81E0E&quot;/&gt;&lt;wsp:rsid wsp:val=&quot;69AA5889&quot;/&gt;&lt;wsp:rsid wsp:val=&quot;69B206E0&quot;/&gt;&lt;wsp:rsid wsp:val=&quot;69ED1242&quot;/&gt;&lt;wsp:rsid wsp:val=&quot;69F121DE&quot;/&gt;&lt;wsp:rsid wsp:val=&quot;6A22511A&quot;/&gt;&lt;wsp:rsid wsp:val=&quot;6A390836&quot;/&gt;&lt;wsp:rsid wsp:val=&quot;6A5E4F9A&quot;/&gt;&lt;wsp:rsid wsp:val=&quot;6A900A08&quot;/&gt;&lt;wsp:rsid wsp:val=&quot;6AFA13E0&quot;/&gt;&lt;wsp:rsid wsp:val=&quot;6AFA6FBB&quot;/&gt;&lt;wsp:rsid wsp:val=&quot;6AFA7658&quot;/&gt;&lt;wsp:rsid wsp:val=&quot;6C6F4D3D&quot;/&gt;&lt;wsp:rsid wsp:val=&quot;6C956C96&quot;/&gt;&lt;wsp:rsid wsp:val=&quot;6CB730A4&quot;/&gt;&lt;wsp:rsid wsp:val=&quot;6CD61291&quot;/&gt;&lt;wsp:rsid wsp:val=&quot;6CE9060B&quot;/&gt;&lt;wsp:rsid wsp:val=&quot;6D0268D6&quot;/&gt;&lt;wsp:rsid wsp:val=&quot;6D280C63&quot;/&gt;&lt;wsp:rsid wsp:val=&quot;6DCD7F6B&quot;/&gt;&lt;wsp:rsid wsp:val=&quot;6DFA70C2&quot;/&gt;&lt;wsp:rsid wsp:val=&quot;6E3D0B6A&quot;/&gt;&lt;wsp:rsid wsp:val=&quot;6E466662&quot;/&gt;&lt;wsp:rsid wsp:val=&quot;6E6B71DB&quot;/&gt;&lt;wsp:rsid wsp:val=&quot;6EA362F4&quot;/&gt;&lt;wsp:rsid wsp:val=&quot;6EB0191A&quot;/&gt;&lt;wsp:rsid wsp:val=&quot;6F6824B9&quot;/&gt;&lt;wsp:rsid wsp:val=&quot;6F764F7F&quot;/&gt;&lt;wsp:rsid wsp:val=&quot;6FA21116&quot;/&gt;&lt;wsp:rsid wsp:val=&quot;70081199&quot;/&gt;&lt;wsp:rsid wsp:val=&quot;700B0D0E&quot;/&gt;&lt;wsp:rsid wsp:val=&quot;70AF29F5&quot;/&gt;&lt;wsp:rsid wsp:val=&quot;70B80716&quot;/&gt;&lt;wsp:rsid wsp:val=&quot;70C2541E&quot;/&gt;&lt;wsp:rsid wsp:val=&quot;713F279B&quot;/&gt;&lt;wsp:rsid wsp:val=&quot;715B2C94&quot;/&gt;&lt;wsp:rsid wsp:val=&quot;715C640D&quot;/&gt;&lt;wsp:rsid wsp:val=&quot;719A03AB&quot;/&gt;&lt;wsp:rsid wsp:val=&quot;71B765A5&quot;/&gt;&lt;wsp:rsid wsp:val=&quot;72A008F2&quot;/&gt;&lt;wsp:rsid wsp:val=&quot;72A87DF6&quot;/&gt;&lt;wsp:rsid wsp:val=&quot;72E516D6&quot;/&gt;&lt;wsp:rsid wsp:val=&quot;734A53A3&quot;/&gt;&lt;wsp:rsid wsp:val=&quot;73A9330E&quot;/&gt;&lt;wsp:rsid wsp:val=&quot;73A96097&quot;/&gt;&lt;wsp:rsid wsp:val=&quot;73CE5EEA&quot;/&gt;&lt;wsp:rsid wsp:val=&quot;73D32E8F&quot;/&gt;&lt;wsp:rsid wsp:val=&quot;73E06E92&quot;/&gt;&lt;wsp:rsid wsp:val=&quot;740B66A0&quot;/&gt;&lt;wsp:rsid wsp:val=&quot;74705A35&quot;/&gt;&lt;wsp:rsid wsp:val=&quot;74A416B3&quot;/&gt;&lt;wsp:rsid wsp:val=&quot;74CE35BD&quot;/&gt;&lt;wsp:rsid wsp:val=&quot;750C27EE&quot;/&gt;&lt;wsp:rsid wsp:val=&quot;75F47043&quot;/&gt;&lt;wsp:rsid wsp:val=&quot;76026D8D&quot;/&gt;&lt;wsp:rsid wsp:val=&quot;7704215A&quot;/&gt;&lt;wsp:rsid wsp:val=&quot;7753414A&quot;/&gt;&lt;wsp:rsid wsp:val=&quot;778D06EB&quot;/&gt;&lt;wsp:rsid wsp:val=&quot;78D200FA&quot;/&gt;&lt;wsp:rsid wsp:val=&quot;78DC42FD&quot;/&gt;&lt;wsp:rsid wsp:val=&quot;78F04373&quot;/&gt;&lt;wsp:rsid wsp:val=&quot;791D5FBB&quot;/&gt;&lt;wsp:rsid wsp:val=&quot;797E7DFC&quot;/&gt;&lt;wsp:rsid wsp:val=&quot;79DA1E6F&quot;/&gt;&lt;wsp:rsid wsp:val=&quot;79FA43CB&quot;/&gt;&lt;wsp:rsid wsp:val=&quot;79FD1061&quot;/&gt;&lt;wsp:rsid wsp:val=&quot;7A9101BF&quot;/&gt;&lt;wsp:rsid wsp:val=&quot;7A982BC4&quot;/&gt;&lt;wsp:rsid wsp:val=&quot;7AE86EFD&quot;/&gt;&lt;wsp:rsid wsp:val=&quot;7B400F9B&quot;/&gt;&lt;wsp:rsid wsp:val=&quot;7B715700&quot;/&gt;&lt;wsp:rsid wsp:val=&quot;7B787442&quot;/&gt;&lt;wsp:rsid wsp:val=&quot;7B8955CC&quot;/&gt;&lt;wsp:rsid wsp:val=&quot;7BCF48E4&quot;/&gt;&lt;wsp:rsid wsp:val=&quot;7BF96742&quot;/&gt;&lt;wsp:rsid wsp:val=&quot;7C356FDB&quot;/&gt;&lt;wsp:rsid wsp:val=&quot;7C503141&quot;/&gt;&lt;wsp:rsid wsp:val=&quot;7C900D2C&quot;/&gt;&lt;wsp:rsid wsp:val=&quot;7C9761F6&quot;/&gt;&lt;wsp:rsid wsp:val=&quot;7C9F542C&quot;/&gt;&lt;wsp:rsid wsp:val=&quot;7CA76A3B&quot;/&gt;&lt;wsp:rsid wsp:val=&quot;7D083865&quot;/&gt;&lt;wsp:rsid wsp:val=&quot;7D21002C&quot;/&gt;&lt;wsp:rsid wsp:val=&quot;7D3326A5&quot;/&gt;&lt;wsp:rsid wsp:val=&quot;7DA40CBD&quot;/&gt;&lt;wsp:rsid wsp:val=&quot;7DB4432B&quot;/&gt;&lt;wsp:rsid wsp:val=&quot;7DF7660D&quot;/&gt;&lt;wsp:rsid wsp:val=&quot;7E4176AB&quot;/&gt;&lt;wsp:rsid wsp:val=&quot;7E447767&quot;/&gt;&lt;wsp:rsid wsp:val=&quot;7EC11AD2&quot;/&gt;&lt;wsp:rsid wsp:val=&quot;7F8819A0&quot;/&gt;&lt;/wsp:rsids&gt;&lt;/w:docPr&gt;&lt;w:body&gt;&lt;wx:sect&gt;&lt;w:p wsp:rsidR=&quot;00000000&quot; wsp:rsidRDefault=&quot;00B30FF9&quot; wsp:rsidP=&quot;00B30FF9&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N-1&lt;/m:t&gt;&lt;/m:r&gt;&lt;/m:num&gt;&lt;m:den&gt;&lt;m:nary&gt;&lt;m:naryPr&gt;&lt;m:chr m:val=&quot;∑&quot;/&gt;&lt;m:limLoc m:val=&quot;subSup&quot;/&gt;&lt;m:ctrlPr&gt;&lt;w:rPr&gt;&lt;w:rFonts w:ascii=&quot;Cambria Math&quot; w:h-ansi=&quot;Cambria Math&quot;/&gt;&lt;wx:font wx:val=&quot;Cambria Math&quot;/&gt;&lt;w:ibbbbbbbbbbbbbbbbbbbbbbbbbbbbbbbbb/&gt;i&lt;w:sz-cs w:val=&quot;21&quot;/&gt;&lt;/w:rPr&gt;&lt;/m:ctrlPr&gt;&lt;/m:naryPr&gt;&lt;m:sub&gt;&lt;m:r&gt;&lt;w:rPr&gt;&lt;w:rFonts w:ascii=&quot;Cambria Math&quot; w:h-ansi=&quot;Cambria Math&quot;/&gt;&lt;wx:font wx:val=&quot;Cambria Math&quot;/&gt;&lt;w:i/&gt;&lt;w:sz-cs w:val=&quot;21&quot;/&gt;&lt;/w:rPr&gt;&lt;m:t&gt;1&lt;/m:t&gt;&lt;/m:r&gt;&lt;/m:sub&gt;&lt;m:sup&gt;&lt;m:r&gt;&lt;w:rPr&gt;&lt;w:rFonts w:ascii=&quot;Cambria Math&quot; w:h-ansi=&quot;Cambria Math&quot;/&gt;&lt;wx:font wx:val=&quot;Cambria Math&quot;/&gt;&lt;w:i/&gt;&lt;w:sz-cs w:val=&quot;21&quot;/&gt;&lt;/w:rPr&gt;&lt;m:t&gt;N&lt;/m:t&gt;&lt;/m:r&gt;&lt;/m:sup&gt;&lt;m:e&gt;&lt;m:r&gt;&lt;w:rPr&gt;&lt;w:rFonts w:ascii=&quot;Cambria Math&quot; w:h-ansi=&quot;Cambria Math&quot;/&gt;&lt;wx:font wx:val=&quot;Cambria Math&quot;/&gt;&lt;w:i/&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6" chromakey="#FFFFFF" o:title=""/>
            <o:lock v:ext="edit" aspectratio="t"/>
            <w10:wrap type="none"/>
            <w10:anchorlock/>
          </v:shape>
        </w:pict>
      </w:r>
      <w:r>
        <w:rPr>
          <w:rFonts w:ascii="宋体" w:hAnsi="宋体"/>
          <w:color w:val="auto"/>
          <w:sz w:val="24"/>
          <w:szCs w:val="24"/>
          <w:highlight w:val="none"/>
          <w:u w:val="single"/>
        </w:rPr>
        <w:fldChar w:fldCharType="end"/>
      </w:r>
      <w:r>
        <w:rPr>
          <w:rFonts w:ascii="宋体" w:hAnsi="宋体"/>
          <w:color w:val="auto"/>
          <w:sz w:val="24"/>
          <w:szCs w:val="24"/>
          <w:highlight w:val="none"/>
          <w:u w:val="single"/>
        </w:rPr>
        <w:t>），以此类推，最后一名投标人的权重为（</w:t>
      </w:r>
      <w:r>
        <w:rPr>
          <w:rFonts w:ascii="宋体" w:hAnsi="宋体"/>
          <w:color w:val="auto"/>
          <w:sz w:val="24"/>
          <w:szCs w:val="24"/>
          <w:highlight w:val="none"/>
          <w:u w:val="single"/>
        </w:rPr>
        <w:fldChar w:fldCharType="begin"/>
      </w:r>
      <w:r>
        <w:rPr>
          <w:rFonts w:ascii="宋体" w:hAnsi="宋体"/>
          <w:color w:val="auto"/>
          <w:sz w:val="24"/>
          <w:szCs w:val="24"/>
          <w:highlight w:val="none"/>
          <w:u w:val="single"/>
        </w:rPr>
        <w:instrText xml:space="preserve"> QUOTE </w:instrText>
      </w:r>
      <w:r>
        <w:rPr>
          <w:color w:val="auto"/>
          <w:position w:val="-26"/>
          <w:sz w:val="24"/>
          <w:szCs w:val="24"/>
          <w:highlight w:val="none"/>
        </w:rPr>
        <w:pict>
          <v:shape id="_x0000_i1029" o:spt="75" type="#_x0000_t75" style="height:31pt;width:1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06F1A&quot;/&gt;&lt;wsp:rsid wsp:val=&quot;00007E51&quot;/&gt;&lt;wsp:rsid wsp:val=&quot;00020A10&quot;/&gt;&lt;wsp:rsid wsp:val=&quot;00021215&quot;/&gt;&lt;wsp:rsid wsp:val=&quot;000324E5&quot;/&gt;&lt;wsp:rsid wsp:val=&quot;000477E9&quot;/&gt;&lt;wsp:rsid wsp:val=&quot;00057C27&quot;/&gt;&lt;wsp:rsid wsp:val=&quot;00072A2B&quot;/&gt;&lt;wsp:rsid wsp:val=&quot;00075D0C&quot;/&gt;&lt;wsp:rsid wsp:val=&quot;00075ED5&quot;/&gt;&lt;wsp:rsid wsp:val=&quot;00076837&quot;/&gt;&lt;wsp:rsid wsp:val=&quot;0008002C&quot;/&gt;&lt;wsp:rsid wsp:val=&quot;0008329B&quot;/&gt;&lt;wsp:rsid wsp:val=&quot;00087876&quot;/&gt;&lt;wsp:rsid wsp:val=&quot;000905EE&quot;/&gt;&lt;wsp:rsid wsp:val=&quot;000A68CE&quot;/&gt;&lt;wsp:rsid wsp:val=&quot;000B0301&quot;/&gt;&lt;wsp:rsid wsp:val=&quot;000C1B8F&quot;/&gt;&lt;wsp:rsid wsp:val=&quot;000C4EFD&quot;/&gt;&lt;wsp:rsid wsp:val=&quot;000C6689&quot;/&gt;&lt;wsp:rsid wsp:val=&quot;000D640D&quot;/&gt;&lt;wsp:rsid wsp:val=&quot;000E3D52&quot;/&gt;&lt;wsp:rsid wsp:val=&quot;000E5601&quot;/&gt;&lt;wsp:rsid wsp:val=&quot;000F0AF7&quot;/&gt;&lt;wsp:rsid wsp:val=&quot;000F3ED4&quot;/&gt;&lt;wsp:rsid wsp:val=&quot;00102559&quot;/&gt;&lt;wsp:rsid wsp:val=&quot;001043D3&quot;/&gt;&lt;wsp:rsid wsp:val=&quot;0011000F&quot;/&gt;&lt;wsp:rsid wsp:val=&quot;00130415&quot;/&gt;&lt;wsp:rsid wsp:val=&quot;00140939&quot;/&gt;&lt;wsp:rsid wsp:val=&quot;00152CF2&quot;/&gt;&lt;wsp:rsid wsp:val=&quot;0016302F&quot;/&gt;&lt;wsp:rsid wsp:val=&quot;00177DE9&quot;/&gt;&lt;wsp:rsid wsp:val=&quot;001815B5&quot;/&gt;&lt;wsp:rsid wsp:val=&quot;001952AB&quot;/&gt;&lt;wsp:rsid wsp:val=&quot;001962B9&quot;/&gt;&lt;wsp:rsid wsp:val=&quot;001A02CE&quot;/&gt;&lt;wsp:rsid wsp:val=&quot;001A06AD&quot;/&gt;&lt;wsp:rsid wsp:val=&quot;001C51B2&quot;/&gt;&lt;wsp:rsid wsp:val=&quot;001C78D8&quot;/&gt;&lt;wsp:rsid wsp:val=&quot;001C7C5D&quot;/&gt;&lt;wsp:rsid wsp:val=&quot;001D0171&quot;/&gt;&lt;wsp:rsid wsp:val=&quot;00207966&quot;/&gt;&lt;wsp:rsid wsp:val=&quot;002115C4&quot;/&gt;&lt;wsp:rsid wsp:val=&quot;00217AA1&quot;/&gt;&lt;wsp:rsid wsp:val=&quot;00227398&quot;/&gt;&lt;wsp:rsid wsp:val=&quot;002361A8&quot;/&gt;&lt;wsp:rsid wsp:val=&quot;00237E28&quot;/&gt;&lt;wsp:rsid wsp:val=&quot;00240E85&quot;/&gt;&lt;wsp:rsid wsp:val=&quot;002428EE&quot;/&gt;&lt;wsp:rsid wsp:val=&quot;00254D5D&quot;/&gt;&lt;wsp:rsid wsp:val=&quot;00255301&quot;/&gt;&lt;wsp:rsid wsp:val=&quot;002615BB&quot;/&gt;&lt;wsp:rsid wsp:val=&quot;00264048&quot;/&gt;&lt;wsp:rsid wsp:val=&quot;002641DB&quot;/&gt;&lt;wsp:rsid wsp:val=&quot;00265159&quot;/&gt;&lt;wsp:rsid wsp:val=&quot;00285782&quot;/&gt;&lt;wsp:rsid wsp:val=&quot;00291CE3&quot;/&gt;&lt;wsp:rsid wsp:val=&quot;00296E5A&quot;/&gt;&lt;wsp:rsid wsp:val=&quot;002A13CE&quot;/&gt;&lt;wsp:rsid wsp:val=&quot;002A6C86&quot;/&gt;&lt;wsp:rsid wsp:val=&quot;002B0328&quot;/&gt;&lt;wsp:rsid wsp:val=&quot;002B2B5D&quot;/&gt;&lt;wsp:rsid wsp:val=&quot;002C2022&quot;/&gt;&lt;wsp:rsid wsp:val=&quot;002C61BA&quot;/&gt;&lt;wsp:rsid wsp:val=&quot;002D3C44&quot;/&gt;&lt;wsp:rsid wsp:val=&quot;002E0A9A&quot;/&gt;&lt;wsp:rsid wsp:val=&quot;002E12E5&quot;/&gt;&lt;wsp:rsid wsp:val=&quot;002F553C&quot;/&gt;&lt;wsp:rsid wsp:val=&quot;003067A4&quot;/&gt;&lt;wsp:rsid wsp:val=&quot;00313B2C&quot;/&gt;&lt;wsp:rsid wsp:val=&quot;00315E5D&quot;/&gt;&lt;wsp:rsid wsp:val=&quot;00317804&quot;/&gt;&lt;wsp:rsid wsp:val=&quot;0032461E&quot;/&gt;&lt;wsp:rsid wsp:val=&quot;00327B69&quot;/&gt;&lt;wsp:rsid wsp:val=&quot;00330DE6&quot;/&gt;&lt;wsp:rsid wsp:val=&quot;00333F87&quot;/&gt;&lt;wsp:rsid wsp:val=&quot;003348FD&quot;/&gt;&lt;wsp:rsid wsp:val=&quot;00335354&quot;/&gt;&lt;wsp:rsid wsp:val=&quot;003522D1&quot;/&gt;&lt;wsp:rsid wsp:val=&quot;003526C3&quot;/&gt;&lt;wsp:rsid wsp:val=&quot;00366167&quot;/&gt;&lt;wsp:rsid wsp:val=&quot;00371C81&quot;/&gt;&lt;wsp:rsid wsp:val=&quot;00371CB0&quot;/&gt;&lt;wsp:rsid wsp:val=&quot;00382ADD&quot;/&gt;&lt;wsp:rsid wsp:val=&quot;00386F5B&quot;/&gt;&lt;wsp:rsid wsp:val=&quot;003879A7&quot;/&gt;&lt;wsp:rsid wsp:val=&quot;00394F76&quot;/&gt;&lt;wsp:rsid wsp:val=&quot;00396BE6&quot;/&gt;&lt;wsp:rsid wsp:val=&quot;003A4B0A&quot;/&gt;&lt;wsp:rsid wsp:val=&quot;003B306A&quot;/&gt;&lt;wsp:rsid wsp:val=&quot;003C0E5C&quot;/&gt;&lt;wsp:rsid wsp:val=&quot;003C3D3C&quot;/&gt;&lt;wsp:rsid wsp:val=&quot;003C6584&quot;/&gt;&lt;wsp:rsid wsp:val=&quot;003D7289&quot;/&gt;&lt;wsp:rsid wsp:val=&quot;003E4322&quot;/&gt;&lt;wsp:rsid wsp:val=&quot;003F0FC4&quot;/&gt;&lt;wsp:rsid wsp:val=&quot;003F571F&quot;/&gt;&lt;wsp:rsid wsp:val=&quot;0040471C&quot;/&gt;&lt;wsp:rsid wsp:val=&quot;004102B2&quot;/&gt;&lt;wsp:rsid wsp:val=&quot;0041385E&quot;/&gt;&lt;wsp:rsid wsp:val=&quot;00417D6F&quot;/&gt;&lt;wsp:rsid wsp:val=&quot;00431FFB&quot;/&gt;&lt;wsp:rsid wsp:val=&quot;00432E11&quot;/&gt;&lt;wsp:rsid wsp:val=&quot;004357ED&quot;/&gt;&lt;wsp:rsid wsp:val=&quot;00442AB3&quot;/&gt;&lt;wsp:rsid wsp:val=&quot;00445B6E&quot;/&gt;&lt;wsp:rsid wsp:val=&quot;004518A2&quot;/&gt;&lt;wsp:rsid wsp:val=&quot;0045295A&quot;/&gt;&lt;wsp:rsid wsp:val=&quot;00457E48&quot;/&gt;&lt;wsp:rsid wsp:val=&quot;004650D9&quot;/&gt;&lt;wsp:rsid wsp:val=&quot;0048402E&quot;/&gt;&lt;wsp:rsid wsp:val=&quot;00484805&quot;/&gt;&lt;wsp:rsid wsp:val=&quot;004A1B03&quot;/&gt;&lt;wsp:rsid wsp:val=&quot;004A5F83&quot;/&gt;&lt;wsp:rsid wsp:val=&quot;004A617E&quot;/&gt;&lt;wsp:rsid wsp:val=&quot;004B5364&quot;/&gt;&lt;wsp:rsid wsp:val=&quot;004C27EC&quot;/&gt;&lt;wsp:rsid wsp:val=&quot;004C524F&quot;/&gt;&lt;wsp:rsid wsp:val=&quot;004D2901&quot;/&gt;&lt;wsp:rsid wsp:val=&quot;0050376E&quot;/&gt;&lt;wsp:rsid wsp:val=&quot;00504DBA&quot;/&gt;&lt;wsp:rsid wsp:val=&quot;00513598&quot;/&gt;&lt;wsp:rsid wsp:val=&quot;00516CE1&quot;/&gt;&lt;wsp:rsid wsp:val=&quot;00517341&quot;/&gt;&lt;wsp:rsid wsp:val=&quot;00523A2D&quot;/&gt;&lt;wsp:rsid wsp:val=&quot;00525C33&quot;/&gt;&lt;wsp:rsid wsp:val=&quot;0053690D&quot;/&gt;&lt;wsp:rsid wsp:val=&quot;005430F0&quot;/&gt;&lt;wsp:rsid wsp:val=&quot;00563784&quot;/&gt;&lt;wsp:rsid wsp:val=&quot;0056407F&quot;/&gt;&lt;wsp:rsid wsp:val=&quot;0057670E&quot;/&gt;&lt;wsp:rsid wsp:val=&quot;00594885&quot;/&gt;&lt;wsp:rsid wsp:val=&quot;00595900&quot;/&gt;&lt;wsp:rsid wsp:val=&quot;005C2CED&quot;/&gt;&lt;wsp:rsid wsp:val=&quot;005D14A6&quot;/&gt;&lt;wsp:rsid wsp:val=&quot;005F00FE&quot;/&gt;&lt;wsp:rsid wsp:val=&quot;005F1D1C&quot;/&gt;&lt;wsp:rsid wsp:val=&quot;005F40F3&quot;/&gt;&lt;wsp:rsid wsp:val=&quot;0060317D&quot;/&gt;&lt;wsp:rsid wsp:val=&quot;006065AF&quot;/&gt;&lt;wsp:rsid wsp:val=&quot;006109C9&quot;/&gt;&lt;wsp:rsid wsp:val=&quot;00624AA1&quot;/&gt;&lt;wsp:rsid wsp:val=&quot;006333C6&quot;/&gt;&lt;wsp:rsid wsp:val=&quot;006352BF&quot;/&gt;&lt;wsp:rsid wsp:val=&quot;006422D2&quot;/&gt;&lt;wsp:rsid wsp:val=&quot;00643AF1&quot;/&gt;&lt;wsp:rsid wsp:val=&quot;00656123&quot;/&gt;&lt;wsp:rsid wsp:val=&quot;006617EA&quot;/&gt;&lt;wsp:rsid wsp:val=&quot;00667F0C&quot;/&gt;&lt;wsp:rsid wsp:val=&quot;006715FF&quot;/&gt;&lt;wsp:rsid wsp:val=&quot;00676A9B&quot;/&gt;&lt;wsp:rsid wsp:val=&quot;006951CC&quot;/&gt;&lt;wsp:rsid wsp:val=&quot;006B2956&quot;/&gt;&lt;wsp:rsid wsp:val=&quot;006B6B0D&quot;/&gt;&lt;wsp:rsid wsp:val=&quot;006D0462&quot;/&gt;&lt;wsp:rsid wsp:val=&quot;006E53F2&quot;/&gt;&lt;wsp:rsid wsp:val=&quot;00704352&quot;/&gt;&lt;wsp:rsid wsp:val=&quot;00722250&quot;/&gt;&lt;wsp:rsid wsp:val=&quot;00734ACD&quot;/&gt;&lt;wsp:rsid wsp:val=&quot;00736852&quot;/&gt;&lt;wsp:rsid wsp:val=&quot;00747747&quot;/&gt;&lt;wsp:rsid wsp:val=&quot;00747DDB&quot;/&gt;&lt;wsp:rsid wsp:val=&quot;0076060A&quot;/&gt;&lt;wsp:rsid wsp:val=&quot;007667B4&quot;/&gt;&lt;wsp:rsid wsp:val=&quot;00766EA6&quot;/&gt;&lt;wsp:rsid wsp:val=&quot;007836E3&quot;/&gt;&lt;wsp:rsid wsp:val=&quot;00785D05&quot;/&gt;&lt;wsp:rsid wsp:val=&quot;007B0DB1&quot;/&gt;&lt;wsp:rsid wsp:val=&quot;007B41BE&quot;/&gt;&lt;wsp:rsid wsp:val=&quot;007C2DCD&quot;/&gt;&lt;wsp:rsid wsp:val=&quot;007D5DB9&quot;/&gt;&lt;wsp:rsid wsp:val=&quot;007F15F5&quot;/&gt;&lt;wsp:rsid wsp:val=&quot;00805F18&quot;/&gt;&lt;wsp:rsid wsp:val=&quot;008100A9&quot;/&gt;&lt;wsp:rsid wsp:val=&quot;00815D5E&quot;/&gt;&lt;wsp:rsid wsp:val=&quot;00821B8C&quot;/&gt;&lt;wsp:rsid wsp:val=&quot;00826815&quot;/&gt;&lt;wsp:rsid wsp:val=&quot;00826CA9&quot;/&gt;&lt;wsp:rsid wsp:val=&quot;00831B79&quot;/&gt;&lt;wsp:rsid wsp:val=&quot;008449D3&quot;/&gt;&lt;wsp:rsid wsp:val=&quot;00847038&quot;/&gt;&lt;wsp:rsid wsp:val=&quot;00853529&quot;/&gt;&lt;wsp:rsid wsp:val=&quot;00855DF8&quot;/&gt;&lt;wsp:rsid wsp:val=&quot;0085741F&quot;/&gt;&lt;wsp:rsid wsp:val=&quot;008610B7&quot;/&gt;&lt;wsp:rsid wsp:val=&quot;008624DC&quot;/&gt;&lt;wsp:rsid wsp:val=&quot;0086260D&quot;/&gt;&lt;wsp:rsid wsp:val=&quot;00863329&quot;/&gt;&lt;wsp:rsid wsp:val=&quot;0086516E&quot;/&gt;&lt;wsp:rsid wsp:val=&quot;00875632&quot;/&gt;&lt;wsp:rsid wsp:val=&quot;00880F8B&quot;/&gt;&lt;wsp:rsid wsp:val=&quot;00881879&quot;/&gt;&lt;wsp:rsid wsp:val=&quot;00883788&quot;/&gt;&lt;wsp:rsid wsp:val=&quot;008863FA&quot;/&gt;&lt;wsp:rsid wsp:val=&quot;00896624&quot;/&gt;&lt;wsp:rsid wsp:val=&quot;00897CFA&quot;/&gt;&lt;wsp:rsid wsp:val=&quot;00897EE5&quot;/&gt;&lt;wsp:rsid wsp:val=&quot;008A0349&quot;/&gt;&lt;wsp:rsid wsp:val=&quot;008A1536&quot;/&gt;&lt;wsp:rsid wsp:val=&quot;008B1C37&quot;/&gt;&lt;wsp:rsid wsp:val=&quot;008B7608&quot;/&gt;&lt;wsp:rsid wsp:val=&quot;008D6739&quot;/&gt;&lt;wsp:rsid wsp:val=&quot;008F35F8&quot;/&gt;&lt;wsp:rsid wsp:val=&quot;00910925&quot;/&gt;&lt;wsp:rsid wsp:val=&quot;009153D5&quot;/&gt;&lt;wsp:rsid wsp:val=&quot;0092235B&quot;/&gt;&lt;wsp:rsid wsp:val=&quot;009237A8&quot;/&gt;&lt;wsp:rsid wsp:val=&quot;0092698F&quot;/&gt;&lt;wsp:rsid wsp:val=&quot;00947FBF&quot;/&gt;&lt;wsp:rsid wsp:val=&quot;00955AEF&quot;/&gt;&lt;wsp:rsid wsp:val=&quot;009613F8&quot;/&gt;&lt;wsp:rsid wsp:val=&quot;00964203&quot;/&gt;&lt;wsp:rsid wsp:val=&quot;00965C9C&quot;/&gt;&lt;wsp:rsid wsp:val=&quot;00970EB6&quot;/&gt;&lt;wsp:rsid wsp:val=&quot;00976F0E&quot;/&gt;&lt;wsp:rsid wsp:val=&quot;009865BE&quot;/&gt;&lt;wsp:rsid wsp:val=&quot;00986F57&quot;/&gt;&lt;wsp:rsid wsp:val=&quot;0099075E&quot;/&gt;&lt;wsp:rsid wsp:val=&quot;00994CA1&quot;/&gt;&lt;wsp:rsid wsp:val=&quot;0099768F&quot;/&gt;&lt;wsp:rsid wsp:val=&quot;00997757&quot;/&gt;&lt;wsp:rsid wsp:val=&quot;009B1F09&quot;/&gt;&lt;wsp:rsid wsp:val=&quot;009B6DEC&quot;/&gt;&lt;wsp:rsid wsp:val=&quot;009C29C9&quot;/&gt;&lt;wsp:rsid wsp:val=&quot;009D7CE3&quot;/&gt;&lt;wsp:rsid wsp:val=&quot;00A024F5&quot;/&gt;&lt;wsp:rsid wsp:val=&quot;00A35622&quot;/&gt;&lt;wsp:rsid wsp:val=&quot;00A456D5&quot;/&gt;&lt;wsp:rsid wsp:val=&quot;00A540E9&quot;/&gt;&lt;wsp:rsid wsp:val=&quot;00A61EAB&quot;/&gt;&lt;wsp:rsid wsp:val=&quot;00A65B31&quot;/&gt;&lt;wsp:rsid wsp:val=&quot;00A665F0&quot;/&gt;&lt;wsp:rsid wsp:val=&quot;00A66B33&quot;/&gt;&lt;wsp:rsid wsp:val=&quot;00A733EE&quot;/&gt;&lt;wsp:rsid wsp:val=&quot;00A80E3F&quot;/&gt;&lt;wsp:rsid wsp:val=&quot;00A92FB5&quot;/&gt;&lt;wsp:rsid wsp:val=&quot;00A935F1&quot;/&gt;&lt;wsp:rsid wsp:val=&quot;00AB134C&quot;/&gt;&lt;wsp:rsid wsp:val=&quot;00AB6CD8&quot;/&gt;&lt;wsp:rsid wsp:val=&quot;00AB7559&quot;/&gt;&lt;wsp:rsid wsp:val=&quot;00AD09E5&quot;/&gt;&lt;wsp:rsid wsp:val=&quot;00AD2004&quot;/&gt;&lt;wsp:rsid wsp:val=&quot;00AF4CEB&quot;/&gt;&lt;wsp:rsid wsp:val=&quot;00B04828&quot;/&gt;&lt;wsp:rsid wsp:val=&quot;00B10668&quot;/&gt;&lt;wsp:rsid wsp:val=&quot;00B15F09&quot;/&gt;&lt;wsp:rsid wsp:val=&quot;00B244A8&quot;/&gt;&lt;wsp:rsid wsp:val=&quot;00B339F9&quot;/&gt;&lt;wsp:rsid wsp:val=&quot;00B377D8&quot;/&gt;&lt;wsp:rsid wsp:val=&quot;00B5278F&quot;/&gt;&lt;wsp:rsid wsp:val=&quot;00B55CB1&quot;/&gt;&lt;wsp:rsid wsp:val=&quot;00B66ECB&quot;/&gt;&lt;wsp:rsid wsp:val=&quot;00B81E28&quot;/&gt;&lt;wsp:rsid wsp:val=&quot;00B9192A&quot;/&gt;&lt;wsp:rsid wsp:val=&quot;00B93351&quot;/&gt;&lt;wsp:rsid wsp:val=&quot;00B96A0C&quot;/&gt;&lt;wsp:rsid wsp:val=&quot;00BA1175&quot;/&gt;&lt;wsp:rsid wsp:val=&quot;00BB4AFB&quot;/&gt;&lt;wsp:rsid wsp:val=&quot;00BC161C&quot;/&gt;&lt;wsp:rsid wsp:val=&quot;00BC45FF&quot;/&gt;&lt;wsp:rsid wsp:val=&quot;00BD1CE9&quot;/&gt;&lt;wsp:rsid wsp:val=&quot;00BD4E60&quot;/&gt;&lt;wsp:rsid wsp:val=&quot;00BD55AC&quot;/&gt;&lt;wsp:rsid wsp:val=&quot;00BE17C4&quot;/&gt;&lt;wsp:rsid wsp:val=&quot;00BF06E8&quot;/&gt;&lt;wsp:rsid wsp:val=&quot;00BF5FFE&quot;/&gt;&lt;wsp:rsid wsp:val=&quot;00C12A93&quot;/&gt;&lt;wsp:rsid wsp:val=&quot;00C23657&quot;/&gt;&lt;wsp:rsid wsp:val=&quot;00C31D71&quot;/&gt;&lt;wsp:rsid wsp:val=&quot;00C32EE0&quot;/&gt;&lt;wsp:rsid wsp:val=&quot;00C349B6&quot;/&gt;&lt;wsp:rsid wsp:val=&quot;00C356CB&quot;/&gt;&lt;wsp:rsid wsp:val=&quot;00C408D3&quot;/&gt;&lt;wsp:rsid wsp:val=&quot;00C46D7B&quot;/&gt;&lt;wsp:rsid wsp:val=&quot;00C51BE4&quot;/&gt;&lt;wsp:rsid wsp:val=&quot;00C65559&quot;/&gt;&lt;wsp:rsid wsp:val=&quot;00C6771C&quot;/&gt;&lt;wsp:rsid wsp:val=&quot;00C834D4&quot;/&gt;&lt;wsp:rsid wsp:val=&quot;00C86130&quot;/&gt;&lt;wsp:rsid wsp:val=&quot;00CA2D54&quot;/&gt;&lt;wsp:rsid wsp:val=&quot;00CB0AB5&quot;/&gt;&lt;wsp:rsid wsp:val=&quot;00CB3EAB&quot;/&gt;&lt;wsp:rsid wsp:val=&quot;00CC2BD7&quot;/&gt;&lt;wsp:rsid wsp:val=&quot;00CD0840&quot;/&gt;&lt;wsp:rsid wsp:val=&quot;00CD09D7&quot;/&gt;&lt;wsp:rsid wsp:val=&quot;00CD517C&quot;/&gt;&lt;wsp:rsid wsp:val=&quot;00CE3BD3&quot;/&gt;&lt;wsp:rsid wsp:val=&quot;00CF7247&quot;/&gt;&lt;wsp:rsid wsp:val=&quot;00D052E8&quot;/&gt;&lt;wsp:rsid wsp:val=&quot;00D1277A&quot;/&gt;&lt;wsp:rsid wsp:val=&quot;00D13F94&quot;/&gt;&lt;wsp:rsid wsp:val=&quot;00D23DF9&quot;/&gt;&lt;wsp:rsid wsp:val=&quot;00D27280&quot;/&gt;&lt;wsp:rsid wsp:val=&quot;00D47795&quot;/&gt;&lt;wsp:rsid wsp:val=&quot;00D63F39&quot;/&gt;&lt;wsp:rsid wsp:val=&quot;00D66825&quot;/&gt;&lt;wsp:rsid wsp:val=&quot;00D668BF&quot;/&gt;&lt;wsp:rsid wsp:val=&quot;00D85019&quot;/&gt;&lt;wsp:rsid wsp:val=&quot;00D87A48&quot;/&gt;&lt;wsp:rsid wsp:val=&quot;00DA33DC&quot;/&gt;&lt;wsp:rsid wsp:val=&quot;00DC726E&quot;/&gt;&lt;wsp:rsid wsp:val=&quot;00DD087A&quot;/&gt;&lt;wsp:rsid wsp:val=&quot;00DD15DA&quot;/&gt;&lt;wsp:rsid wsp:val=&quot;00DD39F7&quot;/&gt;&lt;wsp:rsid wsp:val=&quot;00DE2532&quot;/&gt;&lt;wsp:rsid wsp:val=&quot;00DE7F75&quot;/&gt;&lt;wsp:rsid wsp:val=&quot;00DF0FEA&quot;/&gt;&lt;wsp:rsid wsp:val=&quot;00E00DBC&quot;/&gt;&lt;wsp:rsid wsp:val=&quot;00E0419C&quot;/&gt;&lt;wsp:rsid wsp:val=&quot;00E05A58&quot;/&gt;&lt;wsp:rsid wsp:val=&quot;00E111B7&quot;/&gt;&lt;wsp:rsid wsp:val=&quot;00E1755F&quot;/&gt;&lt;wsp:rsid wsp:val=&quot;00E21904&quot;/&gt;&lt;wsp:rsid wsp:val=&quot;00E31316&quot;/&gt;&lt;wsp:rsid wsp:val=&quot;00E417A7&quot;/&gt;&lt;wsp:rsid wsp:val=&quot;00E56B1C&quot;/&gt;&lt;wsp:rsid wsp:val=&quot;00E61ECE&quot;/&gt;&lt;wsp:rsid wsp:val=&quot;00E6607A&quot;/&gt;&lt;wsp:rsid wsp:val=&quot;00E93861&quot;/&gt;&lt;wsp:rsid wsp:val=&quot;00E97297&quot;/&gt;&lt;wsp:rsid wsp:val=&quot;00EA3E65&quot;/&gt;&lt;wsp:rsid wsp:val=&quot;00EB4D9C&quot;/&gt;&lt;wsp:rsid wsp:val=&quot;00EC3064&quot;/&gt;&lt;wsp:rsid wsp:val=&quot;00ED21EA&quot;/&gt;&lt;wsp:rsid wsp:val=&quot;00ED6676&quot;/&gt;&lt;wsp:rsid wsp:val=&quot;00EE617E&quot;/&gt;&lt;wsp:rsid wsp:val=&quot;00EF081F&quot;/&gt;&lt;wsp:rsid wsp:val=&quot;00EF59DF&quot;/&gt;&lt;wsp:rsid wsp:val=&quot;00EF67B9&quot;/&gt;&lt;wsp:rsid wsp:val=&quot;00EF7292&quot;/&gt;&lt;wsp:rsid wsp:val=&quot;00F023EF&quot;/&gt;&lt;wsp:rsid wsp:val=&quot;00F0401B&quot;/&gt;&lt;wsp:rsid wsp:val=&quot;00F04099&quot;/&gt;&lt;wsp:rsid wsp:val=&quot;00F05B05&quot;/&gt;&lt;wsp:rsid wsp:val=&quot;00F164CF&quot;/&gt;&lt;wsp:rsid wsp:val=&quot;00F1692E&quot;/&gt;&lt;wsp:rsid wsp:val=&quot;00F53525&quot;/&gt;&lt;wsp:rsid wsp:val=&quot;00F60B9A&quot;/&gt;&lt;wsp:rsid wsp:val=&quot;00F64547&quot;/&gt;&lt;wsp:rsid wsp:val=&quot;00F811CE&quot;/&gt;&lt;wsp:rsid wsp:val=&quot;00F842F3&quot;/&gt;&lt;wsp:rsid wsp:val=&quot;00F867D6&quot;/&gt;&lt;wsp:rsid wsp:val=&quot;00F93145&quot;/&gt;&lt;wsp:rsid wsp:val=&quot;00F94EA3&quot;/&gt;&lt;wsp:rsid wsp:val=&quot;00FA7B70&quot;/&gt;&lt;wsp:rsid wsp:val=&quot;00FB755A&quot;/&gt;&lt;wsp:rsid wsp:val=&quot;00FC0C2C&quot;/&gt;&lt;wsp:rsid wsp:val=&quot;00FD273B&quot;/&gt;&lt;wsp:rsid wsp:val=&quot;00FD711D&quot;/&gt;&lt;wsp:rsid wsp:val=&quot;00FF1F0E&quot;/&gt;&lt;wsp:rsid wsp:val=&quot;00FF6EB1&quot;/&gt;&lt;wsp:rsid wsp:val=&quot;00FF70D3&quot;/&gt;&lt;wsp:rsid wsp:val=&quot;0132288A&quot;/&gt;&lt;wsp:rsid wsp:val=&quot;01384C43&quot;/&gt;&lt;wsp:rsid wsp:val=&quot;01AB79F4&quot;/&gt;&lt;wsp:rsid wsp:val=&quot;01E70B0E&quot;/&gt;&lt;wsp:rsid wsp:val=&quot;02547AA6&quot;/&gt;&lt;wsp:rsid wsp:val=&quot;025E1490&quot;/&gt;&lt;wsp:rsid wsp:val=&quot;026D01A7&quot;/&gt;&lt;wsp:rsid wsp:val=&quot;0292705A&quot;/&gt;&lt;wsp:rsid wsp:val=&quot;02BB2BB6&quot;/&gt;&lt;wsp:rsid wsp:val=&quot;02D44769&quot;/&gt;&lt;wsp:rsid wsp:val=&quot;03223D53&quot;/&gt;&lt;wsp:rsid wsp:val=&quot;03305E1E&quot;/&gt;&lt;wsp:rsid wsp:val=&quot;034B6F5E&quot;/&gt;&lt;wsp:rsid wsp:val=&quot;0369677B&quot;/&gt;&lt;wsp:rsid wsp:val=&quot;036E2876&quot;/&gt;&lt;wsp:rsid wsp:val=&quot;038B55AE&quot;/&gt;&lt;wsp:rsid wsp:val=&quot;038E6EF8&quot;/&gt;&lt;wsp:rsid wsp:val=&quot;03AD02FF&quot;/&gt;&lt;wsp:rsid wsp:val=&quot;03CF176F&quot;/&gt;&lt;wsp:rsid wsp:val=&quot;048B38BC&quot;/&gt;&lt;wsp:rsid wsp:val=&quot;049D5F19&quot;/&gt;&lt;wsp:rsid wsp:val=&quot;04D42ADE&quot;/&gt;&lt;wsp:rsid wsp:val=&quot;04E02384&quot;/&gt;&lt;wsp:rsid wsp:val=&quot;05345F66&quot;/&gt;&lt;wsp:rsid wsp:val=&quot;053F5515&quot;/&gt;&lt;wsp:rsid wsp:val=&quot;05CC574A&quot;/&gt;&lt;wsp:rsid wsp:val=&quot;05F97374&quot;/&gt;&lt;wsp:rsid wsp:val=&quot;06024098&quot;/&gt;&lt;wsp:rsid wsp:val=&quot;064514F9&quot;/&gt;&lt;wsp:rsid wsp:val=&quot;06BE0E86&quot;/&gt;&lt;wsp:rsid wsp:val=&quot;06BE4BFC&quot;/&gt;&lt;wsp:rsid wsp:val=&quot;075703F5&quot;/&gt;&lt;wsp:rsid wsp:val=&quot;07751A06&quot;/&gt;&lt;wsp:rsid wsp:val=&quot;078142A4&quot;/&gt;&lt;wsp:rsid wsp:val=&quot;07834C9D&quot;/&gt;&lt;wsp:rsid wsp:val=&quot;07924E0C&quot;/&gt;&lt;wsp:rsid wsp:val=&quot;079F2E01&quot;/&gt;&lt;wsp:rsid wsp:val=&quot;07AE57A4&quot;/&gt;&lt;wsp:rsid wsp:val=&quot;07BB4543&quot;/&gt;&lt;wsp:rsid wsp:val=&quot;07D85C5A&quot;/&gt;&lt;wsp:rsid wsp:val=&quot;081E2428&quot;/&gt;&lt;wsp:rsid wsp:val=&quot;081F69D8&quot;/&gt;&lt;wsp:rsid wsp:val=&quot;08312FC7&quot;/&gt;&lt;wsp:rsid wsp:val=&quot;08434891&quot;/&gt;&lt;wsp:rsid wsp:val=&quot;08A23B9F&quot;/&gt;&lt;wsp:rsid wsp:val=&quot;08AC3ED3&quot;/&gt;&lt;wsp:rsid wsp:val=&quot;08C2021F&quot;/&gt;&lt;wsp:rsid wsp:val=&quot;08D265F0&quot;/&gt;&lt;wsp:rsid wsp:val=&quot;08E143F1&quot;/&gt;&lt;wsp:rsid wsp:val=&quot;090B0E8E&quot;/&gt;&lt;wsp:rsid wsp:val=&quot;095D5B9F&quot;/&gt;&lt;wsp:rsid wsp:val=&quot;09676399&quot;/&gt;&lt;wsp:rsid wsp:val=&quot;09D662E7&quot;/&gt;&lt;wsp:rsid wsp:val=&quot;0A242726&quot;/&gt;&lt;wsp:rsid wsp:val=&quot;0A323426&quot;/&gt;&lt;wsp:rsid wsp:val=&quot;0A912F86&quot;/&gt;&lt;wsp:rsid wsp:val=&quot;0ABF1AEC&quot;/&gt;&lt;wsp:rsid wsp:val=&quot;0B17316E&quot;/&gt;&lt;wsp:rsid wsp:val=&quot;0B7E5061&quot;/&gt;&lt;wsp:rsid wsp:val=&quot;0B9B0808&quot;/&gt;&lt;wsp:rsid wsp:val=&quot;0BB11083&quot;/&gt;&lt;wsp:rsid wsp:val=&quot;0BE66A48&quot;/&gt;&lt;wsp:rsid wsp:val=&quot;0C1F15F1&quot;/&gt;&lt;wsp:rsid wsp:val=&quot;0C730A4A&quot;/&gt;&lt;wsp:rsid wsp:val=&quot;0C984991&quot;/&gt;&lt;wsp:rsid wsp:val=&quot;0CD51310&quot;/&gt;&lt;wsp:rsid wsp:val=&quot;0D0175B1&quot;/&gt;&lt;wsp:rsid wsp:val=&quot;0D4E212A&quot;/&gt;&lt;wsp:rsid wsp:val=&quot;0D5A7A00&quot;/&gt;&lt;wsp:rsid wsp:val=&quot;0D8F7FD4&quot;/&gt;&lt;wsp:rsid wsp:val=&quot;0D9C7F7E&quot;/&gt;&lt;wsp:rsid wsp:val=&quot;0DA26C14&quot;/&gt;&lt;wsp:rsid wsp:val=&quot;0DA80C95&quot;/&gt;&lt;wsp:rsid wsp:val=&quot;0E29306E&quot;/&gt;&lt;wsp:rsid wsp:val=&quot;0F32428B&quot;/&gt;&lt;wsp:rsid wsp:val=&quot;0F34709D&quot;/&gt;&lt;wsp:rsid wsp:val=&quot;0F3970C7&quot;/&gt;&lt;wsp:rsid wsp:val=&quot;1018426F&quot;/&gt;&lt;wsp:rsid wsp:val=&quot;101A2C21&quot;/&gt;&lt;wsp:rsid wsp:val=&quot;107002C4&quot;/&gt;&lt;wsp:rsid wsp:val=&quot;107A19FF&quot;/&gt;&lt;wsp:rsid wsp:val=&quot;108B7D11&quot;/&gt;&lt;wsp:rsid wsp:val=&quot;10E624D4&quot;/&gt;&lt;wsp:rsid wsp:val=&quot;110132F2&quot;/&gt;&lt;wsp:rsid wsp:val=&quot;11800030&quot;/&gt;&lt;wsp:rsid wsp:val=&quot;11A00F75&quot;/&gt;&lt;wsp:rsid wsp:val=&quot;11E2703C&quot;/&gt;&lt;wsp:rsid wsp:val=&quot;126D2B01&quot;/&gt;&lt;wsp:rsid wsp:val=&quot;1275369F&quot;/&gt;&lt;wsp:rsid wsp:val=&quot;129004AD&quot;/&gt;&lt;wsp:rsid wsp:val=&quot;12A00582&quot;/&gt;&lt;wsp:rsid wsp:val=&quot;138035BB&quot;/&gt;&lt;wsp:rsid wsp:val=&quot;138358B3&quot;/&gt;&lt;wsp:rsid wsp:val=&quot;139A4730&quot;/&gt;&lt;wsp:rsid wsp:val=&quot;13A8278C&quot;/&gt;&lt;wsp:rsid wsp:val=&quot;13B876A8&quot;/&gt;&lt;wsp:rsid wsp:val=&quot;13C5153D&quot;/&gt;&lt;wsp:rsid wsp:val=&quot;14A42F04&quot;/&gt;&lt;wsp:rsid wsp:val=&quot;14D10BF7&quot;/&gt;&lt;wsp:rsid wsp:val=&quot;15435428&quot;/&gt;&lt;wsp:rsid wsp:val=&quot;15A06877&quot;/&gt;&lt;wsp:rsid wsp:val=&quot;15FF3688&quot;/&gt;&lt;wsp:rsid wsp:val=&quot;16052814&quot;/&gt;&lt;wsp:rsid wsp:val=&quot;163A5AA9&quot;/&gt;&lt;wsp:rsid wsp:val=&quot;16EA1B61&quot;/&gt;&lt;wsp:rsid wsp:val=&quot;172E636F&quot;/&gt;&lt;wsp:rsid wsp:val=&quot;17746AC4&quot;/&gt;&lt;wsp:rsid wsp:val=&quot;178D730C&quot;/&gt;&lt;wsp:rsid wsp:val=&quot;17E648BC&quot;/&gt;&lt;wsp:rsid wsp:val=&quot;186616EC&quot;/&gt;&lt;wsp:rsid wsp:val=&quot;18721531&quot;/&gt;&lt;wsp:rsid wsp:val=&quot;19885448&quot;/&gt;&lt;wsp:rsid wsp:val=&quot;19905A54&quot;/&gt;&lt;wsp:rsid wsp:val=&quot;1A27276A&quot;/&gt;&lt;wsp:rsid wsp:val=&quot;1A5F33D2&quot;/&gt;&lt;wsp:rsid wsp:val=&quot;1A616B7D&quot;/&gt;&lt;wsp:rsid wsp:val=&quot;1A7276A4&quot;/&gt;&lt;wsp:rsid wsp:val=&quot;1AAB12B9&quot;/&gt;&lt;wsp:rsid wsp:val=&quot;1B0510F1&quot;/&gt;&lt;wsp:rsid wsp:val=&quot;1B0A4A84&quot;/&gt;&lt;wsp:rsid wsp:val=&quot;1C400A08&quot;/&gt;&lt;wsp:rsid wsp:val=&quot;1C7328CC&quot;/&gt;&lt;wsp:rsid wsp:val=&quot;1C8D42DD&quot;/&gt;&lt;wsp:rsid wsp:val=&quot;1CC54AB8&quot;/&gt;&lt;wsp:rsid wsp:val=&quot;1CD87FC9&quot;/&gt;&lt;wsp:rsid wsp:val=&quot;1CF00F4A&quot;/&gt;&lt;wsp:rsid wsp:val=&quot;1D7C1969&quot;/&gt;&lt;wsp:rsid wsp:val=&quot;1DC7240D&quot;/&gt;&lt;wsp:rsid wsp:val=&quot;1DC74FC1&quot;/&gt;&lt;wsp:rsid wsp:val=&quot;1DCB7C76&quot;/&gt;&lt;wsp:rsid wsp:val=&quot;1DD24998&quot;/&gt;&lt;wsp:rsid wsp:val=&quot;1E593C5F&quot;/&gt;&lt;wsp:rsid wsp:val=&quot;1E714C4F&quot;/&gt;&lt;wsp:rsid wsp:val=&quot;1EAB55A1&quot;/&gt;&lt;wsp:rsid wsp:val=&quot;1EE30BE5&quot;/&gt;&lt;wsp:rsid wsp:val=&quot;1EE81D26&quot;/&gt;&lt;wsp:rsid wsp:val=&quot;1EF0287C&quot;/&gt;&lt;wsp:rsid wsp:val=&quot;1F3B196F&quot;/&gt;&lt;wsp:rsid wsp:val=&quot;1F6555FC&quot;/&gt;&lt;wsp:rsid wsp:val=&quot;20963B34&quot;/&gt;&lt;wsp:rsid wsp:val=&quot;20B35CD5&quot;/&gt;&lt;wsp:rsid wsp:val=&quot;20B84C29&quot;/&gt;&lt;wsp:rsid wsp:val=&quot;20E93171&quot;/&gt;&lt;wsp:rsid wsp:val=&quot;211E2367&quot;/&gt;&lt;wsp:rsid wsp:val=&quot;212075C0&quot;/&gt;&lt;wsp:rsid wsp:val=&quot;21851CA3&quot;/&gt;&lt;wsp:rsid wsp:val=&quot;21AA703D&quot;/&gt;&lt;wsp:rsid wsp:val=&quot;21F637D0&quot;/&gt;&lt;wsp:rsid wsp:val=&quot;22001FFA&quot;/&gt;&lt;wsp:rsid wsp:val=&quot;22321F91&quot;/&gt;&lt;wsp:rsid wsp:val=&quot;2244237F&quot;/&gt;&lt;wsp:rsid wsp:val=&quot;224934A6&quot;/&gt;&lt;wsp:rsid wsp:val=&quot;22DE25CD&quot;/&gt;&lt;wsp:rsid wsp:val=&quot;23167ECF&quot;/&gt;&lt;wsp:rsid wsp:val=&quot;23240186&quot;/&gt;&lt;wsp:rsid wsp:val=&quot;233305EF&quot;/&gt;&lt;wsp:rsid wsp:val=&quot;23421931&quot;/&gt;&lt;wsp:rsid wsp:val=&quot;236005E1&quot;/&gt;&lt;wsp:rsid wsp:val=&quot;2362371F&quot;/&gt;&lt;wsp:rsid wsp:val=&quot;2403572C&quot;/&gt;&lt;wsp:rsid wsp:val=&quot;240B6F5D&quot;/&gt;&lt;wsp:rsid wsp:val=&quot;242541FF&quot;/&gt;&lt;wsp:rsid wsp:val=&quot;24361C3B&quot;/&gt;&lt;wsp:rsid wsp:val=&quot;243E4F46&quot;/&gt;&lt;wsp:rsid wsp:val=&quot;245143B6&quot;/&gt;&lt;wsp:rsid wsp:val=&quot;24617A1E&quot;/&gt;&lt;wsp:rsid wsp:val=&quot;24BE26EE&quot;/&gt;&lt;wsp:rsid wsp:val=&quot;24C40DD0&quot;/&gt;&lt;wsp:rsid wsp:val=&quot;24F80AD2&quot;/&gt;&lt;wsp:rsid wsp:val=&quot;24F84EB4&quot;/&gt;&lt;wsp:rsid wsp:val=&quot;25001582&quot;/&gt;&lt;wsp:rsid wsp:val=&quot;250E7EB7&quot;/&gt;&lt;wsp:rsid wsp:val=&quot;253B45B1&quot;/&gt;&lt;wsp:rsid wsp:val=&quot;254D572E&quot;/&gt;&lt;wsp:rsid wsp:val=&quot;258306DF&quot;/&gt;&lt;wsp:rsid wsp:val=&quot;25C36084&quot;/&gt;&lt;wsp:rsid wsp:val=&quot;26194434&quot;/&gt;&lt;wsp:rsid wsp:val=&quot;263943E5&quot;/&gt;&lt;wsp:rsid wsp:val=&quot;2791306A&quot;/&gt;&lt;wsp:rsid wsp:val=&quot;27950104&quot;/&gt;&lt;wsp:rsid wsp:val=&quot;27C3339B&quot;/&gt;&lt;wsp:rsid wsp:val=&quot;28562284&quot;/&gt;&lt;wsp:rsid wsp:val=&quot;285D24C3&quot;/&gt;&lt;wsp:rsid wsp:val=&quot;28A42644&quot;/&gt;&lt;wsp:rsid wsp:val=&quot;28BF607D&quot;/&gt;&lt;wsp:rsid wsp:val=&quot;28C90C22&quot;/&gt;&lt;wsp:rsid wsp:val=&quot;28FE2AB2&quot;/&gt;&lt;wsp:rsid wsp:val=&quot;298E7153&quot;/&gt;&lt;wsp:rsid wsp:val=&quot;29AC18AF&quot;/&gt;&lt;wsp:rsid wsp:val=&quot;29D3586A&quot;/&gt;&lt;wsp:rsid wsp:val=&quot;29E60EF5&quot;/&gt;&lt;wsp:rsid wsp:val=&quot;2A1000A0&quot;/&gt;&lt;wsp:rsid wsp:val=&quot;2A4B1B1C&quot;/&gt;&lt;wsp:rsid wsp:val=&quot;2A776515&quot;/&gt;&lt;wsp:rsid wsp:val=&quot;2ACD64B2&quot;/&gt;&lt;wsp:rsid wsp:val=&quot;2B164D17&quot;/&gt;&lt;wsp:rsid wsp:val=&quot;2B4B4CCE&quot;/&gt;&lt;wsp:rsid wsp:val=&quot;2B9E5F83&quot;/&gt;&lt;wsp:rsid wsp:val=&quot;2BFC3660&quot;/&gt;&lt;wsp:rsid wsp:val=&quot;2C032498&quot;/&gt;&lt;wsp:rsid wsp:val=&quot;2C3C29F1&quot;/&gt;&lt;wsp:rsid wsp:val=&quot;2D0D3F93&quot;/&gt;&lt;wsp:rsid wsp:val=&quot;2D1F42D5&quot;/&gt;&lt;wsp:rsid wsp:val=&quot;2D583DDF&quot;/&gt;&lt;wsp:rsid wsp:val=&quot;2D941E82&quot;/&gt;&lt;wsp:rsid wsp:val=&quot;2E1D6BA6&quot;/&gt;&lt;wsp:rsid wsp:val=&quot;2EEF0413&quot;/&gt;&lt;wsp:rsid wsp:val=&quot;2F181F4E&quot;/&gt;&lt;wsp:rsid wsp:val=&quot;2F8B34F0&quot;/&gt;&lt;wsp:rsid wsp:val=&quot;30114936&quot;/&gt;&lt;wsp:rsid wsp:val=&quot;30676AFF&quot;/&gt;&lt;wsp:rsid wsp:val=&quot;30707EAF&quot;/&gt;&lt;wsp:rsid wsp:val=&quot;30C25DAA&quot;/&gt;&lt;wsp:rsid wsp:val=&quot;30E06760&quot;/&gt;&lt;wsp:rsid wsp:val=&quot;31306C96&quot;/&gt;&lt;wsp:rsid wsp:val=&quot;319005ED&quot;/&gt;&lt;wsp:rsid wsp:val=&quot;31A85FFD&quot;/&gt;&lt;wsp:rsid wsp:val=&quot;31FD6D03&quot;/&gt;&lt;wsp:rsid wsp:val=&quot;324967E6&quot;/&gt;&lt;wsp:rsid wsp:val=&quot;32626D6F&quot;/&gt;&lt;wsp:rsid wsp:val=&quot;32862EB4&quot;/&gt;&lt;wsp:rsid wsp:val=&quot;328A0EAF&quot;/&gt;&lt;wsp:rsid wsp:val=&quot;328E477D&quot;/&gt;&lt;wsp:rsid wsp:val=&quot;329A0A0D&quot;/&gt;&lt;wsp:rsid wsp:val=&quot;32A2269E&quot;/&gt;&lt;wsp:rsid wsp:val=&quot;32A61CCB&quot;/&gt;&lt;wsp:rsid wsp:val=&quot;32A92DD7&quot;/&gt;&lt;wsp:rsid wsp:val=&quot;33251A7F&quot;/&gt;&lt;wsp:rsid wsp:val=&quot;334E4210&quot;/&gt;&lt;wsp:rsid wsp:val=&quot;338D7359&quot;/&gt;&lt;wsp:rsid wsp:val=&quot;33F62E53&quot;/&gt;&lt;wsp:rsid wsp:val=&quot;33F924A6&quot;/&gt;&lt;wsp:rsid wsp:val=&quot;348B02D6&quot;/&gt;&lt;wsp:rsid wsp:val=&quot;34E06B9F&quot;/&gt;&lt;wsp:rsid wsp:val=&quot;3508011E&quot;/&gt;&lt;wsp:rsid wsp:val=&quot;356316EA&quot;/&gt;&lt;wsp:rsid wsp:val=&quot;35A93E43&quot;/&gt;&lt;wsp:rsid wsp:val=&quot;35FF5C21&quot;/&gt;&lt;wsp:rsid wsp:val=&quot;368376EA&quot;/&gt;&lt;wsp:rsid wsp:val=&quot;368E7C55&quot;/&gt;&lt;wsp:rsid wsp:val=&quot;36983CC8&quot;/&gt;&lt;wsp:rsid wsp:val=&quot;36CE11B8&quot;/&gt;&lt;wsp:rsid wsp:val=&quot;36D776BA&quot;/&gt;&lt;wsp:rsid wsp:val=&quot;3747162A&quot;/&gt;&lt;wsp:rsid wsp:val=&quot;379C2032&quot;/&gt;&lt;wsp:rsid wsp:val=&quot;383A0F28&quot;/&gt;&lt;wsp:rsid wsp:val=&quot;383E0C74&quot;/&gt;&lt;wsp:rsid wsp:val=&quot;3893525C&quot;/&gt;&lt;wsp:rsid wsp:val=&quot;38BF17B4&quot;/&gt;&lt;wsp:rsid wsp:val=&quot;38DB34CE&quot;/&gt;&lt;wsp:rsid wsp:val=&quot;39C90197&quot;/&gt;&lt;wsp:rsid wsp:val=&quot;39F465F0&quot;/&gt;&lt;wsp:rsid wsp:val=&quot;3A0F61A5&quot;/&gt;&lt;wsp:rsid wsp:val=&quot;3B7B3AE6&quot;/&gt;&lt;wsp:rsid wsp:val=&quot;3BDF0FE9&quot;/&gt;&lt;wsp:rsid wsp:val=&quot;3C0B160B&quot;/&gt;&lt;wsp:rsid wsp:val=&quot;3C4E4D54&quot;/&gt;&lt;wsp:rsid wsp:val=&quot;3C621531&quot;/&gt;&lt;wsp:rsid wsp:val=&quot;3C6748E0&quot;/&gt;&lt;wsp:rsid wsp:val=&quot;3C8111E3&quot;/&gt;&lt;wsp:rsid wsp:val=&quot;3CB21BF2&quot;/&gt;&lt;wsp:rsid wsp:val=&quot;3CC51207&quot;/&gt;&lt;wsp:rsid wsp:val=&quot;3CD1311A&quot;/&gt;&lt;wsp:rsid wsp:val=&quot;3CDB29CF&quot;/&gt;&lt;wsp:rsid wsp:val=&quot;3CFE0DE8&quot;/&gt;&lt;wsp:rsid wsp:val=&quot;3DB11A96&quot;/&gt;&lt;wsp:rsid wsp:val=&quot;3DE139D0&quot;/&gt;&lt;wsp:rsid wsp:val=&quot;3E142466&quot;/&gt;&lt;wsp:rsid wsp:val=&quot;3E6542EA&quot;/&gt;&lt;wsp:rsid wsp:val=&quot;3EF42BDD&quot;/&gt;&lt;wsp:rsid wsp:val=&quot;3EF9295A&quot;/&gt;&lt;wsp:rsid wsp:val=&quot;3F185670&quot;/&gt;&lt;wsp:rsid wsp:val=&quot;3F8A7432&quot;/&gt;&lt;wsp:rsid wsp:val=&quot;3FB757BD&quot;/&gt;&lt;wsp:rsid wsp:val=&quot;3FD2735B&quot;/&gt;&lt;wsp:rsid wsp:val=&quot;3FF554B7&quot;/&gt;&lt;wsp:rsid wsp:val=&quot;40793B50&quot;/&gt;&lt;wsp:rsid wsp:val=&quot;40933050&quot;/&gt;&lt;wsp:rsid wsp:val=&quot;40EA5F75&quot;/&gt;&lt;wsp:rsid wsp:val=&quot;411169EC&quot;/&gt;&lt;wsp:rsid wsp:val=&quot;41950207&quot;/&gt;&lt;wsp:rsid wsp:val=&quot;419E6AB5&quot;/&gt;&lt;wsp:rsid wsp:val=&quot;41DF354F&quot;/&gt;&lt;wsp:rsid wsp:val=&quot;4298263D&quot;/&gt;&lt;wsp:rsid wsp:val=&quot;433E5304&quot;/&gt;&lt;wsp:rsid wsp:val=&quot;43A1090D&quot;/&gt;&lt;wsp:rsid wsp:val=&quot;43DC3583&quot;/&gt;&lt;wsp:rsid wsp:val=&quot;43EB2A7A&quot;/&gt;&lt;wsp:rsid wsp:val=&quot;43FB2F59&quot;/&gt;&lt;wsp:rsid wsp:val=&quot;44022C46&quot;/&gt;&lt;wsp:rsid wsp:val=&quot;44044B33&quot;/&gt;&lt;wsp:rsid wsp:val=&quot;44054EC0&quot;/&gt;&lt;wsp:rsid wsp:val=&quot;440A2023&quot;/&gt;&lt;wsp:rsid wsp:val=&quot;4430448B&quot;/&gt;&lt;wsp:rsid wsp:val=&quot;444B7414&quot;/&gt;&lt;wsp:rsid wsp:val=&quot;446D459D&quot;/&gt;&lt;wsp:rsid wsp:val=&quot;44797438&quot;/&gt;&lt;wsp:rsid wsp:val=&quot;45103535&quot;/&gt;&lt;wsp:rsid wsp:val=&quot;45222A6A&quot;/&gt;&lt;wsp:rsid wsp:val=&quot;452C3927&quot;/&gt;&lt;wsp:rsid wsp:val=&quot;45416348&quot;/&gt;&lt;wsp:rsid wsp:val=&quot;455F59F2&quot;/&gt;&lt;wsp:rsid wsp:val=&quot;45A70FC7&quot;/&gt;&lt;wsp:rsid wsp:val=&quot;46096E2C&quot;/&gt;&lt;wsp:rsid wsp:val=&quot;465805B7&quot;/&gt;&lt;wsp:rsid wsp:val=&quot;46973645&quot;/&gt;&lt;wsp:rsid wsp:val=&quot;46F24D18&quot;/&gt;&lt;wsp:rsid wsp:val=&quot;47082F6C&quot;/&gt;&lt;wsp:rsid wsp:val=&quot;471A6947&quot;/&gt;&lt;wsp:rsid wsp:val=&quot;47535501&quot;/&gt;&lt;wsp:rsid wsp:val=&quot;476237A3&quot;/&gt;&lt;wsp:rsid wsp:val=&quot;47B80A73&quot;/&gt;&lt;wsp:rsid wsp:val=&quot;47D054E1&quot;/&gt;&lt;wsp:rsid wsp:val=&quot;48151DFA&quot;/&gt;&lt;wsp:rsid wsp:val=&quot;48231A30&quot;/&gt;&lt;wsp:rsid wsp:val=&quot;48B739C6&quot;/&gt;&lt;wsp:rsid wsp:val=&quot;48C72F42&quot;/&gt;&lt;wsp:rsid wsp:val=&quot;48F85A59&quot;/&gt;&lt;wsp:rsid wsp:val=&quot;48FE2851&quot;/&gt;&lt;wsp:rsid wsp:val=&quot;494320D3&quot;/&gt;&lt;wsp:rsid wsp:val=&quot;497534B4&quot;/&gt;&lt;wsp:rsid wsp:val=&quot;49DA38A0&quot;/&gt;&lt;wsp:rsid wsp:val=&quot;4A361A71&quot;/&gt;&lt;wsp:rsid wsp:val=&quot;4A6E2928&quot;/&gt;&lt;wsp:rsid wsp:val=&quot;4AA27259&quot;/&gt;&lt;wsp:rsid wsp:val=&quot;4AE46A56&quot;/&gt;&lt;wsp:rsid wsp:val=&quot;4B124441&quot;/&gt;&lt;wsp:rsid wsp:val=&quot;4B2A769A&quot;/&gt;&lt;wsp:rsid wsp:val=&quot;4B55120F&quot;/&gt;&lt;wsp:rsid wsp:val=&quot;4B661614&quot;/&gt;&lt;wsp:rsid wsp:val=&quot;4B6907A1&quot;/&gt;&lt;wsp:rsid wsp:val=&quot;4B7A43D1&quot;/&gt;&lt;wsp:rsid wsp:val=&quot;4B946B9A&quot;/&gt;&lt;wsp:rsid wsp:val=&quot;4BC36227&quot;/&gt;&lt;wsp:rsid wsp:val=&quot;4BFB4BF6&quot;/&gt;&lt;wsp:rsid wsp:val=&quot;4C912CFA&quot;/&gt;&lt;wsp:rsid wsp:val=&quot;4C931577&quot;/&gt;&lt;wsp:rsid wsp:val=&quot;4CA74C54&quot;/&gt;&lt;wsp:rsid wsp:val=&quot;4CCA6F70&quot;/&gt;&lt;wsp:rsid wsp:val=&quot;4CE62A1A&quot;/&gt;&lt;wsp:rsid wsp:val=&quot;4CF460E9&quot;/&gt;&lt;wsp:rsid wsp:val=&quot;4D8C1B97&quot;/&gt;&lt;wsp:rsid wsp:val=&quot;4DA578A0&quot;/&gt;&lt;wsp:rsid wsp:val=&quot;4DA57C69&quot;/&gt;&lt;wsp:rsid wsp:val=&quot;4DB4585C&quot;/&gt;&lt;wsp:rsid wsp:val=&quot;4DB471C6&quot;/&gt;&lt;wsp:rsid wsp:val=&quot;4DBC175A&quot;/&gt;&lt;wsp:rsid wsp:val=&quot;4DC0329F&quot;/&gt;&lt;wsp:rsid wsp:val=&quot;4DE73B54&quot;/&gt;&lt;wsp:rsid wsp:val=&quot;4E901E9C&quot;/&gt;&lt;wsp:rsid wsp:val=&quot;4EAF36D3&quot;/&gt;&lt;wsp:rsid wsp:val=&quot;4EB82B45&quot;/&gt;&lt;wsp:rsid wsp:val=&quot;4ECE6320&quot;/&gt;&lt;wsp:rsid wsp:val=&quot;4F0A2E63&quot;/&gt;&lt;wsp:rsid wsp:val=&quot;4F231210&quot;/&gt;&lt;wsp:rsid wsp:val=&quot;4F541A82&quot;/&gt;&lt;wsp:rsid wsp:val=&quot;4F5D3ED4&quot;/&gt;&lt;wsp:rsid wsp:val=&quot;4F9040CA&quot;/&gt;&lt;wsp:rsid wsp:val=&quot;4F9E1131&quot;/&gt;&lt;wsp:rsid wsp:val=&quot;500B3969&quot;/&gt;&lt;wsp:rsid wsp:val=&quot;501773AC&quot;/&gt;&lt;wsp:rsid wsp:val=&quot;506C11F9&quot;/&gt;&lt;wsp:rsid wsp:val=&quot;50CC67E3&quot;/&gt;&lt;wsp:rsid wsp:val=&quot;51051697&quot;/&gt;&lt;wsp:rsid wsp:val=&quot;510D0EFD&quot;/&gt;&lt;wsp:rsid wsp:val=&quot;510D475D&quot;/&gt;&lt;wsp:rsid wsp:val=&quot;517D7BEB&quot;/&gt;&lt;wsp:rsid wsp:val=&quot;519A1E57&quot;/&gt;&lt;wsp:rsid wsp:val=&quot;51A15B22&quot;/&gt;&lt;wsp:rsid wsp:val=&quot;51AD32A1&quot;/&gt;&lt;wsp:rsid wsp:val=&quot;51C536B3&quot;/&gt;&lt;wsp:rsid wsp:val=&quot;52156C24&quot;/&gt;&lt;wsp:rsid wsp:val=&quot;521B72A5&quot;/&gt;&lt;wsp:rsid wsp:val=&quot;524D4853&quot;/&gt;&lt;wsp:rsid wsp:val=&quot;529A2D6C&quot;/&gt;&lt;wsp:rsid wsp:val=&quot;53116184&quot;/&gt;&lt;wsp:rsid wsp:val=&quot;532375F6&quot;/&gt;&lt;wsp:rsid wsp:val=&quot;53371361&quot;/&gt;&lt;wsp:rsid wsp:val=&quot;53596D1B&quot;/&gt;&lt;wsp:rsid wsp:val=&quot;538815F7&quot;/&gt;&lt;wsp:rsid wsp:val=&quot;53A91191&quot;/&gt;&lt;wsp:rsid wsp:val=&quot;542550E7&quot;/&gt;&lt;wsp:rsid wsp:val=&quot;54B5325B&quot;/&gt;&lt;wsp:rsid wsp:val=&quot;54E35B7C&quot;/&gt;&lt;wsp:rsid wsp:val=&quot;550F5EEE&quot;/&gt;&lt;wsp:rsid wsp:val=&quot;55166920&quot;/&gt;&lt;wsp:rsid wsp:val=&quot;5523662D&quot;/&gt;&lt;wsp:rsid wsp:val=&quot;552B5A4D&quot;/&gt;&lt;wsp:rsid wsp:val=&quot;55387CCB&quot;/&gt;&lt;wsp:rsid wsp:val=&quot;55555F09&quot;/&gt;&lt;wsp:rsid wsp:val=&quot;55F76D30&quot;/&gt;&lt;wsp:rsid wsp:val=&quot;569E7A85&quot;/&gt;&lt;wsp:rsid wsp:val=&quot;56E26349&quot;/&gt;&lt;wsp:rsid wsp:val=&quot;56F57BAF&quot;/&gt;&lt;wsp:rsid wsp:val=&quot;57214138&quot;/&gt;&lt;wsp:rsid wsp:val=&quot;575C47AE&quot;/&gt;&lt;wsp:rsid wsp:val=&quot;57940052&quot;/&gt;&lt;wsp:rsid wsp:val=&quot;57D668D6&quot;/&gt;&lt;wsp:rsid wsp:val=&quot;57E047E4&quot;/&gt;&lt;wsp:rsid wsp:val=&quot;57E4116F&quot;/&gt;&lt;wsp:rsid wsp:val=&quot;585D0E02&quot;/&gt;&lt;wsp:rsid wsp:val=&quot;58856FCD&quot;/&gt;&lt;wsp:rsid wsp:val=&quot;58967499&quot;/&gt;&lt;wsp:rsid wsp:val=&quot;59482155&quot;/&gt;&lt;wsp:rsid wsp:val=&quot;59A9006E&quot;/&gt;&lt;wsp:rsid wsp:val=&quot;59B47B55&quot;/&gt;&lt;wsp:rsid wsp:val=&quot;59F37FC5&quot;/&gt;&lt;wsp:rsid wsp:val=&quot;5A2D70FA&quot;/&gt;&lt;wsp:rsid wsp:val=&quot;5A78146B&quot;/&gt;&lt;wsp:rsid wsp:val=&quot;5A7F266F&quot;/&gt;&lt;wsp:rsid wsp:val=&quot;5A86336D&quot;/&gt;&lt;wsp:rsid wsp:val=&quot;5ABD4091&quot;/&gt;&lt;wsp:rsid wsp:val=&quot;5AC60F27&quot;/&gt;&lt;wsp:rsid wsp:val=&quot;5AEA288A&quot;/&gt;&lt;wsp:rsid wsp:val=&quot;5B2E5A3C&quot;/&gt;&lt;wsp:rsid wsp:val=&quot;5B460D50&quot;/&gt;&lt;wsp:rsid wsp:val=&quot;5B662DD9&quot;/&gt;&lt;wsp:rsid wsp:val=&quot;5B7853A3&quot;/&gt;&lt;wsp:rsid wsp:val=&quot;5B814437&quot;/&gt;&lt;wsp:rsid wsp:val=&quot;5BA3149E&quot;/&gt;&lt;wsp:rsid wsp:val=&quot;5BA45F9A&quot;/&gt;&lt;wsp:rsid wsp:val=&quot;5BF37A20&quot;/&gt;&lt;wsp:rsid wsp:val=&quot;5C144168&quot;/&gt;&lt;wsp:rsid wsp:val=&quot;5C6B0AA1&quot;/&gt;&lt;wsp:rsid wsp:val=&quot;5CA15820&quot;/&gt;&lt;wsp:rsid wsp:val=&quot;5CB66C54&quot;/&gt;&lt;wsp:rsid wsp:val=&quot;5CFD0715&quot;/&gt;&lt;wsp:rsid wsp:val=&quot;5D14050A&quot;/&gt;&lt;wsp:rsid wsp:val=&quot;5D431E2E&quot;/&gt;&lt;wsp:rsid wsp:val=&quot;5D4B508E&quot;/&gt;&lt;wsp:rsid wsp:val=&quot;5DFB7ED7&quot;/&gt;&lt;wsp:rsid wsp:val=&quot;5E0C7890&quot;/&gt;&lt;wsp:rsid wsp:val=&quot;5E1B44AC&quot;/&gt;&lt;wsp:rsid wsp:val=&quot;5E384ACE&quot;/&gt;&lt;wsp:rsid wsp:val=&quot;5E6E4CBF&quot;/&gt;&lt;wsp:rsid wsp:val=&quot;5E9C0882&quot;/&gt;&lt;wsp:rsid wsp:val=&quot;5ED5786C&quot;/&gt;&lt;wsp:rsid wsp:val=&quot;5F2A0C65&quot;/&gt;&lt;wsp:rsid wsp:val=&quot;5F4953D8&quot;/&gt;&lt;wsp:rsid wsp:val=&quot;5F9C052F&quot;/&gt;&lt;wsp:rsid wsp:val=&quot;5FAE4FD1&quot;/&gt;&lt;wsp:rsid wsp:val=&quot;5FF02C6C&quot;/&gt;&lt;wsp:rsid wsp:val=&quot;607D344D&quot;/&gt;&lt;wsp:rsid wsp:val=&quot;608D00DF&quot;/&gt;&lt;wsp:rsid wsp:val=&quot;60A26592&quot;/&gt;&lt;wsp:rsid wsp:val=&quot;60C32C51&quot;/&gt;&lt;wsp:rsid wsp:val=&quot;60C93644&quot;/&gt;&lt;wsp:rsid wsp:val=&quot;60F50A86&quot;/&gt;&lt;wsp:rsid wsp:val=&quot;60FB32DA&quot;/&gt;&lt;wsp:rsid wsp:val=&quot;61217355&quot;/&gt;&lt;wsp:rsid wsp:val=&quot;61412388&quot;/&gt;&lt;wsp:rsid wsp:val=&quot;618A7364&quot;/&gt;&lt;wsp:rsid wsp:val=&quot;61B60BAE&quot;/&gt;&lt;wsp:rsid wsp:val=&quot;62847F3C&quot;/&gt;&lt;wsp:rsid wsp:val=&quot;63162CDE&quot;/&gt;&lt;wsp:rsid wsp:val=&quot;632637D9&quot;/&gt;&lt;wsp:rsid wsp:val=&quot;632744DE&quot;/&gt;&lt;wsp:rsid wsp:val=&quot;63315D8B&quot;/&gt;&lt;wsp:rsid wsp:val=&quot;635E6959&quot;/&gt;&lt;wsp:rsid wsp:val=&quot;637C517D&quot;/&gt;&lt;wsp:rsid wsp:val=&quot;63CC1AEC&quot;/&gt;&lt;wsp:rsid wsp:val=&quot;63FC310E&quot;/&gt;&lt;wsp:rsid wsp:val=&quot;647E66F8&quot;/&gt;&lt;wsp:rsid wsp:val=&quot;64B7332D&quot;/&gt;&lt;wsp:rsid wsp:val=&quot;654A6F89&quot;/&gt;&lt;wsp:rsid wsp:val=&quot;657C7C64&quot;/&gt;&lt;wsp:rsid wsp:val=&quot;6593698D&quot;/&gt;&lt;wsp:rsid wsp:val=&quot;65CE3E56&quot;/&gt;&lt;wsp:rsid wsp:val=&quot;65FD4A13&quot;/&gt;&lt;wsp:rsid wsp:val=&quot;663A6CF4&quot;/&gt;&lt;wsp:rsid wsp:val=&quot;664D6053&quot;/&gt;&lt;wsp:rsid wsp:val=&quot;66806EE2&quot;/&gt;&lt;wsp:rsid wsp:val=&quot;668332C9&quot;/&gt;&lt;wsp:rsid wsp:val=&quot;66AE3579&quot;/&gt;&lt;wsp:rsid wsp:val=&quot;66DC5157&quot;/&gt;&lt;wsp:rsid wsp:val=&quot;67003C27&quot;/&gt;&lt;wsp:rsid wsp:val=&quot;670850A7&quot;/&gt;&lt;wsp:rsid wsp:val=&quot;67D345A3&quot;/&gt;&lt;wsp:rsid wsp:val=&quot;67E47A65&quot;/&gt;&lt;wsp:rsid wsp:val=&quot;68090B7B&quot;/&gt;&lt;wsp:rsid wsp:val=&quot;680E4CDF&quot;/&gt;&lt;wsp:rsid wsp:val=&quot;68962BCC&quot;/&gt;&lt;wsp:rsid wsp:val=&quot;689A34AB&quot;/&gt;&lt;wsp:rsid wsp:val=&quot;68B91C8F&quot;/&gt;&lt;wsp:rsid wsp:val=&quot;68BC72C5&quot;/&gt;&lt;wsp:rsid wsp:val=&quot;68DC48E0&quot;/&gt;&lt;wsp:rsid wsp:val=&quot;69022C1A&quot;/&gt;&lt;wsp:rsid wsp:val=&quot;69155734&quot;/&gt;&lt;wsp:rsid wsp:val=&quot;694A731E&quot;/&gt;&lt;wsp:rsid wsp:val=&quot;69774A45&quot;/&gt;&lt;wsp:rsid wsp:val=&quot;69A81E0E&quot;/&gt;&lt;wsp:rsid wsp:val=&quot;69AA5889&quot;/&gt;&lt;wsp:rsid wsp:val=&quot;69B206E0&quot;/&gt;&lt;wsp:rsid wsp:val=&quot;69ED1242&quot;/&gt;&lt;wsp:rsid wsp:val=&quot;69F121DE&quot;/&gt;&lt;wsp:rsid wsp:val=&quot;6A22511A&quot;/&gt;&lt;wsp:rsid wsp:val=&quot;6A390836&quot;/&gt;&lt;wsp:rsid wsp:val=&quot;6A5E4F9A&quot;/&gt;&lt;wsp:rsid wsp:val=&quot;6A900A08&quot;/&gt;&lt;wsp:rsid wsp:val=&quot;6AFA13E0&quot;/&gt;&lt;wsp:rsid wsp:val=&quot;6AFA6FBB&quot;/&gt;&lt;wsp:rsid wsp:val=&quot;6AFA7658&quot;/&gt;&lt;wsp:rsid wsp:val=&quot;6C6F4D3D&quot;/&gt;&lt;wsp:rsid wsp:val=&quot;6C956C96&quot;/&gt;&lt;wsp:rsid wsp:val=&quot;6CB730A4&quot;/&gt;&lt;wsp:rsid wsp:val=&quot;6CD61291&quot;/&gt;&lt;wsp:rsid wsp:val=&quot;6CE9060B&quot;/&gt;&lt;wsp:rsid wsp:val=&quot;6D0268D6&quot;/&gt;&lt;wsp:rsid wsp:val=&quot;6D280C63&quot;/&gt;&lt;wsp:rsid wsp:val=&quot;6DCD7F6B&quot;/&gt;&lt;wsp:rsid wsp:val=&quot;6DFA70C2&quot;/&gt;&lt;wsp:rsid wsp:val=&quot;6E3D0B6A&quot;/&gt;&lt;wsp:rsid wsp:val=&quot;6E466662&quot;/&gt;&lt;wsp:rsid wsp:val=&quot;6E6B71DB&quot;/&gt;&lt;wsp:rsid wsp:val=&quot;6EA362F4&quot;/&gt;&lt;wsp:rsid wsp:val=&quot;6EB0191A&quot;/&gt;&lt;wsp:rsid wsp:val=&quot;6F6824B9&quot;/&gt;&lt;wsp:rsid wsp:val=&quot;6F764F7F&quot;/&gt;&lt;wsp:rsid wsp:val=&quot;6FA21116&quot;/&gt;&lt;wsp:rsid wsp:val=&quot;70081199&quot;/&gt;&lt;wsp:rsid wsp:val=&quot;700B0D0E&quot;/&gt;&lt;wsp:rsid wsp:val=&quot;70AF29F5&quot;/&gt;&lt;wsp:rsid wsp:val=&quot;70B80716&quot;/&gt;&lt;wsp:rsid wsp:val=&quot;70C2541E&quot;/&gt;&lt;wsp:rsid wsp:val=&quot;713F279B&quot;/&gt;&lt;wsp:rsid wsp:val=&quot;715B2C94&quot;/&gt;&lt;wsp:rsid wsp:val=&quot;715C640D&quot;/&gt;&lt;wsp:rsid wsp:val=&quot;719A03AB&quot;/&gt;&lt;wsp:rsid wsp:val=&quot;71B765A5&quot;/&gt;&lt;wsp:rsid wsp:val=&quot;72A008F2&quot;/&gt;&lt;wsp:rsid wsp:val=&quot;72A87DF6&quot;/&gt;&lt;wsp:rsid wsp:val=&quot;72E516D6&quot;/&gt;&lt;wsp:rsid wsp:val=&quot;734A53A3&quot;/&gt;&lt;wsp:rsid wsp:val=&quot;73A9330E&quot;/&gt;&lt;wsp:rsid wsp:val=&quot;73A96097&quot;/&gt;&lt;wsp:rsid wsp:val=&quot;73CE5EEA&quot;/&gt;&lt;wsp:rsid wsp:val=&quot;73D32E8F&quot;/&gt;&lt;wsp:rsid wsp:val=&quot;73E06E92&quot;/&gt;&lt;wsp:rsid wsp:val=&quot;740B66A0&quot;/&gt;&lt;wsp:rsid wsp:val=&quot;74705A35&quot;/&gt;&lt;wsp:rsid wsp:val=&quot;74A416B3&quot;/&gt;&lt;wsp:rsid wsp:val=&quot;74CE35BD&quot;/&gt;&lt;wsp:rsid wsp:val=&quot;750C27EE&quot;/&gt;&lt;wsp:rsid wsp:val=&quot;75F47043&quot;/&gt;&lt;wsp:rsid wsp:val=&quot;76026D8D&quot;/&gt;&lt;wsp:rsid wsp:val=&quot;7704215A&quot;/&gt;&lt;wsp:rsid wsp:val=&quot;7753414A&quot;/&gt;&lt;wsp:rsid wsp:val=&quot;778D06EB&quot;/&gt;&lt;wsp:rsid wsp:val=&quot;78D200FA&quot;/&gt;&lt;wsp:rsid wsp:val=&quot;78DC42FD&quot;/&gt;&lt;wsp:rsid wsp:val=&quot;78F04373&quot;/&gt;&lt;wsp:rsid wsp:val=&quot;791D5FBB&quot;/&gt;&lt;wsp:rsid wsp:val=&quot;797E7DFC&quot;/&gt;&lt;wsp:rsid wsp:val=&quot;79DA1E6F&quot;/&gt;&lt;wsp:rsid wsp:val=&quot;79FA43CB&quot;/&gt;&lt;wsp:rsid wsp:val=&quot;79FD1061&quot;/&gt;&lt;wsp:rsid wsp:val=&quot;7A9101BF&quot;/&gt;&lt;wsp:rsid wsp:val=&quot;7A982BC4&quot;/&gt;&lt;wsp:rsid wsp:val=&quot;7AE86EFD&quot;/&gt;&lt;wsp:rsid wsp:val=&quot;7B400F9B&quot;/&gt;&lt;wsp:rsid wsp:val=&quot;7B715700&quot;/&gt;&lt;wsp:rsid wsp:val=&quot;7B787442&quot;/&gt;&lt;wsp:rsid wsp:val=&quot;7B8955CC&quot;/&gt;&lt;wsp:rsid wsp:val=&quot;7BCF48E4&quot;/&gt;&lt;wsp:rsid wsp:val=&quot;7BF96742&quot;/&gt;&lt;wsp:rsid wsp:val=&quot;7C356FDB&quot;/&gt;&lt;wsp:rsid wsp:val=&quot;7C503141&quot;/&gt;&lt;wsp:rsid wsp:val=&quot;7C900D2C&quot;/&gt;&lt;wsp:rsid wsp:val=&quot;7C9761F6&quot;/&gt;&lt;wsp:rsid wsp:val=&quot;7C9F542C&quot;/&gt;&lt;wsp:rsid wsp:val=&quot;7CA76A3B&quot;/&gt;&lt;wsp:rsid wsp:val=&quot;7D083865&quot;/&gt;&lt;wsp:rsid wsp:val=&quot;7D21002C&quot;/&gt;&lt;wsp:rsid wsp:val=&quot;7D3326A5&quot;/&gt;&lt;wsp:rsid wsp:val=&quot;7DA40CBD&quot;/&gt;&lt;wsp:rsid wsp:val=&quot;7DB4432B&quot;/&gt;&lt;wsp:rsid wsp:val=&quot;7DF7660D&quot;/&gt;&lt;wsp:rsid wsp:val=&quot;7E4176AB&quot;/&gt;&lt;wsp:rsid wsp:val=&quot;7E447767&quot;/&gt;&lt;wsp:rsid wsp:val=&quot;7EC11AD2&quot;/&gt;&lt;wsp:rsid wsp:val=&quot;7F8819A0&quot;/&gt;&lt;/wsp:rsids&gt;&lt;/w:docPr&gt;&lt;w:body&gt;&lt;wx:sect&gt;&lt;w:p wsp:rsidR=&quot;00000000&quot; wsp:rsidRDefault=&quot;002D3C44&quot; wsp:rsidP=&quot;002D3C44&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1&lt;/m:t&gt;&lt;/m:r&gt;&lt;/m:num&gt;&lt;m:den&gt;&lt;m:nary&gt;&lt;m:naryPr&gt;&lt;m:chr m:val=&quot;∑&quot;/&gt;&lt;m:limLoc m:val=&quot;subSup&quot;/&gt;&lt;m:ctrlPr&gt;&lt;w:rPr&gt;&lt;w:rFonts w:ascii=&quot;Cambria Math&quot; w:h-ansi=&quot;Cambria Math&quot;/&gt;&lt;wx:font wx:val=&quot;Cambria Math&quot;/&gt;&lt;w:i/&gt;bbbbbbbbbbbbbbbbbbbbbbbbbbbbbbbbb&lt;wi:sz-cs w:val=&quot;21&quot;/&gt;&lt;/w:rPr&gt;&lt;/m:ctrlPr&gt;&lt;/m:naryPr&gt;&lt;m:sub&gt;&lt;m:r&gt;&lt;w:rPr&gt;&lt;w:rFonts w:ascii=&quot;Cambria Math&quot; w:h-ansi=&quot;Cambria Math&quot;/&gt;&lt;wx:font wx:val=&quot;Cambria Math&quot;/&gt;&lt;w:i/&gt;&lt;w:sz-cs w:val=&quot;21&quot;/&gt;&lt;/w:rPr&gt;&lt;m:t&gt;1&lt;/m:t&gt;&lt;/m:r&gt;&lt;/m:sub&gt;&lt;m:sup&gt;&lt;m:r&gt;&lt;w:rPr&gt;&lt;w:rFonts w:ascii=&quot;Cambria Math&quot; w:h-ansi=&quot;Cambria Math&quot;/&gt;&lt;wx:font wx:val=&quot;Cambria Math&quot;/&gt;&lt;w:i/&gt;&lt;w:sz-cs w:val=&quot;21&quot;/&gt;&lt;/w:rPr&gt;&lt;m:t&gt;N&lt;/m:t&gt;&lt;/m:r&gt;&lt;/m:sup&gt;&lt;m:e&gt;&lt;m:r&gt;&lt;w:rPr&gt;&lt;w:rFonts w:ascii=&quot;Cambria Math&quot; w:h-ansi=&quot;Cambria Math&quot;/&gt;&lt;wx:font wx:val=&quot;Cambria Math&quot;/&gt;&lt;w:i/&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7" chromakey="#FFFFFF" o:title=""/>
            <o:lock v:ext="edit" aspectratio="t"/>
            <w10:wrap type="none"/>
            <w10:anchorlock/>
          </v:shape>
        </w:pict>
      </w:r>
      <w:r>
        <w:rPr>
          <w:rFonts w:ascii="宋体" w:hAnsi="宋体"/>
          <w:color w:val="auto"/>
          <w:sz w:val="24"/>
          <w:szCs w:val="24"/>
          <w:highlight w:val="none"/>
          <w:u w:val="single"/>
        </w:rPr>
        <w:instrText xml:space="preserve">  \* MERGEFORMAT </w:instrText>
      </w:r>
      <w:r>
        <w:rPr>
          <w:rFonts w:ascii="宋体" w:hAnsi="宋体"/>
          <w:color w:val="auto"/>
          <w:sz w:val="24"/>
          <w:szCs w:val="24"/>
          <w:highlight w:val="none"/>
          <w:u w:val="single"/>
        </w:rPr>
        <w:fldChar w:fldCharType="separate"/>
      </w:r>
      <w:r>
        <w:rPr>
          <w:color w:val="auto"/>
          <w:position w:val="-26"/>
          <w:sz w:val="24"/>
          <w:szCs w:val="24"/>
          <w:highlight w:val="none"/>
        </w:rPr>
        <w:pict>
          <v:shape id="_x0000_i1030" o:spt="75" type="#_x0000_t75" style="height:31pt;width:16.75pt;" filled="f" o:preferrelative="t" stroked="f" coordsize="21600,2160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5&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webPageEncoding w:val=&quot;x-cp20936&quot;/&gt;&lt;w:optimizeForBrowser/&gt;&lt;w:allowPNG/&gt;&lt;w:pixelsPerInch w:val=&quot;144&quot;/&gt;&lt;w:validateAgainstSchema/&gt;&lt;w:saveInvalidXML w:val=&quot;off&quot;/&gt;&lt;w:ignoreMixedContent w:val=&quot;off&quot;/&gt;&lt;w:alwaysShowPlaceholderText w:val=&quot;off&quot;/&gt;&lt;w:endnotePr&gt;&lt;w:numFmt w:val=&quot;decimal&quot;/&gt;&lt;/w:end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7B41BE&quot;/&gt;&lt;wsp:rsid wsp:val=&quot;00006F1A&quot;/&gt;&lt;wsp:rsid wsp:val=&quot;00007E51&quot;/&gt;&lt;wsp:rsid wsp:val=&quot;00020A10&quot;/&gt;&lt;wsp:rsid wsp:val=&quot;00021215&quot;/&gt;&lt;wsp:rsid wsp:val=&quot;000324E5&quot;/&gt;&lt;wsp:rsid wsp:val=&quot;000477E9&quot;/&gt;&lt;wsp:rsid wsp:val=&quot;00057C27&quot;/&gt;&lt;wsp:rsid wsp:val=&quot;00072A2B&quot;/&gt;&lt;wsp:rsid wsp:val=&quot;00075D0C&quot;/&gt;&lt;wsp:rsid wsp:val=&quot;00075ED5&quot;/&gt;&lt;wsp:rsid wsp:val=&quot;00076837&quot;/&gt;&lt;wsp:rsid wsp:val=&quot;0008002C&quot;/&gt;&lt;wsp:rsid wsp:val=&quot;0008329B&quot;/&gt;&lt;wsp:rsid wsp:val=&quot;00087876&quot;/&gt;&lt;wsp:rsid wsp:val=&quot;000905EE&quot;/&gt;&lt;wsp:rsid wsp:val=&quot;000A68CE&quot;/&gt;&lt;wsp:rsid wsp:val=&quot;000B0301&quot;/&gt;&lt;wsp:rsid wsp:val=&quot;000C1B8F&quot;/&gt;&lt;wsp:rsid wsp:val=&quot;000C4EFD&quot;/&gt;&lt;wsp:rsid wsp:val=&quot;000C6689&quot;/&gt;&lt;wsp:rsid wsp:val=&quot;000D640D&quot;/&gt;&lt;wsp:rsid wsp:val=&quot;000E3D52&quot;/&gt;&lt;wsp:rsid wsp:val=&quot;000E5601&quot;/&gt;&lt;wsp:rsid wsp:val=&quot;000F0AF7&quot;/&gt;&lt;wsp:rsid wsp:val=&quot;000F3ED4&quot;/&gt;&lt;wsp:rsid wsp:val=&quot;00102559&quot;/&gt;&lt;wsp:rsid wsp:val=&quot;001043D3&quot;/&gt;&lt;wsp:rsid wsp:val=&quot;0011000F&quot;/&gt;&lt;wsp:rsid wsp:val=&quot;00130415&quot;/&gt;&lt;wsp:rsid wsp:val=&quot;00140939&quot;/&gt;&lt;wsp:rsid wsp:val=&quot;00152CF2&quot;/&gt;&lt;wsp:rsid wsp:val=&quot;0016302F&quot;/&gt;&lt;wsp:rsid wsp:val=&quot;00177DE9&quot;/&gt;&lt;wsp:rsid wsp:val=&quot;001815B5&quot;/&gt;&lt;wsp:rsid wsp:val=&quot;001952AB&quot;/&gt;&lt;wsp:rsid wsp:val=&quot;001962B9&quot;/&gt;&lt;wsp:rsid wsp:val=&quot;001A02CE&quot;/&gt;&lt;wsp:rsid wsp:val=&quot;001A06AD&quot;/&gt;&lt;wsp:rsid wsp:val=&quot;001C51B2&quot;/&gt;&lt;wsp:rsid wsp:val=&quot;001C78D8&quot;/&gt;&lt;wsp:rsid wsp:val=&quot;001C7C5D&quot;/&gt;&lt;wsp:rsid wsp:val=&quot;001D0171&quot;/&gt;&lt;wsp:rsid wsp:val=&quot;00207966&quot;/&gt;&lt;wsp:rsid wsp:val=&quot;002115C4&quot;/&gt;&lt;wsp:rsid wsp:val=&quot;00217AA1&quot;/&gt;&lt;wsp:rsid wsp:val=&quot;00227398&quot;/&gt;&lt;wsp:rsid wsp:val=&quot;002361A8&quot;/&gt;&lt;wsp:rsid wsp:val=&quot;00237E28&quot;/&gt;&lt;wsp:rsid wsp:val=&quot;00240E85&quot;/&gt;&lt;wsp:rsid wsp:val=&quot;002428EE&quot;/&gt;&lt;wsp:rsid wsp:val=&quot;00254D5D&quot;/&gt;&lt;wsp:rsid wsp:val=&quot;00255301&quot;/&gt;&lt;wsp:rsid wsp:val=&quot;002615BB&quot;/&gt;&lt;wsp:rsid wsp:val=&quot;00264048&quot;/&gt;&lt;wsp:rsid wsp:val=&quot;002641DB&quot;/&gt;&lt;wsp:rsid wsp:val=&quot;00265159&quot;/&gt;&lt;wsp:rsid wsp:val=&quot;00285782&quot;/&gt;&lt;wsp:rsid wsp:val=&quot;00291CE3&quot;/&gt;&lt;wsp:rsid wsp:val=&quot;00296E5A&quot;/&gt;&lt;wsp:rsid wsp:val=&quot;002A13CE&quot;/&gt;&lt;wsp:rsid wsp:val=&quot;002A6C86&quot;/&gt;&lt;wsp:rsid wsp:val=&quot;002B0328&quot;/&gt;&lt;wsp:rsid wsp:val=&quot;002B2B5D&quot;/&gt;&lt;wsp:rsid wsp:val=&quot;002C2022&quot;/&gt;&lt;wsp:rsid wsp:val=&quot;002C61BA&quot;/&gt;&lt;wsp:rsid wsp:val=&quot;002D3C44&quot;/&gt;&lt;wsp:rsid wsp:val=&quot;002E0A9A&quot;/&gt;&lt;wsp:rsid wsp:val=&quot;002E12E5&quot;/&gt;&lt;wsp:rsid wsp:val=&quot;002F553C&quot;/&gt;&lt;wsp:rsid wsp:val=&quot;003067A4&quot;/&gt;&lt;wsp:rsid wsp:val=&quot;00313B2C&quot;/&gt;&lt;wsp:rsid wsp:val=&quot;00315E5D&quot;/&gt;&lt;wsp:rsid wsp:val=&quot;00317804&quot;/&gt;&lt;wsp:rsid wsp:val=&quot;0032461E&quot;/&gt;&lt;wsp:rsid wsp:val=&quot;00327B69&quot;/&gt;&lt;wsp:rsid wsp:val=&quot;00330DE6&quot;/&gt;&lt;wsp:rsid wsp:val=&quot;00333F87&quot;/&gt;&lt;wsp:rsid wsp:val=&quot;003348FD&quot;/&gt;&lt;wsp:rsid wsp:val=&quot;00335354&quot;/&gt;&lt;wsp:rsid wsp:val=&quot;003522D1&quot;/&gt;&lt;wsp:rsid wsp:val=&quot;003526C3&quot;/&gt;&lt;wsp:rsid wsp:val=&quot;00366167&quot;/&gt;&lt;wsp:rsid wsp:val=&quot;00371C81&quot;/&gt;&lt;wsp:rsid wsp:val=&quot;00371CB0&quot;/&gt;&lt;wsp:rsid wsp:val=&quot;00382ADD&quot;/&gt;&lt;wsp:rsid wsp:val=&quot;00386F5B&quot;/&gt;&lt;wsp:rsid wsp:val=&quot;003879A7&quot;/&gt;&lt;wsp:rsid wsp:val=&quot;00394F76&quot;/&gt;&lt;wsp:rsid wsp:val=&quot;00396BE6&quot;/&gt;&lt;wsp:rsid wsp:val=&quot;003A4B0A&quot;/&gt;&lt;wsp:rsid wsp:val=&quot;003B306A&quot;/&gt;&lt;wsp:rsid wsp:val=&quot;003C0E5C&quot;/&gt;&lt;wsp:rsid wsp:val=&quot;003C3D3C&quot;/&gt;&lt;wsp:rsid wsp:val=&quot;003C6584&quot;/&gt;&lt;wsp:rsid wsp:val=&quot;003D7289&quot;/&gt;&lt;wsp:rsid wsp:val=&quot;003E4322&quot;/&gt;&lt;wsp:rsid wsp:val=&quot;003F0FC4&quot;/&gt;&lt;wsp:rsid wsp:val=&quot;003F571F&quot;/&gt;&lt;wsp:rsid wsp:val=&quot;0040471C&quot;/&gt;&lt;wsp:rsid wsp:val=&quot;004102B2&quot;/&gt;&lt;wsp:rsid wsp:val=&quot;0041385E&quot;/&gt;&lt;wsp:rsid wsp:val=&quot;00417D6F&quot;/&gt;&lt;wsp:rsid wsp:val=&quot;00431FFB&quot;/&gt;&lt;wsp:rsid wsp:val=&quot;00432E11&quot;/&gt;&lt;wsp:rsid wsp:val=&quot;004357ED&quot;/&gt;&lt;wsp:rsid wsp:val=&quot;00442AB3&quot;/&gt;&lt;wsp:rsid wsp:val=&quot;00445B6E&quot;/&gt;&lt;wsp:rsid wsp:val=&quot;004518A2&quot;/&gt;&lt;wsp:rsid wsp:val=&quot;0045295A&quot;/&gt;&lt;wsp:rsid wsp:val=&quot;00457E48&quot;/&gt;&lt;wsp:rsid wsp:val=&quot;004650D9&quot;/&gt;&lt;wsp:rsid wsp:val=&quot;0048402E&quot;/&gt;&lt;wsp:rsid wsp:val=&quot;00484805&quot;/&gt;&lt;wsp:rsid wsp:val=&quot;004A1B03&quot;/&gt;&lt;wsp:rsid wsp:val=&quot;004A5F83&quot;/&gt;&lt;wsp:rsid wsp:val=&quot;004A617E&quot;/&gt;&lt;wsp:rsid wsp:val=&quot;004B5364&quot;/&gt;&lt;wsp:rsid wsp:val=&quot;004C27EC&quot;/&gt;&lt;wsp:rsid wsp:val=&quot;004C524F&quot;/&gt;&lt;wsp:rsid wsp:val=&quot;004D2901&quot;/&gt;&lt;wsp:rsid wsp:val=&quot;0050376E&quot;/&gt;&lt;wsp:rsid wsp:val=&quot;00504DBA&quot;/&gt;&lt;wsp:rsid wsp:val=&quot;00513598&quot;/&gt;&lt;wsp:rsid wsp:val=&quot;00516CE1&quot;/&gt;&lt;wsp:rsid wsp:val=&quot;00517341&quot;/&gt;&lt;wsp:rsid wsp:val=&quot;00523A2D&quot;/&gt;&lt;wsp:rsid wsp:val=&quot;00525C33&quot;/&gt;&lt;wsp:rsid wsp:val=&quot;0053690D&quot;/&gt;&lt;wsp:rsid wsp:val=&quot;005430F0&quot;/&gt;&lt;wsp:rsid wsp:val=&quot;00563784&quot;/&gt;&lt;wsp:rsid wsp:val=&quot;0056407F&quot;/&gt;&lt;wsp:rsid wsp:val=&quot;0057670E&quot;/&gt;&lt;wsp:rsid wsp:val=&quot;00594885&quot;/&gt;&lt;wsp:rsid wsp:val=&quot;00595900&quot;/&gt;&lt;wsp:rsid wsp:val=&quot;005C2CED&quot;/&gt;&lt;wsp:rsid wsp:val=&quot;005D14A6&quot;/&gt;&lt;wsp:rsid wsp:val=&quot;005F00FE&quot;/&gt;&lt;wsp:rsid wsp:val=&quot;005F1D1C&quot;/&gt;&lt;wsp:rsid wsp:val=&quot;005F40F3&quot;/&gt;&lt;wsp:rsid wsp:val=&quot;0060317D&quot;/&gt;&lt;wsp:rsid wsp:val=&quot;006065AF&quot;/&gt;&lt;wsp:rsid wsp:val=&quot;006109C9&quot;/&gt;&lt;wsp:rsid wsp:val=&quot;00624AA1&quot;/&gt;&lt;wsp:rsid wsp:val=&quot;006333C6&quot;/&gt;&lt;wsp:rsid wsp:val=&quot;006352BF&quot;/&gt;&lt;wsp:rsid wsp:val=&quot;006422D2&quot;/&gt;&lt;wsp:rsid wsp:val=&quot;00643AF1&quot;/&gt;&lt;wsp:rsid wsp:val=&quot;00656123&quot;/&gt;&lt;wsp:rsid wsp:val=&quot;006617EA&quot;/&gt;&lt;wsp:rsid wsp:val=&quot;00667F0C&quot;/&gt;&lt;wsp:rsid wsp:val=&quot;006715FF&quot;/&gt;&lt;wsp:rsid wsp:val=&quot;00676A9B&quot;/&gt;&lt;wsp:rsid wsp:val=&quot;006951CC&quot;/&gt;&lt;wsp:rsid wsp:val=&quot;006B2956&quot;/&gt;&lt;wsp:rsid wsp:val=&quot;006B6B0D&quot;/&gt;&lt;wsp:rsid wsp:val=&quot;006D0462&quot;/&gt;&lt;wsp:rsid wsp:val=&quot;006E53F2&quot;/&gt;&lt;wsp:rsid wsp:val=&quot;00704352&quot;/&gt;&lt;wsp:rsid wsp:val=&quot;00722250&quot;/&gt;&lt;wsp:rsid wsp:val=&quot;00734ACD&quot;/&gt;&lt;wsp:rsid wsp:val=&quot;00736852&quot;/&gt;&lt;wsp:rsid wsp:val=&quot;00747747&quot;/&gt;&lt;wsp:rsid wsp:val=&quot;00747DDB&quot;/&gt;&lt;wsp:rsid wsp:val=&quot;0076060A&quot;/&gt;&lt;wsp:rsid wsp:val=&quot;007667B4&quot;/&gt;&lt;wsp:rsid wsp:val=&quot;00766EA6&quot;/&gt;&lt;wsp:rsid wsp:val=&quot;007836E3&quot;/&gt;&lt;wsp:rsid wsp:val=&quot;00785D05&quot;/&gt;&lt;wsp:rsid wsp:val=&quot;007B0DB1&quot;/&gt;&lt;wsp:rsid wsp:val=&quot;007B41BE&quot;/&gt;&lt;wsp:rsid wsp:val=&quot;007C2DCD&quot;/&gt;&lt;wsp:rsid wsp:val=&quot;007D5DB9&quot;/&gt;&lt;wsp:rsid wsp:val=&quot;007F15F5&quot;/&gt;&lt;wsp:rsid wsp:val=&quot;00805F18&quot;/&gt;&lt;wsp:rsid wsp:val=&quot;008100A9&quot;/&gt;&lt;wsp:rsid wsp:val=&quot;00815D5E&quot;/&gt;&lt;wsp:rsid wsp:val=&quot;00821B8C&quot;/&gt;&lt;wsp:rsid wsp:val=&quot;00826815&quot;/&gt;&lt;wsp:rsid wsp:val=&quot;00826CA9&quot;/&gt;&lt;wsp:rsid wsp:val=&quot;00831B79&quot;/&gt;&lt;wsp:rsid wsp:val=&quot;008449D3&quot;/&gt;&lt;wsp:rsid wsp:val=&quot;00847038&quot;/&gt;&lt;wsp:rsid wsp:val=&quot;00853529&quot;/&gt;&lt;wsp:rsid wsp:val=&quot;00855DF8&quot;/&gt;&lt;wsp:rsid wsp:val=&quot;0085741F&quot;/&gt;&lt;wsp:rsid wsp:val=&quot;008610B7&quot;/&gt;&lt;wsp:rsid wsp:val=&quot;008624DC&quot;/&gt;&lt;wsp:rsid wsp:val=&quot;0086260D&quot;/&gt;&lt;wsp:rsid wsp:val=&quot;00863329&quot;/&gt;&lt;wsp:rsid wsp:val=&quot;0086516E&quot;/&gt;&lt;wsp:rsid wsp:val=&quot;00875632&quot;/&gt;&lt;wsp:rsid wsp:val=&quot;00880F8B&quot;/&gt;&lt;wsp:rsid wsp:val=&quot;00881879&quot;/&gt;&lt;wsp:rsid wsp:val=&quot;00883788&quot;/&gt;&lt;wsp:rsid wsp:val=&quot;008863FA&quot;/&gt;&lt;wsp:rsid wsp:val=&quot;00896624&quot;/&gt;&lt;wsp:rsid wsp:val=&quot;00897CFA&quot;/&gt;&lt;wsp:rsid wsp:val=&quot;00897EE5&quot;/&gt;&lt;wsp:rsid wsp:val=&quot;008A0349&quot;/&gt;&lt;wsp:rsid wsp:val=&quot;008A1536&quot;/&gt;&lt;wsp:rsid wsp:val=&quot;008B1C37&quot;/&gt;&lt;wsp:rsid wsp:val=&quot;008B7608&quot;/&gt;&lt;wsp:rsid wsp:val=&quot;008D6739&quot;/&gt;&lt;wsp:rsid wsp:val=&quot;008F35F8&quot;/&gt;&lt;wsp:rsid wsp:val=&quot;00910925&quot;/&gt;&lt;wsp:rsid wsp:val=&quot;009153D5&quot;/&gt;&lt;wsp:rsid wsp:val=&quot;0092235B&quot;/&gt;&lt;wsp:rsid wsp:val=&quot;009237A8&quot;/&gt;&lt;wsp:rsid wsp:val=&quot;0092698F&quot;/&gt;&lt;wsp:rsid wsp:val=&quot;00947FBF&quot;/&gt;&lt;wsp:rsid wsp:val=&quot;00955AEF&quot;/&gt;&lt;wsp:rsid wsp:val=&quot;009613F8&quot;/&gt;&lt;wsp:rsid wsp:val=&quot;00964203&quot;/&gt;&lt;wsp:rsid wsp:val=&quot;00965C9C&quot;/&gt;&lt;wsp:rsid wsp:val=&quot;00970EB6&quot;/&gt;&lt;wsp:rsid wsp:val=&quot;00976F0E&quot;/&gt;&lt;wsp:rsid wsp:val=&quot;009865BE&quot;/&gt;&lt;wsp:rsid wsp:val=&quot;00986F57&quot;/&gt;&lt;wsp:rsid wsp:val=&quot;0099075E&quot;/&gt;&lt;wsp:rsid wsp:val=&quot;00994CA1&quot;/&gt;&lt;wsp:rsid wsp:val=&quot;0099768F&quot;/&gt;&lt;wsp:rsid wsp:val=&quot;00997757&quot;/&gt;&lt;wsp:rsid wsp:val=&quot;009B1F09&quot;/&gt;&lt;wsp:rsid wsp:val=&quot;009B6DEC&quot;/&gt;&lt;wsp:rsid wsp:val=&quot;009C29C9&quot;/&gt;&lt;wsp:rsid wsp:val=&quot;009D7CE3&quot;/&gt;&lt;wsp:rsid wsp:val=&quot;00A024F5&quot;/&gt;&lt;wsp:rsid wsp:val=&quot;00A35622&quot;/&gt;&lt;wsp:rsid wsp:val=&quot;00A456D5&quot;/&gt;&lt;wsp:rsid wsp:val=&quot;00A540E9&quot;/&gt;&lt;wsp:rsid wsp:val=&quot;00A61EAB&quot;/&gt;&lt;wsp:rsid wsp:val=&quot;00A65B31&quot;/&gt;&lt;wsp:rsid wsp:val=&quot;00A665F0&quot;/&gt;&lt;wsp:rsid wsp:val=&quot;00A66B33&quot;/&gt;&lt;wsp:rsid wsp:val=&quot;00A733EE&quot;/&gt;&lt;wsp:rsid wsp:val=&quot;00A80E3F&quot;/&gt;&lt;wsp:rsid wsp:val=&quot;00A92FB5&quot;/&gt;&lt;wsp:rsid wsp:val=&quot;00A935F1&quot;/&gt;&lt;wsp:rsid wsp:val=&quot;00AB134C&quot;/&gt;&lt;wsp:rsid wsp:val=&quot;00AB6CD8&quot;/&gt;&lt;wsp:rsid wsp:val=&quot;00AB7559&quot;/&gt;&lt;wsp:rsid wsp:val=&quot;00AD09E5&quot;/&gt;&lt;wsp:rsid wsp:val=&quot;00AD2004&quot;/&gt;&lt;wsp:rsid wsp:val=&quot;00AF4CEB&quot;/&gt;&lt;wsp:rsid wsp:val=&quot;00B04828&quot;/&gt;&lt;wsp:rsid wsp:val=&quot;00B10668&quot;/&gt;&lt;wsp:rsid wsp:val=&quot;00B15F09&quot;/&gt;&lt;wsp:rsid wsp:val=&quot;00B244A8&quot;/&gt;&lt;wsp:rsid wsp:val=&quot;00B339F9&quot;/&gt;&lt;wsp:rsid wsp:val=&quot;00B377D8&quot;/&gt;&lt;wsp:rsid wsp:val=&quot;00B5278F&quot;/&gt;&lt;wsp:rsid wsp:val=&quot;00B55CB1&quot;/&gt;&lt;wsp:rsid wsp:val=&quot;00B66ECB&quot;/&gt;&lt;wsp:rsid wsp:val=&quot;00B81E28&quot;/&gt;&lt;wsp:rsid wsp:val=&quot;00B9192A&quot;/&gt;&lt;wsp:rsid wsp:val=&quot;00B93351&quot;/&gt;&lt;wsp:rsid wsp:val=&quot;00B96A0C&quot;/&gt;&lt;wsp:rsid wsp:val=&quot;00BA1175&quot;/&gt;&lt;wsp:rsid wsp:val=&quot;00BB4AFB&quot;/&gt;&lt;wsp:rsid wsp:val=&quot;00BC161C&quot;/&gt;&lt;wsp:rsid wsp:val=&quot;00BC45FF&quot;/&gt;&lt;wsp:rsid wsp:val=&quot;00BD1CE9&quot;/&gt;&lt;wsp:rsid wsp:val=&quot;00BD4E60&quot;/&gt;&lt;wsp:rsid wsp:val=&quot;00BD55AC&quot;/&gt;&lt;wsp:rsid wsp:val=&quot;00BE17C4&quot;/&gt;&lt;wsp:rsid wsp:val=&quot;00BF06E8&quot;/&gt;&lt;wsp:rsid wsp:val=&quot;00BF5FFE&quot;/&gt;&lt;wsp:rsid wsp:val=&quot;00C12A93&quot;/&gt;&lt;wsp:rsid wsp:val=&quot;00C23657&quot;/&gt;&lt;wsp:rsid wsp:val=&quot;00C31D71&quot;/&gt;&lt;wsp:rsid wsp:val=&quot;00C32EE0&quot;/&gt;&lt;wsp:rsid wsp:val=&quot;00C349B6&quot;/&gt;&lt;wsp:rsid wsp:val=&quot;00C356CB&quot;/&gt;&lt;wsp:rsid wsp:val=&quot;00C408D3&quot;/&gt;&lt;wsp:rsid wsp:val=&quot;00C46D7B&quot;/&gt;&lt;wsp:rsid wsp:val=&quot;00C51BE4&quot;/&gt;&lt;wsp:rsid wsp:val=&quot;00C65559&quot;/&gt;&lt;wsp:rsid wsp:val=&quot;00C6771C&quot;/&gt;&lt;wsp:rsid wsp:val=&quot;00C834D4&quot;/&gt;&lt;wsp:rsid wsp:val=&quot;00C86130&quot;/&gt;&lt;wsp:rsid wsp:val=&quot;00CA2D54&quot;/&gt;&lt;wsp:rsid wsp:val=&quot;00CB0AB5&quot;/&gt;&lt;wsp:rsid wsp:val=&quot;00CB3EAB&quot;/&gt;&lt;wsp:rsid wsp:val=&quot;00CC2BD7&quot;/&gt;&lt;wsp:rsid wsp:val=&quot;00CD0840&quot;/&gt;&lt;wsp:rsid wsp:val=&quot;00CD09D7&quot;/&gt;&lt;wsp:rsid wsp:val=&quot;00CD517C&quot;/&gt;&lt;wsp:rsid wsp:val=&quot;00CE3BD3&quot;/&gt;&lt;wsp:rsid wsp:val=&quot;00CF7247&quot;/&gt;&lt;wsp:rsid wsp:val=&quot;00D052E8&quot;/&gt;&lt;wsp:rsid wsp:val=&quot;00D1277A&quot;/&gt;&lt;wsp:rsid wsp:val=&quot;00D13F94&quot;/&gt;&lt;wsp:rsid wsp:val=&quot;00D23DF9&quot;/&gt;&lt;wsp:rsid wsp:val=&quot;00D27280&quot;/&gt;&lt;wsp:rsid wsp:val=&quot;00D47795&quot;/&gt;&lt;wsp:rsid wsp:val=&quot;00D63F39&quot;/&gt;&lt;wsp:rsid wsp:val=&quot;00D66825&quot;/&gt;&lt;wsp:rsid wsp:val=&quot;00D668BF&quot;/&gt;&lt;wsp:rsid wsp:val=&quot;00D85019&quot;/&gt;&lt;wsp:rsid wsp:val=&quot;00D87A48&quot;/&gt;&lt;wsp:rsid wsp:val=&quot;00DA33DC&quot;/&gt;&lt;wsp:rsid wsp:val=&quot;00DC726E&quot;/&gt;&lt;wsp:rsid wsp:val=&quot;00DD087A&quot;/&gt;&lt;wsp:rsid wsp:val=&quot;00DD15DA&quot;/&gt;&lt;wsp:rsid wsp:val=&quot;00DD39F7&quot;/&gt;&lt;wsp:rsid wsp:val=&quot;00DE2532&quot;/&gt;&lt;wsp:rsid wsp:val=&quot;00DE7F75&quot;/&gt;&lt;wsp:rsid wsp:val=&quot;00DF0FEA&quot;/&gt;&lt;wsp:rsid wsp:val=&quot;00E00DBC&quot;/&gt;&lt;wsp:rsid wsp:val=&quot;00E0419C&quot;/&gt;&lt;wsp:rsid wsp:val=&quot;00E05A58&quot;/&gt;&lt;wsp:rsid wsp:val=&quot;00E111B7&quot;/&gt;&lt;wsp:rsid wsp:val=&quot;00E1755F&quot;/&gt;&lt;wsp:rsid wsp:val=&quot;00E21904&quot;/&gt;&lt;wsp:rsid wsp:val=&quot;00E31316&quot;/&gt;&lt;wsp:rsid wsp:val=&quot;00E417A7&quot;/&gt;&lt;wsp:rsid wsp:val=&quot;00E56B1C&quot;/&gt;&lt;wsp:rsid wsp:val=&quot;00E61ECE&quot;/&gt;&lt;wsp:rsid wsp:val=&quot;00E6607A&quot;/&gt;&lt;wsp:rsid wsp:val=&quot;00E93861&quot;/&gt;&lt;wsp:rsid wsp:val=&quot;00E97297&quot;/&gt;&lt;wsp:rsid wsp:val=&quot;00EA3E65&quot;/&gt;&lt;wsp:rsid wsp:val=&quot;00EB4D9C&quot;/&gt;&lt;wsp:rsid wsp:val=&quot;00EC3064&quot;/&gt;&lt;wsp:rsid wsp:val=&quot;00ED21EA&quot;/&gt;&lt;wsp:rsid wsp:val=&quot;00ED6676&quot;/&gt;&lt;wsp:rsid wsp:val=&quot;00EE617E&quot;/&gt;&lt;wsp:rsid wsp:val=&quot;00EF081F&quot;/&gt;&lt;wsp:rsid wsp:val=&quot;00EF59DF&quot;/&gt;&lt;wsp:rsid wsp:val=&quot;00EF67B9&quot;/&gt;&lt;wsp:rsid wsp:val=&quot;00EF7292&quot;/&gt;&lt;wsp:rsid wsp:val=&quot;00F023EF&quot;/&gt;&lt;wsp:rsid wsp:val=&quot;00F0401B&quot;/&gt;&lt;wsp:rsid wsp:val=&quot;00F04099&quot;/&gt;&lt;wsp:rsid wsp:val=&quot;00F05B05&quot;/&gt;&lt;wsp:rsid wsp:val=&quot;00F164CF&quot;/&gt;&lt;wsp:rsid wsp:val=&quot;00F1692E&quot;/&gt;&lt;wsp:rsid wsp:val=&quot;00F53525&quot;/&gt;&lt;wsp:rsid wsp:val=&quot;00F60B9A&quot;/&gt;&lt;wsp:rsid wsp:val=&quot;00F64547&quot;/&gt;&lt;wsp:rsid wsp:val=&quot;00F811CE&quot;/&gt;&lt;wsp:rsid wsp:val=&quot;00F842F3&quot;/&gt;&lt;wsp:rsid wsp:val=&quot;00F867D6&quot;/&gt;&lt;wsp:rsid wsp:val=&quot;00F93145&quot;/&gt;&lt;wsp:rsid wsp:val=&quot;00F94EA3&quot;/&gt;&lt;wsp:rsid wsp:val=&quot;00FA7B70&quot;/&gt;&lt;wsp:rsid wsp:val=&quot;00FB755A&quot;/&gt;&lt;wsp:rsid wsp:val=&quot;00FC0C2C&quot;/&gt;&lt;wsp:rsid wsp:val=&quot;00FD273B&quot;/&gt;&lt;wsp:rsid wsp:val=&quot;00FD711D&quot;/&gt;&lt;wsp:rsid wsp:val=&quot;00FF1F0E&quot;/&gt;&lt;wsp:rsid wsp:val=&quot;00FF6EB1&quot;/&gt;&lt;wsp:rsid wsp:val=&quot;00FF70D3&quot;/&gt;&lt;wsp:rsid wsp:val=&quot;0132288A&quot;/&gt;&lt;wsp:rsid wsp:val=&quot;01384C43&quot;/&gt;&lt;wsp:rsid wsp:val=&quot;01AB79F4&quot;/&gt;&lt;wsp:rsid wsp:val=&quot;01E70B0E&quot;/&gt;&lt;wsp:rsid wsp:val=&quot;02547AA6&quot;/&gt;&lt;wsp:rsid wsp:val=&quot;025E1490&quot;/&gt;&lt;wsp:rsid wsp:val=&quot;026D01A7&quot;/&gt;&lt;wsp:rsid wsp:val=&quot;0292705A&quot;/&gt;&lt;wsp:rsid wsp:val=&quot;02BB2BB6&quot;/&gt;&lt;wsp:rsid wsp:val=&quot;02D44769&quot;/&gt;&lt;wsp:rsid wsp:val=&quot;03223D53&quot;/&gt;&lt;wsp:rsid wsp:val=&quot;03305E1E&quot;/&gt;&lt;wsp:rsid wsp:val=&quot;034B6F5E&quot;/&gt;&lt;wsp:rsid wsp:val=&quot;0369677B&quot;/&gt;&lt;wsp:rsid wsp:val=&quot;036E2876&quot;/&gt;&lt;wsp:rsid wsp:val=&quot;038B55AE&quot;/&gt;&lt;wsp:rsid wsp:val=&quot;038E6EF8&quot;/&gt;&lt;wsp:rsid wsp:val=&quot;03AD02FF&quot;/&gt;&lt;wsp:rsid wsp:val=&quot;03CF176F&quot;/&gt;&lt;wsp:rsid wsp:val=&quot;048B38BC&quot;/&gt;&lt;wsp:rsid wsp:val=&quot;049D5F19&quot;/&gt;&lt;wsp:rsid wsp:val=&quot;04D42ADE&quot;/&gt;&lt;wsp:rsid wsp:val=&quot;04E02384&quot;/&gt;&lt;wsp:rsid wsp:val=&quot;05345F66&quot;/&gt;&lt;wsp:rsid wsp:val=&quot;053F5515&quot;/&gt;&lt;wsp:rsid wsp:val=&quot;05CC574A&quot;/&gt;&lt;wsp:rsid wsp:val=&quot;05F97374&quot;/&gt;&lt;wsp:rsid wsp:val=&quot;06024098&quot;/&gt;&lt;wsp:rsid wsp:val=&quot;064514F9&quot;/&gt;&lt;wsp:rsid wsp:val=&quot;06BE0E86&quot;/&gt;&lt;wsp:rsid wsp:val=&quot;06BE4BFC&quot;/&gt;&lt;wsp:rsid wsp:val=&quot;075703F5&quot;/&gt;&lt;wsp:rsid wsp:val=&quot;07751A06&quot;/&gt;&lt;wsp:rsid wsp:val=&quot;078142A4&quot;/&gt;&lt;wsp:rsid wsp:val=&quot;07834C9D&quot;/&gt;&lt;wsp:rsid wsp:val=&quot;07924E0C&quot;/&gt;&lt;wsp:rsid wsp:val=&quot;079F2E01&quot;/&gt;&lt;wsp:rsid wsp:val=&quot;07AE57A4&quot;/&gt;&lt;wsp:rsid wsp:val=&quot;07BB4543&quot;/&gt;&lt;wsp:rsid wsp:val=&quot;07D85C5A&quot;/&gt;&lt;wsp:rsid wsp:val=&quot;081E2428&quot;/&gt;&lt;wsp:rsid wsp:val=&quot;081F69D8&quot;/&gt;&lt;wsp:rsid wsp:val=&quot;08312FC7&quot;/&gt;&lt;wsp:rsid wsp:val=&quot;08434891&quot;/&gt;&lt;wsp:rsid wsp:val=&quot;08A23B9F&quot;/&gt;&lt;wsp:rsid wsp:val=&quot;08AC3ED3&quot;/&gt;&lt;wsp:rsid wsp:val=&quot;08C2021F&quot;/&gt;&lt;wsp:rsid wsp:val=&quot;08D265F0&quot;/&gt;&lt;wsp:rsid wsp:val=&quot;08E143F1&quot;/&gt;&lt;wsp:rsid wsp:val=&quot;090B0E8E&quot;/&gt;&lt;wsp:rsid wsp:val=&quot;095D5B9F&quot;/&gt;&lt;wsp:rsid wsp:val=&quot;09676399&quot;/&gt;&lt;wsp:rsid wsp:val=&quot;09D662E7&quot;/&gt;&lt;wsp:rsid wsp:val=&quot;0A242726&quot;/&gt;&lt;wsp:rsid wsp:val=&quot;0A323426&quot;/&gt;&lt;wsp:rsid wsp:val=&quot;0A912F86&quot;/&gt;&lt;wsp:rsid wsp:val=&quot;0ABF1AEC&quot;/&gt;&lt;wsp:rsid wsp:val=&quot;0B17316E&quot;/&gt;&lt;wsp:rsid wsp:val=&quot;0B7E5061&quot;/&gt;&lt;wsp:rsid wsp:val=&quot;0B9B0808&quot;/&gt;&lt;wsp:rsid wsp:val=&quot;0BB11083&quot;/&gt;&lt;wsp:rsid wsp:val=&quot;0BE66A48&quot;/&gt;&lt;wsp:rsid wsp:val=&quot;0C1F15F1&quot;/&gt;&lt;wsp:rsid wsp:val=&quot;0C730A4A&quot;/&gt;&lt;wsp:rsid wsp:val=&quot;0C984991&quot;/&gt;&lt;wsp:rsid wsp:val=&quot;0CD51310&quot;/&gt;&lt;wsp:rsid wsp:val=&quot;0D0175B1&quot;/&gt;&lt;wsp:rsid wsp:val=&quot;0D4E212A&quot;/&gt;&lt;wsp:rsid wsp:val=&quot;0D5A7A00&quot;/&gt;&lt;wsp:rsid wsp:val=&quot;0D8F7FD4&quot;/&gt;&lt;wsp:rsid wsp:val=&quot;0D9C7F7E&quot;/&gt;&lt;wsp:rsid wsp:val=&quot;0DA26C14&quot;/&gt;&lt;wsp:rsid wsp:val=&quot;0DA80C95&quot;/&gt;&lt;wsp:rsid wsp:val=&quot;0E29306E&quot;/&gt;&lt;wsp:rsid wsp:val=&quot;0F32428B&quot;/&gt;&lt;wsp:rsid wsp:val=&quot;0F34709D&quot;/&gt;&lt;wsp:rsid wsp:val=&quot;0F3970C7&quot;/&gt;&lt;wsp:rsid wsp:val=&quot;1018426F&quot;/&gt;&lt;wsp:rsid wsp:val=&quot;101A2C21&quot;/&gt;&lt;wsp:rsid wsp:val=&quot;107002C4&quot;/&gt;&lt;wsp:rsid wsp:val=&quot;107A19FF&quot;/&gt;&lt;wsp:rsid wsp:val=&quot;108B7D11&quot;/&gt;&lt;wsp:rsid wsp:val=&quot;10E624D4&quot;/&gt;&lt;wsp:rsid wsp:val=&quot;110132F2&quot;/&gt;&lt;wsp:rsid wsp:val=&quot;11800030&quot;/&gt;&lt;wsp:rsid wsp:val=&quot;11A00F75&quot;/&gt;&lt;wsp:rsid wsp:val=&quot;11E2703C&quot;/&gt;&lt;wsp:rsid wsp:val=&quot;126D2B01&quot;/&gt;&lt;wsp:rsid wsp:val=&quot;1275369F&quot;/&gt;&lt;wsp:rsid wsp:val=&quot;129004AD&quot;/&gt;&lt;wsp:rsid wsp:val=&quot;12A00582&quot;/&gt;&lt;wsp:rsid wsp:val=&quot;138035BB&quot;/&gt;&lt;wsp:rsid wsp:val=&quot;138358B3&quot;/&gt;&lt;wsp:rsid wsp:val=&quot;139A4730&quot;/&gt;&lt;wsp:rsid wsp:val=&quot;13A8278C&quot;/&gt;&lt;wsp:rsid wsp:val=&quot;13B876A8&quot;/&gt;&lt;wsp:rsid wsp:val=&quot;13C5153D&quot;/&gt;&lt;wsp:rsid wsp:val=&quot;14A42F04&quot;/&gt;&lt;wsp:rsid wsp:val=&quot;14D10BF7&quot;/&gt;&lt;wsp:rsid wsp:val=&quot;15435428&quot;/&gt;&lt;wsp:rsid wsp:val=&quot;15A06877&quot;/&gt;&lt;wsp:rsid wsp:val=&quot;15FF3688&quot;/&gt;&lt;wsp:rsid wsp:val=&quot;16052814&quot;/&gt;&lt;wsp:rsid wsp:val=&quot;163A5AA9&quot;/&gt;&lt;wsp:rsid wsp:val=&quot;16EA1B61&quot;/&gt;&lt;wsp:rsid wsp:val=&quot;172E636F&quot;/&gt;&lt;wsp:rsid wsp:val=&quot;17746AC4&quot;/&gt;&lt;wsp:rsid wsp:val=&quot;178D730C&quot;/&gt;&lt;wsp:rsid wsp:val=&quot;17E648BC&quot;/&gt;&lt;wsp:rsid wsp:val=&quot;186616EC&quot;/&gt;&lt;wsp:rsid wsp:val=&quot;18721531&quot;/&gt;&lt;wsp:rsid wsp:val=&quot;19885448&quot;/&gt;&lt;wsp:rsid wsp:val=&quot;19905A54&quot;/&gt;&lt;wsp:rsid wsp:val=&quot;1A27276A&quot;/&gt;&lt;wsp:rsid wsp:val=&quot;1A5F33D2&quot;/&gt;&lt;wsp:rsid wsp:val=&quot;1A616B7D&quot;/&gt;&lt;wsp:rsid wsp:val=&quot;1A7276A4&quot;/&gt;&lt;wsp:rsid wsp:val=&quot;1AAB12B9&quot;/&gt;&lt;wsp:rsid wsp:val=&quot;1B0510F1&quot;/&gt;&lt;wsp:rsid wsp:val=&quot;1B0A4A84&quot;/&gt;&lt;wsp:rsid wsp:val=&quot;1C400A08&quot;/&gt;&lt;wsp:rsid wsp:val=&quot;1C7328CC&quot;/&gt;&lt;wsp:rsid wsp:val=&quot;1C8D42DD&quot;/&gt;&lt;wsp:rsid wsp:val=&quot;1CC54AB8&quot;/&gt;&lt;wsp:rsid wsp:val=&quot;1CD87FC9&quot;/&gt;&lt;wsp:rsid wsp:val=&quot;1CF00F4A&quot;/&gt;&lt;wsp:rsid wsp:val=&quot;1D7C1969&quot;/&gt;&lt;wsp:rsid wsp:val=&quot;1DC7240D&quot;/&gt;&lt;wsp:rsid wsp:val=&quot;1DC74FC1&quot;/&gt;&lt;wsp:rsid wsp:val=&quot;1DCB7C76&quot;/&gt;&lt;wsp:rsid wsp:val=&quot;1DD24998&quot;/&gt;&lt;wsp:rsid wsp:val=&quot;1E593C5F&quot;/&gt;&lt;wsp:rsid wsp:val=&quot;1E714C4F&quot;/&gt;&lt;wsp:rsid wsp:val=&quot;1EAB55A1&quot;/&gt;&lt;wsp:rsid wsp:val=&quot;1EE30BE5&quot;/&gt;&lt;wsp:rsid wsp:val=&quot;1EE81D26&quot;/&gt;&lt;wsp:rsid wsp:val=&quot;1EF0287C&quot;/&gt;&lt;wsp:rsid wsp:val=&quot;1F3B196F&quot;/&gt;&lt;wsp:rsid wsp:val=&quot;1F6555FC&quot;/&gt;&lt;wsp:rsid wsp:val=&quot;20963B34&quot;/&gt;&lt;wsp:rsid wsp:val=&quot;20B35CD5&quot;/&gt;&lt;wsp:rsid wsp:val=&quot;20B84C29&quot;/&gt;&lt;wsp:rsid wsp:val=&quot;20E93171&quot;/&gt;&lt;wsp:rsid wsp:val=&quot;211E2367&quot;/&gt;&lt;wsp:rsid wsp:val=&quot;212075C0&quot;/&gt;&lt;wsp:rsid wsp:val=&quot;21851CA3&quot;/&gt;&lt;wsp:rsid wsp:val=&quot;21AA703D&quot;/&gt;&lt;wsp:rsid wsp:val=&quot;21F637D0&quot;/&gt;&lt;wsp:rsid wsp:val=&quot;22001FFA&quot;/&gt;&lt;wsp:rsid wsp:val=&quot;22321F91&quot;/&gt;&lt;wsp:rsid wsp:val=&quot;2244237F&quot;/&gt;&lt;wsp:rsid wsp:val=&quot;224934A6&quot;/&gt;&lt;wsp:rsid wsp:val=&quot;22DE25CD&quot;/&gt;&lt;wsp:rsid wsp:val=&quot;23167ECF&quot;/&gt;&lt;wsp:rsid wsp:val=&quot;23240186&quot;/&gt;&lt;wsp:rsid wsp:val=&quot;233305EF&quot;/&gt;&lt;wsp:rsid wsp:val=&quot;23421931&quot;/&gt;&lt;wsp:rsid wsp:val=&quot;236005E1&quot;/&gt;&lt;wsp:rsid wsp:val=&quot;2362371F&quot;/&gt;&lt;wsp:rsid wsp:val=&quot;2403572C&quot;/&gt;&lt;wsp:rsid wsp:val=&quot;240B6F5D&quot;/&gt;&lt;wsp:rsid wsp:val=&quot;242541FF&quot;/&gt;&lt;wsp:rsid wsp:val=&quot;24361C3B&quot;/&gt;&lt;wsp:rsid wsp:val=&quot;243E4F46&quot;/&gt;&lt;wsp:rsid wsp:val=&quot;245143B6&quot;/&gt;&lt;wsp:rsid wsp:val=&quot;24617A1E&quot;/&gt;&lt;wsp:rsid wsp:val=&quot;24BE26EE&quot;/&gt;&lt;wsp:rsid wsp:val=&quot;24C40DD0&quot;/&gt;&lt;wsp:rsid wsp:val=&quot;24F80AD2&quot;/&gt;&lt;wsp:rsid wsp:val=&quot;24F84EB4&quot;/&gt;&lt;wsp:rsid wsp:val=&quot;25001582&quot;/&gt;&lt;wsp:rsid wsp:val=&quot;250E7EB7&quot;/&gt;&lt;wsp:rsid wsp:val=&quot;253B45B1&quot;/&gt;&lt;wsp:rsid wsp:val=&quot;254D572E&quot;/&gt;&lt;wsp:rsid wsp:val=&quot;258306DF&quot;/&gt;&lt;wsp:rsid wsp:val=&quot;25C36084&quot;/&gt;&lt;wsp:rsid wsp:val=&quot;26194434&quot;/&gt;&lt;wsp:rsid wsp:val=&quot;263943E5&quot;/&gt;&lt;wsp:rsid wsp:val=&quot;2791306A&quot;/&gt;&lt;wsp:rsid wsp:val=&quot;27950104&quot;/&gt;&lt;wsp:rsid wsp:val=&quot;27C3339B&quot;/&gt;&lt;wsp:rsid wsp:val=&quot;28562284&quot;/&gt;&lt;wsp:rsid wsp:val=&quot;285D24C3&quot;/&gt;&lt;wsp:rsid wsp:val=&quot;28A42644&quot;/&gt;&lt;wsp:rsid wsp:val=&quot;28BF607D&quot;/&gt;&lt;wsp:rsid wsp:val=&quot;28C90C22&quot;/&gt;&lt;wsp:rsid wsp:val=&quot;28FE2AB2&quot;/&gt;&lt;wsp:rsid wsp:val=&quot;298E7153&quot;/&gt;&lt;wsp:rsid wsp:val=&quot;29AC18AF&quot;/&gt;&lt;wsp:rsid wsp:val=&quot;29D3586A&quot;/&gt;&lt;wsp:rsid wsp:val=&quot;29E60EF5&quot;/&gt;&lt;wsp:rsid wsp:val=&quot;2A1000A0&quot;/&gt;&lt;wsp:rsid wsp:val=&quot;2A4B1B1C&quot;/&gt;&lt;wsp:rsid wsp:val=&quot;2A776515&quot;/&gt;&lt;wsp:rsid wsp:val=&quot;2ACD64B2&quot;/&gt;&lt;wsp:rsid wsp:val=&quot;2B164D17&quot;/&gt;&lt;wsp:rsid wsp:val=&quot;2B4B4CCE&quot;/&gt;&lt;wsp:rsid wsp:val=&quot;2B9E5F83&quot;/&gt;&lt;wsp:rsid wsp:val=&quot;2BFC3660&quot;/&gt;&lt;wsp:rsid wsp:val=&quot;2C032498&quot;/&gt;&lt;wsp:rsid wsp:val=&quot;2C3C29F1&quot;/&gt;&lt;wsp:rsid wsp:val=&quot;2D0D3F93&quot;/&gt;&lt;wsp:rsid wsp:val=&quot;2D1F42D5&quot;/&gt;&lt;wsp:rsid wsp:val=&quot;2D583DDF&quot;/&gt;&lt;wsp:rsid wsp:val=&quot;2D941E82&quot;/&gt;&lt;wsp:rsid wsp:val=&quot;2E1D6BA6&quot;/&gt;&lt;wsp:rsid wsp:val=&quot;2EEF0413&quot;/&gt;&lt;wsp:rsid wsp:val=&quot;2F181F4E&quot;/&gt;&lt;wsp:rsid wsp:val=&quot;2F8B34F0&quot;/&gt;&lt;wsp:rsid wsp:val=&quot;30114936&quot;/&gt;&lt;wsp:rsid wsp:val=&quot;30676AFF&quot;/&gt;&lt;wsp:rsid wsp:val=&quot;30707EAF&quot;/&gt;&lt;wsp:rsid wsp:val=&quot;30C25DAA&quot;/&gt;&lt;wsp:rsid wsp:val=&quot;30E06760&quot;/&gt;&lt;wsp:rsid wsp:val=&quot;31306C96&quot;/&gt;&lt;wsp:rsid wsp:val=&quot;319005ED&quot;/&gt;&lt;wsp:rsid wsp:val=&quot;31A85FFD&quot;/&gt;&lt;wsp:rsid wsp:val=&quot;31FD6D03&quot;/&gt;&lt;wsp:rsid wsp:val=&quot;324967E6&quot;/&gt;&lt;wsp:rsid wsp:val=&quot;32626D6F&quot;/&gt;&lt;wsp:rsid wsp:val=&quot;32862EB4&quot;/&gt;&lt;wsp:rsid wsp:val=&quot;328A0EAF&quot;/&gt;&lt;wsp:rsid wsp:val=&quot;328E477D&quot;/&gt;&lt;wsp:rsid wsp:val=&quot;329A0A0D&quot;/&gt;&lt;wsp:rsid wsp:val=&quot;32A2269E&quot;/&gt;&lt;wsp:rsid wsp:val=&quot;32A61CCB&quot;/&gt;&lt;wsp:rsid wsp:val=&quot;32A92DD7&quot;/&gt;&lt;wsp:rsid wsp:val=&quot;33251A7F&quot;/&gt;&lt;wsp:rsid wsp:val=&quot;334E4210&quot;/&gt;&lt;wsp:rsid wsp:val=&quot;338D7359&quot;/&gt;&lt;wsp:rsid wsp:val=&quot;33F62E53&quot;/&gt;&lt;wsp:rsid wsp:val=&quot;33F924A6&quot;/&gt;&lt;wsp:rsid wsp:val=&quot;348B02D6&quot;/&gt;&lt;wsp:rsid wsp:val=&quot;34E06B9F&quot;/&gt;&lt;wsp:rsid wsp:val=&quot;3508011E&quot;/&gt;&lt;wsp:rsid wsp:val=&quot;356316EA&quot;/&gt;&lt;wsp:rsid wsp:val=&quot;35A93E43&quot;/&gt;&lt;wsp:rsid wsp:val=&quot;35FF5C21&quot;/&gt;&lt;wsp:rsid wsp:val=&quot;368376EA&quot;/&gt;&lt;wsp:rsid wsp:val=&quot;368E7C55&quot;/&gt;&lt;wsp:rsid wsp:val=&quot;36983CC8&quot;/&gt;&lt;wsp:rsid wsp:val=&quot;36CE11B8&quot;/&gt;&lt;wsp:rsid wsp:val=&quot;36D776BA&quot;/&gt;&lt;wsp:rsid wsp:val=&quot;3747162A&quot;/&gt;&lt;wsp:rsid wsp:val=&quot;379C2032&quot;/&gt;&lt;wsp:rsid wsp:val=&quot;383A0F28&quot;/&gt;&lt;wsp:rsid wsp:val=&quot;383E0C74&quot;/&gt;&lt;wsp:rsid wsp:val=&quot;3893525C&quot;/&gt;&lt;wsp:rsid wsp:val=&quot;38BF17B4&quot;/&gt;&lt;wsp:rsid wsp:val=&quot;38DB34CE&quot;/&gt;&lt;wsp:rsid wsp:val=&quot;39C90197&quot;/&gt;&lt;wsp:rsid wsp:val=&quot;39F465F0&quot;/&gt;&lt;wsp:rsid wsp:val=&quot;3A0F61A5&quot;/&gt;&lt;wsp:rsid wsp:val=&quot;3B7B3AE6&quot;/&gt;&lt;wsp:rsid wsp:val=&quot;3BDF0FE9&quot;/&gt;&lt;wsp:rsid wsp:val=&quot;3C0B160B&quot;/&gt;&lt;wsp:rsid wsp:val=&quot;3C4E4D54&quot;/&gt;&lt;wsp:rsid wsp:val=&quot;3C621531&quot;/&gt;&lt;wsp:rsid wsp:val=&quot;3C6748E0&quot;/&gt;&lt;wsp:rsid wsp:val=&quot;3C8111E3&quot;/&gt;&lt;wsp:rsid wsp:val=&quot;3CB21BF2&quot;/&gt;&lt;wsp:rsid wsp:val=&quot;3CC51207&quot;/&gt;&lt;wsp:rsid wsp:val=&quot;3CD1311A&quot;/&gt;&lt;wsp:rsid wsp:val=&quot;3CDB29CF&quot;/&gt;&lt;wsp:rsid wsp:val=&quot;3CFE0DE8&quot;/&gt;&lt;wsp:rsid wsp:val=&quot;3DB11A96&quot;/&gt;&lt;wsp:rsid wsp:val=&quot;3DE139D0&quot;/&gt;&lt;wsp:rsid wsp:val=&quot;3E142466&quot;/&gt;&lt;wsp:rsid wsp:val=&quot;3E6542EA&quot;/&gt;&lt;wsp:rsid wsp:val=&quot;3EF42BDD&quot;/&gt;&lt;wsp:rsid wsp:val=&quot;3EF9295A&quot;/&gt;&lt;wsp:rsid wsp:val=&quot;3F185670&quot;/&gt;&lt;wsp:rsid wsp:val=&quot;3F8A7432&quot;/&gt;&lt;wsp:rsid wsp:val=&quot;3FB757BD&quot;/&gt;&lt;wsp:rsid wsp:val=&quot;3FD2735B&quot;/&gt;&lt;wsp:rsid wsp:val=&quot;3FF554B7&quot;/&gt;&lt;wsp:rsid wsp:val=&quot;40793B50&quot;/&gt;&lt;wsp:rsid wsp:val=&quot;40933050&quot;/&gt;&lt;wsp:rsid wsp:val=&quot;40EA5F75&quot;/&gt;&lt;wsp:rsid wsp:val=&quot;411169EC&quot;/&gt;&lt;wsp:rsid wsp:val=&quot;41950207&quot;/&gt;&lt;wsp:rsid wsp:val=&quot;419E6AB5&quot;/&gt;&lt;wsp:rsid wsp:val=&quot;41DF354F&quot;/&gt;&lt;wsp:rsid wsp:val=&quot;4298263D&quot;/&gt;&lt;wsp:rsid wsp:val=&quot;433E5304&quot;/&gt;&lt;wsp:rsid wsp:val=&quot;43A1090D&quot;/&gt;&lt;wsp:rsid wsp:val=&quot;43DC3583&quot;/&gt;&lt;wsp:rsid wsp:val=&quot;43EB2A7A&quot;/&gt;&lt;wsp:rsid wsp:val=&quot;43FB2F59&quot;/&gt;&lt;wsp:rsid wsp:val=&quot;44022C46&quot;/&gt;&lt;wsp:rsid wsp:val=&quot;44044B33&quot;/&gt;&lt;wsp:rsid wsp:val=&quot;44054EC0&quot;/&gt;&lt;wsp:rsid wsp:val=&quot;440A2023&quot;/&gt;&lt;wsp:rsid wsp:val=&quot;4430448B&quot;/&gt;&lt;wsp:rsid wsp:val=&quot;444B7414&quot;/&gt;&lt;wsp:rsid wsp:val=&quot;446D459D&quot;/&gt;&lt;wsp:rsid wsp:val=&quot;44797438&quot;/&gt;&lt;wsp:rsid wsp:val=&quot;45103535&quot;/&gt;&lt;wsp:rsid wsp:val=&quot;45222A6A&quot;/&gt;&lt;wsp:rsid wsp:val=&quot;452C3927&quot;/&gt;&lt;wsp:rsid wsp:val=&quot;45416348&quot;/&gt;&lt;wsp:rsid wsp:val=&quot;455F59F2&quot;/&gt;&lt;wsp:rsid wsp:val=&quot;45A70FC7&quot;/&gt;&lt;wsp:rsid wsp:val=&quot;46096E2C&quot;/&gt;&lt;wsp:rsid wsp:val=&quot;465805B7&quot;/&gt;&lt;wsp:rsid wsp:val=&quot;46973645&quot;/&gt;&lt;wsp:rsid wsp:val=&quot;46F24D18&quot;/&gt;&lt;wsp:rsid wsp:val=&quot;47082F6C&quot;/&gt;&lt;wsp:rsid wsp:val=&quot;471A6947&quot;/&gt;&lt;wsp:rsid wsp:val=&quot;47535501&quot;/&gt;&lt;wsp:rsid wsp:val=&quot;476237A3&quot;/&gt;&lt;wsp:rsid wsp:val=&quot;47B80A73&quot;/&gt;&lt;wsp:rsid wsp:val=&quot;47D054E1&quot;/&gt;&lt;wsp:rsid wsp:val=&quot;48151DFA&quot;/&gt;&lt;wsp:rsid wsp:val=&quot;48231A30&quot;/&gt;&lt;wsp:rsid wsp:val=&quot;48B739C6&quot;/&gt;&lt;wsp:rsid wsp:val=&quot;48C72F42&quot;/&gt;&lt;wsp:rsid wsp:val=&quot;48F85A59&quot;/&gt;&lt;wsp:rsid wsp:val=&quot;48FE2851&quot;/&gt;&lt;wsp:rsid wsp:val=&quot;494320D3&quot;/&gt;&lt;wsp:rsid wsp:val=&quot;497534B4&quot;/&gt;&lt;wsp:rsid wsp:val=&quot;49DA38A0&quot;/&gt;&lt;wsp:rsid wsp:val=&quot;4A361A71&quot;/&gt;&lt;wsp:rsid wsp:val=&quot;4A6E2928&quot;/&gt;&lt;wsp:rsid wsp:val=&quot;4AA27259&quot;/&gt;&lt;wsp:rsid wsp:val=&quot;4AE46A56&quot;/&gt;&lt;wsp:rsid wsp:val=&quot;4B124441&quot;/&gt;&lt;wsp:rsid wsp:val=&quot;4B2A769A&quot;/&gt;&lt;wsp:rsid wsp:val=&quot;4B55120F&quot;/&gt;&lt;wsp:rsid wsp:val=&quot;4B661614&quot;/&gt;&lt;wsp:rsid wsp:val=&quot;4B6907A1&quot;/&gt;&lt;wsp:rsid wsp:val=&quot;4B7A43D1&quot;/&gt;&lt;wsp:rsid wsp:val=&quot;4B946B9A&quot;/&gt;&lt;wsp:rsid wsp:val=&quot;4BC36227&quot;/&gt;&lt;wsp:rsid wsp:val=&quot;4BFB4BF6&quot;/&gt;&lt;wsp:rsid wsp:val=&quot;4C912CFA&quot;/&gt;&lt;wsp:rsid wsp:val=&quot;4C931577&quot;/&gt;&lt;wsp:rsid wsp:val=&quot;4CA74C54&quot;/&gt;&lt;wsp:rsid wsp:val=&quot;4CCA6F70&quot;/&gt;&lt;wsp:rsid wsp:val=&quot;4CE62A1A&quot;/&gt;&lt;wsp:rsid wsp:val=&quot;4CF460E9&quot;/&gt;&lt;wsp:rsid wsp:val=&quot;4D8C1B97&quot;/&gt;&lt;wsp:rsid wsp:val=&quot;4DA578A0&quot;/&gt;&lt;wsp:rsid wsp:val=&quot;4DA57C69&quot;/&gt;&lt;wsp:rsid wsp:val=&quot;4DB4585C&quot;/&gt;&lt;wsp:rsid wsp:val=&quot;4DB471C6&quot;/&gt;&lt;wsp:rsid wsp:val=&quot;4DBC175A&quot;/&gt;&lt;wsp:rsid wsp:val=&quot;4DC0329F&quot;/&gt;&lt;wsp:rsid wsp:val=&quot;4DE73B54&quot;/&gt;&lt;wsp:rsid wsp:val=&quot;4E901E9C&quot;/&gt;&lt;wsp:rsid wsp:val=&quot;4EAF36D3&quot;/&gt;&lt;wsp:rsid wsp:val=&quot;4EB82B45&quot;/&gt;&lt;wsp:rsid wsp:val=&quot;4ECE6320&quot;/&gt;&lt;wsp:rsid wsp:val=&quot;4F0A2E63&quot;/&gt;&lt;wsp:rsid wsp:val=&quot;4F231210&quot;/&gt;&lt;wsp:rsid wsp:val=&quot;4F541A82&quot;/&gt;&lt;wsp:rsid wsp:val=&quot;4F5D3ED4&quot;/&gt;&lt;wsp:rsid wsp:val=&quot;4F9040CA&quot;/&gt;&lt;wsp:rsid wsp:val=&quot;4F9E1131&quot;/&gt;&lt;wsp:rsid wsp:val=&quot;500B3969&quot;/&gt;&lt;wsp:rsid wsp:val=&quot;501773AC&quot;/&gt;&lt;wsp:rsid wsp:val=&quot;506C11F9&quot;/&gt;&lt;wsp:rsid wsp:val=&quot;50CC67E3&quot;/&gt;&lt;wsp:rsid wsp:val=&quot;51051697&quot;/&gt;&lt;wsp:rsid wsp:val=&quot;510D0EFD&quot;/&gt;&lt;wsp:rsid wsp:val=&quot;510D475D&quot;/&gt;&lt;wsp:rsid wsp:val=&quot;517D7BEB&quot;/&gt;&lt;wsp:rsid wsp:val=&quot;519A1E57&quot;/&gt;&lt;wsp:rsid wsp:val=&quot;51A15B22&quot;/&gt;&lt;wsp:rsid wsp:val=&quot;51AD32A1&quot;/&gt;&lt;wsp:rsid wsp:val=&quot;51C536B3&quot;/&gt;&lt;wsp:rsid wsp:val=&quot;52156C24&quot;/&gt;&lt;wsp:rsid wsp:val=&quot;521B72A5&quot;/&gt;&lt;wsp:rsid wsp:val=&quot;524D4853&quot;/&gt;&lt;wsp:rsid wsp:val=&quot;529A2D6C&quot;/&gt;&lt;wsp:rsid wsp:val=&quot;53116184&quot;/&gt;&lt;wsp:rsid wsp:val=&quot;532375F6&quot;/&gt;&lt;wsp:rsid wsp:val=&quot;53371361&quot;/&gt;&lt;wsp:rsid wsp:val=&quot;53596D1B&quot;/&gt;&lt;wsp:rsid wsp:val=&quot;538815F7&quot;/&gt;&lt;wsp:rsid wsp:val=&quot;53A91191&quot;/&gt;&lt;wsp:rsid wsp:val=&quot;542550E7&quot;/&gt;&lt;wsp:rsid wsp:val=&quot;54B5325B&quot;/&gt;&lt;wsp:rsid wsp:val=&quot;54E35B7C&quot;/&gt;&lt;wsp:rsid wsp:val=&quot;550F5EEE&quot;/&gt;&lt;wsp:rsid wsp:val=&quot;55166920&quot;/&gt;&lt;wsp:rsid wsp:val=&quot;5523662D&quot;/&gt;&lt;wsp:rsid wsp:val=&quot;552B5A4D&quot;/&gt;&lt;wsp:rsid wsp:val=&quot;55387CCB&quot;/&gt;&lt;wsp:rsid wsp:val=&quot;55555F09&quot;/&gt;&lt;wsp:rsid wsp:val=&quot;55F76D30&quot;/&gt;&lt;wsp:rsid wsp:val=&quot;569E7A85&quot;/&gt;&lt;wsp:rsid wsp:val=&quot;56E26349&quot;/&gt;&lt;wsp:rsid wsp:val=&quot;56F57BAF&quot;/&gt;&lt;wsp:rsid wsp:val=&quot;57214138&quot;/&gt;&lt;wsp:rsid wsp:val=&quot;575C47AE&quot;/&gt;&lt;wsp:rsid wsp:val=&quot;57940052&quot;/&gt;&lt;wsp:rsid wsp:val=&quot;57D668D6&quot;/&gt;&lt;wsp:rsid wsp:val=&quot;57E047E4&quot;/&gt;&lt;wsp:rsid wsp:val=&quot;57E4116F&quot;/&gt;&lt;wsp:rsid wsp:val=&quot;585D0E02&quot;/&gt;&lt;wsp:rsid wsp:val=&quot;58856FCD&quot;/&gt;&lt;wsp:rsid wsp:val=&quot;58967499&quot;/&gt;&lt;wsp:rsid wsp:val=&quot;59482155&quot;/&gt;&lt;wsp:rsid wsp:val=&quot;59A9006E&quot;/&gt;&lt;wsp:rsid wsp:val=&quot;59B47B55&quot;/&gt;&lt;wsp:rsid wsp:val=&quot;59F37FC5&quot;/&gt;&lt;wsp:rsid wsp:val=&quot;5A2D70FA&quot;/&gt;&lt;wsp:rsid wsp:val=&quot;5A78146B&quot;/&gt;&lt;wsp:rsid wsp:val=&quot;5A7F266F&quot;/&gt;&lt;wsp:rsid wsp:val=&quot;5A86336D&quot;/&gt;&lt;wsp:rsid wsp:val=&quot;5ABD4091&quot;/&gt;&lt;wsp:rsid wsp:val=&quot;5AC60F27&quot;/&gt;&lt;wsp:rsid wsp:val=&quot;5AEA288A&quot;/&gt;&lt;wsp:rsid wsp:val=&quot;5B2E5A3C&quot;/&gt;&lt;wsp:rsid wsp:val=&quot;5B460D50&quot;/&gt;&lt;wsp:rsid wsp:val=&quot;5B662DD9&quot;/&gt;&lt;wsp:rsid wsp:val=&quot;5B7853A3&quot;/&gt;&lt;wsp:rsid wsp:val=&quot;5B814437&quot;/&gt;&lt;wsp:rsid wsp:val=&quot;5BA3149E&quot;/&gt;&lt;wsp:rsid wsp:val=&quot;5BA45F9A&quot;/&gt;&lt;wsp:rsid wsp:val=&quot;5BF37A20&quot;/&gt;&lt;wsp:rsid wsp:val=&quot;5C144168&quot;/&gt;&lt;wsp:rsid wsp:val=&quot;5C6B0AA1&quot;/&gt;&lt;wsp:rsid wsp:val=&quot;5CA15820&quot;/&gt;&lt;wsp:rsid wsp:val=&quot;5CB66C54&quot;/&gt;&lt;wsp:rsid wsp:val=&quot;5CFD0715&quot;/&gt;&lt;wsp:rsid wsp:val=&quot;5D14050A&quot;/&gt;&lt;wsp:rsid wsp:val=&quot;5D431E2E&quot;/&gt;&lt;wsp:rsid wsp:val=&quot;5D4B508E&quot;/&gt;&lt;wsp:rsid wsp:val=&quot;5DFB7ED7&quot;/&gt;&lt;wsp:rsid wsp:val=&quot;5E0C7890&quot;/&gt;&lt;wsp:rsid wsp:val=&quot;5E1B44AC&quot;/&gt;&lt;wsp:rsid wsp:val=&quot;5E384ACE&quot;/&gt;&lt;wsp:rsid wsp:val=&quot;5E6E4CBF&quot;/&gt;&lt;wsp:rsid wsp:val=&quot;5E9C0882&quot;/&gt;&lt;wsp:rsid wsp:val=&quot;5ED5786C&quot;/&gt;&lt;wsp:rsid wsp:val=&quot;5F2A0C65&quot;/&gt;&lt;wsp:rsid wsp:val=&quot;5F4953D8&quot;/&gt;&lt;wsp:rsid wsp:val=&quot;5F9C052F&quot;/&gt;&lt;wsp:rsid wsp:val=&quot;5FAE4FD1&quot;/&gt;&lt;wsp:rsid wsp:val=&quot;5FF02C6C&quot;/&gt;&lt;wsp:rsid wsp:val=&quot;607D344D&quot;/&gt;&lt;wsp:rsid wsp:val=&quot;608D00DF&quot;/&gt;&lt;wsp:rsid wsp:val=&quot;60A26592&quot;/&gt;&lt;wsp:rsid wsp:val=&quot;60C32C51&quot;/&gt;&lt;wsp:rsid wsp:val=&quot;60C93644&quot;/&gt;&lt;wsp:rsid wsp:val=&quot;60F50A86&quot;/&gt;&lt;wsp:rsid wsp:val=&quot;60FB32DA&quot;/&gt;&lt;wsp:rsid wsp:val=&quot;61217355&quot;/&gt;&lt;wsp:rsid wsp:val=&quot;61412388&quot;/&gt;&lt;wsp:rsid wsp:val=&quot;618A7364&quot;/&gt;&lt;wsp:rsid wsp:val=&quot;61B60BAE&quot;/&gt;&lt;wsp:rsid wsp:val=&quot;62847F3C&quot;/&gt;&lt;wsp:rsid wsp:val=&quot;63162CDE&quot;/&gt;&lt;wsp:rsid wsp:val=&quot;632637D9&quot;/&gt;&lt;wsp:rsid wsp:val=&quot;632744DE&quot;/&gt;&lt;wsp:rsid wsp:val=&quot;63315D8B&quot;/&gt;&lt;wsp:rsid wsp:val=&quot;635E6959&quot;/&gt;&lt;wsp:rsid wsp:val=&quot;637C517D&quot;/&gt;&lt;wsp:rsid wsp:val=&quot;63CC1AEC&quot;/&gt;&lt;wsp:rsid wsp:val=&quot;63FC310E&quot;/&gt;&lt;wsp:rsid wsp:val=&quot;647E66F8&quot;/&gt;&lt;wsp:rsid wsp:val=&quot;64B7332D&quot;/&gt;&lt;wsp:rsid wsp:val=&quot;654A6F89&quot;/&gt;&lt;wsp:rsid wsp:val=&quot;657C7C64&quot;/&gt;&lt;wsp:rsid wsp:val=&quot;6593698D&quot;/&gt;&lt;wsp:rsid wsp:val=&quot;65CE3E56&quot;/&gt;&lt;wsp:rsid wsp:val=&quot;65FD4A13&quot;/&gt;&lt;wsp:rsid wsp:val=&quot;663A6CF4&quot;/&gt;&lt;wsp:rsid wsp:val=&quot;664D6053&quot;/&gt;&lt;wsp:rsid wsp:val=&quot;66806EE2&quot;/&gt;&lt;wsp:rsid wsp:val=&quot;668332C9&quot;/&gt;&lt;wsp:rsid wsp:val=&quot;66AE3579&quot;/&gt;&lt;wsp:rsid wsp:val=&quot;66DC5157&quot;/&gt;&lt;wsp:rsid wsp:val=&quot;67003C27&quot;/&gt;&lt;wsp:rsid wsp:val=&quot;670850A7&quot;/&gt;&lt;wsp:rsid wsp:val=&quot;67D345A3&quot;/&gt;&lt;wsp:rsid wsp:val=&quot;67E47A65&quot;/&gt;&lt;wsp:rsid wsp:val=&quot;68090B7B&quot;/&gt;&lt;wsp:rsid wsp:val=&quot;680E4CDF&quot;/&gt;&lt;wsp:rsid wsp:val=&quot;68962BCC&quot;/&gt;&lt;wsp:rsid wsp:val=&quot;689A34AB&quot;/&gt;&lt;wsp:rsid wsp:val=&quot;68B91C8F&quot;/&gt;&lt;wsp:rsid wsp:val=&quot;68BC72C5&quot;/&gt;&lt;wsp:rsid wsp:val=&quot;68DC48E0&quot;/&gt;&lt;wsp:rsid wsp:val=&quot;69022C1A&quot;/&gt;&lt;wsp:rsid wsp:val=&quot;69155734&quot;/&gt;&lt;wsp:rsid wsp:val=&quot;694A731E&quot;/&gt;&lt;wsp:rsid wsp:val=&quot;69774A45&quot;/&gt;&lt;wsp:rsid wsp:val=&quot;69A81E0E&quot;/&gt;&lt;wsp:rsid wsp:val=&quot;69AA5889&quot;/&gt;&lt;wsp:rsid wsp:val=&quot;69B206E0&quot;/&gt;&lt;wsp:rsid wsp:val=&quot;69ED1242&quot;/&gt;&lt;wsp:rsid wsp:val=&quot;69F121DE&quot;/&gt;&lt;wsp:rsid wsp:val=&quot;6A22511A&quot;/&gt;&lt;wsp:rsid wsp:val=&quot;6A390836&quot;/&gt;&lt;wsp:rsid wsp:val=&quot;6A5E4F9A&quot;/&gt;&lt;wsp:rsid wsp:val=&quot;6A900A08&quot;/&gt;&lt;wsp:rsid wsp:val=&quot;6AFA13E0&quot;/&gt;&lt;wsp:rsid wsp:val=&quot;6AFA6FBB&quot;/&gt;&lt;wsp:rsid wsp:val=&quot;6AFA7658&quot;/&gt;&lt;wsp:rsid wsp:val=&quot;6C6F4D3D&quot;/&gt;&lt;wsp:rsid wsp:val=&quot;6C956C96&quot;/&gt;&lt;wsp:rsid wsp:val=&quot;6CB730A4&quot;/&gt;&lt;wsp:rsid wsp:val=&quot;6CD61291&quot;/&gt;&lt;wsp:rsid wsp:val=&quot;6CE9060B&quot;/&gt;&lt;wsp:rsid wsp:val=&quot;6D0268D6&quot;/&gt;&lt;wsp:rsid wsp:val=&quot;6D280C63&quot;/&gt;&lt;wsp:rsid wsp:val=&quot;6DCD7F6B&quot;/&gt;&lt;wsp:rsid wsp:val=&quot;6DFA70C2&quot;/&gt;&lt;wsp:rsid wsp:val=&quot;6E3D0B6A&quot;/&gt;&lt;wsp:rsid wsp:val=&quot;6E466662&quot;/&gt;&lt;wsp:rsid wsp:val=&quot;6E6B71DB&quot;/&gt;&lt;wsp:rsid wsp:val=&quot;6EA362F4&quot;/&gt;&lt;wsp:rsid wsp:val=&quot;6EB0191A&quot;/&gt;&lt;wsp:rsid wsp:val=&quot;6F6824B9&quot;/&gt;&lt;wsp:rsid wsp:val=&quot;6F764F7F&quot;/&gt;&lt;wsp:rsid wsp:val=&quot;6FA21116&quot;/&gt;&lt;wsp:rsid wsp:val=&quot;70081199&quot;/&gt;&lt;wsp:rsid wsp:val=&quot;700B0D0E&quot;/&gt;&lt;wsp:rsid wsp:val=&quot;70AF29F5&quot;/&gt;&lt;wsp:rsid wsp:val=&quot;70B80716&quot;/&gt;&lt;wsp:rsid wsp:val=&quot;70C2541E&quot;/&gt;&lt;wsp:rsid wsp:val=&quot;713F279B&quot;/&gt;&lt;wsp:rsid wsp:val=&quot;715B2C94&quot;/&gt;&lt;wsp:rsid wsp:val=&quot;715C640D&quot;/&gt;&lt;wsp:rsid wsp:val=&quot;719A03AB&quot;/&gt;&lt;wsp:rsid wsp:val=&quot;71B765A5&quot;/&gt;&lt;wsp:rsid wsp:val=&quot;72A008F2&quot;/&gt;&lt;wsp:rsid wsp:val=&quot;72A87DF6&quot;/&gt;&lt;wsp:rsid wsp:val=&quot;72E516D6&quot;/&gt;&lt;wsp:rsid wsp:val=&quot;734A53A3&quot;/&gt;&lt;wsp:rsid wsp:val=&quot;73A9330E&quot;/&gt;&lt;wsp:rsid wsp:val=&quot;73A96097&quot;/&gt;&lt;wsp:rsid wsp:val=&quot;73CE5EEA&quot;/&gt;&lt;wsp:rsid wsp:val=&quot;73D32E8F&quot;/&gt;&lt;wsp:rsid wsp:val=&quot;73E06E92&quot;/&gt;&lt;wsp:rsid wsp:val=&quot;740B66A0&quot;/&gt;&lt;wsp:rsid wsp:val=&quot;74705A35&quot;/&gt;&lt;wsp:rsid wsp:val=&quot;74A416B3&quot;/&gt;&lt;wsp:rsid wsp:val=&quot;74CE35BD&quot;/&gt;&lt;wsp:rsid wsp:val=&quot;750C27EE&quot;/&gt;&lt;wsp:rsid wsp:val=&quot;75F47043&quot;/&gt;&lt;wsp:rsid wsp:val=&quot;76026D8D&quot;/&gt;&lt;wsp:rsid wsp:val=&quot;7704215A&quot;/&gt;&lt;wsp:rsid wsp:val=&quot;7753414A&quot;/&gt;&lt;wsp:rsid wsp:val=&quot;778D06EB&quot;/&gt;&lt;wsp:rsid wsp:val=&quot;78D200FA&quot;/&gt;&lt;wsp:rsid wsp:val=&quot;78DC42FD&quot;/&gt;&lt;wsp:rsid wsp:val=&quot;78F04373&quot;/&gt;&lt;wsp:rsid wsp:val=&quot;791D5FBB&quot;/&gt;&lt;wsp:rsid wsp:val=&quot;797E7DFC&quot;/&gt;&lt;wsp:rsid wsp:val=&quot;79DA1E6F&quot;/&gt;&lt;wsp:rsid wsp:val=&quot;79FA43CB&quot;/&gt;&lt;wsp:rsid wsp:val=&quot;79FD1061&quot;/&gt;&lt;wsp:rsid wsp:val=&quot;7A9101BF&quot;/&gt;&lt;wsp:rsid wsp:val=&quot;7A982BC4&quot;/&gt;&lt;wsp:rsid wsp:val=&quot;7AE86EFD&quot;/&gt;&lt;wsp:rsid wsp:val=&quot;7B400F9B&quot;/&gt;&lt;wsp:rsid wsp:val=&quot;7B715700&quot;/&gt;&lt;wsp:rsid wsp:val=&quot;7B787442&quot;/&gt;&lt;wsp:rsid wsp:val=&quot;7B8955CC&quot;/&gt;&lt;wsp:rsid wsp:val=&quot;7BCF48E4&quot;/&gt;&lt;wsp:rsid wsp:val=&quot;7BF96742&quot;/&gt;&lt;wsp:rsid wsp:val=&quot;7C356FDB&quot;/&gt;&lt;wsp:rsid wsp:val=&quot;7C503141&quot;/&gt;&lt;wsp:rsid wsp:val=&quot;7C900D2C&quot;/&gt;&lt;wsp:rsid wsp:val=&quot;7C9761F6&quot;/&gt;&lt;wsp:rsid wsp:val=&quot;7C9F542C&quot;/&gt;&lt;wsp:rsid wsp:val=&quot;7CA76A3B&quot;/&gt;&lt;wsp:rsid wsp:val=&quot;7D083865&quot;/&gt;&lt;wsp:rsid wsp:val=&quot;7D21002C&quot;/&gt;&lt;wsp:rsid wsp:val=&quot;7D3326A5&quot;/&gt;&lt;wsp:rsid wsp:val=&quot;7DA40CBD&quot;/&gt;&lt;wsp:rsid wsp:val=&quot;7DB4432B&quot;/&gt;&lt;wsp:rsid wsp:val=&quot;7DF7660D&quot;/&gt;&lt;wsp:rsid wsp:val=&quot;7E4176AB&quot;/&gt;&lt;wsp:rsid wsp:val=&quot;7E447767&quot;/&gt;&lt;wsp:rsid wsp:val=&quot;7EC11AD2&quot;/&gt;&lt;wsp:rsid wsp:val=&quot;7F8819A0&quot;/&gt;&lt;/wsp:rsids&gt;&lt;/w:docPr&gt;&lt;w:body&gt;&lt;wx:sect&gt;&lt;w:p wsp:rsidR=&quot;00000000&quot; wsp:rsidRDefault=&quot;002D3C44&quot; wsp:rsidP=&quot;002D3C44&quot;&gt;&lt;m:oMathPara&gt;&lt;m:oMath&gt;&lt;m:f&gt;&lt;m:fPr&gt;&lt;m:ctrlPr&gt;&lt;w:rPr&gt;&lt;w:rFonts w:ascii=&quot;Cambria Math&quot; w:h-ansi=&quot;Cambria Math&quot;/&gt;&lt;wx:font wx:val=&quot;Cambria Math&quot;/&gt;&lt;w:sz-cs w:val=&quot;21&quot;/&gt;&lt;/w:rPr&gt;&lt;/m:ctrlPr&gt;&lt;/m:fPr&gt;&lt;m:num&gt;&lt;m:r&gt;&lt;w:rPr&gt;&lt;w:rFonts w:ascii=&quot;Cambria Math&quot; w:h-ansi=&quot;Cambria Math&quot;/&gt;&lt;wx:font wx:val=&quot;Cambria Math&quot;/&gt;&lt;w:i/&gt;&lt;w:sz-cs w:val=&quot;21&quot;/&gt;&lt;/w:rPr&gt;&lt;m:t&gt;1&lt;/m:t&gt;&lt;/m:r&gt;&lt;/m:num&gt;&lt;m:den&gt;&lt;m:nary&gt;&lt;m:naryPr&gt;&lt;m:chr m:val=&quot;∑&quot;/&gt;&lt;m:limLoc m:val=&quot;subSup&quot;/&gt;&lt;m:ctrlPr&gt;&lt;w:rPr&gt;&lt;w:rFonts w:ascii=&quot;Cambria Math&quot; w:h-ansi=&quot;Cambria Math&quot;/&gt;&lt;wx:font wx:val=&quot;Cambria Math&quot;/&gt;&lt;w:i/&gt;bbbbbbbbbbbbbbbbbbbbbbbbbbbbbbbbb&lt;wi:sz-cs w:val=&quot;21&quot;/&gt;&lt;/w:rPr&gt;&lt;/m:ctrlPr&gt;&lt;/m:naryPr&gt;&lt;m:sub&gt;&lt;m:r&gt;&lt;w:rPr&gt;&lt;w:rFonts w:ascii=&quot;Cambria Math&quot; w:h-ansi=&quot;Cambria Math&quot;/&gt;&lt;wx:font wx:val=&quot;Cambria Math&quot;/&gt;&lt;w:i/&gt;&lt;w:sz-cs w:val=&quot;21&quot;/&gt;&lt;/w:rPr&gt;&lt;m:t&gt;1&lt;/m:t&gt;&lt;/m:r&gt;&lt;/m:sub&gt;&lt;m:sup&gt;&lt;m:r&gt;&lt;w:rPr&gt;&lt;w:rFonts w:ascii=&quot;Cambria Math&quot; w:h-ansi=&quot;Cambria Math&quot;/&gt;&lt;wx:font wx:val=&quot;Cambria Math&quot;/&gt;&lt;w:i/&gt;&lt;w:sz-cs w:val=&quot;21&quot;/&gt;&lt;/w:rPr&gt;&lt;m:t&gt;N&lt;/m:t&gt;&lt;/m:r&gt;&lt;/m:sup&gt;&lt;m:e&gt;&lt;m:r&gt;&lt;w:rPr&gt;&lt;w:rFonts w:ascii=&quot;Cambria Math&quot; w:h-ansi=&quot;Cambria Math&quot;/&gt;&lt;wx:font wx:val=&quot;Cambria Math&quot;/&gt;&lt;w:i/&gt;&lt;w:sz-cs w:val=&quot;21&quot;/&gt;&lt;/w:rPr&gt;&lt;m:t&gt;n&lt;/m:t&gt;&lt;/m:r&gt;&lt;/m:e&gt;&lt;/m:nary&gt;&lt;/m:den&gt;&lt;/m:f&gt;&lt;/m:oMath&gt;&lt;/m:oMathPara&gt;&lt;/w:p&gt;&lt;w:sectPr wsp:rsidR=&quot;00000000&quot;&gt;&lt;w:pgSz w:w=&quot;12240&quot; w:h=&quot;15840&quot;/&gt;&lt;w:pgMar w:top=&quot;1440&quot; w:right=&quot;1800&quot; w:bottom=&quot;1440&quot; w:left=&quot;1800&quot; w:header=&quot;720&quot; w:footer=&quot;720&quot; w:gutter=&quot;0&quot;/&gt;&lt;w:cols w:space=&quot;720&quot;/&gt;&lt;/w:sectPr&gt;&lt;/wx:sect&gt;&lt;/w:body&gt;&lt;/w:wordDocument&gt;">
            <v:path/>
            <v:fill on="f" focussize="0,0"/>
            <v:stroke on="f" joinstyle="miter"/>
            <v:imagedata r:id="rId27" chromakey="#FFFFFF" o:title=""/>
            <o:lock v:ext="edit" aspectratio="t"/>
            <w10:wrap type="none"/>
            <w10:anchorlock/>
          </v:shape>
        </w:pict>
      </w:r>
      <w:r>
        <w:rPr>
          <w:rFonts w:ascii="宋体" w:hAnsi="宋体"/>
          <w:color w:val="auto"/>
          <w:sz w:val="24"/>
          <w:szCs w:val="24"/>
          <w:highlight w:val="none"/>
          <w:u w:val="single"/>
        </w:rPr>
        <w:fldChar w:fldCharType="end"/>
      </w:r>
      <w:r>
        <w:rPr>
          <w:rFonts w:ascii="宋体" w:hAnsi="宋体"/>
          <w:color w:val="auto"/>
          <w:sz w:val="24"/>
          <w:szCs w:val="24"/>
          <w:highlight w:val="none"/>
          <w:u w:val="single"/>
        </w:rPr>
        <w:t>）。</w:t>
      </w:r>
    </w:p>
    <w:p>
      <w:pPr>
        <w:pBdr>
          <w:bottom w:val="single" w:color="auto" w:sz="6" w:space="1"/>
        </w:pBdr>
        <w:spacing w:line="360" w:lineRule="auto"/>
        <w:ind w:firstLine="600" w:firstLineChars="250"/>
        <w:rPr>
          <w:rFonts w:hint="eastAsia" w:ascii="宋体" w:hAnsi="宋体" w:eastAsia="宋体"/>
          <w:color w:val="auto"/>
          <w:sz w:val="24"/>
          <w:szCs w:val="24"/>
          <w:highlight w:val="none"/>
          <w:lang w:eastAsia="zh-CN"/>
        </w:rPr>
      </w:pPr>
      <w:r>
        <w:rPr>
          <w:rFonts w:hint="eastAsia" w:hAnsi="宋体"/>
          <w:color w:val="auto"/>
          <w:sz w:val="24"/>
          <w:szCs w:val="24"/>
          <w:highlight w:val="none"/>
          <w:u w:val="single"/>
          <w:lang w:val="en-US" w:eastAsia="zh-CN"/>
        </w:rPr>
        <w:t>45.3</w:t>
      </w:r>
      <w:r>
        <w:rPr>
          <w:rFonts w:hint="eastAsia" w:ascii="宋体" w:hAnsi="宋体" w:cs="宋体"/>
          <w:color w:val="auto"/>
          <w:kern w:val="0"/>
          <w:sz w:val="24"/>
          <w:szCs w:val="24"/>
          <w:highlight w:val="none"/>
        </w:rPr>
        <w:t>当标价等于评标参考价时得</w:t>
      </w:r>
      <w:r>
        <w:rPr>
          <w:rFonts w:ascii="宋体" w:hAnsi="宋体" w:cs="宋体"/>
          <w:color w:val="auto"/>
          <w:kern w:val="0"/>
          <w:sz w:val="24"/>
          <w:szCs w:val="24"/>
          <w:highlight w:val="none"/>
        </w:rPr>
        <w:t>100</w:t>
      </w:r>
      <w:r>
        <w:rPr>
          <w:rFonts w:hint="eastAsia" w:ascii="宋体" w:hAnsi="宋体" w:cs="宋体"/>
          <w:color w:val="auto"/>
          <w:kern w:val="0"/>
          <w:sz w:val="24"/>
          <w:szCs w:val="24"/>
          <w:highlight w:val="none"/>
        </w:rPr>
        <w:t>分，</w:t>
      </w:r>
      <w:r>
        <w:rPr>
          <w:rFonts w:hint="eastAsia" w:ascii="宋体" w:hAnsi="宋体" w:cs="宋体"/>
          <w:color w:val="auto"/>
          <w:kern w:val="0"/>
          <w:sz w:val="24"/>
          <w:szCs w:val="24"/>
          <w:highlight w:val="none"/>
          <w:u w:val="single"/>
        </w:rPr>
        <w:t>标价每高于评标参考价</w:t>
      </w:r>
      <w:r>
        <w:rPr>
          <w:rFonts w:ascii="宋体" w:hAnsi="宋体" w:cs="宋体"/>
          <w:color w:val="auto"/>
          <w:kern w:val="0"/>
          <w:sz w:val="24"/>
          <w:szCs w:val="24"/>
          <w:highlight w:val="none"/>
          <w:u w:val="single"/>
        </w:rPr>
        <w:t>1%</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eastAsia="zh-CN"/>
        </w:rPr>
        <w:t>扣0.5分</w:t>
      </w:r>
      <w:r>
        <w:rPr>
          <w:rFonts w:hint="eastAsia" w:ascii="宋体" w:hAnsi="宋体" w:cs="宋体"/>
          <w:color w:val="auto"/>
          <w:kern w:val="0"/>
          <w:sz w:val="24"/>
          <w:szCs w:val="24"/>
          <w:highlight w:val="none"/>
          <w:lang w:eastAsia="zh-CN"/>
        </w:rPr>
        <w:t>，</w:t>
      </w:r>
      <w:r>
        <w:rPr>
          <w:rFonts w:hint="eastAsia" w:ascii="宋体" w:hAnsi="宋体" w:cs="Times New Roman"/>
          <w:color w:val="auto"/>
          <w:kern w:val="0"/>
          <w:sz w:val="24"/>
          <w:szCs w:val="24"/>
          <w:highlight w:val="none"/>
          <w:lang w:eastAsia="zh-CN"/>
        </w:rPr>
        <w:t>每低于评标参考价1%，扣0.2分，扣至0分为止，得出经济分，精确到小数点后两位。</w:t>
      </w:r>
    </w:p>
    <w:p>
      <w:pPr>
        <w:pStyle w:val="5"/>
        <w:tabs>
          <w:tab w:val="left" w:pos="7380"/>
        </w:tabs>
        <w:snapToGrid w:val="0"/>
        <w:spacing w:after="0" w:line="360" w:lineRule="auto"/>
        <w:ind w:firstLine="480" w:firstLineChars="200"/>
        <w:rPr>
          <w:rFonts w:ascii="宋体"/>
          <w:color w:val="auto"/>
          <w:sz w:val="24"/>
          <w:szCs w:val="24"/>
          <w:highlight w:val="none"/>
          <w:u w:val="single"/>
        </w:rPr>
      </w:pPr>
      <w:r>
        <w:rPr>
          <w:rFonts w:hint="eastAsia" w:ascii="宋体" w:hAnsi="宋体"/>
          <w:color w:val="auto"/>
          <w:sz w:val="24"/>
          <w:szCs w:val="24"/>
          <w:highlight w:val="none"/>
          <w:u w:val="single"/>
        </w:rPr>
        <w:t>45.4计算通过技术标有效性审查的投标人总得分。投标人总得分=技术得分</w:t>
      </w:r>
      <w:r>
        <w:rPr>
          <w:rFonts w:ascii="宋体" w:hAnsi="宋体"/>
          <w:color w:val="auto"/>
          <w:sz w:val="24"/>
          <w:szCs w:val="24"/>
          <w:highlight w:val="none"/>
          <w:u w:val="single"/>
        </w:rPr>
        <w:t>×</w:t>
      </w:r>
      <w:r>
        <w:rPr>
          <w:rFonts w:hint="eastAsia" w:ascii="宋体" w:hAnsi="宋体"/>
          <w:color w:val="auto"/>
          <w:sz w:val="24"/>
          <w:szCs w:val="24"/>
          <w:highlight w:val="none"/>
          <w:u w:val="single"/>
        </w:rPr>
        <w:t>技术得分权重（</w:t>
      </w:r>
      <w:r>
        <w:rPr>
          <w:rFonts w:ascii="宋体" w:hAnsi="宋体"/>
          <w:color w:val="auto"/>
          <w:sz w:val="24"/>
          <w:szCs w:val="24"/>
          <w:highlight w:val="none"/>
          <w:u w:val="single"/>
        </w:rPr>
        <w:t>20%</w:t>
      </w:r>
      <w:r>
        <w:rPr>
          <w:rFonts w:hint="eastAsia" w:ascii="宋体" w:hAnsi="宋体"/>
          <w:color w:val="auto"/>
          <w:sz w:val="24"/>
          <w:szCs w:val="24"/>
          <w:highlight w:val="none"/>
          <w:u w:val="single"/>
        </w:rPr>
        <w:t>）＋经济得分</w:t>
      </w:r>
      <w:r>
        <w:rPr>
          <w:rFonts w:ascii="宋体" w:hAnsi="宋体"/>
          <w:color w:val="auto"/>
          <w:sz w:val="24"/>
          <w:szCs w:val="24"/>
          <w:highlight w:val="none"/>
          <w:u w:val="single"/>
        </w:rPr>
        <w:t>×</w:t>
      </w:r>
      <w:r>
        <w:rPr>
          <w:rFonts w:hint="eastAsia" w:ascii="宋体" w:hAnsi="宋体"/>
          <w:color w:val="auto"/>
          <w:sz w:val="24"/>
          <w:szCs w:val="24"/>
          <w:highlight w:val="none"/>
          <w:u w:val="single"/>
        </w:rPr>
        <w:t>经济得分权重（</w:t>
      </w:r>
      <w:r>
        <w:rPr>
          <w:rFonts w:ascii="宋体" w:hAnsi="宋体"/>
          <w:color w:val="auto"/>
          <w:sz w:val="24"/>
          <w:szCs w:val="24"/>
          <w:highlight w:val="none"/>
          <w:u w:val="single"/>
        </w:rPr>
        <w:t>80%</w:t>
      </w:r>
      <w:r>
        <w:rPr>
          <w:rFonts w:hint="eastAsia" w:ascii="宋体" w:hAnsi="宋体"/>
          <w:color w:val="auto"/>
          <w:sz w:val="24"/>
          <w:szCs w:val="24"/>
          <w:highlight w:val="none"/>
          <w:u w:val="single"/>
        </w:rPr>
        <w:t>）。技术、经济得分权重按投标须知前附表的规定执行。总得分四舍五入保留两位小数。若出现总得分相同的单位</w:t>
      </w:r>
      <w:r>
        <w:rPr>
          <w:rFonts w:hint="eastAsia" w:ascii="宋体" w:hAnsi="宋体"/>
          <w:color w:val="auto"/>
          <w:szCs w:val="21"/>
          <w:highlight w:val="none"/>
          <w:u w:val="single"/>
        </w:rPr>
        <w:t>，</w:t>
      </w:r>
      <w:r>
        <w:rPr>
          <w:rFonts w:hint="eastAsia" w:ascii="宋体" w:hAnsi="宋体"/>
          <w:color w:val="auto"/>
          <w:sz w:val="24"/>
          <w:szCs w:val="24"/>
          <w:highlight w:val="none"/>
          <w:u w:val="single"/>
        </w:rPr>
        <w:t>以技术标得分高的排前；经济得分与技术标得分均相同的，按报价低者排前的原则；若报价亦一致的，由评标委员会采用记名投票方式，确定其排序。</w:t>
      </w:r>
    </w:p>
    <w:p>
      <w:pPr>
        <w:pStyle w:val="5"/>
        <w:tabs>
          <w:tab w:val="left" w:pos="7380"/>
        </w:tabs>
        <w:snapToGrid w:val="0"/>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46.经济标的有效性审查</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46.1</w:t>
      </w:r>
      <w:r>
        <w:rPr>
          <w:rFonts w:hint="eastAsia" w:ascii="宋体" w:hAnsi="宋体"/>
          <w:color w:val="auto"/>
          <w:kern w:val="0"/>
          <w:sz w:val="24"/>
          <w:szCs w:val="24"/>
          <w:highlight w:val="none"/>
        </w:rPr>
        <w:t>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b/>
          <w:color w:val="auto"/>
          <w:kern w:val="0"/>
          <w:sz w:val="24"/>
          <w:szCs w:val="24"/>
          <w:highlight w:val="none"/>
        </w:rPr>
        <w:t>评委</w:t>
      </w:r>
      <w:r>
        <w:rPr>
          <w:rFonts w:ascii="宋体" w:hAnsi="宋体"/>
          <w:b/>
          <w:color w:val="auto"/>
          <w:kern w:val="0"/>
          <w:sz w:val="24"/>
          <w:szCs w:val="24"/>
          <w:highlight w:val="none"/>
        </w:rPr>
        <w:t>发现投标</w:t>
      </w:r>
      <w:r>
        <w:rPr>
          <w:rFonts w:hint="eastAsia" w:ascii="宋体" w:hAnsi="宋体"/>
          <w:b/>
          <w:color w:val="auto"/>
          <w:kern w:val="0"/>
          <w:sz w:val="24"/>
          <w:szCs w:val="24"/>
          <w:highlight w:val="none"/>
        </w:rPr>
        <w:t>文件</w:t>
      </w:r>
      <w:r>
        <w:rPr>
          <w:rFonts w:ascii="宋体" w:hAnsi="宋体"/>
          <w:b/>
          <w:color w:val="auto"/>
          <w:kern w:val="0"/>
          <w:sz w:val="24"/>
          <w:szCs w:val="24"/>
          <w:highlight w:val="none"/>
        </w:rPr>
        <w:t>中</w:t>
      </w:r>
      <w:r>
        <w:rPr>
          <w:rFonts w:hint="eastAsia" w:ascii="宋体" w:hAnsi="宋体"/>
          <w:b/>
          <w:color w:val="auto"/>
          <w:kern w:val="0"/>
          <w:sz w:val="24"/>
          <w:szCs w:val="24"/>
          <w:highlight w:val="none"/>
        </w:rPr>
        <w:t>含义不明确</w:t>
      </w:r>
      <w:r>
        <w:rPr>
          <w:rFonts w:ascii="宋体" w:hAnsi="宋体"/>
          <w:b/>
          <w:color w:val="auto"/>
          <w:kern w:val="0"/>
          <w:sz w:val="24"/>
          <w:szCs w:val="24"/>
          <w:highlight w:val="none"/>
        </w:rPr>
        <w:t>、对同类问题表述不一致、有明显</w:t>
      </w:r>
      <w:r>
        <w:rPr>
          <w:rFonts w:hint="eastAsia" w:ascii="宋体" w:hAnsi="宋体"/>
          <w:b/>
          <w:color w:val="auto"/>
          <w:kern w:val="0"/>
          <w:sz w:val="24"/>
          <w:szCs w:val="24"/>
          <w:highlight w:val="none"/>
        </w:rPr>
        <w:t>文字</w:t>
      </w:r>
      <w:r>
        <w:rPr>
          <w:rFonts w:ascii="宋体" w:hAnsi="宋体"/>
          <w:b/>
          <w:color w:val="auto"/>
          <w:kern w:val="0"/>
          <w:sz w:val="24"/>
          <w:szCs w:val="24"/>
          <w:highlight w:val="none"/>
        </w:rPr>
        <w:t>和计算错误</w:t>
      </w:r>
      <w:r>
        <w:rPr>
          <w:rFonts w:hint="eastAsia" w:ascii="宋体" w:hAnsi="宋体"/>
          <w:b/>
          <w:color w:val="auto"/>
          <w:kern w:val="0"/>
          <w:sz w:val="24"/>
          <w:szCs w:val="24"/>
          <w:highlight w:val="none"/>
        </w:rPr>
        <w:t>、</w:t>
      </w:r>
      <w:r>
        <w:rPr>
          <w:rFonts w:ascii="宋体" w:hAnsi="宋体"/>
          <w:b/>
          <w:color w:val="auto"/>
          <w:kern w:val="0"/>
          <w:sz w:val="24"/>
          <w:szCs w:val="24"/>
          <w:highlight w:val="none"/>
        </w:rPr>
        <w:t>投标报价可能低于成本影响履约的，应当</w:t>
      </w:r>
      <w:r>
        <w:rPr>
          <w:rFonts w:hint="eastAsia" w:ascii="宋体" w:hAnsi="宋体"/>
          <w:b/>
          <w:color w:val="auto"/>
          <w:kern w:val="0"/>
          <w:sz w:val="24"/>
          <w:szCs w:val="24"/>
          <w:highlight w:val="none"/>
        </w:rPr>
        <w:t>要求</w:t>
      </w:r>
      <w:r>
        <w:rPr>
          <w:rFonts w:ascii="宋体" w:hAnsi="宋体"/>
          <w:b/>
          <w:color w:val="auto"/>
          <w:kern w:val="0"/>
          <w:sz w:val="24"/>
          <w:szCs w:val="24"/>
          <w:highlight w:val="none"/>
        </w:rPr>
        <w:t>投标人作必要的澄清、说明</w:t>
      </w:r>
      <w:r>
        <w:rPr>
          <w:rFonts w:hint="eastAsia" w:ascii="宋体" w:hAnsi="宋体"/>
          <w:b/>
          <w:color w:val="auto"/>
          <w:kern w:val="0"/>
          <w:sz w:val="24"/>
          <w:szCs w:val="24"/>
          <w:highlight w:val="none"/>
        </w:rPr>
        <w:t>后再判定投标人是否通过有效性审查</w:t>
      </w:r>
      <w:r>
        <w:rPr>
          <w:rFonts w:ascii="宋体" w:hAnsi="宋体"/>
          <w:b/>
          <w:color w:val="auto"/>
          <w:kern w:val="0"/>
          <w:sz w:val="24"/>
          <w:szCs w:val="24"/>
          <w:highlight w:val="none"/>
        </w:rPr>
        <w:t>，不得直接否决投标</w:t>
      </w:r>
      <w:r>
        <w:rPr>
          <w:rFonts w:hint="eastAsia" w:ascii="宋体" w:hAnsi="宋体"/>
          <w:b/>
          <w:color w:val="auto"/>
          <w:kern w:val="0"/>
          <w:sz w:val="24"/>
          <w:szCs w:val="24"/>
          <w:highlight w:val="none"/>
        </w:rPr>
        <w:t>。</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6.2经济标的算术校核。评标委员会对进行经济标有效性审查的投标文件投标报价按照就低不就高的原则进行算术校核，具体标准如下：</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6.2.1如果数字表示的金额和用文字表示的金额不一致时，应以文字表示的金额为准；</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6.2.2经算术复核的投标人报价与其投标报价不一致时，按就低不就高原则确定其最终报价；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4</w:t>
      </w:r>
      <w:r>
        <w:rPr>
          <w:rFonts w:hint="eastAsia" w:ascii="宋体" w:hAnsi="宋体"/>
          <w:color w:val="auto"/>
          <w:sz w:val="24"/>
          <w:szCs w:val="24"/>
          <w:highlight w:val="none"/>
        </w:rPr>
        <w:t>当合价、金额累加错误时，按就低不就高原则，如果累加修正值小于原累加值，则按累加修正值；如果累加修正值大于原累加值，则按原累加值；</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 </w:t>
      </w: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5</w:t>
      </w:r>
      <w:r>
        <w:rPr>
          <w:rFonts w:hint="eastAsia" w:ascii="宋体" w:hAnsi="宋体"/>
          <w:color w:val="auto"/>
          <w:sz w:val="24"/>
          <w:szCs w:val="24"/>
          <w:highlight w:val="none"/>
        </w:rPr>
        <w:t>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6</w:t>
      </w:r>
      <w:r>
        <w:rPr>
          <w:rFonts w:hint="eastAsia" w:ascii="宋体" w:hAnsi="宋体"/>
          <w:color w:val="auto"/>
          <w:sz w:val="24"/>
          <w:szCs w:val="24"/>
          <w:highlight w:val="none"/>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7</w:t>
      </w:r>
      <w:r>
        <w:rPr>
          <w:rFonts w:hint="eastAsia" w:ascii="宋体" w:hAnsi="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6.2.</w:t>
      </w:r>
      <w:r>
        <w:rPr>
          <w:rFonts w:ascii="宋体" w:hAnsi="宋体"/>
          <w:color w:val="auto"/>
          <w:sz w:val="24"/>
          <w:szCs w:val="24"/>
          <w:highlight w:val="none"/>
        </w:rPr>
        <w:t>8</w:t>
      </w:r>
      <w:r>
        <w:rPr>
          <w:rFonts w:hint="eastAsia" w:ascii="宋体" w:hAnsi="宋体"/>
          <w:color w:val="auto"/>
          <w:sz w:val="24"/>
          <w:szCs w:val="24"/>
          <w:highlight w:val="none"/>
        </w:rPr>
        <w:t>按上述修正错误的原则及方法调整或修正投标文件的投标报价，调整后的投标报价对投标人起约束作用。如果投标人不接受修正后的报价，则取消其投标资格</w:t>
      </w:r>
      <w:r>
        <w:rPr>
          <w:rFonts w:hint="eastAsia" w:ascii="宋体" w:hAnsi="宋体"/>
          <w:strike w:val="0"/>
          <w:color w:val="auto"/>
          <w:sz w:val="24"/>
          <w:szCs w:val="24"/>
          <w:highlight w:val="none"/>
        </w:rPr>
        <w:t>，并且其投标保证金也将不予退还</w:t>
      </w:r>
      <w:r>
        <w:rPr>
          <w:rFonts w:hint="eastAsia" w:ascii="宋体" w:hAnsi="宋体"/>
          <w:color w:val="auto"/>
          <w:sz w:val="24"/>
          <w:szCs w:val="24"/>
          <w:highlight w:val="none"/>
        </w:rPr>
        <w:t>。</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4</w:t>
      </w:r>
      <w:r>
        <w:rPr>
          <w:rFonts w:hint="eastAsia" w:ascii="宋体" w:hAnsi="宋体"/>
          <w:color w:val="auto"/>
          <w:sz w:val="24"/>
          <w:szCs w:val="24"/>
          <w:highlight w:val="none"/>
        </w:rPr>
        <w:t>8.评标委员会应在通过投标文件经济标有效性审查的投标人中，按步骤45.4确定的投标人第二阶段排序，推荐前</w:t>
      </w:r>
      <w:r>
        <w:rPr>
          <w:rFonts w:ascii="宋体" w:hAnsi="宋体"/>
          <w:color w:val="auto"/>
          <w:sz w:val="24"/>
          <w:szCs w:val="24"/>
          <w:highlight w:val="none"/>
        </w:rPr>
        <w:t>3</w:t>
      </w:r>
      <w:r>
        <w:rPr>
          <w:rFonts w:hint="eastAsia" w:ascii="宋体" w:hAnsi="宋体"/>
          <w:color w:val="auto"/>
          <w:sz w:val="24"/>
          <w:szCs w:val="24"/>
          <w:highlight w:val="none"/>
        </w:rPr>
        <w:t>名依次为第一中标候选人至第三中标候选人</w:t>
      </w:r>
      <w:r>
        <w:rPr>
          <w:rFonts w:ascii="宋体" w:hAnsi="宋体"/>
          <w:color w:val="auto"/>
          <w:sz w:val="24"/>
          <w:szCs w:val="24"/>
          <w:highlight w:val="none"/>
        </w:rPr>
        <w:t>,</w:t>
      </w:r>
      <w:r>
        <w:rPr>
          <w:rFonts w:hint="eastAsia" w:ascii="宋体" w:hAnsi="宋体"/>
          <w:color w:val="auto"/>
          <w:sz w:val="24"/>
          <w:szCs w:val="24"/>
          <w:highlight w:val="none"/>
        </w:rPr>
        <w:t>并编制评标报告。</w:t>
      </w:r>
    </w:p>
    <w:p>
      <w:pPr>
        <w:widowControl/>
        <w:snapToGrid/>
        <w:spacing w:line="360" w:lineRule="auto"/>
        <w:ind w:right="0"/>
        <w:jc w:val="left"/>
        <w:rPr>
          <w:rFonts w:ascii="宋体"/>
          <w:color w:val="auto"/>
          <w:szCs w:val="21"/>
          <w:highlight w:val="none"/>
        </w:rPr>
      </w:pPr>
      <w:r>
        <w:rPr>
          <w:rFonts w:ascii="宋体" w:hAnsi="宋体"/>
          <w:color w:val="auto"/>
          <w:sz w:val="24"/>
          <w:szCs w:val="24"/>
          <w:highlight w:val="none"/>
        </w:rPr>
        <w:t>4</w:t>
      </w:r>
      <w:r>
        <w:rPr>
          <w:rFonts w:hint="eastAsia" w:ascii="宋体" w:hAnsi="宋体"/>
          <w:color w:val="auto"/>
          <w:sz w:val="24"/>
          <w:szCs w:val="24"/>
          <w:highlight w:val="none"/>
        </w:rPr>
        <w:t>9.若通过经济标有效性审查的投标人不足三家，应当依法重新招标。（当</w:t>
      </w:r>
      <w:r>
        <w:rPr>
          <w:rFonts w:ascii="宋体" w:hAnsi="宋体"/>
          <w:color w:val="auto"/>
          <w:sz w:val="24"/>
          <w:szCs w:val="24"/>
          <w:highlight w:val="none"/>
        </w:rPr>
        <w:t>N</w:t>
      </w:r>
      <w:r>
        <w:rPr>
          <w:rFonts w:hint="eastAsia" w:ascii="宋体" w:hAnsi="宋体"/>
          <w:color w:val="auto"/>
          <w:sz w:val="24"/>
          <w:szCs w:val="24"/>
          <w:highlight w:val="none"/>
        </w:rPr>
        <w:t>个标段同时招标且不允许兼中时，若有效投标人不足</w:t>
      </w:r>
      <w:r>
        <w:rPr>
          <w:rFonts w:ascii="宋体" w:hAnsi="宋体"/>
          <w:color w:val="auto"/>
          <w:sz w:val="24"/>
          <w:szCs w:val="24"/>
          <w:highlight w:val="none"/>
        </w:rPr>
        <w:t>N+2</w:t>
      </w:r>
      <w:r>
        <w:rPr>
          <w:rFonts w:hint="eastAsia" w:ascii="宋体" w:hAnsi="宋体"/>
          <w:color w:val="auto"/>
          <w:sz w:val="24"/>
          <w:szCs w:val="24"/>
          <w:highlight w:val="none"/>
        </w:rPr>
        <w:t>家，应当依法重新招标）</w:t>
      </w:r>
      <w:r>
        <w:rPr>
          <w:rFonts w:hint="eastAsia" w:ascii="宋体" w:hAnsi="宋体"/>
          <w:color w:val="auto"/>
          <w:szCs w:val="21"/>
          <w:highlight w:val="none"/>
        </w:rPr>
        <w:br w:type="page"/>
      </w:r>
      <w:r>
        <w:rPr>
          <w:rFonts w:hint="eastAsia" w:ascii="宋体" w:hAnsi="宋体"/>
          <w:color w:val="auto"/>
          <w:szCs w:val="21"/>
          <w:highlight w:val="none"/>
        </w:rPr>
        <w:t>附表一：</w:t>
      </w:r>
    </w:p>
    <w:p>
      <w:pPr>
        <w:jc w:val="center"/>
        <w:rPr>
          <w:b/>
          <w:color w:val="auto"/>
          <w:sz w:val="32"/>
          <w:szCs w:val="32"/>
          <w:highlight w:val="none"/>
        </w:rPr>
      </w:pPr>
      <w:r>
        <w:rPr>
          <w:rFonts w:hint="eastAsia"/>
          <w:b/>
          <w:color w:val="auto"/>
          <w:sz w:val="32"/>
          <w:szCs w:val="32"/>
          <w:highlight w:val="none"/>
        </w:rPr>
        <w:t>资格审查表</w:t>
      </w:r>
    </w:p>
    <w:p>
      <w:pPr>
        <w:spacing w:line="480" w:lineRule="auto"/>
        <w:rPr>
          <w:color w:val="auto"/>
          <w:sz w:val="24"/>
          <w:szCs w:val="24"/>
          <w:highlight w:val="none"/>
        </w:rPr>
      </w:pPr>
      <w:r>
        <w:rPr>
          <w:rFonts w:hint="eastAsia"/>
          <w:color w:val="auto"/>
          <w:sz w:val="24"/>
          <w:szCs w:val="24"/>
          <w:highlight w:val="none"/>
        </w:rPr>
        <w:t>工程名称：</w:t>
      </w:r>
    </w:p>
    <w:p>
      <w:pPr>
        <w:spacing w:line="480" w:lineRule="auto"/>
        <w:rPr>
          <w:color w:val="auto"/>
          <w:sz w:val="24"/>
          <w:szCs w:val="24"/>
          <w:highlight w:val="none"/>
        </w:rPr>
      </w:pPr>
      <w:r>
        <w:rPr>
          <w:rFonts w:hint="eastAsia"/>
          <w:color w:val="auto"/>
          <w:sz w:val="24"/>
          <w:szCs w:val="24"/>
          <w:highlight w:val="none"/>
        </w:rPr>
        <w:t>投标人名称：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573"/>
        <w:gridCol w:w="3420"/>
        <w:gridCol w:w="1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投标人声明</w:t>
            </w:r>
            <w:r>
              <w:rPr>
                <w:rFonts w:ascii="宋体" w:hAnsi="宋体"/>
                <w:color w:val="auto"/>
                <w:szCs w:val="21"/>
                <w:highlight w:val="none"/>
                <w:u w:val="single"/>
              </w:rPr>
              <w:t>（按招标</w:t>
            </w:r>
            <w:r>
              <w:rPr>
                <w:rFonts w:hint="eastAsia" w:ascii="宋体" w:hAnsi="宋体"/>
                <w:color w:val="auto"/>
                <w:szCs w:val="21"/>
                <w:highlight w:val="none"/>
                <w:u w:val="single"/>
              </w:rPr>
              <w:t>公告</w:t>
            </w:r>
            <w:r>
              <w:rPr>
                <w:rFonts w:ascii="宋体" w:hAnsi="宋体"/>
                <w:color w:val="auto"/>
                <w:szCs w:val="21"/>
                <w:highlight w:val="none"/>
                <w:u w:val="single"/>
              </w:rPr>
              <w:t>的要求填写）</w:t>
            </w:r>
            <w:r>
              <w:rPr>
                <w:rFonts w:hint="eastAsia" w:ascii="宋体" w:hAnsi="宋体"/>
                <w:color w:val="auto"/>
                <w:szCs w:val="21"/>
                <w:highlight w:val="none"/>
              </w:rPr>
              <w:t>、法定代表人证明书；委托投标的还应提供法人授权委托证明书</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s="宋体"/>
                <w:color w:val="auto"/>
                <w:szCs w:val="21"/>
                <w:highlight w:val="none"/>
                <w:u w:val="single"/>
              </w:rPr>
              <w:t>营业执照</w:t>
            </w:r>
            <w:r>
              <w:rPr>
                <w:rFonts w:hint="eastAsia" w:ascii="宋体" w:hAnsi="宋体" w:cs="宋体"/>
                <w:color w:val="auto"/>
                <w:szCs w:val="21"/>
                <w:highlight w:val="none"/>
                <w:u w:val="none"/>
              </w:rPr>
              <w:t>在广州公共资源交易中心企业信息库内上传件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投标人均持有建设行政主管部门颁发的企业资质证书及安全生产许可证；投标人资质符合公告要求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0" w:after="0" w:line="240" w:lineRule="auto"/>
              <w:ind w:firstLine="0" w:firstLineChars="0"/>
              <w:jc w:val="left"/>
              <w:rPr>
                <w:rFonts w:ascii="宋体" w:hAnsi="宋体"/>
                <w:strike/>
                <w:color w:val="auto"/>
                <w:szCs w:val="21"/>
                <w:highlight w:val="none"/>
              </w:rPr>
            </w:pPr>
            <w:r>
              <w:rPr>
                <w:rFonts w:hint="eastAsia" w:ascii="宋体" w:hAnsi="宋体" w:cs="宋体"/>
                <w:color w:val="auto"/>
                <w:szCs w:val="21"/>
                <w:highlight w:val="none"/>
                <w:u w:val="single"/>
              </w:rPr>
              <w:t>资质证书及安全生产许可证</w:t>
            </w:r>
            <w:r>
              <w:rPr>
                <w:rFonts w:hint="eastAsia" w:ascii="宋体" w:hAnsi="宋体" w:cs="宋体"/>
                <w:color w:val="auto"/>
                <w:szCs w:val="21"/>
                <w:highlight w:val="none"/>
                <w:u w:val="single"/>
                <w:lang w:val="en-US" w:eastAsia="zh-CN"/>
              </w:rPr>
              <w:t>在</w:t>
            </w:r>
            <w:r>
              <w:rPr>
                <w:rFonts w:hint="eastAsia" w:ascii="宋体" w:hAnsi="宋体" w:cs="宋体"/>
                <w:color w:val="auto"/>
                <w:szCs w:val="21"/>
                <w:highlight w:val="none"/>
                <w:u w:val="single"/>
              </w:rPr>
              <w:t>广州公共资源交易中心企业信息库内上传件</w:t>
            </w:r>
            <w:r>
              <w:rPr>
                <w:rFonts w:hint="eastAsia" w:ascii="宋体" w:hAnsi="宋体" w:cs="宋体"/>
                <w:color w:val="auto"/>
                <w:szCs w:val="21"/>
                <w:highlight w:val="none"/>
                <w:u w:val="single"/>
                <w:lang w:eastAsia="zh-CN"/>
              </w:rPr>
              <w:t>。</w:t>
            </w:r>
            <w:r>
              <w:rPr>
                <w:rFonts w:hint="eastAsia" w:ascii="宋体" w:hAnsi="宋体" w:cs="宋体"/>
                <w:color w:val="auto"/>
                <w:sz w:val="16"/>
                <w:szCs w:val="16"/>
                <w:highlight w:val="none"/>
                <w:u w:val="single"/>
                <w:lang w:eastAsia="zh-CN"/>
              </w:rPr>
              <w:t>（</w:t>
            </w:r>
            <w:r>
              <w:rPr>
                <w:rFonts w:hint="eastAsia" w:ascii="宋体" w:hAnsi="宋体" w:cs="Calibri"/>
                <w:bCs/>
                <w:color w:val="auto"/>
                <w:sz w:val="16"/>
                <w:szCs w:val="16"/>
                <w:highlight w:val="none"/>
                <w:u w:val="single"/>
              </w:rPr>
              <w:t>注：投标人的资质不在有效期内，资质延续手续已通过政府有关部门核准的，投标人需提供经核准延续的相关证明材料；资质延续手续未通过政府有关部门核准的，提供了延续申请的相关证明材料（如“三库一平台”提交申请截图、申请回执等可以证明已经办理核准延续手续的相关证明文件），未能按要求提供相关资料的，视为资质已失效）。</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Fonts w:hint="eastAsia" w:ascii="宋体" w:hAnsi="宋体" w:cs="宋体"/>
                <w:color w:val="auto"/>
                <w:szCs w:val="21"/>
                <w:highlight w:val="none"/>
                <w:u w:val="single"/>
                <w:lang w:eastAsia="zh-CN"/>
              </w:rPr>
              <w:t>有效的</w:t>
            </w:r>
            <w:r>
              <w:rPr>
                <w:rFonts w:ascii="宋体" w:hAnsi="宋体" w:cs="宋体"/>
                <w:color w:val="auto"/>
                <w:szCs w:val="21"/>
                <w:highlight w:val="none"/>
                <w:u w:val="single"/>
              </w:rPr>
              <w:t>市政公用工程专业</w:t>
            </w:r>
            <w:r>
              <w:rPr>
                <w:rFonts w:hint="eastAsia" w:ascii="宋体" w:hAnsi="宋体" w:cs="宋体"/>
                <w:color w:val="auto"/>
                <w:szCs w:val="21"/>
                <w:highlight w:val="none"/>
                <w:u w:val="single"/>
                <w:lang w:val="en-US" w:eastAsia="zh-CN"/>
              </w:rPr>
              <w:t>二级（或以上）</w:t>
            </w:r>
            <w:r>
              <w:rPr>
                <w:rFonts w:hint="eastAsia" w:ascii="宋体" w:hAnsi="宋体" w:cs="宋体"/>
                <w:color w:val="auto"/>
                <w:szCs w:val="21"/>
                <w:highlight w:val="none"/>
                <w:u w:val="single"/>
              </w:rPr>
              <w:t>注册建造师注册证书在广州公共资源交易中心企业信息库内上传件（注：打印建造师电子证书后，应在个人签名处手写本人签名再上传广州交易集团有限公司（广州公共资源交易中心）企业信息库，上传件未手写签名或与签名图像笔迹不一致的，该电子证书无效。）。项目负责人在任职期间不得担任专职安全员，项目专职安全员在任职期间也不得担任项目负责人，项目负责人和安全员不为同一人。</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olor w:val="auto"/>
                <w:szCs w:val="21"/>
                <w:highlight w:val="none"/>
              </w:rPr>
              <w:t>持有项目负责人安全生产考核合格证（</w:t>
            </w:r>
            <w:r>
              <w:rPr>
                <w:rFonts w:ascii="宋体" w:hAnsi="宋体"/>
                <w:color w:val="auto"/>
                <w:szCs w:val="21"/>
                <w:highlight w:val="none"/>
              </w:rPr>
              <w:t>B类）或</w:t>
            </w:r>
            <w:r>
              <w:rPr>
                <w:rFonts w:hint="eastAsia" w:ascii="宋体" w:hAnsi="宋体"/>
                <w:color w:val="auto"/>
                <w:szCs w:val="21"/>
                <w:highlight w:val="none"/>
              </w:rPr>
              <w:t>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u w:val="single"/>
              </w:rPr>
            </w:pPr>
            <w:r>
              <w:rPr>
                <w:rFonts w:hint="eastAsia" w:ascii="宋体" w:hAnsi="宋体"/>
                <w:color w:val="auto"/>
                <w:szCs w:val="21"/>
                <w:highlight w:val="none"/>
                <w:u w:val="none"/>
              </w:rPr>
              <w:t>提</w:t>
            </w:r>
            <w:r>
              <w:rPr>
                <w:rFonts w:hint="eastAsia" w:ascii="宋体" w:hAnsi="宋体"/>
                <w:color w:val="auto"/>
                <w:szCs w:val="21"/>
                <w:highlight w:val="none"/>
              </w:rPr>
              <w:t>供安全生产考核合格证（</w:t>
            </w:r>
            <w:r>
              <w:rPr>
                <w:rFonts w:ascii="宋体" w:hAnsi="宋体"/>
                <w:color w:val="auto"/>
                <w:szCs w:val="21"/>
                <w:highlight w:val="none"/>
              </w:rPr>
              <w:t>B类）或</w:t>
            </w:r>
            <w:r>
              <w:rPr>
                <w:rFonts w:hint="eastAsia" w:ascii="宋体" w:hAnsi="宋体"/>
                <w:color w:val="auto"/>
                <w:szCs w:val="21"/>
                <w:highlight w:val="none"/>
              </w:rPr>
              <w:t>建筑施工企业项目负责人安全生产考核合格证</w:t>
            </w:r>
            <w:r>
              <w:rPr>
                <w:rFonts w:hint="eastAsia" w:ascii="宋体" w:hAnsi="宋体"/>
                <w:color w:val="auto"/>
                <w:szCs w:val="21"/>
                <w:highlight w:val="none"/>
                <w:u w:val="single"/>
              </w:rPr>
              <w:t>在广州公共资源交易中心企业信息库内上传件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olor w:val="auto"/>
                <w:szCs w:val="21"/>
                <w:highlight w:val="none"/>
              </w:rPr>
              <w:t>拟委托技术负责人的相关证书、资料扫描件。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auto"/>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专职安全员须具有安全生产考核合格证（C证）或建筑施工企业专职安全生产管理人员安全生产考核合格证（C3类）</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hint="eastAsia" w:ascii="宋体" w:hAnsi="宋体" w:eastAsia="宋体" w:cs="Times New Roman"/>
                <w:color w:val="auto"/>
                <w:kern w:val="2"/>
                <w:sz w:val="21"/>
                <w:szCs w:val="21"/>
                <w:highlight w:val="none"/>
              </w:rPr>
            </w:pPr>
            <w:r>
              <w:rPr>
                <w:rFonts w:hint="eastAsia" w:ascii="宋体" w:hAnsi="宋体" w:eastAsia="宋体" w:cs="Times New Roman"/>
                <w:color w:val="auto"/>
                <w:kern w:val="2"/>
                <w:sz w:val="21"/>
                <w:szCs w:val="21"/>
                <w:highlight w:val="none"/>
              </w:rPr>
              <w:t>专职安全员的安全生产考核合格证（C证）或建筑施工企业专职安全生产管理人员安全生产考核合格证（C3类）</w:t>
            </w:r>
            <w:r>
              <w:rPr>
                <w:rFonts w:hint="eastAsia" w:ascii="宋体" w:hAnsi="宋体"/>
                <w:color w:val="auto"/>
                <w:szCs w:val="21"/>
                <w:highlight w:val="none"/>
                <w:u w:val="single"/>
              </w:rPr>
              <w:t>在广州公共资源交易中心企业信息库内上传件</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strike/>
                <w:color w:val="auto"/>
                <w:szCs w:val="21"/>
                <w:highlight w:val="none"/>
              </w:rPr>
            </w:pPr>
            <w:r>
              <w:rPr>
                <w:rFonts w:hint="eastAsia" w:ascii="宋体" w:hAnsi="宋体" w:cs="宋体"/>
                <w:color w:val="auto"/>
                <w:szCs w:val="21"/>
                <w:highlight w:val="none"/>
              </w:rPr>
              <w:t>8</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trike/>
                <w:color w:val="auto"/>
                <w:szCs w:val="21"/>
                <w:highlight w:val="none"/>
              </w:rPr>
            </w:pPr>
            <w:r>
              <w:rPr>
                <w:rFonts w:hint="eastAsia" w:ascii="宋体" w:hAnsi="宋体" w:cs="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strike/>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（按招标公告的要求填写）</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3573" w:type="dxa"/>
            <w:tcBorders>
              <w:top w:val="single" w:color="auto" w:sz="4" w:space="0"/>
              <w:left w:val="single" w:color="auto" w:sz="4" w:space="0"/>
              <w:bottom w:val="single" w:color="auto" w:sz="4" w:space="0"/>
              <w:right w:val="single" w:color="auto" w:sz="4" w:space="0"/>
            </w:tcBorders>
            <w:vAlign w:val="center"/>
          </w:tcPr>
          <w:p>
            <w:pPr>
              <w:snapToGrid w:val="0"/>
              <w:spacing w:beforeLines="10" w:afterLines="10" w:line="240" w:lineRule="exact"/>
              <w:ind w:left="-40" w:leftChars="-19" w:right="-57" w:rightChars="-27"/>
              <w:jc w:val="left"/>
              <w:rPr>
                <w:rFonts w:ascii="宋体" w:hAnsi="宋体" w:cs="宋体"/>
                <w:color w:val="auto"/>
                <w:szCs w:val="21"/>
                <w:highlight w:val="none"/>
              </w:rPr>
            </w:pPr>
            <w:r>
              <w:rPr>
                <w:rFonts w:hint="eastAsia" w:ascii="宋体" w:hAnsi="宋体" w:cs="宋体"/>
                <w:color w:val="auto"/>
                <w:szCs w:val="21"/>
                <w:highlight w:val="none"/>
              </w:rPr>
              <w:t>关于联合体投标：本项目不接受联合体投标。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napToGrid w:val="0"/>
              <w:spacing w:beforeLines="10" w:afterLines="10" w:line="240" w:lineRule="exact"/>
              <w:ind w:left="-40" w:leftChars="-19" w:right="-57" w:rightChars="-27"/>
              <w:jc w:val="left"/>
              <w:rPr>
                <w:rFonts w:ascii="宋体" w:hAnsi="宋体" w:cs="宋体"/>
                <w:color w:val="auto"/>
                <w:szCs w:val="21"/>
                <w:highlight w:val="none"/>
              </w:rPr>
            </w:pPr>
            <w:r>
              <w:rPr>
                <w:rFonts w:hint="eastAsia" w:ascii="宋体" w:hAnsi="宋体" w:cs="宋体"/>
                <w:color w:val="auto"/>
                <w:szCs w:val="21"/>
                <w:highlight w:val="none"/>
              </w:rPr>
              <w:t>非联合体投标。</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3573" w:type="dxa"/>
            <w:tcBorders>
              <w:top w:val="single" w:color="auto" w:sz="4" w:space="0"/>
              <w:left w:val="single" w:color="auto" w:sz="4" w:space="0"/>
              <w:bottom w:val="single" w:color="auto" w:sz="4" w:space="0"/>
              <w:right w:val="single" w:color="auto" w:sz="4" w:space="0"/>
            </w:tcBorders>
            <w:vAlign w:val="center"/>
          </w:tcPr>
          <w:p>
            <w:pPr>
              <w:snapToGrid w:val="0"/>
              <w:spacing w:beforeLines="10" w:afterLines="10" w:line="240" w:lineRule="exact"/>
              <w:ind w:left="-40" w:leftChars="-19" w:right="-57" w:rightChars="-27"/>
              <w:jc w:val="left"/>
              <w:rPr>
                <w:rFonts w:ascii="宋体" w:hAnsi="宋体"/>
                <w:color w:val="auto"/>
                <w:szCs w:val="21"/>
                <w:highlight w:val="none"/>
                <w:u w:val="single"/>
              </w:rPr>
            </w:pPr>
            <w:r>
              <w:rPr>
                <w:rFonts w:hint="eastAsia" w:ascii="宋体" w:hAnsi="宋体"/>
                <w:color w:val="auto"/>
                <w:szCs w:val="21"/>
                <w:highlight w:val="none"/>
                <w:u w:val="single"/>
              </w:rPr>
              <w:t>资格审查前，投标人须在广州公共资源交易中心办理信息登记等相关投标登记手续及拟担任本工程项目负责人、专职安全员须是本企业的在册人员且与广州公共资源交易中心办理信息登记一致。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olor w:val="auto"/>
                <w:szCs w:val="21"/>
                <w:highlight w:val="none"/>
              </w:rPr>
            </w:pPr>
            <w:r>
              <w:rPr>
                <w:rFonts w:hint="eastAsia" w:ascii="宋体" w:hAnsi="宋体" w:cs="宋体"/>
                <w:color w:val="auto"/>
                <w:szCs w:val="21"/>
                <w:highlight w:val="none"/>
                <w:u w:val="single"/>
              </w:rPr>
              <w:t>投标人在广州公共资源交易中心企业信息库内的企业和人员信息相关网页截图。</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投标人未出现以下情形：与其它投标人的单位负责人为同一人或者存在控股、管理关系的（按投标人提供的《投标人声明》第八条内容进行评审）。</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投标人声明</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未在以往工程中因不诚信行为或不充分履约行为被本项目招标人书面拒绝投标的</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cs="宋体"/>
                <w:color w:val="auto"/>
                <w:szCs w:val="21"/>
                <w:highlight w:val="none"/>
              </w:rPr>
            </w:pPr>
            <w:r>
              <w:rPr>
                <w:rFonts w:hint="eastAsia" w:ascii="宋体" w:hAnsi="宋体" w:cs="宋体"/>
                <w:color w:val="auto"/>
                <w:szCs w:val="21"/>
                <w:highlight w:val="none"/>
              </w:rPr>
              <w:t>按招标公告附件三《被招标人拒绝投标的企业名单》进行评审</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675"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cs="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4</w:t>
            </w:r>
          </w:p>
        </w:tc>
        <w:tc>
          <w:tcPr>
            <w:tcW w:w="3573"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eastAsia="Times New Roman" w:cs="宋体"/>
                <w:color w:val="auto"/>
                <w:szCs w:val="21"/>
                <w:highlight w:val="none"/>
              </w:rPr>
            </w:pPr>
            <w:r>
              <w:rPr>
                <w:rFonts w:hint="eastAsia" w:ascii="宋体" w:hAnsi="宋体" w:eastAsia="Times New Roman"/>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left"/>
              <w:rPr>
                <w:rFonts w:ascii="宋体" w:hAnsi="宋体" w:eastAsia="Times New Roman" w:cs="宋体"/>
                <w:color w:val="auto"/>
                <w:szCs w:val="21"/>
                <w:highlight w:val="none"/>
              </w:rPr>
            </w:pPr>
            <w:r>
              <w:rPr>
                <w:rFonts w:hint="eastAsia" w:ascii="宋体" w:hAnsi="宋体" w:eastAsia="Times New Roman"/>
                <w:color w:val="auto"/>
                <w:szCs w:val="21"/>
                <w:highlight w:val="none"/>
              </w:rPr>
              <w:t>投标人无需提供资料，按交易系统比对的结果进行评审</w:t>
            </w:r>
          </w:p>
        </w:tc>
        <w:tc>
          <w:tcPr>
            <w:tcW w:w="1194" w:type="dxa"/>
            <w:tcBorders>
              <w:top w:val="single" w:color="auto" w:sz="4" w:space="0"/>
              <w:left w:val="single" w:color="auto" w:sz="4" w:space="0"/>
              <w:bottom w:val="single" w:color="auto" w:sz="4" w:space="0"/>
              <w:right w:val="single" w:color="auto" w:sz="4" w:space="0"/>
            </w:tcBorders>
            <w:vAlign w:val="center"/>
          </w:tcPr>
          <w:p>
            <w:pPr>
              <w:spacing w:before="120" w:after="60" w:line="240" w:lineRule="exact"/>
              <w:jc w:val="center"/>
              <w:rPr>
                <w:rFonts w:ascii="宋体" w:hAnsi="宋体" w:eastAsia="Times New Roman" w:cs="宋体"/>
                <w:color w:val="auto"/>
                <w:szCs w:val="21"/>
                <w:highlight w:val="none"/>
              </w:rPr>
            </w:pPr>
          </w:p>
        </w:tc>
      </w:tr>
    </w:tbl>
    <w:p>
      <w:pPr>
        <w:spacing w:line="480" w:lineRule="auto"/>
        <w:ind w:firstLine="470" w:firstLineChars="224"/>
        <w:rPr>
          <w:rFonts w:ascii="宋体" w:hAnsi="宋体"/>
          <w:color w:val="auto"/>
          <w:szCs w:val="21"/>
          <w:highlight w:val="none"/>
        </w:rPr>
      </w:pPr>
      <w:r>
        <w:rPr>
          <w:rFonts w:hint="eastAsia" w:ascii="宋体" w:hAnsi="宋体"/>
          <w:color w:val="auto"/>
          <w:szCs w:val="21"/>
          <w:highlight w:val="none"/>
        </w:rPr>
        <w:t>备注：</w:t>
      </w:r>
    </w:p>
    <w:p>
      <w:pPr>
        <w:spacing w:line="480" w:lineRule="auto"/>
        <w:ind w:firstLine="470" w:firstLineChars="224"/>
        <w:rPr>
          <w:rFonts w:ascii="宋体" w:hAnsi="宋体"/>
          <w:color w:val="auto"/>
          <w:szCs w:val="21"/>
          <w:highlight w:val="none"/>
        </w:rPr>
      </w:pPr>
      <w:r>
        <w:rPr>
          <w:rFonts w:ascii="宋体" w:hAnsi="宋体"/>
          <w:color w:val="auto"/>
          <w:szCs w:val="21"/>
          <w:highlight w:val="none"/>
        </w:rPr>
        <w:t xml:space="preserve">1、每一项目符合的打“○”，不符合的打“×”； </w:t>
      </w:r>
    </w:p>
    <w:p>
      <w:pPr>
        <w:spacing w:line="480" w:lineRule="auto"/>
        <w:ind w:firstLine="470" w:firstLineChars="224"/>
        <w:rPr>
          <w:rFonts w:ascii="宋体" w:hAnsi="宋体"/>
          <w:color w:val="auto"/>
          <w:szCs w:val="21"/>
          <w:highlight w:val="none"/>
        </w:rPr>
      </w:pPr>
      <w:r>
        <w:rPr>
          <w:rFonts w:ascii="宋体" w:hAnsi="宋体"/>
          <w:color w:val="auto"/>
          <w:szCs w:val="21"/>
          <w:highlight w:val="none"/>
        </w:rPr>
        <w:t>2、若评委意见不一致时，则按少数服从多数的原则，作出评审结论。汇总后，出现一个“×”的结论为“不通过”。</w:t>
      </w:r>
    </w:p>
    <w:p>
      <w:pPr>
        <w:spacing w:line="480" w:lineRule="auto"/>
        <w:ind w:firstLine="472" w:firstLineChars="224"/>
        <w:rPr>
          <w:rFonts w:ascii="宋体" w:hAnsi="宋体"/>
          <w:color w:val="auto"/>
          <w:szCs w:val="21"/>
          <w:highlight w:val="none"/>
        </w:rPr>
      </w:pPr>
      <w:r>
        <w:rPr>
          <w:rFonts w:ascii="宋体" w:hAnsi="宋体"/>
          <w:b/>
          <w:color w:val="auto"/>
          <w:szCs w:val="21"/>
          <w:highlight w:val="none"/>
        </w:rPr>
        <w:t>3.不得将</w:t>
      </w:r>
      <w:r>
        <w:rPr>
          <w:rFonts w:hint="eastAsia" w:ascii="宋体" w:hAnsi="宋体"/>
          <w:b/>
          <w:color w:val="auto"/>
          <w:szCs w:val="21"/>
          <w:highlight w:val="none"/>
        </w:rPr>
        <w:t>文件顺序、</w:t>
      </w:r>
      <w:r>
        <w:rPr>
          <w:rFonts w:ascii="宋体" w:hAnsi="宋体"/>
          <w:b/>
          <w:color w:val="auto"/>
          <w:szCs w:val="21"/>
          <w:highlight w:val="none"/>
        </w:rPr>
        <w:t>明显的文字错误等列为否</w:t>
      </w:r>
      <w:r>
        <w:rPr>
          <w:rFonts w:hint="eastAsia" w:ascii="宋体" w:hAnsi="宋体"/>
          <w:b/>
          <w:color w:val="auto"/>
          <w:szCs w:val="21"/>
          <w:highlight w:val="none"/>
        </w:rPr>
        <w:t>决</w:t>
      </w:r>
      <w:r>
        <w:rPr>
          <w:rFonts w:ascii="宋体" w:hAnsi="宋体"/>
          <w:b/>
          <w:color w:val="auto"/>
          <w:szCs w:val="21"/>
          <w:highlight w:val="none"/>
        </w:rPr>
        <w:t>投标的</w:t>
      </w:r>
      <w:r>
        <w:rPr>
          <w:rFonts w:hint="eastAsia" w:ascii="宋体" w:hAnsi="宋体"/>
          <w:b/>
          <w:color w:val="auto"/>
          <w:szCs w:val="21"/>
          <w:highlight w:val="none"/>
        </w:rPr>
        <w:t>情形。评委</w:t>
      </w:r>
      <w:r>
        <w:rPr>
          <w:rFonts w:ascii="宋体" w:hAnsi="宋体"/>
          <w:b/>
          <w:color w:val="auto"/>
          <w:szCs w:val="21"/>
          <w:highlight w:val="none"/>
        </w:rPr>
        <w:t>发现</w:t>
      </w:r>
      <w:r>
        <w:rPr>
          <w:rFonts w:hint="eastAsia" w:ascii="宋体" w:hAnsi="宋体"/>
          <w:b/>
          <w:color w:val="auto"/>
          <w:szCs w:val="21"/>
          <w:highlight w:val="none"/>
        </w:rPr>
        <w:t>资格审查文件</w:t>
      </w:r>
      <w:r>
        <w:rPr>
          <w:rFonts w:ascii="宋体" w:hAnsi="宋体"/>
          <w:b/>
          <w:color w:val="auto"/>
          <w:szCs w:val="21"/>
          <w:highlight w:val="none"/>
        </w:rPr>
        <w:t>中</w:t>
      </w:r>
      <w:r>
        <w:rPr>
          <w:rFonts w:hint="eastAsia" w:ascii="宋体" w:hAnsi="宋体"/>
          <w:b/>
          <w:color w:val="auto"/>
          <w:szCs w:val="21"/>
          <w:highlight w:val="none"/>
        </w:rPr>
        <w:t>含义不明确</w:t>
      </w:r>
      <w:r>
        <w:rPr>
          <w:rFonts w:ascii="宋体" w:hAnsi="宋体"/>
          <w:b/>
          <w:color w:val="auto"/>
          <w:szCs w:val="21"/>
          <w:highlight w:val="none"/>
        </w:rPr>
        <w:t>、对同类问题表述不一致、有明显</w:t>
      </w:r>
      <w:r>
        <w:rPr>
          <w:rFonts w:hint="eastAsia" w:ascii="宋体" w:hAnsi="宋体"/>
          <w:b/>
          <w:color w:val="auto"/>
          <w:szCs w:val="21"/>
          <w:highlight w:val="none"/>
        </w:rPr>
        <w:t>文字</w:t>
      </w:r>
      <w:r>
        <w:rPr>
          <w:rFonts w:ascii="宋体" w:hAnsi="宋体"/>
          <w:b/>
          <w:color w:val="auto"/>
          <w:szCs w:val="21"/>
          <w:highlight w:val="none"/>
        </w:rPr>
        <w:t>和计算错误的，应当</w:t>
      </w:r>
      <w:r>
        <w:rPr>
          <w:rFonts w:hint="eastAsia" w:ascii="宋体" w:hAnsi="宋体"/>
          <w:b/>
          <w:color w:val="auto"/>
          <w:szCs w:val="21"/>
          <w:highlight w:val="none"/>
        </w:rPr>
        <w:t>要求</w:t>
      </w:r>
      <w:r>
        <w:rPr>
          <w:rFonts w:ascii="宋体" w:hAnsi="宋体"/>
          <w:b/>
          <w:color w:val="auto"/>
          <w:szCs w:val="21"/>
          <w:highlight w:val="none"/>
        </w:rPr>
        <w:t>投标人作必要的澄清、说明</w:t>
      </w:r>
      <w:r>
        <w:rPr>
          <w:rFonts w:hint="eastAsia" w:ascii="宋体" w:hAnsi="宋体"/>
          <w:b/>
          <w:color w:val="auto"/>
          <w:szCs w:val="21"/>
          <w:highlight w:val="none"/>
        </w:rPr>
        <w:t>后再判定投标人是否通过资格审查</w:t>
      </w:r>
      <w:r>
        <w:rPr>
          <w:rFonts w:ascii="宋体" w:hAnsi="宋体"/>
          <w:b/>
          <w:color w:val="auto"/>
          <w:szCs w:val="21"/>
          <w:highlight w:val="none"/>
        </w:rPr>
        <w:t>，不得直接</w:t>
      </w:r>
      <w:r>
        <w:rPr>
          <w:rFonts w:hint="eastAsia" w:ascii="宋体" w:hAnsi="宋体"/>
          <w:b/>
          <w:color w:val="auto"/>
          <w:szCs w:val="21"/>
          <w:highlight w:val="none"/>
        </w:rPr>
        <w:t>认定其不通过资格审查。</w:t>
      </w:r>
    </w:p>
    <w:p>
      <w:pPr>
        <w:spacing w:line="480" w:lineRule="auto"/>
        <w:ind w:firstLine="470" w:firstLineChars="224"/>
        <w:rPr>
          <w:rFonts w:ascii="宋体" w:hAnsi="宋体"/>
          <w:color w:val="auto"/>
          <w:szCs w:val="21"/>
          <w:highlight w:val="none"/>
        </w:rPr>
        <w:sectPr>
          <w:footerReference r:id="rId10" w:type="first"/>
          <w:footerReference r:id="rId9" w:type="default"/>
          <w:endnotePr>
            <w:numFmt w:val="decimal"/>
          </w:endnotePr>
          <w:pgSz w:w="11906" w:h="16838"/>
          <w:pgMar w:top="1134" w:right="1418" w:bottom="1247" w:left="1418" w:header="851" w:footer="907" w:gutter="0"/>
          <w:pgNumType w:start="1"/>
          <w:cols w:space="720" w:num="1"/>
          <w:docGrid w:type="lines" w:linePitch="312" w:charSpace="0"/>
        </w:sectPr>
      </w:pPr>
    </w:p>
    <w:p>
      <w:pPr>
        <w:rPr>
          <w:color w:val="auto"/>
          <w:szCs w:val="21"/>
          <w:highlight w:val="none"/>
        </w:rPr>
      </w:pPr>
      <w:r>
        <w:rPr>
          <w:rFonts w:hint="eastAsia"/>
          <w:color w:val="auto"/>
          <w:szCs w:val="21"/>
          <w:highlight w:val="none"/>
        </w:rPr>
        <w:t>附表二</w:t>
      </w:r>
    </w:p>
    <w:p>
      <w:pPr>
        <w:jc w:val="center"/>
        <w:rPr>
          <w:b/>
          <w:color w:val="auto"/>
          <w:sz w:val="36"/>
          <w:szCs w:val="36"/>
          <w:highlight w:val="none"/>
        </w:rPr>
      </w:pPr>
      <w:r>
        <w:rPr>
          <w:rFonts w:hint="eastAsia"/>
          <w:b/>
          <w:color w:val="auto"/>
          <w:sz w:val="36"/>
          <w:szCs w:val="36"/>
          <w:highlight w:val="none"/>
        </w:rPr>
        <w:t>技术标有效性审查表</w:t>
      </w:r>
    </w:p>
    <w:p>
      <w:pPr>
        <w:rPr>
          <w:color w:val="auto"/>
          <w:szCs w:val="21"/>
          <w:highlight w:val="none"/>
        </w:rPr>
      </w:pPr>
      <w:r>
        <w:rPr>
          <w:rFonts w:hint="eastAsia"/>
          <w:color w:val="auto"/>
          <w:szCs w:val="21"/>
          <w:highlight w:val="none"/>
        </w:rPr>
        <w:t>工程名称：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4370"/>
        <w:gridCol w:w="1630"/>
        <w:gridCol w:w="1630"/>
        <w:gridCol w:w="16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序号</w:t>
            </w:r>
          </w:p>
        </w:tc>
        <w:tc>
          <w:tcPr>
            <w:tcW w:w="437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eastAsia="Times New Roman"/>
                <w:color w:val="auto"/>
                <w:szCs w:val="21"/>
                <w:highlight w:val="none"/>
              </w:rPr>
            </w:pPr>
            <w:r>
              <w:rPr>
                <w:rFonts w:ascii="宋体" w:hAnsi="宋体" w:eastAsia="Times New Roman"/>
                <w:color w:val="auto"/>
                <w:szCs w:val="21"/>
                <w:highlight w:val="none"/>
              </w:rPr>
              <w:t xml:space="preserve">               </w:t>
            </w:r>
            <w:r>
              <w:rPr>
                <w:rFonts w:hint="eastAsia" w:ascii="宋体" w:hAnsi="宋体" w:eastAsia="Times New Roman"/>
                <w:color w:val="auto"/>
                <w:szCs w:val="21"/>
                <w:highlight w:val="none"/>
              </w:rPr>
              <w:t>投标人</w:t>
            </w:r>
          </w:p>
          <w:p>
            <w:pPr>
              <w:adjustRightInd w:val="0"/>
              <w:rPr>
                <w:rFonts w:ascii="宋体" w:hAnsi="宋体" w:eastAsia="Times New Roman"/>
                <w:color w:val="auto"/>
                <w:szCs w:val="21"/>
                <w:highlight w:val="none"/>
              </w:rPr>
            </w:pPr>
          </w:p>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不能满足完成投标项目工期的；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不符合招标文件及有关技术规格、质量要求、检验标准和方法的；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strike/>
                <w:color w:val="auto"/>
                <w:szCs w:val="21"/>
                <w:highlight w:val="none"/>
              </w:rPr>
            </w:pPr>
            <w:r>
              <w:rPr>
                <w:rFonts w:hint="eastAsia" w:ascii="宋体" w:hAnsi="宋体" w:eastAsia="Times New Roman"/>
                <w:color w:val="auto"/>
                <w:szCs w:val="21"/>
                <w:highlight w:val="none"/>
              </w:rPr>
              <w:t>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strike/>
                <w:color w:val="auto"/>
                <w:szCs w:val="21"/>
                <w:highlight w:val="none"/>
              </w:rPr>
            </w:pPr>
            <w:r>
              <w:rPr>
                <w:rFonts w:hint="eastAsia" w:ascii="宋体" w:hAnsi="宋体" w:eastAsia="Times New Roman"/>
                <w:color w:val="auto"/>
                <w:szCs w:val="21"/>
                <w:highlight w:val="none"/>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投标文件未按规定的格式填写，或主要内容不全，或关键字迹模糊、无法辨认的；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color w:val="auto"/>
                <w:szCs w:val="21"/>
                <w:highlight w:val="none"/>
              </w:rPr>
            </w:pPr>
            <w:r>
              <w:rPr>
                <w:rFonts w:ascii="宋体" w:hAnsi="宋体" w:eastAsia="Times New Roman"/>
                <w:color w:val="auto"/>
                <w:szCs w:val="21"/>
                <w:highlight w:val="none"/>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olor w:val="auto"/>
                <w:szCs w:val="21"/>
                <w:highlight w:val="none"/>
              </w:rPr>
            </w:pPr>
            <w:r>
              <w:rPr>
                <w:rFonts w:hint="eastAsia" w:ascii="宋体" w:hAnsi="宋体" w:eastAsia="Times New Roman"/>
                <w:color w:val="auto"/>
                <w:szCs w:val="21"/>
                <w:highlight w:val="none"/>
              </w:rPr>
              <w:t>6</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olor w:val="auto"/>
                <w:szCs w:val="21"/>
                <w:highlight w:val="none"/>
              </w:rPr>
            </w:pPr>
            <w:r>
              <w:rPr>
                <w:rFonts w:hint="eastAsia" w:ascii="宋体" w:hAnsi="宋体" w:eastAsia="Times New Roman"/>
                <w:color w:val="auto"/>
                <w:szCs w:val="21"/>
                <w:highlight w:val="none"/>
                <w:u w:val="single"/>
              </w:rPr>
              <w:t>投标人未按规定的格式及内容要求签署《投标函》；</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color w:val="auto"/>
                <w:szCs w:val="21"/>
                <w:highlight w:val="none"/>
                <w:u w:val="single"/>
              </w:rPr>
            </w:pPr>
            <w:r>
              <w:rPr>
                <w:rFonts w:ascii="宋体" w:hAnsi="宋体" w:eastAsia="Times New Roman"/>
                <w:color w:val="auto"/>
                <w:szCs w:val="21"/>
                <w:highlight w:val="none"/>
                <w:u w:val="single"/>
              </w:rPr>
              <w:t>7</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u w:val="single"/>
              </w:rPr>
              <w:t>投标人未按规定的格式及内容要求签署《技术承诺函》；</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color w:val="auto"/>
                <w:szCs w:val="21"/>
                <w:highlight w:val="none"/>
                <w:u w:val="single"/>
              </w:rPr>
            </w:pPr>
            <w:r>
              <w:rPr>
                <w:rFonts w:ascii="宋体" w:hAnsi="宋体" w:eastAsia="Times New Roman"/>
                <w:color w:val="auto"/>
                <w:szCs w:val="21"/>
                <w:highlight w:val="none"/>
                <w:u w:val="single"/>
              </w:rPr>
              <w:t>8</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u w:val="single"/>
              </w:rPr>
              <w:t>投标人未按规定的格式及内容要求签署《施工项目管理团队人员信息表》</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color w:val="auto"/>
                <w:szCs w:val="21"/>
                <w:highlight w:val="none"/>
                <w:u w:val="single"/>
              </w:rPr>
            </w:pPr>
            <w:r>
              <w:rPr>
                <w:rFonts w:ascii="宋体" w:hAnsi="宋体" w:eastAsia="Times New Roman"/>
                <w:color w:val="auto"/>
                <w:szCs w:val="21"/>
                <w:highlight w:val="none"/>
                <w:u w:val="single"/>
              </w:rPr>
              <w:t>9</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投标人未按规定的格式及内容要求签署《响应招标文件所附施工组织设计要点的承诺书》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color w:val="auto"/>
                <w:szCs w:val="21"/>
                <w:highlight w:val="none"/>
                <w:u w:val="single"/>
              </w:rPr>
            </w:pPr>
            <w:r>
              <w:rPr>
                <w:rFonts w:ascii="宋体" w:hAnsi="宋体" w:eastAsia="Times New Roman"/>
                <w:color w:val="auto"/>
                <w:szCs w:val="21"/>
                <w:highlight w:val="none"/>
                <w:u w:val="single"/>
              </w:rPr>
              <w:t>10</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投标人未按规定的格式及内容要求签署《对投标文件编制的承诺》</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eastAsia="Times New Roman"/>
                <w:color w:val="auto"/>
                <w:szCs w:val="21"/>
                <w:highlight w:val="none"/>
                <w:u w:val="single"/>
              </w:rPr>
            </w:pPr>
            <w:r>
              <w:rPr>
                <w:rFonts w:hint="eastAsia" w:ascii="宋体" w:hAnsi="宋体" w:eastAsia="Times New Roman"/>
                <w:color w:val="auto"/>
                <w:szCs w:val="21"/>
                <w:highlight w:val="none"/>
                <w:u w:val="single"/>
              </w:rPr>
              <w:t>1</w:t>
            </w:r>
            <w:r>
              <w:rPr>
                <w:rFonts w:ascii="宋体" w:hAnsi="宋体" w:eastAsia="Times New Roman"/>
                <w:color w:val="auto"/>
                <w:szCs w:val="21"/>
                <w:highlight w:val="none"/>
                <w:u w:val="single"/>
              </w:rPr>
              <w:t>1</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投标人未按规定的格式及内容要求签署《承诺书》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eastAsia="Times New Roman"/>
                <w:color w:val="auto"/>
                <w:szCs w:val="21"/>
                <w:highlight w:val="none"/>
                <w:u w:val="single"/>
              </w:rPr>
            </w:pPr>
            <w:r>
              <w:rPr>
                <w:rFonts w:ascii="宋体" w:hAnsi="宋体" w:eastAsia="Times New Roman"/>
                <w:color w:val="auto"/>
                <w:szCs w:val="21"/>
                <w:highlight w:val="none"/>
                <w:u w:val="single"/>
              </w:rPr>
              <w:t>12</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olor w:val="auto"/>
                <w:szCs w:val="21"/>
                <w:highlight w:val="none"/>
                <w:u w:val="single"/>
              </w:rPr>
            </w:pPr>
            <w:r>
              <w:rPr>
                <w:rFonts w:hint="eastAsia" w:ascii="宋体" w:hAnsi="宋体"/>
                <w:color w:val="auto"/>
                <w:szCs w:val="21"/>
                <w:highlight w:val="none"/>
                <w:u w:val="single"/>
              </w:rPr>
              <w:t>13</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u w:val="single"/>
              </w:rPr>
              <w:t>投标人未按规定的格式及内容要求签署《危险性较大的分部分项工程清单及超过一定规模的危险性较大的分部分项工程清单》</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olor w:val="auto"/>
                <w:szCs w:val="21"/>
                <w:highlight w:val="none"/>
                <w:u w:val="single"/>
              </w:rPr>
            </w:pPr>
            <w:r>
              <w:rPr>
                <w:rFonts w:hint="eastAsia" w:ascii="宋体" w:hAnsi="宋体" w:eastAsia="Times New Roman"/>
                <w:color w:val="auto"/>
                <w:szCs w:val="21"/>
                <w:highlight w:val="none"/>
                <w:u w:val="single"/>
              </w:rPr>
              <w:t>1</w:t>
            </w:r>
            <w:r>
              <w:rPr>
                <w:rFonts w:hint="eastAsia" w:ascii="宋体" w:hAnsi="宋体"/>
                <w:color w:val="auto"/>
                <w:szCs w:val="21"/>
                <w:highlight w:val="none"/>
                <w:u w:val="single"/>
              </w:rPr>
              <w:t>4</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u w:val="single"/>
              </w:rPr>
              <w:t>投标人未按规定的格式及内容要求签署《关于投标保证金的承诺》</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olor w:val="auto"/>
                <w:szCs w:val="21"/>
                <w:highlight w:val="none"/>
                <w:u w:val="single"/>
              </w:rPr>
            </w:pPr>
            <w:r>
              <w:rPr>
                <w:rFonts w:hint="eastAsia" w:ascii="宋体" w:hAnsi="宋体" w:eastAsia="Times New Roman"/>
                <w:color w:val="auto"/>
                <w:szCs w:val="21"/>
                <w:highlight w:val="none"/>
                <w:u w:val="single"/>
              </w:rPr>
              <w:t>1</w:t>
            </w:r>
            <w:r>
              <w:rPr>
                <w:rFonts w:hint="eastAsia" w:ascii="宋体" w:hAnsi="宋体"/>
                <w:color w:val="auto"/>
                <w:szCs w:val="21"/>
                <w:highlight w:val="none"/>
                <w:u w:val="single"/>
              </w:rPr>
              <w:t>5</w:t>
            </w:r>
          </w:p>
        </w:tc>
        <w:tc>
          <w:tcPr>
            <w:tcW w:w="437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eastAsia="Times New Roman"/>
                <w:color w:val="auto"/>
                <w:szCs w:val="21"/>
                <w:highlight w:val="none"/>
              </w:rPr>
            </w:pPr>
            <w:r>
              <w:rPr>
                <w:rFonts w:hint="eastAsia" w:ascii="宋体" w:hAnsi="宋体" w:eastAsia="Times New Roman"/>
                <w:color w:val="auto"/>
                <w:szCs w:val="21"/>
                <w:highlight w:val="none"/>
              </w:rPr>
              <w:t>投标人与其他投标人加密打包投标文件电脑机器特征码一致的(以</w:t>
            </w:r>
            <w:r>
              <w:rPr>
                <w:rFonts w:hint="eastAsia" w:ascii="宋体" w:hAnsi="宋体" w:eastAsia="Times New Roman"/>
                <w:color w:val="auto"/>
                <w:szCs w:val="21"/>
                <w:highlight w:val="none"/>
                <w:u w:val="single"/>
              </w:rPr>
              <w:t>广州</w:t>
            </w:r>
            <w:r>
              <w:rPr>
                <w:rFonts w:ascii="宋体" w:hAnsi="宋体" w:eastAsia="Times New Roman"/>
                <w:color w:val="auto"/>
                <w:szCs w:val="21"/>
                <w:highlight w:val="none"/>
                <w:u w:val="single"/>
              </w:rPr>
              <w:t>公共资源交易中心</w:t>
            </w:r>
            <w:r>
              <w:rPr>
                <w:rFonts w:hint="eastAsia" w:ascii="宋体" w:hAnsi="宋体" w:eastAsia="Times New Roman"/>
                <w:color w:val="auto"/>
                <w:szCs w:val="21"/>
                <w:highlight w:val="none"/>
              </w:rPr>
              <w:t>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eastAsia="Times New Roman"/>
                <w:color w:val="auto"/>
                <w:szCs w:val="21"/>
                <w:highlight w:val="none"/>
              </w:rPr>
            </w:pPr>
          </w:p>
        </w:tc>
      </w:tr>
    </w:tbl>
    <w:p>
      <w:pPr>
        <w:widowControl/>
        <w:jc w:val="left"/>
        <w:rPr>
          <w:rFonts w:cs="宋体" w:asciiTheme="minorEastAsia" w:hAnsiTheme="minorEastAsia" w:eastAsiaTheme="minorEastAsia"/>
          <w:bCs/>
          <w:color w:val="auto"/>
          <w:kern w:val="0"/>
          <w:sz w:val="22"/>
          <w:highlight w:val="none"/>
        </w:rPr>
      </w:pPr>
      <w:r>
        <w:rPr>
          <w:rFonts w:hint="eastAsia" w:cs="宋体" w:asciiTheme="minorEastAsia" w:hAnsiTheme="minorEastAsia" w:eastAsiaTheme="minorEastAsia"/>
          <w:bCs/>
          <w:color w:val="auto"/>
          <w:kern w:val="0"/>
          <w:sz w:val="22"/>
          <w:highlight w:val="none"/>
        </w:rPr>
        <w:t>注：</w:t>
      </w:r>
      <w:r>
        <w:rPr>
          <w:rFonts w:cs="宋体" w:asciiTheme="minorEastAsia" w:hAnsiTheme="minorEastAsia" w:eastAsiaTheme="minorEastAsia"/>
          <w:bCs/>
          <w:color w:val="auto"/>
          <w:kern w:val="0"/>
          <w:sz w:val="22"/>
          <w:highlight w:val="none"/>
        </w:rPr>
        <w:t>1.本表使用GZZB2018-3招标文件范本，与范本内容不同之处均以下划线标明。技术标评审中，响应性、承诺性内容不应作为评分因素，可在该表中对上述内容进行符合性审查。审查标准须具备可操作性。</w:t>
      </w:r>
    </w:p>
    <w:p>
      <w:pPr>
        <w:widowControl/>
        <w:jc w:val="left"/>
        <w:rPr>
          <w:rFonts w:cs="宋体" w:asciiTheme="minorEastAsia" w:hAnsiTheme="minorEastAsia" w:eastAsiaTheme="minorEastAsia"/>
          <w:bCs/>
          <w:color w:val="auto"/>
          <w:kern w:val="0"/>
          <w:sz w:val="22"/>
          <w:highlight w:val="none"/>
        </w:rPr>
      </w:pPr>
      <w:r>
        <w:rPr>
          <w:rFonts w:cs="宋体" w:asciiTheme="minorEastAsia" w:hAnsiTheme="minorEastAsia" w:eastAsiaTheme="minorEastAsia"/>
          <w:bCs/>
          <w:color w:val="auto"/>
          <w:kern w:val="0"/>
          <w:sz w:val="22"/>
          <w:highlight w:val="none"/>
        </w:rPr>
        <w:t>2.</w:t>
      </w:r>
      <w:r>
        <w:rPr>
          <w:rFonts w:cs="宋体" w:asciiTheme="minorEastAsia" w:hAnsiTheme="minorEastAsia" w:eastAsiaTheme="minorEastAsia"/>
          <w:b/>
          <w:bCs/>
          <w:color w:val="auto"/>
          <w:kern w:val="0"/>
          <w:sz w:val="22"/>
          <w:highlight w:val="none"/>
        </w:rPr>
        <w:t>不得将</w:t>
      </w:r>
      <w:r>
        <w:rPr>
          <w:rFonts w:hint="eastAsia" w:cs="宋体" w:asciiTheme="minorEastAsia" w:hAnsiTheme="minorEastAsia" w:eastAsiaTheme="minorEastAsia"/>
          <w:b/>
          <w:bCs/>
          <w:color w:val="auto"/>
          <w:kern w:val="0"/>
          <w:sz w:val="22"/>
          <w:highlight w:val="none"/>
        </w:rPr>
        <w:t>文件顺序、</w:t>
      </w:r>
      <w:r>
        <w:rPr>
          <w:rFonts w:cs="宋体" w:asciiTheme="minorEastAsia" w:hAnsiTheme="minorEastAsia" w:eastAsiaTheme="minorEastAsia"/>
          <w:b/>
          <w:bCs/>
          <w:color w:val="auto"/>
          <w:kern w:val="0"/>
          <w:sz w:val="22"/>
          <w:highlight w:val="none"/>
        </w:rPr>
        <w:t>明显的文字错误等列为否</w:t>
      </w:r>
      <w:r>
        <w:rPr>
          <w:rFonts w:hint="eastAsia" w:cs="宋体" w:asciiTheme="minorEastAsia" w:hAnsiTheme="minorEastAsia" w:eastAsiaTheme="minorEastAsia"/>
          <w:b/>
          <w:bCs/>
          <w:color w:val="auto"/>
          <w:kern w:val="0"/>
          <w:sz w:val="22"/>
          <w:highlight w:val="none"/>
        </w:rPr>
        <w:t>决</w:t>
      </w:r>
      <w:r>
        <w:rPr>
          <w:rFonts w:cs="宋体" w:asciiTheme="minorEastAsia" w:hAnsiTheme="minorEastAsia" w:eastAsiaTheme="minorEastAsia"/>
          <w:b/>
          <w:bCs/>
          <w:color w:val="auto"/>
          <w:kern w:val="0"/>
          <w:sz w:val="22"/>
          <w:highlight w:val="none"/>
        </w:rPr>
        <w:t>投标的</w:t>
      </w:r>
      <w:r>
        <w:rPr>
          <w:rFonts w:hint="eastAsia" w:cs="宋体" w:asciiTheme="minorEastAsia" w:hAnsiTheme="minorEastAsia" w:eastAsiaTheme="minorEastAsia"/>
          <w:b/>
          <w:bCs/>
          <w:color w:val="auto"/>
          <w:kern w:val="0"/>
          <w:sz w:val="22"/>
          <w:highlight w:val="none"/>
        </w:rPr>
        <w:t>情形。评委</w:t>
      </w:r>
      <w:r>
        <w:rPr>
          <w:rFonts w:cs="宋体" w:asciiTheme="minorEastAsia" w:hAnsiTheme="minorEastAsia" w:eastAsiaTheme="minorEastAsia"/>
          <w:b/>
          <w:bCs/>
          <w:color w:val="auto"/>
          <w:kern w:val="0"/>
          <w:sz w:val="22"/>
          <w:highlight w:val="none"/>
        </w:rPr>
        <w:t>发现投标</w:t>
      </w:r>
      <w:r>
        <w:rPr>
          <w:rFonts w:hint="eastAsia" w:cs="宋体" w:asciiTheme="minorEastAsia" w:hAnsiTheme="minorEastAsia" w:eastAsiaTheme="minorEastAsia"/>
          <w:b/>
          <w:bCs/>
          <w:color w:val="auto"/>
          <w:kern w:val="0"/>
          <w:sz w:val="22"/>
          <w:highlight w:val="none"/>
        </w:rPr>
        <w:t>文件</w:t>
      </w:r>
      <w:r>
        <w:rPr>
          <w:rFonts w:cs="宋体" w:asciiTheme="minorEastAsia" w:hAnsiTheme="minorEastAsia" w:eastAsiaTheme="minorEastAsia"/>
          <w:b/>
          <w:bCs/>
          <w:color w:val="auto"/>
          <w:kern w:val="0"/>
          <w:sz w:val="22"/>
          <w:highlight w:val="none"/>
        </w:rPr>
        <w:t>中</w:t>
      </w:r>
      <w:r>
        <w:rPr>
          <w:rFonts w:hint="eastAsia" w:cs="宋体" w:asciiTheme="minorEastAsia" w:hAnsiTheme="minorEastAsia" w:eastAsiaTheme="minorEastAsia"/>
          <w:b/>
          <w:bCs/>
          <w:color w:val="auto"/>
          <w:kern w:val="0"/>
          <w:sz w:val="22"/>
          <w:highlight w:val="none"/>
        </w:rPr>
        <w:t>含义不明确</w:t>
      </w:r>
      <w:r>
        <w:rPr>
          <w:rFonts w:cs="宋体" w:asciiTheme="minorEastAsia" w:hAnsiTheme="minorEastAsia" w:eastAsiaTheme="minorEastAsia"/>
          <w:b/>
          <w:bCs/>
          <w:color w:val="auto"/>
          <w:kern w:val="0"/>
          <w:sz w:val="22"/>
          <w:highlight w:val="none"/>
        </w:rPr>
        <w:t>、对同类问题表述不一致、有明显</w:t>
      </w:r>
      <w:r>
        <w:rPr>
          <w:rFonts w:hint="eastAsia" w:cs="宋体" w:asciiTheme="minorEastAsia" w:hAnsiTheme="minorEastAsia" w:eastAsiaTheme="minorEastAsia"/>
          <w:b/>
          <w:bCs/>
          <w:color w:val="auto"/>
          <w:kern w:val="0"/>
          <w:sz w:val="22"/>
          <w:highlight w:val="none"/>
        </w:rPr>
        <w:t>文字</w:t>
      </w:r>
      <w:r>
        <w:rPr>
          <w:rFonts w:cs="宋体" w:asciiTheme="minorEastAsia" w:hAnsiTheme="minorEastAsia" w:eastAsiaTheme="minorEastAsia"/>
          <w:b/>
          <w:bCs/>
          <w:color w:val="auto"/>
          <w:kern w:val="0"/>
          <w:sz w:val="22"/>
          <w:highlight w:val="none"/>
        </w:rPr>
        <w:t>和计算错误</w:t>
      </w:r>
      <w:r>
        <w:rPr>
          <w:rFonts w:hint="eastAsia" w:cs="宋体" w:asciiTheme="minorEastAsia" w:hAnsiTheme="minorEastAsia" w:eastAsiaTheme="minorEastAsia"/>
          <w:b/>
          <w:bCs/>
          <w:color w:val="auto"/>
          <w:kern w:val="0"/>
          <w:sz w:val="22"/>
          <w:highlight w:val="none"/>
        </w:rPr>
        <w:t>的，</w:t>
      </w:r>
      <w:r>
        <w:rPr>
          <w:rFonts w:cs="宋体" w:asciiTheme="minorEastAsia" w:hAnsiTheme="minorEastAsia" w:eastAsiaTheme="minorEastAsia"/>
          <w:b/>
          <w:bCs/>
          <w:color w:val="auto"/>
          <w:kern w:val="0"/>
          <w:sz w:val="22"/>
          <w:highlight w:val="none"/>
        </w:rPr>
        <w:t>应当</w:t>
      </w:r>
      <w:r>
        <w:rPr>
          <w:rFonts w:hint="eastAsia" w:cs="宋体" w:asciiTheme="minorEastAsia" w:hAnsiTheme="minorEastAsia" w:eastAsiaTheme="minorEastAsia"/>
          <w:b/>
          <w:bCs/>
          <w:color w:val="auto"/>
          <w:kern w:val="0"/>
          <w:sz w:val="22"/>
          <w:highlight w:val="none"/>
        </w:rPr>
        <w:t>要求</w:t>
      </w:r>
      <w:r>
        <w:rPr>
          <w:rFonts w:cs="宋体" w:asciiTheme="minorEastAsia" w:hAnsiTheme="minorEastAsia" w:eastAsiaTheme="minorEastAsia"/>
          <w:b/>
          <w:bCs/>
          <w:color w:val="auto"/>
          <w:kern w:val="0"/>
          <w:sz w:val="22"/>
          <w:highlight w:val="none"/>
        </w:rPr>
        <w:t>投标人作必要的澄清、说明</w:t>
      </w:r>
      <w:r>
        <w:rPr>
          <w:rFonts w:hint="eastAsia" w:cs="宋体" w:asciiTheme="minorEastAsia" w:hAnsiTheme="minorEastAsia" w:eastAsiaTheme="minorEastAsia"/>
          <w:b/>
          <w:bCs/>
          <w:color w:val="auto"/>
          <w:kern w:val="0"/>
          <w:sz w:val="22"/>
          <w:highlight w:val="none"/>
        </w:rPr>
        <w:t>后再判定投标人是否通过有效性审查</w:t>
      </w:r>
      <w:r>
        <w:rPr>
          <w:rFonts w:cs="宋体" w:asciiTheme="minorEastAsia" w:hAnsiTheme="minorEastAsia" w:eastAsiaTheme="minorEastAsia"/>
          <w:b/>
          <w:bCs/>
          <w:color w:val="auto"/>
          <w:kern w:val="0"/>
          <w:sz w:val="22"/>
          <w:highlight w:val="none"/>
        </w:rPr>
        <w:t>，不得直接否决投标</w:t>
      </w:r>
      <w:r>
        <w:rPr>
          <w:rFonts w:hint="eastAsia" w:cs="宋体" w:asciiTheme="minorEastAsia" w:hAnsiTheme="minorEastAsia" w:eastAsiaTheme="minorEastAsia"/>
          <w:b/>
          <w:bCs/>
          <w:color w:val="auto"/>
          <w:kern w:val="0"/>
          <w:sz w:val="22"/>
          <w:highlight w:val="none"/>
        </w:rPr>
        <w:t>，</w:t>
      </w:r>
      <w:r>
        <w:rPr>
          <w:rFonts w:hint="eastAsia" w:cs="宋体" w:asciiTheme="minorEastAsia" w:hAnsiTheme="minorEastAsia" w:eastAsiaTheme="minorEastAsia"/>
          <w:bCs/>
          <w:color w:val="auto"/>
          <w:kern w:val="0"/>
          <w:sz w:val="22"/>
          <w:highlight w:val="none"/>
        </w:rPr>
        <w:t>若出现评标委员会否决投标的，应在评标报告中载明否决投标的具体情形、原因；</w:t>
      </w:r>
    </w:p>
    <w:p>
      <w:pPr>
        <w:widowControl/>
        <w:jc w:val="left"/>
        <w:rPr>
          <w:rFonts w:cs="宋体" w:asciiTheme="minorEastAsia" w:hAnsiTheme="minorEastAsia" w:eastAsiaTheme="minorEastAsia"/>
          <w:bCs/>
          <w:color w:val="auto"/>
          <w:kern w:val="0"/>
          <w:sz w:val="22"/>
          <w:highlight w:val="none"/>
        </w:rPr>
      </w:pPr>
      <w:r>
        <w:rPr>
          <w:rFonts w:cs="宋体" w:asciiTheme="minorEastAsia" w:hAnsiTheme="minorEastAsia" w:eastAsiaTheme="minorEastAsia"/>
          <w:bCs/>
          <w:color w:val="auto"/>
          <w:kern w:val="0"/>
          <w:sz w:val="22"/>
          <w:highlight w:val="none"/>
        </w:rPr>
        <w:t>3.凡出现以上任何一项情形，结论均为无效，否则就为有效。</w:t>
      </w:r>
    </w:p>
    <w:p>
      <w:pPr>
        <w:ind w:firstLine="440"/>
        <w:rPr>
          <w:rFonts w:asciiTheme="minorEastAsia" w:hAnsiTheme="minorEastAsia" w:eastAsiaTheme="minorEastAsia"/>
          <w:color w:val="auto"/>
          <w:szCs w:val="21"/>
          <w:highlight w:val="none"/>
        </w:rPr>
      </w:pPr>
      <w:r>
        <w:rPr>
          <w:rFonts w:cs="宋体" w:asciiTheme="minorEastAsia" w:hAnsiTheme="minorEastAsia" w:eastAsiaTheme="minorEastAsia"/>
          <w:bCs/>
          <w:color w:val="auto"/>
          <w:kern w:val="0"/>
          <w:sz w:val="22"/>
          <w:highlight w:val="none"/>
        </w:rPr>
        <w:t>4.如对本表中某种情形的评审意见不一致时，以评标委员会过半数成员的意见作为评标委员会对该情形的认定结论。</w:t>
      </w:r>
    </w:p>
    <w:p>
      <w:pPr>
        <w:rPr>
          <w:rFonts w:asciiTheme="minorEastAsia" w:hAnsiTheme="minorEastAsia" w:eastAsiaTheme="minorEastAsia"/>
          <w:color w:val="auto"/>
          <w:szCs w:val="21"/>
          <w:highlight w:val="none"/>
        </w:rPr>
      </w:pPr>
    </w:p>
    <w:p>
      <w:pP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评委签名：</w:t>
      </w:r>
    </w:p>
    <w:p>
      <w:pPr>
        <w:rPr>
          <w:color w:val="auto"/>
          <w:szCs w:val="21"/>
          <w:highlight w:val="none"/>
        </w:rPr>
      </w:pPr>
      <w:r>
        <w:rPr>
          <w:color w:val="auto"/>
          <w:highlight w:val="none"/>
        </w:rPr>
        <w:br w:type="page"/>
      </w:r>
      <w:r>
        <w:rPr>
          <w:rFonts w:hint="eastAsia"/>
          <w:color w:val="auto"/>
          <w:szCs w:val="21"/>
          <w:highlight w:val="none"/>
        </w:rPr>
        <w:t>附表三</w:t>
      </w:r>
    </w:p>
    <w:p>
      <w:pPr>
        <w:jc w:val="center"/>
        <w:rPr>
          <w:b/>
          <w:color w:val="auto"/>
          <w:sz w:val="36"/>
          <w:szCs w:val="36"/>
          <w:highlight w:val="none"/>
        </w:rPr>
      </w:pPr>
      <w:r>
        <w:rPr>
          <w:rFonts w:hint="eastAsia"/>
          <w:b/>
          <w:color w:val="auto"/>
          <w:sz w:val="36"/>
          <w:szCs w:val="36"/>
          <w:highlight w:val="none"/>
        </w:rPr>
        <w:t>经济标有效性审查表</w:t>
      </w:r>
    </w:p>
    <w:p>
      <w:pPr>
        <w:rPr>
          <w:color w:val="auto"/>
          <w:szCs w:val="21"/>
          <w:highlight w:val="none"/>
        </w:rPr>
      </w:pPr>
      <w:r>
        <w:rPr>
          <w:rFonts w:hint="eastAsia"/>
          <w:color w:val="auto"/>
          <w:szCs w:val="21"/>
          <w:highlight w:val="none"/>
        </w:rPr>
        <w:t>工程名称：</w:t>
      </w:r>
    </w:p>
    <w:tbl>
      <w:tblPr>
        <w:tblStyle w:val="50"/>
        <w:tblW w:w="148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6124"/>
        <w:gridCol w:w="1367"/>
        <w:gridCol w:w="1391"/>
        <w:gridCol w:w="1167"/>
        <w:gridCol w:w="1383"/>
        <w:gridCol w:w="1384"/>
        <w:gridCol w:w="1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6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序号</w:t>
            </w:r>
          </w:p>
        </w:tc>
        <w:tc>
          <w:tcPr>
            <w:tcW w:w="6124"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eastAsia="Times New Roman"/>
                <w:color w:val="auto"/>
                <w:szCs w:val="21"/>
                <w:highlight w:val="none"/>
              </w:rPr>
            </w:pPr>
            <w:r>
              <w:rPr>
                <w:rFonts w:ascii="宋体" w:hAnsi="宋体" w:eastAsia="Times New Roman"/>
                <w:color w:val="auto"/>
                <w:szCs w:val="21"/>
                <w:highlight w:val="none"/>
              </w:rPr>
              <w:t xml:space="preserve">               </w:t>
            </w:r>
            <w:r>
              <w:rPr>
                <w:rFonts w:hint="eastAsia" w:ascii="宋体" w:hAnsi="宋体" w:eastAsia="Times New Roman"/>
                <w:color w:val="auto"/>
                <w:szCs w:val="21"/>
                <w:highlight w:val="none"/>
              </w:rPr>
              <w:t>投标人</w:t>
            </w:r>
          </w:p>
          <w:p>
            <w:pPr>
              <w:rPr>
                <w:rFonts w:ascii="宋体" w:hAnsi="宋体" w:eastAsia="Times New Roman"/>
                <w:color w:val="auto"/>
                <w:szCs w:val="21"/>
                <w:highlight w:val="none"/>
              </w:rPr>
            </w:pPr>
          </w:p>
          <w:p>
            <w:pPr>
              <w:rPr>
                <w:rFonts w:ascii="宋体" w:hAnsi="宋体" w:eastAsia="Times New Roman"/>
                <w:color w:val="auto"/>
                <w:szCs w:val="21"/>
                <w:highlight w:val="none"/>
              </w:rPr>
            </w:pPr>
            <w:r>
              <w:rPr>
                <w:rFonts w:hint="eastAsia" w:ascii="宋体" w:hAnsi="宋体" w:eastAsia="Times New Roman"/>
                <w:color w:val="auto"/>
                <w:szCs w:val="21"/>
                <w:highlight w:val="none"/>
              </w:rPr>
              <w:t>评审内容</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1</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2</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u w:val="single"/>
              </w:rPr>
            </w:pPr>
            <w:r>
              <w:rPr>
                <w:rFonts w:hint="eastAsia" w:ascii="宋体" w:hAnsi="宋体"/>
                <w:color w:val="auto"/>
                <w:szCs w:val="21"/>
                <w:highlight w:val="none"/>
                <w:u w:val="single"/>
              </w:rPr>
              <w:t>投标总报价高于最高投标限价或投标报价中任一项投标综合单价高于最高投标限价公布函或工程量清单（综合单价限价）文件中相应的综合单价最高价；</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3</w:t>
            </w:r>
          </w:p>
        </w:tc>
        <w:tc>
          <w:tcPr>
            <w:tcW w:w="61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olor w:val="auto"/>
                <w:szCs w:val="21"/>
                <w:highlight w:val="none"/>
                <w:u w:val="single"/>
              </w:rPr>
            </w:pPr>
            <w:r>
              <w:rPr>
                <w:rFonts w:hint="eastAsia" w:ascii="宋体" w:hAnsi="宋体"/>
                <w:color w:val="auto"/>
                <w:szCs w:val="21"/>
                <w:highlight w:val="none"/>
                <w:u w:val="single"/>
              </w:rPr>
              <w:t>投标报价低于工程成本警戒价的；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4</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hint="eastAsia" w:ascii="宋体" w:hAnsi="宋体" w:eastAsia="Times New Roman"/>
                <w:color w:val="auto"/>
                <w:szCs w:val="21"/>
                <w:highlight w:val="none"/>
              </w:rPr>
              <w:t>5</w:t>
            </w:r>
          </w:p>
        </w:tc>
        <w:tc>
          <w:tcPr>
            <w:tcW w:w="612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olor w:val="auto"/>
                <w:szCs w:val="21"/>
                <w:highlight w:val="none"/>
                <w:u w:val="single"/>
                <w:lang w:eastAsia="zh-CN"/>
              </w:rPr>
            </w:pPr>
            <w:r>
              <w:rPr>
                <w:rFonts w:hint="eastAsia" w:ascii="宋体" w:hAnsi="宋体"/>
                <w:color w:val="auto"/>
                <w:szCs w:val="21"/>
                <w:highlight w:val="none"/>
                <w:u w:val="single"/>
              </w:rPr>
              <w:t>投标报价中对招标文件规定的绿色施工安全防护措施费进行浮动或改变；</w:t>
            </w:r>
            <w:r>
              <w:rPr>
                <w:rFonts w:hint="eastAsia" w:ascii="宋体" w:hAnsi="宋体"/>
                <w:color w:val="auto"/>
                <w:szCs w:val="21"/>
                <w:highlight w:val="none"/>
                <w:u w:val="single"/>
                <w:lang w:eastAsia="zh-CN"/>
              </w:rPr>
              <w:t>由评标委员会按照招标文件规定的金额进行修正后，投标人不接受修正后的报价。</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6</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投标文件未按规定的格式填写，或主要内容不全，或关键字迹模糊、无法辨认的；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7</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olor w:val="auto"/>
                <w:szCs w:val="21"/>
                <w:highlight w:val="none"/>
                <w:u w:val="single"/>
              </w:rPr>
              <w:t>广州</w:t>
            </w:r>
            <w:r>
              <w:rPr>
                <w:rFonts w:ascii="宋体" w:hAnsi="宋体"/>
                <w:color w:val="auto"/>
                <w:szCs w:val="21"/>
                <w:highlight w:val="none"/>
                <w:u w:val="single"/>
              </w:rPr>
              <w:t>公共资源交易中心</w:t>
            </w:r>
            <w:r>
              <w:rPr>
                <w:rFonts w:hint="eastAsia" w:ascii="宋体" w:hAnsi="宋体"/>
                <w:color w:val="auto"/>
                <w:szCs w:val="21"/>
                <w:highlight w:val="none"/>
              </w:rPr>
              <w:t>交易平台评标系统的检索信息为准)</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8</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9</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无《参与编制经济标投标文件人员名单》的；</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6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Times New Roman"/>
                <w:color w:val="auto"/>
                <w:szCs w:val="21"/>
                <w:highlight w:val="none"/>
              </w:rPr>
            </w:pPr>
            <w:r>
              <w:rPr>
                <w:rFonts w:ascii="宋体" w:hAnsi="宋体" w:eastAsia="Times New Roman"/>
                <w:color w:val="auto"/>
                <w:szCs w:val="21"/>
                <w:highlight w:val="none"/>
              </w:rPr>
              <w:t>10</w:t>
            </w:r>
          </w:p>
        </w:tc>
        <w:tc>
          <w:tcPr>
            <w:tcW w:w="612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91"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167"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3"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c>
          <w:tcPr>
            <w:tcW w:w="1384" w:type="dxa"/>
            <w:tcBorders>
              <w:top w:val="single" w:color="auto" w:sz="4" w:space="0"/>
              <w:left w:val="single" w:color="auto" w:sz="4" w:space="0"/>
              <w:bottom w:val="single" w:color="auto" w:sz="4" w:space="0"/>
              <w:right w:val="single" w:color="auto" w:sz="4" w:space="0"/>
            </w:tcBorders>
          </w:tcPr>
          <w:p>
            <w:pPr>
              <w:rPr>
                <w:rFonts w:ascii="宋体" w:hAnsi="宋体" w:eastAsia="Times New Roman"/>
                <w:color w:val="auto"/>
                <w:szCs w:val="21"/>
                <w:highlight w:val="none"/>
              </w:rPr>
            </w:pPr>
          </w:p>
        </w:tc>
      </w:tr>
    </w:tbl>
    <w:p>
      <w:pPr>
        <w:widowControl/>
        <w:jc w:val="left"/>
        <w:rPr>
          <w:rFonts w:cs="宋体" w:asciiTheme="minorEastAsia" w:hAnsiTheme="minorEastAsia" w:eastAsiaTheme="minorEastAsia"/>
          <w:bCs/>
          <w:color w:val="auto"/>
          <w:kern w:val="0"/>
          <w:sz w:val="22"/>
          <w:highlight w:val="none"/>
        </w:rPr>
      </w:pPr>
      <w:r>
        <w:rPr>
          <w:rFonts w:hint="eastAsia" w:cs="宋体" w:asciiTheme="minorEastAsia" w:hAnsiTheme="minorEastAsia" w:eastAsiaTheme="minorEastAsia"/>
          <w:bCs/>
          <w:color w:val="auto"/>
          <w:kern w:val="0"/>
          <w:sz w:val="22"/>
          <w:highlight w:val="none"/>
        </w:rPr>
        <w:t>注：</w:t>
      </w:r>
      <w:r>
        <w:rPr>
          <w:rFonts w:cs="宋体" w:asciiTheme="minorEastAsia" w:hAnsiTheme="minorEastAsia" w:eastAsiaTheme="minorEastAsia"/>
          <w:bCs/>
          <w:color w:val="auto"/>
          <w:kern w:val="0"/>
          <w:sz w:val="22"/>
          <w:highlight w:val="none"/>
        </w:rPr>
        <w:t>1.本表使用GZZB2018-3招标文件范本，与范本内容不同之处均以下划线标明。</w:t>
      </w:r>
    </w:p>
    <w:p>
      <w:pPr>
        <w:widowControl/>
        <w:jc w:val="left"/>
        <w:rPr>
          <w:rFonts w:cs="宋体" w:asciiTheme="minorEastAsia" w:hAnsiTheme="minorEastAsia" w:eastAsiaTheme="minorEastAsia"/>
          <w:bCs/>
          <w:color w:val="auto"/>
          <w:kern w:val="0"/>
          <w:sz w:val="22"/>
          <w:highlight w:val="none"/>
        </w:rPr>
      </w:pPr>
      <w:r>
        <w:rPr>
          <w:rFonts w:cs="宋体" w:asciiTheme="minorEastAsia" w:hAnsiTheme="minorEastAsia" w:eastAsiaTheme="minorEastAsia"/>
          <w:bCs/>
          <w:color w:val="auto"/>
          <w:kern w:val="0"/>
          <w:sz w:val="22"/>
          <w:highlight w:val="none"/>
        </w:rPr>
        <w:t>2.凡出现以上任何一项情形，结论均为无效，否则就为有效。</w:t>
      </w:r>
    </w:p>
    <w:p>
      <w:pPr>
        <w:widowControl/>
        <w:jc w:val="left"/>
        <w:rPr>
          <w:rFonts w:cs="宋体" w:asciiTheme="minorEastAsia" w:hAnsiTheme="minorEastAsia" w:eastAsiaTheme="minorEastAsia"/>
          <w:bCs/>
          <w:color w:val="auto"/>
          <w:kern w:val="0"/>
          <w:sz w:val="22"/>
          <w:highlight w:val="none"/>
        </w:rPr>
      </w:pPr>
      <w:r>
        <w:rPr>
          <w:rFonts w:cs="宋体" w:asciiTheme="minorEastAsia" w:hAnsiTheme="minorEastAsia" w:eastAsiaTheme="minorEastAsia"/>
          <w:bCs/>
          <w:color w:val="auto"/>
          <w:kern w:val="0"/>
          <w:sz w:val="22"/>
          <w:highlight w:val="none"/>
        </w:rPr>
        <w:t>3.如对本表中某种情形的评审意见不一致时，以评标委员会过半数成员的意见作为评标委员会对该情形的认定结论。</w:t>
      </w:r>
    </w:p>
    <w:p>
      <w:pPr>
        <w:rPr>
          <w:rFonts w:ascii="宋体" w:hAnsi="宋体"/>
          <w:color w:val="auto"/>
          <w:szCs w:val="21"/>
          <w:highlight w:val="none"/>
        </w:rPr>
      </w:pPr>
      <w:r>
        <w:rPr>
          <w:rFonts w:asciiTheme="minorEastAsia" w:hAnsiTheme="minorEastAsia" w:eastAsiaTheme="minorEastAsia"/>
          <w:color w:val="auto"/>
          <w:highlight w:val="none"/>
        </w:rPr>
        <w:t>4.</w:t>
      </w:r>
      <w:r>
        <w:rPr>
          <w:rFonts w:cs="宋体" w:asciiTheme="minorEastAsia" w:hAnsiTheme="minorEastAsia" w:eastAsiaTheme="minorEastAsia"/>
          <w:b/>
          <w:bCs/>
          <w:color w:val="auto"/>
          <w:kern w:val="0"/>
          <w:sz w:val="22"/>
          <w:highlight w:val="none"/>
        </w:rPr>
        <w:t>不得将</w:t>
      </w:r>
      <w:r>
        <w:rPr>
          <w:rFonts w:hint="eastAsia" w:cs="宋体" w:asciiTheme="minorEastAsia" w:hAnsiTheme="minorEastAsia" w:eastAsiaTheme="minorEastAsia"/>
          <w:b/>
          <w:bCs/>
          <w:color w:val="auto"/>
          <w:kern w:val="0"/>
          <w:sz w:val="22"/>
          <w:highlight w:val="none"/>
        </w:rPr>
        <w:t>文件顺序、</w:t>
      </w:r>
      <w:r>
        <w:rPr>
          <w:rFonts w:cs="宋体" w:asciiTheme="minorEastAsia" w:hAnsiTheme="minorEastAsia" w:eastAsiaTheme="minorEastAsia"/>
          <w:b/>
          <w:bCs/>
          <w:color w:val="auto"/>
          <w:kern w:val="0"/>
          <w:sz w:val="22"/>
          <w:highlight w:val="none"/>
        </w:rPr>
        <w:t>明显的文字错误等列为否</w:t>
      </w:r>
      <w:r>
        <w:rPr>
          <w:rFonts w:hint="eastAsia" w:cs="宋体" w:asciiTheme="minorEastAsia" w:hAnsiTheme="minorEastAsia" w:eastAsiaTheme="minorEastAsia"/>
          <w:b/>
          <w:bCs/>
          <w:color w:val="auto"/>
          <w:kern w:val="0"/>
          <w:sz w:val="22"/>
          <w:highlight w:val="none"/>
        </w:rPr>
        <w:t>决</w:t>
      </w:r>
      <w:r>
        <w:rPr>
          <w:rFonts w:cs="宋体" w:asciiTheme="minorEastAsia" w:hAnsiTheme="minorEastAsia" w:eastAsiaTheme="minorEastAsia"/>
          <w:b/>
          <w:bCs/>
          <w:color w:val="auto"/>
          <w:kern w:val="0"/>
          <w:sz w:val="22"/>
          <w:highlight w:val="none"/>
        </w:rPr>
        <w:t>投标的</w:t>
      </w:r>
      <w:r>
        <w:rPr>
          <w:rFonts w:hint="eastAsia" w:cs="宋体" w:asciiTheme="minorEastAsia" w:hAnsiTheme="minorEastAsia" w:eastAsiaTheme="minorEastAsia"/>
          <w:b/>
          <w:bCs/>
          <w:color w:val="auto"/>
          <w:kern w:val="0"/>
          <w:sz w:val="22"/>
          <w:highlight w:val="none"/>
        </w:rPr>
        <w:t>情形。评委</w:t>
      </w:r>
      <w:r>
        <w:rPr>
          <w:rFonts w:cs="宋体" w:asciiTheme="minorEastAsia" w:hAnsiTheme="minorEastAsia" w:eastAsiaTheme="minorEastAsia"/>
          <w:b/>
          <w:bCs/>
          <w:color w:val="auto"/>
          <w:kern w:val="0"/>
          <w:sz w:val="22"/>
          <w:highlight w:val="none"/>
        </w:rPr>
        <w:t>发现投标</w:t>
      </w:r>
      <w:r>
        <w:rPr>
          <w:rFonts w:hint="eastAsia" w:cs="宋体" w:asciiTheme="minorEastAsia" w:hAnsiTheme="minorEastAsia" w:eastAsiaTheme="minorEastAsia"/>
          <w:b/>
          <w:bCs/>
          <w:color w:val="auto"/>
          <w:kern w:val="0"/>
          <w:sz w:val="22"/>
          <w:highlight w:val="none"/>
        </w:rPr>
        <w:t>文件</w:t>
      </w:r>
      <w:r>
        <w:rPr>
          <w:rFonts w:cs="宋体" w:asciiTheme="minorEastAsia" w:hAnsiTheme="minorEastAsia" w:eastAsiaTheme="minorEastAsia"/>
          <w:b/>
          <w:bCs/>
          <w:color w:val="auto"/>
          <w:kern w:val="0"/>
          <w:sz w:val="22"/>
          <w:highlight w:val="none"/>
        </w:rPr>
        <w:t>中</w:t>
      </w:r>
      <w:r>
        <w:rPr>
          <w:rFonts w:hint="eastAsia" w:cs="宋体" w:asciiTheme="minorEastAsia" w:hAnsiTheme="minorEastAsia" w:eastAsiaTheme="minorEastAsia"/>
          <w:b/>
          <w:bCs/>
          <w:color w:val="auto"/>
          <w:kern w:val="0"/>
          <w:sz w:val="22"/>
          <w:highlight w:val="none"/>
        </w:rPr>
        <w:t>含义不明确</w:t>
      </w:r>
      <w:r>
        <w:rPr>
          <w:rFonts w:cs="宋体" w:asciiTheme="minorEastAsia" w:hAnsiTheme="minorEastAsia" w:eastAsiaTheme="minorEastAsia"/>
          <w:b/>
          <w:bCs/>
          <w:color w:val="auto"/>
          <w:kern w:val="0"/>
          <w:sz w:val="22"/>
          <w:highlight w:val="none"/>
        </w:rPr>
        <w:t>、对同类问题表述不一致、有明显</w:t>
      </w:r>
      <w:r>
        <w:rPr>
          <w:rFonts w:hint="eastAsia" w:cs="宋体" w:asciiTheme="minorEastAsia" w:hAnsiTheme="minorEastAsia" w:eastAsiaTheme="minorEastAsia"/>
          <w:b/>
          <w:bCs/>
          <w:color w:val="auto"/>
          <w:kern w:val="0"/>
          <w:sz w:val="22"/>
          <w:highlight w:val="none"/>
        </w:rPr>
        <w:t>文字</w:t>
      </w:r>
      <w:r>
        <w:rPr>
          <w:rFonts w:cs="宋体" w:asciiTheme="minorEastAsia" w:hAnsiTheme="minorEastAsia" w:eastAsiaTheme="minorEastAsia"/>
          <w:b/>
          <w:bCs/>
          <w:color w:val="auto"/>
          <w:kern w:val="0"/>
          <w:sz w:val="22"/>
          <w:highlight w:val="none"/>
        </w:rPr>
        <w:t>和计算错误</w:t>
      </w:r>
      <w:r>
        <w:rPr>
          <w:rFonts w:hint="eastAsia" w:cs="宋体" w:asciiTheme="minorEastAsia" w:hAnsiTheme="minorEastAsia" w:eastAsiaTheme="minorEastAsia"/>
          <w:b/>
          <w:bCs/>
          <w:color w:val="auto"/>
          <w:kern w:val="0"/>
          <w:sz w:val="22"/>
          <w:highlight w:val="none"/>
        </w:rPr>
        <w:t>、</w:t>
      </w:r>
      <w:r>
        <w:rPr>
          <w:rFonts w:cs="宋体" w:asciiTheme="minorEastAsia" w:hAnsiTheme="minorEastAsia" w:eastAsiaTheme="minorEastAsia"/>
          <w:b/>
          <w:bCs/>
          <w:color w:val="auto"/>
          <w:kern w:val="0"/>
          <w:sz w:val="22"/>
          <w:highlight w:val="none"/>
        </w:rPr>
        <w:t>投标报价可能低于成本影响履约的，应当</w:t>
      </w:r>
      <w:r>
        <w:rPr>
          <w:rFonts w:hint="eastAsia" w:cs="宋体" w:asciiTheme="minorEastAsia" w:hAnsiTheme="minorEastAsia" w:eastAsiaTheme="minorEastAsia"/>
          <w:b/>
          <w:bCs/>
          <w:color w:val="auto"/>
          <w:kern w:val="0"/>
          <w:sz w:val="22"/>
          <w:highlight w:val="none"/>
        </w:rPr>
        <w:t>要求</w:t>
      </w:r>
      <w:r>
        <w:rPr>
          <w:rFonts w:cs="宋体" w:asciiTheme="minorEastAsia" w:hAnsiTheme="minorEastAsia" w:eastAsiaTheme="minorEastAsia"/>
          <w:b/>
          <w:bCs/>
          <w:color w:val="auto"/>
          <w:kern w:val="0"/>
          <w:sz w:val="22"/>
          <w:highlight w:val="none"/>
        </w:rPr>
        <w:t>投标人作必要的澄清、说明</w:t>
      </w:r>
      <w:r>
        <w:rPr>
          <w:rFonts w:hint="eastAsia" w:cs="宋体" w:asciiTheme="minorEastAsia" w:hAnsiTheme="minorEastAsia" w:eastAsiaTheme="minorEastAsia"/>
          <w:b/>
          <w:bCs/>
          <w:color w:val="auto"/>
          <w:kern w:val="0"/>
          <w:sz w:val="22"/>
          <w:highlight w:val="none"/>
        </w:rPr>
        <w:t>后再判定投标人是否通过有效性审查</w:t>
      </w:r>
      <w:r>
        <w:rPr>
          <w:rFonts w:cs="宋体" w:asciiTheme="minorEastAsia" w:hAnsiTheme="minorEastAsia" w:eastAsiaTheme="minorEastAsia"/>
          <w:b/>
          <w:bCs/>
          <w:color w:val="auto"/>
          <w:kern w:val="0"/>
          <w:sz w:val="22"/>
          <w:highlight w:val="none"/>
        </w:rPr>
        <w:t>，不得直接否决投标</w:t>
      </w:r>
      <w:r>
        <w:rPr>
          <w:rFonts w:hint="eastAsia" w:cs="宋体" w:asciiTheme="minorEastAsia" w:hAnsiTheme="minorEastAsia" w:eastAsiaTheme="minorEastAsia"/>
          <w:b/>
          <w:bCs/>
          <w:color w:val="auto"/>
          <w:kern w:val="0"/>
          <w:sz w:val="22"/>
          <w:highlight w:val="none"/>
        </w:rPr>
        <w:t>。</w:t>
      </w:r>
    </w:p>
    <w:p>
      <w:pPr>
        <w:pStyle w:val="5"/>
        <w:ind w:firstLine="458"/>
        <w:rPr>
          <w:rFonts w:ascii="宋体" w:hAnsi="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olor w:val="auto"/>
          <w:szCs w:val="21"/>
          <w:highlight w:val="none"/>
        </w:rPr>
        <w:t>评委签名：</w:t>
      </w:r>
    </w:p>
    <w:p>
      <w:pPr>
        <w:jc w:val="left"/>
        <w:rPr>
          <w:b/>
          <w:color w:val="auto"/>
          <w:sz w:val="36"/>
          <w:szCs w:val="36"/>
          <w:highlight w:val="none"/>
        </w:rPr>
      </w:pPr>
      <w:r>
        <w:rPr>
          <w:rFonts w:hint="eastAsia"/>
          <w:color w:val="auto"/>
          <w:szCs w:val="21"/>
          <w:highlight w:val="none"/>
        </w:rPr>
        <w:t>附表四</w:t>
      </w:r>
    </w:p>
    <w:p>
      <w:pPr>
        <w:jc w:val="center"/>
        <w:rPr>
          <w:rFonts w:ascii="宋体" w:hAnsi="宋体" w:cs="宋体"/>
          <w:b/>
          <w:color w:val="auto"/>
          <w:sz w:val="28"/>
          <w:szCs w:val="28"/>
          <w:highlight w:val="none"/>
        </w:rPr>
      </w:pPr>
      <w:bookmarkStart w:id="15" w:name="OLE_LINK5"/>
      <w:r>
        <w:rPr>
          <w:rFonts w:hint="eastAsia"/>
          <w:b/>
          <w:color w:val="auto"/>
          <w:sz w:val="36"/>
          <w:szCs w:val="36"/>
          <w:highlight w:val="none"/>
        </w:rPr>
        <w:t>技术标详细审查评分表</w:t>
      </w:r>
    </w:p>
    <w:tbl>
      <w:tblPr>
        <w:tblStyle w:val="50"/>
        <w:tblW w:w="14862" w:type="dxa"/>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832"/>
        <w:gridCol w:w="644"/>
        <w:gridCol w:w="11343"/>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 w:hRule="atLeast"/>
          <w:tblHeader/>
          <w:jc w:val="center"/>
        </w:trPr>
        <w:tc>
          <w:tcPr>
            <w:tcW w:w="1043" w:type="dxa"/>
            <w:tcBorders>
              <w:top w:val="single" w:color="auto" w:sz="8"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评分</w:t>
            </w:r>
          </w:p>
          <w:p>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项目</w:t>
            </w:r>
          </w:p>
        </w:tc>
        <w:tc>
          <w:tcPr>
            <w:tcW w:w="1832"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评分内容</w:t>
            </w:r>
          </w:p>
        </w:tc>
        <w:tc>
          <w:tcPr>
            <w:tcW w:w="644"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分值</w:t>
            </w:r>
          </w:p>
        </w:tc>
        <w:tc>
          <w:tcPr>
            <w:tcW w:w="11343" w:type="dxa"/>
            <w:tcBorders>
              <w:top w:val="single" w:color="auto" w:sz="8"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Cs w:val="21"/>
                <w:highlight w:val="none"/>
              </w:rPr>
            </w:pPr>
            <w:r>
              <w:rPr>
                <w:rFonts w:hint="eastAsia" w:ascii="宋体" w:hAnsi="宋体" w:eastAsia="Times New Roman"/>
                <w:color w:val="auto"/>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043" w:type="dxa"/>
            <w:vMerge w:val="restart"/>
            <w:tcBorders>
              <w:left w:val="single" w:color="auto" w:sz="8" w:space="0"/>
              <w:right w:val="single" w:color="auto" w:sz="4" w:space="0"/>
            </w:tcBorders>
            <w:vAlign w:val="center"/>
          </w:tcPr>
          <w:p>
            <w:pPr>
              <w:widowControl/>
              <w:jc w:val="lef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一、企业业绩、信誉</w:t>
            </w:r>
          </w:p>
          <w:p>
            <w:pPr>
              <w:widowControl/>
              <w:jc w:val="lef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w:t>
            </w:r>
            <w:r>
              <w:rPr>
                <w:rFonts w:ascii="宋体" w:hAnsi="宋体" w:eastAsia="Times New Roman"/>
                <w:color w:val="auto"/>
                <w:sz w:val="18"/>
                <w:szCs w:val="18"/>
                <w:highlight w:val="none"/>
              </w:rPr>
              <w:t>30</w:t>
            </w:r>
            <w:r>
              <w:rPr>
                <w:rFonts w:hint="eastAsia" w:ascii="宋体" w:hAnsi="宋体" w:eastAsia="Times New Roman"/>
                <w:color w:val="auto"/>
                <w:sz w:val="18"/>
                <w:szCs w:val="18"/>
                <w:highlight w:val="none"/>
              </w:rPr>
              <w:t>分）</w:t>
            </w:r>
          </w:p>
        </w:tc>
        <w:tc>
          <w:tcPr>
            <w:tcW w:w="1832" w:type="dxa"/>
            <w:tcBorders>
              <w:top w:val="single" w:color="auto" w:sz="4" w:space="0"/>
              <w:left w:val="single" w:color="auto" w:sz="4"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企业类似工程业绩</w:t>
            </w:r>
          </w:p>
        </w:tc>
        <w:tc>
          <w:tcPr>
            <w:tcW w:w="644" w:type="dxa"/>
            <w:tcBorders>
              <w:top w:val="single" w:color="auto" w:sz="4" w:space="0"/>
              <w:left w:val="single" w:color="auto" w:sz="4" w:space="0"/>
              <w:right w:val="single" w:color="auto" w:sz="4" w:space="0"/>
            </w:tcBorders>
            <w:vAlign w:val="center"/>
          </w:tcPr>
          <w:p>
            <w:pPr>
              <w:adjustRightInd w:val="0"/>
              <w:snapToGrid w:val="0"/>
              <w:ind w:firstLine="180" w:firstLineChars="100"/>
              <w:rPr>
                <w:rFonts w:ascii="宋体" w:hAnsi="宋体"/>
                <w:color w:val="auto"/>
                <w:sz w:val="18"/>
                <w:szCs w:val="18"/>
                <w:highlight w:val="none"/>
              </w:rPr>
            </w:pPr>
            <w:r>
              <w:rPr>
                <w:rFonts w:hint="eastAsia" w:ascii="宋体" w:hAnsi="宋体"/>
                <w:color w:val="auto"/>
                <w:sz w:val="18"/>
                <w:szCs w:val="18"/>
                <w:highlight w:val="none"/>
              </w:rPr>
              <w:t>12</w:t>
            </w:r>
          </w:p>
        </w:tc>
        <w:tc>
          <w:tcPr>
            <w:tcW w:w="11343" w:type="dxa"/>
            <w:tcBorders>
              <w:top w:val="single" w:color="auto" w:sz="4" w:space="0"/>
              <w:left w:val="single" w:color="auto" w:sz="4" w:space="0"/>
              <w:right w:val="single" w:color="auto" w:sz="4" w:space="0"/>
            </w:tcBorders>
            <w:vAlign w:val="center"/>
          </w:tcPr>
          <w:p>
            <w:pPr>
              <w:spacing w:line="280" w:lineRule="exact"/>
              <w:rPr>
                <w:rFonts w:ascii="宋体" w:hAnsi="宋体"/>
                <w:color w:val="auto"/>
                <w:sz w:val="18"/>
                <w:szCs w:val="18"/>
                <w:highlight w:val="none"/>
              </w:rPr>
            </w:pPr>
            <w:r>
              <w:rPr>
                <w:rFonts w:hint="eastAsia" w:ascii="宋体" w:hAnsi="宋体"/>
                <w:color w:val="auto"/>
                <w:sz w:val="18"/>
                <w:szCs w:val="18"/>
                <w:highlight w:val="none"/>
              </w:rPr>
              <w:t>投标人自201</w:t>
            </w:r>
            <w:r>
              <w:rPr>
                <w:rFonts w:hint="eastAsia" w:ascii="宋体" w:hAnsi="宋体"/>
                <w:color w:val="auto"/>
                <w:sz w:val="18"/>
                <w:szCs w:val="18"/>
                <w:highlight w:val="none"/>
                <w:lang w:eastAsia="zh-CN"/>
              </w:rPr>
              <w:t>9</w:t>
            </w:r>
            <w:r>
              <w:rPr>
                <w:rFonts w:hint="eastAsia" w:ascii="宋体" w:hAnsi="宋体"/>
                <w:color w:val="auto"/>
                <w:sz w:val="18"/>
                <w:szCs w:val="18"/>
                <w:highlight w:val="none"/>
              </w:rPr>
              <w:t>年1月1日至今完成过质量合格且中标金额</w:t>
            </w:r>
            <w:r>
              <w:rPr>
                <w:rFonts w:hint="eastAsia" w:ascii="宋体" w:hAnsi="宋体"/>
                <w:color w:val="auto"/>
                <w:sz w:val="18"/>
                <w:szCs w:val="18"/>
                <w:highlight w:val="none"/>
                <w:u w:val="single"/>
                <w:lang w:val="en-US" w:eastAsia="zh-CN"/>
              </w:rPr>
              <w:t>1000</w:t>
            </w:r>
            <w:r>
              <w:rPr>
                <w:rFonts w:hint="eastAsia" w:ascii="宋体" w:hAnsi="宋体"/>
                <w:color w:val="auto"/>
                <w:sz w:val="18"/>
                <w:szCs w:val="18"/>
                <w:highlight w:val="none"/>
              </w:rPr>
              <w:t>万元（或以上）的</w:t>
            </w:r>
            <w:r>
              <w:rPr>
                <w:rFonts w:hint="eastAsia" w:ascii="宋体" w:hAnsi="宋体"/>
                <w:color w:val="auto"/>
                <w:sz w:val="18"/>
                <w:szCs w:val="18"/>
                <w:highlight w:val="none"/>
                <w:u w:val="single"/>
                <w:lang w:eastAsia="zh-CN"/>
              </w:rPr>
              <w:t>市政公用</w:t>
            </w:r>
            <w:r>
              <w:rPr>
                <w:rFonts w:hint="eastAsia" w:ascii="宋体" w:hAnsi="宋体"/>
                <w:color w:val="auto"/>
                <w:sz w:val="18"/>
                <w:szCs w:val="18"/>
                <w:highlight w:val="none"/>
                <w:u w:val="single"/>
                <w:lang w:val="en-US" w:eastAsia="zh-CN"/>
              </w:rPr>
              <w:t>工程施工总承包</w:t>
            </w:r>
            <w:r>
              <w:rPr>
                <w:rFonts w:hint="eastAsia" w:ascii="宋体" w:hAnsi="宋体"/>
                <w:color w:val="auto"/>
                <w:sz w:val="18"/>
                <w:szCs w:val="18"/>
                <w:highlight w:val="none"/>
              </w:rPr>
              <w:t>业绩。</w:t>
            </w:r>
          </w:p>
          <w:p>
            <w:pPr>
              <w:snapToGrid w:val="0"/>
              <w:spacing w:line="280" w:lineRule="exact"/>
              <w:rPr>
                <w:rFonts w:ascii="宋体" w:hAnsi="宋体" w:eastAsia="Times New Roman"/>
                <w:color w:val="auto"/>
                <w:sz w:val="18"/>
                <w:szCs w:val="18"/>
                <w:highlight w:val="none"/>
              </w:rPr>
            </w:pPr>
            <w:r>
              <w:rPr>
                <w:rFonts w:hint="eastAsia" w:ascii="宋体" w:hAnsi="宋体"/>
                <w:color w:val="auto"/>
                <w:sz w:val="18"/>
                <w:szCs w:val="18"/>
                <w:highlight w:val="none"/>
              </w:rPr>
              <w:t>提供一个业绩得</w:t>
            </w:r>
            <w:r>
              <w:rPr>
                <w:rFonts w:ascii="宋体" w:hAnsi="宋体"/>
                <w:b/>
                <w:color w:val="auto"/>
                <w:sz w:val="18"/>
                <w:szCs w:val="18"/>
                <w:highlight w:val="none"/>
              </w:rPr>
              <w:t>1</w:t>
            </w:r>
            <w:r>
              <w:rPr>
                <w:rFonts w:hint="eastAsia" w:ascii="宋体" w:hAnsi="宋体"/>
                <w:b/>
                <w:color w:val="auto"/>
                <w:sz w:val="18"/>
                <w:szCs w:val="18"/>
                <w:highlight w:val="none"/>
              </w:rPr>
              <w:t>.5分</w:t>
            </w:r>
            <w:r>
              <w:rPr>
                <w:rFonts w:hint="eastAsia" w:ascii="宋体" w:hAnsi="宋体"/>
                <w:color w:val="auto"/>
                <w:sz w:val="18"/>
                <w:szCs w:val="18"/>
                <w:highlight w:val="none"/>
              </w:rPr>
              <w:t>，本项最高得</w:t>
            </w:r>
            <w:r>
              <w:rPr>
                <w:rFonts w:hint="eastAsia" w:ascii="宋体" w:hAnsi="宋体"/>
                <w:b/>
                <w:color w:val="auto"/>
                <w:sz w:val="18"/>
                <w:szCs w:val="18"/>
                <w:highlight w:val="none"/>
              </w:rPr>
              <w:t>12分</w:t>
            </w:r>
            <w:r>
              <w:rPr>
                <w:rFonts w:hint="eastAsia" w:ascii="宋体" w:hAnsi="宋体"/>
                <w:color w:val="auto"/>
                <w:sz w:val="18"/>
                <w:szCs w:val="18"/>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1043" w:type="dxa"/>
            <w:vMerge w:val="continue"/>
            <w:tcBorders>
              <w:left w:val="single" w:color="auto" w:sz="8" w:space="0"/>
              <w:right w:val="single" w:color="auto" w:sz="4" w:space="0"/>
            </w:tcBorders>
            <w:vAlign w:val="center"/>
          </w:tcPr>
          <w:p>
            <w:pPr>
              <w:widowControl/>
              <w:jc w:val="left"/>
              <w:rPr>
                <w:rFonts w:ascii="宋体" w:hAnsi="宋体" w:eastAsia="Times New Roman"/>
                <w:color w:val="auto"/>
                <w:sz w:val="18"/>
                <w:szCs w:val="18"/>
                <w:highlight w:val="none"/>
              </w:rPr>
            </w:pPr>
          </w:p>
        </w:tc>
        <w:tc>
          <w:tcPr>
            <w:tcW w:w="1832" w:type="dxa"/>
            <w:tcBorders>
              <w:top w:val="single" w:color="auto" w:sz="4" w:space="0"/>
              <w:left w:val="single" w:color="auto" w:sz="4"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企业工程获奖情况</w:t>
            </w:r>
          </w:p>
        </w:tc>
        <w:tc>
          <w:tcPr>
            <w:tcW w:w="644" w:type="dxa"/>
            <w:tcBorders>
              <w:top w:val="single" w:color="auto" w:sz="4" w:space="0"/>
              <w:left w:val="single" w:color="auto" w:sz="4" w:space="0"/>
              <w:right w:val="single" w:color="auto" w:sz="4" w:space="0"/>
            </w:tcBorders>
            <w:vAlign w:val="center"/>
          </w:tcPr>
          <w:p>
            <w:pPr>
              <w:adjustRightInd w:val="0"/>
              <w:snapToGrid w:val="0"/>
              <w:ind w:firstLine="180" w:firstLineChars="100"/>
              <w:rPr>
                <w:rFonts w:ascii="宋体" w:hAnsi="宋体"/>
                <w:color w:val="auto"/>
                <w:sz w:val="18"/>
                <w:szCs w:val="18"/>
                <w:highlight w:val="none"/>
              </w:rPr>
            </w:pPr>
            <w:r>
              <w:rPr>
                <w:rFonts w:hint="eastAsia" w:ascii="宋体" w:hAnsi="宋体"/>
                <w:color w:val="auto"/>
                <w:sz w:val="18"/>
                <w:szCs w:val="18"/>
                <w:highlight w:val="none"/>
              </w:rPr>
              <w:t>12</w:t>
            </w:r>
          </w:p>
        </w:tc>
        <w:tc>
          <w:tcPr>
            <w:tcW w:w="11343" w:type="dxa"/>
            <w:tcBorders>
              <w:top w:val="single" w:color="auto" w:sz="4" w:space="0"/>
              <w:left w:val="single" w:color="auto" w:sz="4" w:space="0"/>
              <w:right w:val="single" w:color="auto" w:sz="4" w:space="0"/>
            </w:tcBorders>
            <w:vAlign w:val="center"/>
          </w:tcPr>
          <w:p>
            <w:pPr>
              <w:rPr>
                <w:rFonts w:ascii="宋体" w:hAnsi="宋体"/>
                <w:color w:val="auto"/>
                <w:sz w:val="18"/>
                <w:szCs w:val="18"/>
                <w:highlight w:val="none"/>
              </w:rPr>
            </w:pPr>
            <w:r>
              <w:rPr>
                <w:rFonts w:hint="eastAsia" w:ascii="宋体" w:hAnsi="宋体"/>
                <w:color w:val="auto"/>
                <w:sz w:val="18"/>
                <w:szCs w:val="18"/>
                <w:highlight w:val="none"/>
              </w:rPr>
              <w:t>投标人完成过的</w:t>
            </w:r>
            <w:r>
              <w:rPr>
                <w:rFonts w:hint="eastAsia" w:ascii="宋体" w:hAnsi="宋体"/>
                <w:color w:val="auto"/>
                <w:sz w:val="18"/>
                <w:szCs w:val="18"/>
                <w:highlight w:val="none"/>
                <w:u w:val="single"/>
                <w:lang w:eastAsia="zh-CN"/>
              </w:rPr>
              <w:t>市政公用</w:t>
            </w:r>
            <w:r>
              <w:rPr>
                <w:rFonts w:hint="eastAsia" w:ascii="宋体" w:hAnsi="宋体"/>
                <w:color w:val="auto"/>
                <w:sz w:val="18"/>
                <w:szCs w:val="18"/>
                <w:highlight w:val="none"/>
                <w:u w:val="single"/>
                <w:lang w:val="en-US" w:eastAsia="zh-CN"/>
              </w:rPr>
              <w:t>工程施工总承包</w:t>
            </w:r>
            <w:r>
              <w:rPr>
                <w:rFonts w:hint="eastAsia" w:ascii="宋体" w:hAnsi="宋体"/>
                <w:color w:val="auto"/>
                <w:sz w:val="18"/>
                <w:szCs w:val="18"/>
                <w:highlight w:val="none"/>
              </w:rPr>
              <w:t>项目201</w:t>
            </w:r>
            <w:r>
              <w:rPr>
                <w:rFonts w:hint="eastAsia" w:ascii="宋体" w:hAnsi="宋体"/>
                <w:color w:val="auto"/>
                <w:sz w:val="18"/>
                <w:szCs w:val="18"/>
                <w:highlight w:val="none"/>
                <w:lang w:val="en-US" w:eastAsia="zh-CN"/>
              </w:rPr>
              <w:t>9</w:t>
            </w:r>
            <w:r>
              <w:rPr>
                <w:rFonts w:hint="eastAsia" w:ascii="宋体" w:hAnsi="宋体"/>
                <w:color w:val="auto"/>
                <w:sz w:val="18"/>
                <w:szCs w:val="18"/>
                <w:highlight w:val="none"/>
              </w:rPr>
              <w:t>年</w:t>
            </w:r>
            <w:r>
              <w:rPr>
                <w:rFonts w:ascii="宋体" w:hAnsi="宋体"/>
                <w:color w:val="auto"/>
                <w:sz w:val="18"/>
                <w:szCs w:val="18"/>
                <w:highlight w:val="none"/>
              </w:rPr>
              <w:t>1</w:t>
            </w:r>
            <w:r>
              <w:rPr>
                <w:rFonts w:hint="eastAsia" w:ascii="宋体" w:hAnsi="宋体"/>
                <w:color w:val="auto"/>
                <w:sz w:val="18"/>
                <w:szCs w:val="18"/>
                <w:highlight w:val="none"/>
              </w:rPr>
              <w:t>月</w:t>
            </w:r>
            <w:r>
              <w:rPr>
                <w:rFonts w:ascii="宋体" w:hAnsi="宋体"/>
                <w:color w:val="auto"/>
                <w:sz w:val="18"/>
                <w:szCs w:val="18"/>
                <w:highlight w:val="none"/>
              </w:rPr>
              <w:t>1</w:t>
            </w:r>
            <w:r>
              <w:rPr>
                <w:rFonts w:hint="eastAsia" w:ascii="宋体" w:hAnsi="宋体"/>
                <w:color w:val="auto"/>
                <w:sz w:val="18"/>
                <w:szCs w:val="18"/>
                <w:highlight w:val="none"/>
              </w:rPr>
              <w:t>日至今获得过国家级</w:t>
            </w:r>
            <w:r>
              <w:rPr>
                <w:rFonts w:hint="eastAsia" w:ascii="宋体" w:hAnsi="宋体"/>
                <w:color w:val="auto"/>
                <w:sz w:val="18"/>
                <w:szCs w:val="18"/>
                <w:highlight w:val="none"/>
                <w:lang w:eastAsia="zh-CN"/>
              </w:rPr>
              <w:t>工程质量</w:t>
            </w:r>
            <w:r>
              <w:rPr>
                <w:rFonts w:hint="eastAsia" w:ascii="宋体" w:hAnsi="宋体"/>
                <w:color w:val="auto"/>
                <w:sz w:val="18"/>
                <w:szCs w:val="18"/>
                <w:highlight w:val="none"/>
              </w:rPr>
              <w:t>奖项（以证书颁发时间为准）每项得3分；获得过省（部）级</w:t>
            </w:r>
            <w:r>
              <w:rPr>
                <w:rFonts w:hint="eastAsia" w:ascii="宋体" w:hAnsi="宋体"/>
                <w:color w:val="auto"/>
                <w:sz w:val="18"/>
                <w:szCs w:val="18"/>
                <w:highlight w:val="none"/>
                <w:lang w:eastAsia="zh-CN"/>
              </w:rPr>
              <w:t>工程质量</w:t>
            </w:r>
            <w:r>
              <w:rPr>
                <w:rFonts w:hint="eastAsia" w:ascii="宋体" w:hAnsi="宋体"/>
                <w:color w:val="auto"/>
                <w:sz w:val="18"/>
                <w:szCs w:val="18"/>
                <w:highlight w:val="none"/>
              </w:rPr>
              <w:t>奖项（以证书颁发时间为准）每项得 2分；获得过市（副省）级</w:t>
            </w:r>
            <w:r>
              <w:rPr>
                <w:rFonts w:hint="eastAsia" w:ascii="宋体" w:hAnsi="宋体"/>
                <w:color w:val="auto"/>
                <w:sz w:val="18"/>
                <w:szCs w:val="18"/>
                <w:highlight w:val="none"/>
                <w:lang w:eastAsia="zh-CN"/>
              </w:rPr>
              <w:t>工程质量</w:t>
            </w:r>
            <w:r>
              <w:rPr>
                <w:rFonts w:hint="eastAsia" w:ascii="宋体" w:hAnsi="宋体"/>
                <w:color w:val="auto"/>
                <w:sz w:val="18"/>
                <w:szCs w:val="18"/>
                <w:highlight w:val="none"/>
              </w:rPr>
              <w:t>奖项（以证书</w:t>
            </w:r>
            <w:r>
              <w:rPr>
                <w:rFonts w:hint="eastAsia" w:ascii="宋体" w:hAnsi="宋体" w:cs="宋体"/>
                <w:color w:val="auto"/>
                <w:sz w:val="18"/>
                <w:szCs w:val="18"/>
                <w:highlight w:val="none"/>
              </w:rPr>
              <w:t>颁发时间为准）</w:t>
            </w:r>
            <w:r>
              <w:rPr>
                <w:rFonts w:hint="eastAsia" w:ascii="宋体" w:hAnsi="宋体"/>
                <w:color w:val="auto"/>
                <w:sz w:val="18"/>
                <w:szCs w:val="18"/>
                <w:highlight w:val="none"/>
              </w:rPr>
              <w:t>每项</w:t>
            </w:r>
            <w:r>
              <w:rPr>
                <w:rFonts w:hint="eastAsia" w:ascii="宋体" w:hAnsi="宋体" w:cs="宋体"/>
                <w:color w:val="auto"/>
                <w:sz w:val="18"/>
                <w:szCs w:val="18"/>
                <w:highlight w:val="none"/>
              </w:rPr>
              <w:t>得</w:t>
            </w:r>
            <w:r>
              <w:rPr>
                <w:rFonts w:hint="eastAsia" w:ascii="宋体" w:hAnsi="宋体"/>
                <w:b/>
                <w:color w:val="auto"/>
                <w:sz w:val="18"/>
                <w:szCs w:val="18"/>
                <w:highlight w:val="none"/>
              </w:rPr>
              <w:t>1</w:t>
            </w:r>
            <w:r>
              <w:rPr>
                <w:rFonts w:hint="eastAsia" w:ascii="宋体" w:hAnsi="宋体" w:cs="宋体"/>
                <w:b/>
                <w:color w:val="auto"/>
                <w:sz w:val="18"/>
                <w:szCs w:val="18"/>
                <w:highlight w:val="none"/>
              </w:rPr>
              <w:t>分</w:t>
            </w:r>
            <w:r>
              <w:rPr>
                <w:rFonts w:hint="eastAsia" w:ascii="宋体" w:hAnsi="宋体" w:cs="宋体"/>
                <w:color w:val="auto"/>
                <w:sz w:val="18"/>
                <w:szCs w:val="18"/>
                <w:highlight w:val="none"/>
              </w:rPr>
              <w:t>；不满足前述要求者，得</w:t>
            </w:r>
            <w:r>
              <w:rPr>
                <w:rFonts w:hint="eastAsia" w:ascii="宋体" w:hAnsi="宋体"/>
                <w:b/>
                <w:color w:val="auto"/>
                <w:sz w:val="18"/>
                <w:szCs w:val="18"/>
                <w:highlight w:val="none"/>
              </w:rPr>
              <w:t>0</w:t>
            </w:r>
            <w:r>
              <w:rPr>
                <w:rFonts w:hint="eastAsia" w:ascii="宋体" w:hAnsi="宋体" w:cs="宋体"/>
                <w:b/>
                <w:color w:val="auto"/>
                <w:sz w:val="18"/>
                <w:szCs w:val="18"/>
                <w:highlight w:val="none"/>
              </w:rPr>
              <w:t>分</w:t>
            </w:r>
            <w:r>
              <w:rPr>
                <w:rFonts w:hint="eastAsia" w:ascii="宋体" w:hAnsi="宋体" w:cs="宋体"/>
                <w:color w:val="auto"/>
                <w:sz w:val="18"/>
                <w:szCs w:val="18"/>
                <w:highlight w:val="none"/>
              </w:rPr>
              <w:t>。本项最高得</w:t>
            </w:r>
            <w:r>
              <w:rPr>
                <w:rFonts w:hint="eastAsia" w:ascii="宋体" w:hAnsi="宋体"/>
                <w:b/>
                <w:color w:val="auto"/>
                <w:sz w:val="18"/>
                <w:szCs w:val="18"/>
                <w:highlight w:val="none"/>
              </w:rPr>
              <w:t>12</w:t>
            </w:r>
            <w:r>
              <w:rPr>
                <w:rFonts w:hint="eastAsia" w:ascii="宋体" w:hAnsi="宋体" w:cs="宋体"/>
                <w:b/>
                <w:color w:val="auto"/>
                <w:sz w:val="18"/>
                <w:szCs w:val="18"/>
                <w:highlight w:val="none"/>
              </w:rPr>
              <w:t>分</w:t>
            </w:r>
            <w:r>
              <w:rPr>
                <w:rFonts w:hint="eastAsia" w:ascii="宋体" w:hAnsi="宋体" w:cs="宋体"/>
                <w:color w:val="auto"/>
                <w:sz w:val="18"/>
                <w:szCs w:val="18"/>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 w:hRule="atLeast"/>
          <w:jc w:val="center"/>
        </w:trPr>
        <w:tc>
          <w:tcPr>
            <w:tcW w:w="1043" w:type="dxa"/>
            <w:vMerge w:val="continue"/>
            <w:tcBorders>
              <w:left w:val="single" w:color="auto" w:sz="8" w:space="0"/>
              <w:right w:val="single" w:color="auto" w:sz="4" w:space="0"/>
            </w:tcBorders>
            <w:vAlign w:val="center"/>
          </w:tcPr>
          <w:p>
            <w:pPr>
              <w:rPr>
                <w:rFonts w:ascii="宋体" w:hAnsi="宋体" w:eastAsia="Times New Roman"/>
                <w:color w:val="auto"/>
                <w:sz w:val="18"/>
                <w:szCs w:val="18"/>
                <w:highlight w:val="none"/>
              </w:rPr>
            </w:pPr>
          </w:p>
        </w:tc>
        <w:tc>
          <w:tcPr>
            <w:tcW w:w="1832" w:type="dxa"/>
            <w:tcBorders>
              <w:left w:val="single" w:color="auto" w:sz="4"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第三方评价</w:t>
            </w:r>
          </w:p>
        </w:tc>
        <w:tc>
          <w:tcPr>
            <w:tcW w:w="644" w:type="dxa"/>
            <w:tcBorders>
              <w:left w:val="single" w:color="auto" w:sz="4" w:space="0"/>
              <w:right w:val="single" w:color="auto" w:sz="4" w:space="0"/>
            </w:tcBorders>
            <w:vAlign w:val="center"/>
          </w:tcPr>
          <w:p>
            <w:pPr>
              <w:adjustRightInd w:val="0"/>
              <w:snapToGrid w:val="0"/>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343" w:type="dxa"/>
            <w:tcBorders>
              <w:top w:val="single" w:color="auto" w:sz="4" w:space="0"/>
              <w:left w:val="single" w:color="auto" w:sz="4" w:space="0"/>
              <w:right w:val="single" w:color="auto" w:sz="4" w:space="0"/>
            </w:tcBorders>
            <w:vAlign w:val="center"/>
          </w:tcPr>
          <w:p>
            <w:pPr>
              <w:snapToGrid w:val="0"/>
              <w:spacing w:line="280" w:lineRule="exact"/>
              <w:rPr>
                <w:rFonts w:ascii="宋体" w:hAnsi="宋体" w:eastAsia="Times New Roman" w:cs="宋体"/>
                <w:color w:val="auto"/>
                <w:sz w:val="18"/>
                <w:szCs w:val="18"/>
                <w:highlight w:val="none"/>
              </w:rPr>
            </w:pPr>
            <w:r>
              <w:rPr>
                <w:rFonts w:hint="eastAsia" w:ascii="宋体" w:hAnsi="宋体"/>
                <w:color w:val="auto"/>
                <w:sz w:val="18"/>
                <w:szCs w:val="18"/>
                <w:highlight w:val="none"/>
              </w:rPr>
              <w:t>企业获得在有效期内且年检合格的质量管理体系认证的，得</w:t>
            </w:r>
            <w:r>
              <w:rPr>
                <w:rFonts w:hint="eastAsia" w:ascii="宋体" w:hAnsi="宋体"/>
                <w:b/>
                <w:color w:val="auto"/>
                <w:sz w:val="18"/>
                <w:szCs w:val="18"/>
                <w:highlight w:val="none"/>
              </w:rPr>
              <w:t>3分</w:t>
            </w:r>
            <w:r>
              <w:rPr>
                <w:rFonts w:hint="eastAsia" w:ascii="宋体" w:hAnsi="宋体"/>
                <w:color w:val="auto"/>
                <w:sz w:val="18"/>
                <w:szCs w:val="18"/>
                <w:highlight w:val="none"/>
              </w:rPr>
              <w:t>；企业获得在有效期内且年检合格的职业健康安全管理体系认证，得</w:t>
            </w:r>
            <w:r>
              <w:rPr>
                <w:rFonts w:hint="eastAsia" w:ascii="宋体" w:hAnsi="宋体"/>
                <w:b/>
                <w:color w:val="auto"/>
                <w:sz w:val="18"/>
                <w:szCs w:val="18"/>
                <w:highlight w:val="none"/>
              </w:rPr>
              <w:t>3分</w:t>
            </w:r>
            <w:r>
              <w:rPr>
                <w:rFonts w:hint="eastAsia" w:ascii="宋体" w:hAnsi="宋体"/>
                <w:color w:val="auto"/>
                <w:sz w:val="18"/>
                <w:szCs w:val="18"/>
                <w:highlight w:val="none"/>
              </w:rPr>
              <w:t>；不满足前述要求者不得分。本项最高得</w:t>
            </w:r>
            <w:r>
              <w:rPr>
                <w:rFonts w:hint="eastAsia" w:ascii="宋体" w:hAnsi="宋体"/>
                <w:b/>
                <w:color w:val="auto"/>
                <w:sz w:val="18"/>
                <w:szCs w:val="18"/>
                <w:highlight w:val="none"/>
              </w:rPr>
              <w:t>6分</w:t>
            </w:r>
            <w:r>
              <w:rPr>
                <w:rFonts w:hint="eastAsia" w:ascii="宋体" w:hAnsi="宋体" w:eastAsia="Times New Roman"/>
                <w:color w:val="auto"/>
                <w:sz w:val="18"/>
                <w:szCs w:val="18"/>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4" w:hRule="atLeast"/>
          <w:jc w:val="center"/>
        </w:trPr>
        <w:tc>
          <w:tcPr>
            <w:tcW w:w="1043" w:type="dxa"/>
            <w:vMerge w:val="restart"/>
            <w:tcBorders>
              <w:top w:val="single" w:color="auto" w:sz="4" w:space="0"/>
              <w:left w:val="single" w:color="auto" w:sz="8" w:space="0"/>
              <w:right w:val="single" w:color="auto" w:sz="4" w:space="0"/>
            </w:tcBorders>
            <w:vAlign w:val="center"/>
          </w:tcPr>
          <w:p>
            <w:pPr>
              <w:widowControl/>
              <w:jc w:val="left"/>
              <w:rPr>
                <w:rFonts w:ascii="宋体" w:hAnsi="宋体" w:eastAsia="Times New Roman"/>
                <w:strike/>
                <w:color w:val="auto"/>
                <w:sz w:val="18"/>
                <w:szCs w:val="18"/>
                <w:highlight w:val="none"/>
              </w:rPr>
            </w:pPr>
            <w:r>
              <w:rPr>
                <w:rFonts w:hint="eastAsia" w:ascii="宋体" w:hAnsi="宋体" w:eastAsia="Times New Roman"/>
                <w:color w:val="auto"/>
                <w:sz w:val="18"/>
                <w:szCs w:val="18"/>
                <w:highlight w:val="none"/>
              </w:rPr>
              <w:t>二、项目管理机构能力（</w:t>
            </w:r>
            <w:r>
              <w:rPr>
                <w:rFonts w:ascii="宋体" w:hAnsi="宋体" w:eastAsia="Times New Roman"/>
                <w:color w:val="auto"/>
                <w:sz w:val="18"/>
                <w:szCs w:val="18"/>
                <w:highlight w:val="none"/>
              </w:rPr>
              <w:t>7</w:t>
            </w:r>
            <w:r>
              <w:rPr>
                <w:rFonts w:hint="eastAsia" w:ascii="宋体" w:hAnsi="宋体" w:eastAsia="Times New Roman"/>
                <w:color w:val="auto"/>
                <w:sz w:val="18"/>
                <w:szCs w:val="18"/>
                <w:highlight w:val="none"/>
              </w:rPr>
              <w:t>0分）</w:t>
            </w:r>
          </w:p>
        </w:tc>
        <w:tc>
          <w:tcPr>
            <w:tcW w:w="1832" w:type="dxa"/>
            <w:vMerge w:val="restart"/>
            <w:tcBorders>
              <w:top w:val="single" w:color="auto" w:sz="4" w:space="0"/>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项目负责人情况</w:t>
            </w:r>
          </w:p>
        </w:tc>
        <w:tc>
          <w:tcPr>
            <w:tcW w:w="644" w:type="dxa"/>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10</w:t>
            </w:r>
          </w:p>
        </w:tc>
        <w:tc>
          <w:tcPr>
            <w:tcW w:w="11343" w:type="dxa"/>
            <w:tcBorders>
              <w:top w:val="single" w:color="auto" w:sz="4" w:space="0"/>
              <w:left w:val="single" w:color="auto" w:sz="4" w:space="0"/>
              <w:right w:val="single" w:color="auto" w:sz="4" w:space="0"/>
            </w:tcBorders>
            <w:vAlign w:val="center"/>
          </w:tcPr>
          <w:p>
            <w:pPr>
              <w:snapToGrid w:val="0"/>
              <w:spacing w:line="280" w:lineRule="exact"/>
              <w:rPr>
                <w:rFonts w:hint="eastAsia" w:ascii="宋体" w:hAnsi="宋体"/>
                <w:color w:val="auto"/>
                <w:sz w:val="18"/>
                <w:szCs w:val="18"/>
                <w:highlight w:val="none"/>
              </w:rPr>
            </w:pPr>
            <w:r>
              <w:rPr>
                <w:rFonts w:hint="eastAsia" w:ascii="宋体" w:hAnsi="宋体"/>
                <w:color w:val="auto"/>
                <w:sz w:val="18"/>
                <w:szCs w:val="18"/>
                <w:highlight w:val="none"/>
              </w:rPr>
              <w:t>1.项目负责人的</w:t>
            </w:r>
            <w:r>
              <w:rPr>
                <w:rFonts w:hint="eastAsia" w:ascii="宋体" w:hAnsi="宋体"/>
                <w:color w:val="auto"/>
                <w:sz w:val="18"/>
                <w:szCs w:val="18"/>
                <w:highlight w:val="none"/>
                <w:u w:val="single"/>
                <w:lang w:eastAsia="zh-CN"/>
              </w:rPr>
              <w:t>市政公用工程</w:t>
            </w:r>
            <w:r>
              <w:rPr>
                <w:rFonts w:hint="eastAsia" w:ascii="宋体" w:hAnsi="宋体"/>
                <w:color w:val="auto"/>
                <w:sz w:val="18"/>
                <w:szCs w:val="18"/>
                <w:highlight w:val="none"/>
              </w:rPr>
              <w:t>专业壹级建造师执业注册年限≥5年的，得10分；项目负责人的</w:t>
            </w:r>
            <w:r>
              <w:rPr>
                <w:rFonts w:hint="eastAsia" w:ascii="宋体" w:hAnsi="宋体"/>
                <w:color w:val="auto"/>
                <w:sz w:val="18"/>
                <w:szCs w:val="18"/>
                <w:highlight w:val="none"/>
                <w:u w:val="single"/>
                <w:lang w:eastAsia="zh-CN"/>
              </w:rPr>
              <w:t>市政公用工程</w:t>
            </w:r>
            <w:r>
              <w:rPr>
                <w:rFonts w:hint="eastAsia" w:ascii="宋体" w:hAnsi="宋体"/>
                <w:color w:val="auto"/>
                <w:sz w:val="18"/>
                <w:szCs w:val="18"/>
                <w:highlight w:val="none"/>
              </w:rPr>
              <w:t>专业壹级建造师执业注册年限为[3,5)年的，得8分；项目负责人的</w:t>
            </w:r>
            <w:r>
              <w:rPr>
                <w:rFonts w:hint="eastAsia" w:ascii="宋体" w:hAnsi="宋体"/>
                <w:color w:val="auto"/>
                <w:sz w:val="18"/>
                <w:szCs w:val="18"/>
                <w:highlight w:val="none"/>
                <w:u w:val="single"/>
                <w:lang w:eastAsia="zh-CN"/>
              </w:rPr>
              <w:t>市政公用工程</w:t>
            </w:r>
            <w:r>
              <w:rPr>
                <w:rFonts w:hint="eastAsia" w:ascii="宋体" w:hAnsi="宋体"/>
                <w:color w:val="auto"/>
                <w:sz w:val="18"/>
                <w:szCs w:val="18"/>
                <w:highlight w:val="none"/>
              </w:rPr>
              <w:t>专业壹级建造师执业注册年限为（0,3）年的，得6分，其余不得分。</w:t>
            </w:r>
          </w:p>
          <w:p>
            <w:pPr>
              <w:snapToGrid w:val="0"/>
              <w:spacing w:line="280" w:lineRule="exact"/>
              <w:rPr>
                <w:rFonts w:hint="eastAsia" w:ascii="宋体" w:hAnsi="宋体"/>
                <w:color w:val="auto"/>
                <w:sz w:val="18"/>
                <w:szCs w:val="18"/>
                <w:highlight w:val="none"/>
              </w:rPr>
            </w:pPr>
            <w:r>
              <w:rPr>
                <w:rFonts w:hint="eastAsia" w:ascii="宋体" w:hAnsi="宋体"/>
                <w:color w:val="auto"/>
                <w:sz w:val="18"/>
                <w:szCs w:val="18"/>
                <w:highlight w:val="none"/>
              </w:rPr>
              <w:t>2.项目负责人的</w:t>
            </w:r>
            <w:r>
              <w:rPr>
                <w:rFonts w:hint="eastAsia" w:ascii="宋体" w:hAnsi="宋体"/>
                <w:color w:val="auto"/>
                <w:sz w:val="18"/>
                <w:szCs w:val="18"/>
                <w:highlight w:val="none"/>
                <w:u w:val="single"/>
                <w:lang w:eastAsia="zh-CN"/>
              </w:rPr>
              <w:t>市政公用工程</w:t>
            </w:r>
            <w:r>
              <w:rPr>
                <w:rFonts w:hint="eastAsia" w:ascii="宋体" w:hAnsi="宋体"/>
                <w:color w:val="auto"/>
                <w:sz w:val="18"/>
                <w:szCs w:val="18"/>
                <w:highlight w:val="none"/>
              </w:rPr>
              <w:t>专业贰级建造师执业注册年限≥5年的，得5分；项目负责人的</w:t>
            </w:r>
            <w:r>
              <w:rPr>
                <w:rFonts w:hint="eastAsia" w:ascii="宋体" w:hAnsi="宋体"/>
                <w:color w:val="auto"/>
                <w:sz w:val="18"/>
                <w:szCs w:val="18"/>
                <w:highlight w:val="none"/>
                <w:u w:val="single"/>
                <w:lang w:eastAsia="zh-CN"/>
              </w:rPr>
              <w:t>市政公用工程</w:t>
            </w:r>
            <w:r>
              <w:rPr>
                <w:rFonts w:hint="eastAsia" w:ascii="宋体" w:hAnsi="宋体"/>
                <w:color w:val="auto"/>
                <w:sz w:val="18"/>
                <w:szCs w:val="18"/>
                <w:highlight w:val="none"/>
              </w:rPr>
              <w:t>专业贰级建造师执业注册年限为[3,5)年的，得3分；项目负责人的</w:t>
            </w:r>
            <w:r>
              <w:rPr>
                <w:rFonts w:hint="eastAsia" w:ascii="宋体" w:hAnsi="宋体"/>
                <w:color w:val="auto"/>
                <w:sz w:val="18"/>
                <w:szCs w:val="18"/>
                <w:highlight w:val="none"/>
                <w:u w:val="single"/>
                <w:lang w:eastAsia="zh-CN"/>
              </w:rPr>
              <w:t>市政公用工程</w:t>
            </w:r>
            <w:r>
              <w:rPr>
                <w:rFonts w:hint="eastAsia" w:ascii="宋体" w:hAnsi="宋体"/>
                <w:color w:val="auto"/>
                <w:sz w:val="18"/>
                <w:szCs w:val="18"/>
                <w:highlight w:val="none"/>
              </w:rPr>
              <w:t>专业贰级建造师执业注册年限为（0,3）年的，得1分，其余不得分。</w:t>
            </w:r>
          </w:p>
          <w:p>
            <w:pPr>
              <w:pStyle w:val="6"/>
              <w:rPr>
                <w:color w:val="auto"/>
                <w:highlight w:val="none"/>
              </w:rPr>
            </w:pPr>
            <w:r>
              <w:rPr>
                <w:rFonts w:hint="eastAsia" w:ascii="宋体" w:hAnsi="宋体"/>
                <w:color w:val="auto"/>
                <w:sz w:val="18"/>
                <w:szCs w:val="18"/>
                <w:highlight w:val="none"/>
              </w:rPr>
              <w:t>备注：项目负责人的建造师执业注册年限以建造师有效执业注册累计年限为准，须提供建造师注册证书或相关建造师执业注册证明资料，否则不计分。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1043"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644" w:type="dxa"/>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5</w:t>
            </w:r>
          </w:p>
        </w:tc>
        <w:tc>
          <w:tcPr>
            <w:tcW w:w="11343" w:type="dxa"/>
            <w:tcBorders>
              <w:left w:val="single" w:color="auto" w:sz="4"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r>
              <w:rPr>
                <w:rFonts w:hint="eastAsia" w:ascii="宋体" w:hAnsi="宋体" w:eastAsia="Times New Roman"/>
                <w:bCs/>
                <w:color w:val="auto"/>
                <w:sz w:val="18"/>
                <w:szCs w:val="18"/>
                <w:highlight w:val="none"/>
              </w:rPr>
              <w:t>项目负责人为</w:t>
            </w:r>
            <w:r>
              <w:rPr>
                <w:rFonts w:hint="eastAsia" w:ascii="宋体" w:hAnsi="宋体" w:eastAsia="Times New Roman"/>
                <w:bCs/>
                <w:color w:val="auto"/>
                <w:sz w:val="18"/>
                <w:szCs w:val="18"/>
                <w:highlight w:val="none"/>
                <w:u w:val="single"/>
              </w:rPr>
              <w:t>市政</w:t>
            </w:r>
            <w:r>
              <w:rPr>
                <w:rFonts w:hint="eastAsia" w:ascii="宋体" w:hAnsi="宋体"/>
                <w:bCs/>
                <w:color w:val="auto"/>
                <w:sz w:val="18"/>
                <w:szCs w:val="18"/>
                <w:highlight w:val="none"/>
                <w:u w:val="single"/>
              </w:rPr>
              <w:t>道路</w:t>
            </w:r>
            <w:r>
              <w:rPr>
                <w:rFonts w:hint="eastAsia" w:ascii="宋体" w:hAnsi="宋体" w:eastAsia="Times New Roman"/>
                <w:bCs/>
                <w:color w:val="auto"/>
                <w:sz w:val="18"/>
                <w:szCs w:val="18"/>
                <w:highlight w:val="none"/>
                <w:u w:val="single"/>
              </w:rPr>
              <w:t>或路桥</w:t>
            </w:r>
            <w:r>
              <w:rPr>
                <w:rFonts w:hint="eastAsia" w:ascii="宋体" w:hAnsi="宋体" w:eastAsia="Times New Roman"/>
                <w:bCs/>
                <w:color w:val="auto"/>
                <w:sz w:val="18"/>
                <w:szCs w:val="18"/>
                <w:highlight w:val="none"/>
                <w:u w:val="none"/>
                <w:lang w:val="en-US" w:eastAsia="zh-CN"/>
              </w:rPr>
              <w:t>相关</w:t>
            </w:r>
            <w:r>
              <w:rPr>
                <w:rFonts w:hint="eastAsia" w:ascii="宋体" w:hAnsi="宋体" w:eastAsia="Times New Roman"/>
                <w:bCs/>
                <w:color w:val="auto"/>
                <w:sz w:val="18"/>
                <w:szCs w:val="18"/>
                <w:highlight w:val="none"/>
              </w:rPr>
              <w:t>专业的高级工程师或以上职称，</w:t>
            </w:r>
            <w:r>
              <w:rPr>
                <w:rFonts w:hint="eastAsia" w:ascii="宋体" w:hAnsi="宋体" w:eastAsia="Times New Roman"/>
                <w:color w:val="auto"/>
                <w:sz w:val="18"/>
                <w:szCs w:val="18"/>
                <w:highlight w:val="none"/>
              </w:rPr>
              <w:t>得</w:t>
            </w:r>
            <w:r>
              <w:rPr>
                <w:rFonts w:ascii="宋体" w:hAnsi="宋体" w:eastAsia="Times New Roman"/>
                <w:b/>
                <w:bCs/>
                <w:color w:val="auto"/>
                <w:sz w:val="18"/>
                <w:szCs w:val="18"/>
                <w:highlight w:val="none"/>
              </w:rPr>
              <w:t>5</w:t>
            </w:r>
            <w:r>
              <w:rPr>
                <w:rFonts w:hint="eastAsia" w:ascii="宋体" w:hAnsi="宋体" w:eastAsia="Times New Roman"/>
                <w:b/>
                <w:bCs/>
                <w:color w:val="auto"/>
                <w:sz w:val="18"/>
                <w:szCs w:val="18"/>
                <w:highlight w:val="none"/>
              </w:rPr>
              <w:t>分</w:t>
            </w:r>
            <w:r>
              <w:rPr>
                <w:rFonts w:hint="eastAsia" w:ascii="宋体" w:hAnsi="宋体" w:eastAsia="Times New Roman"/>
                <w:color w:val="auto"/>
                <w:sz w:val="18"/>
                <w:szCs w:val="18"/>
                <w:highlight w:val="none"/>
              </w:rPr>
              <w:t>；项目负责人为</w:t>
            </w:r>
            <w:r>
              <w:rPr>
                <w:rFonts w:hint="eastAsia" w:ascii="宋体" w:hAnsi="宋体" w:eastAsia="Times New Roman"/>
                <w:bCs/>
                <w:color w:val="auto"/>
                <w:sz w:val="18"/>
                <w:szCs w:val="18"/>
                <w:highlight w:val="none"/>
                <w:u w:val="single"/>
              </w:rPr>
              <w:t>市政</w:t>
            </w:r>
            <w:r>
              <w:rPr>
                <w:rFonts w:hint="eastAsia" w:ascii="宋体" w:hAnsi="宋体"/>
                <w:bCs/>
                <w:color w:val="auto"/>
                <w:sz w:val="18"/>
                <w:szCs w:val="18"/>
                <w:highlight w:val="none"/>
                <w:u w:val="single"/>
              </w:rPr>
              <w:t>道路</w:t>
            </w:r>
            <w:r>
              <w:rPr>
                <w:rFonts w:hint="eastAsia" w:ascii="宋体" w:hAnsi="宋体" w:eastAsia="Times New Roman"/>
                <w:bCs/>
                <w:color w:val="auto"/>
                <w:sz w:val="18"/>
                <w:szCs w:val="18"/>
                <w:highlight w:val="none"/>
                <w:u w:val="single"/>
              </w:rPr>
              <w:t>或路桥</w:t>
            </w:r>
            <w:r>
              <w:rPr>
                <w:rFonts w:hint="eastAsia" w:ascii="宋体" w:hAnsi="宋体" w:eastAsia="宋体"/>
                <w:bCs/>
                <w:color w:val="auto"/>
                <w:sz w:val="18"/>
                <w:szCs w:val="18"/>
                <w:highlight w:val="none"/>
                <w:u w:val="none"/>
                <w:lang w:val="en-US" w:eastAsia="zh-CN"/>
              </w:rPr>
              <w:t>相关</w:t>
            </w:r>
            <w:r>
              <w:rPr>
                <w:rFonts w:hint="eastAsia" w:ascii="宋体" w:hAnsi="宋体" w:eastAsia="Times New Roman"/>
                <w:bCs/>
                <w:color w:val="auto"/>
                <w:sz w:val="18"/>
                <w:szCs w:val="18"/>
                <w:highlight w:val="none"/>
              </w:rPr>
              <w:t>专业</w:t>
            </w:r>
            <w:r>
              <w:rPr>
                <w:rFonts w:hint="eastAsia" w:ascii="宋体" w:hAnsi="宋体" w:eastAsia="Times New Roman"/>
                <w:color w:val="auto"/>
                <w:sz w:val="18"/>
                <w:szCs w:val="18"/>
                <w:highlight w:val="none"/>
              </w:rPr>
              <w:t>的工程师，得</w:t>
            </w:r>
            <w:r>
              <w:rPr>
                <w:rFonts w:ascii="宋体" w:hAnsi="宋体" w:eastAsia="Times New Roman"/>
                <w:b/>
                <w:bCs/>
                <w:color w:val="auto"/>
                <w:sz w:val="18"/>
                <w:szCs w:val="18"/>
                <w:highlight w:val="none"/>
              </w:rPr>
              <w:t>3</w:t>
            </w:r>
            <w:r>
              <w:rPr>
                <w:rFonts w:hint="eastAsia" w:ascii="宋体" w:hAnsi="宋体" w:eastAsia="Times New Roman"/>
                <w:b/>
                <w:bCs/>
                <w:color w:val="auto"/>
                <w:sz w:val="18"/>
                <w:szCs w:val="18"/>
                <w:highlight w:val="none"/>
              </w:rPr>
              <w:t>分</w:t>
            </w:r>
            <w:r>
              <w:rPr>
                <w:rFonts w:hint="eastAsia" w:ascii="宋体" w:hAnsi="宋体" w:eastAsia="Times New Roman"/>
                <w:b/>
                <w:color w:val="auto"/>
                <w:sz w:val="18"/>
                <w:szCs w:val="18"/>
                <w:highlight w:val="none"/>
              </w:rPr>
              <w:t>，</w:t>
            </w:r>
            <w:r>
              <w:rPr>
                <w:rFonts w:hint="eastAsia" w:ascii="宋体" w:hAnsi="宋体" w:eastAsia="Times New Roman"/>
                <w:color w:val="auto"/>
                <w:sz w:val="18"/>
                <w:szCs w:val="18"/>
                <w:highlight w:val="none"/>
              </w:rPr>
              <w:t>其他不得分。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1043"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644" w:type="dxa"/>
            <w:tcBorders>
              <w:top w:val="single" w:color="auto" w:sz="4" w:space="0"/>
              <w:left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5</w:t>
            </w:r>
          </w:p>
        </w:tc>
        <w:tc>
          <w:tcPr>
            <w:tcW w:w="11343" w:type="dxa"/>
            <w:tcBorders>
              <w:left w:val="single" w:color="auto" w:sz="4" w:space="0"/>
              <w:right w:val="single" w:color="auto" w:sz="4" w:space="0"/>
            </w:tcBorders>
            <w:vAlign w:val="center"/>
          </w:tcPr>
          <w:p>
            <w:pPr>
              <w:snapToGrid w:val="0"/>
              <w:spacing w:line="280" w:lineRule="exact"/>
              <w:rPr>
                <w:rFonts w:hint="eastAsia" w:ascii="宋体" w:hAnsi="宋体" w:eastAsia="Times New Roman"/>
                <w:bCs/>
                <w:color w:val="auto"/>
                <w:sz w:val="18"/>
                <w:szCs w:val="18"/>
                <w:highlight w:val="none"/>
              </w:rPr>
            </w:pPr>
            <w:r>
              <w:rPr>
                <w:rFonts w:hint="eastAsia" w:ascii="宋体" w:hAnsi="宋体" w:eastAsia="Times New Roman"/>
                <w:bCs/>
                <w:color w:val="auto"/>
                <w:sz w:val="18"/>
                <w:szCs w:val="18"/>
                <w:highlight w:val="none"/>
              </w:rPr>
              <w:t>项目负责人曾</w:t>
            </w:r>
            <w:r>
              <w:rPr>
                <w:rFonts w:hint="eastAsia" w:ascii="宋体" w:hAnsi="宋体" w:eastAsia="宋体"/>
                <w:bCs/>
                <w:color w:val="auto"/>
                <w:sz w:val="18"/>
                <w:szCs w:val="18"/>
                <w:highlight w:val="none"/>
                <w:lang w:val="en-US" w:eastAsia="zh-CN"/>
              </w:rPr>
              <w:t>参与</w:t>
            </w:r>
            <w:r>
              <w:rPr>
                <w:rFonts w:hint="eastAsia" w:ascii="宋体" w:hAnsi="宋体" w:eastAsia="Times New Roman"/>
                <w:bCs/>
                <w:color w:val="auto"/>
                <w:sz w:val="18"/>
                <w:szCs w:val="18"/>
                <w:highlight w:val="none"/>
              </w:rPr>
              <w:t>过质量合格且中标金额</w:t>
            </w:r>
            <w:r>
              <w:rPr>
                <w:rFonts w:hint="eastAsia" w:ascii="宋体" w:hAnsi="宋体" w:eastAsia="Times New Roman"/>
                <w:bCs/>
                <w:color w:val="auto"/>
                <w:sz w:val="18"/>
                <w:szCs w:val="18"/>
                <w:highlight w:val="none"/>
                <w:u w:val="single"/>
                <w:lang w:val="en-US" w:eastAsia="zh-CN"/>
              </w:rPr>
              <w:t>1000</w:t>
            </w:r>
            <w:r>
              <w:rPr>
                <w:rFonts w:hint="eastAsia" w:ascii="宋体" w:hAnsi="宋体" w:eastAsia="Times New Roman"/>
                <w:bCs/>
                <w:color w:val="auto"/>
                <w:sz w:val="18"/>
                <w:szCs w:val="18"/>
                <w:highlight w:val="none"/>
              </w:rPr>
              <w:t>万元（或以上）的</w:t>
            </w:r>
            <w:r>
              <w:rPr>
                <w:rFonts w:hint="eastAsia" w:ascii="宋体" w:hAnsi="宋体"/>
                <w:color w:val="auto"/>
                <w:sz w:val="18"/>
                <w:szCs w:val="18"/>
                <w:highlight w:val="none"/>
                <w:u w:val="single"/>
                <w:lang w:eastAsia="zh-CN"/>
              </w:rPr>
              <w:t>市政公用</w:t>
            </w:r>
            <w:r>
              <w:rPr>
                <w:rFonts w:hint="eastAsia" w:ascii="宋体" w:hAnsi="宋体" w:eastAsia="宋体"/>
                <w:bCs/>
                <w:color w:val="auto"/>
                <w:sz w:val="18"/>
                <w:szCs w:val="18"/>
                <w:highlight w:val="none"/>
                <w:u w:val="single"/>
                <w:lang w:val="en-US" w:eastAsia="zh-CN"/>
              </w:rPr>
              <w:t>施工总承包项目</w:t>
            </w:r>
            <w:r>
              <w:rPr>
                <w:rFonts w:hint="eastAsia" w:ascii="宋体" w:hAnsi="宋体" w:eastAsia="Times New Roman"/>
                <w:bCs/>
                <w:color w:val="auto"/>
                <w:sz w:val="18"/>
                <w:szCs w:val="18"/>
                <w:highlight w:val="none"/>
              </w:rPr>
              <w:t>的，每项得</w:t>
            </w:r>
            <w:r>
              <w:rPr>
                <w:rFonts w:ascii="宋体" w:hAnsi="宋体" w:eastAsia="Times New Roman"/>
                <w:b/>
                <w:color w:val="auto"/>
                <w:sz w:val="18"/>
                <w:szCs w:val="18"/>
                <w:highlight w:val="none"/>
              </w:rPr>
              <w:t>2.5</w:t>
            </w:r>
            <w:r>
              <w:rPr>
                <w:rFonts w:hint="eastAsia" w:ascii="宋体" w:hAnsi="宋体" w:eastAsia="Times New Roman"/>
                <w:b/>
                <w:color w:val="auto"/>
                <w:sz w:val="18"/>
                <w:szCs w:val="18"/>
                <w:highlight w:val="none"/>
              </w:rPr>
              <w:t>分</w:t>
            </w:r>
            <w:r>
              <w:rPr>
                <w:rFonts w:hint="eastAsia" w:ascii="宋体" w:hAnsi="宋体" w:eastAsia="Times New Roman"/>
                <w:bCs/>
                <w:color w:val="auto"/>
                <w:sz w:val="18"/>
                <w:szCs w:val="18"/>
                <w:highlight w:val="none"/>
              </w:rPr>
              <w:t>，最高得</w:t>
            </w:r>
            <w:r>
              <w:rPr>
                <w:rFonts w:ascii="宋体" w:hAnsi="宋体" w:eastAsia="Times New Roman"/>
                <w:b/>
                <w:color w:val="auto"/>
                <w:sz w:val="18"/>
                <w:szCs w:val="18"/>
                <w:highlight w:val="none"/>
              </w:rPr>
              <w:t>5</w:t>
            </w:r>
            <w:r>
              <w:rPr>
                <w:rFonts w:hint="eastAsia" w:ascii="宋体" w:hAnsi="宋体" w:eastAsia="Times New Roman"/>
                <w:b/>
                <w:color w:val="auto"/>
                <w:sz w:val="18"/>
                <w:szCs w:val="18"/>
                <w:highlight w:val="none"/>
              </w:rPr>
              <w:t>分</w:t>
            </w:r>
            <w:r>
              <w:rPr>
                <w:rFonts w:hint="eastAsia" w:ascii="宋体" w:hAnsi="宋体" w:eastAsia="Times New Roman"/>
                <w:bCs/>
                <w:color w:val="auto"/>
                <w:sz w:val="18"/>
                <w:szCs w:val="18"/>
                <w:highlight w:val="none"/>
              </w:rPr>
              <w:t>。</w:t>
            </w:r>
          </w:p>
          <w:p>
            <w:pPr>
              <w:snapToGrid w:val="0"/>
              <w:spacing w:line="280" w:lineRule="exact"/>
              <w:rPr>
                <w:rFonts w:hint="eastAsia" w:ascii="宋体" w:hAnsi="宋体" w:eastAsia="宋体"/>
                <w:bCs/>
                <w:color w:val="auto"/>
                <w:sz w:val="18"/>
                <w:szCs w:val="18"/>
                <w:highlight w:val="none"/>
                <w:lang w:val="en-US" w:eastAsia="zh-CN"/>
              </w:rPr>
            </w:pPr>
            <w:r>
              <w:rPr>
                <w:rFonts w:hint="eastAsia" w:ascii="宋体" w:hAnsi="宋体" w:eastAsia="宋体"/>
                <w:bCs/>
                <w:color w:val="auto"/>
                <w:sz w:val="18"/>
                <w:szCs w:val="18"/>
                <w:highlight w:val="none"/>
                <w:lang w:val="en-US" w:eastAsia="zh-CN"/>
              </w:rPr>
              <w:t>注</w:t>
            </w:r>
            <w:r>
              <w:rPr>
                <w:rFonts w:hint="eastAsia" w:ascii="宋体" w:hAnsi="宋体"/>
                <w:bCs/>
                <w:color w:val="auto"/>
                <w:sz w:val="18"/>
                <w:szCs w:val="18"/>
                <w:highlight w:val="none"/>
                <w:lang w:val="en-US" w:eastAsia="zh-CN"/>
              </w:rPr>
              <w:t>：</w:t>
            </w:r>
            <w:r>
              <w:rPr>
                <w:rFonts w:hint="eastAsia" w:ascii="宋体" w:hAnsi="宋体" w:eastAsia="宋体"/>
                <w:bCs/>
                <w:color w:val="auto"/>
                <w:sz w:val="18"/>
                <w:szCs w:val="18"/>
                <w:highlight w:val="none"/>
                <w:lang w:val="en-US" w:eastAsia="zh-CN"/>
              </w:rPr>
              <w:t>1、项目负责人曾参与的业绩指拟派项目负责人曾以项目负责人或技术负责人或质量负责人或安全负责人或造价负责人</w:t>
            </w:r>
            <w:r>
              <w:rPr>
                <w:rFonts w:hint="eastAsia" w:ascii="宋体" w:hAnsi="宋体"/>
                <w:bCs/>
                <w:color w:val="auto"/>
                <w:sz w:val="18"/>
                <w:szCs w:val="18"/>
                <w:highlight w:val="none"/>
                <w:lang w:val="en-US" w:eastAsia="zh-CN"/>
              </w:rPr>
              <w:t>等负责人</w:t>
            </w:r>
            <w:r>
              <w:rPr>
                <w:rFonts w:hint="eastAsia" w:ascii="宋体" w:hAnsi="宋体" w:eastAsia="宋体"/>
                <w:bCs/>
                <w:color w:val="auto"/>
                <w:sz w:val="18"/>
                <w:szCs w:val="18"/>
                <w:highlight w:val="none"/>
                <w:lang w:val="en-US" w:eastAsia="zh-CN"/>
              </w:rPr>
              <w:t>职务身份完成的业绩。</w:t>
            </w:r>
          </w:p>
          <w:p>
            <w:pPr>
              <w:pStyle w:val="2"/>
              <w:ind w:firstLine="0" w:firstLineChars="0"/>
              <w:rPr>
                <w:rFonts w:hint="default"/>
                <w:lang w:val="en-US" w:eastAsia="zh-CN"/>
              </w:rPr>
            </w:pPr>
            <w:r>
              <w:rPr>
                <w:rFonts w:hint="eastAsia" w:hAnsi="宋体" w:eastAsia="宋体"/>
                <w:bCs/>
                <w:color w:val="auto"/>
                <w:sz w:val="18"/>
                <w:szCs w:val="18"/>
                <w:highlight w:val="none"/>
                <w:lang w:val="en-US" w:eastAsia="zh-CN"/>
              </w:rPr>
              <w:t>2、职务身份的认定以中标通知书或施工合同或竣工验收报告或竣工验收证明或工程竣工验收备案表或其他竣工验收证明材料显示担任的职务身份内容为准。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1043"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restart"/>
            <w:tcBorders>
              <w:top w:val="single" w:color="auto" w:sz="4" w:space="0"/>
              <w:left w:val="single" w:color="auto" w:sz="8"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其他管理人员情况</w:t>
            </w:r>
          </w:p>
          <w:p>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（质量</w:t>
            </w:r>
            <w:r>
              <w:rPr>
                <w:rFonts w:hint="eastAsia" w:ascii="宋体" w:hAnsi="宋体"/>
                <w:color w:val="auto"/>
                <w:sz w:val="18"/>
                <w:szCs w:val="18"/>
                <w:highlight w:val="none"/>
                <w:lang w:val="en-US" w:eastAsia="zh-CN"/>
              </w:rPr>
              <w:t>负责人</w:t>
            </w:r>
            <w:r>
              <w:rPr>
                <w:rFonts w:hint="eastAsia" w:ascii="宋体" w:hAnsi="宋体" w:eastAsia="Times New Roman"/>
                <w:color w:val="auto"/>
                <w:sz w:val="18"/>
                <w:szCs w:val="18"/>
                <w:highlight w:val="none"/>
              </w:rPr>
              <w:t>和</w:t>
            </w:r>
            <w:r>
              <w:rPr>
                <w:rFonts w:hint="eastAsia" w:ascii="宋体" w:hAnsi="宋体" w:cs="Times New Roman"/>
                <w:color w:val="auto"/>
                <w:sz w:val="18"/>
                <w:szCs w:val="18"/>
                <w:highlight w:val="none"/>
                <w:lang w:val="en-US" w:eastAsia="zh-CN"/>
              </w:rPr>
              <w:t>安全负责人</w:t>
            </w:r>
            <w:r>
              <w:rPr>
                <w:rFonts w:hint="eastAsia" w:ascii="宋体" w:hAnsi="宋体" w:eastAsia="Times New Roman"/>
                <w:color w:val="auto"/>
                <w:sz w:val="18"/>
                <w:szCs w:val="18"/>
                <w:highlight w:val="none"/>
              </w:rPr>
              <w:t>为同一人的，只计一项得分）</w:t>
            </w:r>
          </w:p>
        </w:tc>
        <w:tc>
          <w:tcPr>
            <w:tcW w:w="644" w:type="dxa"/>
            <w:tcBorders>
              <w:left w:val="single" w:color="auto" w:sz="4" w:space="0"/>
              <w:right w:val="single" w:color="auto" w:sz="4" w:space="0"/>
            </w:tcBorders>
            <w:vAlign w:val="center"/>
          </w:tcPr>
          <w:p>
            <w:pPr>
              <w:widowControl/>
              <w:adjustRightInd w:val="0"/>
              <w:snapToGrid w:val="0"/>
              <w:jc w:val="center"/>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10</w:t>
            </w:r>
          </w:p>
        </w:tc>
        <w:tc>
          <w:tcPr>
            <w:tcW w:w="11343" w:type="dxa"/>
            <w:tcBorders>
              <w:left w:val="single" w:color="auto" w:sz="4" w:space="0"/>
              <w:right w:val="single" w:color="auto" w:sz="4" w:space="0"/>
            </w:tcBorders>
            <w:vAlign w:val="center"/>
          </w:tcPr>
          <w:p>
            <w:pPr>
              <w:snapToGrid w:val="0"/>
              <w:spacing w:line="280" w:lineRule="exact"/>
              <w:jc w:val="left"/>
              <w:rPr>
                <w:rFonts w:ascii="宋体" w:hAnsi="宋体"/>
                <w:bCs/>
                <w:color w:val="auto"/>
                <w:sz w:val="18"/>
                <w:szCs w:val="18"/>
                <w:highlight w:val="none"/>
              </w:rPr>
            </w:pPr>
            <w:r>
              <w:rPr>
                <w:rFonts w:hint="eastAsia" w:ascii="宋体" w:hAnsi="宋体" w:eastAsia="Times New Roman"/>
                <w:bCs/>
                <w:color w:val="auto"/>
                <w:sz w:val="18"/>
                <w:szCs w:val="18"/>
                <w:highlight w:val="none"/>
              </w:rPr>
              <w:t>技术负责人为</w:t>
            </w:r>
            <w:r>
              <w:rPr>
                <w:rFonts w:hint="eastAsia" w:ascii="宋体" w:hAnsi="宋体" w:eastAsia="Times New Roman"/>
                <w:bCs/>
                <w:color w:val="auto"/>
                <w:sz w:val="18"/>
                <w:szCs w:val="18"/>
                <w:highlight w:val="none"/>
                <w:u w:val="single"/>
              </w:rPr>
              <w:t>市政道路或路桥</w:t>
            </w:r>
            <w:r>
              <w:rPr>
                <w:rFonts w:hint="eastAsia" w:ascii="宋体" w:hAnsi="宋体" w:eastAsia="Times New Roman"/>
                <w:bCs/>
                <w:color w:val="auto"/>
                <w:sz w:val="18"/>
                <w:szCs w:val="18"/>
                <w:highlight w:val="none"/>
                <w:u w:val="none"/>
                <w:lang w:val="en-US" w:eastAsia="zh-CN"/>
              </w:rPr>
              <w:t>相关</w:t>
            </w:r>
            <w:r>
              <w:rPr>
                <w:rFonts w:hint="eastAsia" w:ascii="宋体" w:hAnsi="宋体" w:eastAsia="Times New Roman"/>
                <w:bCs/>
                <w:color w:val="auto"/>
                <w:sz w:val="18"/>
                <w:szCs w:val="18"/>
                <w:highlight w:val="none"/>
              </w:rPr>
              <w:t>专业的高级工程师或以上职称，得</w:t>
            </w:r>
            <w:r>
              <w:rPr>
                <w:rFonts w:hint="eastAsia" w:ascii="宋体" w:hAnsi="宋体" w:eastAsia="宋体"/>
                <w:b/>
                <w:bCs/>
                <w:color w:val="auto"/>
                <w:sz w:val="18"/>
                <w:szCs w:val="18"/>
                <w:highlight w:val="none"/>
                <w:lang w:val="en-US" w:eastAsia="zh-CN"/>
              </w:rPr>
              <w:t>10</w:t>
            </w:r>
            <w:r>
              <w:rPr>
                <w:rFonts w:hint="eastAsia" w:ascii="宋体" w:hAnsi="宋体" w:eastAsia="Times New Roman"/>
                <w:b/>
                <w:bCs/>
                <w:color w:val="auto"/>
                <w:sz w:val="18"/>
                <w:szCs w:val="18"/>
                <w:highlight w:val="none"/>
              </w:rPr>
              <w:t>分</w:t>
            </w:r>
            <w:r>
              <w:rPr>
                <w:rFonts w:hint="eastAsia" w:ascii="宋体" w:hAnsi="宋体" w:eastAsia="Times New Roman"/>
                <w:bCs/>
                <w:color w:val="auto"/>
                <w:sz w:val="18"/>
                <w:szCs w:val="18"/>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1043"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10</w:t>
            </w:r>
          </w:p>
        </w:tc>
        <w:tc>
          <w:tcPr>
            <w:tcW w:w="11343" w:type="dxa"/>
            <w:tcBorders>
              <w:left w:val="single" w:color="auto" w:sz="4" w:space="0"/>
              <w:right w:val="single" w:color="auto" w:sz="4" w:space="0"/>
            </w:tcBorders>
            <w:vAlign w:val="center"/>
          </w:tcPr>
          <w:p>
            <w:pPr>
              <w:snapToGrid w:val="0"/>
              <w:spacing w:line="280" w:lineRule="exact"/>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拟派的质量</w:t>
            </w:r>
            <w:r>
              <w:rPr>
                <w:rFonts w:hint="eastAsia" w:ascii="宋体" w:hAnsi="宋体"/>
                <w:color w:val="auto"/>
                <w:sz w:val="18"/>
                <w:szCs w:val="18"/>
                <w:highlight w:val="none"/>
                <w:lang w:val="en-US" w:eastAsia="zh-CN"/>
              </w:rPr>
              <w:t>负责人</w:t>
            </w:r>
            <w:r>
              <w:rPr>
                <w:rFonts w:hint="eastAsia" w:ascii="宋体" w:hAnsi="宋体" w:eastAsia="宋体"/>
                <w:color w:val="auto"/>
                <w:sz w:val="18"/>
                <w:szCs w:val="18"/>
                <w:highlight w:val="none"/>
                <w:lang w:val="en-US" w:eastAsia="zh-CN"/>
              </w:rPr>
              <w:t>为</w:t>
            </w:r>
            <w:r>
              <w:rPr>
                <w:rFonts w:hint="eastAsia" w:ascii="宋体" w:hAnsi="宋体" w:eastAsia="宋体"/>
                <w:color w:val="auto"/>
                <w:sz w:val="18"/>
                <w:szCs w:val="18"/>
                <w:highlight w:val="none"/>
                <w:u w:val="single"/>
                <w:lang w:val="en-US" w:eastAsia="zh-CN"/>
              </w:rPr>
              <w:t>市政道路或路桥</w:t>
            </w:r>
            <w:r>
              <w:rPr>
                <w:rFonts w:hint="eastAsia" w:ascii="宋体" w:hAnsi="宋体" w:eastAsia="宋体"/>
                <w:color w:val="auto"/>
                <w:sz w:val="18"/>
                <w:szCs w:val="18"/>
                <w:highlight w:val="none"/>
                <w:lang w:val="en-US" w:eastAsia="zh-CN"/>
              </w:rPr>
              <w:t>相关专业的高级工程师或以上职称，得</w:t>
            </w:r>
            <w:r>
              <w:rPr>
                <w:rFonts w:hint="eastAsia" w:ascii="宋体" w:hAnsi="宋体"/>
                <w:color w:val="auto"/>
                <w:sz w:val="18"/>
                <w:szCs w:val="18"/>
                <w:highlight w:val="none"/>
                <w:lang w:val="en-US" w:eastAsia="zh-CN"/>
              </w:rPr>
              <w:t>10</w:t>
            </w:r>
            <w:r>
              <w:rPr>
                <w:rFonts w:hint="eastAsia" w:ascii="宋体" w:hAnsi="宋体" w:eastAsia="宋体"/>
                <w:color w:val="auto"/>
                <w:sz w:val="18"/>
                <w:szCs w:val="18"/>
                <w:highlight w:val="none"/>
                <w:lang w:val="en-US" w:eastAsia="zh-CN"/>
              </w:rPr>
              <w:t>分；质量</w:t>
            </w:r>
            <w:r>
              <w:rPr>
                <w:rFonts w:hint="eastAsia" w:ascii="宋体" w:hAnsi="宋体"/>
                <w:color w:val="auto"/>
                <w:sz w:val="18"/>
                <w:szCs w:val="18"/>
                <w:highlight w:val="none"/>
                <w:lang w:val="en-US" w:eastAsia="zh-CN"/>
              </w:rPr>
              <w:t>负责人</w:t>
            </w:r>
            <w:r>
              <w:rPr>
                <w:rFonts w:hint="eastAsia" w:ascii="宋体" w:hAnsi="宋体" w:eastAsia="宋体"/>
                <w:color w:val="auto"/>
                <w:sz w:val="18"/>
                <w:szCs w:val="18"/>
                <w:highlight w:val="none"/>
                <w:lang w:val="en-US" w:eastAsia="zh-CN"/>
              </w:rPr>
              <w:t>为</w:t>
            </w:r>
            <w:r>
              <w:rPr>
                <w:rFonts w:hint="eastAsia" w:ascii="宋体" w:hAnsi="宋体" w:eastAsia="宋体"/>
                <w:color w:val="auto"/>
                <w:sz w:val="18"/>
                <w:szCs w:val="18"/>
                <w:highlight w:val="none"/>
                <w:u w:val="single"/>
                <w:lang w:val="en-US" w:eastAsia="zh-CN"/>
              </w:rPr>
              <w:t>市政道路或路桥</w:t>
            </w:r>
            <w:r>
              <w:rPr>
                <w:rFonts w:hint="eastAsia" w:ascii="宋体" w:hAnsi="宋体" w:eastAsia="宋体"/>
                <w:color w:val="auto"/>
                <w:sz w:val="18"/>
                <w:szCs w:val="18"/>
                <w:highlight w:val="none"/>
                <w:lang w:val="en-US" w:eastAsia="zh-CN"/>
              </w:rPr>
              <w:t>相关专业的工程师职称，得</w:t>
            </w:r>
            <w:r>
              <w:rPr>
                <w:rFonts w:hint="eastAsia" w:ascii="宋体" w:hAnsi="宋体"/>
                <w:color w:val="auto"/>
                <w:sz w:val="18"/>
                <w:szCs w:val="18"/>
                <w:highlight w:val="none"/>
                <w:lang w:val="en-US" w:eastAsia="zh-CN"/>
              </w:rPr>
              <w:t>5</w:t>
            </w:r>
            <w:r>
              <w:rPr>
                <w:rFonts w:hint="eastAsia" w:ascii="宋体" w:hAnsi="宋体" w:eastAsia="宋体"/>
                <w:color w:val="auto"/>
                <w:sz w:val="18"/>
                <w:szCs w:val="18"/>
                <w:highlight w:val="none"/>
                <w:lang w:val="en-US" w:eastAsia="zh-CN"/>
              </w:rPr>
              <w:t>分，其他不得分。</w:t>
            </w:r>
          </w:p>
          <w:p>
            <w:pPr>
              <w:pStyle w:val="2"/>
            </w:pPr>
            <w:r>
              <w:rPr>
                <w:rFonts w:hint="eastAsia" w:hAnsi="宋体"/>
                <w:color w:val="auto"/>
                <w:sz w:val="18"/>
                <w:szCs w:val="18"/>
                <w:highlight w:val="none"/>
                <w:lang w:val="en-US" w:eastAsia="zh-CN"/>
              </w:rPr>
              <w:t>注：质量负责人应具有住房和城乡建设领域施工现场专业人员职业培训合格证（岗位名称为“市政工程质量员”）</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jc w:val="center"/>
        </w:trPr>
        <w:tc>
          <w:tcPr>
            <w:tcW w:w="1043"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10</w:t>
            </w:r>
          </w:p>
        </w:tc>
        <w:tc>
          <w:tcPr>
            <w:tcW w:w="11343" w:type="dxa"/>
            <w:tcBorders>
              <w:left w:val="single" w:color="auto" w:sz="4" w:space="0"/>
              <w:right w:val="single" w:color="auto" w:sz="4" w:space="0"/>
            </w:tcBorders>
            <w:vAlign w:val="center"/>
          </w:tcPr>
          <w:p>
            <w:pPr>
              <w:snapToGrid w:val="0"/>
              <w:spacing w:line="280" w:lineRule="exact"/>
              <w:rPr>
                <w:rFonts w:hint="eastAsia" w:ascii="宋体" w:hAnsi="宋体" w:eastAsia="Times New Roman"/>
                <w:bCs/>
                <w:color w:val="auto"/>
                <w:sz w:val="18"/>
                <w:szCs w:val="18"/>
                <w:highlight w:val="none"/>
              </w:rPr>
            </w:pPr>
            <w:r>
              <w:rPr>
                <w:rFonts w:hint="eastAsia" w:ascii="宋体" w:hAnsi="宋体" w:cs="Times New Roman"/>
                <w:color w:val="auto"/>
                <w:sz w:val="18"/>
                <w:szCs w:val="18"/>
                <w:highlight w:val="none"/>
                <w:lang w:val="en-US" w:eastAsia="zh-CN"/>
              </w:rPr>
              <w:t>拟派的安全负责人</w:t>
            </w:r>
            <w:r>
              <w:rPr>
                <w:rFonts w:hint="eastAsia" w:ascii="宋体" w:hAnsi="宋体" w:eastAsia="Times New Roman"/>
                <w:bCs/>
                <w:color w:val="auto"/>
                <w:sz w:val="18"/>
                <w:szCs w:val="18"/>
                <w:highlight w:val="none"/>
              </w:rPr>
              <w:t>为</w:t>
            </w:r>
            <w:r>
              <w:rPr>
                <w:rFonts w:hint="eastAsia" w:ascii="宋体" w:hAnsi="宋体" w:eastAsia="Times New Roman"/>
                <w:bCs/>
                <w:color w:val="auto"/>
                <w:sz w:val="18"/>
                <w:szCs w:val="18"/>
                <w:highlight w:val="none"/>
                <w:u w:val="single"/>
              </w:rPr>
              <w:t>市政道路或路桥</w:t>
            </w:r>
            <w:r>
              <w:rPr>
                <w:rFonts w:hint="eastAsia" w:ascii="宋体" w:hAnsi="宋体" w:eastAsia="Times New Roman"/>
                <w:bCs/>
                <w:color w:val="auto"/>
                <w:sz w:val="18"/>
                <w:szCs w:val="18"/>
                <w:highlight w:val="none"/>
                <w:lang w:val="en-US" w:eastAsia="zh-CN"/>
              </w:rPr>
              <w:t>相</w:t>
            </w:r>
            <w:r>
              <w:rPr>
                <w:rFonts w:hint="eastAsia" w:ascii="宋体" w:hAnsi="宋体" w:eastAsia="Times New Roman"/>
                <w:bCs/>
                <w:color w:val="auto"/>
                <w:sz w:val="18"/>
                <w:szCs w:val="18"/>
                <w:highlight w:val="none"/>
                <w:u w:val="none"/>
                <w:lang w:val="en-US" w:eastAsia="zh-CN"/>
              </w:rPr>
              <w:t>关</w:t>
            </w:r>
            <w:r>
              <w:rPr>
                <w:rFonts w:hint="eastAsia" w:ascii="宋体" w:hAnsi="宋体" w:eastAsia="Times New Roman"/>
                <w:bCs/>
                <w:color w:val="auto"/>
                <w:sz w:val="18"/>
                <w:szCs w:val="18"/>
                <w:highlight w:val="none"/>
                <w:u w:val="none"/>
              </w:rPr>
              <w:t>专业</w:t>
            </w:r>
            <w:r>
              <w:rPr>
                <w:rFonts w:hint="eastAsia" w:ascii="宋体" w:hAnsi="宋体" w:eastAsia="Times New Roman"/>
                <w:bCs/>
                <w:color w:val="auto"/>
                <w:sz w:val="18"/>
                <w:szCs w:val="18"/>
                <w:highlight w:val="none"/>
              </w:rPr>
              <w:t>的高级工程师或以上职称，得</w:t>
            </w:r>
            <w:r>
              <w:rPr>
                <w:rFonts w:hint="eastAsia" w:ascii="宋体" w:hAnsi="宋体" w:eastAsia="宋体"/>
                <w:b/>
                <w:bCs/>
                <w:color w:val="auto"/>
                <w:sz w:val="18"/>
                <w:szCs w:val="18"/>
                <w:highlight w:val="none"/>
                <w:lang w:val="en-US" w:eastAsia="zh-CN"/>
              </w:rPr>
              <w:t>10</w:t>
            </w:r>
            <w:r>
              <w:rPr>
                <w:rFonts w:hint="eastAsia" w:ascii="宋体" w:hAnsi="宋体" w:eastAsia="Times New Roman"/>
                <w:b/>
                <w:bCs/>
                <w:color w:val="auto"/>
                <w:sz w:val="18"/>
                <w:szCs w:val="18"/>
                <w:highlight w:val="none"/>
              </w:rPr>
              <w:t>分</w:t>
            </w:r>
            <w:r>
              <w:rPr>
                <w:rFonts w:hint="eastAsia" w:ascii="宋体" w:hAnsi="宋体" w:eastAsia="Times New Roman"/>
                <w:bCs/>
                <w:color w:val="auto"/>
                <w:sz w:val="18"/>
                <w:szCs w:val="18"/>
                <w:highlight w:val="none"/>
              </w:rPr>
              <w:t>；</w:t>
            </w:r>
            <w:r>
              <w:rPr>
                <w:rFonts w:hint="eastAsia" w:ascii="宋体" w:hAnsi="宋体" w:cs="Times New Roman"/>
                <w:color w:val="auto"/>
                <w:sz w:val="18"/>
                <w:szCs w:val="18"/>
                <w:highlight w:val="none"/>
                <w:lang w:val="en-US" w:eastAsia="zh-CN"/>
              </w:rPr>
              <w:t>拟派的安全负责人</w:t>
            </w:r>
            <w:r>
              <w:rPr>
                <w:rFonts w:hint="eastAsia" w:ascii="宋体" w:hAnsi="宋体" w:eastAsia="Times New Roman"/>
                <w:bCs/>
                <w:color w:val="auto"/>
                <w:sz w:val="18"/>
                <w:szCs w:val="18"/>
                <w:highlight w:val="none"/>
              </w:rPr>
              <w:t>为</w:t>
            </w:r>
            <w:r>
              <w:rPr>
                <w:rFonts w:hint="eastAsia" w:ascii="宋体" w:hAnsi="宋体" w:eastAsia="Times New Roman"/>
                <w:bCs/>
                <w:color w:val="auto"/>
                <w:sz w:val="18"/>
                <w:szCs w:val="18"/>
                <w:highlight w:val="none"/>
                <w:u w:val="single"/>
              </w:rPr>
              <w:t>市政道路或路桥</w:t>
            </w:r>
            <w:r>
              <w:rPr>
                <w:rFonts w:hint="eastAsia" w:ascii="宋体" w:hAnsi="宋体" w:eastAsia="宋体"/>
                <w:bCs/>
                <w:color w:val="auto"/>
                <w:sz w:val="18"/>
                <w:szCs w:val="18"/>
                <w:highlight w:val="none"/>
                <w:u w:val="none"/>
                <w:lang w:val="en-US" w:eastAsia="zh-CN"/>
              </w:rPr>
              <w:t>相关</w:t>
            </w:r>
            <w:r>
              <w:rPr>
                <w:rFonts w:hint="eastAsia" w:ascii="宋体" w:hAnsi="宋体" w:eastAsia="Times New Roman"/>
                <w:bCs/>
                <w:color w:val="auto"/>
                <w:sz w:val="18"/>
                <w:szCs w:val="18"/>
                <w:highlight w:val="none"/>
              </w:rPr>
              <w:t>专业的工程师职称，得</w:t>
            </w:r>
            <w:r>
              <w:rPr>
                <w:rFonts w:hint="eastAsia" w:ascii="宋体" w:hAnsi="宋体" w:eastAsia="宋体"/>
                <w:b/>
                <w:bCs/>
                <w:color w:val="auto"/>
                <w:sz w:val="18"/>
                <w:szCs w:val="18"/>
                <w:highlight w:val="none"/>
                <w:lang w:val="en-US" w:eastAsia="zh-CN"/>
              </w:rPr>
              <w:t>5</w:t>
            </w:r>
            <w:r>
              <w:rPr>
                <w:rFonts w:hint="eastAsia" w:ascii="宋体" w:hAnsi="宋体" w:eastAsia="Times New Roman"/>
                <w:b/>
                <w:bCs/>
                <w:color w:val="auto"/>
                <w:sz w:val="18"/>
                <w:szCs w:val="18"/>
                <w:highlight w:val="none"/>
              </w:rPr>
              <w:t>分</w:t>
            </w:r>
            <w:r>
              <w:rPr>
                <w:rFonts w:hint="eastAsia" w:ascii="宋体" w:hAnsi="宋体" w:eastAsia="Times New Roman"/>
                <w:bCs/>
                <w:color w:val="auto"/>
                <w:sz w:val="18"/>
                <w:szCs w:val="18"/>
                <w:highlight w:val="none"/>
              </w:rPr>
              <w:t>，其他不得分。</w:t>
            </w:r>
          </w:p>
          <w:p>
            <w:pPr>
              <w:pStyle w:val="2"/>
            </w:pPr>
            <w:r>
              <w:rPr>
                <w:rFonts w:hint="eastAsia" w:hAnsi="宋体" w:eastAsia="宋体"/>
                <w:bCs/>
                <w:color w:val="auto"/>
                <w:sz w:val="18"/>
                <w:szCs w:val="18"/>
                <w:highlight w:val="none"/>
                <w:lang w:val="en-US" w:eastAsia="zh-CN"/>
              </w:rPr>
              <w:t>注：安全负责人应具有安全生产考核合格证（C类）或建筑施工企业专职安全生产管理人员安全生产考核合格证书（C3类）。</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043" w:type="dxa"/>
            <w:vMerge w:val="continue"/>
            <w:tcBorders>
              <w:left w:val="single" w:color="auto" w:sz="8"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right w:val="single" w:color="auto" w:sz="4" w:space="0"/>
            </w:tcBorders>
            <w:vAlign w:val="center"/>
          </w:tcPr>
          <w:p>
            <w:pPr>
              <w:snapToGrid w:val="0"/>
              <w:spacing w:line="280" w:lineRule="exact"/>
              <w:rPr>
                <w:rFonts w:ascii="宋体" w:hAnsi="宋体" w:eastAsia="Times New Roman"/>
                <w:color w:val="auto"/>
                <w:sz w:val="18"/>
                <w:szCs w:val="18"/>
                <w:highlight w:val="none"/>
              </w:rPr>
            </w:pPr>
          </w:p>
        </w:tc>
        <w:tc>
          <w:tcPr>
            <w:tcW w:w="644" w:type="dxa"/>
            <w:tcBorders>
              <w:left w:val="single" w:color="auto" w:sz="4" w:space="0"/>
              <w:right w:val="single" w:color="auto" w:sz="4" w:space="0"/>
            </w:tcBorders>
            <w:vAlign w:val="center"/>
          </w:tcPr>
          <w:p>
            <w:pPr>
              <w:widowControl/>
              <w:adjustRightInd w:val="0"/>
              <w:snapToGrid w:val="0"/>
              <w:jc w:val="center"/>
              <w:rPr>
                <w:rFonts w:hint="eastAsia" w:ascii="宋体" w:hAnsi="宋体" w:eastAsia="宋体"/>
                <w:color w:val="auto"/>
                <w:sz w:val="18"/>
                <w:szCs w:val="18"/>
                <w:highlight w:val="none"/>
                <w:lang w:eastAsia="zh-CN"/>
              </w:rPr>
            </w:pPr>
            <w:r>
              <w:rPr>
                <w:rFonts w:hint="eastAsia" w:ascii="宋体" w:hAnsi="宋体" w:eastAsia="宋体"/>
                <w:color w:val="auto"/>
                <w:sz w:val="18"/>
                <w:szCs w:val="18"/>
                <w:highlight w:val="none"/>
                <w:lang w:val="en-US" w:eastAsia="zh-CN"/>
              </w:rPr>
              <w:t>8</w:t>
            </w:r>
          </w:p>
        </w:tc>
        <w:tc>
          <w:tcPr>
            <w:tcW w:w="11343" w:type="dxa"/>
            <w:tcBorders>
              <w:left w:val="single" w:color="auto" w:sz="4" w:space="0"/>
              <w:right w:val="single" w:color="auto" w:sz="4" w:space="0"/>
            </w:tcBorders>
            <w:vAlign w:val="center"/>
          </w:tcPr>
          <w:p>
            <w:pPr>
              <w:snapToGrid w:val="0"/>
              <w:spacing w:line="280" w:lineRule="exact"/>
              <w:rPr>
                <w:rFonts w:ascii="宋体" w:hAnsi="宋体" w:eastAsia="Times New Roman"/>
                <w:bCs/>
                <w:color w:val="auto"/>
                <w:sz w:val="18"/>
                <w:szCs w:val="18"/>
                <w:highlight w:val="none"/>
              </w:rPr>
            </w:pPr>
            <w:r>
              <w:rPr>
                <w:rFonts w:hint="eastAsia" w:ascii="宋体" w:hAnsi="宋体"/>
                <w:bCs/>
                <w:color w:val="auto"/>
                <w:sz w:val="18"/>
                <w:szCs w:val="18"/>
                <w:highlight w:val="none"/>
              </w:rPr>
              <w:t>造价负责人为一级注册造价工程师，得</w:t>
            </w:r>
            <w:r>
              <w:rPr>
                <w:rFonts w:hint="eastAsia" w:ascii="宋体" w:hAnsi="宋体"/>
                <w:b/>
                <w:bCs/>
                <w:color w:val="auto"/>
                <w:sz w:val="18"/>
                <w:szCs w:val="18"/>
                <w:highlight w:val="none"/>
                <w:lang w:val="en-US" w:eastAsia="zh-CN"/>
              </w:rPr>
              <w:t>8</w:t>
            </w:r>
            <w:r>
              <w:rPr>
                <w:rFonts w:hint="eastAsia" w:ascii="宋体" w:hAnsi="宋体"/>
                <w:b/>
                <w:bCs/>
                <w:color w:val="auto"/>
                <w:sz w:val="18"/>
                <w:szCs w:val="18"/>
                <w:highlight w:val="none"/>
              </w:rPr>
              <w:t>分</w:t>
            </w:r>
            <w:r>
              <w:rPr>
                <w:rFonts w:hint="eastAsia" w:ascii="宋体" w:hAnsi="宋体"/>
                <w:bCs/>
                <w:color w:val="auto"/>
                <w:sz w:val="18"/>
                <w:szCs w:val="18"/>
                <w:highlight w:val="none"/>
              </w:rPr>
              <w:t>；造价负责人为二级注册造价工程师，得</w:t>
            </w:r>
            <w:r>
              <w:rPr>
                <w:rFonts w:hint="eastAsia" w:ascii="宋体" w:hAnsi="宋体"/>
                <w:b/>
                <w:bCs/>
                <w:color w:val="auto"/>
                <w:sz w:val="18"/>
                <w:szCs w:val="18"/>
                <w:highlight w:val="none"/>
                <w:lang w:val="en-US" w:eastAsia="zh-CN"/>
              </w:rPr>
              <w:t>4</w:t>
            </w:r>
            <w:r>
              <w:rPr>
                <w:rFonts w:hint="eastAsia" w:ascii="宋体" w:hAnsi="宋体"/>
                <w:b/>
                <w:bCs/>
                <w:color w:val="auto"/>
                <w:sz w:val="18"/>
                <w:szCs w:val="18"/>
                <w:highlight w:val="none"/>
              </w:rPr>
              <w:t>分</w:t>
            </w:r>
            <w:r>
              <w:rPr>
                <w:rFonts w:hint="eastAsia" w:ascii="宋体" w:hAnsi="宋体"/>
                <w:bCs/>
                <w:color w:val="auto"/>
                <w:sz w:val="18"/>
                <w:szCs w:val="18"/>
                <w:highlight w:val="none"/>
              </w:rPr>
              <w:t>，其他不得分。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43"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rPr>
                <w:rFonts w:hint="eastAsia" w:ascii="宋体" w:hAnsi="宋体" w:eastAsia="Times New Roman"/>
                <w:color w:val="auto"/>
                <w:sz w:val="18"/>
                <w:szCs w:val="18"/>
                <w:highlight w:val="none"/>
              </w:rPr>
            </w:pPr>
          </w:p>
        </w:tc>
        <w:tc>
          <w:tcPr>
            <w:tcW w:w="644" w:type="dxa"/>
            <w:tcBorders>
              <w:left w:val="single" w:color="auto" w:sz="4" w:space="0"/>
              <w:bottom w:val="single" w:color="auto" w:sz="4" w:space="0"/>
              <w:right w:val="single" w:color="auto" w:sz="4" w:space="0"/>
            </w:tcBorders>
            <w:vAlign w:val="center"/>
          </w:tcPr>
          <w:p>
            <w:pPr>
              <w:widowControl/>
              <w:adjustRightInd w:val="0"/>
              <w:snapToGrid w:val="0"/>
              <w:jc w:val="center"/>
              <w:rPr>
                <w:rFonts w:hint="eastAsia"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2</w:t>
            </w:r>
          </w:p>
        </w:tc>
        <w:tc>
          <w:tcPr>
            <w:tcW w:w="11343" w:type="dxa"/>
            <w:tcBorders>
              <w:left w:val="single" w:color="auto" w:sz="4" w:space="0"/>
              <w:bottom w:val="single" w:color="auto" w:sz="4" w:space="0"/>
              <w:right w:val="single" w:color="auto" w:sz="4" w:space="0"/>
            </w:tcBorders>
            <w:vAlign w:val="center"/>
          </w:tcPr>
          <w:p>
            <w:pPr>
              <w:adjustRightInd w:val="0"/>
              <w:snapToGrid w:val="0"/>
              <w:rPr>
                <w:rFonts w:hint="default" w:ascii="宋体" w:hAnsi="宋体" w:eastAsia="宋体"/>
                <w:color w:val="auto"/>
                <w:sz w:val="18"/>
                <w:szCs w:val="18"/>
                <w:highlight w:val="none"/>
                <w:lang w:val="en-US" w:eastAsia="zh-CN"/>
              </w:rPr>
            </w:pPr>
            <w:r>
              <w:rPr>
                <w:rFonts w:hint="eastAsia" w:ascii="宋体" w:hAnsi="宋体" w:eastAsia="宋体"/>
                <w:color w:val="auto"/>
                <w:sz w:val="18"/>
                <w:szCs w:val="18"/>
                <w:highlight w:val="none"/>
                <w:lang w:val="en-US" w:eastAsia="zh-CN"/>
              </w:rPr>
              <w:t>资料员为市政道路或路桥相关专业的工程师（或以上）职称的，得2分；资料员为其他专业工程师（或以上）职称的，得1分；资料员无工程师（或以上）职称的，不得分。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043" w:type="dxa"/>
            <w:vMerge w:val="continue"/>
            <w:tcBorders>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p>
        </w:tc>
        <w:tc>
          <w:tcPr>
            <w:tcW w:w="1832" w:type="dxa"/>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项目管理机构资源调动能力</w:t>
            </w:r>
          </w:p>
        </w:tc>
        <w:tc>
          <w:tcPr>
            <w:tcW w:w="644" w:type="dxa"/>
            <w:tcBorders>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ascii="宋体" w:hAnsi="宋体" w:eastAsia="Times New Roman"/>
                <w:color w:val="auto"/>
                <w:sz w:val="18"/>
                <w:szCs w:val="18"/>
                <w:highlight w:val="none"/>
              </w:rPr>
              <w:t>10</w:t>
            </w:r>
          </w:p>
        </w:tc>
        <w:tc>
          <w:tcPr>
            <w:tcW w:w="11343" w:type="dxa"/>
            <w:tcBorders>
              <w:left w:val="single" w:color="auto" w:sz="4" w:space="0"/>
              <w:bottom w:val="single" w:color="auto" w:sz="4" w:space="0"/>
              <w:right w:val="single" w:color="auto" w:sz="4" w:space="0"/>
            </w:tcBorders>
            <w:vAlign w:val="center"/>
          </w:tcPr>
          <w:p>
            <w:pPr>
              <w:adjustRightInd w:val="0"/>
              <w:snapToGrid w:val="0"/>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投标人安排</w:t>
            </w:r>
            <w:r>
              <w:rPr>
                <w:rFonts w:hint="eastAsia" w:ascii="宋体" w:hAnsi="宋体" w:eastAsia="宋体"/>
                <w:color w:val="auto"/>
                <w:sz w:val="18"/>
                <w:szCs w:val="18"/>
                <w:highlight w:val="none"/>
                <w:lang w:val="en-US" w:eastAsia="zh-CN"/>
              </w:rPr>
              <w:t>企业总工程师</w:t>
            </w:r>
            <w:r>
              <w:rPr>
                <w:rFonts w:hint="eastAsia" w:ascii="宋体" w:hAnsi="宋体" w:eastAsia="Times New Roman"/>
                <w:color w:val="auto"/>
                <w:sz w:val="18"/>
                <w:szCs w:val="18"/>
                <w:highlight w:val="none"/>
              </w:rPr>
              <w:t>担任项目指挥长并承诺每月至少组织一次工地例会，得</w:t>
            </w:r>
            <w:r>
              <w:rPr>
                <w:rFonts w:ascii="宋体" w:hAnsi="宋体" w:eastAsia="Times New Roman"/>
                <w:b/>
                <w:color w:val="auto"/>
                <w:sz w:val="18"/>
                <w:szCs w:val="18"/>
                <w:highlight w:val="none"/>
              </w:rPr>
              <w:t>10</w:t>
            </w:r>
            <w:r>
              <w:rPr>
                <w:rFonts w:hint="eastAsia" w:ascii="宋体" w:hAnsi="宋体" w:eastAsia="Times New Roman"/>
                <w:b/>
                <w:color w:val="auto"/>
                <w:sz w:val="18"/>
                <w:szCs w:val="18"/>
                <w:highlight w:val="none"/>
              </w:rPr>
              <w:t>分</w:t>
            </w:r>
            <w:r>
              <w:rPr>
                <w:rFonts w:hint="eastAsia" w:ascii="宋体" w:hAnsi="宋体" w:eastAsia="Times New Roman"/>
                <w:color w:val="auto"/>
                <w:sz w:val="18"/>
                <w:szCs w:val="18"/>
                <w:highlight w:val="none"/>
              </w:rPr>
              <w:t>；不满足前述要求者，得</w:t>
            </w:r>
            <w:r>
              <w:rPr>
                <w:rFonts w:hint="eastAsia" w:ascii="宋体" w:hAnsi="宋体" w:eastAsia="Times New Roman"/>
                <w:b/>
                <w:bCs/>
                <w:color w:val="auto"/>
                <w:sz w:val="18"/>
                <w:szCs w:val="18"/>
                <w:highlight w:val="none"/>
              </w:rPr>
              <w:t>0</w:t>
            </w:r>
            <w:r>
              <w:rPr>
                <w:rFonts w:hint="eastAsia" w:ascii="宋体" w:hAnsi="宋体" w:eastAsia="Times New Roman"/>
                <w:b/>
                <w:color w:val="auto"/>
                <w:sz w:val="18"/>
                <w:szCs w:val="18"/>
                <w:highlight w:val="none"/>
              </w:rPr>
              <w:t>分</w:t>
            </w:r>
            <w:r>
              <w:rPr>
                <w:rFonts w:hint="eastAsia" w:ascii="宋体" w:hAnsi="宋体" w:eastAsia="Times New Roman"/>
                <w:color w:val="auto"/>
                <w:sz w:val="18"/>
                <w:szCs w:val="18"/>
                <w:highlight w:val="none"/>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2875" w:type="dxa"/>
            <w:gridSpan w:val="2"/>
            <w:tcBorders>
              <w:top w:val="single" w:color="auto" w:sz="4" w:space="0"/>
              <w:left w:val="single" w:color="auto" w:sz="8"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合计（一+二）</w:t>
            </w:r>
          </w:p>
        </w:tc>
        <w:tc>
          <w:tcPr>
            <w:tcW w:w="64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ascii="宋体" w:hAnsi="宋体" w:eastAsia="Times New Roman"/>
                <w:color w:val="auto"/>
                <w:sz w:val="18"/>
                <w:szCs w:val="18"/>
                <w:highlight w:val="none"/>
              </w:rPr>
            </w:pPr>
            <w:r>
              <w:rPr>
                <w:rFonts w:hint="eastAsia" w:ascii="宋体" w:hAnsi="宋体" w:eastAsia="Times New Roman"/>
                <w:color w:val="auto"/>
                <w:sz w:val="18"/>
                <w:szCs w:val="18"/>
                <w:highlight w:val="none"/>
              </w:rPr>
              <w:t>100</w:t>
            </w:r>
          </w:p>
        </w:tc>
        <w:tc>
          <w:tcPr>
            <w:tcW w:w="1134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eastAsia="Times New Roman"/>
                <w:color w:val="auto"/>
                <w:sz w:val="18"/>
                <w:szCs w:val="18"/>
                <w:highlight w:val="none"/>
              </w:rPr>
            </w:pPr>
          </w:p>
        </w:tc>
      </w:tr>
      <w:bookmarkEnd w:id="15"/>
    </w:tbl>
    <w:p>
      <w:pPr>
        <w:rPr>
          <w:rFonts w:hint="eastAsia" w:ascii="宋体" w:hAnsi="宋体"/>
          <w:color w:val="auto"/>
          <w:sz w:val="18"/>
          <w:szCs w:val="18"/>
          <w:highlight w:val="none"/>
        </w:rPr>
      </w:pPr>
      <w:r>
        <w:rPr>
          <w:rFonts w:hint="eastAsia" w:ascii="宋体" w:hAnsi="宋体"/>
          <w:color w:val="auto"/>
          <w:sz w:val="18"/>
          <w:szCs w:val="18"/>
          <w:highlight w:val="none"/>
        </w:rPr>
        <w:t>注: 1、类似工程业绩是指：投标人自201</w:t>
      </w:r>
      <w:r>
        <w:rPr>
          <w:rFonts w:hint="eastAsia" w:ascii="宋体" w:hAnsi="宋体"/>
          <w:color w:val="auto"/>
          <w:sz w:val="18"/>
          <w:szCs w:val="18"/>
          <w:highlight w:val="none"/>
          <w:lang w:val="en-US" w:eastAsia="zh-CN"/>
        </w:rPr>
        <w:t>9</w:t>
      </w:r>
      <w:r>
        <w:rPr>
          <w:rFonts w:hint="eastAsia" w:ascii="宋体" w:hAnsi="宋体"/>
          <w:color w:val="auto"/>
          <w:sz w:val="18"/>
          <w:szCs w:val="18"/>
          <w:highlight w:val="none"/>
        </w:rPr>
        <w:t>年1月1日至投标截止时间止，完成过质量合格且中标金额</w:t>
      </w:r>
      <w:r>
        <w:rPr>
          <w:rFonts w:hint="eastAsia" w:ascii="宋体" w:hAnsi="宋体"/>
          <w:color w:val="auto"/>
          <w:sz w:val="18"/>
          <w:szCs w:val="18"/>
          <w:highlight w:val="none"/>
          <w:u w:val="single"/>
          <w:lang w:val="en-US" w:eastAsia="zh-CN"/>
        </w:rPr>
        <w:t>1000</w:t>
      </w:r>
      <w:r>
        <w:rPr>
          <w:rFonts w:hint="eastAsia" w:ascii="宋体" w:hAnsi="宋体"/>
          <w:color w:val="auto"/>
          <w:sz w:val="18"/>
          <w:szCs w:val="18"/>
          <w:highlight w:val="none"/>
          <w:u w:val="none"/>
          <w:lang w:val="en-US" w:eastAsia="zh-CN"/>
        </w:rPr>
        <w:t>万元</w:t>
      </w:r>
      <w:r>
        <w:rPr>
          <w:rFonts w:hint="eastAsia" w:ascii="宋体" w:hAnsi="宋体"/>
          <w:color w:val="auto"/>
          <w:sz w:val="18"/>
          <w:szCs w:val="18"/>
          <w:highlight w:val="none"/>
        </w:rPr>
        <w:t>（或以上）的</w:t>
      </w:r>
      <w:r>
        <w:rPr>
          <w:rFonts w:hint="eastAsia" w:ascii="宋体" w:hAnsi="宋体"/>
          <w:color w:val="auto"/>
          <w:sz w:val="18"/>
          <w:szCs w:val="18"/>
          <w:highlight w:val="none"/>
          <w:u w:val="single"/>
          <w:lang w:eastAsia="zh-CN"/>
        </w:rPr>
        <w:t>市政公用</w:t>
      </w:r>
      <w:r>
        <w:rPr>
          <w:rFonts w:hint="eastAsia" w:ascii="宋体" w:hAnsi="宋体"/>
          <w:color w:val="auto"/>
          <w:sz w:val="18"/>
          <w:szCs w:val="18"/>
          <w:highlight w:val="none"/>
          <w:u w:val="single"/>
          <w:lang w:val="en-US" w:eastAsia="zh-CN"/>
        </w:rPr>
        <w:t>工程施工总承包</w:t>
      </w:r>
      <w:r>
        <w:rPr>
          <w:rFonts w:hint="eastAsia" w:ascii="宋体" w:hAnsi="宋体"/>
          <w:color w:val="auto"/>
          <w:sz w:val="18"/>
          <w:szCs w:val="18"/>
          <w:highlight w:val="none"/>
        </w:rPr>
        <w:t>业绩，时间以竣工验收时间为准，中标金额以中标通知书为准）。如以上资料不能证明业绩规模的，须另提供可证明业绩技术指标或经济指标的其他资料（招标人在中标结果公示时同时公示）。</w:t>
      </w:r>
    </w:p>
    <w:p>
      <w:pPr>
        <w:rPr>
          <w:rFonts w:ascii="宋体" w:hAnsi="宋体"/>
          <w:sz w:val="18"/>
          <w:szCs w:val="18"/>
        </w:rPr>
      </w:pPr>
      <w:r>
        <w:rPr>
          <w:rFonts w:hint="eastAsia" w:ascii="宋体" w:hAnsi="宋体"/>
          <w:sz w:val="18"/>
          <w:szCs w:val="18"/>
        </w:rPr>
        <w:t>1.1</w:t>
      </w:r>
      <w:r>
        <w:rPr>
          <w:rFonts w:hint="eastAsia" w:ascii="宋体" w:hAnsi="宋体"/>
          <w:sz w:val="18"/>
          <w:szCs w:val="18"/>
          <w:lang w:val="en-US" w:eastAsia="zh-CN"/>
        </w:rPr>
        <w:t>企业</w:t>
      </w:r>
      <w:r>
        <w:rPr>
          <w:rFonts w:hint="eastAsia" w:ascii="宋体" w:hAnsi="宋体"/>
          <w:sz w:val="18"/>
          <w:szCs w:val="18"/>
        </w:rPr>
        <w:t>业绩取自广州市住建行业信用管理平台</w:t>
      </w:r>
      <w:r>
        <w:rPr>
          <w:rFonts w:hint="eastAsia" w:ascii="宋体" w:hAnsi="宋体"/>
          <w:sz w:val="18"/>
          <w:szCs w:val="18"/>
          <w:lang w:val="en-US" w:eastAsia="zh-CN"/>
        </w:rPr>
        <w:t>的</w:t>
      </w:r>
      <w:r>
        <w:rPr>
          <w:rFonts w:hint="eastAsia" w:ascii="宋体" w:hAnsi="宋体"/>
          <w:sz w:val="18"/>
          <w:szCs w:val="18"/>
        </w:rPr>
        <w:t>。投标人</w:t>
      </w:r>
      <w:r>
        <w:rPr>
          <w:rFonts w:hint="eastAsia" w:ascii="宋体" w:hAnsi="宋体"/>
          <w:sz w:val="18"/>
          <w:szCs w:val="18"/>
          <w:lang w:val="en-US" w:eastAsia="zh-CN"/>
        </w:rPr>
        <w:t>需</w:t>
      </w:r>
      <w:r>
        <w:rPr>
          <w:rFonts w:hint="eastAsia" w:ascii="宋体" w:hAnsi="宋体"/>
          <w:sz w:val="18"/>
          <w:szCs w:val="18"/>
        </w:rPr>
        <w:t>提供类似工程业绩</w:t>
      </w:r>
      <w:r>
        <w:rPr>
          <w:rFonts w:hint="eastAsia" w:ascii="宋体" w:hAnsi="宋体"/>
          <w:sz w:val="18"/>
          <w:szCs w:val="18"/>
          <w:lang w:val="en-US" w:eastAsia="zh-CN"/>
        </w:rPr>
        <w:t>在</w:t>
      </w:r>
      <w:r>
        <w:rPr>
          <w:rFonts w:hint="eastAsia" w:ascii="宋体" w:hAnsi="宋体"/>
          <w:sz w:val="18"/>
          <w:szCs w:val="18"/>
        </w:rPr>
        <w:t>广州市住建行业信用管理平台</w:t>
      </w:r>
      <w:r>
        <w:rPr>
          <w:rFonts w:hint="eastAsia" w:ascii="宋体" w:hAnsi="宋体"/>
          <w:sz w:val="18"/>
          <w:szCs w:val="18"/>
          <w:lang w:val="en-US" w:eastAsia="zh-CN"/>
        </w:rPr>
        <w:t>的的</w:t>
      </w:r>
      <w:r>
        <w:rPr>
          <w:rFonts w:hint="eastAsia" w:ascii="宋体" w:hAnsi="宋体"/>
          <w:sz w:val="18"/>
          <w:szCs w:val="18"/>
        </w:rPr>
        <w:t>的项目名称</w:t>
      </w:r>
      <w:r>
        <w:rPr>
          <w:rFonts w:hint="eastAsia" w:ascii="宋体" w:hAnsi="宋体"/>
          <w:sz w:val="18"/>
          <w:szCs w:val="18"/>
          <w:lang w:eastAsia="zh-CN"/>
        </w:rPr>
        <w:t>、</w:t>
      </w:r>
      <w:r>
        <w:rPr>
          <w:rFonts w:hint="eastAsia" w:ascii="宋体" w:hAnsi="宋体"/>
          <w:sz w:val="18"/>
          <w:szCs w:val="18"/>
        </w:rPr>
        <w:t>项目编号</w:t>
      </w:r>
      <w:r>
        <w:rPr>
          <w:rFonts w:hint="eastAsia" w:ascii="宋体" w:hAnsi="宋体"/>
          <w:sz w:val="18"/>
          <w:szCs w:val="18"/>
          <w:lang w:val="en-US" w:eastAsia="zh-CN"/>
        </w:rPr>
        <w:t>及相关网页截图（包括但不限于</w:t>
      </w:r>
      <w:r>
        <w:rPr>
          <w:rFonts w:hint="eastAsia" w:ascii="宋体" w:hAnsi="宋体"/>
          <w:color w:val="auto"/>
          <w:sz w:val="18"/>
          <w:szCs w:val="18"/>
          <w:highlight w:val="none"/>
          <w:lang w:val="en-US" w:eastAsia="zh-CN"/>
        </w:rPr>
        <w:t>中标通知书或免招标的相关证明2、施工合同3、竣工验收报告或竣工验收证明或工程竣工验收备案表或其他竣工验收证明材料</w:t>
      </w:r>
      <w:r>
        <w:rPr>
          <w:rFonts w:hint="eastAsia" w:ascii="宋体" w:hAnsi="宋体"/>
          <w:sz w:val="18"/>
          <w:szCs w:val="18"/>
          <w:lang w:val="en-US" w:eastAsia="zh-CN"/>
        </w:rPr>
        <w:t>）。</w:t>
      </w:r>
      <w:r>
        <w:rPr>
          <w:rFonts w:hint="eastAsia" w:ascii="宋体" w:hAnsi="宋体"/>
          <w:sz w:val="18"/>
          <w:szCs w:val="18"/>
        </w:rPr>
        <w:t>不提供项目名称</w:t>
      </w:r>
      <w:r>
        <w:rPr>
          <w:rFonts w:hint="eastAsia" w:ascii="宋体" w:hAnsi="宋体"/>
          <w:sz w:val="18"/>
          <w:szCs w:val="18"/>
          <w:lang w:eastAsia="zh-CN"/>
        </w:rPr>
        <w:t>、</w:t>
      </w:r>
      <w:r>
        <w:rPr>
          <w:rFonts w:hint="eastAsia" w:ascii="宋体" w:hAnsi="宋体"/>
          <w:sz w:val="18"/>
          <w:szCs w:val="18"/>
          <w:lang w:val="en-US" w:eastAsia="zh-CN"/>
        </w:rPr>
        <w:t>相应</w:t>
      </w:r>
      <w:r>
        <w:rPr>
          <w:rFonts w:hint="eastAsia" w:ascii="宋体" w:hAnsi="宋体"/>
          <w:sz w:val="18"/>
          <w:szCs w:val="18"/>
        </w:rPr>
        <w:t>项目编号</w:t>
      </w:r>
      <w:r>
        <w:rPr>
          <w:rFonts w:hint="eastAsia" w:ascii="宋体" w:hAnsi="宋体"/>
          <w:sz w:val="18"/>
          <w:szCs w:val="18"/>
          <w:lang w:val="en-US" w:eastAsia="zh-CN"/>
        </w:rPr>
        <w:t>及相关网页截图</w:t>
      </w:r>
      <w:r>
        <w:rPr>
          <w:rFonts w:hint="eastAsia" w:ascii="宋体" w:hAnsi="宋体"/>
          <w:sz w:val="18"/>
          <w:szCs w:val="18"/>
        </w:rPr>
        <w:t>的</w:t>
      </w:r>
      <w:r>
        <w:rPr>
          <w:rFonts w:hint="eastAsia" w:ascii="宋体" w:hAnsi="宋体"/>
          <w:sz w:val="18"/>
          <w:szCs w:val="18"/>
          <w:lang w:val="en-US" w:eastAsia="zh-CN"/>
        </w:rPr>
        <w:t>企业</w:t>
      </w:r>
      <w:r>
        <w:rPr>
          <w:rFonts w:hint="eastAsia" w:ascii="宋体" w:hAnsi="宋体"/>
          <w:sz w:val="18"/>
          <w:szCs w:val="18"/>
        </w:rPr>
        <w:t>业绩不予评审。</w:t>
      </w:r>
      <w:r>
        <w:rPr>
          <w:rFonts w:hint="eastAsia" w:ascii="宋体" w:hAnsi="宋体"/>
          <w:sz w:val="18"/>
          <w:szCs w:val="18"/>
          <w:lang w:val="en-US" w:eastAsia="zh-CN"/>
        </w:rPr>
        <w:t>若投标人所</w:t>
      </w:r>
      <w:r>
        <w:rPr>
          <w:rFonts w:hint="eastAsia" w:ascii="宋体" w:hAnsi="宋体"/>
          <w:sz w:val="18"/>
          <w:szCs w:val="18"/>
        </w:rPr>
        <w:t>提供的项目名称与项目编号不一致</w:t>
      </w:r>
      <w:r>
        <w:rPr>
          <w:rFonts w:hint="eastAsia" w:ascii="宋体" w:hAnsi="宋体"/>
          <w:sz w:val="18"/>
          <w:szCs w:val="18"/>
          <w:lang w:val="en-US" w:eastAsia="zh-CN"/>
        </w:rPr>
        <w:t>的</w:t>
      </w:r>
      <w:r>
        <w:rPr>
          <w:rFonts w:hint="eastAsia" w:ascii="宋体" w:hAnsi="宋体"/>
          <w:sz w:val="18"/>
          <w:szCs w:val="18"/>
        </w:rPr>
        <w:t>：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rPr>
          <w:rFonts w:ascii="宋体" w:hAnsi="宋体"/>
          <w:sz w:val="18"/>
          <w:szCs w:val="18"/>
        </w:rPr>
      </w:pPr>
      <w:r>
        <w:rPr>
          <w:rFonts w:hint="eastAsia" w:ascii="宋体" w:hAnsi="宋体"/>
          <w:sz w:val="18"/>
          <w:szCs w:val="18"/>
        </w:rPr>
        <w:t>1.1.1金额以中标通知书为准，中标通知书上没有金额或免招标的，以施工合同（不含补充合同）为准。</w:t>
      </w:r>
    </w:p>
    <w:p>
      <w:pPr>
        <w:rPr>
          <w:rFonts w:ascii="宋体" w:hAnsi="宋体"/>
          <w:sz w:val="18"/>
          <w:szCs w:val="18"/>
        </w:rPr>
      </w:pPr>
      <w:r>
        <w:rPr>
          <w:rFonts w:hint="eastAsia" w:ascii="宋体" w:hAnsi="宋体"/>
          <w:sz w:val="18"/>
          <w:szCs w:val="18"/>
        </w:rPr>
        <w:t>1.1.2技术指标需在广州市住建行业信用管理平台内业绩上传件中反映。</w:t>
      </w:r>
    </w:p>
    <w:p>
      <w:pPr>
        <w:rPr>
          <w:rFonts w:ascii="宋体" w:hAnsi="宋体"/>
          <w:sz w:val="18"/>
          <w:szCs w:val="18"/>
        </w:rPr>
      </w:pPr>
      <w:r>
        <w:rPr>
          <w:rFonts w:hint="eastAsia" w:ascii="宋体" w:hAnsi="宋体"/>
          <w:sz w:val="18"/>
          <w:szCs w:val="18"/>
        </w:rPr>
        <w:t>1.1.3完成时间以竣工验收文件为准。验收文件至少具有建设单位、设计、施工和监理单位盖章。</w:t>
      </w:r>
    </w:p>
    <w:p>
      <w:pPr>
        <w:rPr>
          <w:rFonts w:ascii="宋体" w:hAnsi="宋体"/>
          <w:sz w:val="18"/>
          <w:szCs w:val="18"/>
        </w:rPr>
      </w:pPr>
      <w:r>
        <w:rPr>
          <w:rFonts w:hint="eastAsia" w:ascii="宋体" w:hAnsi="宋体"/>
          <w:sz w:val="18"/>
          <w:szCs w:val="18"/>
        </w:rPr>
        <w:t>1.1.4平台内业绩上传件不符合上述要求的或登记的工程资质内容与施工合同等业绩证明资料不相符的，该项业绩不予认定。</w:t>
      </w:r>
    </w:p>
    <w:p>
      <w:pPr>
        <w:rPr>
          <w:rFonts w:ascii="宋体" w:hAnsi="宋体"/>
          <w:sz w:val="18"/>
          <w:szCs w:val="18"/>
        </w:rPr>
      </w:pPr>
      <w:r>
        <w:rPr>
          <w:rFonts w:hint="eastAsia" w:ascii="宋体" w:hAnsi="宋体"/>
          <w:sz w:val="18"/>
          <w:szCs w:val="18"/>
        </w:rPr>
        <w:t>1.2企业业绩非取自广州市住建行业信用管理平台的，投标人</w:t>
      </w:r>
      <w:r>
        <w:rPr>
          <w:rFonts w:hint="eastAsia" w:ascii="宋体" w:hAnsi="宋体"/>
          <w:sz w:val="18"/>
          <w:szCs w:val="18"/>
          <w:lang w:val="en-US" w:eastAsia="zh-CN"/>
        </w:rPr>
        <w:t>需</w:t>
      </w:r>
      <w:r>
        <w:rPr>
          <w:rFonts w:hint="eastAsia" w:ascii="宋体" w:hAnsi="宋体"/>
          <w:sz w:val="18"/>
          <w:szCs w:val="18"/>
        </w:rPr>
        <w:t>提供下列三项证明文件：1、中标通知书（如为免招标项目无须提供中标通知书，但须提供相应的免招标证明文件）2、合同（协议书部分）3、竣工验收文件</w:t>
      </w:r>
      <w:r>
        <w:rPr>
          <w:rFonts w:hint="eastAsia" w:ascii="宋体" w:hAnsi="宋体"/>
          <w:sz w:val="18"/>
          <w:szCs w:val="18"/>
          <w:lang w:eastAsia="zh-CN"/>
        </w:rPr>
        <w:t>，</w:t>
      </w:r>
      <w:r>
        <w:rPr>
          <w:rFonts w:hint="eastAsia" w:ascii="宋体" w:hAnsi="宋体"/>
          <w:sz w:val="18"/>
          <w:szCs w:val="18"/>
        </w:rPr>
        <w:t>以上文件如提供复印件须加盖公章。金额以中标通知书为准，中标通知书上没有金额或免招标的，以施工合同（不含补充合同）为准。完成时间以竣工验收文件为准。验收文件至少具有建设单位、设计、施工和监理单位盖章。</w:t>
      </w:r>
    </w:p>
    <w:p>
      <w:pPr>
        <w:ind w:firstLine="360" w:firstLineChars="200"/>
        <w:rPr>
          <w:rFonts w:ascii="宋体" w:hAnsi="宋体"/>
          <w:color w:val="auto"/>
          <w:sz w:val="18"/>
          <w:szCs w:val="18"/>
          <w:highlight w:val="none"/>
        </w:rPr>
      </w:pPr>
      <w:r>
        <w:rPr>
          <w:rFonts w:ascii="宋体" w:hAnsi="宋体"/>
          <w:color w:val="auto"/>
          <w:sz w:val="18"/>
          <w:szCs w:val="18"/>
          <w:highlight w:val="none"/>
        </w:rPr>
        <w:t>2</w:t>
      </w:r>
      <w:r>
        <w:rPr>
          <w:rFonts w:hint="eastAsia" w:ascii="宋体" w:hAnsi="宋体"/>
          <w:color w:val="auto"/>
          <w:sz w:val="18"/>
          <w:szCs w:val="18"/>
          <w:highlight w:val="none"/>
        </w:rPr>
        <w:t>、企业获奖：国家级奖项指的是：包括但不限于中国建设工程鲁班奖、国家优质工程（金质奖）、国家优质工程（银质奖）、中国土木工程詹天佑奖、全国市政金杯示范工程等奖项的。</w:t>
      </w:r>
      <w:r>
        <w:rPr>
          <w:rFonts w:hint="eastAsia" w:ascii="宋体" w:hAnsi="宋体"/>
          <w:color w:val="auto"/>
          <w:sz w:val="18"/>
          <w:szCs w:val="18"/>
          <w:highlight w:val="none"/>
          <w:lang w:eastAsia="zh-CN"/>
        </w:rPr>
        <w:t>省（部）级奖项和市（副省）级奖项包括但不限于由省（部）级、市（副省）级建设行政主管部门或行业协会颁发的工程</w:t>
      </w:r>
      <w:r>
        <w:rPr>
          <w:rFonts w:hint="eastAsia" w:ascii="宋体" w:hAnsi="宋体"/>
          <w:color w:val="auto"/>
          <w:sz w:val="18"/>
          <w:szCs w:val="18"/>
          <w:highlight w:val="none"/>
          <w:lang w:val="en-US" w:eastAsia="zh-CN"/>
        </w:rPr>
        <w:t>质量</w:t>
      </w:r>
      <w:r>
        <w:rPr>
          <w:rFonts w:hint="eastAsia" w:ascii="宋体" w:hAnsi="宋体"/>
          <w:color w:val="auto"/>
          <w:sz w:val="18"/>
          <w:szCs w:val="18"/>
          <w:highlight w:val="none"/>
          <w:lang w:eastAsia="zh-CN"/>
        </w:rPr>
        <w:t>奖项</w:t>
      </w:r>
      <w:r>
        <w:rPr>
          <w:rFonts w:hint="eastAsia" w:ascii="宋体" w:hAnsi="宋体"/>
          <w:color w:val="auto"/>
          <w:sz w:val="18"/>
          <w:szCs w:val="18"/>
          <w:highlight w:val="none"/>
        </w:rPr>
        <w:t>。投标人</w:t>
      </w:r>
      <w:r>
        <w:rPr>
          <w:rFonts w:hint="eastAsia" w:ascii="宋体" w:hAnsi="宋体"/>
          <w:color w:val="auto"/>
          <w:sz w:val="18"/>
          <w:szCs w:val="18"/>
          <w:highlight w:val="none"/>
          <w:lang w:val="en-US" w:eastAsia="zh-CN"/>
        </w:rPr>
        <w:t>须</w:t>
      </w:r>
      <w:r>
        <w:rPr>
          <w:rFonts w:hint="eastAsia" w:ascii="宋体" w:hAnsi="宋体"/>
          <w:color w:val="auto"/>
          <w:sz w:val="18"/>
          <w:szCs w:val="18"/>
          <w:highlight w:val="none"/>
        </w:rPr>
        <w:t>提供</w:t>
      </w:r>
      <w:r>
        <w:rPr>
          <w:rFonts w:hint="eastAsia" w:ascii="宋体" w:hAnsi="宋体"/>
          <w:color w:val="auto"/>
          <w:sz w:val="18"/>
          <w:szCs w:val="18"/>
          <w:highlight w:val="none"/>
          <w:lang w:val="en-US" w:eastAsia="zh-CN"/>
        </w:rPr>
        <w:t>如下</w:t>
      </w:r>
      <w:r>
        <w:rPr>
          <w:rFonts w:hint="eastAsia" w:ascii="宋体" w:hAnsi="宋体"/>
          <w:color w:val="auto"/>
          <w:sz w:val="18"/>
          <w:szCs w:val="18"/>
          <w:highlight w:val="none"/>
        </w:rPr>
        <w:t>资料：需提供获奖证书或获奖文件相关资料并加盖投标单位公章，否则不得分。获奖时间以证书颁发日期为准，同一工程项目获得多个奖项的，按其获得的最高奖项计分，且不得重复计分</w:t>
      </w:r>
      <w:r>
        <w:rPr>
          <w:rFonts w:hint="eastAsia" w:ascii="宋体" w:hAnsi="宋体"/>
          <w:color w:val="auto"/>
          <w:sz w:val="18"/>
          <w:szCs w:val="18"/>
          <w:highlight w:val="none"/>
          <w:lang w:eastAsia="zh-CN"/>
        </w:rPr>
        <w:t>。</w:t>
      </w:r>
      <w:r>
        <w:rPr>
          <w:rFonts w:hint="eastAsia" w:ascii="宋体" w:hAnsi="宋体"/>
          <w:color w:val="auto"/>
          <w:sz w:val="18"/>
          <w:szCs w:val="18"/>
          <w:highlight w:val="none"/>
          <w:lang w:val="en-US" w:eastAsia="zh-CN"/>
        </w:rPr>
        <w:t>若为社会组织机构颁发的证书，还需提供该机构已在民证管理部门登记备案的官网查询结果截图。</w:t>
      </w:r>
      <w:r>
        <w:rPr>
          <w:rFonts w:ascii="宋体" w:hAnsi="宋体"/>
          <w:color w:val="auto"/>
          <w:sz w:val="18"/>
          <w:szCs w:val="18"/>
          <w:highlight w:val="none"/>
        </w:rPr>
        <w:t>（不符合条件或无提交网页信息</w:t>
      </w:r>
      <w:r>
        <w:rPr>
          <w:rFonts w:hint="eastAsia" w:ascii="宋体" w:hAnsi="宋体"/>
          <w:color w:val="auto"/>
          <w:sz w:val="18"/>
          <w:szCs w:val="18"/>
          <w:highlight w:val="none"/>
        </w:rPr>
        <w:t>截图</w:t>
      </w:r>
      <w:r>
        <w:rPr>
          <w:rFonts w:ascii="宋体" w:hAnsi="宋体"/>
          <w:color w:val="auto"/>
          <w:sz w:val="18"/>
          <w:szCs w:val="18"/>
          <w:highlight w:val="none"/>
        </w:rPr>
        <w:t>不计分</w:t>
      </w:r>
      <w:r>
        <w:rPr>
          <w:rFonts w:hint="eastAsia" w:ascii="宋体" w:hAnsi="宋体"/>
          <w:color w:val="auto"/>
          <w:sz w:val="18"/>
          <w:szCs w:val="18"/>
          <w:highlight w:val="none"/>
        </w:rPr>
        <w:t>；所提交的奖项依据是否符合本次招标要求由评标委员会审定</w:t>
      </w:r>
      <w:r>
        <w:rPr>
          <w:rFonts w:ascii="宋体" w:hAnsi="宋体"/>
          <w:color w:val="auto"/>
          <w:sz w:val="18"/>
          <w:szCs w:val="18"/>
          <w:highlight w:val="none"/>
        </w:rPr>
        <w:t>）</w:t>
      </w:r>
      <w:r>
        <w:rPr>
          <w:rFonts w:hint="eastAsia" w:ascii="宋体" w:hAnsi="宋体"/>
          <w:color w:val="auto"/>
          <w:sz w:val="18"/>
          <w:szCs w:val="18"/>
          <w:highlight w:val="none"/>
        </w:rPr>
        <w:t>。</w:t>
      </w:r>
    </w:p>
    <w:p>
      <w:pPr>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3、项目负责人</w:t>
      </w:r>
      <w:r>
        <w:rPr>
          <w:rFonts w:hint="eastAsia" w:ascii="宋体" w:hAnsi="宋体"/>
          <w:color w:val="auto"/>
          <w:sz w:val="18"/>
          <w:szCs w:val="18"/>
          <w:highlight w:val="none"/>
          <w:lang w:val="en-US" w:eastAsia="zh-CN"/>
        </w:rPr>
        <w:t>曾参与的</w:t>
      </w:r>
      <w:r>
        <w:rPr>
          <w:rFonts w:hint="eastAsia" w:ascii="宋体" w:hAnsi="宋体"/>
          <w:color w:val="auto"/>
          <w:sz w:val="18"/>
          <w:szCs w:val="18"/>
          <w:highlight w:val="none"/>
        </w:rPr>
        <w:t>业绩：投标人可根据自身情况选择以下两种方式提供资料：①</w:t>
      </w:r>
      <w:r>
        <w:rPr>
          <w:rFonts w:hint="eastAsia" w:ascii="宋体" w:hAnsi="宋体"/>
          <w:color w:val="auto"/>
          <w:sz w:val="18"/>
          <w:szCs w:val="18"/>
          <w:highlight w:val="none"/>
          <w:lang w:val="en-US" w:eastAsia="zh-CN"/>
        </w:rPr>
        <w:t>业绩</w:t>
      </w:r>
      <w:r>
        <w:rPr>
          <w:rFonts w:hint="eastAsia" w:ascii="宋体" w:hAnsi="宋体"/>
          <w:color w:val="auto"/>
          <w:sz w:val="18"/>
          <w:szCs w:val="18"/>
          <w:highlight w:val="none"/>
        </w:rPr>
        <w:t>取自广州市住建行业信用管理平台内的</w:t>
      </w:r>
      <w:r>
        <w:rPr>
          <w:rFonts w:hint="eastAsia" w:ascii="宋体" w:hAnsi="宋体"/>
          <w:color w:val="auto"/>
          <w:sz w:val="18"/>
          <w:szCs w:val="18"/>
          <w:highlight w:val="none"/>
          <w:lang w:eastAsia="zh-CN"/>
        </w:rPr>
        <w:t>：</w:t>
      </w:r>
      <w:r>
        <w:rPr>
          <w:rFonts w:hint="eastAsia" w:ascii="宋体" w:hAnsi="宋体"/>
          <w:color w:val="auto"/>
          <w:sz w:val="18"/>
          <w:szCs w:val="18"/>
          <w:highlight w:val="none"/>
        </w:rPr>
        <w:t>投标人</w:t>
      </w:r>
      <w:r>
        <w:rPr>
          <w:rFonts w:hint="eastAsia" w:ascii="宋体" w:hAnsi="宋体"/>
          <w:sz w:val="18"/>
          <w:szCs w:val="18"/>
          <w:lang w:val="en-US" w:eastAsia="zh-CN"/>
        </w:rPr>
        <w:t>需</w:t>
      </w:r>
      <w:r>
        <w:rPr>
          <w:rFonts w:hint="eastAsia" w:ascii="宋体" w:hAnsi="宋体"/>
          <w:color w:val="auto"/>
          <w:sz w:val="18"/>
          <w:szCs w:val="18"/>
          <w:highlight w:val="none"/>
        </w:rPr>
        <w:t>提供类似工程业绩在广州市住建行业信用管理平台的项目名称</w:t>
      </w:r>
      <w:r>
        <w:rPr>
          <w:rFonts w:hint="eastAsia" w:ascii="宋体" w:hAnsi="宋体"/>
          <w:color w:val="auto"/>
          <w:sz w:val="18"/>
          <w:szCs w:val="18"/>
          <w:highlight w:val="none"/>
          <w:lang w:eastAsia="zh-CN"/>
        </w:rPr>
        <w:t>、</w:t>
      </w:r>
      <w:r>
        <w:rPr>
          <w:rFonts w:hint="eastAsia" w:ascii="宋体" w:hAnsi="宋体"/>
          <w:color w:val="auto"/>
          <w:sz w:val="18"/>
          <w:szCs w:val="18"/>
          <w:highlight w:val="none"/>
        </w:rPr>
        <w:t>项目编号</w:t>
      </w:r>
      <w:r>
        <w:rPr>
          <w:rFonts w:hint="eastAsia" w:ascii="宋体" w:hAnsi="宋体"/>
          <w:sz w:val="18"/>
          <w:szCs w:val="18"/>
          <w:lang w:val="en-US" w:eastAsia="zh-CN"/>
        </w:rPr>
        <w:t>及相关网页截图（包括但不限于</w:t>
      </w:r>
      <w:r>
        <w:rPr>
          <w:rFonts w:hint="eastAsia" w:ascii="宋体" w:hAnsi="宋体"/>
          <w:color w:val="auto"/>
          <w:sz w:val="18"/>
          <w:szCs w:val="18"/>
          <w:highlight w:val="none"/>
          <w:lang w:val="en-US" w:eastAsia="zh-CN"/>
        </w:rPr>
        <w:t>中标通知书或免招标的相关证明2、施工合同3、竣工验收报告或竣工验收证明或工程竣工验收备案表或其他竣工验收证明材料</w:t>
      </w:r>
      <w:r>
        <w:rPr>
          <w:rFonts w:hint="eastAsia" w:ascii="宋体" w:hAnsi="宋体"/>
          <w:sz w:val="18"/>
          <w:szCs w:val="18"/>
          <w:lang w:val="en-US" w:eastAsia="zh-CN"/>
        </w:rPr>
        <w:t>）</w:t>
      </w:r>
      <w:r>
        <w:rPr>
          <w:rFonts w:hint="eastAsia" w:ascii="宋体" w:hAnsi="宋体"/>
          <w:color w:val="auto"/>
          <w:sz w:val="18"/>
          <w:szCs w:val="18"/>
          <w:highlight w:val="none"/>
          <w:lang w:val="en-US" w:eastAsia="zh-CN"/>
        </w:rPr>
        <w:t>。</w:t>
      </w:r>
      <w:r>
        <w:rPr>
          <w:rFonts w:hint="eastAsia" w:ascii="宋体" w:hAnsi="宋体"/>
          <w:sz w:val="18"/>
          <w:szCs w:val="18"/>
        </w:rPr>
        <w:t>不提供项目名称</w:t>
      </w:r>
      <w:r>
        <w:rPr>
          <w:rFonts w:hint="eastAsia" w:ascii="宋体" w:hAnsi="宋体"/>
          <w:sz w:val="18"/>
          <w:szCs w:val="18"/>
          <w:lang w:eastAsia="zh-CN"/>
        </w:rPr>
        <w:t>、</w:t>
      </w:r>
      <w:r>
        <w:rPr>
          <w:rFonts w:hint="eastAsia" w:ascii="宋体" w:hAnsi="宋体"/>
          <w:sz w:val="18"/>
          <w:szCs w:val="18"/>
          <w:lang w:val="en-US" w:eastAsia="zh-CN"/>
        </w:rPr>
        <w:t>相应</w:t>
      </w:r>
      <w:r>
        <w:rPr>
          <w:rFonts w:hint="eastAsia" w:ascii="宋体" w:hAnsi="宋体"/>
          <w:sz w:val="18"/>
          <w:szCs w:val="18"/>
        </w:rPr>
        <w:t>项目编号</w:t>
      </w:r>
      <w:r>
        <w:rPr>
          <w:rFonts w:hint="eastAsia" w:ascii="宋体" w:hAnsi="宋体"/>
          <w:sz w:val="18"/>
          <w:szCs w:val="18"/>
          <w:lang w:val="en-US" w:eastAsia="zh-CN"/>
        </w:rPr>
        <w:t>及相关网页截图</w:t>
      </w:r>
      <w:r>
        <w:rPr>
          <w:rFonts w:hint="eastAsia" w:ascii="宋体" w:hAnsi="宋体"/>
          <w:sz w:val="18"/>
          <w:szCs w:val="18"/>
        </w:rPr>
        <w:t>的</w:t>
      </w:r>
      <w:r>
        <w:rPr>
          <w:rFonts w:hint="eastAsia" w:ascii="宋体" w:hAnsi="宋体"/>
          <w:sz w:val="18"/>
          <w:szCs w:val="18"/>
          <w:lang w:val="en-US" w:eastAsia="zh-CN"/>
        </w:rPr>
        <w:t>企业</w:t>
      </w:r>
      <w:r>
        <w:rPr>
          <w:rFonts w:hint="eastAsia" w:ascii="宋体" w:hAnsi="宋体"/>
          <w:sz w:val="18"/>
          <w:szCs w:val="18"/>
        </w:rPr>
        <w:t>业绩不予评审。</w:t>
      </w:r>
      <w:r>
        <w:rPr>
          <w:rFonts w:hint="eastAsia" w:ascii="宋体" w:hAnsi="宋体"/>
          <w:color w:val="auto"/>
          <w:sz w:val="18"/>
          <w:szCs w:val="18"/>
          <w:highlight w:val="none"/>
          <w:lang w:val="en-US" w:eastAsia="zh-CN"/>
        </w:rPr>
        <w:t>②不取自广州市住建行业信用管理平台内的，投标人需同时提交下列三项证明文件：1、中标通知书或免招标的相关证明2、施工合同3、竣工验收报告或竣工验收证明或工程竣工验收备案表或其他竣工验收证明材料，以上文件如提供扫描件须并加盖投标单位公章，以供核对（不符合条件或无提交证明材料或扫描件无加盖投标单位公章的不计分）。</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4、“项目负责人情况”和“其他管理人员情况”所涉及的负责人资格证明无效或相关人员法定退休年限不能覆盖本项目工期者，该项均不得分。</w:t>
      </w:r>
      <w:r>
        <w:rPr>
          <w:rFonts w:hint="eastAsia" w:ascii="宋体" w:hAnsi="宋体" w:eastAsia="Times New Roman"/>
          <w:color w:val="auto"/>
          <w:sz w:val="18"/>
          <w:szCs w:val="18"/>
          <w:highlight w:val="none"/>
        </w:rPr>
        <w:t>项目管理机构能力</w:t>
      </w:r>
      <w:r>
        <w:rPr>
          <w:rFonts w:hint="eastAsia" w:ascii="宋体" w:hAnsi="宋体" w:eastAsia="宋体"/>
          <w:color w:val="auto"/>
          <w:sz w:val="18"/>
          <w:szCs w:val="18"/>
          <w:highlight w:val="none"/>
          <w:lang w:val="en-US" w:eastAsia="zh-CN"/>
        </w:rPr>
        <w:t>中的项目负责人情况、其他管理人员情况评审，</w:t>
      </w:r>
      <w:r>
        <w:rPr>
          <w:rFonts w:hint="eastAsia" w:ascii="宋体" w:hAnsi="宋体"/>
          <w:b w:val="0"/>
          <w:color w:val="auto"/>
          <w:sz w:val="18"/>
          <w:szCs w:val="18"/>
          <w:highlight w:val="none"/>
          <w:lang w:val="en-US" w:eastAsia="zh-CN"/>
        </w:rPr>
        <w:t>须</w:t>
      </w:r>
      <w:r>
        <w:rPr>
          <w:rFonts w:hint="eastAsia" w:ascii="宋体" w:hAnsi="宋体"/>
          <w:color w:val="auto"/>
          <w:sz w:val="18"/>
          <w:szCs w:val="18"/>
          <w:highlight w:val="none"/>
          <w:lang w:val="en-US" w:eastAsia="zh-CN"/>
        </w:rPr>
        <w:t>满足招标文件第四章《施工项目管理团队人员信息表》配备最低人数要求，提供</w:t>
      </w:r>
      <w:r>
        <w:rPr>
          <w:rFonts w:hint="eastAsia" w:ascii="宋体" w:hAnsi="宋体" w:eastAsia="宋体"/>
          <w:color w:val="auto"/>
          <w:sz w:val="18"/>
          <w:szCs w:val="18"/>
          <w:highlight w:val="none"/>
          <w:lang w:val="en-US" w:eastAsia="zh-CN"/>
        </w:rPr>
        <w:t>各人员须与《</w:t>
      </w:r>
      <w:r>
        <w:rPr>
          <w:rFonts w:hint="eastAsia" w:ascii="宋体" w:hAnsi="宋体"/>
          <w:color w:val="auto"/>
          <w:sz w:val="18"/>
          <w:szCs w:val="18"/>
          <w:highlight w:val="none"/>
          <w:lang w:val="en-US" w:eastAsia="zh-CN"/>
        </w:rPr>
        <w:t>施工项目管理团队人员信息表》中相应岗位的人员信息一致并已按《</w:t>
      </w:r>
      <w:r>
        <w:rPr>
          <w:rFonts w:hint="eastAsia" w:ascii="宋体" w:hAnsi="宋体"/>
          <w:b w:val="0"/>
          <w:color w:val="auto"/>
          <w:sz w:val="18"/>
          <w:szCs w:val="18"/>
          <w:highlight w:val="none"/>
        </w:rPr>
        <w:t>施工项目管理团队人员信息表</w:t>
      </w:r>
      <w:r>
        <w:rPr>
          <w:rFonts w:hint="eastAsia" w:ascii="宋体" w:hAnsi="宋体"/>
          <w:b w:val="0"/>
          <w:color w:val="auto"/>
          <w:sz w:val="18"/>
          <w:szCs w:val="18"/>
          <w:highlight w:val="none"/>
          <w:lang w:eastAsia="zh-CN"/>
        </w:rPr>
        <w:t>》</w:t>
      </w:r>
      <w:r>
        <w:rPr>
          <w:rFonts w:hint="eastAsia" w:ascii="宋体" w:hAnsi="宋体"/>
          <w:color w:val="auto"/>
          <w:sz w:val="18"/>
          <w:szCs w:val="18"/>
          <w:highlight w:val="none"/>
          <w:lang w:val="en-US" w:eastAsia="zh-CN"/>
        </w:rPr>
        <w:t>要求提供相关证书扫描件等资料，否则不得分。</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5、项目管理机构资源调动能力中要求的项目指挥长需提供投标截止前一个月（202</w:t>
      </w:r>
      <w:r>
        <w:rPr>
          <w:rFonts w:hint="eastAsia" w:ascii="宋体" w:hAnsi="宋体"/>
          <w:color w:val="auto"/>
          <w:sz w:val="18"/>
          <w:szCs w:val="18"/>
          <w:highlight w:val="none"/>
          <w:lang w:val="en-US" w:eastAsia="zh-CN"/>
        </w:rPr>
        <w:t>4</w:t>
      </w:r>
      <w:r>
        <w:rPr>
          <w:rFonts w:hint="eastAsia" w:ascii="宋体" w:hAnsi="宋体"/>
          <w:color w:val="auto"/>
          <w:sz w:val="18"/>
          <w:szCs w:val="18"/>
          <w:highlight w:val="none"/>
        </w:rPr>
        <w:t>年</w:t>
      </w:r>
      <w:r>
        <w:rPr>
          <w:rFonts w:hint="eastAsia" w:ascii="宋体" w:hAnsi="宋体"/>
          <w:color w:val="auto"/>
          <w:sz w:val="18"/>
          <w:szCs w:val="18"/>
          <w:highlight w:val="none"/>
          <w:lang w:val="en-US" w:eastAsia="zh-CN"/>
        </w:rPr>
        <w:t>2</w:t>
      </w:r>
      <w:r>
        <w:rPr>
          <w:rFonts w:hint="eastAsia" w:ascii="宋体" w:hAnsi="宋体"/>
          <w:color w:val="auto"/>
          <w:sz w:val="18"/>
          <w:szCs w:val="18"/>
          <w:highlight w:val="none"/>
        </w:rPr>
        <w:t>月）在单位购买社保的证明及任职满一个月的证明文件、以及能反映其任职情况的企业资质证书或公司章程等证明文件扫描件，否则不计分。</w:t>
      </w:r>
    </w:p>
    <w:p>
      <w:pPr>
        <w:pStyle w:val="6"/>
        <w:rPr>
          <w:rFonts w:ascii="宋体" w:hAnsi="宋体"/>
          <w:color w:val="auto"/>
          <w:sz w:val="18"/>
          <w:szCs w:val="18"/>
          <w:highlight w:val="none"/>
        </w:rPr>
      </w:pPr>
      <w:r>
        <w:rPr>
          <w:rFonts w:hint="eastAsia" w:ascii="宋体" w:hAnsi="宋体"/>
          <w:color w:val="auto"/>
          <w:sz w:val="18"/>
          <w:szCs w:val="18"/>
          <w:highlight w:val="none"/>
        </w:rPr>
        <w:t xml:space="preserve">     6、投标人拟配备人员若为香港专业人士，并已在广东省住房和城乡建设主管部门备案，且备案的业务范围符合本项目对应要求的亦给予认可。香港专业人士的备案业务范围依据《广东省住房和城乡建设厅关于印发香港工程建设咨询企业和专业人士在粤港澳大湾区内地城市开业执业试点管理暂行办法的通知》（粤建规范〔2020〕1号）确定。</w:t>
      </w:r>
    </w:p>
    <w:p>
      <w:pPr>
        <w:pStyle w:val="6"/>
        <w:ind w:firstLine="282" w:firstLineChars="157"/>
        <w:rPr>
          <w:rFonts w:ascii="宋体" w:hAnsi="宋体"/>
          <w:color w:val="auto"/>
          <w:sz w:val="18"/>
          <w:szCs w:val="18"/>
          <w:highlight w:val="none"/>
        </w:rPr>
      </w:pPr>
      <w:r>
        <w:rPr>
          <w:rFonts w:hint="eastAsia" w:ascii="宋体" w:hAnsi="宋体"/>
          <w:color w:val="auto"/>
          <w:sz w:val="18"/>
          <w:szCs w:val="18"/>
          <w:highlight w:val="none"/>
        </w:rPr>
        <w:t xml:space="preserve"> 7、根据住房城乡建设部、交通运输部、水利部、人力资源社会保障部关于印发《造价工程师职业资格制度规定》 《造价工程师职业资格考试实施办法》的通知（建人〔2018〕67号）第三十二条规定，根据原人事部、原建设部发布的《造价工程师执业资格制度暂行规定》（人发〔1996〕77号）取得的造价工程师注册执业证书与一级造价工程师注册执业证书效用等同。</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8、社保缴纳期限包含疫情防控期的，若当地政府部门允许企业在疫情防控期间缓缴社会保险费的，投标人可提供当地政府部门允许缓缴社保的相关文件作为缴纳社保的证明。中标后需提供投标文件中人员的社保补缴情况相关证明报招标人核实。</w:t>
      </w:r>
    </w:p>
    <w:p>
      <w:pPr>
        <w:ind w:firstLine="360" w:firstLineChars="200"/>
        <w:rPr>
          <w:rFonts w:ascii="宋体" w:hAnsi="宋体"/>
          <w:color w:val="auto"/>
          <w:sz w:val="18"/>
          <w:szCs w:val="18"/>
          <w:highlight w:val="none"/>
        </w:rPr>
      </w:pPr>
      <w:r>
        <w:rPr>
          <w:rFonts w:hint="eastAsia" w:ascii="宋体" w:hAnsi="宋体"/>
          <w:color w:val="auto"/>
          <w:sz w:val="18"/>
          <w:szCs w:val="18"/>
          <w:highlight w:val="none"/>
        </w:rPr>
        <w:t>9、本表按百分制评分，所有评委每个分项的分数汇总后去掉一个最高分和一个最低分的算术平均值为投标人的最终得分。分数出现小数点，保留小数点后二位小数，第三位小数四舍五入。</w:t>
      </w:r>
    </w:p>
    <w:p>
      <w:pPr>
        <w:ind w:firstLine="360" w:firstLineChars="200"/>
        <w:rPr>
          <w:rFonts w:hint="eastAsia" w:ascii="宋体" w:hAnsi="宋体"/>
          <w:color w:val="auto"/>
          <w:sz w:val="18"/>
          <w:szCs w:val="18"/>
          <w:highlight w:val="none"/>
        </w:rPr>
      </w:pPr>
      <w:r>
        <w:rPr>
          <w:rFonts w:hint="eastAsia" w:ascii="宋体" w:hAnsi="宋体"/>
          <w:color w:val="auto"/>
          <w:sz w:val="18"/>
          <w:szCs w:val="18"/>
          <w:highlight w:val="none"/>
        </w:rPr>
        <w:t>10、[a，b)为包含a，不包含b；（a，b]为包含b,不包含a。</w:t>
      </w:r>
    </w:p>
    <w:p>
      <w:pPr>
        <w:ind w:firstLine="360" w:firstLineChars="200"/>
        <w:rPr>
          <w:rFonts w:hint="eastAsia" w:ascii="宋体" w:hAnsi="宋体"/>
          <w:color w:val="auto"/>
          <w:sz w:val="18"/>
          <w:szCs w:val="18"/>
          <w:highlight w:val="none"/>
          <w:lang w:val="en-US" w:eastAsia="zh-CN"/>
        </w:rPr>
      </w:pPr>
    </w:p>
    <w:p>
      <w:pPr>
        <w:ind w:firstLine="360" w:firstLineChars="200"/>
        <w:rPr>
          <w:rFonts w:hint="eastAsia" w:ascii="宋体" w:hAnsi="宋体"/>
          <w:color w:val="auto"/>
          <w:sz w:val="18"/>
          <w:szCs w:val="18"/>
          <w:highlight w:val="none"/>
          <w:lang w:val="en-US" w:eastAsia="zh-CN"/>
        </w:rPr>
      </w:pPr>
    </w:p>
    <w:p>
      <w:pPr>
        <w:ind w:firstLine="0" w:firstLineChars="0"/>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br w:type="page"/>
      </w:r>
    </w:p>
    <w:p>
      <w:pPr>
        <w:pStyle w:val="2"/>
        <w:rPr>
          <w:rFonts w:hint="eastAsia"/>
          <w:lang w:val="en-US" w:eastAsia="zh-CN"/>
        </w:rPr>
      </w:pPr>
    </w:p>
    <w:p>
      <w:pPr>
        <w:ind w:firstLine="360" w:firstLineChars="200"/>
        <w:rPr>
          <w:rFonts w:hint="eastAsia" w:ascii="宋体" w:hAnsi="宋体"/>
          <w:color w:val="auto"/>
          <w:sz w:val="18"/>
          <w:szCs w:val="18"/>
          <w:highlight w:val="none"/>
          <w:lang w:val="en-US" w:eastAsia="zh-CN"/>
        </w:rPr>
      </w:pPr>
    </w:p>
    <w:p>
      <w:pPr>
        <w:ind w:firstLine="420" w:firstLineChars="200"/>
        <w:rPr>
          <w:color w:val="auto"/>
          <w:szCs w:val="21"/>
          <w:highlight w:val="none"/>
        </w:rPr>
      </w:pPr>
      <w:r>
        <w:rPr>
          <w:rFonts w:hint="eastAsia"/>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1025"/>
        <w:gridCol w:w="12"/>
        <w:gridCol w:w="1051"/>
        <w:gridCol w:w="1050"/>
        <w:gridCol w:w="1050"/>
        <w:gridCol w:w="1050"/>
        <w:gridCol w:w="1050"/>
        <w:gridCol w:w="1050"/>
        <w:gridCol w:w="1050"/>
        <w:gridCol w:w="1050"/>
        <w:gridCol w:w="1050"/>
        <w:gridCol w:w="105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投标人名称</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投标报价</w:t>
            </w:r>
            <w:r>
              <w:rPr>
                <w:rFonts w:ascii="宋体" w:hAnsi="宋体" w:eastAsia="Times New Roman"/>
                <w:color w:val="auto"/>
                <w:szCs w:val="21"/>
                <w:highlight w:val="none"/>
              </w:rPr>
              <w:t>PT</w:t>
            </w:r>
            <w:r>
              <w:rPr>
                <w:rFonts w:hint="eastAsia" w:ascii="宋体" w:hAnsi="宋体" w:eastAsia="Times New Roman"/>
                <w:color w:val="auto"/>
                <w:szCs w:val="21"/>
                <w:highlight w:val="none"/>
              </w:rPr>
              <w:t>（元）</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报价权重</w:t>
            </w:r>
          </w:p>
        </w:tc>
        <w:tc>
          <w:tcPr>
            <w:tcW w:w="102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6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评标参考价PC（元）</w:t>
            </w:r>
          </w:p>
        </w:tc>
        <w:tc>
          <w:tcPr>
            <w:tcW w:w="12587"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偏差（（</w:t>
            </w:r>
            <w:r>
              <w:rPr>
                <w:rFonts w:ascii="宋体" w:hAnsi="宋体" w:eastAsia="Times New Roman"/>
                <w:color w:val="auto"/>
                <w:szCs w:val="21"/>
                <w:highlight w:val="none"/>
              </w:rPr>
              <w:t>PT-PC</w:t>
            </w:r>
            <w:r>
              <w:rPr>
                <w:rFonts w:hint="eastAsia" w:ascii="宋体" w:hAnsi="宋体" w:eastAsia="Times New Roman"/>
                <w:color w:val="auto"/>
                <w:szCs w:val="21"/>
                <w:highlight w:val="none"/>
              </w:rPr>
              <w:t>）</w:t>
            </w:r>
            <w:r>
              <w:rPr>
                <w:rFonts w:ascii="宋体" w:hAnsi="宋体" w:eastAsia="Times New Roman"/>
                <w:color w:val="auto"/>
                <w:szCs w:val="21"/>
                <w:highlight w:val="none"/>
              </w:rPr>
              <w:t>/PC</w:t>
            </w:r>
            <w:r>
              <w:rPr>
                <w:rFonts w:hint="eastAsia" w:ascii="宋体" w:hAnsi="宋体" w:eastAsia="Times New Roman"/>
                <w:color w:val="auto"/>
                <w:szCs w:val="21"/>
                <w:highlight w:val="none"/>
              </w:rPr>
              <w:t>）（</w:t>
            </w:r>
            <w:r>
              <w:rPr>
                <w:rFonts w:ascii="宋体" w:hAnsi="宋体" w:eastAsia="Times New Roman"/>
                <w:color w:val="auto"/>
                <w:szCs w:val="21"/>
                <w:highlight w:val="none"/>
              </w:rPr>
              <w:t>%</w:t>
            </w:r>
            <w:r>
              <w:rPr>
                <w:rFonts w:hint="eastAsia" w:ascii="宋体" w:hAnsi="宋体" w:eastAsia="Times New Roman"/>
                <w:color w:val="auto"/>
                <w:szCs w:val="21"/>
                <w:highlight w:val="none"/>
              </w:rPr>
              <w:t>）</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减分（</w:t>
            </w:r>
            <w:r>
              <w:rPr>
                <w:rFonts w:ascii="宋体" w:hAnsi="宋体" w:eastAsia="Times New Roman"/>
                <w:color w:val="auto"/>
                <w:szCs w:val="21"/>
                <w:highlight w:val="none"/>
              </w:rPr>
              <w:t>A</w:t>
            </w:r>
            <w:r>
              <w:rPr>
                <w:rFonts w:hint="eastAsia" w:ascii="宋体" w:hAnsi="宋体" w:eastAsia="Times New Roman"/>
                <w:color w:val="auto"/>
                <w:szCs w:val="21"/>
                <w:highlight w:val="none"/>
              </w:rPr>
              <w:t>）</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得分</w:t>
            </w:r>
            <w:r>
              <w:rPr>
                <w:rFonts w:ascii="宋体" w:hAnsi="宋体" w:eastAsia="Times New Roman"/>
                <w:color w:val="auto"/>
                <w:szCs w:val="21"/>
                <w:highlight w:val="none"/>
              </w:rPr>
              <w:t>(I=100-A)</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8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r>
              <w:rPr>
                <w:rFonts w:hint="eastAsia" w:ascii="宋体" w:hAnsi="宋体" w:eastAsia="Times New Roman"/>
                <w:color w:val="auto"/>
                <w:szCs w:val="21"/>
                <w:highlight w:val="none"/>
              </w:rPr>
              <w:t>得分排名次序</w:t>
            </w:r>
          </w:p>
        </w:tc>
        <w:tc>
          <w:tcPr>
            <w:tcW w:w="103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c>
          <w:tcPr>
            <w:tcW w:w="104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szCs w:val="21"/>
                <w:highlight w:val="none"/>
              </w:rPr>
            </w:pPr>
          </w:p>
        </w:tc>
      </w:tr>
    </w:tbl>
    <w:p>
      <w:pPr>
        <w:rPr>
          <w:b/>
          <w:color w:val="auto"/>
          <w:szCs w:val="21"/>
          <w:highlight w:val="none"/>
        </w:rPr>
      </w:pPr>
      <w:r>
        <w:rPr>
          <w:rFonts w:hint="eastAsia"/>
          <w:color w:val="auto"/>
          <w:szCs w:val="21"/>
          <w:highlight w:val="none"/>
        </w:rPr>
        <w:t>评委签名：</w:t>
      </w:r>
      <w:r>
        <w:rPr>
          <w:b/>
          <w:color w:val="auto"/>
          <w:sz w:val="36"/>
          <w:szCs w:val="36"/>
          <w:highlight w:val="none"/>
        </w:rPr>
        <w:br w:type="page"/>
      </w:r>
      <w:r>
        <w:rPr>
          <w:rFonts w:hint="eastAsia"/>
          <w:color w:val="auto"/>
          <w:szCs w:val="21"/>
          <w:highlight w:val="none"/>
        </w:rPr>
        <w:t>附表六</w:t>
      </w:r>
    </w:p>
    <w:p>
      <w:pPr>
        <w:jc w:val="center"/>
        <w:rPr>
          <w:b/>
          <w:color w:val="auto"/>
          <w:sz w:val="36"/>
          <w:szCs w:val="36"/>
          <w:highlight w:val="none"/>
        </w:rPr>
      </w:pPr>
      <w:r>
        <w:rPr>
          <w:rFonts w:hint="eastAsia"/>
          <w:b/>
          <w:color w:val="auto"/>
          <w:sz w:val="36"/>
          <w:szCs w:val="36"/>
          <w:highlight w:val="none"/>
        </w:rPr>
        <w:t>算术复核表</w:t>
      </w:r>
    </w:p>
    <w:p>
      <w:pPr>
        <w:rPr>
          <w:rFonts w:ascii="宋体" w:hAnsi="宋体"/>
          <w:color w:val="auto"/>
          <w:kern w:val="0"/>
          <w:szCs w:val="21"/>
          <w:highlight w:val="none"/>
        </w:rPr>
      </w:pPr>
      <w:r>
        <w:rPr>
          <w:rFonts w:hint="eastAsia"/>
          <w:color w:val="auto"/>
          <w:kern w:val="0"/>
          <w:szCs w:val="21"/>
          <w:highlight w:val="none"/>
        </w:rPr>
        <w:t>工程名称：</w:t>
      </w:r>
      <w:r>
        <w:rPr>
          <w:color w:val="auto"/>
          <w:kern w:val="0"/>
          <w:szCs w:val="21"/>
          <w:highlight w:val="none"/>
        </w:rPr>
        <w:t xml:space="preserve">                                          </w:t>
      </w:r>
      <w:r>
        <w:rPr>
          <w:rFonts w:ascii="宋体" w:hAnsi="宋体"/>
          <w:color w:val="auto"/>
          <w:kern w:val="0"/>
          <w:szCs w:val="21"/>
          <w:highlight w:val="none"/>
        </w:rPr>
        <w:t xml:space="preserve"> </w:t>
      </w:r>
      <w:r>
        <w:rPr>
          <w:rFonts w:hint="eastAsia" w:ascii="宋体" w:hAnsi="宋体"/>
          <w:color w:val="auto"/>
          <w:kern w:val="0"/>
          <w:szCs w:val="21"/>
          <w:highlight w:val="none"/>
        </w:rPr>
        <w:t>投标人</w:t>
      </w:r>
      <w:r>
        <w:rPr>
          <w:rFonts w:ascii="宋体" w:hAnsi="宋体"/>
          <w:color w:val="auto"/>
          <w:kern w:val="0"/>
          <w:szCs w:val="21"/>
          <w:highlight w:val="none"/>
        </w:rPr>
        <w:t xml:space="preserve">:                                                  </w:t>
      </w:r>
      <w:r>
        <w:rPr>
          <w:rFonts w:hint="eastAsia" w:ascii="宋体" w:hAnsi="宋体"/>
          <w:color w:val="auto"/>
          <w:kern w:val="0"/>
          <w:szCs w:val="21"/>
          <w:highlight w:val="none"/>
        </w:rPr>
        <w:t>单位：元</w:t>
      </w:r>
    </w:p>
    <w:tbl>
      <w:tblPr>
        <w:tblStyle w:val="50"/>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修正前投标</w:t>
            </w:r>
          </w:p>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报价</w:t>
            </w:r>
            <w:r>
              <w:rPr>
                <w:rFonts w:ascii="宋体" w:hAnsi="宋体" w:eastAsia="Times New Roman"/>
                <w:color w:val="auto"/>
                <w:kern w:val="0"/>
                <w:szCs w:val="21"/>
                <w:highlight w:val="none"/>
              </w:rPr>
              <w:t>A</w:t>
            </w:r>
          </w:p>
        </w:tc>
        <w:tc>
          <w:tcPr>
            <w:tcW w:w="157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修正后投标</w:t>
            </w:r>
          </w:p>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报价</w:t>
            </w:r>
            <w:r>
              <w:rPr>
                <w:rFonts w:ascii="宋体" w:hAnsi="宋体" w:eastAsia="Times New Roman"/>
                <w:color w:val="auto"/>
                <w:kern w:val="0"/>
                <w:szCs w:val="21"/>
                <w:highlight w:val="none"/>
              </w:rPr>
              <w:t>B</w:t>
            </w:r>
          </w:p>
        </w:tc>
        <w:tc>
          <w:tcPr>
            <w:tcW w:w="157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修正率</w:t>
            </w:r>
            <w:r>
              <w:rPr>
                <w:rFonts w:ascii="宋体" w:hAnsi="宋体" w:eastAsia="Times New Roman"/>
                <w:color w:val="auto"/>
                <w:kern w:val="0"/>
                <w:szCs w:val="21"/>
                <w:highlight w:val="none"/>
              </w:rPr>
              <w:br w:type="textWrapping"/>
            </w:r>
            <w:r>
              <w:rPr>
                <w:rFonts w:ascii="宋体" w:hAnsi="宋体" w:eastAsia="Times New Roman"/>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当</w:t>
            </w:r>
            <w:r>
              <w:rPr>
                <w:rFonts w:ascii="宋体" w:hAnsi="宋体" w:eastAsia="Times New Roman"/>
                <w:color w:val="auto"/>
                <w:kern w:val="0"/>
                <w:szCs w:val="21"/>
                <w:highlight w:val="none"/>
              </w:rPr>
              <w:t>B&gt;A</w:t>
            </w:r>
            <w:r>
              <w:rPr>
                <w:rFonts w:hint="eastAsia" w:ascii="宋体" w:hAnsi="宋体" w:eastAsia="Times New Roman"/>
                <w:color w:val="auto"/>
                <w:kern w:val="0"/>
                <w:szCs w:val="21"/>
                <w:highlight w:val="none"/>
              </w:rPr>
              <w:t>时，修正后报价与原报价的差额；当</w:t>
            </w:r>
            <w:r>
              <w:rPr>
                <w:rFonts w:ascii="宋体" w:hAnsi="宋体" w:eastAsia="Times New Roman"/>
                <w:color w:val="auto"/>
                <w:kern w:val="0"/>
                <w:szCs w:val="21"/>
                <w:highlight w:val="none"/>
              </w:rPr>
              <w:t>B</w:t>
            </w:r>
            <w:r>
              <w:rPr>
                <w:rFonts w:hint="eastAsia" w:ascii="宋体" w:hAnsi="宋体" w:eastAsia="Times New Roman"/>
                <w:color w:val="auto"/>
                <w:kern w:val="0"/>
                <w:szCs w:val="21"/>
                <w:highlight w:val="none"/>
              </w:rPr>
              <w:t>≤</w:t>
            </w:r>
            <w:r>
              <w:rPr>
                <w:rFonts w:ascii="宋体" w:hAnsi="宋体" w:eastAsia="Times New Roman"/>
                <w:color w:val="auto"/>
                <w:kern w:val="0"/>
                <w:szCs w:val="21"/>
                <w:highlight w:val="none"/>
              </w:rPr>
              <w:t>A</w:t>
            </w:r>
            <w:r>
              <w:rPr>
                <w:rFonts w:hint="eastAsia" w:ascii="宋体" w:hAnsi="宋体" w:eastAsia="Times New Roman"/>
                <w:color w:val="auto"/>
                <w:kern w:val="0"/>
                <w:szCs w:val="21"/>
                <w:highlight w:val="none"/>
              </w:rPr>
              <w:t>时</w:t>
            </w:r>
            <w:r>
              <w:rPr>
                <w:rFonts w:ascii="宋体" w:hAnsi="宋体" w:eastAsia="Times New Roman"/>
                <w:color w:val="auto"/>
                <w:kern w:val="0"/>
                <w:szCs w:val="21"/>
                <w:highlight w:val="none"/>
              </w:rPr>
              <w:t>,R=0</w:t>
            </w:r>
          </w:p>
        </w:tc>
      </w:tr>
      <w:tr>
        <w:tblPrEx>
          <w:tblCellMar>
            <w:top w:w="0" w:type="dxa"/>
            <w:left w:w="108" w:type="dxa"/>
            <w:bottom w:w="0" w:type="dxa"/>
            <w:right w:w="108" w:type="dxa"/>
          </w:tblCellMar>
        </w:tblPrEx>
        <w:trPr>
          <w:trHeight w:val="456"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ascii="宋体" w:hAnsi="宋体" w:eastAsia="Times New Roman"/>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ascii="宋体" w:hAnsi="宋体" w:eastAsia="Times New Roman"/>
                <w:color w:val="auto"/>
                <w:kern w:val="0"/>
                <w:szCs w:val="21"/>
                <w:highlight w:val="none"/>
              </w:rPr>
              <w:t>[</w:t>
            </w:r>
            <w:r>
              <w:rPr>
                <w:rFonts w:hint="eastAsia" w:ascii="宋体" w:hAnsi="宋体" w:eastAsia="Times New Roman"/>
                <w:color w:val="auto"/>
                <w:kern w:val="0"/>
                <w:szCs w:val="21"/>
                <w:highlight w:val="none"/>
              </w:rPr>
              <w:t>单位工程</w:t>
            </w:r>
            <w:r>
              <w:rPr>
                <w:rFonts w:ascii="宋体" w:hAnsi="宋体" w:eastAsia="Times New Roman"/>
                <w:color w:val="auto"/>
                <w:kern w:val="0"/>
                <w:szCs w:val="21"/>
                <w:highlight w:val="none"/>
              </w:rPr>
              <w:t>1]</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ascii="宋体" w:hAnsi="宋体" w:eastAsia="Times New Roman"/>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ascii="宋体" w:hAnsi="宋体" w:eastAsia="Times New Roman"/>
                <w:color w:val="auto"/>
                <w:kern w:val="0"/>
                <w:szCs w:val="21"/>
                <w:highlight w:val="none"/>
              </w:rPr>
              <w:t>[</w:t>
            </w:r>
            <w:r>
              <w:rPr>
                <w:rFonts w:hint="eastAsia" w:ascii="宋体" w:hAnsi="宋体" w:eastAsia="Times New Roman"/>
                <w:color w:val="auto"/>
                <w:kern w:val="0"/>
                <w:szCs w:val="21"/>
                <w:highlight w:val="none"/>
              </w:rPr>
              <w:t>单位工程</w:t>
            </w:r>
            <w:r>
              <w:rPr>
                <w:rFonts w:ascii="宋体" w:hAnsi="宋体" w:eastAsia="Times New Roman"/>
                <w:color w:val="auto"/>
                <w:kern w:val="0"/>
                <w:szCs w:val="21"/>
                <w:highlight w:val="none"/>
              </w:rPr>
              <w:t>2]</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ascii="宋体" w:hAnsi="宋体" w:eastAsia="Times New Roman"/>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ascii="宋体" w:hAnsi="宋体" w:eastAsia="Times New Roman"/>
                <w:color w:val="auto"/>
                <w:kern w:val="0"/>
                <w:szCs w:val="21"/>
                <w:highlight w:val="none"/>
              </w:rPr>
              <w:t>[</w:t>
            </w:r>
            <w:r>
              <w:rPr>
                <w:rFonts w:hint="eastAsia" w:ascii="宋体" w:hAnsi="宋体" w:eastAsia="Times New Roman"/>
                <w:color w:val="auto"/>
                <w:kern w:val="0"/>
                <w:szCs w:val="21"/>
                <w:highlight w:val="none"/>
              </w:rPr>
              <w:t>单位工程</w:t>
            </w:r>
            <w:r>
              <w:rPr>
                <w:rFonts w:ascii="宋体" w:hAnsi="宋体" w:eastAsia="Times New Roman"/>
                <w:color w:val="auto"/>
                <w:kern w:val="0"/>
                <w:szCs w:val="21"/>
                <w:highlight w:val="none"/>
              </w:rPr>
              <w:t>n]</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eastAsia="Times New Roman"/>
                <w:color w:val="auto"/>
                <w:kern w:val="0"/>
                <w:szCs w:val="21"/>
                <w:highlight w:val="none"/>
              </w:rPr>
            </w:pPr>
            <w:r>
              <w:rPr>
                <w:rFonts w:hint="eastAsia" w:ascii="宋体" w:hAnsi="宋体" w:eastAsia="Times New Roman"/>
                <w:color w:val="auto"/>
                <w:kern w:val="0"/>
                <w:szCs w:val="21"/>
                <w:highlight w:val="none"/>
              </w:rPr>
              <w:t>∑</w:t>
            </w:r>
            <w:r>
              <w:rPr>
                <w:rFonts w:ascii="宋体" w:hAnsi="宋体" w:eastAsia="Times New Roman"/>
                <w:color w:val="auto"/>
                <w:kern w:val="0"/>
                <w:szCs w:val="21"/>
                <w:highlight w:val="none"/>
              </w:rPr>
              <w:t>A=A</w:t>
            </w:r>
            <w:r>
              <w:rPr>
                <w:rFonts w:ascii="宋体" w:hAnsi="宋体" w:eastAsia="Times New Roman"/>
                <w:color w:val="auto"/>
                <w:kern w:val="0"/>
                <w:szCs w:val="21"/>
                <w:highlight w:val="none"/>
                <w:vertAlign w:val="subscript"/>
              </w:rPr>
              <w:t>1</w:t>
            </w:r>
            <w:r>
              <w:rPr>
                <w:rFonts w:ascii="宋体" w:hAnsi="宋体" w:eastAsia="Times New Roman"/>
                <w:color w:val="auto"/>
                <w:kern w:val="0"/>
                <w:szCs w:val="21"/>
                <w:highlight w:val="none"/>
              </w:rPr>
              <w:t>+A</w:t>
            </w:r>
            <w:r>
              <w:rPr>
                <w:rFonts w:ascii="宋体" w:hAnsi="宋体" w:eastAsia="Times New Roman"/>
                <w:color w:val="auto"/>
                <w:kern w:val="0"/>
                <w:szCs w:val="21"/>
                <w:highlight w:val="none"/>
                <w:vertAlign w:val="subscript"/>
              </w:rPr>
              <w:t>2</w:t>
            </w:r>
            <w:r>
              <w:rPr>
                <w:rFonts w:ascii="宋体" w:hAnsi="宋体" w:eastAsia="Times New Roman"/>
                <w:color w:val="auto"/>
                <w:kern w:val="0"/>
                <w:szCs w:val="21"/>
                <w:highlight w:val="none"/>
              </w:rPr>
              <w:t>+</w:t>
            </w:r>
            <w:r>
              <w:rPr>
                <w:rFonts w:hint="eastAsia" w:ascii="宋体" w:hAnsi="宋体" w:eastAsia="Times New Roman"/>
                <w:color w:val="auto"/>
                <w:kern w:val="0"/>
                <w:szCs w:val="21"/>
                <w:highlight w:val="none"/>
              </w:rPr>
              <w:t>…</w:t>
            </w:r>
            <w:r>
              <w:rPr>
                <w:rFonts w:ascii="宋体" w:hAnsi="宋体" w:eastAsia="Times New Roman"/>
                <w:color w:val="auto"/>
                <w:kern w:val="0"/>
                <w:szCs w:val="21"/>
                <w:highlight w:val="none"/>
              </w:rPr>
              <w:t>An</w:t>
            </w:r>
            <w:r>
              <w:rPr>
                <w:rFonts w:hint="eastAsia" w:ascii="宋体" w:hAnsi="宋体" w:eastAsia="Times New Roman"/>
                <w:color w:val="auto"/>
                <w:kern w:val="0"/>
                <w:szCs w:val="21"/>
                <w:highlight w:val="none"/>
              </w:rPr>
              <w:t>；∑</w:t>
            </w:r>
            <w:r>
              <w:rPr>
                <w:rFonts w:ascii="宋体" w:hAnsi="宋体" w:eastAsia="Times New Roman"/>
                <w:color w:val="auto"/>
                <w:kern w:val="0"/>
                <w:szCs w:val="21"/>
                <w:highlight w:val="none"/>
              </w:rPr>
              <w:t>B=B</w:t>
            </w:r>
            <w:r>
              <w:rPr>
                <w:rFonts w:ascii="宋体" w:hAnsi="宋体" w:eastAsia="Times New Roman"/>
                <w:color w:val="auto"/>
                <w:kern w:val="0"/>
                <w:szCs w:val="21"/>
                <w:highlight w:val="none"/>
                <w:vertAlign w:val="subscript"/>
              </w:rPr>
              <w:t>1</w:t>
            </w:r>
            <w:r>
              <w:rPr>
                <w:rFonts w:ascii="宋体" w:hAnsi="宋体" w:eastAsia="Times New Roman"/>
                <w:color w:val="auto"/>
                <w:kern w:val="0"/>
                <w:szCs w:val="21"/>
                <w:highlight w:val="none"/>
              </w:rPr>
              <w:t>+B</w:t>
            </w:r>
            <w:r>
              <w:rPr>
                <w:rFonts w:ascii="宋体" w:hAnsi="宋体" w:eastAsia="Times New Roman"/>
                <w:color w:val="auto"/>
                <w:kern w:val="0"/>
                <w:szCs w:val="21"/>
                <w:highlight w:val="none"/>
                <w:vertAlign w:val="subscript"/>
              </w:rPr>
              <w:t>2</w:t>
            </w:r>
            <w:r>
              <w:rPr>
                <w:rFonts w:ascii="宋体" w:hAnsi="宋体" w:eastAsia="Times New Roman"/>
                <w:color w:val="auto"/>
                <w:kern w:val="0"/>
                <w:szCs w:val="21"/>
                <w:highlight w:val="none"/>
              </w:rPr>
              <w:t>+</w:t>
            </w:r>
            <w:r>
              <w:rPr>
                <w:rFonts w:hint="eastAsia" w:ascii="宋体" w:hAnsi="宋体" w:eastAsia="Times New Roman"/>
                <w:color w:val="auto"/>
                <w:kern w:val="0"/>
                <w:szCs w:val="21"/>
                <w:highlight w:val="none"/>
              </w:rPr>
              <w:t>…</w:t>
            </w:r>
            <w:r>
              <w:rPr>
                <w:rFonts w:ascii="宋体" w:hAnsi="宋体" w:eastAsia="Times New Roman"/>
                <w:color w:val="auto"/>
                <w:kern w:val="0"/>
                <w:szCs w:val="21"/>
                <w:highlight w:val="none"/>
              </w:rPr>
              <w:t>Bn</w:t>
            </w:r>
          </w:p>
        </w:tc>
      </w:tr>
    </w:tbl>
    <w:p>
      <w:pPr>
        <w:spacing w:line="300" w:lineRule="exact"/>
        <w:rPr>
          <w:rFonts w:cs="宋体"/>
          <w:color w:val="auto"/>
          <w:kern w:val="0"/>
          <w:szCs w:val="21"/>
          <w:highlight w:val="none"/>
        </w:rPr>
      </w:pPr>
      <w:r>
        <w:rPr>
          <w:rFonts w:hint="eastAsia" w:cs="宋体"/>
          <w:color w:val="auto"/>
          <w:kern w:val="0"/>
          <w:szCs w:val="21"/>
          <w:highlight w:val="none"/>
        </w:rPr>
        <w:t>修正原则：</w:t>
      </w:r>
      <w:r>
        <w:rPr>
          <w:rFonts w:hint="eastAsia"/>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cs="宋体"/>
          <w:color w:val="auto"/>
          <w:kern w:val="0"/>
          <w:szCs w:val="21"/>
          <w:highlight w:val="none"/>
        </w:rPr>
        <w:tab/>
      </w:r>
    </w:p>
    <w:p>
      <w:pPr>
        <w:spacing w:line="300" w:lineRule="exact"/>
        <w:rPr>
          <w:color w:val="auto"/>
          <w:kern w:val="0"/>
          <w:szCs w:val="21"/>
          <w:highlight w:val="none"/>
        </w:rPr>
      </w:pPr>
      <w:r>
        <w:rPr>
          <w:rFonts w:hint="eastAsia"/>
          <w:color w:val="auto"/>
          <w:kern w:val="0"/>
          <w:szCs w:val="21"/>
          <w:highlight w:val="none"/>
        </w:rPr>
        <w:t>评委签名：</w:t>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color w:val="auto"/>
          <w:kern w:val="0"/>
          <w:szCs w:val="21"/>
          <w:highlight w:val="none"/>
        </w:rPr>
        <w:tab/>
      </w:r>
      <w:r>
        <w:rPr>
          <w:rFonts w:hint="eastAsia"/>
          <w:color w:val="auto"/>
          <w:kern w:val="0"/>
          <w:szCs w:val="21"/>
          <w:highlight w:val="none"/>
        </w:rPr>
        <w:t>日期：</w:t>
      </w:r>
    </w:p>
    <w:p>
      <w:pPr>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pStyle w:val="6"/>
        <w:rPr>
          <w:color w:val="auto"/>
          <w:highlight w:val="none"/>
        </w:rPr>
      </w:pPr>
    </w:p>
    <w:p>
      <w:pPr>
        <w:jc w:val="center"/>
        <w:rPr>
          <w:b/>
          <w:color w:val="auto"/>
          <w:sz w:val="36"/>
          <w:szCs w:val="36"/>
          <w:highlight w:val="none"/>
        </w:rPr>
      </w:pPr>
      <w:r>
        <w:rPr>
          <w:rFonts w:hint="eastAsia"/>
          <w:b/>
          <w:color w:val="auto"/>
          <w:sz w:val="36"/>
          <w:szCs w:val="36"/>
          <w:highlight w:val="none"/>
        </w:rPr>
        <w:t>算术复核表</w:t>
      </w:r>
    </w:p>
    <w:p>
      <w:pPr>
        <w:rPr>
          <w:color w:val="auto"/>
          <w:szCs w:val="21"/>
          <w:highlight w:val="none"/>
        </w:rPr>
      </w:pPr>
      <w:r>
        <w:rPr>
          <w:rFonts w:hint="eastAsia"/>
          <w:color w:val="auto"/>
          <w:szCs w:val="21"/>
          <w:highlight w:val="none"/>
        </w:rPr>
        <w:t>工程名称：</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auto"/>
                <w:sz w:val="28"/>
                <w:szCs w:val="28"/>
                <w:highlight w:val="none"/>
              </w:rPr>
            </w:pPr>
            <w:r>
              <w:rPr>
                <w:rFonts w:hint="eastAsia" w:eastAsia="Times New Roman"/>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auto"/>
                <w:sz w:val="28"/>
                <w:szCs w:val="28"/>
                <w:highlight w:val="none"/>
              </w:rPr>
            </w:pPr>
            <w:r>
              <w:rPr>
                <w:rFonts w:hint="eastAsia" w:eastAsia="Times New Roman"/>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auto"/>
                <w:sz w:val="28"/>
                <w:szCs w:val="28"/>
                <w:highlight w:val="none"/>
              </w:rPr>
            </w:pPr>
            <w:r>
              <w:rPr>
                <w:rFonts w:hint="eastAsia" w:eastAsia="Times New Roman"/>
                <w:b/>
                <w:color w:val="auto"/>
                <w:sz w:val="28"/>
                <w:szCs w:val="28"/>
                <w:highlight w:val="none"/>
              </w:rPr>
              <w:t>原投标报价（</w:t>
            </w:r>
            <w:r>
              <w:rPr>
                <w:rFonts w:eastAsia="Times New Roman"/>
                <w:b/>
                <w:color w:val="auto"/>
                <w:sz w:val="28"/>
                <w:szCs w:val="28"/>
                <w:highlight w:val="none"/>
              </w:rPr>
              <w:t>A</w:t>
            </w:r>
            <w:r>
              <w:rPr>
                <w:rFonts w:hint="eastAsia" w:eastAsia="Times New Roman"/>
                <w:b/>
                <w:color w:val="auto"/>
                <w:sz w:val="28"/>
                <w:szCs w:val="28"/>
                <w:highlight w:val="none"/>
              </w:rPr>
              <w:t>）</w:t>
            </w:r>
          </w:p>
        </w:tc>
        <w:tc>
          <w:tcPr>
            <w:tcW w:w="3101"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auto"/>
                <w:sz w:val="28"/>
                <w:szCs w:val="28"/>
                <w:highlight w:val="none"/>
              </w:rPr>
            </w:pPr>
            <w:r>
              <w:rPr>
                <w:rFonts w:hint="eastAsia" w:eastAsia="Times New Roman"/>
                <w:b/>
                <w:color w:val="auto"/>
                <w:sz w:val="28"/>
                <w:szCs w:val="28"/>
                <w:highlight w:val="none"/>
              </w:rPr>
              <w:t>算数复核后投标报价（</w:t>
            </w:r>
            <w:r>
              <w:rPr>
                <w:rFonts w:eastAsia="Times New Roman"/>
                <w:b/>
                <w:color w:val="auto"/>
                <w:sz w:val="28"/>
                <w:szCs w:val="28"/>
                <w:highlight w:val="none"/>
              </w:rPr>
              <w:t>B</w:t>
            </w:r>
            <w:r>
              <w:rPr>
                <w:rFonts w:hint="eastAsia" w:eastAsia="Times New Roman"/>
                <w:b/>
                <w:color w:val="auto"/>
                <w:sz w:val="28"/>
                <w:szCs w:val="28"/>
                <w:highlight w:val="none"/>
              </w:rPr>
              <w:t>）</w:t>
            </w:r>
          </w:p>
        </w:tc>
        <w:tc>
          <w:tcPr>
            <w:tcW w:w="3423" w:type="dxa"/>
            <w:tcBorders>
              <w:top w:val="single" w:color="auto" w:sz="4" w:space="0"/>
              <w:left w:val="single" w:color="auto" w:sz="4" w:space="0"/>
              <w:bottom w:val="single" w:color="auto" w:sz="4" w:space="0"/>
              <w:right w:val="single" w:color="auto" w:sz="4" w:space="0"/>
            </w:tcBorders>
            <w:vAlign w:val="center"/>
          </w:tcPr>
          <w:p>
            <w:pPr>
              <w:jc w:val="center"/>
              <w:rPr>
                <w:rFonts w:eastAsia="Times New Roman"/>
                <w:b/>
                <w:color w:val="auto"/>
                <w:sz w:val="28"/>
                <w:szCs w:val="28"/>
                <w:highlight w:val="none"/>
              </w:rPr>
            </w:pPr>
            <w:r>
              <w:rPr>
                <w:rFonts w:hint="eastAsia" w:eastAsia="Times New Roman"/>
                <w:b/>
                <w:color w:val="auto"/>
                <w:sz w:val="28"/>
                <w:szCs w:val="28"/>
                <w:highlight w:val="none"/>
              </w:rPr>
              <w:t>误差率（</w:t>
            </w:r>
            <w:r>
              <w:rPr>
                <w:rFonts w:eastAsia="Times New Roman"/>
                <w:b/>
                <w:color w:val="auto"/>
                <w:sz w:val="28"/>
                <w:szCs w:val="28"/>
                <w:highlight w:val="none"/>
              </w:rPr>
              <w:t>r=|A-B|/A*100%</w:t>
            </w:r>
            <w:r>
              <w:rPr>
                <w:rFonts w:hint="eastAsia" w:eastAsia="Times New Roman"/>
                <w:b/>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eastAsia="Times New Roman"/>
                <w:color w:val="auto"/>
                <w:sz w:val="36"/>
                <w:szCs w:val="36"/>
                <w:highlight w:val="none"/>
              </w:rPr>
            </w:pPr>
          </w:p>
        </w:tc>
      </w:tr>
    </w:tbl>
    <w:p>
      <w:pPr>
        <w:rPr>
          <w:color w:val="auto"/>
          <w:szCs w:val="21"/>
          <w:highlight w:val="none"/>
        </w:rPr>
      </w:pPr>
      <w:r>
        <w:rPr>
          <w:rFonts w:hint="eastAsia"/>
          <w:color w:val="auto"/>
          <w:szCs w:val="21"/>
          <w:highlight w:val="none"/>
        </w:rPr>
        <w:t>评委签名：</w:t>
      </w:r>
    </w:p>
    <w:p>
      <w:pPr>
        <w:spacing w:line="360" w:lineRule="auto"/>
        <w:jc w:val="center"/>
        <w:rPr>
          <w:rFonts w:ascii="仿宋_GB2312" w:hAnsi="宋体" w:eastAsia="仿宋_GB2312"/>
          <w:color w:val="auto"/>
          <w:szCs w:val="21"/>
          <w:highlight w:val="none"/>
        </w:rPr>
        <w:sectPr>
          <w:headerReference r:id="rId13" w:type="first"/>
          <w:footerReference r:id="rId16" w:type="first"/>
          <w:headerReference r:id="rId11" w:type="default"/>
          <w:footerReference r:id="rId14" w:type="default"/>
          <w:headerReference r:id="rId12" w:type="even"/>
          <w:footerReference r:id="rId15" w:type="even"/>
          <w:endnotePr>
            <w:numFmt w:val="decimal"/>
          </w:endnotePr>
          <w:pgSz w:w="16838" w:h="11906" w:orient="landscape"/>
          <w:pgMar w:top="1418" w:right="1247" w:bottom="1418" w:left="1134" w:header="851" w:footer="907" w:gutter="0"/>
          <w:cols w:space="720" w:num="1"/>
          <w:titlePg/>
          <w:docGrid w:type="lines" w:linePitch="312" w:charSpace="0"/>
        </w:sectPr>
      </w:pPr>
    </w:p>
    <w:p>
      <w:pPr>
        <w:pStyle w:val="3"/>
        <w:rPr>
          <w:color w:val="auto"/>
          <w:highlight w:val="none"/>
        </w:rPr>
      </w:pPr>
      <w:bookmarkStart w:id="16" w:name="_Toc20942"/>
      <w:r>
        <w:rPr>
          <w:rFonts w:hint="eastAsia"/>
          <w:color w:val="auto"/>
          <w:highlight w:val="none"/>
        </w:rPr>
        <w:t>第三章</w:t>
      </w:r>
      <w:r>
        <w:rPr>
          <w:color w:val="auto"/>
          <w:highlight w:val="none"/>
        </w:rPr>
        <w:t xml:space="preserve">  </w:t>
      </w:r>
      <w:r>
        <w:rPr>
          <w:rFonts w:hint="eastAsia"/>
          <w:color w:val="auto"/>
          <w:highlight w:val="none"/>
        </w:rPr>
        <w:t>合同条款</w:t>
      </w:r>
      <w:bookmarkEnd w:id="16"/>
    </w:p>
    <w:p>
      <w:pPr>
        <w:spacing w:line="360" w:lineRule="auto"/>
        <w:jc w:val="center"/>
        <w:rPr>
          <w:rFonts w:ascii="宋体" w:hAnsi="宋体"/>
          <w:b/>
          <w:bCs/>
          <w:color w:val="auto"/>
          <w:sz w:val="32"/>
          <w:szCs w:val="32"/>
          <w:highlight w:val="none"/>
        </w:rPr>
      </w:pPr>
      <w:r>
        <w:rPr>
          <w:rFonts w:hint="eastAsia" w:ascii="宋体" w:hAnsi="宋体"/>
          <w:b/>
          <w:bCs/>
          <w:color w:val="auto"/>
          <w:sz w:val="32"/>
          <w:szCs w:val="32"/>
          <w:highlight w:val="none"/>
        </w:rPr>
        <w:t>另册</w:t>
      </w:r>
    </w:p>
    <w:p>
      <w:pPr>
        <w:shd w:val="clear" w:color="auto" w:fill="FFFFFF"/>
        <w:snapToGrid w:val="0"/>
        <w:spacing w:line="360" w:lineRule="auto"/>
        <w:jc w:val="left"/>
        <w:rPr>
          <w:rFonts w:ascii="宋体" w:hAnsi="宋体"/>
          <w:color w:val="auto"/>
          <w:kern w:val="0"/>
          <w:sz w:val="24"/>
          <w:szCs w:val="24"/>
          <w:highlight w:val="none"/>
        </w:rPr>
      </w:pPr>
    </w:p>
    <w:p>
      <w:pPr>
        <w:shd w:val="clear" w:color="auto" w:fill="FFFFFF"/>
        <w:snapToGrid w:val="0"/>
        <w:spacing w:line="360" w:lineRule="auto"/>
        <w:jc w:val="left"/>
        <w:rPr>
          <w:rFonts w:ascii="宋体" w:hAnsi="宋体"/>
          <w:color w:val="auto"/>
          <w:kern w:val="0"/>
          <w:sz w:val="24"/>
          <w:szCs w:val="24"/>
          <w:highlight w:val="none"/>
        </w:rPr>
      </w:pPr>
    </w:p>
    <w:p>
      <w:pPr>
        <w:pStyle w:val="31"/>
        <w:tabs>
          <w:tab w:val="left" w:pos="0"/>
        </w:tabs>
        <w:spacing w:line="360" w:lineRule="auto"/>
        <w:rPr>
          <w:rFonts w:ascii="宋体" w:hAnsi="宋体"/>
          <w:b/>
          <w:color w:val="auto"/>
          <w:sz w:val="24"/>
          <w:szCs w:val="24"/>
          <w:highlight w:val="none"/>
        </w:rPr>
        <w:sectPr>
          <w:footerReference r:id="rId17" w:type="default"/>
          <w:pgSz w:w="11906" w:h="16838"/>
          <w:pgMar w:top="1440" w:right="1474" w:bottom="1440" w:left="1474" w:header="851" w:footer="992" w:gutter="0"/>
          <w:cols w:space="720" w:num="1"/>
          <w:docGrid w:type="lines" w:linePitch="312" w:charSpace="0"/>
        </w:sectPr>
      </w:pPr>
    </w:p>
    <w:p>
      <w:pPr>
        <w:pStyle w:val="3"/>
        <w:rPr>
          <w:color w:val="auto"/>
          <w:highlight w:val="none"/>
        </w:rPr>
      </w:pPr>
      <w:bookmarkStart w:id="17" w:name="_Toc28354"/>
      <w:r>
        <w:rPr>
          <w:rFonts w:hint="eastAsia"/>
          <w:color w:val="auto"/>
          <w:highlight w:val="none"/>
        </w:rPr>
        <w:t>第四章</w:t>
      </w:r>
      <w:r>
        <w:rPr>
          <w:color w:val="auto"/>
          <w:highlight w:val="none"/>
        </w:rPr>
        <w:t xml:space="preserve">  </w:t>
      </w:r>
      <w:r>
        <w:rPr>
          <w:rFonts w:hint="eastAsia"/>
          <w:color w:val="auto"/>
          <w:highlight w:val="none"/>
        </w:rPr>
        <w:t>投标文件格式</w:t>
      </w:r>
      <w:bookmarkEnd w:id="17"/>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投标人应按以下规定的格式及要求编制投标文件。</w:t>
      </w:r>
    </w:p>
    <w:p>
      <w:pPr>
        <w:pStyle w:val="5"/>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一、《广州建设工程施工招标投标书》是投标文件的重要组成部分，其内容是投标人开标信息的主要来源，投标人应准确填写《广州建设工程施工招标投标书》的相关内容。</w:t>
      </w:r>
    </w:p>
    <w:p>
      <w:pPr>
        <w:pStyle w:val="5"/>
        <w:spacing w:line="360" w:lineRule="auto"/>
        <w:ind w:firstLine="513" w:firstLineChars="214"/>
        <w:rPr>
          <w:rFonts w:ascii="宋体" w:hAnsi="宋体"/>
          <w:bCs/>
          <w:color w:val="auto"/>
          <w:sz w:val="24"/>
          <w:szCs w:val="24"/>
          <w:highlight w:val="none"/>
        </w:rPr>
      </w:pPr>
      <w:r>
        <w:rPr>
          <w:rFonts w:hint="eastAsia" w:ascii="宋体" w:hAnsi="宋体"/>
          <w:bCs/>
          <w:color w:val="auto"/>
          <w:sz w:val="24"/>
          <w:szCs w:val="24"/>
          <w:highlight w:val="none"/>
        </w:rPr>
        <w:t>二、投标人在编制工程量清单时应只填写主体单位全称，且要求填写的全称与</w:t>
      </w:r>
      <w:r>
        <w:rPr>
          <w:rFonts w:hint="eastAsia" w:ascii="宋体" w:hAnsi="宋体"/>
          <w:bCs/>
          <w:color w:val="auto"/>
          <w:sz w:val="24"/>
          <w:szCs w:val="24"/>
          <w:highlight w:val="none"/>
          <w:u w:val="single"/>
        </w:rPr>
        <w:t>广州公共资源交易中心</w:t>
      </w:r>
      <w:r>
        <w:rPr>
          <w:rFonts w:hint="eastAsia" w:ascii="宋体" w:hAnsi="宋体"/>
          <w:bCs/>
          <w:color w:val="auto"/>
          <w:sz w:val="24"/>
          <w:szCs w:val="24"/>
          <w:highlight w:val="none"/>
        </w:rPr>
        <w:t>办理企业信息登记名称完全一致。</w:t>
      </w:r>
    </w:p>
    <w:p>
      <w:pPr>
        <w:spacing w:line="360" w:lineRule="auto"/>
        <w:ind w:firstLine="3235" w:firstLineChars="895"/>
        <w:rPr>
          <w:rFonts w:ascii="宋体" w:hAnsi="宋体"/>
          <w:b/>
          <w:color w:val="auto"/>
          <w:sz w:val="36"/>
          <w:szCs w:val="36"/>
          <w:highlight w:val="none"/>
        </w:rPr>
      </w:pPr>
      <w:r>
        <w:rPr>
          <w:rFonts w:hint="eastAsia" w:ascii="宋体" w:hAnsi="宋体"/>
          <w:b/>
          <w:color w:val="auto"/>
          <w:sz w:val="36"/>
          <w:szCs w:val="36"/>
          <w:highlight w:val="none"/>
        </w:rPr>
        <w:br w:type="page"/>
      </w:r>
      <w:r>
        <w:rPr>
          <w:rFonts w:hint="eastAsia" w:ascii="宋体" w:hAnsi="宋体"/>
          <w:b/>
          <w:color w:val="auto"/>
          <w:sz w:val="36"/>
          <w:szCs w:val="36"/>
          <w:highlight w:val="none"/>
        </w:rPr>
        <w:t xml:space="preserve">投  </w:t>
      </w:r>
      <w:r>
        <w:rPr>
          <w:rFonts w:hint="eastAsia" w:ascii="宋体" w:hAnsi="宋体" w:cs="宋体"/>
          <w:b/>
          <w:color w:val="auto"/>
          <w:sz w:val="36"/>
          <w:szCs w:val="36"/>
          <w:highlight w:val="none"/>
        </w:rPr>
        <w:t>标</w:t>
      </w:r>
      <w:r>
        <w:rPr>
          <w:rFonts w:hint="eastAsia" w:ascii="宋体" w:hAnsi="宋体"/>
          <w:b/>
          <w:color w:val="auto"/>
          <w:sz w:val="36"/>
          <w:szCs w:val="36"/>
          <w:highlight w:val="none"/>
        </w:rPr>
        <w:t xml:space="preserve">  函</w:t>
      </w:r>
    </w:p>
    <w:p>
      <w:pPr>
        <w:spacing w:line="360" w:lineRule="auto"/>
        <w:rPr>
          <w:rFonts w:ascii="宋体" w:hAnsi="宋体"/>
          <w:b/>
          <w:color w:val="auto"/>
          <w:sz w:val="24"/>
          <w:szCs w:val="24"/>
          <w:highlight w:val="none"/>
        </w:rPr>
      </w:pPr>
      <w:r>
        <w:rPr>
          <w:rFonts w:hint="eastAsia" w:ascii="宋体" w:hAnsi="宋体"/>
          <w:b/>
          <w:color w:val="auto"/>
          <w:sz w:val="24"/>
          <w:szCs w:val="24"/>
          <w:highlight w:val="none"/>
        </w:rPr>
        <w:t>致：</w:t>
      </w:r>
      <w:r>
        <w:rPr>
          <w:rFonts w:hint="eastAsia" w:ascii="宋体" w:hAnsi="宋体"/>
          <w:b/>
          <w:color w:val="auto"/>
          <w:sz w:val="24"/>
          <w:szCs w:val="24"/>
          <w:highlight w:val="none"/>
          <w:u w:val="single"/>
        </w:rPr>
        <w:t xml:space="preserve">(招标人名称)                              </w:t>
      </w:r>
    </w:p>
    <w:p>
      <w:pPr>
        <w:spacing w:line="360" w:lineRule="auto"/>
        <w:rPr>
          <w:rFonts w:ascii="宋体" w:hAnsi="宋体"/>
          <w:b/>
          <w:color w:val="auto"/>
          <w:sz w:val="24"/>
          <w:szCs w:val="24"/>
          <w:highlight w:val="none"/>
        </w:rPr>
      </w:pP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1.根据已收到贵方的项目编号为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u w:val="single"/>
          <w:lang w:eastAsia="zh-CN"/>
        </w:rPr>
        <w:t>番禺区新造镇大沙路（滨河路-广医南路段）工程（二期）施工总承包项目</w:t>
      </w:r>
      <w:r>
        <w:rPr>
          <w:rFonts w:hint="eastAsia" w:ascii="宋体" w:hAnsi="宋体"/>
          <w:color w:val="auto"/>
          <w:sz w:val="24"/>
          <w:szCs w:val="24"/>
          <w:highlight w:val="none"/>
        </w:rPr>
        <w:t>的招标文件，并已详细审核了全部招标文件及有关附件。</w:t>
      </w:r>
    </w:p>
    <w:p>
      <w:pPr>
        <w:snapToGrid w:val="0"/>
        <w:ind w:firstLine="523" w:firstLineChars="218"/>
        <w:rPr>
          <w:rFonts w:ascii="宋体" w:hAnsi="宋体"/>
          <w:color w:val="auto"/>
          <w:sz w:val="24"/>
          <w:szCs w:val="24"/>
          <w:highlight w:val="none"/>
        </w:rPr>
      </w:pPr>
      <w:r>
        <w:rPr>
          <w:rFonts w:hint="eastAsia" w:ascii="宋体" w:hAnsi="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愿以经济标中的投标报价并按上述合同条款、标准和技术规范、图纸、工程量清单等的要求承包上述工程的施工、竣工并修补其任何缺陷。</w:t>
      </w:r>
    </w:p>
    <w:p>
      <w:pPr>
        <w:rPr>
          <w:rFonts w:ascii="宋体" w:hAnsi="宋体"/>
          <w:color w:val="auto"/>
          <w:sz w:val="24"/>
          <w:szCs w:val="24"/>
          <w:highlight w:val="none"/>
        </w:rPr>
      </w:pPr>
      <w:r>
        <w:rPr>
          <w:rFonts w:hint="eastAsia" w:ascii="宋体" w:hAnsi="宋体"/>
          <w:color w:val="auto"/>
          <w:sz w:val="24"/>
          <w:szCs w:val="24"/>
          <w:highlight w:val="none"/>
        </w:rPr>
        <w:t xml:space="preserve">    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rPr>
          <w:rFonts w:ascii="宋体" w:hAnsi="宋体"/>
          <w:color w:val="auto"/>
          <w:sz w:val="24"/>
          <w:szCs w:val="24"/>
          <w:highlight w:val="none"/>
        </w:rPr>
      </w:pPr>
      <w:r>
        <w:rPr>
          <w:rFonts w:hint="eastAsia" w:ascii="宋体" w:hAnsi="宋体"/>
          <w:color w:val="auto"/>
          <w:sz w:val="24"/>
          <w:szCs w:val="24"/>
          <w:highlight w:val="none"/>
        </w:rPr>
        <w:t xml:space="preserve">    4.我方理解贵方将不受必须接受你们所收到的最低标价或其它任何投标文件的约束。</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5.如果我方中标，我方保证按招标文件中规定的工期，在</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日历天内完成并移交本工程，质量标准达到招标文件中的要求。</w:t>
      </w:r>
    </w:p>
    <w:p>
      <w:pPr>
        <w:ind w:firstLine="480" w:firstLineChars="200"/>
        <w:rPr>
          <w:rFonts w:ascii="宋体" w:hAnsi="宋体"/>
          <w:color w:val="auto"/>
          <w:sz w:val="24"/>
          <w:szCs w:val="24"/>
          <w:highlight w:val="none"/>
        </w:rPr>
      </w:pPr>
      <w:r>
        <w:rPr>
          <w:rFonts w:hint="eastAsia" w:ascii="宋体" w:hAnsi="宋体"/>
          <w:color w:val="auto"/>
          <w:sz w:val="24"/>
          <w:szCs w:val="24"/>
          <w:highlight w:val="none"/>
        </w:rPr>
        <w:t>6.如果我方中标，我方将按照规定递交由招标人认可，并在招标文件中规定金额的履约保函。</w:t>
      </w:r>
    </w:p>
    <w:p>
      <w:pPr>
        <w:ind w:firstLine="480"/>
        <w:rPr>
          <w:rFonts w:ascii="宋体" w:hAnsi="宋体"/>
          <w:color w:val="auto"/>
          <w:sz w:val="24"/>
          <w:szCs w:val="24"/>
          <w:highlight w:val="none"/>
        </w:rPr>
      </w:pPr>
      <w:r>
        <w:rPr>
          <w:rFonts w:hint="eastAsia" w:ascii="宋体" w:hAnsi="宋体"/>
          <w:color w:val="auto"/>
          <w:sz w:val="24"/>
          <w:szCs w:val="24"/>
          <w:highlight w:val="none"/>
        </w:rPr>
        <w:t>7.除非另外达成协议并生效，贵方的中标通知书和本投标文件将成为约束双方的合同文件的组成部分。</w:t>
      </w:r>
    </w:p>
    <w:p>
      <w:pPr>
        <w:ind w:firstLine="480"/>
        <w:rPr>
          <w:rFonts w:ascii="宋体" w:hAnsi="宋体"/>
          <w:color w:val="auto"/>
          <w:sz w:val="24"/>
          <w:szCs w:val="24"/>
          <w:highlight w:val="none"/>
        </w:rPr>
      </w:pPr>
      <w:r>
        <w:rPr>
          <w:rFonts w:hint="eastAsia" w:ascii="宋体" w:hAnsi="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ind w:firstLine="480"/>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rPr>
      </w:pPr>
      <w:r>
        <w:rPr>
          <w:rFonts w:hint="eastAsia" w:ascii="宋体" w:hAnsi="宋体"/>
          <w:color w:val="auto"/>
          <w:sz w:val="24"/>
          <w:szCs w:val="24"/>
          <w:highlight w:val="none"/>
        </w:rPr>
        <w:t>法定代表人：签名或盖章</w:t>
      </w:r>
    </w:p>
    <w:p>
      <w:pPr>
        <w:ind w:firstLine="6000" w:firstLineChars="2500"/>
        <w:rPr>
          <w:rFonts w:ascii="宋体" w:hAnsi="宋体"/>
          <w:color w:val="auto"/>
          <w:sz w:val="24"/>
          <w:szCs w:val="24"/>
          <w:highlight w:val="none"/>
        </w:rPr>
      </w:pPr>
    </w:p>
    <w:p>
      <w:pPr>
        <w:ind w:firstLine="6000" w:firstLineChars="2500"/>
        <w:rPr>
          <w:rFonts w:ascii="宋体" w:hAnsi="宋体"/>
          <w:color w:val="auto"/>
          <w:sz w:val="24"/>
          <w:szCs w:val="24"/>
          <w:highlight w:val="none"/>
        </w:rPr>
      </w:pPr>
    </w:p>
    <w:p>
      <w:pPr>
        <w:rPr>
          <w:rFonts w:ascii="宋体" w:hAnsi="宋体"/>
          <w:color w:val="auto"/>
          <w:sz w:val="24"/>
          <w:szCs w:val="24"/>
          <w:highlight w:val="none"/>
        </w:rPr>
      </w:pPr>
      <w:r>
        <w:rPr>
          <w:rFonts w:hint="eastAsia" w:ascii="宋体" w:hAnsi="宋体"/>
          <w:color w:val="auto"/>
          <w:sz w:val="24"/>
          <w:szCs w:val="24"/>
          <w:highlight w:val="none"/>
        </w:rPr>
        <w:t xml:space="preserve">投标人企业公章：                      </w:t>
      </w:r>
    </w:p>
    <w:p>
      <w:pPr>
        <w:rPr>
          <w:rFonts w:ascii="宋体" w:hAnsi="宋体"/>
          <w:color w:val="auto"/>
          <w:sz w:val="24"/>
          <w:szCs w:val="24"/>
          <w:highlight w:val="none"/>
        </w:rPr>
      </w:pPr>
    </w:p>
    <w:p>
      <w:pPr>
        <w:ind w:firstLine="6000" w:firstLineChars="2500"/>
        <w:rPr>
          <w:rFonts w:ascii="宋体" w:hAnsi="宋体"/>
          <w:color w:val="auto"/>
          <w:sz w:val="24"/>
          <w:szCs w:val="24"/>
          <w:highlight w:val="none"/>
        </w:rPr>
      </w:pPr>
    </w:p>
    <w:p>
      <w:pPr>
        <w:rPr>
          <w:rFonts w:ascii="宋体" w:hAnsi="宋体"/>
          <w:color w:val="auto"/>
          <w:sz w:val="24"/>
          <w:szCs w:val="24"/>
          <w:highlight w:val="none"/>
        </w:rPr>
      </w:pPr>
    </w:p>
    <w:p>
      <w:pPr>
        <w:rPr>
          <w:rFonts w:ascii="宋体" w:hAnsi="宋体"/>
          <w:color w:val="auto"/>
          <w:sz w:val="24"/>
          <w:szCs w:val="24"/>
          <w:highlight w:val="none"/>
          <w:u w:val="none"/>
        </w:rPr>
      </w:pPr>
      <w:r>
        <w:rPr>
          <w:rFonts w:hint="eastAsia" w:ascii="宋体" w:hAnsi="宋体"/>
          <w:color w:val="auto"/>
          <w:sz w:val="24"/>
          <w:szCs w:val="24"/>
          <w:highlight w:val="none"/>
        </w:rPr>
        <w:t xml:space="preserve">日期：  </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none"/>
        </w:rPr>
        <w:t>日</w:t>
      </w:r>
    </w:p>
    <w:p>
      <w:pPr>
        <w:autoSpaceDE w:val="0"/>
        <w:autoSpaceDN w:val="0"/>
        <w:adjustRightInd w:val="0"/>
        <w:rPr>
          <w:color w:val="auto"/>
          <w:highlight w:val="none"/>
        </w:rPr>
      </w:pPr>
    </w:p>
    <w:p>
      <w:pPr>
        <w:autoSpaceDE w:val="0"/>
        <w:autoSpaceDN w:val="0"/>
        <w:adjustRightInd w:val="0"/>
        <w:rPr>
          <w:bCs/>
          <w:color w:val="auto"/>
          <w:szCs w:val="21"/>
          <w:highlight w:val="none"/>
        </w:rPr>
      </w:pPr>
      <w:r>
        <w:rPr>
          <w:rFonts w:hint="eastAsia" w:ascii="宋体" w:hAnsi="宋体"/>
          <w:b/>
          <w:color w:val="auto"/>
          <w:sz w:val="36"/>
          <w:szCs w:val="36"/>
          <w:highlight w:val="none"/>
        </w:rPr>
        <w:br w:type="page"/>
      </w:r>
      <w:r>
        <w:rPr>
          <w:rFonts w:hint="eastAsia"/>
          <w:bCs/>
          <w:color w:val="auto"/>
          <w:szCs w:val="21"/>
          <w:highlight w:val="none"/>
        </w:rPr>
        <w:t>附件一</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pStyle w:val="6"/>
        <w:ind w:firstLine="540"/>
        <w:rPr>
          <w:color w:val="auto"/>
          <w:highlight w:val="none"/>
          <w:lang w:val="zh-CN"/>
        </w:rPr>
      </w:pPr>
    </w:p>
    <w:p>
      <w:pPr>
        <w:autoSpaceDE w:val="0"/>
        <w:autoSpaceDN w:val="0"/>
        <w:adjustRightInd w:val="0"/>
        <w:ind w:left="-540" w:leftChars="-257" w:firstLine="1135" w:firstLineChars="257"/>
        <w:jc w:val="center"/>
        <w:rPr>
          <w:rFonts w:ascii="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50"/>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05"/>
        <w:gridCol w:w="3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Times New Roman" w:cs="宋体"/>
                <w:b/>
                <w:bCs/>
                <w:color w:val="auto"/>
                <w:sz w:val="24"/>
                <w:szCs w:val="24"/>
                <w:highlight w:val="none"/>
                <w:lang w:val="zh-CN"/>
              </w:rPr>
            </w:pPr>
            <w:r>
              <w:rPr>
                <w:rFonts w:hint="eastAsia" w:ascii="宋体" w:hAnsi="宋体" w:eastAsia="Times New Roman" w:cs="宋体"/>
                <w:b/>
                <w:color w:val="auto"/>
                <w:sz w:val="24"/>
                <w:szCs w:val="24"/>
                <w:highlight w:val="none"/>
                <w:lang w:val="zh-CN"/>
              </w:rPr>
              <w:t>工</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程</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名</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称</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Times New Roman" w:cs="宋体"/>
                <w:b/>
                <w:bCs/>
                <w:color w:val="auto"/>
                <w:sz w:val="24"/>
                <w:szCs w:val="24"/>
                <w:highlight w:val="none"/>
                <w:lang w:val="zh-CN"/>
              </w:rPr>
            </w:pPr>
            <w:r>
              <w:rPr>
                <w:rFonts w:hint="eastAsia" w:ascii="宋体" w:hAnsi="宋体" w:eastAsia="Times New Roman" w:cs="宋体"/>
                <w:b/>
                <w:color w:val="auto"/>
                <w:sz w:val="24"/>
                <w:szCs w:val="24"/>
                <w:highlight w:val="none"/>
                <w:lang w:val="zh-CN"/>
              </w:rPr>
              <w:t>投标总报价（元）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eastAsia="Times New Roman"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eastAsia="Times New Roman" w:cs="宋体"/>
                <w:b/>
                <w:bCs/>
                <w:color w:val="auto"/>
                <w:sz w:val="24"/>
                <w:szCs w:val="24"/>
                <w:highlight w:val="none"/>
                <w:lang w:val="zh-CN"/>
              </w:rPr>
            </w:pPr>
            <w:r>
              <w:rPr>
                <w:rFonts w:hint="eastAsia" w:ascii="宋体" w:hAnsi="宋体" w:eastAsia="Times New Roman" w:cs="宋体"/>
                <w:b/>
                <w:color w:val="auto"/>
                <w:sz w:val="24"/>
                <w:szCs w:val="24"/>
                <w:highlight w:val="none"/>
                <w:lang w:val="zh-CN"/>
              </w:rPr>
              <w:t>其中：</w:t>
            </w:r>
            <w:r>
              <w:rPr>
                <w:rFonts w:hint="eastAsia" w:ascii="宋体" w:hAnsi="宋体" w:eastAsia="Times New Roman" w:cs="宋体"/>
                <w:b/>
                <w:bCs/>
                <w:color w:val="auto"/>
                <w:sz w:val="24"/>
                <w:szCs w:val="24"/>
                <w:highlight w:val="none"/>
                <w:lang w:val="zh-CN"/>
              </w:rPr>
              <w:t>人工费</w:t>
            </w:r>
            <w:r>
              <w:rPr>
                <w:rFonts w:hint="eastAsia" w:ascii="宋体" w:hAnsi="宋体" w:eastAsia="Times New Roman" w:cs="宋体"/>
                <w:b/>
                <w:color w:val="auto"/>
                <w:sz w:val="24"/>
                <w:szCs w:val="24"/>
                <w:highlight w:val="none"/>
                <w:lang w:val="zh-CN"/>
              </w:rPr>
              <w:t>（元）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eastAsia="Times New Roman"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eastAsia="Times New Roman" w:cs="宋体"/>
                <w:b/>
                <w:bCs/>
                <w:color w:val="auto"/>
                <w:sz w:val="24"/>
                <w:szCs w:val="24"/>
                <w:highlight w:val="none"/>
                <w:lang w:val="zh-CN"/>
              </w:rPr>
            </w:pPr>
            <w:r>
              <w:rPr>
                <w:rFonts w:hint="eastAsia" w:ascii="宋体" w:hAnsi="宋体" w:eastAsia="Times New Roman" w:cs="宋体"/>
                <w:b/>
                <w:bCs/>
                <w:color w:val="auto"/>
                <w:sz w:val="24"/>
                <w:szCs w:val="24"/>
                <w:highlight w:val="none"/>
                <w:lang w:val="zh-CN"/>
              </w:rPr>
              <w:t>其中：</w:t>
            </w:r>
            <w:r>
              <w:rPr>
                <w:rFonts w:hint="eastAsia" w:ascii="宋体" w:hAnsi="宋体" w:eastAsia="Times New Roman" w:cs="宋体"/>
                <w:b/>
                <w:color w:val="auto"/>
                <w:sz w:val="24"/>
                <w:szCs w:val="24"/>
                <w:highlight w:val="none"/>
                <w:lang w:val="zh-CN"/>
              </w:rPr>
              <w:t>绿色施工安全防护措施费（元）</w:t>
            </w:r>
          </w:p>
        </w:tc>
        <w:tc>
          <w:tcPr>
            <w:tcW w:w="357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eastAsia="Times New Roman"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Times New Roman" w:cs="宋体"/>
                <w:b/>
                <w:color w:val="auto"/>
                <w:sz w:val="24"/>
                <w:szCs w:val="24"/>
                <w:highlight w:val="none"/>
                <w:lang w:val="zh-CN"/>
              </w:rPr>
            </w:pPr>
            <w:r>
              <w:rPr>
                <w:rFonts w:hint="eastAsia" w:ascii="宋体" w:hAnsi="宋体" w:eastAsia="Times New Roman" w:cs="宋体"/>
                <w:b/>
                <w:color w:val="auto"/>
                <w:sz w:val="24"/>
                <w:szCs w:val="24"/>
                <w:highlight w:val="none"/>
                <w:lang w:val="zh-CN"/>
              </w:rPr>
              <w:t>投</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标</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总</w:t>
            </w:r>
            <w:r>
              <w:rPr>
                <w:rFonts w:hint="eastAsia" w:ascii="宋体" w:hAnsi="宋体" w:cs="宋体"/>
                <w:b/>
                <w:color w:val="auto"/>
                <w:sz w:val="24"/>
                <w:szCs w:val="24"/>
                <w:highlight w:val="none"/>
              </w:rPr>
              <w:t xml:space="preserve"> </w:t>
            </w:r>
            <w:r>
              <w:rPr>
                <w:rFonts w:hint="eastAsia" w:ascii="宋体" w:hAnsi="宋体" w:eastAsia="Times New Roman" w:cs="宋体"/>
                <w:b/>
                <w:color w:val="auto"/>
                <w:sz w:val="24"/>
                <w:szCs w:val="24"/>
                <w:highlight w:val="none"/>
                <w:lang w:val="zh-CN"/>
              </w:rPr>
              <w:t>工</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期</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Times New Roman"/>
                <w:b/>
                <w:color w:val="auto"/>
                <w:sz w:val="24"/>
                <w:szCs w:val="24"/>
                <w:highlight w:val="none"/>
              </w:rPr>
            </w:pPr>
            <w:r>
              <w:rPr>
                <w:rFonts w:hint="eastAsia" w:ascii="宋体" w:hAnsi="宋体" w:eastAsia="Times New Roman" w:cs="宋体"/>
                <w:b/>
                <w:color w:val="auto"/>
                <w:sz w:val="24"/>
                <w:szCs w:val="24"/>
                <w:highlight w:val="none"/>
                <w:lang w:val="zh-CN"/>
              </w:rPr>
              <w:t>工程质量标准</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80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firstLine="2151" w:firstLineChars="896"/>
              <w:jc w:val="both"/>
              <w:rPr>
                <w:rFonts w:ascii="宋体" w:eastAsia="Times New Roman" w:cs="宋体"/>
                <w:b/>
                <w:bCs/>
                <w:color w:val="auto"/>
                <w:sz w:val="24"/>
                <w:szCs w:val="24"/>
                <w:highlight w:val="none"/>
                <w:lang w:val="zh-CN"/>
              </w:rPr>
            </w:pPr>
            <w:r>
              <w:rPr>
                <w:rFonts w:hint="eastAsia" w:ascii="宋体" w:hAnsi="宋体" w:eastAsia="Times New Roman" w:cs="宋体"/>
                <w:b/>
                <w:color w:val="auto"/>
                <w:sz w:val="24"/>
                <w:szCs w:val="24"/>
                <w:highlight w:val="none"/>
                <w:lang w:val="zh-CN"/>
              </w:rPr>
              <w:t>保</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修</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期</w:t>
            </w:r>
            <w:r>
              <w:rPr>
                <w:rFonts w:ascii="宋体" w:hAnsi="宋体" w:eastAsia="Times New Roman" w:cs="宋体"/>
                <w:b/>
                <w:color w:val="auto"/>
                <w:sz w:val="24"/>
                <w:szCs w:val="24"/>
                <w:highlight w:val="none"/>
                <w:lang w:val="zh-CN"/>
              </w:rPr>
              <w:t xml:space="preserve"> </w:t>
            </w:r>
            <w:r>
              <w:rPr>
                <w:rFonts w:hint="eastAsia" w:ascii="宋体" w:hAnsi="宋体" w:eastAsia="Times New Roman" w:cs="宋体"/>
                <w:b/>
                <w:color w:val="auto"/>
                <w:sz w:val="24"/>
                <w:szCs w:val="24"/>
                <w:highlight w:val="none"/>
                <w:lang w:val="zh-CN"/>
              </w:rPr>
              <w:t>限</w:t>
            </w:r>
          </w:p>
        </w:tc>
        <w:tc>
          <w:tcPr>
            <w:tcW w:w="3574"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eastAsia="Times New Roman" w:cs="宋体"/>
                <w:b/>
                <w:bCs/>
                <w:color w:val="auto"/>
                <w:sz w:val="24"/>
                <w:szCs w:val="24"/>
                <w:highlight w:val="none"/>
                <w:lang w:val="zh-CN"/>
              </w:rPr>
            </w:pPr>
          </w:p>
        </w:tc>
      </w:tr>
    </w:tbl>
    <w:p>
      <w:pPr>
        <w:tabs>
          <w:tab w:val="left" w:pos="720"/>
        </w:tabs>
        <w:snapToGrid w:val="0"/>
        <w:spacing w:line="360" w:lineRule="auto"/>
        <w:rPr>
          <w:color w:val="auto"/>
          <w:sz w:val="24"/>
          <w:szCs w:val="24"/>
          <w:highlight w:val="none"/>
        </w:rPr>
      </w:pPr>
    </w:p>
    <w:tbl>
      <w:tblPr>
        <w:tblStyle w:val="50"/>
        <w:tblW w:w="0" w:type="auto"/>
        <w:tblInd w:w="0" w:type="dxa"/>
        <w:tblLayout w:type="fixed"/>
        <w:tblCellMar>
          <w:top w:w="0" w:type="dxa"/>
          <w:left w:w="108" w:type="dxa"/>
          <w:bottom w:w="0" w:type="dxa"/>
          <w:right w:w="108" w:type="dxa"/>
        </w:tblCellMar>
      </w:tblPr>
      <w:tblGrid>
        <w:gridCol w:w="9008"/>
      </w:tblGrid>
      <w:tr>
        <w:tblPrEx>
          <w:tblCellMar>
            <w:top w:w="0" w:type="dxa"/>
            <w:left w:w="108" w:type="dxa"/>
            <w:bottom w:w="0" w:type="dxa"/>
            <w:right w:w="108" w:type="dxa"/>
          </w:tblCellMar>
        </w:tblPrEx>
        <w:trPr>
          <w:trHeight w:val="195" w:hRule="atLeast"/>
        </w:trPr>
        <w:tc>
          <w:tcPr>
            <w:tcW w:w="9008" w:type="dxa"/>
            <w:tcBorders>
              <w:top w:val="nil"/>
              <w:left w:val="nil"/>
              <w:bottom w:val="nil"/>
              <w:right w:val="nil"/>
            </w:tcBorders>
            <w:vAlign w:val="bottom"/>
          </w:tcPr>
          <w:p>
            <w:pPr>
              <w:widowControl/>
              <w:spacing w:line="360" w:lineRule="auto"/>
              <w:jc w:val="left"/>
              <w:rPr>
                <w:rFonts w:ascii="宋体" w:eastAsia="Times New Roman" w:cs="宋体"/>
                <w:color w:val="auto"/>
                <w:kern w:val="0"/>
                <w:sz w:val="28"/>
                <w:szCs w:val="28"/>
                <w:highlight w:val="none"/>
              </w:rPr>
            </w:pPr>
            <w:r>
              <w:rPr>
                <w:rFonts w:ascii="宋体" w:hAnsi="宋体" w:eastAsia="Times New Roman" w:cs="宋体"/>
                <w:color w:val="auto"/>
                <w:kern w:val="0"/>
                <w:sz w:val="28"/>
                <w:szCs w:val="28"/>
                <w:highlight w:val="none"/>
              </w:rPr>
              <w:t xml:space="preserve">                                                                                             </w:t>
            </w:r>
          </w:p>
        </w:tc>
      </w:tr>
    </w:tbl>
    <w:p>
      <w:pPr>
        <w:jc w:val="center"/>
        <w:rPr>
          <w:rFonts w:ascii="宋体" w:hAnsi="宋体"/>
          <w:b/>
          <w:color w:val="auto"/>
          <w:sz w:val="36"/>
          <w:szCs w:val="36"/>
          <w:highlight w:val="none"/>
        </w:rPr>
      </w:pPr>
      <w:r>
        <w:rPr>
          <w:color w:val="auto"/>
          <w:sz w:val="24"/>
          <w:szCs w:val="24"/>
          <w:highlight w:val="none"/>
        </w:rPr>
        <w:br w:type="page"/>
      </w:r>
      <w:r>
        <w:rPr>
          <w:rFonts w:hint="eastAsia" w:ascii="宋体" w:hAnsi="宋体"/>
          <w:b/>
          <w:color w:val="auto"/>
          <w:sz w:val="36"/>
          <w:szCs w:val="36"/>
          <w:highlight w:val="none"/>
        </w:rPr>
        <w:t>响应招标文件所附</w:t>
      </w:r>
      <w:r>
        <w:rPr>
          <w:rFonts w:hint="eastAsia" w:ascii="宋体" w:hAnsi="宋体"/>
          <w:b/>
          <w:color w:val="auto"/>
          <w:sz w:val="36"/>
          <w:szCs w:val="36"/>
          <w:highlight w:val="none"/>
          <w:u w:val="single"/>
        </w:rPr>
        <w:t>施工组织设计要点</w:t>
      </w:r>
      <w:r>
        <w:rPr>
          <w:rFonts w:hint="eastAsia" w:ascii="宋体" w:hAnsi="宋体"/>
          <w:b/>
          <w:color w:val="auto"/>
          <w:sz w:val="36"/>
          <w:szCs w:val="36"/>
          <w:highlight w:val="none"/>
        </w:rPr>
        <w:t>的承诺书</w:t>
      </w: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u w:val="single"/>
        </w:rPr>
      </w:pPr>
      <w:r>
        <w:rPr>
          <w:rFonts w:hint="eastAsia" w:ascii="宋体" w:hAnsi="宋体"/>
          <w:color w:val="auto"/>
          <w:sz w:val="24"/>
          <w:highlight w:val="none"/>
          <w:u w:val="single"/>
        </w:rPr>
        <w:t xml:space="preserve">     （招标人）</w:t>
      </w:r>
      <w:r>
        <w:rPr>
          <w:rFonts w:hint="eastAsia" w:ascii="宋体" w:hAnsi="宋体"/>
          <w:color w:val="auto"/>
          <w:sz w:val="24"/>
          <w:highlight w:val="none"/>
        </w:rPr>
        <w:t>：</w:t>
      </w:r>
    </w:p>
    <w:p>
      <w:pPr>
        <w:spacing w:line="360" w:lineRule="auto"/>
        <w:ind w:firstLine="435"/>
        <w:rPr>
          <w:rFonts w:ascii="宋体" w:hAnsi="宋体"/>
          <w:color w:val="auto"/>
          <w:sz w:val="24"/>
          <w:highlight w:val="none"/>
        </w:rPr>
      </w:pPr>
      <w:r>
        <w:rPr>
          <w:rFonts w:hint="eastAsia" w:ascii="宋体" w:hAnsi="宋体"/>
          <w:color w:val="auto"/>
          <w:sz w:val="24"/>
          <w:highlight w:val="none"/>
        </w:rPr>
        <w:t>我方承诺，如中标承建</w:t>
      </w:r>
      <w:r>
        <w:rPr>
          <w:rFonts w:hint="eastAsia" w:ascii="宋体" w:hAnsi="宋体"/>
          <w:color w:val="auto"/>
          <w:sz w:val="24"/>
          <w:highlight w:val="none"/>
          <w:u w:val="single"/>
          <w:lang w:eastAsia="zh-CN"/>
        </w:rPr>
        <w:t>番禺区新造镇大沙路（滨河路-广医南路段）工程（二期）施工总承包项目</w:t>
      </w:r>
      <w:r>
        <w:rPr>
          <w:rFonts w:hint="eastAsia" w:ascii="宋体" w:hAnsi="宋体"/>
          <w:color w:val="auto"/>
          <w:sz w:val="24"/>
          <w:highlight w:val="none"/>
        </w:rPr>
        <w:t>，将按招标文件所附的本工程</w:t>
      </w:r>
      <w:r>
        <w:rPr>
          <w:rFonts w:hint="eastAsia" w:ascii="宋体" w:hAnsi="宋体"/>
          <w:color w:val="auto"/>
          <w:sz w:val="24"/>
          <w:highlight w:val="none"/>
          <w:u w:val="single"/>
        </w:rPr>
        <w:t>（施工组织设计要点）</w:t>
      </w:r>
      <w:r>
        <w:rPr>
          <w:rFonts w:hint="eastAsia" w:ascii="宋体" w:hAnsi="宋体"/>
          <w:color w:val="auto"/>
          <w:sz w:val="24"/>
          <w:highlight w:val="none"/>
        </w:rPr>
        <w:t>进行响应的基础上自行组织施工。并承诺在中标后按招标文件所附的</w:t>
      </w:r>
      <w:r>
        <w:rPr>
          <w:rFonts w:hint="eastAsia" w:ascii="宋体" w:hAnsi="宋体"/>
          <w:color w:val="auto"/>
          <w:sz w:val="24"/>
          <w:highlight w:val="none"/>
          <w:u w:val="single"/>
        </w:rPr>
        <w:t>（施工组织设计要点）</w:t>
      </w:r>
      <w:r>
        <w:rPr>
          <w:rFonts w:hint="eastAsia" w:ascii="宋体" w:hAnsi="宋体"/>
          <w:color w:val="auto"/>
          <w:sz w:val="24"/>
          <w:highlight w:val="none"/>
        </w:rPr>
        <w:t>基础上编制详细的施工组织设计，并报经监理单位和建设单位审批后实施。</w:t>
      </w: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p>
    <w:p>
      <w:pPr>
        <w:spacing w:line="360" w:lineRule="auto"/>
        <w:ind w:firstLine="435"/>
        <w:rPr>
          <w:rFonts w:ascii="宋体" w:hAnsi="宋体"/>
          <w:color w:val="auto"/>
          <w:sz w:val="24"/>
          <w:highlight w:val="none"/>
        </w:rPr>
      </w:pPr>
    </w:p>
    <w:p>
      <w:pPr>
        <w:spacing w:line="360" w:lineRule="auto"/>
        <w:ind w:firstLine="3000" w:firstLineChars="1250"/>
        <w:rPr>
          <w:rFonts w:ascii="宋体" w:hAnsi="宋体"/>
          <w:color w:val="auto"/>
          <w:sz w:val="24"/>
          <w:highlight w:val="none"/>
          <w:u w:val="single"/>
        </w:rPr>
      </w:pPr>
      <w:r>
        <w:rPr>
          <w:rFonts w:hint="eastAsia" w:ascii="宋体" w:hAnsi="宋体"/>
          <w:color w:val="auto"/>
          <w:sz w:val="24"/>
          <w:highlight w:val="none"/>
        </w:rPr>
        <w:t>投标人名称（盖法人公章）：</w:t>
      </w:r>
      <w:r>
        <w:rPr>
          <w:rFonts w:hint="eastAsia" w:ascii="宋体" w:hAnsi="宋体"/>
          <w:color w:val="auto"/>
          <w:sz w:val="24"/>
          <w:highlight w:val="none"/>
          <w:u w:val="single"/>
        </w:rPr>
        <w:t xml:space="preserve">                   </w:t>
      </w:r>
    </w:p>
    <w:p>
      <w:pPr>
        <w:spacing w:line="360" w:lineRule="auto"/>
        <w:ind w:firstLine="3000" w:firstLineChars="1250"/>
        <w:rPr>
          <w:rFonts w:ascii="宋体" w:hAnsi="宋体"/>
          <w:color w:val="auto"/>
          <w:sz w:val="24"/>
          <w:highlight w:val="none"/>
          <w:u w:val="single"/>
        </w:rPr>
      </w:pPr>
    </w:p>
    <w:p>
      <w:pPr>
        <w:spacing w:line="360" w:lineRule="auto"/>
        <w:ind w:firstLine="3000" w:firstLineChars="1250"/>
        <w:rPr>
          <w:rFonts w:ascii="宋体" w:hAnsi="宋体"/>
          <w:color w:val="auto"/>
          <w:sz w:val="24"/>
          <w:highlight w:val="none"/>
          <w:u w:val="single"/>
        </w:rPr>
      </w:pPr>
      <w:r>
        <w:rPr>
          <w:rFonts w:hint="eastAsia" w:ascii="宋体" w:hAnsi="宋体"/>
          <w:color w:val="auto"/>
          <w:sz w:val="24"/>
          <w:highlight w:val="none"/>
        </w:rPr>
        <w:t>法定代表人或被授权人（签字或盖章）：</w:t>
      </w:r>
      <w:r>
        <w:rPr>
          <w:rFonts w:hint="eastAsia" w:ascii="宋体" w:hAnsi="宋体"/>
          <w:color w:val="auto"/>
          <w:sz w:val="24"/>
          <w:highlight w:val="none"/>
          <w:u w:val="single"/>
        </w:rPr>
        <w:t xml:space="preserve">         </w:t>
      </w:r>
    </w:p>
    <w:p>
      <w:pPr>
        <w:spacing w:line="360" w:lineRule="auto"/>
        <w:ind w:firstLine="3000" w:firstLineChars="1250"/>
        <w:rPr>
          <w:rFonts w:ascii="宋体" w:hAnsi="宋体"/>
          <w:color w:val="auto"/>
          <w:sz w:val="24"/>
          <w:highlight w:val="none"/>
          <w:u w:val="single"/>
        </w:rPr>
      </w:pPr>
    </w:p>
    <w:p>
      <w:pPr>
        <w:spacing w:line="360" w:lineRule="auto"/>
        <w:ind w:firstLine="4440" w:firstLineChars="1850"/>
        <w:rPr>
          <w:rFonts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autoSpaceDE w:val="0"/>
        <w:autoSpaceDN w:val="0"/>
        <w:adjustRightInd w:val="0"/>
        <w:ind w:left="-540" w:leftChars="-257" w:firstLine="539" w:firstLineChars="257"/>
        <w:jc w:val="left"/>
        <w:rPr>
          <w:color w:val="auto"/>
          <w:szCs w:val="21"/>
          <w:highlight w:val="none"/>
        </w:rPr>
      </w:pPr>
      <w:r>
        <w:rPr>
          <w:color w:val="auto"/>
          <w:highlight w:val="none"/>
        </w:rPr>
        <w:br w:type="page"/>
      </w:r>
      <w:r>
        <w:rPr>
          <w:rFonts w:hint="eastAsia"/>
          <w:color w:val="auto"/>
          <w:szCs w:val="21"/>
          <w:highlight w:val="none"/>
        </w:rPr>
        <w:t>附件二</w:t>
      </w:r>
    </w:p>
    <w:p>
      <w:pPr>
        <w:tabs>
          <w:tab w:val="left" w:pos="720"/>
        </w:tabs>
        <w:snapToGrid w:val="0"/>
        <w:spacing w:line="360" w:lineRule="auto"/>
        <w:jc w:val="center"/>
        <w:rPr>
          <w:color w:val="auto"/>
          <w:sz w:val="24"/>
          <w:szCs w:val="24"/>
          <w:highlight w:val="none"/>
        </w:rPr>
      </w:pPr>
      <w:r>
        <w:rPr>
          <w:rFonts w:hint="eastAsia"/>
          <w:b/>
          <w:color w:val="auto"/>
          <w:sz w:val="32"/>
          <w:szCs w:val="32"/>
          <w:highlight w:val="none"/>
        </w:rPr>
        <w:t>投标文件编制人员名单</w:t>
      </w:r>
    </w:p>
    <w:p>
      <w:pPr>
        <w:tabs>
          <w:tab w:val="left" w:pos="720"/>
        </w:tabs>
        <w:snapToGrid w:val="0"/>
        <w:spacing w:line="360" w:lineRule="auto"/>
        <w:jc w:val="center"/>
        <w:rPr>
          <w:color w:val="auto"/>
          <w:szCs w:val="21"/>
          <w:highlight w:val="none"/>
        </w:rPr>
      </w:pPr>
      <w:r>
        <w:rPr>
          <w:rFonts w:hint="eastAsia"/>
          <w:color w:val="auto"/>
          <w:szCs w:val="21"/>
          <w:highlight w:val="none"/>
        </w:rPr>
        <w:t>一、参与编制技术标投标文件人员名单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bl>
    <w:p>
      <w:pPr>
        <w:tabs>
          <w:tab w:val="left" w:pos="720"/>
        </w:tabs>
        <w:snapToGrid w:val="0"/>
        <w:spacing w:line="360" w:lineRule="auto"/>
        <w:rPr>
          <w:color w:val="auto"/>
          <w:sz w:val="24"/>
          <w:szCs w:val="24"/>
          <w:highlight w:val="none"/>
        </w:rPr>
      </w:pPr>
    </w:p>
    <w:p>
      <w:pPr>
        <w:tabs>
          <w:tab w:val="left" w:pos="720"/>
        </w:tabs>
        <w:snapToGrid w:val="0"/>
        <w:spacing w:line="360" w:lineRule="auto"/>
        <w:jc w:val="center"/>
        <w:rPr>
          <w:color w:val="auto"/>
          <w:szCs w:val="21"/>
          <w:highlight w:val="none"/>
        </w:rPr>
      </w:pPr>
      <w:r>
        <w:rPr>
          <w:rFonts w:hint="eastAsia"/>
          <w:color w:val="auto"/>
          <w:szCs w:val="21"/>
          <w:highlight w:val="none"/>
        </w:rPr>
        <w:t>二、参与编制经济标投标文件人员名单</w:t>
      </w:r>
    </w:p>
    <w:tbl>
      <w:tblPr>
        <w:tblStyle w:val="5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1"/>
        <w:gridCol w:w="2342"/>
        <w:gridCol w:w="2246"/>
        <w:gridCol w:w="13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8522" w:type="dxa"/>
            <w:gridSpan w:val="5"/>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姓名</w:t>
            </w: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职务</w:t>
            </w: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所承担工作</w:t>
            </w: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身份证号码</w:t>
            </w: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r>
              <w:rPr>
                <w:rFonts w:hint="eastAsia" w:ascii="宋体" w:hAnsi="宋体" w:eastAsia="Times New Roman"/>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19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8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342"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2246"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c>
          <w:tcPr>
            <w:tcW w:w="1361" w:type="dxa"/>
            <w:tcBorders>
              <w:top w:val="single" w:color="auto" w:sz="4" w:space="0"/>
              <w:left w:val="single" w:color="auto" w:sz="4" w:space="0"/>
              <w:bottom w:val="single" w:color="auto" w:sz="4" w:space="0"/>
              <w:right w:val="single" w:color="auto" w:sz="4" w:space="0"/>
            </w:tcBorders>
            <w:vAlign w:val="center"/>
          </w:tcPr>
          <w:p>
            <w:pPr>
              <w:tabs>
                <w:tab w:val="left" w:pos="720"/>
              </w:tabs>
              <w:snapToGrid w:val="0"/>
              <w:spacing w:line="360" w:lineRule="auto"/>
              <w:jc w:val="center"/>
              <w:rPr>
                <w:rFonts w:ascii="宋体" w:hAnsi="宋体" w:eastAsia="Times New Roman"/>
                <w:color w:val="auto"/>
                <w:szCs w:val="21"/>
                <w:highlight w:val="none"/>
              </w:rPr>
            </w:pPr>
          </w:p>
        </w:tc>
      </w:tr>
    </w:tbl>
    <w:p>
      <w:pPr>
        <w:pStyle w:val="5"/>
        <w:spacing w:after="0" w:line="360" w:lineRule="auto"/>
        <w:ind w:firstLine="0"/>
        <w:jc w:val="left"/>
        <w:rPr>
          <w:color w:val="auto"/>
          <w:szCs w:val="21"/>
          <w:highlight w:val="none"/>
        </w:rPr>
      </w:pPr>
      <w:r>
        <w:rPr>
          <w:rFonts w:hint="eastAsia"/>
          <w:color w:val="auto"/>
          <w:szCs w:val="21"/>
          <w:highlight w:val="none"/>
        </w:rPr>
        <w:t>注：参与编制投标文件所有人员名单应包括如编制技术投标方案、编制各种专业工程量清单投标报价、负责清样校对、负责打印及复印等所有人员在内的人员名单。</w:t>
      </w:r>
    </w:p>
    <w:p>
      <w:pPr>
        <w:pStyle w:val="268"/>
        <w:spacing w:line="240" w:lineRule="auto"/>
        <w:ind w:left="420" w:right="98" w:firstLine="0"/>
        <w:jc w:val="center"/>
        <w:rPr>
          <w:rFonts w:ascii="宋体" w:hAnsi="宋体" w:eastAsia="宋体"/>
          <w:b/>
          <w:color w:val="auto"/>
          <w:sz w:val="36"/>
          <w:highlight w:val="none"/>
        </w:rPr>
      </w:pPr>
      <w:r>
        <w:rPr>
          <w:rFonts w:hint="eastAsia" w:ascii="宋体" w:hAnsi="宋体" w:eastAsia="宋体"/>
          <w:b/>
          <w:color w:val="auto"/>
          <w:szCs w:val="32"/>
          <w:highlight w:val="none"/>
        </w:rPr>
        <w:br w:type="page"/>
      </w:r>
      <w:r>
        <w:rPr>
          <w:rFonts w:hint="eastAsia" w:ascii="宋体" w:hAnsi="宋体" w:eastAsia="宋体"/>
          <w:b/>
          <w:color w:val="auto"/>
          <w:szCs w:val="32"/>
          <w:highlight w:val="none"/>
        </w:rPr>
        <w:t>技术承诺函</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r>
        <w:rPr>
          <w:rFonts w:hint="eastAsia" w:ascii="宋体" w:hAnsi="宋体"/>
          <w:color w:val="auto"/>
          <w:sz w:val="24"/>
          <w:highlight w:val="none"/>
        </w:rPr>
        <w:t>致</w:t>
      </w:r>
      <w:r>
        <w:rPr>
          <w:rFonts w:hint="eastAsia" w:ascii="宋体" w:hAnsi="宋体"/>
          <w:color w:val="auto"/>
          <w:sz w:val="24"/>
          <w:highlight w:val="none"/>
          <w:u w:val="single"/>
        </w:rPr>
        <w:t>广州市番禺区基本建设投资管理中心</w:t>
      </w:r>
      <w:r>
        <w:rPr>
          <w:rFonts w:hint="eastAsia" w:ascii="宋体" w:hAnsi="宋体"/>
          <w:color w:val="auto"/>
          <w:sz w:val="24"/>
          <w:highlight w:val="none"/>
        </w:rPr>
        <w:t>：</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非常荣幸参加贵方实施的</w:t>
      </w:r>
      <w:r>
        <w:rPr>
          <w:rFonts w:hint="eastAsia" w:ascii="宋体" w:hAnsi="宋体"/>
          <w:color w:val="auto"/>
          <w:sz w:val="24"/>
          <w:highlight w:val="none"/>
          <w:u w:val="single"/>
          <w:lang w:eastAsia="zh-CN"/>
        </w:rPr>
        <w:t>番禺区新造镇大沙路（滨河路-广医南路段）工程（二期）施工总承包项目</w:t>
      </w:r>
      <w:r>
        <w:rPr>
          <w:rFonts w:hint="eastAsia" w:ascii="宋体" w:hAnsi="宋体"/>
          <w:color w:val="auto"/>
          <w:sz w:val="24"/>
          <w:highlight w:val="none"/>
        </w:rPr>
        <w:t>的投标活动，若我单位有幸中标，将承诺在施工技术、安全防护、文明施工方面做到如下几点：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严格按招标文件、合同约定、国家有关施工、验收规范要求及该工程招标文件第五章“技术条件（工程建设标准）”要求及我单位编制的经监理单位、发包人及有关部门审批的施工组织设计方案进行施工，保证按质、按量、按时完成施工任务。</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2、保证按我单位拟派的项目负责人全程到位，非经招标人同意，不得更换。</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3、保证按工程需要投入相应的施工机械设备。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4、严格按照《建筑施工安全检查标准》（JGJ59-99）及相关的安全防护、文明施工、文明施工法律法规、规章制度及该工程招标文件第五章“技术条件（工程建设标准）”进行安全文明施工。</w:t>
      </w:r>
    </w:p>
    <w:p>
      <w:pPr>
        <w:spacing w:line="360" w:lineRule="auto"/>
        <w:ind w:right="-108" w:firstLine="6000" w:firstLineChars="2500"/>
        <w:rPr>
          <w:rFonts w:ascii="宋体" w:hAnsi="宋体"/>
          <w:color w:val="auto"/>
          <w:sz w:val="24"/>
          <w:highlight w:val="none"/>
        </w:rPr>
      </w:pPr>
      <w:r>
        <w:rPr>
          <w:rFonts w:hint="eastAsia" w:ascii="宋体" w:hAnsi="宋体"/>
          <w:color w:val="auto"/>
          <w:sz w:val="24"/>
          <w:highlight w:val="none"/>
        </w:rPr>
        <w:t>投标人（盖公章）：</w:t>
      </w:r>
    </w:p>
    <w:p>
      <w:pPr>
        <w:spacing w:line="360" w:lineRule="auto"/>
        <w:ind w:right="-108" w:firstLine="5280" w:firstLineChars="2200"/>
        <w:rPr>
          <w:rFonts w:ascii="宋体" w:hAnsi="宋体"/>
          <w:color w:val="auto"/>
          <w:sz w:val="24"/>
          <w:highlight w:val="none"/>
        </w:rPr>
      </w:pPr>
    </w:p>
    <w:p>
      <w:pPr>
        <w:widowControl/>
        <w:wordWrap w:val="0"/>
        <w:jc w:val="right"/>
        <w:rPr>
          <w:rFonts w:ascii="宋体" w:hAnsi="宋体"/>
          <w:color w:val="auto"/>
          <w:sz w:val="24"/>
          <w:highlight w:val="none"/>
        </w:rPr>
      </w:pPr>
      <w:r>
        <w:rPr>
          <w:rFonts w:hint="eastAsia" w:ascii="宋体" w:hAnsi="宋体"/>
          <w:color w:val="auto"/>
          <w:sz w:val="24"/>
          <w:highlight w:val="none"/>
        </w:rPr>
        <w:t xml:space="preserve">                        年   月    日   </w:t>
      </w:r>
    </w:p>
    <w:p>
      <w:pPr>
        <w:pStyle w:val="5"/>
        <w:spacing w:after="0" w:line="360" w:lineRule="auto"/>
        <w:ind w:left="-2" w:leftChars="-1" w:firstLine="350" w:firstLineChars="175"/>
        <w:jc w:val="center"/>
        <w:rPr>
          <w:rFonts w:ascii="宋体" w:hAnsi="宋体"/>
          <w:b/>
          <w:color w:val="auto"/>
          <w:szCs w:val="32"/>
          <w:highlight w:val="none"/>
        </w:rPr>
      </w:pPr>
      <w:r>
        <w:rPr>
          <w:rFonts w:hint="eastAsia"/>
          <w:color w:val="auto"/>
          <w:szCs w:val="21"/>
          <w:highlight w:val="none"/>
        </w:rPr>
        <w:br w:type="page"/>
      </w:r>
      <w:r>
        <w:rPr>
          <w:rFonts w:hint="eastAsia" w:ascii="宋体" w:hAnsi="宋体"/>
          <w:b/>
          <w:color w:val="auto"/>
          <w:sz w:val="32"/>
          <w:szCs w:val="32"/>
          <w:highlight w:val="none"/>
        </w:rPr>
        <w:t>施工项目管理团队人员信息表</w:t>
      </w:r>
    </w:p>
    <w:tbl>
      <w:tblPr>
        <w:tblStyle w:val="50"/>
        <w:tblW w:w="8845" w:type="dxa"/>
        <w:tblInd w:w="-4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87"/>
        <w:gridCol w:w="944"/>
        <w:gridCol w:w="1620"/>
        <w:gridCol w:w="1950"/>
        <w:gridCol w:w="1146"/>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序号</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姓名</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auto"/>
                <w:sz w:val="24"/>
                <w:highlight w:val="none"/>
              </w:rPr>
            </w:pPr>
            <w:r>
              <w:rPr>
                <w:rFonts w:hint="eastAsia" w:ascii="宋体" w:hAnsi="宋体"/>
                <w:color w:val="auto"/>
                <w:sz w:val="24"/>
                <w:highlight w:val="none"/>
              </w:rPr>
              <w:t>身份证号码</w:t>
            </w: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岗位</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职称</w:t>
            </w: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职称证号或资格证书编号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1</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项目负责人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2</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技术负责人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3</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造价负责人</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4</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施工员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5</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施工员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6</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eastAsia="Times New Roman"/>
                <w:color w:val="auto"/>
                <w:sz w:val="24"/>
                <w:highlight w:val="none"/>
              </w:rPr>
              <w:t>质量</w:t>
            </w:r>
            <w:r>
              <w:rPr>
                <w:rFonts w:hint="eastAsia" w:ascii="宋体" w:hAnsi="宋体" w:eastAsia="宋体"/>
                <w:color w:val="auto"/>
                <w:sz w:val="24"/>
                <w:highlight w:val="none"/>
                <w:lang w:val="en-US" w:eastAsia="zh-CN"/>
              </w:rPr>
              <w:t>负责人</w:t>
            </w:r>
          </w:p>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（质量检查员）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val="en-US" w:eastAsia="zh-CN"/>
              </w:rPr>
              <w:t>7</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val="en-US" w:eastAsia="zh-CN"/>
              </w:rPr>
            </w:pPr>
            <w:r>
              <w:rPr>
                <w:rFonts w:hint="eastAsia" w:ascii="宋体" w:hAnsi="宋体" w:eastAsia="Times New Roman"/>
                <w:color w:val="auto"/>
                <w:sz w:val="24"/>
                <w:highlight w:val="none"/>
              </w:rPr>
              <w:t>安全</w:t>
            </w:r>
            <w:r>
              <w:rPr>
                <w:rFonts w:hint="eastAsia" w:ascii="宋体" w:hAnsi="宋体" w:eastAsia="宋体"/>
                <w:color w:val="auto"/>
                <w:sz w:val="24"/>
                <w:highlight w:val="none"/>
                <w:lang w:val="en-US" w:eastAsia="zh-CN"/>
              </w:rPr>
              <w:t>负责人</w:t>
            </w:r>
          </w:p>
          <w:p>
            <w:pPr>
              <w:spacing w:line="360" w:lineRule="auto"/>
              <w:jc w:val="center"/>
              <w:rPr>
                <w:rFonts w:hint="eastAsia" w:eastAsia="宋体"/>
                <w:lang w:eastAsia="zh-CN"/>
              </w:rPr>
            </w:pPr>
            <w:r>
              <w:rPr>
                <w:rFonts w:hint="eastAsia" w:ascii="宋体" w:hAnsi="宋体"/>
                <w:color w:val="auto"/>
                <w:sz w:val="24"/>
                <w:highlight w:val="none"/>
                <w:lang w:val="en-US" w:eastAsia="zh-CN"/>
              </w:rPr>
              <w:t>（专职安全员）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8</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材料员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color w:val="auto"/>
                <w:sz w:val="24"/>
                <w:highlight w:val="none"/>
                <w:lang w:val="en-US" w:eastAsia="zh-CN"/>
              </w:rPr>
              <w:t>9</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预算员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r>
              <w:rPr>
                <w:rFonts w:hint="eastAsia" w:ascii="宋体" w:hAnsi="宋体" w:eastAsia="宋体"/>
                <w:color w:val="auto"/>
                <w:sz w:val="24"/>
                <w:highlight w:val="none"/>
                <w:lang w:val="en-US" w:eastAsia="zh-CN"/>
              </w:rPr>
              <w:t>1</w:t>
            </w:r>
            <w:r>
              <w:rPr>
                <w:rFonts w:hint="eastAsia" w:ascii="宋体" w:hAnsi="宋体"/>
                <w:color w:val="auto"/>
                <w:sz w:val="24"/>
                <w:highlight w:val="none"/>
                <w:lang w:val="en-US" w:eastAsia="zh-CN"/>
              </w:rPr>
              <w:t>0</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资料员</w:t>
            </w: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7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r>
              <w:rPr>
                <w:rFonts w:hint="eastAsia" w:ascii="宋体" w:hAnsi="宋体" w:eastAsia="Times New Roman"/>
                <w:color w:val="auto"/>
                <w:sz w:val="24"/>
                <w:highlight w:val="none"/>
              </w:rPr>
              <w:t>...</w:t>
            </w:r>
          </w:p>
        </w:tc>
        <w:tc>
          <w:tcPr>
            <w:tcW w:w="12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olor w:val="auto"/>
                <w:sz w:val="24"/>
                <w:highlight w:val="none"/>
                <w:lang w:val="en-US" w:eastAsia="zh-CN"/>
              </w:rPr>
            </w:pPr>
          </w:p>
        </w:tc>
        <w:tc>
          <w:tcPr>
            <w:tcW w:w="11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c>
          <w:tcPr>
            <w:tcW w:w="21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Times New Roman"/>
                <w:color w:val="auto"/>
                <w:szCs w:val="21"/>
                <w:highlight w:val="none"/>
              </w:rPr>
            </w:pPr>
          </w:p>
        </w:tc>
        <w:tc>
          <w:tcPr>
            <w:tcW w:w="7790"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olor w:val="auto"/>
                <w:szCs w:val="21"/>
                <w:highlight w:val="none"/>
              </w:rPr>
            </w:pPr>
            <w:r>
              <w:rPr>
                <w:rFonts w:hint="eastAsia" w:ascii="宋体" w:hAnsi="宋体" w:eastAsia="Times New Roman"/>
                <w:color w:val="auto"/>
                <w:szCs w:val="21"/>
                <w:highlight w:val="none"/>
              </w:rPr>
              <w:t>备注：1、“岗位”要求（除项目负责人和专职安全员外）由招标人根据项目管理需要在本表备注中明确提出，如：拟派驻施工现场的指挥长、技术负责人、造价负责人、施工员、质量负责人（质量检查员）、</w:t>
            </w:r>
            <w:r>
              <w:rPr>
                <w:rFonts w:hint="eastAsia" w:ascii="宋体" w:hAnsi="宋体"/>
                <w:color w:val="auto"/>
                <w:szCs w:val="21"/>
                <w:highlight w:val="none"/>
                <w:lang w:val="en-US" w:eastAsia="zh-CN"/>
              </w:rPr>
              <w:t>安全负责人</w:t>
            </w:r>
            <w:r>
              <w:rPr>
                <w:rFonts w:hint="eastAsia" w:ascii="宋体" w:hAnsi="宋体"/>
                <w:color w:val="auto"/>
                <w:sz w:val="21"/>
                <w:szCs w:val="21"/>
                <w:highlight w:val="none"/>
                <w:lang w:val="en-US" w:eastAsia="zh-CN"/>
              </w:rPr>
              <w:t>（专职安全员）</w:t>
            </w:r>
            <w:r>
              <w:rPr>
                <w:rFonts w:hint="eastAsia" w:ascii="宋体" w:hAnsi="宋体" w:eastAsia="Times New Roman"/>
                <w:color w:val="auto"/>
                <w:szCs w:val="21"/>
                <w:highlight w:val="none"/>
              </w:rPr>
              <w:t>、资料员等。以上项目管理团队人员信息将由交易系统提取后供各相关单位在履约时比对、查核。</w:t>
            </w:r>
          </w:p>
          <w:p>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p>
          <w:p>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p>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4、“职务”和“配备最低人数要求”栏目由招标人填写，其他栏目内容由投标单位按本工程要求配备人员填写上表并盖章确认。</w:t>
            </w:r>
          </w:p>
          <w:p>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5、项目机构管理人员应满足最低人数要求。若因工程特殊需要，招标人在工程施工过程中提出需增加管理人员的，中标单位必须确保增加人员在五个工作日内到位。</w:t>
            </w:r>
          </w:p>
          <w:p>
            <w:pPr>
              <w:spacing w:line="360" w:lineRule="auto"/>
              <w:jc w:val="left"/>
              <w:rPr>
                <w:rFonts w:ascii="宋体" w:hAnsi="宋体" w:eastAsia="Times New Roman"/>
                <w:color w:val="auto"/>
                <w:szCs w:val="21"/>
                <w:highlight w:val="none"/>
              </w:rPr>
            </w:pPr>
            <w:r>
              <w:rPr>
                <w:rFonts w:hint="eastAsia" w:ascii="宋体" w:hAnsi="宋体" w:eastAsia="Times New Roman"/>
                <w:color w:val="auto"/>
                <w:szCs w:val="21"/>
                <w:highlight w:val="none"/>
              </w:rPr>
              <w:t>6、用于施工报建的</w:t>
            </w:r>
            <w:r>
              <w:rPr>
                <w:rFonts w:hint="eastAsia" w:ascii="宋体" w:hAnsi="宋体"/>
                <w:color w:val="auto"/>
                <w:szCs w:val="21"/>
                <w:highlight w:val="none"/>
                <w:lang w:val="en-US" w:eastAsia="zh-CN"/>
              </w:rPr>
              <w:t>安全负责人</w:t>
            </w:r>
            <w:r>
              <w:rPr>
                <w:rFonts w:hint="eastAsia" w:ascii="宋体" w:hAnsi="宋体"/>
                <w:color w:val="auto"/>
                <w:sz w:val="21"/>
                <w:szCs w:val="21"/>
                <w:highlight w:val="none"/>
                <w:lang w:val="en-US" w:eastAsia="zh-CN"/>
              </w:rPr>
              <w:t>（专职安全员）</w:t>
            </w:r>
            <w:r>
              <w:rPr>
                <w:rFonts w:hint="eastAsia" w:ascii="宋体" w:hAnsi="宋体" w:eastAsia="Times New Roman"/>
                <w:color w:val="auto"/>
                <w:szCs w:val="21"/>
                <w:highlight w:val="none"/>
              </w:rPr>
              <w:t>证件必须在有效期内。</w:t>
            </w:r>
          </w:p>
          <w:p>
            <w:pPr>
              <w:spacing w:line="360" w:lineRule="auto"/>
              <w:jc w:val="left"/>
              <w:rPr>
                <w:rFonts w:hint="eastAsia" w:ascii="宋体" w:hAnsi="宋体" w:eastAsia="Times New Roman"/>
                <w:color w:val="auto"/>
                <w:szCs w:val="21"/>
                <w:highlight w:val="none"/>
              </w:rPr>
            </w:pPr>
            <w:r>
              <w:rPr>
                <w:rFonts w:hint="eastAsia" w:ascii="宋体" w:hAnsi="宋体" w:eastAsia="Times New Roman"/>
                <w:color w:val="auto"/>
                <w:szCs w:val="21"/>
                <w:highlight w:val="none"/>
              </w:rPr>
              <w:t>7、配备最低人数要求:施工员不少于2名，质量负责人</w:t>
            </w:r>
            <w:r>
              <w:rPr>
                <w:rFonts w:hint="eastAsia" w:ascii="宋体" w:hAnsi="宋体" w:eastAsia="宋体"/>
                <w:color w:val="auto"/>
                <w:szCs w:val="21"/>
                <w:highlight w:val="none"/>
                <w:lang w:eastAsia="zh-CN"/>
              </w:rPr>
              <w:t>（</w:t>
            </w:r>
            <w:r>
              <w:rPr>
                <w:rFonts w:hint="eastAsia" w:ascii="宋体" w:hAnsi="宋体" w:eastAsia="Times New Roman"/>
                <w:color w:val="auto"/>
                <w:szCs w:val="21"/>
                <w:highlight w:val="none"/>
              </w:rPr>
              <w:t>质量</w:t>
            </w:r>
            <w:r>
              <w:rPr>
                <w:rFonts w:hint="eastAsia" w:ascii="宋体" w:hAnsi="宋体" w:eastAsia="宋体"/>
                <w:color w:val="auto"/>
                <w:szCs w:val="21"/>
                <w:highlight w:val="none"/>
                <w:lang w:val="en-US" w:eastAsia="zh-CN"/>
              </w:rPr>
              <w:t>检查员）</w:t>
            </w:r>
            <w:r>
              <w:rPr>
                <w:rFonts w:hint="eastAsia" w:ascii="宋体" w:hAnsi="宋体" w:eastAsia="Times New Roman"/>
                <w:color w:val="auto"/>
                <w:szCs w:val="21"/>
                <w:highlight w:val="none"/>
              </w:rPr>
              <w:t>不少于1名、</w:t>
            </w:r>
            <w:r>
              <w:rPr>
                <w:rFonts w:hint="eastAsia" w:ascii="宋体" w:hAnsi="宋体"/>
                <w:color w:val="auto"/>
                <w:szCs w:val="21"/>
                <w:highlight w:val="none"/>
                <w:lang w:val="en-US" w:eastAsia="zh-CN"/>
              </w:rPr>
              <w:t>安全负责人</w:t>
            </w:r>
            <w:r>
              <w:rPr>
                <w:rFonts w:hint="eastAsia" w:ascii="宋体" w:hAnsi="宋体"/>
                <w:color w:val="auto"/>
                <w:sz w:val="21"/>
                <w:szCs w:val="21"/>
                <w:highlight w:val="none"/>
                <w:lang w:val="en-US" w:eastAsia="zh-CN"/>
              </w:rPr>
              <w:t>（专职安全员）</w:t>
            </w:r>
            <w:r>
              <w:rPr>
                <w:rFonts w:hint="eastAsia" w:ascii="宋体" w:hAnsi="宋体" w:eastAsia="Times New Roman"/>
                <w:color w:val="auto"/>
                <w:szCs w:val="21"/>
                <w:highlight w:val="none"/>
              </w:rPr>
              <w:t>不少于</w:t>
            </w:r>
            <w:r>
              <w:rPr>
                <w:rFonts w:hint="eastAsia" w:ascii="宋体" w:hAnsi="宋体" w:eastAsia="宋体"/>
                <w:color w:val="auto"/>
                <w:szCs w:val="21"/>
                <w:highlight w:val="none"/>
                <w:lang w:val="en-US" w:eastAsia="zh-CN"/>
              </w:rPr>
              <w:t>1</w:t>
            </w:r>
            <w:r>
              <w:rPr>
                <w:rFonts w:hint="eastAsia" w:ascii="宋体" w:hAnsi="宋体" w:eastAsia="Times New Roman"/>
                <w:color w:val="auto"/>
                <w:szCs w:val="21"/>
                <w:highlight w:val="none"/>
              </w:rPr>
              <w:t>名，材料员不少于1名、预算员不少于1名、资料员不少于1名。</w:t>
            </w:r>
          </w:p>
          <w:p>
            <w:pPr>
              <w:pStyle w:val="2"/>
              <w:rPr>
                <w:rFonts w:hint="eastAsia" w:ascii="宋体" w:hAnsi="宋体" w:eastAsia="宋体"/>
                <w:color w:val="auto"/>
                <w:szCs w:val="21"/>
                <w:highlight w:val="none"/>
                <w:lang w:val="en-US" w:eastAsia="zh-CN"/>
              </w:rPr>
            </w:pPr>
            <w:r>
              <w:rPr>
                <w:rFonts w:hint="eastAsia" w:hAnsi="宋体" w:eastAsia="宋体"/>
                <w:color w:val="auto"/>
                <w:szCs w:val="21"/>
                <w:highlight w:val="none"/>
                <w:lang w:val="en-US" w:eastAsia="zh-CN"/>
              </w:rPr>
              <w:t>8、</w:t>
            </w:r>
            <w:r>
              <w:rPr>
                <w:rFonts w:hint="eastAsia" w:ascii="宋体" w:hAnsi="宋体" w:eastAsia="Times New Roman"/>
                <w:color w:val="auto"/>
                <w:kern w:val="2"/>
                <w:sz w:val="21"/>
                <w:szCs w:val="21"/>
                <w:highlight w:val="none"/>
              </w:rPr>
              <w:t>配备的质量负责人</w:t>
            </w:r>
            <w:r>
              <w:rPr>
                <w:rFonts w:hint="eastAsia" w:ascii="宋体" w:hAnsi="宋体" w:eastAsia="Times New Roman"/>
                <w:color w:val="auto"/>
                <w:kern w:val="2"/>
                <w:sz w:val="21"/>
                <w:szCs w:val="21"/>
                <w:highlight w:val="none"/>
                <w:lang w:eastAsia="zh-CN"/>
              </w:rPr>
              <w:t>（</w:t>
            </w:r>
            <w:r>
              <w:rPr>
                <w:rFonts w:hint="eastAsia" w:ascii="宋体" w:hAnsi="宋体" w:eastAsia="Times New Roman"/>
                <w:color w:val="auto"/>
                <w:kern w:val="2"/>
                <w:sz w:val="21"/>
                <w:szCs w:val="21"/>
                <w:highlight w:val="none"/>
              </w:rPr>
              <w:t>质量</w:t>
            </w:r>
            <w:r>
              <w:rPr>
                <w:rFonts w:hint="eastAsia" w:ascii="宋体" w:hAnsi="宋体" w:eastAsia="Times New Roman"/>
                <w:color w:val="auto"/>
                <w:kern w:val="2"/>
                <w:sz w:val="21"/>
                <w:szCs w:val="21"/>
                <w:highlight w:val="none"/>
                <w:lang w:val="en-US" w:eastAsia="zh-CN"/>
              </w:rPr>
              <w:t>检查员）</w:t>
            </w:r>
            <w:r>
              <w:rPr>
                <w:rFonts w:hint="eastAsia" w:ascii="宋体" w:hAnsi="宋体" w:eastAsia="Times New Roman"/>
                <w:color w:val="auto"/>
                <w:kern w:val="2"/>
                <w:sz w:val="21"/>
                <w:szCs w:val="21"/>
                <w:highlight w:val="none"/>
              </w:rPr>
              <w:t>须具有住房和城乡建设领域施工现场专业人员职业培训合格证。</w:t>
            </w:r>
            <w:r>
              <w:rPr>
                <w:rFonts w:hint="eastAsia" w:hAnsi="宋体" w:eastAsia="宋体"/>
                <w:color w:val="auto"/>
                <w:kern w:val="2"/>
                <w:sz w:val="21"/>
                <w:szCs w:val="21"/>
                <w:highlight w:val="none"/>
                <w:lang w:eastAsia="zh-CN"/>
              </w:rPr>
              <w:t>（</w:t>
            </w:r>
            <w:r>
              <w:rPr>
                <w:rFonts w:hint="eastAsia" w:hAnsi="宋体" w:eastAsia="宋体"/>
                <w:color w:val="auto"/>
                <w:kern w:val="2"/>
                <w:sz w:val="21"/>
                <w:szCs w:val="21"/>
                <w:highlight w:val="none"/>
                <w:lang w:val="en-US" w:eastAsia="zh-CN"/>
              </w:rPr>
              <w:t>岗位名称为“市政工程质量员”）</w:t>
            </w:r>
            <w:r>
              <w:rPr>
                <w:rFonts w:hint="eastAsia" w:ascii="宋体" w:hAnsi="宋体" w:eastAsia="Times New Roman"/>
                <w:color w:val="auto"/>
                <w:kern w:val="2"/>
                <w:sz w:val="21"/>
                <w:szCs w:val="21"/>
                <w:highlight w:val="none"/>
              </w:rPr>
              <w:t>。</w:t>
            </w:r>
          </w:p>
          <w:p>
            <w:pPr>
              <w:spacing w:line="360" w:lineRule="auto"/>
              <w:jc w:val="left"/>
              <w:rPr>
                <w:rFonts w:ascii="宋体" w:hAnsi="宋体" w:eastAsiaTheme="minorEastAsia"/>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Times New Roman"/>
                <w:color w:val="auto"/>
                <w:szCs w:val="21"/>
                <w:highlight w:val="none"/>
              </w:rPr>
              <w:t>、</w:t>
            </w:r>
            <w:r>
              <w:rPr>
                <w:rFonts w:hint="eastAsia" w:ascii="宋体" w:hAnsi="宋体" w:eastAsiaTheme="minorEastAsia"/>
                <w:color w:val="auto"/>
                <w:szCs w:val="21"/>
                <w:highlight w:val="none"/>
              </w:rPr>
              <w:t>配备</w:t>
            </w:r>
            <w:r>
              <w:rPr>
                <w:rFonts w:hint="eastAsia" w:ascii="宋体" w:hAnsi="宋体" w:eastAsiaTheme="minorEastAsia"/>
                <w:color w:val="auto"/>
                <w:szCs w:val="21"/>
                <w:highlight w:val="none"/>
                <w:lang w:val="en-US" w:eastAsia="zh-CN"/>
              </w:rPr>
              <w:t>的</w:t>
            </w:r>
            <w:r>
              <w:rPr>
                <w:rFonts w:hint="eastAsia" w:ascii="宋体" w:hAnsi="宋体"/>
                <w:color w:val="auto"/>
                <w:szCs w:val="21"/>
                <w:highlight w:val="none"/>
                <w:lang w:val="en-US" w:eastAsia="zh-CN"/>
              </w:rPr>
              <w:t>安全负责人</w:t>
            </w:r>
            <w:r>
              <w:rPr>
                <w:rFonts w:hint="eastAsia" w:ascii="宋体" w:hAnsi="宋体"/>
                <w:color w:val="auto"/>
                <w:sz w:val="21"/>
                <w:szCs w:val="21"/>
                <w:highlight w:val="none"/>
                <w:lang w:val="en-US" w:eastAsia="zh-CN"/>
              </w:rPr>
              <w:t>（专职安全员）</w:t>
            </w:r>
            <w:r>
              <w:rPr>
                <w:rFonts w:hint="eastAsia" w:ascii="宋体" w:hAnsi="宋体" w:eastAsiaTheme="minorEastAsia"/>
                <w:color w:val="auto"/>
                <w:szCs w:val="21"/>
                <w:highlight w:val="none"/>
              </w:rPr>
              <w:t>，须具有安全生产考核合格证（C类）或建筑施工企业专职安全生产管理人员安全生产考核合格证（C3类）；</w:t>
            </w:r>
          </w:p>
          <w:p>
            <w:pPr>
              <w:spacing w:line="360" w:lineRule="auto"/>
              <w:jc w:val="left"/>
              <w:rPr>
                <w:rFonts w:ascii="宋体" w:hAnsi="宋体" w:eastAsia="Times New Roman"/>
                <w:color w:val="auto"/>
                <w:szCs w:val="21"/>
                <w:highlight w:val="none"/>
              </w:rPr>
            </w:pPr>
            <w:r>
              <w:rPr>
                <w:rFonts w:hint="eastAsia" w:ascii="宋体" w:hAnsi="宋体" w:eastAsiaTheme="minorEastAsia"/>
                <w:color w:val="auto"/>
                <w:szCs w:val="21"/>
                <w:highlight w:val="none"/>
                <w:lang w:val="en-US" w:eastAsia="zh-CN"/>
              </w:rPr>
              <w:t>10</w:t>
            </w:r>
            <w:r>
              <w:rPr>
                <w:rFonts w:hint="eastAsia" w:ascii="宋体" w:hAnsi="宋体" w:eastAsia="Times New Roman"/>
                <w:color w:val="auto"/>
                <w:szCs w:val="21"/>
                <w:highlight w:val="none"/>
              </w:rPr>
              <w:t>、本表后附上居民身份证、注册资格证书（如有）、注册执业证（如有）、职称资格证（如有）、上岗证书（如有）等资料；</w:t>
            </w:r>
          </w:p>
        </w:tc>
      </w:tr>
    </w:tbl>
    <w:p>
      <w:pPr>
        <w:spacing w:line="360" w:lineRule="auto"/>
        <w:ind w:right="-108"/>
        <w:rPr>
          <w:rFonts w:ascii="宋体" w:hAnsi="宋体"/>
          <w:color w:val="auto"/>
          <w:sz w:val="24"/>
          <w:highlight w:val="none"/>
        </w:rPr>
      </w:pPr>
    </w:p>
    <w:p>
      <w:pPr>
        <w:spacing w:line="360" w:lineRule="auto"/>
        <w:ind w:right="-108"/>
        <w:jc w:val="right"/>
        <w:rPr>
          <w:rFonts w:ascii="宋体" w:hAnsi="宋体"/>
          <w:color w:val="auto"/>
          <w:highlight w:val="none"/>
        </w:rPr>
      </w:pPr>
      <w:r>
        <w:rPr>
          <w:rFonts w:hint="eastAsia" w:ascii="宋体" w:hAnsi="宋体"/>
          <w:color w:val="auto"/>
          <w:sz w:val="24"/>
          <w:highlight w:val="none"/>
        </w:rPr>
        <w:t>投标单位（盖公章）：</w:t>
      </w:r>
    </w:p>
    <w:p>
      <w:pPr>
        <w:pStyle w:val="5"/>
        <w:spacing w:line="360" w:lineRule="auto"/>
        <w:ind w:left="-2" w:leftChars="-1" w:firstLineChars="175"/>
        <w:jc w:val="center"/>
        <w:rPr>
          <w:rFonts w:ascii="宋体" w:hAnsi="宋体"/>
          <w:color w:val="auto"/>
          <w:sz w:val="24"/>
          <w:highlight w:val="none"/>
        </w:rPr>
      </w:pPr>
      <w:r>
        <w:rPr>
          <w:rFonts w:hint="eastAsia" w:ascii="宋体" w:hAnsi="宋体"/>
          <w:color w:val="auto"/>
          <w:sz w:val="24"/>
          <w:highlight w:val="none"/>
        </w:rPr>
        <w:t xml:space="preserve">                                                    年   月    日                                </w:t>
      </w:r>
    </w:p>
    <w:p>
      <w:pPr>
        <w:autoSpaceDE w:val="0"/>
        <w:autoSpaceDN w:val="0"/>
        <w:adjustRightInd w:val="0"/>
        <w:rPr>
          <w:color w:val="auto"/>
          <w:szCs w:val="21"/>
          <w:highlight w:val="none"/>
        </w:rPr>
      </w:pPr>
      <w:r>
        <w:rPr>
          <w:rFonts w:hint="eastAsia"/>
          <w:color w:val="auto"/>
          <w:szCs w:val="21"/>
          <w:highlight w:val="none"/>
        </w:rPr>
        <w:br w:type="page"/>
      </w:r>
      <w:r>
        <w:rPr>
          <w:rFonts w:hint="eastAsia"/>
          <w:color w:val="auto"/>
          <w:szCs w:val="21"/>
          <w:highlight w:val="none"/>
        </w:rPr>
        <w:t>附件三</w:t>
      </w:r>
    </w:p>
    <w:p>
      <w:pPr>
        <w:pStyle w:val="5"/>
        <w:spacing w:after="0" w:line="360" w:lineRule="auto"/>
        <w:ind w:firstLine="0"/>
        <w:jc w:val="center"/>
        <w:rPr>
          <w:color w:val="auto"/>
          <w:sz w:val="32"/>
          <w:szCs w:val="32"/>
          <w:highlight w:val="none"/>
        </w:rPr>
      </w:pPr>
      <w:r>
        <w:rPr>
          <w:rFonts w:hint="eastAsia"/>
          <w:b/>
          <w:color w:val="auto"/>
          <w:sz w:val="32"/>
          <w:szCs w:val="32"/>
          <w:highlight w:val="none"/>
        </w:rPr>
        <w:t>对投标文件编制的承诺</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本公司授权</w:t>
      </w:r>
      <w:r>
        <w:rPr>
          <w:rFonts w:hint="eastAsia" w:ascii="宋体" w:hAnsi="宋体"/>
          <w:color w:val="auto"/>
          <w:sz w:val="24"/>
          <w:szCs w:val="24"/>
          <w:highlight w:val="none"/>
          <w:u w:val="single"/>
        </w:rPr>
        <w:t xml:space="preserve">         （身份证号：               ）</w:t>
      </w:r>
      <w:r>
        <w:rPr>
          <w:rFonts w:hint="eastAsia" w:ascii="宋体" w:hAnsi="宋体"/>
          <w:color w:val="auto"/>
          <w:sz w:val="24"/>
          <w:szCs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olor w:val="auto"/>
          <w:sz w:val="24"/>
          <w:szCs w:val="24"/>
          <w:highlight w:val="none"/>
        </w:rPr>
      </w:pPr>
      <w:r>
        <w:rPr>
          <w:rFonts w:hint="eastAsia" w:ascii="宋体" w:hAnsi="宋体"/>
          <w:color w:val="auto"/>
          <w:sz w:val="24"/>
          <w:szCs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olor w:val="auto"/>
          <w:sz w:val="24"/>
          <w:szCs w:val="24"/>
          <w:highlight w:val="none"/>
        </w:rPr>
      </w:pPr>
      <w:r>
        <w:rPr>
          <w:rFonts w:hint="eastAsia" w:ascii="宋体" w:hAnsi="宋体"/>
          <w:color w:val="auto"/>
          <w:sz w:val="24"/>
          <w:szCs w:val="24"/>
          <w:highlight w:val="none"/>
        </w:rPr>
        <w:t xml:space="preserve"> </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附件：《投标文件编制情况》</w:t>
      </w:r>
    </w:p>
    <w:p>
      <w:pPr>
        <w:spacing w:line="360" w:lineRule="auto"/>
        <w:ind w:right="90" w:firstLine="3240" w:firstLineChars="1350"/>
        <w:rPr>
          <w:rFonts w:ascii="宋体" w:hAnsi="宋体"/>
          <w:color w:val="auto"/>
          <w:sz w:val="24"/>
          <w:szCs w:val="24"/>
          <w:highlight w:val="none"/>
          <w:u w:val="single"/>
        </w:rPr>
      </w:pPr>
      <w:r>
        <w:rPr>
          <w:rFonts w:hint="eastAsia" w:ascii="宋体" w:hAnsi="宋体"/>
          <w:color w:val="auto"/>
          <w:sz w:val="24"/>
          <w:szCs w:val="24"/>
          <w:highlight w:val="none"/>
        </w:rPr>
        <w:t xml:space="preserve"> 投标人名称（盖法人公章）：</w:t>
      </w:r>
      <w:r>
        <w:rPr>
          <w:rFonts w:hint="eastAsia" w:ascii="宋体" w:hAnsi="宋体"/>
          <w:color w:val="auto"/>
          <w:sz w:val="24"/>
          <w:szCs w:val="24"/>
          <w:highlight w:val="none"/>
          <w:u w:val="single"/>
        </w:rPr>
        <w:t xml:space="preserve">                  </w:t>
      </w:r>
    </w:p>
    <w:p>
      <w:pPr>
        <w:spacing w:line="360" w:lineRule="auto"/>
        <w:ind w:firstLine="2160" w:firstLineChars="900"/>
        <w:rPr>
          <w:rFonts w:ascii="宋体" w:hAnsi="宋体"/>
          <w:color w:val="auto"/>
          <w:sz w:val="24"/>
          <w:szCs w:val="24"/>
          <w:highlight w:val="none"/>
          <w:u w:val="single"/>
        </w:rPr>
      </w:pPr>
      <w:r>
        <w:rPr>
          <w:rFonts w:hint="eastAsia" w:ascii="宋体" w:hAnsi="宋体"/>
          <w:color w:val="auto"/>
          <w:sz w:val="24"/>
          <w:szCs w:val="24"/>
          <w:highlight w:val="none"/>
        </w:rPr>
        <w:t>法定代表人或被授权人（签字或盖章）：</w:t>
      </w:r>
      <w:r>
        <w:rPr>
          <w:rFonts w:hint="eastAsia" w:ascii="宋体" w:hAnsi="宋体"/>
          <w:color w:val="auto"/>
          <w:sz w:val="24"/>
          <w:szCs w:val="24"/>
          <w:highlight w:val="none"/>
          <w:u w:val="single"/>
        </w:rPr>
        <w:t xml:space="preserve">                  </w:t>
      </w:r>
    </w:p>
    <w:p>
      <w:pPr>
        <w:jc w:val="center"/>
        <w:rPr>
          <w:b/>
          <w:color w:val="auto"/>
          <w:sz w:val="32"/>
          <w:szCs w:val="32"/>
          <w:highlight w:val="none"/>
        </w:rPr>
      </w:pPr>
      <w:r>
        <w:rPr>
          <w:rFonts w:hint="eastAsia"/>
          <w:color w:val="auto"/>
          <w:sz w:val="24"/>
          <w:szCs w:val="24"/>
          <w:highlight w:val="none"/>
        </w:rPr>
        <w:t xml:space="preserve"> 日期：      年   月   日 </w:t>
      </w:r>
      <w:r>
        <w:rPr>
          <w:rFonts w:hint="eastAsia"/>
          <w:color w:val="auto"/>
          <w:sz w:val="18"/>
          <w:szCs w:val="18"/>
          <w:highlight w:val="none"/>
        </w:rPr>
        <w:t xml:space="preserve"> </w:t>
      </w:r>
      <w:r>
        <w:rPr>
          <w:rFonts w:hint="eastAsia"/>
          <w:color w:val="auto"/>
          <w:sz w:val="24"/>
          <w:szCs w:val="24"/>
          <w:highlight w:val="none"/>
        </w:rPr>
        <w:t xml:space="preserve">    </w:t>
      </w:r>
    </w:p>
    <w:p>
      <w:pPr>
        <w:pStyle w:val="5"/>
        <w:spacing w:after="0" w:line="360" w:lineRule="auto"/>
        <w:ind w:firstLine="643" w:firstLineChars="200"/>
        <w:jc w:val="center"/>
        <w:rPr>
          <w:b/>
          <w:color w:val="auto"/>
          <w:sz w:val="32"/>
          <w:szCs w:val="32"/>
          <w:highlight w:val="none"/>
        </w:rPr>
      </w:pPr>
    </w:p>
    <w:p>
      <w:pPr>
        <w:pStyle w:val="5"/>
        <w:spacing w:after="0" w:line="360" w:lineRule="auto"/>
        <w:ind w:firstLine="643" w:firstLineChars="200"/>
        <w:jc w:val="center"/>
        <w:rPr>
          <w:color w:val="auto"/>
          <w:sz w:val="18"/>
          <w:szCs w:val="18"/>
          <w:highlight w:val="none"/>
        </w:rPr>
      </w:pPr>
      <w:r>
        <w:rPr>
          <w:rFonts w:hint="eastAsia"/>
          <w:b/>
          <w:color w:val="auto"/>
          <w:sz w:val="32"/>
          <w:szCs w:val="32"/>
          <w:highlight w:val="none"/>
        </w:rPr>
        <w:t>投标文件编制情况</w:t>
      </w:r>
    </w:p>
    <w:p>
      <w:pPr>
        <w:pStyle w:val="5"/>
        <w:spacing w:after="0" w:line="360" w:lineRule="auto"/>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1.投标文件报价编制方式: □自行编制的，编制的负责人：</w:t>
      </w:r>
      <w:r>
        <w:rPr>
          <w:rFonts w:hint="eastAsia" w:ascii="宋体" w:hAnsi="宋体"/>
          <w:color w:val="auto"/>
          <w:sz w:val="24"/>
          <w:szCs w:val="24"/>
          <w:highlight w:val="none"/>
          <w:u w:val="single"/>
        </w:rPr>
        <w:t xml:space="preserve"> （盖造价工程师执业专用章或全国建设工程造价员章，执业单位应与投标人一致） </w:t>
      </w:r>
      <w:r>
        <w:rPr>
          <w:rFonts w:hint="eastAsia" w:ascii="宋体" w:hAnsi="宋体"/>
          <w:color w:val="auto"/>
          <w:sz w:val="24"/>
          <w:szCs w:val="24"/>
          <w:highlight w:val="none"/>
        </w:rPr>
        <w:t>。□委托编制的，受委托单位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，编制的负责人：</w:t>
      </w:r>
      <w:r>
        <w:rPr>
          <w:rFonts w:hint="eastAsia" w:ascii="宋体" w:hAnsi="宋体"/>
          <w:color w:val="auto"/>
          <w:sz w:val="24"/>
          <w:szCs w:val="24"/>
          <w:highlight w:val="none"/>
          <w:u w:val="single"/>
        </w:rPr>
        <w:t xml:space="preserve"> （盖造价工程师执业专用章或全国建设工程造价员章，执业单位应与受委托单位一致） </w:t>
      </w:r>
      <w:r>
        <w:rPr>
          <w:rFonts w:hint="eastAsia" w:ascii="宋体" w:hAnsi="宋体"/>
          <w:color w:val="auto"/>
          <w:sz w:val="24"/>
          <w:szCs w:val="24"/>
          <w:highlight w:val="none"/>
        </w:rPr>
        <w:t>。</w:t>
      </w:r>
    </w:p>
    <w:p>
      <w:pPr>
        <w:pStyle w:val="5"/>
        <w:spacing w:after="0"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2.投标文件加密打包的电脑情况</w:t>
      </w:r>
    </w:p>
    <w:tbl>
      <w:tblPr>
        <w:tblStyle w:val="50"/>
        <w:tblW w:w="0" w:type="auto"/>
        <w:tblInd w:w="0" w:type="dxa"/>
        <w:tblLayout w:type="fixed"/>
        <w:tblCellMar>
          <w:top w:w="0" w:type="dxa"/>
          <w:left w:w="108" w:type="dxa"/>
          <w:bottom w:w="0" w:type="dxa"/>
          <w:right w:w="108" w:type="dxa"/>
        </w:tblCellMar>
      </w:tblPr>
      <w:tblGrid>
        <w:gridCol w:w="8522"/>
      </w:tblGrid>
      <w:tr>
        <w:trPr>
          <w:trHeight w:val="2819" w:hRule="atLeast"/>
        </w:trPr>
        <w:tc>
          <w:tcPr>
            <w:tcW w:w="8522" w:type="dxa"/>
          </w:tcPr>
          <w:p>
            <w:pPr>
              <w:pStyle w:val="5"/>
              <w:spacing w:after="0" w:line="360" w:lineRule="auto"/>
              <w:ind w:firstLine="0"/>
              <w:rPr>
                <w:rFonts w:ascii="宋体" w:hAnsi="宋体" w:eastAsia="Times New Roman"/>
                <w:color w:val="auto"/>
                <w:kern w:val="2"/>
                <w:sz w:val="24"/>
                <w:szCs w:val="24"/>
                <w:highlight w:val="none"/>
              </w:rPr>
            </w:pPr>
            <w:r>
              <w:rPr>
                <w:rFonts w:hint="eastAsia" w:ascii="宋体" w:hAnsi="宋体" w:eastAsia="Times New Roman"/>
                <w:color w:val="auto"/>
                <w:kern w:val="2"/>
                <w:sz w:val="24"/>
                <w:szCs w:val="24"/>
                <w:highlight w:val="none"/>
              </w:rPr>
              <w:t>投标文件加密打包的电脑     自有    □      外包    □     其他    □</w:t>
            </w:r>
          </w:p>
          <w:p>
            <w:pPr>
              <w:pStyle w:val="5"/>
              <w:spacing w:after="0" w:line="360" w:lineRule="auto"/>
              <w:ind w:firstLine="0"/>
              <w:rPr>
                <w:rFonts w:ascii="宋体" w:hAnsi="宋体" w:eastAsia="Times New Roman"/>
                <w:color w:val="auto"/>
                <w:kern w:val="2"/>
                <w:sz w:val="24"/>
                <w:szCs w:val="24"/>
                <w:highlight w:val="none"/>
              </w:rPr>
            </w:pPr>
            <w:r>
              <w:rPr>
                <w:rFonts w:hint="eastAsia" w:ascii="宋体" w:hAnsi="宋体" w:eastAsia="Times New Roman"/>
                <w:color w:val="auto"/>
                <w:kern w:val="2"/>
                <w:sz w:val="24"/>
                <w:szCs w:val="24"/>
                <w:highlight w:val="none"/>
              </w:rPr>
              <w:t>电脑类型</w:t>
            </w:r>
          </w:p>
          <w:p>
            <w:pPr>
              <w:pStyle w:val="5"/>
              <w:spacing w:after="0" w:line="360" w:lineRule="auto"/>
              <w:ind w:firstLine="0"/>
              <w:rPr>
                <w:rFonts w:ascii="宋体" w:hAnsi="宋体" w:eastAsia="Times New Roman"/>
                <w:color w:val="auto"/>
                <w:kern w:val="2"/>
                <w:sz w:val="24"/>
                <w:szCs w:val="24"/>
                <w:highlight w:val="none"/>
              </w:rPr>
            </w:pPr>
            <w:r>
              <w:rPr>
                <w:rFonts w:hint="eastAsia" w:ascii="宋体" w:hAnsi="宋体" w:eastAsia="Times New Roman"/>
                <w:color w:val="auto"/>
                <w:kern w:val="2"/>
                <w:sz w:val="24"/>
                <w:szCs w:val="24"/>
                <w:highlight w:val="none"/>
              </w:rPr>
              <w:t>电脑所属单位</w:t>
            </w:r>
          </w:p>
          <w:p>
            <w:pPr>
              <w:pStyle w:val="5"/>
              <w:spacing w:after="0" w:line="360" w:lineRule="auto"/>
              <w:ind w:firstLine="0"/>
              <w:rPr>
                <w:rFonts w:ascii="宋体" w:hAnsi="宋体" w:eastAsia="Times New Roman"/>
                <w:color w:val="auto"/>
                <w:kern w:val="2"/>
                <w:sz w:val="24"/>
                <w:szCs w:val="24"/>
                <w:highlight w:val="none"/>
              </w:rPr>
            </w:pPr>
            <w:r>
              <w:rPr>
                <w:rFonts w:hint="eastAsia" w:ascii="宋体" w:hAnsi="宋体" w:eastAsia="Times New Roman"/>
                <w:color w:val="auto"/>
                <w:kern w:val="2"/>
                <w:sz w:val="24"/>
                <w:szCs w:val="24"/>
                <w:highlight w:val="none"/>
              </w:rPr>
              <w:t>电脑所在地址        （如××市××区(县) ××街（路）××号××大厦××房）</w:t>
            </w:r>
          </w:p>
        </w:tc>
      </w:tr>
    </w:tbl>
    <w:p>
      <w:pPr>
        <w:tabs>
          <w:tab w:val="left" w:pos="720"/>
        </w:tabs>
        <w:snapToGrid w:val="0"/>
        <w:spacing w:line="360" w:lineRule="auto"/>
        <w:jc w:val="center"/>
        <w:rPr>
          <w:color w:val="auto"/>
          <w:sz w:val="24"/>
          <w:szCs w:val="24"/>
          <w:highlight w:val="none"/>
        </w:rPr>
      </w:pPr>
    </w:p>
    <w:p>
      <w:pPr>
        <w:pStyle w:val="300"/>
        <w:tabs>
          <w:tab w:val="left" w:pos="1080"/>
        </w:tabs>
        <w:spacing w:line="360" w:lineRule="auto"/>
        <w:ind w:firstLine="813"/>
        <w:jc w:val="center"/>
        <w:rPr>
          <w:rFonts w:ascii="宋体" w:hAnsi="宋体"/>
          <w:b/>
          <w:color w:val="auto"/>
          <w:kern w:val="0"/>
          <w:sz w:val="32"/>
          <w:szCs w:val="32"/>
          <w:highlight w:val="none"/>
        </w:rPr>
      </w:pPr>
    </w:p>
    <w:p>
      <w:pPr>
        <w:pStyle w:val="300"/>
        <w:tabs>
          <w:tab w:val="left" w:pos="1080"/>
        </w:tabs>
        <w:spacing w:line="360" w:lineRule="auto"/>
        <w:ind w:firstLine="813"/>
        <w:jc w:val="center"/>
        <w:rPr>
          <w:rFonts w:hint="eastAsia" w:ascii="宋体" w:hAnsi="宋体"/>
          <w:b/>
          <w:color w:val="auto"/>
          <w:sz w:val="36"/>
          <w:szCs w:val="36"/>
          <w:highlight w:val="none"/>
        </w:rPr>
      </w:pPr>
      <w:r>
        <w:rPr>
          <w:rFonts w:hint="eastAsia" w:ascii="宋体" w:hAnsi="宋体"/>
          <w:b/>
          <w:color w:val="auto"/>
          <w:kern w:val="0"/>
          <w:sz w:val="32"/>
          <w:szCs w:val="32"/>
          <w:highlight w:val="none"/>
        </w:rPr>
        <w:t>投标人基本资料</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单位名称：</w:t>
      </w:r>
      <w:r>
        <w:rPr>
          <w:rFonts w:ascii="宋体" w:hAnsi="宋体"/>
          <w:snapToGrid w:val="0"/>
          <w:color w:val="auto"/>
          <w:kern w:val="13"/>
          <w:sz w:val="24"/>
          <w:highlight w:val="none"/>
        </w:rPr>
        <w:t xml:space="preserve">  </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lang w:eastAsia="zh-CN"/>
        </w:rPr>
        <w:t>地</w:t>
      </w:r>
      <w:r>
        <w:rPr>
          <w:rFonts w:hint="eastAsia" w:ascii="宋体" w:hAnsi="宋体"/>
          <w:snapToGrid w:val="0"/>
          <w:color w:val="auto"/>
          <w:kern w:val="13"/>
          <w:sz w:val="24"/>
          <w:highlight w:val="none"/>
          <w:lang w:val="en-US" w:eastAsia="zh-CN"/>
        </w:rPr>
        <w:t xml:space="preserve">  </w:t>
      </w:r>
      <w:r>
        <w:rPr>
          <w:rFonts w:hint="eastAsia" w:ascii="宋体" w:hAnsi="宋体"/>
          <w:snapToGrid w:val="0"/>
          <w:color w:val="auto"/>
          <w:kern w:val="13"/>
          <w:sz w:val="24"/>
          <w:highlight w:val="none"/>
          <w:lang w:eastAsia="zh-CN"/>
        </w:rPr>
        <w:t>址</w:t>
      </w:r>
      <w:r>
        <w:rPr>
          <w:rFonts w:ascii="宋体" w:hAnsi="宋体"/>
          <w:snapToGrid w:val="0"/>
          <w:color w:val="auto"/>
          <w:kern w:val="13"/>
          <w:sz w:val="24"/>
          <w:highlight w:val="none"/>
        </w:rPr>
        <w:t xml:space="preserve">：    </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法定代表人：</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法定代表人办公电话：</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公司行政办公室负责人：</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公司行政办公室电话：</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传</w:t>
      </w:r>
      <w:r>
        <w:rPr>
          <w:rFonts w:ascii="宋体" w:hAnsi="宋体"/>
          <w:snapToGrid w:val="0"/>
          <w:color w:val="auto"/>
          <w:kern w:val="13"/>
          <w:sz w:val="24"/>
          <w:highlight w:val="none"/>
        </w:rPr>
        <w:t xml:space="preserve">  真： </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开户银行：</w:t>
      </w:r>
    </w:p>
    <w:p>
      <w:pPr>
        <w:spacing w:line="360" w:lineRule="auto"/>
        <w:ind w:firstLine="307" w:firstLineChars="128"/>
        <w:rPr>
          <w:rFonts w:ascii="宋体" w:hAnsi="宋体"/>
          <w:snapToGrid w:val="0"/>
          <w:color w:val="auto"/>
          <w:kern w:val="13"/>
          <w:sz w:val="24"/>
          <w:highlight w:val="none"/>
        </w:rPr>
      </w:pPr>
      <w:r>
        <w:rPr>
          <w:rFonts w:hint="eastAsia" w:ascii="宋体" w:hAnsi="宋体"/>
          <w:snapToGrid w:val="0"/>
          <w:color w:val="auto"/>
          <w:kern w:val="13"/>
          <w:sz w:val="24"/>
          <w:highlight w:val="none"/>
        </w:rPr>
        <w:t>账</w:t>
      </w:r>
      <w:r>
        <w:rPr>
          <w:rFonts w:ascii="宋体" w:hAnsi="宋体"/>
          <w:snapToGrid w:val="0"/>
          <w:color w:val="auto"/>
          <w:kern w:val="13"/>
          <w:sz w:val="24"/>
          <w:highlight w:val="none"/>
        </w:rPr>
        <w:t xml:space="preserve">  </w:t>
      </w:r>
      <w:r>
        <w:rPr>
          <w:rFonts w:hint="eastAsia" w:ascii="宋体" w:hAnsi="宋体"/>
          <w:snapToGrid w:val="0"/>
          <w:color w:val="auto"/>
          <w:kern w:val="13"/>
          <w:sz w:val="24"/>
          <w:highlight w:val="none"/>
        </w:rPr>
        <w:t>号：</w:t>
      </w:r>
    </w:p>
    <w:p>
      <w:pPr>
        <w:ind w:firstLine="240" w:firstLineChars="100"/>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公司邮政编码：</w:t>
      </w:r>
    </w:p>
    <w:p>
      <w:pPr>
        <w:pStyle w:val="37"/>
        <w:rPr>
          <w:rFonts w:hint="eastAsia"/>
          <w:color w:val="auto"/>
          <w:highlight w:val="none"/>
        </w:rPr>
      </w:pPr>
    </w:p>
    <w:p>
      <w:pPr>
        <w:spacing w:line="360" w:lineRule="auto"/>
        <w:ind w:right="98"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项目负责人（兼施工负责人）：</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项目负责人（兼施工负责人）手机及Eml：</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施工指挥长：</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施工指挥长手机及Eml：</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投标及标后管理委托人：</w:t>
      </w:r>
    </w:p>
    <w:p>
      <w:pPr>
        <w:spacing w:line="360" w:lineRule="auto"/>
        <w:ind w:firstLine="307" w:firstLineChars="128"/>
        <w:rPr>
          <w:rFonts w:hint="eastAsia" w:ascii="宋体" w:hAnsi="宋体"/>
          <w:snapToGrid w:val="0"/>
          <w:color w:val="auto"/>
          <w:kern w:val="13"/>
          <w:sz w:val="24"/>
          <w:highlight w:val="none"/>
        </w:rPr>
      </w:pPr>
      <w:r>
        <w:rPr>
          <w:rFonts w:hint="eastAsia" w:ascii="宋体" w:hAnsi="宋体"/>
          <w:snapToGrid w:val="0"/>
          <w:color w:val="auto"/>
          <w:kern w:val="13"/>
          <w:sz w:val="24"/>
          <w:highlight w:val="none"/>
        </w:rPr>
        <w:t>投标及标后管理委托人手机及Eml：</w:t>
      </w:r>
    </w:p>
    <w:p>
      <w:pPr>
        <w:pStyle w:val="268"/>
        <w:spacing w:line="240" w:lineRule="auto"/>
        <w:ind w:right="98" w:firstLine="240" w:firstLineChars="100"/>
        <w:rPr>
          <w:rFonts w:ascii="宋体" w:hAnsi="宋体" w:eastAsia="宋体"/>
          <w:snapToGrid w:val="0"/>
          <w:color w:val="auto"/>
          <w:kern w:val="13"/>
          <w:sz w:val="24"/>
          <w:highlight w:val="none"/>
        </w:rPr>
      </w:pPr>
    </w:p>
    <w:p>
      <w:pPr>
        <w:pStyle w:val="268"/>
        <w:spacing w:line="240" w:lineRule="auto"/>
        <w:ind w:right="98" w:firstLine="240" w:firstLineChars="100"/>
        <w:rPr>
          <w:rFonts w:ascii="宋体" w:hAnsi="宋体" w:eastAsia="宋体"/>
          <w:snapToGrid w:val="0"/>
          <w:color w:val="auto"/>
          <w:kern w:val="13"/>
          <w:sz w:val="24"/>
          <w:highlight w:val="none"/>
        </w:rPr>
      </w:pPr>
    </w:p>
    <w:p>
      <w:pPr>
        <w:pStyle w:val="268"/>
        <w:spacing w:line="240" w:lineRule="auto"/>
        <w:ind w:right="98" w:firstLine="240" w:firstLineChars="100"/>
        <w:rPr>
          <w:rFonts w:ascii="宋体" w:hAnsi="宋体" w:eastAsia="宋体"/>
          <w:snapToGrid w:val="0"/>
          <w:color w:val="auto"/>
          <w:kern w:val="13"/>
          <w:sz w:val="24"/>
          <w:highlight w:val="none"/>
        </w:rPr>
      </w:pPr>
    </w:p>
    <w:p>
      <w:pPr>
        <w:spacing w:line="360" w:lineRule="auto"/>
        <w:ind w:right="-108" w:firstLine="4560" w:firstLineChars="1900"/>
        <w:rPr>
          <w:rFonts w:ascii="宋体" w:hAnsi="宋体"/>
          <w:color w:val="auto"/>
          <w:sz w:val="24"/>
          <w:highlight w:val="none"/>
        </w:rPr>
      </w:pPr>
      <w:r>
        <w:rPr>
          <w:rFonts w:hint="eastAsia" w:ascii="宋体" w:hAnsi="宋体"/>
          <w:color w:val="auto"/>
          <w:sz w:val="24"/>
          <w:highlight w:val="none"/>
        </w:rPr>
        <w:t>投标单位（盖公章）：</w:t>
      </w:r>
    </w:p>
    <w:p>
      <w:pPr>
        <w:spacing w:line="360" w:lineRule="auto"/>
        <w:ind w:right="-108" w:firstLine="4560" w:firstLineChars="1900"/>
        <w:rPr>
          <w:rFonts w:ascii="宋体" w:hAnsi="宋体"/>
          <w:color w:val="auto"/>
          <w:sz w:val="24"/>
          <w:highlight w:val="none"/>
        </w:rPr>
      </w:pPr>
    </w:p>
    <w:p>
      <w:pPr>
        <w:pStyle w:val="268"/>
        <w:spacing w:line="240" w:lineRule="auto"/>
        <w:ind w:right="98" w:firstLine="240" w:firstLineChars="100"/>
        <w:jc w:val="right"/>
        <w:rPr>
          <w:rFonts w:ascii="宋体" w:hAnsi="宋体" w:eastAsia="宋体"/>
          <w:color w:val="auto"/>
          <w:sz w:val="24"/>
          <w:highlight w:val="none"/>
        </w:rPr>
      </w:pPr>
      <w:r>
        <w:rPr>
          <w:rFonts w:hint="eastAsia" w:ascii="宋体" w:hAnsi="宋体" w:eastAsia="宋体"/>
          <w:color w:val="auto"/>
          <w:sz w:val="24"/>
          <w:highlight w:val="none"/>
        </w:rPr>
        <w:t xml:space="preserve">                                   年   月    日 </w:t>
      </w:r>
    </w:p>
    <w:p>
      <w:pPr>
        <w:tabs>
          <w:tab w:val="left" w:pos="720"/>
        </w:tabs>
        <w:snapToGrid w:val="0"/>
        <w:spacing w:line="360" w:lineRule="auto"/>
        <w:jc w:val="center"/>
        <w:rPr>
          <w:color w:val="auto"/>
          <w:sz w:val="24"/>
          <w:szCs w:val="24"/>
          <w:highlight w:val="none"/>
        </w:rPr>
      </w:pPr>
    </w:p>
    <w:p>
      <w:pPr>
        <w:pStyle w:val="268"/>
        <w:spacing w:line="240" w:lineRule="auto"/>
        <w:ind w:left="420" w:right="98" w:firstLine="0"/>
        <w:jc w:val="center"/>
        <w:rPr>
          <w:rFonts w:ascii="宋体" w:hAnsi="宋体" w:eastAsia="宋体"/>
          <w:b/>
          <w:color w:val="auto"/>
          <w:sz w:val="36"/>
          <w:highlight w:val="none"/>
        </w:rPr>
      </w:pPr>
      <w:bookmarkStart w:id="18" w:name="_Toc17321"/>
      <w:r>
        <w:rPr>
          <w:rStyle w:val="68"/>
          <w:rFonts w:hint="eastAsia"/>
          <w:color w:val="auto"/>
          <w:highlight w:val="none"/>
        </w:rPr>
        <w:br w:type="page"/>
      </w:r>
      <w:r>
        <w:rPr>
          <w:rFonts w:hint="eastAsia" w:ascii="宋体" w:hAnsi="宋体" w:eastAsia="宋体"/>
          <w:b/>
          <w:color w:val="auto"/>
          <w:szCs w:val="32"/>
          <w:highlight w:val="none"/>
        </w:rPr>
        <w:t>承诺书</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致广州市番禺区基本建设投资管理中心：</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若我方成为</w:t>
      </w:r>
      <w:r>
        <w:rPr>
          <w:rFonts w:hint="eastAsia" w:ascii="宋体" w:hAnsi="宋体" w:cs="宋体"/>
          <w:color w:val="auto"/>
          <w:szCs w:val="21"/>
          <w:highlight w:val="none"/>
          <w:u w:val="single"/>
          <w:lang w:eastAsia="zh-CN"/>
        </w:rPr>
        <w:t>番禺区新造镇大沙路（滨河路-广医南路段）工程（二期）施工总承包项目</w:t>
      </w:r>
      <w:r>
        <w:rPr>
          <w:rFonts w:hint="eastAsia" w:ascii="宋体" w:hAnsi="宋体" w:cs="宋体"/>
          <w:color w:val="auto"/>
          <w:szCs w:val="21"/>
          <w:highlight w:val="none"/>
        </w:rPr>
        <w:t>的中标单位，我方郑重承诺，将切实完成以下工作，若不在限定时间内完成以下任何一项工作，可视为我方放弃本次中标资格，招标人可另择中标单位：</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1.中标公示完后1个工作日内缴交交易服务费。</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在招标代理通知的时间内，派委托代理人携带身份证及法人授权委托证明及时收取中标通知书，收到中标通知书后2个工作日内提交按照招投标文件、答疑纪要及有关补充说明、通知拟写的合同稿及其电子文件给招标人。</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3.我单位合同签订负责人收到招标人已审定的合同正式稿后，5个工作日内签订合同并送给招标人。</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4.招标人通知领取已签订的合同文件后2个工作日内领取合同文件。</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5.我方承诺，在收到中标通知书后15个日历天内向招标人缴交履约保证金或履约保函。</w:t>
      </w:r>
    </w:p>
    <w:p>
      <w:pPr>
        <w:spacing w:line="4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我方承诺，在收到中标通知书后3个工作日内向招标人提供可行的施工组织设计文件，且我方保证在工程施工中我方派出的工程技术管理人员及工人可满足本项目的需求，否则招标人可按合同的相关条款对我方进行处罚。</w:t>
      </w:r>
    </w:p>
    <w:p>
      <w:pPr>
        <w:widowControl/>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7.我方承诺，本项目拟委派的项目负责人没有在其他在建项目中任施工单位项目负责人，本项目拟派的专职安全员没有在其他在建项目中任职。</w:t>
      </w:r>
    </w:p>
    <w:p>
      <w:pPr>
        <w:widowControl/>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8.我方承诺，严格按照上述1～7项要求办理相关工作，若不能按上述1～7项要求办理相关工作，我方自动放弃中标人资格和同意接受相关条款处罚。</w:t>
      </w:r>
    </w:p>
    <w:p>
      <w:pPr>
        <w:spacing w:before="50" w:after="50" w:line="52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9.合同签订负责人和项目负责人保持电话联系畅通。</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投标单位（盖公章）：</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法定代表人（签字或盖章）：</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项目负责人（签名或盖章）：</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项目负责人联系电话：</w:t>
      </w:r>
    </w:p>
    <w:p>
      <w:pPr>
        <w:spacing w:line="460" w:lineRule="exact"/>
        <w:rPr>
          <w:rFonts w:ascii="宋体" w:hAnsi="宋体" w:cs="宋体"/>
          <w:color w:val="auto"/>
          <w:szCs w:val="21"/>
          <w:highlight w:val="none"/>
        </w:rPr>
      </w:pPr>
      <w:r>
        <w:rPr>
          <w:rFonts w:hint="eastAsia" w:ascii="宋体" w:hAnsi="宋体" w:cs="宋体"/>
          <w:color w:val="auto"/>
          <w:szCs w:val="21"/>
          <w:highlight w:val="none"/>
        </w:rPr>
        <w:t>合同签订负责人（签名或盖章）：</w:t>
      </w:r>
    </w:p>
    <w:p>
      <w:pPr>
        <w:spacing w:line="460" w:lineRule="exact"/>
        <w:rPr>
          <w:rFonts w:ascii="宋体" w:hAnsi="宋体" w:cs="宋体"/>
          <w:color w:val="auto"/>
          <w:highlight w:val="none"/>
        </w:rPr>
      </w:pPr>
      <w:r>
        <w:rPr>
          <w:rFonts w:hint="eastAsia" w:ascii="宋体" w:hAnsi="宋体" w:cs="宋体"/>
          <w:color w:val="auto"/>
          <w:szCs w:val="21"/>
          <w:highlight w:val="none"/>
        </w:rPr>
        <w:t>合同签订负责人联系电话：</w:t>
      </w:r>
    </w:p>
    <w:p>
      <w:pPr>
        <w:pStyle w:val="268"/>
        <w:spacing w:line="460" w:lineRule="exact"/>
        <w:ind w:right="518" w:firstLine="5880" w:firstLineChars="2800"/>
        <w:rPr>
          <w:rFonts w:ascii="宋体" w:hAnsi="宋体" w:eastAsia="宋体"/>
          <w:color w:val="auto"/>
          <w:sz w:val="21"/>
          <w:szCs w:val="21"/>
          <w:highlight w:val="none"/>
        </w:rPr>
      </w:pPr>
      <w:r>
        <w:rPr>
          <w:rFonts w:hint="eastAsia" w:ascii="宋体" w:hAnsi="宋体" w:eastAsia="宋体"/>
          <w:color w:val="auto"/>
          <w:sz w:val="21"/>
          <w:szCs w:val="21"/>
          <w:highlight w:val="none"/>
        </w:rPr>
        <w:t xml:space="preserve">  年  月  日</w:t>
      </w:r>
    </w:p>
    <w:p>
      <w:pPr>
        <w:pStyle w:val="268"/>
        <w:spacing w:line="240" w:lineRule="auto"/>
        <w:ind w:left="420" w:right="98" w:firstLine="0"/>
        <w:jc w:val="center"/>
        <w:rPr>
          <w:rFonts w:ascii="宋体" w:hAnsi="宋体"/>
          <w:color w:val="auto"/>
          <w:szCs w:val="21"/>
          <w:highlight w:val="none"/>
        </w:rPr>
      </w:pPr>
    </w:p>
    <w:p>
      <w:pPr>
        <w:pStyle w:val="6"/>
        <w:rPr>
          <w:color w:val="auto"/>
          <w:highlight w:val="none"/>
        </w:rPr>
      </w:pPr>
    </w:p>
    <w:p>
      <w:pPr>
        <w:pStyle w:val="6"/>
        <w:rPr>
          <w:color w:val="auto"/>
          <w:highlight w:val="none"/>
        </w:rPr>
      </w:pPr>
    </w:p>
    <w:p>
      <w:pPr>
        <w:jc w:val="center"/>
        <w:rPr>
          <w:rFonts w:ascii="宋体" w:hAnsi="宋体"/>
          <w:color w:val="auto"/>
          <w:sz w:val="30"/>
          <w:szCs w:val="30"/>
          <w:highlight w:val="none"/>
        </w:rPr>
      </w:pPr>
      <w:r>
        <w:rPr>
          <w:rFonts w:hint="eastAsia" w:ascii="宋体" w:hAnsi="宋体"/>
          <w:b/>
          <w:color w:val="auto"/>
          <w:sz w:val="30"/>
          <w:szCs w:val="30"/>
          <w:highlight w:val="none"/>
        </w:rPr>
        <w:t>危险性较大的分部分项工程清单及超过一定规模的危险性较大的分部分项工程清单</w:t>
      </w:r>
    </w:p>
    <w:p>
      <w:pPr>
        <w:pStyle w:val="104"/>
        <w:numPr>
          <w:ilvl w:val="0"/>
          <w:numId w:val="6"/>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根据中华人民共和国住房和城乡建设部令第37号《危险性较大的分部分项工程安全管理规定》（以下简称“37号文”），投标人在投标时须补充完善危大工程清单并明确相应的安全管理措施。</w:t>
      </w:r>
    </w:p>
    <w:p>
      <w:pPr>
        <w:pStyle w:val="104"/>
        <w:numPr>
          <w:ilvl w:val="0"/>
          <w:numId w:val="6"/>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招标人根据设计文件的要求及37号文的规定列出“危险性较大的分部分项工程清单及超过一定规模的危险性较大的分部分项工程清单”中与本招标项目相关的清单项，具体详见第5点“打</w:t>
      </w:r>
      <w:r>
        <w:rPr>
          <w:rFonts w:hint="eastAsia" w:ascii="宋体" w:hAnsi="宋体"/>
          <w:color w:val="auto"/>
          <w:szCs w:val="36"/>
          <w:highlight w:val="none"/>
        </w:rPr>
        <w:t>√”标识。</w:t>
      </w:r>
    </w:p>
    <w:p>
      <w:pPr>
        <w:pStyle w:val="104"/>
        <w:numPr>
          <w:ilvl w:val="0"/>
          <w:numId w:val="7"/>
        </w:numPr>
        <w:autoSpaceDE w:val="0"/>
        <w:autoSpaceDN w:val="0"/>
        <w:adjustRightInd w:val="0"/>
        <w:spacing w:before="156" w:after="156"/>
        <w:ind w:firstLineChars="0"/>
        <w:jc w:val="left"/>
        <w:rPr>
          <w:rFonts w:ascii="宋体" w:hAnsi="宋体"/>
          <w:color w:val="auto"/>
          <w:szCs w:val="36"/>
          <w:highlight w:val="none"/>
        </w:rPr>
      </w:pPr>
      <w:r>
        <w:rPr>
          <w:rFonts w:hint="eastAsia" w:ascii="宋体" w:hAnsi="宋体"/>
          <w:color w:val="auto"/>
          <w:szCs w:val="28"/>
          <w:highlight w:val="none"/>
        </w:rPr>
        <w:t>投标单位同意建设单位在清单中标识的该项请在对应项打“</w:t>
      </w:r>
      <w:r>
        <w:rPr>
          <w:rFonts w:hint="eastAsia" w:ascii="宋体" w:hAnsi="宋体"/>
          <w:color w:val="auto"/>
          <w:szCs w:val="36"/>
          <w:highlight w:val="none"/>
        </w:rPr>
        <w:t>√”标识，并与投标文件中提供相应的安全管理措施。</w:t>
      </w:r>
    </w:p>
    <w:p>
      <w:pPr>
        <w:pStyle w:val="104"/>
        <w:numPr>
          <w:ilvl w:val="0"/>
          <w:numId w:val="7"/>
        </w:numPr>
        <w:autoSpaceDE w:val="0"/>
        <w:autoSpaceDN w:val="0"/>
        <w:adjustRightInd w:val="0"/>
        <w:spacing w:before="156" w:after="156"/>
        <w:ind w:firstLineChars="0"/>
        <w:jc w:val="left"/>
        <w:rPr>
          <w:rFonts w:ascii="宋体" w:hAnsi="宋体"/>
          <w:color w:val="auto"/>
          <w:szCs w:val="36"/>
          <w:highlight w:val="none"/>
        </w:rPr>
      </w:pPr>
      <w:r>
        <w:rPr>
          <w:rFonts w:hint="eastAsia" w:ascii="宋体" w:hAnsi="宋体"/>
          <w:color w:val="auto"/>
          <w:szCs w:val="28"/>
          <w:highlight w:val="none"/>
        </w:rPr>
        <w:t>投标单位对清单中认为需要补充的该项请在对应项打“</w:t>
      </w:r>
      <w:r>
        <w:rPr>
          <w:rFonts w:hint="eastAsia" w:ascii="宋体" w:hAnsi="宋体"/>
          <w:color w:val="auto"/>
          <w:szCs w:val="36"/>
          <w:highlight w:val="none"/>
        </w:rPr>
        <w:t>√”标识，并与投标文件中提供相应的安全管理措施。</w:t>
      </w:r>
    </w:p>
    <w:p>
      <w:pPr>
        <w:pStyle w:val="104"/>
        <w:numPr>
          <w:ilvl w:val="0"/>
          <w:numId w:val="7"/>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36"/>
          <w:highlight w:val="none"/>
        </w:rPr>
        <w:t>投标单位不同意建设单位</w:t>
      </w:r>
      <w:r>
        <w:rPr>
          <w:rFonts w:hint="eastAsia" w:ascii="宋体" w:hAnsi="宋体"/>
          <w:color w:val="auto"/>
          <w:szCs w:val="28"/>
          <w:highlight w:val="none"/>
        </w:rPr>
        <w:t>在清单中标识的该项</w:t>
      </w:r>
      <w:r>
        <w:rPr>
          <w:rFonts w:hint="eastAsia" w:ascii="宋体" w:hAnsi="宋体"/>
          <w:color w:val="auto"/>
          <w:szCs w:val="36"/>
          <w:highlight w:val="none"/>
        </w:rPr>
        <w:t>请在对应项打“×”标识，并在备注栏填上相关说明。</w:t>
      </w:r>
    </w:p>
    <w:p>
      <w:pPr>
        <w:pStyle w:val="104"/>
        <w:numPr>
          <w:ilvl w:val="0"/>
          <w:numId w:val="6"/>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投标单位应当在投标时根据招标人提供的下述第5点清单，在投标施工组织中编制专项施工方案。</w:t>
      </w:r>
    </w:p>
    <w:p>
      <w:pPr>
        <w:pStyle w:val="104"/>
        <w:numPr>
          <w:ilvl w:val="0"/>
          <w:numId w:val="6"/>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pStyle w:val="104"/>
        <w:numPr>
          <w:ilvl w:val="0"/>
          <w:numId w:val="6"/>
        </w:numPr>
        <w:autoSpaceDE w:val="0"/>
        <w:autoSpaceDN w:val="0"/>
        <w:adjustRightInd w:val="0"/>
        <w:spacing w:before="156" w:after="156"/>
        <w:ind w:firstLineChars="0"/>
        <w:jc w:val="left"/>
        <w:rPr>
          <w:rFonts w:ascii="宋体" w:hAnsi="宋体"/>
          <w:color w:val="auto"/>
          <w:szCs w:val="28"/>
          <w:highlight w:val="none"/>
        </w:rPr>
      </w:pPr>
      <w:r>
        <w:rPr>
          <w:rFonts w:hint="eastAsia" w:ascii="宋体" w:hAnsi="宋体"/>
          <w:color w:val="auto"/>
          <w:szCs w:val="28"/>
          <w:highlight w:val="none"/>
        </w:rPr>
        <w:t>危险性较大的分部分项工程清单及超过一定规模的危险性较大的分部分项工程清单：</w:t>
      </w:r>
    </w:p>
    <w:tbl>
      <w:tblPr>
        <w:tblStyle w:val="50"/>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0"/>
        <w:gridCol w:w="1368"/>
        <w:gridCol w:w="1284"/>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Cs w:val="21"/>
                <w:highlight w:val="none"/>
              </w:rPr>
            </w:pPr>
            <w:r>
              <w:rPr>
                <w:rFonts w:hint="eastAsia" w:ascii="宋体" w:hAnsi="宋体" w:cs="宋体"/>
                <w:b/>
                <w:color w:val="auto"/>
                <w:szCs w:val="21"/>
                <w:highlight w:val="none"/>
              </w:rPr>
              <w:t>一、危险性较大的分部分项工程清单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建设单位</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投标单位</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一、基坑支护</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（一）开挖深度超过3m（含3m）的基坑（槽）的土方开挖、支护、降水工程。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（二）开挖深度虽未超过3m，但地质条件、周围环境和地下管线复杂，或影响毗邻建、构筑物安全的基坑（槽）的土方开挖、支护、降水工程。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（二）采用起重机械进行安装的工程。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（三）起重机械安装和拆卸工程。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（一）搭设高度24m及以上的落地式钢管脚手架工程（包括采光井、电梯井脚手架）。</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（二）附着式升降脚手架工程。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（三）悬挑式脚手架工程。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（四）高处作业吊篮。</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（五）卸料平台、操作平台工程。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（六）异型脚手架工程。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可能影响行人、交通、电力设施、通讯设施或其它建、构筑物安全的拆除工程。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　六、暗挖工程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七、其它</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（一）水下作业工程。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（二）装配式建筑混凝土预制构件安装工程。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（三）采用新技术、新工艺、新材料、新设备可能影响工程施工安全，尚无国家、行业及地方技术标准的分部分项工程。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vAlign w:val="center"/>
          </w:tcPr>
          <w:p>
            <w:pPr>
              <w:widowControl/>
              <w:spacing w:line="360" w:lineRule="atLeast"/>
              <w:rPr>
                <w:rFonts w:ascii="宋体" w:hAnsi="宋体" w:cs="宋体"/>
                <w:b/>
                <w:color w:val="auto"/>
                <w:szCs w:val="21"/>
                <w:highlight w:val="none"/>
              </w:rPr>
            </w:pPr>
            <w:r>
              <w:rPr>
                <w:rFonts w:hint="eastAsia" w:ascii="宋体" w:hAnsi="宋体" w:cs="宋体"/>
                <w:b/>
                <w:bCs/>
                <w:color w:val="auto"/>
                <w:szCs w:val="21"/>
                <w:highlight w:val="none"/>
              </w:rPr>
              <w:t>二、超过一定规模的危险性较大的分部分项工程清单</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一、深基坑工程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开挖深度超过5m（含5m）的基坑（槽）的土方开挖、支护、降水工程。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二、模板工程及支撑体系</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（一）各类工具式模板工程：包括滑模、爬模、飞模、隧道模等工程。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（二）混凝土模板支撑工程：搭设高度8m及以上，或搭设跨度18m及以上，或施工总荷载（设计值）15kN/m2及以上，或集中线荷载（设计值）20kN/m及以上。</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（三）承重支撑体系：用于钢结构安装等满堂支撑体系，承受单点集中荷载7kN及以上。</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　三、起重吊装及起重机械安装拆卸工程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（一）采用非常规起重设备、方法，且单件起吊重量在100kN及以上的起重吊装工程。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（二）起重量300kN及以上，或搭设总高度200m及以上，或搭设基础标高在200m及以上的起重机械安装和拆卸工程。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四、脚手架工程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（一）搭设高度50m及以上的落地式钢管脚手架工程。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（二）提升高度在150m及以上的附着式升降脚手架工程或附着式升降操作平台工程。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（三）分段架体搭设高度20m及以上的悬挑式脚手架工程。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五、拆除工程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（一）码头、桥梁、高架、烟囱、水塔或拆除中容易引起有毒有害气（液）体或粉尘扩散、易燃易爆事故发生的特殊建、构筑物的拆除工程。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（二）文物保护建筑、优秀历史建筑或历史文化风貌区影响范围内的拆除工程。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六、暗挖工程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采用矿山法、盾构法、顶管法施工的隧道、洞室工程。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七、其它</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（一）施工高度50m及以上的建筑幕墙安装工程。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（二）跨度36m及以上的钢结构安装工程，或跨度60m及以上的网架和索膜结构安装工程。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（三）开挖深度16m及以上的人工挖孔桩工程。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（四）水下作业工程。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（五）重量1000kN及以上的大型结构整体顶升、平移、转体等施工工艺。</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40" w:type="dxa"/>
            <w:tcBorders>
              <w:top w:val="single" w:color="auto" w:sz="4" w:space="0"/>
              <w:left w:val="single" w:color="auto" w:sz="4" w:space="0"/>
              <w:bottom w:val="single" w:color="auto" w:sz="4" w:space="0"/>
              <w:right w:val="single" w:color="auto" w:sz="4" w:space="0"/>
            </w:tcBorders>
          </w:tcPr>
          <w:p>
            <w:pPr>
              <w:jc w:val="left"/>
              <w:rPr>
                <w:rFonts w:ascii="宋体" w:hAnsi="宋体" w:cs="宋体"/>
                <w:color w:val="auto"/>
                <w:szCs w:val="21"/>
                <w:highlight w:val="none"/>
              </w:rPr>
            </w:pPr>
            <w:r>
              <w:rPr>
                <w:rFonts w:hint="eastAsia" w:ascii="宋体" w:hAnsi="宋体" w:cs="宋体"/>
                <w:color w:val="auto"/>
                <w:szCs w:val="21"/>
                <w:highlight w:val="none"/>
              </w:rPr>
              <w:t>（六）采用新技术、新工艺、新材料、新设备可能影响工程施工安全，尚无国家、行业及地方技术标准的分部分项工程。</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12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r>
              <w:rPr>
                <w:rFonts w:hint="eastAsia" w:ascii="宋体" w:hAnsi="宋体" w:cs="宋体"/>
                <w:color w:val="auto"/>
                <w:szCs w:val="21"/>
                <w:highlight w:val="none"/>
              </w:rPr>
              <w:t>(    )</w:t>
            </w:r>
          </w:p>
        </w:tc>
        <w:tc>
          <w:tcPr>
            <w:tcW w:w="9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Cs w:val="21"/>
                <w:highlight w:val="none"/>
              </w:rPr>
            </w:pPr>
          </w:p>
        </w:tc>
      </w:tr>
    </w:tbl>
    <w:p>
      <w:pPr>
        <w:spacing w:line="360" w:lineRule="auto"/>
        <w:rPr>
          <w:rFonts w:ascii="宋体" w:hAnsi="宋体" w:cs="宋体"/>
          <w:color w:val="auto"/>
          <w:sz w:val="24"/>
          <w:szCs w:val="20"/>
          <w:highlight w:val="none"/>
          <w:u w:val="single"/>
        </w:rPr>
      </w:pPr>
      <w:r>
        <w:rPr>
          <w:rFonts w:hint="eastAsia" w:ascii="宋体" w:hAnsi="宋体" w:cs="宋体"/>
          <w:color w:val="auto"/>
          <w:sz w:val="24"/>
          <w:szCs w:val="20"/>
          <w:highlight w:val="none"/>
        </w:rPr>
        <w:t>投标人名称（盖法人公章）：</w:t>
      </w:r>
    </w:p>
    <w:p>
      <w:pPr>
        <w:spacing w:line="360" w:lineRule="auto"/>
        <w:rPr>
          <w:rFonts w:ascii="宋体" w:hAnsi="宋体" w:cs="宋体"/>
          <w:color w:val="auto"/>
          <w:sz w:val="24"/>
          <w:szCs w:val="20"/>
          <w:highlight w:val="none"/>
          <w:u w:val="single"/>
        </w:rPr>
      </w:pPr>
      <w:r>
        <w:rPr>
          <w:rFonts w:hint="eastAsia" w:ascii="宋体" w:hAnsi="宋体" w:cs="宋体"/>
          <w:color w:val="auto"/>
          <w:sz w:val="24"/>
          <w:szCs w:val="20"/>
          <w:highlight w:val="none"/>
        </w:rPr>
        <w:t>法定代表人或被授权人（签字或盖章）：</w:t>
      </w:r>
    </w:p>
    <w:p>
      <w:pPr>
        <w:spacing w:line="360" w:lineRule="auto"/>
        <w:jc w:val="left"/>
        <w:rPr>
          <w:rStyle w:val="68"/>
          <w:color w:val="auto"/>
          <w:highlight w:val="none"/>
        </w:rPr>
      </w:pPr>
      <w:r>
        <w:rPr>
          <w:rFonts w:hint="eastAsia" w:ascii="宋体" w:hAnsi="宋体" w:cs="宋体"/>
          <w:color w:val="auto"/>
          <w:sz w:val="24"/>
          <w:szCs w:val="20"/>
          <w:highlight w:val="none"/>
        </w:rPr>
        <w:t>日期：   年  月  日</w:t>
      </w:r>
    </w:p>
    <w:p>
      <w:pPr>
        <w:widowControl/>
        <w:jc w:val="left"/>
        <w:rPr>
          <w:color w:val="auto"/>
          <w:kern w:val="0"/>
          <w:sz w:val="20"/>
          <w:szCs w:val="20"/>
          <w:highlight w:val="none"/>
        </w:rPr>
      </w:pPr>
      <w:r>
        <w:rPr>
          <w:color w:val="auto"/>
          <w:highlight w:val="none"/>
        </w:rPr>
        <w:br w:type="page"/>
      </w:r>
    </w:p>
    <w:p>
      <w:pPr>
        <w:pStyle w:val="2"/>
        <w:rPr>
          <w:rFonts w:ascii="仿宋_GB2312" w:hAnsi="Times New Roman" w:eastAsia="仿宋_GB2312"/>
          <w:color w:val="auto"/>
          <w:sz w:val="32"/>
          <w:szCs w:val="32"/>
          <w:highlight w:val="none"/>
        </w:rPr>
      </w:pPr>
      <w:r>
        <w:rPr>
          <w:rFonts w:hint="eastAsia" w:ascii="仿宋_GB2312" w:hAnsi="Times New Roman" w:eastAsia="仿宋_GB2312"/>
          <w:color w:val="auto"/>
          <w:sz w:val="32"/>
          <w:szCs w:val="32"/>
          <w:highlight w:val="none"/>
        </w:rPr>
        <w:t>附件1</w:t>
      </w:r>
    </w:p>
    <w:p>
      <w:pPr>
        <w:pStyle w:val="2"/>
        <w:spacing w:line="560" w:lineRule="exact"/>
        <w:ind w:firstLine="640" w:firstLineChars="200"/>
        <w:jc w:val="center"/>
        <w:rPr>
          <w:rFonts w:ascii="仿宋_GB2312" w:hAnsi="Times New Roman" w:eastAsia="仿宋_GB2312"/>
          <w:color w:val="auto"/>
          <w:sz w:val="32"/>
          <w:szCs w:val="32"/>
          <w:highlight w:val="none"/>
        </w:rPr>
      </w:pPr>
      <w:r>
        <w:rPr>
          <w:rFonts w:hint="eastAsia" w:ascii="黑体" w:hAnsi="黑体" w:eastAsia="黑体" w:cs="华文仿宋"/>
          <w:color w:val="auto"/>
          <w:sz w:val="32"/>
          <w:szCs w:val="32"/>
          <w:highlight w:val="none"/>
          <w:lang w:val="zh-CN"/>
        </w:rPr>
        <w:t>关于投标保证金的承诺</w:t>
      </w:r>
    </w:p>
    <w:p>
      <w:pPr>
        <w:pStyle w:val="2"/>
        <w:spacing w:line="560" w:lineRule="exact"/>
        <w:ind w:firstLine="640" w:firstLineChars="200"/>
        <w:rPr>
          <w:rFonts w:ascii="仿宋_GB2312" w:hAnsi="Times New Roman" w:eastAsia="仿宋_GB2312"/>
          <w:color w:val="auto"/>
          <w:sz w:val="32"/>
          <w:szCs w:val="32"/>
          <w:highlight w:val="none"/>
        </w:rPr>
      </w:pPr>
    </w:p>
    <w:p>
      <w:pPr>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本招标项目招标人及招标监管机构：</w:t>
      </w:r>
    </w:p>
    <w:p>
      <w:pPr>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本公司就参加</w:t>
      </w:r>
      <w:r>
        <w:rPr>
          <w:rFonts w:hint="eastAsia" w:ascii="仿宋_GB2312" w:hAnsi="仿宋_GB2312" w:eastAsia="仿宋_GB2312" w:cs="仿宋_GB2312"/>
          <w:color w:val="auto"/>
          <w:sz w:val="32"/>
          <w:szCs w:val="32"/>
          <w:highlight w:val="none"/>
          <w:u w:val="single"/>
        </w:rPr>
        <w:t xml:space="preserve">      （招标项目名称）     </w:t>
      </w:r>
      <w:r>
        <w:rPr>
          <w:rFonts w:hint="eastAsia" w:ascii="仿宋_GB2312" w:hAnsi="仿宋_GB2312" w:eastAsia="仿宋_GB2312" w:cs="仿宋_GB2312"/>
          <w:color w:val="auto"/>
          <w:sz w:val="32"/>
          <w:szCs w:val="32"/>
          <w:highlight w:val="none"/>
        </w:rPr>
        <w:t>项目的投标工作，作出郑重声明：</w:t>
      </w:r>
    </w:p>
    <w:p>
      <w:pPr>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本公司满足招标文件中免交投标保证金的相关要求，在投标时未提交投标保证金。我司理解在投标时免交投标保证金是为企业减负的举措，并未免除我司的投标义务，本公司</w:t>
      </w:r>
      <w:r>
        <w:rPr>
          <w:rFonts w:hint="eastAsia" w:ascii="仿宋_GB2312" w:hAnsi="仿宋" w:eastAsia="仿宋_GB2312" w:cs="华文仿宋"/>
          <w:color w:val="auto"/>
          <w:kern w:val="0"/>
          <w:sz w:val="32"/>
          <w:szCs w:val="32"/>
          <w:highlight w:val="none"/>
          <w:lang w:val="zh-CN"/>
        </w:rPr>
        <w:t>一旦发生符合招标文件规定的不予退还投标保证金情形的，将</w:t>
      </w:r>
      <w:r>
        <w:rPr>
          <w:rFonts w:hint="eastAsia" w:ascii="仿宋_GB2312" w:hAnsi="仿宋_GB2312" w:eastAsia="仿宋_GB2312" w:cs="仿宋_GB2312"/>
          <w:color w:val="auto"/>
          <w:sz w:val="32"/>
          <w:szCs w:val="32"/>
          <w:highlight w:val="none"/>
        </w:rPr>
        <w:t>按照招标人的要求，在规定的时间内向招标人足额补交投标保证金。</w:t>
      </w:r>
    </w:p>
    <w:p>
      <w:pPr>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本公司违反上述保证的，将被视为虚假承诺，按相关规定进行信用记录。本公司对失信行为产生的一切后果已知悉，并承担由此产生的相应责任。</w:t>
      </w:r>
    </w:p>
    <w:p>
      <w:pPr>
        <w:ind w:firstLine="640" w:firstLineChars="2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特此承诺。</w:t>
      </w:r>
    </w:p>
    <w:p>
      <w:pPr>
        <w:ind w:firstLine="640" w:firstLineChars="200"/>
        <w:jc w:val="left"/>
        <w:rPr>
          <w:rFonts w:ascii="仿宋_GB2312" w:hAnsi="仿宋_GB2312" w:eastAsia="仿宋_GB2312" w:cs="仿宋_GB2312"/>
          <w:color w:val="auto"/>
          <w:sz w:val="32"/>
          <w:szCs w:val="32"/>
          <w:highlight w:val="none"/>
        </w:rPr>
      </w:pPr>
    </w:p>
    <w:p>
      <w:pPr>
        <w:ind w:firstLine="640" w:firstLineChars="200"/>
        <w:jc w:val="left"/>
        <w:rPr>
          <w:rFonts w:ascii="仿宋_GB2312" w:hAnsi="仿宋_GB2312" w:eastAsia="仿宋_GB2312" w:cs="仿宋_GB2312"/>
          <w:color w:val="auto"/>
          <w:sz w:val="32"/>
          <w:szCs w:val="32"/>
          <w:highlight w:val="none"/>
        </w:rPr>
      </w:pPr>
    </w:p>
    <w:p>
      <w:pPr>
        <w:ind w:firstLine="640" w:firstLineChars="200"/>
        <w:jc w:val="left"/>
        <w:rPr>
          <w:rFonts w:ascii="仿宋_GB2312" w:hAnsi="仿宋_GB2312" w:eastAsia="仿宋_GB2312" w:cs="仿宋_GB2312"/>
          <w:color w:val="auto"/>
          <w:sz w:val="32"/>
          <w:szCs w:val="32"/>
          <w:highlight w:val="none"/>
        </w:rPr>
      </w:pPr>
    </w:p>
    <w:p>
      <w:pPr>
        <w:ind w:firstLine="4160" w:firstLineChars="1300"/>
        <w:jc w:val="left"/>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投标人：　　（盖章）</w:t>
      </w:r>
    </w:p>
    <w:p>
      <w:pPr>
        <w:pStyle w:val="6"/>
        <w:ind w:right="1280" w:firstLine="419" w:firstLineChars="131"/>
        <w:jc w:val="center"/>
        <w:rPr>
          <w:color w:val="auto"/>
          <w:highlight w:val="none"/>
        </w:rPr>
      </w:pPr>
      <w:r>
        <w:rPr>
          <w:rFonts w:hint="eastAsia" w:ascii="仿宋_GB2312" w:hAnsi="仿宋_GB2312" w:eastAsia="仿宋_GB2312" w:cs="仿宋_GB2312"/>
          <w:color w:val="auto"/>
          <w:sz w:val="32"/>
          <w:szCs w:val="32"/>
          <w:highlight w:val="none"/>
        </w:rPr>
        <w:t xml:space="preserve">              </w:t>
      </w:r>
      <w:r>
        <w:rPr>
          <w:rFonts w:ascii="仿宋_GB2312" w:hAnsi="仿宋_GB2312" w:eastAsia="仿宋_GB2312" w:cs="仿宋_GB2312"/>
          <w:color w:val="auto"/>
          <w:sz w:val="32"/>
          <w:szCs w:val="32"/>
          <w:highlight w:val="none"/>
        </w:rPr>
        <w:t xml:space="preserve">日  期：    </w:t>
      </w:r>
    </w:p>
    <w:p>
      <w:pPr>
        <w:rPr>
          <w:rStyle w:val="68"/>
          <w:color w:val="auto"/>
          <w:highlight w:val="none"/>
        </w:rPr>
      </w:pPr>
    </w:p>
    <w:p>
      <w:pPr>
        <w:pStyle w:val="3"/>
        <w:rPr>
          <w:rStyle w:val="68"/>
          <w:b/>
          <w:color w:val="auto"/>
          <w:highlight w:val="none"/>
        </w:rPr>
      </w:pPr>
      <w:r>
        <w:rPr>
          <w:rStyle w:val="68"/>
          <w:rFonts w:hint="eastAsia"/>
          <w:b/>
          <w:color w:val="auto"/>
          <w:highlight w:val="none"/>
        </w:rPr>
        <w:t>第五章</w:t>
      </w:r>
      <w:r>
        <w:rPr>
          <w:rStyle w:val="68"/>
          <w:b/>
          <w:color w:val="auto"/>
          <w:highlight w:val="none"/>
        </w:rPr>
        <w:t xml:space="preserve">  </w:t>
      </w:r>
      <w:r>
        <w:rPr>
          <w:rStyle w:val="68"/>
          <w:rFonts w:hint="eastAsia"/>
          <w:b/>
          <w:color w:val="auto"/>
          <w:highlight w:val="none"/>
        </w:rPr>
        <w:t>技术条件（工程建设标准）</w:t>
      </w:r>
    </w:p>
    <w:bookmarkEnd w:id="18"/>
    <w:p>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施工组织设计要点</w:t>
      </w:r>
    </w:p>
    <w:p>
      <w:pPr>
        <w:jc w:val="center"/>
        <w:rPr>
          <w:rFonts w:ascii="宋体" w:hAnsi="宋体"/>
          <w:b/>
          <w:bCs/>
          <w:color w:val="auto"/>
          <w:spacing w:val="20"/>
          <w:sz w:val="30"/>
          <w:szCs w:val="30"/>
          <w:highlight w:val="none"/>
        </w:rPr>
      </w:pPr>
      <w:r>
        <w:rPr>
          <w:rFonts w:hint="eastAsia" w:ascii="宋体" w:hAnsi="宋体"/>
          <w:b/>
          <w:bCs/>
          <w:color w:val="auto"/>
          <w:spacing w:val="20"/>
          <w:sz w:val="30"/>
          <w:szCs w:val="30"/>
          <w:highlight w:val="none"/>
        </w:rPr>
        <w:t>第一节  编制要求</w:t>
      </w:r>
    </w:p>
    <w:p>
      <w:pPr>
        <w:spacing w:line="360" w:lineRule="auto"/>
        <w:rPr>
          <w:rFonts w:ascii="宋体" w:hAnsi="宋体"/>
          <w:spacing w:val="20"/>
          <w:sz w:val="24"/>
        </w:rPr>
      </w:pPr>
      <w:r>
        <w:rPr>
          <w:rFonts w:hint="eastAsia" w:ascii="宋体" w:hAnsi="宋体"/>
          <w:spacing w:val="20"/>
          <w:sz w:val="24"/>
        </w:rPr>
        <w:t>一、编制依据</w:t>
      </w:r>
    </w:p>
    <w:p>
      <w:pPr>
        <w:spacing w:line="360" w:lineRule="auto"/>
        <w:rPr>
          <w:rFonts w:ascii="宋体" w:hAnsi="宋体"/>
          <w:spacing w:val="20"/>
          <w:sz w:val="24"/>
        </w:rPr>
      </w:pPr>
      <w:r>
        <w:rPr>
          <w:rFonts w:hint="eastAsia" w:ascii="宋体" w:hAnsi="宋体"/>
          <w:spacing w:val="20"/>
          <w:sz w:val="24"/>
        </w:rPr>
        <w:t>1、本工程招标文件的有关要求。</w:t>
      </w:r>
    </w:p>
    <w:p>
      <w:pPr>
        <w:spacing w:line="360" w:lineRule="auto"/>
        <w:rPr>
          <w:rFonts w:ascii="宋体" w:hAnsi="宋体"/>
          <w:spacing w:val="20"/>
          <w:sz w:val="24"/>
        </w:rPr>
      </w:pPr>
      <w:r>
        <w:rPr>
          <w:rFonts w:hint="eastAsia" w:ascii="宋体" w:hAnsi="宋体"/>
          <w:spacing w:val="20"/>
          <w:sz w:val="24"/>
        </w:rPr>
        <w:t>2、国家、广东省、广州市、番禺区有关施工验收规范、质量标准和操作规程等要求。</w:t>
      </w:r>
    </w:p>
    <w:p>
      <w:pPr>
        <w:spacing w:line="360" w:lineRule="auto"/>
        <w:rPr>
          <w:rFonts w:ascii="宋体" w:hAnsi="宋体"/>
          <w:spacing w:val="20"/>
          <w:sz w:val="24"/>
        </w:rPr>
      </w:pPr>
      <w:r>
        <w:rPr>
          <w:rFonts w:hint="eastAsia" w:ascii="宋体" w:hAnsi="宋体"/>
          <w:spacing w:val="20"/>
          <w:sz w:val="24"/>
        </w:rPr>
        <w:t>3、施工图纸及有关资料。</w:t>
      </w:r>
    </w:p>
    <w:p>
      <w:pPr>
        <w:spacing w:line="360" w:lineRule="auto"/>
        <w:rPr>
          <w:rFonts w:ascii="宋体" w:hAnsi="宋体"/>
          <w:spacing w:val="20"/>
          <w:sz w:val="24"/>
        </w:rPr>
      </w:pPr>
      <w:r>
        <w:rPr>
          <w:rFonts w:hint="eastAsia" w:ascii="宋体" w:hAnsi="宋体"/>
          <w:spacing w:val="20"/>
          <w:sz w:val="24"/>
        </w:rPr>
        <w:t>二、具体要求</w:t>
      </w:r>
    </w:p>
    <w:p>
      <w:pPr>
        <w:spacing w:line="360" w:lineRule="auto"/>
        <w:rPr>
          <w:rFonts w:ascii="宋体" w:hAnsi="宋体"/>
          <w:spacing w:val="20"/>
          <w:sz w:val="24"/>
        </w:rPr>
      </w:pPr>
      <w:r>
        <w:rPr>
          <w:rFonts w:hint="eastAsia" w:ascii="宋体" w:hAnsi="宋体"/>
          <w:spacing w:val="20"/>
          <w:sz w:val="24"/>
        </w:rPr>
        <w:t>1、“重合同，守信誉”。按本工程规定的总工期，编制出完善的施工进度控制计划，在投标承诺了工期内完成工程任务。</w:t>
      </w:r>
    </w:p>
    <w:p>
      <w:pPr>
        <w:spacing w:line="360" w:lineRule="auto"/>
        <w:rPr>
          <w:rFonts w:ascii="宋体" w:hAnsi="宋体"/>
          <w:spacing w:val="20"/>
          <w:sz w:val="24"/>
        </w:rPr>
      </w:pPr>
      <w:r>
        <w:rPr>
          <w:rFonts w:hint="eastAsia" w:ascii="宋体" w:hAnsi="宋体"/>
          <w:spacing w:val="20"/>
          <w:sz w:val="24"/>
        </w:rPr>
        <w:t>2、发挥技术优势，优化管理水平。安排经验丰富的优秀管理人员和高素质的工人参加本项目施工，采用先进的技术设备，优化施工管理，充分发挥施工单位在管理和技术方面的优势。</w:t>
      </w:r>
    </w:p>
    <w:p>
      <w:pPr>
        <w:spacing w:line="360" w:lineRule="auto"/>
        <w:rPr>
          <w:rFonts w:ascii="宋体" w:hAnsi="宋体"/>
          <w:spacing w:val="20"/>
          <w:sz w:val="24"/>
        </w:rPr>
      </w:pPr>
    </w:p>
    <w:p>
      <w:pPr>
        <w:jc w:val="center"/>
        <w:rPr>
          <w:rFonts w:ascii="宋体" w:hAnsi="宋体"/>
          <w:b/>
          <w:bCs/>
          <w:spacing w:val="20"/>
          <w:sz w:val="30"/>
          <w:szCs w:val="30"/>
        </w:rPr>
      </w:pPr>
      <w:r>
        <w:rPr>
          <w:rFonts w:hint="eastAsia" w:ascii="宋体" w:hAnsi="宋体"/>
          <w:b/>
          <w:bCs/>
          <w:spacing w:val="20"/>
          <w:sz w:val="30"/>
          <w:szCs w:val="30"/>
        </w:rPr>
        <w:t>第二节  施工要求</w:t>
      </w:r>
    </w:p>
    <w:p>
      <w:pPr>
        <w:spacing w:line="360" w:lineRule="auto"/>
        <w:rPr>
          <w:rFonts w:ascii="宋体" w:hAnsi="宋体"/>
          <w:spacing w:val="20"/>
          <w:sz w:val="24"/>
        </w:rPr>
      </w:pPr>
      <w:r>
        <w:rPr>
          <w:rFonts w:hint="eastAsia" w:ascii="宋体" w:hAnsi="宋体"/>
          <w:spacing w:val="20"/>
          <w:sz w:val="24"/>
        </w:rPr>
        <w:t>一、施工机构及现场管理要求</w:t>
      </w:r>
    </w:p>
    <w:p>
      <w:pPr>
        <w:spacing w:line="360" w:lineRule="auto"/>
        <w:rPr>
          <w:rFonts w:ascii="宋体" w:hAnsi="宋体"/>
          <w:spacing w:val="20"/>
          <w:sz w:val="24"/>
        </w:rPr>
      </w:pPr>
      <w:r>
        <w:rPr>
          <w:rFonts w:hint="eastAsia" w:ascii="宋体" w:hAnsi="宋体"/>
          <w:spacing w:val="20"/>
          <w:sz w:val="24"/>
        </w:rPr>
        <w:t>为把好工程质量、安全、进度关，确保工程质量等级达到合格，要求委派一名项目负责人，一名技术负责人，对工程的质量、安全、进度和成本，实行高效益、有计划的组织、协调和管理。建立健全的施工组织管理机构。</w:t>
      </w:r>
    </w:p>
    <w:p>
      <w:pPr>
        <w:spacing w:line="360" w:lineRule="auto"/>
        <w:rPr>
          <w:rFonts w:ascii="宋体" w:hAnsi="宋体"/>
          <w:spacing w:val="20"/>
          <w:sz w:val="24"/>
        </w:rPr>
      </w:pPr>
      <w:r>
        <w:rPr>
          <w:rFonts w:hint="eastAsia" w:ascii="宋体" w:hAnsi="宋体"/>
          <w:spacing w:val="20"/>
          <w:sz w:val="24"/>
        </w:rPr>
        <w:t>二、施工要求</w:t>
      </w:r>
    </w:p>
    <w:p>
      <w:pPr>
        <w:widowControl/>
        <w:spacing w:line="360" w:lineRule="auto"/>
        <w:jc w:val="left"/>
        <w:rPr>
          <w:rFonts w:ascii="宋体" w:hAnsi="宋体"/>
          <w:spacing w:val="20"/>
          <w:sz w:val="24"/>
        </w:rPr>
      </w:pPr>
      <w:r>
        <w:rPr>
          <w:rFonts w:hint="eastAsia" w:ascii="宋体" w:hAnsi="宋体"/>
          <w:spacing w:val="20"/>
          <w:sz w:val="24"/>
        </w:rPr>
        <w:t>本工程施工要点如下：</w:t>
      </w:r>
    </w:p>
    <w:p>
      <w:pPr>
        <w:spacing w:line="360" w:lineRule="auto"/>
        <w:rPr>
          <w:rFonts w:ascii="宋体" w:hAnsi="宋体"/>
          <w:spacing w:val="20"/>
          <w:sz w:val="24"/>
        </w:rPr>
      </w:pPr>
      <w:r>
        <w:rPr>
          <w:rFonts w:hint="eastAsia" w:ascii="宋体" w:hAnsi="宋体"/>
          <w:spacing w:val="20"/>
          <w:sz w:val="24"/>
        </w:rPr>
        <w:t>1、采用先进的施工技术；</w:t>
      </w:r>
    </w:p>
    <w:p>
      <w:pPr>
        <w:spacing w:line="360" w:lineRule="auto"/>
        <w:rPr>
          <w:rFonts w:ascii="宋体" w:hAnsi="宋体"/>
          <w:spacing w:val="20"/>
          <w:sz w:val="24"/>
        </w:rPr>
      </w:pPr>
      <w:r>
        <w:rPr>
          <w:rFonts w:hint="eastAsia" w:ascii="宋体" w:hAnsi="宋体"/>
          <w:spacing w:val="20"/>
          <w:sz w:val="24"/>
        </w:rPr>
        <w:t>2、投入现代化的施工机械设备；</w:t>
      </w:r>
    </w:p>
    <w:p>
      <w:pPr>
        <w:spacing w:line="360" w:lineRule="auto"/>
        <w:rPr>
          <w:rFonts w:ascii="宋体" w:hAnsi="宋体"/>
          <w:spacing w:val="20"/>
          <w:sz w:val="24"/>
        </w:rPr>
      </w:pPr>
      <w:r>
        <w:rPr>
          <w:rFonts w:hint="eastAsia" w:ascii="宋体" w:hAnsi="宋体"/>
          <w:spacing w:val="20"/>
          <w:sz w:val="24"/>
        </w:rPr>
        <w:t>3、合理的施工方案和先进的施工组织。</w:t>
      </w:r>
    </w:p>
    <w:p>
      <w:pPr>
        <w:spacing w:line="360" w:lineRule="auto"/>
        <w:rPr>
          <w:rFonts w:ascii="宋体" w:hAnsi="宋体"/>
          <w:spacing w:val="20"/>
          <w:sz w:val="24"/>
        </w:rPr>
      </w:pPr>
      <w:r>
        <w:rPr>
          <w:rFonts w:hint="eastAsia" w:ascii="宋体" w:hAnsi="宋体"/>
          <w:spacing w:val="20"/>
          <w:sz w:val="24"/>
        </w:rPr>
        <w:t>4、施工过程要求</w:t>
      </w:r>
    </w:p>
    <w:p>
      <w:pPr>
        <w:spacing w:line="360" w:lineRule="auto"/>
        <w:rPr>
          <w:rFonts w:ascii="宋体" w:hAnsi="宋体"/>
          <w:spacing w:val="20"/>
          <w:sz w:val="24"/>
        </w:rPr>
      </w:pPr>
      <w:r>
        <w:rPr>
          <w:rFonts w:hint="eastAsia" w:ascii="宋体" w:hAnsi="宋体"/>
          <w:spacing w:val="20"/>
          <w:sz w:val="24"/>
        </w:rPr>
        <w:t>A、严格按照国家、省市、地方施工规范要求进行施工。</w:t>
      </w:r>
    </w:p>
    <w:p>
      <w:pPr>
        <w:spacing w:line="360" w:lineRule="auto"/>
        <w:rPr>
          <w:rFonts w:ascii="宋体" w:hAnsi="宋体"/>
          <w:spacing w:val="20"/>
          <w:sz w:val="24"/>
        </w:rPr>
      </w:pPr>
      <w:r>
        <w:rPr>
          <w:rFonts w:hint="eastAsia" w:ascii="宋体" w:hAnsi="宋体"/>
          <w:spacing w:val="20"/>
          <w:sz w:val="24"/>
        </w:rPr>
        <w:t>B、根据工程进度计划，编制材料订购、质量检测、配方测试，确保材料质量和供应的计划。</w:t>
      </w:r>
    </w:p>
    <w:p>
      <w:pPr>
        <w:spacing w:line="360" w:lineRule="auto"/>
        <w:rPr>
          <w:rFonts w:ascii="宋体" w:hAnsi="宋体"/>
          <w:spacing w:val="20"/>
          <w:sz w:val="24"/>
        </w:rPr>
      </w:pPr>
      <w:r>
        <w:rPr>
          <w:rFonts w:hint="eastAsia" w:ascii="宋体" w:hAnsi="宋体"/>
          <w:spacing w:val="20"/>
          <w:sz w:val="24"/>
        </w:rPr>
        <w:t>三、项目施工目标</w:t>
      </w:r>
    </w:p>
    <w:p>
      <w:pPr>
        <w:spacing w:line="360" w:lineRule="auto"/>
        <w:rPr>
          <w:rFonts w:ascii="宋体" w:hAnsi="宋体"/>
          <w:spacing w:val="20"/>
          <w:sz w:val="24"/>
        </w:rPr>
      </w:pPr>
      <w:r>
        <w:rPr>
          <w:rFonts w:hint="eastAsia" w:ascii="宋体" w:hAnsi="宋体"/>
          <w:spacing w:val="20"/>
          <w:sz w:val="24"/>
        </w:rPr>
        <w:t>1、质量目标。确保工程质量一次验收合格。</w:t>
      </w:r>
    </w:p>
    <w:p>
      <w:pPr>
        <w:spacing w:line="360" w:lineRule="auto"/>
        <w:rPr>
          <w:rFonts w:ascii="宋体" w:hAnsi="宋体"/>
          <w:spacing w:val="20"/>
          <w:sz w:val="24"/>
        </w:rPr>
      </w:pPr>
      <w:r>
        <w:rPr>
          <w:rFonts w:hint="eastAsia" w:ascii="宋体" w:hAnsi="宋体"/>
          <w:spacing w:val="20"/>
          <w:sz w:val="24"/>
        </w:rPr>
        <w:t>2、安全目标。杜绝重大安全事故的发生，控制工伤、轻伤事故在千分之一内。</w:t>
      </w:r>
    </w:p>
    <w:p>
      <w:pPr>
        <w:spacing w:line="360" w:lineRule="auto"/>
        <w:rPr>
          <w:rFonts w:ascii="宋体" w:hAnsi="宋体"/>
          <w:spacing w:val="20"/>
          <w:sz w:val="24"/>
        </w:rPr>
      </w:pPr>
      <w:r>
        <w:rPr>
          <w:rFonts w:hint="eastAsia" w:ascii="宋体" w:hAnsi="宋体"/>
          <w:spacing w:val="20"/>
          <w:sz w:val="24"/>
        </w:rPr>
        <w:t>3、工期目标。</w:t>
      </w:r>
      <w:r>
        <w:rPr>
          <w:rFonts w:hint="eastAsia" w:ascii="宋体" w:hAnsi="宋体"/>
          <w:spacing w:val="20"/>
          <w:sz w:val="24"/>
          <w:szCs w:val="24"/>
        </w:rPr>
        <w:t xml:space="preserve">按招标文件目标工期，包括项目实体及相关资料，并经发包方验收合格。 </w:t>
      </w:r>
    </w:p>
    <w:p>
      <w:pPr>
        <w:spacing w:line="360" w:lineRule="auto"/>
        <w:rPr>
          <w:rFonts w:ascii="宋体" w:hAnsi="宋体"/>
          <w:spacing w:val="20"/>
          <w:sz w:val="24"/>
        </w:rPr>
      </w:pPr>
      <w:r>
        <w:rPr>
          <w:rFonts w:hint="eastAsia" w:ascii="宋体" w:hAnsi="宋体"/>
          <w:spacing w:val="20"/>
        </w:rPr>
        <w:t xml:space="preserve"> </w:t>
      </w:r>
    </w:p>
    <w:p>
      <w:pPr>
        <w:jc w:val="center"/>
        <w:rPr>
          <w:rFonts w:ascii="宋体" w:hAnsi="宋体"/>
          <w:b/>
          <w:bCs/>
          <w:spacing w:val="20"/>
          <w:sz w:val="30"/>
          <w:szCs w:val="30"/>
        </w:rPr>
      </w:pPr>
      <w:r>
        <w:rPr>
          <w:rFonts w:hint="eastAsia" w:ascii="宋体" w:hAnsi="宋体"/>
          <w:b/>
          <w:bCs/>
          <w:spacing w:val="20"/>
          <w:sz w:val="30"/>
          <w:szCs w:val="30"/>
        </w:rPr>
        <w:t>第三节  主要施工方案与施工方法的要求</w:t>
      </w:r>
    </w:p>
    <w:p>
      <w:pPr>
        <w:spacing w:line="360" w:lineRule="auto"/>
        <w:rPr>
          <w:rFonts w:ascii="宋体" w:hAnsi="宋体"/>
          <w:spacing w:val="20"/>
          <w:sz w:val="24"/>
        </w:rPr>
      </w:pPr>
      <w:r>
        <w:rPr>
          <w:rFonts w:hint="eastAsia" w:ascii="宋体" w:hAnsi="宋体"/>
          <w:spacing w:val="20"/>
          <w:sz w:val="24"/>
        </w:rPr>
        <w:t>一、结构施工要求</w:t>
      </w:r>
    </w:p>
    <w:p>
      <w:pPr>
        <w:spacing w:line="360" w:lineRule="auto"/>
        <w:rPr>
          <w:rFonts w:ascii="宋体" w:hAnsi="宋体"/>
          <w:spacing w:val="20"/>
          <w:sz w:val="24"/>
        </w:rPr>
      </w:pPr>
      <w:r>
        <w:rPr>
          <w:rFonts w:hint="eastAsia" w:ascii="宋体" w:hAnsi="宋体"/>
          <w:spacing w:val="20"/>
          <w:sz w:val="24"/>
        </w:rPr>
        <w:t>1、工程施工要求</w:t>
      </w:r>
    </w:p>
    <w:p>
      <w:pPr>
        <w:spacing w:line="360" w:lineRule="auto"/>
        <w:rPr>
          <w:rFonts w:ascii="宋体" w:hAnsi="宋体"/>
          <w:spacing w:val="20"/>
          <w:sz w:val="24"/>
        </w:rPr>
      </w:pPr>
      <w:r>
        <w:rPr>
          <w:rFonts w:hint="eastAsia" w:ascii="宋体" w:hAnsi="宋体"/>
          <w:spacing w:val="20"/>
          <w:sz w:val="24"/>
        </w:rPr>
        <w:t>各分项工程在施工前，均应编制相应的施工技术措施，内容包括施工准备、操作工艺、质量标准、成品保护等。</w:t>
      </w:r>
    </w:p>
    <w:p>
      <w:pPr>
        <w:spacing w:line="360" w:lineRule="auto"/>
        <w:rPr>
          <w:rFonts w:ascii="宋体" w:hAnsi="宋体"/>
          <w:spacing w:val="20"/>
          <w:sz w:val="24"/>
        </w:rPr>
      </w:pPr>
      <w:r>
        <w:rPr>
          <w:rFonts w:hint="eastAsia" w:ascii="宋体" w:hAnsi="宋体"/>
          <w:spacing w:val="20"/>
          <w:sz w:val="24"/>
        </w:rPr>
        <w:t>2、所有施工项目均应按照国家、省市、地方有关法律法规及规范要求制定施工技术方案后方可施工。</w:t>
      </w:r>
    </w:p>
    <w:p>
      <w:pPr>
        <w:spacing w:line="360" w:lineRule="auto"/>
        <w:rPr>
          <w:rFonts w:ascii="宋体" w:hAnsi="宋体"/>
          <w:spacing w:val="20"/>
          <w:sz w:val="24"/>
        </w:rPr>
      </w:pPr>
    </w:p>
    <w:p>
      <w:pPr>
        <w:jc w:val="center"/>
        <w:rPr>
          <w:rFonts w:ascii="宋体" w:hAnsi="宋体"/>
          <w:b/>
          <w:bCs/>
          <w:spacing w:val="20"/>
          <w:sz w:val="30"/>
          <w:szCs w:val="30"/>
        </w:rPr>
      </w:pPr>
      <w:r>
        <w:rPr>
          <w:rFonts w:hint="eastAsia" w:ascii="宋体" w:hAnsi="宋体"/>
          <w:b/>
          <w:bCs/>
          <w:spacing w:val="20"/>
          <w:sz w:val="30"/>
          <w:szCs w:val="30"/>
        </w:rPr>
        <w:t>第四节  主要技术组织要求</w:t>
      </w:r>
    </w:p>
    <w:p>
      <w:pPr>
        <w:spacing w:line="360" w:lineRule="auto"/>
        <w:rPr>
          <w:rFonts w:ascii="宋体" w:hAnsi="宋体"/>
          <w:spacing w:val="20"/>
          <w:sz w:val="24"/>
        </w:rPr>
      </w:pPr>
      <w:r>
        <w:rPr>
          <w:rFonts w:hint="eastAsia" w:ascii="宋体" w:hAnsi="宋体"/>
          <w:spacing w:val="20"/>
          <w:sz w:val="24"/>
        </w:rPr>
        <w:t>一、工程施工中，要严格执行有关技术操作的各项规程，要注意落实下列各点中的技术措施。实行目标管理，明确总目标为合格。</w:t>
      </w:r>
    </w:p>
    <w:p>
      <w:pPr>
        <w:tabs>
          <w:tab w:val="left" w:pos="540"/>
        </w:tabs>
        <w:spacing w:line="360" w:lineRule="auto"/>
        <w:rPr>
          <w:rFonts w:ascii="宋体" w:hAnsi="宋体"/>
          <w:spacing w:val="20"/>
          <w:sz w:val="24"/>
        </w:rPr>
      </w:pPr>
      <w:r>
        <w:rPr>
          <w:rFonts w:hint="eastAsia" w:ascii="宋体" w:hAnsi="宋体"/>
          <w:spacing w:val="20"/>
          <w:sz w:val="24"/>
        </w:rPr>
        <w:t>1、成立以总工程师为首的全面质量和管理小组。</w:t>
      </w:r>
    </w:p>
    <w:p>
      <w:pPr>
        <w:tabs>
          <w:tab w:val="left" w:pos="540"/>
        </w:tabs>
        <w:spacing w:line="360" w:lineRule="auto"/>
        <w:rPr>
          <w:rFonts w:ascii="宋体" w:hAnsi="宋体"/>
          <w:spacing w:val="20"/>
          <w:sz w:val="24"/>
        </w:rPr>
      </w:pPr>
      <w:r>
        <w:rPr>
          <w:rFonts w:hint="eastAsia" w:ascii="宋体" w:hAnsi="宋体"/>
          <w:spacing w:val="20"/>
          <w:sz w:val="24"/>
        </w:rPr>
        <w:t>2、明确并认真落实技术岗位责任制和技术交底制度。</w:t>
      </w:r>
    </w:p>
    <w:p>
      <w:pPr>
        <w:tabs>
          <w:tab w:val="left" w:pos="540"/>
        </w:tabs>
        <w:spacing w:line="360" w:lineRule="auto"/>
        <w:rPr>
          <w:rFonts w:ascii="宋体" w:hAnsi="宋体"/>
          <w:spacing w:val="20"/>
          <w:sz w:val="24"/>
        </w:rPr>
      </w:pPr>
      <w:r>
        <w:rPr>
          <w:rFonts w:hint="eastAsia" w:ascii="宋体" w:hAnsi="宋体"/>
          <w:spacing w:val="20"/>
          <w:sz w:val="24"/>
        </w:rPr>
        <w:t>3、落实图纸会审、定位放线、预检复核、材质验收、成品保护等有关规定。</w:t>
      </w:r>
    </w:p>
    <w:p>
      <w:pPr>
        <w:tabs>
          <w:tab w:val="left" w:pos="540"/>
        </w:tabs>
        <w:spacing w:line="360" w:lineRule="auto"/>
        <w:rPr>
          <w:rFonts w:ascii="宋体" w:hAnsi="宋体"/>
          <w:spacing w:val="20"/>
          <w:sz w:val="24"/>
        </w:rPr>
      </w:pPr>
      <w:r>
        <w:rPr>
          <w:rFonts w:hint="eastAsia" w:ascii="宋体" w:hAnsi="宋体"/>
          <w:spacing w:val="20"/>
          <w:sz w:val="24"/>
        </w:rPr>
        <w:t>4、制定自检，互检（交接检）末检制度。</w:t>
      </w:r>
    </w:p>
    <w:p>
      <w:pPr>
        <w:tabs>
          <w:tab w:val="left" w:pos="540"/>
        </w:tabs>
        <w:spacing w:line="360" w:lineRule="auto"/>
        <w:rPr>
          <w:rFonts w:ascii="宋体" w:hAnsi="宋体"/>
          <w:spacing w:val="20"/>
          <w:sz w:val="24"/>
        </w:rPr>
      </w:pPr>
      <w:r>
        <w:rPr>
          <w:rFonts w:hint="eastAsia" w:ascii="宋体" w:hAnsi="宋体"/>
          <w:spacing w:val="20"/>
          <w:sz w:val="24"/>
        </w:rPr>
        <w:t>5、对工程实行质量预控，施工程序及工艺标准施工。</w:t>
      </w:r>
    </w:p>
    <w:p>
      <w:pPr>
        <w:tabs>
          <w:tab w:val="left" w:pos="540"/>
        </w:tabs>
        <w:spacing w:line="360" w:lineRule="auto"/>
        <w:rPr>
          <w:rFonts w:ascii="宋体" w:hAnsi="宋体"/>
          <w:spacing w:val="20"/>
          <w:sz w:val="24"/>
        </w:rPr>
      </w:pPr>
      <w:r>
        <w:rPr>
          <w:rFonts w:hint="eastAsia" w:ascii="宋体" w:hAnsi="宋体"/>
          <w:spacing w:val="20"/>
          <w:sz w:val="24"/>
        </w:rPr>
        <w:t>6、特殊工种必须持证上岗。</w:t>
      </w:r>
    </w:p>
    <w:p>
      <w:pPr>
        <w:pStyle w:val="256"/>
        <w:jc w:val="left"/>
        <w:rPr>
          <w:rFonts w:ascii="宋体" w:hAnsi="宋体" w:eastAsia="宋体"/>
          <w:spacing w:val="20"/>
          <w:kern w:val="2"/>
        </w:rPr>
      </w:pPr>
    </w:p>
    <w:p>
      <w:pPr>
        <w:spacing w:line="360" w:lineRule="auto"/>
        <w:jc w:val="center"/>
        <w:rPr>
          <w:rFonts w:ascii="宋体" w:hAnsi="宋体"/>
          <w:b/>
          <w:bCs/>
          <w:spacing w:val="20"/>
          <w:sz w:val="30"/>
          <w:szCs w:val="30"/>
        </w:rPr>
      </w:pPr>
    </w:p>
    <w:p>
      <w:pPr>
        <w:spacing w:line="360" w:lineRule="auto"/>
        <w:jc w:val="center"/>
        <w:rPr>
          <w:rFonts w:ascii="宋体" w:hAnsi="宋体"/>
          <w:b/>
          <w:bCs/>
          <w:spacing w:val="20"/>
          <w:sz w:val="30"/>
          <w:szCs w:val="30"/>
        </w:rPr>
      </w:pPr>
      <w:r>
        <w:rPr>
          <w:rFonts w:hint="eastAsia" w:ascii="宋体" w:hAnsi="宋体"/>
          <w:b/>
          <w:bCs/>
          <w:spacing w:val="20"/>
          <w:sz w:val="30"/>
          <w:szCs w:val="30"/>
        </w:rPr>
        <w:t>第五节  质量、工期保证措施</w:t>
      </w:r>
    </w:p>
    <w:p>
      <w:pPr>
        <w:pStyle w:val="6"/>
        <w:spacing w:after="0" w:line="360" w:lineRule="auto"/>
        <w:rPr>
          <w:rFonts w:ascii="宋体" w:hAnsi="宋体"/>
          <w:spacing w:val="20"/>
          <w:sz w:val="24"/>
          <w:szCs w:val="24"/>
        </w:rPr>
      </w:pPr>
      <w:r>
        <w:rPr>
          <w:rFonts w:hint="eastAsia" w:ascii="宋体" w:hAnsi="宋体"/>
          <w:spacing w:val="20"/>
          <w:sz w:val="24"/>
          <w:szCs w:val="24"/>
        </w:rPr>
        <w:t>一、质量保证措施</w:t>
      </w:r>
    </w:p>
    <w:p>
      <w:pPr>
        <w:pStyle w:val="6"/>
        <w:spacing w:after="0" w:line="360" w:lineRule="auto"/>
        <w:rPr>
          <w:rFonts w:ascii="宋体" w:hAnsi="宋体"/>
          <w:spacing w:val="20"/>
          <w:sz w:val="24"/>
          <w:szCs w:val="24"/>
        </w:rPr>
      </w:pPr>
      <w:r>
        <w:rPr>
          <w:rFonts w:hint="eastAsia" w:ascii="宋体" w:hAnsi="宋体"/>
          <w:spacing w:val="20"/>
          <w:sz w:val="24"/>
          <w:szCs w:val="24"/>
        </w:rPr>
        <w:t>1、建立健全结构，施工从设备、材料、半成品、成品进场，施工安装直至交付验收的质量保证体系，并落实到人。</w:t>
      </w:r>
    </w:p>
    <w:p>
      <w:pPr>
        <w:pStyle w:val="6"/>
        <w:spacing w:after="0" w:line="360" w:lineRule="auto"/>
        <w:rPr>
          <w:rFonts w:ascii="宋体" w:hAnsi="宋体"/>
          <w:spacing w:val="20"/>
          <w:sz w:val="24"/>
          <w:szCs w:val="24"/>
        </w:rPr>
      </w:pPr>
      <w:r>
        <w:rPr>
          <w:rFonts w:hint="eastAsia" w:ascii="宋体" w:hAnsi="宋体"/>
          <w:spacing w:val="20"/>
          <w:sz w:val="24"/>
          <w:szCs w:val="24"/>
        </w:rPr>
        <w:t>2、严格贯彻“把关”和“积极预防”相结合的质量管理方法。</w:t>
      </w:r>
    </w:p>
    <w:p>
      <w:pPr>
        <w:pStyle w:val="6"/>
        <w:spacing w:after="0" w:line="360" w:lineRule="auto"/>
        <w:rPr>
          <w:rFonts w:ascii="宋体" w:hAnsi="宋体"/>
          <w:spacing w:val="20"/>
          <w:sz w:val="24"/>
          <w:szCs w:val="24"/>
        </w:rPr>
      </w:pPr>
      <w:r>
        <w:rPr>
          <w:rFonts w:hint="eastAsia" w:ascii="宋体" w:hAnsi="宋体"/>
          <w:spacing w:val="20"/>
          <w:sz w:val="24"/>
          <w:szCs w:val="24"/>
        </w:rPr>
        <w:t>3、本工程实行全面质量管理、文明施工，整个工程实行专业性管理，提前组织培训，统一思想，熟悉操作。</w:t>
      </w:r>
    </w:p>
    <w:p>
      <w:pPr>
        <w:pStyle w:val="6"/>
        <w:spacing w:after="0" w:line="360" w:lineRule="auto"/>
        <w:rPr>
          <w:rFonts w:ascii="宋体" w:hAnsi="宋体"/>
          <w:spacing w:val="20"/>
          <w:sz w:val="24"/>
          <w:szCs w:val="24"/>
        </w:rPr>
      </w:pPr>
      <w:r>
        <w:rPr>
          <w:rFonts w:hint="eastAsia" w:ascii="宋体" w:hAnsi="宋体"/>
          <w:spacing w:val="20"/>
          <w:sz w:val="24"/>
          <w:szCs w:val="24"/>
        </w:rPr>
        <w:t>4、按进度计划施工，严格技术管理，当进度与质量发生矛盾时，要服从质量，承包任务者首先要承包质量。</w:t>
      </w:r>
    </w:p>
    <w:p>
      <w:pPr>
        <w:spacing w:line="360" w:lineRule="auto"/>
        <w:rPr>
          <w:rFonts w:ascii="宋体" w:hAnsi="宋体"/>
          <w:spacing w:val="20"/>
          <w:sz w:val="24"/>
          <w:szCs w:val="24"/>
        </w:rPr>
      </w:pPr>
      <w:r>
        <w:rPr>
          <w:rFonts w:hint="eastAsia" w:ascii="宋体" w:hAnsi="宋体"/>
          <w:spacing w:val="20"/>
          <w:sz w:val="24"/>
          <w:szCs w:val="24"/>
        </w:rPr>
        <w:t>5、加强质量监督检查，采取专业检查与自检相结合的检查方法，并以自检为主，坚持贯彻执行自检、互检、交接检的三检制度与挂牌制度，对工程质量要求一丝不苟。</w:t>
      </w:r>
    </w:p>
    <w:p>
      <w:pPr>
        <w:spacing w:line="360" w:lineRule="auto"/>
        <w:rPr>
          <w:rFonts w:ascii="宋体" w:hAnsi="宋体"/>
          <w:spacing w:val="20"/>
          <w:sz w:val="24"/>
          <w:szCs w:val="24"/>
        </w:rPr>
      </w:pPr>
      <w:r>
        <w:rPr>
          <w:rFonts w:hint="eastAsia" w:ascii="宋体" w:hAnsi="宋体"/>
          <w:spacing w:val="20"/>
          <w:sz w:val="24"/>
          <w:szCs w:val="24"/>
        </w:rPr>
        <w:t>二、工期保证措施</w:t>
      </w:r>
    </w:p>
    <w:p>
      <w:pPr>
        <w:pStyle w:val="6"/>
        <w:spacing w:after="0" w:line="360" w:lineRule="auto"/>
        <w:rPr>
          <w:rFonts w:ascii="宋体" w:hAnsi="宋体"/>
          <w:spacing w:val="20"/>
          <w:sz w:val="24"/>
          <w:szCs w:val="24"/>
        </w:rPr>
      </w:pPr>
      <w:r>
        <w:rPr>
          <w:rFonts w:hint="eastAsia" w:ascii="宋体" w:hAnsi="宋体"/>
          <w:spacing w:val="20"/>
          <w:sz w:val="24"/>
          <w:szCs w:val="24"/>
        </w:rPr>
        <w:t>1、运用现代化管理方法指导生产、加强动态管理。充分利用已有资源组织材料、人力资源的合理配置。保障各阶段施工的连续性，消除窝工、停工现象。</w:t>
      </w:r>
    </w:p>
    <w:p>
      <w:pPr>
        <w:pStyle w:val="6"/>
        <w:spacing w:after="0" w:line="360" w:lineRule="auto"/>
        <w:rPr>
          <w:rFonts w:ascii="宋体" w:hAnsi="宋体"/>
          <w:spacing w:val="20"/>
          <w:sz w:val="24"/>
          <w:szCs w:val="24"/>
        </w:rPr>
      </w:pPr>
      <w:r>
        <w:rPr>
          <w:rFonts w:hint="eastAsia" w:ascii="宋体" w:hAnsi="宋体"/>
          <w:spacing w:val="20"/>
          <w:sz w:val="24"/>
          <w:szCs w:val="24"/>
        </w:rPr>
        <w:t>2、各工序严格按进度计划施工，项目经理有效协调人力资源，确保施工顺利；</w:t>
      </w:r>
    </w:p>
    <w:p>
      <w:pPr>
        <w:pStyle w:val="6"/>
        <w:spacing w:after="0" w:line="360" w:lineRule="auto"/>
        <w:rPr>
          <w:rFonts w:ascii="宋体" w:hAnsi="宋体"/>
          <w:spacing w:val="20"/>
          <w:sz w:val="24"/>
          <w:szCs w:val="24"/>
        </w:rPr>
      </w:pPr>
      <w:r>
        <w:rPr>
          <w:rFonts w:hint="eastAsia" w:ascii="宋体" w:hAnsi="宋体"/>
          <w:spacing w:val="20"/>
          <w:sz w:val="24"/>
          <w:szCs w:val="24"/>
        </w:rPr>
        <w:t>3、保证倒排工期，充分做好施工前的准备工作；</w:t>
      </w:r>
    </w:p>
    <w:p>
      <w:pPr>
        <w:pStyle w:val="6"/>
        <w:spacing w:after="0" w:line="360" w:lineRule="auto"/>
        <w:rPr>
          <w:rFonts w:ascii="宋体" w:hAnsi="宋体"/>
          <w:spacing w:val="20"/>
          <w:sz w:val="24"/>
          <w:szCs w:val="24"/>
        </w:rPr>
      </w:pPr>
      <w:r>
        <w:rPr>
          <w:rFonts w:hint="eastAsia" w:ascii="宋体" w:hAnsi="宋体"/>
          <w:spacing w:val="20"/>
          <w:sz w:val="24"/>
          <w:szCs w:val="24"/>
        </w:rPr>
        <w:t>4、优化网络计划管理，综合考虑机械、设备、材料的相应关系，使各工种、各工序实施紧密的交叉搭接，对每道工序制定相应的调整措施。</w:t>
      </w:r>
    </w:p>
    <w:p>
      <w:pPr>
        <w:spacing w:line="360" w:lineRule="auto"/>
        <w:rPr>
          <w:rFonts w:ascii="宋体" w:hAnsi="宋体"/>
          <w:spacing w:val="20"/>
          <w:sz w:val="24"/>
          <w:szCs w:val="24"/>
        </w:rPr>
      </w:pPr>
      <w:r>
        <w:rPr>
          <w:rFonts w:hint="eastAsia" w:ascii="宋体" w:hAnsi="宋体"/>
          <w:spacing w:val="20"/>
          <w:sz w:val="24"/>
          <w:szCs w:val="24"/>
        </w:rPr>
        <w:t>5、合理配置施工机械设施，提高使用效率，保证各项作业、各工种之间的高度协调，发挥最大的生产潜力，实现工期目标值。</w:t>
      </w:r>
    </w:p>
    <w:p>
      <w:pPr>
        <w:spacing w:line="360" w:lineRule="auto"/>
        <w:rPr>
          <w:rFonts w:ascii="宋体" w:hAnsi="宋体"/>
          <w:b/>
          <w:bCs/>
          <w:spacing w:val="20"/>
          <w:sz w:val="30"/>
          <w:szCs w:val="30"/>
        </w:rPr>
      </w:pPr>
    </w:p>
    <w:p>
      <w:pPr>
        <w:spacing w:line="360" w:lineRule="auto"/>
        <w:jc w:val="center"/>
        <w:rPr>
          <w:rFonts w:ascii="宋体" w:hAnsi="宋体"/>
          <w:b/>
          <w:bCs/>
          <w:spacing w:val="20"/>
          <w:sz w:val="30"/>
          <w:szCs w:val="30"/>
        </w:rPr>
      </w:pPr>
      <w:r>
        <w:rPr>
          <w:rFonts w:hint="eastAsia" w:ascii="宋体" w:hAnsi="宋体"/>
          <w:b/>
          <w:bCs/>
          <w:spacing w:val="20"/>
          <w:sz w:val="30"/>
          <w:szCs w:val="30"/>
        </w:rPr>
        <w:t>第六节  投入的主要机械设备及劳动力计划</w:t>
      </w:r>
    </w:p>
    <w:p>
      <w:pPr>
        <w:spacing w:line="360" w:lineRule="auto"/>
        <w:rPr>
          <w:rFonts w:ascii="宋体" w:hAnsi="宋体"/>
          <w:spacing w:val="20"/>
          <w:sz w:val="24"/>
          <w:szCs w:val="24"/>
        </w:rPr>
      </w:pPr>
      <w:r>
        <w:rPr>
          <w:rFonts w:hint="eastAsia" w:ascii="宋体" w:hAnsi="宋体"/>
          <w:spacing w:val="20"/>
          <w:sz w:val="24"/>
          <w:szCs w:val="24"/>
        </w:rPr>
        <w:t>根据经建设单位及监理批准的施工进度计划及现场施工情况，投入相应数量的机械设备及劳动力，满足工程进度要求，确保按期完工。</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1、在确保工程质量、安全生产的前提下，优化施工进度计划，动态管理，合理组织，严格控制关键线路节点，确保工期目标。</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2、采用性能完好的机械设备并配齐数量，设现场专业机修班组，定期检查、调试。</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3、现场职工及劳务认真挑选，竞争上岗，确保现场施工人员的岗位技能水平及劳动数量满足工期要求。</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4、根据施工进度控制统筹计划及时合理编制工程施工进度每周计划，直至落实到小时工作安排。</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5、平面按划定的施工区段组织流水施工，将分为多个工作班组，分段流水协调施工。</w:t>
      </w:r>
    </w:p>
    <w:p>
      <w:pPr>
        <w:spacing w:line="360" w:lineRule="auto"/>
        <w:rPr>
          <w:rFonts w:ascii="宋体" w:hAnsi="宋体" w:cs="宋体"/>
          <w:spacing w:val="20"/>
          <w:kern w:val="0"/>
          <w:sz w:val="24"/>
          <w:szCs w:val="24"/>
        </w:rPr>
      </w:pPr>
    </w:p>
    <w:p>
      <w:pPr>
        <w:spacing w:line="360" w:lineRule="auto"/>
        <w:jc w:val="center"/>
        <w:rPr>
          <w:rFonts w:ascii="宋体" w:hAnsi="宋体"/>
          <w:b/>
          <w:bCs/>
          <w:spacing w:val="20"/>
          <w:sz w:val="30"/>
          <w:szCs w:val="30"/>
        </w:rPr>
      </w:pPr>
      <w:r>
        <w:rPr>
          <w:rFonts w:hint="eastAsia" w:ascii="宋体" w:hAnsi="宋体"/>
          <w:b/>
          <w:bCs/>
          <w:spacing w:val="20"/>
          <w:sz w:val="30"/>
          <w:szCs w:val="30"/>
        </w:rPr>
        <w:t>第七节  安全文明施工措施</w:t>
      </w:r>
    </w:p>
    <w:p>
      <w:pPr>
        <w:spacing w:line="360" w:lineRule="auto"/>
        <w:rPr>
          <w:rFonts w:ascii="宋体" w:hAnsi="宋体"/>
          <w:spacing w:val="20"/>
          <w:sz w:val="24"/>
          <w:szCs w:val="24"/>
        </w:rPr>
      </w:pPr>
      <w:r>
        <w:rPr>
          <w:rFonts w:hint="eastAsia" w:ascii="宋体" w:hAnsi="宋体"/>
          <w:spacing w:val="20"/>
          <w:sz w:val="24"/>
          <w:szCs w:val="24"/>
        </w:rPr>
        <w:t>采取严格的施工管理措施，严格按照《广州市安全文明施工管理标准》、《建筑施工安全检查标准》等管理规定的要求，做好本工程安全文明施工工作。</w:t>
      </w:r>
    </w:p>
    <w:p>
      <w:pPr>
        <w:numPr>
          <w:ilvl w:val="0"/>
          <w:numId w:val="8"/>
        </w:numPr>
        <w:tabs>
          <w:tab w:val="left" w:pos="640"/>
          <w:tab w:val="clear" w:pos="1260"/>
        </w:tabs>
        <w:spacing w:line="360" w:lineRule="auto"/>
        <w:ind w:left="0" w:firstLine="0"/>
        <w:rPr>
          <w:rFonts w:ascii="宋体" w:hAnsi="宋体" w:cs="宋体"/>
          <w:spacing w:val="20"/>
          <w:kern w:val="0"/>
          <w:sz w:val="24"/>
          <w:szCs w:val="24"/>
        </w:rPr>
      </w:pPr>
      <w:r>
        <w:rPr>
          <w:rFonts w:hint="eastAsia" w:ascii="宋体" w:hAnsi="宋体" w:cs="宋体"/>
          <w:spacing w:val="20"/>
          <w:kern w:val="0"/>
          <w:sz w:val="24"/>
          <w:szCs w:val="24"/>
        </w:rPr>
        <w:t>安全生产管理</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安全生产目标：达到五无目标，即“无死亡事故，无重大伤人事故，无重大机械事故，无火灾，无中毒事故”。并将一般减微事故发生频率控制在3‰以下。</w:t>
      </w:r>
    </w:p>
    <w:p>
      <w:pPr>
        <w:spacing w:line="360" w:lineRule="auto"/>
        <w:rPr>
          <w:rFonts w:ascii="宋体" w:hAnsi="宋体"/>
          <w:spacing w:val="20"/>
          <w:sz w:val="24"/>
          <w:szCs w:val="24"/>
        </w:rPr>
      </w:pPr>
      <w:r>
        <w:rPr>
          <w:rFonts w:hint="eastAsia" w:ascii="宋体" w:hAnsi="宋体" w:cs="宋体"/>
          <w:spacing w:val="20"/>
          <w:kern w:val="0"/>
          <w:sz w:val="24"/>
          <w:szCs w:val="24"/>
        </w:rPr>
        <w:t>安全方针：安全第一，预防为主</w:t>
      </w:r>
    </w:p>
    <w:p>
      <w:pPr>
        <w:spacing w:line="360" w:lineRule="auto"/>
        <w:rPr>
          <w:rFonts w:ascii="宋体" w:hAnsi="宋体"/>
          <w:spacing w:val="20"/>
          <w:sz w:val="24"/>
          <w:szCs w:val="24"/>
        </w:rPr>
      </w:pPr>
      <w:r>
        <w:rPr>
          <w:rFonts w:hint="eastAsia" w:ascii="宋体" w:hAnsi="宋体" w:cs="宋体"/>
          <w:spacing w:val="20"/>
          <w:kern w:val="0"/>
          <w:sz w:val="24"/>
          <w:szCs w:val="24"/>
        </w:rPr>
        <w:t>安全和文明施工目标：</w:t>
      </w:r>
      <w:r>
        <w:rPr>
          <w:rFonts w:hint="eastAsia" w:ascii="宋体" w:hAnsi="宋体"/>
          <w:spacing w:val="20"/>
          <w:sz w:val="24"/>
          <w:szCs w:val="24"/>
        </w:rPr>
        <w:t xml:space="preserve"> </w:t>
      </w:r>
      <w:r>
        <w:rPr>
          <w:rFonts w:hint="eastAsia" w:ascii="宋体" w:hAnsi="宋体" w:cs="宋体"/>
          <w:spacing w:val="20"/>
          <w:kern w:val="0"/>
          <w:sz w:val="24"/>
          <w:szCs w:val="24"/>
        </w:rPr>
        <w:t>力争达到安全生产，文明施工优良工地。</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安全管理小组：项目经理必须对拆卸工程的安全生产负全面领导责任。项目经理部应设工程安全负责人，检查落实各项安全技术措施。施工安全分为施工管理、安全教育、机械设备、现场维护及日常生活5大部分，各部分设专人进行监督管理，负责将安全小组的决定落实并向各施工班组安全小组交底并监督。做到安全落实到人，专人专项，职权分明。</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安全教育制度：实行安全教育制度，加强宣传教育，制订科学合理的施工方案，现场组织切合实际的作业程序，正确严格地执行和运用施工及安全规范。对进场的工人进行摸底测试，统一进行安全教育，增强质量、安全意识。各专业班组认真进行技术交底，认真学习和深刻体会施工技术规范和施工安全规范。经过培训交底达到合格的职工才允许上岗操作，为安全工作顺利圆满开展打下坚实的基础。在施工过程中，建立每周一次的安全教育，由项目经理或专职安全员主持。同时在每道施工工序进行前，由专职安全员做书面的安全技术交底，各班组长带领施工人员认真贯彻落实。</w:t>
      </w:r>
    </w:p>
    <w:p>
      <w:pPr>
        <w:spacing w:line="360" w:lineRule="auto"/>
        <w:rPr>
          <w:rFonts w:ascii="宋体" w:hAnsi="宋体" w:cs="宋体"/>
          <w:b/>
          <w:spacing w:val="20"/>
          <w:kern w:val="0"/>
          <w:sz w:val="24"/>
          <w:szCs w:val="24"/>
        </w:rPr>
      </w:pPr>
      <w:r>
        <w:rPr>
          <w:rFonts w:hint="eastAsia" w:ascii="宋体" w:hAnsi="宋体" w:cs="宋体"/>
          <w:spacing w:val="20"/>
          <w:kern w:val="0"/>
          <w:sz w:val="24"/>
          <w:szCs w:val="24"/>
        </w:rPr>
        <w:t>二、文明施工管理</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为加强文明施工管理，在认真学习贯彻国家及地方文明施工管理条例基础上，组织成立文明施工管理小组，由项目经理任组长，从现场施工、垃圾运输到日常生活文明均设专人管理，切实加强施工现场文明施工，并制作文明施工标志牌，放在醒目的地方提醒工人注意，共同维护一个文明的施工条件。</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文明施工注意事项：</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1、清运渣土的车辆应在在施工封闭范围内停放；清运渣土的车辆应封闭或采用苫布覆盖，出入现场时应有专人指挥。清运渣土的作业时间应遵守有关规定，做到夜间不施工，减少对周围环境的噪音影响。</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2、对地下的各类管线，施工前在地面上设置明显标志，并标明管线用途，行进方向。对检查井、污水井也采取相应的保护措施。</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3、工程完工后，我方将及时将施工渣土清运出场，做到不积压。</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4、执行广东省、广州市有关加强施工现场文明施工管理的规定。</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5、落实防火安全责任制，建立义务消防组织，明确责任人，负责施工现场的日常防火安全管理工作。在保证充足的消防水源的基础上，在施工临设工人宿舍、现场办公室均配备足够的灭火器材,做到办公生活区每幢工棚挂设4kg干粉灭火器2—6只,在每幢办公或生活工棚外各设置2~3个消防沙箱；并对工人进行安全消防教育，学习正确使用安全器材的方法，加强安全防火意识。</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6、施工现场建立健全用火管理制度，对工人进行用火安全施工教育培训，提高工人用火安全意识。施工作业用火时，须履行用火审批手续，经施工安全负责人审查批准，领取用火证后，方可在指定时间、地点作业。作业时应配备专人监护，作业后必须确认无火源危险后方可离开作业地点。</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7、施工现场设置消防车道，并应保持畅通。施工现场道路保持两方向畅通，保证消防车辆能够及时进入事发现场进行救援工作。</w:t>
      </w:r>
    </w:p>
    <w:p>
      <w:pPr>
        <w:spacing w:line="360" w:lineRule="auto"/>
        <w:rPr>
          <w:rFonts w:ascii="宋体" w:hAnsi="宋体" w:cs="宋体"/>
          <w:spacing w:val="20"/>
          <w:kern w:val="0"/>
          <w:sz w:val="24"/>
          <w:szCs w:val="24"/>
        </w:rPr>
      </w:pPr>
      <w:r>
        <w:rPr>
          <w:rFonts w:hint="eastAsia" w:ascii="宋体" w:hAnsi="宋体" w:cs="宋体"/>
          <w:spacing w:val="20"/>
          <w:kern w:val="0"/>
          <w:sz w:val="24"/>
          <w:szCs w:val="24"/>
        </w:rPr>
        <w:t>8、对工人进行岗前教育，施工作业应当在批准的施工场地内进行，不得在施工场地范围外堆放物料、机具等。</w:t>
      </w:r>
    </w:p>
    <w:p>
      <w:pPr>
        <w:pStyle w:val="256"/>
        <w:jc w:val="left"/>
        <w:rPr>
          <w:rFonts w:ascii="宋体" w:hAnsi="宋体" w:eastAsia="宋体" w:cs="宋体"/>
          <w:spacing w:val="20"/>
          <w:szCs w:val="24"/>
        </w:rPr>
      </w:pPr>
      <w:r>
        <w:rPr>
          <w:rFonts w:hint="eastAsia" w:ascii="宋体" w:hAnsi="宋体" w:eastAsia="宋体" w:cs="宋体"/>
          <w:spacing w:val="20"/>
          <w:szCs w:val="24"/>
        </w:rPr>
        <w:t>9、施工现场的工棚和临时厕所等临时设施远离临街一侧，不得改变使用性质。施工现场设置临时环卫设施，有专人负责保洁和管理，做到场区内无暴露性生活垃圾；临时厕所有专人洗涮保洁，做好清掏、消杀工作，做到无蝇蛆孳生。</w:t>
      </w:r>
      <w:r>
        <w:rPr>
          <w:rFonts w:hint="eastAsia" w:ascii="宋体" w:hAnsi="宋体" w:eastAsia="宋体" w:cs="宋体"/>
          <w:spacing w:val="20"/>
          <w:szCs w:val="24"/>
        </w:rPr>
        <w:br w:type="textWrapping"/>
      </w:r>
      <w:r>
        <w:rPr>
          <w:rFonts w:hint="eastAsia" w:ascii="宋体" w:hAnsi="宋体" w:eastAsia="宋体" w:cs="宋体"/>
          <w:spacing w:val="20"/>
          <w:szCs w:val="24"/>
        </w:rPr>
        <w:t>10、不得在施工现场焚烧油毡、橡胶、油漆、垃圾以及其他产生有毒、有害烟尘和恶臭气体的物质。</w:t>
      </w:r>
    </w:p>
    <w:p>
      <w:pPr>
        <w:pStyle w:val="256"/>
        <w:jc w:val="left"/>
        <w:rPr>
          <w:rFonts w:ascii="宋体" w:hAnsi="宋体" w:eastAsia="宋体"/>
          <w:spacing w:val="20"/>
          <w:kern w:val="2"/>
        </w:rPr>
      </w:pPr>
    </w:p>
    <w:p>
      <w:pPr>
        <w:rPr>
          <w:rFonts w:ascii="宋体" w:hAnsi="宋体"/>
          <w:b/>
          <w:sz w:val="24"/>
          <w:szCs w:val="24"/>
        </w:rPr>
      </w:pPr>
      <w:r>
        <w:rPr>
          <w:rFonts w:hint="eastAsia" w:ascii="宋体" w:hAnsi="宋体" w:cs="宋体"/>
          <w:spacing w:val="20"/>
          <w:szCs w:val="24"/>
        </w:rPr>
        <w:t>注 : 除应执行本施工组织设计要点外,应参照国家等现行有关规定及工程建设标准作进一步完善。</w:t>
      </w:r>
    </w:p>
    <w:p>
      <w:pPr>
        <w:pStyle w:val="3"/>
        <w:rPr>
          <w:color w:val="auto"/>
          <w:sz w:val="24"/>
          <w:szCs w:val="24"/>
          <w:highlight w:val="none"/>
        </w:rPr>
      </w:pPr>
      <w:bookmarkStart w:id="19" w:name="_Toc30238"/>
      <w:r>
        <w:rPr>
          <w:color w:val="auto"/>
          <w:sz w:val="24"/>
          <w:szCs w:val="24"/>
          <w:highlight w:val="none"/>
        </w:rPr>
        <w:br w:type="textWrapping"/>
      </w: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rPr>
          <w:color w:val="auto"/>
          <w:sz w:val="24"/>
          <w:szCs w:val="24"/>
          <w:highlight w:val="none"/>
        </w:rPr>
      </w:pPr>
    </w:p>
    <w:p>
      <w:pPr>
        <w:pStyle w:val="3"/>
        <w:jc w:val="both"/>
        <w:rPr>
          <w:rFonts w:hint="eastAsia" w:ascii="宋体" w:hAnsi="宋体"/>
        </w:rPr>
      </w:pPr>
    </w:p>
    <w:p>
      <w:pPr>
        <w:rPr>
          <w:rFonts w:ascii="宋体" w:hAnsi="宋体"/>
          <w:b/>
          <w:sz w:val="24"/>
          <w:szCs w:val="24"/>
        </w:rPr>
      </w:pPr>
      <w:r>
        <w:rPr>
          <w:rFonts w:hint="eastAsia" w:ascii="宋体" w:hAnsi="宋体"/>
        </w:rPr>
        <w:br w:type="textWrapping"/>
      </w:r>
    </w:p>
    <w:p>
      <w:pPr>
        <w:pStyle w:val="3"/>
        <w:jc w:val="center"/>
        <w:rPr>
          <w:rFonts w:ascii="宋体" w:hAnsi="宋体"/>
        </w:rPr>
      </w:pPr>
      <w:r>
        <w:rPr>
          <w:rFonts w:ascii="宋体" w:hAnsi="宋体"/>
          <w:sz w:val="24"/>
          <w:szCs w:val="24"/>
        </w:rPr>
        <w:br w:type="page"/>
      </w:r>
      <w:bookmarkEnd w:id="19"/>
      <w:bookmarkStart w:id="20" w:name="_Toc28147"/>
      <w:r>
        <w:rPr>
          <w:rFonts w:hint="eastAsia" w:ascii="宋体" w:hAnsi="宋体"/>
        </w:rPr>
        <w:t>第六章</w:t>
      </w:r>
      <w:r>
        <w:rPr>
          <w:rFonts w:ascii="宋体" w:hAnsi="宋体"/>
        </w:rPr>
        <w:t xml:space="preserve">  </w:t>
      </w:r>
      <w:r>
        <w:rPr>
          <w:rFonts w:hint="eastAsia" w:ascii="宋体" w:hAnsi="宋体"/>
        </w:rPr>
        <w:t>图纸及勘察资料</w:t>
      </w:r>
    </w:p>
    <w:p>
      <w:pPr>
        <w:jc w:val="center"/>
        <w:rPr>
          <w:rFonts w:ascii="宋体" w:hAnsi="宋体"/>
          <w:b/>
          <w:sz w:val="24"/>
          <w:szCs w:val="24"/>
        </w:rPr>
      </w:pPr>
      <w:r>
        <w:rPr>
          <w:rFonts w:hint="eastAsia" w:ascii="宋体" w:hAnsi="宋体"/>
          <w:sz w:val="24"/>
          <w:szCs w:val="24"/>
        </w:rPr>
        <w:t>注：本章由招标人自行制定，另册。</w:t>
      </w:r>
    </w:p>
    <w:p>
      <w:pPr>
        <w:jc w:val="center"/>
        <w:rPr>
          <w:rFonts w:hint="eastAsia"/>
          <w:color w:val="auto"/>
          <w:highlight w:val="none"/>
        </w:rPr>
      </w:pPr>
      <w:r>
        <w:rPr>
          <w:rFonts w:hint="eastAsia"/>
          <w:color w:val="auto"/>
          <w:highlight w:val="none"/>
        </w:rPr>
        <w:br w:type="page"/>
      </w:r>
    </w:p>
    <w:p>
      <w:pPr>
        <w:pStyle w:val="3"/>
        <w:rPr>
          <w:color w:val="auto"/>
          <w:highlight w:val="none"/>
        </w:rPr>
      </w:pPr>
      <w:r>
        <w:rPr>
          <w:rFonts w:hint="eastAsia"/>
          <w:color w:val="auto"/>
          <w:highlight w:val="none"/>
        </w:rPr>
        <w:t>第七章</w:t>
      </w:r>
      <w:r>
        <w:rPr>
          <w:color w:val="auto"/>
          <w:highlight w:val="none"/>
        </w:rPr>
        <w:t xml:space="preserve">  </w:t>
      </w:r>
      <w:r>
        <w:rPr>
          <w:rFonts w:hint="eastAsia"/>
          <w:color w:val="auto"/>
          <w:highlight w:val="none"/>
        </w:rPr>
        <w:t>工程量清单</w:t>
      </w:r>
      <w:bookmarkEnd w:id="20"/>
    </w:p>
    <w:p>
      <w:pPr>
        <w:rPr>
          <w:rFonts w:ascii="宋体"/>
          <w:b/>
          <w:color w:val="auto"/>
          <w:sz w:val="24"/>
          <w:szCs w:val="24"/>
          <w:highlight w:val="none"/>
        </w:rPr>
      </w:pPr>
      <w:r>
        <w:rPr>
          <w:rFonts w:hint="eastAsia" w:ascii="宋体" w:hAnsi="宋体"/>
          <w:color w:val="auto"/>
          <w:sz w:val="24"/>
          <w:szCs w:val="24"/>
          <w:highlight w:val="none"/>
        </w:rPr>
        <w:t>注：本章由招标人自行制定。</w:t>
      </w:r>
    </w:p>
    <w:p>
      <w:pPr>
        <w:spacing w:line="408" w:lineRule="auto"/>
        <w:jc w:val="center"/>
        <w:rPr>
          <w:rFonts w:ascii="宋体" w:hAnsi="宋体"/>
          <w:b/>
          <w:color w:val="auto"/>
          <w:sz w:val="28"/>
          <w:highlight w:val="none"/>
        </w:rPr>
      </w:pPr>
      <w:r>
        <w:rPr>
          <w:rFonts w:hint="eastAsia" w:ascii="宋体" w:hAnsi="宋体"/>
          <w:b/>
          <w:color w:val="auto"/>
          <w:sz w:val="28"/>
          <w:highlight w:val="none"/>
        </w:rPr>
        <w:t>工程量清单说明</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招标人提供的工程量清单或招标文件其他部分中有关规费、暂定金额、预留金等非竞争性项目明列了单价或合价的金额的，投标人应按照明列的单价或合价的金额报价，未按照规定金额报价的，由评标委员会按照招标文件规定的金额进行修正。</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投标人按招标人提供的工程量清单并结合工程实际情况和自身实力进行报价，并填报综合单价和合价。每一子目只允许有一个报价，而且每一个子目必须报价，若投标人认为该项费用已含在其他项目中可以作零报价。任何有选择的报价将不予接受。投标人未填综合单价或合价的工程项目，在实施后，招标人将不予以支付，并视为该项费用已包括在其他有价款的综合单价或合价内。工程量清单所有的项目不得以负值进行报价。</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工程量清单应结合投标人须知、设计要求、技术规范及招标图纸及构成本招标文件其他组成文件同时阅读。投标人在报价前应仔细阅读招标文件中相关部分的内容以获得对该工程项目的充分和正确的理解。</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招标人提供的清单中的项目特征和工程内容应包括清单中的说明及招标图纸、主要材料、技术要求，工程量计算规则按本工程量清单说明的规定执行，如本工程量清单说明没明确规定的按现行清单计价办法的规定执行。</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措施项目工程项目均为综合合价包干项目。对于措施项目费，投标人应根据本企业拟采用的施工方案，详细分析其所含的工程内容，自行报价，投标人没有计算或少计算的费用，视为此费用已包含在其他相关费用内，额外的费用除招标文件或合同另有约定外，不予支付。</w:t>
      </w:r>
      <w:r>
        <w:rPr>
          <w:rFonts w:hint="eastAsia" w:ascii="宋体" w:hAnsi="宋体"/>
          <w:b/>
          <w:color w:val="auto"/>
          <w:sz w:val="24"/>
          <w:szCs w:val="24"/>
          <w:highlight w:val="none"/>
        </w:rPr>
        <w:t>投标人应充分考虑施工现场实际情况，考虑风险，发包人将不再另行支付由此而引起的费用增加。</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安全防护、文明施工措施费”：指为确保安全施工或按有关行政管理部门与业主布置而采取的保障措施所发生的相关费用。包括：环境保护费、文明施工费、安全施工费、临时设施费、硬地施工、洗车槽、食堂、厕所等文明施工必须设施而需发生的各项费用，如中标人未能按照粤建管[2007]39号文、番建发[2006]41号文、穗建筑[2006]411号文、穗建质[2008]937号文、穗建质[2008]1008号文、《建筑施工安全检查标准》（JGJ59-99）及广州市人民政府令第62号（2012年）的有关规定实施，则由招标人另行委托队伍施工，其费用由中标人自行负责。</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预算包干费包括:施工雨(污)水的排除、地下水的排除；因地形影响造成的场内料具二次运输；工程用水加压措施；完工清场后的垃圾外运;材料堆放场地的整理；水电安装后的补洞工料费；工程成品、半成品的保护、照顾费；施工中的临时停电停水的应急措施；基础埋深2米以内挖土方的塌方；日间照明施工增加费。</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试车费用、系统调试、联合调试费：单机运转及无负荷试车的费用含在综合单价中，由承包人承担。系统调试、联合调试费，以合价包干的形式含在投标报价中。</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材料设备采购管理服务费”指发包人为方便工程的施工，避免因设备供货和质量影响施工进度和施工质量，对本工程的发包人提供或发包人确定由承包人提供材料设备进行招标，然后交施工单位保管及安装，施工单位必须根据施工进度计划和设计图纸制定详细的阶段性的设备材料供货计划给业主及发包人的设备供应商，并对此计划负责。施工单位可按有关部门规定收取施工合同中规定的（发包人提供或发包人确定由承包人提供）材料设备采购管理服务费。（若有的话）</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施工总承包管理配合服务：即对发包人另外发包或发包人与承包人联合招标的其它专业工程以及发包人直接供应的材料设备实施总承包管理、协调、配合服务，总承包管理、协调、配合服务费由承包人在合同总价中综合考虑，发包人不另行支付，承包人也不能以任何理由向各专业工程承包人收取。具体内容详见招标文件、施工合同、工程量清单和招标图纸。</w:t>
      </w:r>
    </w:p>
    <w:p>
      <w:pPr>
        <w:numPr>
          <w:ilvl w:val="0"/>
          <w:numId w:val="9"/>
        </w:numPr>
        <w:spacing w:line="360" w:lineRule="auto"/>
        <w:rPr>
          <w:rFonts w:ascii="宋体" w:hAnsi="宋体"/>
          <w:color w:val="auto"/>
          <w:sz w:val="24"/>
          <w:szCs w:val="24"/>
          <w:highlight w:val="none"/>
        </w:rPr>
      </w:pPr>
      <w:r>
        <w:rPr>
          <w:rFonts w:hint="eastAsia" w:ascii="宋体" w:hAnsi="宋体"/>
          <w:color w:val="auto"/>
          <w:sz w:val="24"/>
          <w:szCs w:val="24"/>
          <w:highlight w:val="none"/>
        </w:rPr>
        <w:t>在本合同专用条款中要求承包人负责的工作，但在工程量清单中没有列明的，承包人应在各综合单价中综合考虑并包含在内，发包人不另外支付。</w:t>
      </w:r>
    </w:p>
    <w:p>
      <w:pPr>
        <w:numPr>
          <w:ilvl w:val="0"/>
          <w:numId w:val="9"/>
        </w:numPr>
        <w:spacing w:line="360" w:lineRule="auto"/>
        <w:rPr>
          <w:rFonts w:ascii="宋体" w:hAnsi="宋体"/>
          <w:b/>
          <w:bCs/>
          <w:color w:val="auto"/>
          <w:sz w:val="24"/>
          <w:highlight w:val="none"/>
        </w:rPr>
      </w:pPr>
      <w:r>
        <w:rPr>
          <w:rFonts w:hint="eastAsia" w:ascii="宋体" w:hAnsi="宋体"/>
          <w:color w:val="auto"/>
          <w:sz w:val="24"/>
          <w:szCs w:val="24"/>
          <w:highlight w:val="none"/>
        </w:rPr>
        <w:t>投标人应认真核对图纸并复核清单的工程量及项目，如发现工程量清单与图纸内容不符，应在招标疑问收集期间提出质疑，并向招标人提出修正意见。承包人在招标疑问收集期间未对工程量清单提出质疑，即视为承包人对本项目清单中各单一子项工程量及清单中单一子项工程金额10万元以下（不含10万元）漏项的认可，若发生清单中单一子项工程金额达10万元及以上的漏项时，承包人须委托区财政局委托评审的社会中介机构或该工程原招标代理（或预算编制）单位复核并出具工程漏项清单报告以书面形式单列提出，在工程结算时由财政评审单位审核通过后，发包人与承包人按照评审结果各承担50%的比例予以调整。对于上述漏项，承包人需在第一次图纸会审会议（合同签订后15天内召开）中提出，逾期提出，发包人将不予受理。</w:t>
      </w:r>
    </w:p>
    <w:p>
      <w:pPr>
        <w:pStyle w:val="5"/>
        <w:spacing w:after="0" w:line="360" w:lineRule="auto"/>
        <w:ind w:left="-2" w:leftChars="-1" w:firstLine="960" w:firstLineChars="400"/>
        <w:rPr>
          <w:rFonts w:ascii="宋体"/>
          <w:color w:val="auto"/>
          <w:sz w:val="24"/>
          <w:highlight w:val="none"/>
        </w:rPr>
      </w:pPr>
    </w:p>
    <w:p>
      <w:pPr>
        <w:rPr>
          <w:color w:val="auto"/>
          <w:highlight w:val="none"/>
        </w:rPr>
      </w:pPr>
    </w:p>
    <w:p>
      <w:pPr>
        <w:pStyle w:val="3"/>
        <w:numPr>
          <w:ilvl w:val="0"/>
          <w:numId w:val="10"/>
        </w:numPr>
        <w:rPr>
          <w:color w:val="auto"/>
          <w:highlight w:val="none"/>
        </w:rPr>
      </w:pPr>
      <w:r>
        <w:rPr>
          <w:color w:val="auto"/>
          <w:sz w:val="24"/>
          <w:szCs w:val="24"/>
          <w:highlight w:val="none"/>
        </w:rPr>
        <w:br w:type="page"/>
      </w:r>
      <w:bookmarkStart w:id="21" w:name="_Toc12485"/>
      <w:r>
        <w:rPr>
          <w:color w:val="auto"/>
          <w:highlight w:val="none"/>
        </w:rPr>
        <w:t xml:space="preserve"> </w:t>
      </w:r>
      <w:r>
        <w:rPr>
          <w:rFonts w:hint="eastAsia"/>
          <w:color w:val="auto"/>
          <w:highlight w:val="none"/>
        </w:rPr>
        <w:t>最高投标限价</w:t>
      </w:r>
      <w:bookmarkEnd w:id="21"/>
    </w:p>
    <w:p>
      <w:pPr>
        <w:pStyle w:val="5"/>
        <w:ind w:firstLine="0"/>
        <w:jc w:val="center"/>
        <w:rPr>
          <w:b/>
          <w:bCs/>
          <w:color w:val="auto"/>
          <w:sz w:val="24"/>
          <w:szCs w:val="24"/>
          <w:highlight w:val="none"/>
        </w:rPr>
      </w:pPr>
      <w:r>
        <w:rPr>
          <w:rFonts w:hint="eastAsia"/>
          <w:b/>
          <w:bCs/>
          <w:color w:val="auto"/>
          <w:sz w:val="24"/>
          <w:szCs w:val="24"/>
          <w:highlight w:val="none"/>
        </w:rPr>
        <w:t>（另册：最高投标限价公布函）</w:t>
      </w:r>
    </w:p>
    <w:p>
      <w:pPr>
        <w:spacing w:line="360" w:lineRule="auto"/>
        <w:ind w:firstLine="480"/>
        <w:rPr>
          <w:rFonts w:ascii="宋体" w:hAnsi="宋体"/>
          <w:color w:val="auto"/>
          <w:sz w:val="24"/>
          <w:szCs w:val="24"/>
          <w:highlight w:val="none"/>
        </w:rPr>
      </w:pPr>
      <w:r>
        <w:rPr>
          <w:rFonts w:hint="eastAsia"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pacing w:line="360" w:lineRule="auto"/>
        <w:ind w:firstLine="480"/>
        <w:rPr>
          <w:rFonts w:ascii="宋体" w:hAnsi="宋体"/>
          <w:color w:val="auto"/>
          <w:sz w:val="24"/>
          <w:szCs w:val="24"/>
          <w:highlight w:val="none"/>
          <w:u w:val="single"/>
        </w:rPr>
      </w:pPr>
    </w:p>
    <w:p>
      <w:pPr>
        <w:spacing w:line="360" w:lineRule="auto"/>
        <w:ind w:firstLine="480"/>
        <w:rPr>
          <w:rFonts w:ascii="宋体" w:hAnsi="宋体"/>
          <w:color w:val="auto"/>
          <w:sz w:val="24"/>
          <w:szCs w:val="24"/>
          <w:highlight w:val="none"/>
          <w:u w:val="single"/>
        </w:rPr>
      </w:pPr>
    </w:p>
    <w:p>
      <w:pPr>
        <w:rPr>
          <w:color w:val="auto"/>
          <w:highlight w:val="none"/>
        </w:rPr>
      </w:pPr>
    </w:p>
    <w:p>
      <w:pPr>
        <w:rPr>
          <w:color w:val="auto"/>
          <w:highlight w:val="none"/>
        </w:rPr>
      </w:pPr>
    </w:p>
    <w:p/>
    <w:sectPr>
      <w:footerReference r:id="rId18" w:type="default"/>
      <w:footerReference r:id="rId19"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Calisto MT">
    <w:altName w:val="Segoe Print"/>
    <w:panose1 w:val="02040603050505030304"/>
    <w:charset w:val="00"/>
    <w:family w:val="roman"/>
    <w:pitch w:val="default"/>
    <w:sig w:usb0="00000000" w:usb1="00000000" w:usb2="00000000" w:usb3="00000000" w:csb0="20000001" w:csb1="00000000"/>
  </w:font>
  <w:font w:name="DejaVu Sans">
    <w:altName w:val="Segoe Print"/>
    <w:panose1 w:val="00000000000000000000"/>
    <w:charset w:val="00"/>
    <w:family w:val="roman"/>
    <w:pitch w:val="default"/>
    <w:sig w:usb0="00000000" w:usb1="00000000" w:usb2="00000008" w:usb3="00000000" w:csb0="000001FF"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rPr>
        <w:rStyle w:val="5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87</w:t>
    </w:r>
    <w:r>
      <w:fldChar w:fldCharType="end"/>
    </w:r>
  </w:p>
  <w:p>
    <w:pPr>
      <w:pStyle w:val="35"/>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end"/>
    </w:r>
  </w:p>
  <w:p>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rPr>
        <w:rStyle w:val="55"/>
      </w:rPr>
    </w:pPr>
    <w:r>
      <w:fldChar w:fldCharType="begin"/>
    </w:r>
    <w:r>
      <w:rPr>
        <w:rStyle w:val="55"/>
      </w:rPr>
      <w:instrText xml:space="preserve">PAGE  </w:instrText>
    </w:r>
    <w:r>
      <w:fldChar w:fldCharType="separate"/>
    </w:r>
    <w:r>
      <w:rPr>
        <w:rStyle w:val="55"/>
        <w:rFonts w:hint="eastAsia"/>
      </w:rPr>
      <w:t>一</w:t>
    </w:r>
    <w:r>
      <w:rPr>
        <w:rStyle w:val="55"/>
      </w:rPr>
      <w:t>–2</w:t>
    </w:r>
    <w:r>
      <w:fldChar w:fldCharType="end"/>
    </w:r>
  </w:p>
  <w:p>
    <w:pPr>
      <w:pStyle w:val="35"/>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jc w:val="center"/>
      <w:rPr>
        <w:rStyle w:val="55"/>
      </w:rPr>
    </w:pPr>
    <w:r>
      <w:fldChar w:fldCharType="begin"/>
    </w:r>
    <w:r>
      <w:rPr>
        <w:rStyle w:val="55"/>
      </w:rPr>
      <w:instrText xml:space="preserve">PAGE  </w:instrText>
    </w:r>
    <w:r>
      <w:fldChar w:fldCharType="separate"/>
    </w:r>
    <w:r>
      <w:rPr>
        <w:rStyle w:val="55"/>
      </w:rPr>
      <w:t>5</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firstLine="392"/>
      <w:jc w:val="center"/>
    </w:pPr>
    <w:r>
      <w:fldChar w:fldCharType="begin"/>
    </w:r>
    <w:r>
      <w:rPr>
        <w:rStyle w:val="55"/>
      </w:rPr>
      <w:instrText xml:space="preserve"> PAGE </w:instrText>
    </w:r>
    <w:r>
      <w:fldChar w:fldCharType="separate"/>
    </w:r>
    <w:r>
      <w:rPr>
        <w:rStyle w:val="55"/>
      </w:rPr>
      <w:t>51</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jc w:val="center"/>
      <w:rPr>
        <w:rStyle w:val="55"/>
      </w:rPr>
    </w:pPr>
    <w:r>
      <w:fldChar w:fldCharType="begin"/>
    </w:r>
    <w:r>
      <w:rPr>
        <w:rStyle w:val="55"/>
      </w:rPr>
      <w:instrText xml:space="preserve">PAGE  </w:instrText>
    </w:r>
    <w:r>
      <w:fldChar w:fldCharType="separate"/>
    </w:r>
    <w:r>
      <w:rPr>
        <w:rStyle w:val="55"/>
      </w:rPr>
      <w:t>60</w:t>
    </w:r>
    <w:r>
      <w:fldChar w:fldCharType="end"/>
    </w:r>
  </w:p>
  <w:p>
    <w:pPr>
      <w:pStyle w:val="35"/>
      <w:framePr w:wrap="around" w:vAnchor="text" w:hAnchor="margin" w:xAlign="outside" w:y="1"/>
      <w:ind w:left="-4410" w:leftChars="-2100" w:right="-4439" w:rightChars="-2114"/>
      <w:rPr>
        <w:rStyle w:val="55"/>
      </w:rPr>
    </w:pPr>
  </w:p>
  <w:p>
    <w:pPr>
      <w:pStyle w:val="35"/>
      <w:ind w:right="360" w:firstLine="36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outside" w:y="1"/>
      <w:rPr>
        <w:rStyle w:val="55"/>
      </w:rPr>
    </w:pPr>
    <w:r>
      <w:fldChar w:fldCharType="begin"/>
    </w:r>
    <w:r>
      <w:rPr>
        <w:rStyle w:val="55"/>
      </w:rPr>
      <w:instrText xml:space="preserve">PAGE  </w:instrText>
    </w:r>
    <w:r>
      <w:fldChar w:fldCharType="separate"/>
    </w:r>
    <w:r>
      <w:rPr>
        <w:rStyle w:val="55"/>
        <w:rFonts w:hint="eastAsia"/>
      </w:rPr>
      <w:t>一</w:t>
    </w:r>
    <w:r>
      <w:rPr>
        <w:rStyle w:val="55"/>
      </w:rPr>
      <w:t>–2</w:t>
    </w:r>
    <w:r>
      <w:fldChar w:fldCharType="end"/>
    </w:r>
  </w:p>
  <w:p>
    <w:pPr>
      <w:pStyle w:val="35"/>
      <w:ind w:right="360" w:firstLine="360"/>
      <w:jc w:val="center"/>
    </w:pPr>
    <w:r>
      <w:rPr>
        <w:sz w:val="20"/>
      </w:rPr>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jc w:val="center"/>
    </w:pPr>
    <w:r>
      <w:fldChar w:fldCharType="begin"/>
    </w:r>
    <w:r>
      <w:rPr>
        <w:rStyle w:val="55"/>
      </w:rPr>
      <w:instrText xml:space="preserve"> PAGE </w:instrText>
    </w:r>
    <w:r>
      <w:fldChar w:fldCharType="separate"/>
    </w:r>
    <w:r>
      <w:rPr>
        <w:rStyle w:val="55"/>
      </w:rPr>
      <w:t>55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framePr w:wrap="around" w:vAnchor="text" w:hAnchor="margin" w:xAlign="center" w:y="1"/>
      <w:rPr>
        <w:rStyle w:val="55"/>
      </w:rPr>
    </w:pPr>
    <w:r>
      <w:fldChar w:fldCharType="begin"/>
    </w:r>
    <w:r>
      <w:rPr>
        <w:rStyle w:val="55"/>
      </w:rPr>
      <w:instrText xml:space="preserve">PAGE  </w:instrText>
    </w:r>
    <w:r>
      <w:fldChar w:fldCharType="separate"/>
    </w:r>
    <w:r>
      <w:rPr>
        <w:rStyle w:val="55"/>
      </w:rPr>
      <w:t>61</w:t>
    </w:r>
    <w:r>
      <w:fldChar w:fldCharType="end"/>
    </w:r>
  </w:p>
  <w:p>
    <w:pPr>
      <w:pStyle w:val="3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right"/>
      <w:rPr>
        <w:i/>
        <w:iCs/>
      </w:rPr>
    </w:pPr>
    <w:r>
      <w:rPr>
        <w:rFonts w:hint="eastAsia"/>
        <w:i/>
        <w:iCs/>
      </w:rPr>
      <w:t>横枝岗路道路排水改造工程招标文件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0"/>
      </w:pBdr>
      <w:jc w:val="right"/>
      <w:rPr>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japaneseCounting"/>
      <w:lvlText w:val="%1、"/>
      <w:lvlJc w:val="left"/>
      <w:pPr>
        <w:tabs>
          <w:tab w:val="left" w:pos="1260"/>
        </w:tabs>
        <w:ind w:left="1260" w:hanging="720"/>
      </w:pPr>
      <w:rPr>
        <w:rFonts w:hint="default"/>
      </w:r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
    <w:nsid w:val="0000000E"/>
    <w:multiLevelType w:val="multilevel"/>
    <w:tmpl w:val="0000000E"/>
    <w:lvl w:ilvl="0" w:tentative="0">
      <w:start w:val="1"/>
      <w:numFmt w:val="japaneseCounting"/>
      <w:lvlText w:val="%1、"/>
      <w:lvlJc w:val="left"/>
      <w:pPr>
        <w:tabs>
          <w:tab w:val="left" w:pos="570"/>
        </w:tabs>
        <w:ind w:left="570" w:hanging="570"/>
      </w:pPr>
      <w:rPr>
        <w:rFonts w:hint="eastAsia" w:ascii="仿宋_GB2312" w:hAnsi="宋体" w:eastAsia="仿宋_GB2312"/>
        <w:b w:val="0"/>
        <w:color w:val="auto"/>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931F025"/>
    <w:multiLevelType w:val="singleLevel"/>
    <w:tmpl w:val="1931F025"/>
    <w:lvl w:ilvl="0" w:tentative="0">
      <w:start w:val="2"/>
      <w:numFmt w:val="decimal"/>
      <w:suff w:val="nothing"/>
      <w:lvlText w:val="%1、"/>
      <w:lvlJc w:val="left"/>
    </w:lvl>
  </w:abstractNum>
  <w:abstractNum w:abstractNumId="3">
    <w:nsid w:val="22607BF1"/>
    <w:multiLevelType w:val="multilevel"/>
    <w:tmpl w:val="22607BF1"/>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4">
    <w:nsid w:val="23F10DE1"/>
    <w:multiLevelType w:val="singleLevel"/>
    <w:tmpl w:val="23F10DE1"/>
    <w:lvl w:ilvl="0" w:tentative="0">
      <w:start w:val="8"/>
      <w:numFmt w:val="chineseCounting"/>
      <w:suff w:val="space"/>
      <w:lvlText w:val="第%1章"/>
      <w:lvlJc w:val="left"/>
      <w:rPr>
        <w:rFonts w:hint="eastAsia"/>
      </w:rPr>
    </w:lvl>
  </w:abstractNum>
  <w:abstractNum w:abstractNumId="5">
    <w:nsid w:val="259905B5"/>
    <w:multiLevelType w:val="multilevel"/>
    <w:tmpl w:val="259905B5"/>
    <w:lvl w:ilvl="0" w:tentative="0">
      <w:start w:val="1"/>
      <w:numFmt w:val="chineseCountingThousand"/>
      <w:pStyle w:val="306"/>
      <w:suff w:val="space"/>
      <w:lvlText w:val="第%1章"/>
      <w:lvlJc w:val="left"/>
      <w:pPr>
        <w:ind w:left="567" w:hanging="279"/>
      </w:pPr>
      <w:rPr>
        <w:rFonts w:hint="eastAsia" w:ascii="宋体" w:eastAsia="宋体" w:cs="Times New Roman"/>
        <w:b/>
        <w:i w:val="0"/>
        <w:spacing w:val="0"/>
        <w:position w:val="0"/>
        <w:sz w:val="44"/>
      </w:rPr>
    </w:lvl>
    <w:lvl w:ilvl="1" w:tentative="0">
      <w:start w:val="1"/>
      <w:numFmt w:val="decimal"/>
      <w:suff w:val="space"/>
      <w:lvlText w:val="%2."/>
      <w:lvlJc w:val="left"/>
      <w:pPr>
        <w:ind w:left="454" w:hanging="454"/>
      </w:pPr>
      <w:rPr>
        <w:rFonts w:hint="eastAsia" w:ascii="宋体" w:eastAsia="宋体" w:cs="Times New Roman"/>
        <w:b/>
        <w:i w:val="0"/>
        <w:sz w:val="32"/>
      </w:rPr>
    </w:lvl>
    <w:lvl w:ilvl="2" w:tentative="0">
      <w:start w:val="1"/>
      <w:numFmt w:val="decimal"/>
      <w:suff w:val="space"/>
      <w:lvlText w:val="%2.%3"/>
      <w:lvlJc w:val="left"/>
      <w:pPr>
        <w:ind w:left="454" w:hanging="454"/>
      </w:pPr>
      <w:rPr>
        <w:rFonts w:hint="eastAsia" w:ascii="宋体" w:eastAsia="宋体" w:cs="Times New Roman"/>
        <w:b/>
        <w:i w:val="0"/>
        <w:sz w:val="28"/>
      </w:rPr>
    </w:lvl>
    <w:lvl w:ilvl="3" w:tentative="0">
      <w:start w:val="1"/>
      <w:numFmt w:val="decimal"/>
      <w:pStyle w:val="10"/>
      <w:suff w:val="space"/>
      <w:lvlText w:val="%2.%3.%4"/>
      <w:lvlJc w:val="left"/>
      <w:pPr>
        <w:ind w:left="284" w:hanging="284"/>
      </w:pPr>
      <w:rPr>
        <w:rFonts w:hint="eastAsia" w:ascii="宋体" w:eastAsia="宋体" w:cs="Times New Roman"/>
        <w:b/>
        <w:i w:val="0"/>
        <w:sz w:val="28"/>
      </w:rPr>
    </w:lvl>
    <w:lvl w:ilvl="4" w:tentative="0">
      <w:start w:val="1"/>
      <w:numFmt w:val="decimal"/>
      <w:pStyle w:val="11"/>
      <w:isLgl/>
      <w:suff w:val="space"/>
      <w:lvlText w:val="%2.%3.%4.%5"/>
      <w:lvlJc w:val="left"/>
      <w:pPr>
        <w:ind w:left="284" w:hanging="284"/>
      </w:pPr>
      <w:rPr>
        <w:rFonts w:hint="eastAsia" w:ascii="宋体" w:eastAsia="宋体" w:cs="Times New Roman"/>
        <w:b/>
        <w:i w:val="0"/>
        <w:strike w:val="0"/>
        <w:dstrike w:val="0"/>
        <w:sz w:val="28"/>
      </w:rPr>
    </w:lvl>
    <w:lvl w:ilvl="5" w:tentative="0">
      <w:start w:val="1"/>
      <w:numFmt w:val="decimal"/>
      <w:lvlRestart w:val="0"/>
      <w:suff w:val="space"/>
      <w:lvlText w:val="1.1.1.1.1.%6%5"/>
      <w:lvlJc w:val="left"/>
      <w:rPr>
        <w:rFonts w:hint="eastAsia" w:ascii="宋体" w:eastAsia="宋体" w:cs="Times New Roman"/>
        <w:b/>
        <w:i w:val="0"/>
        <w:sz w:val="28"/>
      </w:rPr>
    </w:lvl>
    <w:lvl w:ilvl="6" w:tentative="0">
      <w:start w:val="1"/>
      <w:numFmt w:val="none"/>
      <w:pStyle w:val="13"/>
      <w:suff w:val="nothing"/>
      <w:lvlText w:val=""/>
      <w:lvlJc w:val="left"/>
      <w:rPr>
        <w:rFonts w:hint="eastAsia" w:cs="Times New Roman"/>
      </w:rPr>
    </w:lvl>
    <w:lvl w:ilvl="7" w:tentative="0">
      <w:start w:val="1"/>
      <w:numFmt w:val="none"/>
      <w:pStyle w:val="14"/>
      <w:suff w:val="nothing"/>
      <w:lvlText w:val=""/>
      <w:lvlJc w:val="left"/>
      <w:rPr>
        <w:rFonts w:hint="eastAsia" w:cs="Times New Roman"/>
      </w:rPr>
    </w:lvl>
    <w:lvl w:ilvl="8" w:tentative="0">
      <w:start w:val="1"/>
      <w:numFmt w:val="none"/>
      <w:pStyle w:val="15"/>
      <w:suff w:val="nothing"/>
      <w:lvlText w:val=""/>
      <w:lvlJc w:val="left"/>
      <w:rPr>
        <w:rFonts w:hint="eastAsia" w:cs="Times New Roman"/>
      </w:rPr>
    </w:lvl>
  </w:abstractNum>
  <w:abstractNum w:abstractNumId="6">
    <w:nsid w:val="294D3AC6"/>
    <w:multiLevelType w:val="singleLevel"/>
    <w:tmpl w:val="294D3AC6"/>
    <w:lvl w:ilvl="0" w:tentative="0">
      <w:start w:val="1"/>
      <w:numFmt w:val="decimal"/>
      <w:pStyle w:val="254"/>
      <w:lvlText w:val="（%1）"/>
      <w:lvlJc w:val="left"/>
      <w:pPr>
        <w:tabs>
          <w:tab w:val="left" w:pos="957"/>
        </w:tabs>
        <w:ind w:left="957" w:hanging="525"/>
      </w:pPr>
      <w:rPr>
        <w:rFonts w:hint="eastAsia" w:cs="Times New Roman"/>
      </w:rPr>
    </w:lvl>
  </w:abstractNum>
  <w:abstractNum w:abstractNumId="7">
    <w:nsid w:val="45383389"/>
    <w:multiLevelType w:val="singleLevel"/>
    <w:tmpl w:val="45383389"/>
    <w:lvl w:ilvl="0" w:tentative="0">
      <w:start w:val="1"/>
      <w:numFmt w:val="decimal"/>
      <w:pStyle w:val="308"/>
      <w:lvlText w:val="%1．"/>
      <w:lvlJc w:val="left"/>
      <w:pPr>
        <w:tabs>
          <w:tab w:val="left" w:pos="750"/>
        </w:tabs>
        <w:ind w:left="750" w:hanging="330"/>
      </w:pPr>
      <w:rPr>
        <w:rFonts w:hint="eastAsia" w:cs="Times New Roman"/>
      </w:rPr>
    </w:lvl>
  </w:abstractNum>
  <w:abstractNum w:abstractNumId="8">
    <w:nsid w:val="66830454"/>
    <w:multiLevelType w:val="multilevel"/>
    <w:tmpl w:val="6683045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4FB0463"/>
    <w:multiLevelType w:val="multilevel"/>
    <w:tmpl w:val="74FB0463"/>
    <w:lvl w:ilvl="0" w:tentative="0">
      <w:start w:val="1"/>
      <w:numFmt w:val="decimal"/>
      <w:suff w:val="nothing"/>
      <w:lvlText w:val="第%1篇"/>
      <w:lvlJc w:val="left"/>
      <w:rPr>
        <w:rFonts w:hint="eastAsia" w:cs="Times New Roman"/>
        <w:spacing w:val="60"/>
      </w:rPr>
    </w:lvl>
    <w:lvl w:ilvl="1" w:tentative="0">
      <w:start w:val="1"/>
      <w:numFmt w:val="none"/>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center"/>
      <w:pPr>
        <w:ind w:firstLine="288"/>
      </w:pPr>
      <w:rPr>
        <w:rFonts w:hint="eastAsia" w:cs="Times New Roman"/>
      </w:rPr>
    </w:lvl>
    <w:lvl w:ilvl="5" w:tentative="0">
      <w:start w:val="1"/>
      <w:numFmt w:val="none"/>
      <w:pStyle w:val="12"/>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num w:numId="1">
    <w:abstractNumId w:val="5"/>
  </w:num>
  <w:num w:numId="2">
    <w:abstractNumId w:val="9"/>
  </w:num>
  <w:num w:numId="3">
    <w:abstractNumId w:val="6"/>
  </w:num>
  <w:num w:numId="4">
    <w:abstractNumId w:val="7"/>
  </w:num>
  <w:num w:numId="5">
    <w:abstractNumId w:val="2"/>
  </w:num>
  <w:num w:numId="6">
    <w:abstractNumId w:val="8"/>
  </w:num>
  <w:num w:numId="7">
    <w:abstractNumId w:val="3"/>
  </w:num>
  <w:num w:numId="8">
    <w:abstractNumId w:val="0"/>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5MDc1ZWJjOWQ3M2U0OTQ5YTM2ZmE2Nzc0YTUyYTkifQ=="/>
  </w:docVars>
  <w:rsids>
    <w:rsidRoot w:val="00172A27"/>
    <w:rsid w:val="000052A6"/>
    <w:rsid w:val="00006F1A"/>
    <w:rsid w:val="00007E51"/>
    <w:rsid w:val="00020A10"/>
    <w:rsid w:val="00021215"/>
    <w:rsid w:val="000324E5"/>
    <w:rsid w:val="000477E9"/>
    <w:rsid w:val="00047988"/>
    <w:rsid w:val="000530EA"/>
    <w:rsid w:val="00053F52"/>
    <w:rsid w:val="00057A42"/>
    <w:rsid w:val="00057C27"/>
    <w:rsid w:val="00063659"/>
    <w:rsid w:val="00064F44"/>
    <w:rsid w:val="000662C8"/>
    <w:rsid w:val="00071010"/>
    <w:rsid w:val="00072A2B"/>
    <w:rsid w:val="00075D0C"/>
    <w:rsid w:val="00075ED5"/>
    <w:rsid w:val="00076837"/>
    <w:rsid w:val="0008002C"/>
    <w:rsid w:val="0008025B"/>
    <w:rsid w:val="0008329B"/>
    <w:rsid w:val="00087293"/>
    <w:rsid w:val="00087876"/>
    <w:rsid w:val="000905EE"/>
    <w:rsid w:val="00091473"/>
    <w:rsid w:val="000A121A"/>
    <w:rsid w:val="000A68CE"/>
    <w:rsid w:val="000B0301"/>
    <w:rsid w:val="000B4193"/>
    <w:rsid w:val="000C1B8F"/>
    <w:rsid w:val="000C4EFD"/>
    <w:rsid w:val="000C6689"/>
    <w:rsid w:val="000D53BB"/>
    <w:rsid w:val="000D640D"/>
    <w:rsid w:val="000D7919"/>
    <w:rsid w:val="000E0249"/>
    <w:rsid w:val="000E3D52"/>
    <w:rsid w:val="000E5601"/>
    <w:rsid w:val="000F0AF7"/>
    <w:rsid w:val="000F3ED4"/>
    <w:rsid w:val="000F4AF4"/>
    <w:rsid w:val="000F68CF"/>
    <w:rsid w:val="001019D2"/>
    <w:rsid w:val="00102559"/>
    <w:rsid w:val="001032C9"/>
    <w:rsid w:val="001043D3"/>
    <w:rsid w:val="0010788D"/>
    <w:rsid w:val="0011000F"/>
    <w:rsid w:val="00116B1D"/>
    <w:rsid w:val="0012523B"/>
    <w:rsid w:val="001277CD"/>
    <w:rsid w:val="00130415"/>
    <w:rsid w:val="00131A91"/>
    <w:rsid w:val="00132ACE"/>
    <w:rsid w:val="00133D2F"/>
    <w:rsid w:val="00140939"/>
    <w:rsid w:val="001415E3"/>
    <w:rsid w:val="00146945"/>
    <w:rsid w:val="00152CF2"/>
    <w:rsid w:val="00155FC7"/>
    <w:rsid w:val="0016302F"/>
    <w:rsid w:val="00164497"/>
    <w:rsid w:val="001658CE"/>
    <w:rsid w:val="00177DE9"/>
    <w:rsid w:val="001815B5"/>
    <w:rsid w:val="00191F19"/>
    <w:rsid w:val="001952AB"/>
    <w:rsid w:val="001962B9"/>
    <w:rsid w:val="001964D8"/>
    <w:rsid w:val="001A02CE"/>
    <w:rsid w:val="001A06AD"/>
    <w:rsid w:val="001B7245"/>
    <w:rsid w:val="001C13FE"/>
    <w:rsid w:val="001C51B2"/>
    <w:rsid w:val="001C5DE7"/>
    <w:rsid w:val="001C6B76"/>
    <w:rsid w:val="001C78D8"/>
    <w:rsid w:val="001C7C5D"/>
    <w:rsid w:val="001D0171"/>
    <w:rsid w:val="001D518C"/>
    <w:rsid w:val="001D5598"/>
    <w:rsid w:val="001D7575"/>
    <w:rsid w:val="001E45BF"/>
    <w:rsid w:val="001F1DB8"/>
    <w:rsid w:val="00207966"/>
    <w:rsid w:val="0021046E"/>
    <w:rsid w:val="002112CA"/>
    <w:rsid w:val="002115C4"/>
    <w:rsid w:val="00217AA1"/>
    <w:rsid w:val="00227398"/>
    <w:rsid w:val="002276D5"/>
    <w:rsid w:val="00231574"/>
    <w:rsid w:val="00233199"/>
    <w:rsid w:val="002350A9"/>
    <w:rsid w:val="002361A8"/>
    <w:rsid w:val="00237CC7"/>
    <w:rsid w:val="00237E28"/>
    <w:rsid w:val="0024073B"/>
    <w:rsid w:val="00240E85"/>
    <w:rsid w:val="002428EE"/>
    <w:rsid w:val="00250873"/>
    <w:rsid w:val="00251A2E"/>
    <w:rsid w:val="00254D5D"/>
    <w:rsid w:val="00255301"/>
    <w:rsid w:val="00256666"/>
    <w:rsid w:val="00256C42"/>
    <w:rsid w:val="00257AB3"/>
    <w:rsid w:val="002615BB"/>
    <w:rsid w:val="00264048"/>
    <w:rsid w:val="002641DB"/>
    <w:rsid w:val="00265159"/>
    <w:rsid w:val="00270627"/>
    <w:rsid w:val="00280664"/>
    <w:rsid w:val="00285782"/>
    <w:rsid w:val="00291CE3"/>
    <w:rsid w:val="00291F31"/>
    <w:rsid w:val="00296E5A"/>
    <w:rsid w:val="002A13CE"/>
    <w:rsid w:val="002A6C86"/>
    <w:rsid w:val="002B0328"/>
    <w:rsid w:val="002B07D5"/>
    <w:rsid w:val="002B08B5"/>
    <w:rsid w:val="002B2B5D"/>
    <w:rsid w:val="002C2022"/>
    <w:rsid w:val="002C61BA"/>
    <w:rsid w:val="002D09F7"/>
    <w:rsid w:val="002D0FFC"/>
    <w:rsid w:val="002D104A"/>
    <w:rsid w:val="002E0A9A"/>
    <w:rsid w:val="002E12E5"/>
    <w:rsid w:val="002E2023"/>
    <w:rsid w:val="002E6413"/>
    <w:rsid w:val="002E675E"/>
    <w:rsid w:val="002F553C"/>
    <w:rsid w:val="003039B8"/>
    <w:rsid w:val="003040A9"/>
    <w:rsid w:val="0030492A"/>
    <w:rsid w:val="00304DDF"/>
    <w:rsid w:val="00304F73"/>
    <w:rsid w:val="003067A4"/>
    <w:rsid w:val="00310557"/>
    <w:rsid w:val="00313274"/>
    <w:rsid w:val="00313B2C"/>
    <w:rsid w:val="00315E5D"/>
    <w:rsid w:val="00317804"/>
    <w:rsid w:val="00323865"/>
    <w:rsid w:val="0032461E"/>
    <w:rsid w:val="00327B69"/>
    <w:rsid w:val="00330DE6"/>
    <w:rsid w:val="003328DA"/>
    <w:rsid w:val="00333F87"/>
    <w:rsid w:val="003348FD"/>
    <w:rsid w:val="00335354"/>
    <w:rsid w:val="0034702A"/>
    <w:rsid w:val="003522D1"/>
    <w:rsid w:val="003526C3"/>
    <w:rsid w:val="00353C6D"/>
    <w:rsid w:val="00355032"/>
    <w:rsid w:val="003557BF"/>
    <w:rsid w:val="00363A1F"/>
    <w:rsid w:val="00366167"/>
    <w:rsid w:val="00371C81"/>
    <w:rsid w:val="00371CB0"/>
    <w:rsid w:val="00380AB9"/>
    <w:rsid w:val="00382ADD"/>
    <w:rsid w:val="00384AF3"/>
    <w:rsid w:val="00386F5B"/>
    <w:rsid w:val="003879A7"/>
    <w:rsid w:val="00394F76"/>
    <w:rsid w:val="00396BE6"/>
    <w:rsid w:val="003A4B0A"/>
    <w:rsid w:val="003A781C"/>
    <w:rsid w:val="003B306A"/>
    <w:rsid w:val="003B4FEE"/>
    <w:rsid w:val="003C0E5C"/>
    <w:rsid w:val="003C3D3C"/>
    <w:rsid w:val="003C6584"/>
    <w:rsid w:val="003C682F"/>
    <w:rsid w:val="003D1E5A"/>
    <w:rsid w:val="003D7289"/>
    <w:rsid w:val="003E1DDF"/>
    <w:rsid w:val="003E4322"/>
    <w:rsid w:val="003E57D7"/>
    <w:rsid w:val="003F0FC4"/>
    <w:rsid w:val="003F571F"/>
    <w:rsid w:val="00400BD5"/>
    <w:rsid w:val="0040471C"/>
    <w:rsid w:val="004102B2"/>
    <w:rsid w:val="0041385E"/>
    <w:rsid w:val="0041560F"/>
    <w:rsid w:val="00417D6F"/>
    <w:rsid w:val="004238AC"/>
    <w:rsid w:val="004251B6"/>
    <w:rsid w:val="00426E4B"/>
    <w:rsid w:val="00431FFB"/>
    <w:rsid w:val="00432214"/>
    <w:rsid w:val="00432E11"/>
    <w:rsid w:val="00433B1C"/>
    <w:rsid w:val="004357ED"/>
    <w:rsid w:val="00442AB3"/>
    <w:rsid w:val="00445B6E"/>
    <w:rsid w:val="004518A2"/>
    <w:rsid w:val="0045295A"/>
    <w:rsid w:val="00457E48"/>
    <w:rsid w:val="004650D9"/>
    <w:rsid w:val="004710CE"/>
    <w:rsid w:val="00471D08"/>
    <w:rsid w:val="00481430"/>
    <w:rsid w:val="0048402E"/>
    <w:rsid w:val="00484805"/>
    <w:rsid w:val="004908FA"/>
    <w:rsid w:val="0049099C"/>
    <w:rsid w:val="00491B54"/>
    <w:rsid w:val="00494EEA"/>
    <w:rsid w:val="004A1B03"/>
    <w:rsid w:val="004A5F83"/>
    <w:rsid w:val="004A617E"/>
    <w:rsid w:val="004B2F05"/>
    <w:rsid w:val="004B5364"/>
    <w:rsid w:val="004C27EC"/>
    <w:rsid w:val="004C524F"/>
    <w:rsid w:val="004D2744"/>
    <w:rsid w:val="004D2901"/>
    <w:rsid w:val="004D7340"/>
    <w:rsid w:val="004E1DE1"/>
    <w:rsid w:val="004E4595"/>
    <w:rsid w:val="0050376E"/>
    <w:rsid w:val="00504DBA"/>
    <w:rsid w:val="00510678"/>
    <w:rsid w:val="00513598"/>
    <w:rsid w:val="00516CE1"/>
    <w:rsid w:val="00517341"/>
    <w:rsid w:val="00523A2D"/>
    <w:rsid w:val="005259E6"/>
    <w:rsid w:val="00525C33"/>
    <w:rsid w:val="00527FD2"/>
    <w:rsid w:val="00530D48"/>
    <w:rsid w:val="00531C97"/>
    <w:rsid w:val="0053690D"/>
    <w:rsid w:val="005430F0"/>
    <w:rsid w:val="00556CA7"/>
    <w:rsid w:val="00563784"/>
    <w:rsid w:val="0056407F"/>
    <w:rsid w:val="0057670E"/>
    <w:rsid w:val="0058354E"/>
    <w:rsid w:val="00584249"/>
    <w:rsid w:val="00584B69"/>
    <w:rsid w:val="00587B26"/>
    <w:rsid w:val="00593679"/>
    <w:rsid w:val="00594885"/>
    <w:rsid w:val="00595900"/>
    <w:rsid w:val="005A2624"/>
    <w:rsid w:val="005A6DD6"/>
    <w:rsid w:val="005B3A68"/>
    <w:rsid w:val="005C2CED"/>
    <w:rsid w:val="005D14A6"/>
    <w:rsid w:val="005E3911"/>
    <w:rsid w:val="005F00FE"/>
    <w:rsid w:val="005F1D1C"/>
    <w:rsid w:val="005F40F3"/>
    <w:rsid w:val="005F74C4"/>
    <w:rsid w:val="0060118A"/>
    <w:rsid w:val="0060317D"/>
    <w:rsid w:val="006065AF"/>
    <w:rsid w:val="006071CC"/>
    <w:rsid w:val="006109C9"/>
    <w:rsid w:val="00611B00"/>
    <w:rsid w:val="00611FA1"/>
    <w:rsid w:val="00623D33"/>
    <w:rsid w:val="00624AA1"/>
    <w:rsid w:val="006333C6"/>
    <w:rsid w:val="006352BF"/>
    <w:rsid w:val="0064151A"/>
    <w:rsid w:val="006422D2"/>
    <w:rsid w:val="00643AF1"/>
    <w:rsid w:val="00644F66"/>
    <w:rsid w:val="0064516F"/>
    <w:rsid w:val="006459B8"/>
    <w:rsid w:val="00656123"/>
    <w:rsid w:val="006614B1"/>
    <w:rsid w:val="006617EA"/>
    <w:rsid w:val="00667F0C"/>
    <w:rsid w:val="006715FF"/>
    <w:rsid w:val="006722AB"/>
    <w:rsid w:val="006748E7"/>
    <w:rsid w:val="00676A9B"/>
    <w:rsid w:val="006951CC"/>
    <w:rsid w:val="006A00C3"/>
    <w:rsid w:val="006B0F08"/>
    <w:rsid w:val="006B199A"/>
    <w:rsid w:val="006B2956"/>
    <w:rsid w:val="006B32E2"/>
    <w:rsid w:val="006B5056"/>
    <w:rsid w:val="006B6B0D"/>
    <w:rsid w:val="006C7202"/>
    <w:rsid w:val="006D0462"/>
    <w:rsid w:val="006D376A"/>
    <w:rsid w:val="006D4B7D"/>
    <w:rsid w:val="006E44DB"/>
    <w:rsid w:val="006E53F2"/>
    <w:rsid w:val="006F10B1"/>
    <w:rsid w:val="006F1708"/>
    <w:rsid w:val="006F22D6"/>
    <w:rsid w:val="006F3E12"/>
    <w:rsid w:val="007034DF"/>
    <w:rsid w:val="00704352"/>
    <w:rsid w:val="00704AB9"/>
    <w:rsid w:val="007055E8"/>
    <w:rsid w:val="00706AB0"/>
    <w:rsid w:val="007103B6"/>
    <w:rsid w:val="00722250"/>
    <w:rsid w:val="007237B2"/>
    <w:rsid w:val="00732793"/>
    <w:rsid w:val="00734ACD"/>
    <w:rsid w:val="00736852"/>
    <w:rsid w:val="00742A99"/>
    <w:rsid w:val="00747747"/>
    <w:rsid w:val="00747DDB"/>
    <w:rsid w:val="0076060A"/>
    <w:rsid w:val="00763B1B"/>
    <w:rsid w:val="007649D9"/>
    <w:rsid w:val="00765EB4"/>
    <w:rsid w:val="00766193"/>
    <w:rsid w:val="007667B4"/>
    <w:rsid w:val="00766EA6"/>
    <w:rsid w:val="007739D3"/>
    <w:rsid w:val="00780AAA"/>
    <w:rsid w:val="007836E3"/>
    <w:rsid w:val="00785D05"/>
    <w:rsid w:val="007A13AF"/>
    <w:rsid w:val="007A60A3"/>
    <w:rsid w:val="007B0DB1"/>
    <w:rsid w:val="007B41BE"/>
    <w:rsid w:val="007B7FC2"/>
    <w:rsid w:val="007C2DCD"/>
    <w:rsid w:val="007D574C"/>
    <w:rsid w:val="007D5DB9"/>
    <w:rsid w:val="007E1A19"/>
    <w:rsid w:val="007E3506"/>
    <w:rsid w:val="007E4C81"/>
    <w:rsid w:val="007E558D"/>
    <w:rsid w:val="007E5BA8"/>
    <w:rsid w:val="007F15F5"/>
    <w:rsid w:val="007F7180"/>
    <w:rsid w:val="008002B5"/>
    <w:rsid w:val="00801D22"/>
    <w:rsid w:val="00805F18"/>
    <w:rsid w:val="008100A9"/>
    <w:rsid w:val="008125EF"/>
    <w:rsid w:val="008147E4"/>
    <w:rsid w:val="00815D5E"/>
    <w:rsid w:val="008174CD"/>
    <w:rsid w:val="00821B8C"/>
    <w:rsid w:val="0082302A"/>
    <w:rsid w:val="00826815"/>
    <w:rsid w:val="00826CA9"/>
    <w:rsid w:val="00831B79"/>
    <w:rsid w:val="00841A26"/>
    <w:rsid w:val="008449D3"/>
    <w:rsid w:val="00847038"/>
    <w:rsid w:val="00853529"/>
    <w:rsid w:val="00855DF8"/>
    <w:rsid w:val="0085741F"/>
    <w:rsid w:val="00860E05"/>
    <w:rsid w:val="008610B7"/>
    <w:rsid w:val="00861F55"/>
    <w:rsid w:val="008624DC"/>
    <w:rsid w:val="0086260D"/>
    <w:rsid w:val="00863329"/>
    <w:rsid w:val="008643BD"/>
    <w:rsid w:val="0086516E"/>
    <w:rsid w:val="00875632"/>
    <w:rsid w:val="0087614B"/>
    <w:rsid w:val="00876156"/>
    <w:rsid w:val="00880F8B"/>
    <w:rsid w:val="00881879"/>
    <w:rsid w:val="00883788"/>
    <w:rsid w:val="008863FA"/>
    <w:rsid w:val="00887E5C"/>
    <w:rsid w:val="00896624"/>
    <w:rsid w:val="00897CFA"/>
    <w:rsid w:val="00897EE5"/>
    <w:rsid w:val="008A0349"/>
    <w:rsid w:val="008A1536"/>
    <w:rsid w:val="008B1C37"/>
    <w:rsid w:val="008B7608"/>
    <w:rsid w:val="008D4C51"/>
    <w:rsid w:val="008D6739"/>
    <w:rsid w:val="008F35F8"/>
    <w:rsid w:val="00902EE6"/>
    <w:rsid w:val="00910925"/>
    <w:rsid w:val="009153D5"/>
    <w:rsid w:val="0092235B"/>
    <w:rsid w:val="009237A8"/>
    <w:rsid w:val="009264B2"/>
    <w:rsid w:val="0092698F"/>
    <w:rsid w:val="00927210"/>
    <w:rsid w:val="00936E99"/>
    <w:rsid w:val="00947FBF"/>
    <w:rsid w:val="00955AEF"/>
    <w:rsid w:val="009613F8"/>
    <w:rsid w:val="0096231C"/>
    <w:rsid w:val="00964203"/>
    <w:rsid w:val="00965C9C"/>
    <w:rsid w:val="00970107"/>
    <w:rsid w:val="00970EB6"/>
    <w:rsid w:val="00972EE6"/>
    <w:rsid w:val="009736C1"/>
    <w:rsid w:val="00976F0E"/>
    <w:rsid w:val="009865BE"/>
    <w:rsid w:val="00986F57"/>
    <w:rsid w:val="0099075E"/>
    <w:rsid w:val="00994CA1"/>
    <w:rsid w:val="0099768F"/>
    <w:rsid w:val="00997757"/>
    <w:rsid w:val="009A10B0"/>
    <w:rsid w:val="009A669C"/>
    <w:rsid w:val="009B1F09"/>
    <w:rsid w:val="009B39C6"/>
    <w:rsid w:val="009B6063"/>
    <w:rsid w:val="009B6DEC"/>
    <w:rsid w:val="009C29C9"/>
    <w:rsid w:val="009C2C72"/>
    <w:rsid w:val="009C7558"/>
    <w:rsid w:val="009D7CE3"/>
    <w:rsid w:val="009D7F2E"/>
    <w:rsid w:val="009F02D0"/>
    <w:rsid w:val="009F1599"/>
    <w:rsid w:val="009F2793"/>
    <w:rsid w:val="009F5C10"/>
    <w:rsid w:val="009F78E4"/>
    <w:rsid w:val="009F7C5C"/>
    <w:rsid w:val="00A00D65"/>
    <w:rsid w:val="00A024F5"/>
    <w:rsid w:val="00A02B05"/>
    <w:rsid w:val="00A14F77"/>
    <w:rsid w:val="00A22B0F"/>
    <w:rsid w:val="00A22E7D"/>
    <w:rsid w:val="00A35622"/>
    <w:rsid w:val="00A37BD5"/>
    <w:rsid w:val="00A41691"/>
    <w:rsid w:val="00A42047"/>
    <w:rsid w:val="00A456D5"/>
    <w:rsid w:val="00A540E9"/>
    <w:rsid w:val="00A61EAB"/>
    <w:rsid w:val="00A62981"/>
    <w:rsid w:val="00A65B31"/>
    <w:rsid w:val="00A665F0"/>
    <w:rsid w:val="00A66B33"/>
    <w:rsid w:val="00A6771D"/>
    <w:rsid w:val="00A7066A"/>
    <w:rsid w:val="00A7263E"/>
    <w:rsid w:val="00A733EE"/>
    <w:rsid w:val="00A7381D"/>
    <w:rsid w:val="00A80E3F"/>
    <w:rsid w:val="00A92FB5"/>
    <w:rsid w:val="00A935F1"/>
    <w:rsid w:val="00A95997"/>
    <w:rsid w:val="00A9714F"/>
    <w:rsid w:val="00AA0225"/>
    <w:rsid w:val="00AA50F5"/>
    <w:rsid w:val="00AB134C"/>
    <w:rsid w:val="00AB364E"/>
    <w:rsid w:val="00AB6CD8"/>
    <w:rsid w:val="00AB7559"/>
    <w:rsid w:val="00AC5A63"/>
    <w:rsid w:val="00AC6DA4"/>
    <w:rsid w:val="00AC74CD"/>
    <w:rsid w:val="00AD09E5"/>
    <w:rsid w:val="00AD1114"/>
    <w:rsid w:val="00AD111B"/>
    <w:rsid w:val="00AD2004"/>
    <w:rsid w:val="00AD77C5"/>
    <w:rsid w:val="00AE1086"/>
    <w:rsid w:val="00AF4CEB"/>
    <w:rsid w:val="00B04828"/>
    <w:rsid w:val="00B10668"/>
    <w:rsid w:val="00B15F09"/>
    <w:rsid w:val="00B16326"/>
    <w:rsid w:val="00B17D24"/>
    <w:rsid w:val="00B22B58"/>
    <w:rsid w:val="00B244A8"/>
    <w:rsid w:val="00B326B9"/>
    <w:rsid w:val="00B339F9"/>
    <w:rsid w:val="00B377D8"/>
    <w:rsid w:val="00B408A4"/>
    <w:rsid w:val="00B42A2D"/>
    <w:rsid w:val="00B43657"/>
    <w:rsid w:val="00B4664C"/>
    <w:rsid w:val="00B5278F"/>
    <w:rsid w:val="00B55CB1"/>
    <w:rsid w:val="00B564BB"/>
    <w:rsid w:val="00B66ECB"/>
    <w:rsid w:val="00B66ED6"/>
    <w:rsid w:val="00B70110"/>
    <w:rsid w:val="00B701BC"/>
    <w:rsid w:val="00B71AD3"/>
    <w:rsid w:val="00B81E28"/>
    <w:rsid w:val="00B9192A"/>
    <w:rsid w:val="00B93351"/>
    <w:rsid w:val="00B94F27"/>
    <w:rsid w:val="00B95E84"/>
    <w:rsid w:val="00B96A0C"/>
    <w:rsid w:val="00BA1175"/>
    <w:rsid w:val="00BB455A"/>
    <w:rsid w:val="00BB4AFB"/>
    <w:rsid w:val="00BC161C"/>
    <w:rsid w:val="00BC3696"/>
    <w:rsid w:val="00BC45FF"/>
    <w:rsid w:val="00BD1CE9"/>
    <w:rsid w:val="00BD4E60"/>
    <w:rsid w:val="00BD55AC"/>
    <w:rsid w:val="00BE17C4"/>
    <w:rsid w:val="00BE1A4C"/>
    <w:rsid w:val="00BF06E8"/>
    <w:rsid w:val="00BF271E"/>
    <w:rsid w:val="00BF5FFE"/>
    <w:rsid w:val="00C10C98"/>
    <w:rsid w:val="00C12A93"/>
    <w:rsid w:val="00C13A18"/>
    <w:rsid w:val="00C13A90"/>
    <w:rsid w:val="00C1777B"/>
    <w:rsid w:val="00C2040D"/>
    <w:rsid w:val="00C23657"/>
    <w:rsid w:val="00C31D71"/>
    <w:rsid w:val="00C32EE0"/>
    <w:rsid w:val="00C349B6"/>
    <w:rsid w:val="00C356CB"/>
    <w:rsid w:val="00C400EB"/>
    <w:rsid w:val="00C408D3"/>
    <w:rsid w:val="00C42D52"/>
    <w:rsid w:val="00C46D7B"/>
    <w:rsid w:val="00C5161D"/>
    <w:rsid w:val="00C51BE4"/>
    <w:rsid w:val="00C639BB"/>
    <w:rsid w:val="00C65559"/>
    <w:rsid w:val="00C6623E"/>
    <w:rsid w:val="00C6771C"/>
    <w:rsid w:val="00C75C7B"/>
    <w:rsid w:val="00C834D4"/>
    <w:rsid w:val="00C86130"/>
    <w:rsid w:val="00C8650D"/>
    <w:rsid w:val="00C93CCA"/>
    <w:rsid w:val="00C954A9"/>
    <w:rsid w:val="00CA1179"/>
    <w:rsid w:val="00CA2D54"/>
    <w:rsid w:val="00CA4D0D"/>
    <w:rsid w:val="00CB03BB"/>
    <w:rsid w:val="00CB0AB5"/>
    <w:rsid w:val="00CB3EAB"/>
    <w:rsid w:val="00CB48EA"/>
    <w:rsid w:val="00CC2BD7"/>
    <w:rsid w:val="00CD0840"/>
    <w:rsid w:val="00CD09D7"/>
    <w:rsid w:val="00CD517C"/>
    <w:rsid w:val="00CD6EEA"/>
    <w:rsid w:val="00CE3BD3"/>
    <w:rsid w:val="00CF7247"/>
    <w:rsid w:val="00D052E8"/>
    <w:rsid w:val="00D11643"/>
    <w:rsid w:val="00D1277A"/>
    <w:rsid w:val="00D13408"/>
    <w:rsid w:val="00D13F94"/>
    <w:rsid w:val="00D160B4"/>
    <w:rsid w:val="00D209C3"/>
    <w:rsid w:val="00D23DF9"/>
    <w:rsid w:val="00D27280"/>
    <w:rsid w:val="00D4182D"/>
    <w:rsid w:val="00D42B18"/>
    <w:rsid w:val="00D47795"/>
    <w:rsid w:val="00D520B3"/>
    <w:rsid w:val="00D53CE1"/>
    <w:rsid w:val="00D55C71"/>
    <w:rsid w:val="00D571A6"/>
    <w:rsid w:val="00D61F57"/>
    <w:rsid w:val="00D63F39"/>
    <w:rsid w:val="00D66825"/>
    <w:rsid w:val="00D668BF"/>
    <w:rsid w:val="00D769C7"/>
    <w:rsid w:val="00D809CC"/>
    <w:rsid w:val="00D85019"/>
    <w:rsid w:val="00D87A48"/>
    <w:rsid w:val="00D92208"/>
    <w:rsid w:val="00D92E1B"/>
    <w:rsid w:val="00D95D09"/>
    <w:rsid w:val="00DA2B86"/>
    <w:rsid w:val="00DA33DC"/>
    <w:rsid w:val="00DC334D"/>
    <w:rsid w:val="00DC53E5"/>
    <w:rsid w:val="00DC726E"/>
    <w:rsid w:val="00DD087A"/>
    <w:rsid w:val="00DD15DA"/>
    <w:rsid w:val="00DD39F7"/>
    <w:rsid w:val="00DD3A20"/>
    <w:rsid w:val="00DE1548"/>
    <w:rsid w:val="00DE2532"/>
    <w:rsid w:val="00DE4F8D"/>
    <w:rsid w:val="00DE7F75"/>
    <w:rsid w:val="00DF0FEA"/>
    <w:rsid w:val="00E00DBC"/>
    <w:rsid w:val="00E0419C"/>
    <w:rsid w:val="00E04930"/>
    <w:rsid w:val="00E05A58"/>
    <w:rsid w:val="00E073D1"/>
    <w:rsid w:val="00E10460"/>
    <w:rsid w:val="00E111B7"/>
    <w:rsid w:val="00E13D35"/>
    <w:rsid w:val="00E16356"/>
    <w:rsid w:val="00E1755F"/>
    <w:rsid w:val="00E21904"/>
    <w:rsid w:val="00E265C8"/>
    <w:rsid w:val="00E31316"/>
    <w:rsid w:val="00E3144C"/>
    <w:rsid w:val="00E31D3F"/>
    <w:rsid w:val="00E417A7"/>
    <w:rsid w:val="00E47EDE"/>
    <w:rsid w:val="00E52156"/>
    <w:rsid w:val="00E56B1C"/>
    <w:rsid w:val="00E61ECE"/>
    <w:rsid w:val="00E62000"/>
    <w:rsid w:val="00E6279F"/>
    <w:rsid w:val="00E6465A"/>
    <w:rsid w:val="00E6607A"/>
    <w:rsid w:val="00E76976"/>
    <w:rsid w:val="00E92A47"/>
    <w:rsid w:val="00E92CF0"/>
    <w:rsid w:val="00E93861"/>
    <w:rsid w:val="00E938AC"/>
    <w:rsid w:val="00E97297"/>
    <w:rsid w:val="00EA3E65"/>
    <w:rsid w:val="00EA7D15"/>
    <w:rsid w:val="00EB4D9C"/>
    <w:rsid w:val="00EB4DDA"/>
    <w:rsid w:val="00EC3064"/>
    <w:rsid w:val="00ED21EA"/>
    <w:rsid w:val="00ED3352"/>
    <w:rsid w:val="00ED6676"/>
    <w:rsid w:val="00EE617E"/>
    <w:rsid w:val="00EF081F"/>
    <w:rsid w:val="00EF333B"/>
    <w:rsid w:val="00EF59DF"/>
    <w:rsid w:val="00EF67B9"/>
    <w:rsid w:val="00EF7292"/>
    <w:rsid w:val="00F023EF"/>
    <w:rsid w:val="00F0401B"/>
    <w:rsid w:val="00F04099"/>
    <w:rsid w:val="00F05B05"/>
    <w:rsid w:val="00F164CF"/>
    <w:rsid w:val="00F1692E"/>
    <w:rsid w:val="00F20C22"/>
    <w:rsid w:val="00F26371"/>
    <w:rsid w:val="00F263B6"/>
    <w:rsid w:val="00F27AA7"/>
    <w:rsid w:val="00F5314D"/>
    <w:rsid w:val="00F53525"/>
    <w:rsid w:val="00F547C0"/>
    <w:rsid w:val="00F60B9A"/>
    <w:rsid w:val="00F64547"/>
    <w:rsid w:val="00F709D1"/>
    <w:rsid w:val="00F7557E"/>
    <w:rsid w:val="00F811CE"/>
    <w:rsid w:val="00F842F3"/>
    <w:rsid w:val="00F85348"/>
    <w:rsid w:val="00F867D6"/>
    <w:rsid w:val="00F87F90"/>
    <w:rsid w:val="00F91107"/>
    <w:rsid w:val="00F91C6A"/>
    <w:rsid w:val="00F93145"/>
    <w:rsid w:val="00F94EA3"/>
    <w:rsid w:val="00FA7B70"/>
    <w:rsid w:val="00FB1B39"/>
    <w:rsid w:val="00FB755A"/>
    <w:rsid w:val="00FC0C2C"/>
    <w:rsid w:val="00FD273B"/>
    <w:rsid w:val="00FD711D"/>
    <w:rsid w:val="00FD71F7"/>
    <w:rsid w:val="00FE3FB4"/>
    <w:rsid w:val="00FF1F0E"/>
    <w:rsid w:val="00FF6EB1"/>
    <w:rsid w:val="00FF70D3"/>
    <w:rsid w:val="0132288A"/>
    <w:rsid w:val="01384C43"/>
    <w:rsid w:val="01AB79F4"/>
    <w:rsid w:val="01AC5842"/>
    <w:rsid w:val="01D7612F"/>
    <w:rsid w:val="01E70B0E"/>
    <w:rsid w:val="01EE2E4B"/>
    <w:rsid w:val="02267EFD"/>
    <w:rsid w:val="02515824"/>
    <w:rsid w:val="02547AA6"/>
    <w:rsid w:val="025E1490"/>
    <w:rsid w:val="026D01A7"/>
    <w:rsid w:val="027B2B37"/>
    <w:rsid w:val="028247F4"/>
    <w:rsid w:val="0292705A"/>
    <w:rsid w:val="02BB2BB6"/>
    <w:rsid w:val="02D44769"/>
    <w:rsid w:val="03223D53"/>
    <w:rsid w:val="03305E1E"/>
    <w:rsid w:val="034B6F5E"/>
    <w:rsid w:val="0369677B"/>
    <w:rsid w:val="036E2876"/>
    <w:rsid w:val="03802AE2"/>
    <w:rsid w:val="038B55AE"/>
    <w:rsid w:val="038E6EF8"/>
    <w:rsid w:val="039F3CE5"/>
    <w:rsid w:val="03AD02FF"/>
    <w:rsid w:val="03CF176F"/>
    <w:rsid w:val="03DD664D"/>
    <w:rsid w:val="044F3CC7"/>
    <w:rsid w:val="048B38BC"/>
    <w:rsid w:val="049D5F19"/>
    <w:rsid w:val="04D42ADE"/>
    <w:rsid w:val="04E02384"/>
    <w:rsid w:val="04ED5ED0"/>
    <w:rsid w:val="05345F66"/>
    <w:rsid w:val="053F5515"/>
    <w:rsid w:val="05CC10F3"/>
    <w:rsid w:val="05CC574A"/>
    <w:rsid w:val="05F97374"/>
    <w:rsid w:val="06024098"/>
    <w:rsid w:val="06055520"/>
    <w:rsid w:val="06262427"/>
    <w:rsid w:val="063C6F78"/>
    <w:rsid w:val="063F5B2E"/>
    <w:rsid w:val="064514F9"/>
    <w:rsid w:val="069B0ABE"/>
    <w:rsid w:val="06A82B4A"/>
    <w:rsid w:val="06B935B6"/>
    <w:rsid w:val="06BE0E86"/>
    <w:rsid w:val="06BE4BFC"/>
    <w:rsid w:val="06EE7BC7"/>
    <w:rsid w:val="06FC6923"/>
    <w:rsid w:val="072A0AE7"/>
    <w:rsid w:val="075703F5"/>
    <w:rsid w:val="07751A06"/>
    <w:rsid w:val="078142A4"/>
    <w:rsid w:val="07834C9D"/>
    <w:rsid w:val="07924E0C"/>
    <w:rsid w:val="079F2E01"/>
    <w:rsid w:val="07AE57A4"/>
    <w:rsid w:val="07BB4543"/>
    <w:rsid w:val="07D85C5A"/>
    <w:rsid w:val="08183C31"/>
    <w:rsid w:val="081952B3"/>
    <w:rsid w:val="081E2428"/>
    <w:rsid w:val="081F69D8"/>
    <w:rsid w:val="08312FC7"/>
    <w:rsid w:val="08434891"/>
    <w:rsid w:val="08585DDB"/>
    <w:rsid w:val="085D2E0A"/>
    <w:rsid w:val="08896E63"/>
    <w:rsid w:val="089F0C9C"/>
    <w:rsid w:val="08A23B9F"/>
    <w:rsid w:val="08AC3ED3"/>
    <w:rsid w:val="08B30E9B"/>
    <w:rsid w:val="08BF0B09"/>
    <w:rsid w:val="08C2021F"/>
    <w:rsid w:val="08D265F0"/>
    <w:rsid w:val="08E143F1"/>
    <w:rsid w:val="090B0E8E"/>
    <w:rsid w:val="095D5B9F"/>
    <w:rsid w:val="09676399"/>
    <w:rsid w:val="09787880"/>
    <w:rsid w:val="098470A4"/>
    <w:rsid w:val="099F0623"/>
    <w:rsid w:val="09A7339E"/>
    <w:rsid w:val="09AE7AB6"/>
    <w:rsid w:val="09D662E7"/>
    <w:rsid w:val="09F842D0"/>
    <w:rsid w:val="0A242726"/>
    <w:rsid w:val="0A323426"/>
    <w:rsid w:val="0A912F86"/>
    <w:rsid w:val="0ABF1AEC"/>
    <w:rsid w:val="0AE10BEE"/>
    <w:rsid w:val="0AE17FFA"/>
    <w:rsid w:val="0B17316E"/>
    <w:rsid w:val="0B383978"/>
    <w:rsid w:val="0B7E5061"/>
    <w:rsid w:val="0B9B0808"/>
    <w:rsid w:val="0BB11083"/>
    <w:rsid w:val="0BC42033"/>
    <w:rsid w:val="0BE66A48"/>
    <w:rsid w:val="0BE93642"/>
    <w:rsid w:val="0C1F15F1"/>
    <w:rsid w:val="0C412BDE"/>
    <w:rsid w:val="0C730A4A"/>
    <w:rsid w:val="0C7F672B"/>
    <w:rsid w:val="0C92323B"/>
    <w:rsid w:val="0C984991"/>
    <w:rsid w:val="0CD51310"/>
    <w:rsid w:val="0CD76150"/>
    <w:rsid w:val="0D0175B1"/>
    <w:rsid w:val="0D0E56D0"/>
    <w:rsid w:val="0D4E212A"/>
    <w:rsid w:val="0D5A7A00"/>
    <w:rsid w:val="0D8F7FD4"/>
    <w:rsid w:val="0D9C7F7E"/>
    <w:rsid w:val="0DA26C14"/>
    <w:rsid w:val="0DA80C95"/>
    <w:rsid w:val="0DC13976"/>
    <w:rsid w:val="0E29306E"/>
    <w:rsid w:val="0E565FB1"/>
    <w:rsid w:val="0E5E6115"/>
    <w:rsid w:val="0E6E320C"/>
    <w:rsid w:val="0EAA6A80"/>
    <w:rsid w:val="0EB96BF3"/>
    <w:rsid w:val="0EC03486"/>
    <w:rsid w:val="0EDC7BC7"/>
    <w:rsid w:val="0F300EB5"/>
    <w:rsid w:val="0F32428B"/>
    <w:rsid w:val="0F34709D"/>
    <w:rsid w:val="0F3970C7"/>
    <w:rsid w:val="0FDE38D3"/>
    <w:rsid w:val="0FE27D82"/>
    <w:rsid w:val="0FE95EB3"/>
    <w:rsid w:val="1018426F"/>
    <w:rsid w:val="101A2C21"/>
    <w:rsid w:val="10540A9B"/>
    <w:rsid w:val="107002C4"/>
    <w:rsid w:val="107A19FF"/>
    <w:rsid w:val="108556B8"/>
    <w:rsid w:val="108B7D11"/>
    <w:rsid w:val="10B247FF"/>
    <w:rsid w:val="10E624D4"/>
    <w:rsid w:val="110132F2"/>
    <w:rsid w:val="110805BA"/>
    <w:rsid w:val="111A2D88"/>
    <w:rsid w:val="111B02EE"/>
    <w:rsid w:val="112B2658"/>
    <w:rsid w:val="117F5B09"/>
    <w:rsid w:val="11800030"/>
    <w:rsid w:val="1188431A"/>
    <w:rsid w:val="11A00F75"/>
    <w:rsid w:val="11E2703C"/>
    <w:rsid w:val="11EE04FA"/>
    <w:rsid w:val="1245273D"/>
    <w:rsid w:val="126D2B01"/>
    <w:rsid w:val="127174C9"/>
    <w:rsid w:val="1275369F"/>
    <w:rsid w:val="128E3A89"/>
    <w:rsid w:val="129004AD"/>
    <w:rsid w:val="12A00582"/>
    <w:rsid w:val="130B6A06"/>
    <w:rsid w:val="1334677E"/>
    <w:rsid w:val="138035BB"/>
    <w:rsid w:val="138358B3"/>
    <w:rsid w:val="139A4730"/>
    <w:rsid w:val="139E0D62"/>
    <w:rsid w:val="13A8278C"/>
    <w:rsid w:val="13B876A8"/>
    <w:rsid w:val="13C5153D"/>
    <w:rsid w:val="13D70B36"/>
    <w:rsid w:val="13FC1CD7"/>
    <w:rsid w:val="14A42F04"/>
    <w:rsid w:val="14B521F0"/>
    <w:rsid w:val="14D10BF7"/>
    <w:rsid w:val="14D87C25"/>
    <w:rsid w:val="152B4878"/>
    <w:rsid w:val="15435428"/>
    <w:rsid w:val="154A0488"/>
    <w:rsid w:val="156A26A9"/>
    <w:rsid w:val="15A06877"/>
    <w:rsid w:val="15AD321C"/>
    <w:rsid w:val="15D555C2"/>
    <w:rsid w:val="15E8596F"/>
    <w:rsid w:val="15FF3688"/>
    <w:rsid w:val="16052814"/>
    <w:rsid w:val="160D0CFF"/>
    <w:rsid w:val="161F43DC"/>
    <w:rsid w:val="163A5AA9"/>
    <w:rsid w:val="164019E1"/>
    <w:rsid w:val="168069D6"/>
    <w:rsid w:val="16892B75"/>
    <w:rsid w:val="16935F5C"/>
    <w:rsid w:val="16EA1B61"/>
    <w:rsid w:val="172E636F"/>
    <w:rsid w:val="17746AC4"/>
    <w:rsid w:val="17787E44"/>
    <w:rsid w:val="178D730C"/>
    <w:rsid w:val="17A11B01"/>
    <w:rsid w:val="17D367D9"/>
    <w:rsid w:val="17E648BC"/>
    <w:rsid w:val="17FE11D7"/>
    <w:rsid w:val="18052FFC"/>
    <w:rsid w:val="18232D26"/>
    <w:rsid w:val="18332875"/>
    <w:rsid w:val="186616EC"/>
    <w:rsid w:val="18721531"/>
    <w:rsid w:val="18B81D13"/>
    <w:rsid w:val="19193365"/>
    <w:rsid w:val="19466D19"/>
    <w:rsid w:val="196F2668"/>
    <w:rsid w:val="19885448"/>
    <w:rsid w:val="19905A54"/>
    <w:rsid w:val="19A44006"/>
    <w:rsid w:val="19B108DE"/>
    <w:rsid w:val="19CB73B2"/>
    <w:rsid w:val="19EC5B42"/>
    <w:rsid w:val="19F05F08"/>
    <w:rsid w:val="1A27276A"/>
    <w:rsid w:val="1A5F33D2"/>
    <w:rsid w:val="1A616B7D"/>
    <w:rsid w:val="1A687DF5"/>
    <w:rsid w:val="1A7276A4"/>
    <w:rsid w:val="1A9C784C"/>
    <w:rsid w:val="1AAB12B9"/>
    <w:rsid w:val="1AAB4D8E"/>
    <w:rsid w:val="1B0510F1"/>
    <w:rsid w:val="1B0A4A84"/>
    <w:rsid w:val="1B1C6A25"/>
    <w:rsid w:val="1B897507"/>
    <w:rsid w:val="1B8B3A28"/>
    <w:rsid w:val="1B8F790E"/>
    <w:rsid w:val="1BC06C83"/>
    <w:rsid w:val="1BF223E1"/>
    <w:rsid w:val="1C09743D"/>
    <w:rsid w:val="1C400A08"/>
    <w:rsid w:val="1C4F52EF"/>
    <w:rsid w:val="1C7328CC"/>
    <w:rsid w:val="1C8D42DD"/>
    <w:rsid w:val="1CC54AB8"/>
    <w:rsid w:val="1CD87FC9"/>
    <w:rsid w:val="1CF00F4A"/>
    <w:rsid w:val="1CFF3509"/>
    <w:rsid w:val="1D7C1969"/>
    <w:rsid w:val="1DAE025C"/>
    <w:rsid w:val="1DB31EA1"/>
    <w:rsid w:val="1DC7240D"/>
    <w:rsid w:val="1DC74FC1"/>
    <w:rsid w:val="1DCB7C76"/>
    <w:rsid w:val="1DD24998"/>
    <w:rsid w:val="1DEE270C"/>
    <w:rsid w:val="1E0C6F6B"/>
    <w:rsid w:val="1E412C26"/>
    <w:rsid w:val="1E42510C"/>
    <w:rsid w:val="1E593C5F"/>
    <w:rsid w:val="1E714C4F"/>
    <w:rsid w:val="1EAB55A1"/>
    <w:rsid w:val="1EDB1717"/>
    <w:rsid w:val="1EE30BE5"/>
    <w:rsid w:val="1EE81D26"/>
    <w:rsid w:val="1EF0287C"/>
    <w:rsid w:val="1F3B196F"/>
    <w:rsid w:val="1F6555FC"/>
    <w:rsid w:val="1F7F74E9"/>
    <w:rsid w:val="1F7F7FD8"/>
    <w:rsid w:val="1F854330"/>
    <w:rsid w:val="1F876184"/>
    <w:rsid w:val="1FD06747"/>
    <w:rsid w:val="2004170A"/>
    <w:rsid w:val="208E697B"/>
    <w:rsid w:val="20963B34"/>
    <w:rsid w:val="20B35CD5"/>
    <w:rsid w:val="20B84C29"/>
    <w:rsid w:val="20E93171"/>
    <w:rsid w:val="210A0230"/>
    <w:rsid w:val="211E2367"/>
    <w:rsid w:val="212075C0"/>
    <w:rsid w:val="215D7F9F"/>
    <w:rsid w:val="21851CA3"/>
    <w:rsid w:val="21AA703D"/>
    <w:rsid w:val="21E8736D"/>
    <w:rsid w:val="21F637D0"/>
    <w:rsid w:val="22001FFA"/>
    <w:rsid w:val="22146DBF"/>
    <w:rsid w:val="221E26B6"/>
    <w:rsid w:val="22321F91"/>
    <w:rsid w:val="2244237F"/>
    <w:rsid w:val="224934A6"/>
    <w:rsid w:val="22685F1F"/>
    <w:rsid w:val="227930C6"/>
    <w:rsid w:val="22DE25CD"/>
    <w:rsid w:val="23100ACA"/>
    <w:rsid w:val="23167ECF"/>
    <w:rsid w:val="23240186"/>
    <w:rsid w:val="233305EF"/>
    <w:rsid w:val="23421931"/>
    <w:rsid w:val="236005E1"/>
    <w:rsid w:val="2362371F"/>
    <w:rsid w:val="23930DD4"/>
    <w:rsid w:val="23C45064"/>
    <w:rsid w:val="23C636F1"/>
    <w:rsid w:val="2403572C"/>
    <w:rsid w:val="240B6F5D"/>
    <w:rsid w:val="242541FF"/>
    <w:rsid w:val="24361C3B"/>
    <w:rsid w:val="243B3761"/>
    <w:rsid w:val="243E4F46"/>
    <w:rsid w:val="245143B6"/>
    <w:rsid w:val="24600383"/>
    <w:rsid w:val="24617A1E"/>
    <w:rsid w:val="24821AC9"/>
    <w:rsid w:val="248F0460"/>
    <w:rsid w:val="24B44889"/>
    <w:rsid w:val="24BE26EE"/>
    <w:rsid w:val="24C40DD0"/>
    <w:rsid w:val="24CD76F9"/>
    <w:rsid w:val="24D64800"/>
    <w:rsid w:val="24F80AD2"/>
    <w:rsid w:val="24F84EB4"/>
    <w:rsid w:val="25001582"/>
    <w:rsid w:val="250E7EB7"/>
    <w:rsid w:val="2538342D"/>
    <w:rsid w:val="253B45B1"/>
    <w:rsid w:val="254D572E"/>
    <w:rsid w:val="258306DF"/>
    <w:rsid w:val="258A2FD6"/>
    <w:rsid w:val="25C36084"/>
    <w:rsid w:val="26194434"/>
    <w:rsid w:val="263943E5"/>
    <w:rsid w:val="26562602"/>
    <w:rsid w:val="269C74A9"/>
    <w:rsid w:val="26D86321"/>
    <w:rsid w:val="27165388"/>
    <w:rsid w:val="2791306A"/>
    <w:rsid w:val="27950104"/>
    <w:rsid w:val="27C3339B"/>
    <w:rsid w:val="27CA4AFC"/>
    <w:rsid w:val="280B656E"/>
    <w:rsid w:val="28307CF1"/>
    <w:rsid w:val="28562284"/>
    <w:rsid w:val="285D24C3"/>
    <w:rsid w:val="28773404"/>
    <w:rsid w:val="28A42644"/>
    <w:rsid w:val="28BF607D"/>
    <w:rsid w:val="28C90C22"/>
    <w:rsid w:val="28FE2AB2"/>
    <w:rsid w:val="291E6775"/>
    <w:rsid w:val="29381B9B"/>
    <w:rsid w:val="298E7153"/>
    <w:rsid w:val="29AC18AF"/>
    <w:rsid w:val="29B33362"/>
    <w:rsid w:val="29D3586A"/>
    <w:rsid w:val="29E60EF5"/>
    <w:rsid w:val="2A1000A0"/>
    <w:rsid w:val="2A1D1D28"/>
    <w:rsid w:val="2A4B1B1C"/>
    <w:rsid w:val="2A776515"/>
    <w:rsid w:val="2A7F5AE0"/>
    <w:rsid w:val="2ACC3AF1"/>
    <w:rsid w:val="2ACD64B2"/>
    <w:rsid w:val="2AD04692"/>
    <w:rsid w:val="2ADA7040"/>
    <w:rsid w:val="2B164D17"/>
    <w:rsid w:val="2B4B4CCE"/>
    <w:rsid w:val="2B8210FF"/>
    <w:rsid w:val="2B9E5F83"/>
    <w:rsid w:val="2BDE15FF"/>
    <w:rsid w:val="2BF55690"/>
    <w:rsid w:val="2BFC3660"/>
    <w:rsid w:val="2C032498"/>
    <w:rsid w:val="2C0F68C1"/>
    <w:rsid w:val="2C181DE9"/>
    <w:rsid w:val="2C2E5A67"/>
    <w:rsid w:val="2C3C29F1"/>
    <w:rsid w:val="2C473635"/>
    <w:rsid w:val="2C833860"/>
    <w:rsid w:val="2CB54D5B"/>
    <w:rsid w:val="2CB6692B"/>
    <w:rsid w:val="2CC03D51"/>
    <w:rsid w:val="2CC50EAD"/>
    <w:rsid w:val="2D055557"/>
    <w:rsid w:val="2D0D3F93"/>
    <w:rsid w:val="2D1F42D5"/>
    <w:rsid w:val="2D583DDF"/>
    <w:rsid w:val="2D941E82"/>
    <w:rsid w:val="2DCE2518"/>
    <w:rsid w:val="2E1D6BA6"/>
    <w:rsid w:val="2E5A561D"/>
    <w:rsid w:val="2EEF0413"/>
    <w:rsid w:val="2F181F4E"/>
    <w:rsid w:val="2F1A0F91"/>
    <w:rsid w:val="2F340240"/>
    <w:rsid w:val="2F4F4A21"/>
    <w:rsid w:val="2F5F4D0B"/>
    <w:rsid w:val="2F7B0680"/>
    <w:rsid w:val="2F854E67"/>
    <w:rsid w:val="2F8B34F0"/>
    <w:rsid w:val="2F996B56"/>
    <w:rsid w:val="2FB04D4D"/>
    <w:rsid w:val="2FD417A7"/>
    <w:rsid w:val="2FDB0F5E"/>
    <w:rsid w:val="30114936"/>
    <w:rsid w:val="304E1019"/>
    <w:rsid w:val="30531101"/>
    <w:rsid w:val="30676AFF"/>
    <w:rsid w:val="30707EAF"/>
    <w:rsid w:val="307F149B"/>
    <w:rsid w:val="3091050F"/>
    <w:rsid w:val="30C25DAA"/>
    <w:rsid w:val="30C44232"/>
    <w:rsid w:val="30E06760"/>
    <w:rsid w:val="310D071C"/>
    <w:rsid w:val="31306C96"/>
    <w:rsid w:val="314A6FE5"/>
    <w:rsid w:val="314D14CC"/>
    <w:rsid w:val="315B2667"/>
    <w:rsid w:val="319005ED"/>
    <w:rsid w:val="31A85FFD"/>
    <w:rsid w:val="31AE0D38"/>
    <w:rsid w:val="31E96631"/>
    <w:rsid w:val="31EF19D8"/>
    <w:rsid w:val="31EF2884"/>
    <w:rsid w:val="31FD6D03"/>
    <w:rsid w:val="321B36E9"/>
    <w:rsid w:val="32372072"/>
    <w:rsid w:val="32452671"/>
    <w:rsid w:val="324967E6"/>
    <w:rsid w:val="32626D6F"/>
    <w:rsid w:val="32745D61"/>
    <w:rsid w:val="32862EB4"/>
    <w:rsid w:val="328A0EAF"/>
    <w:rsid w:val="328E477D"/>
    <w:rsid w:val="329A0A0D"/>
    <w:rsid w:val="32A2269E"/>
    <w:rsid w:val="32A61CCB"/>
    <w:rsid w:val="32A61E4B"/>
    <w:rsid w:val="32A92DD7"/>
    <w:rsid w:val="33026B3A"/>
    <w:rsid w:val="330662B0"/>
    <w:rsid w:val="330A7867"/>
    <w:rsid w:val="33251A7F"/>
    <w:rsid w:val="334E4210"/>
    <w:rsid w:val="335B0B4B"/>
    <w:rsid w:val="338D7359"/>
    <w:rsid w:val="339906BC"/>
    <w:rsid w:val="33AC0F38"/>
    <w:rsid w:val="33CE276D"/>
    <w:rsid w:val="33D724A5"/>
    <w:rsid w:val="33F62E53"/>
    <w:rsid w:val="33F924A6"/>
    <w:rsid w:val="34012F1B"/>
    <w:rsid w:val="34085CF7"/>
    <w:rsid w:val="34193038"/>
    <w:rsid w:val="348B02D6"/>
    <w:rsid w:val="349660CB"/>
    <w:rsid w:val="34BC07A5"/>
    <w:rsid w:val="34E06B9F"/>
    <w:rsid w:val="35060391"/>
    <w:rsid w:val="3508011E"/>
    <w:rsid w:val="353D3E6A"/>
    <w:rsid w:val="354618F6"/>
    <w:rsid w:val="356316EA"/>
    <w:rsid w:val="356C5811"/>
    <w:rsid w:val="359011B4"/>
    <w:rsid w:val="35A93E43"/>
    <w:rsid w:val="35DC7E57"/>
    <w:rsid w:val="35FF5C21"/>
    <w:rsid w:val="3610744D"/>
    <w:rsid w:val="366D3704"/>
    <w:rsid w:val="368376EA"/>
    <w:rsid w:val="368A4C2A"/>
    <w:rsid w:val="368E7C55"/>
    <w:rsid w:val="36983CC8"/>
    <w:rsid w:val="36CE11B8"/>
    <w:rsid w:val="36D776BA"/>
    <w:rsid w:val="37274335"/>
    <w:rsid w:val="372D5155"/>
    <w:rsid w:val="3747162A"/>
    <w:rsid w:val="376A17F4"/>
    <w:rsid w:val="377177F2"/>
    <w:rsid w:val="37932249"/>
    <w:rsid w:val="379C2032"/>
    <w:rsid w:val="38063594"/>
    <w:rsid w:val="381C6576"/>
    <w:rsid w:val="383A0F28"/>
    <w:rsid w:val="383E0C74"/>
    <w:rsid w:val="3893525C"/>
    <w:rsid w:val="38BA433B"/>
    <w:rsid w:val="38BF17B4"/>
    <w:rsid w:val="38DB34CE"/>
    <w:rsid w:val="38F14E74"/>
    <w:rsid w:val="399E136A"/>
    <w:rsid w:val="39A74E32"/>
    <w:rsid w:val="39B46843"/>
    <w:rsid w:val="39C90197"/>
    <w:rsid w:val="39F465F0"/>
    <w:rsid w:val="39FE28CA"/>
    <w:rsid w:val="3A0F61A5"/>
    <w:rsid w:val="3A26548A"/>
    <w:rsid w:val="3A477C8C"/>
    <w:rsid w:val="3ABF313F"/>
    <w:rsid w:val="3B6C6B34"/>
    <w:rsid w:val="3B7B3AE6"/>
    <w:rsid w:val="3B975E53"/>
    <w:rsid w:val="3BB05953"/>
    <w:rsid w:val="3BDF0FE9"/>
    <w:rsid w:val="3BE64ED1"/>
    <w:rsid w:val="3C0B160B"/>
    <w:rsid w:val="3C4E4D54"/>
    <w:rsid w:val="3C621531"/>
    <w:rsid w:val="3C6748E0"/>
    <w:rsid w:val="3C8111E3"/>
    <w:rsid w:val="3CB21BF2"/>
    <w:rsid w:val="3CC51207"/>
    <w:rsid w:val="3CD1311A"/>
    <w:rsid w:val="3CDB29CF"/>
    <w:rsid w:val="3CFE0DE8"/>
    <w:rsid w:val="3D197495"/>
    <w:rsid w:val="3D7A616B"/>
    <w:rsid w:val="3D7D2885"/>
    <w:rsid w:val="3DB11A96"/>
    <w:rsid w:val="3DBA657C"/>
    <w:rsid w:val="3DE139D0"/>
    <w:rsid w:val="3DEC3F6B"/>
    <w:rsid w:val="3DF03FDA"/>
    <w:rsid w:val="3DFA063B"/>
    <w:rsid w:val="3E142466"/>
    <w:rsid w:val="3E423A34"/>
    <w:rsid w:val="3E45263D"/>
    <w:rsid w:val="3E6542EA"/>
    <w:rsid w:val="3EF42BDD"/>
    <w:rsid w:val="3EF9295A"/>
    <w:rsid w:val="3F185670"/>
    <w:rsid w:val="3F4C006D"/>
    <w:rsid w:val="3F5F4C6F"/>
    <w:rsid w:val="3F8A7432"/>
    <w:rsid w:val="3FB757BD"/>
    <w:rsid w:val="3FC51C6A"/>
    <w:rsid w:val="3FD2735B"/>
    <w:rsid w:val="3FDC7D79"/>
    <w:rsid w:val="3FF554B7"/>
    <w:rsid w:val="401D6106"/>
    <w:rsid w:val="40632F85"/>
    <w:rsid w:val="40793B50"/>
    <w:rsid w:val="40933050"/>
    <w:rsid w:val="40E816EB"/>
    <w:rsid w:val="40EA5F75"/>
    <w:rsid w:val="410B1969"/>
    <w:rsid w:val="411169EC"/>
    <w:rsid w:val="41131200"/>
    <w:rsid w:val="41950207"/>
    <w:rsid w:val="41964058"/>
    <w:rsid w:val="419E6AB5"/>
    <w:rsid w:val="41DF354F"/>
    <w:rsid w:val="42276200"/>
    <w:rsid w:val="422E5C0D"/>
    <w:rsid w:val="4298263D"/>
    <w:rsid w:val="429E6AB4"/>
    <w:rsid w:val="42B776BE"/>
    <w:rsid w:val="431A7EAE"/>
    <w:rsid w:val="433E5304"/>
    <w:rsid w:val="437C436D"/>
    <w:rsid w:val="439510EC"/>
    <w:rsid w:val="43A1090D"/>
    <w:rsid w:val="43DC3583"/>
    <w:rsid w:val="43E10F32"/>
    <w:rsid w:val="43EB2A7A"/>
    <w:rsid w:val="43FB2F59"/>
    <w:rsid w:val="44022C46"/>
    <w:rsid w:val="44044B33"/>
    <w:rsid w:val="44054EC0"/>
    <w:rsid w:val="440A2023"/>
    <w:rsid w:val="4430448B"/>
    <w:rsid w:val="444B7414"/>
    <w:rsid w:val="446D459D"/>
    <w:rsid w:val="44797438"/>
    <w:rsid w:val="44837FF0"/>
    <w:rsid w:val="44EA3430"/>
    <w:rsid w:val="44F76619"/>
    <w:rsid w:val="45103535"/>
    <w:rsid w:val="45222A6A"/>
    <w:rsid w:val="452C3927"/>
    <w:rsid w:val="452E6129"/>
    <w:rsid w:val="45416348"/>
    <w:rsid w:val="455F59F2"/>
    <w:rsid w:val="45A70FC7"/>
    <w:rsid w:val="45B83252"/>
    <w:rsid w:val="46096E2C"/>
    <w:rsid w:val="461E694A"/>
    <w:rsid w:val="465805B7"/>
    <w:rsid w:val="46973645"/>
    <w:rsid w:val="469C608A"/>
    <w:rsid w:val="46F24D18"/>
    <w:rsid w:val="46F823A4"/>
    <w:rsid w:val="46FD23FD"/>
    <w:rsid w:val="47082F6C"/>
    <w:rsid w:val="471A6947"/>
    <w:rsid w:val="47535501"/>
    <w:rsid w:val="476237A3"/>
    <w:rsid w:val="47A8530D"/>
    <w:rsid w:val="47B80A73"/>
    <w:rsid w:val="47D054E1"/>
    <w:rsid w:val="47F97AC9"/>
    <w:rsid w:val="48151DFA"/>
    <w:rsid w:val="48231A30"/>
    <w:rsid w:val="48B739C6"/>
    <w:rsid w:val="48C72F42"/>
    <w:rsid w:val="48CC5568"/>
    <w:rsid w:val="48D125A1"/>
    <w:rsid w:val="48F85A59"/>
    <w:rsid w:val="48FE2851"/>
    <w:rsid w:val="4929464F"/>
    <w:rsid w:val="494320D3"/>
    <w:rsid w:val="497534B4"/>
    <w:rsid w:val="49DA38A0"/>
    <w:rsid w:val="4A361A71"/>
    <w:rsid w:val="4A6E2928"/>
    <w:rsid w:val="4A777CC9"/>
    <w:rsid w:val="4AA27259"/>
    <w:rsid w:val="4AB47B52"/>
    <w:rsid w:val="4AB55980"/>
    <w:rsid w:val="4AC83A51"/>
    <w:rsid w:val="4AE46A56"/>
    <w:rsid w:val="4B124441"/>
    <w:rsid w:val="4B2A769A"/>
    <w:rsid w:val="4B55120F"/>
    <w:rsid w:val="4B645661"/>
    <w:rsid w:val="4B661614"/>
    <w:rsid w:val="4B6907A1"/>
    <w:rsid w:val="4B7A43D1"/>
    <w:rsid w:val="4B946B9A"/>
    <w:rsid w:val="4B977BD2"/>
    <w:rsid w:val="4BBC4073"/>
    <w:rsid w:val="4BBD1EE1"/>
    <w:rsid w:val="4BC36227"/>
    <w:rsid w:val="4BFB4BF6"/>
    <w:rsid w:val="4C0513A3"/>
    <w:rsid w:val="4C822D6F"/>
    <w:rsid w:val="4C912CFA"/>
    <w:rsid w:val="4C931577"/>
    <w:rsid w:val="4CA74C54"/>
    <w:rsid w:val="4CCA6F70"/>
    <w:rsid w:val="4CDE1274"/>
    <w:rsid w:val="4CE62A1A"/>
    <w:rsid w:val="4CF460E9"/>
    <w:rsid w:val="4D6546BF"/>
    <w:rsid w:val="4D8C1B97"/>
    <w:rsid w:val="4DA578A0"/>
    <w:rsid w:val="4DA57C69"/>
    <w:rsid w:val="4DB4585C"/>
    <w:rsid w:val="4DB471C6"/>
    <w:rsid w:val="4DBC175A"/>
    <w:rsid w:val="4DC0329F"/>
    <w:rsid w:val="4DE73B54"/>
    <w:rsid w:val="4E1B5462"/>
    <w:rsid w:val="4E360FB8"/>
    <w:rsid w:val="4E6E0BF6"/>
    <w:rsid w:val="4E901E9C"/>
    <w:rsid w:val="4EAF36D3"/>
    <w:rsid w:val="4EB82B45"/>
    <w:rsid w:val="4ECE6320"/>
    <w:rsid w:val="4F0A2E63"/>
    <w:rsid w:val="4F231210"/>
    <w:rsid w:val="4F541A82"/>
    <w:rsid w:val="4F5D1924"/>
    <w:rsid w:val="4F5D3ED4"/>
    <w:rsid w:val="4F9040CA"/>
    <w:rsid w:val="4F9E1131"/>
    <w:rsid w:val="4FAC21D4"/>
    <w:rsid w:val="50010BE0"/>
    <w:rsid w:val="500B3969"/>
    <w:rsid w:val="501773AC"/>
    <w:rsid w:val="50267B3A"/>
    <w:rsid w:val="50631F0D"/>
    <w:rsid w:val="506C11F9"/>
    <w:rsid w:val="50CC67E3"/>
    <w:rsid w:val="50D02D7A"/>
    <w:rsid w:val="50DF6F66"/>
    <w:rsid w:val="50FE7D23"/>
    <w:rsid w:val="51051697"/>
    <w:rsid w:val="510D0EFD"/>
    <w:rsid w:val="510D475D"/>
    <w:rsid w:val="513D3278"/>
    <w:rsid w:val="5167665C"/>
    <w:rsid w:val="517D7BEB"/>
    <w:rsid w:val="51864AFE"/>
    <w:rsid w:val="519A1E57"/>
    <w:rsid w:val="51A15B22"/>
    <w:rsid w:val="51AD32A1"/>
    <w:rsid w:val="51C536B3"/>
    <w:rsid w:val="51DB4D99"/>
    <w:rsid w:val="52156C24"/>
    <w:rsid w:val="521B72A5"/>
    <w:rsid w:val="522019E7"/>
    <w:rsid w:val="524D4853"/>
    <w:rsid w:val="529A2D6C"/>
    <w:rsid w:val="52DE5C37"/>
    <w:rsid w:val="53116184"/>
    <w:rsid w:val="53164CE5"/>
    <w:rsid w:val="532375F6"/>
    <w:rsid w:val="53371361"/>
    <w:rsid w:val="53596D1B"/>
    <w:rsid w:val="538405A7"/>
    <w:rsid w:val="538815F7"/>
    <w:rsid w:val="53A30387"/>
    <w:rsid w:val="53A91191"/>
    <w:rsid w:val="53B50157"/>
    <w:rsid w:val="53FC2398"/>
    <w:rsid w:val="542550E7"/>
    <w:rsid w:val="54413CB8"/>
    <w:rsid w:val="5466093C"/>
    <w:rsid w:val="54940CF8"/>
    <w:rsid w:val="54977258"/>
    <w:rsid w:val="54B5325B"/>
    <w:rsid w:val="54D32AFC"/>
    <w:rsid w:val="54E35B7C"/>
    <w:rsid w:val="550F5EEE"/>
    <w:rsid w:val="55166920"/>
    <w:rsid w:val="5523662D"/>
    <w:rsid w:val="552B5A4D"/>
    <w:rsid w:val="55387CCB"/>
    <w:rsid w:val="554E7000"/>
    <w:rsid w:val="55555F09"/>
    <w:rsid w:val="557D3207"/>
    <w:rsid w:val="55826FA1"/>
    <w:rsid w:val="55867716"/>
    <w:rsid w:val="559E3FFB"/>
    <w:rsid w:val="55C85986"/>
    <w:rsid w:val="55F76D30"/>
    <w:rsid w:val="55FA09A9"/>
    <w:rsid w:val="56857C24"/>
    <w:rsid w:val="569E7A85"/>
    <w:rsid w:val="56E26349"/>
    <w:rsid w:val="56F57BAF"/>
    <w:rsid w:val="57117B56"/>
    <w:rsid w:val="57214138"/>
    <w:rsid w:val="575C47AE"/>
    <w:rsid w:val="57940052"/>
    <w:rsid w:val="57A16937"/>
    <w:rsid w:val="57A76DD5"/>
    <w:rsid w:val="57D668D6"/>
    <w:rsid w:val="57E047E4"/>
    <w:rsid w:val="57E30C41"/>
    <w:rsid w:val="57E4116F"/>
    <w:rsid w:val="57ED2788"/>
    <w:rsid w:val="582A4936"/>
    <w:rsid w:val="583C7C53"/>
    <w:rsid w:val="585A7E26"/>
    <w:rsid w:val="585D0E02"/>
    <w:rsid w:val="586560EE"/>
    <w:rsid w:val="58856FCD"/>
    <w:rsid w:val="58967499"/>
    <w:rsid w:val="58BA1767"/>
    <w:rsid w:val="58FC4318"/>
    <w:rsid w:val="59097D6C"/>
    <w:rsid w:val="59444E13"/>
    <w:rsid w:val="59482155"/>
    <w:rsid w:val="59555CCC"/>
    <w:rsid w:val="5961130B"/>
    <w:rsid w:val="59A9006E"/>
    <w:rsid w:val="59B47B55"/>
    <w:rsid w:val="59F37FC5"/>
    <w:rsid w:val="5A03460F"/>
    <w:rsid w:val="5A153C04"/>
    <w:rsid w:val="5A2D70FA"/>
    <w:rsid w:val="5A78146B"/>
    <w:rsid w:val="5A7F266F"/>
    <w:rsid w:val="5A86336D"/>
    <w:rsid w:val="5AA14B44"/>
    <w:rsid w:val="5ABD4091"/>
    <w:rsid w:val="5AC60F27"/>
    <w:rsid w:val="5AEA288A"/>
    <w:rsid w:val="5B19492B"/>
    <w:rsid w:val="5B2E5A3C"/>
    <w:rsid w:val="5B460D50"/>
    <w:rsid w:val="5B662DD9"/>
    <w:rsid w:val="5B7853A3"/>
    <w:rsid w:val="5B814437"/>
    <w:rsid w:val="5BA3149E"/>
    <w:rsid w:val="5BA45F9A"/>
    <w:rsid w:val="5BF37A20"/>
    <w:rsid w:val="5C144168"/>
    <w:rsid w:val="5C317F92"/>
    <w:rsid w:val="5C4A2E92"/>
    <w:rsid w:val="5C6B0AA1"/>
    <w:rsid w:val="5CA15820"/>
    <w:rsid w:val="5CB66C54"/>
    <w:rsid w:val="5CCE1164"/>
    <w:rsid w:val="5CE32E23"/>
    <w:rsid w:val="5CFD0715"/>
    <w:rsid w:val="5D14050A"/>
    <w:rsid w:val="5D431E2E"/>
    <w:rsid w:val="5D4B508E"/>
    <w:rsid w:val="5D73019D"/>
    <w:rsid w:val="5DC6324B"/>
    <w:rsid w:val="5DF95E77"/>
    <w:rsid w:val="5DFB7ED7"/>
    <w:rsid w:val="5DFC1EDA"/>
    <w:rsid w:val="5E0C7890"/>
    <w:rsid w:val="5E1B1AF8"/>
    <w:rsid w:val="5E1B4400"/>
    <w:rsid w:val="5E1B44AC"/>
    <w:rsid w:val="5E384ACE"/>
    <w:rsid w:val="5E577A18"/>
    <w:rsid w:val="5E6E4CBF"/>
    <w:rsid w:val="5E9C0882"/>
    <w:rsid w:val="5ED5786C"/>
    <w:rsid w:val="5F2A0C65"/>
    <w:rsid w:val="5F4953D8"/>
    <w:rsid w:val="5F821C46"/>
    <w:rsid w:val="5F9C052F"/>
    <w:rsid w:val="5FAE4FD1"/>
    <w:rsid w:val="5FF02C6C"/>
    <w:rsid w:val="60015E6C"/>
    <w:rsid w:val="607D344D"/>
    <w:rsid w:val="608D00DF"/>
    <w:rsid w:val="60A26592"/>
    <w:rsid w:val="60C32C51"/>
    <w:rsid w:val="60C93644"/>
    <w:rsid w:val="60F50A86"/>
    <w:rsid w:val="60FB32DA"/>
    <w:rsid w:val="61217355"/>
    <w:rsid w:val="61412388"/>
    <w:rsid w:val="61480726"/>
    <w:rsid w:val="618A7364"/>
    <w:rsid w:val="6192257B"/>
    <w:rsid w:val="61B054B5"/>
    <w:rsid w:val="61B60BAE"/>
    <w:rsid w:val="61C353F6"/>
    <w:rsid w:val="61D03DA9"/>
    <w:rsid w:val="61D91338"/>
    <w:rsid w:val="62191F9B"/>
    <w:rsid w:val="626476B0"/>
    <w:rsid w:val="62847F3C"/>
    <w:rsid w:val="62AC5325"/>
    <w:rsid w:val="62AD451B"/>
    <w:rsid w:val="62F3053E"/>
    <w:rsid w:val="62FF7107"/>
    <w:rsid w:val="63162CDE"/>
    <w:rsid w:val="632637D9"/>
    <w:rsid w:val="632744DE"/>
    <w:rsid w:val="63315D8B"/>
    <w:rsid w:val="63401D19"/>
    <w:rsid w:val="634931F4"/>
    <w:rsid w:val="635E6959"/>
    <w:rsid w:val="63696264"/>
    <w:rsid w:val="637C517D"/>
    <w:rsid w:val="63931C82"/>
    <w:rsid w:val="63CC1AEC"/>
    <w:rsid w:val="63FC310E"/>
    <w:rsid w:val="643261BA"/>
    <w:rsid w:val="647E66F8"/>
    <w:rsid w:val="64B7332D"/>
    <w:rsid w:val="64FA7C72"/>
    <w:rsid w:val="650640E9"/>
    <w:rsid w:val="654A6F89"/>
    <w:rsid w:val="657C7C64"/>
    <w:rsid w:val="6593698D"/>
    <w:rsid w:val="65CE3E56"/>
    <w:rsid w:val="65FD4A13"/>
    <w:rsid w:val="66304E17"/>
    <w:rsid w:val="663A6CF4"/>
    <w:rsid w:val="664D6053"/>
    <w:rsid w:val="665776F1"/>
    <w:rsid w:val="667C3FED"/>
    <w:rsid w:val="667F700F"/>
    <w:rsid w:val="66806EE2"/>
    <w:rsid w:val="668332C9"/>
    <w:rsid w:val="668B7341"/>
    <w:rsid w:val="66AE3579"/>
    <w:rsid w:val="66B11188"/>
    <w:rsid w:val="66DC5157"/>
    <w:rsid w:val="66E857F9"/>
    <w:rsid w:val="67003C27"/>
    <w:rsid w:val="670850A7"/>
    <w:rsid w:val="677B0314"/>
    <w:rsid w:val="678B7AA8"/>
    <w:rsid w:val="67D345A3"/>
    <w:rsid w:val="67E47A65"/>
    <w:rsid w:val="68090B7B"/>
    <w:rsid w:val="680E4CDF"/>
    <w:rsid w:val="681025B3"/>
    <w:rsid w:val="6832115E"/>
    <w:rsid w:val="68911FE0"/>
    <w:rsid w:val="68962BCC"/>
    <w:rsid w:val="689A34AB"/>
    <w:rsid w:val="68B91C8F"/>
    <w:rsid w:val="68BC72C5"/>
    <w:rsid w:val="68DC48E0"/>
    <w:rsid w:val="69022C1A"/>
    <w:rsid w:val="69155734"/>
    <w:rsid w:val="694A731E"/>
    <w:rsid w:val="69632556"/>
    <w:rsid w:val="69774A45"/>
    <w:rsid w:val="69A81E0E"/>
    <w:rsid w:val="69AA5889"/>
    <w:rsid w:val="69B206E0"/>
    <w:rsid w:val="69CE4A51"/>
    <w:rsid w:val="69D106BF"/>
    <w:rsid w:val="69ED1242"/>
    <w:rsid w:val="69F121DE"/>
    <w:rsid w:val="6A092CEC"/>
    <w:rsid w:val="6A22511A"/>
    <w:rsid w:val="6A390836"/>
    <w:rsid w:val="6A5E4F9A"/>
    <w:rsid w:val="6A900A08"/>
    <w:rsid w:val="6A972F80"/>
    <w:rsid w:val="6A9B2936"/>
    <w:rsid w:val="6AA30F4C"/>
    <w:rsid w:val="6AE3022A"/>
    <w:rsid w:val="6AEE64EE"/>
    <w:rsid w:val="6AFA13E0"/>
    <w:rsid w:val="6AFA6FBB"/>
    <w:rsid w:val="6AFA7658"/>
    <w:rsid w:val="6B4459F5"/>
    <w:rsid w:val="6B7C46CC"/>
    <w:rsid w:val="6B8771DD"/>
    <w:rsid w:val="6BB55BCC"/>
    <w:rsid w:val="6BFB1A23"/>
    <w:rsid w:val="6C0E47B7"/>
    <w:rsid w:val="6C34182A"/>
    <w:rsid w:val="6C4038DA"/>
    <w:rsid w:val="6C5001CC"/>
    <w:rsid w:val="6C6F4D3D"/>
    <w:rsid w:val="6C956C96"/>
    <w:rsid w:val="6CB730A4"/>
    <w:rsid w:val="6CD61291"/>
    <w:rsid w:val="6CE9060B"/>
    <w:rsid w:val="6D0268D6"/>
    <w:rsid w:val="6D280C63"/>
    <w:rsid w:val="6D450637"/>
    <w:rsid w:val="6DB0087C"/>
    <w:rsid w:val="6DC75F92"/>
    <w:rsid w:val="6DCD7F6B"/>
    <w:rsid w:val="6DFA70C2"/>
    <w:rsid w:val="6E0003FB"/>
    <w:rsid w:val="6E0537DD"/>
    <w:rsid w:val="6E1645EC"/>
    <w:rsid w:val="6E3D0B6A"/>
    <w:rsid w:val="6E466662"/>
    <w:rsid w:val="6E4E0530"/>
    <w:rsid w:val="6E6B71DB"/>
    <w:rsid w:val="6EA362F4"/>
    <w:rsid w:val="6EB0191A"/>
    <w:rsid w:val="6F2A1E5F"/>
    <w:rsid w:val="6F543D7C"/>
    <w:rsid w:val="6F6824B9"/>
    <w:rsid w:val="6F764F7F"/>
    <w:rsid w:val="6F8F3FCB"/>
    <w:rsid w:val="6F9A6AB1"/>
    <w:rsid w:val="6FA21116"/>
    <w:rsid w:val="6FAA79B8"/>
    <w:rsid w:val="70081199"/>
    <w:rsid w:val="700B0D0E"/>
    <w:rsid w:val="70956D5B"/>
    <w:rsid w:val="70AF29F5"/>
    <w:rsid w:val="70B80716"/>
    <w:rsid w:val="70C2541E"/>
    <w:rsid w:val="70C65C5A"/>
    <w:rsid w:val="710A45D3"/>
    <w:rsid w:val="71125845"/>
    <w:rsid w:val="713F279B"/>
    <w:rsid w:val="715B2C94"/>
    <w:rsid w:val="715C640D"/>
    <w:rsid w:val="71793B16"/>
    <w:rsid w:val="719A03AB"/>
    <w:rsid w:val="71B30FEB"/>
    <w:rsid w:val="71B765A5"/>
    <w:rsid w:val="71DD5AD3"/>
    <w:rsid w:val="71F636B7"/>
    <w:rsid w:val="72510345"/>
    <w:rsid w:val="726B717F"/>
    <w:rsid w:val="726E0A20"/>
    <w:rsid w:val="72791F62"/>
    <w:rsid w:val="729624A5"/>
    <w:rsid w:val="72A008F2"/>
    <w:rsid w:val="72A87DF6"/>
    <w:rsid w:val="72E516D6"/>
    <w:rsid w:val="73075F0B"/>
    <w:rsid w:val="734A53A3"/>
    <w:rsid w:val="73550BC6"/>
    <w:rsid w:val="73651F12"/>
    <w:rsid w:val="73853911"/>
    <w:rsid w:val="738A7250"/>
    <w:rsid w:val="73A32B5C"/>
    <w:rsid w:val="73A9330E"/>
    <w:rsid w:val="73A96097"/>
    <w:rsid w:val="73C35C21"/>
    <w:rsid w:val="73CB7AC4"/>
    <w:rsid w:val="73CE5EEA"/>
    <w:rsid w:val="73D0492D"/>
    <w:rsid w:val="73D32E8F"/>
    <w:rsid w:val="73E06E92"/>
    <w:rsid w:val="740664FA"/>
    <w:rsid w:val="740B66A0"/>
    <w:rsid w:val="74275AAB"/>
    <w:rsid w:val="74417D80"/>
    <w:rsid w:val="74705A35"/>
    <w:rsid w:val="74A416B3"/>
    <w:rsid w:val="74CE35BD"/>
    <w:rsid w:val="74DE44A7"/>
    <w:rsid w:val="750C27EE"/>
    <w:rsid w:val="753F2E51"/>
    <w:rsid w:val="75F47043"/>
    <w:rsid w:val="76026D8D"/>
    <w:rsid w:val="765F456F"/>
    <w:rsid w:val="76E26B81"/>
    <w:rsid w:val="76FC05B4"/>
    <w:rsid w:val="7704215A"/>
    <w:rsid w:val="77103200"/>
    <w:rsid w:val="77441FFC"/>
    <w:rsid w:val="774E7945"/>
    <w:rsid w:val="7753414A"/>
    <w:rsid w:val="77534440"/>
    <w:rsid w:val="77795144"/>
    <w:rsid w:val="778C3E77"/>
    <w:rsid w:val="778D06EB"/>
    <w:rsid w:val="779B3D10"/>
    <w:rsid w:val="78642069"/>
    <w:rsid w:val="787A3325"/>
    <w:rsid w:val="78CC665D"/>
    <w:rsid w:val="78D200FA"/>
    <w:rsid w:val="78DC42FD"/>
    <w:rsid w:val="78F04373"/>
    <w:rsid w:val="791D5FBB"/>
    <w:rsid w:val="79325ED7"/>
    <w:rsid w:val="795C343A"/>
    <w:rsid w:val="797E7DFC"/>
    <w:rsid w:val="79DA1E6F"/>
    <w:rsid w:val="79F47307"/>
    <w:rsid w:val="79FA43CB"/>
    <w:rsid w:val="79FD1061"/>
    <w:rsid w:val="7A2E2AFB"/>
    <w:rsid w:val="7A482CA6"/>
    <w:rsid w:val="7A863267"/>
    <w:rsid w:val="7A9101BF"/>
    <w:rsid w:val="7A982BC4"/>
    <w:rsid w:val="7AD33B9B"/>
    <w:rsid w:val="7AE86EFD"/>
    <w:rsid w:val="7B400F9B"/>
    <w:rsid w:val="7B715700"/>
    <w:rsid w:val="7B783AA3"/>
    <w:rsid w:val="7B787442"/>
    <w:rsid w:val="7B8053B0"/>
    <w:rsid w:val="7B8955CC"/>
    <w:rsid w:val="7BCE258E"/>
    <w:rsid w:val="7BCF48E4"/>
    <w:rsid w:val="7BF96742"/>
    <w:rsid w:val="7BFF730D"/>
    <w:rsid w:val="7C02295A"/>
    <w:rsid w:val="7C0B532B"/>
    <w:rsid w:val="7C356FDB"/>
    <w:rsid w:val="7C503141"/>
    <w:rsid w:val="7C644BE6"/>
    <w:rsid w:val="7C900D2C"/>
    <w:rsid w:val="7C9761F6"/>
    <w:rsid w:val="7C9F542C"/>
    <w:rsid w:val="7CA76A3B"/>
    <w:rsid w:val="7CB71996"/>
    <w:rsid w:val="7CDC0C13"/>
    <w:rsid w:val="7D083865"/>
    <w:rsid w:val="7D21002C"/>
    <w:rsid w:val="7D21599B"/>
    <w:rsid w:val="7D3326A5"/>
    <w:rsid w:val="7DA40CBD"/>
    <w:rsid w:val="7DAF64EF"/>
    <w:rsid w:val="7DB4432B"/>
    <w:rsid w:val="7DCC41A4"/>
    <w:rsid w:val="7DF7660D"/>
    <w:rsid w:val="7DF77788"/>
    <w:rsid w:val="7DFA4230"/>
    <w:rsid w:val="7E4176AB"/>
    <w:rsid w:val="7E447767"/>
    <w:rsid w:val="7E527BC8"/>
    <w:rsid w:val="7E6D0804"/>
    <w:rsid w:val="7E8D7982"/>
    <w:rsid w:val="7E9505BC"/>
    <w:rsid w:val="7EC11AD2"/>
    <w:rsid w:val="7F4220BD"/>
    <w:rsid w:val="7F8819A0"/>
    <w:rsid w:val="7F9B1F41"/>
    <w:rsid w:val="7FAC646C"/>
    <w:rsid w:val="7FC50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nhideWhenUsed="0" w:uiPriority="0" w:semiHidden="0" w:name="HTML Preformatted"/>
    <w:lsdException w:uiPriority="99" w:name="HTML Sample"/>
    <w:lsdException w:uiPriority="99"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5"/>
    <w:link w:val="68"/>
    <w:autoRedefine/>
    <w:qFormat/>
    <w:uiPriority w:val="0"/>
    <w:pPr>
      <w:keepNext/>
      <w:keepLines/>
      <w:spacing w:after="120" w:line="360" w:lineRule="auto"/>
      <w:outlineLvl w:val="0"/>
    </w:pPr>
    <w:rPr>
      <w:kern w:val="44"/>
      <w:sz w:val="28"/>
      <w:szCs w:val="28"/>
    </w:rPr>
  </w:style>
  <w:style w:type="paragraph" w:styleId="7">
    <w:name w:val="heading 2"/>
    <w:basedOn w:val="1"/>
    <w:next w:val="8"/>
    <w:link w:val="70"/>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9">
    <w:name w:val="heading 3"/>
    <w:basedOn w:val="1"/>
    <w:next w:val="1"/>
    <w:link w:val="72"/>
    <w:autoRedefine/>
    <w:qFormat/>
    <w:uiPriority w:val="0"/>
    <w:pPr>
      <w:widowControl/>
      <w:spacing w:before="100" w:beforeAutospacing="1" w:after="100" w:afterAutospacing="1"/>
      <w:jc w:val="left"/>
      <w:outlineLvl w:val="2"/>
    </w:pPr>
    <w:rPr>
      <w:rFonts w:ascii="宋体" w:hAnsi="宋体"/>
      <w:kern w:val="0"/>
      <w:sz w:val="27"/>
      <w:szCs w:val="27"/>
    </w:rPr>
  </w:style>
  <w:style w:type="paragraph" w:styleId="10">
    <w:name w:val="heading 4"/>
    <w:basedOn w:val="9"/>
    <w:next w:val="8"/>
    <w:link w:val="65"/>
    <w:autoRedefine/>
    <w:qFormat/>
    <w:uiPriority w:val="0"/>
    <w:pPr>
      <w:keepNext/>
      <w:keepLines/>
      <w:widowControl w:val="0"/>
      <w:numPr>
        <w:ilvl w:val="3"/>
        <w:numId w:val="1"/>
      </w:numPr>
      <w:spacing w:beforeLines="50" w:beforeAutospacing="0" w:afterLines="50" w:afterAutospacing="0" w:line="360" w:lineRule="auto"/>
      <w:outlineLvl w:val="3"/>
    </w:pPr>
    <w:rPr>
      <w:rFonts w:ascii="Arial" w:hAnsi="Arial"/>
      <w:color w:val="000000"/>
      <w:kern w:val="2"/>
      <w:sz w:val="21"/>
      <w:szCs w:val="21"/>
    </w:rPr>
  </w:style>
  <w:style w:type="paragraph" w:styleId="11">
    <w:name w:val="heading 5"/>
    <w:basedOn w:val="10"/>
    <w:next w:val="8"/>
    <w:link w:val="73"/>
    <w:autoRedefine/>
    <w:qFormat/>
    <w:uiPriority w:val="0"/>
    <w:pPr>
      <w:numPr>
        <w:ilvl w:val="4"/>
      </w:numPr>
      <w:spacing w:line="240" w:lineRule="exact"/>
      <w:outlineLvl w:val="4"/>
    </w:pPr>
  </w:style>
  <w:style w:type="paragraph" w:styleId="12">
    <w:name w:val="heading 6"/>
    <w:basedOn w:val="1"/>
    <w:next w:val="1"/>
    <w:link w:val="74"/>
    <w:autoRedefine/>
    <w:qFormat/>
    <w:uiPriority w:val="0"/>
    <w:pPr>
      <w:keepNext/>
      <w:keepLines/>
      <w:numPr>
        <w:ilvl w:val="5"/>
        <w:numId w:val="2"/>
      </w:numPr>
      <w:spacing w:before="240" w:after="64" w:line="320" w:lineRule="auto"/>
      <w:outlineLvl w:val="5"/>
    </w:pPr>
    <w:rPr>
      <w:rFonts w:ascii="Arial" w:hAnsi="Arial" w:eastAsia="黑体"/>
      <w:b/>
      <w:bCs/>
      <w:sz w:val="24"/>
      <w:szCs w:val="24"/>
    </w:rPr>
  </w:style>
  <w:style w:type="paragraph" w:styleId="13">
    <w:name w:val="heading 7"/>
    <w:basedOn w:val="1"/>
    <w:next w:val="8"/>
    <w:link w:val="75"/>
    <w:autoRedefine/>
    <w:qFormat/>
    <w:uiPriority w:val="0"/>
    <w:pPr>
      <w:keepNext/>
      <w:keepLines/>
      <w:numPr>
        <w:ilvl w:val="6"/>
        <w:numId w:val="1"/>
      </w:numPr>
      <w:spacing w:before="240" w:after="64" w:line="320" w:lineRule="auto"/>
      <w:outlineLvl w:val="6"/>
    </w:pPr>
    <w:rPr>
      <w:b/>
      <w:sz w:val="24"/>
      <w:szCs w:val="20"/>
    </w:rPr>
  </w:style>
  <w:style w:type="paragraph" w:styleId="14">
    <w:name w:val="heading 8"/>
    <w:basedOn w:val="1"/>
    <w:next w:val="8"/>
    <w:link w:val="76"/>
    <w:autoRedefine/>
    <w:qFormat/>
    <w:uiPriority w:val="0"/>
    <w:pPr>
      <w:keepNext/>
      <w:keepLines/>
      <w:numPr>
        <w:ilvl w:val="7"/>
        <w:numId w:val="1"/>
      </w:numPr>
      <w:spacing w:before="240" w:after="64" w:line="320" w:lineRule="auto"/>
      <w:outlineLvl w:val="7"/>
    </w:pPr>
    <w:rPr>
      <w:rFonts w:ascii="Arial" w:hAnsi="Arial" w:eastAsia="黑体"/>
      <w:sz w:val="24"/>
      <w:szCs w:val="20"/>
    </w:rPr>
  </w:style>
  <w:style w:type="paragraph" w:styleId="15">
    <w:name w:val="heading 9"/>
    <w:basedOn w:val="1"/>
    <w:next w:val="8"/>
    <w:link w:val="77"/>
    <w:autoRedefine/>
    <w:qFormat/>
    <w:uiPriority w:val="0"/>
    <w:pPr>
      <w:keepNext/>
      <w:keepLines/>
      <w:numPr>
        <w:ilvl w:val="8"/>
        <w:numId w:val="1"/>
      </w:numPr>
      <w:spacing w:before="240" w:after="64" w:line="320" w:lineRule="auto"/>
      <w:outlineLvl w:val="8"/>
    </w:pPr>
    <w:rPr>
      <w:rFonts w:ascii="Arial" w:hAnsi="Arial" w:eastAsia="黑体"/>
      <w:szCs w:val="20"/>
    </w:rPr>
  </w:style>
  <w:style w:type="character" w:default="1" w:styleId="52">
    <w:name w:val="Default Paragraph Font"/>
    <w:autoRedefine/>
    <w:semiHidden/>
    <w:unhideWhenUsed/>
    <w:qFormat/>
    <w:uiPriority w:val="1"/>
  </w:style>
  <w:style w:type="table" w:default="1" w:styleId="50">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next w:val="1"/>
    <w:link w:val="82"/>
    <w:autoRedefine/>
    <w:qFormat/>
    <w:uiPriority w:val="0"/>
    <w:rPr>
      <w:rFonts w:ascii="宋体" w:hAnsi="Courier New"/>
      <w:kern w:val="0"/>
      <w:sz w:val="20"/>
      <w:szCs w:val="20"/>
    </w:rPr>
  </w:style>
  <w:style w:type="paragraph" w:styleId="4">
    <w:name w:val="Title"/>
    <w:basedOn w:val="1"/>
    <w:link w:val="67"/>
    <w:autoRedefine/>
    <w:qFormat/>
    <w:uiPriority w:val="0"/>
    <w:pPr>
      <w:spacing w:before="120" w:after="60"/>
      <w:jc w:val="center"/>
    </w:pPr>
    <w:rPr>
      <w:rFonts w:ascii="Arial" w:hAnsi="Arial"/>
      <w:b/>
      <w:kern w:val="0"/>
      <w:sz w:val="44"/>
      <w:szCs w:val="20"/>
    </w:rPr>
  </w:style>
  <w:style w:type="paragraph" w:styleId="5">
    <w:name w:val="Body Text First Indent"/>
    <w:basedOn w:val="6"/>
    <w:link w:val="69"/>
    <w:autoRedefine/>
    <w:qFormat/>
    <w:uiPriority w:val="0"/>
    <w:pPr>
      <w:ind w:firstLine="420"/>
    </w:pPr>
  </w:style>
  <w:style w:type="paragraph" w:styleId="6">
    <w:name w:val="Body Text"/>
    <w:basedOn w:val="1"/>
    <w:next w:val="1"/>
    <w:link w:val="66"/>
    <w:autoRedefine/>
    <w:qFormat/>
    <w:uiPriority w:val="0"/>
    <w:pPr>
      <w:spacing w:after="120"/>
    </w:pPr>
    <w:rPr>
      <w:kern w:val="0"/>
      <w:sz w:val="20"/>
      <w:szCs w:val="20"/>
    </w:rPr>
  </w:style>
  <w:style w:type="paragraph" w:styleId="8">
    <w:name w:val="Normal Indent"/>
    <w:basedOn w:val="1"/>
    <w:next w:val="1"/>
    <w:link w:val="71"/>
    <w:autoRedefine/>
    <w:qFormat/>
    <w:uiPriority w:val="0"/>
    <w:pPr>
      <w:ind w:firstLine="420"/>
    </w:pPr>
    <w:rPr>
      <w:szCs w:val="20"/>
    </w:rPr>
  </w:style>
  <w:style w:type="paragraph" w:styleId="16">
    <w:name w:val="toc 7"/>
    <w:basedOn w:val="1"/>
    <w:next w:val="1"/>
    <w:autoRedefine/>
    <w:qFormat/>
    <w:uiPriority w:val="0"/>
    <w:pPr>
      <w:ind w:left="2520" w:leftChars="1200"/>
    </w:pPr>
    <w:rPr>
      <w:szCs w:val="24"/>
    </w:rPr>
  </w:style>
  <w:style w:type="paragraph" w:styleId="17">
    <w:name w:val="caption"/>
    <w:basedOn w:val="1"/>
    <w:next w:val="1"/>
    <w:autoRedefine/>
    <w:qFormat/>
    <w:uiPriority w:val="0"/>
    <w:rPr>
      <w:rFonts w:ascii="Cambria" w:hAnsi="Cambria" w:eastAsia="黑体"/>
      <w:sz w:val="20"/>
      <w:szCs w:val="20"/>
    </w:rPr>
  </w:style>
  <w:style w:type="paragraph" w:styleId="18">
    <w:name w:val="List Bullet"/>
    <w:basedOn w:val="1"/>
    <w:autoRedefine/>
    <w:qFormat/>
    <w:uiPriority w:val="0"/>
    <w:pPr>
      <w:tabs>
        <w:tab w:val="left" w:pos="360"/>
        <w:tab w:val="left" w:pos="750"/>
      </w:tabs>
      <w:ind w:left="750" w:hanging="330"/>
    </w:pPr>
    <w:rPr>
      <w:szCs w:val="24"/>
    </w:rPr>
  </w:style>
  <w:style w:type="paragraph" w:styleId="19">
    <w:name w:val="Document Map"/>
    <w:basedOn w:val="1"/>
    <w:link w:val="78"/>
    <w:autoRedefine/>
    <w:qFormat/>
    <w:uiPriority w:val="0"/>
    <w:pPr>
      <w:shd w:val="clear" w:color="auto" w:fill="000080"/>
    </w:pPr>
    <w:rPr>
      <w:kern w:val="0"/>
      <w:sz w:val="20"/>
      <w:szCs w:val="20"/>
    </w:rPr>
  </w:style>
  <w:style w:type="paragraph" w:styleId="20">
    <w:name w:val="annotation text"/>
    <w:basedOn w:val="1"/>
    <w:link w:val="79"/>
    <w:autoRedefine/>
    <w:qFormat/>
    <w:uiPriority w:val="99"/>
    <w:pPr>
      <w:spacing w:line="360" w:lineRule="auto"/>
      <w:ind w:firstLine="523" w:firstLineChars="218"/>
      <w:jc w:val="left"/>
    </w:pPr>
    <w:rPr>
      <w:rFonts w:ascii="宋体" w:hAnsi="宋体"/>
      <w:kern w:val="0"/>
      <w:sz w:val="24"/>
      <w:szCs w:val="24"/>
    </w:rPr>
  </w:style>
  <w:style w:type="paragraph" w:styleId="21">
    <w:name w:val="Body Text 3"/>
    <w:basedOn w:val="1"/>
    <w:next w:val="22"/>
    <w:link w:val="80"/>
    <w:autoRedefine/>
    <w:unhideWhenUsed/>
    <w:qFormat/>
    <w:uiPriority w:val="0"/>
    <w:rPr>
      <w:rFonts w:ascii="仿宋_GB2312"/>
      <w:kern w:val="0"/>
      <w:sz w:val="16"/>
      <w:szCs w:val="16"/>
    </w:rPr>
  </w:style>
  <w:style w:type="paragraph" w:styleId="22">
    <w:name w:val="Body Text 2"/>
    <w:basedOn w:val="1"/>
    <w:link w:val="92"/>
    <w:autoRedefine/>
    <w:qFormat/>
    <w:uiPriority w:val="0"/>
    <w:rPr>
      <w:rFonts w:ascii="宋体" w:hAnsi="宋体"/>
      <w:kern w:val="0"/>
      <w:sz w:val="20"/>
      <w:szCs w:val="24"/>
      <w:u w:val="single"/>
    </w:rPr>
  </w:style>
  <w:style w:type="paragraph" w:styleId="23">
    <w:name w:val="Body Text Indent"/>
    <w:basedOn w:val="1"/>
    <w:link w:val="81"/>
    <w:autoRedefine/>
    <w:qFormat/>
    <w:uiPriority w:val="0"/>
    <w:pPr>
      <w:ind w:firstLine="570"/>
    </w:pPr>
    <w:rPr>
      <w:kern w:val="0"/>
      <w:sz w:val="28"/>
      <w:szCs w:val="20"/>
    </w:rPr>
  </w:style>
  <w:style w:type="paragraph" w:styleId="24">
    <w:name w:val="List 2"/>
    <w:basedOn w:val="1"/>
    <w:autoRedefine/>
    <w:qFormat/>
    <w:uiPriority w:val="0"/>
    <w:pPr>
      <w:spacing w:line="500" w:lineRule="exact"/>
      <w:ind w:left="1" w:firstLine="539"/>
    </w:pPr>
    <w:rPr>
      <w:sz w:val="28"/>
      <w:szCs w:val="20"/>
    </w:rPr>
  </w:style>
  <w:style w:type="paragraph" w:styleId="25">
    <w:name w:val="Block Text"/>
    <w:basedOn w:val="1"/>
    <w:autoRedefine/>
    <w:qFormat/>
    <w:uiPriority w:val="0"/>
    <w:pPr>
      <w:tabs>
        <w:tab w:val="left" w:pos="720"/>
      </w:tabs>
      <w:snapToGrid w:val="0"/>
      <w:spacing w:line="360" w:lineRule="auto"/>
      <w:ind w:left="-178" w:leftChars="-85" w:right="-159" w:rightChars="-159" w:firstLine="540" w:firstLineChars="225"/>
    </w:pPr>
    <w:rPr>
      <w:sz w:val="24"/>
      <w:szCs w:val="20"/>
    </w:rPr>
  </w:style>
  <w:style w:type="paragraph" w:styleId="26">
    <w:name w:val="List Bullet 2"/>
    <w:basedOn w:val="18"/>
    <w:autoRedefine/>
    <w:qFormat/>
    <w:uiPriority w:val="0"/>
    <w:pPr>
      <w:widowControl/>
      <w:tabs>
        <w:tab w:val="left" w:pos="432"/>
        <w:tab w:val="left" w:pos="957"/>
      </w:tabs>
      <w:spacing w:after="220" w:line="220" w:lineRule="atLeast"/>
      <w:ind w:left="2160" w:right="720" w:hanging="432"/>
      <w:jc w:val="left"/>
    </w:pPr>
    <w:rPr>
      <w:kern w:val="0"/>
      <w:szCs w:val="20"/>
    </w:rPr>
  </w:style>
  <w:style w:type="paragraph" w:styleId="27">
    <w:name w:val="index 4"/>
    <w:basedOn w:val="1"/>
    <w:next w:val="1"/>
    <w:autoRedefine/>
    <w:qFormat/>
    <w:uiPriority w:val="0"/>
    <w:pPr>
      <w:ind w:left="600" w:leftChars="600"/>
    </w:pPr>
    <w:rPr>
      <w:szCs w:val="24"/>
    </w:rPr>
  </w:style>
  <w:style w:type="paragraph" w:styleId="28">
    <w:name w:val="toc 5"/>
    <w:basedOn w:val="1"/>
    <w:next w:val="1"/>
    <w:autoRedefine/>
    <w:qFormat/>
    <w:uiPriority w:val="0"/>
    <w:pPr>
      <w:ind w:left="1680" w:leftChars="800"/>
    </w:pPr>
    <w:rPr>
      <w:szCs w:val="24"/>
    </w:rPr>
  </w:style>
  <w:style w:type="paragraph" w:styleId="29">
    <w:name w:val="toc 3"/>
    <w:basedOn w:val="1"/>
    <w:next w:val="1"/>
    <w:autoRedefine/>
    <w:qFormat/>
    <w:uiPriority w:val="0"/>
    <w:pPr>
      <w:snapToGrid w:val="0"/>
      <w:spacing w:line="360" w:lineRule="auto"/>
      <w:ind w:left="400" w:leftChars="400"/>
      <w:jc w:val="left"/>
    </w:pPr>
    <w:rPr>
      <w:sz w:val="24"/>
      <w:szCs w:val="20"/>
    </w:rPr>
  </w:style>
  <w:style w:type="paragraph" w:styleId="30">
    <w:name w:val="toc 8"/>
    <w:basedOn w:val="1"/>
    <w:next w:val="1"/>
    <w:autoRedefine/>
    <w:qFormat/>
    <w:uiPriority w:val="0"/>
    <w:pPr>
      <w:ind w:left="2940" w:leftChars="1400"/>
    </w:pPr>
    <w:rPr>
      <w:szCs w:val="24"/>
    </w:rPr>
  </w:style>
  <w:style w:type="paragraph" w:styleId="31">
    <w:name w:val="Date"/>
    <w:basedOn w:val="1"/>
    <w:next w:val="1"/>
    <w:link w:val="83"/>
    <w:autoRedefine/>
    <w:qFormat/>
    <w:uiPriority w:val="0"/>
    <w:rPr>
      <w:kern w:val="0"/>
      <w:sz w:val="20"/>
      <w:szCs w:val="20"/>
    </w:rPr>
  </w:style>
  <w:style w:type="paragraph" w:styleId="32">
    <w:name w:val="Body Text Indent 2"/>
    <w:basedOn w:val="1"/>
    <w:link w:val="84"/>
    <w:autoRedefine/>
    <w:qFormat/>
    <w:uiPriority w:val="0"/>
    <w:pPr>
      <w:spacing w:line="400" w:lineRule="exact"/>
      <w:ind w:left="425"/>
    </w:pPr>
    <w:rPr>
      <w:color w:val="000000"/>
      <w:kern w:val="0"/>
      <w:sz w:val="24"/>
      <w:szCs w:val="20"/>
    </w:rPr>
  </w:style>
  <w:style w:type="paragraph" w:styleId="33">
    <w:name w:val="endnote text"/>
    <w:basedOn w:val="1"/>
    <w:link w:val="85"/>
    <w:autoRedefine/>
    <w:qFormat/>
    <w:uiPriority w:val="0"/>
    <w:pPr>
      <w:snapToGrid w:val="0"/>
      <w:jc w:val="left"/>
    </w:pPr>
    <w:rPr>
      <w:kern w:val="0"/>
      <w:sz w:val="20"/>
      <w:szCs w:val="20"/>
    </w:rPr>
  </w:style>
  <w:style w:type="paragraph" w:styleId="34">
    <w:name w:val="Balloon Text"/>
    <w:basedOn w:val="1"/>
    <w:link w:val="86"/>
    <w:autoRedefine/>
    <w:qFormat/>
    <w:uiPriority w:val="0"/>
    <w:rPr>
      <w:kern w:val="0"/>
      <w:sz w:val="18"/>
      <w:szCs w:val="18"/>
    </w:rPr>
  </w:style>
  <w:style w:type="paragraph" w:styleId="35">
    <w:name w:val="footer"/>
    <w:basedOn w:val="1"/>
    <w:link w:val="87"/>
    <w:autoRedefine/>
    <w:unhideWhenUsed/>
    <w:qFormat/>
    <w:uiPriority w:val="0"/>
    <w:pPr>
      <w:tabs>
        <w:tab w:val="center" w:pos="4153"/>
        <w:tab w:val="right" w:pos="8306"/>
      </w:tabs>
      <w:snapToGrid w:val="0"/>
      <w:jc w:val="left"/>
    </w:pPr>
    <w:rPr>
      <w:rFonts w:ascii="Calibri" w:hAnsi="Calibri"/>
      <w:kern w:val="0"/>
      <w:sz w:val="18"/>
      <w:szCs w:val="18"/>
    </w:rPr>
  </w:style>
  <w:style w:type="paragraph" w:styleId="36">
    <w:name w:val="header"/>
    <w:basedOn w:val="1"/>
    <w:link w:val="88"/>
    <w:autoRedefine/>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7">
    <w:name w:val="toc 1"/>
    <w:basedOn w:val="1"/>
    <w:next w:val="1"/>
    <w:autoRedefine/>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38">
    <w:name w:val="toc 4"/>
    <w:basedOn w:val="1"/>
    <w:next w:val="1"/>
    <w:autoRedefine/>
    <w:qFormat/>
    <w:uiPriority w:val="0"/>
    <w:pPr>
      <w:ind w:left="1260" w:leftChars="600"/>
    </w:pPr>
    <w:rPr>
      <w:szCs w:val="24"/>
    </w:rPr>
  </w:style>
  <w:style w:type="paragraph" w:styleId="39">
    <w:name w:val="Subtitle"/>
    <w:basedOn w:val="1"/>
    <w:next w:val="1"/>
    <w:link w:val="89"/>
    <w:autoRedefine/>
    <w:qFormat/>
    <w:uiPriority w:val="11"/>
    <w:pPr>
      <w:widowControl/>
      <w:spacing w:after="60"/>
      <w:jc w:val="center"/>
      <w:outlineLvl w:val="1"/>
    </w:pPr>
    <w:rPr>
      <w:rFonts w:ascii="Cambria" w:hAnsi="Cambria"/>
      <w:b/>
      <w:bCs/>
      <w:kern w:val="28"/>
      <w:sz w:val="32"/>
      <w:szCs w:val="32"/>
    </w:rPr>
  </w:style>
  <w:style w:type="paragraph" w:styleId="40">
    <w:name w:val="List"/>
    <w:basedOn w:val="1"/>
    <w:autoRedefine/>
    <w:qFormat/>
    <w:uiPriority w:val="0"/>
    <w:pPr>
      <w:jc w:val="center"/>
    </w:pPr>
    <w:rPr>
      <w:szCs w:val="20"/>
    </w:rPr>
  </w:style>
  <w:style w:type="paragraph" w:styleId="41">
    <w:name w:val="footnote text"/>
    <w:basedOn w:val="1"/>
    <w:link w:val="90"/>
    <w:autoRedefine/>
    <w:qFormat/>
    <w:uiPriority w:val="0"/>
    <w:pPr>
      <w:snapToGrid w:val="0"/>
      <w:spacing w:line="360" w:lineRule="auto"/>
      <w:ind w:firstLine="523" w:firstLineChars="218"/>
      <w:jc w:val="left"/>
    </w:pPr>
    <w:rPr>
      <w:rFonts w:ascii="宋体" w:hAnsi="宋体"/>
      <w:kern w:val="0"/>
      <w:sz w:val="18"/>
      <w:szCs w:val="18"/>
    </w:rPr>
  </w:style>
  <w:style w:type="paragraph" w:styleId="42">
    <w:name w:val="toc 6"/>
    <w:basedOn w:val="1"/>
    <w:next w:val="1"/>
    <w:autoRedefine/>
    <w:qFormat/>
    <w:uiPriority w:val="0"/>
    <w:pPr>
      <w:ind w:left="2100" w:leftChars="1000"/>
    </w:pPr>
    <w:rPr>
      <w:szCs w:val="24"/>
    </w:rPr>
  </w:style>
  <w:style w:type="paragraph" w:styleId="43">
    <w:name w:val="Body Text Indent 3"/>
    <w:basedOn w:val="1"/>
    <w:link w:val="91"/>
    <w:autoRedefine/>
    <w:qFormat/>
    <w:uiPriority w:val="0"/>
    <w:pPr>
      <w:tabs>
        <w:tab w:val="left" w:pos="0"/>
      </w:tabs>
      <w:spacing w:line="400" w:lineRule="exact"/>
      <w:ind w:left="563" w:leftChars="228" w:hanging="84" w:hangingChars="35"/>
    </w:pPr>
    <w:rPr>
      <w:color w:val="000000"/>
      <w:kern w:val="0"/>
      <w:sz w:val="24"/>
      <w:szCs w:val="20"/>
    </w:rPr>
  </w:style>
  <w:style w:type="paragraph" w:styleId="44">
    <w:name w:val="toc 2"/>
    <w:basedOn w:val="1"/>
    <w:next w:val="1"/>
    <w:autoRedefine/>
    <w:qFormat/>
    <w:uiPriority w:val="0"/>
    <w:pPr>
      <w:tabs>
        <w:tab w:val="right" w:leader="dot" w:pos="9060"/>
      </w:tabs>
      <w:snapToGrid w:val="0"/>
      <w:spacing w:line="360" w:lineRule="auto"/>
      <w:ind w:left="420" w:leftChars="200"/>
      <w:jc w:val="left"/>
    </w:pPr>
    <w:rPr>
      <w:sz w:val="24"/>
      <w:szCs w:val="24"/>
    </w:rPr>
  </w:style>
  <w:style w:type="paragraph" w:styleId="45">
    <w:name w:val="toc 9"/>
    <w:basedOn w:val="1"/>
    <w:next w:val="1"/>
    <w:autoRedefine/>
    <w:qFormat/>
    <w:uiPriority w:val="0"/>
    <w:pPr>
      <w:ind w:left="3360" w:leftChars="1600"/>
    </w:pPr>
    <w:rPr>
      <w:szCs w:val="24"/>
    </w:rPr>
  </w:style>
  <w:style w:type="paragraph" w:styleId="46">
    <w:name w:val="HTML Preformatted"/>
    <w:basedOn w:val="1"/>
    <w:link w:val="9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47">
    <w:name w:val="Normal (Web)"/>
    <w:basedOn w:val="1"/>
    <w:autoRedefine/>
    <w:qFormat/>
    <w:uiPriority w:val="99"/>
    <w:pPr>
      <w:spacing w:before="100" w:beforeAutospacing="1" w:after="100" w:afterAutospacing="1"/>
      <w:jc w:val="left"/>
    </w:pPr>
    <w:rPr>
      <w:rFonts w:ascii="Calibri" w:hAnsi="Calibri"/>
      <w:kern w:val="0"/>
      <w:sz w:val="24"/>
      <w:szCs w:val="24"/>
    </w:rPr>
  </w:style>
  <w:style w:type="paragraph" w:styleId="48">
    <w:name w:val="index 1"/>
    <w:basedOn w:val="1"/>
    <w:next w:val="1"/>
    <w:autoRedefine/>
    <w:qFormat/>
    <w:uiPriority w:val="0"/>
    <w:rPr>
      <w:rFonts w:eastAsia="仿宋_GB2312"/>
      <w:sz w:val="28"/>
      <w:szCs w:val="20"/>
    </w:rPr>
  </w:style>
  <w:style w:type="paragraph" w:styleId="49">
    <w:name w:val="annotation subject"/>
    <w:basedOn w:val="20"/>
    <w:next w:val="20"/>
    <w:link w:val="94"/>
    <w:autoRedefine/>
    <w:qFormat/>
    <w:uiPriority w:val="0"/>
    <w:rPr>
      <w:b/>
      <w:bCs/>
    </w:rPr>
  </w:style>
  <w:style w:type="table" w:styleId="51">
    <w:name w:val="Table Grid"/>
    <w:basedOn w:val="5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3">
    <w:name w:val="Strong"/>
    <w:autoRedefine/>
    <w:qFormat/>
    <w:uiPriority w:val="0"/>
    <w:rPr>
      <w:b/>
    </w:rPr>
  </w:style>
  <w:style w:type="character" w:styleId="54">
    <w:name w:val="endnote reference"/>
    <w:autoRedefine/>
    <w:qFormat/>
    <w:uiPriority w:val="0"/>
    <w:rPr>
      <w:vertAlign w:val="superscript"/>
    </w:rPr>
  </w:style>
  <w:style w:type="character" w:styleId="55">
    <w:name w:val="page number"/>
    <w:autoRedefine/>
    <w:qFormat/>
    <w:uiPriority w:val="0"/>
    <w:rPr>
      <w:rFonts w:cs="Times New Roman"/>
    </w:rPr>
  </w:style>
  <w:style w:type="character" w:styleId="56">
    <w:name w:val="FollowedHyperlink"/>
    <w:autoRedefine/>
    <w:unhideWhenUsed/>
    <w:qFormat/>
    <w:uiPriority w:val="0"/>
    <w:rPr>
      <w:color w:val="954F72"/>
      <w:u w:val="single"/>
    </w:rPr>
  </w:style>
  <w:style w:type="character" w:styleId="57">
    <w:name w:val="Emphasis"/>
    <w:autoRedefine/>
    <w:qFormat/>
    <w:uiPriority w:val="0"/>
    <w:rPr>
      <w:i/>
      <w:iCs/>
    </w:rPr>
  </w:style>
  <w:style w:type="character" w:styleId="58">
    <w:name w:val="HTML Definition"/>
    <w:autoRedefine/>
    <w:unhideWhenUsed/>
    <w:qFormat/>
    <w:uiPriority w:val="99"/>
  </w:style>
  <w:style w:type="character" w:styleId="59">
    <w:name w:val="HTML Variable"/>
    <w:autoRedefine/>
    <w:unhideWhenUsed/>
    <w:qFormat/>
    <w:uiPriority w:val="99"/>
  </w:style>
  <w:style w:type="character" w:styleId="60">
    <w:name w:val="Hyperlink"/>
    <w:autoRedefine/>
    <w:qFormat/>
    <w:uiPriority w:val="0"/>
    <w:rPr>
      <w:color w:val="555555"/>
      <w:u w:val="none"/>
    </w:rPr>
  </w:style>
  <w:style w:type="character" w:styleId="61">
    <w:name w:val="HTML Code"/>
    <w:autoRedefine/>
    <w:unhideWhenUsed/>
    <w:qFormat/>
    <w:uiPriority w:val="99"/>
    <w:rPr>
      <w:rFonts w:ascii="Courier New" w:hAnsi="Courier New"/>
      <w:sz w:val="20"/>
    </w:rPr>
  </w:style>
  <w:style w:type="character" w:styleId="62">
    <w:name w:val="annotation reference"/>
    <w:autoRedefine/>
    <w:qFormat/>
    <w:uiPriority w:val="99"/>
    <w:rPr>
      <w:sz w:val="21"/>
      <w:szCs w:val="21"/>
    </w:rPr>
  </w:style>
  <w:style w:type="character" w:styleId="63">
    <w:name w:val="HTML Cite"/>
    <w:autoRedefine/>
    <w:unhideWhenUsed/>
    <w:qFormat/>
    <w:uiPriority w:val="99"/>
  </w:style>
  <w:style w:type="character" w:styleId="64">
    <w:name w:val="footnote reference"/>
    <w:autoRedefine/>
    <w:qFormat/>
    <w:uiPriority w:val="0"/>
    <w:rPr>
      <w:vertAlign w:val="superscript"/>
    </w:rPr>
  </w:style>
  <w:style w:type="character" w:customStyle="1" w:styleId="65">
    <w:name w:val="标题 4 Char"/>
    <w:link w:val="10"/>
    <w:autoRedefine/>
    <w:qFormat/>
    <w:uiPriority w:val="0"/>
    <w:rPr>
      <w:rFonts w:ascii="Arial" w:hAnsi="Arial" w:eastAsia="宋体"/>
      <w:color w:val="000000"/>
      <w:kern w:val="2"/>
      <w:sz w:val="21"/>
      <w:szCs w:val="21"/>
    </w:rPr>
  </w:style>
  <w:style w:type="character" w:customStyle="1" w:styleId="66">
    <w:name w:val="正文文本 Char"/>
    <w:link w:val="6"/>
    <w:autoRedefine/>
    <w:qFormat/>
    <w:uiPriority w:val="0"/>
    <w:rPr>
      <w:rFonts w:ascii="Times New Roman" w:hAnsi="Times New Roman" w:eastAsia="宋体" w:cs="Times New Roman"/>
      <w:szCs w:val="20"/>
    </w:rPr>
  </w:style>
  <w:style w:type="character" w:customStyle="1" w:styleId="67">
    <w:name w:val="标题 Char"/>
    <w:link w:val="4"/>
    <w:autoRedefine/>
    <w:qFormat/>
    <w:uiPriority w:val="0"/>
    <w:rPr>
      <w:rFonts w:ascii="Arial" w:hAnsi="Arial" w:eastAsia="宋体" w:cs="Times New Roman"/>
      <w:b/>
      <w:sz w:val="44"/>
      <w:szCs w:val="20"/>
    </w:rPr>
  </w:style>
  <w:style w:type="character" w:customStyle="1" w:styleId="68">
    <w:name w:val="标题 1 Char"/>
    <w:link w:val="3"/>
    <w:autoRedefine/>
    <w:qFormat/>
    <w:uiPriority w:val="0"/>
    <w:rPr>
      <w:rFonts w:ascii="Arial" w:hAnsi="Arial" w:eastAsia="宋体"/>
      <w:b/>
      <w:kern w:val="44"/>
      <w:sz w:val="28"/>
      <w:szCs w:val="28"/>
    </w:rPr>
  </w:style>
  <w:style w:type="character" w:customStyle="1" w:styleId="69">
    <w:name w:val="正文首行缩进 Char"/>
    <w:link w:val="5"/>
    <w:autoRedefine/>
    <w:qFormat/>
    <w:uiPriority w:val="0"/>
  </w:style>
  <w:style w:type="character" w:customStyle="1" w:styleId="70">
    <w:name w:val="标题 2 Char"/>
    <w:link w:val="7"/>
    <w:autoRedefine/>
    <w:qFormat/>
    <w:uiPriority w:val="0"/>
    <w:rPr>
      <w:rFonts w:ascii="Arial" w:hAnsi="Arial" w:eastAsia="宋体" w:cs="Times New Roman"/>
      <w:b/>
      <w:color w:val="000000"/>
      <w:sz w:val="24"/>
      <w:szCs w:val="24"/>
    </w:rPr>
  </w:style>
  <w:style w:type="character" w:customStyle="1" w:styleId="71">
    <w:name w:val="正文缩进 Char"/>
    <w:link w:val="8"/>
    <w:autoRedefine/>
    <w:qFormat/>
    <w:uiPriority w:val="0"/>
    <w:rPr>
      <w:rFonts w:ascii="Times New Roman" w:hAnsi="Times New Roman" w:eastAsia="宋体"/>
      <w:kern w:val="2"/>
      <w:sz w:val="21"/>
    </w:rPr>
  </w:style>
  <w:style w:type="character" w:customStyle="1" w:styleId="72">
    <w:name w:val="标题 3 Char"/>
    <w:link w:val="9"/>
    <w:autoRedefine/>
    <w:qFormat/>
    <w:uiPriority w:val="0"/>
    <w:rPr>
      <w:rFonts w:ascii="宋体" w:hAnsi="宋体" w:eastAsia="宋体" w:cs="宋体"/>
      <w:kern w:val="0"/>
      <w:sz w:val="27"/>
      <w:szCs w:val="27"/>
    </w:rPr>
  </w:style>
  <w:style w:type="character" w:customStyle="1" w:styleId="73">
    <w:name w:val="标题 5 Char"/>
    <w:link w:val="11"/>
    <w:autoRedefine/>
    <w:qFormat/>
    <w:uiPriority w:val="0"/>
    <w:rPr>
      <w:rFonts w:ascii="Arial" w:hAnsi="Arial" w:eastAsia="宋体"/>
      <w:color w:val="000000"/>
      <w:kern w:val="2"/>
      <w:sz w:val="21"/>
      <w:szCs w:val="21"/>
    </w:rPr>
  </w:style>
  <w:style w:type="character" w:customStyle="1" w:styleId="74">
    <w:name w:val="标题 6 Char"/>
    <w:link w:val="12"/>
    <w:autoRedefine/>
    <w:qFormat/>
    <w:uiPriority w:val="0"/>
    <w:rPr>
      <w:rFonts w:ascii="Arial" w:hAnsi="Arial" w:eastAsia="黑体"/>
      <w:b/>
      <w:bCs/>
      <w:kern w:val="2"/>
      <w:sz w:val="24"/>
      <w:szCs w:val="24"/>
    </w:rPr>
  </w:style>
  <w:style w:type="character" w:customStyle="1" w:styleId="75">
    <w:name w:val="标题 7 Char"/>
    <w:link w:val="13"/>
    <w:autoRedefine/>
    <w:qFormat/>
    <w:uiPriority w:val="0"/>
    <w:rPr>
      <w:rFonts w:ascii="Times New Roman" w:hAnsi="Times New Roman" w:eastAsia="宋体"/>
      <w:b/>
      <w:kern w:val="2"/>
      <w:sz w:val="24"/>
    </w:rPr>
  </w:style>
  <w:style w:type="character" w:customStyle="1" w:styleId="76">
    <w:name w:val="标题 8 Char"/>
    <w:link w:val="14"/>
    <w:autoRedefine/>
    <w:qFormat/>
    <w:uiPriority w:val="0"/>
    <w:rPr>
      <w:rFonts w:ascii="Arial" w:hAnsi="Arial" w:eastAsia="黑体"/>
      <w:kern w:val="2"/>
      <w:sz w:val="24"/>
    </w:rPr>
  </w:style>
  <w:style w:type="character" w:customStyle="1" w:styleId="77">
    <w:name w:val="标题 9 Char"/>
    <w:link w:val="15"/>
    <w:autoRedefine/>
    <w:qFormat/>
    <w:uiPriority w:val="0"/>
    <w:rPr>
      <w:rFonts w:ascii="Arial" w:hAnsi="Arial" w:eastAsia="黑体"/>
      <w:kern w:val="2"/>
      <w:sz w:val="21"/>
    </w:rPr>
  </w:style>
  <w:style w:type="character" w:customStyle="1" w:styleId="78">
    <w:name w:val="文档结构图 Char"/>
    <w:link w:val="19"/>
    <w:autoRedefine/>
    <w:qFormat/>
    <w:uiPriority w:val="0"/>
    <w:rPr>
      <w:rFonts w:ascii="Times New Roman" w:hAnsi="Times New Roman" w:eastAsia="宋体" w:cs="Times New Roman"/>
      <w:szCs w:val="20"/>
      <w:shd w:val="clear" w:color="auto" w:fill="000080"/>
    </w:rPr>
  </w:style>
  <w:style w:type="character" w:customStyle="1" w:styleId="79">
    <w:name w:val="批注文字 Char"/>
    <w:link w:val="20"/>
    <w:autoRedefine/>
    <w:qFormat/>
    <w:uiPriority w:val="99"/>
    <w:rPr>
      <w:rFonts w:ascii="宋体" w:hAnsi="宋体" w:eastAsia="宋体" w:cs="Times New Roman"/>
      <w:sz w:val="24"/>
      <w:szCs w:val="24"/>
    </w:rPr>
  </w:style>
  <w:style w:type="character" w:customStyle="1" w:styleId="80">
    <w:name w:val="正文文本 3 Char1"/>
    <w:link w:val="21"/>
    <w:autoRedefine/>
    <w:qFormat/>
    <w:uiPriority w:val="0"/>
    <w:rPr>
      <w:rFonts w:ascii="仿宋_GB2312" w:hAnsi="Times New Roman"/>
      <w:sz w:val="16"/>
      <w:szCs w:val="16"/>
    </w:rPr>
  </w:style>
  <w:style w:type="character" w:customStyle="1" w:styleId="81">
    <w:name w:val="正文文本缩进 Char"/>
    <w:link w:val="23"/>
    <w:autoRedefine/>
    <w:qFormat/>
    <w:uiPriority w:val="0"/>
    <w:rPr>
      <w:rFonts w:ascii="Times New Roman" w:hAnsi="Times New Roman" w:eastAsia="宋体" w:cs="Times New Roman"/>
      <w:sz w:val="28"/>
      <w:szCs w:val="20"/>
    </w:rPr>
  </w:style>
  <w:style w:type="character" w:customStyle="1" w:styleId="82">
    <w:name w:val="纯文本 Char"/>
    <w:link w:val="2"/>
    <w:autoRedefine/>
    <w:qFormat/>
    <w:uiPriority w:val="0"/>
    <w:rPr>
      <w:rFonts w:ascii="宋体" w:hAnsi="Courier New" w:eastAsia="宋体" w:cs="Times New Roman"/>
      <w:szCs w:val="20"/>
    </w:rPr>
  </w:style>
  <w:style w:type="character" w:customStyle="1" w:styleId="83">
    <w:name w:val="日期 Char"/>
    <w:link w:val="31"/>
    <w:autoRedefine/>
    <w:qFormat/>
    <w:uiPriority w:val="0"/>
    <w:rPr>
      <w:rFonts w:ascii="Times New Roman" w:hAnsi="Times New Roman" w:eastAsia="宋体" w:cs="Times New Roman"/>
      <w:szCs w:val="20"/>
    </w:rPr>
  </w:style>
  <w:style w:type="character" w:customStyle="1" w:styleId="84">
    <w:name w:val="正文文本缩进 2 Char"/>
    <w:link w:val="32"/>
    <w:autoRedefine/>
    <w:qFormat/>
    <w:uiPriority w:val="0"/>
    <w:rPr>
      <w:rFonts w:ascii="Times New Roman" w:hAnsi="Times New Roman" w:eastAsia="宋体" w:cs="Times New Roman"/>
      <w:color w:val="000000"/>
      <w:sz w:val="24"/>
      <w:szCs w:val="20"/>
    </w:rPr>
  </w:style>
  <w:style w:type="character" w:customStyle="1" w:styleId="85">
    <w:name w:val="尾注文本 Char"/>
    <w:link w:val="33"/>
    <w:autoRedefine/>
    <w:qFormat/>
    <w:uiPriority w:val="0"/>
    <w:rPr>
      <w:rFonts w:ascii="Times New Roman" w:hAnsi="Times New Roman" w:eastAsia="宋体" w:cs="Times New Roman"/>
      <w:szCs w:val="20"/>
    </w:rPr>
  </w:style>
  <w:style w:type="character" w:customStyle="1" w:styleId="86">
    <w:name w:val="批注框文本 Char"/>
    <w:link w:val="34"/>
    <w:autoRedefine/>
    <w:qFormat/>
    <w:uiPriority w:val="0"/>
    <w:rPr>
      <w:rFonts w:ascii="Times New Roman" w:hAnsi="Times New Roman" w:eastAsia="宋体" w:cs="Times New Roman"/>
      <w:sz w:val="18"/>
      <w:szCs w:val="18"/>
    </w:rPr>
  </w:style>
  <w:style w:type="character" w:customStyle="1" w:styleId="87">
    <w:name w:val="页脚 Char"/>
    <w:link w:val="35"/>
    <w:autoRedefine/>
    <w:qFormat/>
    <w:uiPriority w:val="0"/>
    <w:rPr>
      <w:rFonts w:ascii="Calibri" w:hAnsi="Calibri" w:eastAsia="宋体" w:cs="Times New Roman"/>
      <w:sz w:val="18"/>
      <w:szCs w:val="18"/>
    </w:rPr>
  </w:style>
  <w:style w:type="character" w:customStyle="1" w:styleId="88">
    <w:name w:val="页眉 Char"/>
    <w:link w:val="36"/>
    <w:autoRedefine/>
    <w:qFormat/>
    <w:uiPriority w:val="0"/>
    <w:rPr>
      <w:rFonts w:ascii="Calibri" w:hAnsi="Calibri" w:eastAsia="宋体" w:cs="Times New Roman"/>
      <w:sz w:val="18"/>
      <w:szCs w:val="18"/>
    </w:rPr>
  </w:style>
  <w:style w:type="character" w:customStyle="1" w:styleId="89">
    <w:name w:val="副标题 Char1"/>
    <w:link w:val="39"/>
    <w:autoRedefine/>
    <w:qFormat/>
    <w:uiPriority w:val="11"/>
    <w:rPr>
      <w:rFonts w:ascii="Cambria" w:hAnsi="Cambria"/>
      <w:b/>
      <w:bCs/>
      <w:kern w:val="28"/>
      <w:sz w:val="32"/>
      <w:szCs w:val="32"/>
    </w:rPr>
  </w:style>
  <w:style w:type="character" w:customStyle="1" w:styleId="90">
    <w:name w:val="脚注文本 Char"/>
    <w:link w:val="41"/>
    <w:autoRedefine/>
    <w:qFormat/>
    <w:uiPriority w:val="0"/>
    <w:rPr>
      <w:rFonts w:ascii="宋体" w:hAnsi="宋体" w:eastAsia="宋体" w:cs="Times New Roman"/>
      <w:sz w:val="18"/>
      <w:szCs w:val="18"/>
    </w:rPr>
  </w:style>
  <w:style w:type="character" w:customStyle="1" w:styleId="91">
    <w:name w:val="正文文本缩进 3 Char"/>
    <w:link w:val="43"/>
    <w:autoRedefine/>
    <w:qFormat/>
    <w:uiPriority w:val="0"/>
    <w:rPr>
      <w:rFonts w:ascii="Times New Roman" w:hAnsi="Times New Roman" w:eastAsia="宋体" w:cs="Times New Roman"/>
      <w:color w:val="000000"/>
      <w:sz w:val="24"/>
      <w:szCs w:val="20"/>
    </w:rPr>
  </w:style>
  <w:style w:type="character" w:customStyle="1" w:styleId="92">
    <w:name w:val="正文文本 2 Char"/>
    <w:link w:val="22"/>
    <w:autoRedefine/>
    <w:qFormat/>
    <w:uiPriority w:val="0"/>
    <w:rPr>
      <w:rFonts w:ascii="宋体" w:hAnsi="宋体" w:eastAsia="宋体" w:cs="Times New Roman"/>
      <w:szCs w:val="24"/>
      <w:u w:val="single"/>
    </w:rPr>
  </w:style>
  <w:style w:type="character" w:customStyle="1" w:styleId="93">
    <w:name w:val="HTML 预设格式 Char1"/>
    <w:link w:val="46"/>
    <w:autoRedefine/>
    <w:qFormat/>
    <w:uiPriority w:val="0"/>
    <w:rPr>
      <w:rFonts w:ascii="Courier New" w:hAnsi="Courier New" w:cs="Courier New"/>
    </w:rPr>
  </w:style>
  <w:style w:type="character" w:customStyle="1" w:styleId="94">
    <w:name w:val="批注主题 Char"/>
    <w:link w:val="49"/>
    <w:autoRedefine/>
    <w:qFormat/>
    <w:uiPriority w:val="0"/>
    <w:rPr>
      <w:rFonts w:ascii="宋体" w:hAnsi="宋体" w:eastAsia="宋体" w:cs="Times New Roman"/>
      <w:b/>
      <w:bCs/>
      <w:sz w:val="24"/>
      <w:szCs w:val="24"/>
    </w:rPr>
  </w:style>
  <w:style w:type="character" w:customStyle="1" w:styleId="95">
    <w:name w:val="纯文本 字符"/>
    <w:autoRedefine/>
    <w:semiHidden/>
    <w:qFormat/>
    <w:uiPriority w:val="99"/>
    <w:rPr>
      <w:rFonts w:ascii="等线" w:hAnsi="Courier New" w:cs="Courier New"/>
    </w:rPr>
  </w:style>
  <w:style w:type="character" w:customStyle="1" w:styleId="96">
    <w:name w:val="标题 Char1"/>
    <w:autoRedefine/>
    <w:qFormat/>
    <w:uiPriority w:val="0"/>
    <w:rPr>
      <w:rFonts w:ascii="Cambria" w:hAnsi="Cambria" w:eastAsia="宋体" w:cs="Times New Roman"/>
      <w:b/>
      <w:bCs/>
      <w:sz w:val="32"/>
      <w:szCs w:val="32"/>
    </w:rPr>
  </w:style>
  <w:style w:type="character" w:customStyle="1" w:styleId="97">
    <w:name w:val="标题5 Char"/>
    <w:link w:val="98"/>
    <w:autoRedefine/>
    <w:qFormat/>
    <w:uiPriority w:val="0"/>
    <w:rPr>
      <w:rFonts w:ascii="Arial" w:hAnsi="Arial" w:eastAsia="黑体"/>
      <w:bCs/>
      <w:sz w:val="24"/>
      <w:szCs w:val="32"/>
    </w:rPr>
  </w:style>
  <w:style w:type="paragraph" w:customStyle="1" w:styleId="98">
    <w:name w:val="标题5"/>
    <w:basedOn w:val="11"/>
    <w:link w:val="97"/>
    <w:autoRedefine/>
    <w:qFormat/>
    <w:uiPriority w:val="0"/>
    <w:pPr>
      <w:keepNext w:val="0"/>
      <w:keepLines w:val="0"/>
      <w:widowControl/>
      <w:numPr>
        <w:ilvl w:val="0"/>
        <w:numId w:val="0"/>
      </w:numPr>
      <w:tabs>
        <w:tab w:val="left" w:pos="2310"/>
        <w:tab w:val="left" w:pos="2730"/>
      </w:tabs>
      <w:spacing w:beforeLines="0" w:afterLines="0" w:line="240" w:lineRule="auto"/>
      <w:jc w:val="center"/>
    </w:pPr>
    <w:rPr>
      <w:rFonts w:eastAsia="黑体"/>
      <w:bCs/>
      <w:color w:val="auto"/>
      <w:kern w:val="0"/>
      <w:sz w:val="24"/>
      <w:szCs w:val="32"/>
    </w:rPr>
  </w:style>
  <w:style w:type="character" w:customStyle="1" w:styleId="99">
    <w:name w:val="标题 6 字符"/>
    <w:autoRedefine/>
    <w:semiHidden/>
    <w:qFormat/>
    <w:uiPriority w:val="9"/>
    <w:rPr>
      <w:rFonts w:ascii="等线 Light" w:hAnsi="等线 Light" w:eastAsia="等线 Light" w:cs="Times New Roman"/>
      <w:b/>
      <w:bCs/>
      <w:sz w:val="24"/>
      <w:szCs w:val="24"/>
    </w:rPr>
  </w:style>
  <w:style w:type="character" w:customStyle="1" w:styleId="100">
    <w:name w:val="UserStyle_52"/>
    <w:autoRedefine/>
    <w:qFormat/>
    <w:uiPriority w:val="0"/>
  </w:style>
  <w:style w:type="character" w:customStyle="1" w:styleId="101">
    <w:name w:val="HTML 预设格式 Char"/>
    <w:autoRedefine/>
    <w:qFormat/>
    <w:uiPriority w:val="0"/>
    <w:rPr>
      <w:rFonts w:ascii="宋体" w:hAnsi="宋体" w:cs="宋体"/>
      <w:sz w:val="24"/>
      <w:szCs w:val="24"/>
    </w:rPr>
  </w:style>
  <w:style w:type="character" w:customStyle="1" w:styleId="102">
    <w:name w:val="标题 9 字符"/>
    <w:autoRedefine/>
    <w:semiHidden/>
    <w:qFormat/>
    <w:uiPriority w:val="9"/>
    <w:rPr>
      <w:rFonts w:ascii="等线 Light" w:hAnsi="等线 Light" w:eastAsia="等线 Light" w:cs="Times New Roman"/>
      <w:szCs w:val="21"/>
    </w:rPr>
  </w:style>
  <w:style w:type="character" w:customStyle="1" w:styleId="103">
    <w:name w:val="列出段落 Char"/>
    <w:link w:val="104"/>
    <w:autoRedefine/>
    <w:qFormat/>
    <w:uiPriority w:val="0"/>
    <w:rPr>
      <w:sz w:val="24"/>
    </w:rPr>
  </w:style>
  <w:style w:type="paragraph" w:customStyle="1" w:styleId="104">
    <w:name w:val="List Paragraph1"/>
    <w:basedOn w:val="1"/>
    <w:link w:val="103"/>
    <w:autoRedefine/>
    <w:qFormat/>
    <w:uiPriority w:val="0"/>
    <w:pPr>
      <w:ind w:firstLine="420" w:firstLineChars="200"/>
    </w:pPr>
  </w:style>
  <w:style w:type="character" w:customStyle="1" w:styleId="105">
    <w:name w:val="正文首行缩进 Char1"/>
    <w:autoRedefine/>
    <w:qFormat/>
    <w:uiPriority w:val="99"/>
    <w:rPr>
      <w:rFonts w:eastAsia="宋体"/>
      <w:kern w:val="2"/>
      <w:sz w:val="21"/>
      <w:lang w:val="en-US" w:eastAsia="zh-CN" w:bidi="ar-SA"/>
    </w:rPr>
  </w:style>
  <w:style w:type="character" w:customStyle="1" w:styleId="106">
    <w:name w:val="正文文本缩进 2 Char2"/>
    <w:autoRedefine/>
    <w:qFormat/>
    <w:uiPriority w:val="0"/>
    <w:rPr>
      <w:rFonts w:eastAsia="楷体_GB2312"/>
      <w:kern w:val="2"/>
      <w:sz w:val="21"/>
    </w:rPr>
  </w:style>
  <w:style w:type="character" w:customStyle="1" w:styleId="107">
    <w:name w:val="nodename"/>
    <w:autoRedefine/>
    <w:qFormat/>
    <w:uiPriority w:val="0"/>
    <w:rPr>
      <w:b/>
      <w:sz w:val="16"/>
      <w:szCs w:val="16"/>
    </w:rPr>
  </w:style>
  <w:style w:type="character" w:customStyle="1" w:styleId="108">
    <w:name w:val="apple-converted-space"/>
    <w:autoRedefine/>
    <w:qFormat/>
    <w:uiPriority w:val="0"/>
  </w:style>
  <w:style w:type="character" w:customStyle="1" w:styleId="109">
    <w:name w:val="正文首行缩进 字符"/>
    <w:autoRedefine/>
    <w:semiHidden/>
    <w:qFormat/>
    <w:uiPriority w:val="99"/>
  </w:style>
  <w:style w:type="character" w:customStyle="1" w:styleId="110">
    <w:name w:val="正文文本 字符"/>
    <w:autoRedefine/>
    <w:semiHidden/>
    <w:qFormat/>
    <w:uiPriority w:val="99"/>
    <w:rPr>
      <w:rFonts w:ascii="Calibri" w:hAnsi="Calibri" w:eastAsia="宋体" w:cs="Times New Roman"/>
    </w:rPr>
  </w:style>
  <w:style w:type="character" w:customStyle="1" w:styleId="111">
    <w:name w:val="标题5 Char Char"/>
    <w:autoRedefine/>
    <w:qFormat/>
    <w:uiPriority w:val="0"/>
    <w:rPr>
      <w:rFonts w:ascii="Arial" w:hAnsi="Arial"/>
      <w:b/>
      <w:bCs/>
      <w:sz w:val="24"/>
      <w:szCs w:val="32"/>
      <w:lang w:bidi="ar-SA"/>
    </w:rPr>
  </w:style>
  <w:style w:type="character" w:customStyle="1" w:styleId="112">
    <w:name w:val="Char Char4"/>
    <w:link w:val="113"/>
    <w:autoRedefine/>
    <w:qFormat/>
    <w:uiPriority w:val="0"/>
    <w:rPr>
      <w:rFonts w:ascii="Tahoma" w:hAnsi="Tahoma" w:eastAsia="宋体"/>
      <w:kern w:val="2"/>
      <w:sz w:val="24"/>
    </w:rPr>
  </w:style>
  <w:style w:type="paragraph" w:customStyle="1" w:styleId="113">
    <w:name w:val="Char"/>
    <w:basedOn w:val="1"/>
    <w:link w:val="112"/>
    <w:autoRedefine/>
    <w:qFormat/>
    <w:uiPriority w:val="0"/>
    <w:rPr>
      <w:rFonts w:ascii="Tahoma" w:hAnsi="Tahoma"/>
      <w:sz w:val="24"/>
      <w:szCs w:val="20"/>
    </w:rPr>
  </w:style>
  <w:style w:type="character" w:customStyle="1" w:styleId="114">
    <w:name w:val="副标题 Char"/>
    <w:autoRedefine/>
    <w:qFormat/>
    <w:uiPriority w:val="0"/>
    <w:rPr>
      <w:rFonts w:ascii="Arial" w:hAnsi="Arial" w:eastAsia="黑体"/>
      <w:b/>
      <w:bCs/>
      <w:sz w:val="32"/>
      <w:szCs w:val="32"/>
    </w:rPr>
  </w:style>
  <w:style w:type="character" w:customStyle="1" w:styleId="115">
    <w:name w:val="副标题 Char2"/>
    <w:autoRedefine/>
    <w:qFormat/>
    <w:uiPriority w:val="0"/>
    <w:rPr>
      <w:rFonts w:ascii="Calibri Light" w:hAnsi="Calibri Light" w:eastAsia="宋体" w:cs="Times New Roman"/>
      <w:b/>
      <w:bCs/>
      <w:kern w:val="28"/>
      <w:sz w:val="32"/>
      <w:szCs w:val="32"/>
    </w:rPr>
  </w:style>
  <w:style w:type="character" w:customStyle="1" w:styleId="116">
    <w:name w:val="txtbg"/>
    <w:autoRedefine/>
    <w:qFormat/>
    <w:uiPriority w:val="0"/>
    <w:rPr>
      <w:shd w:val="clear" w:color="auto" w:fill="000000"/>
    </w:rPr>
  </w:style>
  <w:style w:type="character" w:customStyle="1" w:styleId="117">
    <w:name w:val="样式 Char"/>
    <w:link w:val="118"/>
    <w:autoRedefine/>
    <w:qFormat/>
    <w:uiPriority w:val="0"/>
  </w:style>
  <w:style w:type="paragraph" w:customStyle="1" w:styleId="118">
    <w:name w:val="样式"/>
    <w:basedOn w:val="98"/>
    <w:link w:val="117"/>
    <w:autoRedefine/>
    <w:qFormat/>
    <w:uiPriority w:val="0"/>
  </w:style>
  <w:style w:type="character" w:customStyle="1" w:styleId="119">
    <w:name w:val="正文首行缩进 Char2"/>
    <w:autoRedefine/>
    <w:qFormat/>
    <w:uiPriority w:val="0"/>
    <w:rPr>
      <w:rFonts w:hint="eastAsia" w:ascii="楷体_GB2312" w:eastAsia="楷体_GB2312" w:cs="楷体_GB2312"/>
      <w:lang w:val="en-US" w:eastAsia="zh-CN"/>
    </w:rPr>
  </w:style>
  <w:style w:type="character" w:customStyle="1" w:styleId="120">
    <w:name w:val="明显引用 Char1"/>
    <w:link w:val="121"/>
    <w:autoRedefine/>
    <w:qFormat/>
    <w:uiPriority w:val="0"/>
    <w:rPr>
      <w:rFonts w:ascii="仿宋_GB2312" w:hAnsi="Times New Roman"/>
      <w:b/>
      <w:bCs/>
      <w:i/>
      <w:iCs/>
      <w:color w:val="4F81BD"/>
      <w:szCs w:val="32"/>
    </w:rPr>
  </w:style>
  <w:style w:type="paragraph" w:customStyle="1" w:styleId="121">
    <w:name w:val="明显引用1"/>
    <w:basedOn w:val="1"/>
    <w:next w:val="1"/>
    <w:link w:val="120"/>
    <w:autoRedefine/>
    <w:qFormat/>
    <w:uiPriority w:val="0"/>
    <w:pPr>
      <w:widowControl/>
      <w:ind w:left="720" w:right="720"/>
      <w:jc w:val="left"/>
    </w:pPr>
    <w:rPr>
      <w:rFonts w:ascii="仿宋_GB2312"/>
      <w:b/>
      <w:bCs/>
      <w:i/>
      <w:iCs/>
      <w:color w:val="4F81BD"/>
      <w:kern w:val="0"/>
      <w:sz w:val="20"/>
      <w:szCs w:val="32"/>
    </w:rPr>
  </w:style>
  <w:style w:type="character" w:customStyle="1" w:styleId="122">
    <w:name w:val="标题 7 字符"/>
    <w:autoRedefine/>
    <w:semiHidden/>
    <w:qFormat/>
    <w:uiPriority w:val="9"/>
    <w:rPr>
      <w:rFonts w:ascii="Calibri" w:hAnsi="Calibri" w:eastAsia="宋体" w:cs="Times New Roman"/>
      <w:b/>
      <w:bCs/>
      <w:sz w:val="24"/>
      <w:szCs w:val="24"/>
    </w:rPr>
  </w:style>
  <w:style w:type="character" w:customStyle="1" w:styleId="123">
    <w:name w:val="正文文本 3 Char"/>
    <w:autoRedefine/>
    <w:qFormat/>
    <w:uiPriority w:val="0"/>
    <w:rPr>
      <w:rFonts w:ascii="宋体"/>
      <w:sz w:val="24"/>
    </w:rPr>
  </w:style>
  <w:style w:type="character" w:customStyle="1" w:styleId="124">
    <w:name w:val="无间隔 Char"/>
    <w:link w:val="125"/>
    <w:autoRedefine/>
    <w:qFormat/>
    <w:uiPriority w:val="0"/>
    <w:rPr>
      <w:rFonts w:eastAsia="Times New Roman"/>
      <w:sz w:val="22"/>
      <w:lang w:val="en-US" w:eastAsia="zh-CN" w:bidi="ar-SA"/>
    </w:rPr>
  </w:style>
  <w:style w:type="paragraph" w:customStyle="1" w:styleId="125">
    <w:name w:val="无间隔1"/>
    <w:link w:val="124"/>
    <w:autoRedefine/>
    <w:qFormat/>
    <w:uiPriority w:val="0"/>
    <w:rPr>
      <w:rFonts w:ascii="Times New Roman" w:hAnsi="Times New Roman" w:eastAsia="Times New Roman" w:cs="Times New Roman"/>
      <w:sz w:val="22"/>
      <w:lang w:val="en-US" w:eastAsia="zh-CN" w:bidi="ar-SA"/>
    </w:rPr>
  </w:style>
  <w:style w:type="character" w:customStyle="1" w:styleId="126">
    <w:name w:val="标题 1 Char Char"/>
    <w:autoRedefine/>
    <w:qFormat/>
    <w:uiPriority w:val="0"/>
    <w:rPr>
      <w:rFonts w:ascii="仿宋_GB2312" w:hAnsi="宋体" w:eastAsia="仿宋_GB2312" w:cs="宋体"/>
      <w:b/>
      <w:bCs/>
      <w:kern w:val="2"/>
      <w:sz w:val="30"/>
      <w:szCs w:val="30"/>
      <w:lang w:val="en-US" w:eastAsia="zh-CN" w:bidi="ar-SA"/>
    </w:rPr>
  </w:style>
  <w:style w:type="character" w:customStyle="1" w:styleId="127">
    <w:name w:val="Char Char11"/>
    <w:autoRedefine/>
    <w:qFormat/>
    <w:uiPriority w:val="0"/>
    <w:rPr>
      <w:rFonts w:ascii="宋体" w:hAnsi="Courier New" w:eastAsia="宋体" w:cs="Times New Roman"/>
      <w:szCs w:val="20"/>
    </w:rPr>
  </w:style>
  <w:style w:type="character" w:customStyle="1" w:styleId="128">
    <w:name w:val="脚注文本 字符"/>
    <w:autoRedefine/>
    <w:semiHidden/>
    <w:qFormat/>
    <w:uiPriority w:val="99"/>
    <w:rPr>
      <w:rFonts w:ascii="Calibri" w:hAnsi="Calibri" w:eastAsia="宋体" w:cs="Times New Roman"/>
      <w:sz w:val="18"/>
      <w:szCs w:val="18"/>
    </w:rPr>
  </w:style>
  <w:style w:type="character" w:customStyle="1" w:styleId="129">
    <w:name w:val="标题 4 字符"/>
    <w:autoRedefine/>
    <w:semiHidden/>
    <w:qFormat/>
    <w:uiPriority w:val="9"/>
    <w:rPr>
      <w:rFonts w:ascii="等线 Light" w:hAnsi="等线 Light" w:eastAsia="等线 Light" w:cs="Times New Roman"/>
      <w:b/>
      <w:bCs/>
      <w:sz w:val="28"/>
      <w:szCs w:val="28"/>
    </w:rPr>
  </w:style>
  <w:style w:type="character" w:customStyle="1" w:styleId="130">
    <w:name w:val="批注文字 Char Char"/>
    <w:autoRedefine/>
    <w:qFormat/>
    <w:uiPriority w:val="0"/>
    <w:rPr>
      <w:rFonts w:ascii="宋体" w:hAnsi="Times New Roman" w:eastAsia="宋体" w:cs="Times New Roman"/>
      <w:sz w:val="28"/>
      <w:szCs w:val="20"/>
    </w:rPr>
  </w:style>
  <w:style w:type="character" w:customStyle="1" w:styleId="131">
    <w:name w:val="批注主题 Char1"/>
    <w:autoRedefine/>
    <w:qFormat/>
    <w:uiPriority w:val="0"/>
    <w:rPr>
      <w:rFonts w:ascii="仿宋_GB2312" w:hAnsi="Times New Roman" w:eastAsia="宋体" w:cs="Times New Roman"/>
      <w:b/>
      <w:bCs/>
      <w:szCs w:val="32"/>
    </w:rPr>
  </w:style>
  <w:style w:type="character" w:customStyle="1" w:styleId="132">
    <w:name w:val="标题 1 Char1"/>
    <w:autoRedefine/>
    <w:qFormat/>
    <w:uiPriority w:val="0"/>
    <w:rPr>
      <w:rFonts w:ascii="宋体" w:hAnsi="宋体" w:eastAsia="楷体_GB2312" w:cs="宋体"/>
      <w:b/>
      <w:bCs/>
      <w:kern w:val="2"/>
      <w:sz w:val="32"/>
      <w:szCs w:val="32"/>
      <w:lang w:val="en-US" w:eastAsia="zh-CN" w:bidi="ar-SA"/>
    </w:rPr>
  </w:style>
  <w:style w:type="character" w:customStyle="1" w:styleId="133">
    <w:name w:val="textcontents"/>
    <w:autoRedefine/>
    <w:qFormat/>
    <w:uiPriority w:val="0"/>
    <w:rPr>
      <w:rFonts w:cs="Times New Roman"/>
    </w:rPr>
  </w:style>
  <w:style w:type="character" w:customStyle="1" w:styleId="134">
    <w:name w:val="标题 1 字符"/>
    <w:autoRedefine/>
    <w:qFormat/>
    <w:uiPriority w:val="9"/>
    <w:rPr>
      <w:rFonts w:ascii="Calibri" w:hAnsi="Calibri" w:eastAsia="宋体" w:cs="Times New Roman"/>
      <w:b/>
      <w:bCs/>
      <w:kern w:val="44"/>
      <w:sz w:val="44"/>
      <w:szCs w:val="44"/>
    </w:rPr>
  </w:style>
  <w:style w:type="character" w:customStyle="1" w:styleId="135">
    <w:name w:val="日期 字符"/>
    <w:autoRedefine/>
    <w:semiHidden/>
    <w:qFormat/>
    <w:uiPriority w:val="99"/>
    <w:rPr>
      <w:rFonts w:ascii="Calibri" w:hAnsi="Calibri" w:eastAsia="宋体" w:cs="Times New Roman"/>
    </w:rPr>
  </w:style>
  <w:style w:type="character" w:customStyle="1" w:styleId="136">
    <w:name w:val="+标题3 Char"/>
    <w:link w:val="137"/>
    <w:autoRedefine/>
    <w:qFormat/>
    <w:uiPriority w:val="0"/>
    <w:rPr>
      <w:b/>
      <w:bCs/>
      <w:sz w:val="24"/>
      <w:szCs w:val="28"/>
    </w:rPr>
  </w:style>
  <w:style w:type="paragraph" w:customStyle="1" w:styleId="137">
    <w:name w:val="+标题3"/>
    <w:basedOn w:val="9"/>
    <w:link w:val="136"/>
    <w:autoRedefine/>
    <w:qFormat/>
    <w:uiPriority w:val="0"/>
    <w:pPr>
      <w:keepNext/>
      <w:keepLines/>
      <w:widowControl w:val="0"/>
      <w:tabs>
        <w:tab w:val="left" w:pos="1053"/>
        <w:tab w:val="left" w:pos="1900"/>
      </w:tabs>
      <w:spacing w:before="0" w:beforeAutospacing="0" w:after="0" w:afterAutospacing="0" w:line="360" w:lineRule="auto"/>
      <w:ind w:left="1053" w:hanging="528"/>
      <w:jc w:val="both"/>
    </w:pPr>
    <w:rPr>
      <w:rFonts w:ascii="Times New Roman" w:hAnsi="Times New Roman"/>
      <w:b/>
      <w:bCs/>
      <w:sz w:val="24"/>
      <w:szCs w:val="28"/>
    </w:rPr>
  </w:style>
  <w:style w:type="character" w:customStyle="1" w:styleId="138">
    <w:name w:val="批注框文本 字符"/>
    <w:autoRedefine/>
    <w:semiHidden/>
    <w:qFormat/>
    <w:uiPriority w:val="99"/>
    <w:rPr>
      <w:rFonts w:ascii="Calibri" w:hAnsi="Calibri" w:eastAsia="宋体" w:cs="Times New Roman"/>
      <w:sz w:val="18"/>
      <w:szCs w:val="18"/>
    </w:rPr>
  </w:style>
  <w:style w:type="character" w:customStyle="1" w:styleId="139">
    <w:name w:val="标题 5 字符"/>
    <w:autoRedefine/>
    <w:semiHidden/>
    <w:qFormat/>
    <w:uiPriority w:val="9"/>
    <w:rPr>
      <w:rFonts w:ascii="Calibri" w:hAnsi="Calibri" w:eastAsia="宋体" w:cs="Times New Roman"/>
      <w:b/>
      <w:bCs/>
      <w:sz w:val="28"/>
      <w:szCs w:val="28"/>
    </w:rPr>
  </w:style>
  <w:style w:type="character" w:customStyle="1" w:styleId="140">
    <w:name w:val="标题4 Char Char"/>
    <w:link w:val="141"/>
    <w:autoRedefine/>
    <w:qFormat/>
    <w:uiPriority w:val="0"/>
    <w:rPr>
      <w:rFonts w:ascii="Arial" w:hAnsi="Arial"/>
      <w:b/>
      <w:bCs/>
      <w:sz w:val="24"/>
      <w:szCs w:val="32"/>
    </w:rPr>
  </w:style>
  <w:style w:type="paragraph" w:customStyle="1" w:styleId="141">
    <w:name w:val="标题4"/>
    <w:basedOn w:val="7"/>
    <w:next w:val="27"/>
    <w:link w:val="140"/>
    <w:autoRedefine/>
    <w:qFormat/>
    <w:uiPriority w:val="0"/>
    <w:pPr>
      <w:spacing w:before="260" w:after="260" w:line="413" w:lineRule="auto"/>
      <w:jc w:val="both"/>
    </w:pPr>
    <w:rPr>
      <w:bCs/>
      <w:color w:val="auto"/>
      <w:szCs w:val="32"/>
    </w:rPr>
  </w:style>
  <w:style w:type="character" w:customStyle="1" w:styleId="142">
    <w:name w:val="普通文字 Char Char1"/>
    <w:autoRedefine/>
    <w:qFormat/>
    <w:uiPriority w:val="0"/>
    <w:rPr>
      <w:rFonts w:ascii="宋体" w:hAnsi="Courier New" w:eastAsia="楷体_GB2312"/>
      <w:kern w:val="2"/>
      <w:sz w:val="21"/>
      <w:szCs w:val="24"/>
      <w:lang w:val="en-US" w:eastAsia="zh-CN" w:bidi="ar-SA"/>
    </w:rPr>
  </w:style>
  <w:style w:type="character" w:customStyle="1" w:styleId="143">
    <w:name w:val="Char Char20"/>
    <w:autoRedefine/>
    <w:qFormat/>
    <w:uiPriority w:val="0"/>
    <w:rPr>
      <w:rFonts w:ascii="宋体" w:hAnsi="Arial" w:eastAsia="宋体" w:cs="Times New Roman"/>
      <w:bCs/>
      <w:kern w:val="0"/>
      <w:sz w:val="28"/>
      <w:szCs w:val="32"/>
    </w:rPr>
  </w:style>
  <w:style w:type="character" w:customStyle="1" w:styleId="144">
    <w:name w:val="标题 4 Char1"/>
    <w:autoRedefine/>
    <w:qFormat/>
    <w:uiPriority w:val="0"/>
    <w:rPr>
      <w:rFonts w:ascii="Arial" w:hAnsi="Arial" w:eastAsia="楷体_GB2312"/>
      <w:kern w:val="2"/>
      <w:sz w:val="32"/>
      <w:szCs w:val="32"/>
    </w:rPr>
  </w:style>
  <w:style w:type="character" w:customStyle="1" w:styleId="145">
    <w:name w:val="明显强调1"/>
    <w:autoRedefine/>
    <w:qFormat/>
    <w:uiPriority w:val="0"/>
    <w:rPr>
      <w:b/>
      <w:bCs/>
      <w:i/>
      <w:iCs/>
      <w:color w:val="4F81BD"/>
    </w:rPr>
  </w:style>
  <w:style w:type="character" w:customStyle="1" w:styleId="146">
    <w:name w:val="first-child"/>
    <w:autoRedefine/>
    <w:qFormat/>
    <w:uiPriority w:val="0"/>
  </w:style>
  <w:style w:type="character" w:customStyle="1" w:styleId="147">
    <w:name w:val="文档结构图 Char1"/>
    <w:autoRedefine/>
    <w:qFormat/>
    <w:uiPriority w:val="0"/>
    <w:rPr>
      <w:rFonts w:ascii="宋体" w:hAnsi="Times New Roman" w:eastAsia="宋体" w:cs="Times New Roman"/>
      <w:sz w:val="18"/>
      <w:szCs w:val="18"/>
    </w:rPr>
  </w:style>
  <w:style w:type="character" w:customStyle="1" w:styleId="148">
    <w:name w:val="layui-layer-tabnow"/>
    <w:autoRedefine/>
    <w:qFormat/>
    <w:uiPriority w:val="0"/>
    <w:rPr>
      <w:bdr w:val="single" w:color="CCCCCC" w:sz="4" w:space="0"/>
      <w:shd w:val="clear" w:color="auto" w:fill="FFFFFF"/>
    </w:rPr>
  </w:style>
  <w:style w:type="character" w:customStyle="1" w:styleId="149">
    <w:name w:val="页脚 Char1"/>
    <w:autoRedefine/>
    <w:qFormat/>
    <w:uiPriority w:val="0"/>
    <w:rPr>
      <w:rFonts w:eastAsia="楷体_GB2312"/>
      <w:kern w:val="2"/>
      <w:sz w:val="18"/>
      <w:szCs w:val="18"/>
    </w:rPr>
  </w:style>
  <w:style w:type="character" w:customStyle="1" w:styleId="150">
    <w:name w:val="标题 5 Char1"/>
    <w:autoRedefine/>
    <w:qFormat/>
    <w:uiPriority w:val="0"/>
    <w:rPr>
      <w:rFonts w:ascii="Arial" w:hAnsi="Arial" w:eastAsia="楷体_GB2312"/>
      <w:kern w:val="2"/>
      <w:sz w:val="32"/>
      <w:szCs w:val="32"/>
    </w:rPr>
  </w:style>
  <w:style w:type="character" w:customStyle="1" w:styleId="151">
    <w:name w:val="文一 Char"/>
    <w:link w:val="152"/>
    <w:autoRedefine/>
    <w:qFormat/>
    <w:uiPriority w:val="0"/>
    <w:rPr>
      <w:spacing w:val="4"/>
      <w:sz w:val="24"/>
      <w:szCs w:val="24"/>
    </w:rPr>
  </w:style>
  <w:style w:type="paragraph" w:customStyle="1" w:styleId="152">
    <w:name w:val="文一"/>
    <w:basedOn w:val="1"/>
    <w:link w:val="151"/>
    <w:autoRedefine/>
    <w:qFormat/>
    <w:uiPriority w:val="0"/>
    <w:pPr>
      <w:topLinePunct/>
      <w:adjustRightInd w:val="0"/>
      <w:snapToGrid w:val="0"/>
      <w:spacing w:line="360" w:lineRule="auto"/>
      <w:ind w:firstLine="200" w:firstLineChars="200"/>
    </w:pPr>
    <w:rPr>
      <w:spacing w:val="4"/>
      <w:kern w:val="0"/>
      <w:sz w:val="24"/>
      <w:szCs w:val="24"/>
    </w:rPr>
  </w:style>
  <w:style w:type="character" w:customStyle="1" w:styleId="153">
    <w:name w:val="Char Char Char"/>
    <w:autoRedefine/>
    <w:qFormat/>
    <w:uiPriority w:val="0"/>
    <w:rPr>
      <w:rFonts w:ascii="Arial" w:hAnsi="Arial" w:eastAsia="宋体"/>
      <w:kern w:val="44"/>
      <w:sz w:val="24"/>
      <w:lang w:val="en-US" w:eastAsia="zh-CN" w:bidi="ar-SA"/>
    </w:rPr>
  </w:style>
  <w:style w:type="character" w:customStyle="1" w:styleId="154">
    <w:name w:val="ggnr1"/>
    <w:autoRedefine/>
    <w:qFormat/>
    <w:uiPriority w:val="0"/>
    <w:rPr>
      <w:sz w:val="26"/>
    </w:rPr>
  </w:style>
  <w:style w:type="character" w:customStyle="1" w:styleId="155">
    <w:name w:val="批注主题 字符"/>
    <w:autoRedefine/>
    <w:semiHidden/>
    <w:qFormat/>
    <w:uiPriority w:val="99"/>
    <w:rPr>
      <w:rFonts w:ascii="Calibri" w:hAnsi="Calibri" w:eastAsia="宋体" w:cs="Times New Roman"/>
      <w:b/>
      <w:bCs/>
    </w:rPr>
  </w:style>
  <w:style w:type="character" w:customStyle="1" w:styleId="156">
    <w:name w:val="Char Char24"/>
    <w:autoRedefine/>
    <w:qFormat/>
    <w:uiPriority w:val="0"/>
    <w:rPr>
      <w:rFonts w:ascii="仿宋_GB2312" w:hAnsi="宋体" w:eastAsia="仿宋_GB2312" w:cs="宋体"/>
      <w:b/>
      <w:bCs/>
      <w:kern w:val="2"/>
      <w:sz w:val="30"/>
      <w:szCs w:val="30"/>
      <w:lang w:val="en-US" w:eastAsia="zh-CN" w:bidi="ar-SA"/>
    </w:rPr>
  </w:style>
  <w:style w:type="character" w:customStyle="1" w:styleId="157">
    <w:name w:val="Char Char18"/>
    <w:autoRedefine/>
    <w:qFormat/>
    <w:uiPriority w:val="0"/>
    <w:rPr>
      <w:rFonts w:ascii="Arial" w:hAnsi="Arial" w:eastAsia="楷体_GB2312"/>
      <w:kern w:val="2"/>
      <w:sz w:val="32"/>
      <w:szCs w:val="32"/>
      <w:lang w:val="en-US" w:eastAsia="zh-CN" w:bidi="ar-SA"/>
    </w:rPr>
  </w:style>
  <w:style w:type="character" w:customStyle="1" w:styleId="158">
    <w:name w:val="批注文字 Char1"/>
    <w:autoRedefine/>
    <w:qFormat/>
    <w:uiPriority w:val="0"/>
    <w:rPr>
      <w:rFonts w:ascii="仿宋_GB2312" w:hAnsi="Times New Roman" w:eastAsia="宋体" w:cs="Times New Roman"/>
      <w:szCs w:val="32"/>
    </w:rPr>
  </w:style>
  <w:style w:type="character" w:customStyle="1" w:styleId="159">
    <w:name w:val="Endnote Text Char"/>
    <w:autoRedefine/>
    <w:qFormat/>
    <w:uiPriority w:val="0"/>
    <w:rPr>
      <w:rFonts w:cs="Times New Roman"/>
      <w:kern w:val="2"/>
      <w:sz w:val="21"/>
    </w:rPr>
  </w:style>
  <w:style w:type="character" w:customStyle="1" w:styleId="160">
    <w:name w:val="书籍标题1"/>
    <w:autoRedefine/>
    <w:qFormat/>
    <w:uiPriority w:val="0"/>
    <w:rPr>
      <w:b/>
      <w:bCs/>
      <w:smallCaps/>
      <w:spacing w:val="5"/>
    </w:rPr>
  </w:style>
  <w:style w:type="character" w:customStyle="1" w:styleId="161">
    <w:name w:val="明显参考1"/>
    <w:autoRedefine/>
    <w:qFormat/>
    <w:uiPriority w:val="0"/>
    <w:rPr>
      <w:b/>
      <w:bCs/>
      <w:smallCaps/>
      <w:color w:val="C0504D"/>
      <w:spacing w:val="5"/>
      <w:u w:val="single"/>
    </w:rPr>
  </w:style>
  <w:style w:type="character" w:customStyle="1" w:styleId="162">
    <w:name w:val="页眉 字符"/>
    <w:autoRedefine/>
    <w:semiHidden/>
    <w:qFormat/>
    <w:uiPriority w:val="99"/>
    <w:rPr>
      <w:rFonts w:ascii="Calibri" w:hAnsi="Calibri" w:eastAsia="宋体" w:cs="Times New Roman"/>
      <w:sz w:val="18"/>
      <w:szCs w:val="18"/>
    </w:rPr>
  </w:style>
  <w:style w:type="character" w:customStyle="1" w:styleId="163">
    <w:name w:val="尾注文本 Char Char"/>
    <w:autoRedefine/>
    <w:qFormat/>
    <w:uiPriority w:val="0"/>
    <w:rPr>
      <w:rFonts w:ascii="宋体" w:hAnsi="宋体" w:eastAsia="宋体"/>
      <w:kern w:val="2"/>
      <w:sz w:val="21"/>
      <w:lang w:val="en-US" w:eastAsia="zh-CN" w:bidi="ar-SA"/>
    </w:rPr>
  </w:style>
  <w:style w:type="character" w:customStyle="1" w:styleId="164">
    <w:name w:val="尾注文本 Char1"/>
    <w:autoRedefine/>
    <w:qFormat/>
    <w:uiPriority w:val="0"/>
    <w:rPr>
      <w:rFonts w:ascii="仿宋_GB2312" w:hAnsi="Times New Roman" w:eastAsia="宋体" w:cs="Times New Roman"/>
      <w:szCs w:val="32"/>
    </w:rPr>
  </w:style>
  <w:style w:type="character" w:customStyle="1" w:styleId="165">
    <w:name w:val="正文文本 Char1"/>
    <w:autoRedefine/>
    <w:qFormat/>
    <w:uiPriority w:val="0"/>
    <w:rPr>
      <w:rFonts w:ascii="仿宋_GB2312" w:hAnsi="Times New Roman" w:eastAsia="宋体" w:cs="Times New Roman"/>
      <w:szCs w:val="32"/>
    </w:rPr>
  </w:style>
  <w:style w:type="character" w:customStyle="1" w:styleId="166">
    <w:name w:val="批注文字 字符"/>
    <w:autoRedefine/>
    <w:semiHidden/>
    <w:qFormat/>
    <w:uiPriority w:val="99"/>
    <w:rPr>
      <w:rFonts w:ascii="Calibri" w:hAnsi="Calibri" w:eastAsia="宋体" w:cs="Times New Roman"/>
    </w:rPr>
  </w:style>
  <w:style w:type="character" w:customStyle="1" w:styleId="167">
    <w:name w:val="样式 标题 3h3section:3Level 3 HeadH3level_3PIM 33rd level3H... Char"/>
    <w:link w:val="168"/>
    <w:autoRedefine/>
    <w:qFormat/>
    <w:uiPriority w:val="0"/>
    <w:rPr>
      <w:rFonts w:ascii="Arial" w:hAnsi="Arial"/>
      <w:b/>
      <w:sz w:val="24"/>
      <w:szCs w:val="28"/>
    </w:rPr>
  </w:style>
  <w:style w:type="paragraph" w:customStyle="1" w:styleId="168">
    <w:name w:val="样式 标题 3h3section:3Level 3 HeadH3level_3PIM 33rd level3H..."/>
    <w:basedOn w:val="9"/>
    <w:link w:val="167"/>
    <w:autoRedefine/>
    <w:qFormat/>
    <w:uiPriority w:val="0"/>
    <w:pPr>
      <w:keepNext/>
      <w:tabs>
        <w:tab w:val="left" w:pos="1680"/>
        <w:tab w:val="left" w:pos="2310"/>
      </w:tabs>
      <w:adjustRightInd w:val="0"/>
      <w:spacing w:before="0" w:beforeAutospacing="0" w:after="0" w:afterAutospacing="0" w:line="416" w:lineRule="atLeast"/>
      <w:ind w:left="284" w:hanging="284"/>
    </w:pPr>
    <w:rPr>
      <w:rFonts w:ascii="Arial" w:hAnsi="Arial"/>
      <w:b/>
      <w:sz w:val="24"/>
      <w:szCs w:val="28"/>
    </w:rPr>
  </w:style>
  <w:style w:type="character" w:customStyle="1" w:styleId="169">
    <w:name w:val="text_neiye_32"/>
    <w:autoRedefine/>
    <w:qFormat/>
    <w:uiPriority w:val="0"/>
    <w:rPr>
      <w:rFonts w:hint="eastAsia" w:ascii="仿宋_GB2312" w:eastAsia="仿宋_GB2312"/>
      <w:color w:val="000000"/>
      <w:sz w:val="30"/>
      <w:szCs w:val="30"/>
    </w:rPr>
  </w:style>
  <w:style w:type="character" w:customStyle="1" w:styleId="170">
    <w:name w:val="Char Char19"/>
    <w:autoRedefine/>
    <w:qFormat/>
    <w:uiPriority w:val="0"/>
    <w:rPr>
      <w:rFonts w:ascii="Arial" w:hAnsi="Arial" w:eastAsia="楷体_GB2312"/>
      <w:kern w:val="2"/>
      <w:sz w:val="32"/>
      <w:szCs w:val="32"/>
      <w:lang w:val="en-US" w:eastAsia="zh-CN" w:bidi="ar-SA"/>
    </w:rPr>
  </w:style>
  <w:style w:type="character" w:customStyle="1" w:styleId="171">
    <w:name w:val="标提1 Char"/>
    <w:link w:val="172"/>
    <w:autoRedefine/>
    <w:qFormat/>
    <w:uiPriority w:val="0"/>
    <w:rPr>
      <w:rFonts w:eastAsia="黑体"/>
      <w:b/>
      <w:kern w:val="44"/>
      <w:sz w:val="24"/>
      <w:szCs w:val="24"/>
    </w:rPr>
  </w:style>
  <w:style w:type="paragraph" w:customStyle="1" w:styleId="172">
    <w:name w:val="标提1"/>
    <w:basedOn w:val="3"/>
    <w:next w:val="1"/>
    <w:link w:val="171"/>
    <w:autoRedefine/>
    <w:qFormat/>
    <w:uiPriority w:val="0"/>
    <w:pPr>
      <w:spacing w:after="0" w:line="240" w:lineRule="auto"/>
      <w:jc w:val="both"/>
    </w:pPr>
    <w:rPr>
      <w:rFonts w:ascii="Times New Roman" w:hAnsi="Times New Roman" w:eastAsia="黑体"/>
      <w:sz w:val="24"/>
      <w:szCs w:val="24"/>
    </w:rPr>
  </w:style>
  <w:style w:type="character" w:customStyle="1" w:styleId="173">
    <w:name w:val="正文文本缩进 2 Char1"/>
    <w:autoRedefine/>
    <w:qFormat/>
    <w:uiPriority w:val="0"/>
    <w:rPr>
      <w:rFonts w:ascii="仿宋_GB2312" w:hAnsi="Times New Roman" w:eastAsia="宋体" w:cs="Times New Roman"/>
      <w:szCs w:val="32"/>
    </w:rPr>
  </w:style>
  <w:style w:type="character" w:customStyle="1" w:styleId="174">
    <w:name w:val="正文文本缩进 3 Char1"/>
    <w:autoRedefine/>
    <w:qFormat/>
    <w:uiPriority w:val="0"/>
    <w:rPr>
      <w:rFonts w:ascii="仿宋_GB2312" w:hAnsi="Times New Roman" w:eastAsia="宋体" w:cs="Times New Roman"/>
      <w:sz w:val="16"/>
      <w:szCs w:val="16"/>
    </w:rPr>
  </w:style>
  <w:style w:type="character" w:customStyle="1" w:styleId="175">
    <w:name w:val="text_neiye_21"/>
    <w:autoRedefine/>
    <w:qFormat/>
    <w:uiPriority w:val="0"/>
    <w:rPr>
      <w:rFonts w:hint="eastAsia" w:ascii="方正小标宋简体" w:eastAsia="方正小标宋简体"/>
      <w:color w:val="000000"/>
      <w:sz w:val="38"/>
      <w:szCs w:val="38"/>
    </w:rPr>
  </w:style>
  <w:style w:type="character" w:customStyle="1" w:styleId="176">
    <w:name w:val="不明显参考1"/>
    <w:autoRedefine/>
    <w:qFormat/>
    <w:uiPriority w:val="0"/>
    <w:rPr>
      <w:smallCaps/>
      <w:color w:val="C0504D"/>
      <w:u w:val="single"/>
    </w:rPr>
  </w:style>
  <w:style w:type="character" w:customStyle="1" w:styleId="177">
    <w:name w:val="text_neiye_31"/>
    <w:autoRedefine/>
    <w:qFormat/>
    <w:uiPriority w:val="0"/>
    <w:rPr>
      <w:rFonts w:hint="eastAsia" w:ascii="仿宋_GB2312" w:eastAsia="仿宋_GB2312"/>
      <w:color w:val="000000"/>
      <w:sz w:val="30"/>
      <w:szCs w:val="30"/>
    </w:rPr>
  </w:style>
  <w:style w:type="character" w:customStyle="1" w:styleId="178">
    <w:name w:val="脚注文本 Char1"/>
    <w:autoRedefine/>
    <w:qFormat/>
    <w:uiPriority w:val="0"/>
    <w:rPr>
      <w:rFonts w:ascii="仿宋_GB2312" w:hAnsi="Times New Roman" w:eastAsia="宋体" w:cs="Times New Roman"/>
      <w:sz w:val="18"/>
      <w:szCs w:val="18"/>
    </w:rPr>
  </w:style>
  <w:style w:type="character" w:customStyle="1" w:styleId="179">
    <w:name w:val="正文文本 3 Char3"/>
    <w:autoRedefine/>
    <w:qFormat/>
    <w:uiPriority w:val="0"/>
    <w:rPr>
      <w:rFonts w:ascii="Calibri" w:hAnsi="Calibri" w:eastAsia="宋体"/>
      <w:kern w:val="2"/>
      <w:sz w:val="16"/>
      <w:szCs w:val="16"/>
    </w:rPr>
  </w:style>
  <w:style w:type="character" w:customStyle="1" w:styleId="180">
    <w:name w:val="Char Char23"/>
    <w:autoRedefine/>
    <w:qFormat/>
    <w:uiPriority w:val="0"/>
    <w:rPr>
      <w:rFonts w:eastAsia="楷体_GB2312"/>
      <w:b/>
      <w:kern w:val="2"/>
      <w:sz w:val="36"/>
      <w:szCs w:val="36"/>
      <w:lang w:val="en-US" w:eastAsia="zh-CN" w:bidi="ar-SA"/>
    </w:rPr>
  </w:style>
  <w:style w:type="character" w:customStyle="1" w:styleId="181">
    <w:name w:val="正文文本缩进 3 字符"/>
    <w:autoRedefine/>
    <w:semiHidden/>
    <w:qFormat/>
    <w:uiPriority w:val="99"/>
    <w:rPr>
      <w:rFonts w:ascii="Calibri" w:hAnsi="Calibri" w:eastAsia="宋体" w:cs="Times New Roman"/>
      <w:sz w:val="16"/>
      <w:szCs w:val="16"/>
    </w:rPr>
  </w:style>
  <w:style w:type="character" w:customStyle="1" w:styleId="182">
    <w:name w:val="标题 字符"/>
    <w:autoRedefine/>
    <w:qFormat/>
    <w:uiPriority w:val="10"/>
    <w:rPr>
      <w:rFonts w:ascii="等线 Light" w:hAnsi="等线 Light" w:eastAsia="等线 Light" w:cs="Times New Roman"/>
      <w:b/>
      <w:bCs/>
      <w:sz w:val="32"/>
      <w:szCs w:val="32"/>
    </w:rPr>
  </w:style>
  <w:style w:type="character" w:customStyle="1" w:styleId="183">
    <w:name w:val="txt"/>
    <w:autoRedefine/>
    <w:qFormat/>
    <w:uiPriority w:val="0"/>
    <w:rPr>
      <w:color w:val="FFFFFF"/>
      <w:sz w:val="16"/>
      <w:szCs w:val="16"/>
    </w:rPr>
  </w:style>
  <w:style w:type="character" w:customStyle="1" w:styleId="184">
    <w:name w:val="普通文字 Char Char"/>
    <w:autoRedefine/>
    <w:qFormat/>
    <w:uiPriority w:val="0"/>
    <w:rPr>
      <w:rFonts w:ascii="宋体" w:hAnsi="Courier New" w:eastAsia="楷体_GB2312"/>
      <w:kern w:val="2"/>
      <w:sz w:val="21"/>
      <w:lang w:val="en-US" w:eastAsia="zh-CN" w:bidi="ar-SA"/>
    </w:rPr>
  </w:style>
  <w:style w:type="character" w:customStyle="1" w:styleId="185">
    <w:name w:val="页脚 字符"/>
    <w:autoRedefine/>
    <w:semiHidden/>
    <w:qFormat/>
    <w:uiPriority w:val="99"/>
    <w:rPr>
      <w:rFonts w:ascii="Calibri" w:hAnsi="Calibri" w:eastAsia="宋体" w:cs="Times New Roman"/>
      <w:sz w:val="18"/>
      <w:szCs w:val="18"/>
    </w:rPr>
  </w:style>
  <w:style w:type="character" w:customStyle="1" w:styleId="186">
    <w:name w:val="NormalCharacter"/>
    <w:autoRedefine/>
    <w:qFormat/>
    <w:uiPriority w:val="0"/>
  </w:style>
  <w:style w:type="character" w:customStyle="1" w:styleId="187">
    <w:name w:val="引用 Char"/>
    <w:autoRedefine/>
    <w:qFormat/>
    <w:uiPriority w:val="0"/>
    <w:rPr>
      <w:i/>
      <w:sz w:val="24"/>
    </w:rPr>
  </w:style>
  <w:style w:type="character" w:customStyle="1" w:styleId="188">
    <w:name w:val="正文文本 2 Char1"/>
    <w:autoRedefine/>
    <w:semiHidden/>
    <w:qFormat/>
    <w:uiPriority w:val="99"/>
    <w:rPr>
      <w:rFonts w:ascii="仿宋_GB2312" w:hAnsi="Times New Roman" w:eastAsia="宋体" w:cs="Times New Roman"/>
      <w:szCs w:val="32"/>
    </w:rPr>
  </w:style>
  <w:style w:type="character" w:customStyle="1" w:styleId="189">
    <w:name w:val="日期 Char1"/>
    <w:autoRedefine/>
    <w:qFormat/>
    <w:uiPriority w:val="0"/>
    <w:rPr>
      <w:rFonts w:ascii="仿宋_GB2312" w:hAnsi="Times New Roman" w:eastAsia="宋体" w:cs="Times New Roman"/>
      <w:szCs w:val="32"/>
    </w:rPr>
  </w:style>
  <w:style w:type="character" w:customStyle="1" w:styleId="190">
    <w:name w:val="Char Char22"/>
    <w:autoRedefine/>
    <w:qFormat/>
    <w:uiPriority w:val="0"/>
    <w:rPr>
      <w:rFonts w:ascii="楷体_GB2312" w:hAnsi="宋体" w:eastAsia="楷体_GB2312" w:cs="宋体"/>
      <w:b/>
      <w:kern w:val="2"/>
      <w:sz w:val="32"/>
      <w:szCs w:val="32"/>
      <w:lang w:val="en-US" w:eastAsia="zh-CN" w:bidi="ar-SA"/>
    </w:rPr>
  </w:style>
  <w:style w:type="character" w:customStyle="1" w:styleId="191">
    <w:name w:val="标题 Char Char"/>
    <w:autoRedefine/>
    <w:qFormat/>
    <w:uiPriority w:val="0"/>
    <w:rPr>
      <w:rFonts w:ascii="Arial" w:hAnsi="Arial" w:eastAsia="楷体_GB2312"/>
      <w:b/>
      <w:kern w:val="2"/>
      <w:sz w:val="44"/>
      <w:lang w:val="en-US" w:eastAsia="zh-CN" w:bidi="ar-SA"/>
    </w:rPr>
  </w:style>
  <w:style w:type="character" w:customStyle="1" w:styleId="192">
    <w:name w:val="正文文本缩进 3 Char2"/>
    <w:autoRedefine/>
    <w:qFormat/>
    <w:uiPriority w:val="0"/>
    <w:rPr>
      <w:rFonts w:eastAsia="楷体_GB2312"/>
      <w:kern w:val="2"/>
      <w:sz w:val="16"/>
      <w:szCs w:val="16"/>
    </w:rPr>
  </w:style>
  <w:style w:type="character" w:customStyle="1" w:styleId="193">
    <w:name w:val="标题 2 Char1"/>
    <w:autoRedefine/>
    <w:qFormat/>
    <w:uiPriority w:val="0"/>
    <w:rPr>
      <w:rFonts w:ascii="仿宋_GB2312" w:hAnsi="宋体" w:eastAsia="仿宋_GB2312" w:cs="宋体"/>
      <w:b/>
      <w:kern w:val="2"/>
      <w:sz w:val="30"/>
      <w:szCs w:val="30"/>
    </w:rPr>
  </w:style>
  <w:style w:type="character" w:customStyle="1" w:styleId="194">
    <w:name w:val="页眉 Char1"/>
    <w:autoRedefine/>
    <w:qFormat/>
    <w:uiPriority w:val="0"/>
    <w:rPr>
      <w:rFonts w:eastAsia="楷体_GB2312"/>
      <w:kern w:val="2"/>
      <w:sz w:val="18"/>
      <w:szCs w:val="18"/>
    </w:rPr>
  </w:style>
  <w:style w:type="character" w:customStyle="1" w:styleId="195">
    <w:name w:val="正文文本缩进 字符"/>
    <w:autoRedefine/>
    <w:semiHidden/>
    <w:qFormat/>
    <w:uiPriority w:val="99"/>
    <w:rPr>
      <w:rFonts w:ascii="Calibri" w:hAnsi="Calibri" w:eastAsia="宋体" w:cs="Times New Roman"/>
    </w:rPr>
  </w:style>
  <w:style w:type="character" w:customStyle="1" w:styleId="196">
    <w:name w:val="脚注文本 Char2"/>
    <w:autoRedefine/>
    <w:qFormat/>
    <w:uiPriority w:val="0"/>
    <w:rPr>
      <w:rFonts w:eastAsia="楷体_GB2312"/>
      <w:kern w:val="2"/>
      <w:sz w:val="18"/>
      <w:szCs w:val="18"/>
    </w:rPr>
  </w:style>
  <w:style w:type="character" w:customStyle="1" w:styleId="197">
    <w:name w:val="正文文本缩进 Char1"/>
    <w:autoRedefine/>
    <w:qFormat/>
    <w:uiPriority w:val="0"/>
    <w:rPr>
      <w:rFonts w:ascii="仿宋_GB2312" w:hAnsi="Times New Roman" w:eastAsia="宋体" w:cs="Times New Roman"/>
      <w:szCs w:val="32"/>
    </w:rPr>
  </w:style>
  <w:style w:type="character" w:customStyle="1" w:styleId="198">
    <w:name w:val="批注框文本 Char1"/>
    <w:autoRedefine/>
    <w:qFormat/>
    <w:uiPriority w:val="0"/>
    <w:rPr>
      <w:rFonts w:ascii="仿宋_GB2312" w:hAnsi="Times New Roman" w:eastAsia="宋体" w:cs="Times New Roman"/>
      <w:sz w:val="18"/>
      <w:szCs w:val="18"/>
    </w:rPr>
  </w:style>
  <w:style w:type="character" w:customStyle="1" w:styleId="199">
    <w:name w:val="Char Char21"/>
    <w:autoRedefine/>
    <w:qFormat/>
    <w:uiPriority w:val="0"/>
    <w:rPr>
      <w:rFonts w:ascii="宋体" w:hAnsi="Times New Roman" w:eastAsia="宋体" w:cs="Times New Roman"/>
      <w:bCs/>
      <w:snapToGrid/>
      <w:kern w:val="0"/>
      <w:sz w:val="28"/>
      <w:szCs w:val="44"/>
    </w:rPr>
  </w:style>
  <w:style w:type="character" w:customStyle="1" w:styleId="200">
    <w:name w:val="文档结构图 字符"/>
    <w:autoRedefine/>
    <w:semiHidden/>
    <w:qFormat/>
    <w:uiPriority w:val="99"/>
    <w:rPr>
      <w:rFonts w:ascii="Microsoft YaHei UI" w:hAnsi="Calibri" w:eastAsia="Microsoft YaHei UI" w:cs="Times New Roman"/>
      <w:sz w:val="18"/>
      <w:szCs w:val="18"/>
    </w:rPr>
  </w:style>
  <w:style w:type="character" w:customStyle="1" w:styleId="201">
    <w:name w:val="标题 3 字符"/>
    <w:autoRedefine/>
    <w:semiHidden/>
    <w:qFormat/>
    <w:uiPriority w:val="9"/>
    <w:rPr>
      <w:rFonts w:ascii="Calibri" w:hAnsi="Calibri" w:eastAsia="宋体" w:cs="Times New Roman"/>
      <w:b/>
      <w:bCs/>
      <w:sz w:val="32"/>
      <w:szCs w:val="32"/>
    </w:rPr>
  </w:style>
  <w:style w:type="character" w:customStyle="1" w:styleId="202">
    <w:name w:val="引用 Char1"/>
    <w:link w:val="203"/>
    <w:autoRedefine/>
    <w:qFormat/>
    <w:uiPriority w:val="0"/>
    <w:rPr>
      <w:rFonts w:ascii="仿宋_GB2312" w:hAnsi="Times New Roman"/>
      <w:i/>
      <w:iCs/>
      <w:color w:val="000000"/>
      <w:szCs w:val="32"/>
    </w:rPr>
  </w:style>
  <w:style w:type="paragraph" w:customStyle="1" w:styleId="203">
    <w:name w:val="引用1"/>
    <w:basedOn w:val="1"/>
    <w:next w:val="1"/>
    <w:link w:val="202"/>
    <w:autoRedefine/>
    <w:qFormat/>
    <w:uiPriority w:val="0"/>
    <w:pPr>
      <w:widowControl/>
      <w:jc w:val="left"/>
    </w:pPr>
    <w:rPr>
      <w:rFonts w:ascii="仿宋_GB2312"/>
      <w:i/>
      <w:iCs/>
      <w:color w:val="000000"/>
      <w:kern w:val="0"/>
      <w:sz w:val="20"/>
      <w:szCs w:val="32"/>
    </w:rPr>
  </w:style>
  <w:style w:type="character" w:customStyle="1" w:styleId="204">
    <w:name w:val="不明显强调1"/>
    <w:autoRedefine/>
    <w:qFormat/>
    <w:uiPriority w:val="0"/>
    <w:rPr>
      <w:i/>
      <w:iCs/>
      <w:color w:val="808080"/>
    </w:rPr>
  </w:style>
  <w:style w:type="character" w:customStyle="1" w:styleId="205">
    <w:name w:val="正文文本缩进 2 字符"/>
    <w:autoRedefine/>
    <w:semiHidden/>
    <w:qFormat/>
    <w:uiPriority w:val="99"/>
    <w:rPr>
      <w:rFonts w:ascii="Calibri" w:hAnsi="Calibri" w:eastAsia="宋体" w:cs="Times New Roman"/>
    </w:rPr>
  </w:style>
  <w:style w:type="character" w:customStyle="1" w:styleId="206">
    <w:name w:val="标题6 Char"/>
    <w:link w:val="207"/>
    <w:autoRedefine/>
    <w:qFormat/>
    <w:uiPriority w:val="0"/>
    <w:rPr>
      <w:rFonts w:ascii="宋体" w:hAnsi="宋体" w:eastAsia="黑体"/>
      <w:sz w:val="32"/>
      <w:szCs w:val="32"/>
    </w:rPr>
  </w:style>
  <w:style w:type="paragraph" w:customStyle="1" w:styleId="207">
    <w:name w:val="标题6"/>
    <w:basedOn w:val="1"/>
    <w:link w:val="206"/>
    <w:autoRedefine/>
    <w:qFormat/>
    <w:uiPriority w:val="0"/>
    <w:pPr>
      <w:keepNext/>
      <w:keepLines/>
      <w:spacing w:line="400" w:lineRule="exact"/>
      <w:jc w:val="center"/>
      <w:outlineLvl w:val="2"/>
    </w:pPr>
    <w:rPr>
      <w:rFonts w:ascii="宋体" w:hAnsi="宋体" w:eastAsia="黑体"/>
      <w:kern w:val="0"/>
      <w:sz w:val="32"/>
      <w:szCs w:val="32"/>
    </w:rPr>
  </w:style>
  <w:style w:type="character" w:customStyle="1" w:styleId="208">
    <w:name w:val="标题 8 字符"/>
    <w:autoRedefine/>
    <w:semiHidden/>
    <w:qFormat/>
    <w:uiPriority w:val="9"/>
    <w:rPr>
      <w:rFonts w:ascii="等线 Light" w:hAnsi="等线 Light" w:eastAsia="等线 Light" w:cs="Times New Roman"/>
      <w:sz w:val="24"/>
      <w:szCs w:val="24"/>
    </w:rPr>
  </w:style>
  <w:style w:type="character" w:customStyle="1" w:styleId="209">
    <w:name w:val="正文文本 3 Char2"/>
    <w:autoRedefine/>
    <w:qFormat/>
    <w:uiPriority w:val="0"/>
    <w:rPr>
      <w:rFonts w:eastAsia="楷体_GB2312"/>
      <w:kern w:val="2"/>
      <w:sz w:val="16"/>
      <w:szCs w:val="16"/>
    </w:rPr>
  </w:style>
  <w:style w:type="character" w:customStyle="1" w:styleId="210">
    <w:name w:val="尾注文本 字符"/>
    <w:autoRedefine/>
    <w:semiHidden/>
    <w:qFormat/>
    <w:uiPriority w:val="99"/>
    <w:rPr>
      <w:rFonts w:ascii="Calibri" w:hAnsi="Calibri" w:eastAsia="宋体" w:cs="Times New Roman"/>
    </w:rPr>
  </w:style>
  <w:style w:type="character" w:customStyle="1" w:styleId="211">
    <w:name w:val="HTML 预设格式 Char2"/>
    <w:autoRedefine/>
    <w:qFormat/>
    <w:uiPriority w:val="0"/>
    <w:rPr>
      <w:rFonts w:ascii="Courier New" w:hAnsi="Courier New" w:eastAsia="宋体" w:cs="Courier New"/>
      <w:kern w:val="2"/>
    </w:rPr>
  </w:style>
  <w:style w:type="character" w:customStyle="1" w:styleId="212">
    <w:name w:val="标题 2 字符"/>
    <w:autoRedefine/>
    <w:semiHidden/>
    <w:qFormat/>
    <w:uiPriority w:val="9"/>
    <w:rPr>
      <w:rFonts w:ascii="等线 Light" w:hAnsi="等线 Light" w:eastAsia="等线 Light" w:cs="Times New Roman"/>
      <w:b/>
      <w:bCs/>
      <w:sz w:val="32"/>
      <w:szCs w:val="32"/>
    </w:rPr>
  </w:style>
  <w:style w:type="character" w:customStyle="1" w:styleId="213">
    <w:name w:val="纯文本 Char1"/>
    <w:autoRedefine/>
    <w:semiHidden/>
    <w:qFormat/>
    <w:uiPriority w:val="99"/>
    <w:rPr>
      <w:rFonts w:ascii="宋体" w:hAnsi="Courier New" w:eastAsia="宋体" w:cs="Courier New"/>
      <w:szCs w:val="21"/>
    </w:rPr>
  </w:style>
  <w:style w:type="character" w:customStyle="1" w:styleId="214">
    <w:name w:val="明显引用 Char"/>
    <w:autoRedefine/>
    <w:qFormat/>
    <w:uiPriority w:val="0"/>
    <w:rPr>
      <w:b/>
      <w:i/>
      <w:sz w:val="24"/>
    </w:rPr>
  </w:style>
  <w:style w:type="character" w:customStyle="1" w:styleId="215">
    <w:name w:val="标题 3 Char1"/>
    <w:autoRedefine/>
    <w:qFormat/>
    <w:uiPriority w:val="0"/>
    <w:rPr>
      <w:rFonts w:ascii="楷体_GB2312" w:hAnsi="宋体" w:eastAsia="楷体_GB2312" w:cs="宋体"/>
      <w:b/>
      <w:kern w:val="2"/>
      <w:sz w:val="32"/>
      <w:szCs w:val="32"/>
    </w:rPr>
  </w:style>
  <w:style w:type="character" w:customStyle="1" w:styleId="216">
    <w:name w:val="正文文本 2 字符"/>
    <w:autoRedefine/>
    <w:semiHidden/>
    <w:qFormat/>
    <w:uiPriority w:val="99"/>
    <w:rPr>
      <w:rFonts w:ascii="Calibri" w:hAnsi="Calibri" w:eastAsia="宋体" w:cs="Times New Roman"/>
    </w:rPr>
  </w:style>
  <w:style w:type="paragraph" w:customStyle="1" w:styleId="217">
    <w:name w:val="+标题2"/>
    <w:basedOn w:val="7"/>
    <w:autoRedefine/>
    <w:qFormat/>
    <w:uiPriority w:val="0"/>
    <w:pPr>
      <w:tabs>
        <w:tab w:val="left" w:pos="1053"/>
        <w:tab w:val="left" w:pos="1480"/>
      </w:tabs>
      <w:spacing w:line="360" w:lineRule="auto"/>
      <w:ind w:left="1053" w:hanging="528"/>
      <w:jc w:val="both"/>
    </w:pPr>
    <w:rPr>
      <w:rFonts w:ascii="Times New Roman" w:hAnsi="Times New Roman"/>
      <w:bCs/>
      <w:color w:val="auto"/>
      <w:szCs w:val="28"/>
    </w:rPr>
  </w:style>
  <w:style w:type="paragraph" w:customStyle="1" w:styleId="218">
    <w:name w:val="章节三"/>
    <w:basedOn w:val="152"/>
    <w:next w:val="152"/>
    <w:autoRedefine/>
    <w:qFormat/>
    <w:uiPriority w:val="0"/>
    <w:pPr>
      <w:spacing w:beforeLines="50" w:afterLines="50" w:line="240" w:lineRule="auto"/>
      <w:ind w:firstLine="0" w:firstLineChars="0"/>
      <w:jc w:val="left"/>
      <w:outlineLvl w:val="2"/>
    </w:pPr>
    <w:rPr>
      <w:rFonts w:ascii="黑体" w:hAnsi="宋体" w:eastAsia="黑体"/>
      <w:b/>
    </w:rPr>
  </w:style>
  <w:style w:type="paragraph" w:customStyle="1" w:styleId="219">
    <w:name w:val="日期1"/>
    <w:basedOn w:val="1"/>
    <w:next w:val="1"/>
    <w:autoRedefine/>
    <w:qFormat/>
    <w:uiPriority w:val="0"/>
    <w:pPr>
      <w:suppressAutoHyphens/>
      <w:ind w:left="100"/>
    </w:pPr>
    <w:rPr>
      <w:kern w:val="1"/>
      <w:szCs w:val="20"/>
      <w:lang w:eastAsia="ar-SA"/>
    </w:rPr>
  </w:style>
  <w:style w:type="paragraph" w:customStyle="1" w:styleId="220">
    <w:name w:val="xl29"/>
    <w:basedOn w:val="1"/>
    <w:autoRedefine/>
    <w:qFormat/>
    <w:uiPriority w:val="0"/>
    <w:pPr>
      <w:widowControl/>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21">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222">
    <w:name w:val="_Style 11"/>
    <w:basedOn w:val="1"/>
    <w:autoRedefine/>
    <w:qFormat/>
    <w:uiPriority w:val="0"/>
    <w:rPr>
      <w:sz w:val="30"/>
      <w:szCs w:val="24"/>
    </w:rPr>
  </w:style>
  <w:style w:type="paragraph" w:customStyle="1" w:styleId="223">
    <w:name w:val="p0"/>
    <w:basedOn w:val="1"/>
    <w:autoRedefine/>
    <w:qFormat/>
    <w:uiPriority w:val="0"/>
    <w:pPr>
      <w:widowControl/>
    </w:pPr>
    <w:rPr>
      <w:kern w:val="0"/>
      <w:szCs w:val="21"/>
    </w:rPr>
  </w:style>
  <w:style w:type="paragraph" w:customStyle="1" w:styleId="224">
    <w:name w:val="批注文字1"/>
    <w:basedOn w:val="1"/>
    <w:autoRedefine/>
    <w:qFormat/>
    <w:uiPriority w:val="0"/>
    <w:pPr>
      <w:suppressAutoHyphens/>
      <w:jc w:val="left"/>
    </w:pPr>
    <w:rPr>
      <w:kern w:val="1"/>
      <w:szCs w:val="20"/>
      <w:lang w:eastAsia="ar-SA"/>
    </w:rPr>
  </w:style>
  <w:style w:type="paragraph" w:customStyle="1" w:styleId="225">
    <w:name w:val="自正文4"/>
    <w:basedOn w:val="1"/>
    <w:autoRedefine/>
    <w:qFormat/>
    <w:uiPriority w:val="0"/>
    <w:pPr>
      <w:tabs>
        <w:tab w:val="left" w:pos="1440"/>
        <w:tab w:val="left" w:pos="2760"/>
        <w:tab w:val="left" w:pos="4200"/>
      </w:tabs>
      <w:spacing w:after="120" w:line="360" w:lineRule="auto"/>
      <w:ind w:left="480" w:firstLine="600"/>
      <w:jc w:val="left"/>
    </w:pPr>
    <w:rPr>
      <w:rFonts w:ascii="楷体_GB2312" w:hAnsi="华文仿宋" w:eastAsia="楷体_GB2312"/>
      <w:kern w:val="0"/>
      <w:szCs w:val="20"/>
    </w:rPr>
  </w:style>
  <w:style w:type="paragraph" w:customStyle="1" w:styleId="226">
    <w:name w:val="空半行"/>
    <w:basedOn w:val="1"/>
    <w:autoRedefine/>
    <w:qFormat/>
    <w:uiPriority w:val="0"/>
    <w:pPr>
      <w:adjustRightInd w:val="0"/>
      <w:spacing w:line="120" w:lineRule="exact"/>
      <w:textAlignment w:val="baseline"/>
    </w:pPr>
    <w:rPr>
      <w:rFonts w:eastAsia="仿宋_GB2312"/>
      <w:color w:val="FFFFFF"/>
      <w:kern w:val="0"/>
      <w:sz w:val="30"/>
      <w:szCs w:val="20"/>
    </w:rPr>
  </w:style>
  <w:style w:type="paragraph" w:customStyle="1" w:styleId="227">
    <w:name w:val="xl27"/>
    <w:basedOn w:val="1"/>
    <w:autoRedefine/>
    <w:qFormat/>
    <w:uiPriority w:val="0"/>
    <w:pPr>
      <w:widowControl/>
      <w:pBdr>
        <w:bottom w:val="single" w:color="000000" w:sz="4" w:space="0"/>
      </w:pBdr>
      <w:spacing w:before="100" w:beforeAutospacing="1" w:after="100" w:afterAutospacing="1"/>
      <w:jc w:val="left"/>
      <w:textAlignment w:val="center"/>
    </w:pPr>
    <w:rPr>
      <w:rFonts w:hint="eastAsia" w:ascii="仿宋_GB2312" w:hAnsi="宋体" w:eastAsia="仿宋_GB2312"/>
      <w:color w:val="000000"/>
      <w:kern w:val="0"/>
      <w:sz w:val="24"/>
      <w:szCs w:val="20"/>
    </w:rPr>
  </w:style>
  <w:style w:type="paragraph" w:customStyle="1" w:styleId="228">
    <w:name w:val="正文 New New"/>
    <w:autoRedefine/>
    <w:qFormat/>
    <w:uiPriority w:val="0"/>
    <w:pPr>
      <w:widowControl w:val="0"/>
      <w:jc w:val="both"/>
    </w:pPr>
    <w:rPr>
      <w:rFonts w:ascii="Times New Roman" w:hAnsi="Times New Roman" w:eastAsia="楷体_GB2312" w:cs="Times New Roman"/>
      <w:lang w:val="en-US" w:eastAsia="zh-CN" w:bidi="ar-SA"/>
    </w:rPr>
  </w:style>
  <w:style w:type="paragraph" w:customStyle="1" w:styleId="229">
    <w:name w:val="文档结构图1"/>
    <w:basedOn w:val="1"/>
    <w:autoRedefine/>
    <w:qFormat/>
    <w:uiPriority w:val="0"/>
    <w:pPr>
      <w:shd w:val="clear" w:color="auto" w:fill="000080"/>
      <w:suppressAutoHyphens/>
    </w:pPr>
    <w:rPr>
      <w:kern w:val="1"/>
      <w:szCs w:val="20"/>
      <w:lang w:eastAsia="ar-SA"/>
    </w:rPr>
  </w:style>
  <w:style w:type="paragraph" w:customStyle="1" w:styleId="230">
    <w:name w:val="正文 + 行距: 最小值 26 磅"/>
    <w:basedOn w:val="1"/>
    <w:autoRedefine/>
    <w:qFormat/>
    <w:uiPriority w:val="0"/>
    <w:pPr>
      <w:snapToGrid w:val="0"/>
      <w:spacing w:line="520" w:lineRule="atLeast"/>
    </w:pPr>
    <w:rPr>
      <w:rFonts w:eastAsia="楷体_GB2312"/>
      <w:sz w:val="24"/>
      <w:szCs w:val="20"/>
    </w:rPr>
  </w:style>
  <w:style w:type="paragraph" w:customStyle="1" w:styleId="231">
    <w:name w:val="+标题4"/>
    <w:basedOn w:val="10"/>
    <w:autoRedefine/>
    <w:qFormat/>
    <w:uiPriority w:val="0"/>
    <w:pPr>
      <w:numPr>
        <w:ilvl w:val="0"/>
        <w:numId w:val="0"/>
      </w:numPr>
      <w:tabs>
        <w:tab w:val="left" w:pos="1053"/>
        <w:tab w:val="left" w:pos="1720"/>
        <w:tab w:val="left" w:pos="2310"/>
      </w:tabs>
      <w:spacing w:beforeLines="0" w:afterLines="0"/>
      <w:ind w:left="1053" w:hanging="528"/>
      <w:jc w:val="both"/>
    </w:pPr>
    <w:rPr>
      <w:rFonts w:ascii="Times New Roman" w:hAnsi="Times New Roman"/>
      <w:b/>
      <w:bCs/>
      <w:color w:val="auto"/>
      <w:sz w:val="24"/>
      <w:szCs w:val="28"/>
    </w:rPr>
  </w:style>
  <w:style w:type="paragraph" w:customStyle="1" w:styleId="232">
    <w:name w:val="公文标题"/>
    <w:basedOn w:val="9"/>
    <w:autoRedefine/>
    <w:qFormat/>
    <w:uiPriority w:val="0"/>
    <w:pPr>
      <w:keepNext/>
      <w:keepLines/>
      <w:widowControl w:val="0"/>
      <w:spacing w:before="0" w:beforeAutospacing="0" w:after="0" w:afterAutospacing="0"/>
      <w:ind w:left="1469" w:right="1542"/>
    </w:pPr>
    <w:rPr>
      <w:rFonts w:hAnsi="Times New Roman"/>
      <w:b/>
      <w:kern w:val="2"/>
      <w:sz w:val="44"/>
      <w:szCs w:val="21"/>
    </w:rPr>
  </w:style>
  <w:style w:type="paragraph" w:customStyle="1" w:styleId="233">
    <w:name w:val="正文文本 21"/>
    <w:basedOn w:val="1"/>
    <w:autoRedefine/>
    <w:qFormat/>
    <w:uiPriority w:val="0"/>
    <w:pPr>
      <w:suppressAutoHyphens/>
    </w:pPr>
    <w:rPr>
      <w:rFonts w:eastAsia="楷体_GB2312"/>
      <w:b/>
      <w:kern w:val="1"/>
      <w:szCs w:val="20"/>
      <w:lang w:eastAsia="ar-SA"/>
    </w:rPr>
  </w:style>
  <w:style w:type="paragraph" w:customStyle="1" w:styleId="234">
    <w:name w:val="Char Char Char1 Char"/>
    <w:basedOn w:val="19"/>
    <w:autoRedefine/>
    <w:qFormat/>
    <w:uiPriority w:val="0"/>
    <w:rPr>
      <w:rFonts w:ascii="Tahoma" w:hAnsi="Tahoma"/>
      <w:sz w:val="24"/>
      <w:szCs w:val="24"/>
    </w:rPr>
  </w:style>
  <w:style w:type="paragraph" w:customStyle="1" w:styleId="235">
    <w:name w:val="_Style 25"/>
    <w:basedOn w:val="1"/>
    <w:next w:val="1"/>
    <w:autoRedefine/>
    <w:qFormat/>
    <w:uiPriority w:val="0"/>
  </w:style>
  <w:style w:type="paragraph" w:customStyle="1" w:styleId="236">
    <w:name w:val="目录"/>
    <w:basedOn w:val="1"/>
    <w:autoRedefine/>
    <w:qFormat/>
    <w:uiPriority w:val="0"/>
    <w:pPr>
      <w:suppressLineNumbers/>
      <w:suppressAutoHyphens/>
    </w:pPr>
    <w:rPr>
      <w:kern w:val="1"/>
      <w:szCs w:val="20"/>
      <w:lang w:eastAsia="ar-SA"/>
    </w:rPr>
  </w:style>
  <w:style w:type="paragraph" w:customStyle="1" w:styleId="237">
    <w:name w:val="font6"/>
    <w:basedOn w:val="1"/>
    <w:autoRedefine/>
    <w:qFormat/>
    <w:uiPriority w:val="0"/>
    <w:pPr>
      <w:widowControl/>
      <w:spacing w:before="100" w:beforeAutospacing="1" w:after="100" w:afterAutospacing="1"/>
      <w:jc w:val="left"/>
    </w:pPr>
    <w:rPr>
      <w:rFonts w:hint="eastAsia" w:ascii="宋体" w:hAnsi="宋体"/>
      <w:color w:val="000000"/>
      <w:kern w:val="0"/>
      <w:sz w:val="40"/>
      <w:szCs w:val="20"/>
    </w:rPr>
  </w:style>
  <w:style w:type="paragraph" w:customStyle="1" w:styleId="238">
    <w:name w:val="表格内容"/>
    <w:basedOn w:val="1"/>
    <w:autoRedefine/>
    <w:qFormat/>
    <w:uiPriority w:val="0"/>
    <w:pPr>
      <w:suppressLineNumbers/>
      <w:suppressAutoHyphens/>
    </w:pPr>
    <w:rPr>
      <w:kern w:val="1"/>
      <w:szCs w:val="20"/>
      <w:lang w:eastAsia="ar-SA"/>
    </w:rPr>
  </w:style>
  <w:style w:type="paragraph" w:customStyle="1" w:styleId="239">
    <w:name w:val="xl34"/>
    <w:basedOn w:val="1"/>
    <w:autoRedefine/>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40">
    <w:name w:val="B"/>
    <w:basedOn w:val="1"/>
    <w:autoRedefine/>
    <w:qFormat/>
    <w:uiPriority w:val="0"/>
    <w:pPr>
      <w:widowControl/>
      <w:tabs>
        <w:tab w:val="left" w:pos="1200"/>
      </w:tabs>
      <w:spacing w:before="240" w:line="240" w:lineRule="atLeast"/>
    </w:pPr>
    <w:rPr>
      <w:sz w:val="24"/>
      <w:szCs w:val="24"/>
    </w:rPr>
  </w:style>
  <w:style w:type="paragraph" w:customStyle="1" w:styleId="241">
    <w:name w:val="正文首行缩进 New"/>
    <w:basedOn w:val="6"/>
    <w:autoRedefine/>
    <w:qFormat/>
    <w:uiPriority w:val="0"/>
    <w:pPr>
      <w:ind w:firstLine="420"/>
    </w:pPr>
    <w:rPr>
      <w:rFonts w:eastAsia="楷体_GB2312"/>
    </w:rPr>
  </w:style>
  <w:style w:type="paragraph" w:customStyle="1" w:styleId="242">
    <w:name w:val="Char Char Char1 Char1"/>
    <w:basedOn w:val="19"/>
    <w:autoRedefine/>
    <w:qFormat/>
    <w:uiPriority w:val="0"/>
    <w:rPr>
      <w:rFonts w:ascii="Tahoma" w:hAnsi="Tahoma"/>
      <w:sz w:val="24"/>
    </w:rPr>
  </w:style>
  <w:style w:type="paragraph" w:customStyle="1" w:styleId="243">
    <w:name w:val="自正文1"/>
    <w:basedOn w:val="1"/>
    <w:autoRedefine/>
    <w:qFormat/>
    <w:uiPriority w:val="0"/>
    <w:pPr>
      <w:tabs>
        <w:tab w:val="left" w:pos="1395"/>
      </w:tabs>
      <w:ind w:left="315"/>
    </w:pPr>
    <w:rPr>
      <w:rFonts w:ascii="仿宋_GB2312"/>
      <w:szCs w:val="32"/>
    </w:rPr>
  </w:style>
  <w:style w:type="paragraph" w:customStyle="1" w:styleId="244">
    <w:name w:val="xl2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45">
    <w:name w:val="Char Char Char Char Char Char1 Char"/>
    <w:basedOn w:val="1"/>
    <w:autoRedefine/>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246">
    <w:name w:val="默认段落字体 Para Char"/>
    <w:basedOn w:val="1"/>
    <w:autoRedefine/>
    <w:qFormat/>
    <w:uiPriority w:val="0"/>
    <w:pPr>
      <w:spacing w:line="360" w:lineRule="auto"/>
      <w:jc w:val="left"/>
    </w:pPr>
    <w:rPr>
      <w:rFonts w:eastAsia="仿宋_GB2312"/>
      <w:b/>
      <w:sz w:val="32"/>
      <w:szCs w:val="20"/>
    </w:rPr>
  </w:style>
  <w:style w:type="paragraph" w:customStyle="1" w:styleId="247">
    <w:name w:val="自正文2"/>
    <w:basedOn w:val="1"/>
    <w:autoRedefine/>
    <w:qFormat/>
    <w:uiPriority w:val="0"/>
    <w:pPr>
      <w:ind w:firstLine="598" w:firstLineChars="249"/>
    </w:pPr>
    <w:rPr>
      <w:rFonts w:ascii="宋体" w:hAnsi="宋体"/>
      <w:snapToGrid w:val="0"/>
      <w:color w:val="000000"/>
      <w:sz w:val="24"/>
      <w:szCs w:val="20"/>
    </w:rPr>
  </w:style>
  <w:style w:type="paragraph" w:customStyle="1" w:styleId="248">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249">
    <w:name w:val="3 Char Char Char Char Char Char Char"/>
    <w:basedOn w:val="1"/>
    <w:autoRedefine/>
    <w:qFormat/>
    <w:uiPriority w:val="0"/>
    <w:pPr>
      <w:adjustRightInd w:val="0"/>
      <w:snapToGrid w:val="0"/>
      <w:spacing w:line="400" w:lineRule="exact"/>
      <w:ind w:firstLine="200" w:firstLineChars="200"/>
    </w:pPr>
    <w:rPr>
      <w:sz w:val="24"/>
      <w:szCs w:val="20"/>
    </w:rPr>
  </w:style>
  <w:style w:type="paragraph" w:customStyle="1" w:styleId="250">
    <w:name w:val="+正文"/>
    <w:basedOn w:val="1"/>
    <w:autoRedefine/>
    <w:qFormat/>
    <w:uiPriority w:val="0"/>
    <w:pPr>
      <w:spacing w:line="360" w:lineRule="auto"/>
      <w:ind w:firstLine="200" w:firstLineChars="200"/>
    </w:pPr>
    <w:rPr>
      <w:sz w:val="24"/>
      <w:szCs w:val="28"/>
    </w:rPr>
  </w:style>
  <w:style w:type="paragraph" w:customStyle="1" w:styleId="251">
    <w:name w:val="普通(网站)1"/>
    <w:basedOn w:val="1"/>
    <w:autoRedefine/>
    <w:qFormat/>
    <w:uiPriority w:val="0"/>
    <w:pPr>
      <w:widowControl/>
      <w:suppressAutoHyphens/>
      <w:spacing w:before="284" w:after="280" w:line="360" w:lineRule="auto"/>
      <w:jc w:val="left"/>
    </w:pPr>
    <w:rPr>
      <w:rFonts w:ascii="宋体" w:hAnsi="宋体"/>
      <w:kern w:val="1"/>
      <w:sz w:val="24"/>
      <w:szCs w:val="20"/>
      <w:lang w:eastAsia="ar-SA"/>
    </w:rPr>
  </w:style>
  <w:style w:type="paragraph" w:customStyle="1" w:styleId="252">
    <w:name w:val="正文首行缩进 New New"/>
    <w:basedOn w:val="6"/>
    <w:autoRedefine/>
    <w:qFormat/>
    <w:uiPriority w:val="0"/>
    <w:pPr>
      <w:ind w:firstLine="420"/>
    </w:pPr>
    <w:rPr>
      <w:rFonts w:eastAsia="楷体_GB2312"/>
    </w:rPr>
  </w:style>
  <w:style w:type="paragraph" w:customStyle="1" w:styleId="253">
    <w:name w:val="xl22"/>
    <w:basedOn w:val="1"/>
    <w:autoRedefine/>
    <w:qFormat/>
    <w:uiPriority w:val="0"/>
    <w:pPr>
      <w:widowControl/>
      <w:pBdr>
        <w:top w:val="single" w:color="000000" w:sz="4" w:space="0"/>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54">
    <w:name w:val="+▲"/>
    <w:basedOn w:val="250"/>
    <w:autoRedefine/>
    <w:qFormat/>
    <w:uiPriority w:val="0"/>
    <w:pPr>
      <w:numPr>
        <w:ilvl w:val="0"/>
        <w:numId w:val="3"/>
      </w:numPr>
      <w:tabs>
        <w:tab w:val="left" w:pos="900"/>
      </w:tabs>
      <w:ind w:firstLine="0" w:firstLineChars="0"/>
    </w:pPr>
  </w:style>
  <w:style w:type="paragraph" w:customStyle="1" w:styleId="255">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56">
    <w:name w:val="表头"/>
    <w:basedOn w:val="1"/>
    <w:autoRedefine/>
    <w:qFormat/>
    <w:uiPriority w:val="0"/>
    <w:pPr>
      <w:spacing w:line="360" w:lineRule="auto"/>
      <w:jc w:val="center"/>
    </w:pPr>
    <w:rPr>
      <w:rFonts w:ascii="黑体" w:eastAsia="黑体"/>
      <w:kern w:val="0"/>
      <w:sz w:val="24"/>
      <w:szCs w:val="20"/>
    </w:rPr>
  </w:style>
  <w:style w:type="paragraph" w:customStyle="1" w:styleId="257">
    <w:name w:val="xl25"/>
    <w:basedOn w:val="1"/>
    <w:autoRedefine/>
    <w:qFormat/>
    <w:uiPriority w:val="0"/>
    <w:pPr>
      <w:widowControl/>
      <w:spacing w:before="100" w:beforeAutospacing="1" w:after="100" w:afterAutospacing="1"/>
      <w:jc w:val="center"/>
      <w:textAlignment w:val="center"/>
    </w:pPr>
    <w:rPr>
      <w:rFonts w:ascii="宋体" w:hAnsi="宋体"/>
      <w:color w:val="000000"/>
      <w:kern w:val="0"/>
      <w:sz w:val="40"/>
      <w:szCs w:val="20"/>
    </w:rPr>
  </w:style>
  <w:style w:type="paragraph" w:customStyle="1" w:styleId="258">
    <w:name w:val="xl31"/>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59">
    <w:name w:val="标签"/>
    <w:basedOn w:val="1"/>
    <w:autoRedefine/>
    <w:qFormat/>
    <w:uiPriority w:val="0"/>
    <w:pPr>
      <w:suppressLineNumbers/>
      <w:suppressAutoHyphens/>
      <w:spacing w:before="120" w:after="120"/>
    </w:pPr>
    <w:rPr>
      <w:i/>
      <w:iCs/>
      <w:kern w:val="1"/>
      <w:sz w:val="24"/>
      <w:szCs w:val="24"/>
      <w:lang w:eastAsia="ar-SA"/>
    </w:rPr>
  </w:style>
  <w:style w:type="paragraph" w:customStyle="1" w:styleId="260">
    <w:name w:val="章节二"/>
    <w:basedOn w:val="152"/>
    <w:next w:val="152"/>
    <w:autoRedefine/>
    <w:qFormat/>
    <w:uiPriority w:val="0"/>
    <w:pPr>
      <w:spacing w:beforeLines="50" w:afterLines="50" w:line="240" w:lineRule="auto"/>
      <w:ind w:firstLine="0" w:firstLineChars="0"/>
      <w:jc w:val="center"/>
      <w:outlineLvl w:val="1"/>
    </w:pPr>
    <w:rPr>
      <w:rFonts w:eastAsia="黑体"/>
      <w:b/>
      <w:sz w:val="30"/>
      <w:szCs w:val="30"/>
    </w:rPr>
  </w:style>
  <w:style w:type="paragraph" w:customStyle="1" w:styleId="261">
    <w:name w:val="xl30"/>
    <w:basedOn w:val="1"/>
    <w:autoRedefine/>
    <w:qFormat/>
    <w:uiPriority w:val="0"/>
    <w:pPr>
      <w:widowControl/>
      <w:spacing w:before="100" w:beforeAutospacing="1" w:after="100" w:afterAutospacing="1"/>
      <w:jc w:val="center"/>
      <w:textAlignment w:val="center"/>
    </w:pPr>
    <w:rPr>
      <w:rFonts w:hint="eastAsia" w:ascii="仿宋_GB2312" w:hAnsi="宋体" w:eastAsia="仿宋_GB2312"/>
      <w:kern w:val="0"/>
      <w:sz w:val="24"/>
      <w:szCs w:val="20"/>
    </w:rPr>
  </w:style>
  <w:style w:type="paragraph" w:customStyle="1" w:styleId="262">
    <w:name w:val="xl4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仿宋_GB2312" w:hAnsi="宋体" w:eastAsia="仿宋_GB2312"/>
      <w:b/>
      <w:kern w:val="0"/>
      <w:sz w:val="24"/>
      <w:szCs w:val="20"/>
    </w:rPr>
  </w:style>
  <w:style w:type="paragraph" w:customStyle="1" w:styleId="263">
    <w:name w:val="Char11"/>
    <w:basedOn w:val="1"/>
    <w:autoRedefine/>
    <w:qFormat/>
    <w:uiPriority w:val="0"/>
    <w:pPr>
      <w:ind w:left="567" w:hanging="279"/>
    </w:pPr>
    <w:rPr>
      <w:sz w:val="24"/>
      <w:szCs w:val="24"/>
    </w:rPr>
  </w:style>
  <w:style w:type="paragraph" w:customStyle="1" w:styleId="264">
    <w:name w:val="正文 New New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65">
    <w:name w:val="xl39"/>
    <w:basedOn w:val="1"/>
    <w:autoRedefine/>
    <w:qFormat/>
    <w:uiPriority w:val="0"/>
    <w:pPr>
      <w:widowControl/>
      <w:pBdr>
        <w:bottom w:val="single" w:color="000000" w:sz="4" w:space="0"/>
      </w:pBdr>
      <w:spacing w:before="100" w:beforeAutospacing="1" w:after="100" w:afterAutospacing="1"/>
      <w:jc w:val="left"/>
    </w:pPr>
    <w:rPr>
      <w:rFonts w:ascii="宋体" w:hAnsi="宋体"/>
      <w:kern w:val="0"/>
      <w:sz w:val="24"/>
      <w:szCs w:val="20"/>
    </w:rPr>
  </w:style>
  <w:style w:type="paragraph" w:styleId="266">
    <w:name w:val="List Paragraph"/>
    <w:basedOn w:val="1"/>
    <w:autoRedefine/>
    <w:qFormat/>
    <w:uiPriority w:val="34"/>
    <w:pPr>
      <w:ind w:firstLine="420" w:firstLineChars="200"/>
    </w:pPr>
    <w:rPr>
      <w:szCs w:val="20"/>
    </w:rPr>
  </w:style>
  <w:style w:type="paragraph" w:customStyle="1" w:styleId="267">
    <w:name w:val="列表项目符号1"/>
    <w:basedOn w:val="1"/>
    <w:autoRedefine/>
    <w:qFormat/>
    <w:uiPriority w:val="0"/>
    <w:pPr>
      <w:tabs>
        <w:tab w:val="left" w:pos="360"/>
      </w:tabs>
      <w:suppressAutoHyphens/>
    </w:pPr>
    <w:rPr>
      <w:kern w:val="1"/>
      <w:szCs w:val="20"/>
      <w:lang w:eastAsia="ar-SA"/>
    </w:rPr>
  </w:style>
  <w:style w:type="paragraph" w:customStyle="1" w:styleId="268">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69">
    <w:name w:val="_Style 268"/>
    <w:basedOn w:val="3"/>
    <w:next w:val="1"/>
    <w:autoRedefine/>
    <w:qFormat/>
    <w:uiPriority w:val="39"/>
    <w:pPr>
      <w:widowControl/>
      <w:spacing w:before="480" w:after="0" w:line="276" w:lineRule="auto"/>
      <w:outlineLvl w:val="9"/>
    </w:pPr>
    <w:rPr>
      <w:rFonts w:ascii="Cambria" w:hAnsi="Cambria"/>
      <w:color w:val="365F91"/>
      <w:kern w:val="0"/>
    </w:rPr>
  </w:style>
  <w:style w:type="paragraph" w:customStyle="1" w:styleId="270">
    <w:name w:val="xl38"/>
    <w:basedOn w:val="1"/>
    <w:autoRedefine/>
    <w:qFormat/>
    <w:uiPriority w:val="0"/>
    <w:pPr>
      <w:widowControl/>
      <w:pBdr>
        <w:left w:val="single" w:color="000000" w:sz="4" w:space="0"/>
        <w:bottom w:val="single" w:color="000000" w:sz="4" w:space="0"/>
      </w:pBdr>
      <w:spacing w:before="100" w:beforeAutospacing="1" w:after="100" w:afterAutospacing="1"/>
      <w:jc w:val="left"/>
      <w:textAlignment w:val="center"/>
    </w:pPr>
    <w:rPr>
      <w:kern w:val="0"/>
      <w:sz w:val="24"/>
      <w:szCs w:val="20"/>
    </w:rPr>
  </w:style>
  <w:style w:type="paragraph" w:customStyle="1" w:styleId="271">
    <w:name w:val="xl36"/>
    <w:basedOn w:val="1"/>
    <w:autoRedefine/>
    <w:qFormat/>
    <w:uiPriority w:val="0"/>
    <w:pPr>
      <w:widowControl/>
      <w:pBdr>
        <w:top w:val="single" w:color="000000" w:sz="4" w:space="0"/>
      </w:pBdr>
      <w:spacing w:before="100" w:beforeAutospacing="1" w:after="100" w:afterAutospacing="1"/>
      <w:jc w:val="left"/>
      <w:textAlignment w:val="center"/>
    </w:pPr>
    <w:rPr>
      <w:rFonts w:ascii="宋体" w:hAnsi="宋体"/>
      <w:kern w:val="0"/>
      <w:sz w:val="24"/>
      <w:szCs w:val="20"/>
    </w:rPr>
  </w:style>
  <w:style w:type="paragraph" w:customStyle="1" w:styleId="272">
    <w:name w:val="自正文3"/>
    <w:basedOn w:val="1"/>
    <w:autoRedefine/>
    <w:qFormat/>
    <w:uiPriority w:val="0"/>
    <w:pPr>
      <w:tabs>
        <w:tab w:val="left" w:pos="851"/>
      </w:tabs>
      <w:ind w:firstLine="454"/>
    </w:pPr>
    <w:rPr>
      <w:szCs w:val="20"/>
    </w:rPr>
  </w:style>
  <w:style w:type="paragraph" w:customStyle="1" w:styleId="273">
    <w:name w:val="cjk"/>
    <w:basedOn w:val="1"/>
    <w:autoRedefine/>
    <w:qFormat/>
    <w:uiPriority w:val="0"/>
    <w:pPr>
      <w:widowControl/>
      <w:spacing w:before="284" w:after="100" w:afterAutospacing="1" w:line="360" w:lineRule="auto"/>
      <w:jc w:val="left"/>
    </w:pPr>
    <w:rPr>
      <w:rFonts w:ascii="宋体" w:hAnsi="宋体"/>
      <w:kern w:val="0"/>
      <w:sz w:val="22"/>
    </w:rPr>
  </w:style>
  <w:style w:type="paragraph" w:customStyle="1" w:styleId="274">
    <w:name w:val="发文落款"/>
    <w:basedOn w:val="268"/>
    <w:autoRedefine/>
    <w:qFormat/>
    <w:uiPriority w:val="0"/>
    <w:pPr>
      <w:ind w:left="4094" w:right="607" w:firstLine="0"/>
      <w:jc w:val="center"/>
    </w:pPr>
  </w:style>
  <w:style w:type="paragraph" w:customStyle="1" w:styleId="275">
    <w:name w:val="Char1 Char Char1 Char Char Char Char Char Char Char Char Char Char"/>
    <w:basedOn w:val="1"/>
    <w:autoRedefine/>
    <w:qFormat/>
    <w:uiPriority w:val="0"/>
    <w:pPr>
      <w:tabs>
        <w:tab w:val="left" w:pos="1080"/>
        <w:tab w:val="left" w:pos="1350"/>
      </w:tabs>
      <w:ind w:left="567" w:hanging="279"/>
    </w:pPr>
    <w:rPr>
      <w:szCs w:val="20"/>
    </w:rPr>
  </w:style>
  <w:style w:type="paragraph" w:customStyle="1" w:styleId="276">
    <w:name w:val="列表项目符号 21"/>
    <w:basedOn w:val="267"/>
    <w:autoRedefine/>
    <w:qFormat/>
    <w:uiPriority w:val="0"/>
    <w:pPr>
      <w:widowControl/>
      <w:spacing w:after="220" w:line="220" w:lineRule="atLeast"/>
      <w:ind w:left="360" w:right="720"/>
      <w:jc w:val="left"/>
    </w:pPr>
  </w:style>
  <w:style w:type="paragraph" w:customStyle="1" w:styleId="277">
    <w:name w:val="_Style 277"/>
    <w:autoRedefine/>
    <w:semiHidden/>
    <w:qFormat/>
    <w:uiPriority w:val="99"/>
    <w:rPr>
      <w:rFonts w:ascii="Times New Roman" w:hAnsi="Times New Roman" w:eastAsia="宋体" w:cs="Times New Roman"/>
      <w:kern w:val="2"/>
      <w:sz w:val="21"/>
      <w:lang w:val="en-US" w:eastAsia="zh-CN" w:bidi="ar-SA"/>
    </w:rPr>
  </w:style>
  <w:style w:type="paragraph" w:customStyle="1" w:styleId="278">
    <w:name w:val="样式 标题 3 + (中文) 黑体 小四 非加粗 段前: 7.8 磅 段后: 0 磅 行距: 固定值 20 磅"/>
    <w:basedOn w:val="9"/>
    <w:autoRedefine/>
    <w:qFormat/>
    <w:uiPriority w:val="0"/>
    <w:pPr>
      <w:keepNext/>
      <w:keepLines/>
      <w:widowControl w:val="0"/>
      <w:spacing w:before="0" w:beforeAutospacing="0" w:after="0" w:afterAutospacing="0" w:line="400" w:lineRule="exact"/>
      <w:jc w:val="both"/>
    </w:pPr>
    <w:rPr>
      <w:rFonts w:ascii="Times New Roman" w:hAnsi="Times New Roman" w:eastAsia="黑体"/>
      <w:kern w:val="2"/>
      <w:sz w:val="24"/>
      <w:szCs w:val="20"/>
    </w:rPr>
  </w:style>
  <w:style w:type="paragraph" w:customStyle="1" w:styleId="279">
    <w:name w:val="TOC 标题1"/>
    <w:basedOn w:val="3"/>
    <w:next w:val="1"/>
    <w:autoRedefine/>
    <w:qFormat/>
    <w:uiPriority w:val="0"/>
    <w:pPr>
      <w:widowControl/>
      <w:spacing w:before="480" w:after="0" w:line="276" w:lineRule="auto"/>
      <w:jc w:val="left"/>
      <w:outlineLvl w:val="9"/>
    </w:pPr>
    <w:rPr>
      <w:rFonts w:ascii="Cambria" w:hAnsi="Cambria"/>
      <w:bCs/>
      <w:color w:val="365F91"/>
      <w:kern w:val="0"/>
    </w:rPr>
  </w:style>
  <w:style w:type="paragraph" w:customStyle="1" w:styleId="280">
    <w:name w:val="正文 New New New New"/>
    <w:autoRedefine/>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281">
    <w:name w:val="标题1"/>
    <w:basedOn w:val="1"/>
    <w:next w:val="6"/>
    <w:autoRedefine/>
    <w:qFormat/>
    <w:uiPriority w:val="0"/>
    <w:pPr>
      <w:keepNext/>
      <w:suppressAutoHyphens/>
      <w:spacing w:before="240" w:after="120"/>
    </w:pPr>
    <w:rPr>
      <w:rFonts w:ascii="DejaVu Sans" w:hAnsi="DejaVu Sans" w:eastAsia="DejaVu Sans" w:cs="DejaVu Sans"/>
      <w:kern w:val="1"/>
      <w:sz w:val="28"/>
      <w:szCs w:val="28"/>
      <w:lang w:eastAsia="ar-SA"/>
    </w:rPr>
  </w:style>
  <w:style w:type="paragraph" w:customStyle="1" w:styleId="282">
    <w:name w:val="样式 标题 2 + Times New Roman 四号 非加粗 段前: 5 磅 段后: 0 磅 行距: 固定值 20..."/>
    <w:basedOn w:val="7"/>
    <w:autoRedefine/>
    <w:qFormat/>
    <w:uiPriority w:val="0"/>
    <w:pPr>
      <w:spacing w:before="100" w:after="0" w:line="400" w:lineRule="exact"/>
      <w:jc w:val="both"/>
    </w:pPr>
    <w:rPr>
      <w:rFonts w:ascii="Times New Roman" w:hAnsi="Times New Roman" w:eastAsia="黑体" w:cs="宋体"/>
      <w:b w:val="0"/>
      <w:color w:val="auto"/>
      <w:sz w:val="28"/>
      <w:szCs w:val="20"/>
    </w:rPr>
  </w:style>
  <w:style w:type="paragraph" w:customStyle="1" w:styleId="283">
    <w:name w:val="xl32"/>
    <w:basedOn w:val="1"/>
    <w:autoRedefine/>
    <w:qFormat/>
    <w:uiPriority w:val="0"/>
    <w:pPr>
      <w:widowControl/>
      <w:pBdr>
        <w:left w:val="single" w:color="000000" w:sz="4" w:space="0"/>
        <w:bottom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84">
    <w:name w:val="纯文本1"/>
    <w:basedOn w:val="1"/>
    <w:autoRedefine/>
    <w:qFormat/>
    <w:uiPriority w:val="0"/>
    <w:pPr>
      <w:suppressAutoHyphens/>
    </w:pPr>
    <w:rPr>
      <w:rFonts w:ascii="宋体" w:hAnsi="宋体"/>
      <w:kern w:val="1"/>
      <w:szCs w:val="20"/>
      <w:lang w:eastAsia="ar-SA"/>
    </w:rPr>
  </w:style>
  <w:style w:type="paragraph" w:customStyle="1" w:styleId="285">
    <w:name w:val="xl37"/>
    <w:basedOn w:val="1"/>
    <w:autoRedefine/>
    <w:qFormat/>
    <w:uiPriority w:val="0"/>
    <w:pPr>
      <w:widowControl/>
      <w:pBdr>
        <w:top w:val="single" w:color="000000" w:sz="4" w:space="0"/>
        <w:right w:val="single" w:color="000000" w:sz="4" w:space="0"/>
      </w:pBdr>
      <w:spacing w:before="100" w:beforeAutospacing="1" w:after="100" w:afterAutospacing="1"/>
      <w:jc w:val="left"/>
      <w:textAlignment w:val="center"/>
    </w:pPr>
    <w:rPr>
      <w:rFonts w:ascii="宋体" w:hAnsi="宋体"/>
      <w:kern w:val="0"/>
      <w:sz w:val="24"/>
      <w:szCs w:val="20"/>
    </w:rPr>
  </w:style>
  <w:style w:type="paragraph" w:customStyle="1" w:styleId="286">
    <w:name w:val="xl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hint="eastAsia" w:ascii="仿宋_GB2312" w:hAnsi="宋体" w:eastAsia="仿宋_GB2312"/>
      <w:b/>
      <w:color w:val="000000"/>
      <w:kern w:val="0"/>
      <w:sz w:val="24"/>
      <w:szCs w:val="20"/>
    </w:rPr>
  </w:style>
  <w:style w:type="paragraph" w:customStyle="1" w:styleId="287">
    <w:name w:val="xl28"/>
    <w:basedOn w:val="1"/>
    <w:autoRedefine/>
    <w:qFormat/>
    <w:uiPriority w:val="0"/>
    <w:pPr>
      <w:widowControl/>
      <w:pBdr>
        <w:bottom w:val="single" w:color="000000" w:sz="4" w:space="0"/>
      </w:pBdr>
      <w:spacing w:before="100" w:beforeAutospacing="1" w:after="100" w:afterAutospacing="1"/>
      <w:jc w:val="left"/>
      <w:textAlignment w:val="center"/>
    </w:pPr>
    <w:rPr>
      <w:rFonts w:hint="eastAsia" w:ascii="仿宋_GB2312" w:hAnsi="宋体" w:eastAsia="仿宋_GB2312"/>
      <w:kern w:val="0"/>
      <w:sz w:val="24"/>
      <w:szCs w:val="20"/>
    </w:rPr>
  </w:style>
  <w:style w:type="paragraph" w:customStyle="1" w:styleId="288">
    <w:name w:val="flNote"/>
    <w:basedOn w:val="1"/>
    <w:autoRedefine/>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289">
    <w:name w:val="正题"/>
    <w:basedOn w:val="152"/>
    <w:next w:val="152"/>
    <w:autoRedefine/>
    <w:qFormat/>
    <w:uiPriority w:val="0"/>
    <w:pPr>
      <w:ind w:firstLine="0" w:firstLineChars="0"/>
      <w:jc w:val="center"/>
    </w:pPr>
    <w:rPr>
      <w:rFonts w:eastAsia="黑体"/>
      <w:b/>
      <w:sz w:val="36"/>
      <w:szCs w:val="36"/>
    </w:rPr>
  </w:style>
  <w:style w:type="paragraph" w:customStyle="1" w:styleId="290">
    <w:name w:val="font8"/>
    <w:basedOn w:val="1"/>
    <w:autoRedefine/>
    <w:qFormat/>
    <w:uiPriority w:val="0"/>
    <w:pPr>
      <w:widowControl/>
      <w:spacing w:before="100" w:beforeAutospacing="1" w:after="100" w:afterAutospacing="1"/>
      <w:jc w:val="left"/>
    </w:pPr>
    <w:rPr>
      <w:kern w:val="0"/>
      <w:sz w:val="24"/>
      <w:szCs w:val="20"/>
    </w:rPr>
  </w:style>
  <w:style w:type="paragraph" w:customStyle="1" w:styleId="291">
    <w:name w:val="Char2 Char Char Char Char"/>
    <w:basedOn w:val="1"/>
    <w:autoRedefine/>
    <w:qFormat/>
    <w:uiPriority w:val="0"/>
    <w:rPr>
      <w:szCs w:val="24"/>
    </w:rPr>
  </w:style>
  <w:style w:type="paragraph" w:customStyle="1" w:styleId="292">
    <w:name w:val="正文文本缩进 31"/>
    <w:basedOn w:val="1"/>
    <w:autoRedefine/>
    <w:qFormat/>
    <w:uiPriority w:val="0"/>
    <w:pPr>
      <w:suppressAutoHyphens/>
      <w:spacing w:after="120"/>
      <w:ind w:left="420"/>
    </w:pPr>
    <w:rPr>
      <w:kern w:val="1"/>
      <w:sz w:val="16"/>
      <w:szCs w:val="20"/>
      <w:lang w:eastAsia="ar-SA"/>
    </w:rPr>
  </w:style>
  <w:style w:type="paragraph" w:customStyle="1" w:styleId="293">
    <w:name w:val="font0"/>
    <w:basedOn w:val="1"/>
    <w:autoRedefine/>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94">
    <w:name w:val="公文抬头"/>
    <w:basedOn w:val="8"/>
    <w:autoRedefine/>
    <w:qFormat/>
    <w:uiPriority w:val="0"/>
    <w:pPr>
      <w:ind w:firstLine="0"/>
    </w:pPr>
    <w:rPr>
      <w:rFonts w:ascii="仿宋_GB2312" w:eastAsia="仿宋_GB2312"/>
      <w:sz w:val="30"/>
      <w:szCs w:val="24"/>
    </w:rPr>
  </w:style>
  <w:style w:type="paragraph" w:customStyle="1" w:styleId="295">
    <w:name w:val="xl33"/>
    <w:basedOn w:val="1"/>
    <w:autoRedefine/>
    <w:qFormat/>
    <w:uiPriority w:val="0"/>
    <w:pPr>
      <w:widowControl/>
      <w:pBdr>
        <w:top w:val="single" w:color="000000" w:sz="4" w:space="0"/>
        <w:left w:val="single" w:color="000000" w:sz="4" w:space="0"/>
        <w:right w:val="single" w:color="000000" w:sz="4" w:space="0"/>
      </w:pBdr>
      <w:shd w:val="clear" w:color="auto" w:fill="FFFFFF"/>
      <w:spacing w:before="100" w:beforeAutospacing="1" w:after="100" w:afterAutospacing="1"/>
      <w:jc w:val="center"/>
      <w:textAlignment w:val="center"/>
    </w:pPr>
    <w:rPr>
      <w:rFonts w:hint="eastAsia" w:ascii="仿宋_GB2312" w:hAnsi="宋体" w:eastAsia="仿宋_GB2312"/>
      <w:color w:val="000000"/>
      <w:kern w:val="0"/>
      <w:sz w:val="24"/>
      <w:szCs w:val="20"/>
    </w:rPr>
  </w:style>
  <w:style w:type="paragraph" w:customStyle="1" w:styleId="296">
    <w:name w:val="表格标题"/>
    <w:basedOn w:val="238"/>
    <w:autoRedefine/>
    <w:qFormat/>
    <w:uiPriority w:val="0"/>
    <w:pPr>
      <w:jc w:val="center"/>
    </w:pPr>
    <w:rPr>
      <w:b/>
      <w:bCs/>
    </w:rPr>
  </w:style>
  <w:style w:type="paragraph" w:customStyle="1" w:styleId="297">
    <w:name w:val="font7"/>
    <w:basedOn w:val="1"/>
    <w:autoRedefine/>
    <w:qFormat/>
    <w:uiPriority w:val="0"/>
    <w:pPr>
      <w:widowControl/>
      <w:spacing w:before="100" w:beforeAutospacing="1" w:after="100" w:afterAutospacing="1"/>
      <w:jc w:val="left"/>
    </w:pPr>
    <w:rPr>
      <w:color w:val="000000"/>
      <w:kern w:val="0"/>
      <w:sz w:val="40"/>
      <w:szCs w:val="20"/>
    </w:rPr>
  </w:style>
  <w:style w:type="paragraph" w:customStyle="1" w:styleId="298">
    <w:name w:val="Default"/>
    <w:autoRedefine/>
    <w:qFormat/>
    <w:uiPriority w:val="0"/>
    <w:pPr>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99">
    <w:name w:val="文二"/>
    <w:basedOn w:val="1"/>
    <w:autoRedefine/>
    <w:qFormat/>
    <w:uiPriority w:val="0"/>
    <w:pPr>
      <w:jc w:val="left"/>
    </w:pPr>
    <w:rPr>
      <w:rFonts w:ascii="宋体" w:hAnsi="宋体"/>
      <w:szCs w:val="21"/>
    </w:rPr>
  </w:style>
  <w:style w:type="paragraph" w:customStyle="1" w:styleId="300">
    <w:name w:val="自标题3"/>
    <w:basedOn w:val="1"/>
    <w:autoRedefine/>
    <w:qFormat/>
    <w:uiPriority w:val="0"/>
    <w:rPr>
      <w:szCs w:val="20"/>
    </w:rPr>
  </w:style>
  <w:style w:type="paragraph" w:customStyle="1" w:styleId="301">
    <w:name w:val="纯文本2"/>
    <w:basedOn w:val="1"/>
    <w:autoRedefine/>
    <w:qFormat/>
    <w:uiPriority w:val="0"/>
    <w:pPr>
      <w:adjustRightInd w:val="0"/>
      <w:textAlignment w:val="baseline"/>
    </w:pPr>
    <w:rPr>
      <w:rFonts w:ascii="宋体" w:eastAsia="楷体_GB2312"/>
      <w:kern w:val="0"/>
      <w:sz w:val="24"/>
      <w:szCs w:val="20"/>
    </w:rPr>
  </w:style>
  <w:style w:type="paragraph" w:customStyle="1" w:styleId="302">
    <w:name w:val="Char Char Char Char"/>
    <w:basedOn w:val="1"/>
    <w:autoRedefine/>
    <w:qFormat/>
    <w:uiPriority w:val="0"/>
    <w:pPr>
      <w:spacing w:afterLines="50" w:line="520" w:lineRule="exact"/>
      <w:jc w:val="center"/>
    </w:pPr>
    <w:rPr>
      <w:szCs w:val="24"/>
    </w:rPr>
  </w:style>
  <w:style w:type="paragraph" w:customStyle="1" w:styleId="303">
    <w:name w:val="BodyText"/>
    <w:basedOn w:val="1"/>
    <w:autoRedefine/>
    <w:qFormat/>
    <w:uiPriority w:val="0"/>
    <w:pPr>
      <w:spacing w:after="120"/>
    </w:pPr>
    <w:rPr>
      <w:kern w:val="0"/>
      <w:sz w:val="20"/>
      <w:szCs w:val="20"/>
    </w:rPr>
  </w:style>
  <w:style w:type="paragraph" w:customStyle="1" w:styleId="304">
    <w:name w:val="内容目录 10"/>
    <w:basedOn w:val="236"/>
    <w:autoRedefine/>
    <w:qFormat/>
    <w:uiPriority w:val="0"/>
    <w:pPr>
      <w:tabs>
        <w:tab w:val="right" w:leader="dot" w:pos="9637"/>
      </w:tabs>
      <w:ind w:left="2547"/>
    </w:pPr>
  </w:style>
  <w:style w:type="paragraph" w:customStyle="1" w:styleId="305">
    <w:name w:val="自标题2"/>
    <w:basedOn w:val="4"/>
    <w:autoRedefine/>
    <w:qFormat/>
    <w:uiPriority w:val="0"/>
    <w:pPr>
      <w:spacing w:before="0" w:after="0"/>
      <w:jc w:val="both"/>
    </w:pPr>
    <w:rPr>
      <w:rFonts w:ascii="宋体" w:hAnsi="宋体"/>
      <w:b w:val="0"/>
      <w:sz w:val="24"/>
    </w:rPr>
  </w:style>
  <w:style w:type="paragraph" w:customStyle="1" w:styleId="306">
    <w:name w:val="Char1"/>
    <w:basedOn w:val="1"/>
    <w:autoRedefine/>
    <w:qFormat/>
    <w:uiPriority w:val="0"/>
    <w:pPr>
      <w:numPr>
        <w:ilvl w:val="0"/>
        <w:numId w:val="1"/>
      </w:numPr>
    </w:pPr>
    <w:rPr>
      <w:sz w:val="24"/>
      <w:szCs w:val="24"/>
    </w:rPr>
  </w:style>
  <w:style w:type="paragraph" w:customStyle="1" w:styleId="307">
    <w:name w:val="正文文本缩进 21"/>
    <w:basedOn w:val="1"/>
    <w:autoRedefine/>
    <w:qFormat/>
    <w:uiPriority w:val="0"/>
    <w:pPr>
      <w:suppressAutoHyphens/>
      <w:spacing w:after="120" w:line="480" w:lineRule="auto"/>
      <w:ind w:left="420"/>
    </w:pPr>
    <w:rPr>
      <w:kern w:val="1"/>
      <w:szCs w:val="20"/>
      <w:lang w:eastAsia="ar-SA"/>
    </w:rPr>
  </w:style>
  <w:style w:type="paragraph" w:customStyle="1" w:styleId="308">
    <w:name w:val="xl26"/>
    <w:basedOn w:val="1"/>
    <w:autoRedefine/>
    <w:qFormat/>
    <w:uiPriority w:val="0"/>
    <w:pPr>
      <w:widowControl/>
      <w:numPr>
        <w:ilvl w:val="0"/>
        <w:numId w:val="4"/>
      </w:numPr>
      <w:pBdr>
        <w:left w:val="single" w:color="auto" w:sz="4" w:space="0"/>
        <w:bottom w:val="single" w:color="auto" w:sz="4" w:space="0"/>
        <w:right w:val="single" w:color="auto" w:sz="4" w:space="0"/>
      </w:pBdr>
      <w:tabs>
        <w:tab w:val="left" w:pos="360"/>
        <w:tab w:val="left" w:pos="840"/>
      </w:tabs>
      <w:spacing w:before="100" w:beforeAutospacing="1" w:after="100" w:afterAutospacing="1"/>
      <w:ind w:left="0" w:firstLine="0"/>
      <w:jc w:val="center"/>
    </w:pPr>
    <w:rPr>
      <w:rFonts w:ascii="宋体" w:hAnsi="宋体"/>
      <w:kern w:val="0"/>
      <w:sz w:val="24"/>
      <w:szCs w:val="24"/>
    </w:rPr>
  </w:style>
  <w:style w:type="paragraph" w:customStyle="1" w:styleId="309">
    <w:name w:val="Char Char Char Char1"/>
    <w:basedOn w:val="1"/>
    <w:autoRedefine/>
    <w:qFormat/>
    <w:uiPriority w:val="0"/>
    <w:rPr>
      <w:sz w:val="30"/>
      <w:szCs w:val="24"/>
    </w:rPr>
  </w:style>
  <w:style w:type="paragraph" w:customStyle="1" w:styleId="310">
    <w:name w:val="Char Char Char Char Char Char Char Char Char Char"/>
    <w:basedOn w:val="1"/>
    <w:autoRedefine/>
    <w:qFormat/>
    <w:uiPriority w:val="0"/>
    <w:pPr>
      <w:widowControl/>
      <w:spacing w:after="160" w:line="240" w:lineRule="exact"/>
      <w:jc w:val="left"/>
    </w:pPr>
    <w:rPr>
      <w:rFonts w:eastAsia="楷体_GB2312"/>
      <w:szCs w:val="20"/>
    </w:rPr>
  </w:style>
  <w:style w:type="paragraph" w:customStyle="1" w:styleId="311">
    <w:name w:val="xl2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center"/>
    </w:pPr>
    <w:rPr>
      <w:rFonts w:hint="eastAsia" w:ascii="仿宋_GB2312" w:hAnsi="宋体" w:eastAsia="仿宋_GB2312"/>
      <w:color w:val="000000"/>
      <w:kern w:val="0"/>
      <w:sz w:val="24"/>
      <w:szCs w:val="20"/>
    </w:rPr>
  </w:style>
  <w:style w:type="paragraph" w:customStyle="1" w:styleId="312">
    <w:name w:val="xl40"/>
    <w:basedOn w:val="1"/>
    <w:autoRedefine/>
    <w:qFormat/>
    <w:uiPriority w:val="0"/>
    <w:pPr>
      <w:widowControl/>
      <w:pBdr>
        <w:bottom w:val="single" w:color="000000" w:sz="4" w:space="0"/>
        <w:right w:val="single" w:color="000000" w:sz="4" w:space="0"/>
      </w:pBdr>
      <w:spacing w:before="100" w:beforeAutospacing="1" w:after="100" w:afterAutospacing="1"/>
      <w:jc w:val="left"/>
    </w:pPr>
    <w:rPr>
      <w:rFonts w:ascii="宋体" w:hAnsi="宋体"/>
      <w:kern w:val="0"/>
      <w:sz w:val="24"/>
      <w:szCs w:val="20"/>
    </w:rPr>
  </w:style>
  <w:style w:type="paragraph" w:customStyle="1" w:styleId="313">
    <w:name w:val="正文 New"/>
    <w:autoRedefine/>
    <w:qFormat/>
    <w:uiPriority w:val="0"/>
    <w:pPr>
      <w:widowControl w:val="0"/>
      <w:jc w:val="both"/>
    </w:pPr>
    <w:rPr>
      <w:rFonts w:ascii="Times New Roman" w:hAnsi="Times New Roman" w:eastAsia="楷体_GB2312" w:cs="Times New Roman"/>
      <w:kern w:val="2"/>
      <w:sz w:val="21"/>
      <w:szCs w:val="22"/>
      <w:lang w:val="en-US" w:eastAsia="zh-CN" w:bidi="ar-SA"/>
    </w:rPr>
  </w:style>
  <w:style w:type="paragraph" w:customStyle="1" w:styleId="314">
    <w:name w:val="xl35"/>
    <w:basedOn w:val="1"/>
    <w:autoRedefine/>
    <w:qFormat/>
    <w:uiPriority w:val="0"/>
    <w:pPr>
      <w:widowControl/>
      <w:pBdr>
        <w:top w:val="single" w:color="000000" w:sz="4" w:space="0"/>
        <w:left w:val="single" w:color="000000" w:sz="4" w:space="0"/>
      </w:pBdr>
      <w:spacing w:before="100" w:beforeAutospacing="1" w:after="100" w:afterAutospacing="1"/>
      <w:jc w:val="left"/>
      <w:textAlignment w:val="center"/>
    </w:pPr>
    <w:rPr>
      <w:rFonts w:ascii="宋体" w:hAnsi="宋体"/>
      <w:kern w:val="0"/>
      <w:sz w:val="24"/>
      <w:szCs w:val="20"/>
    </w:rPr>
  </w:style>
  <w:style w:type="paragraph" w:customStyle="1" w:styleId="315">
    <w:name w:val="font5"/>
    <w:basedOn w:val="1"/>
    <w:autoRedefine/>
    <w:qFormat/>
    <w:uiPriority w:val="0"/>
    <w:pPr>
      <w:widowControl/>
      <w:spacing w:before="100" w:beforeAutospacing="1" w:after="100" w:afterAutospacing="1"/>
      <w:jc w:val="left"/>
    </w:pPr>
    <w:rPr>
      <w:rFonts w:hint="eastAsia" w:ascii="宋体" w:hAnsi="宋体"/>
      <w:kern w:val="0"/>
      <w:sz w:val="18"/>
      <w:szCs w:val="20"/>
    </w:rPr>
  </w:style>
  <w:style w:type="paragraph" w:customStyle="1" w:styleId="316">
    <w:name w:val="样式 首行缩进:  2 字符"/>
    <w:basedOn w:val="1"/>
    <w:autoRedefine/>
    <w:qFormat/>
    <w:uiPriority w:val="0"/>
    <w:pPr>
      <w:spacing w:line="360" w:lineRule="auto"/>
      <w:ind w:firstLine="420" w:firstLineChars="200"/>
    </w:pPr>
    <w:rPr>
      <w:rFonts w:ascii="仿宋_GB2312"/>
      <w:sz w:val="30"/>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image" Target="media/image7.png"/><Relationship Id="rId26" Type="http://schemas.openxmlformats.org/officeDocument/2006/relationships/image" Target="media/image6.png"/><Relationship Id="rId25"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3.png"/><Relationship Id="rId22" Type="http://schemas.openxmlformats.org/officeDocument/2006/relationships/image" Target="media/image2.pn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88</Pages>
  <Words>56352</Words>
  <Characters>58952</Characters>
  <Lines>470</Lines>
  <Paragraphs>132</Paragraphs>
  <TotalTime>8</TotalTime>
  <ScaleCrop>false</ScaleCrop>
  <LinksUpToDate>false</LinksUpToDate>
  <CharactersWithSpaces>62022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2023-05-29T05:16:00Z</dcterms:created>
  <dc:creator>Administrator</dc:creator>
  <cp:lastModifiedBy>建达-珊</cp:lastModifiedBy>
  <cp:lastPrinted>2024-03-05T06:22:00Z</cp:lastPrinted>
  <dcterms:modified xsi:type="dcterms:W3CDTF">2024-03-06T02:06:15Z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0C58C52050844EE9AB36FBDBE4EAD0A1_13</vt:lpwstr>
  </property>
</Properties>
</file>