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b w:val="0"/>
          <w:bCs/>
          <w:color w:val="262626"/>
          <w:kern w:val="0"/>
          <w:sz w:val="36"/>
          <w:szCs w:val="36"/>
          <w:highlight w:val="none"/>
          <w:shd w:val="clear" w:color="auto" w:fill="FFFFFF"/>
          <w:lang w:val="en-US" w:eastAsia="zh-CN" w:bidi="ar"/>
        </w:rPr>
      </w:pPr>
      <w:r>
        <w:rPr>
          <w:rFonts w:hint="eastAsia" w:ascii="方正公文小标宋" w:hAnsi="方正公文小标宋" w:eastAsia="方正公文小标宋" w:cs="方正公文小标宋"/>
          <w:b w:val="0"/>
          <w:bCs/>
          <w:i w:val="0"/>
          <w:color w:val="000000"/>
          <w:kern w:val="0"/>
          <w:sz w:val="36"/>
          <w:szCs w:val="36"/>
          <w:u w:val="none"/>
          <w:lang w:val="en-US" w:eastAsia="zh-CN" w:bidi="ar"/>
        </w:rPr>
        <w:t>湛江华资农垦糖业发展有限公司广丰分公司炼糖生产线技改升级项目监理招标公告</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1748"/>
        <w:gridCol w:w="1436"/>
        <w:gridCol w:w="2189"/>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投资项目代码</w:t>
            </w:r>
          </w:p>
        </w:tc>
        <w:tc>
          <w:tcPr>
            <w:tcW w:w="756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2311-440823-07-01-153795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投资项目名称</w:t>
            </w:r>
          </w:p>
        </w:tc>
        <w:tc>
          <w:tcPr>
            <w:tcW w:w="756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湛江华资农垦糖业发展有限公司广丰分公司炼糖生产线技改升级项目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招标项目名称</w:t>
            </w:r>
          </w:p>
        </w:tc>
        <w:tc>
          <w:tcPr>
            <w:tcW w:w="756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湛江华资农垦糖业发展有限公司广丰分公司炼糖生产线技改升级项目监理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标段（包）名称</w:t>
            </w:r>
          </w:p>
        </w:tc>
        <w:tc>
          <w:tcPr>
            <w:tcW w:w="174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湛江华资农垦糖业发展有限公司广丰分公司炼糖生产线技改升级项目监理</w:t>
            </w:r>
          </w:p>
        </w:tc>
        <w:tc>
          <w:tcPr>
            <w:tcW w:w="143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公告性质</w:t>
            </w:r>
          </w:p>
        </w:tc>
        <w:tc>
          <w:tcPr>
            <w:tcW w:w="4378"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资格审查方式</w:t>
            </w:r>
          </w:p>
        </w:tc>
        <w:tc>
          <w:tcPr>
            <w:tcW w:w="7562"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资格后审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招标项目实施</w:t>
            </w:r>
          </w:p>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（交货）地点</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在湛江市广丰分公司现有厂区内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资金来源</w:t>
            </w:r>
          </w:p>
        </w:tc>
        <w:tc>
          <w:tcPr>
            <w:tcW w:w="174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自筹资金</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资金来源构成</w:t>
            </w:r>
          </w:p>
        </w:tc>
        <w:tc>
          <w:tcPr>
            <w:tcW w:w="4378"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全部来源自筹资金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招标范围及规模</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1、新建与改造9个建筑单体。08#二氧化碳制备间、16#消防水泵房、27#石灰乳化间、30#炼糖车间、32#回溶车间、34#离交脱色间、39#装包间、43#蔗渣堆场、81#原糖仓等，建筑占地面积 4.67万m³，建筑面积1.51万m³。以上改造是在原有厂房基础上，结合炼糖工艺需求，对厂房布局进行优化，拆除部分老旧设备，增加炼糖所需的蒸发、煮糖、分蜜及干燥系统等，新增一座3万吨原糖仓。室外配套设施包括道路、围墙、绿化、室外电气、室外给排水等分项工程。</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购置及安装满足产能要求的生产设备。包括原糖回溶、碳酸饱充、板框过滤、离交脱色、板式蒸发、煮糖、分蜜、干燥、装包等工段，以及石灰乳化、二氧化碳洗涤、蔗渣堆场、蔗渣输送系统、蒸汽管道等配套设施的同步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招标内容</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本工程的施工图、工程量清单和有关资料所包含的工程内容，以及施工图中没有列出的，但为本工程的稳定、完整、安全等所必要的附加工程施工的监理。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工期（交货期）</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自监理合同签订之日起，包括施工准备阶段、施工阶段、保修以及工程收尾服务阶段等之时间段内，所有的相关监理服务工作。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最高投标限价</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160.00万元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是否接受联合体投标</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21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投标资格能力要求</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（包括但不限于资质人员、业绩等要求）</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投标人资格要求</w:t>
            </w:r>
          </w:p>
        </w:tc>
        <w:tc>
          <w:tcPr>
            <w:tcW w:w="58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1、投标人必须具有独立法人资格。</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2、具备工程监理综合资质；或同时具备下列资质：</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①机电安装工程监理甲级；</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②房屋建筑工程监理乙级或以上级别资质。</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投标人拟派总监理工程师，具备建设主管部门颁发的注册在投标企业的注册监理工程师证书（专业为机电安装工程或房屋建筑工程）。自本项目招标公告发布之日起，其最多只能同时担任3项(含本项目在内)工程的总监理工程师（兼任情况可提供承诺书证明，格式自拟）。</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投标人在“中国执行信息公开网”网站（http://zxgk.court.gov.cn/shixin/)中被列入失信被执行人名单的投标人，在国家企业信用信息公示系统（www.gsxt.gov.cn）中被列入严重违法失信企业名单的投标人，均按否决投标处理。（网络打印页或截图上须体现查询时间，查询时间为本项目招标公告发布之日起查询结果有效）</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5、本项目须制作：本项目须制作纸质版投标文件。</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 、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出具《声明函》，格式自拟）。</w:t>
            </w:r>
          </w:p>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7、本次招标不接受联合体投标。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213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ascii="Calibri" w:hAnsi="Calibri" w:eastAsia="宋体"/>
                <w:b/>
                <w:bCs/>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投标人业绩要求</w:t>
            </w:r>
          </w:p>
        </w:tc>
        <w:tc>
          <w:tcPr>
            <w:tcW w:w="58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3" w:hRule="atLeast"/>
          <w:jc w:val="center"/>
        </w:trPr>
        <w:tc>
          <w:tcPr>
            <w:tcW w:w="21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是否采用电子</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招标投标方式</w:t>
            </w:r>
          </w:p>
        </w:tc>
        <w:tc>
          <w:tcPr>
            <w:tcW w:w="174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4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获取资格预审/招标文件的方式</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下载资格预审</w:t>
            </w:r>
            <w:r>
              <w:rPr>
                <w:rFonts w:hint="eastAsia" w:ascii="宋体" w:hAnsi="宋体" w:eastAsia="宋体" w:cs="宋体"/>
                <w:i w:val="0"/>
                <w:color w:val="000000"/>
                <w:sz w:val="20"/>
                <w:szCs w:val="20"/>
                <w:u w:val="none"/>
                <w:lang w:val="en-US" w:eastAsia="zh-CN"/>
              </w:rPr>
              <w:t>/招标文件的网络地址</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广东省招标投标监管网（ http://www.gdzbtb.gov.cn）、广州交易集团有限公司（广州公共资源交易中心）（http://www.gzggzy.cn/html/index.html）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213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ascii="Calibri" w:hAnsi="Calibri" w:eastAsia="宋体"/>
                <w:b/>
                <w:bCs/>
              </w:rPr>
            </w:pPr>
          </w:p>
        </w:tc>
        <w:tc>
          <w:tcPr>
            <w:tcW w:w="174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ascii="Calibri" w:hAnsi="Calibri" w:eastAsia="宋体"/>
              </w:rPr>
            </w:pPr>
          </w:p>
        </w:tc>
        <w:tc>
          <w:tcPr>
            <w:tcW w:w="14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ascii="Calibri" w:hAnsi="Calibri" w:eastAsia="宋体"/>
              </w:rPr>
            </w:pP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Calibri" w:hAnsi="Calibri" w:eastAsia="宋体"/>
                <w:lang w:eastAsia="zh-CN"/>
              </w:rPr>
            </w:pPr>
            <w:r>
              <w:rPr>
                <w:rFonts w:hint="eastAsia" w:ascii="宋体" w:hAnsi="宋体" w:eastAsia="宋体" w:cs="宋体"/>
                <w:i w:val="0"/>
                <w:color w:val="000000"/>
                <w:sz w:val="20"/>
                <w:szCs w:val="20"/>
                <w:u w:val="none"/>
                <w:lang w:eastAsia="zh-CN"/>
              </w:rPr>
              <w:t>获取纸质资格预审</w:t>
            </w:r>
            <w:r>
              <w:rPr>
                <w:rFonts w:hint="eastAsia" w:ascii="宋体" w:hAnsi="宋体" w:eastAsia="宋体" w:cs="宋体"/>
                <w:i w:val="0"/>
                <w:color w:val="000000"/>
                <w:sz w:val="20"/>
                <w:szCs w:val="20"/>
                <w:u w:val="none"/>
                <w:lang w:val="en-US" w:eastAsia="zh-CN"/>
              </w:rPr>
              <w:t>/招标文件的方式</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default" w:ascii="Calibri" w:hAnsi="Calibri" w:eastAsia="宋体"/>
                <w:lang w:val="en-US"/>
              </w:rPr>
            </w:pP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获取招标文件开始时间</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auto"/>
                <w:sz w:val="21"/>
                <w:szCs w:val="21"/>
                <w:highlight w:val="none"/>
                <w:u w:val="none"/>
                <w:lang w:val="en-US" w:eastAsia="zh-CN"/>
              </w:rPr>
              <w:t>2024年3月09日00时00分</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获取招标文件截止时间</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auto"/>
                <w:sz w:val="21"/>
                <w:szCs w:val="21"/>
                <w:highlight w:val="none"/>
                <w:u w:val="none"/>
                <w:lang w:val="en-US" w:eastAsia="zh-CN"/>
              </w:rPr>
              <w:t>2024年3月29日10时00分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递交投标文件截止时间</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auto"/>
                <w:sz w:val="21"/>
                <w:szCs w:val="21"/>
                <w:highlight w:val="none"/>
                <w:u w:val="none"/>
                <w:lang w:val="en-US" w:eastAsia="zh-CN"/>
              </w:rPr>
              <w:t>2024年3月29日10时00分</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投标文件递交方式</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投标人应于2024年</w:t>
            </w:r>
            <w:r>
              <w:rPr>
                <w:rFonts w:hint="eastAsia" w:ascii="宋体" w:hAnsi="宋体" w:eastAsia="宋体" w:cs="宋体"/>
                <w:i w:val="0"/>
                <w:color w:val="000000"/>
                <w:sz w:val="20"/>
                <w:szCs w:val="20"/>
                <w:u w:val="none"/>
                <w:lang w:val="en-US" w:eastAsia="zh-CN"/>
              </w:rPr>
              <w:t>3</w:t>
            </w:r>
            <w:r>
              <w:rPr>
                <w:rFonts w:hint="eastAsia" w:ascii="宋体" w:hAnsi="宋体" w:eastAsia="宋体" w:cs="宋体"/>
                <w:i w:val="0"/>
                <w:color w:val="000000"/>
                <w:sz w:val="20"/>
                <w:szCs w:val="20"/>
                <w:u w:val="none"/>
              </w:rPr>
              <w:t>月</w:t>
            </w:r>
            <w:r>
              <w:rPr>
                <w:rFonts w:hint="eastAsia" w:ascii="宋体" w:hAnsi="宋体" w:eastAsia="宋体" w:cs="宋体"/>
                <w:i w:val="0"/>
                <w:color w:val="000000"/>
                <w:sz w:val="20"/>
                <w:szCs w:val="20"/>
                <w:u w:val="none"/>
                <w:lang w:val="en-US" w:eastAsia="zh-CN"/>
              </w:rPr>
              <w:t>29</w:t>
            </w:r>
            <w:r>
              <w:rPr>
                <w:rFonts w:hint="eastAsia" w:ascii="宋体" w:hAnsi="宋体" w:eastAsia="宋体" w:cs="宋体"/>
                <w:i w:val="0"/>
                <w:color w:val="000000"/>
                <w:sz w:val="20"/>
                <w:szCs w:val="20"/>
                <w:u w:val="none"/>
              </w:rPr>
              <w:t>日</w:t>
            </w:r>
            <w:r>
              <w:rPr>
                <w:rFonts w:hint="eastAsia" w:ascii="宋体" w:hAnsi="宋体" w:eastAsia="宋体" w:cs="宋体"/>
                <w:i w:val="0"/>
                <w:color w:val="000000"/>
                <w:sz w:val="20"/>
                <w:szCs w:val="20"/>
                <w:u w:val="none"/>
                <w:lang w:val="en-US" w:eastAsia="zh-CN"/>
              </w:rPr>
              <w:t>09</w:t>
            </w:r>
            <w:r>
              <w:rPr>
                <w:rFonts w:hint="eastAsia" w:ascii="宋体" w:hAnsi="宋体" w:eastAsia="宋体" w:cs="宋体"/>
                <w:i w:val="0"/>
                <w:color w:val="000000"/>
                <w:sz w:val="20"/>
                <w:szCs w:val="20"/>
                <w:u w:val="none"/>
              </w:rPr>
              <w:t>时</w:t>
            </w:r>
            <w:r>
              <w:rPr>
                <w:rFonts w:hint="eastAsia" w:ascii="宋体" w:hAnsi="宋体" w:eastAsia="宋体" w:cs="宋体"/>
                <w:i w:val="0"/>
                <w:color w:val="000000"/>
                <w:sz w:val="20"/>
                <w:szCs w:val="20"/>
                <w:u w:val="none"/>
                <w:lang w:val="en-US" w:eastAsia="zh-CN"/>
              </w:rPr>
              <w:t>30</w:t>
            </w:r>
            <w:r>
              <w:rPr>
                <w:rFonts w:hint="eastAsia" w:ascii="宋体" w:hAnsi="宋体" w:eastAsia="宋体" w:cs="宋体"/>
                <w:i w:val="0"/>
                <w:color w:val="000000"/>
                <w:sz w:val="20"/>
                <w:szCs w:val="20"/>
                <w:u w:val="none"/>
              </w:rPr>
              <w:t>分至</w:t>
            </w:r>
            <w:r>
              <w:rPr>
                <w:rFonts w:hint="eastAsia" w:ascii="宋体" w:hAnsi="宋体" w:eastAsia="宋体" w:cs="宋体"/>
                <w:i w:val="0"/>
                <w:color w:val="000000"/>
                <w:sz w:val="20"/>
                <w:szCs w:val="20"/>
                <w:u w:val="none"/>
                <w:lang w:val="en-US" w:eastAsia="zh-CN"/>
              </w:rPr>
              <w:t>10</w:t>
            </w:r>
            <w:r>
              <w:rPr>
                <w:rFonts w:hint="eastAsia" w:ascii="宋体" w:hAnsi="宋体" w:eastAsia="宋体" w:cs="宋体"/>
                <w:i w:val="0"/>
                <w:color w:val="000000"/>
                <w:sz w:val="20"/>
                <w:szCs w:val="20"/>
                <w:u w:val="none"/>
              </w:rPr>
              <w:t>时</w:t>
            </w:r>
            <w:r>
              <w:rPr>
                <w:rFonts w:hint="eastAsia" w:ascii="宋体" w:hAnsi="宋体" w:eastAsia="宋体" w:cs="宋体"/>
                <w:i w:val="0"/>
                <w:color w:val="000000"/>
                <w:sz w:val="20"/>
                <w:szCs w:val="20"/>
                <w:u w:val="none"/>
                <w:lang w:val="en-US" w:eastAsia="zh-CN"/>
              </w:rPr>
              <w:t>00</w:t>
            </w:r>
            <w:r>
              <w:rPr>
                <w:rFonts w:hint="eastAsia" w:ascii="宋体" w:hAnsi="宋体" w:eastAsia="宋体" w:cs="宋体"/>
                <w:i w:val="0"/>
                <w:color w:val="000000"/>
                <w:sz w:val="20"/>
                <w:szCs w:val="20"/>
                <w:u w:val="none"/>
              </w:rPr>
              <w:t>分将投标文件递交至广州市公共资源交易中心（广州市天河区天润路333号）</w:t>
            </w:r>
            <w:r>
              <w:rPr>
                <w:rFonts w:hint="eastAsia" w:ascii="宋体" w:hAnsi="宋体" w:eastAsia="宋体" w:cs="宋体"/>
                <w:i w:val="0"/>
                <w:color w:val="000000"/>
                <w:sz w:val="20"/>
                <w:szCs w:val="20"/>
                <w:u w:val="none"/>
                <w:lang w:val="en-US" w:eastAsia="zh-CN"/>
              </w:rPr>
              <w:t>10</w:t>
            </w:r>
            <w:r>
              <w:rPr>
                <w:rFonts w:hint="eastAsia" w:ascii="宋体" w:hAnsi="宋体" w:eastAsia="宋体" w:cs="宋体"/>
                <w:i w:val="0"/>
                <w:color w:val="000000"/>
                <w:sz w:val="20"/>
                <w:szCs w:val="20"/>
                <w:u w:val="none"/>
              </w:rPr>
              <w:t>开标室（具体时间及地点安排详见广州公共资源交易中心网站-项目查询（日程安排、答疑纪要）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开标时间</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ind w:left="200" w:hanging="200" w:hanging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2024年3月29日  10时00分</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开标地点</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广州市公共资源交易中心（广州市天河区天润路333号）</w:t>
            </w:r>
            <w:r>
              <w:rPr>
                <w:rFonts w:hint="eastAsia" w:ascii="宋体" w:hAnsi="宋体" w:eastAsia="宋体" w:cs="宋体"/>
                <w:i w:val="0"/>
                <w:color w:val="000000"/>
                <w:sz w:val="20"/>
                <w:szCs w:val="20"/>
                <w:u w:val="none"/>
                <w:lang w:val="en-US" w:eastAsia="zh-CN"/>
              </w:rPr>
              <w:t>10</w:t>
            </w:r>
            <w:r>
              <w:rPr>
                <w:rFonts w:hint="eastAsia" w:ascii="宋体" w:hAnsi="宋体" w:eastAsia="宋体" w:cs="宋体"/>
                <w:i w:val="0"/>
                <w:color w:val="000000"/>
                <w:sz w:val="20"/>
                <w:szCs w:val="20"/>
                <w:u w:val="none"/>
              </w:rPr>
              <w:t>开标室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发布公告媒介</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广东省招标投标监管网（ http://www.gdzbtb.gov.cn）、广州交易集团有限公司（广州公共资源交易中心）（http://www.gzggzy.cn/html/index.htm</w:t>
            </w:r>
            <w:bookmarkStart w:id="0" w:name="_GoBack"/>
            <w:bookmarkEnd w:id="0"/>
            <w:r>
              <w:rPr>
                <w:rFonts w:hint="eastAsia" w:ascii="宋体" w:hAnsi="宋体" w:eastAsia="宋体" w:cs="宋体"/>
                <w:i w:val="0"/>
                <w:color w:val="000000"/>
                <w:kern w:val="0"/>
                <w:sz w:val="20"/>
                <w:szCs w:val="20"/>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招标人</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湛江华资农垦糖业发展有限责任公司</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联系地址</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遂溪县城月镇广前公司办公楼一、二层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招标人联系人</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黄福</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联系电话</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13810324966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招标代理机构</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广东万诚工程造价咨询有限公司</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联系地址</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湛江市赤坎区体育北路湛江商务大厦9楼910-912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招标代理联系人</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唐诤翔</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联系电话</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15219223781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招标监督机构</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广东广垦糖业集团有限公司</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联系电话</w:t>
            </w:r>
          </w:p>
        </w:tc>
        <w:tc>
          <w:tcPr>
            <w:tcW w:w="4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0759-2628909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其他依法应当载明的内容</w:t>
            </w:r>
          </w:p>
        </w:tc>
        <w:tc>
          <w:tcPr>
            <w:tcW w:w="756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本项目实行广州交易集团有限公司（广州公共资源交易中心）网上投标登记，不接受现场投标登记。网上投标登记操作流程详见广州交易集团有限公司（广州公共资源交易中心）网站发布的最新版操作指引。投标人须在规定的投标登记时间内完成所有投标登记流程，逾期不受理。</w:t>
            </w:r>
          </w:p>
        </w:tc>
      </w:tr>
    </w:tbl>
    <w:p>
      <w:pPr>
        <w:jc w:val="right"/>
        <w:rPr>
          <w:rFonts w:hint="eastAsia"/>
          <w:lang w:val="en-US" w:eastAsia="zh-CN"/>
        </w:rPr>
      </w:pPr>
    </w:p>
    <w:p>
      <w:pPr>
        <w:jc w:val="right"/>
        <w:rPr>
          <w:rFonts w:hint="eastAsia" w:ascii="宋体" w:hAnsi="宋体" w:eastAsia="宋体" w:cs="宋体"/>
          <w:lang w:val="en-US" w:eastAsia="zh-CN"/>
        </w:rPr>
      </w:pPr>
      <w:r>
        <w:rPr>
          <w:rFonts w:hint="eastAsia" w:ascii="宋体" w:hAnsi="宋体" w:eastAsia="宋体" w:cs="宋体"/>
          <w:lang w:val="en-US" w:eastAsia="zh-CN"/>
        </w:rPr>
        <w:t>招标人：湛江华资农垦糖业发展有限责任公司</w:t>
      </w:r>
    </w:p>
    <w:p>
      <w:pPr>
        <w:jc w:val="right"/>
        <w:rPr>
          <w:rFonts w:hint="eastAsia" w:ascii="宋体" w:hAnsi="宋体" w:eastAsia="宋体" w:cs="宋体"/>
          <w:lang w:val="en-US" w:eastAsia="zh-CN"/>
        </w:rPr>
      </w:pPr>
    </w:p>
    <w:p>
      <w:pPr>
        <w:jc w:val="right"/>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招标代理机构：广东万诚工程造价咨询有限公司</w:t>
      </w:r>
    </w:p>
    <w:p>
      <w:pPr>
        <w:jc w:val="right"/>
        <w:rPr>
          <w:rFonts w:hint="eastAsia" w:ascii="宋体" w:hAnsi="宋体" w:eastAsia="宋体" w:cs="宋体"/>
          <w:i w:val="0"/>
          <w:color w:val="auto"/>
          <w:sz w:val="21"/>
          <w:szCs w:val="21"/>
          <w:highlight w:val="none"/>
          <w:u w:val="none"/>
          <w:lang w:val="en-US" w:eastAsia="zh-CN"/>
        </w:rPr>
      </w:pPr>
    </w:p>
    <w:p>
      <w:pPr>
        <w:jc w:val="right"/>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日期：2024年3月9日</w:t>
      </w:r>
    </w:p>
    <w:p>
      <w:pPr>
        <w:jc w:val="right"/>
        <w:rPr>
          <w:rFonts w:hint="eastAsia" w:ascii="宋体" w:hAnsi="宋体" w:eastAsia="宋体" w:cs="宋体"/>
          <w:i w:val="0"/>
          <w:color w:val="auto"/>
          <w:sz w:val="21"/>
          <w:szCs w:val="21"/>
          <w:highlight w:val="none"/>
          <w:u w:val="none"/>
          <w:lang w:val="en-US" w:eastAsia="zh-CN"/>
        </w:rPr>
      </w:pPr>
    </w:p>
    <w:p>
      <w:pPr>
        <w:jc w:val="left"/>
        <w:rPr>
          <w:rFonts w:hint="eastAsia" w:ascii="宋体" w:hAnsi="宋体" w:eastAsia="宋体" w:cs="宋体"/>
          <w:i w:val="0"/>
          <w:color w:val="auto"/>
          <w:sz w:val="21"/>
          <w:szCs w:val="21"/>
          <w:highlight w:val="none"/>
          <w:u w:val="none"/>
          <w:lang w:val="en-US" w:eastAsia="zh-CN"/>
        </w:rPr>
      </w:pPr>
    </w:p>
    <w:p>
      <w:pPr>
        <w:jc w:val="left"/>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项目负责人签字：</w:t>
      </w:r>
    </w:p>
    <w:p>
      <w:pPr>
        <w:rPr>
          <w:rFonts w:hint="default"/>
          <w:lang w:eastAsia="zh-CN"/>
        </w:rPr>
      </w:pPr>
    </w:p>
    <w:sectPr>
      <w:pgSz w:w="11906" w:h="16838"/>
      <w:pgMar w:top="1440" w:right="1800" w:bottom="1440" w:left="1800" w:header="851" w:footer="992"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C83AC753-63A2-4B83-AAE7-1E5DCA60E0DC}"/>
  </w:font>
  <w:font w:name="微软雅黑">
    <w:panose1 w:val="020B0503020204020204"/>
    <w:charset w:val="86"/>
    <w:family w:val="auto"/>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2" w:fontKey="{A366E9FC-62FF-4B4B-B579-C8A9011F0A8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NDUxNGQ2ODUxZjEzYThmNzAyMGRiNDJkZDM1MzIifQ=="/>
  </w:docVars>
  <w:rsids>
    <w:rsidRoot w:val="1AA24D9F"/>
    <w:rsid w:val="02CD056D"/>
    <w:rsid w:val="03345AEF"/>
    <w:rsid w:val="06827C5D"/>
    <w:rsid w:val="07011CC2"/>
    <w:rsid w:val="07644792"/>
    <w:rsid w:val="09284798"/>
    <w:rsid w:val="098A22EA"/>
    <w:rsid w:val="0F2509E1"/>
    <w:rsid w:val="0F2B6FD9"/>
    <w:rsid w:val="16673A33"/>
    <w:rsid w:val="183C240D"/>
    <w:rsid w:val="1AA24D9F"/>
    <w:rsid w:val="1C645A37"/>
    <w:rsid w:val="226C183E"/>
    <w:rsid w:val="26EF06E2"/>
    <w:rsid w:val="28BB6E33"/>
    <w:rsid w:val="28DA2E89"/>
    <w:rsid w:val="2A4254F9"/>
    <w:rsid w:val="2B7617A7"/>
    <w:rsid w:val="2D1F32F4"/>
    <w:rsid w:val="323B4D81"/>
    <w:rsid w:val="32A22F3B"/>
    <w:rsid w:val="34B70380"/>
    <w:rsid w:val="3AE174A3"/>
    <w:rsid w:val="43446334"/>
    <w:rsid w:val="440F310C"/>
    <w:rsid w:val="44A84E71"/>
    <w:rsid w:val="44BF26FD"/>
    <w:rsid w:val="44F32040"/>
    <w:rsid w:val="477DCE1E"/>
    <w:rsid w:val="48827FAC"/>
    <w:rsid w:val="4DFA2A5E"/>
    <w:rsid w:val="55011829"/>
    <w:rsid w:val="573E1E21"/>
    <w:rsid w:val="579B705F"/>
    <w:rsid w:val="5B487E91"/>
    <w:rsid w:val="5CF9550F"/>
    <w:rsid w:val="5EFEBDE8"/>
    <w:rsid w:val="5F3B2A2C"/>
    <w:rsid w:val="63E22396"/>
    <w:rsid w:val="67943E22"/>
    <w:rsid w:val="68CA2609"/>
    <w:rsid w:val="68CC1AED"/>
    <w:rsid w:val="69BB0F42"/>
    <w:rsid w:val="6A637494"/>
    <w:rsid w:val="6AA5680A"/>
    <w:rsid w:val="6BCF62E6"/>
    <w:rsid w:val="6CD3A16D"/>
    <w:rsid w:val="6D535020"/>
    <w:rsid w:val="6E5F49A6"/>
    <w:rsid w:val="6FFF37D2"/>
    <w:rsid w:val="70DE2EF1"/>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footer"/>
    <w:basedOn w:val="1"/>
    <w:qFormat/>
    <w:uiPriority w:val="0"/>
    <w:pPr>
      <w:tabs>
        <w:tab w:val="center" w:pos="4153"/>
        <w:tab w:val="right" w:pos="8306"/>
      </w:tabs>
      <w:snapToGrid w:val="0"/>
      <w:jc w:val="left"/>
    </w:pPr>
    <w:rPr>
      <w:sz w:val="18"/>
    </w:r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autoRedefine/>
    <w:qFormat/>
    <w:uiPriority w:val="99"/>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78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TZX</dc:creator>
  <cp:lastModifiedBy>TZX</cp:lastModifiedBy>
  <cp:lastPrinted>2024-03-08T01:41:00Z</cp:lastPrinted>
  <dcterms:modified xsi:type="dcterms:W3CDTF">2024-03-08T08:46:58Z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06A6455AD1404522BCB9AD9EDF41462B_13</vt:lpwstr>
  </property>
</Properties>
</file>