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cs="宋体"/>
          <w:b/>
          <w:color w:val="auto"/>
          <w:sz w:val="48"/>
          <w:szCs w:val="48"/>
        </w:rPr>
      </w:pPr>
    </w:p>
    <w:p>
      <w:pPr>
        <w:adjustRightInd w:val="0"/>
        <w:snapToGrid w:val="0"/>
        <w:spacing w:line="360" w:lineRule="auto"/>
        <w:jc w:val="center"/>
        <w:rPr>
          <w:rFonts w:ascii="宋体" w:hAnsi="宋体" w:cs="宋体"/>
          <w:b/>
          <w:color w:val="auto"/>
          <w:sz w:val="48"/>
          <w:szCs w:val="48"/>
        </w:rPr>
      </w:pPr>
      <w:r>
        <w:rPr>
          <w:rFonts w:hint="eastAsia" w:ascii="宋体" w:hAnsi="宋体" w:cs="宋体"/>
          <w:b/>
          <w:color w:val="auto"/>
          <w:sz w:val="48"/>
          <w:szCs w:val="48"/>
        </w:rPr>
        <w:t>海珠涌（马涌）水生态修复工程项目</w:t>
      </w:r>
    </w:p>
    <w:p>
      <w:pPr>
        <w:adjustRightInd w:val="0"/>
        <w:snapToGrid w:val="0"/>
        <w:spacing w:line="360" w:lineRule="auto"/>
        <w:jc w:val="center"/>
        <w:rPr>
          <w:rFonts w:ascii="宋体" w:hAnsi="宋体" w:cs="宋体"/>
          <w:color w:val="auto"/>
          <w:sz w:val="48"/>
          <w:szCs w:val="48"/>
        </w:rPr>
      </w:pPr>
      <w:r>
        <w:rPr>
          <w:rFonts w:hint="eastAsia" w:ascii="宋体" w:hAnsi="宋体" w:cs="宋体"/>
          <w:b/>
          <w:color w:val="auto"/>
          <w:sz w:val="48"/>
          <w:szCs w:val="48"/>
        </w:rPr>
        <w:t>设计施工总承包</w:t>
      </w:r>
    </w:p>
    <w:p>
      <w:pPr>
        <w:jc w:val="center"/>
        <w:rPr>
          <w:rFonts w:ascii="宋体" w:hAnsi="宋体" w:cs="宋体"/>
          <w:color w:val="auto"/>
          <w:sz w:val="72"/>
          <w:szCs w:val="72"/>
        </w:rPr>
      </w:pPr>
    </w:p>
    <w:p>
      <w:pPr>
        <w:pStyle w:val="2"/>
        <w:rPr>
          <w:rFonts w:hAnsi="宋体" w:cs="宋体"/>
          <w:color w:val="auto"/>
          <w:sz w:val="72"/>
          <w:szCs w:val="72"/>
        </w:rPr>
      </w:pPr>
    </w:p>
    <w:p>
      <w:pPr>
        <w:pStyle w:val="2"/>
        <w:rPr>
          <w:rFonts w:hAnsi="宋体" w:cs="宋体"/>
          <w:color w:val="auto"/>
          <w:sz w:val="72"/>
          <w:szCs w:val="72"/>
        </w:rPr>
      </w:pPr>
    </w:p>
    <w:p>
      <w:pPr>
        <w:jc w:val="center"/>
        <w:outlineLvl w:val="0"/>
        <w:rPr>
          <w:rFonts w:ascii="宋体" w:hAnsi="宋体" w:cs="宋体"/>
          <w:color w:val="auto"/>
          <w:sz w:val="84"/>
          <w:szCs w:val="84"/>
        </w:rPr>
      </w:pPr>
      <w:bookmarkStart w:id="0" w:name="_Toc65361635"/>
      <w:bookmarkStart w:id="1" w:name="_Toc21535089"/>
      <w:bookmarkStart w:id="2" w:name="_Toc516265912"/>
      <w:bookmarkStart w:id="3" w:name="_Toc60859825"/>
      <w:bookmarkStart w:id="4" w:name="_Toc515980125"/>
      <w:r>
        <w:rPr>
          <w:rFonts w:hint="eastAsia" w:ascii="宋体" w:hAnsi="宋体" w:cs="宋体"/>
          <w:color w:val="auto"/>
          <w:sz w:val="84"/>
          <w:szCs w:val="84"/>
        </w:rPr>
        <w:t>招标文件</w:t>
      </w:r>
      <w:bookmarkEnd w:id="0"/>
      <w:bookmarkEnd w:id="1"/>
      <w:bookmarkEnd w:id="2"/>
      <w:bookmarkEnd w:id="3"/>
      <w:bookmarkEnd w:id="4"/>
    </w:p>
    <w:p>
      <w:pPr>
        <w:jc w:val="center"/>
        <w:rPr>
          <w:rStyle w:val="21"/>
          <w:rFonts w:ascii="宋体" w:hAnsi="宋体" w:cs="宋体"/>
          <w:color w:val="auto"/>
          <w:sz w:val="48"/>
        </w:rPr>
      </w:pPr>
    </w:p>
    <w:p>
      <w:pPr>
        <w:jc w:val="center"/>
        <w:rPr>
          <w:rFonts w:ascii="宋体" w:hAnsi="宋体" w:cs="宋体"/>
          <w:color w:val="auto"/>
          <w:sz w:val="32"/>
          <w:szCs w:val="32"/>
        </w:rPr>
      </w:pPr>
    </w:p>
    <w:p>
      <w:pPr>
        <w:spacing w:line="400" w:lineRule="exact"/>
        <w:jc w:val="center"/>
        <w:rPr>
          <w:rFonts w:ascii="宋体" w:hAnsi="宋体" w:cs="宋体"/>
          <w:color w:val="auto"/>
        </w:rPr>
      </w:pPr>
    </w:p>
    <w:p>
      <w:pPr>
        <w:spacing w:line="400" w:lineRule="exact"/>
        <w:jc w:val="center"/>
        <w:rPr>
          <w:rFonts w:ascii="宋体" w:hAnsi="宋体" w:cs="宋体"/>
          <w:color w:val="auto"/>
        </w:rPr>
      </w:pPr>
    </w:p>
    <w:p>
      <w:pPr>
        <w:spacing w:line="400" w:lineRule="exact"/>
        <w:jc w:val="center"/>
        <w:rPr>
          <w:rFonts w:ascii="宋体" w:hAnsi="宋体" w:cs="宋体"/>
          <w:color w:val="auto"/>
        </w:rPr>
      </w:pPr>
    </w:p>
    <w:p>
      <w:pPr>
        <w:spacing w:line="400" w:lineRule="exact"/>
        <w:jc w:val="center"/>
        <w:rPr>
          <w:rFonts w:ascii="宋体" w:hAnsi="宋体" w:cs="宋体"/>
          <w:color w:val="auto"/>
        </w:rPr>
      </w:pPr>
    </w:p>
    <w:p>
      <w:pPr>
        <w:spacing w:line="400" w:lineRule="exact"/>
        <w:rPr>
          <w:rFonts w:ascii="宋体" w:hAnsi="宋体" w:cs="宋体"/>
          <w:color w:val="auto"/>
        </w:rPr>
      </w:pPr>
    </w:p>
    <w:p>
      <w:pPr>
        <w:spacing w:line="400" w:lineRule="exact"/>
        <w:jc w:val="center"/>
        <w:rPr>
          <w:rFonts w:ascii="宋体" w:hAnsi="宋体" w:cs="宋体"/>
          <w:color w:val="auto"/>
        </w:rPr>
      </w:pPr>
    </w:p>
    <w:p>
      <w:pPr>
        <w:spacing w:line="400" w:lineRule="exact"/>
        <w:jc w:val="center"/>
        <w:rPr>
          <w:rFonts w:ascii="宋体" w:hAnsi="宋体" w:cs="宋体"/>
          <w:color w:val="auto"/>
        </w:rPr>
      </w:pPr>
    </w:p>
    <w:p>
      <w:pPr>
        <w:spacing w:line="400" w:lineRule="exact"/>
        <w:rPr>
          <w:rFonts w:ascii="宋体" w:hAnsi="宋体" w:cs="宋体"/>
          <w:color w:val="auto"/>
          <w:sz w:val="32"/>
          <w:szCs w:val="32"/>
        </w:rPr>
      </w:pPr>
    </w:p>
    <w:p>
      <w:pPr>
        <w:spacing w:line="400" w:lineRule="exact"/>
        <w:rPr>
          <w:rFonts w:ascii="宋体" w:hAnsi="宋体" w:cs="宋体"/>
          <w:color w:val="auto"/>
          <w:sz w:val="32"/>
          <w:szCs w:val="32"/>
        </w:rPr>
      </w:pPr>
    </w:p>
    <w:p>
      <w:pPr>
        <w:pStyle w:val="8"/>
        <w:tabs>
          <w:tab w:val="left" w:pos="5458"/>
          <w:tab w:val="left" w:pos="8533"/>
        </w:tabs>
        <w:spacing w:line="350" w:lineRule="auto"/>
        <w:ind w:right="213" w:firstLine="1506" w:firstLineChars="500"/>
        <w:rPr>
          <w:rFonts w:ascii="宋体" w:hAnsi="宋体" w:cs="宋体"/>
          <w:b/>
          <w:color w:val="auto"/>
          <w:sz w:val="30"/>
          <w:szCs w:val="30"/>
          <w:u w:val="single"/>
        </w:rPr>
      </w:pPr>
      <w:r>
        <w:rPr>
          <w:rFonts w:hint="eastAsia" w:ascii="宋体" w:hAnsi="宋体" w:cs="宋体"/>
          <w:b/>
          <w:color w:val="auto"/>
          <w:sz w:val="30"/>
          <w:szCs w:val="30"/>
        </w:rPr>
        <w:t>招 标 人：</w:t>
      </w:r>
      <w:r>
        <w:rPr>
          <w:rFonts w:hint="eastAsia" w:ascii="宋体" w:hAnsi="宋体" w:cs="宋体"/>
          <w:b/>
          <w:color w:val="auto"/>
          <w:sz w:val="30"/>
          <w:szCs w:val="30"/>
          <w:u w:val="single"/>
        </w:rPr>
        <w:t>广州市海珠区水利设施养护所</w:t>
      </w:r>
    </w:p>
    <w:p>
      <w:pPr>
        <w:pStyle w:val="8"/>
        <w:tabs>
          <w:tab w:val="left" w:pos="5458"/>
          <w:tab w:val="left" w:pos="8533"/>
        </w:tabs>
        <w:spacing w:line="350" w:lineRule="auto"/>
        <w:ind w:right="213" w:firstLine="1506" w:firstLineChars="500"/>
        <w:rPr>
          <w:rFonts w:ascii="宋体" w:hAnsi="宋体" w:cs="宋体"/>
          <w:b/>
          <w:color w:val="auto"/>
          <w:sz w:val="30"/>
          <w:szCs w:val="30"/>
          <w:u w:val="single"/>
        </w:rPr>
      </w:pPr>
      <w:r>
        <w:rPr>
          <w:rFonts w:hint="eastAsia" w:ascii="宋体" w:hAnsi="宋体" w:cs="宋体"/>
          <w:b/>
          <w:color w:val="auto"/>
          <w:sz w:val="30"/>
          <w:szCs w:val="30"/>
        </w:rPr>
        <w:t>招标代理：</w:t>
      </w:r>
      <w:r>
        <w:rPr>
          <w:rFonts w:hint="eastAsia" w:ascii="宋体" w:hAnsi="宋体" w:cs="宋体"/>
          <w:b/>
          <w:color w:val="auto"/>
          <w:sz w:val="30"/>
          <w:szCs w:val="30"/>
          <w:u w:val="single"/>
        </w:rPr>
        <w:t>广州建筑工程监理有限公司</w:t>
      </w:r>
    </w:p>
    <w:p>
      <w:pPr>
        <w:spacing w:line="360" w:lineRule="auto"/>
        <w:ind w:firstLine="1560" w:firstLineChars="518"/>
        <w:rPr>
          <w:rFonts w:ascii="宋体" w:hAnsi="宋体" w:cs="宋体"/>
          <w:b/>
          <w:color w:val="auto"/>
          <w:sz w:val="30"/>
          <w:szCs w:val="30"/>
        </w:rPr>
        <w:sectPr>
          <w:footerReference r:id="rId3" w:type="default"/>
          <w:pgSz w:w="11906" w:h="16838"/>
          <w:pgMar w:top="1418" w:right="1417" w:bottom="1418" w:left="1418" w:header="851" w:footer="992" w:gutter="0"/>
          <w:pgNumType w:start="0"/>
          <w:cols w:space="720" w:num="1"/>
          <w:titlePg/>
          <w:docGrid w:linePitch="312" w:charSpace="0"/>
        </w:sectPr>
      </w:pPr>
      <w:r>
        <w:rPr>
          <w:rFonts w:hint="eastAsia" w:ascii="宋体" w:hAnsi="宋体" w:cs="宋体"/>
          <w:b/>
          <w:color w:val="auto"/>
          <w:sz w:val="30"/>
          <w:szCs w:val="30"/>
        </w:rPr>
        <w:t>日    期：2024年3月</w:t>
      </w:r>
    </w:p>
    <w:p>
      <w:pPr>
        <w:pStyle w:val="3"/>
        <w:spacing w:before="0" w:after="0" w:line="360" w:lineRule="auto"/>
        <w:jc w:val="center"/>
        <w:rPr>
          <w:rFonts w:ascii="宋体" w:hAnsi="宋体" w:cs="宋体"/>
          <w:color w:val="auto"/>
          <w:sz w:val="56"/>
        </w:rPr>
      </w:pPr>
      <w:bookmarkStart w:id="5" w:name="_Toc65361636"/>
      <w:bookmarkStart w:id="6" w:name="_Toc515980126"/>
      <w:bookmarkStart w:id="7" w:name="_Toc436834719"/>
      <w:bookmarkStart w:id="8" w:name="_Toc144974478"/>
      <w:bookmarkStart w:id="9" w:name="_Toc60859826"/>
      <w:bookmarkStart w:id="10" w:name="_Toc300834926"/>
      <w:bookmarkStart w:id="11" w:name="_Toc152042286"/>
      <w:bookmarkStart w:id="12" w:name="_Toc21535090"/>
      <w:bookmarkStart w:id="13" w:name="_Toc247527532"/>
      <w:bookmarkStart w:id="14" w:name="_Toc516265913"/>
      <w:r>
        <w:rPr>
          <w:rFonts w:hint="eastAsia" w:ascii="宋体" w:hAnsi="宋体" w:cs="宋体"/>
          <w:color w:val="auto"/>
        </w:rPr>
        <w:t>目 录</w:t>
      </w:r>
      <w:bookmarkEnd w:id="5"/>
      <w:bookmarkEnd w:id="6"/>
      <w:bookmarkEnd w:id="7"/>
      <w:bookmarkEnd w:id="8"/>
      <w:bookmarkEnd w:id="9"/>
      <w:bookmarkEnd w:id="10"/>
      <w:bookmarkEnd w:id="11"/>
      <w:bookmarkEnd w:id="12"/>
      <w:bookmarkEnd w:id="13"/>
      <w:bookmarkEnd w:id="14"/>
      <w:bookmarkStart w:id="15" w:name="_Toc152042287"/>
      <w:bookmarkStart w:id="16" w:name="_Toc144974479"/>
      <w:bookmarkStart w:id="17" w:name="_Toc247527533"/>
      <w:bookmarkStart w:id="18" w:name="_Toc152045511"/>
      <w:bookmarkStart w:id="19" w:name="_Toc247513932"/>
      <w:r>
        <w:rPr>
          <w:rFonts w:hint="eastAsia" w:ascii="宋体" w:hAnsi="宋体" w:cs="宋体"/>
          <w:b w:val="0"/>
          <w:color w:val="auto"/>
          <w:sz w:val="32"/>
          <w:szCs w:val="28"/>
        </w:rPr>
        <w:fldChar w:fldCharType="begin"/>
      </w:r>
      <w:r>
        <w:rPr>
          <w:rFonts w:hint="eastAsia" w:ascii="宋体" w:hAnsi="宋体" w:cs="宋体"/>
          <w:b w:val="0"/>
          <w:caps/>
          <w:color w:val="auto"/>
          <w:sz w:val="32"/>
          <w:szCs w:val="28"/>
        </w:rPr>
        <w:instrText xml:space="preserve"> TOC \o "1-3" \h \z \u </w:instrText>
      </w:r>
      <w:r>
        <w:rPr>
          <w:rFonts w:hint="eastAsia" w:ascii="宋体" w:hAnsi="宋体" w:cs="宋体"/>
          <w:b w:val="0"/>
          <w:color w:val="auto"/>
          <w:sz w:val="32"/>
          <w:szCs w:val="28"/>
        </w:rPr>
        <w:fldChar w:fldCharType="separate"/>
      </w:r>
    </w:p>
    <w:p>
      <w:pPr>
        <w:pStyle w:val="14"/>
        <w:tabs>
          <w:tab w:val="right" w:leader="dot" w:pos="9060"/>
        </w:tabs>
        <w:spacing w:line="360" w:lineRule="auto"/>
        <w:rPr>
          <w:rFonts w:ascii="宋体" w:hAnsi="宋体" w:cs="宋体"/>
          <w:bCs w:val="0"/>
          <w:caps w:val="0"/>
          <w:color w:val="auto"/>
          <w:sz w:val="28"/>
          <w:szCs w:val="28"/>
        </w:rPr>
      </w:pPr>
      <w:r>
        <w:rPr>
          <w:color w:val="auto"/>
        </w:rPr>
        <w:fldChar w:fldCharType="begin"/>
      </w:r>
      <w:r>
        <w:rPr>
          <w:color w:val="auto"/>
        </w:rPr>
        <w:instrText xml:space="preserve"> HYPERLINK \l "_Toc65361637" </w:instrText>
      </w:r>
      <w:r>
        <w:rPr>
          <w:color w:val="auto"/>
        </w:rPr>
        <w:fldChar w:fldCharType="separate"/>
      </w:r>
      <w:r>
        <w:rPr>
          <w:rStyle w:val="20"/>
          <w:rFonts w:hint="eastAsia" w:ascii="宋体" w:hAnsi="宋体" w:cs="宋体"/>
          <w:bCs w:val="0"/>
          <w:color w:val="auto"/>
          <w:sz w:val="28"/>
          <w:szCs w:val="28"/>
        </w:rPr>
        <w:t>第一卷</w:t>
      </w:r>
      <w:r>
        <w:rPr>
          <w:rFonts w:hint="eastAsia" w:ascii="宋体" w:hAnsi="宋体" w:cs="宋体"/>
          <w:bCs w:val="0"/>
          <w:color w:val="auto"/>
          <w:sz w:val="28"/>
          <w:szCs w:val="28"/>
        </w:rPr>
        <w:tab/>
      </w:r>
      <w:r>
        <w:rPr>
          <w:rFonts w:hint="eastAsia" w:ascii="宋体" w:hAnsi="宋体" w:cs="宋体"/>
          <w:bCs w:val="0"/>
          <w:color w:val="auto"/>
          <w:sz w:val="28"/>
          <w:szCs w:val="28"/>
        </w:rPr>
        <w:fldChar w:fldCharType="begin"/>
      </w:r>
      <w:r>
        <w:rPr>
          <w:rFonts w:hint="eastAsia" w:ascii="宋体" w:hAnsi="宋体" w:cs="宋体"/>
          <w:bCs w:val="0"/>
          <w:color w:val="auto"/>
          <w:sz w:val="28"/>
          <w:szCs w:val="28"/>
        </w:rPr>
        <w:instrText xml:space="preserve"> PAGEREF _Toc65361637 \h </w:instrText>
      </w:r>
      <w:r>
        <w:rPr>
          <w:rFonts w:hint="eastAsia" w:ascii="宋体" w:hAnsi="宋体" w:cs="宋体"/>
          <w:bCs w:val="0"/>
          <w:color w:val="auto"/>
          <w:sz w:val="28"/>
          <w:szCs w:val="28"/>
        </w:rPr>
        <w:fldChar w:fldCharType="separate"/>
      </w:r>
      <w:r>
        <w:rPr>
          <w:rFonts w:ascii="宋体" w:hAnsi="宋体" w:cs="宋体"/>
          <w:bCs w:val="0"/>
          <w:color w:val="auto"/>
          <w:sz w:val="28"/>
          <w:szCs w:val="28"/>
        </w:rPr>
        <w:t>2</w:t>
      </w:r>
      <w:r>
        <w:rPr>
          <w:rFonts w:hint="eastAsia" w:ascii="宋体" w:hAnsi="宋体" w:cs="宋体"/>
          <w:bCs w:val="0"/>
          <w:color w:val="auto"/>
          <w:sz w:val="28"/>
          <w:szCs w:val="28"/>
        </w:rPr>
        <w:fldChar w:fldCharType="end"/>
      </w:r>
      <w:r>
        <w:rPr>
          <w:rFonts w:hint="eastAsia" w:ascii="宋体" w:hAnsi="宋体" w:cs="宋体"/>
          <w:bCs w:val="0"/>
          <w:color w:val="auto"/>
          <w:sz w:val="28"/>
          <w:szCs w:val="28"/>
        </w:rPr>
        <w:fldChar w:fldCharType="end"/>
      </w:r>
    </w:p>
    <w:p>
      <w:pPr>
        <w:pStyle w:val="14"/>
        <w:tabs>
          <w:tab w:val="right" w:leader="dot" w:pos="9060"/>
        </w:tabs>
        <w:spacing w:line="360" w:lineRule="auto"/>
        <w:ind w:firstLine="201" w:firstLineChars="100"/>
        <w:rPr>
          <w:rFonts w:ascii="宋体" w:hAnsi="宋体" w:cs="宋体"/>
          <w:bCs w:val="0"/>
          <w:caps w:val="0"/>
          <w:color w:val="auto"/>
          <w:sz w:val="28"/>
          <w:szCs w:val="28"/>
        </w:rPr>
      </w:pPr>
      <w:r>
        <w:rPr>
          <w:color w:val="auto"/>
        </w:rPr>
        <w:fldChar w:fldCharType="begin"/>
      </w:r>
      <w:r>
        <w:rPr>
          <w:color w:val="auto"/>
        </w:rPr>
        <w:instrText xml:space="preserve"> HYPERLINK \l "_Toc65361638" </w:instrText>
      </w:r>
      <w:r>
        <w:rPr>
          <w:color w:val="auto"/>
        </w:rPr>
        <w:fldChar w:fldCharType="separate"/>
      </w:r>
      <w:r>
        <w:rPr>
          <w:rStyle w:val="20"/>
          <w:rFonts w:hint="eastAsia" w:ascii="宋体" w:hAnsi="宋体" w:cs="宋体"/>
          <w:bCs w:val="0"/>
          <w:color w:val="auto"/>
          <w:sz w:val="28"/>
          <w:szCs w:val="28"/>
        </w:rPr>
        <w:t>第一章 招标公告</w:t>
      </w:r>
      <w:r>
        <w:rPr>
          <w:rFonts w:hint="eastAsia" w:ascii="宋体" w:hAnsi="宋体" w:cs="宋体"/>
          <w:bCs w:val="0"/>
          <w:color w:val="auto"/>
          <w:sz w:val="28"/>
          <w:szCs w:val="28"/>
        </w:rPr>
        <w:tab/>
      </w:r>
      <w:r>
        <w:rPr>
          <w:rFonts w:hint="eastAsia" w:ascii="宋体" w:hAnsi="宋体" w:cs="宋体"/>
          <w:bCs w:val="0"/>
          <w:color w:val="auto"/>
          <w:sz w:val="28"/>
          <w:szCs w:val="28"/>
        </w:rPr>
        <w:fldChar w:fldCharType="begin"/>
      </w:r>
      <w:r>
        <w:rPr>
          <w:rFonts w:hint="eastAsia" w:ascii="宋体" w:hAnsi="宋体" w:cs="宋体"/>
          <w:bCs w:val="0"/>
          <w:color w:val="auto"/>
          <w:sz w:val="28"/>
          <w:szCs w:val="28"/>
        </w:rPr>
        <w:instrText xml:space="preserve"> PAGEREF _Toc65361638 \h </w:instrText>
      </w:r>
      <w:r>
        <w:rPr>
          <w:rFonts w:hint="eastAsia" w:ascii="宋体" w:hAnsi="宋体" w:cs="宋体"/>
          <w:bCs w:val="0"/>
          <w:color w:val="auto"/>
          <w:sz w:val="28"/>
          <w:szCs w:val="28"/>
        </w:rPr>
        <w:fldChar w:fldCharType="separate"/>
      </w:r>
      <w:r>
        <w:rPr>
          <w:rFonts w:ascii="宋体" w:hAnsi="宋体" w:cs="宋体"/>
          <w:bCs w:val="0"/>
          <w:color w:val="auto"/>
          <w:sz w:val="28"/>
          <w:szCs w:val="28"/>
        </w:rPr>
        <w:t>3</w:t>
      </w:r>
      <w:r>
        <w:rPr>
          <w:rFonts w:hint="eastAsia" w:ascii="宋体" w:hAnsi="宋体" w:cs="宋体"/>
          <w:bCs w:val="0"/>
          <w:color w:val="auto"/>
          <w:sz w:val="28"/>
          <w:szCs w:val="28"/>
        </w:rPr>
        <w:fldChar w:fldCharType="end"/>
      </w:r>
      <w:r>
        <w:rPr>
          <w:rFonts w:hint="eastAsia" w:ascii="宋体" w:hAnsi="宋体" w:cs="宋体"/>
          <w:bCs w:val="0"/>
          <w:color w:val="auto"/>
          <w:sz w:val="28"/>
          <w:szCs w:val="28"/>
        </w:rPr>
        <w:fldChar w:fldCharType="end"/>
      </w:r>
    </w:p>
    <w:p>
      <w:pPr>
        <w:pStyle w:val="14"/>
        <w:tabs>
          <w:tab w:val="right" w:leader="dot" w:pos="9060"/>
        </w:tabs>
        <w:spacing w:line="360" w:lineRule="auto"/>
        <w:ind w:firstLine="201" w:firstLineChars="100"/>
        <w:rPr>
          <w:rFonts w:ascii="宋体" w:hAnsi="宋体" w:cs="宋体"/>
          <w:bCs w:val="0"/>
          <w:caps w:val="0"/>
          <w:color w:val="auto"/>
          <w:sz w:val="28"/>
          <w:szCs w:val="28"/>
        </w:rPr>
      </w:pPr>
      <w:r>
        <w:rPr>
          <w:color w:val="auto"/>
        </w:rPr>
        <w:fldChar w:fldCharType="begin"/>
      </w:r>
      <w:r>
        <w:rPr>
          <w:color w:val="auto"/>
        </w:rPr>
        <w:instrText xml:space="preserve"> HYPERLINK \l "_Toc65361639" </w:instrText>
      </w:r>
      <w:r>
        <w:rPr>
          <w:color w:val="auto"/>
        </w:rPr>
        <w:fldChar w:fldCharType="separate"/>
      </w:r>
      <w:r>
        <w:rPr>
          <w:rStyle w:val="20"/>
          <w:rFonts w:hint="eastAsia" w:ascii="宋体" w:hAnsi="宋体" w:cs="宋体"/>
          <w:bCs w:val="0"/>
          <w:color w:val="auto"/>
          <w:sz w:val="28"/>
          <w:szCs w:val="28"/>
        </w:rPr>
        <w:t>第二章 投标人须知</w:t>
      </w:r>
      <w:r>
        <w:rPr>
          <w:rFonts w:hint="eastAsia" w:ascii="宋体" w:hAnsi="宋体" w:cs="宋体"/>
          <w:bCs w:val="0"/>
          <w:color w:val="auto"/>
          <w:sz w:val="28"/>
          <w:szCs w:val="28"/>
        </w:rPr>
        <w:tab/>
      </w:r>
      <w:r>
        <w:rPr>
          <w:rFonts w:hint="eastAsia" w:ascii="宋体" w:hAnsi="宋体" w:cs="宋体"/>
          <w:bCs w:val="0"/>
          <w:color w:val="auto"/>
          <w:sz w:val="28"/>
          <w:szCs w:val="28"/>
        </w:rPr>
        <w:fldChar w:fldCharType="begin"/>
      </w:r>
      <w:r>
        <w:rPr>
          <w:rFonts w:hint="eastAsia" w:ascii="宋体" w:hAnsi="宋体" w:cs="宋体"/>
          <w:bCs w:val="0"/>
          <w:color w:val="auto"/>
          <w:sz w:val="28"/>
          <w:szCs w:val="28"/>
        </w:rPr>
        <w:instrText xml:space="preserve"> PAGEREF _Toc65361639 \h </w:instrText>
      </w:r>
      <w:r>
        <w:rPr>
          <w:rFonts w:hint="eastAsia" w:ascii="宋体" w:hAnsi="宋体" w:cs="宋体"/>
          <w:bCs w:val="0"/>
          <w:color w:val="auto"/>
          <w:sz w:val="28"/>
          <w:szCs w:val="28"/>
        </w:rPr>
        <w:fldChar w:fldCharType="separate"/>
      </w:r>
      <w:r>
        <w:rPr>
          <w:rFonts w:ascii="宋体" w:hAnsi="宋体" w:cs="宋体"/>
          <w:bCs w:val="0"/>
          <w:color w:val="auto"/>
          <w:sz w:val="28"/>
          <w:szCs w:val="28"/>
        </w:rPr>
        <w:t>4</w:t>
      </w:r>
      <w:r>
        <w:rPr>
          <w:rFonts w:hint="eastAsia" w:ascii="宋体" w:hAnsi="宋体" w:cs="宋体"/>
          <w:bCs w:val="0"/>
          <w:color w:val="auto"/>
          <w:sz w:val="28"/>
          <w:szCs w:val="28"/>
        </w:rPr>
        <w:fldChar w:fldCharType="end"/>
      </w:r>
      <w:r>
        <w:rPr>
          <w:rFonts w:hint="eastAsia" w:ascii="宋体" w:hAnsi="宋体" w:cs="宋体"/>
          <w:bCs w:val="0"/>
          <w:color w:val="auto"/>
          <w:sz w:val="28"/>
          <w:szCs w:val="28"/>
        </w:rPr>
        <w:fldChar w:fldCharType="end"/>
      </w:r>
    </w:p>
    <w:p>
      <w:pPr>
        <w:pStyle w:val="14"/>
        <w:tabs>
          <w:tab w:val="right" w:leader="dot" w:pos="9060"/>
        </w:tabs>
        <w:spacing w:line="360" w:lineRule="auto"/>
        <w:ind w:firstLine="201" w:firstLineChars="100"/>
        <w:rPr>
          <w:rFonts w:ascii="宋体" w:hAnsi="宋体" w:cs="宋体"/>
          <w:bCs w:val="0"/>
          <w:caps w:val="0"/>
          <w:color w:val="auto"/>
          <w:sz w:val="28"/>
          <w:szCs w:val="28"/>
        </w:rPr>
      </w:pPr>
      <w:r>
        <w:rPr>
          <w:color w:val="auto"/>
        </w:rPr>
        <w:fldChar w:fldCharType="begin"/>
      </w:r>
      <w:r>
        <w:rPr>
          <w:color w:val="auto"/>
        </w:rPr>
        <w:instrText xml:space="preserve"> HYPERLINK \l "_Toc65361693" </w:instrText>
      </w:r>
      <w:r>
        <w:rPr>
          <w:color w:val="auto"/>
        </w:rPr>
        <w:fldChar w:fldCharType="separate"/>
      </w:r>
      <w:r>
        <w:rPr>
          <w:rStyle w:val="20"/>
          <w:rFonts w:hint="eastAsia" w:ascii="宋体" w:hAnsi="宋体" w:cs="宋体"/>
          <w:bCs w:val="0"/>
          <w:color w:val="auto"/>
          <w:sz w:val="28"/>
          <w:szCs w:val="28"/>
        </w:rPr>
        <w:t>第三章 评标办法（综合评估法）</w:t>
      </w:r>
      <w:r>
        <w:rPr>
          <w:rFonts w:hint="eastAsia" w:ascii="宋体" w:hAnsi="宋体" w:cs="宋体"/>
          <w:bCs w:val="0"/>
          <w:color w:val="auto"/>
          <w:sz w:val="28"/>
          <w:szCs w:val="28"/>
        </w:rPr>
        <w:tab/>
      </w:r>
      <w:r>
        <w:rPr>
          <w:rFonts w:hint="eastAsia" w:ascii="宋体" w:hAnsi="宋体" w:cs="宋体"/>
          <w:bCs w:val="0"/>
          <w:color w:val="auto"/>
          <w:sz w:val="28"/>
          <w:szCs w:val="28"/>
        </w:rPr>
        <w:t>2</w:t>
      </w:r>
      <w:r>
        <w:rPr>
          <w:rFonts w:hint="eastAsia" w:ascii="宋体" w:hAnsi="宋体" w:cs="宋体"/>
          <w:bCs w:val="0"/>
          <w:color w:val="auto"/>
          <w:sz w:val="28"/>
          <w:szCs w:val="28"/>
        </w:rPr>
        <w:fldChar w:fldCharType="end"/>
      </w:r>
      <w:r>
        <w:rPr>
          <w:rFonts w:hint="eastAsia" w:ascii="宋体" w:hAnsi="宋体" w:cs="宋体"/>
          <w:bCs w:val="0"/>
          <w:color w:val="auto"/>
          <w:sz w:val="28"/>
          <w:szCs w:val="28"/>
        </w:rPr>
        <w:t>7</w:t>
      </w:r>
    </w:p>
    <w:p>
      <w:pPr>
        <w:pStyle w:val="14"/>
        <w:tabs>
          <w:tab w:val="right" w:leader="dot" w:pos="9060"/>
        </w:tabs>
        <w:spacing w:line="360" w:lineRule="auto"/>
        <w:ind w:firstLine="201" w:firstLineChars="100"/>
        <w:rPr>
          <w:rFonts w:ascii="宋体" w:hAnsi="宋体" w:cs="宋体"/>
          <w:bCs w:val="0"/>
          <w:caps w:val="0"/>
          <w:color w:val="auto"/>
          <w:sz w:val="28"/>
          <w:szCs w:val="28"/>
        </w:rPr>
      </w:pPr>
      <w:r>
        <w:rPr>
          <w:color w:val="auto"/>
        </w:rPr>
        <w:fldChar w:fldCharType="begin"/>
      </w:r>
      <w:r>
        <w:rPr>
          <w:color w:val="auto"/>
        </w:rPr>
        <w:instrText xml:space="preserve"> HYPERLINK \l "_Toc65361712" </w:instrText>
      </w:r>
      <w:r>
        <w:rPr>
          <w:color w:val="auto"/>
        </w:rPr>
        <w:fldChar w:fldCharType="separate"/>
      </w:r>
      <w:r>
        <w:rPr>
          <w:rStyle w:val="20"/>
          <w:rFonts w:hint="eastAsia" w:ascii="宋体" w:hAnsi="宋体" w:cs="宋体"/>
          <w:bCs w:val="0"/>
          <w:color w:val="auto"/>
          <w:sz w:val="28"/>
          <w:szCs w:val="28"/>
        </w:rPr>
        <w:t>第四章 合同条款及格式</w:t>
      </w:r>
      <w:r>
        <w:rPr>
          <w:rFonts w:hint="eastAsia" w:ascii="宋体" w:hAnsi="宋体" w:cs="宋体"/>
          <w:bCs w:val="0"/>
          <w:color w:val="auto"/>
          <w:sz w:val="28"/>
          <w:szCs w:val="28"/>
        </w:rPr>
        <w:tab/>
      </w:r>
      <w:r>
        <w:rPr>
          <w:rFonts w:hint="eastAsia" w:ascii="宋体" w:hAnsi="宋体" w:cs="宋体"/>
          <w:bCs w:val="0"/>
          <w:color w:val="auto"/>
          <w:sz w:val="28"/>
          <w:szCs w:val="28"/>
        </w:rPr>
        <w:fldChar w:fldCharType="begin"/>
      </w:r>
      <w:r>
        <w:rPr>
          <w:rFonts w:hint="eastAsia" w:ascii="宋体" w:hAnsi="宋体" w:cs="宋体"/>
          <w:bCs w:val="0"/>
          <w:color w:val="auto"/>
          <w:sz w:val="28"/>
          <w:szCs w:val="28"/>
        </w:rPr>
        <w:instrText xml:space="preserve"> PAGEREF _Toc65361712 \h </w:instrText>
      </w:r>
      <w:r>
        <w:rPr>
          <w:rFonts w:hint="eastAsia" w:ascii="宋体" w:hAnsi="宋体" w:cs="宋体"/>
          <w:bCs w:val="0"/>
          <w:color w:val="auto"/>
          <w:sz w:val="28"/>
          <w:szCs w:val="28"/>
        </w:rPr>
        <w:fldChar w:fldCharType="separate"/>
      </w:r>
      <w:r>
        <w:rPr>
          <w:rFonts w:ascii="宋体" w:hAnsi="宋体" w:cs="宋体"/>
          <w:bCs w:val="0"/>
          <w:color w:val="auto"/>
          <w:sz w:val="28"/>
          <w:szCs w:val="28"/>
        </w:rPr>
        <w:t>39</w:t>
      </w:r>
      <w:r>
        <w:rPr>
          <w:rFonts w:hint="eastAsia" w:ascii="宋体" w:hAnsi="宋体" w:cs="宋体"/>
          <w:bCs w:val="0"/>
          <w:color w:val="auto"/>
          <w:sz w:val="28"/>
          <w:szCs w:val="28"/>
        </w:rPr>
        <w:fldChar w:fldCharType="end"/>
      </w:r>
      <w:r>
        <w:rPr>
          <w:rFonts w:hint="eastAsia" w:ascii="宋体" w:hAnsi="宋体" w:cs="宋体"/>
          <w:bCs w:val="0"/>
          <w:color w:val="auto"/>
          <w:sz w:val="28"/>
          <w:szCs w:val="28"/>
        </w:rPr>
        <w:fldChar w:fldCharType="end"/>
      </w:r>
    </w:p>
    <w:p>
      <w:pPr>
        <w:pStyle w:val="14"/>
        <w:tabs>
          <w:tab w:val="right" w:leader="dot" w:pos="9060"/>
        </w:tabs>
        <w:spacing w:line="360" w:lineRule="auto"/>
        <w:rPr>
          <w:rFonts w:ascii="宋体" w:hAnsi="宋体" w:cs="宋体"/>
          <w:bCs w:val="0"/>
          <w:caps w:val="0"/>
          <w:color w:val="auto"/>
          <w:sz w:val="28"/>
          <w:szCs w:val="28"/>
        </w:rPr>
      </w:pPr>
      <w:r>
        <w:rPr>
          <w:color w:val="auto"/>
        </w:rPr>
        <w:fldChar w:fldCharType="begin"/>
      </w:r>
      <w:r>
        <w:rPr>
          <w:color w:val="auto"/>
        </w:rPr>
        <w:instrText xml:space="preserve"> HYPERLINK \l "_Toc65361956" </w:instrText>
      </w:r>
      <w:r>
        <w:rPr>
          <w:color w:val="auto"/>
        </w:rPr>
        <w:fldChar w:fldCharType="separate"/>
      </w:r>
      <w:r>
        <w:rPr>
          <w:rStyle w:val="20"/>
          <w:rFonts w:hint="eastAsia" w:ascii="宋体" w:hAnsi="宋体" w:cs="宋体"/>
          <w:bCs w:val="0"/>
          <w:color w:val="auto"/>
          <w:sz w:val="28"/>
          <w:szCs w:val="28"/>
        </w:rPr>
        <w:t>第二卷</w:t>
      </w:r>
      <w:r>
        <w:rPr>
          <w:rFonts w:hint="eastAsia" w:ascii="宋体" w:hAnsi="宋体" w:cs="宋体"/>
          <w:bCs w:val="0"/>
          <w:color w:val="auto"/>
          <w:sz w:val="28"/>
          <w:szCs w:val="28"/>
        </w:rPr>
        <w:tab/>
      </w:r>
      <w:r>
        <w:rPr>
          <w:rFonts w:hint="eastAsia" w:ascii="宋体" w:hAnsi="宋体" w:cs="宋体"/>
          <w:bCs w:val="0"/>
          <w:color w:val="auto"/>
          <w:sz w:val="28"/>
          <w:szCs w:val="28"/>
        </w:rPr>
        <w:fldChar w:fldCharType="begin"/>
      </w:r>
      <w:r>
        <w:rPr>
          <w:rFonts w:hint="eastAsia" w:ascii="宋体" w:hAnsi="宋体" w:cs="宋体"/>
          <w:bCs w:val="0"/>
          <w:color w:val="auto"/>
          <w:sz w:val="28"/>
          <w:szCs w:val="28"/>
        </w:rPr>
        <w:instrText xml:space="preserve"> PAGEREF _Toc65361956 \h </w:instrText>
      </w:r>
      <w:r>
        <w:rPr>
          <w:rFonts w:hint="eastAsia" w:ascii="宋体" w:hAnsi="宋体" w:cs="宋体"/>
          <w:bCs w:val="0"/>
          <w:color w:val="auto"/>
          <w:sz w:val="28"/>
          <w:szCs w:val="28"/>
        </w:rPr>
        <w:fldChar w:fldCharType="separate"/>
      </w:r>
      <w:r>
        <w:rPr>
          <w:rFonts w:ascii="宋体" w:hAnsi="宋体" w:cs="宋体"/>
          <w:bCs w:val="0"/>
          <w:color w:val="auto"/>
          <w:sz w:val="28"/>
          <w:szCs w:val="28"/>
        </w:rPr>
        <w:t>40</w:t>
      </w:r>
      <w:r>
        <w:rPr>
          <w:rFonts w:hint="eastAsia" w:ascii="宋体" w:hAnsi="宋体" w:cs="宋体"/>
          <w:bCs w:val="0"/>
          <w:color w:val="auto"/>
          <w:sz w:val="28"/>
          <w:szCs w:val="28"/>
        </w:rPr>
        <w:fldChar w:fldCharType="end"/>
      </w:r>
      <w:r>
        <w:rPr>
          <w:rFonts w:hint="eastAsia" w:ascii="宋体" w:hAnsi="宋体" w:cs="宋体"/>
          <w:bCs w:val="0"/>
          <w:color w:val="auto"/>
          <w:sz w:val="28"/>
          <w:szCs w:val="28"/>
        </w:rPr>
        <w:fldChar w:fldCharType="end"/>
      </w:r>
    </w:p>
    <w:p>
      <w:pPr>
        <w:pStyle w:val="14"/>
        <w:tabs>
          <w:tab w:val="right" w:leader="dot" w:pos="9060"/>
        </w:tabs>
        <w:spacing w:line="360" w:lineRule="auto"/>
        <w:ind w:firstLine="201" w:firstLineChars="100"/>
        <w:rPr>
          <w:rFonts w:ascii="宋体" w:hAnsi="宋体" w:cs="宋体"/>
          <w:bCs w:val="0"/>
          <w:caps w:val="0"/>
          <w:color w:val="auto"/>
          <w:sz w:val="28"/>
          <w:szCs w:val="28"/>
        </w:rPr>
      </w:pPr>
      <w:r>
        <w:rPr>
          <w:color w:val="auto"/>
        </w:rPr>
        <w:fldChar w:fldCharType="begin"/>
      </w:r>
      <w:r>
        <w:rPr>
          <w:color w:val="auto"/>
        </w:rPr>
        <w:instrText xml:space="preserve"> HYPERLINK \l "_Toc65361957" </w:instrText>
      </w:r>
      <w:r>
        <w:rPr>
          <w:color w:val="auto"/>
        </w:rPr>
        <w:fldChar w:fldCharType="separate"/>
      </w:r>
      <w:r>
        <w:rPr>
          <w:rStyle w:val="20"/>
          <w:rFonts w:hint="eastAsia" w:ascii="宋体" w:hAnsi="宋体" w:cs="宋体"/>
          <w:bCs w:val="0"/>
          <w:color w:val="auto"/>
          <w:sz w:val="28"/>
          <w:szCs w:val="28"/>
        </w:rPr>
        <w:t>第五章 发包人要</w:t>
      </w:r>
      <w:bookmarkStart w:id="20" w:name="_Hlt66891940"/>
      <w:bookmarkStart w:id="21" w:name="_Hlt66891941"/>
      <w:r>
        <w:rPr>
          <w:rStyle w:val="20"/>
          <w:rFonts w:hint="eastAsia" w:ascii="宋体" w:hAnsi="宋体" w:cs="宋体"/>
          <w:bCs w:val="0"/>
          <w:color w:val="auto"/>
          <w:sz w:val="28"/>
          <w:szCs w:val="28"/>
        </w:rPr>
        <w:t>求</w:t>
      </w:r>
      <w:bookmarkEnd w:id="20"/>
      <w:bookmarkEnd w:id="21"/>
      <w:r>
        <w:rPr>
          <w:rFonts w:hint="eastAsia" w:ascii="宋体" w:hAnsi="宋体" w:cs="宋体"/>
          <w:bCs w:val="0"/>
          <w:color w:val="auto"/>
          <w:sz w:val="28"/>
          <w:szCs w:val="28"/>
        </w:rPr>
        <w:tab/>
      </w:r>
      <w:r>
        <w:rPr>
          <w:rFonts w:hint="eastAsia" w:ascii="宋体" w:hAnsi="宋体" w:cs="宋体"/>
          <w:bCs w:val="0"/>
          <w:color w:val="auto"/>
          <w:sz w:val="28"/>
          <w:szCs w:val="28"/>
        </w:rPr>
        <w:fldChar w:fldCharType="begin"/>
      </w:r>
      <w:r>
        <w:rPr>
          <w:rFonts w:hint="eastAsia" w:ascii="宋体" w:hAnsi="宋体" w:cs="宋体"/>
          <w:bCs w:val="0"/>
          <w:color w:val="auto"/>
          <w:sz w:val="28"/>
          <w:szCs w:val="28"/>
        </w:rPr>
        <w:instrText xml:space="preserve"> PAGEREF _Toc65361957 \h </w:instrText>
      </w:r>
      <w:r>
        <w:rPr>
          <w:rFonts w:hint="eastAsia" w:ascii="宋体" w:hAnsi="宋体" w:cs="宋体"/>
          <w:bCs w:val="0"/>
          <w:color w:val="auto"/>
          <w:sz w:val="28"/>
          <w:szCs w:val="28"/>
        </w:rPr>
        <w:fldChar w:fldCharType="separate"/>
      </w:r>
      <w:r>
        <w:rPr>
          <w:rFonts w:ascii="宋体" w:hAnsi="宋体" w:cs="宋体"/>
          <w:bCs w:val="0"/>
          <w:color w:val="auto"/>
          <w:sz w:val="28"/>
          <w:szCs w:val="28"/>
        </w:rPr>
        <w:t>41</w:t>
      </w:r>
      <w:r>
        <w:rPr>
          <w:rFonts w:hint="eastAsia" w:ascii="宋体" w:hAnsi="宋体" w:cs="宋体"/>
          <w:bCs w:val="0"/>
          <w:color w:val="auto"/>
          <w:sz w:val="28"/>
          <w:szCs w:val="28"/>
        </w:rPr>
        <w:fldChar w:fldCharType="end"/>
      </w:r>
      <w:r>
        <w:rPr>
          <w:rFonts w:hint="eastAsia" w:ascii="宋体" w:hAnsi="宋体" w:cs="宋体"/>
          <w:bCs w:val="0"/>
          <w:color w:val="auto"/>
          <w:sz w:val="28"/>
          <w:szCs w:val="28"/>
        </w:rPr>
        <w:fldChar w:fldCharType="end"/>
      </w:r>
    </w:p>
    <w:p>
      <w:pPr>
        <w:pStyle w:val="14"/>
        <w:tabs>
          <w:tab w:val="right" w:leader="dot" w:pos="9060"/>
        </w:tabs>
        <w:spacing w:line="360" w:lineRule="auto"/>
        <w:ind w:firstLine="201" w:firstLineChars="100"/>
        <w:rPr>
          <w:rFonts w:ascii="宋体" w:hAnsi="宋体" w:cs="宋体"/>
          <w:bCs w:val="0"/>
          <w:caps w:val="0"/>
          <w:color w:val="auto"/>
          <w:sz w:val="28"/>
          <w:szCs w:val="28"/>
        </w:rPr>
      </w:pPr>
      <w:r>
        <w:rPr>
          <w:color w:val="auto"/>
        </w:rPr>
        <w:fldChar w:fldCharType="begin"/>
      </w:r>
      <w:r>
        <w:rPr>
          <w:color w:val="auto"/>
        </w:rPr>
        <w:instrText xml:space="preserve"> HYPERLINK \l "_Toc65361959" </w:instrText>
      </w:r>
      <w:r>
        <w:rPr>
          <w:color w:val="auto"/>
        </w:rPr>
        <w:fldChar w:fldCharType="separate"/>
      </w:r>
      <w:r>
        <w:rPr>
          <w:rStyle w:val="20"/>
          <w:rFonts w:hint="eastAsia" w:ascii="宋体" w:hAnsi="宋体" w:cs="宋体"/>
          <w:bCs w:val="0"/>
          <w:color w:val="auto"/>
          <w:sz w:val="28"/>
          <w:szCs w:val="28"/>
        </w:rPr>
        <w:t>第六章 发包人提供的资料</w:t>
      </w:r>
      <w:r>
        <w:rPr>
          <w:rFonts w:hint="eastAsia" w:ascii="宋体" w:hAnsi="宋体" w:cs="宋体"/>
          <w:bCs w:val="0"/>
          <w:color w:val="auto"/>
          <w:sz w:val="28"/>
          <w:szCs w:val="28"/>
        </w:rPr>
        <w:tab/>
      </w:r>
      <w:r>
        <w:rPr>
          <w:rFonts w:hint="eastAsia" w:ascii="宋体" w:hAnsi="宋体" w:cs="宋体"/>
          <w:bCs w:val="0"/>
          <w:color w:val="auto"/>
          <w:sz w:val="28"/>
          <w:szCs w:val="28"/>
        </w:rPr>
        <w:fldChar w:fldCharType="begin"/>
      </w:r>
      <w:r>
        <w:rPr>
          <w:rFonts w:hint="eastAsia" w:ascii="宋体" w:hAnsi="宋体" w:cs="宋体"/>
          <w:bCs w:val="0"/>
          <w:color w:val="auto"/>
          <w:sz w:val="28"/>
          <w:szCs w:val="28"/>
        </w:rPr>
        <w:instrText xml:space="preserve"> PAGEREF _Toc65361959 \h </w:instrText>
      </w:r>
      <w:r>
        <w:rPr>
          <w:rFonts w:hint="eastAsia" w:ascii="宋体" w:hAnsi="宋体" w:cs="宋体"/>
          <w:bCs w:val="0"/>
          <w:color w:val="auto"/>
          <w:sz w:val="28"/>
          <w:szCs w:val="28"/>
        </w:rPr>
        <w:fldChar w:fldCharType="separate"/>
      </w:r>
      <w:r>
        <w:rPr>
          <w:rFonts w:ascii="宋体" w:hAnsi="宋体" w:cs="宋体"/>
          <w:bCs w:val="0"/>
          <w:color w:val="auto"/>
          <w:sz w:val="28"/>
          <w:szCs w:val="28"/>
        </w:rPr>
        <w:t>42</w:t>
      </w:r>
      <w:r>
        <w:rPr>
          <w:rFonts w:hint="eastAsia" w:ascii="宋体" w:hAnsi="宋体" w:cs="宋体"/>
          <w:bCs w:val="0"/>
          <w:color w:val="auto"/>
          <w:sz w:val="28"/>
          <w:szCs w:val="28"/>
        </w:rPr>
        <w:fldChar w:fldCharType="end"/>
      </w:r>
      <w:r>
        <w:rPr>
          <w:rFonts w:hint="eastAsia" w:ascii="宋体" w:hAnsi="宋体" w:cs="宋体"/>
          <w:bCs w:val="0"/>
          <w:color w:val="auto"/>
          <w:sz w:val="28"/>
          <w:szCs w:val="28"/>
        </w:rPr>
        <w:fldChar w:fldCharType="end"/>
      </w:r>
    </w:p>
    <w:p>
      <w:pPr>
        <w:pStyle w:val="14"/>
        <w:tabs>
          <w:tab w:val="right" w:leader="dot" w:pos="9060"/>
        </w:tabs>
        <w:spacing w:line="360" w:lineRule="auto"/>
        <w:rPr>
          <w:rFonts w:ascii="宋体" w:hAnsi="宋体" w:cs="宋体"/>
          <w:bCs w:val="0"/>
          <w:caps w:val="0"/>
          <w:color w:val="auto"/>
          <w:sz w:val="28"/>
          <w:szCs w:val="28"/>
        </w:rPr>
      </w:pPr>
      <w:r>
        <w:rPr>
          <w:color w:val="auto"/>
        </w:rPr>
        <w:fldChar w:fldCharType="begin"/>
      </w:r>
      <w:r>
        <w:rPr>
          <w:color w:val="auto"/>
        </w:rPr>
        <w:instrText xml:space="preserve"> HYPERLINK \l "_Toc65361960" </w:instrText>
      </w:r>
      <w:r>
        <w:rPr>
          <w:color w:val="auto"/>
        </w:rPr>
        <w:fldChar w:fldCharType="separate"/>
      </w:r>
      <w:r>
        <w:rPr>
          <w:rStyle w:val="20"/>
          <w:rFonts w:hint="eastAsia" w:ascii="宋体" w:hAnsi="宋体" w:cs="宋体"/>
          <w:bCs w:val="0"/>
          <w:color w:val="auto"/>
          <w:kern w:val="44"/>
          <w:sz w:val="28"/>
          <w:szCs w:val="28"/>
        </w:rPr>
        <w:t>第三卷</w:t>
      </w:r>
      <w:r>
        <w:rPr>
          <w:rFonts w:hint="eastAsia" w:ascii="宋体" w:hAnsi="宋体" w:cs="宋体"/>
          <w:bCs w:val="0"/>
          <w:color w:val="auto"/>
          <w:sz w:val="28"/>
          <w:szCs w:val="28"/>
        </w:rPr>
        <w:tab/>
      </w:r>
      <w:r>
        <w:rPr>
          <w:rFonts w:hint="eastAsia" w:ascii="宋体" w:hAnsi="宋体" w:cs="宋体"/>
          <w:bCs w:val="0"/>
          <w:color w:val="auto"/>
          <w:sz w:val="28"/>
          <w:szCs w:val="28"/>
        </w:rPr>
        <w:fldChar w:fldCharType="begin"/>
      </w:r>
      <w:r>
        <w:rPr>
          <w:rFonts w:hint="eastAsia" w:ascii="宋体" w:hAnsi="宋体" w:cs="宋体"/>
          <w:bCs w:val="0"/>
          <w:color w:val="auto"/>
          <w:sz w:val="28"/>
          <w:szCs w:val="28"/>
        </w:rPr>
        <w:instrText xml:space="preserve"> PAGEREF _Toc65361960 \h </w:instrText>
      </w:r>
      <w:r>
        <w:rPr>
          <w:rFonts w:hint="eastAsia" w:ascii="宋体" w:hAnsi="宋体" w:cs="宋体"/>
          <w:bCs w:val="0"/>
          <w:color w:val="auto"/>
          <w:sz w:val="28"/>
          <w:szCs w:val="28"/>
        </w:rPr>
        <w:fldChar w:fldCharType="separate"/>
      </w:r>
      <w:r>
        <w:rPr>
          <w:rFonts w:ascii="宋体" w:hAnsi="宋体" w:cs="宋体"/>
          <w:bCs w:val="0"/>
          <w:color w:val="auto"/>
          <w:sz w:val="28"/>
          <w:szCs w:val="28"/>
        </w:rPr>
        <w:t>43</w:t>
      </w:r>
      <w:r>
        <w:rPr>
          <w:rFonts w:hint="eastAsia" w:ascii="宋体" w:hAnsi="宋体" w:cs="宋体"/>
          <w:bCs w:val="0"/>
          <w:color w:val="auto"/>
          <w:sz w:val="28"/>
          <w:szCs w:val="28"/>
        </w:rPr>
        <w:fldChar w:fldCharType="end"/>
      </w:r>
      <w:r>
        <w:rPr>
          <w:rFonts w:hint="eastAsia" w:ascii="宋体" w:hAnsi="宋体" w:cs="宋体"/>
          <w:bCs w:val="0"/>
          <w:color w:val="auto"/>
          <w:sz w:val="28"/>
          <w:szCs w:val="28"/>
        </w:rPr>
        <w:fldChar w:fldCharType="end"/>
      </w:r>
    </w:p>
    <w:p>
      <w:pPr>
        <w:pStyle w:val="14"/>
        <w:tabs>
          <w:tab w:val="right" w:leader="dot" w:pos="9060"/>
        </w:tabs>
        <w:spacing w:line="360" w:lineRule="auto"/>
        <w:ind w:firstLine="201" w:firstLineChars="100"/>
        <w:rPr>
          <w:rFonts w:ascii="宋体" w:hAnsi="宋体" w:cs="宋体"/>
          <w:bCs w:val="0"/>
          <w:caps w:val="0"/>
          <w:color w:val="auto"/>
          <w:sz w:val="28"/>
          <w:szCs w:val="28"/>
        </w:rPr>
      </w:pPr>
      <w:r>
        <w:rPr>
          <w:color w:val="auto"/>
        </w:rPr>
        <w:fldChar w:fldCharType="begin"/>
      </w:r>
      <w:r>
        <w:rPr>
          <w:color w:val="auto"/>
        </w:rPr>
        <w:instrText xml:space="preserve"> HYPERLINK \l "_Toc65361961" </w:instrText>
      </w:r>
      <w:r>
        <w:rPr>
          <w:color w:val="auto"/>
        </w:rPr>
        <w:fldChar w:fldCharType="separate"/>
      </w:r>
      <w:r>
        <w:rPr>
          <w:rStyle w:val="20"/>
          <w:rFonts w:hint="eastAsia" w:ascii="宋体" w:hAnsi="宋体" w:cs="宋体"/>
          <w:bCs w:val="0"/>
          <w:color w:val="auto"/>
          <w:sz w:val="28"/>
          <w:szCs w:val="28"/>
        </w:rPr>
        <w:t>第七章 投标文件格</w:t>
      </w:r>
      <w:bookmarkStart w:id="22" w:name="_Hlt66120276"/>
      <w:r>
        <w:rPr>
          <w:rStyle w:val="20"/>
          <w:rFonts w:hint="eastAsia" w:ascii="宋体" w:hAnsi="宋体" w:cs="宋体"/>
          <w:bCs w:val="0"/>
          <w:color w:val="auto"/>
          <w:sz w:val="28"/>
          <w:szCs w:val="28"/>
        </w:rPr>
        <w:t>式</w:t>
      </w:r>
      <w:bookmarkEnd w:id="22"/>
      <w:r>
        <w:rPr>
          <w:rFonts w:hint="eastAsia" w:ascii="宋体" w:hAnsi="宋体" w:cs="宋体"/>
          <w:bCs w:val="0"/>
          <w:color w:val="auto"/>
          <w:sz w:val="28"/>
          <w:szCs w:val="28"/>
        </w:rPr>
        <w:tab/>
      </w:r>
      <w:r>
        <w:rPr>
          <w:rFonts w:hint="eastAsia" w:ascii="宋体" w:hAnsi="宋体" w:cs="宋体"/>
          <w:bCs w:val="0"/>
          <w:color w:val="auto"/>
          <w:sz w:val="28"/>
          <w:szCs w:val="28"/>
        </w:rPr>
        <w:fldChar w:fldCharType="begin"/>
      </w:r>
      <w:r>
        <w:rPr>
          <w:rFonts w:hint="eastAsia" w:ascii="宋体" w:hAnsi="宋体" w:cs="宋体"/>
          <w:bCs w:val="0"/>
          <w:color w:val="auto"/>
          <w:sz w:val="28"/>
          <w:szCs w:val="28"/>
        </w:rPr>
        <w:instrText xml:space="preserve"> PAGEREF _Toc65361961 \h </w:instrText>
      </w:r>
      <w:r>
        <w:rPr>
          <w:rFonts w:hint="eastAsia" w:ascii="宋体" w:hAnsi="宋体" w:cs="宋体"/>
          <w:bCs w:val="0"/>
          <w:color w:val="auto"/>
          <w:sz w:val="28"/>
          <w:szCs w:val="28"/>
        </w:rPr>
        <w:fldChar w:fldCharType="separate"/>
      </w:r>
      <w:r>
        <w:rPr>
          <w:rFonts w:ascii="宋体" w:hAnsi="宋体" w:cs="宋体"/>
          <w:bCs w:val="0"/>
          <w:color w:val="auto"/>
          <w:sz w:val="28"/>
          <w:szCs w:val="28"/>
        </w:rPr>
        <w:t>44</w:t>
      </w:r>
      <w:r>
        <w:rPr>
          <w:rFonts w:hint="eastAsia" w:ascii="宋体" w:hAnsi="宋体" w:cs="宋体"/>
          <w:bCs w:val="0"/>
          <w:color w:val="auto"/>
          <w:sz w:val="28"/>
          <w:szCs w:val="28"/>
        </w:rPr>
        <w:fldChar w:fldCharType="end"/>
      </w:r>
      <w:r>
        <w:rPr>
          <w:rFonts w:hint="eastAsia" w:ascii="宋体" w:hAnsi="宋体" w:cs="宋体"/>
          <w:bCs w:val="0"/>
          <w:color w:val="auto"/>
          <w:sz w:val="28"/>
          <w:szCs w:val="28"/>
        </w:rPr>
        <w:fldChar w:fldCharType="end"/>
      </w:r>
    </w:p>
    <w:p>
      <w:pPr>
        <w:widowControl/>
        <w:spacing w:line="360" w:lineRule="auto"/>
        <w:rPr>
          <w:rFonts w:ascii="宋体" w:hAnsi="宋体" w:cs="宋体"/>
          <w:color w:val="auto"/>
        </w:rPr>
        <w:sectPr>
          <w:footerReference r:id="rId4" w:type="default"/>
          <w:pgSz w:w="11906" w:h="16838"/>
          <w:pgMar w:top="1418" w:right="1417" w:bottom="1418" w:left="1418" w:header="851" w:footer="992" w:gutter="0"/>
          <w:pgNumType w:start="1"/>
          <w:cols w:space="720" w:num="1"/>
          <w:docGrid w:linePitch="312" w:charSpace="0"/>
        </w:sectPr>
      </w:pPr>
      <w:r>
        <w:rPr>
          <w:rFonts w:hint="eastAsia" w:ascii="宋体" w:hAnsi="宋体" w:cs="宋体"/>
          <w:color w:val="auto"/>
        </w:rPr>
        <w:fldChar w:fldCharType="end"/>
      </w:r>
      <w:bookmarkEnd w:id="15"/>
      <w:bookmarkEnd w:id="16"/>
      <w:bookmarkEnd w:id="17"/>
      <w:bookmarkEnd w:id="18"/>
      <w:bookmarkEnd w:id="19"/>
      <w:bookmarkStart w:id="23" w:name="_Toc152045526"/>
      <w:bookmarkStart w:id="24" w:name="_Toc247527550"/>
      <w:bookmarkStart w:id="25" w:name="_Toc247513949"/>
      <w:bookmarkStart w:id="26" w:name="_Toc152042302"/>
      <w:bookmarkStart w:id="27" w:name="_Toc516265914"/>
      <w:bookmarkStart w:id="28" w:name="_Toc515980127"/>
      <w:bookmarkStart w:id="29" w:name="_Toc144974494"/>
      <w:r>
        <w:rPr>
          <w:rFonts w:hint="eastAsia" w:ascii="宋体" w:hAnsi="宋体" w:cs="宋体"/>
          <w:b/>
          <w:bCs/>
          <w:caps/>
          <w:color w:val="auto"/>
          <w:sz w:val="28"/>
          <w:szCs w:val="28"/>
        </w:rPr>
        <w:fldChar w:fldCharType="begin"/>
      </w:r>
      <w:r>
        <w:rPr>
          <w:rFonts w:hint="eastAsia" w:ascii="宋体" w:hAnsi="宋体" w:cs="宋体"/>
          <w:b/>
          <w:bCs/>
          <w:caps/>
          <w:color w:val="auto"/>
          <w:sz w:val="28"/>
          <w:szCs w:val="28"/>
        </w:rPr>
        <w:instrText xml:space="preserve">HYPERLINK \l "_Toc65361961"</w:instrText>
      </w:r>
      <w:r>
        <w:rPr>
          <w:rFonts w:hint="eastAsia" w:ascii="宋体" w:hAnsi="宋体" w:cs="宋体"/>
          <w:b/>
          <w:bCs/>
          <w:caps/>
          <w:color w:val="auto"/>
          <w:sz w:val="28"/>
          <w:szCs w:val="28"/>
        </w:rPr>
        <w:fldChar w:fldCharType="separate"/>
      </w:r>
      <w:r>
        <w:rPr>
          <w:rFonts w:hint="eastAsia" w:ascii="宋体" w:hAnsi="宋体" w:cs="宋体"/>
          <w:b/>
          <w:bCs/>
          <w:caps/>
          <w:color w:val="auto"/>
          <w:sz w:val="28"/>
          <w:szCs w:val="28"/>
        </w:rPr>
        <w:t>第八章 否决性条款汇总........................................ 5</w:t>
      </w:r>
      <w:r>
        <w:rPr>
          <w:rFonts w:hint="eastAsia" w:ascii="宋体" w:hAnsi="宋体" w:cs="宋体"/>
          <w:b/>
          <w:bCs/>
          <w:caps/>
          <w:color w:val="auto"/>
          <w:sz w:val="28"/>
          <w:szCs w:val="28"/>
        </w:rPr>
        <w:fldChar w:fldCharType="end"/>
      </w:r>
      <w:r>
        <w:rPr>
          <w:rFonts w:hint="eastAsia" w:ascii="宋体" w:hAnsi="宋体" w:cs="宋体"/>
          <w:b/>
          <w:bCs/>
          <w:caps/>
          <w:color w:val="auto"/>
          <w:sz w:val="28"/>
          <w:szCs w:val="28"/>
        </w:rPr>
        <w:t>4</w:t>
      </w:r>
    </w:p>
    <w:p>
      <w:pPr>
        <w:pStyle w:val="3"/>
        <w:spacing w:before="0" w:after="0" w:line="240" w:lineRule="auto"/>
        <w:jc w:val="center"/>
        <w:rPr>
          <w:rFonts w:ascii="宋体" w:hAnsi="宋体" w:cs="宋体"/>
          <w:color w:val="auto"/>
        </w:rPr>
      </w:pPr>
      <w:bookmarkStart w:id="30" w:name="_Toc65361637"/>
      <w:r>
        <w:rPr>
          <w:rFonts w:hint="eastAsia" w:ascii="宋体" w:hAnsi="宋体" w:cs="宋体"/>
          <w:color w:val="auto"/>
        </w:rPr>
        <w:t>第一卷</w:t>
      </w:r>
      <w:bookmarkEnd w:id="30"/>
    </w:p>
    <w:p>
      <w:pPr>
        <w:pStyle w:val="3"/>
        <w:spacing w:before="0" w:after="0" w:line="240" w:lineRule="auto"/>
        <w:jc w:val="center"/>
        <w:rPr>
          <w:rFonts w:ascii="宋体" w:hAnsi="宋体" w:cs="宋体"/>
          <w:color w:val="auto"/>
        </w:rPr>
        <w:sectPr>
          <w:footerReference r:id="rId5" w:type="default"/>
          <w:pgSz w:w="11906" w:h="16838"/>
          <w:pgMar w:top="1418" w:right="1417" w:bottom="1418" w:left="1418" w:header="851" w:footer="992" w:gutter="0"/>
          <w:cols w:space="720" w:num="1"/>
          <w:docGrid w:linePitch="312" w:charSpace="0"/>
        </w:sectPr>
      </w:pPr>
    </w:p>
    <w:p>
      <w:pPr>
        <w:pStyle w:val="3"/>
        <w:spacing w:before="0" w:after="0" w:line="240" w:lineRule="auto"/>
        <w:jc w:val="center"/>
        <w:rPr>
          <w:rFonts w:ascii="宋体" w:hAnsi="宋体" w:cs="宋体"/>
          <w:color w:val="auto"/>
        </w:rPr>
      </w:pPr>
      <w:bookmarkStart w:id="31" w:name="_Toc65361638"/>
      <w:r>
        <w:rPr>
          <w:rFonts w:hint="eastAsia" w:ascii="宋体" w:hAnsi="宋体" w:cs="宋体"/>
          <w:color w:val="auto"/>
        </w:rPr>
        <w:t xml:space="preserve">第一章  </w:t>
      </w:r>
      <w:bookmarkEnd w:id="23"/>
      <w:bookmarkEnd w:id="24"/>
      <w:bookmarkEnd w:id="25"/>
      <w:bookmarkEnd w:id="26"/>
      <w:bookmarkEnd w:id="27"/>
      <w:bookmarkEnd w:id="28"/>
      <w:bookmarkEnd w:id="29"/>
      <w:r>
        <w:rPr>
          <w:rFonts w:hint="eastAsia" w:ascii="宋体" w:hAnsi="宋体" w:cs="宋体"/>
          <w:color w:val="auto"/>
        </w:rPr>
        <w:t>招标公告</w:t>
      </w:r>
      <w:bookmarkEnd w:id="31"/>
    </w:p>
    <w:p>
      <w:pPr>
        <w:spacing w:line="360" w:lineRule="auto"/>
        <w:ind w:firstLine="480" w:firstLineChars="200"/>
        <w:rPr>
          <w:rFonts w:ascii="宋体" w:hAnsi="宋体" w:cs="宋体"/>
          <w:color w:val="auto"/>
          <w:sz w:val="24"/>
          <w:szCs w:val="24"/>
        </w:rPr>
      </w:pPr>
      <w:bookmarkStart w:id="32" w:name="_Toc247527551"/>
      <w:bookmarkStart w:id="33" w:name="_Toc144974495"/>
      <w:bookmarkStart w:id="34" w:name="_Toc152042303"/>
      <w:bookmarkStart w:id="35" w:name="_Toc247513950"/>
      <w:bookmarkStart w:id="36" w:name="_Toc152045527"/>
    </w:p>
    <w:p>
      <w:pPr>
        <w:spacing w:line="360" w:lineRule="auto"/>
        <w:ind w:firstLine="480" w:firstLineChars="200"/>
        <w:jc w:val="center"/>
        <w:rPr>
          <w:rFonts w:ascii="宋体" w:hAnsi="宋体" w:cs="宋体"/>
          <w:color w:val="auto"/>
          <w:sz w:val="24"/>
          <w:szCs w:val="24"/>
        </w:rPr>
        <w:sectPr>
          <w:pgSz w:w="11906" w:h="16838"/>
          <w:pgMar w:top="1418" w:right="1417" w:bottom="1418" w:left="1418" w:header="851" w:footer="992" w:gutter="0"/>
          <w:cols w:space="720" w:num="1"/>
          <w:docGrid w:linePitch="312" w:charSpace="0"/>
        </w:sectPr>
      </w:pPr>
      <w:bookmarkStart w:id="37" w:name="_Toc21535092"/>
      <w:r>
        <w:rPr>
          <w:rFonts w:hint="eastAsia" w:ascii="宋体" w:hAnsi="宋体" w:cs="宋体"/>
          <w:color w:val="auto"/>
          <w:sz w:val="24"/>
          <w:szCs w:val="24"/>
        </w:rPr>
        <w:t>（另册）</w:t>
      </w:r>
    </w:p>
    <w:p>
      <w:pPr>
        <w:pStyle w:val="3"/>
        <w:spacing w:before="0" w:after="0" w:line="360" w:lineRule="auto"/>
        <w:jc w:val="center"/>
        <w:rPr>
          <w:rFonts w:ascii="宋体" w:hAnsi="宋体" w:cs="宋体"/>
          <w:caps/>
          <w:color w:val="auto"/>
          <w:kern w:val="2"/>
        </w:rPr>
      </w:pPr>
      <w:bookmarkStart w:id="38" w:name="_Toc515980128"/>
      <w:bookmarkStart w:id="39" w:name="_Toc65361639"/>
      <w:bookmarkStart w:id="40" w:name="_Toc516265915"/>
      <w:r>
        <w:rPr>
          <w:rFonts w:hint="eastAsia" w:ascii="宋体" w:hAnsi="宋体" w:cs="宋体"/>
          <w:color w:val="auto"/>
        </w:rPr>
        <w:t>第二章  投标人须知</w:t>
      </w:r>
      <w:bookmarkEnd w:id="32"/>
      <w:bookmarkEnd w:id="33"/>
      <w:bookmarkEnd w:id="34"/>
      <w:bookmarkEnd w:id="35"/>
      <w:bookmarkEnd w:id="36"/>
      <w:bookmarkEnd w:id="37"/>
      <w:bookmarkEnd w:id="38"/>
      <w:bookmarkEnd w:id="39"/>
      <w:bookmarkEnd w:id="40"/>
    </w:p>
    <w:p>
      <w:pPr>
        <w:pStyle w:val="4"/>
        <w:adjustRightInd w:val="0"/>
        <w:snapToGrid w:val="0"/>
        <w:spacing w:before="0" w:after="0" w:line="360" w:lineRule="auto"/>
        <w:jc w:val="left"/>
        <w:rPr>
          <w:rFonts w:ascii="宋体" w:hAnsi="宋体" w:eastAsia="宋体" w:cs="宋体"/>
          <w:color w:val="auto"/>
          <w:sz w:val="24"/>
          <w:szCs w:val="24"/>
        </w:rPr>
      </w:pPr>
      <w:bookmarkStart w:id="41" w:name="_Toc247513951"/>
      <w:bookmarkStart w:id="42" w:name="_Toc144974496"/>
      <w:bookmarkStart w:id="43" w:name="_Toc152042304"/>
      <w:bookmarkStart w:id="44" w:name="_Toc436834723"/>
      <w:bookmarkStart w:id="45" w:name="_Toc152045528"/>
      <w:bookmarkStart w:id="46" w:name="_Toc21535094"/>
      <w:bookmarkStart w:id="47" w:name="_Toc60859830"/>
      <w:bookmarkStart w:id="48" w:name="_Toc436834130"/>
      <w:bookmarkStart w:id="49" w:name="_Toc300834948"/>
      <w:bookmarkStart w:id="50" w:name="_Toc516265916"/>
      <w:bookmarkStart w:id="51" w:name="_Toc399165372"/>
      <w:bookmarkStart w:id="52" w:name="_Toc247527552"/>
      <w:bookmarkStart w:id="53" w:name="_Toc65361640"/>
      <w:bookmarkStart w:id="54" w:name="_Toc515980129"/>
      <w:r>
        <w:rPr>
          <w:rFonts w:hint="eastAsia" w:ascii="宋体" w:hAnsi="宋体" w:eastAsia="宋体" w:cs="宋体"/>
          <w:color w:val="auto"/>
          <w:sz w:val="24"/>
          <w:szCs w:val="24"/>
        </w:rPr>
        <w:t>投标人须知前附表</w:t>
      </w:r>
      <w:bookmarkEnd w:id="41"/>
      <w:bookmarkEnd w:id="42"/>
      <w:bookmarkEnd w:id="43"/>
      <w:bookmarkEnd w:id="44"/>
      <w:bookmarkEnd w:id="45"/>
      <w:bookmarkEnd w:id="46"/>
      <w:bookmarkEnd w:id="47"/>
      <w:bookmarkEnd w:id="48"/>
      <w:bookmarkEnd w:id="49"/>
      <w:bookmarkEnd w:id="50"/>
      <w:bookmarkEnd w:id="51"/>
      <w:bookmarkEnd w:id="52"/>
      <w:bookmarkEnd w:id="53"/>
      <w:bookmarkEnd w:id="54"/>
    </w:p>
    <w:p>
      <w:pPr>
        <w:adjustRightInd w:val="0"/>
        <w:snapToGrid w:val="0"/>
        <w:spacing w:line="360" w:lineRule="auto"/>
        <w:textAlignment w:val="baseline"/>
        <w:rPr>
          <w:rFonts w:ascii="宋体" w:hAnsi="宋体" w:cs="宋体"/>
          <w:color w:val="auto"/>
          <w:sz w:val="24"/>
          <w:szCs w:val="24"/>
        </w:rPr>
      </w:pPr>
      <w:r>
        <w:rPr>
          <w:rFonts w:hint="eastAsia" w:ascii="宋体" w:hAnsi="宋体" w:cs="宋体"/>
          <w:color w:val="auto"/>
          <w:sz w:val="24"/>
          <w:szCs w:val="24"/>
        </w:rPr>
        <w:t>说明：投标人须知前附表部分为选择性条款，以■表示选用，以□表示不选用。</w:t>
      </w:r>
    </w:p>
    <w:tbl>
      <w:tblPr>
        <w:tblStyle w:val="17"/>
        <w:tblW w:w="1002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19"/>
        <w:gridCol w:w="969"/>
        <w:gridCol w:w="1258"/>
        <w:gridCol w:w="66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条款号</w:t>
            </w:r>
          </w:p>
        </w:tc>
        <w:tc>
          <w:tcPr>
            <w:tcW w:w="2227" w:type="dxa"/>
            <w:gridSpan w:val="2"/>
            <w:tcBorders>
              <w:top w:val="single" w:color="auto" w:sz="4"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条 款 名 称</w:t>
            </w:r>
          </w:p>
        </w:tc>
        <w:tc>
          <w:tcPr>
            <w:tcW w:w="6675" w:type="dxa"/>
            <w:tcBorders>
              <w:top w:val="single" w:color="auto" w:sz="4"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b/>
                <w:color w:val="auto"/>
                <w:sz w:val="24"/>
                <w:szCs w:val="24"/>
              </w:rPr>
            </w:pPr>
            <w:r>
              <w:rPr>
                <w:rFonts w:hint="eastAsia" w:ascii="宋体" w:hAnsi="宋体" w:cs="宋体"/>
                <w:b/>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招标人</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名称：</w:t>
            </w:r>
            <w:r>
              <w:rPr>
                <w:rFonts w:hint="eastAsia" w:ascii="宋体" w:hAnsi="宋体" w:cs="宋体"/>
                <w:color w:val="auto"/>
                <w:sz w:val="24"/>
                <w:szCs w:val="24"/>
                <w:u w:val="single"/>
              </w:rPr>
              <w:t>广州市海珠区水利设施养护所</w:t>
            </w: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地址：</w:t>
            </w:r>
            <w:r>
              <w:rPr>
                <w:rFonts w:hint="eastAsia" w:ascii="宋体" w:hAnsi="宋体" w:cs="宋体"/>
                <w:color w:val="auto"/>
                <w:sz w:val="24"/>
                <w:szCs w:val="24"/>
                <w:u w:val="single"/>
              </w:rPr>
              <w:t xml:space="preserve">海珠区华洲路88号斜坡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u w:val="single"/>
              </w:rPr>
              <w:t>苏工</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电话： </w:t>
            </w:r>
            <w:r>
              <w:rPr>
                <w:rFonts w:hint="eastAsia" w:ascii="宋体" w:hAnsi="宋体" w:cs="宋体"/>
                <w:sz w:val="24"/>
                <w:szCs w:val="24"/>
              </w:rPr>
              <w:t>020-89251996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1.1.3</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招标代理机构</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名称：</w:t>
            </w:r>
            <w:r>
              <w:rPr>
                <w:rFonts w:hint="eastAsia" w:ascii="宋体" w:hAnsi="宋体" w:cs="宋体"/>
                <w:color w:val="auto"/>
                <w:sz w:val="24"/>
                <w:szCs w:val="24"/>
                <w:u w:val="single"/>
              </w:rPr>
              <w:t>广州建筑工程监理有限公司</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地址：</w:t>
            </w:r>
            <w:r>
              <w:rPr>
                <w:rFonts w:hint="eastAsia" w:ascii="宋体" w:hAnsi="宋体" w:cs="宋体"/>
                <w:color w:val="auto"/>
                <w:sz w:val="24"/>
                <w:szCs w:val="24"/>
                <w:u w:val="single"/>
              </w:rPr>
              <w:t>广州市广卫路四号十八楼</w:t>
            </w:r>
          </w:p>
          <w:p>
            <w:pPr>
              <w:adjustRightInd w:val="0"/>
              <w:snapToGrid w:val="0"/>
              <w:spacing w:line="348" w:lineRule="auto"/>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u w:val="single"/>
              </w:rPr>
              <w:t>吴工</w:t>
            </w:r>
          </w:p>
          <w:p>
            <w:pPr>
              <w:adjustRightInd w:val="0"/>
              <w:snapToGrid w:val="0"/>
              <w:spacing w:line="348" w:lineRule="auto"/>
              <w:rPr>
                <w:rFonts w:ascii="宋体" w:hAnsi="宋体" w:cs="宋体"/>
                <w:color w:val="auto"/>
                <w:sz w:val="24"/>
                <w:szCs w:val="24"/>
                <w:u w:val="single"/>
              </w:rPr>
            </w:pPr>
            <w:r>
              <w:rPr>
                <w:rFonts w:hint="eastAsia" w:ascii="宋体" w:hAnsi="宋体" w:cs="宋体"/>
                <w:color w:val="auto"/>
                <w:sz w:val="24"/>
                <w:szCs w:val="24"/>
              </w:rPr>
              <w:t>联系电话：</w:t>
            </w:r>
            <w:r>
              <w:rPr>
                <w:rFonts w:hint="eastAsia" w:ascii="宋体" w:hAnsi="宋体" w:cs="宋体"/>
                <w:color w:val="auto"/>
                <w:sz w:val="24"/>
                <w:szCs w:val="24"/>
                <w:u w:val="single"/>
              </w:rPr>
              <w:t>020-61101333/1866/1867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1.1.4</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u w:val="single"/>
              </w:rPr>
              <w:t>海珠涌（马涌）水生态修复工程项目设计施工总承包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1.1.5</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建设地点</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1.2.1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资金来源及比例</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u w:val="single"/>
              </w:rPr>
              <w:t>区财政资金（区政府债券为主）</w:t>
            </w:r>
            <w:r>
              <w:rPr>
                <w:rFonts w:hint="eastAsia" w:ascii="宋体" w:hAnsi="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1.2.2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资金落实情况</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u w:val="single"/>
              </w:rPr>
              <w:t>资金已落实。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1.3.1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招标范围</w:t>
            </w:r>
          </w:p>
        </w:tc>
        <w:tc>
          <w:tcPr>
            <w:tcW w:w="6675"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1.3.2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计划工期</w:t>
            </w:r>
          </w:p>
        </w:tc>
        <w:tc>
          <w:tcPr>
            <w:tcW w:w="6675" w:type="dxa"/>
            <w:tcBorders>
              <w:top w:val="single" w:color="auto" w:sz="6" w:space="0"/>
              <w:left w:val="single" w:color="auto" w:sz="6" w:space="0"/>
              <w:bottom w:val="single" w:color="auto" w:sz="6" w:space="0"/>
              <w:right w:val="single" w:color="auto" w:sz="4" w:space="0"/>
            </w:tcBorders>
            <w:vAlign w:val="center"/>
          </w:tcPr>
          <w:p>
            <w:pPr>
              <w:tabs>
                <w:tab w:val="left" w:pos="1260"/>
              </w:tabs>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u w:val="single"/>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1.3.3</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质量标准</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1.设计要求：国家及地方有关工程设计管理法规和规章，达到行业相关规范技术标准等要求；符合建设工程设计的技术规范及本项目设计任务书的要求。</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2.施工质量标准：合格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1.4.1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投标人资质条件、能力和信誉</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u w:val="single"/>
              </w:rPr>
              <w:t>详见本项目招标公告。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1.4.2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是否接受联合体投标</w:t>
            </w:r>
          </w:p>
        </w:tc>
        <w:tc>
          <w:tcPr>
            <w:tcW w:w="6675" w:type="dxa"/>
            <w:tcBorders>
              <w:top w:val="single" w:color="auto" w:sz="6" w:space="0"/>
              <w:left w:val="single" w:color="auto" w:sz="6" w:space="0"/>
              <w:bottom w:val="single" w:color="auto" w:sz="6" w:space="0"/>
              <w:right w:val="single" w:color="auto" w:sz="4" w:space="0"/>
            </w:tcBorders>
            <w:vAlign w:val="center"/>
          </w:tcPr>
          <w:p>
            <w:pPr>
              <w:pStyle w:val="7"/>
              <w:topLinePunct/>
              <w:adjustRightInd w:val="0"/>
              <w:snapToGrid w:val="0"/>
              <w:spacing w:after="0" w:line="360" w:lineRule="auto"/>
              <w:rPr>
                <w:rFonts w:ascii="宋体" w:hAnsi="宋体" w:cs="宋体"/>
                <w:color w:val="auto"/>
                <w:kern w:val="2"/>
                <w:sz w:val="24"/>
                <w:szCs w:val="24"/>
              </w:rPr>
            </w:pPr>
            <w:r>
              <w:rPr>
                <w:rFonts w:hint="eastAsia" w:ascii="宋体" w:hAnsi="宋体" w:cs="宋体"/>
                <w:color w:val="auto"/>
                <w:kern w:val="2"/>
                <w:sz w:val="24"/>
                <w:szCs w:val="24"/>
              </w:rPr>
              <w:t>□不接受</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■接受，应满足下列要求：见本项目招标公告要求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1.5</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费用承担和设计成果补偿</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■不补偿</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□补偿，补偿标准：</w:t>
            </w:r>
            <w:r>
              <w:rPr>
                <w:rFonts w:hint="eastAsia" w:ascii="宋体" w:hAnsi="宋体" w:cs="宋体"/>
                <w:color w:val="auto"/>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1.9.1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踏勘</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■不组织：投标人可自行结合招标文件等对工程现场及周围环境进行踏勘，以便获取有关编制投标文件和签署合同所涉及现场的资料。考察期间所发生一切费用或意外由投标人自行负责。</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□组织，踏勘时间：</w:t>
            </w:r>
            <w:r>
              <w:rPr>
                <w:rFonts w:hint="eastAsia" w:ascii="宋体" w:hAnsi="宋体" w:cs="宋体"/>
                <w:color w:val="auto"/>
                <w:sz w:val="24"/>
                <w:szCs w:val="24"/>
                <w:u w:val="single"/>
              </w:rPr>
              <w:t>/</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踏勘集中地点：</w:t>
            </w:r>
            <w:r>
              <w:rPr>
                <w:rFonts w:hint="eastAsia" w:ascii="宋体" w:hAnsi="宋体" w:cs="宋体"/>
                <w:color w:val="auto"/>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1.10.1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投标预备会</w:t>
            </w:r>
          </w:p>
        </w:tc>
        <w:tc>
          <w:tcPr>
            <w:tcW w:w="6675" w:type="dxa"/>
            <w:tcBorders>
              <w:top w:val="single" w:color="auto" w:sz="6" w:space="0"/>
              <w:left w:val="single" w:color="auto" w:sz="6" w:space="0"/>
              <w:bottom w:val="single" w:color="auto" w:sz="6" w:space="0"/>
              <w:right w:val="single" w:color="auto" w:sz="4" w:space="0"/>
            </w:tcBorders>
            <w:vAlign w:val="center"/>
          </w:tcPr>
          <w:p>
            <w:pPr>
              <w:pStyle w:val="7"/>
              <w:topLinePunct/>
              <w:adjustRightInd w:val="0"/>
              <w:snapToGrid w:val="0"/>
              <w:spacing w:after="0" w:line="360" w:lineRule="auto"/>
              <w:rPr>
                <w:rFonts w:ascii="宋体" w:hAnsi="宋体" w:cs="宋体"/>
                <w:color w:val="auto"/>
                <w:kern w:val="2"/>
                <w:sz w:val="24"/>
                <w:szCs w:val="24"/>
              </w:rPr>
            </w:pPr>
            <w:r>
              <w:rPr>
                <w:rFonts w:hint="eastAsia" w:ascii="宋体" w:hAnsi="宋体" w:cs="宋体"/>
                <w:color w:val="auto"/>
                <w:sz w:val="24"/>
                <w:szCs w:val="24"/>
              </w:rPr>
              <w:t>■</w:t>
            </w:r>
            <w:r>
              <w:rPr>
                <w:rFonts w:hint="eastAsia" w:ascii="宋体" w:hAnsi="宋体" w:cs="宋体"/>
                <w:color w:val="auto"/>
                <w:kern w:val="2"/>
                <w:sz w:val="24"/>
                <w:szCs w:val="24"/>
              </w:rPr>
              <w:t>不召开</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 xml:space="preserve">□召开，召开时间： </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召开地点：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1.10.2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投标人提出问题的截止时间</w:t>
            </w:r>
          </w:p>
        </w:tc>
        <w:tc>
          <w:tcPr>
            <w:tcW w:w="6675" w:type="dxa"/>
            <w:tcBorders>
              <w:top w:val="single" w:color="auto" w:sz="6" w:space="0"/>
              <w:left w:val="single" w:color="auto" w:sz="6" w:space="0"/>
              <w:bottom w:val="single" w:color="auto" w:sz="6" w:space="0"/>
              <w:right w:val="single" w:color="auto" w:sz="4" w:space="0"/>
            </w:tcBorders>
            <w:vAlign w:val="center"/>
          </w:tcPr>
          <w:p>
            <w:pPr>
              <w:rPr>
                <w:color w:val="auto"/>
              </w:rPr>
            </w:pP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1.10.3</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招标人书面澄清的时间</w:t>
            </w:r>
          </w:p>
        </w:tc>
        <w:tc>
          <w:tcPr>
            <w:tcW w:w="6675" w:type="dxa"/>
            <w:tcBorders>
              <w:top w:val="single" w:color="auto" w:sz="6" w:space="0"/>
              <w:left w:val="single" w:color="auto" w:sz="6" w:space="0"/>
              <w:bottom w:val="single" w:color="auto" w:sz="6" w:space="0"/>
              <w:right w:val="single" w:color="auto" w:sz="4" w:space="0"/>
            </w:tcBorders>
            <w:vAlign w:val="center"/>
          </w:tcPr>
          <w:p>
            <w:pPr>
              <w:rPr>
                <w:color w:val="auto"/>
              </w:rPr>
            </w:pPr>
          </w:p>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1.11.1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招标人规定由分包人承担的工作</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1.11.2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投标人拟分包的工作</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□不允许</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■允许，经招标人同意，中标人可以把中标项目得部分非主体、非关键性工作分包给具有相应资质和能力得专业单位实施，但不得再次分包。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1.12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偏离</w:t>
            </w:r>
          </w:p>
        </w:tc>
        <w:tc>
          <w:tcPr>
            <w:tcW w:w="6675" w:type="dxa"/>
            <w:tcBorders>
              <w:top w:val="single" w:color="auto" w:sz="6" w:space="0"/>
              <w:left w:val="single" w:color="auto" w:sz="6" w:space="0"/>
              <w:bottom w:val="single" w:color="auto" w:sz="6" w:space="0"/>
              <w:right w:val="single" w:color="auto" w:sz="4" w:space="0"/>
            </w:tcBorders>
            <w:vAlign w:val="center"/>
          </w:tcPr>
          <w:p>
            <w:pPr>
              <w:pStyle w:val="7"/>
              <w:topLinePunct/>
              <w:adjustRightInd w:val="0"/>
              <w:snapToGrid w:val="0"/>
              <w:spacing w:after="0" w:line="360" w:lineRule="auto"/>
              <w:rPr>
                <w:rFonts w:ascii="宋体" w:hAnsi="宋体" w:cs="宋体"/>
                <w:color w:val="auto"/>
                <w:kern w:val="2"/>
                <w:sz w:val="24"/>
                <w:szCs w:val="24"/>
              </w:rPr>
            </w:pPr>
            <w:r>
              <w:rPr>
                <w:rFonts w:hint="eastAsia" w:ascii="宋体" w:hAnsi="宋体" w:cs="宋体"/>
                <w:color w:val="auto"/>
                <w:kern w:val="2"/>
                <w:sz w:val="24"/>
                <w:szCs w:val="24"/>
              </w:rPr>
              <w:t>■不允许</w:t>
            </w:r>
          </w:p>
          <w:p>
            <w:pPr>
              <w:pStyle w:val="7"/>
              <w:topLinePunct/>
              <w:adjustRightInd w:val="0"/>
              <w:snapToGrid w:val="0"/>
              <w:spacing w:after="0" w:line="360" w:lineRule="auto"/>
              <w:rPr>
                <w:rFonts w:ascii="宋体" w:hAnsi="宋体" w:cs="宋体"/>
                <w:color w:val="auto"/>
                <w:kern w:val="2"/>
                <w:sz w:val="24"/>
                <w:szCs w:val="24"/>
              </w:rPr>
            </w:pPr>
            <w:r>
              <w:rPr>
                <w:rFonts w:hint="eastAsia" w:ascii="宋体" w:hAnsi="宋体" w:cs="宋体"/>
                <w:color w:val="auto"/>
                <w:kern w:val="2"/>
                <w:sz w:val="24"/>
                <w:szCs w:val="24"/>
              </w:rPr>
              <w:t>□允许，允许偏离的内容、偏离范围和幅度：</w:t>
            </w:r>
            <w:r>
              <w:rPr>
                <w:rFonts w:hint="eastAsia" w:ascii="宋体" w:hAnsi="宋体" w:cs="宋体"/>
                <w:color w:val="auto"/>
                <w:kern w:val="2"/>
                <w:sz w:val="24"/>
                <w:szCs w:val="24"/>
                <w:u w:val="single"/>
              </w:rPr>
              <w:t>/</w:t>
            </w:r>
            <w:r>
              <w:rPr>
                <w:rFonts w:hint="eastAsia" w:ascii="宋体" w:hAnsi="宋体" w:cs="宋体"/>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构成招标文件的其他资料</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u w:val="single"/>
              </w:rPr>
              <w:t>答疑纪要、澄清文件等（如有）。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2.2.1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投标人要求澄清招标文件的截止时间</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时间：2024年  月  日 时 分（北京时间）前提出（具体详见广州公共资源交易中心网上日程安排）。</w:t>
            </w:r>
          </w:p>
          <w:p>
            <w:pPr>
              <w:ind w:firstLine="118"/>
              <w:rPr>
                <w:rFonts w:ascii="宋体" w:hAnsi="宋体" w:eastAsia="黑体" w:cs="宋体"/>
                <w:bCs/>
                <w:color w:val="auto"/>
                <w:sz w:val="24"/>
                <w:szCs w:val="24"/>
              </w:rPr>
            </w:pPr>
            <w:r>
              <w:rPr>
                <w:rFonts w:hint="eastAsia" w:ascii="宋体" w:hAnsi="宋体" w:cs="宋体"/>
                <w:color w:val="auto"/>
                <w:sz w:val="24"/>
                <w:szCs w:val="24"/>
              </w:rPr>
              <w:t>形式：投标人的疑问通过广州公共资源交易中心数字交易平台提交。具体操作方法详见广州公共资源交易中心网站发布的全流程电子化项目操作指引。提问一律不得署名。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2.2.2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投标截止时间</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kern w:val="0"/>
                <w:sz w:val="24"/>
                <w:szCs w:val="24"/>
              </w:rPr>
            </w:pPr>
            <w:r>
              <w:rPr>
                <w:rFonts w:hint="eastAsia" w:ascii="宋体" w:hAnsi="宋体" w:cs="宋体"/>
                <w:color w:val="auto"/>
                <w:kern w:val="0"/>
                <w:sz w:val="24"/>
                <w:szCs w:val="24"/>
              </w:rPr>
              <w:t>投标截止时间：</w:t>
            </w:r>
            <w:r>
              <w:rPr>
                <w:rFonts w:hint="eastAsia" w:ascii="宋体" w:hAnsi="宋体" w:cs="宋体"/>
                <w:color w:val="auto"/>
                <w:sz w:val="24"/>
                <w:szCs w:val="24"/>
              </w:rPr>
              <w:t>2024年  月  日 时 分（北京时间）</w:t>
            </w:r>
            <w:r>
              <w:rPr>
                <w:rFonts w:hint="eastAsia" w:ascii="宋体" w:hAnsi="宋体" w:cs="宋体"/>
                <w:color w:val="auto"/>
                <w:kern w:val="0"/>
                <w:sz w:val="24"/>
                <w:szCs w:val="24"/>
              </w:rPr>
              <w:t>；</w:t>
            </w:r>
          </w:p>
          <w:p>
            <w:pPr>
              <w:adjustRightInd w:val="0"/>
              <w:snapToGrid w:val="0"/>
              <w:spacing w:line="360" w:lineRule="auto"/>
              <w:rPr>
                <w:rFonts w:ascii="宋体" w:hAnsi="宋体" w:cs="宋体"/>
                <w:color w:val="auto"/>
                <w:sz w:val="24"/>
                <w:szCs w:val="24"/>
              </w:rPr>
            </w:pPr>
            <w:r>
              <w:rPr>
                <w:rFonts w:hint="eastAsia" w:ascii="宋体" w:hAnsi="宋体" w:cs="宋体"/>
                <w:color w:val="auto"/>
                <w:kern w:val="0"/>
                <w:sz w:val="24"/>
                <w:szCs w:val="24"/>
              </w:rPr>
              <w:t>具体时间可以到广州公共资源交易中心网站的项目查询(日程安排、答疑纪要)中输入本项目编号或项目名称进行查询。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2.2.3</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投标人确认收到招标文件澄清的时间</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u w:val="single"/>
              </w:rPr>
              <w:t>招标文件澄清或修改一经在广州公共资源交易中心数字交易平台网站发布，视作已发放给所有投标人，以交易平台网站发布时间作为送达时间。招标文件澄清或修改内容作为招标文件的组成部分，具有约束作用。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2.3.2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投标人确认收到招标文件修改的时间</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u w:val="single"/>
              </w:rPr>
              <w:t>招标文件澄清或修改一经在广州公共资源交易中心数字交易平台网站发布，视作已发放给所有投标人，以交易平台网站发布时间作为送达时间。招标文件澄清或修改内容作为招标文件的组成部分，具有约束作用。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3.1.1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构成投标文件的其他资料</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b/>
                <w:color w:val="auto"/>
                <w:sz w:val="24"/>
                <w:szCs w:val="24"/>
                <w:u w:val="single"/>
              </w:rPr>
            </w:pPr>
            <w:r>
              <w:rPr>
                <w:rFonts w:hint="eastAsia" w:ascii="宋体" w:hAnsi="宋体" w:cs="宋体"/>
                <w:color w:val="auto"/>
                <w:sz w:val="24"/>
                <w:szCs w:val="24"/>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3.2.4</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最高投标限价或其计算方法</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本项目最高投标限价为：人民币1964.14万元，其中：工程设计费最高投标限价为人民币31.94万元、建安工程费最高投标限价为人民币1932.20万元（水利1166.30万元，园林景观工程765.90万元）。</w:t>
            </w:r>
            <w:r>
              <w:rPr>
                <w:rFonts w:hint="eastAsia" w:ascii="宋体" w:hAnsi="宋体" w:cs="宋体"/>
                <w:b/>
                <w:bCs/>
                <w:color w:val="auto"/>
                <w:sz w:val="24"/>
                <w:szCs w:val="24"/>
                <w:u w:val="single"/>
              </w:rPr>
              <w:t>投标人的总投标报价或工程设计费投标报价或建安工程费投标报价不得高于上述对应最高投标限价，否则，将否决其投标。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3.2.5</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投标报价的要求</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1、投标报价由</w:t>
            </w:r>
            <w:r>
              <w:rPr>
                <w:rFonts w:hint="eastAsia" w:ascii="宋体" w:hAnsi="宋体" w:cs="宋体"/>
                <w:b/>
                <w:bCs/>
                <w:color w:val="auto"/>
                <w:sz w:val="24"/>
                <w:szCs w:val="24"/>
              </w:rPr>
              <w:t>工程设计费、建安工程费</w:t>
            </w:r>
            <w:r>
              <w:rPr>
                <w:rFonts w:hint="eastAsia" w:ascii="宋体" w:hAnsi="宋体" w:cs="宋体"/>
                <w:color w:val="auto"/>
                <w:sz w:val="24"/>
                <w:szCs w:val="24"/>
              </w:rPr>
              <w:t>两部分组成。</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（1）工程设计费的投标报价不得高于本工程设计费的最高投标限价，否则，将否决其投标。结算方式按照合同相关约定执行。</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2）建安工程费的投标报价不得高于建安工程费的最高投标限价（注：绿色施工安全防护措施费包含在建安工程费招标控制价内，投标报价已包含该部分费用），否则，将否决其投标。结算方式按照合同约定执行。</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2、投标报价要求及格式详见第七章《投标文件格式》要求。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3.3.1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投标有效期</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u w:val="single"/>
              </w:rPr>
              <w:t>120</w:t>
            </w:r>
            <w:r>
              <w:rPr>
                <w:rFonts w:hint="eastAsia" w:ascii="宋体" w:hAnsi="宋体" w:cs="宋体"/>
                <w:color w:val="auto"/>
                <w:sz w:val="24"/>
                <w:szCs w:val="24"/>
              </w:rPr>
              <w:t>日历天（从递交投标文件截止之日计起）。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3.4.1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投标保证金</w:t>
            </w:r>
          </w:p>
        </w:tc>
        <w:tc>
          <w:tcPr>
            <w:tcW w:w="6675" w:type="dxa"/>
            <w:tcBorders>
              <w:top w:val="single" w:color="auto" w:sz="6" w:space="0"/>
              <w:left w:val="single" w:color="auto" w:sz="6" w:space="0"/>
              <w:bottom w:val="single" w:color="auto" w:sz="6" w:space="0"/>
              <w:right w:val="single" w:color="auto" w:sz="4" w:space="0"/>
            </w:tcBorders>
            <w:vAlign w:val="center"/>
          </w:tcPr>
          <w:p>
            <w:pPr>
              <w:topLinePunct/>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是否要求投标人递交投标保证金：</w:t>
            </w:r>
          </w:p>
          <w:p>
            <w:pPr>
              <w:topLinePunct/>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□要求，</w:t>
            </w:r>
          </w:p>
          <w:p>
            <w:pPr>
              <w:topLinePunct/>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投标保证金的形式：</w:t>
            </w:r>
            <w:r>
              <w:rPr>
                <w:rFonts w:hint="eastAsia" w:ascii="宋体" w:hAnsi="宋体" w:cs="宋体"/>
                <w:color w:val="auto"/>
                <w:sz w:val="24"/>
                <w:szCs w:val="24"/>
                <w:u w:val="single"/>
              </w:rPr>
              <w:t xml:space="preserve"> / 。</w:t>
            </w:r>
          </w:p>
          <w:p>
            <w:pPr>
              <w:topLinePunct/>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投标保证金的金额：</w:t>
            </w:r>
            <w:r>
              <w:rPr>
                <w:rFonts w:hint="eastAsia" w:ascii="宋体" w:hAnsi="宋体" w:cs="宋体"/>
                <w:color w:val="auto"/>
                <w:sz w:val="24"/>
                <w:szCs w:val="24"/>
                <w:u w:val="single"/>
              </w:rPr>
              <w:t xml:space="preserve"> / 。</w:t>
            </w:r>
          </w:p>
          <w:p>
            <w:pPr>
              <w:topLinePunct/>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3.5.2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近年财务状况</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left"/>
              <w:rPr>
                <w:rFonts w:ascii="宋体" w:hAnsi="宋体" w:cs="宋体"/>
                <w:color w:val="auto"/>
                <w:sz w:val="24"/>
                <w:szCs w:val="24"/>
                <w:u w:val="single"/>
              </w:rPr>
            </w:pPr>
            <w:r>
              <w:rPr>
                <w:rFonts w:hint="eastAsia" w:ascii="宋体" w:hAnsi="宋体" w:cs="宋体"/>
                <w:color w:val="auto"/>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3.5.3</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近年完成的类似项目</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3.5.5</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近年发生的重大诉讼及仲裁情况</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3.6</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是否允许递交备选投标方案</w:t>
            </w:r>
          </w:p>
        </w:tc>
        <w:tc>
          <w:tcPr>
            <w:tcW w:w="6675" w:type="dxa"/>
            <w:tcBorders>
              <w:top w:val="single" w:color="auto" w:sz="6" w:space="0"/>
              <w:left w:val="single" w:color="auto" w:sz="6" w:space="0"/>
              <w:bottom w:val="single" w:color="auto" w:sz="6" w:space="0"/>
              <w:right w:val="single" w:color="auto" w:sz="4" w:space="0"/>
            </w:tcBorders>
            <w:vAlign w:val="center"/>
          </w:tcPr>
          <w:p>
            <w:pPr>
              <w:pStyle w:val="7"/>
              <w:topLinePunct/>
              <w:adjustRightInd w:val="0"/>
              <w:snapToGrid w:val="0"/>
              <w:spacing w:after="0" w:line="360" w:lineRule="auto"/>
              <w:rPr>
                <w:rFonts w:ascii="宋体" w:hAnsi="宋体" w:cs="宋体"/>
                <w:color w:val="auto"/>
                <w:kern w:val="2"/>
                <w:sz w:val="24"/>
                <w:szCs w:val="24"/>
              </w:rPr>
            </w:pPr>
            <w:r>
              <w:rPr>
                <w:rFonts w:hint="eastAsia" w:ascii="宋体" w:hAnsi="宋体" w:cs="宋体"/>
                <w:color w:val="auto"/>
                <w:kern w:val="2"/>
                <w:sz w:val="24"/>
                <w:szCs w:val="24"/>
              </w:rPr>
              <w:t>■不允许</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3.7.3</w:t>
            </w:r>
          </w:p>
        </w:tc>
        <w:tc>
          <w:tcPr>
            <w:tcW w:w="2227" w:type="dxa"/>
            <w:gridSpan w:val="2"/>
            <w:tcBorders>
              <w:top w:val="single" w:color="auto" w:sz="6" w:space="0"/>
              <w:left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签字或盖章要求</w:t>
            </w:r>
          </w:p>
        </w:tc>
        <w:tc>
          <w:tcPr>
            <w:tcW w:w="6675" w:type="dxa"/>
            <w:tcBorders>
              <w:top w:val="single" w:color="auto" w:sz="6" w:space="0"/>
              <w:left w:val="single" w:color="auto" w:sz="6"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投标人采用单位数字证书，按招标文件要求在相应位置加盖电子印章。投标文件中需个人签字或盖章的，应加盖个人电子印章或在线下完成后扫描上传。按照广州公共资源交易中心网站最新发布的全流程电子化项目操作指南进行操作。</w:t>
            </w:r>
          </w:p>
          <w:p>
            <w:pPr>
              <w:pStyle w:val="7"/>
              <w:topLinePunct/>
              <w:adjustRightInd w:val="0"/>
              <w:snapToGrid w:val="0"/>
              <w:spacing w:after="0" w:line="360" w:lineRule="auto"/>
              <w:jc w:val="left"/>
              <w:rPr>
                <w:rFonts w:ascii="宋体" w:hAnsi="宋体" w:cs="宋体"/>
                <w:color w:val="auto"/>
                <w:kern w:val="2"/>
                <w:sz w:val="24"/>
                <w:szCs w:val="24"/>
              </w:rPr>
            </w:pPr>
            <w:r>
              <w:rPr>
                <w:rFonts w:hint="eastAsia" w:ascii="宋体" w:hAnsi="宋体" w:cs="宋体"/>
                <w:b/>
                <w:bCs/>
                <w:color w:val="auto"/>
                <w:sz w:val="24"/>
                <w:szCs w:val="24"/>
              </w:rPr>
              <w:t>联合体投标的，除投标文件中的《联合体投标协议书》需联合体各方盖章、签字外，投标文件其他内容中的“投标人”、“声明企业”应填写联合体各方的单位全称【参考格式表示为：(主)XXXX公司、(成)XXXX公司】，但由主办方盖章、签字即可。法定代表人证明书及授权委托证明书可由联合体主办方出具，其中“单位”一栏可只填写联合体主办方名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3.7.4</w:t>
            </w:r>
          </w:p>
        </w:tc>
        <w:tc>
          <w:tcPr>
            <w:tcW w:w="2227" w:type="dxa"/>
            <w:gridSpan w:val="2"/>
            <w:tcBorders>
              <w:top w:val="single" w:color="auto" w:sz="6" w:space="0"/>
              <w:left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投标文件副本份数</w:t>
            </w:r>
          </w:p>
        </w:tc>
        <w:tc>
          <w:tcPr>
            <w:tcW w:w="6675" w:type="dxa"/>
            <w:tcBorders>
              <w:top w:val="single" w:color="auto" w:sz="6" w:space="0"/>
              <w:left w:val="single" w:color="auto" w:sz="6"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本项目为电子招投标项目，该条款不适用。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1119" w:type="dxa"/>
            <w:tcBorders>
              <w:top w:val="single" w:color="auto" w:sz="6" w:space="0"/>
              <w:left w:val="single" w:color="auto" w:sz="4"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3.7.5</w:t>
            </w:r>
          </w:p>
        </w:tc>
        <w:tc>
          <w:tcPr>
            <w:tcW w:w="2227" w:type="dxa"/>
            <w:gridSpan w:val="2"/>
            <w:tcBorders>
              <w:top w:val="single" w:color="auto" w:sz="6" w:space="0"/>
              <w:left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装订要求</w:t>
            </w:r>
          </w:p>
        </w:tc>
        <w:tc>
          <w:tcPr>
            <w:tcW w:w="6675" w:type="dxa"/>
            <w:tcBorders>
              <w:top w:val="single" w:color="auto" w:sz="6" w:space="0"/>
              <w:left w:val="single" w:color="auto" w:sz="6"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本项目为电子招投标项目，该条款不适用。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4.1.2</w:t>
            </w:r>
          </w:p>
        </w:tc>
        <w:tc>
          <w:tcPr>
            <w:tcW w:w="2227" w:type="dxa"/>
            <w:gridSpan w:val="2"/>
            <w:tcBorders>
              <w:top w:val="single" w:color="auto" w:sz="6" w:space="0"/>
              <w:left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封套上应载明的信息</w:t>
            </w:r>
          </w:p>
        </w:tc>
        <w:tc>
          <w:tcPr>
            <w:tcW w:w="6675" w:type="dxa"/>
            <w:tcBorders>
              <w:top w:val="single" w:color="auto" w:sz="6" w:space="0"/>
              <w:left w:val="single" w:color="auto" w:sz="6"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本项目为电子招投标项目，该条款不适用。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4.2.2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pacing w:val="-10"/>
                <w:sz w:val="24"/>
                <w:szCs w:val="24"/>
              </w:rPr>
            </w:pPr>
            <w:r>
              <w:rPr>
                <w:rFonts w:hint="eastAsia" w:ascii="宋体" w:hAnsi="宋体" w:cs="宋体"/>
                <w:color w:val="auto"/>
                <w:spacing w:val="-10"/>
                <w:sz w:val="24"/>
                <w:szCs w:val="24"/>
              </w:rPr>
              <w:t>递交投标文件地点</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投标人应在投标文件递交截止时间前通过广州公共资源交易中心数字交易平台递交电子投标文件。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4.2.3</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是否退还</w:t>
            </w:r>
          </w:p>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投标文件</w:t>
            </w:r>
          </w:p>
        </w:tc>
        <w:tc>
          <w:tcPr>
            <w:tcW w:w="6675" w:type="dxa"/>
            <w:tcBorders>
              <w:top w:val="single" w:color="auto" w:sz="6" w:space="0"/>
              <w:left w:val="single" w:color="auto" w:sz="6" w:space="0"/>
              <w:bottom w:val="single" w:color="auto" w:sz="6" w:space="0"/>
              <w:right w:val="single" w:color="auto" w:sz="4" w:space="0"/>
            </w:tcBorders>
            <w:vAlign w:val="center"/>
          </w:tcPr>
          <w:p>
            <w:pPr>
              <w:pStyle w:val="7"/>
              <w:topLinePunct/>
              <w:adjustRightInd w:val="0"/>
              <w:snapToGrid w:val="0"/>
              <w:spacing w:after="0" w:line="360" w:lineRule="auto"/>
              <w:rPr>
                <w:rFonts w:ascii="宋体" w:hAnsi="宋体" w:cs="宋体"/>
                <w:color w:val="auto"/>
                <w:kern w:val="2"/>
                <w:sz w:val="24"/>
                <w:szCs w:val="24"/>
              </w:rPr>
            </w:pPr>
            <w:r>
              <w:rPr>
                <w:rFonts w:hint="eastAsia" w:ascii="宋体" w:hAnsi="宋体" w:cs="宋体"/>
                <w:color w:val="auto"/>
                <w:kern w:val="2"/>
                <w:sz w:val="24"/>
                <w:szCs w:val="24"/>
              </w:rPr>
              <w:t>■否</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5.1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开标时间和地点</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kern w:val="0"/>
                <w:sz w:val="24"/>
                <w:szCs w:val="24"/>
                <w:u w:val="single"/>
              </w:rPr>
            </w:pPr>
            <w:r>
              <w:rPr>
                <w:rFonts w:hint="eastAsia" w:ascii="宋体" w:hAnsi="宋体" w:cs="宋体"/>
                <w:color w:val="auto"/>
                <w:kern w:val="0"/>
                <w:sz w:val="24"/>
                <w:szCs w:val="24"/>
              </w:rPr>
              <w:t>开标开始时间：</w:t>
            </w:r>
            <w:r>
              <w:rPr>
                <w:rFonts w:hint="eastAsia" w:ascii="宋体" w:hAnsi="宋体" w:cs="宋体"/>
                <w:color w:val="auto"/>
                <w:kern w:val="0"/>
                <w:sz w:val="24"/>
                <w:szCs w:val="24"/>
                <w:u w:val="single"/>
              </w:rPr>
              <w:t>开标时间同投标截止时间。</w:t>
            </w:r>
          </w:p>
          <w:p>
            <w:pPr>
              <w:adjustRightInd w:val="0"/>
              <w:snapToGrid w:val="0"/>
              <w:spacing w:line="360" w:lineRule="auto"/>
              <w:rPr>
                <w:rFonts w:ascii="宋体" w:hAnsi="宋体" w:cs="宋体"/>
                <w:color w:val="auto"/>
                <w:kern w:val="0"/>
                <w:sz w:val="24"/>
                <w:szCs w:val="24"/>
                <w:u w:val="single"/>
              </w:rPr>
            </w:pPr>
            <w:r>
              <w:rPr>
                <w:rFonts w:hint="eastAsia" w:ascii="宋体" w:hAnsi="宋体" w:cs="宋体"/>
                <w:color w:val="auto"/>
                <w:kern w:val="0"/>
                <w:sz w:val="24"/>
                <w:szCs w:val="24"/>
              </w:rPr>
              <w:t>开标地点：</w:t>
            </w:r>
            <w:r>
              <w:rPr>
                <w:rFonts w:hint="eastAsia" w:ascii="宋体" w:hAnsi="宋体" w:cs="宋体"/>
                <w:color w:val="auto"/>
                <w:kern w:val="0"/>
                <w:sz w:val="24"/>
                <w:szCs w:val="24"/>
                <w:u w:val="single"/>
              </w:rPr>
              <w:t>广州公共资源交易中心  开标室。</w:t>
            </w:r>
          </w:p>
          <w:p>
            <w:pPr>
              <w:adjustRightInd w:val="0"/>
              <w:snapToGrid w:val="0"/>
              <w:spacing w:line="360" w:lineRule="auto"/>
              <w:rPr>
                <w:rFonts w:ascii="宋体" w:hAnsi="宋体" w:cs="宋体"/>
                <w:color w:val="auto"/>
                <w:kern w:val="0"/>
                <w:sz w:val="24"/>
                <w:szCs w:val="24"/>
                <w:u w:val="single"/>
              </w:rPr>
            </w:pPr>
            <w:r>
              <w:rPr>
                <w:rFonts w:hint="eastAsia" w:ascii="宋体" w:hAnsi="宋体" w:cs="宋体"/>
                <w:color w:val="auto"/>
                <w:kern w:val="0"/>
                <w:sz w:val="24"/>
                <w:szCs w:val="24"/>
                <w:u w:val="single"/>
              </w:rPr>
              <w:t>投标人也可选择在线参加开标，具体按照交易平台相关指南进行操作。详见：广州公共资源交易中心网站（http:/ www.gzggzy.cn）服务指南栏目。</w:t>
            </w:r>
          </w:p>
          <w:p>
            <w:pPr>
              <w:pStyle w:val="2"/>
              <w:rPr>
                <w:color w:val="auto"/>
              </w:rPr>
            </w:pPr>
            <w:r>
              <w:rPr>
                <w:rFonts w:hint="eastAsia" w:hAnsi="宋体" w:cs="宋体"/>
                <w:color w:val="auto"/>
                <w:sz w:val="24"/>
                <w:szCs w:val="24"/>
                <w:u w:val="single"/>
              </w:rPr>
              <w:t>具体时间可以到广州公共资源交易中心网站的服务指南中的交易活动安排输入本项目编号或项目名称进行查询。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5.2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开标程序</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1.按下列程序进行开标：</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（1）宣布开标纪律；</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2）在投标截止时间后30分钟内，投标人通过递交投标文件的交易平台对已递交的电子投标文件进行解密。投标人完成解密后，再由招标人进行解密（投标人只用执行一次解密，招标人执行解密次数根据招标文件开标次数确定）。</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（3）解密完成后，公布：a投标人名称；b投标文件递交情况；c投标文件解密情况；</w:t>
            </w:r>
            <w:r>
              <w:rPr>
                <w:rFonts w:hint="eastAsia" w:ascii="宋体" w:hAnsi="宋体" w:cs="宋体"/>
                <w:strike/>
                <w:color w:val="auto"/>
                <w:sz w:val="24"/>
                <w:szCs w:val="24"/>
              </w:rPr>
              <w:t>d投标担保递交情况</w:t>
            </w:r>
            <w:r>
              <w:rPr>
                <w:rFonts w:hint="eastAsia" w:ascii="宋体" w:hAnsi="宋体" w:cs="宋体"/>
                <w:color w:val="auto"/>
                <w:sz w:val="24"/>
                <w:szCs w:val="24"/>
              </w:rPr>
              <w:t>；e项目负责人（施工负责人）、设计负责人、专职安全员；f投标报价（含设计费报价和建安工程费报价）；g工期；h投标人的加密打包投标文件电脑机器特征码等主要内容，并记录在案。未在规定时间内解密的投标文件不参与开标、评标。</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（4）截标后，开标开始时间因故推迟的，相关评标信息仍以原定的开标开始时间的信息为准。</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（5）备用光盘</w:t>
            </w:r>
            <w:r>
              <w:rPr>
                <w:rFonts w:hint="eastAsia" w:ascii="宋体" w:hAnsi="宋体" w:cs="宋体"/>
                <w:color w:val="auto"/>
                <w:sz w:val="24"/>
                <w:szCs w:val="24"/>
                <w:lang w:val="zh-CN"/>
              </w:rPr>
              <w:t>或u盘</w:t>
            </w:r>
            <w:r>
              <w:rPr>
                <w:rFonts w:hint="eastAsia" w:ascii="宋体" w:hAnsi="宋体" w:cs="宋体"/>
                <w:color w:val="auto"/>
                <w:sz w:val="24"/>
                <w:szCs w:val="24"/>
              </w:rPr>
              <w:t>的读取按“10 电子招标投标”第6点的规定执行。</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6）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（8）投标人未参加开标或在规定的时间内未提出异议的，视为对开标无异议。</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（9）开标时，两个（含两个）以上的投标人加密打包投标文件电脑机器特征码一致的，不参与下一程序，并由评标委员会否决其投标。</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（10）参加开标会的投标人代表、招标人代表、见证人、记录人等有关人员在开标记录上签字确认；若有关人员不签字的，不影响开标程序；</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（11）开标结束。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6.1.1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评标委员会的组建</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u w:val="single"/>
              </w:rPr>
            </w:pPr>
            <w:r>
              <w:rPr>
                <w:rFonts w:hint="eastAsia" w:ascii="宋体" w:hAnsi="宋体" w:cs="宋体"/>
                <w:color w:val="auto"/>
                <w:sz w:val="24"/>
                <w:szCs w:val="24"/>
              </w:rPr>
              <w:t>评标委员会由招标人依法组建。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7.1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是否授权评标委员会确定中标人</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□是</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■否，推荐的中标候选人数：</w:t>
            </w:r>
            <w:r>
              <w:rPr>
                <w:rFonts w:hint="eastAsia" w:ascii="宋体" w:hAnsi="宋体" w:cs="宋体"/>
                <w:color w:val="auto"/>
                <w:sz w:val="24"/>
                <w:szCs w:val="24"/>
                <w:u w:val="single"/>
              </w:rPr>
              <w:t>3</w:t>
            </w:r>
            <w:r>
              <w:rPr>
                <w:rFonts w:hint="eastAsia" w:ascii="宋体" w:hAnsi="宋体" w:cs="宋体"/>
                <w:color w:val="auto"/>
                <w:sz w:val="24"/>
                <w:szCs w:val="24"/>
              </w:rPr>
              <w:t>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7.2</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中标候选人公示媒介</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公示媒介：中国招标投标公共服务平台、广东省招标投标监管网、广州公共资源交易网</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公示期限：3日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7.4.1</w:t>
            </w:r>
          </w:p>
        </w:tc>
        <w:tc>
          <w:tcPr>
            <w:tcW w:w="222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履约担保</w:t>
            </w:r>
          </w:p>
        </w:tc>
        <w:tc>
          <w:tcPr>
            <w:tcW w:w="6675"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履约担保的形式：以合同约定为准。</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履约担保的金额：中标合同金额的10%。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9</w:t>
            </w:r>
          </w:p>
        </w:tc>
        <w:tc>
          <w:tcPr>
            <w:tcW w:w="8902"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left"/>
              <w:rPr>
                <w:rFonts w:ascii="宋体" w:hAnsi="宋体" w:cs="宋体"/>
                <w:color w:val="auto"/>
                <w:sz w:val="24"/>
                <w:szCs w:val="24"/>
              </w:rPr>
            </w:pPr>
            <w:r>
              <w:rPr>
                <w:rFonts w:hint="eastAsia" w:ascii="宋体" w:hAnsi="宋体" w:cs="宋体"/>
                <w:color w:val="auto"/>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9.1</w:t>
            </w:r>
          </w:p>
        </w:tc>
        <w:tc>
          <w:tcPr>
            <w:tcW w:w="8902" w:type="dxa"/>
            <w:gridSpan w:val="3"/>
            <w:tcBorders>
              <w:top w:val="single" w:color="auto" w:sz="6" w:space="0"/>
              <w:left w:val="single" w:color="auto" w:sz="6" w:space="0"/>
              <w:bottom w:val="single" w:color="auto" w:sz="6" w:space="0"/>
              <w:right w:val="single" w:color="auto" w:sz="4" w:space="0"/>
            </w:tcBorders>
            <w:vAlign w:val="center"/>
          </w:tcPr>
          <w:p>
            <w:pPr>
              <w:widowControl/>
              <w:adjustRightInd w:val="0"/>
              <w:snapToGrid w:val="0"/>
              <w:spacing w:line="360" w:lineRule="auto"/>
              <w:rPr>
                <w:rFonts w:ascii="宋体" w:hAnsi="宋体" w:cs="宋体"/>
                <w:color w:val="auto"/>
                <w:kern w:val="0"/>
                <w:sz w:val="24"/>
                <w:szCs w:val="24"/>
              </w:rPr>
            </w:pPr>
            <w:r>
              <w:rPr>
                <w:rFonts w:hint="eastAsia" w:ascii="宋体" w:hAnsi="宋体" w:cs="宋体"/>
                <w:color w:val="auto"/>
                <w:kern w:val="0"/>
                <w:sz w:val="24"/>
                <w:szCs w:val="24"/>
              </w:rPr>
              <w:t>建设工程质量检测单位：</w:t>
            </w:r>
          </w:p>
          <w:p>
            <w:pPr>
              <w:widowControl/>
              <w:adjustRightInd w:val="0"/>
              <w:snapToGrid w:val="0"/>
              <w:spacing w:line="360" w:lineRule="auto"/>
              <w:rPr>
                <w:rFonts w:ascii="宋体" w:hAnsi="宋体" w:cs="宋体"/>
                <w:b/>
                <w:bCs/>
                <w:color w:val="auto"/>
                <w:kern w:val="0"/>
                <w:sz w:val="24"/>
                <w:szCs w:val="24"/>
              </w:rPr>
            </w:pPr>
            <w:r>
              <w:rPr>
                <w:rFonts w:hint="eastAsia" w:ascii="宋体" w:hAnsi="宋体" w:cs="宋体"/>
                <w:color w:val="auto"/>
                <w:kern w:val="0"/>
                <w:sz w:val="24"/>
                <w:szCs w:val="24"/>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9.2</w:t>
            </w:r>
          </w:p>
        </w:tc>
        <w:tc>
          <w:tcPr>
            <w:tcW w:w="8902" w:type="dxa"/>
            <w:gridSpan w:val="3"/>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工程成本警戒价</w:t>
            </w:r>
            <w:r>
              <w:rPr>
                <w:rFonts w:hint="eastAsia" w:ascii="宋体" w:hAnsi="宋体" w:cs="宋体"/>
                <w:b/>
                <w:bCs/>
                <w:color w:val="auto"/>
                <w:sz w:val="24"/>
                <w:szCs w:val="24"/>
              </w:rPr>
              <w:t>为1738.98万元</w:t>
            </w:r>
            <w:r>
              <w:rPr>
                <w:rFonts w:ascii="宋体" w:hAnsi="宋体" w:cs="宋体"/>
                <w:color w:val="auto"/>
                <w:sz w:val="24"/>
                <w:szCs w:val="24"/>
              </w:rPr>
              <w:t>(</w:t>
            </w:r>
            <w:r>
              <w:rPr>
                <w:rFonts w:hint="eastAsia" w:ascii="宋体" w:hAnsi="宋体" w:cs="宋体"/>
                <w:color w:val="auto"/>
                <w:sz w:val="24"/>
                <w:szCs w:val="24"/>
              </w:rPr>
              <w:t>按建安工程费投标最高限价的</w:t>
            </w:r>
            <w:r>
              <w:rPr>
                <w:rFonts w:hint="eastAsia" w:ascii="宋体" w:hAnsi="宋体" w:cs="宋体"/>
                <w:b/>
                <w:bCs/>
                <w:color w:val="auto"/>
                <w:sz w:val="24"/>
                <w:szCs w:val="24"/>
                <w:u w:val="single"/>
              </w:rPr>
              <w:t>90%</w:t>
            </w:r>
            <w:r>
              <w:rPr>
                <w:rFonts w:hint="eastAsia" w:ascii="宋体" w:hAnsi="宋体" w:cs="宋体"/>
                <w:color w:val="auto"/>
                <w:sz w:val="24"/>
                <w:szCs w:val="24"/>
              </w:rPr>
              <w:t>设置)。</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对建安工程费部分投标报价低于该警戒价的投标报价，投标人必须提供详细的施工组织设计、综合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widowControl/>
              <w:adjustRightInd w:val="0"/>
              <w:snapToGrid w:val="0"/>
              <w:spacing w:line="360" w:lineRule="auto"/>
              <w:rPr>
                <w:rFonts w:ascii="宋体" w:hAnsi="宋体" w:cs="宋体"/>
                <w:color w:val="auto"/>
                <w:kern w:val="0"/>
                <w:sz w:val="24"/>
                <w:szCs w:val="24"/>
              </w:rPr>
            </w:pPr>
            <w:r>
              <w:rPr>
                <w:rFonts w:hint="eastAsia" w:ascii="宋体" w:hAnsi="宋体" w:cs="宋体"/>
                <w:color w:val="auto"/>
                <w:sz w:val="24"/>
                <w:szCs w:val="24"/>
              </w:rPr>
              <w:t>注：为充分体现招标人意愿及落实项目招标人负责制，警戒价由招标人决定。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9.3</w:t>
            </w:r>
          </w:p>
        </w:tc>
        <w:tc>
          <w:tcPr>
            <w:tcW w:w="8902" w:type="dxa"/>
            <w:gridSpan w:val="3"/>
            <w:tcBorders>
              <w:top w:val="single" w:color="auto" w:sz="6" w:space="0"/>
              <w:left w:val="single" w:color="auto" w:sz="6" w:space="0"/>
              <w:bottom w:val="single" w:color="auto" w:sz="6" w:space="0"/>
              <w:right w:val="single" w:color="auto" w:sz="4" w:space="0"/>
            </w:tcBorders>
            <w:vAlign w:val="center"/>
          </w:tcPr>
          <w:p>
            <w:pPr>
              <w:widowControl/>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中标人需向广州公共资源交易中心缴纳公共资源交易服务费，由广州公共资源交易中心向中标人开具发票，其费用包含在投标人的投标报价中，投标人需在投标报价中综合考虑。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widowControl/>
              <w:adjustRightInd w:val="0"/>
              <w:snapToGri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10</w:t>
            </w:r>
          </w:p>
        </w:tc>
        <w:tc>
          <w:tcPr>
            <w:tcW w:w="969" w:type="dxa"/>
            <w:tcBorders>
              <w:top w:val="single" w:color="auto" w:sz="6" w:space="0"/>
              <w:left w:val="single" w:color="auto" w:sz="6" w:space="0"/>
              <w:bottom w:val="single" w:color="auto" w:sz="6" w:space="0"/>
              <w:right w:val="single" w:color="auto" w:sz="4" w:space="0"/>
            </w:tcBorders>
            <w:vAlign w:val="center"/>
          </w:tcPr>
          <w:p>
            <w:pPr>
              <w:widowControl/>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电子招标投标</w:t>
            </w:r>
          </w:p>
        </w:tc>
        <w:tc>
          <w:tcPr>
            <w:tcW w:w="7933" w:type="dxa"/>
            <w:gridSpan w:val="2"/>
            <w:tcBorders>
              <w:top w:val="single" w:color="auto" w:sz="6" w:space="0"/>
              <w:left w:val="single" w:color="auto" w:sz="6" w:space="0"/>
              <w:bottom w:val="single" w:color="auto" w:sz="6" w:space="0"/>
              <w:right w:val="single" w:color="auto" w:sz="4" w:space="0"/>
            </w:tcBorders>
            <w:vAlign w:val="center"/>
          </w:tcPr>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□否</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■是，具体要求：</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1、投标文件形式：投标文件全部采用电子文档，投标文件应按广州公共资源交易中心数字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w:t>
            </w:r>
            <w:r>
              <w:rPr>
                <w:rFonts w:hint="eastAsia" w:hAnsi="宋体" w:cs="宋体"/>
                <w:color w:val="auto"/>
                <w:sz w:val="24"/>
                <w:szCs w:val="24"/>
              </w:rPr>
              <w:t>应加盖个人电子印章或在线下完成后扫描上传</w:t>
            </w:r>
            <w:r>
              <w:rPr>
                <w:rFonts w:hint="eastAsia" w:hAnsi="宋体" w:cs="宋体"/>
                <w:color w:val="auto"/>
                <w:kern w:val="2"/>
                <w:sz w:val="24"/>
                <w:szCs w:val="24"/>
                <w:lang w:val="zh-CN"/>
              </w:rPr>
              <w:t>。具体详见广州公共资源交易中心全流程电子化项目操作指南。</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2、投标文件的修改与撤回：投标人修改或撤回已递交的投标文件，需在广州公共资源交易中心数字交易平台发出撤回通知，并按要求加盖电子印章。电子招标投标交易平台收到通知后，即时向投标人发出确认回执通知。投标人撤回投标文件的，招标人自收到投标人书面撤回通知之日起5日内退还已收取的投标保证金。</w:t>
            </w:r>
          </w:p>
          <w:p>
            <w:pPr>
              <w:pStyle w:val="2"/>
              <w:adjustRightInd w:val="0"/>
              <w:snapToGrid w:val="0"/>
              <w:spacing w:line="360" w:lineRule="auto"/>
              <w:rPr>
                <w:rFonts w:hAnsi="宋体" w:cs="宋体"/>
                <w:color w:val="auto"/>
                <w:sz w:val="24"/>
                <w:szCs w:val="24"/>
              </w:rPr>
            </w:pPr>
            <w:r>
              <w:rPr>
                <w:rFonts w:hint="eastAsia" w:hAnsi="宋体" w:cs="宋体"/>
                <w:color w:val="auto"/>
                <w:kern w:val="2"/>
                <w:sz w:val="24"/>
                <w:szCs w:val="24"/>
                <w:lang w:val="zh-CN"/>
              </w:rPr>
              <w:t>3、</w:t>
            </w:r>
            <w:r>
              <w:rPr>
                <w:rFonts w:hint="eastAsia" w:hAnsi="宋体" w:cs="宋体"/>
                <w:b/>
                <w:bCs/>
                <w:color w:val="auto"/>
                <w:sz w:val="24"/>
                <w:szCs w:val="24"/>
                <w:u w:val="single"/>
              </w:rPr>
              <w:t>（重要风险提示）提交投标文件</w:t>
            </w:r>
            <w:r>
              <w:rPr>
                <w:rFonts w:hint="eastAsia" w:hAnsi="宋体" w:cs="宋体"/>
                <w:b/>
                <w:bCs/>
                <w:color w:val="auto"/>
                <w:sz w:val="24"/>
                <w:szCs w:val="24"/>
                <w:u w:val="single"/>
                <w:lang w:val="zh-CN"/>
              </w:rPr>
              <w:t>备用光盘或u盘</w:t>
            </w:r>
            <w:r>
              <w:rPr>
                <w:rFonts w:hint="eastAsia" w:hAnsi="宋体" w:cs="宋体"/>
                <w:b/>
                <w:bCs/>
                <w:color w:val="auto"/>
                <w:sz w:val="24"/>
                <w:szCs w:val="24"/>
                <w:u w:val="single"/>
              </w:rPr>
              <w:t>(备用)</w:t>
            </w:r>
            <w:r>
              <w:rPr>
                <w:rFonts w:hint="eastAsia" w:hAnsi="宋体" w:cs="宋体"/>
                <w:b/>
                <w:bCs/>
                <w:color w:val="auto"/>
                <w:sz w:val="24"/>
                <w:szCs w:val="24"/>
                <w:u w:val="single"/>
                <w:lang w:val="zh-CN"/>
              </w:rPr>
              <w:t>：</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投标人可使用投标文件制作工具生成非加密的电子投标文件载入光盘或u盘（1份，载体形式由投标人自选），在规定的时间、地点提交备用。刻录好的投标文件光盘或u盘密封在密封袋中，并在封口处加盖投标人单位公章。密封袋上应写明项目名称和招标人名称。递交的投标文件光盘或u盘（备用）不得加密。备用光盘或u盘无法读取或导入的，则视为未提交投标文件光盘或u盘（备用）。如果投标人没有按规定通过新交易平台网上递交电子投标文件的，不再读取提交的光盘或u盘。投标人也可不提交投标文件光盘或u盘（备用）。</w:t>
            </w:r>
          </w:p>
          <w:p>
            <w:pPr>
              <w:adjustRightInd w:val="0"/>
              <w:snapToGrid w:val="0"/>
              <w:spacing w:line="360" w:lineRule="auto"/>
              <w:rPr>
                <w:rFonts w:ascii="宋体" w:hAnsi="宋体" w:cs="宋体"/>
                <w:color w:val="auto"/>
                <w:sz w:val="24"/>
                <w:szCs w:val="24"/>
              </w:rPr>
            </w:pPr>
            <w:r>
              <w:rPr>
                <w:rFonts w:hint="eastAsia" w:ascii="宋体" w:hAnsi="宋体" w:cs="宋体"/>
                <w:color w:val="auto"/>
                <w:sz w:val="24"/>
                <w:szCs w:val="24"/>
              </w:rPr>
              <w:t>4、投标文件备用光盘或u盘的递交：</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①投标文件递交的截止时间（投标截止时间，下同）为  年 月 日 时  分，投标人应在截止时间前通过电子招标投标交易平台递交电子投标文件。</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②提交投标文件备用光盘或u盘。</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 xml:space="preserve">投标文件光盘或u盘(备用)递交时间： 年 月 日 时 分至 年 月 日时 分，地点：广州公共资源交易中心开标室（具体以交易中心公告的开标室为准）。 </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③投标人完成电子投标上传后，电子招标投标交易平台即时向投标人发出递交回执通知。递交时间以递交回执通知载明的传输时间为准。</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④逾期送达的投标文件，电子招标投标交易平台将予以拒收。</w:t>
            </w:r>
          </w:p>
          <w:p>
            <w:pPr>
              <w:rPr>
                <w:color w:val="auto"/>
              </w:rPr>
            </w:pP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5、投标文件加密要求：</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①网上递交的电子投标文件须进行加密。具体操作详见交易平台相关操作指南。</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②未按要求加密的投标文件，招标人将予以拒收。</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6、投标文件解密失败的补救方案：</w:t>
            </w:r>
          </w:p>
          <w:p>
            <w:pPr>
              <w:pStyle w:val="2"/>
              <w:adjustRightInd w:val="0"/>
              <w:snapToGrid w:val="0"/>
              <w:spacing w:line="360" w:lineRule="auto"/>
              <w:rPr>
                <w:rFonts w:hAnsi="宋体" w:cs="宋体"/>
                <w:color w:val="auto"/>
                <w:kern w:val="2"/>
                <w:sz w:val="24"/>
                <w:szCs w:val="24"/>
                <w:lang w:val="zh-CN"/>
              </w:rPr>
            </w:pPr>
            <w:r>
              <w:rPr>
                <w:rFonts w:hint="eastAsia" w:hAnsi="宋体" w:cs="宋体"/>
                <w:color w:val="auto"/>
                <w:kern w:val="2"/>
                <w:sz w:val="24"/>
                <w:szCs w:val="24"/>
                <w:lang w:val="zh-CN"/>
              </w:rPr>
              <w:t>在规定时间内，因投标人之外原因(指网络瘫痪、服务器损坏、交易系统故障短期无法恢复)导致的电子投标文件解密失败，在开标现场读取光盘或u盘内容，继续开标程序。若出现招标人无法正常解密或导入开标系统的情况，在开标现场读取已成功解密、以及因投标人之外的原因导致电子投标文件解密失败的投标人递交的电子光盘或u盘内容。出现上述情况的，评标委员会对其投标文件的评审以光盘或u盘内容为准。因投标人之外原因解密失败且未递交电子光盘或u盘的，视为撤回投标文件。</w:t>
            </w:r>
          </w:p>
          <w:p>
            <w:pPr>
              <w:pStyle w:val="2"/>
              <w:adjustRightInd w:val="0"/>
              <w:snapToGrid w:val="0"/>
              <w:spacing w:line="360" w:lineRule="auto"/>
              <w:rPr>
                <w:rFonts w:hAnsi="宋体" w:cs="宋体"/>
                <w:color w:val="auto"/>
                <w:sz w:val="24"/>
                <w:szCs w:val="24"/>
              </w:rPr>
            </w:pPr>
            <w:r>
              <w:rPr>
                <w:rFonts w:hint="eastAsia" w:hAnsi="宋体" w:cs="宋体"/>
                <w:color w:val="auto"/>
                <w:kern w:val="2"/>
                <w:sz w:val="24"/>
                <w:szCs w:val="24"/>
                <w:lang w:val="zh-CN"/>
              </w:rPr>
              <w:t>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1119"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60" w:lineRule="auto"/>
              <w:jc w:val="center"/>
              <w:rPr>
                <w:rFonts w:ascii="宋体" w:hAnsi="宋体" w:cs="宋体"/>
                <w:color w:val="auto"/>
                <w:kern w:val="0"/>
                <w:sz w:val="24"/>
                <w:szCs w:val="24"/>
              </w:rPr>
            </w:pPr>
            <w:r>
              <w:rPr>
                <w:rFonts w:hint="eastAsia" w:ascii="宋体" w:hAnsi="宋体" w:cs="宋体"/>
                <w:color w:val="auto"/>
                <w:sz w:val="24"/>
                <w:szCs w:val="24"/>
              </w:rPr>
              <w:t>11</w:t>
            </w:r>
          </w:p>
        </w:tc>
        <w:tc>
          <w:tcPr>
            <w:tcW w:w="2227" w:type="dxa"/>
            <w:gridSpan w:val="2"/>
            <w:tcBorders>
              <w:top w:val="single" w:color="auto" w:sz="6" w:space="0"/>
              <w:left w:val="single" w:color="auto" w:sz="6" w:space="0"/>
              <w:bottom w:val="single" w:color="auto" w:sz="6" w:space="0"/>
              <w:right w:val="single" w:color="auto" w:sz="4" w:space="0"/>
            </w:tcBorders>
            <w:vAlign w:val="center"/>
          </w:tcPr>
          <w:p>
            <w:pPr>
              <w:adjustRightInd w:val="0"/>
              <w:snapToGrid w:val="0"/>
              <w:spacing w:line="360" w:lineRule="auto"/>
              <w:jc w:val="center"/>
              <w:rPr>
                <w:rFonts w:ascii="宋体" w:hAnsi="宋体" w:cs="宋体"/>
                <w:color w:val="auto"/>
                <w:sz w:val="24"/>
                <w:szCs w:val="24"/>
              </w:rPr>
            </w:pPr>
            <w:r>
              <w:rPr>
                <w:rFonts w:hint="eastAsia" w:ascii="宋体" w:hAnsi="宋体" w:cs="宋体"/>
                <w:color w:val="auto"/>
                <w:sz w:val="24"/>
                <w:szCs w:val="24"/>
              </w:rPr>
              <w:t>危险性较大的分部分项工程清单及超过一定规模的危险性较大的分部分项清单</w:t>
            </w:r>
          </w:p>
        </w:tc>
        <w:tc>
          <w:tcPr>
            <w:tcW w:w="667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rPr>
                <w:rFonts w:ascii="宋体" w:hAnsi="宋体" w:cs="宋体"/>
                <w:color w:val="auto"/>
                <w:sz w:val="24"/>
                <w:szCs w:val="24"/>
                <w:lang w:val="zh-CN"/>
              </w:rPr>
            </w:pPr>
            <w:r>
              <w:rPr>
                <w:rFonts w:hint="eastAsia" w:ascii="宋体" w:hAnsi="宋体" w:cs="宋体"/>
                <w:color w:val="auto"/>
                <w:sz w:val="24"/>
                <w:szCs w:val="24"/>
                <w:u w:val="single"/>
              </w:rPr>
              <w:t>本项目目前处于初步设计阶段，现阶段无法明确危险性较大的分部分项工程清单及超过一定规模的危险性较大的分部分项清单，投标单位中标后，在施工图设计批复后，须根据项目实际情况，对危险性较大的分部分项工程清单及超过一定规模的危险性较大的分部分项清单部分工程内容明确相应的安全管理措施。投标人应充分考虑该部分工作内容及相关措施费。</w:t>
            </w:r>
          </w:p>
        </w:tc>
      </w:tr>
    </w:tbl>
    <w:p>
      <w:pPr>
        <w:pStyle w:val="4"/>
        <w:adjustRightInd w:val="0"/>
        <w:snapToGrid w:val="0"/>
        <w:spacing w:before="0" w:after="0" w:line="360" w:lineRule="auto"/>
        <w:jc w:val="left"/>
        <w:rPr>
          <w:rFonts w:ascii="宋体" w:hAnsi="宋体" w:eastAsia="宋体" w:cs="宋体"/>
          <w:color w:val="auto"/>
          <w:sz w:val="24"/>
          <w:szCs w:val="24"/>
        </w:rPr>
      </w:pPr>
      <w:r>
        <w:rPr>
          <w:rFonts w:hint="eastAsia" w:ascii="宋体" w:hAnsi="宋体" w:eastAsia="宋体" w:cs="宋体"/>
          <w:color w:val="auto"/>
        </w:rPr>
        <w:br w:type="page"/>
      </w:r>
      <w:bookmarkStart w:id="55" w:name="_Toc436834131"/>
      <w:bookmarkStart w:id="56" w:name="_Toc247527553"/>
      <w:bookmarkStart w:id="57" w:name="_Toc399165373"/>
      <w:bookmarkStart w:id="58" w:name="_Toc516265917"/>
      <w:bookmarkStart w:id="59" w:name="_Toc247513952"/>
      <w:bookmarkStart w:id="60" w:name="_Toc300834949"/>
      <w:bookmarkStart w:id="61" w:name="_Toc152045529"/>
      <w:bookmarkStart w:id="62" w:name="_Toc21535095"/>
      <w:bookmarkStart w:id="63" w:name="_Toc144974497"/>
      <w:bookmarkStart w:id="64" w:name="_Toc65361641"/>
      <w:bookmarkStart w:id="65" w:name="_Toc515980130"/>
      <w:bookmarkStart w:id="66" w:name="_Toc152042305"/>
      <w:bookmarkStart w:id="67" w:name="_Toc436834724"/>
      <w:bookmarkStart w:id="68" w:name="_Toc60859831"/>
      <w:r>
        <w:rPr>
          <w:rFonts w:hint="eastAsia" w:ascii="宋体" w:hAnsi="宋体" w:eastAsia="宋体" w:cs="宋体"/>
          <w:color w:val="auto"/>
          <w:sz w:val="24"/>
          <w:szCs w:val="24"/>
        </w:rPr>
        <w:t>1. 总则</w:t>
      </w:r>
      <w:bookmarkEnd w:id="55"/>
      <w:bookmarkEnd w:id="56"/>
      <w:bookmarkEnd w:id="57"/>
      <w:bookmarkEnd w:id="58"/>
      <w:bookmarkEnd w:id="59"/>
      <w:bookmarkEnd w:id="60"/>
      <w:bookmarkEnd w:id="61"/>
      <w:bookmarkEnd w:id="62"/>
      <w:bookmarkEnd w:id="63"/>
      <w:bookmarkEnd w:id="64"/>
      <w:bookmarkEnd w:id="65"/>
      <w:bookmarkEnd w:id="66"/>
      <w:bookmarkEnd w:id="67"/>
      <w:bookmarkEnd w:id="68"/>
    </w:p>
    <w:p>
      <w:pPr>
        <w:pStyle w:val="5"/>
        <w:adjustRightInd w:val="0"/>
        <w:snapToGrid w:val="0"/>
        <w:spacing w:before="0" w:after="0" w:line="360" w:lineRule="auto"/>
        <w:ind w:firstLine="118"/>
        <w:jc w:val="left"/>
        <w:rPr>
          <w:rFonts w:ascii="宋体" w:eastAsia="宋体" w:cs="宋体"/>
          <w:color w:val="auto"/>
          <w:sz w:val="24"/>
          <w:szCs w:val="24"/>
        </w:rPr>
      </w:pPr>
      <w:bookmarkStart w:id="69" w:name="_Toc515980131"/>
      <w:bookmarkStart w:id="70" w:name="_Toc60859832"/>
      <w:bookmarkStart w:id="71" w:name="_Toc516265918"/>
      <w:bookmarkStart w:id="72" w:name="_Toc436834132"/>
      <w:bookmarkStart w:id="73" w:name="_Toc152042306"/>
      <w:bookmarkStart w:id="74" w:name="_Toc144974498"/>
      <w:bookmarkStart w:id="75" w:name="_Toc399165374"/>
      <w:bookmarkStart w:id="76" w:name="_Toc152045530"/>
      <w:bookmarkStart w:id="77" w:name="_Toc65361642"/>
      <w:bookmarkStart w:id="78" w:name="_Toc247527554"/>
      <w:bookmarkStart w:id="79" w:name="_Toc21535096"/>
      <w:bookmarkStart w:id="80" w:name="_Toc436834725"/>
      <w:bookmarkStart w:id="81" w:name="_Toc300834950"/>
      <w:bookmarkStart w:id="82" w:name="_Toc247513953"/>
      <w:r>
        <w:rPr>
          <w:rFonts w:hint="eastAsia" w:ascii="宋体" w:eastAsia="宋体" w:cs="宋体"/>
          <w:color w:val="auto"/>
          <w:sz w:val="24"/>
          <w:szCs w:val="24"/>
        </w:rPr>
        <w:t>1.1 项目概况</w:t>
      </w:r>
      <w:bookmarkEnd w:id="69"/>
      <w:bookmarkEnd w:id="70"/>
      <w:bookmarkEnd w:id="71"/>
      <w:bookmarkEnd w:id="72"/>
      <w:bookmarkEnd w:id="73"/>
      <w:bookmarkEnd w:id="74"/>
      <w:bookmarkEnd w:id="75"/>
      <w:bookmarkEnd w:id="76"/>
      <w:bookmarkEnd w:id="77"/>
      <w:bookmarkEnd w:id="78"/>
      <w:bookmarkEnd w:id="79"/>
      <w:bookmarkEnd w:id="80"/>
      <w:bookmarkEnd w:id="81"/>
      <w:bookmarkEnd w:id="82"/>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1.1.1根据《中华人民共和国招标投标法》等有关法律、法规和规章的规定，本招标项目已具备招标条件，现对该项目设计施工进行总承包招标。</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1.1.2 招标人：见投标人须知前附表。</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1.1.3 招标代理机构：见投标人须知前附表。</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1.1.4 招标项目名称：见投标人须知前附表。</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1.1.5 项目建设地点：见投标人须知前附表。</w:t>
      </w:r>
    </w:p>
    <w:p>
      <w:pPr>
        <w:pStyle w:val="5"/>
        <w:adjustRightInd w:val="0"/>
        <w:snapToGrid w:val="0"/>
        <w:spacing w:before="0" w:after="0" w:line="360" w:lineRule="auto"/>
        <w:ind w:firstLine="118"/>
        <w:jc w:val="left"/>
        <w:rPr>
          <w:rFonts w:ascii="宋体" w:eastAsia="宋体" w:cs="宋体"/>
          <w:color w:val="auto"/>
          <w:sz w:val="24"/>
          <w:szCs w:val="24"/>
        </w:rPr>
      </w:pPr>
      <w:bookmarkStart w:id="83" w:name="_Toc436834726"/>
      <w:bookmarkStart w:id="84" w:name="_Toc436834133"/>
      <w:bookmarkStart w:id="85" w:name="_Toc516265919"/>
      <w:bookmarkStart w:id="86" w:name="_Toc21535097"/>
      <w:bookmarkStart w:id="87" w:name="_Toc300834951"/>
      <w:bookmarkStart w:id="88" w:name="_Toc152045531"/>
      <w:bookmarkStart w:id="89" w:name="_Toc65361643"/>
      <w:bookmarkStart w:id="90" w:name="_Toc247513954"/>
      <w:bookmarkStart w:id="91" w:name="_Toc515980132"/>
      <w:bookmarkStart w:id="92" w:name="_Toc399165375"/>
      <w:bookmarkStart w:id="93" w:name="_Toc60859833"/>
      <w:bookmarkStart w:id="94" w:name="_Toc144974499"/>
      <w:bookmarkStart w:id="95" w:name="_Toc247527555"/>
      <w:bookmarkStart w:id="96" w:name="_Toc152042307"/>
      <w:r>
        <w:rPr>
          <w:rFonts w:hint="eastAsia" w:ascii="宋体" w:eastAsia="宋体" w:cs="宋体"/>
          <w:color w:val="auto"/>
          <w:sz w:val="24"/>
          <w:szCs w:val="24"/>
        </w:rPr>
        <w:t>1.2 项目的资金来源和落实情况</w:t>
      </w:r>
      <w:bookmarkEnd w:id="83"/>
      <w:bookmarkEnd w:id="84"/>
      <w:bookmarkEnd w:id="85"/>
      <w:bookmarkEnd w:id="86"/>
      <w:bookmarkEnd w:id="87"/>
      <w:bookmarkEnd w:id="88"/>
      <w:bookmarkEnd w:id="89"/>
      <w:bookmarkEnd w:id="90"/>
      <w:bookmarkEnd w:id="91"/>
      <w:bookmarkEnd w:id="92"/>
      <w:bookmarkEnd w:id="93"/>
      <w:bookmarkEnd w:id="94"/>
      <w:bookmarkEnd w:id="95"/>
      <w:bookmarkEnd w:id="96"/>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1.2.1 资金来源及比例：见投标人须知前附表。</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1.2.2 资金落实情况：见投标人须知前附表。</w:t>
      </w:r>
    </w:p>
    <w:p>
      <w:pPr>
        <w:pStyle w:val="5"/>
        <w:adjustRightInd w:val="0"/>
        <w:snapToGrid w:val="0"/>
        <w:spacing w:before="0" w:after="0" w:line="360" w:lineRule="auto"/>
        <w:ind w:firstLine="118"/>
        <w:jc w:val="left"/>
        <w:rPr>
          <w:rFonts w:ascii="宋体" w:eastAsia="宋体" w:cs="宋体"/>
          <w:color w:val="auto"/>
          <w:sz w:val="24"/>
          <w:szCs w:val="24"/>
        </w:rPr>
      </w:pPr>
      <w:bookmarkStart w:id="97" w:name="_Toc247513955"/>
      <w:bookmarkStart w:id="98" w:name="_Toc152042308"/>
      <w:bookmarkStart w:id="99" w:name="_Toc247527556"/>
      <w:bookmarkStart w:id="100" w:name="_Toc152045532"/>
      <w:bookmarkStart w:id="101" w:name="_Toc144974500"/>
      <w:bookmarkStart w:id="102" w:name="_Toc436834134"/>
      <w:bookmarkStart w:id="103" w:name="_Toc60859834"/>
      <w:bookmarkStart w:id="104" w:name="_Toc65361644"/>
      <w:bookmarkStart w:id="105" w:name="_Toc399165376"/>
      <w:bookmarkStart w:id="106" w:name="_Toc516265920"/>
      <w:bookmarkStart w:id="107" w:name="_Toc21535098"/>
      <w:bookmarkStart w:id="108" w:name="_Toc436834727"/>
      <w:bookmarkStart w:id="109" w:name="_Toc300834952"/>
      <w:bookmarkStart w:id="110" w:name="_Toc515980133"/>
      <w:r>
        <w:rPr>
          <w:rFonts w:hint="eastAsia" w:ascii="宋体" w:eastAsia="宋体" w:cs="宋体"/>
          <w:color w:val="auto"/>
          <w:sz w:val="24"/>
          <w:szCs w:val="24"/>
        </w:rPr>
        <w:t>1.3 招标范围、计划工期和</w:t>
      </w:r>
      <w:bookmarkEnd w:id="97"/>
      <w:bookmarkEnd w:id="98"/>
      <w:bookmarkEnd w:id="99"/>
      <w:bookmarkEnd w:id="100"/>
      <w:bookmarkEnd w:id="101"/>
      <w:r>
        <w:rPr>
          <w:rFonts w:hint="eastAsia" w:ascii="宋体" w:eastAsia="宋体" w:cs="宋体"/>
          <w:color w:val="auto"/>
          <w:sz w:val="24"/>
          <w:szCs w:val="24"/>
        </w:rPr>
        <w:t>质量标准</w:t>
      </w:r>
      <w:bookmarkEnd w:id="102"/>
      <w:bookmarkEnd w:id="103"/>
      <w:bookmarkEnd w:id="104"/>
      <w:bookmarkEnd w:id="105"/>
      <w:bookmarkEnd w:id="106"/>
      <w:bookmarkEnd w:id="107"/>
      <w:bookmarkEnd w:id="108"/>
      <w:bookmarkEnd w:id="109"/>
      <w:bookmarkEnd w:id="110"/>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1.3.1 招标范围：见投标人须知前附表。</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1.3.2 计划工期：见投标人须知前附表。</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1.3.3 质量标准：见投标人须知前附表。</w:t>
      </w:r>
    </w:p>
    <w:p>
      <w:pPr>
        <w:pStyle w:val="5"/>
        <w:adjustRightInd w:val="0"/>
        <w:snapToGrid w:val="0"/>
        <w:spacing w:before="0" w:after="0" w:line="360" w:lineRule="auto"/>
        <w:ind w:firstLine="118"/>
        <w:jc w:val="left"/>
        <w:rPr>
          <w:rFonts w:ascii="宋体" w:eastAsia="宋体" w:cs="宋体"/>
          <w:color w:val="auto"/>
          <w:sz w:val="24"/>
          <w:szCs w:val="24"/>
        </w:rPr>
      </w:pPr>
      <w:bookmarkStart w:id="111" w:name="_Toc60859836"/>
      <w:bookmarkStart w:id="112" w:name="_Toc65361645"/>
      <w:r>
        <w:rPr>
          <w:rFonts w:hint="eastAsia" w:ascii="宋体" w:eastAsia="宋体" w:cs="宋体"/>
          <w:color w:val="auto"/>
          <w:sz w:val="24"/>
          <w:szCs w:val="24"/>
        </w:rPr>
        <w:t>1.4 投标人资格要求（适用于未进行资格预审的）</w:t>
      </w:r>
      <w:bookmarkEnd w:id="111"/>
      <w:bookmarkEnd w:id="112"/>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1.4.1 投标人应具备承担本招标项目资质条件、能力和信誉等资格要求，详见招标公告要求。</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1.4.2 投标人须知前附表规定接受联合体投标的，除应符合本章第1.4.1项和投标人须知前附表的要求外，还应遵守以下规定：</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（1）联合体各方应按招标文件提供的格式签订联合体协议书，明确联合体牵头人和各方权利义务；</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（2）由同一专业的单位组成的联合体，按照资质等级较低的单位确定资质等级；</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（3）联合体各方不得再以自己名义单独或参加其他联合体在本招标项目中投标。</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 xml:space="preserve">1.4.3 </w:t>
      </w:r>
      <w:r>
        <w:rPr>
          <w:rFonts w:hint="eastAsia" w:ascii="宋体" w:hAnsi="宋体" w:cs="宋体"/>
          <w:color w:val="auto"/>
          <w:sz w:val="24"/>
          <w:szCs w:val="24"/>
          <w:u w:val="single"/>
        </w:rPr>
        <w:t>投标人不得存在的情形以招标公告及《投标人声明》第三点的规定为准。</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1.4.4 单位负责人为同一人或者存在控股、管理关系的不同单位，不得同时参加本招标项目投标。</w:t>
      </w:r>
    </w:p>
    <w:p>
      <w:pPr>
        <w:pStyle w:val="5"/>
        <w:adjustRightInd w:val="0"/>
        <w:snapToGrid w:val="0"/>
        <w:spacing w:before="0" w:after="0" w:line="360" w:lineRule="auto"/>
        <w:ind w:firstLine="118"/>
        <w:jc w:val="left"/>
        <w:rPr>
          <w:rFonts w:ascii="宋体" w:eastAsia="宋体" w:cs="宋体"/>
          <w:color w:val="auto"/>
          <w:sz w:val="24"/>
          <w:szCs w:val="24"/>
        </w:rPr>
      </w:pPr>
      <w:bookmarkStart w:id="113" w:name="_Toc247513958"/>
      <w:bookmarkStart w:id="114" w:name="_Toc152042311"/>
      <w:bookmarkStart w:id="115" w:name="_Toc144974503"/>
      <w:bookmarkStart w:id="116" w:name="_Toc152045535"/>
      <w:bookmarkStart w:id="117" w:name="_Toc247527559"/>
      <w:bookmarkStart w:id="118" w:name="_Toc300834955"/>
      <w:bookmarkStart w:id="119" w:name="_Toc436834729"/>
      <w:bookmarkStart w:id="120" w:name="_Toc21535100"/>
      <w:bookmarkStart w:id="121" w:name="_Toc60859837"/>
      <w:bookmarkStart w:id="122" w:name="_Toc399165378"/>
      <w:bookmarkStart w:id="123" w:name="_Toc436834136"/>
      <w:bookmarkStart w:id="124" w:name="_Toc65361646"/>
      <w:bookmarkStart w:id="125" w:name="_Toc515980135"/>
      <w:bookmarkStart w:id="126" w:name="_Toc516265922"/>
      <w:r>
        <w:rPr>
          <w:rFonts w:hint="eastAsia" w:ascii="宋体" w:eastAsia="宋体" w:cs="宋体"/>
          <w:color w:val="auto"/>
          <w:sz w:val="24"/>
          <w:szCs w:val="24"/>
        </w:rPr>
        <w:t>1.5 费用承担</w:t>
      </w:r>
      <w:bookmarkEnd w:id="113"/>
      <w:bookmarkEnd w:id="114"/>
      <w:bookmarkEnd w:id="115"/>
      <w:bookmarkEnd w:id="116"/>
      <w:bookmarkEnd w:id="117"/>
      <w:r>
        <w:rPr>
          <w:rFonts w:hint="eastAsia" w:ascii="宋体" w:eastAsia="宋体" w:cs="宋体"/>
          <w:color w:val="auto"/>
          <w:sz w:val="24"/>
          <w:szCs w:val="24"/>
        </w:rPr>
        <w:t>和设计成果补偿</w:t>
      </w:r>
      <w:bookmarkEnd w:id="118"/>
      <w:bookmarkEnd w:id="119"/>
      <w:bookmarkEnd w:id="120"/>
      <w:bookmarkEnd w:id="121"/>
      <w:bookmarkEnd w:id="122"/>
      <w:bookmarkEnd w:id="123"/>
      <w:bookmarkEnd w:id="124"/>
      <w:bookmarkEnd w:id="125"/>
      <w:bookmarkEnd w:id="126"/>
    </w:p>
    <w:p>
      <w:pPr>
        <w:adjustRightInd w:val="0"/>
        <w:snapToGrid w:val="0"/>
        <w:spacing w:line="360" w:lineRule="auto"/>
        <w:ind w:firstLine="480" w:firstLineChars="200"/>
        <w:jc w:val="left"/>
        <w:rPr>
          <w:rFonts w:ascii="宋体" w:hAnsi="宋体" w:cs="宋体"/>
          <w:color w:val="auto"/>
          <w:sz w:val="24"/>
          <w:szCs w:val="24"/>
        </w:rPr>
      </w:pPr>
      <w:bookmarkStart w:id="127" w:name="_Toc65361647"/>
      <w:bookmarkStart w:id="128" w:name="_Toc436834730"/>
      <w:bookmarkStart w:id="129" w:name="_Toc399165379"/>
      <w:bookmarkStart w:id="130" w:name="_Toc515980136"/>
      <w:bookmarkStart w:id="131" w:name="_Toc300834956"/>
      <w:bookmarkStart w:id="132" w:name="_Toc152042312"/>
      <w:bookmarkStart w:id="133" w:name="_Toc436834137"/>
      <w:bookmarkStart w:id="134" w:name="_Toc21535101"/>
      <w:bookmarkStart w:id="135" w:name="_Toc60859838"/>
      <w:bookmarkStart w:id="136" w:name="_Toc247513959"/>
      <w:bookmarkStart w:id="137" w:name="_Toc152045536"/>
      <w:bookmarkStart w:id="138" w:name="_Toc247527560"/>
      <w:bookmarkStart w:id="139" w:name="_Toc516265923"/>
      <w:bookmarkStart w:id="140" w:name="_Toc144974504"/>
      <w:r>
        <w:rPr>
          <w:rFonts w:hint="eastAsia" w:ascii="宋体" w:hAnsi="宋体" w:cs="宋体"/>
          <w:color w:val="auto"/>
          <w:sz w:val="24"/>
          <w:szCs w:val="24"/>
        </w:rPr>
        <w:t>1.5.1 投标人准备和参加投标活动发生的费用自理。</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1.5.2 招标人对符合招标文件规定的未中标人的设计成果进行补偿的，按投标人须知前附表规定给予补偿，并有权免费使用未中标人设计成果。</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1.5.3中标人需向广州公共资源交易中心缴纳公共资源交易服务费，由广州公共资源交易中心向中标人开具发票，其费用包含在投标人的投标报价中，投标人需在投标报价中综合考虑。</w:t>
      </w:r>
    </w:p>
    <w:p>
      <w:pPr>
        <w:pStyle w:val="5"/>
        <w:adjustRightInd w:val="0"/>
        <w:snapToGrid w:val="0"/>
        <w:spacing w:before="0" w:after="0" w:line="360" w:lineRule="auto"/>
        <w:ind w:firstLine="118"/>
        <w:jc w:val="left"/>
        <w:rPr>
          <w:rFonts w:ascii="宋体" w:eastAsia="宋体" w:cs="宋体"/>
          <w:color w:val="auto"/>
          <w:sz w:val="24"/>
          <w:szCs w:val="24"/>
        </w:rPr>
      </w:pPr>
      <w:r>
        <w:rPr>
          <w:rFonts w:hint="eastAsia" w:ascii="宋体" w:eastAsia="宋体" w:cs="宋体"/>
          <w:color w:val="auto"/>
          <w:sz w:val="24"/>
          <w:szCs w:val="24"/>
        </w:rPr>
        <w:t>1.6 保密</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参与招标投标活动的各方应对招标文件和投标文件中的商业和技术等秘密保密，否则应承担相应的法律责任。</w:t>
      </w:r>
    </w:p>
    <w:p>
      <w:pPr>
        <w:pStyle w:val="5"/>
        <w:adjustRightInd w:val="0"/>
        <w:snapToGrid w:val="0"/>
        <w:spacing w:before="0" w:after="0" w:line="360" w:lineRule="auto"/>
        <w:ind w:firstLine="118"/>
        <w:jc w:val="left"/>
        <w:rPr>
          <w:rFonts w:ascii="宋体" w:eastAsia="宋体" w:cs="宋体"/>
          <w:color w:val="auto"/>
          <w:sz w:val="24"/>
          <w:szCs w:val="24"/>
        </w:rPr>
      </w:pPr>
      <w:bookmarkStart w:id="141" w:name="_Toc144974505"/>
      <w:bookmarkStart w:id="142" w:name="_Toc152045537"/>
      <w:bookmarkStart w:id="143" w:name="_Toc65361648"/>
      <w:bookmarkStart w:id="144" w:name="_Toc436834731"/>
      <w:bookmarkStart w:id="145" w:name="_Toc60859839"/>
      <w:bookmarkStart w:id="146" w:name="_Toc515980137"/>
      <w:bookmarkStart w:id="147" w:name="_Toc247513960"/>
      <w:bookmarkStart w:id="148" w:name="_Toc21535102"/>
      <w:bookmarkStart w:id="149" w:name="_Toc516265924"/>
      <w:bookmarkStart w:id="150" w:name="_Toc247527561"/>
      <w:bookmarkStart w:id="151" w:name="_Toc300834957"/>
      <w:bookmarkStart w:id="152" w:name="_Toc399165380"/>
      <w:bookmarkStart w:id="153" w:name="_Toc152042313"/>
      <w:bookmarkStart w:id="154" w:name="_Toc436834138"/>
      <w:r>
        <w:rPr>
          <w:rFonts w:hint="eastAsia" w:ascii="宋体" w:eastAsia="宋体" w:cs="宋体"/>
          <w:color w:val="auto"/>
          <w:sz w:val="24"/>
          <w:szCs w:val="24"/>
        </w:rPr>
        <w:t>1.7 语言</w:t>
      </w:r>
      <w:bookmarkEnd w:id="141"/>
      <w:r>
        <w:rPr>
          <w:rFonts w:hint="eastAsia" w:ascii="宋体" w:eastAsia="宋体" w:cs="宋体"/>
          <w:color w:val="auto"/>
          <w:sz w:val="24"/>
          <w:szCs w:val="24"/>
        </w:rPr>
        <w:t>文字</w:t>
      </w:r>
      <w:bookmarkEnd w:id="142"/>
      <w:bookmarkEnd w:id="143"/>
      <w:bookmarkEnd w:id="144"/>
      <w:bookmarkEnd w:id="145"/>
      <w:bookmarkEnd w:id="146"/>
      <w:bookmarkEnd w:id="147"/>
      <w:bookmarkEnd w:id="148"/>
      <w:bookmarkEnd w:id="149"/>
      <w:bookmarkEnd w:id="150"/>
      <w:bookmarkEnd w:id="151"/>
      <w:bookmarkEnd w:id="152"/>
      <w:bookmarkEnd w:id="153"/>
      <w:bookmarkEnd w:id="154"/>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招标投标文件使用的语言文字为中文。专用术语使用外文的，应附有中文注释。</w:t>
      </w:r>
    </w:p>
    <w:p>
      <w:pPr>
        <w:pStyle w:val="5"/>
        <w:adjustRightInd w:val="0"/>
        <w:snapToGrid w:val="0"/>
        <w:spacing w:before="0" w:after="0" w:line="360" w:lineRule="auto"/>
        <w:ind w:firstLine="118"/>
        <w:jc w:val="left"/>
        <w:rPr>
          <w:rFonts w:ascii="宋体" w:eastAsia="宋体" w:cs="宋体"/>
          <w:color w:val="auto"/>
          <w:sz w:val="24"/>
          <w:szCs w:val="24"/>
        </w:rPr>
      </w:pPr>
      <w:bookmarkStart w:id="155" w:name="_Toc436834139"/>
      <w:bookmarkStart w:id="156" w:name="_Toc60859840"/>
      <w:bookmarkStart w:id="157" w:name="_Toc436834732"/>
      <w:bookmarkStart w:id="158" w:name="_Toc300834958"/>
      <w:bookmarkStart w:id="159" w:name="_Toc247527562"/>
      <w:bookmarkStart w:id="160" w:name="_Toc152045538"/>
      <w:bookmarkStart w:id="161" w:name="_Toc65361649"/>
      <w:bookmarkStart w:id="162" w:name="_Toc247513961"/>
      <w:bookmarkStart w:id="163" w:name="_Toc152042314"/>
      <w:bookmarkStart w:id="164" w:name="_Toc515980138"/>
      <w:bookmarkStart w:id="165" w:name="_Toc516265925"/>
      <w:bookmarkStart w:id="166" w:name="_Toc144974506"/>
      <w:bookmarkStart w:id="167" w:name="_Toc399165381"/>
      <w:bookmarkStart w:id="168" w:name="_Toc21535103"/>
      <w:r>
        <w:rPr>
          <w:rFonts w:hint="eastAsia" w:ascii="宋体" w:eastAsia="宋体" w:cs="宋体"/>
          <w:color w:val="auto"/>
          <w:sz w:val="24"/>
          <w:szCs w:val="24"/>
        </w:rPr>
        <w:t>1.8 计量单位</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所有计量均采用中华人民共和国法定计量单位。</w:t>
      </w:r>
    </w:p>
    <w:p>
      <w:pPr>
        <w:pStyle w:val="5"/>
        <w:adjustRightInd w:val="0"/>
        <w:snapToGrid w:val="0"/>
        <w:spacing w:before="0" w:after="0" w:line="360" w:lineRule="auto"/>
        <w:ind w:firstLine="118"/>
        <w:jc w:val="left"/>
        <w:rPr>
          <w:rFonts w:ascii="宋体" w:eastAsia="宋体" w:cs="宋体"/>
          <w:color w:val="auto"/>
          <w:sz w:val="24"/>
          <w:szCs w:val="24"/>
        </w:rPr>
      </w:pPr>
      <w:bookmarkStart w:id="169" w:name="_Toc399165382"/>
      <w:bookmarkStart w:id="170" w:name="_Toc247513962"/>
      <w:bookmarkStart w:id="171" w:name="_Toc152045539"/>
      <w:bookmarkStart w:id="172" w:name="_Toc516265926"/>
      <w:bookmarkStart w:id="173" w:name="_Toc21535104"/>
      <w:bookmarkStart w:id="174" w:name="_Toc65361650"/>
      <w:bookmarkStart w:id="175" w:name="_Toc60859841"/>
      <w:bookmarkStart w:id="176" w:name="_Toc436834140"/>
      <w:bookmarkStart w:id="177" w:name="_Toc152042315"/>
      <w:bookmarkStart w:id="178" w:name="_Toc300834959"/>
      <w:bookmarkStart w:id="179" w:name="_Toc515980139"/>
      <w:bookmarkStart w:id="180" w:name="_Toc436834733"/>
      <w:bookmarkStart w:id="181" w:name="_Toc144974507"/>
      <w:bookmarkStart w:id="182" w:name="_Toc247527563"/>
      <w:r>
        <w:rPr>
          <w:rFonts w:hint="eastAsia" w:ascii="宋体" w:eastAsia="宋体" w:cs="宋体"/>
          <w:color w:val="auto"/>
          <w:sz w:val="24"/>
          <w:szCs w:val="24"/>
        </w:rPr>
        <w:t>1.9 踏勘现场</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1.9.1 投标人须知前附表规定组织踏勘现场的，招标人按投标人须知前附表规定的时间、地点组织投标人踏勘项目现场。 </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1.9.2 投标人踏勘现场发生的费用自理。</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1.9.3 除招标人的原因外，投标人自行负责在踏勘现场中所发生的人员伤亡和财产损失。</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1.9.4 </w:t>
      </w:r>
      <w:r>
        <w:rPr>
          <w:rFonts w:hint="eastAsia" w:ascii="宋体" w:hAnsi="宋体" w:cs="宋体"/>
          <w:color w:val="auto"/>
          <w:sz w:val="24"/>
          <w:szCs w:val="24"/>
          <w:u w:val="single"/>
        </w:rPr>
        <w:t>现场由投标人自行踏勘，投标人不进行踏勘的，视为已熟知现场条件，自行承担相关风险。招标人不对投标人自行踏勘现场作出的判断和决策负责。</w:t>
      </w:r>
    </w:p>
    <w:p>
      <w:pPr>
        <w:pStyle w:val="5"/>
        <w:adjustRightInd w:val="0"/>
        <w:snapToGrid w:val="0"/>
        <w:spacing w:before="0" w:after="0" w:line="360" w:lineRule="auto"/>
        <w:ind w:firstLine="118"/>
        <w:jc w:val="left"/>
        <w:rPr>
          <w:rFonts w:ascii="宋体" w:eastAsia="宋体" w:cs="宋体"/>
          <w:color w:val="auto"/>
          <w:sz w:val="24"/>
          <w:szCs w:val="24"/>
        </w:rPr>
      </w:pPr>
      <w:bookmarkStart w:id="183" w:name="_Toc436834734"/>
      <w:bookmarkStart w:id="184" w:name="_Toc436834141"/>
      <w:bookmarkStart w:id="185" w:name="_Toc152045540"/>
      <w:bookmarkStart w:id="186" w:name="_Toc399165383"/>
      <w:bookmarkStart w:id="187" w:name="_Toc152042316"/>
      <w:bookmarkStart w:id="188" w:name="_Toc247513963"/>
      <w:bookmarkStart w:id="189" w:name="_Toc144974508"/>
      <w:bookmarkStart w:id="190" w:name="_Toc247527564"/>
      <w:bookmarkStart w:id="191" w:name="_Toc300834960"/>
      <w:bookmarkStart w:id="192" w:name="_Toc515980140"/>
      <w:bookmarkStart w:id="193" w:name="_Toc60859842"/>
      <w:bookmarkStart w:id="194" w:name="_Toc516265927"/>
      <w:bookmarkStart w:id="195" w:name="_Toc21535105"/>
      <w:bookmarkStart w:id="196" w:name="_Toc65361651"/>
      <w:r>
        <w:rPr>
          <w:rFonts w:hint="eastAsia" w:ascii="宋体" w:eastAsia="宋体" w:cs="宋体"/>
          <w:color w:val="auto"/>
          <w:sz w:val="24"/>
          <w:szCs w:val="24"/>
        </w:rPr>
        <w:t>1.10</w:t>
      </w:r>
      <w:bookmarkEnd w:id="183"/>
      <w:bookmarkEnd w:id="184"/>
      <w:bookmarkEnd w:id="185"/>
      <w:bookmarkEnd w:id="186"/>
      <w:bookmarkEnd w:id="187"/>
      <w:bookmarkEnd w:id="188"/>
      <w:bookmarkEnd w:id="189"/>
      <w:bookmarkEnd w:id="190"/>
      <w:bookmarkEnd w:id="191"/>
      <w:r>
        <w:rPr>
          <w:rFonts w:hint="eastAsia" w:ascii="宋体" w:eastAsia="宋体" w:cs="宋体"/>
          <w:color w:val="auto"/>
          <w:sz w:val="24"/>
          <w:szCs w:val="24"/>
        </w:rPr>
        <w:t>投标预备会</w:t>
      </w:r>
      <w:bookmarkEnd w:id="192"/>
      <w:bookmarkEnd w:id="193"/>
      <w:bookmarkEnd w:id="194"/>
      <w:bookmarkEnd w:id="195"/>
      <w:bookmarkEnd w:id="196"/>
    </w:p>
    <w:p>
      <w:pPr>
        <w:adjustRightInd w:val="0"/>
        <w:snapToGrid w:val="0"/>
        <w:spacing w:line="360" w:lineRule="auto"/>
        <w:ind w:firstLine="480" w:firstLineChars="200"/>
        <w:jc w:val="left"/>
        <w:rPr>
          <w:rFonts w:ascii="宋体" w:hAnsi="宋体" w:cs="宋体"/>
          <w:color w:val="auto"/>
          <w:sz w:val="24"/>
          <w:szCs w:val="24"/>
        </w:rPr>
      </w:pPr>
      <w:bookmarkStart w:id="197" w:name="_Toc152042317"/>
      <w:bookmarkStart w:id="198" w:name="_Toc436834142"/>
      <w:bookmarkStart w:id="199" w:name="_Toc152045541"/>
      <w:bookmarkStart w:id="200" w:name="_Toc436834735"/>
      <w:bookmarkStart w:id="201" w:name="_Toc247513964"/>
      <w:bookmarkStart w:id="202" w:name="_Toc247527565"/>
      <w:bookmarkStart w:id="203" w:name="_Toc399165384"/>
      <w:bookmarkStart w:id="204" w:name="_Toc300834961"/>
      <w:bookmarkStart w:id="205" w:name="_Toc144974509"/>
      <w:r>
        <w:rPr>
          <w:rFonts w:hint="eastAsia" w:ascii="宋体" w:hAnsi="宋体" w:cs="宋体"/>
          <w:color w:val="auto"/>
          <w:sz w:val="24"/>
          <w:szCs w:val="24"/>
        </w:rPr>
        <w:t>1.10.1 投标人须知前附表规定召开投标预备会的，招标人按投标人须知前附表规定的时间和地点召开投标预备会，澄清投标人提出的问题。</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1.10.2投标人应在投标人须知前附表规定的时间前，以书面形式将提出的问题送达招标人，以便招标人在会议期间澄清。</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1.10.3投标预备会后，招标人在投标人须知前附表规定的时间内，将对投标人所提问题的澄清，以书面形式通知所有购买招标文件的投标人。该澄清内容为招标文件的组成部分。</w:t>
      </w:r>
    </w:p>
    <w:p>
      <w:pPr>
        <w:pStyle w:val="5"/>
        <w:adjustRightInd w:val="0"/>
        <w:snapToGrid w:val="0"/>
        <w:spacing w:before="0" w:after="0" w:line="360" w:lineRule="auto"/>
        <w:ind w:firstLine="118"/>
        <w:jc w:val="left"/>
        <w:rPr>
          <w:rFonts w:ascii="宋体" w:eastAsia="宋体" w:cs="宋体"/>
          <w:color w:val="auto"/>
          <w:sz w:val="24"/>
          <w:szCs w:val="24"/>
        </w:rPr>
      </w:pPr>
      <w:bookmarkStart w:id="206" w:name="_Toc65361652"/>
      <w:bookmarkStart w:id="207" w:name="_Toc21535106"/>
      <w:bookmarkStart w:id="208" w:name="_Toc60859843"/>
      <w:bookmarkStart w:id="209" w:name="_Toc516265928"/>
      <w:bookmarkStart w:id="210" w:name="_Toc515980141"/>
      <w:r>
        <w:rPr>
          <w:rFonts w:hint="eastAsia" w:ascii="宋体" w:eastAsia="宋体" w:cs="宋体"/>
          <w:color w:val="auto"/>
          <w:sz w:val="24"/>
          <w:szCs w:val="24"/>
        </w:rPr>
        <w:t>1.11 分包</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1.11.1 投标人须知前附表规定应当由分包人实施的非主体、非关键性工作，投标人应当按照第五章“发包人要求”的规定提供分包人侯选名单及其相应资料。</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1.11.2 投标人拟在中标后将中标项目的部分非主体、非关键性工作进行分包的，应符合投标人须知前附表规定的分包内容、分包金额和资质要求等限制性条件。</w:t>
      </w:r>
    </w:p>
    <w:p>
      <w:pPr>
        <w:pStyle w:val="5"/>
        <w:adjustRightInd w:val="0"/>
        <w:snapToGrid w:val="0"/>
        <w:spacing w:before="0" w:after="0" w:line="360" w:lineRule="auto"/>
        <w:ind w:firstLine="118"/>
        <w:jc w:val="left"/>
        <w:rPr>
          <w:rFonts w:ascii="宋体" w:eastAsia="宋体" w:cs="宋体"/>
          <w:color w:val="auto"/>
          <w:sz w:val="24"/>
          <w:szCs w:val="24"/>
        </w:rPr>
      </w:pPr>
      <w:bookmarkStart w:id="211" w:name="_Toc515980142"/>
      <w:bookmarkStart w:id="212" w:name="_Toc300834962"/>
      <w:bookmarkStart w:id="213" w:name="_Toc21535107"/>
      <w:bookmarkStart w:id="214" w:name="_Toc516265929"/>
      <w:bookmarkStart w:id="215" w:name="_Toc60859844"/>
      <w:bookmarkStart w:id="216" w:name="_Toc65361653"/>
      <w:bookmarkStart w:id="217" w:name="_Toc436834736"/>
      <w:bookmarkStart w:id="218" w:name="_Toc247527566"/>
      <w:bookmarkStart w:id="219" w:name="_Toc399165385"/>
      <w:bookmarkStart w:id="220" w:name="_Toc247513965"/>
      <w:bookmarkStart w:id="221" w:name="_Toc436834143"/>
      <w:r>
        <w:rPr>
          <w:rFonts w:hint="eastAsia" w:ascii="宋体" w:eastAsia="宋体" w:cs="宋体"/>
          <w:color w:val="auto"/>
          <w:sz w:val="24"/>
          <w:szCs w:val="24"/>
        </w:rPr>
        <w:t>1.12 偏离</w:t>
      </w:r>
      <w:bookmarkEnd w:id="211"/>
      <w:bookmarkEnd w:id="212"/>
      <w:bookmarkEnd w:id="213"/>
      <w:bookmarkEnd w:id="214"/>
      <w:bookmarkEnd w:id="215"/>
      <w:bookmarkEnd w:id="216"/>
      <w:bookmarkEnd w:id="217"/>
      <w:bookmarkEnd w:id="218"/>
      <w:bookmarkEnd w:id="219"/>
      <w:bookmarkEnd w:id="220"/>
      <w:bookmarkEnd w:id="221"/>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投标人须知前附表允许投标文件偏离招标文件某些要求的，偏离应当符合招标文件规定的偏离范围和幅度。</w:t>
      </w:r>
    </w:p>
    <w:p>
      <w:pPr>
        <w:pStyle w:val="4"/>
        <w:adjustRightInd w:val="0"/>
        <w:snapToGrid w:val="0"/>
        <w:spacing w:before="0" w:after="0" w:line="360" w:lineRule="auto"/>
        <w:jc w:val="left"/>
        <w:rPr>
          <w:rFonts w:ascii="宋体" w:hAnsi="宋体" w:eastAsia="宋体" w:cs="宋体"/>
          <w:color w:val="auto"/>
          <w:sz w:val="24"/>
          <w:szCs w:val="24"/>
        </w:rPr>
      </w:pPr>
      <w:bookmarkStart w:id="222" w:name="_Toc152042318"/>
      <w:bookmarkStart w:id="223" w:name="_Toc247527567"/>
      <w:bookmarkStart w:id="224" w:name="_Toc300834963"/>
      <w:bookmarkStart w:id="225" w:name="_Toc399165386"/>
      <w:bookmarkStart w:id="226" w:name="_Toc436834144"/>
      <w:bookmarkStart w:id="227" w:name="_Toc247513966"/>
      <w:bookmarkStart w:id="228" w:name="_Toc21535108"/>
      <w:bookmarkStart w:id="229" w:name="_Toc60859845"/>
      <w:bookmarkStart w:id="230" w:name="_Toc515980143"/>
      <w:bookmarkStart w:id="231" w:name="_Toc436834737"/>
      <w:bookmarkStart w:id="232" w:name="_Toc144974510"/>
      <w:bookmarkStart w:id="233" w:name="_Toc152045542"/>
      <w:bookmarkStart w:id="234" w:name="_Toc65361654"/>
      <w:bookmarkStart w:id="235" w:name="_Toc516265930"/>
      <w:r>
        <w:rPr>
          <w:rFonts w:hint="eastAsia" w:ascii="宋体" w:hAnsi="宋体" w:eastAsia="宋体" w:cs="宋体"/>
          <w:color w:val="auto"/>
          <w:sz w:val="24"/>
          <w:szCs w:val="24"/>
        </w:rPr>
        <w:t>2. 招标文件</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pStyle w:val="5"/>
        <w:adjustRightInd w:val="0"/>
        <w:snapToGrid w:val="0"/>
        <w:spacing w:before="0" w:after="0" w:line="360" w:lineRule="auto"/>
        <w:ind w:firstLine="118"/>
        <w:jc w:val="left"/>
        <w:rPr>
          <w:rFonts w:ascii="宋体" w:eastAsia="宋体" w:cs="宋体"/>
          <w:color w:val="auto"/>
          <w:sz w:val="24"/>
          <w:szCs w:val="24"/>
        </w:rPr>
      </w:pPr>
      <w:bookmarkStart w:id="236" w:name="_Toc144974511"/>
      <w:bookmarkStart w:id="237" w:name="_Toc436834738"/>
      <w:bookmarkStart w:id="238" w:name="_Toc152042319"/>
      <w:bookmarkStart w:id="239" w:name="_Toc516265931"/>
      <w:bookmarkStart w:id="240" w:name="_Toc60859846"/>
      <w:bookmarkStart w:id="241" w:name="_Toc21535109"/>
      <w:bookmarkStart w:id="242" w:name="_Toc152045543"/>
      <w:bookmarkStart w:id="243" w:name="_Toc300834964"/>
      <w:bookmarkStart w:id="244" w:name="_Toc436834145"/>
      <w:bookmarkStart w:id="245" w:name="_Toc515980144"/>
      <w:bookmarkStart w:id="246" w:name="_Toc65361655"/>
      <w:bookmarkStart w:id="247" w:name="_Toc247527568"/>
      <w:bookmarkStart w:id="248" w:name="_Toc247513967"/>
      <w:bookmarkStart w:id="249" w:name="_Toc399165387"/>
      <w:r>
        <w:rPr>
          <w:rFonts w:hint="eastAsia" w:ascii="宋体" w:eastAsia="宋体" w:cs="宋体"/>
          <w:color w:val="auto"/>
          <w:sz w:val="24"/>
          <w:szCs w:val="24"/>
        </w:rPr>
        <w:t>2.1 招标文件的组成</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本招标文件包括：</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（1）招标公告</w:t>
      </w:r>
      <w:r>
        <w:rPr>
          <w:rFonts w:hint="eastAsia" w:ascii="宋体" w:hAnsi="宋体" w:cs="宋体"/>
          <w:strike/>
          <w:color w:val="auto"/>
          <w:sz w:val="24"/>
          <w:szCs w:val="24"/>
        </w:rPr>
        <w:t>（或投标邀请书）</w:t>
      </w:r>
      <w:r>
        <w:rPr>
          <w:rFonts w:hint="eastAsia" w:ascii="宋体" w:hAnsi="宋体" w:cs="宋体"/>
          <w:color w:val="auto"/>
          <w:sz w:val="24"/>
          <w:szCs w:val="24"/>
        </w:rPr>
        <w:t>；</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（2）投标人须知；</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（3）评标办法；</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（4）合同条款及格式；</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（5）发包人要求；</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（6）发包人提供的资料；</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（7）投标文件格式；</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（8）投标人须知前附表规定的其他资料。</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根据本章第1.10款、第2.2款和第2.3款对招标文件所作的澄清、修改，构成招标文件的组成部分。当招标文件的澄清、修改等在同一内容的表述不一致时，以最后发出的书面文件为准。</w:t>
      </w:r>
    </w:p>
    <w:p>
      <w:pPr>
        <w:adjustRightInd w:val="0"/>
        <w:snapToGrid w:val="0"/>
        <w:spacing w:line="360" w:lineRule="auto"/>
        <w:ind w:firstLine="482" w:firstLineChars="200"/>
        <w:jc w:val="left"/>
        <w:rPr>
          <w:rFonts w:ascii="宋体" w:hAnsi="宋体" w:cs="宋体"/>
          <w:b/>
          <w:color w:val="auto"/>
          <w:sz w:val="24"/>
          <w:szCs w:val="24"/>
          <w:u w:val="single"/>
        </w:rPr>
      </w:pPr>
    </w:p>
    <w:p>
      <w:pPr>
        <w:pStyle w:val="5"/>
        <w:adjustRightInd w:val="0"/>
        <w:snapToGrid w:val="0"/>
        <w:spacing w:before="0" w:after="0" w:line="360" w:lineRule="auto"/>
        <w:ind w:firstLine="118"/>
        <w:jc w:val="left"/>
        <w:rPr>
          <w:rFonts w:ascii="宋体" w:eastAsia="宋体" w:cs="宋体"/>
          <w:color w:val="auto"/>
          <w:sz w:val="24"/>
          <w:szCs w:val="24"/>
        </w:rPr>
      </w:pPr>
      <w:bookmarkStart w:id="250" w:name="_Toc516265932"/>
      <w:bookmarkStart w:id="251" w:name="_Toc21535110"/>
      <w:bookmarkStart w:id="252" w:name="_Toc152042320"/>
      <w:bookmarkStart w:id="253" w:name="_Toc515980145"/>
      <w:bookmarkStart w:id="254" w:name="_Toc60859847"/>
      <w:bookmarkStart w:id="255" w:name="_Toc300834965"/>
      <w:bookmarkStart w:id="256" w:name="_Toc65361656"/>
      <w:bookmarkStart w:id="257" w:name="_Toc247513968"/>
      <w:bookmarkStart w:id="258" w:name="_Toc152045544"/>
      <w:bookmarkStart w:id="259" w:name="_Toc436834146"/>
      <w:bookmarkStart w:id="260" w:name="_Toc144974512"/>
      <w:bookmarkStart w:id="261" w:name="_Toc247527569"/>
      <w:bookmarkStart w:id="262" w:name="_Toc399165388"/>
      <w:bookmarkStart w:id="263" w:name="_Toc436834739"/>
      <w:r>
        <w:rPr>
          <w:rFonts w:hint="eastAsia" w:ascii="宋体" w:eastAsia="宋体" w:cs="宋体"/>
          <w:color w:val="auto"/>
          <w:sz w:val="24"/>
          <w:szCs w:val="24"/>
        </w:rPr>
        <w:t>2.2 招标文件的澄清</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2.2.1 投标人应仔细阅读和检查招标文件的全部内容。如发现缺页或附件不全，应及时向招标人提出，以便补齐。如有疑问，应在投标人须知前附表规定的时间</w:t>
      </w:r>
      <w:r>
        <w:rPr>
          <w:rFonts w:hint="eastAsia" w:ascii="宋体" w:hAnsi="宋体" w:cs="宋体"/>
          <w:color w:val="auto"/>
          <w:sz w:val="24"/>
          <w:szCs w:val="24"/>
          <w:u w:val="single"/>
        </w:rPr>
        <w:t>和形式将提出的问题送达招标人</w:t>
      </w:r>
      <w:r>
        <w:rPr>
          <w:rFonts w:hint="eastAsia" w:ascii="宋体" w:hAnsi="宋体" w:cs="宋体"/>
          <w:color w:val="auto"/>
          <w:sz w:val="24"/>
          <w:szCs w:val="24"/>
        </w:rPr>
        <w:t>，要求招标人对招标文件予以澄清。</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2.2.2招标文件的澄清以</w:t>
      </w:r>
      <w:r>
        <w:rPr>
          <w:rFonts w:hint="eastAsia" w:ascii="宋体" w:hAnsi="宋体" w:cs="宋体"/>
          <w:color w:val="auto"/>
          <w:sz w:val="24"/>
          <w:szCs w:val="24"/>
          <w:u w:val="single"/>
        </w:rPr>
        <w:t>投标人须知前附表规定的时间和形式发给所有投标人</w:t>
      </w:r>
      <w:r>
        <w:rPr>
          <w:rFonts w:hint="eastAsia" w:ascii="宋体" w:hAnsi="宋体" w:cs="宋体"/>
          <w:color w:val="auto"/>
          <w:sz w:val="24"/>
          <w:szCs w:val="24"/>
        </w:rPr>
        <w:t>，但不指明澄清问题的来源。澄清发出的时间距投标人须知前附表规定的投标截止时间不足15天的，并且澄清内容影响投标文件编制的，将相应延长投标截止时间。</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2.2.3</w:t>
      </w:r>
      <w:r>
        <w:rPr>
          <w:rFonts w:hint="eastAsia" w:ascii="宋体" w:hAnsi="宋体" w:cs="宋体"/>
          <w:color w:val="auto"/>
          <w:sz w:val="24"/>
          <w:szCs w:val="24"/>
          <w:u w:val="single"/>
        </w:rPr>
        <w:t>招标文件的澄清在广州公共资源交易中心网站发布。招标文件的澄清一经在广州公共资源交易中心网站发布，视作已发放给所有投标人，招标文件的澄清内容作为招标文件的组成部分，具有约束作用。</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2.2.4 除非招标人认为确有必要答复，否则，招标人有权拒绝回复投标人在本章第 2.2.1 项规定的时间后的任何澄清要求。</w:t>
      </w:r>
    </w:p>
    <w:p>
      <w:pPr>
        <w:pStyle w:val="5"/>
        <w:adjustRightInd w:val="0"/>
        <w:snapToGrid w:val="0"/>
        <w:spacing w:before="0" w:after="0" w:line="360" w:lineRule="auto"/>
        <w:ind w:firstLine="118"/>
        <w:jc w:val="left"/>
        <w:rPr>
          <w:rFonts w:ascii="宋体" w:eastAsia="宋体" w:cs="宋体"/>
          <w:color w:val="auto"/>
          <w:sz w:val="24"/>
          <w:szCs w:val="24"/>
        </w:rPr>
      </w:pPr>
      <w:bookmarkStart w:id="264" w:name="_Toc65361657"/>
      <w:bookmarkStart w:id="265" w:name="_Toc60859848"/>
      <w:bookmarkStart w:id="266" w:name="_Toc436834740"/>
      <w:bookmarkStart w:id="267" w:name="_Toc21535111"/>
      <w:bookmarkStart w:id="268" w:name="_Toc399165389"/>
      <w:bookmarkStart w:id="269" w:name="_Toc300834966"/>
      <w:bookmarkStart w:id="270" w:name="_Toc436834147"/>
      <w:bookmarkStart w:id="271" w:name="_Toc247513969"/>
      <w:bookmarkStart w:id="272" w:name="_Toc152045545"/>
      <w:bookmarkStart w:id="273" w:name="_Toc247527570"/>
      <w:bookmarkStart w:id="274" w:name="_Toc152042321"/>
      <w:bookmarkStart w:id="275" w:name="_Toc516265933"/>
      <w:bookmarkStart w:id="276" w:name="_Toc144974513"/>
      <w:bookmarkStart w:id="277" w:name="_Toc515980146"/>
      <w:r>
        <w:rPr>
          <w:rFonts w:hint="eastAsia" w:ascii="宋体" w:eastAsia="宋体" w:cs="宋体"/>
          <w:color w:val="auto"/>
          <w:sz w:val="24"/>
          <w:szCs w:val="24"/>
        </w:rPr>
        <w:t>2.3 招标文件的修改</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2.3.1招标人</w:t>
      </w:r>
      <w:r>
        <w:rPr>
          <w:rFonts w:hint="eastAsia" w:ascii="宋体" w:hAnsi="宋体" w:cs="宋体"/>
          <w:color w:val="auto"/>
          <w:sz w:val="24"/>
          <w:szCs w:val="24"/>
          <w:u w:val="single"/>
        </w:rPr>
        <w:t>以投标人须知前附表规定的时间和形式修改招标文件</w:t>
      </w:r>
      <w:r>
        <w:rPr>
          <w:rFonts w:hint="eastAsia" w:ascii="宋体" w:hAnsi="宋体" w:cs="宋体"/>
          <w:color w:val="auto"/>
          <w:sz w:val="24"/>
          <w:szCs w:val="24"/>
        </w:rPr>
        <w:t xml:space="preserve">。修改招标文件的时间距投标人须知前附表规定的投标截止时间不足15天的，并且澄清内容影响投标文件编制的，将相应延长投标截止时间。 </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2.3.2</w:t>
      </w:r>
      <w:r>
        <w:rPr>
          <w:rFonts w:hint="eastAsia" w:ascii="宋体" w:hAnsi="宋体" w:cs="宋体"/>
          <w:color w:val="auto"/>
          <w:sz w:val="24"/>
          <w:szCs w:val="24"/>
          <w:u w:val="single"/>
        </w:rPr>
        <w:t>招标文件的修改在广州公共资源交易中心网站发布。招标文件的修改一经在广州公共资源交易中心网站发布，视作已发放给所有投标人，招标文件的修改内容作为招标文件的组成部分，具有约束作用。</w:t>
      </w:r>
    </w:p>
    <w:p>
      <w:pPr>
        <w:pStyle w:val="4"/>
        <w:adjustRightInd w:val="0"/>
        <w:snapToGrid w:val="0"/>
        <w:spacing w:before="0" w:after="0" w:line="360" w:lineRule="auto"/>
        <w:jc w:val="left"/>
        <w:rPr>
          <w:rFonts w:ascii="宋体" w:hAnsi="宋体" w:eastAsia="宋体" w:cs="宋体"/>
          <w:color w:val="auto"/>
          <w:sz w:val="24"/>
          <w:szCs w:val="24"/>
        </w:rPr>
      </w:pPr>
      <w:bookmarkStart w:id="278" w:name="_Toc247513970"/>
      <w:bookmarkStart w:id="279" w:name="_Toc399165390"/>
      <w:bookmarkStart w:id="280" w:name="_Toc300834967"/>
      <w:bookmarkStart w:id="281" w:name="_Toc436834148"/>
      <w:bookmarkStart w:id="282" w:name="_Toc152042322"/>
      <w:bookmarkStart w:id="283" w:name="_Toc144974514"/>
      <w:bookmarkStart w:id="284" w:name="_Toc21535112"/>
      <w:bookmarkStart w:id="285" w:name="_Toc516265934"/>
      <w:bookmarkStart w:id="286" w:name="_Toc65361658"/>
      <w:bookmarkStart w:id="287" w:name="_Toc247527571"/>
      <w:bookmarkStart w:id="288" w:name="_Toc60859849"/>
      <w:bookmarkStart w:id="289" w:name="_Toc436834741"/>
      <w:bookmarkStart w:id="290" w:name="_Toc515980147"/>
      <w:bookmarkStart w:id="291" w:name="_Toc152045546"/>
      <w:r>
        <w:rPr>
          <w:rFonts w:hint="eastAsia" w:ascii="宋体" w:hAnsi="宋体" w:eastAsia="宋体" w:cs="宋体"/>
          <w:color w:val="auto"/>
          <w:sz w:val="24"/>
          <w:szCs w:val="24"/>
        </w:rPr>
        <w:t>3. 投标文件</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5"/>
        <w:adjustRightInd w:val="0"/>
        <w:snapToGrid w:val="0"/>
        <w:spacing w:before="0" w:after="0" w:line="360" w:lineRule="auto"/>
        <w:ind w:firstLine="118"/>
        <w:jc w:val="left"/>
        <w:rPr>
          <w:rFonts w:ascii="宋体" w:eastAsia="宋体" w:cs="宋体"/>
          <w:color w:val="auto"/>
          <w:sz w:val="24"/>
          <w:szCs w:val="24"/>
        </w:rPr>
      </w:pPr>
      <w:bookmarkStart w:id="292" w:name="_Toc515980148"/>
      <w:bookmarkStart w:id="293" w:name="_Toc516265935"/>
      <w:bookmarkStart w:id="294" w:name="_Toc21535113"/>
      <w:bookmarkStart w:id="295" w:name="_Toc144974515"/>
      <w:bookmarkStart w:id="296" w:name="_Toc436834742"/>
      <w:bookmarkStart w:id="297" w:name="_Toc384759593"/>
      <w:bookmarkStart w:id="298" w:name="_Toc65361659"/>
      <w:bookmarkStart w:id="299" w:name="_Toc152045547"/>
      <w:bookmarkStart w:id="300" w:name="_Toc247513971"/>
      <w:bookmarkStart w:id="301" w:name="_Toc247527572"/>
      <w:bookmarkStart w:id="302" w:name="_Toc60859850"/>
      <w:bookmarkStart w:id="303" w:name="_Toc152042323"/>
      <w:bookmarkStart w:id="304" w:name="_Toc436834149"/>
      <w:r>
        <w:rPr>
          <w:rFonts w:hint="eastAsia" w:ascii="宋体" w:eastAsia="宋体" w:cs="宋体"/>
          <w:color w:val="auto"/>
          <w:sz w:val="24"/>
          <w:szCs w:val="24"/>
        </w:rPr>
        <w:t>3.1 投标文件的组成</w:t>
      </w:r>
      <w:bookmarkEnd w:id="292"/>
      <w:bookmarkEnd w:id="293"/>
      <w:bookmarkEnd w:id="294"/>
      <w:bookmarkEnd w:id="295"/>
      <w:bookmarkEnd w:id="296"/>
      <w:bookmarkEnd w:id="297"/>
      <w:bookmarkEnd w:id="298"/>
      <w:bookmarkEnd w:id="299"/>
      <w:bookmarkEnd w:id="300"/>
      <w:bookmarkEnd w:id="301"/>
      <w:bookmarkEnd w:id="302"/>
      <w:bookmarkEnd w:id="303"/>
      <w:bookmarkEnd w:id="304"/>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 xml:space="preserve">3.1.1 </w:t>
      </w:r>
      <w:r>
        <w:rPr>
          <w:rFonts w:hint="eastAsia" w:ascii="宋体" w:hAnsi="宋体" w:cs="宋体"/>
          <w:color w:val="auto"/>
          <w:sz w:val="24"/>
          <w:szCs w:val="24"/>
          <w:u w:val="single"/>
        </w:rPr>
        <w:t>投标文件由工程总承包实施方案（含资格审查、投标报价）组成。如招标文件没有格式规定的，由投标人自行编制。</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3.1.2工程总承包实施方案（含资格审查、投标报价）投标文件主要包括下列内容：</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1.资格审查文件：</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（1）投标单位法定代表人证明书及法定代表人授权委托证明书（联合体投标的，由联合体主办方提供）；</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（2）企业营业执照扫描件（联合体投标的，联合体各方均提供）；</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（3）资质证书扫描件（联合体投标的，联合体各方均提供）；</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（4）安全生产许可证扫描件（联合体投标的，联合体主办方均提供）；</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（5）投标人（或联合体主办方）拟派项目负责人（兼施工负责人，以投标登记时选取的项目负责人为准）的建造师注册证书的扫描件；</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（6）投标人（或联合体主办方）拟派项目负责人（兼施工负责人）在有效期内的水行政主管部门颁发的安全生产考核合格证（B类）扫描件；</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（7）投标人（或联合体设计方）拟派设计负责人（以投标登记时选取的设计负责人为准）的</w:t>
      </w:r>
      <w:r>
        <w:rPr>
          <w:rFonts w:hint="eastAsia" w:ascii="宋体" w:hAnsi="宋体" w:cs="宋体"/>
          <w:bCs/>
          <w:color w:val="auto"/>
          <w:sz w:val="24"/>
          <w:szCs w:val="24"/>
          <w:u w:val="single"/>
        </w:rPr>
        <w:t>水利水电类专业</w:t>
      </w:r>
      <w:r>
        <w:rPr>
          <w:rFonts w:hint="eastAsia" w:ascii="宋体" w:hAnsi="宋体" w:cs="宋体"/>
          <w:color w:val="auto"/>
          <w:sz w:val="24"/>
          <w:szCs w:val="24"/>
          <w:u w:val="single"/>
        </w:rPr>
        <w:t>职称证书扫描件；</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（8）投标人（或联合体主办方）拟派专职安全员（以投标登记时选取的专职安全员为准）须具有有效期内的水行政主管部门颁发的安全生产考核合格证（</w:t>
      </w:r>
      <w:r>
        <w:rPr>
          <w:rFonts w:ascii="宋体" w:hAnsi="宋体" w:cs="宋体"/>
          <w:color w:val="auto"/>
          <w:sz w:val="24"/>
          <w:szCs w:val="24"/>
          <w:u w:val="single"/>
        </w:rPr>
        <w:t>C类）扫描件；</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（9）按招标公告附件一盖章签署的《投标人声明》；</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 xml:space="preserve">（10）按招标公告附件二盖章签署的联合体投标协议书（如有）； </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11）投标人（若为联合体投标，指联合体各方）须在广州公共资源交易中心企业库办理企业信息登记及拟担任本工程项目负责人（兼施工负责人）、专职安全员、设计负责人须是本企业登记信息中的在册人员。（联合体投标的，企业登记信息和人员在册情况为联合体共同投标协议书中分工对应在广州公共资源交易中心企业库内信息。信息取自投标截止时间投标人在广州公共资源交易中心企业库登记的信息，广州公共资源交易中心企业库中该部分信息将被视为投标人递交资格审查资料的一部分，投标文件中可不提供相关证明材料</w:t>
      </w:r>
      <w:r>
        <w:rPr>
          <w:rFonts w:hint="eastAsia" w:ascii="宋体" w:hAnsi="宋体" w:cs="宋体"/>
          <w:color w:val="auto"/>
          <w:sz w:val="24"/>
          <w:szCs w:val="24"/>
        </w:rPr>
        <w:t>）；</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（12）投标人认为应该提供的其他资料。</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2.投标书；</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3.投标承诺函；</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4.投标人基本情况表；</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5.企业资信证明资料（如有）；</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6.拟派项目管理团队人员证明资料；</w:t>
      </w:r>
    </w:p>
    <w:p>
      <w:pPr>
        <w:tabs>
          <w:tab w:val="left" w:pos="840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7.工程实施方案（包括设计和施工的融合措施、绿色节能控制措施、劳动力投入措施、进度控制措施等，</w:t>
      </w:r>
      <w:r>
        <w:rPr>
          <w:rFonts w:hint="eastAsia" w:ascii="宋体" w:hAnsi="宋体"/>
          <w:color w:val="auto"/>
          <w:sz w:val="24"/>
        </w:rPr>
        <w:t>还应按照招标人提出的施工现场建筑垃圾源头减量的具体要求以及建筑垃圾综合利用产品的使用要求提供相应措施。</w:t>
      </w:r>
      <w:r>
        <w:rPr>
          <w:rFonts w:hint="eastAsia" w:ascii="宋体" w:hAnsi="宋体" w:cs="宋体"/>
          <w:color w:val="auto"/>
          <w:sz w:val="24"/>
          <w:szCs w:val="24"/>
        </w:rPr>
        <w:t>）；</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8.投标文件编制人员名单；</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9.投标人认为应该提供的其他资料。</w:t>
      </w:r>
    </w:p>
    <w:p>
      <w:pPr>
        <w:pStyle w:val="5"/>
        <w:adjustRightInd w:val="0"/>
        <w:snapToGrid w:val="0"/>
        <w:spacing w:before="0" w:after="0" w:line="360" w:lineRule="auto"/>
        <w:ind w:firstLine="118"/>
        <w:jc w:val="left"/>
        <w:rPr>
          <w:rFonts w:ascii="宋体" w:eastAsia="宋体" w:cs="宋体"/>
          <w:color w:val="auto"/>
          <w:sz w:val="24"/>
          <w:szCs w:val="24"/>
        </w:rPr>
      </w:pPr>
      <w:bookmarkStart w:id="305" w:name="_Toc21535114"/>
      <w:bookmarkStart w:id="306" w:name="_Toc436834150"/>
      <w:bookmarkStart w:id="307" w:name="_Toc300834969"/>
      <w:bookmarkStart w:id="308" w:name="_Toc399165392"/>
      <w:bookmarkStart w:id="309" w:name="_Toc60859851"/>
      <w:bookmarkStart w:id="310" w:name="_Toc247527573"/>
      <w:bookmarkStart w:id="311" w:name="_Toc436834743"/>
      <w:bookmarkStart w:id="312" w:name="_Toc515980149"/>
      <w:bookmarkStart w:id="313" w:name="_Toc152042324"/>
      <w:bookmarkStart w:id="314" w:name="_Toc65361660"/>
      <w:bookmarkStart w:id="315" w:name="_Toc247513972"/>
      <w:bookmarkStart w:id="316" w:name="_Toc152045548"/>
      <w:bookmarkStart w:id="317" w:name="_Toc144974516"/>
      <w:bookmarkStart w:id="318" w:name="_Toc516265936"/>
      <w:r>
        <w:rPr>
          <w:rFonts w:hint="eastAsia" w:ascii="宋体" w:eastAsia="宋体" w:cs="宋体"/>
          <w:color w:val="auto"/>
          <w:sz w:val="24"/>
          <w:szCs w:val="24"/>
        </w:rPr>
        <w:t>3.2 投标报价</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pPr>
        <w:adjustRightInd w:val="0"/>
        <w:snapToGrid w:val="0"/>
        <w:spacing w:line="360" w:lineRule="auto"/>
        <w:ind w:firstLine="480" w:firstLineChars="200"/>
        <w:jc w:val="left"/>
        <w:rPr>
          <w:rFonts w:ascii="宋体" w:hAnsi="宋体" w:cs="宋体"/>
          <w:color w:val="auto"/>
          <w:sz w:val="24"/>
          <w:szCs w:val="24"/>
        </w:rPr>
      </w:pPr>
      <w:bookmarkStart w:id="319" w:name="_Toc247513973"/>
      <w:bookmarkStart w:id="320" w:name="_Toc436834151"/>
      <w:bookmarkStart w:id="321" w:name="_Toc152042325"/>
      <w:bookmarkStart w:id="322" w:name="_Toc300834970"/>
      <w:bookmarkStart w:id="323" w:name="_Toc247527574"/>
      <w:bookmarkStart w:id="324" w:name="_Toc399165393"/>
      <w:bookmarkStart w:id="325" w:name="_Toc516265937"/>
      <w:bookmarkStart w:id="326" w:name="_Toc515980150"/>
      <w:bookmarkStart w:id="327" w:name="_Toc144974517"/>
      <w:bookmarkStart w:id="328" w:name="_Toc60859852"/>
      <w:bookmarkStart w:id="329" w:name="_Toc21535115"/>
      <w:bookmarkStart w:id="330" w:name="_Toc436834744"/>
      <w:bookmarkStart w:id="331" w:name="_Toc152045549"/>
      <w:bookmarkStart w:id="332" w:name="_Toc65361661"/>
      <w:r>
        <w:rPr>
          <w:rFonts w:hint="eastAsia" w:ascii="宋体" w:hAnsi="宋体" w:cs="宋体"/>
          <w:color w:val="auto"/>
          <w:sz w:val="24"/>
          <w:szCs w:val="24"/>
        </w:rPr>
        <w:t>3.2.1 投标人应按第七章“投标文件格式”的要求填写价格清单。</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3.2.2 投标人应充分了解施工场地的位置、周边环境、道路、装卸、保管、安装限制以及影响投标报价的其他要素。投标人根据投标设计，结合市场情况进行投标报价。</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3.2.3 投标人在投标截止时间前修改投标函中的投标报价总额，应同时修改投标文件“价格清单”中的相应报价，投标报价总额为各分项金额之和。此修改须符合本章第4.3款的有关要求。</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3.2.4 招标人设有最高投标限价的，投标人的投标报价不得超过最高投标限价，最高投标限价或其计算方法在投标人须知前附表中载明。</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3.2.5 投标报价的其他要求见投标人须知前附表。</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3.2.6投标人的投标总报价，应是按照投标须知前附表的工期要求，在投标须知前附表的建设地点，完成投标须知前附表的招标范围内列明工作的全部费用，包括但不限于完成工作的成本、利润、税金、技术措施费、大型机械进出场费、风险费以及政策性文件规定费用等所有费用，不得以任何理由予以重复计算。</w:t>
      </w:r>
    </w:p>
    <w:p>
      <w:pPr>
        <w:pStyle w:val="5"/>
        <w:adjustRightInd w:val="0"/>
        <w:snapToGrid w:val="0"/>
        <w:spacing w:before="0" w:after="0" w:line="360" w:lineRule="auto"/>
        <w:ind w:firstLine="118"/>
        <w:jc w:val="left"/>
        <w:rPr>
          <w:rFonts w:ascii="宋体" w:eastAsia="宋体" w:cs="宋体"/>
          <w:color w:val="auto"/>
          <w:sz w:val="24"/>
          <w:szCs w:val="24"/>
        </w:rPr>
      </w:pPr>
      <w:r>
        <w:rPr>
          <w:rFonts w:hint="eastAsia" w:ascii="宋体" w:eastAsia="宋体" w:cs="宋体"/>
          <w:color w:val="auto"/>
          <w:sz w:val="24"/>
          <w:szCs w:val="24"/>
        </w:rPr>
        <w:t>3.3 投标有效期</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3.3.1 除投标人须知前附表另有规定外，投标有效期为120天。</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3.3.2 在投标有效期内，投标人撤销或修改其投标文件的，应承担招标文件和法律规定的责任。</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adjustRightInd w:val="0"/>
        <w:snapToGrid w:val="0"/>
        <w:spacing w:before="0" w:after="0" w:line="360" w:lineRule="auto"/>
        <w:ind w:firstLine="118"/>
        <w:jc w:val="left"/>
        <w:rPr>
          <w:rFonts w:ascii="宋体" w:eastAsia="宋体" w:cs="宋体"/>
          <w:strike/>
          <w:color w:val="auto"/>
          <w:sz w:val="24"/>
          <w:szCs w:val="24"/>
        </w:rPr>
      </w:pPr>
      <w:bookmarkStart w:id="333" w:name="_Toc516265938"/>
      <w:bookmarkStart w:id="334" w:name="_Toc60859853"/>
      <w:bookmarkStart w:id="335" w:name="_Toc152045550"/>
      <w:bookmarkStart w:id="336" w:name="_Toc247527575"/>
      <w:bookmarkStart w:id="337" w:name="_Toc21535116"/>
      <w:bookmarkStart w:id="338" w:name="_Toc152042326"/>
      <w:bookmarkStart w:id="339" w:name="_Toc436834745"/>
      <w:bookmarkStart w:id="340" w:name="_Toc300834971"/>
      <w:bookmarkStart w:id="341" w:name="_Toc144974518"/>
      <w:bookmarkStart w:id="342" w:name="_Toc65361662"/>
      <w:bookmarkStart w:id="343" w:name="_Toc399165394"/>
      <w:bookmarkStart w:id="344" w:name="_Toc515980151"/>
      <w:bookmarkStart w:id="345" w:name="_Toc436834152"/>
      <w:bookmarkStart w:id="346" w:name="_Toc247513974"/>
      <w:r>
        <w:rPr>
          <w:rFonts w:hint="eastAsia" w:ascii="宋体" w:eastAsia="宋体" w:cs="宋体"/>
          <w:strike/>
          <w:color w:val="auto"/>
          <w:sz w:val="24"/>
          <w:szCs w:val="24"/>
        </w:rPr>
        <w:t>3.4 投标担保</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adjustRightInd w:val="0"/>
        <w:snapToGrid w:val="0"/>
        <w:spacing w:line="360" w:lineRule="auto"/>
        <w:ind w:firstLine="360" w:firstLineChars="150"/>
        <w:jc w:val="left"/>
        <w:rPr>
          <w:rFonts w:ascii="宋体" w:hAnsi="宋体" w:cs="宋体"/>
          <w:strike/>
          <w:color w:val="auto"/>
          <w:sz w:val="24"/>
          <w:szCs w:val="24"/>
        </w:rPr>
      </w:pPr>
      <w:r>
        <w:rPr>
          <w:rFonts w:hint="eastAsia" w:ascii="宋体" w:hAnsi="宋体" w:cs="宋体"/>
          <w:strike/>
          <w:color w:val="auto"/>
          <w:sz w:val="24"/>
          <w:szCs w:val="24"/>
        </w:rPr>
        <w:t>3.4.1 投标人在递交投标文件的同时，应按投标人须知前附表规定的金额、担保形式和第七章“投标文件格式”规定的投标保证金格式递交投标保证金，并作为其投标文件的组成部分。联合体投标的，其投标保证金由牵头人递交，并应符合投标人须知前附表的规定。</w:t>
      </w:r>
    </w:p>
    <w:p>
      <w:pPr>
        <w:adjustRightInd w:val="0"/>
        <w:snapToGrid w:val="0"/>
        <w:spacing w:line="360" w:lineRule="auto"/>
        <w:ind w:firstLine="360" w:firstLineChars="150"/>
        <w:jc w:val="left"/>
        <w:rPr>
          <w:rFonts w:ascii="宋体" w:hAnsi="宋体" w:cs="宋体"/>
          <w:strike/>
          <w:color w:val="auto"/>
          <w:sz w:val="24"/>
          <w:szCs w:val="24"/>
        </w:rPr>
      </w:pPr>
      <w:r>
        <w:rPr>
          <w:rFonts w:hint="eastAsia" w:ascii="宋体" w:hAnsi="宋体" w:cs="宋体"/>
          <w:strike/>
          <w:color w:val="auto"/>
          <w:sz w:val="24"/>
          <w:szCs w:val="24"/>
        </w:rPr>
        <w:t>3.4.2 投标人不按本章第3.4.1项要求提交投标保证金的，评标委员会将否决其投标。</w:t>
      </w:r>
    </w:p>
    <w:p>
      <w:pPr>
        <w:adjustRightInd w:val="0"/>
        <w:snapToGrid w:val="0"/>
        <w:spacing w:line="360" w:lineRule="auto"/>
        <w:ind w:firstLine="360" w:firstLineChars="150"/>
        <w:jc w:val="left"/>
        <w:rPr>
          <w:rFonts w:ascii="宋体" w:hAnsi="宋体" w:cs="宋体"/>
          <w:strike/>
          <w:color w:val="auto"/>
          <w:sz w:val="24"/>
          <w:szCs w:val="24"/>
        </w:rPr>
      </w:pPr>
      <w:r>
        <w:rPr>
          <w:rFonts w:hint="eastAsia" w:ascii="宋体" w:hAnsi="宋体" w:cs="宋体"/>
          <w:strike/>
          <w:color w:val="auto"/>
          <w:sz w:val="24"/>
          <w:szCs w:val="24"/>
        </w:rPr>
        <w:t>3.4.3 招标人与中标人签订合同后5日内，向未中标的投标人和中标人退还投标保证金及同期银行存款利息。</w:t>
      </w:r>
    </w:p>
    <w:p>
      <w:pPr>
        <w:adjustRightInd w:val="0"/>
        <w:snapToGrid w:val="0"/>
        <w:spacing w:line="360" w:lineRule="auto"/>
        <w:ind w:firstLine="360" w:firstLineChars="150"/>
        <w:jc w:val="left"/>
        <w:rPr>
          <w:rFonts w:ascii="宋体" w:hAnsi="宋体" w:cs="宋体"/>
          <w:strike/>
          <w:color w:val="auto"/>
          <w:sz w:val="24"/>
          <w:szCs w:val="24"/>
        </w:rPr>
      </w:pPr>
      <w:r>
        <w:rPr>
          <w:rFonts w:hint="eastAsia" w:ascii="宋体" w:hAnsi="宋体" w:cs="宋体"/>
          <w:strike/>
          <w:color w:val="auto"/>
          <w:sz w:val="24"/>
          <w:szCs w:val="24"/>
        </w:rPr>
        <w:t xml:space="preserve">3.4.4 有下列情形之一的，投标保证金将不予退还： </w:t>
      </w:r>
    </w:p>
    <w:p>
      <w:pPr>
        <w:adjustRightInd w:val="0"/>
        <w:snapToGrid w:val="0"/>
        <w:spacing w:line="360" w:lineRule="auto"/>
        <w:ind w:firstLine="360" w:firstLineChars="150"/>
        <w:jc w:val="left"/>
        <w:rPr>
          <w:rFonts w:ascii="宋体" w:hAnsi="宋体" w:cs="宋体"/>
          <w:strike/>
          <w:color w:val="auto"/>
          <w:sz w:val="24"/>
          <w:szCs w:val="24"/>
        </w:rPr>
      </w:pPr>
      <w:r>
        <w:rPr>
          <w:rFonts w:hint="eastAsia" w:ascii="宋体" w:hAnsi="宋体" w:cs="宋体"/>
          <w:strike/>
          <w:color w:val="auto"/>
          <w:sz w:val="24"/>
          <w:szCs w:val="24"/>
        </w:rPr>
        <w:t>（1）投标人在规定的投标有效期内撤销或修改其投标文件；</w:t>
      </w:r>
    </w:p>
    <w:p>
      <w:pPr>
        <w:adjustRightInd w:val="0"/>
        <w:snapToGrid w:val="0"/>
        <w:spacing w:line="360" w:lineRule="auto"/>
        <w:ind w:firstLine="360" w:firstLineChars="150"/>
        <w:jc w:val="left"/>
        <w:rPr>
          <w:rFonts w:ascii="宋体" w:hAnsi="宋体" w:cs="宋体"/>
          <w:color w:val="auto"/>
          <w:sz w:val="24"/>
          <w:szCs w:val="24"/>
        </w:rPr>
      </w:pPr>
      <w:r>
        <w:rPr>
          <w:rFonts w:hint="eastAsia" w:ascii="宋体" w:hAnsi="宋体" w:cs="宋体"/>
          <w:strike/>
          <w:color w:val="auto"/>
          <w:sz w:val="24"/>
          <w:szCs w:val="24"/>
        </w:rPr>
        <w:t>（2）中标人在收到中标通知书后，无正当理由拒签合同或未按招标文件规定提交履约担保。</w:t>
      </w:r>
    </w:p>
    <w:p>
      <w:pPr>
        <w:pStyle w:val="5"/>
        <w:adjustRightInd w:val="0"/>
        <w:snapToGrid w:val="0"/>
        <w:spacing w:before="0" w:after="0" w:line="360" w:lineRule="auto"/>
        <w:ind w:firstLine="0" w:firstLineChars="0"/>
        <w:jc w:val="left"/>
        <w:rPr>
          <w:rFonts w:ascii="宋体" w:eastAsia="宋体" w:cs="宋体"/>
          <w:strike/>
          <w:color w:val="auto"/>
          <w:sz w:val="24"/>
          <w:szCs w:val="24"/>
        </w:rPr>
      </w:pPr>
      <w:bookmarkStart w:id="347" w:name="_Toc60859854"/>
      <w:bookmarkStart w:id="348" w:name="_Toc516265939"/>
      <w:bookmarkStart w:id="349" w:name="_Toc399165395"/>
      <w:bookmarkStart w:id="350" w:name="_Toc247513975"/>
      <w:bookmarkStart w:id="351" w:name="_Toc144974519"/>
      <w:bookmarkStart w:id="352" w:name="_Toc247527576"/>
      <w:bookmarkStart w:id="353" w:name="_Toc152042327"/>
      <w:bookmarkStart w:id="354" w:name="_Toc21535117"/>
      <w:bookmarkStart w:id="355" w:name="_Toc515980152"/>
      <w:bookmarkStart w:id="356" w:name="_Toc152045551"/>
      <w:bookmarkStart w:id="357" w:name="_Toc65361663"/>
      <w:bookmarkStart w:id="358" w:name="_Toc300834972"/>
      <w:bookmarkStart w:id="359" w:name="_Toc436834153"/>
      <w:bookmarkStart w:id="360" w:name="_Toc436834746"/>
      <w:r>
        <w:rPr>
          <w:rFonts w:ascii="宋体" w:eastAsia="宋体" w:cs="宋体"/>
          <w:strike/>
          <w:color w:val="auto"/>
          <w:sz w:val="24"/>
          <w:szCs w:val="24"/>
        </w:rPr>
        <w:t xml:space="preserve">3.5 </w:t>
      </w:r>
      <w:r>
        <w:rPr>
          <w:rFonts w:hint="eastAsia" w:ascii="宋体" w:eastAsia="宋体" w:cs="宋体"/>
          <w:strike/>
          <w:color w:val="auto"/>
          <w:sz w:val="24"/>
          <w:szCs w:val="24"/>
        </w:rPr>
        <w:t>资格审查资料</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hint="eastAsia" w:ascii="宋体" w:eastAsia="宋体" w:cs="宋体"/>
          <w:strike/>
          <w:color w:val="auto"/>
          <w:sz w:val="24"/>
          <w:szCs w:val="24"/>
        </w:rPr>
        <w:t>（适用于已进行资格预审的）</w:t>
      </w:r>
    </w:p>
    <w:p>
      <w:pPr>
        <w:adjustRightInd w:val="0"/>
        <w:snapToGrid w:val="0"/>
        <w:spacing w:line="360" w:lineRule="auto"/>
        <w:ind w:left="105" w:leftChars="50" w:firstLine="480" w:firstLineChars="200"/>
        <w:jc w:val="left"/>
        <w:rPr>
          <w:rFonts w:ascii="宋体" w:hAnsi="宋体" w:cs="宋体"/>
          <w:strike/>
          <w:color w:val="auto"/>
          <w:sz w:val="24"/>
          <w:szCs w:val="24"/>
        </w:rPr>
      </w:pPr>
      <w:r>
        <w:rPr>
          <w:rFonts w:hint="eastAsia" w:ascii="宋体" w:hAnsi="宋体" w:cs="宋体"/>
          <w:strike/>
          <w:color w:val="auto"/>
          <w:sz w:val="24"/>
          <w:szCs w:val="24"/>
        </w:rPr>
        <w:t>投标人在递交投标文件前，发生可能影响其投标资格的新情况的，应更新或补充其在申请资格预审时提供的资料，以证实其各项资格条件仍能继续满足资格预审文件的要求，且没有实质性降低。</w:t>
      </w:r>
    </w:p>
    <w:p>
      <w:pPr>
        <w:pStyle w:val="5"/>
        <w:adjustRightInd w:val="0"/>
        <w:snapToGrid w:val="0"/>
        <w:spacing w:before="0" w:after="0" w:line="360" w:lineRule="auto"/>
        <w:ind w:firstLine="118"/>
        <w:jc w:val="left"/>
        <w:rPr>
          <w:rFonts w:ascii="宋体" w:eastAsia="宋体" w:cs="宋体"/>
          <w:color w:val="auto"/>
          <w:sz w:val="24"/>
          <w:szCs w:val="24"/>
        </w:rPr>
      </w:pPr>
      <w:bookmarkStart w:id="361" w:name="_Toc300834974"/>
      <w:bookmarkStart w:id="362" w:name="_Toc21535118"/>
      <w:bookmarkStart w:id="363" w:name="_Toc144974521"/>
      <w:bookmarkStart w:id="364" w:name="_Toc516265940"/>
      <w:bookmarkStart w:id="365" w:name="_Toc247527578"/>
      <w:bookmarkStart w:id="366" w:name="_Toc436834747"/>
      <w:bookmarkStart w:id="367" w:name="_Toc247513977"/>
      <w:bookmarkStart w:id="368" w:name="_Toc60859856"/>
      <w:bookmarkStart w:id="369" w:name="_Toc399165396"/>
      <w:bookmarkStart w:id="370" w:name="_Toc515980153"/>
      <w:bookmarkStart w:id="371" w:name="_Toc152042329"/>
      <w:bookmarkStart w:id="372" w:name="_Toc65361664"/>
      <w:bookmarkStart w:id="373" w:name="_Toc436834154"/>
      <w:bookmarkStart w:id="374" w:name="_Toc152045553"/>
      <w:r>
        <w:rPr>
          <w:rFonts w:hint="eastAsia" w:ascii="宋体" w:eastAsia="宋体" w:cs="宋体"/>
          <w:color w:val="auto"/>
          <w:sz w:val="24"/>
          <w:szCs w:val="24"/>
        </w:rPr>
        <w:t>3.5 资格审查资料（适用于未进行资格预审的）</w:t>
      </w:r>
    </w:p>
    <w:p>
      <w:pPr>
        <w:spacing w:line="360" w:lineRule="auto"/>
        <w:ind w:left="105" w:leftChars="50" w:firstLine="480"/>
        <w:rPr>
          <w:rFonts w:ascii="宋体" w:hAnsi="宋体" w:cs="宋体"/>
          <w:color w:val="auto"/>
          <w:sz w:val="24"/>
          <w:szCs w:val="24"/>
          <w:u w:val="single"/>
        </w:rPr>
      </w:pPr>
      <w:r>
        <w:rPr>
          <w:rFonts w:hint="eastAsia" w:ascii="宋体" w:hAnsi="宋体" w:cs="宋体"/>
          <w:color w:val="auto"/>
          <w:sz w:val="24"/>
          <w:szCs w:val="24"/>
          <w:u w:val="single"/>
        </w:rPr>
        <w:t>投标人应提供资格审查资料，以证明其满足本章第1.4款规定的资质、财务、业绩、信誉等要求。</w:t>
      </w:r>
    </w:p>
    <w:p>
      <w:pPr>
        <w:spacing w:line="360" w:lineRule="auto"/>
        <w:ind w:left="105" w:leftChars="50" w:firstLine="480"/>
        <w:rPr>
          <w:rFonts w:ascii="宋体" w:hAnsi="宋体" w:cs="宋体"/>
          <w:color w:val="auto"/>
          <w:sz w:val="24"/>
          <w:szCs w:val="24"/>
        </w:rPr>
      </w:pPr>
      <w:r>
        <w:rPr>
          <w:rFonts w:hint="eastAsia" w:ascii="宋体" w:hAnsi="宋体" w:cs="宋体"/>
          <w:color w:val="auto"/>
          <w:sz w:val="24"/>
          <w:szCs w:val="24"/>
        </w:rPr>
        <w:t>3.5.1 “投标人基本情况表”应附投标人营业执照</w:t>
      </w:r>
      <w:r>
        <w:rPr>
          <w:rFonts w:hint="eastAsia" w:ascii="宋体" w:hAnsi="宋体" w:cs="宋体"/>
          <w:strike/>
          <w:color w:val="auto"/>
          <w:sz w:val="24"/>
          <w:szCs w:val="24"/>
        </w:rPr>
        <w:t>及其年检合格的证明材料</w:t>
      </w:r>
      <w:r>
        <w:rPr>
          <w:rFonts w:hint="eastAsia" w:ascii="宋体" w:hAnsi="宋体" w:cs="宋体"/>
          <w:color w:val="auto"/>
          <w:sz w:val="24"/>
          <w:szCs w:val="24"/>
        </w:rPr>
        <w:t>、资质证书副本等材料的复印件。</w:t>
      </w:r>
    </w:p>
    <w:p>
      <w:pPr>
        <w:spacing w:line="360" w:lineRule="auto"/>
        <w:ind w:left="105" w:leftChars="50" w:firstLine="480"/>
        <w:rPr>
          <w:rFonts w:ascii="宋体" w:hAnsi="宋体" w:cs="宋体"/>
          <w:strike/>
          <w:color w:val="auto"/>
          <w:sz w:val="24"/>
          <w:szCs w:val="24"/>
          <w:u w:val="single"/>
        </w:rPr>
      </w:pPr>
      <w:r>
        <w:rPr>
          <w:rFonts w:hint="eastAsia" w:ascii="宋体" w:hAnsi="宋体" w:cs="宋体"/>
          <w:strike/>
          <w:color w:val="auto"/>
          <w:sz w:val="24"/>
          <w:szCs w:val="24"/>
          <w:u w:val="single"/>
        </w:rPr>
        <w:t>3.5.2 “近年财务状况表”应附经会计师事务所或审计机构审计的财务会计报表，包括资产负债表、现金流量表、利润表和财务情况说明书等复印件，具体年份要求见投标人须知前附表。</w:t>
      </w:r>
    </w:p>
    <w:p>
      <w:pPr>
        <w:adjustRightInd w:val="0"/>
        <w:snapToGrid w:val="0"/>
        <w:spacing w:line="360" w:lineRule="auto"/>
        <w:ind w:left="105" w:leftChars="50" w:firstLine="480"/>
        <w:jc w:val="left"/>
        <w:rPr>
          <w:rFonts w:ascii="宋体" w:hAnsi="宋体" w:cs="宋体"/>
          <w:strike/>
          <w:color w:val="auto"/>
          <w:sz w:val="24"/>
          <w:szCs w:val="24"/>
          <w:u w:val="single"/>
        </w:rPr>
      </w:pPr>
      <w:r>
        <w:rPr>
          <w:rFonts w:hint="eastAsia" w:ascii="宋体" w:hAnsi="宋体" w:cs="宋体"/>
          <w:strike/>
          <w:color w:val="auto"/>
          <w:sz w:val="24"/>
          <w:szCs w:val="24"/>
          <w:u w:val="single"/>
        </w:rPr>
        <w:t>3.5.3 “近年完成的类似设计施工总承包项目情况表”应附中标通知书和（或）合同协议书、工程接收证书（工程竣工验收证书）复印件；或“近年完成的类似工程设计项目情况表”应附中标通知书和（或）合同协议书、发包人出具的证明文件；“近年完成的类似施工项目情况表”应附中标通知书和（或）合同协议书、工程接收证书（工程竣工验收证书）复印件。具体年份要求见投标人须知前附表，每张表格只填写一个项目，并标明序号。</w:t>
      </w:r>
    </w:p>
    <w:p>
      <w:pPr>
        <w:adjustRightInd w:val="0"/>
        <w:snapToGrid w:val="0"/>
        <w:spacing w:line="360" w:lineRule="auto"/>
        <w:ind w:left="105" w:leftChars="50" w:firstLine="480"/>
        <w:jc w:val="left"/>
        <w:rPr>
          <w:rFonts w:ascii="宋体" w:hAnsi="宋体" w:cs="宋体"/>
          <w:strike/>
          <w:color w:val="auto"/>
          <w:sz w:val="24"/>
          <w:szCs w:val="24"/>
          <w:u w:val="single"/>
        </w:rPr>
      </w:pPr>
      <w:r>
        <w:rPr>
          <w:rFonts w:hint="eastAsia" w:ascii="宋体" w:hAnsi="宋体" w:cs="宋体"/>
          <w:strike/>
          <w:color w:val="auto"/>
          <w:sz w:val="24"/>
          <w:szCs w:val="24"/>
          <w:u w:val="single"/>
        </w:rPr>
        <w:t>3.5.4 “正在实施和新承接的项目情况表”应附中标通知书和（或）合同协议书复印件。每张表格只填写一个项目，并标明序号。</w:t>
      </w:r>
    </w:p>
    <w:p>
      <w:pPr>
        <w:adjustRightInd w:val="0"/>
        <w:snapToGrid w:val="0"/>
        <w:spacing w:line="360" w:lineRule="auto"/>
        <w:ind w:left="105" w:leftChars="50" w:firstLine="480"/>
        <w:jc w:val="left"/>
        <w:rPr>
          <w:rFonts w:ascii="宋体" w:hAnsi="宋体" w:cs="宋体"/>
          <w:strike/>
          <w:color w:val="auto"/>
          <w:sz w:val="24"/>
          <w:szCs w:val="24"/>
          <w:u w:val="single"/>
        </w:rPr>
      </w:pPr>
      <w:r>
        <w:rPr>
          <w:rFonts w:hint="eastAsia" w:ascii="宋体" w:hAnsi="宋体" w:cs="宋体"/>
          <w:strike/>
          <w:color w:val="auto"/>
          <w:sz w:val="24"/>
          <w:szCs w:val="24"/>
          <w:u w:val="single"/>
        </w:rPr>
        <w:t>3.5.5 “近年发生的重大诉讼及仲裁情况”应说明相关情况，并附法院或仲裁机构作出的判决、裁决等有关法律文书复印件，具体年份要求见投标人须知前附表。</w:t>
      </w:r>
    </w:p>
    <w:p>
      <w:pPr>
        <w:adjustRightInd w:val="0"/>
        <w:snapToGrid w:val="0"/>
        <w:spacing w:line="360" w:lineRule="auto"/>
        <w:ind w:left="105" w:leftChars="50" w:firstLine="480"/>
        <w:jc w:val="left"/>
        <w:rPr>
          <w:rFonts w:ascii="宋体" w:hAnsi="宋体" w:cs="宋体"/>
          <w:color w:val="auto"/>
          <w:sz w:val="24"/>
          <w:szCs w:val="24"/>
        </w:rPr>
      </w:pPr>
      <w:r>
        <w:rPr>
          <w:rFonts w:hint="eastAsia" w:ascii="宋体" w:hAnsi="宋体" w:cs="宋体"/>
          <w:color w:val="auto"/>
          <w:sz w:val="24"/>
          <w:szCs w:val="24"/>
        </w:rPr>
        <w:t>3.5.6 投标人须知前附表规定接受联合体投标的，本章第3.5.1项至第3.5.5项规定的表格和资料应包括联合体各方相关情况。</w:t>
      </w:r>
    </w:p>
    <w:p>
      <w:pPr>
        <w:pStyle w:val="5"/>
        <w:adjustRightInd w:val="0"/>
        <w:snapToGrid w:val="0"/>
        <w:spacing w:before="0" w:after="0" w:line="360" w:lineRule="auto"/>
        <w:ind w:firstLine="0" w:firstLineChars="0"/>
        <w:jc w:val="left"/>
        <w:rPr>
          <w:rFonts w:ascii="宋体" w:eastAsia="宋体" w:cs="宋体"/>
          <w:color w:val="auto"/>
          <w:sz w:val="24"/>
          <w:szCs w:val="24"/>
        </w:rPr>
      </w:pPr>
      <w:r>
        <w:rPr>
          <w:rFonts w:hint="eastAsia" w:ascii="宋体" w:eastAsia="宋体" w:cs="宋体"/>
          <w:color w:val="auto"/>
          <w:sz w:val="24"/>
          <w:szCs w:val="24"/>
        </w:rPr>
        <w:t>3.6备选投标方案</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tabs>
          <w:tab w:val="left" w:pos="8040"/>
        </w:tabs>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adjustRightInd w:val="0"/>
        <w:snapToGrid w:val="0"/>
        <w:spacing w:before="0" w:after="0" w:line="360" w:lineRule="auto"/>
        <w:ind w:firstLine="118"/>
        <w:jc w:val="left"/>
        <w:rPr>
          <w:rFonts w:ascii="宋体" w:eastAsia="宋体" w:cs="宋体"/>
          <w:color w:val="auto"/>
          <w:sz w:val="24"/>
          <w:szCs w:val="24"/>
        </w:rPr>
      </w:pPr>
      <w:bookmarkStart w:id="375" w:name="_Toc515980154"/>
      <w:bookmarkStart w:id="376" w:name="_Toc300834975"/>
      <w:bookmarkStart w:id="377" w:name="_Toc60859857"/>
      <w:bookmarkStart w:id="378" w:name="_Toc436834748"/>
      <w:bookmarkStart w:id="379" w:name="_Toc399165397"/>
      <w:bookmarkStart w:id="380" w:name="_Toc247527579"/>
      <w:bookmarkStart w:id="381" w:name="_Toc152045554"/>
      <w:bookmarkStart w:id="382" w:name="_Toc144974522"/>
      <w:bookmarkStart w:id="383" w:name="_Toc436834155"/>
      <w:bookmarkStart w:id="384" w:name="_Toc247513978"/>
      <w:bookmarkStart w:id="385" w:name="_Toc65361665"/>
      <w:bookmarkStart w:id="386" w:name="_Toc21535119"/>
      <w:bookmarkStart w:id="387" w:name="_Toc516265941"/>
      <w:bookmarkStart w:id="388" w:name="_Toc152042330"/>
      <w:r>
        <w:rPr>
          <w:rFonts w:hint="eastAsia" w:ascii="宋体" w:eastAsia="宋体" w:cs="宋体"/>
          <w:color w:val="auto"/>
          <w:sz w:val="24"/>
          <w:szCs w:val="24"/>
        </w:rPr>
        <w:t>3.7 投标文件的编制</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pPr>
        <w:adjustRightInd w:val="0"/>
        <w:snapToGrid w:val="0"/>
        <w:spacing w:line="360" w:lineRule="auto"/>
        <w:ind w:firstLine="480" w:firstLineChars="200"/>
        <w:jc w:val="left"/>
        <w:rPr>
          <w:rFonts w:ascii="宋体" w:hAnsi="宋体" w:cs="宋体"/>
          <w:color w:val="auto"/>
          <w:sz w:val="24"/>
          <w:szCs w:val="24"/>
          <w:u w:val="single"/>
        </w:rPr>
      </w:pPr>
      <w:bookmarkStart w:id="389" w:name="_Toc247527580"/>
      <w:bookmarkStart w:id="390" w:name="_Toc144974523"/>
      <w:bookmarkStart w:id="391" w:name="_Toc436834156"/>
      <w:bookmarkStart w:id="392" w:name="_Toc384759600"/>
      <w:bookmarkStart w:id="393" w:name="_Toc152045555"/>
      <w:bookmarkStart w:id="394" w:name="_Toc247513979"/>
      <w:bookmarkStart w:id="395" w:name="_Toc436834749"/>
      <w:bookmarkStart w:id="396" w:name="_Toc152042331"/>
      <w:bookmarkStart w:id="397" w:name="_Toc152045557"/>
      <w:bookmarkStart w:id="398" w:name="_Toc247513981"/>
      <w:bookmarkStart w:id="399" w:name="_Toc152042333"/>
      <w:bookmarkStart w:id="400" w:name="_Toc300834978"/>
      <w:bookmarkStart w:id="401" w:name="_Toc399165400"/>
      <w:bookmarkStart w:id="402" w:name="_Toc247527582"/>
      <w:bookmarkStart w:id="403" w:name="_Toc144974525"/>
      <w:r>
        <w:rPr>
          <w:rFonts w:hint="eastAsia" w:ascii="宋体" w:hAnsi="宋体" w:cs="宋体"/>
          <w:color w:val="auto"/>
          <w:sz w:val="24"/>
          <w:szCs w:val="24"/>
        </w:rPr>
        <w:t>3.7.1 投标文件应按第七章“投标文件格式”进行编写，如有必要，可以增加附页，作为投标文件的组成部分。其中，投标函附录在满足招标文件实质性要求的基础上，可以提出比招标文件要求更有利于招标人的承诺。</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3.7.2 投标文件应当对招标文件有关招标范围、投标有效期、工期、质量标准、发包人要求等实质性内容作出响应。</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3.7.3</w:t>
      </w:r>
      <w:r>
        <w:rPr>
          <w:rFonts w:hint="eastAsia" w:ascii="宋体" w:hAnsi="宋体" w:cs="宋体"/>
          <w:color w:val="auto"/>
          <w:sz w:val="24"/>
          <w:szCs w:val="24"/>
          <w:u w:val="single"/>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adjustRightInd w:val="0"/>
        <w:snapToGrid w:val="0"/>
        <w:spacing w:line="360" w:lineRule="auto"/>
        <w:ind w:firstLine="480" w:firstLineChars="200"/>
        <w:jc w:val="left"/>
        <w:rPr>
          <w:rFonts w:ascii="宋体" w:hAnsi="宋体" w:cs="宋体"/>
          <w:strike/>
          <w:color w:val="auto"/>
          <w:sz w:val="24"/>
          <w:szCs w:val="24"/>
        </w:rPr>
      </w:pPr>
      <w:r>
        <w:rPr>
          <w:rFonts w:hint="eastAsia" w:ascii="宋体" w:hAnsi="宋体" w:cs="宋体"/>
          <w:strike/>
          <w:color w:val="auto"/>
          <w:sz w:val="24"/>
          <w:szCs w:val="24"/>
        </w:rPr>
        <w:t>3.7.4 投标文件正本一份, 副本份数见投标人须知前附表。正本和副本的封面上应清楚地标记“正本”或“副本”的字样。当副本和正本不一致时，以正本为准。</w:t>
      </w:r>
    </w:p>
    <w:p>
      <w:pPr>
        <w:adjustRightInd w:val="0"/>
        <w:snapToGrid w:val="0"/>
        <w:spacing w:line="360" w:lineRule="auto"/>
        <w:ind w:firstLine="480" w:firstLineChars="200"/>
        <w:jc w:val="left"/>
        <w:rPr>
          <w:rFonts w:ascii="宋体" w:hAnsi="宋体" w:cs="宋体"/>
          <w:strike/>
          <w:color w:val="auto"/>
          <w:sz w:val="24"/>
          <w:szCs w:val="24"/>
        </w:rPr>
      </w:pPr>
      <w:r>
        <w:rPr>
          <w:rFonts w:hint="eastAsia" w:ascii="宋体" w:hAnsi="宋体" w:cs="宋体"/>
          <w:strike/>
          <w:color w:val="auto"/>
          <w:sz w:val="24"/>
          <w:szCs w:val="24"/>
        </w:rPr>
        <w:t>3.7.5 投标文件的正本与副本应分别装订成册，具体装订要求见投标人须知前附表规定。</w:t>
      </w:r>
    </w:p>
    <w:p>
      <w:pPr>
        <w:adjustRightInd w:val="0"/>
        <w:snapToGrid w:val="0"/>
        <w:spacing w:line="360" w:lineRule="auto"/>
        <w:ind w:firstLine="480" w:firstLineChars="200"/>
        <w:jc w:val="left"/>
        <w:rPr>
          <w:rFonts w:ascii="宋体" w:hAnsi="宋体" w:cs="宋体"/>
          <w:color w:val="auto"/>
          <w:sz w:val="24"/>
          <w:szCs w:val="24"/>
        </w:rPr>
      </w:pPr>
    </w:p>
    <w:p>
      <w:pPr>
        <w:pStyle w:val="4"/>
        <w:adjustRightInd w:val="0"/>
        <w:snapToGrid w:val="0"/>
        <w:spacing w:before="0" w:after="0" w:line="360" w:lineRule="auto"/>
        <w:jc w:val="left"/>
        <w:rPr>
          <w:rFonts w:ascii="宋体" w:hAnsi="宋体" w:eastAsia="宋体" w:cs="宋体"/>
          <w:color w:val="auto"/>
          <w:sz w:val="24"/>
          <w:szCs w:val="24"/>
        </w:rPr>
      </w:pPr>
      <w:bookmarkStart w:id="404" w:name="_Toc65361666"/>
      <w:bookmarkStart w:id="405" w:name="_Toc21535120"/>
      <w:bookmarkStart w:id="406" w:name="_Toc516265942"/>
      <w:bookmarkStart w:id="407" w:name="_Toc60859858"/>
      <w:bookmarkStart w:id="408" w:name="_Toc515980155"/>
      <w:r>
        <w:rPr>
          <w:rFonts w:hint="eastAsia" w:ascii="宋体" w:hAnsi="宋体" w:eastAsia="宋体" w:cs="宋体"/>
          <w:color w:val="auto"/>
          <w:sz w:val="24"/>
          <w:szCs w:val="24"/>
        </w:rPr>
        <w:t>4. 投标</w:t>
      </w:r>
      <w:bookmarkEnd w:id="389"/>
      <w:bookmarkEnd w:id="390"/>
      <w:bookmarkEnd w:id="391"/>
      <w:bookmarkEnd w:id="392"/>
      <w:bookmarkEnd w:id="393"/>
      <w:bookmarkEnd w:id="394"/>
      <w:bookmarkEnd w:id="395"/>
      <w:bookmarkEnd w:id="396"/>
      <w:bookmarkEnd w:id="404"/>
      <w:bookmarkEnd w:id="405"/>
      <w:bookmarkEnd w:id="406"/>
      <w:bookmarkEnd w:id="407"/>
      <w:bookmarkEnd w:id="408"/>
    </w:p>
    <w:p>
      <w:pPr>
        <w:pStyle w:val="5"/>
        <w:adjustRightInd w:val="0"/>
        <w:snapToGrid w:val="0"/>
        <w:spacing w:before="0" w:after="0" w:line="360" w:lineRule="auto"/>
        <w:ind w:firstLine="118"/>
        <w:jc w:val="left"/>
        <w:rPr>
          <w:rFonts w:ascii="宋体" w:eastAsia="宋体" w:cs="宋体"/>
          <w:color w:val="auto"/>
          <w:sz w:val="24"/>
          <w:szCs w:val="24"/>
        </w:rPr>
      </w:pPr>
      <w:bookmarkStart w:id="409" w:name="_Toc21535121"/>
      <w:bookmarkStart w:id="410" w:name="_Toc516265943"/>
      <w:bookmarkStart w:id="411" w:name="_Toc152042332"/>
      <w:bookmarkStart w:id="412" w:name="_Toc65361667"/>
      <w:bookmarkStart w:id="413" w:name="_Toc144974524"/>
      <w:bookmarkStart w:id="414" w:name="_Toc60859859"/>
      <w:bookmarkStart w:id="415" w:name="_Toc436834750"/>
      <w:bookmarkStart w:id="416" w:name="_Toc436834157"/>
      <w:bookmarkStart w:id="417" w:name="_Toc152045556"/>
      <w:bookmarkStart w:id="418" w:name="_Toc247513980"/>
      <w:bookmarkStart w:id="419" w:name="_Toc247527581"/>
      <w:bookmarkStart w:id="420" w:name="_Toc384759601"/>
      <w:bookmarkStart w:id="421" w:name="_Toc515980156"/>
      <w:r>
        <w:rPr>
          <w:rFonts w:hint="eastAsia" w:ascii="宋体" w:eastAsia="宋体" w:cs="宋体"/>
          <w:color w:val="auto"/>
          <w:sz w:val="24"/>
          <w:szCs w:val="24"/>
        </w:rPr>
        <w:t>4.1 投标文件的密封和标记</w:t>
      </w:r>
      <w:bookmarkEnd w:id="409"/>
      <w:bookmarkEnd w:id="410"/>
      <w:bookmarkEnd w:id="411"/>
      <w:bookmarkEnd w:id="412"/>
      <w:bookmarkEnd w:id="413"/>
      <w:bookmarkEnd w:id="414"/>
      <w:bookmarkEnd w:id="415"/>
      <w:bookmarkEnd w:id="416"/>
      <w:bookmarkEnd w:id="417"/>
      <w:bookmarkEnd w:id="418"/>
      <w:bookmarkEnd w:id="419"/>
      <w:bookmarkEnd w:id="420"/>
      <w:bookmarkEnd w:id="421"/>
    </w:p>
    <w:p>
      <w:pPr>
        <w:adjustRightInd w:val="0"/>
        <w:snapToGrid w:val="0"/>
        <w:spacing w:line="360" w:lineRule="auto"/>
        <w:ind w:firstLine="480" w:firstLineChars="200"/>
        <w:jc w:val="left"/>
        <w:rPr>
          <w:rFonts w:ascii="宋体" w:hAnsi="宋体" w:cs="宋体"/>
          <w:color w:val="auto"/>
          <w:sz w:val="24"/>
          <w:szCs w:val="24"/>
          <w:u w:val="single"/>
        </w:rPr>
      </w:pPr>
      <w:bookmarkStart w:id="422" w:name="_Toc436834751"/>
      <w:bookmarkStart w:id="423" w:name="_Toc436834158"/>
      <w:r>
        <w:rPr>
          <w:rFonts w:hint="eastAsia" w:ascii="宋体" w:hAnsi="宋体" w:cs="宋体"/>
          <w:color w:val="auto"/>
          <w:sz w:val="24"/>
          <w:szCs w:val="24"/>
          <w:u w:val="single"/>
        </w:rPr>
        <w:t>4.1.1 投标文件应当按照招标文件和电子招标投标交易平台的要求加密电子投标文件。</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4.1.2 投标文件封套上应写明的内容见投标人须知前附表。</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4.1.3 未按本章第4.1.1项或第4.1.2项要求密封和加写标记的投标文件，招标人不予受理。</w:t>
      </w:r>
    </w:p>
    <w:p>
      <w:pPr>
        <w:pStyle w:val="5"/>
        <w:adjustRightInd w:val="0"/>
        <w:snapToGrid w:val="0"/>
        <w:spacing w:before="0" w:after="0" w:line="360" w:lineRule="auto"/>
        <w:ind w:firstLine="118"/>
        <w:jc w:val="left"/>
        <w:rPr>
          <w:rFonts w:ascii="宋体" w:eastAsia="宋体" w:cs="宋体"/>
          <w:color w:val="auto"/>
          <w:sz w:val="24"/>
          <w:szCs w:val="24"/>
        </w:rPr>
      </w:pPr>
      <w:bookmarkStart w:id="424" w:name="_Toc515980157"/>
      <w:bookmarkStart w:id="425" w:name="_Toc65361668"/>
      <w:bookmarkStart w:id="426" w:name="_Toc21535122"/>
      <w:bookmarkStart w:id="427" w:name="_Toc516265944"/>
      <w:bookmarkStart w:id="428" w:name="_Toc60859860"/>
      <w:r>
        <w:rPr>
          <w:rFonts w:hint="eastAsia" w:ascii="宋体" w:eastAsia="宋体" w:cs="宋体"/>
          <w:color w:val="auto"/>
          <w:sz w:val="24"/>
          <w:szCs w:val="24"/>
        </w:rPr>
        <w:t>4.2 投标文件的递交</w:t>
      </w:r>
      <w:bookmarkEnd w:id="397"/>
      <w:bookmarkEnd w:id="398"/>
      <w:bookmarkEnd w:id="399"/>
      <w:bookmarkEnd w:id="400"/>
      <w:bookmarkEnd w:id="401"/>
      <w:bookmarkEnd w:id="402"/>
      <w:bookmarkEnd w:id="403"/>
      <w:bookmarkEnd w:id="422"/>
      <w:bookmarkEnd w:id="423"/>
      <w:bookmarkEnd w:id="424"/>
      <w:bookmarkEnd w:id="425"/>
      <w:bookmarkEnd w:id="426"/>
      <w:bookmarkEnd w:id="427"/>
      <w:bookmarkEnd w:id="428"/>
    </w:p>
    <w:p>
      <w:pPr>
        <w:adjustRightInd w:val="0"/>
        <w:snapToGrid w:val="0"/>
        <w:spacing w:line="360" w:lineRule="auto"/>
        <w:ind w:firstLine="480" w:firstLineChars="200"/>
        <w:jc w:val="left"/>
        <w:rPr>
          <w:rFonts w:ascii="宋体" w:hAnsi="宋体" w:cs="宋体"/>
          <w:color w:val="auto"/>
          <w:sz w:val="24"/>
          <w:szCs w:val="24"/>
          <w:u w:val="single"/>
        </w:rPr>
      </w:pPr>
      <w:bookmarkStart w:id="429" w:name="_Toc144974526"/>
      <w:bookmarkStart w:id="430" w:name="_Toc399165401"/>
      <w:bookmarkStart w:id="431" w:name="_Toc436834159"/>
      <w:bookmarkStart w:id="432" w:name="_Toc152045558"/>
      <w:bookmarkStart w:id="433" w:name="_Toc247527583"/>
      <w:bookmarkStart w:id="434" w:name="_Toc152042334"/>
      <w:bookmarkStart w:id="435" w:name="_Toc247513982"/>
      <w:bookmarkStart w:id="436" w:name="_Toc300834979"/>
      <w:bookmarkStart w:id="437" w:name="_Toc436834752"/>
      <w:r>
        <w:rPr>
          <w:rFonts w:hint="eastAsia" w:ascii="宋体" w:hAnsi="宋体" w:cs="宋体"/>
          <w:color w:val="auto"/>
          <w:sz w:val="24"/>
          <w:szCs w:val="24"/>
        </w:rPr>
        <w:t>4.2.1 投标人应在投标人须知前附表2.2.2项规定的投标截止时间前递交投标文件。</w:t>
      </w:r>
      <w:r>
        <w:rPr>
          <w:rFonts w:hint="eastAsia" w:ascii="宋体" w:hAnsi="宋体" w:cs="宋体"/>
          <w:color w:val="auto"/>
          <w:sz w:val="24"/>
          <w:szCs w:val="24"/>
          <w:u w:val="single"/>
        </w:rPr>
        <w:t>投标人应在上传电子投标文件前将投标人的相关信息在广州公共资源交易中心信息系统中录入完毕。到投标截止时间止，招标人收到的投标文件少于三家的，招标人将依法重新组织招标。</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 xml:space="preserve">4.2.2 </w:t>
      </w:r>
      <w:r>
        <w:rPr>
          <w:rFonts w:hint="eastAsia" w:ascii="宋体" w:hAnsi="宋体" w:cs="宋体"/>
          <w:color w:val="auto"/>
          <w:sz w:val="24"/>
          <w:szCs w:val="24"/>
          <w:u w:val="single"/>
        </w:rPr>
        <w:t>投标人通过广州公共资源交易中心的电子招标投标交易平台递交电子投标文件。</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4.2.3 除投标人须知前附表另有规定外，投标人所递交的投标文件不予退还。</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4.2.4 </w:t>
      </w:r>
      <w:r>
        <w:rPr>
          <w:rFonts w:hint="eastAsia" w:ascii="宋体" w:hAnsi="宋体" w:cs="宋体"/>
          <w:color w:val="auto"/>
          <w:sz w:val="24"/>
          <w:szCs w:val="24"/>
          <w:u w:val="single"/>
        </w:rPr>
        <w:t>投标人完成电子投标文件上传后，电子招标投标交易平台即时向投标人发出递交回执通知。递交时间以递交回执通知载明的传输完成时间为准。</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4.2.5</w:t>
      </w:r>
      <w:r>
        <w:rPr>
          <w:rFonts w:hint="eastAsia" w:ascii="宋体" w:hAnsi="宋体" w:cs="宋体"/>
          <w:color w:val="auto"/>
          <w:sz w:val="24"/>
          <w:szCs w:val="24"/>
          <w:u w:val="single"/>
        </w:rPr>
        <w:t>逾期送达的投标文件，电子招标投标交易平台将予以拒收</w:t>
      </w:r>
      <w:r>
        <w:rPr>
          <w:rFonts w:hint="eastAsia" w:ascii="宋体" w:hAnsi="宋体" w:cs="宋体"/>
          <w:color w:val="auto"/>
          <w:sz w:val="24"/>
          <w:szCs w:val="24"/>
        </w:rPr>
        <w:t>。</w:t>
      </w:r>
    </w:p>
    <w:p>
      <w:pPr>
        <w:pStyle w:val="5"/>
        <w:adjustRightInd w:val="0"/>
        <w:snapToGrid w:val="0"/>
        <w:spacing w:before="0" w:after="0" w:line="360" w:lineRule="auto"/>
        <w:ind w:firstLine="118"/>
        <w:jc w:val="left"/>
        <w:rPr>
          <w:rFonts w:ascii="宋体" w:eastAsia="宋体" w:cs="宋体"/>
          <w:color w:val="auto"/>
          <w:sz w:val="24"/>
          <w:szCs w:val="24"/>
        </w:rPr>
      </w:pPr>
      <w:bookmarkStart w:id="438" w:name="_Toc21535123"/>
      <w:bookmarkStart w:id="439" w:name="_Toc516265945"/>
      <w:bookmarkStart w:id="440" w:name="_Toc60859861"/>
      <w:bookmarkStart w:id="441" w:name="_Toc515980158"/>
      <w:bookmarkStart w:id="442" w:name="_Toc65361669"/>
      <w:r>
        <w:rPr>
          <w:rFonts w:hint="eastAsia" w:ascii="宋体" w:eastAsia="宋体" w:cs="宋体"/>
          <w:color w:val="auto"/>
          <w:sz w:val="24"/>
          <w:szCs w:val="24"/>
        </w:rPr>
        <w:t>4.3 投标文件的修改与撤回</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4.3.1 在本章第2.2.2项规定的投标截止时间前，投标人可以修改或撤回已递交的投标文件，但应以书面形式通知招标人。</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4.3.2 </w:t>
      </w:r>
      <w:r>
        <w:rPr>
          <w:rFonts w:hint="eastAsia" w:ascii="宋体" w:hAnsi="宋体" w:cs="宋体"/>
          <w:color w:val="auto"/>
          <w:sz w:val="24"/>
          <w:szCs w:val="24"/>
          <w:u w:val="single"/>
        </w:rPr>
        <w:t>投标人修改或撤回已递交电子投标文件的通知，应按交易中心数字交易平台系统的要求加盖电子印章。电子招标投标交易平台收到通知后，即时向投标人发出确认回执通知。</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4.3.3 投标人撤回投标文件的，招标人自收到投标人书面撤回通知之日起5日内退还已收取的投标保证金。</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4.3.4 修改的内容为投标文件的组成部分。修改的投标文件应按照本章第3条、第4条规定进行编制。</w:t>
      </w:r>
    </w:p>
    <w:p>
      <w:pPr>
        <w:pStyle w:val="4"/>
        <w:adjustRightInd w:val="0"/>
        <w:snapToGrid w:val="0"/>
        <w:spacing w:before="0" w:after="0" w:line="360" w:lineRule="auto"/>
        <w:jc w:val="left"/>
        <w:rPr>
          <w:rFonts w:ascii="宋体" w:hAnsi="宋体" w:eastAsia="宋体" w:cs="宋体"/>
          <w:color w:val="auto"/>
          <w:sz w:val="24"/>
          <w:szCs w:val="24"/>
        </w:rPr>
      </w:pPr>
      <w:bookmarkStart w:id="443" w:name="_Toc399165402"/>
      <w:bookmarkStart w:id="444" w:name="_Toc516265946"/>
      <w:bookmarkStart w:id="445" w:name="_Toc144974527"/>
      <w:bookmarkStart w:id="446" w:name="_Toc515980159"/>
      <w:bookmarkStart w:id="447" w:name="_Toc21535124"/>
      <w:bookmarkStart w:id="448" w:name="_Toc60859862"/>
      <w:bookmarkStart w:id="449" w:name="_Toc152045559"/>
      <w:bookmarkStart w:id="450" w:name="_Toc436834160"/>
      <w:bookmarkStart w:id="451" w:name="_Toc247527584"/>
      <w:bookmarkStart w:id="452" w:name="_Toc65361670"/>
      <w:bookmarkStart w:id="453" w:name="_Toc300834980"/>
      <w:bookmarkStart w:id="454" w:name="_Toc247513983"/>
      <w:bookmarkStart w:id="455" w:name="_Toc436834753"/>
      <w:bookmarkStart w:id="456" w:name="_Toc152042335"/>
      <w:r>
        <w:rPr>
          <w:rFonts w:hint="eastAsia" w:ascii="宋体" w:hAnsi="宋体" w:eastAsia="宋体" w:cs="宋体"/>
          <w:color w:val="auto"/>
          <w:sz w:val="24"/>
          <w:szCs w:val="24"/>
        </w:rPr>
        <w:t>5. 开标</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5"/>
        <w:adjustRightInd w:val="0"/>
        <w:snapToGrid w:val="0"/>
        <w:spacing w:before="0" w:after="0" w:line="360" w:lineRule="auto"/>
        <w:ind w:firstLine="118"/>
        <w:jc w:val="left"/>
        <w:rPr>
          <w:rFonts w:ascii="宋体" w:eastAsia="宋体" w:cs="宋体"/>
          <w:color w:val="auto"/>
          <w:sz w:val="24"/>
          <w:szCs w:val="24"/>
        </w:rPr>
      </w:pPr>
      <w:bookmarkStart w:id="457" w:name="_Toc300834981"/>
      <w:bookmarkStart w:id="458" w:name="_Toc399165403"/>
      <w:bookmarkStart w:id="459" w:name="_Toc65361671"/>
      <w:bookmarkStart w:id="460" w:name="_Toc152045560"/>
      <w:bookmarkStart w:id="461" w:name="_Toc436834754"/>
      <w:bookmarkStart w:id="462" w:name="_Toc21535125"/>
      <w:bookmarkStart w:id="463" w:name="_Toc516265947"/>
      <w:bookmarkStart w:id="464" w:name="_Toc247527585"/>
      <w:bookmarkStart w:id="465" w:name="_Toc60859863"/>
      <w:bookmarkStart w:id="466" w:name="_Toc436834161"/>
      <w:bookmarkStart w:id="467" w:name="_Toc152042336"/>
      <w:bookmarkStart w:id="468" w:name="_Toc515980160"/>
      <w:bookmarkStart w:id="469" w:name="_Toc247513984"/>
      <w:bookmarkStart w:id="470" w:name="_Toc144974528"/>
      <w:r>
        <w:rPr>
          <w:rFonts w:hint="eastAsia" w:ascii="宋体" w:eastAsia="宋体" w:cs="宋体"/>
          <w:color w:val="auto"/>
          <w:sz w:val="24"/>
          <w:szCs w:val="24"/>
        </w:rPr>
        <w:t>5.1 开标时间和地点</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招标人在本章第2.2.2项规定的投标截止时间（开标时间）和投标人须知前附表规定的地点公开开标，并邀请所有投标人的法定代表人或其委托代理人准时参加。</w:t>
      </w:r>
      <w:r>
        <w:rPr>
          <w:rFonts w:hint="eastAsia" w:ascii="宋体" w:hAnsi="宋体" w:cs="宋体"/>
          <w:color w:val="auto"/>
          <w:sz w:val="24"/>
          <w:szCs w:val="24"/>
          <w:u w:val="single"/>
        </w:rPr>
        <w:t>如投标人不参与开标，视同认可整个开标过程和结果。</w:t>
      </w:r>
    </w:p>
    <w:p>
      <w:pPr>
        <w:pStyle w:val="5"/>
        <w:adjustRightInd w:val="0"/>
        <w:snapToGrid w:val="0"/>
        <w:spacing w:before="0" w:after="0" w:line="360" w:lineRule="auto"/>
        <w:ind w:firstLine="118"/>
        <w:jc w:val="left"/>
        <w:rPr>
          <w:rFonts w:ascii="宋体" w:eastAsia="宋体" w:cs="宋体"/>
          <w:color w:val="auto"/>
          <w:sz w:val="24"/>
          <w:szCs w:val="24"/>
        </w:rPr>
      </w:pPr>
      <w:bookmarkStart w:id="471" w:name="_Toc152045561"/>
      <w:bookmarkStart w:id="472" w:name="_Toc144974529"/>
      <w:bookmarkStart w:id="473" w:name="_Toc65361672"/>
      <w:bookmarkStart w:id="474" w:name="_Toc247513985"/>
      <w:bookmarkStart w:id="475" w:name="_Toc60859864"/>
      <w:bookmarkStart w:id="476" w:name="_Toc436834755"/>
      <w:bookmarkStart w:id="477" w:name="_Toc516265948"/>
      <w:bookmarkStart w:id="478" w:name="_Toc21535126"/>
      <w:bookmarkStart w:id="479" w:name="_Toc247527586"/>
      <w:bookmarkStart w:id="480" w:name="_Toc399165404"/>
      <w:bookmarkStart w:id="481" w:name="_Toc515980161"/>
      <w:bookmarkStart w:id="482" w:name="_Toc152042337"/>
      <w:bookmarkStart w:id="483" w:name="_Toc436834162"/>
      <w:bookmarkStart w:id="484" w:name="_Toc300834982"/>
      <w:r>
        <w:rPr>
          <w:rFonts w:hint="eastAsia" w:ascii="宋体" w:eastAsia="宋体" w:cs="宋体"/>
          <w:color w:val="auto"/>
          <w:sz w:val="24"/>
          <w:szCs w:val="24"/>
        </w:rPr>
        <w:t>5.2 开标程序</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adjustRightInd w:val="0"/>
        <w:snapToGrid w:val="0"/>
        <w:spacing w:line="360" w:lineRule="auto"/>
        <w:ind w:firstLine="480" w:firstLineChars="200"/>
        <w:jc w:val="left"/>
        <w:rPr>
          <w:rFonts w:ascii="宋体" w:hAnsi="宋体" w:cs="宋体"/>
          <w:color w:val="auto"/>
          <w:sz w:val="24"/>
          <w:szCs w:val="24"/>
          <w:u w:val="single"/>
        </w:rPr>
      </w:pPr>
      <w:bookmarkStart w:id="485" w:name="_Toc399165405"/>
      <w:bookmarkStart w:id="486" w:name="_Toc300834983"/>
      <w:r>
        <w:rPr>
          <w:rFonts w:hint="eastAsia" w:ascii="宋体" w:hAnsi="宋体" w:cs="宋体"/>
          <w:color w:val="auto"/>
          <w:sz w:val="24"/>
          <w:szCs w:val="24"/>
          <w:u w:val="single"/>
        </w:rPr>
        <w:t>见《投标人须知前附表》。</w:t>
      </w:r>
    </w:p>
    <w:p>
      <w:pPr>
        <w:pStyle w:val="5"/>
        <w:adjustRightInd w:val="0"/>
        <w:snapToGrid w:val="0"/>
        <w:spacing w:before="0" w:after="0" w:line="360" w:lineRule="auto"/>
        <w:ind w:firstLine="118"/>
        <w:jc w:val="left"/>
        <w:rPr>
          <w:rFonts w:ascii="宋体" w:eastAsia="宋体" w:cs="宋体"/>
          <w:color w:val="auto"/>
          <w:sz w:val="24"/>
          <w:szCs w:val="24"/>
        </w:rPr>
      </w:pPr>
      <w:bookmarkStart w:id="487" w:name="_Toc60859865"/>
      <w:bookmarkStart w:id="488" w:name="_Toc65361673"/>
      <w:bookmarkStart w:id="489" w:name="_Toc515980162"/>
      <w:bookmarkStart w:id="490" w:name="_Toc436834163"/>
      <w:bookmarkStart w:id="491" w:name="_Toc21535127"/>
      <w:bookmarkStart w:id="492" w:name="_Toc516265949"/>
      <w:bookmarkStart w:id="493" w:name="_Toc436834756"/>
      <w:r>
        <w:rPr>
          <w:rFonts w:hint="eastAsia" w:ascii="宋体" w:eastAsia="宋体" w:cs="宋体"/>
          <w:color w:val="auto"/>
          <w:sz w:val="24"/>
          <w:szCs w:val="24"/>
        </w:rPr>
        <w:t>5.3 开标异议</w:t>
      </w:r>
      <w:bookmarkEnd w:id="485"/>
      <w:bookmarkEnd w:id="486"/>
      <w:bookmarkEnd w:id="487"/>
      <w:bookmarkEnd w:id="488"/>
      <w:bookmarkEnd w:id="489"/>
      <w:bookmarkEnd w:id="490"/>
      <w:bookmarkEnd w:id="491"/>
      <w:bookmarkEnd w:id="492"/>
      <w:bookmarkEnd w:id="493"/>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投标人对开标有异议的，应当在开标现场或交易平台规定的时间内提出，招标人当场作出答复，并制作记录。</w:t>
      </w:r>
    </w:p>
    <w:p>
      <w:pPr>
        <w:pStyle w:val="4"/>
        <w:adjustRightInd w:val="0"/>
        <w:snapToGrid w:val="0"/>
        <w:spacing w:before="0" w:after="0" w:line="360" w:lineRule="auto"/>
        <w:jc w:val="left"/>
        <w:rPr>
          <w:rFonts w:ascii="宋体" w:hAnsi="宋体" w:eastAsia="宋体" w:cs="宋体"/>
          <w:color w:val="auto"/>
          <w:sz w:val="24"/>
          <w:szCs w:val="24"/>
        </w:rPr>
      </w:pPr>
      <w:bookmarkStart w:id="494" w:name="_Toc152042338"/>
      <w:bookmarkStart w:id="495" w:name="_Toc516265950"/>
      <w:bookmarkStart w:id="496" w:name="_Toc399165406"/>
      <w:bookmarkStart w:id="497" w:name="_Toc247527587"/>
      <w:bookmarkStart w:id="498" w:name="_Toc300834984"/>
      <w:bookmarkStart w:id="499" w:name="_Toc436834164"/>
      <w:bookmarkStart w:id="500" w:name="_Toc515980163"/>
      <w:bookmarkStart w:id="501" w:name="_Toc144974530"/>
      <w:bookmarkStart w:id="502" w:name="_Toc65361674"/>
      <w:bookmarkStart w:id="503" w:name="_Toc247513986"/>
      <w:bookmarkStart w:id="504" w:name="_Toc436834757"/>
      <w:bookmarkStart w:id="505" w:name="_Toc152045562"/>
      <w:bookmarkStart w:id="506" w:name="_Toc21535128"/>
      <w:bookmarkStart w:id="507" w:name="_Toc60859866"/>
      <w:r>
        <w:rPr>
          <w:rFonts w:hint="eastAsia" w:ascii="宋体" w:hAnsi="宋体" w:eastAsia="宋体" w:cs="宋体"/>
          <w:color w:val="auto"/>
          <w:sz w:val="24"/>
          <w:szCs w:val="24"/>
        </w:rPr>
        <w:t>6. 评标</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pPr>
        <w:pStyle w:val="5"/>
        <w:adjustRightInd w:val="0"/>
        <w:snapToGrid w:val="0"/>
        <w:spacing w:before="0" w:after="0" w:line="360" w:lineRule="auto"/>
        <w:ind w:firstLine="118"/>
        <w:jc w:val="left"/>
        <w:rPr>
          <w:rFonts w:ascii="宋体" w:eastAsia="宋体" w:cs="宋体"/>
          <w:color w:val="auto"/>
          <w:sz w:val="24"/>
          <w:szCs w:val="24"/>
        </w:rPr>
      </w:pPr>
      <w:bookmarkStart w:id="508" w:name="_Toc436834165"/>
      <w:bookmarkStart w:id="509" w:name="_Toc144974531"/>
      <w:bookmarkStart w:id="510" w:name="_Toc60859867"/>
      <w:bookmarkStart w:id="511" w:name="_Toc152042339"/>
      <w:bookmarkStart w:id="512" w:name="_Toc515980164"/>
      <w:bookmarkStart w:id="513" w:name="_Toc516265951"/>
      <w:bookmarkStart w:id="514" w:name="_Toc152045563"/>
      <w:bookmarkStart w:id="515" w:name="_Toc65361675"/>
      <w:bookmarkStart w:id="516" w:name="_Toc247513987"/>
      <w:bookmarkStart w:id="517" w:name="_Toc436834758"/>
      <w:bookmarkStart w:id="518" w:name="_Toc300834985"/>
      <w:bookmarkStart w:id="519" w:name="_Toc247527588"/>
      <w:bookmarkStart w:id="520" w:name="_Toc399165407"/>
      <w:bookmarkStart w:id="521" w:name="_Toc21535129"/>
      <w:r>
        <w:rPr>
          <w:rFonts w:hint="eastAsia" w:ascii="宋体" w:eastAsia="宋体" w:cs="宋体"/>
          <w:color w:val="auto"/>
          <w:sz w:val="24"/>
          <w:szCs w:val="24"/>
        </w:rPr>
        <w:t>6.1 评标委员会</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adjustRightInd w:val="0"/>
        <w:snapToGrid w:val="0"/>
        <w:spacing w:line="360" w:lineRule="auto"/>
        <w:ind w:firstLine="480" w:firstLineChars="200"/>
        <w:jc w:val="left"/>
        <w:rPr>
          <w:rFonts w:ascii="宋体" w:hAnsi="宋体" w:cs="宋体"/>
          <w:color w:val="auto"/>
          <w:sz w:val="24"/>
          <w:szCs w:val="24"/>
        </w:rPr>
      </w:pPr>
      <w:bookmarkStart w:id="522" w:name="_Toc399165408"/>
      <w:bookmarkStart w:id="523" w:name="_Toc300834986"/>
      <w:bookmarkStart w:id="524" w:name="_Toc152045564"/>
      <w:bookmarkStart w:id="525" w:name="_Toc247513988"/>
      <w:bookmarkStart w:id="526" w:name="_Toc144974532"/>
      <w:bookmarkStart w:id="527" w:name="_Toc247527589"/>
      <w:bookmarkStart w:id="528" w:name="_Toc152042340"/>
      <w:r>
        <w:rPr>
          <w:rFonts w:hint="eastAsia" w:ascii="宋体" w:hAnsi="宋体" w:cs="宋体"/>
          <w:color w:val="auto"/>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6.1.2 评标委员会成员有下列情形之一的，应当回避：</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（1）投标人或投标人主要负责人的近亲属；</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（2）项目主管部门或者行政监督部门的人员；</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（3）与投标人有经济利益关系，可能影响对投标公正评审的；</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（4）曾因在招标、评标以及其他与招标投标有关活动中从事违法行为而受过行政处罚或刑事处罚的；</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（5）与投标人有其他利害关系。</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5"/>
        <w:adjustRightInd w:val="0"/>
        <w:snapToGrid w:val="0"/>
        <w:spacing w:before="0" w:after="0" w:line="360" w:lineRule="auto"/>
        <w:ind w:firstLine="118"/>
        <w:jc w:val="left"/>
        <w:rPr>
          <w:rFonts w:ascii="宋体" w:eastAsia="宋体" w:cs="宋体"/>
          <w:color w:val="auto"/>
          <w:sz w:val="24"/>
          <w:szCs w:val="24"/>
        </w:rPr>
      </w:pPr>
      <w:bookmarkStart w:id="529" w:name="_Toc436834166"/>
      <w:bookmarkStart w:id="530" w:name="_Toc516265952"/>
      <w:bookmarkStart w:id="531" w:name="_Toc436834759"/>
      <w:bookmarkStart w:id="532" w:name="_Toc515980165"/>
      <w:bookmarkStart w:id="533" w:name="_Toc21535130"/>
      <w:bookmarkStart w:id="534" w:name="_Toc65361676"/>
      <w:bookmarkStart w:id="535" w:name="_Toc60859868"/>
      <w:r>
        <w:rPr>
          <w:rFonts w:hint="eastAsia" w:ascii="宋体" w:eastAsia="宋体" w:cs="宋体"/>
          <w:color w:val="auto"/>
          <w:sz w:val="24"/>
          <w:szCs w:val="24"/>
        </w:rPr>
        <w:t>6.2 评标原则</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hint="eastAsia" w:ascii="宋体" w:eastAsia="宋体" w:cs="宋体"/>
          <w:color w:val="auto"/>
          <w:sz w:val="24"/>
          <w:szCs w:val="24"/>
        </w:rPr>
        <w:tab/>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评标活动遵循公平、公正、科学和择优的原则。</w:t>
      </w:r>
    </w:p>
    <w:p>
      <w:pPr>
        <w:pStyle w:val="5"/>
        <w:adjustRightInd w:val="0"/>
        <w:snapToGrid w:val="0"/>
        <w:spacing w:before="0" w:after="0" w:line="360" w:lineRule="auto"/>
        <w:ind w:firstLine="118"/>
        <w:jc w:val="left"/>
        <w:rPr>
          <w:rFonts w:ascii="宋体" w:eastAsia="宋体" w:cs="宋体"/>
          <w:color w:val="auto"/>
          <w:sz w:val="24"/>
          <w:szCs w:val="24"/>
        </w:rPr>
      </w:pPr>
      <w:bookmarkStart w:id="536" w:name="_Toc436834167"/>
      <w:bookmarkStart w:id="537" w:name="_Toc399165409"/>
      <w:bookmarkStart w:id="538" w:name="_Toc516265953"/>
      <w:bookmarkStart w:id="539" w:name="_Toc60859869"/>
      <w:bookmarkStart w:id="540" w:name="_Toc436834760"/>
      <w:bookmarkStart w:id="541" w:name="_Toc247513989"/>
      <w:bookmarkStart w:id="542" w:name="_Toc247527590"/>
      <w:bookmarkStart w:id="543" w:name="_Toc144974533"/>
      <w:bookmarkStart w:id="544" w:name="_Toc65361677"/>
      <w:bookmarkStart w:id="545" w:name="_Toc300834987"/>
      <w:bookmarkStart w:id="546" w:name="_Toc21535131"/>
      <w:bookmarkStart w:id="547" w:name="_Toc515980166"/>
      <w:bookmarkStart w:id="548" w:name="_Toc152042341"/>
      <w:bookmarkStart w:id="549" w:name="_Toc152045565"/>
      <w:r>
        <w:rPr>
          <w:rFonts w:hint="eastAsia" w:ascii="宋体" w:eastAsia="宋体" w:cs="宋体"/>
          <w:color w:val="auto"/>
          <w:sz w:val="24"/>
          <w:szCs w:val="24"/>
        </w:rPr>
        <w:t>6.3 评标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评标委员会按照第三章“评标办法”规定的方法、评审因素、标准和程序对投标文件进行评审。第三章“评标办法”没有规定的方法、评审因素和标准，不作为评标依据。</w:t>
      </w:r>
    </w:p>
    <w:p>
      <w:pPr>
        <w:pStyle w:val="4"/>
        <w:adjustRightInd w:val="0"/>
        <w:snapToGrid w:val="0"/>
        <w:spacing w:before="0" w:after="0" w:line="360" w:lineRule="auto"/>
        <w:jc w:val="left"/>
        <w:rPr>
          <w:rFonts w:ascii="宋体" w:hAnsi="宋体" w:eastAsia="宋体" w:cs="宋体"/>
          <w:color w:val="auto"/>
          <w:sz w:val="24"/>
          <w:szCs w:val="24"/>
        </w:rPr>
      </w:pPr>
      <w:bookmarkStart w:id="550" w:name="_Toc152042342"/>
      <w:bookmarkStart w:id="551" w:name="_Toc65361678"/>
      <w:bookmarkStart w:id="552" w:name="_Toc399165410"/>
      <w:bookmarkStart w:id="553" w:name="_Toc515980167"/>
      <w:bookmarkStart w:id="554" w:name="_Toc300834988"/>
      <w:bookmarkStart w:id="555" w:name="_Toc247513990"/>
      <w:bookmarkStart w:id="556" w:name="_Toc60859870"/>
      <w:bookmarkStart w:id="557" w:name="_Toc247527591"/>
      <w:bookmarkStart w:id="558" w:name="_Toc152045566"/>
      <w:bookmarkStart w:id="559" w:name="_Toc436834168"/>
      <w:bookmarkStart w:id="560" w:name="_Toc144974534"/>
      <w:bookmarkStart w:id="561" w:name="_Toc21535132"/>
      <w:bookmarkStart w:id="562" w:name="_Toc516265954"/>
      <w:bookmarkStart w:id="563" w:name="_Toc436834761"/>
      <w:r>
        <w:rPr>
          <w:rFonts w:hint="eastAsia" w:ascii="宋体" w:hAnsi="宋体" w:eastAsia="宋体" w:cs="宋体"/>
          <w:color w:val="auto"/>
          <w:sz w:val="24"/>
          <w:szCs w:val="24"/>
        </w:rPr>
        <w:t>7. 合同授予</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pStyle w:val="5"/>
        <w:adjustRightInd w:val="0"/>
        <w:snapToGrid w:val="0"/>
        <w:spacing w:before="0" w:after="0" w:line="360" w:lineRule="auto"/>
        <w:ind w:firstLine="118"/>
        <w:jc w:val="left"/>
        <w:rPr>
          <w:rFonts w:ascii="宋体" w:eastAsia="宋体" w:cs="宋体"/>
          <w:color w:val="auto"/>
          <w:sz w:val="24"/>
          <w:szCs w:val="24"/>
        </w:rPr>
      </w:pPr>
      <w:bookmarkStart w:id="564" w:name="_Toc152042343"/>
      <w:bookmarkStart w:id="565" w:name="_Toc436834762"/>
      <w:bookmarkStart w:id="566" w:name="_Toc247513991"/>
      <w:bookmarkStart w:id="567" w:name="_Toc65361679"/>
      <w:bookmarkStart w:id="568" w:name="_Toc399165411"/>
      <w:bookmarkStart w:id="569" w:name="_Toc247527592"/>
      <w:bookmarkStart w:id="570" w:name="_Toc300834989"/>
      <w:bookmarkStart w:id="571" w:name="_Toc516265955"/>
      <w:bookmarkStart w:id="572" w:name="_Toc60859871"/>
      <w:bookmarkStart w:id="573" w:name="_Toc144974535"/>
      <w:bookmarkStart w:id="574" w:name="_Toc436834169"/>
      <w:bookmarkStart w:id="575" w:name="_Toc515980168"/>
      <w:bookmarkStart w:id="576" w:name="_Toc152045567"/>
      <w:bookmarkStart w:id="577" w:name="_Toc21535133"/>
      <w:r>
        <w:rPr>
          <w:rFonts w:hint="eastAsia" w:ascii="宋体" w:eastAsia="宋体" w:cs="宋体"/>
          <w:color w:val="auto"/>
          <w:sz w:val="24"/>
          <w:szCs w:val="24"/>
        </w:rPr>
        <w:t>7.1 定标方式</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rPr>
        <w:t>7.1.1 除投标人须知前附表规定评标委员会直接确定中标人外，招标人依据评标委员会推荐的中标候选人确定中标人，评标委员会推荐中标候选人的人数见投标人须知前附表。</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7.1.2 依法必须进行公开招标的项目，招标人应当确定排名第一的中标候选人为中标人。</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7.1.3排名第一的中标候选人放弃中标、或被取消中标资格，或因不可抗力提出不能履行合同，或者招标文件规定应当提交履约担保而在规定的期限内未能提交的，招标人可以按照中标候选人顺序依次上升替补定标，以此类推。</w:t>
      </w:r>
    </w:p>
    <w:p>
      <w:pPr>
        <w:pStyle w:val="5"/>
        <w:adjustRightInd w:val="0"/>
        <w:snapToGrid w:val="0"/>
        <w:spacing w:before="0" w:after="0" w:line="360" w:lineRule="auto"/>
        <w:ind w:firstLine="118"/>
        <w:jc w:val="left"/>
        <w:rPr>
          <w:rFonts w:ascii="宋体" w:eastAsia="宋体" w:cs="宋体"/>
          <w:color w:val="auto"/>
          <w:sz w:val="24"/>
          <w:szCs w:val="24"/>
        </w:rPr>
      </w:pPr>
      <w:bookmarkStart w:id="578" w:name="_Toc65361680"/>
      <w:bookmarkStart w:id="579" w:name="_Toc516265956"/>
      <w:bookmarkStart w:id="580" w:name="_Toc300834990"/>
      <w:bookmarkStart w:id="581" w:name="_Toc399165412"/>
      <w:bookmarkStart w:id="582" w:name="_Toc60859872"/>
      <w:bookmarkStart w:id="583" w:name="_Toc21535134"/>
      <w:bookmarkStart w:id="584" w:name="_Toc436834763"/>
      <w:bookmarkStart w:id="585" w:name="_Toc515980169"/>
      <w:bookmarkStart w:id="586" w:name="_Toc436834170"/>
      <w:r>
        <w:rPr>
          <w:rFonts w:hint="eastAsia" w:ascii="宋体" w:eastAsia="宋体" w:cs="宋体"/>
          <w:color w:val="auto"/>
          <w:sz w:val="24"/>
          <w:szCs w:val="24"/>
        </w:rPr>
        <w:t>7.2 中标候选人公示</w:t>
      </w:r>
      <w:bookmarkEnd w:id="578"/>
      <w:bookmarkEnd w:id="579"/>
      <w:bookmarkEnd w:id="580"/>
      <w:bookmarkEnd w:id="581"/>
      <w:bookmarkEnd w:id="582"/>
      <w:bookmarkEnd w:id="583"/>
      <w:bookmarkEnd w:id="584"/>
      <w:bookmarkEnd w:id="585"/>
      <w:bookmarkEnd w:id="586"/>
    </w:p>
    <w:p>
      <w:pPr>
        <w:adjustRightInd w:val="0"/>
        <w:snapToGrid w:val="0"/>
        <w:spacing w:line="360" w:lineRule="auto"/>
        <w:ind w:firstLine="480" w:firstLineChars="200"/>
        <w:jc w:val="left"/>
        <w:rPr>
          <w:rFonts w:ascii="宋体" w:hAnsi="宋体" w:cs="宋体"/>
          <w:color w:val="auto"/>
          <w:sz w:val="24"/>
          <w:szCs w:val="24"/>
          <w:u w:val="single"/>
        </w:rPr>
      </w:pPr>
      <w:bookmarkStart w:id="587" w:name="_Toc436834764"/>
      <w:bookmarkStart w:id="588" w:name="_Toc399165413"/>
      <w:bookmarkStart w:id="589" w:name="_Toc436834171"/>
      <w:bookmarkStart w:id="590" w:name="_Toc152042344"/>
      <w:bookmarkStart w:id="591" w:name="_Toc144974536"/>
      <w:bookmarkStart w:id="592" w:name="_Toc247513992"/>
      <w:bookmarkStart w:id="593" w:name="_Toc247527593"/>
      <w:bookmarkStart w:id="594" w:name="_Toc300834991"/>
      <w:bookmarkStart w:id="595" w:name="_Toc152045568"/>
      <w:r>
        <w:rPr>
          <w:rFonts w:hint="eastAsia" w:ascii="宋体" w:hAnsi="宋体" w:cs="宋体"/>
          <w:color w:val="auto"/>
          <w:sz w:val="24"/>
          <w:szCs w:val="24"/>
        </w:rPr>
        <w:t>7.2.1</w:t>
      </w:r>
      <w:r>
        <w:rPr>
          <w:rFonts w:hint="eastAsia" w:ascii="宋体" w:hAnsi="宋体" w:cs="宋体"/>
          <w:color w:val="auto"/>
          <w:sz w:val="24"/>
          <w:szCs w:val="24"/>
          <w:u w:val="single"/>
        </w:rPr>
        <w:t>招标人在投标人须知前附表规定的媒介公示中标候选人。公示时间为三天，公示期间的最后1天应当为工作日，否则将公示期的最后1天顺延至下一个工作日。</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7.2.2在产生中标候选人后，招标人将中标候选人的投标文件商务部分的电子版（包括人员、业绩、奖项等资料）在广州公共资源交易中心、广东省招标投标监管网公开。</w:t>
      </w:r>
    </w:p>
    <w:p>
      <w:pPr>
        <w:pStyle w:val="5"/>
        <w:adjustRightInd w:val="0"/>
        <w:snapToGrid w:val="0"/>
        <w:spacing w:before="0" w:after="0" w:line="360" w:lineRule="auto"/>
        <w:ind w:firstLine="118"/>
        <w:jc w:val="left"/>
        <w:rPr>
          <w:rFonts w:ascii="宋体" w:eastAsia="宋体" w:cs="宋体"/>
          <w:color w:val="auto"/>
          <w:sz w:val="24"/>
          <w:szCs w:val="24"/>
        </w:rPr>
      </w:pPr>
      <w:bookmarkStart w:id="596" w:name="_Toc515980170"/>
      <w:bookmarkStart w:id="597" w:name="_Toc60859873"/>
      <w:bookmarkStart w:id="598" w:name="_Toc516265957"/>
      <w:bookmarkStart w:id="599" w:name="_Toc21535135"/>
      <w:bookmarkStart w:id="600" w:name="_Toc65361681"/>
      <w:r>
        <w:rPr>
          <w:rFonts w:hint="eastAsia" w:ascii="宋体" w:eastAsia="宋体" w:cs="宋体"/>
          <w:color w:val="auto"/>
          <w:sz w:val="24"/>
          <w:szCs w:val="24"/>
        </w:rPr>
        <w:t>7.3 中标通知</w:t>
      </w:r>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7.3.1 在本章第3.3款规定的投标有效期内，招标人以书面形式向中标人发出中标通知书，同时将中标结果通知未中标的投标人。中标通知书按本章附表格式填写。</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7.3.2 招标人应当自确定中标人后，向招投标监管机构提交招标投标情况的书面报告；经招投标监管机构备案后，方可发出中标通知书。中标通知书由招标人颁发，并经广州公共资源交易中心确认。</w:t>
      </w:r>
    </w:p>
    <w:p>
      <w:pPr>
        <w:pStyle w:val="5"/>
        <w:adjustRightInd w:val="0"/>
        <w:snapToGrid w:val="0"/>
        <w:spacing w:before="0" w:after="0" w:line="360" w:lineRule="auto"/>
        <w:ind w:firstLine="118"/>
        <w:jc w:val="left"/>
        <w:rPr>
          <w:rFonts w:ascii="宋体" w:eastAsia="宋体" w:cs="宋体"/>
          <w:color w:val="auto"/>
          <w:sz w:val="24"/>
          <w:szCs w:val="24"/>
        </w:rPr>
      </w:pPr>
      <w:bookmarkStart w:id="601" w:name="_Toc21535136"/>
      <w:bookmarkStart w:id="602" w:name="_Toc60859874"/>
      <w:bookmarkStart w:id="603" w:name="_Toc515980171"/>
      <w:bookmarkStart w:id="604" w:name="_Toc65361682"/>
      <w:bookmarkStart w:id="605" w:name="_Toc152045569"/>
      <w:bookmarkStart w:id="606" w:name="_Toc247527594"/>
      <w:bookmarkStart w:id="607" w:name="_Toc247513993"/>
      <w:bookmarkStart w:id="608" w:name="_Toc399165414"/>
      <w:bookmarkStart w:id="609" w:name="_Toc144974537"/>
      <w:bookmarkStart w:id="610" w:name="_Toc436834765"/>
      <w:bookmarkStart w:id="611" w:name="_Toc436834172"/>
      <w:bookmarkStart w:id="612" w:name="_Toc300834992"/>
      <w:bookmarkStart w:id="613" w:name="_Toc516265958"/>
      <w:bookmarkStart w:id="614" w:name="_Toc152042345"/>
      <w:r>
        <w:rPr>
          <w:rFonts w:hint="eastAsia" w:ascii="宋体" w:eastAsia="宋体" w:cs="宋体"/>
          <w:color w:val="auto"/>
          <w:sz w:val="24"/>
          <w:szCs w:val="24"/>
        </w:rPr>
        <w:t>7.4 履约担保</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7.4.2 中标人不能按本章第7.4.1项要求提交履约担保的，视为放弃中标，</w:t>
      </w:r>
      <w:r>
        <w:rPr>
          <w:rFonts w:hint="eastAsia" w:ascii="宋体" w:hAnsi="宋体" w:cs="宋体"/>
          <w:strike/>
          <w:color w:val="auto"/>
          <w:sz w:val="24"/>
          <w:szCs w:val="24"/>
        </w:rPr>
        <w:t>其投标保证金不予退还</w:t>
      </w:r>
      <w:r>
        <w:rPr>
          <w:rFonts w:hint="eastAsia" w:ascii="宋体" w:hAnsi="宋体" w:cs="宋体"/>
          <w:color w:val="auto"/>
          <w:sz w:val="24"/>
          <w:szCs w:val="24"/>
        </w:rPr>
        <w:t>，给招标人造成的损失</w:t>
      </w:r>
      <w:r>
        <w:rPr>
          <w:rFonts w:hint="eastAsia" w:ascii="宋体" w:hAnsi="宋体" w:cs="宋体"/>
          <w:strike/>
          <w:color w:val="auto"/>
          <w:sz w:val="24"/>
          <w:szCs w:val="24"/>
        </w:rPr>
        <w:t>超过投标保证金数额的</w:t>
      </w:r>
      <w:r>
        <w:rPr>
          <w:rFonts w:hint="eastAsia" w:ascii="宋体" w:hAnsi="宋体" w:cs="宋体"/>
          <w:color w:val="auto"/>
          <w:sz w:val="24"/>
          <w:szCs w:val="24"/>
        </w:rPr>
        <w:t>，中标人还应当</w:t>
      </w:r>
      <w:r>
        <w:rPr>
          <w:rFonts w:hint="eastAsia" w:ascii="宋体" w:hAnsi="宋体" w:cs="宋体"/>
          <w:strike/>
          <w:color w:val="auto"/>
          <w:sz w:val="24"/>
          <w:szCs w:val="24"/>
        </w:rPr>
        <w:t>对超过部分</w:t>
      </w:r>
      <w:r>
        <w:rPr>
          <w:rFonts w:hint="eastAsia" w:ascii="宋体" w:hAnsi="宋体" w:cs="宋体"/>
          <w:color w:val="auto"/>
          <w:sz w:val="24"/>
          <w:szCs w:val="24"/>
        </w:rPr>
        <w:t>予以赔偿。</w:t>
      </w:r>
    </w:p>
    <w:p>
      <w:pPr>
        <w:pStyle w:val="5"/>
        <w:adjustRightInd w:val="0"/>
        <w:snapToGrid w:val="0"/>
        <w:spacing w:before="0" w:after="0" w:line="360" w:lineRule="auto"/>
        <w:ind w:firstLine="118"/>
        <w:jc w:val="left"/>
        <w:rPr>
          <w:rFonts w:ascii="宋体" w:eastAsia="宋体" w:cs="宋体"/>
          <w:color w:val="auto"/>
          <w:sz w:val="24"/>
          <w:szCs w:val="24"/>
        </w:rPr>
      </w:pPr>
      <w:bookmarkStart w:id="615" w:name="_Toc399165415"/>
      <w:bookmarkStart w:id="616" w:name="_Toc144974538"/>
      <w:bookmarkStart w:id="617" w:name="_Toc152042346"/>
      <w:bookmarkStart w:id="618" w:name="_Toc516265959"/>
      <w:bookmarkStart w:id="619" w:name="_Toc247513994"/>
      <w:bookmarkStart w:id="620" w:name="_Toc21535137"/>
      <w:bookmarkStart w:id="621" w:name="_Toc436834173"/>
      <w:bookmarkStart w:id="622" w:name="_Toc65361683"/>
      <w:bookmarkStart w:id="623" w:name="_Toc247527595"/>
      <w:bookmarkStart w:id="624" w:name="_Toc515980172"/>
      <w:bookmarkStart w:id="625" w:name="_Toc60859875"/>
      <w:bookmarkStart w:id="626" w:name="_Toc300834993"/>
      <w:bookmarkStart w:id="627" w:name="_Toc152045570"/>
      <w:bookmarkStart w:id="628" w:name="_Toc436834766"/>
      <w:r>
        <w:rPr>
          <w:rFonts w:hint="eastAsia" w:ascii="宋体" w:eastAsia="宋体" w:cs="宋体"/>
          <w:color w:val="auto"/>
          <w:sz w:val="24"/>
          <w:szCs w:val="24"/>
        </w:rPr>
        <w:t>7.5 签订合同</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strike/>
          <w:color w:val="auto"/>
          <w:sz w:val="24"/>
          <w:szCs w:val="24"/>
        </w:rPr>
        <w:t>，其投标保证金不予退还</w:t>
      </w:r>
      <w:r>
        <w:rPr>
          <w:rFonts w:hint="eastAsia" w:ascii="宋体" w:hAnsi="宋体" w:cs="宋体"/>
          <w:color w:val="auto"/>
          <w:sz w:val="24"/>
          <w:szCs w:val="24"/>
        </w:rPr>
        <w:t>；给招标人造成的损失</w:t>
      </w:r>
      <w:r>
        <w:rPr>
          <w:rFonts w:hint="eastAsia" w:ascii="宋体" w:hAnsi="宋体" w:cs="宋体"/>
          <w:strike/>
          <w:color w:val="auto"/>
          <w:sz w:val="24"/>
          <w:szCs w:val="24"/>
        </w:rPr>
        <w:t>超过投标保证金数额的</w:t>
      </w:r>
      <w:r>
        <w:rPr>
          <w:rFonts w:hint="eastAsia" w:ascii="宋体" w:hAnsi="宋体" w:cs="宋体"/>
          <w:color w:val="auto"/>
          <w:sz w:val="24"/>
          <w:szCs w:val="24"/>
        </w:rPr>
        <w:t>，中标人还应当</w:t>
      </w:r>
      <w:r>
        <w:rPr>
          <w:rFonts w:hint="eastAsia" w:ascii="宋体" w:hAnsi="宋体" w:cs="宋体"/>
          <w:strike/>
          <w:color w:val="auto"/>
          <w:sz w:val="24"/>
          <w:szCs w:val="24"/>
        </w:rPr>
        <w:t>对超过部分</w:t>
      </w:r>
      <w:r>
        <w:rPr>
          <w:rFonts w:hint="eastAsia" w:ascii="宋体" w:hAnsi="宋体" w:cs="宋体"/>
          <w:color w:val="auto"/>
          <w:sz w:val="24"/>
          <w:szCs w:val="24"/>
        </w:rPr>
        <w:t xml:space="preserve">予以赔偿。 </w:t>
      </w:r>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7.5.2 发出中标通知书后，招标人无正当理由拒签合同的，</w:t>
      </w:r>
      <w:r>
        <w:rPr>
          <w:rFonts w:hint="eastAsia" w:ascii="宋体" w:hAnsi="宋体" w:cs="宋体"/>
          <w:strike/>
          <w:color w:val="auto"/>
          <w:sz w:val="24"/>
          <w:szCs w:val="24"/>
        </w:rPr>
        <w:t>招标人向中标人退还投标保证金；</w:t>
      </w:r>
      <w:r>
        <w:rPr>
          <w:rFonts w:hint="eastAsia" w:ascii="宋体" w:hAnsi="宋体" w:cs="宋体"/>
          <w:color w:val="auto"/>
          <w:sz w:val="24"/>
          <w:szCs w:val="24"/>
        </w:rPr>
        <w:t>给中标人造成损失的，还应当赔偿损失。</w:t>
      </w:r>
    </w:p>
    <w:p>
      <w:pPr>
        <w:pStyle w:val="4"/>
        <w:adjustRightInd w:val="0"/>
        <w:snapToGrid w:val="0"/>
        <w:spacing w:before="0" w:after="0" w:line="360" w:lineRule="auto"/>
        <w:jc w:val="left"/>
        <w:rPr>
          <w:rFonts w:ascii="宋体" w:hAnsi="宋体" w:eastAsia="宋体" w:cs="宋体"/>
          <w:color w:val="auto"/>
          <w:sz w:val="24"/>
          <w:szCs w:val="24"/>
        </w:rPr>
      </w:pPr>
      <w:bookmarkStart w:id="629" w:name="_Toc152045571"/>
      <w:bookmarkStart w:id="630" w:name="_Toc144974539"/>
      <w:bookmarkStart w:id="631" w:name="_Toc247513995"/>
      <w:bookmarkStart w:id="632" w:name="_Toc247527596"/>
      <w:bookmarkStart w:id="633" w:name="_Toc152042347"/>
      <w:bookmarkStart w:id="634" w:name="_Toc300834994"/>
      <w:bookmarkStart w:id="635" w:name="_Toc21535138"/>
      <w:bookmarkStart w:id="636" w:name="_Toc436834174"/>
      <w:bookmarkStart w:id="637" w:name="_Toc399165416"/>
      <w:bookmarkStart w:id="638" w:name="_Toc516265960"/>
      <w:bookmarkStart w:id="639" w:name="_Toc60859876"/>
      <w:bookmarkStart w:id="640" w:name="_Toc65361684"/>
      <w:bookmarkStart w:id="641" w:name="_Toc515980173"/>
      <w:bookmarkStart w:id="642" w:name="_Toc436834767"/>
      <w:r>
        <w:rPr>
          <w:rFonts w:hint="eastAsia" w:ascii="宋体" w:hAnsi="宋体" w:eastAsia="宋体" w:cs="宋体"/>
          <w:color w:val="auto"/>
          <w:sz w:val="24"/>
          <w:szCs w:val="24"/>
        </w:rPr>
        <w:t>8.</w:t>
      </w:r>
      <w:bookmarkEnd w:id="629"/>
      <w:bookmarkEnd w:id="630"/>
      <w:bookmarkEnd w:id="631"/>
      <w:bookmarkEnd w:id="632"/>
      <w:bookmarkEnd w:id="633"/>
      <w:bookmarkStart w:id="643" w:name="_Toc152042350"/>
      <w:bookmarkStart w:id="644" w:name="_Toc247513998"/>
      <w:bookmarkStart w:id="645" w:name="_Toc152045574"/>
      <w:bookmarkStart w:id="646" w:name="_Toc144974542"/>
      <w:bookmarkStart w:id="647" w:name="_Toc247527599"/>
      <w:r>
        <w:rPr>
          <w:rFonts w:hint="eastAsia" w:ascii="宋体" w:hAnsi="宋体" w:eastAsia="宋体" w:cs="宋体"/>
          <w:color w:val="auto"/>
          <w:sz w:val="24"/>
          <w:szCs w:val="24"/>
        </w:rPr>
        <w:t>纪律和监督</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pPr>
        <w:pStyle w:val="5"/>
        <w:adjustRightInd w:val="0"/>
        <w:snapToGrid w:val="0"/>
        <w:spacing w:before="0" w:after="0" w:line="360" w:lineRule="auto"/>
        <w:ind w:firstLine="118"/>
        <w:jc w:val="left"/>
        <w:rPr>
          <w:rFonts w:ascii="宋体" w:eastAsia="宋体" w:cs="宋体"/>
          <w:color w:val="auto"/>
          <w:sz w:val="24"/>
          <w:szCs w:val="24"/>
        </w:rPr>
      </w:pPr>
      <w:bookmarkStart w:id="648" w:name="_Toc515980174"/>
      <w:bookmarkStart w:id="649" w:name="_Toc516265961"/>
      <w:bookmarkStart w:id="650" w:name="_Toc152045575"/>
      <w:bookmarkStart w:id="651" w:name="_Toc60859877"/>
      <w:bookmarkStart w:id="652" w:name="_Toc436834768"/>
      <w:bookmarkStart w:id="653" w:name="_Toc436834175"/>
      <w:bookmarkStart w:id="654" w:name="_Toc152042351"/>
      <w:bookmarkStart w:id="655" w:name="_Toc300834995"/>
      <w:bookmarkStart w:id="656" w:name="_Toc21535139"/>
      <w:bookmarkStart w:id="657" w:name="_Toc247527600"/>
      <w:bookmarkStart w:id="658" w:name="_Toc144974543"/>
      <w:bookmarkStart w:id="659" w:name="_Toc65361685"/>
      <w:bookmarkStart w:id="660" w:name="_Toc399165417"/>
      <w:bookmarkStart w:id="661" w:name="_Toc247513999"/>
      <w:r>
        <w:rPr>
          <w:rFonts w:hint="eastAsia" w:ascii="宋体" w:eastAsia="宋体" w:cs="宋体"/>
          <w:color w:val="auto"/>
          <w:sz w:val="24"/>
          <w:szCs w:val="24"/>
        </w:rPr>
        <w:t>8.1 对招标人的纪律要求</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招标人不得泄漏招标投标活动中应当保密的情况和资料，不得与投标人串通损害国家利益、社会公共利益或者他人合法权益。</w:t>
      </w:r>
    </w:p>
    <w:p>
      <w:pPr>
        <w:pStyle w:val="5"/>
        <w:adjustRightInd w:val="0"/>
        <w:snapToGrid w:val="0"/>
        <w:spacing w:before="0" w:after="0" w:line="360" w:lineRule="auto"/>
        <w:ind w:firstLine="118"/>
        <w:jc w:val="left"/>
        <w:rPr>
          <w:rFonts w:ascii="宋体" w:eastAsia="宋体" w:cs="宋体"/>
          <w:color w:val="auto"/>
          <w:sz w:val="24"/>
          <w:szCs w:val="24"/>
        </w:rPr>
      </w:pPr>
      <w:bookmarkStart w:id="662" w:name="_Toc152045576"/>
      <w:bookmarkStart w:id="663" w:name="_Toc152042352"/>
      <w:bookmarkStart w:id="664" w:name="_Toc65361686"/>
      <w:bookmarkStart w:id="665" w:name="_Toc516265962"/>
      <w:bookmarkStart w:id="666" w:name="_Toc436834769"/>
      <w:bookmarkStart w:id="667" w:name="_Toc300834996"/>
      <w:bookmarkStart w:id="668" w:name="_Toc399165418"/>
      <w:bookmarkStart w:id="669" w:name="_Toc436834176"/>
      <w:bookmarkStart w:id="670" w:name="_Toc21535140"/>
      <w:bookmarkStart w:id="671" w:name="_Toc515980175"/>
      <w:bookmarkStart w:id="672" w:name="_Toc60859878"/>
      <w:bookmarkStart w:id="673" w:name="_Toc144974544"/>
      <w:bookmarkStart w:id="674" w:name="_Toc247514000"/>
      <w:bookmarkStart w:id="675" w:name="_Toc247527601"/>
      <w:r>
        <w:rPr>
          <w:rFonts w:hint="eastAsia" w:ascii="宋体" w:eastAsia="宋体" w:cs="宋体"/>
          <w:color w:val="auto"/>
          <w:sz w:val="24"/>
          <w:szCs w:val="24"/>
        </w:rPr>
        <w:t>8.2 对投标人的纪律要求</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8.2.1 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auto"/>
        <w:ind w:firstLine="480" w:firstLineChars="200"/>
        <w:jc w:val="left"/>
        <w:rPr>
          <w:rFonts w:ascii="宋体" w:hAnsi="宋体" w:cs="宋体"/>
          <w:color w:val="auto"/>
          <w:sz w:val="24"/>
          <w:szCs w:val="24"/>
          <w:u w:val="single"/>
        </w:rPr>
      </w:pPr>
      <w:r>
        <w:rPr>
          <w:rFonts w:hint="eastAsia" w:ascii="宋体" w:hAnsi="宋体" w:cs="宋体"/>
          <w:color w:val="auto"/>
          <w:sz w:val="24"/>
          <w:szCs w:val="24"/>
          <w:u w:val="single"/>
        </w:rPr>
        <w:t>8.2.2投标人如在本项目中存在串通投标、弄虚作假骗取中标、行贿情形的，中标无效，行政监督部门将对其违法行为进行政处罚。该投标人将被招标人列入黑名单并限制其参与招标人后续项目的投标。</w:t>
      </w:r>
    </w:p>
    <w:p>
      <w:pPr>
        <w:pStyle w:val="5"/>
        <w:adjustRightInd w:val="0"/>
        <w:snapToGrid w:val="0"/>
        <w:spacing w:before="0" w:after="0" w:line="360" w:lineRule="auto"/>
        <w:ind w:firstLine="118"/>
        <w:jc w:val="left"/>
        <w:rPr>
          <w:rFonts w:ascii="宋体" w:eastAsia="宋体" w:cs="宋体"/>
          <w:color w:val="auto"/>
          <w:sz w:val="24"/>
          <w:szCs w:val="24"/>
        </w:rPr>
      </w:pPr>
      <w:bookmarkStart w:id="676" w:name="_Toc152042353"/>
      <w:bookmarkStart w:id="677" w:name="_Toc152045577"/>
      <w:bookmarkStart w:id="678" w:name="_Toc60859879"/>
      <w:bookmarkStart w:id="679" w:name="_Toc300834997"/>
      <w:bookmarkStart w:id="680" w:name="_Toc399165419"/>
      <w:bookmarkStart w:id="681" w:name="_Toc21535141"/>
      <w:bookmarkStart w:id="682" w:name="_Toc65361687"/>
      <w:bookmarkStart w:id="683" w:name="_Toc436834770"/>
      <w:bookmarkStart w:id="684" w:name="_Toc515980176"/>
      <w:bookmarkStart w:id="685" w:name="_Toc247527602"/>
      <w:bookmarkStart w:id="686" w:name="_Toc516265963"/>
      <w:bookmarkStart w:id="687" w:name="_Toc247514001"/>
      <w:bookmarkStart w:id="688" w:name="_Toc436834177"/>
      <w:bookmarkStart w:id="689" w:name="_Toc144974545"/>
      <w:r>
        <w:rPr>
          <w:rFonts w:hint="eastAsia" w:ascii="宋体" w:eastAsia="宋体" w:cs="宋体"/>
          <w:color w:val="auto"/>
          <w:sz w:val="24"/>
          <w:szCs w:val="24"/>
        </w:rPr>
        <w:t>8.3 对评标委员会成员的纪律要求</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adjustRightInd w:val="0"/>
        <w:snapToGrid w:val="0"/>
        <w:spacing w:before="0" w:after="0" w:line="360" w:lineRule="auto"/>
        <w:ind w:firstLine="118"/>
        <w:jc w:val="left"/>
        <w:rPr>
          <w:rFonts w:ascii="宋体" w:eastAsia="宋体" w:cs="宋体"/>
          <w:color w:val="auto"/>
          <w:sz w:val="24"/>
          <w:szCs w:val="24"/>
        </w:rPr>
      </w:pPr>
      <w:bookmarkStart w:id="690" w:name="_Toc247527603"/>
      <w:bookmarkStart w:id="691" w:name="_Toc60859880"/>
      <w:bookmarkStart w:id="692" w:name="_Toc515980177"/>
      <w:bookmarkStart w:id="693" w:name="_Toc65361688"/>
      <w:bookmarkStart w:id="694" w:name="_Toc21535142"/>
      <w:bookmarkStart w:id="695" w:name="_Toc399165420"/>
      <w:bookmarkStart w:id="696" w:name="_Toc247514002"/>
      <w:bookmarkStart w:id="697" w:name="_Toc436834771"/>
      <w:bookmarkStart w:id="698" w:name="_Toc152045578"/>
      <w:bookmarkStart w:id="699" w:name="_Toc152042354"/>
      <w:bookmarkStart w:id="700" w:name="_Toc300834998"/>
      <w:bookmarkStart w:id="701" w:name="_Toc516265964"/>
      <w:bookmarkStart w:id="702" w:name="_Toc436834178"/>
      <w:bookmarkStart w:id="703" w:name="_Toc144974546"/>
      <w:r>
        <w:rPr>
          <w:rFonts w:hint="eastAsia" w:ascii="宋体" w:eastAsia="宋体" w:cs="宋体"/>
          <w:color w:val="auto"/>
          <w:sz w:val="24"/>
          <w:szCs w:val="24"/>
        </w:rPr>
        <w:t>8.4 对与评标活动有关的工作人员的纪律要求</w:t>
      </w:r>
      <w:bookmarkEnd w:id="690"/>
      <w:bookmarkEnd w:id="691"/>
      <w:bookmarkEnd w:id="692"/>
      <w:bookmarkEnd w:id="693"/>
      <w:bookmarkEnd w:id="694"/>
      <w:bookmarkEnd w:id="695"/>
      <w:bookmarkEnd w:id="696"/>
      <w:bookmarkEnd w:id="697"/>
      <w:bookmarkEnd w:id="698"/>
      <w:bookmarkEnd w:id="699"/>
      <w:bookmarkEnd w:id="700"/>
      <w:bookmarkEnd w:id="701"/>
      <w:bookmarkEnd w:id="702"/>
    </w:p>
    <w:p>
      <w:pPr>
        <w:adjustRightInd w:val="0"/>
        <w:snapToGrid w:val="0"/>
        <w:spacing w:line="360" w:lineRule="auto"/>
        <w:ind w:firstLine="480" w:firstLineChars="200"/>
        <w:jc w:val="left"/>
        <w:rPr>
          <w:rFonts w:ascii="宋体" w:hAnsi="宋体" w:cs="宋体"/>
          <w:color w:val="auto"/>
          <w:sz w:val="24"/>
          <w:szCs w:val="24"/>
        </w:rPr>
      </w:pPr>
      <w:bookmarkStart w:id="704" w:name="_Toc152042355"/>
      <w:r>
        <w:rPr>
          <w:rFonts w:hint="eastAsia" w:ascii="宋体" w:hAnsi="宋体" w:cs="宋体"/>
          <w:color w:val="auto"/>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704"/>
    </w:p>
    <w:p>
      <w:pPr>
        <w:pStyle w:val="5"/>
        <w:adjustRightInd w:val="0"/>
        <w:snapToGrid w:val="0"/>
        <w:spacing w:before="0" w:after="0" w:line="360" w:lineRule="auto"/>
        <w:ind w:firstLine="118"/>
        <w:jc w:val="left"/>
        <w:rPr>
          <w:rFonts w:ascii="宋体" w:eastAsia="宋体" w:cs="宋体"/>
          <w:color w:val="auto"/>
          <w:sz w:val="24"/>
          <w:szCs w:val="24"/>
        </w:rPr>
      </w:pPr>
      <w:bookmarkStart w:id="705" w:name="_Toc436834772"/>
      <w:bookmarkStart w:id="706" w:name="_Toc152042356"/>
      <w:bookmarkStart w:id="707" w:name="_Toc300834999"/>
      <w:bookmarkStart w:id="708" w:name="_Toc60859881"/>
      <w:bookmarkStart w:id="709" w:name="_Toc65361689"/>
      <w:bookmarkStart w:id="710" w:name="_Toc399165421"/>
      <w:bookmarkStart w:id="711" w:name="_Toc436834179"/>
      <w:bookmarkStart w:id="712" w:name="_Toc152045579"/>
      <w:bookmarkStart w:id="713" w:name="_Toc21535143"/>
      <w:bookmarkStart w:id="714" w:name="_Toc515980178"/>
      <w:bookmarkStart w:id="715" w:name="_Toc247527604"/>
      <w:bookmarkStart w:id="716" w:name="_Toc247514003"/>
      <w:bookmarkStart w:id="717" w:name="_Toc516265965"/>
      <w:r>
        <w:rPr>
          <w:rFonts w:hint="eastAsia" w:ascii="宋体" w:eastAsia="宋体" w:cs="宋体"/>
          <w:color w:val="auto"/>
          <w:sz w:val="24"/>
          <w:szCs w:val="24"/>
        </w:rPr>
        <w:t>8.5 投诉</w:t>
      </w:r>
      <w:bookmarkEnd w:id="703"/>
      <w:bookmarkEnd w:id="705"/>
      <w:bookmarkEnd w:id="706"/>
      <w:bookmarkEnd w:id="707"/>
      <w:bookmarkEnd w:id="708"/>
      <w:bookmarkEnd w:id="709"/>
      <w:bookmarkEnd w:id="710"/>
      <w:bookmarkEnd w:id="711"/>
      <w:bookmarkEnd w:id="712"/>
      <w:bookmarkEnd w:id="713"/>
      <w:bookmarkEnd w:id="714"/>
      <w:bookmarkEnd w:id="715"/>
      <w:bookmarkEnd w:id="716"/>
      <w:bookmarkEnd w:id="717"/>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投标人和其他利害关系人认为本次招标活动违反法律、法规和规章规定的，有权向有关行政监督部门投诉。</w:t>
      </w:r>
    </w:p>
    <w:p>
      <w:pPr>
        <w:pStyle w:val="4"/>
        <w:adjustRightInd w:val="0"/>
        <w:snapToGrid w:val="0"/>
        <w:spacing w:before="0" w:after="0" w:line="360" w:lineRule="auto"/>
        <w:jc w:val="left"/>
        <w:rPr>
          <w:rFonts w:ascii="宋体" w:hAnsi="宋体" w:eastAsia="宋体" w:cs="宋体"/>
          <w:color w:val="auto"/>
          <w:sz w:val="24"/>
          <w:szCs w:val="24"/>
        </w:rPr>
      </w:pPr>
      <w:bookmarkStart w:id="718" w:name="_Toc300835000"/>
      <w:bookmarkStart w:id="719" w:name="_Toc247514004"/>
      <w:bookmarkStart w:id="720" w:name="_Toc60859882"/>
      <w:bookmarkStart w:id="721" w:name="_Toc436834180"/>
      <w:bookmarkStart w:id="722" w:name="_Toc436834773"/>
      <w:bookmarkStart w:id="723" w:name="_Toc21535144"/>
      <w:bookmarkStart w:id="724" w:name="_Toc247527605"/>
      <w:bookmarkStart w:id="725" w:name="_Toc516265966"/>
      <w:bookmarkStart w:id="726" w:name="_Toc152042357"/>
      <w:bookmarkStart w:id="727" w:name="_Toc65361690"/>
      <w:bookmarkStart w:id="728" w:name="_Toc399165422"/>
      <w:bookmarkStart w:id="729" w:name="_Toc144974547"/>
      <w:bookmarkStart w:id="730" w:name="_Toc152045580"/>
      <w:bookmarkStart w:id="731" w:name="_Toc515980179"/>
      <w:r>
        <w:rPr>
          <w:rFonts w:hint="eastAsia" w:ascii="宋体" w:hAnsi="宋体" w:eastAsia="宋体" w:cs="宋体"/>
          <w:color w:val="auto"/>
          <w:sz w:val="24"/>
          <w:szCs w:val="24"/>
        </w:rPr>
        <w:t>9. 需要补充的其他内容</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Pr>
        <w:adjustRightInd w:val="0"/>
        <w:snapToGri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需要补充的其他内容：见投标人须知前附表。</w:t>
      </w:r>
    </w:p>
    <w:p>
      <w:pPr>
        <w:pStyle w:val="4"/>
        <w:adjustRightInd w:val="0"/>
        <w:snapToGrid w:val="0"/>
        <w:spacing w:before="0" w:after="0" w:line="360" w:lineRule="auto"/>
        <w:jc w:val="left"/>
        <w:rPr>
          <w:rFonts w:ascii="宋体" w:hAnsi="宋体" w:eastAsia="宋体" w:cs="宋体"/>
          <w:color w:val="auto"/>
          <w:sz w:val="24"/>
          <w:szCs w:val="24"/>
        </w:rPr>
      </w:pPr>
      <w:bookmarkStart w:id="732" w:name="_Toc515980180"/>
      <w:bookmarkStart w:id="733" w:name="_Toc21535145"/>
      <w:bookmarkStart w:id="734" w:name="_Toc516265967"/>
      <w:bookmarkStart w:id="735" w:name="_Toc300835001"/>
      <w:bookmarkStart w:id="736" w:name="_Toc60859883"/>
      <w:bookmarkStart w:id="737" w:name="_Toc436834181"/>
      <w:bookmarkStart w:id="738" w:name="_Toc65361691"/>
      <w:bookmarkStart w:id="739" w:name="_Toc436834774"/>
      <w:bookmarkStart w:id="740" w:name="_Toc399165423"/>
      <w:r>
        <w:rPr>
          <w:rFonts w:hint="eastAsia" w:ascii="宋体" w:hAnsi="宋体" w:eastAsia="宋体" w:cs="宋体"/>
          <w:color w:val="auto"/>
          <w:sz w:val="24"/>
          <w:szCs w:val="24"/>
        </w:rPr>
        <w:t>10. 电子招标投标</w:t>
      </w:r>
      <w:bookmarkEnd w:id="732"/>
      <w:bookmarkEnd w:id="733"/>
      <w:bookmarkEnd w:id="734"/>
      <w:bookmarkEnd w:id="735"/>
      <w:bookmarkEnd w:id="736"/>
      <w:bookmarkEnd w:id="737"/>
      <w:bookmarkEnd w:id="738"/>
      <w:bookmarkEnd w:id="739"/>
      <w:bookmarkEnd w:id="740"/>
    </w:p>
    <w:p>
      <w:pPr>
        <w:pStyle w:val="3"/>
        <w:adjustRightInd w:val="0"/>
        <w:snapToGrid w:val="0"/>
        <w:spacing w:before="0" w:after="0" w:line="360" w:lineRule="auto"/>
        <w:jc w:val="left"/>
        <w:rPr>
          <w:rFonts w:ascii="宋体" w:hAnsi="宋体" w:cs="宋体"/>
          <w:color w:val="auto"/>
        </w:rPr>
      </w:pPr>
      <w:r>
        <w:rPr>
          <w:rFonts w:hint="eastAsia" w:ascii="宋体" w:hAnsi="宋体" w:cs="宋体"/>
          <w:color w:val="auto"/>
          <w:sz w:val="24"/>
          <w:szCs w:val="24"/>
        </w:rPr>
        <w:t>采用电子招标投标，对投标文件的编制、密封和标记、递交、开标、评标等具体要求，见投标人须知前附表。</w:t>
      </w:r>
      <w:bookmarkStart w:id="741" w:name="_Toc9379"/>
      <w:bookmarkStart w:id="742" w:name="_Toc65361692"/>
      <w:bookmarkStart w:id="743" w:name="_Toc515980181"/>
      <w:bookmarkStart w:id="744" w:name="_Toc21535146"/>
      <w:bookmarkStart w:id="745" w:name="_Toc60859884"/>
      <w:bookmarkStart w:id="746" w:name="_Toc439019910"/>
      <w:bookmarkStart w:id="747" w:name="_Toc439019615"/>
      <w:bookmarkStart w:id="748" w:name="_Toc439006897"/>
      <w:bookmarkStart w:id="749" w:name="_Toc439019791"/>
      <w:bookmarkStart w:id="750" w:name="_Toc516265968"/>
      <w:r>
        <w:rPr>
          <w:rFonts w:hint="eastAsia" w:ascii="宋体" w:hAnsi="宋体" w:cs="宋体"/>
          <w:color w:val="auto"/>
          <w:sz w:val="24"/>
          <w:szCs w:val="24"/>
        </w:rPr>
        <w:br w:type="page"/>
      </w:r>
      <w:bookmarkEnd w:id="741"/>
      <w:r>
        <w:rPr>
          <w:rFonts w:hint="eastAsia" w:ascii="宋体" w:hAnsi="宋体" w:cs="宋体"/>
          <w:color w:val="auto"/>
        </w:rPr>
        <w:t>第三章  评标办法（综合评估法）</w:t>
      </w:r>
    </w:p>
    <w:p>
      <w:pPr>
        <w:pStyle w:val="4"/>
        <w:spacing w:before="0" w:after="0" w:line="240" w:lineRule="auto"/>
        <w:jc w:val="left"/>
        <w:rPr>
          <w:rFonts w:ascii="宋体" w:hAnsi="宋体" w:eastAsia="宋体" w:cs="宋体"/>
          <w:color w:val="auto"/>
          <w:sz w:val="28"/>
          <w:szCs w:val="28"/>
        </w:rPr>
      </w:pPr>
      <w:r>
        <w:rPr>
          <w:rFonts w:hint="eastAsia" w:ascii="宋体" w:hAnsi="宋体" w:eastAsia="宋体" w:cs="宋体"/>
          <w:color w:val="auto"/>
          <w:sz w:val="28"/>
          <w:szCs w:val="28"/>
        </w:rPr>
        <w:t>评标办法前附表</w:t>
      </w:r>
    </w:p>
    <w:tbl>
      <w:tblPr>
        <w:tblStyle w:val="17"/>
        <w:tblpPr w:leftFromText="180" w:rightFromText="180" w:vertAnchor="text" w:horzAnchor="page" w:tblpX="411" w:tblpY="394"/>
        <w:tblOverlap w:val="never"/>
        <w:tblW w:w="1045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254"/>
        <w:gridCol w:w="636"/>
        <w:gridCol w:w="2096"/>
        <w:gridCol w:w="65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85"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条款号</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评审因素</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restart"/>
            <w:tcBorders>
              <w:top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2.1.1</w:t>
            </w:r>
          </w:p>
        </w:tc>
        <w:tc>
          <w:tcPr>
            <w:tcW w:w="636" w:type="dxa"/>
            <w:vMerge w:val="restart"/>
            <w:tcBorders>
              <w:top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形式评审标准</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投标人名称</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法定代表人证明及授权</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投标文件中有有效的法定代表人证明书，或由委托代理人签字或盖章的投标文件中有法定代表人证明书和授权委托证明书。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投标承诺函</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《投标承诺函》与招标文件规定一致，且按规定加盖投标人</w:t>
            </w:r>
            <w:r>
              <w:rPr>
                <w:rFonts w:hint="eastAsia" w:ascii="宋体" w:hAnsi="宋体"/>
                <w:color w:val="auto"/>
              </w:rPr>
              <w:t>单位</w:t>
            </w:r>
            <w:r>
              <w:rPr>
                <w:rFonts w:hint="eastAsia" w:ascii="宋体" w:hAnsi="宋体" w:cs="宋体"/>
                <w:color w:val="auto"/>
                <w:szCs w:val="21"/>
              </w:rPr>
              <w:t>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投标文件格式</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符合第七章“投标文件格式”的要求</w:t>
            </w:r>
            <w:r>
              <w:rPr>
                <w:rStyle w:val="21"/>
                <w:rFonts w:hint="eastAsia"/>
                <w:color w:val="auto"/>
              </w:rPr>
              <w:t>（《投标书》、《投标承诺函》、《投标文件编制人员名单》）</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149" w:type="dxa"/>
            <w:gridSpan w:val="2"/>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报价唯一</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联合体投标人</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联合体投标的，递交联合体协议书，明确各方承担连带责任，并明确联合体主办方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trPr>
        <w:tc>
          <w:tcPr>
            <w:tcW w:w="1149" w:type="dxa"/>
            <w:gridSpan w:val="2"/>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机器特征码</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投标人与本项目其他投标人的加密打包投标文件电脑机器特征码不一致(以广州公共资源交易中心交易平台评标系统的检索信息为准)。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备选投标方案</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未提交备选投标方案。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restart"/>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2.1.2</w:t>
            </w:r>
          </w:p>
        </w:tc>
        <w:tc>
          <w:tcPr>
            <w:tcW w:w="636" w:type="dxa"/>
            <w:vMerge w:val="restart"/>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资格评审标准</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营业执照</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资质等级</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项目负责人（兼施工负责人）</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设计负责人</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专职安全员</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其他要求</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149" w:type="dxa"/>
            <w:gridSpan w:val="2"/>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未被列入拖欠农民工工资失信联合惩戒对象名单</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投标人无需提供资料，按交易系统比对的结果进行评审。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nil"/>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联合体投标人</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restart"/>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2.1.3</w:t>
            </w:r>
          </w:p>
        </w:tc>
        <w:tc>
          <w:tcPr>
            <w:tcW w:w="636" w:type="dxa"/>
            <w:vMerge w:val="restart"/>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响应性评审标准</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投标报价</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符合第二章“投标人须知”第3.2.4项规定且不低于企业成本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投标内容</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工期</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质量标准</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投标有效期</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9" w:type="dxa"/>
            <w:gridSpan w:val="2"/>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636" w:type="dxa"/>
            <w:vMerge w:val="continue"/>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合法合规性</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投标人之间不存在《广东省实施&lt;中华人民共和国招标投标法&gt;》第十六条所禁止的情形的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85"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条款号</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条款内容</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85" w:type="dxa"/>
            <w:gridSpan w:val="3"/>
            <w:tcBorders>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2.2.1</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分值构成</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(总分100分)</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u w:val="single"/>
              </w:rPr>
            </w:pPr>
            <w:r>
              <w:rPr>
                <w:rFonts w:hint="eastAsia" w:ascii="宋体" w:hAnsi="宋体" w:cs="宋体"/>
                <w:color w:val="auto"/>
                <w:szCs w:val="21"/>
                <w:u w:val="single"/>
              </w:rPr>
              <w:t>投标人得分（满分100分）＝(工程总承包实施方案投标文件得分×权重50%＋投标报价得分×权重50%）×95%＋施工诚信综合评价得分×权重5%。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5"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2.2.2</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评标基准价计算方法</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1.通过初步评审并经算术校核的投标人的建安工程费报价位于[建安工程费最高投标限价×90%，建安工程费最高投标限价]区间的投标人大于5家时，在经算术校核的位于区间的投标人的建安工程费投标报价中，去掉一个最高价和一个最低价后，取剩余报价的算术平均值为评标基准价；</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2.通过初步评审并经算术校核的投标人的建安工程费报价位于[建安工程费最高投标限价×90%，建安工程费最高投标限价]区间的投标人少于或等于5家时，直接取区间中的建安工程费投标报价的算术平均值为评标基准价。</w:t>
            </w:r>
          </w:p>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3.若没有投标人通过初步评审并经算术校核的建安工程费报价位于[建安工程费最高投标限价×90%，建安工程费最高投标限价]区间，则取建安工程费最高投标限价的90%为本项目的评标基准价。</w:t>
            </w:r>
          </w:p>
          <w:p>
            <w:pPr>
              <w:pStyle w:val="2"/>
              <w:adjustRightInd w:val="0"/>
              <w:snapToGrid w:val="0"/>
              <w:spacing w:line="360" w:lineRule="auto"/>
              <w:jc w:val="left"/>
              <w:rPr>
                <w:rFonts w:hAnsi="宋体" w:cs="宋体"/>
                <w:color w:val="auto"/>
                <w:sz w:val="21"/>
                <w:szCs w:val="21"/>
              </w:rPr>
            </w:pPr>
            <w:r>
              <w:rPr>
                <w:rFonts w:hint="eastAsia" w:hAnsi="宋体" w:cs="宋体"/>
                <w:color w:val="auto"/>
                <w:szCs w:val="21"/>
              </w:rPr>
              <w:t>注：所有计算过程保留到小数点后两位，第三位四舍五入。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7" w:hRule="atLeast"/>
        </w:trPr>
        <w:tc>
          <w:tcPr>
            <w:tcW w:w="1785"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2.2.3</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投标报价的偏差率计算公式</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偏差率=（建安工程费投标报价－评标基准价）/评标基准价×100%</w:t>
            </w:r>
          </w:p>
          <w:p>
            <w:pPr>
              <w:adjustRightInd w:val="0"/>
              <w:snapToGrid w:val="0"/>
              <w:spacing w:line="360" w:lineRule="auto"/>
              <w:jc w:val="left"/>
              <w:rPr>
                <w:color w:val="auto"/>
              </w:rPr>
            </w:pPr>
            <w:r>
              <w:rPr>
                <w:rFonts w:hint="eastAsia" w:ascii="宋体" w:hAnsi="宋体" w:cs="宋体"/>
                <w:color w:val="auto"/>
                <w:szCs w:val="21"/>
              </w:rPr>
              <w:t>（偏差率四舍五入保留2位小数，报价偏差率不足1%的，按直线内插法计算。）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85" w:type="dxa"/>
            <w:gridSpan w:val="3"/>
            <w:tcBorders>
              <w:top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b/>
                <w:color w:val="auto"/>
                <w:szCs w:val="21"/>
              </w:rPr>
              <w:t>条款号</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评分因素</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ascii="宋体" w:hAnsi="宋体" w:cs="宋体"/>
                <w:color w:val="auto"/>
                <w:szCs w:val="21"/>
              </w:rPr>
            </w:pPr>
            <w:r>
              <w:rPr>
                <w:rFonts w:hint="eastAsia" w:ascii="宋体" w:hAnsi="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895" w:type="dxa"/>
            <w:vMerge w:val="restart"/>
            <w:tcBorders>
              <w:top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2.2.4（1）</w:t>
            </w:r>
          </w:p>
          <w:p>
            <w:pPr>
              <w:pStyle w:val="2"/>
              <w:adjustRightInd w:val="0"/>
              <w:snapToGrid w:val="0"/>
              <w:jc w:val="left"/>
              <w:rPr>
                <w:rFonts w:hAnsi="宋体" w:cs="宋体"/>
                <w:color w:val="auto"/>
                <w:sz w:val="21"/>
                <w:szCs w:val="21"/>
              </w:rPr>
            </w:pPr>
            <w:r>
              <w:rPr>
                <w:rFonts w:hint="eastAsia" w:hAnsi="宋体" w:cs="宋体"/>
                <w:color w:val="auto"/>
                <w:sz w:val="21"/>
                <w:szCs w:val="21"/>
                <w:lang w:val="zh-CN"/>
              </w:rPr>
              <w:t>工程总承包实施方案评分标准</w:t>
            </w:r>
          </w:p>
        </w:tc>
        <w:tc>
          <w:tcPr>
            <w:tcW w:w="890"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lang w:val="zh-CN"/>
              </w:rPr>
            </w:pPr>
            <w:r>
              <w:rPr>
                <w:rFonts w:hint="eastAsia" w:ascii="宋体" w:hAnsi="宋体" w:cs="宋体"/>
                <w:color w:val="auto"/>
                <w:szCs w:val="21"/>
                <w:lang w:val="zh-CN"/>
              </w:rPr>
              <w:t>企业</w:t>
            </w:r>
          </w:p>
          <w:p>
            <w:pPr>
              <w:adjustRightInd w:val="0"/>
              <w:snapToGrid w:val="0"/>
              <w:jc w:val="left"/>
              <w:rPr>
                <w:rFonts w:ascii="宋体" w:hAnsi="宋体" w:cs="宋体"/>
                <w:color w:val="auto"/>
                <w:szCs w:val="21"/>
                <w:lang w:val="zh-CN"/>
              </w:rPr>
            </w:pPr>
            <w:r>
              <w:rPr>
                <w:rFonts w:hint="eastAsia" w:ascii="宋体" w:hAnsi="宋体" w:cs="宋体"/>
                <w:color w:val="auto"/>
                <w:szCs w:val="21"/>
                <w:lang w:val="zh-CN"/>
              </w:rPr>
              <w:t>资信</w:t>
            </w:r>
          </w:p>
          <w:p>
            <w:pPr>
              <w:adjustRightInd w:val="0"/>
              <w:snapToGrid w:val="0"/>
              <w:jc w:val="left"/>
              <w:rPr>
                <w:rFonts w:ascii="宋体" w:hAnsi="宋体" w:cs="宋体"/>
                <w:color w:val="auto"/>
                <w:szCs w:val="21"/>
                <w:lang w:val="zh-CN"/>
              </w:rPr>
            </w:pPr>
            <w:r>
              <w:rPr>
                <w:rFonts w:hint="eastAsia" w:ascii="宋体" w:hAnsi="宋体" w:cs="宋体"/>
                <w:color w:val="auto"/>
                <w:szCs w:val="21"/>
                <w:lang w:val="zh-CN"/>
              </w:rPr>
              <w:t>（</w:t>
            </w:r>
            <w:r>
              <w:rPr>
                <w:rFonts w:ascii="宋体" w:hAnsi="宋体" w:cs="宋体"/>
                <w:color w:val="auto"/>
                <w:szCs w:val="21"/>
              </w:rPr>
              <w:t>50</w:t>
            </w:r>
            <w:r>
              <w:rPr>
                <w:rFonts w:hint="eastAsia" w:ascii="宋体" w:hAnsi="宋体" w:cs="宋体"/>
                <w:color w:val="auto"/>
                <w:szCs w:val="21"/>
                <w:lang w:val="zh-CN"/>
              </w:rPr>
              <w:t>分）</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类似项目业绩（</w:t>
            </w:r>
            <w:r>
              <w:rPr>
                <w:rFonts w:ascii="宋体" w:hAnsi="宋体" w:cs="宋体"/>
                <w:color w:val="auto"/>
                <w:szCs w:val="21"/>
              </w:rPr>
              <w:t>12</w:t>
            </w:r>
            <w:r>
              <w:rPr>
                <w:rFonts w:hint="eastAsia" w:ascii="宋体" w:hAnsi="宋体" w:cs="宋体"/>
                <w:color w:val="auto"/>
                <w:szCs w:val="21"/>
              </w:rPr>
              <w:t>分）</w:t>
            </w:r>
          </w:p>
        </w:tc>
        <w:tc>
          <w:tcPr>
            <w:tcW w:w="6575"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hint="eastAsia" w:ascii="宋体" w:hAnsi="Courier New"/>
                <w:color w:val="auto"/>
                <w:kern w:val="0"/>
                <w:sz w:val="20"/>
                <w:szCs w:val="20"/>
              </w:rPr>
              <w:t>（</w:t>
            </w:r>
            <w:r>
              <w:rPr>
                <w:rFonts w:ascii="宋体" w:hAnsi="Courier New"/>
                <w:color w:val="auto"/>
                <w:kern w:val="0"/>
                <w:sz w:val="20"/>
                <w:szCs w:val="20"/>
              </w:rPr>
              <w:t>1）</w:t>
            </w:r>
            <w:r>
              <w:rPr>
                <w:rFonts w:hint="eastAsia" w:ascii="宋体" w:hAnsi="宋体"/>
                <w:color w:val="auto"/>
                <w:szCs w:val="21"/>
              </w:rPr>
              <w:t>投标人(若为联合体，由联合体主办方提供)自2019年1月1日起至投标截止时间止完成过质量合格的类似施工业绩，每项得2分，本小项最高得6分。</w:t>
            </w:r>
          </w:p>
          <w:p>
            <w:pPr>
              <w:pStyle w:val="2"/>
              <w:rPr>
                <w:color w:val="auto"/>
              </w:rPr>
            </w:pPr>
            <w:r>
              <w:rPr>
                <w:rFonts w:hint="eastAsia"/>
                <w:color w:val="auto"/>
              </w:rPr>
              <w:t>（2）投标人（联合体投标时，由联合体设计方提供）</w:t>
            </w:r>
            <w:r>
              <w:rPr>
                <w:rFonts w:hint="eastAsia" w:hAnsi="宋体"/>
                <w:color w:val="auto"/>
                <w:szCs w:val="21"/>
              </w:rPr>
              <w:t>自2019</w:t>
            </w:r>
            <w:r>
              <w:rPr>
                <w:rFonts w:hint="eastAsia"/>
                <w:color w:val="auto"/>
              </w:rPr>
              <w:t>年1月1日起至投标截止时间止完成过类似设计业绩的，每项得2分，本项最多得6分。没有不得分。</w:t>
            </w:r>
            <w:r>
              <w:rPr>
                <w:color w:val="auto"/>
              </w:rPr>
              <w:br w:type="textWrapping"/>
            </w:r>
            <w:r>
              <w:rPr>
                <w:rFonts w:hint="eastAsia"/>
                <w:color w:val="auto"/>
              </w:rPr>
              <w:t>注：①类似施工业绩是指中标金额700万元以上（含700万元）的水利或者园林绿化工程施工项目，业绩金额以中标通知书金额为准。若中标通知书没有显示中标金额或免招标的，以合同协议书（不含补充合同）为准。业绩需提供中标通知书或免招标的相关证明、合同协议书、竣工验收文件（验收文件至少具有建设单位、设计、施工和监理单位盖章）或合同工程完工验收鉴定书扫描件。时间以竣工验收文件或合同工程完工验收鉴定书的日期为准。不符合上述条件或提供的资料不齐全的业绩不予评审。</w:t>
            </w:r>
          </w:p>
          <w:p>
            <w:pPr>
              <w:pStyle w:val="2"/>
              <w:rPr>
                <w:color w:val="auto"/>
              </w:rPr>
            </w:pPr>
            <w:r>
              <w:rPr>
                <w:rFonts w:hint="eastAsia"/>
                <w:color w:val="auto"/>
              </w:rPr>
              <w:t>②类似设计业绩是指总投资7</w:t>
            </w:r>
            <w:r>
              <w:rPr>
                <w:color w:val="auto"/>
              </w:rPr>
              <w:t>00</w:t>
            </w:r>
            <w:r>
              <w:rPr>
                <w:rFonts w:hint="eastAsia"/>
                <w:color w:val="auto"/>
              </w:rPr>
              <w:t>万元以上（含7</w:t>
            </w:r>
            <w:r>
              <w:rPr>
                <w:color w:val="auto"/>
              </w:rPr>
              <w:t>00</w:t>
            </w:r>
            <w:r>
              <w:rPr>
                <w:rFonts w:hint="eastAsia"/>
                <w:color w:val="auto"/>
              </w:rPr>
              <w:t>万元）的水利工程设计或者园林绿化工程设计项目，业绩时间以竣工验收文件或合同工程完工验收鉴定书的日期为准，</w:t>
            </w:r>
            <w:r>
              <w:rPr>
                <w:rFonts w:hint="eastAsia" w:hAnsi="宋体" w:cs="宋体"/>
                <w:color w:val="auto"/>
                <w:kern w:val="2"/>
                <w:sz w:val="21"/>
                <w:szCs w:val="21"/>
              </w:rPr>
              <w:t>项目总投资以项目设计合同中列明的总投资额为准；如设计合同中未列明总投资额的，则需另行提供如项目建议书批文或可行性研究报告批文或企业投资项目备案证等证明材料</w:t>
            </w:r>
            <w:r>
              <w:rPr>
                <w:rFonts w:hint="eastAsia"/>
                <w:color w:val="auto"/>
              </w:rPr>
              <w:t>。需提供合同关键页（含项目名称、双方盖章签字页等）、竣工验收证明文件或合同工程完工验收鉴定书等相关资料的扫描件。</w:t>
            </w:r>
          </w:p>
          <w:p>
            <w:pPr>
              <w:rPr>
                <w:color w:val="auto"/>
              </w:rPr>
            </w:pPr>
            <w:r>
              <w:rPr>
                <w:rFonts w:hint="eastAsia"/>
                <w:color w:val="auto"/>
              </w:rPr>
              <w:t>③工程总承包业绩使用规则：若由设计单位和施工单位组成联合体的工程总承包单位主办方同时具有施工资质和设计资质的，工程总承包业绩既可当作设计业绩也可当作施工业绩使用，非主办方的工程总承包的业绩按联合体协议中分工所承担的工作进行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 w:hRule="atLeast"/>
        </w:trPr>
        <w:tc>
          <w:tcPr>
            <w:tcW w:w="895" w:type="dxa"/>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890" w:type="dxa"/>
            <w:gridSpan w:val="2"/>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2096"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color w:val="auto"/>
                <w:szCs w:val="21"/>
              </w:rPr>
            </w:pPr>
          </w:p>
          <w:p>
            <w:pPr>
              <w:adjustRightInd w:val="0"/>
              <w:snapToGrid w:val="0"/>
              <w:jc w:val="left"/>
              <w:rPr>
                <w:rFonts w:ascii="宋体" w:hAnsi="宋体" w:cs="宋体"/>
                <w:color w:val="auto"/>
                <w:szCs w:val="21"/>
              </w:rPr>
            </w:pPr>
            <w:r>
              <w:rPr>
                <w:rFonts w:hint="eastAsia" w:ascii="宋体" w:hAnsi="宋体" w:cs="宋体"/>
                <w:color w:val="auto"/>
                <w:szCs w:val="21"/>
              </w:rPr>
              <w:t>企业获奖（</w:t>
            </w:r>
            <w:r>
              <w:rPr>
                <w:rFonts w:ascii="宋体" w:hAnsi="宋体" w:cs="宋体"/>
                <w:color w:val="auto"/>
                <w:szCs w:val="21"/>
              </w:rPr>
              <w:t>12</w:t>
            </w:r>
          </w:p>
          <w:p>
            <w:pPr>
              <w:adjustRightInd w:val="0"/>
              <w:snapToGrid w:val="0"/>
              <w:jc w:val="left"/>
              <w:rPr>
                <w:rFonts w:ascii="宋体" w:hAnsi="宋体" w:cs="宋体"/>
                <w:color w:val="auto"/>
                <w:szCs w:val="21"/>
              </w:rPr>
            </w:pPr>
            <w:r>
              <w:rPr>
                <w:rFonts w:hint="eastAsia" w:ascii="宋体" w:hAnsi="宋体" w:cs="宋体"/>
                <w:color w:val="auto"/>
                <w:szCs w:val="21"/>
              </w:rPr>
              <w:t>分）</w:t>
            </w:r>
          </w:p>
        </w:tc>
        <w:tc>
          <w:tcPr>
            <w:tcW w:w="6575" w:type="dxa"/>
            <w:tcBorders>
              <w:top w:val="single" w:color="auto" w:sz="4" w:space="0"/>
              <w:left w:val="single" w:color="auto" w:sz="4" w:space="0"/>
              <w:right w:val="single" w:color="auto" w:sz="4" w:space="0"/>
            </w:tcBorders>
            <w:vAlign w:val="center"/>
          </w:tcPr>
          <w:p>
            <w:pPr>
              <w:rPr>
                <w:rFonts w:ascii="宋体" w:hAnsi="宋体"/>
                <w:color w:val="auto"/>
                <w:szCs w:val="21"/>
              </w:rPr>
            </w:pPr>
            <w:r>
              <w:rPr>
                <w:rFonts w:ascii="宋体" w:hAnsi="Courier New"/>
                <w:color w:val="auto"/>
                <w:kern w:val="0"/>
                <w:sz w:val="20"/>
                <w:szCs w:val="20"/>
              </w:rPr>
              <w:t>(1)</w:t>
            </w:r>
            <w:r>
              <w:rPr>
                <w:rFonts w:hint="eastAsia" w:ascii="宋体" w:hAnsi="宋体"/>
                <w:color w:val="auto"/>
                <w:szCs w:val="21"/>
              </w:rPr>
              <w:t>投标人（</w:t>
            </w:r>
            <w:r>
              <w:rPr>
                <w:rFonts w:hint="eastAsia" w:ascii="宋体" w:hAnsi="宋体" w:cs="宋体"/>
                <w:color w:val="auto"/>
                <w:szCs w:val="21"/>
              </w:rPr>
              <w:t>联合体投标时</w:t>
            </w:r>
            <w:r>
              <w:rPr>
                <w:rFonts w:hint="eastAsia" w:ascii="宋体" w:hAnsi="宋体"/>
                <w:color w:val="auto"/>
                <w:szCs w:val="21"/>
              </w:rPr>
              <w:t>，由联合体主办方提供）自2019年1月1日起至投标截止时间止，承接的水利或者园林绿化施工项目获得过工程质量奖：</w:t>
            </w:r>
          </w:p>
          <w:p>
            <w:pPr>
              <w:rPr>
                <w:rFonts w:ascii="宋体" w:hAnsi="宋体"/>
                <w:color w:val="auto"/>
                <w:szCs w:val="21"/>
              </w:rPr>
            </w:pPr>
            <w:r>
              <w:rPr>
                <w:rFonts w:hint="eastAsia" w:ascii="宋体" w:hAnsi="宋体"/>
                <w:color w:val="auto"/>
                <w:szCs w:val="21"/>
              </w:rPr>
              <w:t>1)国家级奖项，每项得</w:t>
            </w:r>
            <w:r>
              <w:rPr>
                <w:rFonts w:ascii="宋体" w:hAnsi="宋体"/>
                <w:color w:val="auto"/>
                <w:szCs w:val="21"/>
              </w:rPr>
              <w:t>6</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2)省级奖项，每项得</w:t>
            </w:r>
            <w:r>
              <w:rPr>
                <w:rFonts w:ascii="宋体" w:hAnsi="宋体"/>
                <w:color w:val="auto"/>
                <w:szCs w:val="21"/>
              </w:rPr>
              <w:t>3</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3)市级</w:t>
            </w:r>
            <w:r>
              <w:rPr>
                <w:rFonts w:hint="eastAsia" w:ascii="宋体" w:hAnsi="宋体" w:cs="宋体"/>
                <w:color w:val="auto"/>
                <w:szCs w:val="21"/>
              </w:rPr>
              <w:t>(含副省级)</w:t>
            </w:r>
            <w:r>
              <w:rPr>
                <w:rFonts w:hint="eastAsia" w:ascii="宋体" w:hAnsi="宋体"/>
                <w:color w:val="auto"/>
                <w:szCs w:val="21"/>
              </w:rPr>
              <w:t>奖项，每项得</w:t>
            </w:r>
            <w:r>
              <w:rPr>
                <w:rFonts w:ascii="宋体" w:hAnsi="宋体"/>
                <w:color w:val="auto"/>
                <w:szCs w:val="21"/>
              </w:rPr>
              <w:t>1</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本项合计最高得</w:t>
            </w:r>
            <w:r>
              <w:rPr>
                <w:rFonts w:ascii="宋体" w:hAnsi="宋体"/>
                <w:color w:val="auto"/>
                <w:szCs w:val="21"/>
              </w:rPr>
              <w:t>6</w:t>
            </w:r>
            <w:r>
              <w:rPr>
                <w:rFonts w:hint="eastAsia" w:ascii="宋体" w:hAnsi="宋体"/>
                <w:color w:val="auto"/>
                <w:szCs w:val="21"/>
              </w:rPr>
              <w:t>分。</w:t>
            </w:r>
          </w:p>
          <w:p>
            <w:pPr>
              <w:rPr>
                <w:rFonts w:ascii="宋体" w:hAnsi="宋体" w:cs="宋体"/>
                <w:color w:val="auto"/>
                <w:szCs w:val="21"/>
              </w:rPr>
            </w:pPr>
            <w:r>
              <w:rPr>
                <w:rFonts w:ascii="宋体" w:hAnsi="Courier New"/>
                <w:color w:val="auto"/>
                <w:kern w:val="0"/>
                <w:sz w:val="20"/>
                <w:szCs w:val="20"/>
              </w:rPr>
              <w:t>(2)</w:t>
            </w:r>
            <w:r>
              <w:rPr>
                <w:rFonts w:hint="eastAsia" w:ascii="宋体" w:hAnsi="宋体" w:cs="宋体"/>
                <w:color w:val="auto"/>
                <w:szCs w:val="21"/>
              </w:rPr>
              <w:t>投标人（联合体投标时，</w:t>
            </w:r>
            <w:r>
              <w:rPr>
                <w:rFonts w:hint="eastAsia" w:ascii="宋体" w:hAnsi="宋体"/>
                <w:color w:val="auto"/>
                <w:szCs w:val="21"/>
              </w:rPr>
              <w:t>由联合体设计方提供</w:t>
            </w:r>
            <w:r>
              <w:rPr>
                <w:rFonts w:hint="eastAsia" w:ascii="宋体" w:hAnsi="宋体" w:cs="宋体"/>
                <w:color w:val="auto"/>
                <w:szCs w:val="21"/>
              </w:rPr>
              <w:t>）自</w:t>
            </w:r>
            <w:r>
              <w:rPr>
                <w:rFonts w:hint="eastAsia" w:ascii="宋体" w:hAnsi="宋体"/>
                <w:color w:val="auto"/>
                <w:szCs w:val="21"/>
              </w:rPr>
              <w:t>2019</w:t>
            </w:r>
            <w:r>
              <w:rPr>
                <w:rFonts w:hint="eastAsia" w:ascii="宋体" w:hAnsi="宋体" w:cs="宋体"/>
                <w:color w:val="auto"/>
                <w:szCs w:val="21"/>
              </w:rPr>
              <w:t>年1月1日</w:t>
            </w:r>
            <w:r>
              <w:rPr>
                <w:rFonts w:hint="eastAsia" w:ascii="宋体" w:hAnsi="宋体"/>
                <w:color w:val="auto"/>
                <w:szCs w:val="21"/>
              </w:rPr>
              <w:t>起至投标截止时间止</w:t>
            </w:r>
            <w:r>
              <w:rPr>
                <w:rFonts w:hint="eastAsia" w:ascii="宋体" w:hAnsi="宋体" w:cs="宋体"/>
                <w:color w:val="auto"/>
                <w:szCs w:val="21"/>
              </w:rPr>
              <w:t>，承接的</w:t>
            </w:r>
            <w:r>
              <w:rPr>
                <w:rFonts w:hint="eastAsia" w:ascii="宋体" w:hAnsi="宋体"/>
                <w:color w:val="auto"/>
                <w:szCs w:val="21"/>
              </w:rPr>
              <w:t>水利或者园林绿化设计</w:t>
            </w:r>
            <w:r>
              <w:rPr>
                <w:rFonts w:hint="eastAsia" w:ascii="宋体" w:hAnsi="宋体" w:cs="宋体"/>
                <w:color w:val="auto"/>
                <w:szCs w:val="21"/>
              </w:rPr>
              <w:t>项目：</w:t>
            </w:r>
          </w:p>
          <w:p>
            <w:pPr>
              <w:rPr>
                <w:rFonts w:ascii="宋体" w:hAnsi="宋体" w:cs="宋体"/>
                <w:color w:val="auto"/>
                <w:szCs w:val="21"/>
              </w:rPr>
            </w:pPr>
            <w:r>
              <w:rPr>
                <w:rFonts w:hint="eastAsia" w:ascii="宋体" w:hAnsi="宋体" w:cs="宋体"/>
                <w:color w:val="auto"/>
                <w:szCs w:val="21"/>
              </w:rPr>
              <w:t>1）获得国家级的奖项的，每项得</w:t>
            </w:r>
            <w:r>
              <w:rPr>
                <w:rFonts w:ascii="宋体" w:hAnsi="宋体" w:cs="宋体"/>
                <w:color w:val="auto"/>
                <w:szCs w:val="21"/>
              </w:rPr>
              <w:t>6</w:t>
            </w:r>
            <w:r>
              <w:rPr>
                <w:rFonts w:hint="eastAsia" w:ascii="宋体" w:hAnsi="宋体" w:cs="宋体"/>
                <w:color w:val="auto"/>
                <w:szCs w:val="21"/>
              </w:rPr>
              <w:t>分。</w:t>
            </w:r>
          </w:p>
          <w:p>
            <w:pPr>
              <w:rPr>
                <w:rFonts w:ascii="宋体" w:hAnsi="宋体" w:cstheme="minorBidi"/>
                <w:color w:val="auto"/>
                <w:szCs w:val="21"/>
              </w:rPr>
            </w:pPr>
            <w:r>
              <w:rPr>
                <w:rFonts w:hint="eastAsia" w:ascii="宋体" w:hAnsi="宋体" w:cs="宋体"/>
                <w:color w:val="auto"/>
                <w:szCs w:val="21"/>
              </w:rPr>
              <w:t>2）获得省级奖项的，每项得</w:t>
            </w:r>
            <w:r>
              <w:rPr>
                <w:rFonts w:ascii="宋体" w:hAnsi="宋体" w:cs="宋体"/>
                <w:color w:val="auto"/>
                <w:szCs w:val="21"/>
              </w:rPr>
              <w:t>3</w:t>
            </w:r>
            <w:r>
              <w:rPr>
                <w:rFonts w:hint="eastAsia" w:ascii="宋体" w:hAnsi="宋体" w:cs="宋体"/>
                <w:color w:val="auto"/>
                <w:szCs w:val="21"/>
              </w:rPr>
              <w:t>分。</w:t>
            </w:r>
          </w:p>
          <w:p>
            <w:pPr>
              <w:rPr>
                <w:rFonts w:ascii="宋体" w:hAnsi="宋体" w:cs="宋体"/>
                <w:color w:val="auto"/>
                <w:szCs w:val="21"/>
              </w:rPr>
            </w:pPr>
            <w:r>
              <w:rPr>
                <w:rFonts w:hint="eastAsia" w:ascii="宋体" w:hAnsi="宋体" w:cs="宋体"/>
                <w:color w:val="auto"/>
                <w:szCs w:val="21"/>
              </w:rPr>
              <w:t>3）获得市级(含副省级)奖项的，每项得</w:t>
            </w:r>
            <w:r>
              <w:rPr>
                <w:rFonts w:ascii="宋体" w:hAnsi="宋体" w:cs="宋体"/>
                <w:color w:val="auto"/>
                <w:szCs w:val="21"/>
              </w:rPr>
              <w:t>1</w:t>
            </w:r>
            <w:r>
              <w:rPr>
                <w:rFonts w:hint="eastAsia" w:ascii="宋体" w:hAnsi="宋体" w:cs="宋体"/>
                <w:color w:val="auto"/>
                <w:szCs w:val="21"/>
              </w:rPr>
              <w:t xml:space="preserve">分。 </w:t>
            </w:r>
          </w:p>
          <w:p>
            <w:pPr>
              <w:rPr>
                <w:rFonts w:ascii="宋体" w:hAnsi="宋体" w:cs="宋体"/>
                <w:color w:val="auto"/>
                <w:szCs w:val="21"/>
              </w:rPr>
            </w:pPr>
            <w:r>
              <w:rPr>
                <w:rFonts w:hint="eastAsia" w:ascii="宋体" w:hAnsi="宋体" w:cs="宋体"/>
                <w:color w:val="auto"/>
                <w:szCs w:val="21"/>
              </w:rPr>
              <w:t>本项合计最多得</w:t>
            </w:r>
            <w:r>
              <w:rPr>
                <w:rFonts w:ascii="宋体" w:hAnsi="宋体" w:cs="宋体"/>
                <w:color w:val="auto"/>
                <w:szCs w:val="21"/>
              </w:rPr>
              <w:t>6</w:t>
            </w:r>
            <w:r>
              <w:rPr>
                <w:rFonts w:hint="eastAsia" w:ascii="宋体" w:hAnsi="宋体" w:cs="宋体"/>
                <w:color w:val="auto"/>
                <w:szCs w:val="21"/>
              </w:rPr>
              <w:t xml:space="preserve">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48" w:hRule="atLeast"/>
        </w:trPr>
        <w:tc>
          <w:tcPr>
            <w:tcW w:w="895" w:type="dxa"/>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890" w:type="dxa"/>
            <w:gridSpan w:val="2"/>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2096"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科技创新成果指标</w:t>
            </w:r>
          </w:p>
          <w:p>
            <w:pPr>
              <w:pStyle w:val="2"/>
              <w:adjustRightInd w:val="0"/>
              <w:snapToGrid w:val="0"/>
              <w:jc w:val="left"/>
              <w:rPr>
                <w:rFonts w:hAnsi="宋体" w:cs="宋体"/>
                <w:color w:val="auto"/>
                <w:sz w:val="21"/>
                <w:szCs w:val="21"/>
              </w:rPr>
            </w:pPr>
            <w:r>
              <w:rPr>
                <w:rFonts w:hint="eastAsia" w:hAnsi="宋体" w:cs="宋体"/>
                <w:color w:val="auto"/>
                <w:sz w:val="21"/>
                <w:szCs w:val="21"/>
              </w:rPr>
              <w:t>（</w:t>
            </w:r>
            <w:r>
              <w:rPr>
                <w:rFonts w:hAnsi="宋体" w:cs="宋体"/>
                <w:color w:val="auto"/>
                <w:sz w:val="21"/>
                <w:szCs w:val="21"/>
              </w:rPr>
              <w:t>20</w:t>
            </w:r>
            <w:r>
              <w:rPr>
                <w:rFonts w:hint="eastAsia" w:hAnsi="宋体" w:cs="宋体"/>
                <w:color w:val="auto"/>
                <w:sz w:val="21"/>
                <w:szCs w:val="21"/>
              </w:rPr>
              <w:t>分）</w:t>
            </w:r>
          </w:p>
        </w:tc>
        <w:tc>
          <w:tcPr>
            <w:tcW w:w="6575" w:type="dxa"/>
            <w:tcBorders>
              <w:top w:val="single" w:color="auto" w:sz="4" w:space="0"/>
              <w:left w:val="single" w:color="auto" w:sz="4" w:space="0"/>
              <w:bottom w:val="single" w:color="auto" w:sz="4" w:space="0"/>
              <w:right w:val="single" w:color="auto" w:sz="4" w:space="0"/>
            </w:tcBorders>
            <w:vAlign w:val="center"/>
          </w:tcPr>
          <w:p>
            <w:pPr>
              <w:pStyle w:val="2"/>
              <w:rPr>
                <w:color w:val="auto"/>
              </w:rPr>
            </w:pPr>
            <w:r>
              <w:rPr>
                <w:rFonts w:hint="eastAsia"/>
                <w:color w:val="auto"/>
              </w:rPr>
              <w:t>投标人(若为联合体，由联合体主办方提供)自20</w:t>
            </w:r>
            <w:r>
              <w:rPr>
                <w:color w:val="auto"/>
              </w:rPr>
              <w:t>19</w:t>
            </w:r>
            <w:r>
              <w:rPr>
                <w:rFonts w:hint="eastAsia"/>
                <w:color w:val="auto"/>
              </w:rPr>
              <w:t>年1月1日起至投标截止时间止获得过市级（含副省级）或以上工程建设类科学技术奖：</w:t>
            </w:r>
          </w:p>
          <w:p>
            <w:pPr>
              <w:pStyle w:val="2"/>
              <w:rPr>
                <w:color w:val="auto"/>
              </w:rPr>
            </w:pPr>
            <w:r>
              <w:rPr>
                <w:rFonts w:hint="eastAsia"/>
                <w:color w:val="auto"/>
              </w:rPr>
              <w:t>①国家级，每个得4分，本小项最多得2</w:t>
            </w:r>
            <w:r>
              <w:rPr>
                <w:color w:val="auto"/>
              </w:rPr>
              <w:t>0</w:t>
            </w:r>
            <w:r>
              <w:rPr>
                <w:rFonts w:hint="eastAsia"/>
                <w:color w:val="auto"/>
              </w:rPr>
              <w:t>分。</w:t>
            </w:r>
          </w:p>
          <w:p>
            <w:pPr>
              <w:rPr>
                <w:rFonts w:ascii="宋体" w:hAnsi="Courier New"/>
                <w:color w:val="auto"/>
                <w:kern w:val="0"/>
                <w:sz w:val="20"/>
                <w:szCs w:val="20"/>
              </w:rPr>
            </w:pPr>
            <w:r>
              <w:rPr>
                <w:rFonts w:hint="eastAsia" w:ascii="宋体" w:hAnsi="Courier New"/>
                <w:color w:val="auto"/>
                <w:kern w:val="0"/>
                <w:sz w:val="20"/>
                <w:szCs w:val="20"/>
              </w:rPr>
              <w:t>②省级，每个得2分，本小项最多得10分。</w:t>
            </w:r>
          </w:p>
          <w:p>
            <w:pPr>
              <w:pStyle w:val="2"/>
              <w:rPr>
                <w:color w:val="auto"/>
              </w:rPr>
            </w:pPr>
            <w:r>
              <w:rPr>
                <w:rFonts w:hint="eastAsia"/>
                <w:color w:val="auto"/>
              </w:rPr>
              <w:t>③市级（含副省级），每个得1分，本小项最多得5分。</w:t>
            </w:r>
          </w:p>
          <w:p>
            <w:pPr>
              <w:pStyle w:val="2"/>
              <w:rPr>
                <w:rFonts w:hAnsi="宋体"/>
                <w:color w:val="auto"/>
                <w:szCs w:val="21"/>
              </w:rPr>
            </w:pPr>
            <w:r>
              <w:rPr>
                <w:rFonts w:hint="eastAsia" w:hAnsi="宋体" w:cs="宋体"/>
                <w:color w:val="auto"/>
                <w:szCs w:val="21"/>
              </w:rPr>
              <w:t>本项合计最多得</w:t>
            </w:r>
            <w:r>
              <w:rPr>
                <w:rFonts w:hAnsi="宋体" w:cs="宋体"/>
                <w:color w:val="auto"/>
                <w:szCs w:val="21"/>
              </w:rPr>
              <w:t>20</w:t>
            </w:r>
            <w:r>
              <w:rPr>
                <w:rFonts w:hint="eastAsia" w:hAnsi="宋体" w:cs="宋体"/>
                <w:color w:val="auto"/>
                <w:szCs w:val="21"/>
              </w:rPr>
              <w:t>分，</w:t>
            </w:r>
            <w:r>
              <w:rPr>
                <w:rFonts w:hint="eastAsia"/>
                <w:color w:val="auto"/>
              </w:rPr>
              <w:t>没有不得分。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5" w:type="dxa"/>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890" w:type="dxa"/>
            <w:gridSpan w:val="2"/>
            <w:tcBorders>
              <w:right w:val="single" w:color="auto" w:sz="4" w:space="0"/>
            </w:tcBorders>
            <w:vAlign w:val="center"/>
          </w:tcPr>
          <w:p>
            <w:pPr>
              <w:adjustRightInd w:val="0"/>
              <w:snapToGrid w:val="0"/>
              <w:jc w:val="left"/>
              <w:rPr>
                <w:rFonts w:ascii="宋体" w:hAnsi="宋体" w:cs="宋体"/>
                <w:color w:val="auto"/>
                <w:szCs w:val="21"/>
              </w:rPr>
            </w:pPr>
          </w:p>
        </w:tc>
        <w:tc>
          <w:tcPr>
            <w:tcW w:w="2096" w:type="dxa"/>
            <w:tcBorders>
              <w:top w:val="single" w:color="auto" w:sz="4" w:space="0"/>
              <w:left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ascii="宋体" w:hAnsi="宋体" w:cs="宋体"/>
                <w:color w:val="auto"/>
                <w:szCs w:val="21"/>
              </w:rPr>
              <w:t>BIM</w:t>
            </w:r>
            <w:r>
              <w:rPr>
                <w:rFonts w:hint="eastAsia" w:ascii="宋体" w:hAnsi="宋体" w:cs="宋体"/>
                <w:color w:val="auto"/>
                <w:szCs w:val="21"/>
              </w:rPr>
              <w:t>应用类奖项(</w:t>
            </w:r>
            <w:r>
              <w:rPr>
                <w:rFonts w:ascii="宋体" w:hAnsi="宋体" w:cs="宋体"/>
                <w:color w:val="auto"/>
                <w:szCs w:val="21"/>
              </w:rPr>
              <w:t>6</w:t>
            </w:r>
            <w:r>
              <w:rPr>
                <w:rFonts w:hint="eastAsia" w:hAnsi="宋体" w:cs="宋体"/>
                <w:color w:val="auto"/>
                <w:szCs w:val="21"/>
              </w:rPr>
              <w:t>分）</w:t>
            </w:r>
          </w:p>
        </w:tc>
        <w:tc>
          <w:tcPr>
            <w:tcW w:w="65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投标人</w:t>
            </w:r>
            <w:r>
              <w:rPr>
                <w:rFonts w:hint="eastAsia"/>
                <w:color w:val="auto"/>
              </w:rPr>
              <w:t>(若为联合体，由联合体主办方提供)</w:t>
            </w:r>
            <w:r>
              <w:rPr>
                <w:rFonts w:hint="eastAsia" w:ascii="宋体" w:hAnsi="宋体" w:cs="宋体"/>
                <w:color w:val="auto"/>
                <w:szCs w:val="21"/>
              </w:rPr>
              <w:t>自2019年1月1日至今，获得省级或以上相关机构颁发的</w:t>
            </w:r>
            <w:r>
              <w:rPr>
                <w:rFonts w:ascii="宋体" w:hAnsi="宋体" w:cs="宋体"/>
                <w:color w:val="auto"/>
                <w:szCs w:val="21"/>
              </w:rPr>
              <w:t>BIM</w:t>
            </w:r>
            <w:r>
              <w:rPr>
                <w:rFonts w:hint="eastAsia" w:ascii="宋体" w:hAnsi="宋体" w:cs="宋体"/>
                <w:color w:val="auto"/>
                <w:szCs w:val="21"/>
              </w:rPr>
              <w:t>应用类奖项的，得6分。</w:t>
            </w:r>
          </w:p>
          <w:p>
            <w:pPr>
              <w:adjustRightInd w:val="0"/>
              <w:snapToGrid w:val="0"/>
              <w:jc w:val="left"/>
              <w:rPr>
                <w:rFonts w:ascii="宋体" w:hAnsi="宋体" w:cs="宋体"/>
                <w:color w:val="auto"/>
                <w:szCs w:val="21"/>
              </w:rPr>
            </w:pPr>
            <w:r>
              <w:rPr>
                <w:rFonts w:hint="eastAsia" w:ascii="宋体" w:hAnsi="宋体" w:cs="宋体"/>
                <w:color w:val="auto"/>
                <w:szCs w:val="21"/>
              </w:rPr>
              <w:t>注：</w:t>
            </w:r>
          </w:p>
          <w:p>
            <w:pPr>
              <w:adjustRightInd w:val="0"/>
              <w:snapToGrid w:val="0"/>
              <w:jc w:val="left"/>
              <w:rPr>
                <w:rFonts w:ascii="宋体" w:hAnsi="宋体" w:cs="宋体"/>
                <w:color w:val="auto"/>
                <w:szCs w:val="21"/>
              </w:rPr>
            </w:pPr>
            <w:r>
              <w:rPr>
                <w:rFonts w:hint="eastAsia" w:ascii="宋体" w:hAnsi="宋体" w:cs="宋体"/>
                <w:color w:val="auto"/>
                <w:szCs w:val="21"/>
              </w:rPr>
              <w:t>①须提供获奖证书扫描件，否则不得分，</w:t>
            </w:r>
            <w:r>
              <w:rPr>
                <w:rFonts w:hAnsi="宋体"/>
                <w:color w:val="auto"/>
                <w:szCs w:val="21"/>
              </w:rPr>
              <w:t>获奖时间以</w:t>
            </w:r>
            <w:r>
              <w:rPr>
                <w:rFonts w:hint="eastAsia" w:hAnsi="宋体" w:cs="宋体"/>
                <w:color w:val="auto"/>
                <w:szCs w:val="21"/>
              </w:rPr>
              <w:t>获奖证书颁发日期或</w:t>
            </w:r>
            <w:r>
              <w:rPr>
                <w:rFonts w:hAnsi="宋体"/>
                <w:color w:val="auto"/>
                <w:szCs w:val="21"/>
              </w:rPr>
              <w:t>发证日期为准</w:t>
            </w:r>
            <w:r>
              <w:rPr>
                <w:rFonts w:hint="eastAsia" w:ascii="宋体" w:hAnsi="宋体" w:cs="宋体"/>
                <w:color w:val="auto"/>
                <w:szCs w:val="21"/>
              </w:rPr>
              <w:t>。</w:t>
            </w:r>
          </w:p>
          <w:p>
            <w:pPr>
              <w:spacing w:line="276" w:lineRule="auto"/>
              <w:rPr>
                <w:color w:val="auto"/>
              </w:rPr>
            </w:pPr>
            <w:r>
              <w:rPr>
                <w:rFonts w:hint="eastAsia" w:ascii="宋体" w:hAnsi="宋体" w:cs="宋体"/>
                <w:color w:val="auto"/>
                <w:szCs w:val="21"/>
              </w:rPr>
              <w:t>②若颁发机构为非政府相关部门，同时须提供其在“中国社会组织政务服务平台”有登记的（网址</w:t>
            </w:r>
            <w:r>
              <w:rPr>
                <w:rFonts w:ascii="宋体" w:hAnsi="宋体" w:cs="宋体"/>
                <w:color w:val="auto"/>
                <w:szCs w:val="21"/>
              </w:rPr>
              <w:t>https://chinanpo.mca.gov.cn/）查询结果的网页信息截图。本项只计算投标人自身（不计算投标人的分公司、子公司和分支机构），不提供和不齐全均不得分。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5" w:type="dxa"/>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890" w:type="dxa"/>
            <w:gridSpan w:val="2"/>
            <w:vMerge w:val="restart"/>
            <w:tcBorders>
              <w:top w:val="single" w:color="auto" w:sz="4" w:space="0"/>
              <w:right w:val="single" w:color="auto" w:sz="4" w:space="0"/>
            </w:tcBorders>
            <w:vAlign w:val="center"/>
          </w:tcPr>
          <w:p>
            <w:pPr>
              <w:pStyle w:val="2"/>
              <w:adjustRightInd w:val="0"/>
              <w:snapToGrid w:val="0"/>
              <w:jc w:val="left"/>
              <w:rPr>
                <w:rFonts w:hAnsi="宋体" w:cs="宋体"/>
                <w:color w:val="auto"/>
                <w:kern w:val="2"/>
                <w:sz w:val="21"/>
                <w:szCs w:val="21"/>
              </w:rPr>
            </w:pPr>
            <w:r>
              <w:rPr>
                <w:rFonts w:hint="eastAsia" w:hAnsi="宋体" w:cs="宋体"/>
                <w:color w:val="auto"/>
                <w:kern w:val="2"/>
                <w:sz w:val="21"/>
                <w:szCs w:val="21"/>
              </w:rPr>
              <w:t>工程实施方案</w:t>
            </w:r>
          </w:p>
          <w:p>
            <w:pPr>
              <w:pStyle w:val="2"/>
              <w:adjustRightInd w:val="0"/>
              <w:snapToGrid w:val="0"/>
              <w:jc w:val="left"/>
              <w:rPr>
                <w:rFonts w:hAnsi="宋体" w:cs="宋体"/>
                <w:color w:val="auto"/>
                <w:kern w:val="2"/>
                <w:sz w:val="21"/>
                <w:szCs w:val="21"/>
              </w:rPr>
            </w:pPr>
            <w:r>
              <w:rPr>
                <w:rFonts w:hint="eastAsia" w:hAnsi="宋体" w:cs="宋体"/>
                <w:color w:val="auto"/>
                <w:kern w:val="2"/>
                <w:sz w:val="21"/>
                <w:szCs w:val="21"/>
              </w:rPr>
              <w:t>（</w:t>
            </w:r>
            <w:r>
              <w:rPr>
                <w:rFonts w:hAnsi="宋体" w:cs="宋体"/>
                <w:color w:val="auto"/>
                <w:kern w:val="2"/>
                <w:sz w:val="21"/>
                <w:szCs w:val="21"/>
              </w:rPr>
              <w:t>50分）</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设计和施工融合措施（18分）</w:t>
            </w:r>
          </w:p>
        </w:tc>
        <w:tc>
          <w:tcPr>
            <w:tcW w:w="6575"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宋体" w:hAnsi="宋体" w:cs="宋体"/>
                <w:color w:val="auto"/>
                <w:szCs w:val="21"/>
              </w:rPr>
            </w:pPr>
            <w:r>
              <w:rPr>
                <w:rFonts w:hint="eastAsia" w:ascii="宋体" w:hAnsi="宋体" w:cs="宋体"/>
                <w:color w:val="auto"/>
                <w:szCs w:val="21"/>
              </w:rPr>
              <w:t>根据本项目特点以及初步设计成果，利用BIM模型，进行施工工艺措施及施工组织设计模拟，针对本项目从设计、协调和施工安排上论述安全措施和施工进度计划，达到提高工程建设质量的效果，各投标人横向评比按等级打分。</w:t>
            </w:r>
          </w:p>
          <w:p>
            <w:pPr>
              <w:spacing w:line="276" w:lineRule="auto"/>
              <w:jc w:val="left"/>
              <w:rPr>
                <w:rFonts w:ascii="宋体" w:hAnsi="宋体" w:cs="宋体"/>
                <w:color w:val="auto"/>
                <w:szCs w:val="21"/>
              </w:rPr>
            </w:pPr>
            <w:r>
              <w:rPr>
                <w:rFonts w:hint="eastAsia" w:ascii="宋体" w:hAnsi="宋体" w:cs="宋体"/>
                <w:color w:val="auto"/>
                <w:szCs w:val="21"/>
              </w:rPr>
              <w:t>优得18分，良得9分，一般得6分。</w:t>
            </w:r>
          </w:p>
          <w:p>
            <w:pPr>
              <w:spacing w:line="276" w:lineRule="auto"/>
              <w:jc w:val="left"/>
              <w:rPr>
                <w:rFonts w:ascii="宋体" w:hAnsi="宋体" w:cs="宋体"/>
                <w:color w:val="auto"/>
                <w:szCs w:val="21"/>
              </w:rPr>
            </w:pPr>
            <w:r>
              <w:rPr>
                <w:rFonts w:hint="eastAsia" w:ascii="宋体" w:hAnsi="宋体" w:cs="宋体"/>
                <w:color w:val="auto"/>
                <w:szCs w:val="21"/>
              </w:rPr>
              <w:t>注：投标人须提供BIM模型视频演示，视频演示以U盘形式在投标截止时间前单独密封递交至开标室，未递交的u盘或u盘不能成功播放的投标单位，该项不得分。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5" w:type="dxa"/>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890" w:type="dxa"/>
            <w:gridSpan w:val="2"/>
            <w:vMerge w:val="continue"/>
            <w:tcBorders>
              <w:right w:val="single" w:color="auto" w:sz="4" w:space="0"/>
            </w:tcBorders>
            <w:vAlign w:val="center"/>
          </w:tcPr>
          <w:p>
            <w:pPr>
              <w:pStyle w:val="2"/>
              <w:adjustRightInd w:val="0"/>
              <w:snapToGrid w:val="0"/>
              <w:jc w:val="left"/>
              <w:rPr>
                <w:rFonts w:hAnsi="宋体" w:cs="宋体"/>
                <w:color w:val="auto"/>
                <w:kern w:val="2"/>
                <w:sz w:val="21"/>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绿色节能控制措施（3分）</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olor w:val="auto"/>
                <w:szCs w:val="21"/>
              </w:rPr>
              <w:t>有绿色节能控制措施，投标人承诺按：若承接本项目，将按工地绿色施工（即“节材、节水、节能、节地和工地环保”，概括为“四节一环保”）工作，加强建设工程精细化、标准化管理，积极推进工地绿色施工工作，承诺优先使用绿色达标企业的混凝土及措施的，得3分；无绿色节能控制措施或无相关承诺或者承诺不完整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5" w:type="dxa"/>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890" w:type="dxa"/>
            <w:gridSpan w:val="2"/>
            <w:vMerge w:val="continue"/>
            <w:tcBorders>
              <w:right w:val="single" w:color="auto" w:sz="4" w:space="0"/>
            </w:tcBorders>
            <w:vAlign w:val="center"/>
          </w:tcPr>
          <w:p>
            <w:pPr>
              <w:pStyle w:val="2"/>
              <w:adjustRightInd w:val="0"/>
              <w:snapToGrid w:val="0"/>
              <w:jc w:val="left"/>
              <w:rPr>
                <w:rFonts w:hAnsi="宋体" w:cs="宋体"/>
                <w:color w:val="auto"/>
                <w:kern w:val="2"/>
                <w:sz w:val="21"/>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安全控制措施（</w:t>
            </w:r>
            <w:r>
              <w:rPr>
                <w:rFonts w:ascii="宋体" w:hAnsi="宋体"/>
                <w:color w:val="auto"/>
                <w:szCs w:val="21"/>
              </w:rPr>
              <w:t>4</w:t>
            </w:r>
            <w:r>
              <w:rPr>
                <w:rFonts w:hint="eastAsia" w:ascii="宋体" w:hAnsi="宋体"/>
                <w:color w:val="auto"/>
                <w:szCs w:val="21"/>
              </w:rPr>
              <w:t>分</w:t>
            </w:r>
            <w:r>
              <w:rPr>
                <w:rFonts w:hint="eastAsia" w:ascii="宋体" w:hAnsi="宋体" w:cs="宋体"/>
                <w:color w:val="auto"/>
                <w:szCs w:val="21"/>
              </w:rPr>
              <w:t>）</w:t>
            </w:r>
          </w:p>
        </w:tc>
        <w:tc>
          <w:tcPr>
            <w:tcW w:w="6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（1）安全管理目标；</w:t>
            </w:r>
          </w:p>
          <w:p>
            <w:pPr>
              <w:rPr>
                <w:rFonts w:ascii="宋体" w:hAnsi="宋体"/>
                <w:color w:val="auto"/>
                <w:szCs w:val="21"/>
              </w:rPr>
            </w:pPr>
            <w:r>
              <w:rPr>
                <w:rFonts w:hint="eastAsia" w:ascii="宋体" w:hAnsi="宋体"/>
                <w:color w:val="auto"/>
                <w:szCs w:val="21"/>
              </w:rPr>
              <w:t>（2）安全管理体系及组织机构；</w:t>
            </w:r>
          </w:p>
          <w:p>
            <w:pPr>
              <w:rPr>
                <w:rFonts w:ascii="宋体" w:hAnsi="宋体"/>
                <w:color w:val="auto"/>
                <w:szCs w:val="21"/>
              </w:rPr>
            </w:pPr>
            <w:r>
              <w:rPr>
                <w:rFonts w:hint="eastAsia" w:ascii="宋体" w:hAnsi="宋体"/>
                <w:color w:val="auto"/>
                <w:szCs w:val="21"/>
              </w:rPr>
              <w:t>（3）安全保证措施；</w:t>
            </w:r>
          </w:p>
          <w:p>
            <w:pPr>
              <w:rPr>
                <w:rFonts w:ascii="宋体" w:hAnsi="宋体"/>
                <w:color w:val="auto"/>
                <w:szCs w:val="21"/>
              </w:rPr>
            </w:pPr>
            <w:r>
              <w:rPr>
                <w:rFonts w:hint="eastAsia" w:ascii="宋体" w:hAnsi="宋体"/>
                <w:color w:val="auto"/>
                <w:szCs w:val="21"/>
              </w:rPr>
              <w:t>（4）应急预案；</w:t>
            </w:r>
          </w:p>
          <w:p>
            <w:pPr>
              <w:adjustRightInd w:val="0"/>
              <w:snapToGrid w:val="0"/>
              <w:jc w:val="left"/>
              <w:rPr>
                <w:rFonts w:ascii="宋体" w:hAnsi="宋体" w:cs="宋体"/>
                <w:color w:val="auto"/>
                <w:szCs w:val="21"/>
              </w:rPr>
            </w:pPr>
            <w:r>
              <w:rPr>
                <w:rFonts w:hint="eastAsia" w:ascii="宋体" w:hAnsi="宋体"/>
                <w:color w:val="auto"/>
                <w:szCs w:val="21"/>
              </w:rPr>
              <w:t>每具有一小项得</w:t>
            </w:r>
            <w:r>
              <w:rPr>
                <w:rFonts w:ascii="宋体" w:hAnsi="宋体"/>
                <w:color w:val="auto"/>
                <w:szCs w:val="21"/>
              </w:rPr>
              <w:t>1</w:t>
            </w:r>
            <w:r>
              <w:rPr>
                <w:rFonts w:hint="eastAsia" w:ascii="宋体" w:hAnsi="宋体"/>
                <w:color w:val="auto"/>
                <w:szCs w:val="21"/>
              </w:rPr>
              <w:t>分，本项满分</w:t>
            </w:r>
            <w:r>
              <w:rPr>
                <w:rFonts w:ascii="宋体" w:hAnsi="宋体"/>
                <w:color w:val="auto"/>
                <w:szCs w:val="21"/>
              </w:rPr>
              <w:t>4</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5" w:type="dxa"/>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890" w:type="dxa"/>
            <w:gridSpan w:val="2"/>
            <w:vMerge w:val="continue"/>
            <w:tcBorders>
              <w:right w:val="single" w:color="auto" w:sz="4" w:space="0"/>
            </w:tcBorders>
            <w:vAlign w:val="center"/>
          </w:tcPr>
          <w:p>
            <w:pPr>
              <w:pStyle w:val="2"/>
              <w:adjustRightInd w:val="0"/>
              <w:snapToGrid w:val="0"/>
              <w:jc w:val="left"/>
              <w:rPr>
                <w:rFonts w:hAnsi="宋体" w:cs="宋体"/>
                <w:color w:val="auto"/>
                <w:kern w:val="2"/>
                <w:sz w:val="21"/>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质量控制措施（</w:t>
            </w:r>
            <w:r>
              <w:rPr>
                <w:rFonts w:ascii="宋体" w:hAnsi="宋体" w:cs="宋体"/>
                <w:color w:val="auto"/>
                <w:szCs w:val="21"/>
              </w:rPr>
              <w:t>3</w:t>
            </w:r>
            <w:r>
              <w:rPr>
                <w:rFonts w:hint="eastAsia" w:ascii="宋体" w:hAnsi="宋体" w:cs="宋体"/>
                <w:color w:val="auto"/>
                <w:szCs w:val="21"/>
              </w:rPr>
              <w:t>分）</w:t>
            </w:r>
          </w:p>
        </w:tc>
        <w:tc>
          <w:tcPr>
            <w:tcW w:w="6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（1）质量方针目标及标准；</w:t>
            </w:r>
          </w:p>
          <w:p>
            <w:pPr>
              <w:rPr>
                <w:rFonts w:ascii="宋体" w:hAnsi="宋体"/>
                <w:color w:val="auto"/>
                <w:szCs w:val="21"/>
              </w:rPr>
            </w:pPr>
            <w:r>
              <w:rPr>
                <w:rFonts w:hint="eastAsia" w:ascii="宋体" w:hAnsi="宋体"/>
                <w:color w:val="auto"/>
                <w:szCs w:val="21"/>
              </w:rPr>
              <w:t>（2）质量管理体系及组织机构；</w:t>
            </w:r>
          </w:p>
          <w:p>
            <w:pPr>
              <w:rPr>
                <w:rFonts w:ascii="宋体" w:hAnsi="宋体"/>
                <w:color w:val="auto"/>
                <w:szCs w:val="21"/>
              </w:rPr>
            </w:pPr>
            <w:r>
              <w:rPr>
                <w:rFonts w:hint="eastAsia" w:ascii="宋体" w:hAnsi="宋体"/>
                <w:color w:val="auto"/>
                <w:szCs w:val="21"/>
              </w:rPr>
              <w:t>（3）质量保证措施；</w:t>
            </w:r>
          </w:p>
          <w:p>
            <w:pPr>
              <w:adjustRightInd w:val="0"/>
              <w:snapToGrid w:val="0"/>
              <w:jc w:val="left"/>
              <w:rPr>
                <w:rFonts w:ascii="宋体" w:hAnsi="宋体" w:cs="宋体"/>
                <w:color w:val="auto"/>
                <w:szCs w:val="21"/>
              </w:rPr>
            </w:pPr>
            <w:r>
              <w:rPr>
                <w:rFonts w:hint="eastAsia" w:ascii="宋体" w:hAnsi="宋体"/>
                <w:color w:val="auto"/>
                <w:szCs w:val="21"/>
              </w:rPr>
              <w:t>每具有一小项得</w:t>
            </w:r>
            <w:r>
              <w:rPr>
                <w:rFonts w:ascii="宋体" w:hAnsi="宋体"/>
                <w:color w:val="auto"/>
                <w:szCs w:val="21"/>
              </w:rPr>
              <w:t>1</w:t>
            </w:r>
            <w:r>
              <w:rPr>
                <w:rFonts w:hint="eastAsia" w:ascii="宋体" w:hAnsi="宋体"/>
                <w:color w:val="auto"/>
                <w:szCs w:val="21"/>
              </w:rPr>
              <w:t>分，本项满分</w:t>
            </w:r>
            <w:r>
              <w:rPr>
                <w:rFonts w:ascii="宋体" w:hAnsi="宋体"/>
                <w:color w:val="auto"/>
                <w:szCs w:val="21"/>
              </w:rPr>
              <w:t>3</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95" w:type="dxa"/>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890" w:type="dxa"/>
            <w:gridSpan w:val="2"/>
            <w:vMerge w:val="continue"/>
            <w:tcBorders>
              <w:right w:val="single" w:color="auto" w:sz="4" w:space="0"/>
            </w:tcBorders>
            <w:vAlign w:val="center"/>
          </w:tcPr>
          <w:p>
            <w:pPr>
              <w:pStyle w:val="2"/>
              <w:adjustRightInd w:val="0"/>
              <w:snapToGrid w:val="0"/>
              <w:jc w:val="left"/>
              <w:rPr>
                <w:rFonts w:hAnsi="宋体" w:cs="宋体"/>
                <w:color w:val="auto"/>
                <w:kern w:val="2"/>
                <w:sz w:val="21"/>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进度控制措施（</w:t>
            </w:r>
            <w:r>
              <w:rPr>
                <w:rFonts w:ascii="宋体" w:hAnsi="宋体" w:cs="宋体"/>
                <w:color w:val="auto"/>
                <w:szCs w:val="21"/>
              </w:rPr>
              <w:t>3</w:t>
            </w:r>
            <w:r>
              <w:rPr>
                <w:rFonts w:hint="eastAsia" w:ascii="宋体" w:hAnsi="宋体" w:cs="宋体"/>
                <w:color w:val="auto"/>
                <w:szCs w:val="21"/>
              </w:rPr>
              <w:t>分）</w:t>
            </w:r>
          </w:p>
        </w:tc>
        <w:tc>
          <w:tcPr>
            <w:tcW w:w="6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（1）进度目标；</w:t>
            </w:r>
          </w:p>
          <w:p>
            <w:pPr>
              <w:rPr>
                <w:rFonts w:ascii="宋体" w:hAnsi="宋体"/>
                <w:color w:val="auto"/>
                <w:szCs w:val="21"/>
              </w:rPr>
            </w:pPr>
            <w:r>
              <w:rPr>
                <w:rFonts w:hint="eastAsia" w:ascii="宋体" w:hAnsi="宋体"/>
                <w:color w:val="auto"/>
                <w:szCs w:val="21"/>
              </w:rPr>
              <w:t>（2）总进度计划及分阶段进度计划；</w:t>
            </w:r>
          </w:p>
          <w:p>
            <w:pPr>
              <w:rPr>
                <w:rFonts w:ascii="宋体" w:hAnsi="宋体"/>
                <w:color w:val="auto"/>
                <w:szCs w:val="21"/>
              </w:rPr>
            </w:pPr>
            <w:r>
              <w:rPr>
                <w:rFonts w:hint="eastAsia" w:ascii="宋体" w:hAnsi="宋体"/>
                <w:color w:val="auto"/>
                <w:szCs w:val="21"/>
              </w:rPr>
              <w:t>（3）工期保证措施；</w:t>
            </w:r>
          </w:p>
          <w:p>
            <w:pPr>
              <w:adjustRightInd w:val="0"/>
              <w:snapToGrid w:val="0"/>
              <w:jc w:val="left"/>
              <w:rPr>
                <w:rFonts w:ascii="宋体" w:hAnsi="宋体" w:cs="宋体"/>
                <w:color w:val="auto"/>
                <w:szCs w:val="21"/>
              </w:rPr>
            </w:pPr>
            <w:r>
              <w:rPr>
                <w:rFonts w:hint="eastAsia" w:ascii="宋体" w:hAnsi="宋体"/>
                <w:color w:val="auto"/>
                <w:szCs w:val="21"/>
              </w:rPr>
              <w:t>每具有一小项得</w:t>
            </w:r>
            <w:r>
              <w:rPr>
                <w:rFonts w:ascii="宋体" w:hAnsi="宋体"/>
                <w:color w:val="auto"/>
                <w:szCs w:val="21"/>
              </w:rPr>
              <w:t>1</w:t>
            </w:r>
            <w:r>
              <w:rPr>
                <w:rFonts w:hint="eastAsia" w:ascii="宋体" w:hAnsi="宋体"/>
                <w:color w:val="auto"/>
                <w:szCs w:val="21"/>
              </w:rPr>
              <w:t>分，本项满分</w:t>
            </w:r>
            <w:r>
              <w:rPr>
                <w:rFonts w:ascii="宋体" w:hAnsi="宋体"/>
                <w:color w:val="auto"/>
                <w:szCs w:val="21"/>
              </w:rPr>
              <w:t>3</w:t>
            </w:r>
            <w:r>
              <w:rPr>
                <w:rFonts w:hint="eastAsia" w:ascii="宋体" w:hAnsi="宋体"/>
                <w:color w:val="auto"/>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6" w:hRule="atLeast"/>
        </w:trPr>
        <w:tc>
          <w:tcPr>
            <w:tcW w:w="895" w:type="dxa"/>
            <w:vMerge w:val="continue"/>
            <w:tcBorders>
              <w:right w:val="single" w:color="auto" w:sz="4" w:space="0"/>
            </w:tcBorders>
            <w:vAlign w:val="center"/>
          </w:tcPr>
          <w:p>
            <w:pPr>
              <w:adjustRightInd w:val="0"/>
              <w:snapToGrid w:val="0"/>
              <w:jc w:val="left"/>
              <w:rPr>
                <w:rFonts w:ascii="宋体" w:hAnsi="宋体" w:cs="宋体"/>
                <w:color w:val="auto"/>
                <w:szCs w:val="21"/>
              </w:rPr>
            </w:pPr>
          </w:p>
        </w:tc>
        <w:tc>
          <w:tcPr>
            <w:tcW w:w="890" w:type="dxa"/>
            <w:gridSpan w:val="2"/>
            <w:vMerge w:val="continue"/>
            <w:tcBorders>
              <w:right w:val="single" w:color="auto" w:sz="4" w:space="0"/>
            </w:tcBorders>
          </w:tcPr>
          <w:p>
            <w:pPr>
              <w:adjustRightInd w:val="0"/>
              <w:snapToGrid w:val="0"/>
              <w:jc w:val="left"/>
              <w:rPr>
                <w:rFonts w:ascii="宋体" w:hAnsi="宋体" w:cs="宋体"/>
                <w:color w:val="auto"/>
                <w:szCs w:val="21"/>
              </w:rPr>
            </w:pP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项目管理机构资格能力（19分）</w:t>
            </w:r>
          </w:p>
        </w:tc>
        <w:tc>
          <w:tcPr>
            <w:tcW w:w="657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1、施工方人员（联合体投标时，由联合体主办方提供）：</w:t>
            </w:r>
          </w:p>
          <w:p>
            <w:pPr>
              <w:rPr>
                <w:rFonts w:ascii="宋体" w:hAnsi="宋体"/>
                <w:color w:val="auto"/>
                <w:szCs w:val="21"/>
              </w:rPr>
            </w:pPr>
            <w:r>
              <w:rPr>
                <w:rFonts w:hint="eastAsia" w:ascii="宋体" w:hAnsi="宋体"/>
                <w:color w:val="auto"/>
                <w:szCs w:val="21"/>
              </w:rPr>
              <w:t>1）拟派项目技术负责人：</w:t>
            </w:r>
          </w:p>
          <w:p>
            <w:pPr>
              <w:rPr>
                <w:rFonts w:ascii="宋体" w:hAnsi="宋体"/>
                <w:color w:val="auto"/>
                <w:szCs w:val="21"/>
              </w:rPr>
            </w:pPr>
            <w:r>
              <w:rPr>
                <w:rFonts w:hint="eastAsia" w:ascii="宋体" w:hAnsi="宋体"/>
                <w:color w:val="auto"/>
                <w:szCs w:val="21"/>
              </w:rPr>
              <w:t>拟派的项目技术负责人具有工程类专业高级或以上技术职称的，得4分，其他不得分。</w:t>
            </w:r>
          </w:p>
          <w:p>
            <w:pPr>
              <w:rPr>
                <w:rFonts w:ascii="宋体" w:hAnsi="宋体"/>
                <w:color w:val="auto"/>
                <w:szCs w:val="21"/>
              </w:rPr>
            </w:pPr>
            <w:r>
              <w:rPr>
                <w:rFonts w:hint="eastAsia" w:ascii="宋体" w:hAnsi="宋体"/>
                <w:color w:val="auto"/>
                <w:szCs w:val="21"/>
              </w:rPr>
              <w:t>2）拟派项目安全负责人：</w:t>
            </w:r>
          </w:p>
          <w:p>
            <w:pPr>
              <w:rPr>
                <w:rFonts w:ascii="宋体" w:hAnsi="宋体"/>
                <w:color w:val="auto"/>
                <w:szCs w:val="21"/>
              </w:rPr>
            </w:pPr>
            <w:r>
              <w:rPr>
                <w:rFonts w:hint="eastAsia" w:ascii="宋体" w:hAnsi="宋体"/>
                <w:color w:val="auto"/>
                <w:szCs w:val="21"/>
              </w:rPr>
              <w:t>拟派项目安全负责人具有注册安全工程师注册证书，得4分。</w:t>
            </w:r>
          </w:p>
          <w:p>
            <w:pPr>
              <w:rPr>
                <w:rFonts w:ascii="宋体" w:hAnsi="宋体"/>
                <w:color w:val="auto"/>
                <w:szCs w:val="21"/>
              </w:rPr>
            </w:pPr>
            <w:r>
              <w:rPr>
                <w:rFonts w:hint="eastAsia" w:ascii="宋体" w:hAnsi="宋体"/>
                <w:color w:val="auto"/>
                <w:szCs w:val="21"/>
              </w:rPr>
              <w:t>3）拟派项目质量负责人：</w:t>
            </w:r>
          </w:p>
          <w:p>
            <w:pPr>
              <w:rPr>
                <w:rFonts w:ascii="宋体" w:hAnsi="宋体"/>
                <w:color w:val="auto"/>
                <w:szCs w:val="21"/>
              </w:rPr>
            </w:pPr>
            <w:r>
              <w:rPr>
                <w:rFonts w:hint="eastAsia" w:ascii="宋体" w:hAnsi="宋体"/>
                <w:color w:val="auto"/>
                <w:szCs w:val="21"/>
              </w:rPr>
              <w:t>拟派的质量负责人具有工程类专业中级或以上技术职称，得4分。</w:t>
            </w:r>
          </w:p>
          <w:p>
            <w:pPr>
              <w:rPr>
                <w:rFonts w:ascii="宋体" w:hAnsi="宋体"/>
                <w:color w:val="auto"/>
                <w:szCs w:val="21"/>
              </w:rPr>
            </w:pPr>
            <w:r>
              <w:rPr>
                <w:rFonts w:hint="eastAsia" w:ascii="宋体" w:hAnsi="宋体"/>
                <w:color w:val="auto"/>
                <w:szCs w:val="21"/>
              </w:rPr>
              <w:t>4）拟派项目造价负责人：</w:t>
            </w:r>
          </w:p>
          <w:p>
            <w:pPr>
              <w:rPr>
                <w:rFonts w:ascii="宋体" w:hAnsi="宋体"/>
                <w:color w:val="auto"/>
                <w:szCs w:val="21"/>
              </w:rPr>
            </w:pPr>
            <w:r>
              <w:rPr>
                <w:rFonts w:hint="eastAsia" w:ascii="宋体" w:hAnsi="宋体"/>
                <w:color w:val="auto"/>
                <w:szCs w:val="21"/>
              </w:rPr>
              <w:t>拟派的造价负责人具有一级注册造价工程师注册证书或具备造价类专业中级或以上技术职称的，得4分。</w:t>
            </w:r>
          </w:p>
          <w:p>
            <w:pPr>
              <w:rPr>
                <w:rFonts w:ascii="宋体" w:hAnsi="宋体"/>
                <w:color w:val="auto"/>
                <w:szCs w:val="21"/>
              </w:rPr>
            </w:pPr>
            <w:r>
              <w:rPr>
                <w:rFonts w:hint="eastAsia" w:ascii="宋体" w:hAnsi="宋体"/>
                <w:color w:val="auto"/>
                <w:szCs w:val="21"/>
              </w:rPr>
              <w:t>以上人员合计最多得16分。</w:t>
            </w:r>
          </w:p>
          <w:p>
            <w:pPr>
              <w:rPr>
                <w:rFonts w:ascii="宋体" w:hAnsi="宋体"/>
                <w:color w:val="auto"/>
                <w:szCs w:val="21"/>
              </w:rPr>
            </w:pPr>
            <w:r>
              <w:rPr>
                <w:rFonts w:hint="eastAsia" w:ascii="宋体" w:hAnsi="宋体"/>
                <w:color w:val="auto"/>
                <w:szCs w:val="21"/>
              </w:rPr>
              <w:t>2、设计方人员（联合体投标时，由联合体设计方提供）：</w:t>
            </w:r>
          </w:p>
          <w:p>
            <w:pPr>
              <w:pStyle w:val="2"/>
              <w:rPr>
                <w:color w:val="auto"/>
              </w:rPr>
            </w:pPr>
            <w:r>
              <w:rPr>
                <w:rFonts w:hint="eastAsia" w:hAnsi="宋体"/>
                <w:color w:val="auto"/>
                <w:kern w:val="2"/>
                <w:sz w:val="21"/>
                <w:szCs w:val="21"/>
              </w:rPr>
              <w:t>具有风景园林或园林绿化设计相关专业高级（或以上）技术职称的，得3分，具有风景园林或园林绿化设计相关专业中级技术职称的，得1分。本项最高得3分。</w:t>
            </w:r>
          </w:p>
          <w:p>
            <w:pPr>
              <w:rPr>
                <w:rFonts w:ascii="宋体" w:hAnsi="宋体"/>
                <w:color w:val="auto"/>
                <w:szCs w:val="21"/>
              </w:rPr>
            </w:pPr>
            <w:r>
              <w:rPr>
                <w:rFonts w:hint="eastAsia" w:ascii="宋体" w:hAnsi="宋体"/>
                <w:color w:val="auto"/>
                <w:szCs w:val="21"/>
              </w:rPr>
              <w:t>注：</w:t>
            </w:r>
          </w:p>
          <w:p>
            <w:pPr>
              <w:adjustRightInd w:val="0"/>
              <w:snapToGrid w:val="0"/>
              <w:jc w:val="left"/>
              <w:rPr>
                <w:rFonts w:ascii="宋体" w:hAnsi="宋体" w:cs="宋体"/>
                <w:color w:val="auto"/>
              </w:rPr>
            </w:pPr>
            <w:r>
              <w:rPr>
                <w:rFonts w:hint="eastAsia"/>
                <w:color w:val="auto"/>
              </w:rPr>
              <w:t>人员岗位不能兼任。</w:t>
            </w:r>
            <w:r>
              <w:rPr>
                <w:rFonts w:hint="eastAsia" w:ascii="宋体" w:hAnsi="宋体" w:cs="宋体"/>
                <w:color w:val="auto"/>
                <w:szCs w:val="21"/>
              </w:rPr>
              <w:t>以上项目管理机构</w:t>
            </w:r>
            <w:r>
              <w:rPr>
                <w:rFonts w:hint="eastAsia" w:ascii="宋体" w:hAnsi="宋体"/>
                <w:color w:val="auto"/>
                <w:szCs w:val="21"/>
              </w:rPr>
              <w:t>人员必须为投标单位自有人员，需同时提供职称证、注册证书（若有）等相关证明材料扫描件以及投标截止时间前近1个月（2024年2月份）在投标人本单位缴纳社保的证明文件；按照《造价工程师职业资格制度规定》的规定，根据原人事部、原建设部发布的《造价工程师执业资格制度暂行规定》（人发〔1996〕77号）取得的造价工程师执业资格，并经注册且在有效期内的，等同于一级注册造价工程师。上述注册类人员包括在广东省住房和城乡建设主管部门备案且备案的业务范围符合上述注册人员要求的香港专业人士。不提供或者提供资料不齐全的，不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54" w:hRule="atLeast"/>
        </w:trPr>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2.2.4（2）</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投标报价评分标准</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报价得分（100分）</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olor w:val="auto"/>
                <w:szCs w:val="21"/>
              </w:rPr>
              <w:t>当经算术校核的建安工程费报价等于评标基准价时得100分，报价每高于评标基准价1%，扣0.5分，每低于评标基准价1%，扣0.3分，扣至0分为止，得出投标报价得分，精确到小数点后两位。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rHeight w:val="454" w:hRule="atLeast"/>
        </w:trPr>
        <w:tc>
          <w:tcPr>
            <w:tcW w:w="8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color w:val="auto"/>
                <w:szCs w:val="21"/>
              </w:rPr>
              <w:t>2.2.4（3）</w:t>
            </w:r>
          </w:p>
        </w:tc>
        <w:tc>
          <w:tcPr>
            <w:tcW w:w="89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施工诚信综合评价评分标准</w:t>
            </w:r>
          </w:p>
        </w:tc>
        <w:tc>
          <w:tcPr>
            <w:tcW w:w="20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施工诚信综合评价得分（100分）</w:t>
            </w:r>
          </w:p>
        </w:tc>
        <w:tc>
          <w:tcPr>
            <w:tcW w:w="65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宋体" w:hAnsi="宋体" w:cs="宋体"/>
                <w:color w:val="auto"/>
                <w:szCs w:val="21"/>
              </w:rPr>
            </w:pPr>
            <w:r>
              <w:rPr>
                <w:rFonts w:hint="eastAsia" w:ascii="宋体" w:hAnsi="宋体" w:cs="宋体"/>
                <w:color w:val="auto"/>
                <w:szCs w:val="21"/>
              </w:rPr>
              <w:t>投标人诚信评价分取自本项目招标公告发布第1天所在季度的上一季度广州市水务工程建设管理数字化监管平台（http://112.94.68.142:8012/#/website/integrity?type=1）中的“企业诚信排名&gt;&gt;施工-水利”中“诚信综合评价”分，未入库企业或在广州市水务工程建设管理数字化监管平台中尚无诚信排名“施工－水利”得分的投标人，按《广州市水务局关于调整水务工程诚信评价部分评分项的通知》，其诚信评价分按80分计算。</w:t>
            </w:r>
          </w:p>
          <w:p>
            <w:pPr>
              <w:adjustRightInd w:val="0"/>
              <w:snapToGrid w:val="0"/>
              <w:jc w:val="left"/>
              <w:rPr>
                <w:rFonts w:ascii="宋体" w:hAnsi="宋体" w:cs="宋体"/>
                <w:color w:val="auto"/>
                <w:szCs w:val="21"/>
              </w:rPr>
            </w:pPr>
            <w:r>
              <w:rPr>
                <w:rFonts w:hint="eastAsia" w:ascii="宋体" w:hAnsi="宋体" w:cs="宋体"/>
                <w:color w:val="auto"/>
                <w:szCs w:val="21"/>
              </w:rPr>
              <w:t>注：如联合体投标的，施工诚信综合评价得分以投标人主办方为准。</w:t>
            </w:r>
          </w:p>
        </w:tc>
      </w:tr>
    </w:tbl>
    <w:p>
      <w:pPr>
        <w:pStyle w:val="2"/>
        <w:spacing w:line="276" w:lineRule="auto"/>
        <w:rPr>
          <w:rFonts w:hAnsi="宋体"/>
          <w:b/>
          <w:color w:val="auto"/>
          <w:szCs w:val="21"/>
        </w:rPr>
      </w:pPr>
      <w:r>
        <w:rPr>
          <w:rFonts w:hint="eastAsia" w:hAnsi="宋体" w:cs="宋体"/>
          <w:color w:val="auto"/>
          <w:kern w:val="2"/>
          <w:sz w:val="21"/>
          <w:szCs w:val="21"/>
        </w:rPr>
        <w:t>注：</w:t>
      </w:r>
      <w:r>
        <w:rPr>
          <w:rFonts w:hint="eastAsia" w:hAnsi="宋体"/>
          <w:color w:val="auto"/>
          <w:szCs w:val="21"/>
        </w:rPr>
        <w:t>（</w:t>
      </w:r>
      <w:r>
        <w:rPr>
          <w:rFonts w:hAnsi="宋体"/>
          <w:color w:val="auto"/>
          <w:szCs w:val="21"/>
        </w:rPr>
        <w:t>1</w:t>
      </w:r>
      <w:r>
        <w:rPr>
          <w:rFonts w:hint="eastAsia" w:hAnsi="宋体"/>
          <w:color w:val="auto"/>
          <w:szCs w:val="21"/>
        </w:rPr>
        <w:t>）</w:t>
      </w:r>
      <w:r>
        <w:rPr>
          <w:rFonts w:hint="eastAsia" w:hAnsi="宋体"/>
          <w:b/>
          <w:color w:val="auto"/>
          <w:szCs w:val="21"/>
        </w:rPr>
        <w:t>企业获奖（</w:t>
      </w:r>
      <w:r>
        <w:rPr>
          <w:rFonts w:hint="eastAsia" w:hAnsi="宋体" w:cs="宋体"/>
          <w:color w:val="auto"/>
          <w:szCs w:val="21"/>
        </w:rPr>
        <w:t>工程质量奖和设计项目获奖）</w:t>
      </w:r>
      <w:r>
        <w:rPr>
          <w:rFonts w:hint="eastAsia" w:hAnsi="宋体"/>
          <w:b/>
          <w:color w:val="auto"/>
          <w:szCs w:val="21"/>
        </w:rPr>
        <w:t>：</w:t>
      </w:r>
    </w:p>
    <w:p>
      <w:pPr>
        <w:pStyle w:val="2"/>
        <w:numPr>
          <w:ilvl w:val="0"/>
          <w:numId w:val="1"/>
        </w:numPr>
        <w:spacing w:line="276" w:lineRule="auto"/>
        <w:rPr>
          <w:rFonts w:hAnsi="宋体"/>
          <w:color w:val="auto"/>
          <w:szCs w:val="21"/>
        </w:rPr>
      </w:pPr>
      <w:r>
        <w:rPr>
          <w:rFonts w:hint="eastAsia" w:hAnsi="宋体" w:cs="宋体"/>
          <w:color w:val="auto"/>
          <w:szCs w:val="21"/>
        </w:rPr>
        <w:t>工程质量奖：</w:t>
      </w:r>
      <w:r>
        <w:rPr>
          <w:rFonts w:hint="eastAsia" w:hAnsi="宋体"/>
          <w:color w:val="auto"/>
          <w:szCs w:val="21"/>
        </w:rPr>
        <w:t>国家级奖项指的是中国建设工程鲁班奖、国家优质工程金质奖、国家优质工程</w:t>
      </w:r>
    </w:p>
    <w:p>
      <w:pPr>
        <w:pStyle w:val="2"/>
        <w:numPr>
          <w:ilvl w:val="-1"/>
          <w:numId w:val="0"/>
        </w:numPr>
        <w:spacing w:line="276" w:lineRule="auto"/>
        <w:ind w:left="0" w:firstLine="0"/>
        <w:rPr>
          <w:rFonts w:hAnsi="宋体"/>
          <w:color w:val="auto"/>
          <w:szCs w:val="21"/>
        </w:rPr>
      </w:pPr>
      <w:r>
        <w:rPr>
          <w:rFonts w:hint="eastAsia" w:hAnsi="宋体"/>
          <w:color w:val="auto"/>
          <w:szCs w:val="21"/>
        </w:rPr>
        <w:t>奖、中国土木工程詹天佑奖、中国水利工程优质（大禹）奖；省级奖项是指省级建设行政主管部门或行业协会、学会颁发的工程质量奖；市级（含副省级）奖项是指市级（含副省级）建设行政主管部门或行业协会、学会颁发的工程质量奖。承建的奖项均予以计算（参建项目不予计算）。</w:t>
      </w:r>
    </w:p>
    <w:p>
      <w:pPr>
        <w:spacing w:line="276" w:lineRule="auto"/>
        <w:rPr>
          <w:rFonts w:hAnsi="宋体"/>
          <w:color w:val="auto"/>
          <w:szCs w:val="21"/>
        </w:rPr>
      </w:pPr>
      <w:r>
        <w:rPr>
          <w:rFonts w:hint="eastAsia" w:hAnsi="宋体" w:cs="宋体"/>
          <w:color w:val="auto"/>
          <w:szCs w:val="21"/>
        </w:rPr>
        <w:t>②</w:t>
      </w:r>
      <w:r>
        <w:rPr>
          <w:rFonts w:hAnsi="宋体"/>
          <w:color w:val="auto"/>
          <w:szCs w:val="21"/>
        </w:rPr>
        <w:t>获奖时间以</w:t>
      </w:r>
      <w:r>
        <w:rPr>
          <w:rFonts w:hint="eastAsia" w:hAnsi="宋体" w:cs="宋体"/>
          <w:color w:val="auto"/>
          <w:szCs w:val="21"/>
        </w:rPr>
        <w:t>获奖证书颁发日期或</w:t>
      </w:r>
      <w:r>
        <w:rPr>
          <w:rFonts w:hAnsi="宋体"/>
          <w:color w:val="auto"/>
          <w:szCs w:val="21"/>
        </w:rPr>
        <w:t>发证日期</w:t>
      </w:r>
      <w:r>
        <w:rPr>
          <w:rFonts w:hint="eastAsia" w:hAnsi="宋体"/>
          <w:color w:val="auto"/>
          <w:szCs w:val="21"/>
        </w:rPr>
        <w:t>或</w:t>
      </w:r>
      <w:r>
        <w:rPr>
          <w:rFonts w:hint="eastAsia" w:hAnsi="宋体" w:cs="宋体"/>
          <w:color w:val="auto"/>
          <w:szCs w:val="21"/>
        </w:rPr>
        <w:t>获奖公告日期或</w:t>
      </w:r>
      <w:r>
        <w:rPr>
          <w:rFonts w:hint="eastAsia" w:hAnsi="宋体"/>
          <w:color w:val="auto"/>
          <w:szCs w:val="21"/>
        </w:rPr>
        <w:t>网上公布获奖文件时间</w:t>
      </w:r>
      <w:r>
        <w:rPr>
          <w:rFonts w:hAnsi="宋体"/>
          <w:color w:val="auto"/>
          <w:szCs w:val="21"/>
        </w:rPr>
        <w:t>为准，投标人须提供相关获奖证书原件</w:t>
      </w:r>
      <w:r>
        <w:rPr>
          <w:rFonts w:hint="eastAsia" w:hAnsi="宋体" w:cs="宋体"/>
          <w:color w:val="auto"/>
          <w:szCs w:val="21"/>
        </w:rPr>
        <w:t>扫描件</w:t>
      </w:r>
      <w:r>
        <w:rPr>
          <w:rFonts w:hint="eastAsia" w:hAnsi="宋体"/>
          <w:color w:val="auto"/>
          <w:szCs w:val="21"/>
        </w:rPr>
        <w:t>或网上颁奖文件</w:t>
      </w:r>
      <w:r>
        <w:rPr>
          <w:rFonts w:hAnsi="宋体"/>
          <w:color w:val="auto"/>
          <w:szCs w:val="21"/>
        </w:rPr>
        <w:t>扫描件</w:t>
      </w:r>
      <w:r>
        <w:rPr>
          <w:rFonts w:hint="eastAsia" w:hAnsi="宋体" w:cs="宋体"/>
          <w:color w:val="auto"/>
          <w:szCs w:val="21"/>
        </w:rPr>
        <w:t>或获奖公告（网页截图并注明网址）</w:t>
      </w:r>
      <w:r>
        <w:rPr>
          <w:rFonts w:hAnsi="宋体"/>
          <w:color w:val="auto"/>
          <w:szCs w:val="21"/>
        </w:rPr>
        <w:t>，资料不齐全的不得分。</w:t>
      </w:r>
      <w:r>
        <w:rPr>
          <w:rFonts w:hint="eastAsia" w:hAnsi="宋体"/>
          <w:color w:val="auto"/>
          <w:szCs w:val="21"/>
        </w:rPr>
        <w:t>同一项目只按获得的最高奖项计算一次得分，不得重复计算。</w:t>
      </w:r>
    </w:p>
    <w:p>
      <w:pPr>
        <w:pStyle w:val="2"/>
        <w:spacing w:line="276" w:lineRule="auto"/>
        <w:rPr>
          <w:color w:val="auto"/>
        </w:rPr>
      </w:pPr>
      <w:r>
        <w:rPr>
          <w:rFonts w:hint="eastAsia" w:hAnsi="宋体" w:cs="宋体"/>
          <w:color w:val="auto"/>
          <w:szCs w:val="21"/>
        </w:rPr>
        <w:t>③</w:t>
      </w:r>
      <w:r>
        <w:rPr>
          <w:rFonts w:hint="eastAsia"/>
          <w:color w:val="auto"/>
        </w:rPr>
        <w:t>如奖项为行业协会（学会）颁发</w:t>
      </w:r>
      <w:r>
        <w:rPr>
          <w:rFonts w:hint="eastAsia" w:hAnsi="宋体" w:cs="宋体"/>
          <w:color w:val="auto"/>
          <w:szCs w:val="21"/>
        </w:rPr>
        <w:t>，要求发证</w:t>
      </w:r>
      <w:r>
        <w:rPr>
          <w:rFonts w:hint="eastAsia"/>
          <w:color w:val="auto"/>
        </w:rPr>
        <w:t>行业协会（学会）</w:t>
      </w:r>
      <w:r>
        <w:rPr>
          <w:rFonts w:hint="eastAsia" w:hAnsi="宋体" w:cs="宋体"/>
          <w:color w:val="auto"/>
          <w:szCs w:val="21"/>
        </w:rPr>
        <w:t>必须经民政部门备案，且</w:t>
      </w:r>
      <w:r>
        <w:rPr>
          <w:rFonts w:hint="eastAsia" w:hAnsi="宋体"/>
          <w:color w:val="auto"/>
          <w:szCs w:val="21"/>
        </w:rPr>
        <w:t>提供其在“中国社会组织政务服务平台”网站（</w:t>
      </w:r>
      <w:r>
        <w:rPr>
          <w:rFonts w:hAnsi="宋体"/>
          <w:color w:val="auto"/>
          <w:szCs w:val="21"/>
        </w:rPr>
        <w:t>https://chinanpo.mca.gov.cn/）查询结果的网页信息</w:t>
      </w:r>
      <w:r>
        <w:rPr>
          <w:rFonts w:hint="eastAsia" w:hAnsi="宋体"/>
          <w:color w:val="auto"/>
          <w:szCs w:val="21"/>
        </w:rPr>
        <w:t>截图，</w:t>
      </w:r>
      <w:r>
        <w:rPr>
          <w:rFonts w:hint="eastAsia" w:hAnsi="宋体" w:cs="宋体"/>
          <w:color w:val="auto"/>
          <w:szCs w:val="21"/>
        </w:rPr>
        <w:t>不按要求提供者不得分。</w:t>
      </w:r>
    </w:p>
    <w:p>
      <w:pPr>
        <w:spacing w:line="276" w:lineRule="auto"/>
        <w:rPr>
          <w:rFonts w:ascii="宋体" w:hAnsi="宋体"/>
          <w:b/>
          <w:color w:val="auto"/>
          <w:szCs w:val="21"/>
        </w:rPr>
      </w:pPr>
      <w:r>
        <w:rPr>
          <w:rFonts w:ascii="宋体" w:hAnsi="宋体"/>
          <w:color w:val="auto"/>
          <w:szCs w:val="21"/>
        </w:rPr>
        <w:t>（2</w:t>
      </w:r>
      <w:r>
        <w:rPr>
          <w:rFonts w:hint="eastAsia" w:ascii="宋体" w:hAnsi="宋体"/>
          <w:color w:val="auto"/>
          <w:szCs w:val="21"/>
        </w:rPr>
        <w:t>）</w:t>
      </w:r>
      <w:r>
        <w:rPr>
          <w:rFonts w:hint="eastAsia" w:ascii="宋体" w:hAnsi="宋体"/>
          <w:b/>
          <w:color w:val="auto"/>
          <w:szCs w:val="21"/>
        </w:rPr>
        <w:t>科技创新成果指标</w:t>
      </w:r>
    </w:p>
    <w:p>
      <w:pPr>
        <w:spacing w:line="276" w:lineRule="auto"/>
        <w:rPr>
          <w:rFonts w:ascii="宋体" w:hAnsi="宋体" w:cs="宋体"/>
          <w:color w:val="auto"/>
          <w:kern w:val="0"/>
          <w:sz w:val="20"/>
          <w:szCs w:val="21"/>
        </w:rPr>
      </w:pPr>
      <w:r>
        <w:rPr>
          <w:rFonts w:ascii="宋体" w:hAnsi="宋体" w:cs="宋体"/>
          <w:color w:val="auto"/>
          <w:szCs w:val="21"/>
        </w:rPr>
        <w:t>①</w:t>
      </w:r>
      <w:r>
        <w:rPr>
          <w:rFonts w:hint="eastAsia" w:ascii="宋体" w:hAnsi="宋体" w:cs="宋体"/>
          <w:color w:val="auto"/>
          <w:kern w:val="0"/>
          <w:sz w:val="20"/>
          <w:szCs w:val="21"/>
        </w:rPr>
        <w:t>科学技术奖包括科学技术奖、自然科学奖、技术发明奖、科学技术进步奖等。投标人须提供获奖证书扫描件。时间以获奖证书发证日期为准。同一技术获奖按最高级别只计一次得分，不重复计算。不符合上述条件或未提供上述资料的不得分。</w:t>
      </w:r>
    </w:p>
    <w:p>
      <w:pPr>
        <w:spacing w:line="276" w:lineRule="auto"/>
        <w:rPr>
          <w:rFonts w:ascii="宋体" w:hAnsi="宋体" w:cs="宋体"/>
          <w:color w:val="auto"/>
          <w:szCs w:val="21"/>
        </w:rPr>
      </w:pPr>
      <w:r>
        <w:rPr>
          <w:rFonts w:hint="eastAsia" w:ascii="宋体" w:hAnsi="宋体" w:cs="宋体"/>
          <w:color w:val="auto"/>
          <w:szCs w:val="21"/>
        </w:rPr>
        <w:t>②</w:t>
      </w:r>
      <w:r>
        <w:rPr>
          <w:rFonts w:hint="eastAsia"/>
          <w:color w:val="auto"/>
        </w:rPr>
        <w:t>如奖项为行业协会（学会）颁发</w:t>
      </w:r>
      <w:r>
        <w:rPr>
          <w:rFonts w:hint="eastAsia" w:ascii="宋体" w:hAnsi="宋体" w:cs="宋体"/>
          <w:color w:val="auto"/>
          <w:szCs w:val="21"/>
        </w:rPr>
        <w:t>，要求发证</w:t>
      </w:r>
      <w:r>
        <w:rPr>
          <w:rFonts w:hint="eastAsia"/>
          <w:color w:val="auto"/>
        </w:rPr>
        <w:t>行业协会（学会）</w:t>
      </w:r>
      <w:r>
        <w:rPr>
          <w:rFonts w:hint="eastAsia" w:ascii="宋体" w:hAnsi="宋体" w:cs="宋体"/>
          <w:color w:val="auto"/>
          <w:szCs w:val="21"/>
        </w:rPr>
        <w:t>必须经民政部门备案，且</w:t>
      </w:r>
      <w:r>
        <w:rPr>
          <w:rFonts w:hint="eastAsia" w:ascii="宋体" w:hAnsi="宋体" w:cs="宋体"/>
          <w:color w:val="auto"/>
          <w:kern w:val="0"/>
          <w:sz w:val="20"/>
          <w:szCs w:val="21"/>
        </w:rPr>
        <w:t>同时提供其在“中国社会组织政务服务平台”网站（</w:t>
      </w:r>
      <w:r>
        <w:rPr>
          <w:rFonts w:ascii="宋体" w:hAnsi="宋体" w:cs="宋体"/>
          <w:color w:val="auto"/>
          <w:kern w:val="0"/>
          <w:sz w:val="20"/>
          <w:szCs w:val="21"/>
        </w:rPr>
        <w:t>https://chinanpo.mca.gov.cn/）查询结果的网页信息截图。</w:t>
      </w:r>
      <w:r>
        <w:rPr>
          <w:rFonts w:ascii="宋体" w:hAnsi="宋体" w:cs="宋体"/>
          <w:color w:val="auto"/>
          <w:szCs w:val="21"/>
        </w:rPr>
        <w:t>不符合条件或无提供证书扫描件的不计分。</w:t>
      </w:r>
    </w:p>
    <w:p>
      <w:pPr>
        <w:pStyle w:val="2"/>
        <w:rPr>
          <w:rFonts w:hAnsi="宋体" w:cs="宋体"/>
          <w:color w:val="auto"/>
          <w:szCs w:val="21"/>
        </w:rPr>
      </w:pPr>
    </w:p>
    <w:p>
      <w:pPr>
        <w:widowControl/>
        <w:jc w:val="left"/>
        <w:rPr>
          <w:color w:val="auto"/>
        </w:rPr>
      </w:pPr>
      <w:r>
        <w:rPr>
          <w:color w:val="auto"/>
        </w:rPr>
        <w:br w:type="page"/>
      </w:r>
    </w:p>
    <w:p>
      <w:pPr>
        <w:rPr>
          <w:color w:val="auto"/>
        </w:rPr>
      </w:pPr>
    </w:p>
    <w:p>
      <w:pPr>
        <w:spacing w:line="276" w:lineRule="auto"/>
        <w:rPr>
          <w:rFonts w:ascii="宋体" w:hAnsi="宋体" w:cs="宋体"/>
          <w:b/>
          <w:bCs/>
          <w:color w:val="auto"/>
          <w:kern w:val="0"/>
          <w:sz w:val="24"/>
          <w:szCs w:val="24"/>
        </w:rPr>
      </w:pPr>
      <w:r>
        <w:rPr>
          <w:rFonts w:hint="eastAsia" w:ascii="宋体" w:hAnsi="宋体" w:cs="宋体"/>
          <w:b/>
          <w:bCs/>
          <w:color w:val="auto"/>
          <w:kern w:val="0"/>
          <w:sz w:val="24"/>
          <w:szCs w:val="24"/>
        </w:rPr>
        <w:t>1. 评标方法</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p>
    <w:p>
      <w:pPr>
        <w:pStyle w:val="4"/>
        <w:adjustRightInd w:val="0"/>
        <w:snapToGrid w:val="0"/>
        <w:spacing w:before="0" w:after="0" w:line="360" w:lineRule="auto"/>
        <w:rPr>
          <w:rFonts w:ascii="宋体" w:hAnsi="宋体" w:eastAsia="宋体" w:cs="宋体"/>
          <w:color w:val="auto"/>
          <w:sz w:val="24"/>
          <w:szCs w:val="24"/>
        </w:rPr>
      </w:pPr>
      <w:r>
        <w:rPr>
          <w:rFonts w:hint="eastAsia" w:ascii="宋体" w:hAnsi="宋体" w:eastAsia="宋体" w:cs="宋体"/>
          <w:color w:val="auto"/>
          <w:sz w:val="24"/>
          <w:szCs w:val="24"/>
        </w:rPr>
        <w:t>2. 评审标准</w:t>
      </w:r>
    </w:p>
    <w:p>
      <w:pPr>
        <w:pStyle w:val="5"/>
        <w:adjustRightInd w:val="0"/>
        <w:snapToGrid w:val="0"/>
        <w:spacing w:before="0" w:after="0" w:line="360" w:lineRule="auto"/>
        <w:ind w:firstLine="118"/>
        <w:rPr>
          <w:rFonts w:ascii="宋体" w:eastAsia="宋体" w:cs="宋体"/>
          <w:color w:val="auto"/>
          <w:sz w:val="24"/>
          <w:szCs w:val="24"/>
        </w:rPr>
      </w:pPr>
      <w:r>
        <w:rPr>
          <w:rFonts w:hint="eastAsia" w:ascii="宋体" w:eastAsia="宋体" w:cs="宋体"/>
          <w:color w:val="auto"/>
          <w:sz w:val="24"/>
          <w:szCs w:val="24"/>
        </w:rPr>
        <w:t>2.1初步评审标准</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2.1.1 形式评审标准：见评标办法前附表。</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2.1.2 资格评审标准：见评标办法前附表。</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2.1.3 响应性评审标准：见评标办法前附表。</w:t>
      </w:r>
    </w:p>
    <w:p>
      <w:pPr>
        <w:pStyle w:val="5"/>
        <w:adjustRightInd w:val="0"/>
        <w:snapToGrid w:val="0"/>
        <w:spacing w:before="0" w:after="0" w:line="360" w:lineRule="auto"/>
        <w:ind w:firstLine="118"/>
        <w:rPr>
          <w:rFonts w:ascii="宋体" w:eastAsia="宋体" w:cs="宋体"/>
          <w:color w:val="auto"/>
          <w:sz w:val="24"/>
          <w:szCs w:val="24"/>
        </w:rPr>
      </w:pPr>
      <w:r>
        <w:rPr>
          <w:rFonts w:hint="eastAsia" w:ascii="宋体" w:eastAsia="宋体" w:cs="宋体"/>
          <w:color w:val="auto"/>
          <w:sz w:val="24"/>
          <w:szCs w:val="24"/>
        </w:rPr>
        <w:t>2.2 分值构成与评分标准</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2.2.1 分值构成</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（1）工程总承包实施方案：见评标办法前附表；</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（2）投标报价：见评标办法前附表；</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（3）施工诚信综合评价：见评标办法前附表。</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2.2.2 评标基准价计算</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评标基准价计算方法：见评标办法前附表。</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2.2.3 投标报价的偏差率计算</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投标报价的偏差率计算公式：见评标办法前附表。</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2.2.4 评分标准</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（1）工程总承包实施方案评分标准：见评标办法前附表；</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（2）投标报价评分标准：见评标办法前附表。</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（3）施工诚信综合评价评分标准：见评标办法前附表。</w:t>
      </w:r>
    </w:p>
    <w:p>
      <w:pPr>
        <w:pStyle w:val="4"/>
        <w:adjustRightInd w:val="0"/>
        <w:snapToGrid w:val="0"/>
        <w:spacing w:before="0" w:after="0" w:line="360" w:lineRule="auto"/>
        <w:rPr>
          <w:rFonts w:ascii="宋体" w:hAnsi="宋体" w:eastAsia="宋体" w:cs="宋体"/>
          <w:color w:val="auto"/>
          <w:sz w:val="24"/>
          <w:szCs w:val="24"/>
        </w:rPr>
      </w:pPr>
      <w:r>
        <w:rPr>
          <w:rFonts w:hint="eastAsia" w:ascii="宋体" w:hAnsi="宋体" w:eastAsia="宋体" w:cs="宋体"/>
          <w:color w:val="auto"/>
          <w:sz w:val="24"/>
          <w:szCs w:val="24"/>
        </w:rPr>
        <w:t>3. 评标程序</w:t>
      </w:r>
    </w:p>
    <w:p>
      <w:pPr>
        <w:adjustRightInd w:val="0"/>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本项目采取电子评标。评标由招标人依法组建的评标委员会负责。</w:t>
      </w:r>
    </w:p>
    <w:p>
      <w:pPr>
        <w:pStyle w:val="5"/>
        <w:adjustRightInd w:val="0"/>
        <w:snapToGrid w:val="0"/>
        <w:spacing w:before="0" w:after="0" w:line="360" w:lineRule="auto"/>
        <w:ind w:firstLine="118"/>
        <w:rPr>
          <w:rFonts w:ascii="宋体" w:eastAsia="宋体" w:cs="宋体"/>
          <w:b/>
          <w:bCs w:val="0"/>
          <w:color w:val="auto"/>
          <w:sz w:val="24"/>
          <w:szCs w:val="24"/>
        </w:rPr>
      </w:pPr>
      <w:r>
        <w:rPr>
          <w:rFonts w:hint="eastAsia" w:ascii="宋体" w:eastAsia="宋体" w:cs="宋体"/>
          <w:b/>
          <w:bCs w:val="0"/>
          <w:color w:val="auto"/>
          <w:sz w:val="24"/>
          <w:szCs w:val="24"/>
        </w:rPr>
        <w:t>3.1初步评审</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3.1.1 形式审查中全部符合形式评审标准（详见前附表）中规定情形的，为形式审查合格。否则为形式审查不合格，经评标委员会评委共同认定后，其投标文件将被拒绝。如评标委员会成员的评审意见不一致时，以评标委员会过半数成员的意见作为评标委员会对该情形的认定结论。评委发现投标文件中含义不明确、对同类问题表述不一致、有明显文字和计算错误的，应当要求投标人作必要的澄清、说明后再判定投标人是否通过有效性审查，不得直接否决投标。</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3.1.2汇总形式审查情况，只有通过形式审查的投标人方可进入下一阶段的评审。形式审查合格的投标人少于3名的，则本项目招标失败。</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3.1.3评标委员会评委对所有通过形式审查的投标人进行资格审查。资格审查文件中全部符合资格评审标准（详见前附表）中规定情形的，为资格审查合格。否则为资格审查不合格，经评标委员会评委共同认定后，其投标将被拒绝。如评标委员会成员的评审意见不一致时，以评标委员会过半数成员的意见作为评标委员会对该情形的认定结论。只有通过资格审查的投标人方可进入下一阶段的评审。评委发现资格审查文件中含义不明确、对同类问题表述不一致、有明显文字和计算错误的，应当要求投标人作必要的澄清、说明后再判定投标人是否通过资格审查，不得直接认定其不通过资格审查。</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3.1.4汇总资格审查情况，编写资格审查报告。资格审查合格的投标人少于3名的，则本项目招标失败。</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3.1.5资格审查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pPr>
        <w:adjustRightInd w:val="0"/>
        <w:snapToGrid w:val="0"/>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特别声明：资审合格后，投标人的资格发生变化而不满足投标人合格条件，在发出中标通知书前，资格问题仍未解决的，招标人将取消其中标资格。</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3.1.6通过资格审查的投标文件中全部符合响应性评审标准（详见前附表）中情形的，为有效标书。否则为无效标书，经评标委员会评委共同认定后，其投标文件将被拒绝。如评标委员会成员的评审意见不一致时，以评标委员会过半数成员的意见作为评标委员会对该情形的认定结论。评委发现投标文件中含义不明确、对同类问题表述不一致、有明显文字和计算错误的，应当要求投标人作必要的澄清、说明后再判定投标人是否通过有效性审查，不得直接否决投标。响应性审查合格的投标人少于3名的，则本项目招标失败。</w:t>
      </w:r>
    </w:p>
    <w:p>
      <w:pPr>
        <w:pStyle w:val="5"/>
        <w:adjustRightInd w:val="0"/>
        <w:snapToGrid w:val="0"/>
        <w:spacing w:before="0" w:after="0" w:line="360" w:lineRule="auto"/>
        <w:ind w:firstLine="118"/>
        <w:rPr>
          <w:rFonts w:ascii="宋体" w:eastAsia="宋体" w:cs="宋体"/>
          <w:b/>
          <w:bCs w:val="0"/>
          <w:color w:val="auto"/>
          <w:sz w:val="24"/>
          <w:szCs w:val="24"/>
        </w:rPr>
      </w:pPr>
      <w:r>
        <w:rPr>
          <w:rFonts w:hint="eastAsia" w:ascii="宋体" w:eastAsia="宋体" w:cs="宋体"/>
          <w:b/>
          <w:bCs w:val="0"/>
          <w:color w:val="auto"/>
          <w:sz w:val="24"/>
          <w:szCs w:val="24"/>
        </w:rPr>
        <w:t>3.2工程总承包实施方案评审</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3.2.1工程总承包实施方案详细审查：评委按照工程总承包实施方案评分标准（详见前附表），对通过响应性审查的投标文件进行详细审查评分。</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3.2.2各评委的评分汇总后的算术平均值为投标人的工程总承包实施方案得分，分数出现小数点，保留小数点后二位，第三位小数四舍五入。</w:t>
      </w:r>
    </w:p>
    <w:p>
      <w:pPr>
        <w:pStyle w:val="5"/>
        <w:adjustRightInd w:val="0"/>
        <w:snapToGrid w:val="0"/>
        <w:spacing w:before="0" w:after="0" w:line="360" w:lineRule="auto"/>
        <w:ind w:firstLine="118"/>
        <w:rPr>
          <w:rFonts w:ascii="宋体" w:eastAsia="宋体" w:cs="宋体"/>
          <w:b/>
          <w:bCs w:val="0"/>
          <w:color w:val="auto"/>
          <w:sz w:val="24"/>
          <w:szCs w:val="24"/>
        </w:rPr>
      </w:pPr>
      <w:r>
        <w:rPr>
          <w:rFonts w:hint="eastAsia" w:ascii="宋体" w:eastAsia="宋体" w:cs="宋体"/>
          <w:b/>
          <w:bCs w:val="0"/>
          <w:color w:val="auto"/>
          <w:sz w:val="24"/>
          <w:szCs w:val="24"/>
        </w:rPr>
        <w:t>3.3投标报价评审</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3.3.1投标报价的算术校核。评标委员会对通过形式评审、资格评审和响应性审查的投标文件的投标报进行算术校核，具体标准如下：</w:t>
      </w:r>
    </w:p>
    <w:p>
      <w:pPr>
        <w:adjustRightInd w:val="0"/>
        <w:snapToGrid w:val="0"/>
        <w:spacing w:line="360" w:lineRule="auto"/>
        <w:ind w:firstLine="480" w:firstLineChars="200"/>
        <w:rPr>
          <w:rFonts w:ascii="宋体" w:hAnsi="宋体" w:cs="宋体"/>
          <w:color w:val="auto"/>
          <w:sz w:val="24"/>
          <w:szCs w:val="24"/>
        </w:rPr>
      </w:pPr>
      <w:bookmarkStart w:id="751" w:name="_Toc152042383"/>
      <w:r>
        <w:rPr>
          <w:rFonts w:hint="eastAsia" w:ascii="宋体" w:hAnsi="宋体" w:cs="宋体"/>
          <w:color w:val="auto"/>
          <w:sz w:val="24"/>
          <w:szCs w:val="24"/>
        </w:rPr>
        <w:t>（1）投标文件中的大写金额与小写金额不一致的，以大写金额为准；</w:t>
      </w:r>
      <w:bookmarkEnd w:id="751"/>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2）如果（1-下浮率）与最高投标限价乘积不等于投标报价时，以下浮率为准修正投标报价（下浮率有明显的数量级错误的除外，此时应修正下浮率），若修正后的投标报价超过最高投标限价的，作否决投标处理；</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（3）如果分项报价累加不等总价的，以分项报价累加为准，修正总价；</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（4）投标文件存在其他计算性错误的，按就低不就高计算并修正；</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sz w:val="24"/>
          <w:szCs w:val="24"/>
          <w:u w:val="single"/>
        </w:rPr>
        <w:t>（5）按上述修正错误的原则及方法调整或修正投标文件的投标报价，调整后的投标报价对投标人起约束作用。如果投标人不接受修正后的报价，则取消其投标资格或中标资格。</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3.3.2投标报价评分</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评标委员会评委按照投标报价评分标准（详见前附表）计算投标报价得分。</w:t>
      </w:r>
    </w:p>
    <w:p>
      <w:pPr>
        <w:pStyle w:val="5"/>
        <w:adjustRightInd w:val="0"/>
        <w:snapToGrid w:val="0"/>
        <w:spacing w:before="0" w:after="0" w:line="360" w:lineRule="auto"/>
        <w:ind w:firstLine="118"/>
        <w:rPr>
          <w:rFonts w:ascii="宋体" w:eastAsia="宋体" w:cs="宋体"/>
          <w:b/>
          <w:bCs w:val="0"/>
          <w:color w:val="auto"/>
          <w:sz w:val="24"/>
          <w:szCs w:val="24"/>
        </w:rPr>
      </w:pPr>
      <w:r>
        <w:rPr>
          <w:rFonts w:hint="eastAsia" w:ascii="宋体" w:eastAsia="宋体" w:cs="宋体"/>
          <w:b/>
          <w:bCs w:val="0"/>
          <w:color w:val="auto"/>
          <w:sz w:val="24"/>
          <w:szCs w:val="24"/>
        </w:rPr>
        <w:t>3.4评审汇总</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3.4.1投标人总得分满分为100分，各部分分值分配详见评标办法前附表。</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3.4.2汇总各有效投标文件的总分，并按照总分从高到低排列先后次序，只有通过形式审查、资格审查和响应性审查的投标文件方可计算总分。总得分相同的投标文件，以</w:t>
      </w:r>
      <w:r>
        <w:rPr>
          <w:rFonts w:hint="eastAsia" w:ascii="宋体" w:hAnsi="宋体" w:cs="宋体"/>
          <w:color w:val="auto"/>
          <w:kern w:val="0"/>
          <w:sz w:val="24"/>
          <w:szCs w:val="24"/>
        </w:rPr>
        <w:t>工程总承包实施方案得分较</w:t>
      </w:r>
      <w:r>
        <w:rPr>
          <w:rFonts w:hint="eastAsia" w:ascii="宋体" w:hAnsi="宋体" w:cs="宋体"/>
          <w:color w:val="auto"/>
          <w:sz w:val="24"/>
          <w:szCs w:val="24"/>
        </w:rPr>
        <w:t>高的排前；总分与工程总承包实施方案得分均相同的投标文件，以</w:t>
      </w:r>
      <w:r>
        <w:rPr>
          <w:rFonts w:hint="eastAsia" w:ascii="宋体" w:hAnsi="宋体" w:cs="宋体"/>
          <w:color w:val="auto"/>
          <w:kern w:val="0"/>
          <w:sz w:val="24"/>
          <w:szCs w:val="24"/>
        </w:rPr>
        <w:t>投标总报价较低的</w:t>
      </w:r>
      <w:r>
        <w:rPr>
          <w:rFonts w:hint="eastAsia" w:ascii="宋体" w:hAnsi="宋体" w:cs="宋体"/>
          <w:color w:val="auto"/>
          <w:sz w:val="24"/>
          <w:szCs w:val="24"/>
        </w:rPr>
        <w:t>排前；如仍存在相同情况，则对具有相同情况的投标人，按中标候选人数量规定，则由评标委员会采用记名投票以得票多优先，确定中标候选人的排序。评标委员会应按排序先后，向招标人推荐前3名投标人依次为第一中标候选人至第三中标候选人，并编写评标报告。</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3.4.3有效投标单位不足三家，应当依法重新组织招标。</w:t>
      </w:r>
    </w:p>
    <w:p>
      <w:pPr>
        <w:pStyle w:val="5"/>
        <w:adjustRightInd w:val="0"/>
        <w:snapToGrid w:val="0"/>
        <w:spacing w:before="0" w:after="0" w:line="360" w:lineRule="auto"/>
        <w:ind w:firstLine="118"/>
        <w:rPr>
          <w:rFonts w:ascii="宋体" w:eastAsia="宋体" w:cs="宋体"/>
          <w:b/>
          <w:bCs w:val="0"/>
          <w:color w:val="auto"/>
          <w:sz w:val="24"/>
          <w:szCs w:val="24"/>
        </w:rPr>
      </w:pPr>
      <w:r>
        <w:rPr>
          <w:rFonts w:hint="eastAsia" w:ascii="宋体" w:eastAsia="宋体" w:cs="宋体"/>
          <w:b/>
          <w:bCs w:val="0"/>
          <w:color w:val="auto"/>
          <w:sz w:val="24"/>
          <w:szCs w:val="24"/>
        </w:rPr>
        <w:t>3.5投标文件的澄清和补正</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3.5.1为有助于投标文件的审查、评价和比较，评标期间，经评标委员会中两人以上（含两人）的成员以书面形式提出动议，评标委员会应当书面发出澄清通知，要求投标人对投标文件含义不明确的内容作出澄清。</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3.5.3 评标委员会成员均应当阅读投标人的澄清，但应独立参考澄清对投标文件进行评审。</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3.5.4如果投标文件实质上不响应招标文件的各项要求，评标委员会相应评审将按照响应性审查标准予以拒绝，不接受投标人通过修改或撤销其不符合要求的差异或保留，使之成为具有响应性的投标。</w:t>
      </w:r>
    </w:p>
    <w:p>
      <w:pPr>
        <w:pStyle w:val="5"/>
        <w:adjustRightInd w:val="0"/>
        <w:snapToGrid w:val="0"/>
        <w:spacing w:before="0" w:after="0" w:line="360" w:lineRule="auto"/>
        <w:ind w:firstLine="118"/>
        <w:rPr>
          <w:rFonts w:ascii="宋体" w:eastAsia="宋体" w:cs="宋体"/>
          <w:b/>
          <w:bCs w:val="0"/>
          <w:color w:val="auto"/>
          <w:sz w:val="24"/>
          <w:szCs w:val="24"/>
        </w:rPr>
      </w:pPr>
      <w:r>
        <w:rPr>
          <w:rFonts w:hint="eastAsia" w:ascii="宋体" w:eastAsia="宋体" w:cs="宋体"/>
          <w:b/>
          <w:bCs w:val="0"/>
          <w:color w:val="auto"/>
          <w:sz w:val="24"/>
          <w:szCs w:val="24"/>
        </w:rPr>
        <w:t>3.6评标结果</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3.6.1 除第二章“投标人须知”前附表授权直接确定中标人外，评标委员会按照得分由高到低的顺序推荐中标候选人。</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3.6.2 评标委员会完成评标后，应当向招标人提交书面评标报告。</w:t>
      </w:r>
    </w:p>
    <w:p>
      <w:pPr>
        <w:adjustRightInd w:val="0"/>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3.6.3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bookmarkEnd w:id="742"/>
    <w:bookmarkEnd w:id="743"/>
    <w:bookmarkEnd w:id="744"/>
    <w:bookmarkEnd w:id="745"/>
    <w:bookmarkEnd w:id="746"/>
    <w:bookmarkEnd w:id="747"/>
    <w:bookmarkEnd w:id="748"/>
    <w:bookmarkEnd w:id="749"/>
    <w:bookmarkEnd w:id="750"/>
    <w:p>
      <w:pPr>
        <w:pStyle w:val="4"/>
        <w:adjustRightInd w:val="0"/>
        <w:snapToGrid w:val="0"/>
        <w:spacing w:line="360" w:lineRule="auto"/>
        <w:rPr>
          <w:rFonts w:ascii="宋体" w:hAnsi="宋体" w:eastAsia="宋体" w:cs="宋体"/>
          <w:color w:val="auto"/>
          <w:sz w:val="24"/>
          <w:szCs w:val="24"/>
        </w:rPr>
        <w:sectPr>
          <w:footerReference r:id="rId6" w:type="default"/>
          <w:pgSz w:w="11906" w:h="16838"/>
          <w:pgMar w:top="1440" w:right="1797" w:bottom="1440" w:left="1797" w:header="851" w:footer="992" w:gutter="0"/>
          <w:cols w:space="720" w:num="1"/>
          <w:docGrid w:linePitch="312" w:charSpace="0"/>
        </w:sectPr>
      </w:pPr>
    </w:p>
    <w:p>
      <w:pPr>
        <w:pStyle w:val="3"/>
        <w:jc w:val="center"/>
        <w:rPr>
          <w:rFonts w:ascii="宋体" w:hAnsi="宋体" w:cs="宋体"/>
          <w:color w:val="auto"/>
        </w:rPr>
      </w:pPr>
      <w:bookmarkStart w:id="752" w:name="_Toc247527634"/>
      <w:bookmarkStart w:id="753" w:name="_Toc247514033"/>
      <w:bookmarkStart w:id="754" w:name="_Toc152045609"/>
      <w:bookmarkStart w:id="755" w:name="_Toc152042387"/>
      <w:bookmarkStart w:id="756" w:name="_Toc144974577"/>
      <w:bookmarkStart w:id="757" w:name="_Toc65361712"/>
      <w:bookmarkStart w:id="758" w:name="_Toc516265985"/>
      <w:bookmarkStart w:id="759" w:name="_Toc515980198"/>
    </w:p>
    <w:p>
      <w:pPr>
        <w:pStyle w:val="3"/>
        <w:jc w:val="center"/>
        <w:rPr>
          <w:rFonts w:ascii="宋体" w:hAnsi="宋体" w:cs="宋体"/>
          <w:color w:val="auto"/>
        </w:rPr>
      </w:pPr>
    </w:p>
    <w:p>
      <w:pPr>
        <w:pStyle w:val="3"/>
        <w:jc w:val="center"/>
        <w:rPr>
          <w:rFonts w:ascii="宋体" w:hAnsi="宋体" w:cs="宋体"/>
          <w:color w:val="auto"/>
        </w:rPr>
      </w:pPr>
    </w:p>
    <w:p>
      <w:pPr>
        <w:pStyle w:val="3"/>
        <w:jc w:val="center"/>
        <w:rPr>
          <w:rFonts w:ascii="宋体" w:hAnsi="宋体" w:cs="宋体"/>
          <w:color w:val="auto"/>
        </w:rPr>
      </w:pPr>
      <w:r>
        <w:rPr>
          <w:rFonts w:hint="eastAsia" w:ascii="宋体" w:hAnsi="宋体" w:cs="宋体"/>
          <w:color w:val="auto"/>
        </w:rPr>
        <w:t>第四章 合同条款</w:t>
      </w:r>
      <w:bookmarkEnd w:id="752"/>
      <w:bookmarkEnd w:id="753"/>
      <w:bookmarkEnd w:id="754"/>
      <w:bookmarkEnd w:id="755"/>
      <w:bookmarkEnd w:id="756"/>
      <w:bookmarkStart w:id="760" w:name="_Toc152042388"/>
      <w:bookmarkStart w:id="761" w:name="_Toc152045610"/>
      <w:bookmarkStart w:id="762" w:name="_Toc144974578"/>
      <w:bookmarkStart w:id="763" w:name="_Toc247527635"/>
      <w:bookmarkStart w:id="764" w:name="_Toc247514034"/>
      <w:bookmarkStart w:id="765" w:name="_Toc184635097"/>
      <w:r>
        <w:rPr>
          <w:rFonts w:hint="eastAsia" w:ascii="宋体" w:hAnsi="宋体" w:cs="宋体"/>
          <w:color w:val="auto"/>
        </w:rPr>
        <w:t>及格式</w:t>
      </w:r>
      <w:bookmarkEnd w:id="757"/>
      <w:r>
        <w:rPr>
          <w:rFonts w:hint="eastAsia" w:ascii="宋体" w:hAnsi="宋体" w:cs="宋体"/>
          <w:color w:val="auto"/>
        </w:rPr>
        <w:t>（另册）</w:t>
      </w:r>
    </w:p>
    <w:bookmarkEnd w:id="758"/>
    <w:bookmarkEnd w:id="759"/>
    <w:p>
      <w:pPr>
        <w:pStyle w:val="22"/>
        <w:spacing w:before="0" w:after="0" w:line="360" w:lineRule="auto"/>
        <w:ind w:left="0" w:right="0"/>
        <w:jc w:val="both"/>
        <w:rPr>
          <w:rFonts w:ascii="宋体" w:hAnsi="宋体" w:cs="宋体"/>
          <w:b/>
          <w:color w:val="auto"/>
          <w:sz w:val="48"/>
          <w:szCs w:val="44"/>
        </w:rPr>
      </w:pPr>
      <w:bookmarkStart w:id="766" w:name="_Toc152045771"/>
      <w:bookmarkEnd w:id="766"/>
      <w:bookmarkStart w:id="767" w:name="_Toc222798326"/>
      <w:bookmarkEnd w:id="767"/>
      <w:bookmarkStart w:id="768" w:name="_Toc223227706"/>
      <w:bookmarkEnd w:id="768"/>
      <w:bookmarkStart w:id="769" w:name="_Toc152042389"/>
      <w:bookmarkEnd w:id="769"/>
      <w:bookmarkStart w:id="770" w:name="_Toc247514201"/>
      <w:bookmarkEnd w:id="770"/>
      <w:bookmarkStart w:id="771" w:name="_Toc378514062"/>
      <w:bookmarkEnd w:id="771"/>
      <w:bookmarkStart w:id="772" w:name="_Toc247527802"/>
      <w:bookmarkEnd w:id="772"/>
      <w:bookmarkStart w:id="773" w:name="_Toc447930923"/>
      <w:bookmarkEnd w:id="773"/>
      <w:bookmarkStart w:id="774" w:name="_Toc378514063"/>
      <w:bookmarkEnd w:id="774"/>
      <w:bookmarkStart w:id="775" w:name="_Toc223227721"/>
      <w:bookmarkEnd w:id="775"/>
      <w:bookmarkStart w:id="776" w:name="_Toc447930924"/>
      <w:bookmarkEnd w:id="776"/>
      <w:bookmarkStart w:id="777" w:name="_Toc360623646"/>
      <w:bookmarkEnd w:id="777"/>
      <w:bookmarkStart w:id="778" w:name="_Toc447930925"/>
      <w:bookmarkEnd w:id="778"/>
      <w:bookmarkStart w:id="779" w:name="_Toc447805978"/>
      <w:bookmarkEnd w:id="779"/>
      <w:bookmarkStart w:id="780" w:name="_Toc447930947"/>
      <w:bookmarkEnd w:id="780"/>
      <w:bookmarkStart w:id="781" w:name="_Toc316739199"/>
      <w:bookmarkEnd w:id="781"/>
      <w:bookmarkStart w:id="782" w:name="_Toc247527801"/>
      <w:bookmarkEnd w:id="782"/>
      <w:bookmarkStart w:id="783" w:name="_Toc222814416"/>
      <w:bookmarkEnd w:id="783"/>
      <w:bookmarkStart w:id="784" w:name="_Toc222798329"/>
      <w:bookmarkEnd w:id="784"/>
      <w:bookmarkStart w:id="785" w:name="_Toc222798328"/>
      <w:bookmarkEnd w:id="785"/>
      <w:bookmarkStart w:id="786" w:name="_Toc360623050"/>
      <w:bookmarkEnd w:id="786"/>
      <w:bookmarkStart w:id="787" w:name="_Toc222814417"/>
      <w:bookmarkEnd w:id="787"/>
      <w:bookmarkStart w:id="788" w:name="_Toc223227718"/>
      <w:bookmarkEnd w:id="788"/>
      <w:bookmarkStart w:id="789" w:name="_Toc152042553"/>
      <w:bookmarkEnd w:id="789"/>
      <w:bookmarkStart w:id="790" w:name="_Toc222814418"/>
      <w:bookmarkEnd w:id="790"/>
      <w:bookmarkStart w:id="791" w:name="_Toc447930944"/>
      <w:bookmarkEnd w:id="791"/>
      <w:bookmarkStart w:id="792" w:name="_Toc447930977"/>
      <w:bookmarkEnd w:id="792"/>
      <w:bookmarkStart w:id="793" w:name="_Toc152042551"/>
      <w:bookmarkEnd w:id="793"/>
      <w:bookmarkStart w:id="794" w:name="_Toc222814415"/>
      <w:bookmarkEnd w:id="794"/>
      <w:bookmarkStart w:id="795" w:name="_Toc222798327"/>
      <w:bookmarkEnd w:id="795"/>
      <w:bookmarkStart w:id="796" w:name="_Toc223227720"/>
      <w:bookmarkEnd w:id="796"/>
      <w:bookmarkStart w:id="797" w:name="_Toc360623647"/>
      <w:bookmarkEnd w:id="797"/>
      <w:bookmarkStart w:id="798" w:name="_Toc316739200"/>
      <w:bookmarkEnd w:id="798"/>
      <w:bookmarkStart w:id="799" w:name="_Toc447930981"/>
      <w:bookmarkEnd w:id="799"/>
      <w:bookmarkStart w:id="800" w:name="_Toc316739201"/>
      <w:bookmarkEnd w:id="800"/>
      <w:bookmarkStart w:id="801" w:name="_Toc360623060"/>
      <w:bookmarkEnd w:id="801"/>
      <w:bookmarkStart w:id="802" w:name="_Toc152045769"/>
      <w:bookmarkEnd w:id="802"/>
      <w:bookmarkStart w:id="803" w:name="_Toc426741334"/>
      <w:bookmarkEnd w:id="803"/>
      <w:bookmarkStart w:id="804" w:name="_Toc360623637"/>
      <w:bookmarkEnd w:id="804"/>
      <w:bookmarkStart w:id="805" w:name="_Toc247514200"/>
      <w:bookmarkEnd w:id="805"/>
      <w:bookmarkStart w:id="806" w:name="_Toc316739197"/>
      <w:bookmarkEnd w:id="806"/>
      <w:bookmarkStart w:id="807" w:name="_Toc447930909"/>
      <w:bookmarkEnd w:id="807"/>
      <w:bookmarkStart w:id="808" w:name="_Toc360623059"/>
      <w:bookmarkEnd w:id="808"/>
      <w:bookmarkStart w:id="809" w:name="_Toc152045611"/>
      <w:bookmarkEnd w:id="809"/>
      <w:bookmarkStart w:id="810" w:name="_Toc447930926"/>
      <w:bookmarkEnd w:id="810"/>
      <w:bookmarkStart w:id="811" w:name="_Toc223227728"/>
      <w:bookmarkEnd w:id="811"/>
      <w:bookmarkStart w:id="812" w:name="_Toc447930943"/>
      <w:bookmarkEnd w:id="812"/>
      <w:bookmarkStart w:id="813" w:name="_Toc144974833"/>
      <w:bookmarkEnd w:id="813"/>
      <w:bookmarkStart w:id="814" w:name="_Toc179632629"/>
      <w:bookmarkEnd w:id="814"/>
      <w:bookmarkStart w:id="815" w:name="_Toc316739202"/>
      <w:bookmarkEnd w:id="815"/>
      <w:bookmarkStart w:id="816" w:name="_Toc223227719"/>
      <w:bookmarkEnd w:id="816"/>
      <w:r>
        <w:rPr>
          <w:rFonts w:hint="eastAsia" w:ascii="宋体" w:hAnsi="宋体" w:cs="宋体"/>
          <w:color w:val="auto"/>
          <w:szCs w:val="24"/>
        </w:rPr>
        <w:br w:type="page"/>
      </w:r>
    </w:p>
    <w:p>
      <w:pPr>
        <w:pStyle w:val="22"/>
        <w:spacing w:before="0" w:after="0" w:line="360" w:lineRule="auto"/>
        <w:ind w:left="0" w:right="0"/>
        <w:jc w:val="center"/>
        <w:rPr>
          <w:rFonts w:ascii="宋体" w:hAnsi="宋体" w:cs="宋体"/>
          <w:b/>
          <w:color w:val="auto"/>
          <w:sz w:val="48"/>
          <w:szCs w:val="44"/>
        </w:rPr>
      </w:pPr>
    </w:p>
    <w:p>
      <w:pPr>
        <w:pStyle w:val="3"/>
        <w:jc w:val="center"/>
        <w:rPr>
          <w:rFonts w:ascii="宋体" w:hAnsi="宋体" w:cs="宋体"/>
          <w:color w:val="auto"/>
        </w:rPr>
      </w:pPr>
      <w:bookmarkStart w:id="817" w:name="_Toc65361956"/>
      <w:r>
        <w:rPr>
          <w:rFonts w:hint="eastAsia" w:ascii="宋体" w:hAnsi="宋体" w:cs="宋体"/>
          <w:color w:val="auto"/>
        </w:rPr>
        <w:t>第二卷</w:t>
      </w:r>
      <w:bookmarkEnd w:id="817"/>
    </w:p>
    <w:p>
      <w:pPr>
        <w:spacing w:line="400" w:lineRule="exact"/>
        <w:rPr>
          <w:rFonts w:ascii="宋体" w:hAnsi="宋体" w:cs="宋体"/>
          <w:color w:val="auto"/>
          <w:szCs w:val="24"/>
        </w:rPr>
      </w:pPr>
    </w:p>
    <w:p>
      <w:pPr>
        <w:pStyle w:val="3"/>
        <w:adjustRightInd w:val="0"/>
        <w:snapToGrid w:val="0"/>
        <w:spacing w:before="0" w:after="0" w:line="360" w:lineRule="auto"/>
        <w:jc w:val="center"/>
        <w:rPr>
          <w:rFonts w:ascii="宋体" w:hAnsi="宋体" w:cs="宋体"/>
          <w:color w:val="auto"/>
        </w:rPr>
      </w:pPr>
      <w:r>
        <w:rPr>
          <w:rFonts w:hint="eastAsia" w:ascii="宋体" w:hAnsi="宋体" w:cs="宋体"/>
          <w:color w:val="auto"/>
        </w:rPr>
        <w:br w:type="page"/>
      </w:r>
      <w:bookmarkEnd w:id="760"/>
      <w:bookmarkEnd w:id="761"/>
      <w:bookmarkEnd w:id="762"/>
      <w:bookmarkEnd w:id="763"/>
      <w:bookmarkEnd w:id="764"/>
      <w:bookmarkEnd w:id="765"/>
      <w:bookmarkStart w:id="818" w:name="_Toc65361957"/>
      <w:bookmarkStart w:id="839" w:name="_GoBack"/>
      <w:bookmarkEnd w:id="839"/>
    </w:p>
    <w:p>
      <w:pPr>
        <w:pStyle w:val="3"/>
        <w:numPr>
          <w:ilvl w:val="-1"/>
          <w:numId w:val="0"/>
        </w:numPr>
        <w:adjustRightInd w:val="0"/>
        <w:snapToGrid w:val="0"/>
        <w:spacing w:before="0" w:after="0" w:line="360" w:lineRule="auto"/>
        <w:jc w:val="center"/>
        <w:rPr>
          <w:rFonts w:hint="eastAsia" w:ascii="宋体" w:hAnsi="宋体" w:cs="宋体"/>
          <w:color w:val="auto"/>
        </w:rPr>
      </w:pPr>
      <w:r>
        <w:rPr>
          <w:rFonts w:hint="eastAsia" w:ascii="宋体" w:hAnsi="宋体" w:cs="宋体"/>
          <w:color w:val="auto"/>
        </w:rPr>
        <w:t xml:space="preserve"> 发包人要求</w:t>
      </w:r>
      <w:bookmarkEnd w:id="818"/>
      <w:r>
        <w:rPr>
          <w:rFonts w:hint="eastAsia" w:ascii="宋体" w:hAnsi="宋体" w:cs="宋体"/>
          <w:color w:val="auto"/>
        </w:rPr>
        <w:t>（另册）</w:t>
      </w:r>
    </w:p>
    <w:p>
      <w:pPr>
        <w:pStyle w:val="3"/>
        <w:numPr>
          <w:ilvl w:val="-1"/>
          <w:numId w:val="0"/>
        </w:numPr>
        <w:adjustRightInd w:val="0"/>
        <w:snapToGrid w:val="0"/>
        <w:spacing w:before="0" w:after="0" w:line="360" w:lineRule="auto"/>
        <w:jc w:val="center"/>
        <w:rPr>
          <w:rFonts w:ascii="宋体" w:hAnsi="宋体" w:cs="宋体"/>
          <w:color w:val="auto"/>
        </w:rPr>
      </w:pPr>
      <w:r>
        <w:rPr>
          <w:rFonts w:hint="eastAsia" w:ascii="宋体" w:hAnsi="宋体" w:cs="宋体"/>
          <w:color w:val="auto"/>
        </w:rPr>
        <w:t>（</w:t>
      </w:r>
      <w:r>
        <w:rPr>
          <w:rFonts w:hint="eastAsia" w:ascii="宋体" w:hAnsi="宋体" w:cs="宋体"/>
          <w:color w:val="auto"/>
          <w:lang w:val="en-US" w:eastAsia="zh-CN"/>
        </w:rPr>
        <w:t>详见可研</w:t>
      </w:r>
      <w:r>
        <w:rPr>
          <w:rFonts w:hint="eastAsia" w:ascii="宋体" w:hAnsi="宋体" w:cs="宋体"/>
          <w:color w:val="auto"/>
        </w:rPr>
        <w:t>）</w:t>
      </w:r>
    </w:p>
    <w:p>
      <w:pPr>
        <w:spacing w:line="360" w:lineRule="auto"/>
        <w:jc w:val="center"/>
        <w:rPr>
          <w:rFonts w:ascii="宋体" w:hAnsi="宋体" w:cs="宋体"/>
          <w:color w:val="auto"/>
          <w:szCs w:val="21"/>
        </w:rPr>
      </w:pPr>
      <w:r>
        <w:rPr>
          <w:rFonts w:hint="eastAsia" w:ascii="宋体" w:hAnsi="宋体" w:cs="宋体"/>
          <w:color w:val="auto"/>
          <w:spacing w:val="10"/>
          <w:sz w:val="28"/>
        </w:rPr>
        <w:br w:type="page"/>
      </w:r>
    </w:p>
    <w:p>
      <w:pPr>
        <w:spacing w:line="400" w:lineRule="exact"/>
        <w:rPr>
          <w:rFonts w:ascii="宋体" w:hAnsi="宋体" w:cs="宋体"/>
          <w:color w:val="auto"/>
          <w:szCs w:val="21"/>
        </w:rPr>
      </w:pPr>
    </w:p>
    <w:p>
      <w:pPr>
        <w:spacing w:line="360" w:lineRule="auto"/>
        <w:ind w:firstLine="420"/>
        <w:rPr>
          <w:rFonts w:ascii="宋体" w:hAnsi="宋体" w:cs="宋体"/>
          <w:color w:val="auto"/>
          <w:szCs w:val="21"/>
        </w:rPr>
      </w:pPr>
    </w:p>
    <w:p>
      <w:pPr>
        <w:pStyle w:val="3"/>
        <w:adjustRightInd w:val="0"/>
        <w:snapToGrid w:val="0"/>
        <w:spacing w:before="0" w:after="0" w:line="360" w:lineRule="auto"/>
        <w:jc w:val="center"/>
        <w:rPr>
          <w:rFonts w:ascii="宋体" w:hAnsi="宋体" w:cs="宋体"/>
          <w:color w:val="auto"/>
        </w:rPr>
      </w:pPr>
      <w:bookmarkStart w:id="819" w:name="_Toc65361959"/>
      <w:bookmarkStart w:id="820" w:name="_Toc24793"/>
      <w:bookmarkStart w:id="821" w:name="_Toc23943"/>
      <w:r>
        <w:rPr>
          <w:rFonts w:hint="eastAsia" w:ascii="宋体" w:hAnsi="宋体" w:cs="宋体"/>
          <w:color w:val="auto"/>
        </w:rPr>
        <w:t>第六章 发包人提供的资料</w:t>
      </w:r>
      <w:bookmarkEnd w:id="819"/>
      <w:bookmarkEnd w:id="820"/>
      <w:bookmarkEnd w:id="821"/>
    </w:p>
    <w:p>
      <w:pPr>
        <w:spacing w:line="360" w:lineRule="auto"/>
        <w:ind w:left="432"/>
        <w:rPr>
          <w:rFonts w:ascii="宋体" w:hAnsi="宋体" w:cs="宋体"/>
          <w:color w:val="auto"/>
          <w:sz w:val="24"/>
          <w:szCs w:val="24"/>
        </w:rPr>
      </w:pPr>
      <w:r>
        <w:rPr>
          <w:rFonts w:hint="eastAsia" w:ascii="宋体" w:hAnsi="宋体" w:cs="宋体"/>
          <w:color w:val="auto"/>
          <w:sz w:val="24"/>
          <w:szCs w:val="24"/>
        </w:rPr>
        <w:t>施工现场建筑垃圾源头减量的具体要求和建筑垃圾综合利用产品的使用要求</w:t>
      </w:r>
    </w:p>
    <w:p>
      <w:pPr>
        <w:spacing w:line="360" w:lineRule="auto"/>
        <w:ind w:left="432"/>
        <w:rPr>
          <w:rFonts w:ascii="宋体" w:hAnsi="宋体" w:cs="宋体"/>
          <w:color w:val="auto"/>
          <w:sz w:val="24"/>
          <w:szCs w:val="24"/>
        </w:rPr>
      </w:pPr>
      <w:r>
        <w:rPr>
          <w:rFonts w:hint="eastAsia" w:ascii="宋体" w:hAnsi="宋体" w:cs="宋体"/>
          <w:color w:val="auto"/>
          <w:sz w:val="24"/>
          <w:szCs w:val="24"/>
        </w:rPr>
        <w:t>（一）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spacing w:line="360" w:lineRule="auto"/>
        <w:ind w:left="432"/>
        <w:rPr>
          <w:rFonts w:ascii="宋体" w:hAnsi="宋体" w:cs="宋体"/>
          <w:color w:val="auto"/>
          <w:sz w:val="24"/>
          <w:szCs w:val="24"/>
        </w:rPr>
      </w:pPr>
      <w:r>
        <w:rPr>
          <w:rFonts w:hint="eastAsia" w:ascii="宋体" w:hAnsi="宋体" w:cs="宋体"/>
          <w:color w:val="auto"/>
          <w:sz w:val="24"/>
          <w:szCs w:val="24"/>
        </w:rPr>
        <w:t>（二）建筑垃圾应当按照国家有关规定进行分类，实行分类收集、分类贮存、分类运输、分类处置。</w:t>
      </w:r>
    </w:p>
    <w:p>
      <w:pPr>
        <w:spacing w:line="360" w:lineRule="auto"/>
        <w:ind w:left="432"/>
        <w:rPr>
          <w:rFonts w:ascii="宋体" w:hAnsi="宋体" w:cs="宋体"/>
          <w:color w:val="auto"/>
          <w:sz w:val="24"/>
          <w:szCs w:val="24"/>
        </w:rPr>
      </w:pPr>
      <w:r>
        <w:rPr>
          <w:rFonts w:hint="eastAsia" w:ascii="宋体" w:hAnsi="宋体" w:cs="宋体"/>
          <w:color w:val="auto"/>
          <w:sz w:val="24"/>
          <w:szCs w:val="24"/>
        </w:rPr>
        <w:t>（三）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spacing w:line="360" w:lineRule="auto"/>
        <w:ind w:left="432"/>
        <w:rPr>
          <w:rFonts w:ascii="宋体" w:hAnsi="宋体" w:cs="宋体"/>
          <w:color w:val="auto"/>
          <w:sz w:val="24"/>
          <w:szCs w:val="24"/>
        </w:rPr>
      </w:pPr>
      <w:r>
        <w:rPr>
          <w:rFonts w:hint="eastAsia" w:ascii="宋体" w:hAnsi="宋体" w:cs="宋体"/>
          <w:color w:val="auto"/>
          <w:sz w:val="24"/>
          <w:szCs w:val="24"/>
        </w:rPr>
        <w:t>（四）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pPr>
        <w:spacing w:line="360" w:lineRule="auto"/>
        <w:ind w:left="432"/>
        <w:rPr>
          <w:rFonts w:ascii="宋体" w:hAnsi="宋体" w:cs="宋体"/>
          <w:color w:val="auto"/>
          <w:sz w:val="24"/>
          <w:szCs w:val="24"/>
        </w:rPr>
      </w:pPr>
      <w:r>
        <w:rPr>
          <w:rFonts w:hint="eastAsia" w:ascii="宋体" w:hAnsi="宋体" w:cs="宋体"/>
          <w:color w:val="auto"/>
          <w:sz w:val="24"/>
          <w:szCs w:val="24"/>
        </w:rPr>
        <w:t>（五）工程泥浆应当在施工现场进行脱水固化处理。施工现场不具备条件的，应当采用罐装器具密闭运输至依法设置的建筑垃圾处置场所进行处置。水上工程中依法无需经脱水处理的除外。</w:t>
      </w:r>
    </w:p>
    <w:p>
      <w:pPr>
        <w:spacing w:line="360" w:lineRule="auto"/>
        <w:ind w:left="432"/>
        <w:rPr>
          <w:rFonts w:ascii="宋体" w:hAnsi="宋体" w:cs="宋体"/>
          <w:color w:val="auto"/>
          <w:sz w:val="24"/>
          <w:szCs w:val="24"/>
        </w:rPr>
      </w:pPr>
      <w:r>
        <w:rPr>
          <w:rFonts w:hint="eastAsia" w:ascii="宋体" w:hAnsi="宋体" w:cs="宋体"/>
          <w:color w:val="auto"/>
          <w:sz w:val="24"/>
          <w:szCs w:val="24"/>
        </w:rPr>
        <w:t>（六）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pPr>
        <w:spacing w:line="360" w:lineRule="auto"/>
        <w:ind w:left="432"/>
        <w:rPr>
          <w:rFonts w:ascii="宋体" w:hAnsi="宋体" w:cs="宋体"/>
          <w:color w:val="auto"/>
          <w:sz w:val="24"/>
          <w:szCs w:val="24"/>
        </w:rPr>
      </w:pPr>
      <w:r>
        <w:rPr>
          <w:rFonts w:hint="eastAsia" w:ascii="宋体" w:hAnsi="宋体" w:cs="宋体"/>
          <w:color w:val="auto"/>
          <w:sz w:val="24"/>
          <w:szCs w:val="24"/>
        </w:rPr>
        <w:t>（七）建设单位和施工单位严格遵守并执行《广东省建筑垃圾管理条例》。</w:t>
      </w:r>
    </w:p>
    <w:p>
      <w:pPr>
        <w:spacing w:line="360" w:lineRule="auto"/>
        <w:rPr>
          <w:rFonts w:ascii="宋体" w:hAnsi="宋体" w:cs="宋体"/>
          <w:color w:val="auto"/>
          <w:spacing w:val="10"/>
          <w:sz w:val="24"/>
          <w:szCs w:val="24"/>
        </w:rPr>
      </w:pPr>
      <w:r>
        <w:rPr>
          <w:rFonts w:hint="eastAsia" w:ascii="宋体" w:hAnsi="宋体" w:cs="宋体"/>
          <w:color w:val="auto"/>
          <w:spacing w:val="10"/>
          <w:sz w:val="24"/>
          <w:szCs w:val="24"/>
        </w:rPr>
        <w:br w:type="page"/>
      </w:r>
    </w:p>
    <w:p>
      <w:pPr>
        <w:spacing w:line="400" w:lineRule="exact"/>
        <w:rPr>
          <w:rFonts w:ascii="宋体" w:hAnsi="宋体" w:cs="宋体"/>
          <w:color w:val="auto"/>
          <w:szCs w:val="24"/>
        </w:rPr>
      </w:pPr>
    </w:p>
    <w:p>
      <w:pPr>
        <w:spacing w:line="400" w:lineRule="exact"/>
        <w:rPr>
          <w:rFonts w:ascii="宋体" w:hAnsi="宋体" w:cs="宋体"/>
          <w:color w:val="auto"/>
          <w:szCs w:val="24"/>
        </w:rPr>
      </w:pPr>
    </w:p>
    <w:p>
      <w:pPr>
        <w:spacing w:line="400" w:lineRule="exact"/>
        <w:rPr>
          <w:rFonts w:ascii="宋体" w:hAnsi="宋体" w:cs="宋体"/>
          <w:color w:val="auto"/>
          <w:szCs w:val="24"/>
        </w:rPr>
      </w:pPr>
    </w:p>
    <w:p>
      <w:pPr>
        <w:spacing w:line="400" w:lineRule="exact"/>
        <w:rPr>
          <w:rFonts w:ascii="宋体" w:hAnsi="宋体" w:cs="宋体"/>
          <w:color w:val="auto"/>
          <w:szCs w:val="24"/>
        </w:rPr>
      </w:pPr>
    </w:p>
    <w:p>
      <w:pPr>
        <w:spacing w:line="400" w:lineRule="exact"/>
        <w:rPr>
          <w:rFonts w:ascii="宋体" w:hAnsi="宋体" w:cs="宋体"/>
          <w:color w:val="auto"/>
          <w:szCs w:val="24"/>
        </w:rPr>
      </w:pPr>
    </w:p>
    <w:p>
      <w:pPr>
        <w:keepNext/>
        <w:keepLines/>
        <w:spacing w:before="340" w:after="330" w:line="576" w:lineRule="auto"/>
        <w:jc w:val="center"/>
        <w:outlineLvl w:val="0"/>
        <w:rPr>
          <w:rFonts w:ascii="宋体" w:hAnsi="宋体" w:cs="宋体"/>
          <w:b/>
          <w:bCs/>
          <w:color w:val="auto"/>
          <w:kern w:val="44"/>
          <w:sz w:val="44"/>
          <w:szCs w:val="44"/>
        </w:rPr>
      </w:pPr>
      <w:bookmarkStart w:id="822" w:name="_Toc247514244"/>
      <w:bookmarkStart w:id="823" w:name="_Toc24165"/>
      <w:bookmarkStart w:id="824" w:name="_Toc247527825"/>
      <w:bookmarkStart w:id="825" w:name="_Toc65361960"/>
      <w:bookmarkStart w:id="826" w:name="_Toc15557"/>
      <w:r>
        <w:rPr>
          <w:rFonts w:hint="eastAsia" w:ascii="宋体" w:hAnsi="宋体" w:cs="宋体"/>
          <w:b/>
          <w:bCs/>
          <w:color w:val="auto"/>
          <w:kern w:val="44"/>
          <w:sz w:val="44"/>
          <w:szCs w:val="44"/>
        </w:rPr>
        <w:t>第三卷</w:t>
      </w:r>
      <w:bookmarkEnd w:id="822"/>
      <w:bookmarkEnd w:id="823"/>
      <w:bookmarkEnd w:id="824"/>
      <w:bookmarkEnd w:id="825"/>
      <w:bookmarkEnd w:id="826"/>
    </w:p>
    <w:p>
      <w:pPr>
        <w:spacing w:line="400" w:lineRule="exact"/>
        <w:rPr>
          <w:rFonts w:ascii="宋体" w:hAnsi="宋体" w:cs="宋体"/>
          <w:color w:val="auto"/>
        </w:rPr>
      </w:pPr>
    </w:p>
    <w:p>
      <w:pPr>
        <w:pStyle w:val="3"/>
        <w:jc w:val="center"/>
        <w:rPr>
          <w:rFonts w:ascii="宋体" w:hAnsi="宋体" w:cs="宋体"/>
          <w:color w:val="auto"/>
        </w:rPr>
      </w:pPr>
      <w:bookmarkStart w:id="827" w:name="_Toc515980209"/>
      <w:bookmarkStart w:id="828" w:name="_Toc144974855"/>
      <w:bookmarkStart w:id="829" w:name="_Toc247527826"/>
      <w:bookmarkStart w:id="830" w:name="_Toc247514245"/>
      <w:bookmarkStart w:id="831" w:name="_Toc152045786"/>
      <w:bookmarkStart w:id="832" w:name="_Toc152042575"/>
      <w:bookmarkStart w:id="833" w:name="_Toc516266007"/>
      <w:r>
        <w:rPr>
          <w:rFonts w:hint="eastAsia" w:ascii="宋体" w:hAnsi="宋体" w:cs="宋体"/>
          <w:color w:val="auto"/>
        </w:rPr>
        <w:br w:type="page"/>
      </w:r>
      <w:bookmarkStart w:id="834" w:name="_Toc65361961"/>
      <w:r>
        <w:rPr>
          <w:rFonts w:hint="eastAsia" w:ascii="宋体" w:hAnsi="宋体" w:cs="宋体"/>
          <w:color w:val="auto"/>
        </w:rPr>
        <w:t>第七章 投标文件格式</w:t>
      </w:r>
      <w:bookmarkEnd w:id="827"/>
      <w:bookmarkEnd w:id="828"/>
      <w:bookmarkEnd w:id="829"/>
      <w:bookmarkEnd w:id="830"/>
      <w:bookmarkEnd w:id="831"/>
      <w:bookmarkEnd w:id="832"/>
      <w:bookmarkEnd w:id="833"/>
      <w:bookmarkEnd w:id="834"/>
    </w:p>
    <w:p>
      <w:pPr>
        <w:widowControl/>
        <w:jc w:val="left"/>
        <w:rPr>
          <w:rFonts w:ascii="宋体" w:hAnsi="宋体" w:cs="宋体"/>
          <w:color w:val="auto"/>
        </w:rPr>
        <w:sectPr>
          <w:pgSz w:w="11906" w:h="16838"/>
          <w:pgMar w:top="1440" w:right="1797" w:bottom="1440" w:left="1797" w:header="851" w:footer="992" w:gutter="0"/>
          <w:cols w:space="720" w:num="1"/>
          <w:docGrid w:linePitch="312" w:charSpace="0"/>
        </w:sectPr>
      </w:pPr>
    </w:p>
    <w:p>
      <w:pPr>
        <w:spacing w:line="360" w:lineRule="auto"/>
        <w:rPr>
          <w:rFonts w:ascii="宋体" w:hAnsi="宋体" w:cs="宋体"/>
          <w:b/>
          <w:color w:val="auto"/>
          <w:sz w:val="48"/>
          <w:szCs w:val="48"/>
        </w:rPr>
      </w:pPr>
      <w:bookmarkStart w:id="835" w:name="_Toc2675475"/>
      <w:r>
        <w:rPr>
          <w:rFonts w:hint="eastAsia" w:ascii="宋体" w:hAnsi="宋体" w:cs="宋体"/>
          <w:b/>
          <w:color w:val="auto"/>
          <w:sz w:val="24"/>
          <w:szCs w:val="20"/>
        </w:rPr>
        <w:t>格式1：</w:t>
      </w:r>
    </w:p>
    <w:p>
      <w:pPr>
        <w:autoSpaceDE w:val="0"/>
        <w:autoSpaceDN w:val="0"/>
        <w:adjustRightInd w:val="0"/>
        <w:spacing w:line="360" w:lineRule="auto"/>
        <w:jc w:val="center"/>
        <w:rPr>
          <w:rFonts w:ascii="宋体" w:hAnsi="宋体" w:cs="宋体"/>
          <w:b/>
          <w:bCs/>
          <w:color w:val="auto"/>
          <w:sz w:val="36"/>
          <w:szCs w:val="36"/>
          <w:lang w:val="zh-CN"/>
        </w:rPr>
      </w:pPr>
      <w:bookmarkStart w:id="836" w:name="_Toc235615834"/>
      <w:bookmarkStart w:id="837" w:name="_Toc236215897"/>
      <w:bookmarkStart w:id="838" w:name="_Toc235616116"/>
      <w:r>
        <w:rPr>
          <w:rFonts w:hint="eastAsia" w:ascii="宋体" w:hAnsi="宋体" w:cs="宋体"/>
          <w:b/>
          <w:bCs/>
          <w:color w:val="auto"/>
          <w:sz w:val="36"/>
          <w:szCs w:val="36"/>
          <w:lang w:val="zh-CN"/>
        </w:rPr>
        <w:t>投标书</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574"/>
        <w:gridCol w:w="846"/>
        <w:gridCol w:w="1310"/>
        <w:gridCol w:w="105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一</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宋体" w:hAnsi="宋体" w:cs="宋体"/>
                <w:b/>
                <w:bCs/>
                <w:color w:val="auto"/>
                <w:sz w:val="24"/>
                <w:szCs w:val="24"/>
                <w:lang w:val="zh-CN"/>
              </w:rPr>
            </w:pPr>
            <w:r>
              <w:rPr>
                <w:rFonts w:hint="eastAsia" w:ascii="宋体" w:hAnsi="宋体" w:cs="宋体"/>
                <w:b/>
                <w:color w:val="auto"/>
                <w:sz w:val="24"/>
                <w:szCs w:val="24"/>
                <w:lang w:val="zh-CN"/>
              </w:rPr>
              <w:t>工程名称</w:t>
            </w:r>
          </w:p>
        </w:tc>
        <w:tc>
          <w:tcPr>
            <w:tcW w:w="43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二</w:t>
            </w:r>
          </w:p>
        </w:tc>
        <w:tc>
          <w:tcPr>
            <w:tcW w:w="3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投标总工期</w:t>
            </w:r>
          </w:p>
        </w:tc>
        <w:tc>
          <w:tcPr>
            <w:tcW w:w="43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36" w:type="dxa"/>
            <w:tcBorders>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rPr>
            </w:pPr>
            <w:r>
              <w:rPr>
                <w:rFonts w:hint="eastAsia" w:ascii="宋体" w:hAnsi="宋体" w:cs="宋体"/>
                <w:b/>
                <w:bCs/>
                <w:color w:val="auto"/>
                <w:sz w:val="24"/>
                <w:szCs w:val="24"/>
              </w:rPr>
              <w:t>三</w:t>
            </w:r>
          </w:p>
        </w:tc>
        <w:tc>
          <w:tcPr>
            <w:tcW w:w="3574" w:type="dxa"/>
            <w:tcBorders>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cs="宋体"/>
                <w:b/>
                <w:color w:val="auto"/>
                <w:sz w:val="24"/>
                <w:szCs w:val="24"/>
                <w:lang w:val="zh-CN"/>
              </w:rPr>
            </w:pPr>
            <w:r>
              <w:rPr>
                <w:rFonts w:hint="eastAsia" w:ascii="宋体" w:hAnsi="宋体" w:cs="宋体"/>
                <w:b/>
                <w:bCs/>
                <w:color w:val="auto"/>
                <w:sz w:val="24"/>
                <w:szCs w:val="24"/>
                <w:lang w:val="zh-CN"/>
              </w:rPr>
              <w:t>质量标准</w:t>
            </w:r>
          </w:p>
        </w:tc>
        <w:tc>
          <w:tcPr>
            <w:tcW w:w="43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四</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保修期限</w:t>
            </w:r>
          </w:p>
        </w:tc>
        <w:tc>
          <w:tcPr>
            <w:tcW w:w="43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bCs/>
                <w:color w:val="auto"/>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rPr>
            </w:pPr>
            <w:r>
              <w:rPr>
                <w:rFonts w:hint="eastAsia" w:ascii="宋体" w:hAnsi="宋体" w:cs="宋体"/>
                <w:b/>
                <w:bCs/>
                <w:color w:val="auto"/>
                <w:sz w:val="24"/>
                <w:szCs w:val="24"/>
              </w:rPr>
              <w:t>五</w:t>
            </w:r>
          </w:p>
        </w:tc>
        <w:tc>
          <w:tcPr>
            <w:tcW w:w="3574"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lang w:val="zh-CN"/>
              </w:rPr>
            </w:pPr>
            <w:r>
              <w:rPr>
                <w:rFonts w:hint="eastAsia" w:ascii="宋体" w:hAnsi="宋体" w:cs="宋体"/>
                <w:b/>
                <w:bCs/>
                <w:color w:val="auto"/>
                <w:sz w:val="24"/>
                <w:szCs w:val="24"/>
                <w:lang w:val="zh-CN"/>
              </w:rPr>
              <w:t>投标总报价</w:t>
            </w:r>
          </w:p>
        </w:tc>
        <w:tc>
          <w:tcPr>
            <w:tcW w:w="43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bCs/>
                <w:color w:val="auto"/>
                <w:sz w:val="24"/>
                <w:szCs w:val="24"/>
              </w:rPr>
            </w:pPr>
            <w:r>
              <w:rPr>
                <w:rFonts w:hint="eastAsia" w:ascii="宋体" w:hAnsi="宋体" w:cs="宋体"/>
                <w:b/>
                <w:bCs/>
                <w:color w:val="auto"/>
                <w:sz w:val="24"/>
                <w:szCs w:val="24"/>
                <w:lang w:val="zh-CN"/>
              </w:rPr>
              <w:t>大写：</w:t>
            </w:r>
          </w:p>
          <w:p>
            <w:pPr>
              <w:autoSpaceDE w:val="0"/>
              <w:autoSpaceDN w:val="0"/>
              <w:adjustRightInd w:val="0"/>
              <w:snapToGrid w:val="0"/>
              <w:spacing w:line="500" w:lineRule="exact"/>
              <w:jc w:val="left"/>
              <w:rPr>
                <w:rFonts w:ascii="宋体" w:hAnsi="宋体" w:cs="宋体"/>
                <w:b/>
                <w:bCs/>
                <w:color w:val="auto"/>
                <w:sz w:val="24"/>
                <w:szCs w:val="24"/>
              </w:rPr>
            </w:pPr>
            <w:r>
              <w:rPr>
                <w:rFonts w:hint="eastAsia" w:ascii="宋体" w:hAnsi="宋体" w:cs="宋体"/>
                <w:b/>
                <w:bCs/>
                <w:color w:val="auto"/>
                <w:sz w:val="24"/>
                <w:szCs w:val="24"/>
                <w:lang w:val="zh-CN"/>
              </w:rPr>
              <w:t>小写：</w:t>
            </w:r>
            <w:r>
              <w:rPr>
                <w:rFonts w:hint="eastAsia" w:ascii="宋体" w:hAnsi="宋体" w:cs="宋体"/>
                <w:b/>
                <w:bCs/>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rPr>
            </w:pPr>
            <w:r>
              <w:rPr>
                <w:rFonts w:hint="eastAsia" w:ascii="宋体" w:hAnsi="宋体" w:cs="宋体"/>
                <w:b/>
                <w:bCs/>
                <w:color w:val="auto"/>
                <w:sz w:val="24"/>
                <w:szCs w:val="24"/>
              </w:rPr>
              <w:t>1</w:t>
            </w:r>
          </w:p>
        </w:tc>
        <w:tc>
          <w:tcPr>
            <w:tcW w:w="3574"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lang w:val="zh-CN"/>
              </w:rPr>
            </w:pPr>
            <w:r>
              <w:rPr>
                <w:rFonts w:hint="eastAsia" w:ascii="宋体" w:hAnsi="宋体" w:cs="宋体"/>
                <w:b/>
                <w:bCs/>
                <w:color w:val="auto"/>
                <w:sz w:val="24"/>
                <w:szCs w:val="24"/>
                <w:lang w:val="zh-CN"/>
              </w:rPr>
              <w:t>其中：</w:t>
            </w:r>
            <w:r>
              <w:rPr>
                <w:rFonts w:hint="eastAsia" w:ascii="宋体" w:hAnsi="宋体" w:cs="宋体"/>
                <w:b/>
                <w:bCs/>
                <w:color w:val="auto"/>
                <w:sz w:val="24"/>
                <w:szCs w:val="24"/>
              </w:rPr>
              <w:t>工程设计费投标</w:t>
            </w:r>
            <w:r>
              <w:rPr>
                <w:rFonts w:hint="eastAsia" w:ascii="宋体" w:hAnsi="宋体" w:cs="宋体"/>
                <w:b/>
                <w:bCs/>
                <w:color w:val="auto"/>
                <w:sz w:val="24"/>
                <w:szCs w:val="24"/>
                <w:lang w:val="zh-CN"/>
              </w:rPr>
              <w:t>报价</w:t>
            </w:r>
          </w:p>
        </w:tc>
        <w:tc>
          <w:tcPr>
            <w:tcW w:w="43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bCs/>
                <w:color w:val="auto"/>
                <w:sz w:val="24"/>
                <w:szCs w:val="24"/>
                <w:lang w:val="zh-CN"/>
              </w:rPr>
            </w:pPr>
            <w:r>
              <w:rPr>
                <w:rFonts w:hint="eastAsia" w:ascii="宋体" w:hAnsi="宋体" w:cs="宋体"/>
                <w:b/>
                <w:bCs/>
                <w:color w:val="auto"/>
                <w:sz w:val="24"/>
                <w:szCs w:val="24"/>
                <w:lang w:val="zh-CN"/>
              </w:rPr>
              <w:t>大写：</w:t>
            </w:r>
          </w:p>
          <w:p>
            <w:pPr>
              <w:autoSpaceDE w:val="0"/>
              <w:autoSpaceDN w:val="0"/>
              <w:adjustRightInd w:val="0"/>
              <w:snapToGrid w:val="0"/>
              <w:spacing w:line="500" w:lineRule="exact"/>
              <w:jc w:val="left"/>
              <w:rPr>
                <w:rFonts w:ascii="宋体" w:hAnsi="宋体" w:cs="宋体"/>
                <w:b/>
                <w:bCs/>
                <w:color w:val="auto"/>
                <w:sz w:val="24"/>
                <w:szCs w:val="24"/>
              </w:rPr>
            </w:pPr>
            <w:r>
              <w:rPr>
                <w:rFonts w:hint="eastAsia" w:ascii="宋体" w:hAnsi="宋体" w:cs="宋体"/>
                <w:b/>
                <w:bCs/>
                <w:color w:val="auto"/>
                <w:sz w:val="24"/>
                <w:szCs w:val="24"/>
                <w:lang w:val="zh-CN"/>
              </w:rPr>
              <w:t>小写：</w:t>
            </w:r>
            <w:r>
              <w:rPr>
                <w:rFonts w:hint="eastAsia" w:ascii="宋体" w:hAnsi="宋体" w:cs="宋体"/>
                <w:b/>
                <w:bCs/>
                <w:color w:val="auto"/>
                <w:sz w:val="24"/>
                <w:szCs w:val="24"/>
              </w:rPr>
              <w:t>元</w:t>
            </w:r>
          </w:p>
          <w:p>
            <w:pPr>
              <w:pStyle w:val="2"/>
              <w:rPr>
                <w:rFonts w:hAnsi="宋体" w:cs="宋体"/>
                <w:b/>
                <w:bCs/>
                <w:color w:val="auto"/>
                <w:kern w:val="2"/>
                <w:sz w:val="24"/>
                <w:szCs w:val="24"/>
                <w:u w:val="single"/>
              </w:rPr>
            </w:pPr>
          </w:p>
          <w:p>
            <w:pPr>
              <w:rPr>
                <w:color w:val="auto"/>
              </w:rPr>
            </w:pPr>
            <w:r>
              <w:rPr>
                <w:rFonts w:hint="eastAsia" w:ascii="宋体" w:hAnsi="宋体" w:cs="宋体"/>
                <w:b/>
                <w:bCs/>
                <w:color w:val="auto"/>
                <w:sz w:val="24"/>
                <w:szCs w:val="24"/>
                <w:u w:val="single"/>
              </w:rPr>
              <w:t>投标下浮率为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636"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rPr>
            </w:pPr>
            <w:r>
              <w:rPr>
                <w:rFonts w:hint="eastAsia" w:ascii="宋体" w:hAnsi="宋体" w:cs="宋体"/>
                <w:b/>
                <w:bCs/>
                <w:color w:val="auto"/>
                <w:sz w:val="24"/>
                <w:szCs w:val="24"/>
              </w:rPr>
              <w:t>2</w:t>
            </w:r>
          </w:p>
        </w:tc>
        <w:tc>
          <w:tcPr>
            <w:tcW w:w="3574"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lang w:val="zh-CN"/>
              </w:rPr>
            </w:pPr>
            <w:r>
              <w:rPr>
                <w:rFonts w:hint="eastAsia" w:ascii="宋体" w:hAnsi="宋体" w:cs="宋体"/>
                <w:b/>
                <w:bCs/>
                <w:color w:val="auto"/>
                <w:sz w:val="24"/>
                <w:szCs w:val="24"/>
                <w:lang w:val="zh-CN"/>
              </w:rPr>
              <w:t>其中：建安工程费</w:t>
            </w:r>
            <w:r>
              <w:rPr>
                <w:rFonts w:hint="eastAsia" w:ascii="宋体" w:hAnsi="宋体" w:cs="宋体"/>
                <w:b/>
                <w:bCs/>
                <w:color w:val="auto"/>
                <w:sz w:val="24"/>
                <w:szCs w:val="24"/>
              </w:rPr>
              <w:t>投标</w:t>
            </w:r>
            <w:r>
              <w:rPr>
                <w:rFonts w:hint="eastAsia" w:ascii="宋体" w:hAnsi="宋体" w:cs="宋体"/>
                <w:b/>
                <w:bCs/>
                <w:color w:val="auto"/>
                <w:sz w:val="24"/>
                <w:szCs w:val="24"/>
                <w:lang w:val="zh-CN"/>
              </w:rPr>
              <w:t>报价</w:t>
            </w:r>
          </w:p>
        </w:tc>
        <w:tc>
          <w:tcPr>
            <w:tcW w:w="43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bCs/>
                <w:color w:val="auto"/>
                <w:sz w:val="24"/>
                <w:szCs w:val="24"/>
                <w:lang w:val="zh-CN"/>
              </w:rPr>
            </w:pPr>
            <w:r>
              <w:rPr>
                <w:rFonts w:hint="eastAsia" w:ascii="宋体" w:hAnsi="宋体" w:cs="宋体"/>
                <w:b/>
                <w:bCs/>
                <w:color w:val="auto"/>
                <w:sz w:val="24"/>
                <w:szCs w:val="24"/>
                <w:lang w:val="zh-CN"/>
              </w:rPr>
              <w:t>大写：</w:t>
            </w:r>
          </w:p>
          <w:p>
            <w:pPr>
              <w:pStyle w:val="2"/>
              <w:autoSpaceDE w:val="0"/>
              <w:autoSpaceDN w:val="0"/>
              <w:adjustRightInd w:val="0"/>
              <w:snapToGrid w:val="0"/>
              <w:spacing w:line="500" w:lineRule="exact"/>
              <w:jc w:val="left"/>
              <w:rPr>
                <w:rFonts w:hAnsi="宋体" w:cs="宋体"/>
                <w:b/>
                <w:bCs/>
                <w:color w:val="auto"/>
                <w:sz w:val="24"/>
                <w:szCs w:val="24"/>
                <w:lang w:val="zh-CN"/>
              </w:rPr>
            </w:pPr>
            <w:r>
              <w:rPr>
                <w:rFonts w:hint="eastAsia" w:hAnsi="宋体" w:cs="宋体"/>
                <w:color w:val="auto"/>
                <w:sz w:val="24"/>
                <w:szCs w:val="24"/>
              </w:rPr>
              <w:t>其中水利   元，园林景观工程  元</w:t>
            </w:r>
          </w:p>
          <w:p>
            <w:pPr>
              <w:autoSpaceDE w:val="0"/>
              <w:autoSpaceDN w:val="0"/>
              <w:adjustRightInd w:val="0"/>
              <w:snapToGrid w:val="0"/>
              <w:spacing w:line="500" w:lineRule="exact"/>
              <w:jc w:val="left"/>
              <w:rPr>
                <w:rFonts w:ascii="宋体" w:hAnsi="宋体" w:cs="宋体"/>
                <w:b/>
                <w:bCs/>
                <w:color w:val="auto"/>
                <w:sz w:val="24"/>
                <w:szCs w:val="24"/>
              </w:rPr>
            </w:pPr>
            <w:r>
              <w:rPr>
                <w:rFonts w:hint="eastAsia" w:ascii="宋体" w:hAnsi="宋体" w:cs="宋体"/>
                <w:b/>
                <w:bCs/>
                <w:color w:val="auto"/>
                <w:sz w:val="24"/>
                <w:szCs w:val="24"/>
                <w:lang w:val="zh-CN"/>
              </w:rPr>
              <w:t>小写：</w:t>
            </w:r>
            <w:r>
              <w:rPr>
                <w:rFonts w:hint="eastAsia" w:ascii="宋体" w:hAnsi="宋体" w:cs="宋体"/>
                <w:b/>
                <w:bCs/>
                <w:color w:val="auto"/>
                <w:sz w:val="24"/>
                <w:szCs w:val="24"/>
              </w:rPr>
              <w:t>元</w:t>
            </w:r>
          </w:p>
          <w:p>
            <w:pPr>
              <w:pStyle w:val="2"/>
              <w:rPr>
                <w:color w:val="auto"/>
                <w:lang w:val="zh-CN"/>
              </w:rPr>
            </w:pPr>
            <w:r>
              <w:rPr>
                <w:rFonts w:hint="eastAsia" w:hAnsi="宋体" w:cs="宋体"/>
                <w:color w:val="auto"/>
                <w:sz w:val="24"/>
                <w:szCs w:val="24"/>
              </w:rPr>
              <w:t>其中水利  元，园林景观工程   元</w:t>
            </w:r>
          </w:p>
          <w:p>
            <w:pPr>
              <w:rPr>
                <w:color w:val="auto"/>
              </w:rPr>
            </w:pPr>
          </w:p>
          <w:p>
            <w:pPr>
              <w:rPr>
                <w:color w:val="auto"/>
              </w:rPr>
            </w:pPr>
            <w:r>
              <w:rPr>
                <w:rFonts w:hint="eastAsia" w:ascii="宋体" w:hAnsi="宋体" w:cs="宋体"/>
                <w:b/>
                <w:bCs/>
                <w:color w:val="auto"/>
                <w:sz w:val="24"/>
                <w:szCs w:val="24"/>
                <w:u w:val="single"/>
              </w:rPr>
              <w:t>投标下浮率为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六</w:t>
            </w:r>
          </w:p>
        </w:tc>
        <w:tc>
          <w:tcPr>
            <w:tcW w:w="3574"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委派的项目负责人</w:t>
            </w:r>
          </w:p>
          <w:p>
            <w:pPr>
              <w:adjustRightInd w:val="0"/>
              <w:snapToGrid w:val="0"/>
              <w:spacing w:line="500" w:lineRule="exact"/>
              <w:jc w:val="center"/>
              <w:rPr>
                <w:rFonts w:ascii="宋体" w:hAnsi="宋体" w:cs="宋体"/>
                <w:b/>
                <w:bCs/>
                <w:color w:val="auto"/>
                <w:sz w:val="24"/>
                <w:szCs w:val="24"/>
                <w:lang w:val="zh-CN"/>
              </w:rPr>
            </w:pPr>
            <w:r>
              <w:rPr>
                <w:rFonts w:hint="eastAsia" w:ascii="宋体" w:hAnsi="宋体" w:cs="宋体"/>
                <w:b/>
                <w:color w:val="auto"/>
                <w:sz w:val="24"/>
                <w:szCs w:val="24"/>
                <w:lang w:val="zh-CN"/>
              </w:rPr>
              <w:t>（兼任施工负责人）</w:t>
            </w:r>
          </w:p>
        </w:tc>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宋体" w:hAnsi="宋体" w:cs="宋体"/>
                <w:b/>
                <w:color w:val="auto"/>
                <w:sz w:val="24"/>
                <w:szCs w:val="24"/>
                <w:u w:val="single"/>
              </w:rPr>
            </w:pPr>
            <w:r>
              <w:rPr>
                <w:rFonts w:hint="eastAsia" w:ascii="宋体" w:hAnsi="宋体" w:cs="宋体"/>
                <w:b/>
                <w:color w:val="auto"/>
                <w:sz w:val="24"/>
                <w:szCs w:val="24"/>
                <w:lang w:val="zh-CN"/>
              </w:rPr>
              <w:t>姓名</w:t>
            </w:r>
          </w:p>
        </w:tc>
        <w:tc>
          <w:tcPr>
            <w:tcW w:w="1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color w:val="auto"/>
                <w:sz w:val="24"/>
                <w:szCs w:val="24"/>
                <w:u w:val="single"/>
              </w:rPr>
            </w:pPr>
          </w:p>
        </w:tc>
        <w:tc>
          <w:tcPr>
            <w:tcW w:w="1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证书号</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36"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七</w:t>
            </w:r>
          </w:p>
        </w:tc>
        <w:tc>
          <w:tcPr>
            <w:tcW w:w="3574"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lang w:val="zh-CN"/>
              </w:rPr>
            </w:pPr>
            <w:r>
              <w:rPr>
                <w:rFonts w:hint="eastAsia" w:ascii="宋体" w:hAnsi="宋体" w:cs="宋体"/>
                <w:b/>
                <w:color w:val="auto"/>
                <w:sz w:val="24"/>
                <w:szCs w:val="24"/>
                <w:lang w:val="zh-CN"/>
              </w:rPr>
              <w:t>委派的设计负责人</w:t>
            </w:r>
          </w:p>
        </w:tc>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宋体" w:hAnsi="宋体" w:cs="宋体"/>
                <w:b/>
                <w:color w:val="auto"/>
                <w:sz w:val="24"/>
                <w:szCs w:val="24"/>
                <w:u w:val="single"/>
              </w:rPr>
            </w:pPr>
            <w:r>
              <w:rPr>
                <w:rFonts w:hint="eastAsia" w:ascii="宋体" w:hAnsi="宋体" w:cs="宋体"/>
                <w:b/>
                <w:color w:val="auto"/>
                <w:sz w:val="24"/>
                <w:szCs w:val="24"/>
                <w:lang w:val="zh-CN"/>
              </w:rPr>
              <w:t>姓名</w:t>
            </w:r>
          </w:p>
        </w:tc>
        <w:tc>
          <w:tcPr>
            <w:tcW w:w="1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color w:val="auto"/>
                <w:sz w:val="24"/>
                <w:szCs w:val="24"/>
                <w:u w:val="single"/>
              </w:rPr>
            </w:pPr>
          </w:p>
        </w:tc>
        <w:tc>
          <w:tcPr>
            <w:tcW w:w="1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证书号</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36"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rPr>
            </w:pPr>
            <w:r>
              <w:rPr>
                <w:rFonts w:hint="eastAsia" w:ascii="宋体" w:hAnsi="宋体" w:cs="宋体"/>
                <w:b/>
                <w:bCs/>
                <w:color w:val="auto"/>
                <w:sz w:val="24"/>
                <w:szCs w:val="24"/>
              </w:rPr>
              <w:t>八</w:t>
            </w:r>
          </w:p>
        </w:tc>
        <w:tc>
          <w:tcPr>
            <w:tcW w:w="3574" w:type="dxa"/>
            <w:tcBorders>
              <w:left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rPr>
            </w:pPr>
            <w:r>
              <w:rPr>
                <w:rFonts w:hint="eastAsia" w:ascii="宋体" w:hAnsi="宋体" w:cs="宋体"/>
                <w:b/>
                <w:bCs/>
                <w:color w:val="auto"/>
                <w:sz w:val="24"/>
                <w:szCs w:val="24"/>
              </w:rPr>
              <w:t>委派的专职安全员</w:t>
            </w:r>
          </w:p>
        </w:tc>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宋体" w:hAnsi="宋体" w:cs="宋体"/>
                <w:b/>
                <w:color w:val="auto"/>
                <w:sz w:val="24"/>
                <w:szCs w:val="24"/>
                <w:lang w:val="zh-CN"/>
              </w:rPr>
            </w:pPr>
            <w:r>
              <w:rPr>
                <w:rFonts w:hint="eastAsia" w:ascii="宋体" w:hAnsi="宋体" w:cs="宋体"/>
                <w:b/>
                <w:color w:val="auto"/>
                <w:sz w:val="24"/>
                <w:szCs w:val="24"/>
                <w:lang w:val="zh-CN"/>
              </w:rPr>
              <w:t>姓名</w:t>
            </w:r>
          </w:p>
        </w:tc>
        <w:tc>
          <w:tcPr>
            <w:tcW w:w="13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color w:val="auto"/>
                <w:sz w:val="24"/>
                <w:szCs w:val="24"/>
                <w:u w:val="single"/>
              </w:rPr>
            </w:pPr>
          </w:p>
        </w:tc>
        <w:tc>
          <w:tcPr>
            <w:tcW w:w="1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证书号</w:t>
            </w:r>
          </w:p>
        </w:tc>
        <w:tc>
          <w:tcPr>
            <w:tcW w:w="111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36" w:type="dxa"/>
            <w:tcBorders>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九</w:t>
            </w:r>
          </w:p>
        </w:tc>
        <w:tc>
          <w:tcPr>
            <w:tcW w:w="3574" w:type="dxa"/>
            <w:tcBorders>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cs="宋体"/>
                <w:b/>
                <w:color w:val="auto"/>
                <w:sz w:val="24"/>
                <w:szCs w:val="24"/>
              </w:rPr>
            </w:pPr>
            <w:r>
              <w:rPr>
                <w:rFonts w:hint="eastAsia" w:ascii="宋体" w:hAnsi="宋体" w:cs="宋体"/>
                <w:b/>
                <w:color w:val="auto"/>
                <w:sz w:val="24"/>
                <w:szCs w:val="24"/>
              </w:rPr>
              <w:t>法定代表人或其委托代理人</w:t>
            </w:r>
          </w:p>
          <w:p>
            <w:pPr>
              <w:adjustRightInd w:val="0"/>
              <w:snapToGrid w:val="0"/>
              <w:spacing w:line="500" w:lineRule="exact"/>
              <w:jc w:val="center"/>
              <w:rPr>
                <w:rFonts w:ascii="宋体" w:hAnsi="宋体" w:cs="宋体"/>
                <w:b/>
                <w:bCs/>
                <w:color w:val="auto"/>
                <w:sz w:val="24"/>
                <w:szCs w:val="24"/>
                <w:lang w:val="zh-CN"/>
              </w:rPr>
            </w:pPr>
            <w:r>
              <w:rPr>
                <w:rFonts w:hint="eastAsia" w:ascii="宋体" w:hAnsi="宋体" w:cs="宋体"/>
                <w:b/>
                <w:color w:val="auto"/>
                <w:sz w:val="24"/>
                <w:szCs w:val="24"/>
              </w:rPr>
              <w:t>（签字或盖章）</w:t>
            </w:r>
          </w:p>
        </w:tc>
        <w:tc>
          <w:tcPr>
            <w:tcW w:w="43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36" w:type="dxa"/>
            <w:tcBorders>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cs="宋体"/>
                <w:b/>
                <w:color w:val="auto"/>
                <w:sz w:val="24"/>
                <w:szCs w:val="24"/>
                <w:lang w:val="zh-CN"/>
              </w:rPr>
            </w:pPr>
          </w:p>
        </w:tc>
        <w:tc>
          <w:tcPr>
            <w:tcW w:w="3574" w:type="dxa"/>
            <w:tcBorders>
              <w:left w:val="single" w:color="auto" w:sz="4" w:space="0"/>
              <w:bottom w:val="single" w:color="auto" w:sz="4" w:space="0"/>
              <w:right w:val="single" w:color="auto" w:sz="4" w:space="0"/>
            </w:tcBorders>
            <w:vAlign w:val="center"/>
          </w:tcPr>
          <w:p>
            <w:pPr>
              <w:adjustRightInd w:val="0"/>
              <w:snapToGrid w:val="0"/>
              <w:spacing w:line="500" w:lineRule="exact"/>
              <w:jc w:val="center"/>
              <w:rPr>
                <w:rFonts w:ascii="宋体" w:hAnsi="宋体" w:cs="宋体"/>
                <w:b/>
                <w:bCs/>
                <w:color w:val="auto"/>
                <w:sz w:val="24"/>
                <w:szCs w:val="24"/>
                <w:lang w:val="zh-CN"/>
              </w:rPr>
            </w:pPr>
            <w:r>
              <w:rPr>
                <w:rFonts w:hint="eastAsia" w:ascii="宋体" w:hAnsi="宋体" w:cs="宋体"/>
                <w:b/>
                <w:color w:val="auto"/>
                <w:sz w:val="24"/>
                <w:szCs w:val="24"/>
                <w:lang w:val="zh-CN"/>
              </w:rPr>
              <w:t>投标单位（盖章）</w:t>
            </w:r>
          </w:p>
        </w:tc>
        <w:tc>
          <w:tcPr>
            <w:tcW w:w="43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500" w:lineRule="exact"/>
              <w:jc w:val="left"/>
              <w:rPr>
                <w:rFonts w:ascii="宋体" w:hAnsi="宋体" w:cs="宋体"/>
                <w:b/>
                <w:color w:val="auto"/>
                <w:sz w:val="24"/>
                <w:szCs w:val="24"/>
                <w:lang w:val="zh-CN"/>
              </w:rPr>
            </w:pPr>
          </w:p>
        </w:tc>
      </w:tr>
    </w:tbl>
    <w:p>
      <w:pPr>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注：（1）投标报价为人民币报价，保留小数点后两位数。大写金额和小写金额不一致的，以大写金额为准。</w:t>
      </w:r>
    </w:p>
    <w:p>
      <w:pPr>
        <w:adjustRightInd w:val="0"/>
        <w:snapToGrid w:val="0"/>
        <w:spacing w:line="360" w:lineRule="auto"/>
        <w:rPr>
          <w:rFonts w:ascii="宋体" w:hAnsi="宋体" w:cs="宋体"/>
          <w:color w:val="auto"/>
          <w:kern w:val="0"/>
          <w:szCs w:val="21"/>
        </w:rPr>
      </w:pPr>
      <w:r>
        <w:rPr>
          <w:rFonts w:hint="eastAsia" w:ascii="宋体" w:hAnsi="宋体" w:cs="宋体"/>
          <w:color w:val="auto"/>
          <w:kern w:val="0"/>
          <w:szCs w:val="21"/>
        </w:rPr>
        <w:t>（2）联合体投标的，“投标单位”一栏需书写所有联合体成员的单位全称，并由联合体主办方按要求签字或盖章，联合体其他成员可不签字或盖章。</w:t>
      </w:r>
    </w:p>
    <w:p>
      <w:pPr>
        <w:rPr>
          <w:rFonts w:ascii="宋体" w:hAnsi="宋体" w:cs="宋体"/>
          <w:b/>
          <w:color w:val="auto"/>
          <w:sz w:val="24"/>
          <w:szCs w:val="20"/>
        </w:rPr>
      </w:pPr>
      <w:r>
        <w:rPr>
          <w:rFonts w:hint="eastAsia" w:ascii="宋体" w:hAnsi="宋体" w:cs="宋体"/>
          <w:color w:val="auto"/>
          <w:szCs w:val="21"/>
        </w:rPr>
        <w:t>（3）工期、质量标准、保修期限可以填写“按招标文件要求”或按招标文件内容填写。</w:t>
      </w:r>
    </w:p>
    <w:p>
      <w:pPr>
        <w:rPr>
          <w:rFonts w:ascii="宋体" w:hAnsi="宋体" w:cs="宋体"/>
          <w:b/>
          <w:color w:val="auto"/>
          <w:sz w:val="24"/>
          <w:szCs w:val="20"/>
        </w:rPr>
      </w:pPr>
      <w:r>
        <w:rPr>
          <w:rFonts w:hint="eastAsia" w:ascii="宋体" w:hAnsi="宋体" w:cs="宋体"/>
          <w:b/>
          <w:color w:val="auto"/>
          <w:sz w:val="24"/>
          <w:szCs w:val="20"/>
        </w:rPr>
        <w:br w:type="page"/>
      </w:r>
      <w:r>
        <w:rPr>
          <w:rFonts w:hint="eastAsia" w:ascii="宋体" w:hAnsi="宋体" w:cs="宋体"/>
          <w:b/>
          <w:color w:val="auto"/>
          <w:sz w:val="24"/>
          <w:szCs w:val="20"/>
        </w:rPr>
        <w:t>格式2：</w:t>
      </w:r>
    </w:p>
    <w:p>
      <w:pPr>
        <w:autoSpaceDE w:val="0"/>
        <w:autoSpaceDN w:val="0"/>
        <w:adjustRightInd w:val="0"/>
        <w:spacing w:line="360" w:lineRule="auto"/>
        <w:jc w:val="center"/>
        <w:rPr>
          <w:rFonts w:ascii="宋体" w:hAnsi="宋体" w:cs="宋体"/>
          <w:b/>
          <w:bCs/>
          <w:color w:val="auto"/>
          <w:sz w:val="36"/>
          <w:szCs w:val="36"/>
          <w:lang w:val="zh-CN"/>
        </w:rPr>
      </w:pPr>
      <w:r>
        <w:rPr>
          <w:rFonts w:hint="eastAsia" w:ascii="宋体" w:hAnsi="宋体" w:cs="宋体"/>
          <w:b/>
          <w:bCs/>
          <w:color w:val="auto"/>
          <w:sz w:val="36"/>
          <w:szCs w:val="36"/>
          <w:lang w:val="zh-CN"/>
        </w:rPr>
        <w:t>法定代表人证明书、法定代表人授权委托书</w:t>
      </w:r>
    </w:p>
    <w:p>
      <w:pPr>
        <w:spacing w:line="360" w:lineRule="auto"/>
        <w:jc w:val="center"/>
        <w:rPr>
          <w:rFonts w:ascii="宋体" w:hAnsi="宋体" w:cs="宋体"/>
          <w:b/>
          <w:color w:val="auto"/>
          <w:sz w:val="28"/>
        </w:rPr>
      </w:pPr>
      <w:r>
        <w:rPr>
          <w:rFonts w:hint="eastAsia" w:ascii="宋体" w:hAnsi="宋体" w:cs="宋体"/>
          <w:b/>
          <w:color w:val="auto"/>
          <w:sz w:val="28"/>
        </w:rPr>
        <w:t>法定代表人证明书</w:t>
      </w:r>
    </w:p>
    <w:tbl>
      <w:tblPr>
        <w:tblStyle w:val="17"/>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4" w:hRule="atLeast"/>
          <w:jc w:val="center"/>
        </w:trPr>
        <w:tc>
          <w:tcPr>
            <w:tcW w:w="8528" w:type="dxa"/>
          </w:tcPr>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w:t>
            </w:r>
            <w:r>
              <w:rPr>
                <w:rFonts w:hint="eastAsia" w:ascii="宋体" w:hAnsi="宋体" w:cs="宋体"/>
                <w:color w:val="auto"/>
                <w:sz w:val="24"/>
              </w:rPr>
              <w:t>现任我单位</w:t>
            </w:r>
            <w:r>
              <w:rPr>
                <w:rFonts w:hint="eastAsia" w:ascii="宋体" w:hAnsi="宋体" w:cs="宋体"/>
                <w:color w:val="auto"/>
                <w:sz w:val="24"/>
                <w:u w:val="single"/>
              </w:rPr>
              <w:t>　　　　　</w:t>
            </w:r>
            <w:r>
              <w:rPr>
                <w:rFonts w:hint="eastAsia" w:ascii="宋体" w:hAnsi="宋体" w:cs="宋体"/>
                <w:color w:val="auto"/>
                <w:sz w:val="24"/>
              </w:rPr>
              <w:t>职务，为法定代表人，特此证明。</w:t>
            </w:r>
          </w:p>
          <w:p>
            <w:pPr>
              <w:spacing w:line="360" w:lineRule="auto"/>
              <w:rPr>
                <w:rFonts w:ascii="宋体" w:hAnsi="宋体" w:cs="宋体"/>
                <w:color w:val="auto"/>
                <w:sz w:val="24"/>
                <w:u w:val="single"/>
              </w:rPr>
            </w:pPr>
            <w:r>
              <w:rPr>
                <w:rFonts w:hint="eastAsia" w:ascii="宋体" w:hAnsi="宋体" w:cs="宋体"/>
                <w:color w:val="auto"/>
                <w:sz w:val="24"/>
              </w:rPr>
              <w:t>有效期限：</w:t>
            </w:r>
          </w:p>
          <w:p>
            <w:pPr>
              <w:spacing w:line="360" w:lineRule="auto"/>
              <w:rPr>
                <w:rFonts w:ascii="宋体" w:hAnsi="宋体" w:cs="宋体"/>
                <w:color w:val="auto"/>
                <w:sz w:val="24"/>
                <w:u w:val="single"/>
              </w:rPr>
            </w:pPr>
            <w:r>
              <w:rPr>
                <w:rFonts w:hint="eastAsia" w:ascii="宋体" w:hAnsi="宋体" w:cs="宋体"/>
                <w:color w:val="auto"/>
                <w:sz w:val="24"/>
              </w:rPr>
              <w:t>附：法定代表人性别：</w:t>
            </w:r>
            <w:r>
              <w:rPr>
                <w:rFonts w:hint="eastAsia" w:ascii="宋体" w:hAnsi="宋体" w:cs="宋体"/>
                <w:color w:val="auto"/>
                <w:sz w:val="24"/>
                <w:u w:val="single"/>
              </w:rPr>
              <w:t>　　</w:t>
            </w:r>
            <w:r>
              <w:rPr>
                <w:rFonts w:hint="eastAsia" w:ascii="宋体" w:hAnsi="宋体" w:cs="宋体"/>
                <w:color w:val="auto"/>
                <w:sz w:val="24"/>
              </w:rPr>
              <w:t>年龄：</w:t>
            </w:r>
            <w:r>
              <w:rPr>
                <w:rFonts w:hint="eastAsia" w:ascii="宋体" w:hAnsi="宋体" w:cs="宋体"/>
                <w:color w:val="auto"/>
                <w:sz w:val="24"/>
                <w:u w:val="single"/>
              </w:rPr>
              <w:t>　　</w:t>
            </w:r>
            <w:r>
              <w:rPr>
                <w:rFonts w:hint="eastAsia" w:ascii="宋体" w:hAnsi="宋体" w:cs="宋体"/>
                <w:color w:val="auto"/>
                <w:sz w:val="24"/>
              </w:rPr>
              <w:t>身份证号码：</w:t>
            </w:r>
          </w:p>
          <w:p>
            <w:pPr>
              <w:spacing w:line="360" w:lineRule="auto"/>
              <w:rPr>
                <w:rFonts w:ascii="宋体" w:hAnsi="宋体" w:cs="宋体"/>
                <w:color w:val="auto"/>
                <w:sz w:val="24"/>
                <w:u w:val="single"/>
              </w:rPr>
            </w:pPr>
            <w:r>
              <w:rPr>
                <w:rFonts w:hint="eastAsia" w:ascii="宋体" w:hAnsi="宋体" w:cs="宋体"/>
                <w:color w:val="auto"/>
                <w:sz w:val="24"/>
              </w:rPr>
              <w:t>注册号码：</w:t>
            </w:r>
            <w:r>
              <w:rPr>
                <w:rFonts w:hint="eastAsia" w:ascii="宋体" w:hAnsi="宋体" w:cs="宋体"/>
                <w:color w:val="auto"/>
                <w:sz w:val="24"/>
                <w:u w:val="single"/>
              </w:rPr>
              <w:t>　　　　　　　　　　</w:t>
            </w:r>
            <w:r>
              <w:rPr>
                <w:rFonts w:hint="eastAsia" w:ascii="宋体" w:hAnsi="宋体" w:cs="宋体"/>
                <w:color w:val="auto"/>
                <w:sz w:val="24"/>
              </w:rPr>
              <w:t>企业类型：</w:t>
            </w:r>
          </w:p>
          <w:p>
            <w:pPr>
              <w:spacing w:line="360" w:lineRule="auto"/>
              <w:rPr>
                <w:rFonts w:ascii="宋体" w:hAnsi="宋体" w:cs="宋体"/>
                <w:color w:val="auto"/>
                <w:sz w:val="24"/>
                <w:u w:val="single"/>
              </w:rPr>
            </w:pPr>
            <w:r>
              <w:rPr>
                <w:rFonts w:hint="eastAsia" w:ascii="宋体" w:hAnsi="宋体" w:cs="宋体"/>
                <w:color w:val="auto"/>
                <w:sz w:val="24"/>
              </w:rPr>
              <w:t>经营范围：</w:t>
            </w:r>
            <w:r>
              <w:rPr>
                <w:rFonts w:hint="eastAsia" w:ascii="宋体" w:hAnsi="宋体" w:cs="宋体"/>
                <w:color w:val="auto"/>
                <w:sz w:val="24"/>
                <w:u w:val="single"/>
              </w:rPr>
              <w:t>　　　　　　　　　　　　　　　　</w:t>
            </w:r>
          </w:p>
          <w:p>
            <w:pPr>
              <w:spacing w:line="360" w:lineRule="auto"/>
              <w:rPr>
                <w:rFonts w:ascii="宋体" w:hAnsi="宋体" w:cs="宋体"/>
                <w:color w:val="auto"/>
                <w:sz w:val="24"/>
                <w:u w:val="single"/>
              </w:rPr>
            </w:pPr>
            <w:r>
              <w:rPr>
                <w:rFonts w:hint="eastAsia" w:ascii="宋体" w:hAnsi="宋体" w:cs="宋体"/>
                <w:color w:val="auto"/>
                <w:sz w:val="24"/>
              </w:rPr>
              <w:t>单位：</w:t>
            </w:r>
            <w:r>
              <w:rPr>
                <w:rFonts w:hint="eastAsia" w:ascii="宋体" w:hAnsi="宋体" w:cs="宋体"/>
                <w:color w:val="auto"/>
                <w:sz w:val="24"/>
                <w:u w:val="single"/>
              </w:rPr>
              <w:t>　　　　　　（盖章）</w:t>
            </w:r>
          </w:p>
          <w:p>
            <w:pPr>
              <w:spacing w:line="360" w:lineRule="auto"/>
              <w:rPr>
                <w:rFonts w:ascii="宋体" w:hAnsi="宋体" w:cs="宋体"/>
                <w:color w:val="auto"/>
                <w:sz w:val="24"/>
              </w:rPr>
            </w:pPr>
            <w:r>
              <w:rPr>
                <w:rFonts w:hint="eastAsia" w:ascii="宋体" w:hAnsi="宋体" w:cs="宋体"/>
                <w:color w:val="auto"/>
                <w:sz w:val="24"/>
              </w:rPr>
              <w:t xml:space="preserve">                                        　　　　    年　月　　日</w:t>
            </w:r>
          </w:p>
        </w:tc>
      </w:tr>
    </w:tbl>
    <w:p>
      <w:pPr>
        <w:spacing w:line="360" w:lineRule="auto"/>
        <w:rPr>
          <w:rFonts w:ascii="宋体" w:hAnsi="宋体" w:cs="宋体"/>
          <w:color w:val="auto"/>
          <w:szCs w:val="21"/>
        </w:rPr>
      </w:pPr>
      <w:r>
        <w:rPr>
          <w:rFonts w:hint="eastAsia" w:ascii="宋体" w:hAnsi="宋体" w:cs="宋体"/>
          <w:color w:val="auto"/>
          <w:szCs w:val="21"/>
        </w:rPr>
        <w:t>注：1、法定代表人证明书也可以采用工商行政管理局统一印制的格式。</w:t>
      </w:r>
    </w:p>
    <w:p>
      <w:pPr>
        <w:spacing w:line="360" w:lineRule="auto"/>
        <w:rPr>
          <w:rFonts w:ascii="宋体" w:hAnsi="宋体" w:cs="宋体"/>
          <w:color w:val="auto"/>
          <w:szCs w:val="21"/>
        </w:rPr>
      </w:pPr>
      <w:r>
        <w:rPr>
          <w:rFonts w:hint="eastAsia" w:ascii="宋体" w:hAnsi="宋体" w:cs="宋体"/>
          <w:color w:val="auto"/>
          <w:szCs w:val="21"/>
        </w:rPr>
        <w:t>2、联合体投标的，本证明书由主办方出具，仅填写主办方单位名称并由主办方盖章即可。</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法定代表人授权委托书</w:t>
      </w:r>
    </w:p>
    <w:tbl>
      <w:tblPr>
        <w:tblStyle w:val="17"/>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28" w:type="dxa"/>
          </w:tcPr>
          <w:p>
            <w:pPr>
              <w:spacing w:line="360" w:lineRule="auto"/>
              <w:ind w:firstLine="480" w:firstLineChars="200"/>
              <w:rPr>
                <w:rFonts w:ascii="宋体" w:hAnsi="宋体" w:cs="宋体"/>
                <w:color w:val="auto"/>
                <w:sz w:val="24"/>
                <w:u w:val="single"/>
              </w:rPr>
            </w:pPr>
            <w:r>
              <w:rPr>
                <w:rFonts w:hint="eastAsia" w:ascii="宋体" w:hAnsi="宋体" w:cs="宋体"/>
                <w:color w:val="auto"/>
                <w:sz w:val="24"/>
              </w:rPr>
              <w:t>兹授权为我方委托代理人，其权限是：</w:t>
            </w:r>
          </w:p>
          <w:p>
            <w:pPr>
              <w:spacing w:line="360" w:lineRule="auto"/>
              <w:rPr>
                <w:rFonts w:ascii="宋体" w:hAnsi="宋体" w:cs="宋体"/>
                <w:color w:val="auto"/>
                <w:sz w:val="24"/>
                <w:u w:val="single"/>
              </w:rPr>
            </w:pPr>
          </w:p>
          <w:p>
            <w:pPr>
              <w:spacing w:line="360" w:lineRule="auto"/>
              <w:rPr>
                <w:rFonts w:ascii="宋体" w:hAnsi="宋体" w:cs="宋体"/>
                <w:color w:val="auto"/>
                <w:sz w:val="24"/>
                <w:u w:val="single"/>
              </w:rPr>
            </w:pPr>
          </w:p>
          <w:p>
            <w:pPr>
              <w:spacing w:line="360" w:lineRule="auto"/>
              <w:rPr>
                <w:rFonts w:ascii="宋体" w:hAnsi="宋体" w:cs="宋体"/>
                <w:color w:val="auto"/>
                <w:sz w:val="24"/>
                <w:u w:val="single"/>
              </w:rPr>
            </w:pPr>
            <w:r>
              <w:rPr>
                <w:rFonts w:hint="eastAsia" w:ascii="宋体" w:hAnsi="宋体" w:cs="宋体"/>
                <w:color w:val="auto"/>
                <w:sz w:val="24"/>
              </w:rPr>
              <w:t>有效期限：</w:t>
            </w:r>
          </w:p>
          <w:p>
            <w:pPr>
              <w:spacing w:line="360" w:lineRule="auto"/>
              <w:rPr>
                <w:rFonts w:ascii="宋体" w:hAnsi="宋体" w:cs="宋体"/>
                <w:color w:val="auto"/>
                <w:sz w:val="24"/>
              </w:rPr>
            </w:pPr>
            <w:r>
              <w:rPr>
                <w:rFonts w:hint="eastAsia" w:ascii="宋体" w:hAnsi="宋体" w:cs="宋体"/>
                <w:color w:val="auto"/>
                <w:sz w:val="24"/>
              </w:rPr>
              <w:t>附：代理人性别：年龄：身份证号码：</w:t>
            </w:r>
          </w:p>
          <w:p>
            <w:pPr>
              <w:spacing w:line="360" w:lineRule="auto"/>
              <w:rPr>
                <w:rFonts w:ascii="宋体" w:hAnsi="宋体" w:cs="宋体"/>
                <w:color w:val="auto"/>
                <w:sz w:val="24"/>
                <w:u w:val="single"/>
              </w:rPr>
            </w:pPr>
            <w:r>
              <w:rPr>
                <w:rFonts w:hint="eastAsia" w:ascii="宋体" w:hAnsi="宋体" w:cs="宋体"/>
                <w:color w:val="auto"/>
                <w:sz w:val="24"/>
              </w:rPr>
              <w:t>注册号码： 企业类型：</w:t>
            </w:r>
          </w:p>
          <w:p>
            <w:pPr>
              <w:spacing w:line="360" w:lineRule="auto"/>
              <w:rPr>
                <w:rFonts w:ascii="宋体" w:hAnsi="宋体" w:cs="宋体"/>
                <w:color w:val="auto"/>
                <w:sz w:val="24"/>
                <w:u w:val="single"/>
              </w:rPr>
            </w:pPr>
            <w:r>
              <w:rPr>
                <w:rFonts w:hint="eastAsia" w:ascii="宋体" w:hAnsi="宋体" w:cs="宋体"/>
                <w:color w:val="auto"/>
                <w:sz w:val="24"/>
              </w:rPr>
              <w:t>经营范围：</w:t>
            </w:r>
          </w:p>
          <w:p>
            <w:pPr>
              <w:spacing w:line="360" w:lineRule="auto"/>
              <w:rPr>
                <w:rFonts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（签名或盖章）</w:t>
            </w:r>
          </w:p>
          <w:p>
            <w:pPr>
              <w:spacing w:line="360" w:lineRule="auto"/>
              <w:rPr>
                <w:rFonts w:ascii="宋体" w:hAnsi="宋体" w:cs="宋体"/>
                <w:color w:val="auto"/>
                <w:sz w:val="24"/>
              </w:rPr>
            </w:pPr>
            <w:r>
              <w:rPr>
                <w:rFonts w:hint="eastAsia" w:ascii="宋体" w:hAnsi="宋体" w:cs="宋体"/>
                <w:color w:val="auto"/>
                <w:sz w:val="24"/>
              </w:rPr>
              <w:t>授权单位：</w:t>
            </w:r>
            <w:r>
              <w:rPr>
                <w:rFonts w:hint="eastAsia" w:ascii="宋体" w:hAnsi="宋体" w:cs="宋体"/>
                <w:color w:val="auto"/>
                <w:sz w:val="24"/>
                <w:u w:val="single"/>
              </w:rPr>
              <w:t>（盖章）</w:t>
            </w:r>
          </w:p>
          <w:p>
            <w:pPr>
              <w:spacing w:line="360" w:lineRule="auto"/>
              <w:rPr>
                <w:rFonts w:ascii="宋体" w:hAnsi="宋体" w:cs="宋体"/>
                <w:color w:val="auto"/>
                <w:sz w:val="24"/>
              </w:rPr>
            </w:pPr>
            <w:r>
              <w:rPr>
                <w:rFonts w:hint="eastAsia" w:ascii="宋体" w:hAnsi="宋体" w:cs="宋体"/>
                <w:color w:val="auto"/>
                <w:sz w:val="24"/>
              </w:rPr>
              <w:t>年  月   日</w:t>
            </w:r>
          </w:p>
        </w:tc>
      </w:tr>
    </w:tbl>
    <w:p>
      <w:pPr>
        <w:spacing w:line="360" w:lineRule="auto"/>
        <w:rPr>
          <w:rFonts w:ascii="宋体" w:hAnsi="宋体" w:cs="宋体"/>
          <w:color w:val="auto"/>
          <w:szCs w:val="21"/>
        </w:rPr>
      </w:pPr>
      <w:r>
        <w:rPr>
          <w:rFonts w:hint="eastAsia" w:ascii="宋体" w:hAnsi="宋体" w:cs="宋体"/>
          <w:color w:val="auto"/>
          <w:szCs w:val="21"/>
        </w:rPr>
        <w:t>注：1、法定代表人授权委托书也可以采用工商行政管理局统一印制的格式。</w:t>
      </w:r>
    </w:p>
    <w:p>
      <w:pPr>
        <w:spacing w:line="360" w:lineRule="auto"/>
        <w:rPr>
          <w:rFonts w:ascii="宋体" w:hAnsi="宋体" w:cs="宋体"/>
          <w:color w:val="auto"/>
          <w:szCs w:val="21"/>
        </w:rPr>
        <w:sectPr>
          <w:footerReference r:id="rId7" w:type="default"/>
          <w:pgSz w:w="11906" w:h="16838"/>
          <w:pgMar w:top="1440" w:right="1797" w:bottom="1440" w:left="1797" w:header="851" w:footer="992" w:gutter="0"/>
          <w:cols w:space="720" w:num="1"/>
          <w:docGrid w:linePitch="312" w:charSpace="0"/>
        </w:sectPr>
      </w:pPr>
      <w:r>
        <w:rPr>
          <w:rFonts w:hint="eastAsia" w:ascii="宋体" w:hAnsi="宋体" w:cs="宋体"/>
          <w:color w:val="auto"/>
          <w:szCs w:val="21"/>
        </w:rPr>
        <w:t>2、联合体投标的，本授权书由主办方出具，仅填写主办方单位名称并由主办方签字或盖章即可。</w:t>
      </w:r>
    </w:p>
    <w:p>
      <w:pPr>
        <w:spacing w:before="120" w:after="120" w:line="360" w:lineRule="auto"/>
        <w:jc w:val="left"/>
        <w:rPr>
          <w:rFonts w:ascii="宋体" w:hAnsi="宋体" w:cs="宋体"/>
          <w:b/>
          <w:color w:val="auto"/>
          <w:sz w:val="24"/>
          <w:szCs w:val="20"/>
        </w:rPr>
      </w:pPr>
      <w:r>
        <w:rPr>
          <w:rFonts w:hint="eastAsia" w:ascii="宋体" w:hAnsi="宋体" w:cs="宋体"/>
          <w:b/>
          <w:color w:val="auto"/>
          <w:sz w:val="24"/>
          <w:szCs w:val="20"/>
        </w:rPr>
        <w:t>格式3</w:t>
      </w:r>
    </w:p>
    <w:p>
      <w:pPr>
        <w:spacing w:line="360" w:lineRule="auto"/>
        <w:jc w:val="center"/>
        <w:rPr>
          <w:rFonts w:ascii="宋体" w:hAnsi="宋体" w:cs="宋体"/>
          <w:b/>
          <w:bCs/>
          <w:color w:val="auto"/>
          <w:sz w:val="36"/>
          <w:szCs w:val="36"/>
          <w:lang w:val="zh-CN"/>
        </w:rPr>
      </w:pPr>
      <w:r>
        <w:rPr>
          <w:rFonts w:hint="eastAsia" w:ascii="宋体" w:hAnsi="宋体" w:cs="宋体"/>
          <w:b/>
          <w:bCs/>
          <w:color w:val="auto"/>
          <w:sz w:val="36"/>
          <w:szCs w:val="36"/>
          <w:lang w:val="zh-CN"/>
        </w:rPr>
        <w:t>投标人基本情况表</w:t>
      </w:r>
    </w:p>
    <w:tbl>
      <w:tblPr>
        <w:tblStyle w:val="17"/>
        <w:tblW w:w="8332" w:type="dxa"/>
        <w:jc w:val="center"/>
        <w:tblLayout w:type="fixed"/>
        <w:tblCellMar>
          <w:top w:w="0" w:type="dxa"/>
          <w:left w:w="0" w:type="dxa"/>
          <w:bottom w:w="0" w:type="dxa"/>
          <w:right w:w="0" w:type="dxa"/>
        </w:tblCellMar>
      </w:tblPr>
      <w:tblGrid>
        <w:gridCol w:w="1703"/>
        <w:gridCol w:w="997"/>
        <w:gridCol w:w="1096"/>
        <w:gridCol w:w="760"/>
        <w:gridCol w:w="383"/>
        <w:gridCol w:w="192"/>
        <w:gridCol w:w="1143"/>
        <w:gridCol w:w="185"/>
        <w:gridCol w:w="760"/>
        <w:gridCol w:w="1113"/>
      </w:tblGrid>
      <w:tr>
        <w:tblPrEx>
          <w:tblCellMar>
            <w:top w:w="0" w:type="dxa"/>
            <w:left w:w="0" w:type="dxa"/>
            <w:bottom w:w="0" w:type="dxa"/>
            <w:right w:w="0" w:type="dxa"/>
          </w:tblCellMar>
        </w:tblPrEx>
        <w:trPr>
          <w:trHeight w:val="500"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投标人名称</w:t>
            </w:r>
          </w:p>
        </w:tc>
        <w:tc>
          <w:tcPr>
            <w:tcW w:w="6629" w:type="dxa"/>
            <w:gridSpan w:val="9"/>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trHeight w:val="520"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注册地址</w:t>
            </w:r>
          </w:p>
        </w:tc>
        <w:tc>
          <w:tcPr>
            <w:tcW w:w="3428" w:type="dxa"/>
            <w:gridSpan w:val="5"/>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11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邮政编码</w:t>
            </w:r>
          </w:p>
        </w:tc>
        <w:tc>
          <w:tcPr>
            <w:tcW w:w="2058"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cantSplit/>
          <w:trHeight w:val="540" w:hRule="exact"/>
          <w:jc w:val="center"/>
        </w:trPr>
        <w:tc>
          <w:tcPr>
            <w:tcW w:w="1703" w:type="dxa"/>
            <w:vMerge w:val="restart"/>
            <w:tcBorders>
              <w:top w:val="single" w:color="auto" w:sz="8" w:space="0"/>
              <w:left w:val="single" w:color="auto" w:sz="8" w:space="0"/>
              <w:bottom w:val="nil"/>
              <w:right w:val="single" w:color="auto" w:sz="8" w:space="0"/>
            </w:tcBorders>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联系方式</w:t>
            </w:r>
          </w:p>
        </w:tc>
        <w:tc>
          <w:tcPr>
            <w:tcW w:w="99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kern w:val="0"/>
                <w:szCs w:val="21"/>
              </w:rPr>
            </w:pPr>
            <w:r>
              <w:rPr>
                <w:rFonts w:hint="eastAsia" w:ascii="宋体" w:hAnsi="宋体" w:cs="宋体"/>
                <w:color w:val="auto"/>
                <w:kern w:val="0"/>
                <w:szCs w:val="21"/>
              </w:rPr>
              <w:t>联系人</w:t>
            </w:r>
          </w:p>
        </w:tc>
        <w:tc>
          <w:tcPr>
            <w:tcW w:w="2431"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11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电话</w:t>
            </w:r>
          </w:p>
        </w:tc>
        <w:tc>
          <w:tcPr>
            <w:tcW w:w="2058"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cantSplit/>
          <w:trHeight w:val="520" w:hRule="exact"/>
          <w:jc w:val="center"/>
        </w:trPr>
        <w:tc>
          <w:tcPr>
            <w:tcW w:w="1703" w:type="dxa"/>
            <w:vMerge w:val="continue"/>
            <w:tcBorders>
              <w:top w:val="nil"/>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kern w:val="0"/>
                <w:szCs w:val="21"/>
              </w:rPr>
            </w:pPr>
          </w:p>
        </w:tc>
        <w:tc>
          <w:tcPr>
            <w:tcW w:w="99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传真</w:t>
            </w:r>
          </w:p>
        </w:tc>
        <w:tc>
          <w:tcPr>
            <w:tcW w:w="2431"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114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电子邮件</w:t>
            </w:r>
          </w:p>
        </w:tc>
        <w:tc>
          <w:tcPr>
            <w:tcW w:w="2058"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trHeight w:val="520"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法定代表人</w:t>
            </w:r>
          </w:p>
        </w:tc>
        <w:tc>
          <w:tcPr>
            <w:tcW w:w="99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姓名</w:t>
            </w:r>
          </w:p>
        </w:tc>
        <w:tc>
          <w:tcPr>
            <w:tcW w:w="109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114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技术职称</w:t>
            </w:r>
          </w:p>
        </w:tc>
        <w:tc>
          <w:tcPr>
            <w:tcW w:w="1520"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760"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电话</w:t>
            </w:r>
          </w:p>
        </w:tc>
        <w:tc>
          <w:tcPr>
            <w:tcW w:w="111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trHeight w:val="520"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技术负责人</w:t>
            </w:r>
          </w:p>
        </w:tc>
        <w:tc>
          <w:tcPr>
            <w:tcW w:w="99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姓名</w:t>
            </w:r>
          </w:p>
        </w:tc>
        <w:tc>
          <w:tcPr>
            <w:tcW w:w="109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114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技术职称</w:t>
            </w:r>
          </w:p>
        </w:tc>
        <w:tc>
          <w:tcPr>
            <w:tcW w:w="1520"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760"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电话</w:t>
            </w:r>
          </w:p>
        </w:tc>
        <w:tc>
          <w:tcPr>
            <w:tcW w:w="111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trHeight w:val="540"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成立时间</w:t>
            </w:r>
          </w:p>
        </w:tc>
        <w:tc>
          <w:tcPr>
            <w:tcW w:w="209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4536" w:type="dxa"/>
            <w:gridSpan w:val="7"/>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员工总人数：</w:t>
            </w:r>
          </w:p>
        </w:tc>
      </w:tr>
      <w:tr>
        <w:tblPrEx>
          <w:tblCellMar>
            <w:top w:w="0" w:type="dxa"/>
            <w:left w:w="0" w:type="dxa"/>
            <w:bottom w:w="0" w:type="dxa"/>
            <w:right w:w="0" w:type="dxa"/>
          </w:tblCellMar>
        </w:tblPrEx>
        <w:trPr>
          <w:trHeight w:val="500"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企业资质等级</w:t>
            </w:r>
          </w:p>
        </w:tc>
        <w:tc>
          <w:tcPr>
            <w:tcW w:w="209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760" w:type="dxa"/>
            <w:vMerge w:val="restart"/>
            <w:tcBorders>
              <w:top w:val="single" w:color="auto" w:sz="8" w:space="0"/>
              <w:left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其中</w:t>
            </w:r>
          </w:p>
        </w:tc>
        <w:tc>
          <w:tcPr>
            <w:tcW w:w="1903"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项目负责人</w:t>
            </w:r>
          </w:p>
        </w:tc>
        <w:tc>
          <w:tcPr>
            <w:tcW w:w="187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cantSplit/>
          <w:trHeight w:val="540"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营业执照号</w:t>
            </w:r>
          </w:p>
        </w:tc>
        <w:tc>
          <w:tcPr>
            <w:tcW w:w="209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760" w:type="dxa"/>
            <w:vMerge w:val="continue"/>
            <w:tcBorders>
              <w:left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1903"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高级职称人员</w:t>
            </w:r>
          </w:p>
        </w:tc>
        <w:tc>
          <w:tcPr>
            <w:tcW w:w="187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trHeight w:val="520"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注册资金</w:t>
            </w:r>
          </w:p>
        </w:tc>
        <w:tc>
          <w:tcPr>
            <w:tcW w:w="209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760" w:type="dxa"/>
            <w:vMerge w:val="continue"/>
            <w:tcBorders>
              <w:left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1903"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中级职称人员</w:t>
            </w:r>
          </w:p>
        </w:tc>
        <w:tc>
          <w:tcPr>
            <w:tcW w:w="187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cantSplit/>
          <w:trHeight w:val="782"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基本账户开户银行</w:t>
            </w:r>
          </w:p>
        </w:tc>
        <w:tc>
          <w:tcPr>
            <w:tcW w:w="209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760" w:type="dxa"/>
            <w:vMerge w:val="continue"/>
            <w:tcBorders>
              <w:left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1903"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初级职称人员</w:t>
            </w:r>
          </w:p>
        </w:tc>
        <w:tc>
          <w:tcPr>
            <w:tcW w:w="187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cantSplit/>
          <w:trHeight w:val="710"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基本账户账号</w:t>
            </w:r>
          </w:p>
        </w:tc>
        <w:tc>
          <w:tcPr>
            <w:tcW w:w="209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760" w:type="dxa"/>
            <w:vMerge w:val="continue"/>
            <w:tcBorders>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c>
          <w:tcPr>
            <w:tcW w:w="1903"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技工</w:t>
            </w:r>
          </w:p>
        </w:tc>
        <w:tc>
          <w:tcPr>
            <w:tcW w:w="1873"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trHeight w:val="1676"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经营范围</w:t>
            </w:r>
          </w:p>
        </w:tc>
        <w:tc>
          <w:tcPr>
            <w:tcW w:w="6629" w:type="dxa"/>
            <w:gridSpan w:val="9"/>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r>
        <w:tblPrEx>
          <w:tblCellMar>
            <w:top w:w="0" w:type="dxa"/>
            <w:left w:w="0" w:type="dxa"/>
            <w:bottom w:w="0" w:type="dxa"/>
            <w:right w:w="0" w:type="dxa"/>
          </w:tblCellMar>
        </w:tblPrEx>
        <w:trPr>
          <w:trHeight w:val="1421"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企业简介</w:t>
            </w:r>
          </w:p>
        </w:tc>
        <w:tc>
          <w:tcPr>
            <w:tcW w:w="6629" w:type="dxa"/>
            <w:gridSpan w:val="9"/>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szCs w:val="21"/>
              </w:rPr>
              <w:t>（本项内容可另附页）</w:t>
            </w:r>
          </w:p>
        </w:tc>
      </w:tr>
      <w:tr>
        <w:tblPrEx>
          <w:tblCellMar>
            <w:top w:w="0" w:type="dxa"/>
            <w:left w:w="0" w:type="dxa"/>
            <w:bottom w:w="0" w:type="dxa"/>
            <w:right w:w="0" w:type="dxa"/>
          </w:tblCellMar>
        </w:tblPrEx>
        <w:trPr>
          <w:trHeight w:val="1084" w:hRule="exact"/>
          <w:jc w:val="center"/>
        </w:trPr>
        <w:tc>
          <w:tcPr>
            <w:tcW w:w="1703"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r>
              <w:rPr>
                <w:rFonts w:hint="eastAsia" w:ascii="宋体" w:hAnsi="宋体" w:cs="宋体"/>
                <w:color w:val="auto"/>
                <w:kern w:val="0"/>
                <w:szCs w:val="21"/>
              </w:rPr>
              <w:t>备注</w:t>
            </w:r>
          </w:p>
        </w:tc>
        <w:tc>
          <w:tcPr>
            <w:tcW w:w="6629" w:type="dxa"/>
            <w:gridSpan w:val="9"/>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ascii="宋体" w:hAnsi="宋体" w:cs="宋体"/>
                <w:color w:val="auto"/>
                <w:szCs w:val="21"/>
              </w:rPr>
            </w:pPr>
          </w:p>
        </w:tc>
      </w:tr>
    </w:tbl>
    <w:p>
      <w:pPr>
        <w:spacing w:line="360" w:lineRule="auto"/>
        <w:ind w:left="248" w:leftChars="18" w:right="-334" w:rightChars="-159" w:hanging="210" w:hangingChars="100"/>
        <w:rPr>
          <w:rFonts w:ascii="宋体" w:hAnsi="宋体" w:cs="宋体"/>
          <w:color w:val="auto"/>
          <w:szCs w:val="21"/>
        </w:rPr>
      </w:pPr>
      <w:r>
        <w:rPr>
          <w:rFonts w:hint="eastAsia" w:ascii="宋体" w:hAnsi="宋体" w:cs="宋体"/>
          <w:color w:val="auto"/>
          <w:szCs w:val="21"/>
        </w:rPr>
        <w:t>注：1、在本表后应附企业法人营业执照副本、资质证书副本、施工企业的安全生产许可证原件扫描件。</w:t>
      </w:r>
    </w:p>
    <w:p>
      <w:pPr>
        <w:spacing w:line="360" w:lineRule="auto"/>
        <w:ind w:left="248" w:leftChars="18" w:right="-334" w:rightChars="-159" w:hanging="210" w:hangingChars="100"/>
        <w:rPr>
          <w:rFonts w:ascii="宋体" w:hAnsi="宋体" w:cs="宋体"/>
          <w:color w:val="auto"/>
          <w:szCs w:val="21"/>
        </w:rPr>
      </w:pPr>
      <w:r>
        <w:rPr>
          <w:rFonts w:hint="eastAsia" w:ascii="宋体" w:hAnsi="宋体" w:cs="宋体"/>
          <w:color w:val="auto"/>
          <w:szCs w:val="21"/>
        </w:rPr>
        <w:t>2、联合体投标的，应分别提交本表并附相应的证明资料扫描件。</w:t>
      </w:r>
    </w:p>
    <w:p>
      <w:pPr>
        <w:spacing w:before="120" w:after="120" w:line="360" w:lineRule="auto"/>
        <w:jc w:val="left"/>
        <w:rPr>
          <w:rFonts w:ascii="宋体" w:hAnsi="宋体" w:cs="宋体"/>
          <w:b/>
          <w:color w:val="auto"/>
          <w:sz w:val="24"/>
          <w:szCs w:val="20"/>
        </w:rPr>
      </w:pPr>
    </w:p>
    <w:p>
      <w:pPr>
        <w:spacing w:before="120" w:after="120" w:line="360" w:lineRule="auto"/>
        <w:jc w:val="left"/>
        <w:rPr>
          <w:rFonts w:ascii="宋体" w:hAnsi="宋体" w:cs="宋体"/>
          <w:b/>
          <w:color w:val="auto"/>
          <w:sz w:val="24"/>
          <w:szCs w:val="20"/>
        </w:rPr>
      </w:pPr>
      <w:r>
        <w:rPr>
          <w:rFonts w:hint="eastAsia" w:ascii="宋体" w:hAnsi="宋体" w:cs="宋体"/>
          <w:b/>
          <w:color w:val="auto"/>
          <w:sz w:val="24"/>
          <w:szCs w:val="20"/>
        </w:rPr>
        <w:t>格式4</w:t>
      </w:r>
    </w:p>
    <w:bookmarkEnd w:id="836"/>
    <w:bookmarkEnd w:id="837"/>
    <w:bookmarkEnd w:id="838"/>
    <w:p>
      <w:pPr>
        <w:pStyle w:val="8"/>
        <w:spacing w:line="360" w:lineRule="auto"/>
        <w:jc w:val="center"/>
        <w:rPr>
          <w:rFonts w:ascii="宋体" w:hAnsi="宋体" w:cs="宋体"/>
          <w:b/>
          <w:bCs/>
          <w:color w:val="auto"/>
          <w:sz w:val="36"/>
          <w:szCs w:val="36"/>
          <w:lang w:val="zh-CN"/>
        </w:rPr>
      </w:pPr>
      <w:r>
        <w:rPr>
          <w:rFonts w:hint="eastAsia" w:ascii="宋体" w:hAnsi="宋体" w:cs="宋体"/>
          <w:b/>
          <w:bCs/>
          <w:color w:val="auto"/>
          <w:sz w:val="36"/>
          <w:szCs w:val="36"/>
          <w:lang w:val="zh-CN"/>
        </w:rPr>
        <w:t>项目</w:t>
      </w:r>
      <w:r>
        <w:rPr>
          <w:rFonts w:hint="eastAsia" w:ascii="宋体" w:hAnsi="宋体" w:cs="宋体"/>
          <w:b/>
          <w:bCs/>
          <w:color w:val="auto"/>
          <w:sz w:val="36"/>
          <w:szCs w:val="36"/>
        </w:rPr>
        <w:t>负责人（兼施工负责人）</w:t>
      </w:r>
      <w:r>
        <w:rPr>
          <w:rFonts w:hint="eastAsia" w:ascii="宋体" w:hAnsi="宋体" w:cs="宋体"/>
          <w:b/>
          <w:bCs/>
          <w:color w:val="auto"/>
          <w:sz w:val="36"/>
          <w:szCs w:val="36"/>
          <w:lang w:val="zh-CN"/>
        </w:rPr>
        <w:t>简历表</w:t>
      </w:r>
    </w:p>
    <w:p>
      <w:pPr>
        <w:spacing w:line="420" w:lineRule="exact"/>
        <w:rPr>
          <w:rFonts w:ascii="宋体" w:hAnsi="宋体" w:cs="宋体"/>
          <w:color w:val="auto"/>
          <w:szCs w:val="21"/>
        </w:rPr>
      </w:pPr>
    </w:p>
    <w:tbl>
      <w:tblPr>
        <w:tblStyle w:val="1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037"/>
        <w:gridCol w:w="1138"/>
        <w:gridCol w:w="1279"/>
        <w:gridCol w:w="1847"/>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Align w:val="center"/>
          </w:tcPr>
          <w:p>
            <w:pPr>
              <w:jc w:val="center"/>
              <w:rPr>
                <w:rFonts w:ascii="宋体" w:hAnsi="宋体" w:cs="宋体"/>
                <w:color w:val="auto"/>
                <w:sz w:val="24"/>
                <w:szCs w:val="24"/>
              </w:rPr>
            </w:pPr>
            <w:r>
              <w:rPr>
                <w:rFonts w:hint="eastAsia" w:ascii="宋体" w:hAnsi="宋体" w:cs="宋体"/>
                <w:color w:val="auto"/>
                <w:sz w:val="24"/>
                <w:szCs w:val="24"/>
              </w:rPr>
              <w:t>姓  名</w:t>
            </w:r>
          </w:p>
        </w:tc>
        <w:tc>
          <w:tcPr>
            <w:tcW w:w="1037" w:type="dxa"/>
            <w:vAlign w:val="center"/>
          </w:tcPr>
          <w:p>
            <w:pPr>
              <w:jc w:val="center"/>
              <w:rPr>
                <w:rFonts w:ascii="宋体" w:hAnsi="宋体" w:cs="宋体"/>
                <w:color w:val="auto"/>
                <w:sz w:val="24"/>
                <w:szCs w:val="24"/>
              </w:rPr>
            </w:pPr>
          </w:p>
        </w:tc>
        <w:tc>
          <w:tcPr>
            <w:tcW w:w="1138" w:type="dxa"/>
            <w:vAlign w:val="center"/>
          </w:tcPr>
          <w:p>
            <w:pPr>
              <w:jc w:val="center"/>
              <w:rPr>
                <w:rFonts w:ascii="宋体" w:hAnsi="宋体" w:cs="宋体"/>
                <w:color w:val="auto"/>
                <w:sz w:val="24"/>
                <w:szCs w:val="24"/>
              </w:rPr>
            </w:pPr>
            <w:r>
              <w:rPr>
                <w:rFonts w:hint="eastAsia" w:ascii="宋体" w:hAnsi="宋体" w:cs="宋体"/>
                <w:color w:val="auto"/>
                <w:sz w:val="24"/>
                <w:szCs w:val="24"/>
              </w:rPr>
              <w:t>年  龄</w:t>
            </w:r>
          </w:p>
        </w:tc>
        <w:tc>
          <w:tcPr>
            <w:tcW w:w="1279" w:type="dxa"/>
            <w:vAlign w:val="center"/>
          </w:tcPr>
          <w:p>
            <w:pPr>
              <w:jc w:val="center"/>
              <w:rPr>
                <w:rFonts w:ascii="宋体" w:hAnsi="宋体" w:cs="宋体"/>
                <w:color w:val="auto"/>
                <w:sz w:val="24"/>
                <w:szCs w:val="24"/>
              </w:rPr>
            </w:pPr>
          </w:p>
        </w:tc>
        <w:tc>
          <w:tcPr>
            <w:tcW w:w="1847" w:type="dxa"/>
            <w:vAlign w:val="center"/>
          </w:tcPr>
          <w:p>
            <w:pPr>
              <w:jc w:val="center"/>
              <w:rPr>
                <w:rFonts w:ascii="宋体" w:hAnsi="宋体" w:cs="宋体"/>
                <w:color w:val="auto"/>
                <w:sz w:val="24"/>
                <w:szCs w:val="24"/>
              </w:rPr>
            </w:pPr>
            <w:r>
              <w:rPr>
                <w:rFonts w:hint="eastAsia" w:ascii="宋体" w:hAnsi="宋体" w:cs="宋体"/>
                <w:color w:val="auto"/>
                <w:sz w:val="24"/>
                <w:szCs w:val="24"/>
              </w:rPr>
              <w:t>学历</w:t>
            </w:r>
          </w:p>
        </w:tc>
        <w:tc>
          <w:tcPr>
            <w:tcW w:w="2132" w:type="dxa"/>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Align w:val="center"/>
          </w:tcPr>
          <w:p>
            <w:pPr>
              <w:jc w:val="center"/>
              <w:rPr>
                <w:rFonts w:ascii="宋体" w:hAnsi="宋体" w:cs="宋体"/>
                <w:color w:val="auto"/>
                <w:sz w:val="24"/>
                <w:szCs w:val="24"/>
              </w:rPr>
            </w:pPr>
            <w:r>
              <w:rPr>
                <w:rFonts w:hint="eastAsia" w:ascii="宋体" w:hAnsi="宋体" w:cs="宋体"/>
                <w:color w:val="auto"/>
                <w:sz w:val="24"/>
                <w:szCs w:val="24"/>
              </w:rPr>
              <w:t>职  称</w:t>
            </w:r>
          </w:p>
        </w:tc>
        <w:tc>
          <w:tcPr>
            <w:tcW w:w="1037" w:type="dxa"/>
            <w:vAlign w:val="center"/>
          </w:tcPr>
          <w:p>
            <w:pPr>
              <w:jc w:val="center"/>
              <w:rPr>
                <w:rFonts w:ascii="宋体" w:hAnsi="宋体" w:cs="宋体"/>
                <w:color w:val="auto"/>
                <w:sz w:val="24"/>
                <w:szCs w:val="24"/>
              </w:rPr>
            </w:pPr>
          </w:p>
        </w:tc>
        <w:tc>
          <w:tcPr>
            <w:tcW w:w="1138" w:type="dxa"/>
            <w:vAlign w:val="center"/>
          </w:tcPr>
          <w:p>
            <w:pPr>
              <w:jc w:val="center"/>
              <w:rPr>
                <w:rFonts w:ascii="宋体" w:hAnsi="宋体" w:cs="宋体"/>
                <w:color w:val="auto"/>
                <w:sz w:val="24"/>
                <w:szCs w:val="24"/>
              </w:rPr>
            </w:pPr>
            <w:r>
              <w:rPr>
                <w:rFonts w:hint="eastAsia" w:ascii="宋体" w:hAnsi="宋体" w:cs="宋体"/>
                <w:color w:val="auto"/>
                <w:sz w:val="24"/>
                <w:szCs w:val="24"/>
              </w:rPr>
              <w:t>职  务</w:t>
            </w:r>
          </w:p>
        </w:tc>
        <w:tc>
          <w:tcPr>
            <w:tcW w:w="1279" w:type="dxa"/>
            <w:vAlign w:val="center"/>
          </w:tcPr>
          <w:p>
            <w:pPr>
              <w:jc w:val="center"/>
              <w:rPr>
                <w:rFonts w:ascii="宋体" w:hAnsi="宋体" w:cs="宋体"/>
                <w:color w:val="auto"/>
                <w:sz w:val="24"/>
                <w:szCs w:val="24"/>
              </w:rPr>
            </w:pPr>
          </w:p>
        </w:tc>
        <w:tc>
          <w:tcPr>
            <w:tcW w:w="1847" w:type="dxa"/>
            <w:vAlign w:val="center"/>
          </w:tcPr>
          <w:p>
            <w:pPr>
              <w:jc w:val="center"/>
              <w:rPr>
                <w:rFonts w:ascii="宋体" w:hAnsi="宋体" w:cs="宋体"/>
                <w:color w:val="auto"/>
                <w:sz w:val="24"/>
                <w:szCs w:val="24"/>
              </w:rPr>
            </w:pPr>
            <w:r>
              <w:rPr>
                <w:rFonts w:hint="eastAsia" w:ascii="宋体" w:hAnsi="宋体" w:cs="宋体"/>
                <w:color w:val="auto"/>
                <w:sz w:val="24"/>
                <w:szCs w:val="24"/>
              </w:rPr>
              <w:t>拟在本工程任职</w:t>
            </w:r>
          </w:p>
        </w:tc>
        <w:tc>
          <w:tcPr>
            <w:tcW w:w="2132" w:type="dxa"/>
            <w:vAlign w:val="center"/>
          </w:tcPr>
          <w:p>
            <w:pPr>
              <w:jc w:val="center"/>
              <w:rPr>
                <w:rFonts w:ascii="宋体" w:hAnsi="宋体" w:cs="宋体"/>
                <w:color w:val="auto"/>
                <w:sz w:val="24"/>
                <w:szCs w:val="24"/>
              </w:rPr>
            </w:pPr>
            <w:r>
              <w:rPr>
                <w:rFonts w:hint="eastAsia" w:ascii="宋体" w:hAnsi="宋体" w:cs="宋体"/>
                <w:color w:val="auto"/>
                <w:sz w:val="24"/>
                <w:szCs w:val="24"/>
                <w:lang w:val="zh-CN"/>
              </w:rPr>
              <w:t>项目</w:t>
            </w:r>
            <w:r>
              <w:rPr>
                <w:rFonts w:hint="eastAsia" w:ascii="宋体" w:hAnsi="宋体" w:cs="宋体"/>
                <w:color w:val="auto"/>
                <w:sz w:val="24"/>
                <w:szCs w:val="24"/>
              </w:rPr>
              <w:t>负责人（兼施工负责人）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70" w:type="dxa"/>
            <w:gridSpan w:val="3"/>
            <w:vAlign w:val="center"/>
          </w:tcPr>
          <w:p>
            <w:pPr>
              <w:jc w:val="center"/>
              <w:rPr>
                <w:rFonts w:ascii="宋体" w:hAnsi="宋体" w:cs="宋体"/>
                <w:color w:val="auto"/>
                <w:sz w:val="24"/>
                <w:szCs w:val="24"/>
              </w:rPr>
            </w:pPr>
            <w:r>
              <w:rPr>
                <w:rFonts w:hint="eastAsia" w:ascii="宋体" w:hAnsi="宋体" w:cs="宋体"/>
                <w:color w:val="auto"/>
                <w:sz w:val="24"/>
                <w:szCs w:val="24"/>
              </w:rPr>
              <w:t>注册建造师执业资格等级</w:t>
            </w:r>
          </w:p>
        </w:tc>
        <w:tc>
          <w:tcPr>
            <w:tcW w:w="1279" w:type="dxa"/>
            <w:vAlign w:val="center"/>
          </w:tcPr>
          <w:p>
            <w:pPr>
              <w:jc w:val="center"/>
              <w:rPr>
                <w:rFonts w:ascii="宋体" w:hAnsi="宋体" w:cs="宋体"/>
                <w:color w:val="auto"/>
                <w:sz w:val="24"/>
                <w:szCs w:val="24"/>
              </w:rPr>
            </w:pPr>
            <w:r>
              <w:rPr>
                <w:rFonts w:hint="eastAsia" w:ascii="宋体" w:hAnsi="宋体" w:cs="宋体"/>
                <w:color w:val="auto"/>
                <w:sz w:val="24"/>
                <w:szCs w:val="24"/>
              </w:rPr>
              <w:t xml:space="preserve">      级</w:t>
            </w:r>
          </w:p>
        </w:tc>
        <w:tc>
          <w:tcPr>
            <w:tcW w:w="1847" w:type="dxa"/>
            <w:vAlign w:val="center"/>
          </w:tcPr>
          <w:p>
            <w:pPr>
              <w:jc w:val="center"/>
              <w:rPr>
                <w:rFonts w:ascii="宋体" w:hAnsi="宋体" w:cs="宋体"/>
                <w:color w:val="auto"/>
                <w:sz w:val="24"/>
                <w:szCs w:val="24"/>
              </w:rPr>
            </w:pPr>
            <w:r>
              <w:rPr>
                <w:rFonts w:hint="eastAsia" w:ascii="宋体" w:hAnsi="宋体" w:cs="宋体"/>
                <w:color w:val="auto"/>
                <w:sz w:val="24"/>
                <w:szCs w:val="24"/>
              </w:rPr>
              <w:t>建造师专业</w:t>
            </w:r>
          </w:p>
        </w:tc>
        <w:tc>
          <w:tcPr>
            <w:tcW w:w="2132" w:type="dxa"/>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70" w:type="dxa"/>
            <w:gridSpan w:val="3"/>
            <w:vAlign w:val="center"/>
          </w:tcPr>
          <w:p>
            <w:pPr>
              <w:jc w:val="center"/>
              <w:rPr>
                <w:rFonts w:ascii="宋体" w:hAnsi="宋体" w:cs="宋体"/>
                <w:color w:val="auto"/>
                <w:sz w:val="24"/>
                <w:szCs w:val="24"/>
              </w:rPr>
            </w:pPr>
            <w:r>
              <w:rPr>
                <w:rFonts w:hint="eastAsia" w:ascii="宋体" w:hAnsi="宋体" w:cs="宋体"/>
                <w:color w:val="auto"/>
                <w:sz w:val="24"/>
                <w:szCs w:val="24"/>
              </w:rPr>
              <w:t>安全生产考核合格证书</w:t>
            </w:r>
          </w:p>
        </w:tc>
        <w:tc>
          <w:tcPr>
            <w:tcW w:w="5258" w:type="dxa"/>
            <w:gridSpan w:val="3"/>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Align w:val="center"/>
          </w:tcPr>
          <w:p>
            <w:pPr>
              <w:jc w:val="center"/>
              <w:rPr>
                <w:rFonts w:ascii="宋体" w:hAnsi="宋体" w:cs="宋体"/>
                <w:color w:val="auto"/>
                <w:sz w:val="24"/>
                <w:szCs w:val="24"/>
              </w:rPr>
            </w:pPr>
            <w:r>
              <w:rPr>
                <w:rFonts w:hint="eastAsia" w:ascii="宋体" w:hAnsi="宋体" w:cs="宋体"/>
                <w:color w:val="auto"/>
                <w:sz w:val="24"/>
                <w:szCs w:val="24"/>
              </w:rPr>
              <w:t>毕业学校</w:t>
            </w:r>
          </w:p>
        </w:tc>
        <w:tc>
          <w:tcPr>
            <w:tcW w:w="7433" w:type="dxa"/>
            <w:gridSpan w:val="5"/>
            <w:vAlign w:val="center"/>
          </w:tcPr>
          <w:p>
            <w:pPr>
              <w:ind w:firstLine="960" w:firstLineChars="400"/>
              <w:rPr>
                <w:rFonts w:ascii="宋体" w:hAnsi="宋体" w:cs="宋体"/>
                <w:color w:val="auto"/>
                <w:sz w:val="24"/>
                <w:szCs w:val="24"/>
              </w:rPr>
            </w:pPr>
            <w:r>
              <w:rPr>
                <w:rFonts w:hint="eastAsia" w:ascii="宋体" w:hAnsi="宋体" w:cs="宋体"/>
                <w:color w:val="auto"/>
                <w:sz w:val="24"/>
                <w:szCs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8" w:type="dxa"/>
            <w:gridSpan w:val="6"/>
            <w:vAlign w:val="center"/>
          </w:tcPr>
          <w:p>
            <w:pPr>
              <w:jc w:val="center"/>
              <w:rPr>
                <w:rFonts w:ascii="宋体" w:hAnsi="宋体" w:cs="宋体"/>
                <w:color w:val="auto"/>
                <w:sz w:val="24"/>
                <w:szCs w:val="24"/>
              </w:rPr>
            </w:pPr>
            <w:r>
              <w:rPr>
                <w:rFonts w:hint="eastAsia" w:ascii="宋体" w:hAnsi="宋体" w:cs="宋体"/>
                <w:color w:val="auto"/>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95" w:type="dxa"/>
            <w:vAlign w:val="center"/>
          </w:tcPr>
          <w:p>
            <w:pPr>
              <w:jc w:val="center"/>
              <w:rPr>
                <w:rFonts w:ascii="宋体" w:hAnsi="宋体" w:cs="宋体"/>
                <w:color w:val="auto"/>
                <w:sz w:val="24"/>
                <w:szCs w:val="24"/>
              </w:rPr>
            </w:pPr>
            <w:r>
              <w:rPr>
                <w:rFonts w:hint="eastAsia" w:ascii="宋体" w:hAnsi="宋体" w:cs="宋体"/>
                <w:color w:val="auto"/>
                <w:sz w:val="24"/>
                <w:szCs w:val="24"/>
              </w:rPr>
              <w:t>时  间</w:t>
            </w:r>
          </w:p>
        </w:tc>
        <w:tc>
          <w:tcPr>
            <w:tcW w:w="3454" w:type="dxa"/>
            <w:gridSpan w:val="3"/>
            <w:vAlign w:val="center"/>
          </w:tcPr>
          <w:p>
            <w:pPr>
              <w:jc w:val="center"/>
              <w:rPr>
                <w:rFonts w:ascii="宋体" w:hAnsi="宋体" w:cs="宋体"/>
                <w:color w:val="auto"/>
                <w:sz w:val="24"/>
                <w:szCs w:val="24"/>
              </w:rPr>
            </w:pPr>
            <w:r>
              <w:rPr>
                <w:rFonts w:hint="eastAsia" w:ascii="宋体" w:hAnsi="宋体" w:cs="宋体"/>
                <w:color w:val="auto"/>
                <w:sz w:val="24"/>
                <w:szCs w:val="24"/>
              </w:rPr>
              <w:t>参加过的类似项目名称</w:t>
            </w:r>
          </w:p>
        </w:tc>
        <w:tc>
          <w:tcPr>
            <w:tcW w:w="1847" w:type="dxa"/>
            <w:vAlign w:val="center"/>
          </w:tcPr>
          <w:p>
            <w:pPr>
              <w:jc w:val="center"/>
              <w:rPr>
                <w:rFonts w:ascii="宋体" w:hAnsi="宋体" w:cs="宋体"/>
                <w:color w:val="auto"/>
                <w:sz w:val="24"/>
                <w:szCs w:val="24"/>
              </w:rPr>
            </w:pPr>
            <w:r>
              <w:rPr>
                <w:rFonts w:hint="eastAsia" w:ascii="宋体" w:hAnsi="宋体" w:cs="宋体"/>
                <w:color w:val="auto"/>
                <w:sz w:val="24"/>
                <w:szCs w:val="24"/>
              </w:rPr>
              <w:t>工程概况说明</w:t>
            </w:r>
          </w:p>
        </w:tc>
        <w:tc>
          <w:tcPr>
            <w:tcW w:w="2132" w:type="dxa"/>
            <w:vAlign w:val="center"/>
          </w:tcPr>
          <w:p>
            <w:pPr>
              <w:jc w:val="center"/>
              <w:rPr>
                <w:rFonts w:ascii="宋体" w:hAnsi="宋体" w:cs="宋体"/>
                <w:color w:val="auto"/>
                <w:sz w:val="24"/>
                <w:szCs w:val="24"/>
              </w:rPr>
            </w:pPr>
            <w:r>
              <w:rPr>
                <w:rFonts w:hint="eastAsia" w:ascii="宋体" w:hAnsi="宋体" w:cs="宋体"/>
                <w:color w:val="auto"/>
                <w:sz w:val="24"/>
                <w:szCs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5" w:type="dxa"/>
            <w:vAlign w:val="center"/>
          </w:tcPr>
          <w:p>
            <w:pPr>
              <w:jc w:val="center"/>
              <w:rPr>
                <w:rFonts w:ascii="宋体" w:hAnsi="宋体" w:cs="宋体"/>
                <w:color w:val="auto"/>
                <w:sz w:val="24"/>
                <w:szCs w:val="24"/>
              </w:rPr>
            </w:pPr>
          </w:p>
        </w:tc>
        <w:tc>
          <w:tcPr>
            <w:tcW w:w="3454" w:type="dxa"/>
            <w:gridSpan w:val="3"/>
            <w:vAlign w:val="center"/>
          </w:tcPr>
          <w:p>
            <w:pPr>
              <w:jc w:val="center"/>
              <w:rPr>
                <w:rFonts w:ascii="宋体" w:hAnsi="宋体" w:cs="宋体"/>
                <w:color w:val="auto"/>
                <w:sz w:val="24"/>
                <w:szCs w:val="24"/>
              </w:rPr>
            </w:pPr>
          </w:p>
        </w:tc>
        <w:tc>
          <w:tcPr>
            <w:tcW w:w="1847" w:type="dxa"/>
            <w:vAlign w:val="center"/>
          </w:tcPr>
          <w:p>
            <w:pPr>
              <w:jc w:val="center"/>
              <w:rPr>
                <w:rFonts w:ascii="宋体" w:hAnsi="宋体" w:cs="宋体"/>
                <w:color w:val="auto"/>
                <w:sz w:val="24"/>
                <w:szCs w:val="24"/>
              </w:rPr>
            </w:pPr>
          </w:p>
        </w:tc>
        <w:tc>
          <w:tcPr>
            <w:tcW w:w="2132" w:type="dxa"/>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5" w:type="dxa"/>
            <w:vAlign w:val="center"/>
          </w:tcPr>
          <w:p>
            <w:pPr>
              <w:jc w:val="center"/>
              <w:rPr>
                <w:rFonts w:ascii="宋体" w:hAnsi="宋体" w:cs="宋体"/>
                <w:color w:val="auto"/>
                <w:sz w:val="24"/>
                <w:szCs w:val="24"/>
              </w:rPr>
            </w:pPr>
          </w:p>
        </w:tc>
        <w:tc>
          <w:tcPr>
            <w:tcW w:w="3454" w:type="dxa"/>
            <w:gridSpan w:val="3"/>
            <w:vAlign w:val="center"/>
          </w:tcPr>
          <w:p>
            <w:pPr>
              <w:jc w:val="center"/>
              <w:rPr>
                <w:rFonts w:ascii="宋体" w:hAnsi="宋体" w:cs="宋体"/>
                <w:color w:val="auto"/>
                <w:sz w:val="24"/>
                <w:szCs w:val="24"/>
              </w:rPr>
            </w:pPr>
          </w:p>
        </w:tc>
        <w:tc>
          <w:tcPr>
            <w:tcW w:w="1847" w:type="dxa"/>
            <w:vAlign w:val="center"/>
          </w:tcPr>
          <w:p>
            <w:pPr>
              <w:jc w:val="center"/>
              <w:rPr>
                <w:rFonts w:ascii="宋体" w:hAnsi="宋体" w:cs="宋体"/>
                <w:color w:val="auto"/>
                <w:sz w:val="24"/>
                <w:szCs w:val="24"/>
              </w:rPr>
            </w:pPr>
          </w:p>
        </w:tc>
        <w:tc>
          <w:tcPr>
            <w:tcW w:w="2132" w:type="dxa"/>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5" w:type="dxa"/>
            <w:vAlign w:val="center"/>
          </w:tcPr>
          <w:p>
            <w:pPr>
              <w:jc w:val="center"/>
              <w:rPr>
                <w:rFonts w:ascii="宋体" w:hAnsi="宋体" w:cs="宋体"/>
                <w:color w:val="auto"/>
                <w:sz w:val="24"/>
                <w:szCs w:val="24"/>
              </w:rPr>
            </w:pPr>
          </w:p>
        </w:tc>
        <w:tc>
          <w:tcPr>
            <w:tcW w:w="3454" w:type="dxa"/>
            <w:gridSpan w:val="3"/>
            <w:vAlign w:val="center"/>
          </w:tcPr>
          <w:p>
            <w:pPr>
              <w:jc w:val="center"/>
              <w:rPr>
                <w:rFonts w:ascii="宋体" w:hAnsi="宋体" w:cs="宋体"/>
                <w:color w:val="auto"/>
                <w:sz w:val="24"/>
                <w:szCs w:val="24"/>
              </w:rPr>
            </w:pPr>
          </w:p>
        </w:tc>
        <w:tc>
          <w:tcPr>
            <w:tcW w:w="1847" w:type="dxa"/>
            <w:vAlign w:val="center"/>
          </w:tcPr>
          <w:p>
            <w:pPr>
              <w:jc w:val="center"/>
              <w:rPr>
                <w:rFonts w:ascii="宋体" w:hAnsi="宋体" w:cs="宋体"/>
                <w:color w:val="auto"/>
                <w:sz w:val="24"/>
                <w:szCs w:val="24"/>
              </w:rPr>
            </w:pPr>
          </w:p>
        </w:tc>
        <w:tc>
          <w:tcPr>
            <w:tcW w:w="2132" w:type="dxa"/>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5" w:type="dxa"/>
            <w:vAlign w:val="center"/>
          </w:tcPr>
          <w:p>
            <w:pPr>
              <w:jc w:val="center"/>
              <w:rPr>
                <w:rFonts w:ascii="宋体" w:hAnsi="宋体" w:cs="宋体"/>
                <w:color w:val="auto"/>
                <w:sz w:val="24"/>
                <w:szCs w:val="24"/>
              </w:rPr>
            </w:pPr>
          </w:p>
        </w:tc>
        <w:tc>
          <w:tcPr>
            <w:tcW w:w="3454" w:type="dxa"/>
            <w:gridSpan w:val="3"/>
            <w:vAlign w:val="center"/>
          </w:tcPr>
          <w:p>
            <w:pPr>
              <w:jc w:val="center"/>
              <w:rPr>
                <w:rFonts w:ascii="宋体" w:hAnsi="宋体" w:cs="宋体"/>
                <w:color w:val="auto"/>
                <w:sz w:val="24"/>
                <w:szCs w:val="24"/>
              </w:rPr>
            </w:pPr>
          </w:p>
        </w:tc>
        <w:tc>
          <w:tcPr>
            <w:tcW w:w="1847" w:type="dxa"/>
            <w:vAlign w:val="center"/>
          </w:tcPr>
          <w:p>
            <w:pPr>
              <w:jc w:val="center"/>
              <w:rPr>
                <w:rFonts w:ascii="宋体" w:hAnsi="宋体" w:cs="宋体"/>
                <w:color w:val="auto"/>
                <w:sz w:val="24"/>
                <w:szCs w:val="24"/>
              </w:rPr>
            </w:pPr>
          </w:p>
        </w:tc>
        <w:tc>
          <w:tcPr>
            <w:tcW w:w="2132" w:type="dxa"/>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5" w:type="dxa"/>
            <w:vAlign w:val="center"/>
          </w:tcPr>
          <w:p>
            <w:pPr>
              <w:jc w:val="center"/>
              <w:rPr>
                <w:rFonts w:ascii="宋体" w:hAnsi="宋体" w:cs="宋体"/>
                <w:color w:val="auto"/>
                <w:sz w:val="24"/>
                <w:szCs w:val="24"/>
              </w:rPr>
            </w:pPr>
          </w:p>
        </w:tc>
        <w:tc>
          <w:tcPr>
            <w:tcW w:w="3454" w:type="dxa"/>
            <w:gridSpan w:val="3"/>
            <w:vAlign w:val="center"/>
          </w:tcPr>
          <w:p>
            <w:pPr>
              <w:jc w:val="center"/>
              <w:rPr>
                <w:rFonts w:ascii="宋体" w:hAnsi="宋体" w:cs="宋体"/>
                <w:color w:val="auto"/>
                <w:sz w:val="24"/>
                <w:szCs w:val="24"/>
              </w:rPr>
            </w:pPr>
          </w:p>
        </w:tc>
        <w:tc>
          <w:tcPr>
            <w:tcW w:w="1847" w:type="dxa"/>
            <w:vAlign w:val="center"/>
          </w:tcPr>
          <w:p>
            <w:pPr>
              <w:jc w:val="center"/>
              <w:rPr>
                <w:rFonts w:ascii="宋体" w:hAnsi="宋体" w:cs="宋体"/>
                <w:color w:val="auto"/>
                <w:sz w:val="24"/>
                <w:szCs w:val="24"/>
              </w:rPr>
            </w:pPr>
          </w:p>
        </w:tc>
        <w:tc>
          <w:tcPr>
            <w:tcW w:w="2132" w:type="dxa"/>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5" w:type="dxa"/>
            <w:vAlign w:val="center"/>
          </w:tcPr>
          <w:p>
            <w:pPr>
              <w:jc w:val="center"/>
              <w:rPr>
                <w:rFonts w:ascii="宋体" w:hAnsi="宋体" w:cs="宋体"/>
                <w:color w:val="auto"/>
                <w:sz w:val="24"/>
                <w:szCs w:val="24"/>
              </w:rPr>
            </w:pPr>
          </w:p>
        </w:tc>
        <w:tc>
          <w:tcPr>
            <w:tcW w:w="3454" w:type="dxa"/>
            <w:gridSpan w:val="3"/>
            <w:vAlign w:val="center"/>
          </w:tcPr>
          <w:p>
            <w:pPr>
              <w:jc w:val="center"/>
              <w:rPr>
                <w:rFonts w:ascii="宋体" w:hAnsi="宋体" w:cs="宋体"/>
                <w:color w:val="auto"/>
                <w:sz w:val="24"/>
                <w:szCs w:val="24"/>
              </w:rPr>
            </w:pPr>
          </w:p>
        </w:tc>
        <w:tc>
          <w:tcPr>
            <w:tcW w:w="1847" w:type="dxa"/>
            <w:vAlign w:val="center"/>
          </w:tcPr>
          <w:p>
            <w:pPr>
              <w:jc w:val="center"/>
              <w:rPr>
                <w:rFonts w:ascii="宋体" w:hAnsi="宋体" w:cs="宋体"/>
                <w:color w:val="auto"/>
                <w:sz w:val="24"/>
                <w:szCs w:val="24"/>
              </w:rPr>
            </w:pPr>
          </w:p>
        </w:tc>
        <w:tc>
          <w:tcPr>
            <w:tcW w:w="2132" w:type="dxa"/>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5" w:type="dxa"/>
            <w:vAlign w:val="center"/>
          </w:tcPr>
          <w:p>
            <w:pPr>
              <w:jc w:val="center"/>
              <w:rPr>
                <w:rFonts w:ascii="宋体" w:hAnsi="宋体" w:cs="宋体"/>
                <w:color w:val="auto"/>
                <w:sz w:val="24"/>
                <w:szCs w:val="24"/>
              </w:rPr>
            </w:pPr>
          </w:p>
        </w:tc>
        <w:tc>
          <w:tcPr>
            <w:tcW w:w="3454" w:type="dxa"/>
            <w:gridSpan w:val="3"/>
            <w:vAlign w:val="center"/>
          </w:tcPr>
          <w:p>
            <w:pPr>
              <w:jc w:val="center"/>
              <w:rPr>
                <w:rFonts w:ascii="宋体" w:hAnsi="宋体" w:cs="宋体"/>
                <w:color w:val="auto"/>
                <w:sz w:val="24"/>
                <w:szCs w:val="24"/>
              </w:rPr>
            </w:pPr>
          </w:p>
        </w:tc>
        <w:tc>
          <w:tcPr>
            <w:tcW w:w="1847" w:type="dxa"/>
            <w:vAlign w:val="center"/>
          </w:tcPr>
          <w:p>
            <w:pPr>
              <w:jc w:val="center"/>
              <w:rPr>
                <w:rFonts w:ascii="宋体" w:hAnsi="宋体" w:cs="宋体"/>
                <w:color w:val="auto"/>
                <w:sz w:val="24"/>
                <w:szCs w:val="24"/>
              </w:rPr>
            </w:pPr>
          </w:p>
        </w:tc>
        <w:tc>
          <w:tcPr>
            <w:tcW w:w="2132" w:type="dxa"/>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95" w:type="dxa"/>
            <w:vAlign w:val="center"/>
          </w:tcPr>
          <w:p>
            <w:pPr>
              <w:jc w:val="center"/>
              <w:rPr>
                <w:rFonts w:ascii="宋体" w:hAnsi="宋体" w:cs="宋体"/>
                <w:color w:val="auto"/>
                <w:sz w:val="24"/>
                <w:szCs w:val="24"/>
              </w:rPr>
            </w:pPr>
          </w:p>
        </w:tc>
        <w:tc>
          <w:tcPr>
            <w:tcW w:w="3454" w:type="dxa"/>
            <w:gridSpan w:val="3"/>
            <w:vAlign w:val="center"/>
          </w:tcPr>
          <w:p>
            <w:pPr>
              <w:jc w:val="center"/>
              <w:rPr>
                <w:rFonts w:ascii="宋体" w:hAnsi="宋体" w:cs="宋体"/>
                <w:color w:val="auto"/>
                <w:sz w:val="24"/>
                <w:szCs w:val="24"/>
              </w:rPr>
            </w:pPr>
          </w:p>
        </w:tc>
        <w:tc>
          <w:tcPr>
            <w:tcW w:w="1847" w:type="dxa"/>
            <w:vAlign w:val="center"/>
          </w:tcPr>
          <w:p>
            <w:pPr>
              <w:jc w:val="center"/>
              <w:rPr>
                <w:rFonts w:ascii="宋体" w:hAnsi="宋体" w:cs="宋体"/>
                <w:color w:val="auto"/>
                <w:sz w:val="24"/>
                <w:szCs w:val="24"/>
              </w:rPr>
            </w:pPr>
          </w:p>
        </w:tc>
        <w:tc>
          <w:tcPr>
            <w:tcW w:w="2132" w:type="dxa"/>
            <w:vAlign w:val="center"/>
          </w:tcPr>
          <w:p>
            <w:pPr>
              <w:jc w:val="center"/>
              <w:rPr>
                <w:rFonts w:ascii="宋体" w:hAnsi="宋体" w:cs="宋体"/>
                <w:color w:val="auto"/>
                <w:sz w:val="24"/>
                <w:szCs w:val="24"/>
              </w:rPr>
            </w:pPr>
          </w:p>
        </w:tc>
      </w:tr>
    </w:tbl>
    <w:p>
      <w:pPr>
        <w:pStyle w:val="2"/>
        <w:rPr>
          <w:rFonts w:hAnsi="宋体" w:cs="宋体"/>
          <w:color w:val="auto"/>
          <w:szCs w:val="21"/>
        </w:rPr>
      </w:pPr>
    </w:p>
    <w:p>
      <w:pPr>
        <w:pStyle w:val="8"/>
        <w:rPr>
          <w:rFonts w:ascii="宋体" w:hAnsi="宋体" w:cs="宋体"/>
          <w:color w:val="auto"/>
        </w:rPr>
      </w:pPr>
      <w:r>
        <w:rPr>
          <w:rFonts w:hint="eastAsia" w:ascii="宋体" w:hAnsi="宋体" w:cs="宋体"/>
          <w:color w:val="auto"/>
          <w:szCs w:val="21"/>
        </w:rPr>
        <w:br w:type="page"/>
      </w:r>
      <w:r>
        <w:rPr>
          <w:rFonts w:hint="eastAsia" w:ascii="宋体" w:hAnsi="宋体" w:cs="宋体"/>
          <w:b/>
          <w:color w:val="auto"/>
          <w:sz w:val="24"/>
          <w:szCs w:val="20"/>
        </w:rPr>
        <w:t>格式5：</w:t>
      </w:r>
    </w:p>
    <w:p>
      <w:pPr>
        <w:spacing w:line="360" w:lineRule="auto"/>
        <w:jc w:val="center"/>
        <w:rPr>
          <w:rFonts w:ascii="宋体" w:hAnsi="宋体" w:cs="宋体"/>
          <w:b/>
          <w:bCs/>
          <w:color w:val="auto"/>
          <w:sz w:val="36"/>
          <w:szCs w:val="36"/>
          <w:lang w:val="zh-CN"/>
        </w:rPr>
      </w:pPr>
      <w:r>
        <w:rPr>
          <w:rFonts w:hint="eastAsia" w:ascii="宋体" w:hAnsi="宋体" w:cs="宋体"/>
          <w:b/>
          <w:bCs/>
          <w:color w:val="auto"/>
          <w:sz w:val="36"/>
          <w:szCs w:val="36"/>
          <w:lang w:val="zh-CN"/>
        </w:rPr>
        <w:t>投标承诺函</w:t>
      </w:r>
    </w:p>
    <w:p>
      <w:pPr>
        <w:spacing w:line="360" w:lineRule="auto"/>
        <w:rPr>
          <w:rFonts w:ascii="宋体" w:hAnsi="宋体" w:cs="宋体"/>
          <w:color w:val="auto"/>
          <w:sz w:val="24"/>
          <w:szCs w:val="24"/>
        </w:rPr>
      </w:pPr>
      <w:r>
        <w:rPr>
          <w:rFonts w:hint="eastAsia" w:ascii="宋体" w:hAnsi="宋体" w:cs="宋体"/>
          <w:color w:val="auto"/>
          <w:sz w:val="24"/>
          <w:szCs w:val="24"/>
        </w:rPr>
        <w:t>（招标人名称）：</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1．我方已仔细研究</w:t>
      </w:r>
      <w:r>
        <w:rPr>
          <w:rFonts w:hint="eastAsia" w:ascii="宋体" w:hAnsi="宋体" w:cs="宋体"/>
          <w:color w:val="auto"/>
          <w:sz w:val="24"/>
          <w:szCs w:val="24"/>
          <w:u w:val="single"/>
        </w:rPr>
        <w:t>了               （项目名称）</w:t>
      </w:r>
      <w:r>
        <w:rPr>
          <w:rFonts w:hint="eastAsia" w:ascii="宋体" w:hAnsi="宋体" w:cs="宋体"/>
          <w:color w:val="auto"/>
          <w:sz w:val="24"/>
          <w:szCs w:val="24"/>
        </w:rPr>
        <w:t>招标文件的全部内容，愿意以《投标书》中承诺的投标报价和工期，按合同约定进行设计、实施和竣工承包工程，修补工程中的任何缺陷，实现工程目的。我方充分了解了现场条件对可能存在的所有风险都已充分考虑，我方放弃在此方面提出含糊意见或误解的一切权力，承认招标文件的所有条款，按招标文件规定条款完成本次招标项目的内容。</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2. 我方已充分阅读了本项目招标文件并充分了解有关报价方式及变更、结算方式，我方完全响应招标文件的规定。</w:t>
      </w:r>
    </w:p>
    <w:p>
      <w:pPr>
        <w:pStyle w:val="2"/>
        <w:spacing w:line="360" w:lineRule="auto"/>
        <w:ind w:firstLine="417" w:firstLineChars="174"/>
        <w:rPr>
          <w:rFonts w:hAnsi="宋体" w:cs="宋体"/>
          <w:color w:val="auto"/>
          <w:kern w:val="2"/>
          <w:sz w:val="24"/>
          <w:szCs w:val="24"/>
        </w:rPr>
      </w:pPr>
      <w:r>
        <w:rPr>
          <w:rFonts w:hint="eastAsia" w:hAnsi="宋体" w:cs="宋体"/>
          <w:color w:val="auto"/>
          <w:kern w:val="2"/>
          <w:sz w:val="24"/>
          <w:szCs w:val="24"/>
        </w:rPr>
        <w:t>3．我方承诺本项目工程质量达到竣工验收合格，符合设计图纸要求和现行《工程施工质量验收规范》合格标准。</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4．我方承诺投标文件中的一切资料、数据是真实的，并承担由此引起的一切责任。</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5．我方承诺在招标文件规定的投标有效期内不修改、撤销投标文件。</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6．我方如果中标，我方保证：</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（1）保证履行招标文件以及招标文件修改书(如有)中的全部责任和义务，在中标通知书规定的时间内签订合同，并严格按国家有关法规履行我方的全部责任，按质、按量、按期完成合同约定的全部任务。</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2）保证将我方的资质承包范围不能涵盖或不具备相应能力(该能力须保证进度和质量且须获得发包人认可)的部分专业工程（如果有），委托获得发包人批准的具备相应专业资质和能力的单位实施，确保项目质量及进度。</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3）保证所完成的设计将完全符合国家相关规范要求，符合或优于招标文件、技术条件、合同条款的要求。若我方完成的设计文件未能达到发包人（或相关政府部门）的要求，我方将无条件根据要求进行修改设计文件，直至得到发包人（及相关政府部门）的认可为止。</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（4）保证尽一切力量确保投标承诺的竣工日期，若我方未能按投标承诺的工期完成本项目，除承担合同约定的违约责任外，发包人有权解除合同，我方承担由于违约解除合同退场造成的对发包人的一切损失。</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（5）保证所投入本项目的主要材料、设备质量符合或优于招标文件要求，所投入本项目的辅助设备、材料与主主要材料、设备质量一致并有良好的配套性。</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（6）保证按照招标文件的要求确保安全生产及文明施工，如有违反，我方愿意按合同约定承担违约责任，并为此负相关的法律责任。</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（7）保证按国家的有关规定制订保证民工工资支付的方案及保证措施，否则，我方愿按合同条款规定承担违约责任并赔偿发包人的全部损失。</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（8）保证按施工期间做好安全文明和交通保证措施，施工区全封闭围挡，根据工程进度计划分段施工分期围挡。最大限度满足交通和市民出行方便，施工行为做到便民，不扰民。</w:t>
      </w:r>
    </w:p>
    <w:p>
      <w:pPr>
        <w:snapToGrid w:val="0"/>
        <w:spacing w:line="360" w:lineRule="auto"/>
        <w:ind w:firstLine="417" w:firstLineChars="174"/>
        <w:rPr>
          <w:rFonts w:ascii="宋体" w:hAnsi="宋体" w:cs="宋体"/>
          <w:color w:val="auto"/>
          <w:sz w:val="24"/>
          <w:szCs w:val="24"/>
        </w:rPr>
      </w:pPr>
      <w:r>
        <w:rPr>
          <w:rFonts w:hint="eastAsia" w:ascii="宋体" w:hAnsi="宋体" w:cs="宋体"/>
          <w:color w:val="auto"/>
          <w:sz w:val="24"/>
          <w:szCs w:val="24"/>
        </w:rPr>
        <w:t>（9）保证按发包方工期要求编制施工进度计划，计划内用全面详实，根据项目特点合理组织分段施工，分段逐步移交。</w:t>
      </w:r>
    </w:p>
    <w:p>
      <w:pPr>
        <w:snapToGrid w:val="0"/>
        <w:spacing w:line="360" w:lineRule="auto"/>
        <w:ind w:firstLine="480" w:firstLineChars="200"/>
        <w:rPr>
          <w:rFonts w:ascii="宋体" w:hAnsi="宋体" w:cs="宋体"/>
          <w:color w:val="auto"/>
          <w:sz w:val="24"/>
          <w:szCs w:val="24"/>
        </w:rPr>
      </w:pPr>
    </w:p>
    <w:p>
      <w:pPr>
        <w:pStyle w:val="2"/>
        <w:rPr>
          <w:color w:val="auto"/>
        </w:rPr>
      </w:pP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投标人：（盖章）</w:t>
      </w:r>
    </w:p>
    <w:p>
      <w:pPr>
        <w:snapToGrid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日  期：年月日</w:t>
      </w:r>
    </w:p>
    <w:bookmarkEnd w:id="835"/>
    <w:p>
      <w:pPr>
        <w:spacing w:before="240" w:line="360" w:lineRule="exact"/>
        <w:rPr>
          <w:rFonts w:ascii="宋体" w:hAnsi="宋体" w:cs="宋体"/>
          <w:b/>
          <w:color w:val="auto"/>
          <w:sz w:val="24"/>
          <w:szCs w:val="20"/>
        </w:rPr>
      </w:pPr>
    </w:p>
    <w:p>
      <w:pPr>
        <w:pStyle w:val="8"/>
        <w:rPr>
          <w:rFonts w:ascii="宋体" w:hAnsi="宋体" w:cs="宋体"/>
          <w:b/>
          <w:color w:val="auto"/>
          <w:sz w:val="24"/>
          <w:szCs w:val="20"/>
        </w:rPr>
      </w:pPr>
    </w:p>
    <w:p>
      <w:pPr>
        <w:rPr>
          <w:rFonts w:ascii="宋体" w:hAnsi="宋体" w:cs="宋体"/>
          <w:b/>
          <w:color w:val="auto"/>
          <w:sz w:val="24"/>
          <w:szCs w:val="20"/>
        </w:rPr>
      </w:pPr>
    </w:p>
    <w:p>
      <w:pPr>
        <w:pStyle w:val="8"/>
        <w:rPr>
          <w:rFonts w:ascii="宋体" w:hAnsi="宋体" w:cs="宋体"/>
          <w:b/>
          <w:color w:val="auto"/>
          <w:sz w:val="24"/>
          <w:szCs w:val="20"/>
        </w:rPr>
      </w:pPr>
    </w:p>
    <w:p>
      <w:pPr>
        <w:rPr>
          <w:rFonts w:ascii="宋体" w:hAnsi="宋体" w:cs="宋体"/>
          <w:b/>
          <w:color w:val="auto"/>
          <w:sz w:val="24"/>
          <w:szCs w:val="20"/>
        </w:rPr>
      </w:pPr>
    </w:p>
    <w:p>
      <w:pPr>
        <w:pStyle w:val="8"/>
        <w:rPr>
          <w:rFonts w:ascii="宋体" w:hAnsi="宋体" w:cs="宋体"/>
          <w:b/>
          <w:color w:val="auto"/>
          <w:sz w:val="24"/>
          <w:szCs w:val="20"/>
        </w:rPr>
      </w:pPr>
    </w:p>
    <w:p>
      <w:pPr>
        <w:rPr>
          <w:rFonts w:ascii="宋体" w:hAnsi="宋体" w:cs="宋体"/>
          <w:b/>
          <w:color w:val="auto"/>
          <w:sz w:val="24"/>
          <w:szCs w:val="20"/>
        </w:rPr>
      </w:pPr>
    </w:p>
    <w:p>
      <w:pPr>
        <w:pStyle w:val="8"/>
        <w:rPr>
          <w:rFonts w:ascii="宋体" w:hAnsi="宋体" w:cs="宋体"/>
          <w:b/>
          <w:color w:val="auto"/>
          <w:sz w:val="24"/>
          <w:szCs w:val="20"/>
        </w:rPr>
      </w:pPr>
    </w:p>
    <w:p>
      <w:pPr>
        <w:rPr>
          <w:rFonts w:ascii="宋体" w:hAnsi="宋体" w:cs="宋体"/>
          <w:b/>
          <w:color w:val="auto"/>
          <w:sz w:val="24"/>
          <w:szCs w:val="20"/>
        </w:rPr>
      </w:pPr>
    </w:p>
    <w:p>
      <w:pPr>
        <w:pStyle w:val="8"/>
        <w:rPr>
          <w:rFonts w:ascii="宋体" w:hAnsi="宋体" w:cs="宋体"/>
          <w:b/>
          <w:color w:val="auto"/>
          <w:sz w:val="24"/>
          <w:szCs w:val="20"/>
        </w:rPr>
      </w:pPr>
    </w:p>
    <w:p>
      <w:pPr>
        <w:rPr>
          <w:rFonts w:ascii="宋体" w:hAnsi="宋体" w:cs="宋体"/>
          <w:b/>
          <w:color w:val="auto"/>
          <w:sz w:val="24"/>
          <w:szCs w:val="20"/>
        </w:rPr>
      </w:pPr>
    </w:p>
    <w:p>
      <w:pPr>
        <w:pStyle w:val="8"/>
        <w:rPr>
          <w:rFonts w:ascii="宋体" w:hAnsi="宋体" w:cs="宋体"/>
          <w:b/>
          <w:color w:val="auto"/>
          <w:sz w:val="24"/>
          <w:szCs w:val="20"/>
        </w:rPr>
      </w:pPr>
    </w:p>
    <w:p>
      <w:pPr>
        <w:rPr>
          <w:rFonts w:ascii="宋体" w:hAnsi="宋体" w:cs="宋体"/>
          <w:b/>
          <w:color w:val="auto"/>
          <w:sz w:val="24"/>
          <w:szCs w:val="20"/>
        </w:rPr>
      </w:pPr>
    </w:p>
    <w:p>
      <w:pPr>
        <w:pStyle w:val="8"/>
        <w:rPr>
          <w:rFonts w:ascii="宋体" w:hAnsi="宋体" w:cs="宋体"/>
          <w:b/>
          <w:color w:val="auto"/>
          <w:sz w:val="24"/>
          <w:szCs w:val="20"/>
        </w:rPr>
      </w:pPr>
    </w:p>
    <w:p>
      <w:pPr>
        <w:rPr>
          <w:rFonts w:ascii="宋体" w:hAnsi="宋体" w:cs="宋体"/>
          <w:color w:val="auto"/>
        </w:rPr>
      </w:pPr>
    </w:p>
    <w:p>
      <w:pPr>
        <w:spacing w:before="284" w:after="100" w:afterAutospacing="1" w:line="400" w:lineRule="exact"/>
        <w:ind w:left="-840" w:leftChars="-400" w:right="55" w:rightChars="26" w:firstLine="843" w:firstLineChars="350"/>
        <w:jc w:val="left"/>
        <w:outlineLvl w:val="0"/>
        <w:rPr>
          <w:rFonts w:ascii="宋体" w:hAnsi="宋体" w:cs="宋体"/>
          <w:b/>
          <w:color w:val="auto"/>
          <w:sz w:val="24"/>
          <w:szCs w:val="20"/>
        </w:rPr>
        <w:sectPr>
          <w:footerReference r:id="rId8" w:type="default"/>
          <w:pgSz w:w="11906" w:h="16838"/>
          <w:pgMar w:top="1440" w:right="1797" w:bottom="1440" w:left="1797" w:header="851" w:footer="992" w:gutter="0"/>
          <w:cols w:space="720" w:num="1"/>
          <w:docGrid w:linePitch="312" w:charSpace="0"/>
        </w:sectPr>
      </w:pPr>
    </w:p>
    <w:p>
      <w:pPr>
        <w:spacing w:before="284" w:after="100" w:afterAutospacing="1" w:line="400" w:lineRule="exact"/>
        <w:ind w:left="-840" w:leftChars="-400" w:right="55" w:rightChars="26" w:firstLine="843" w:firstLineChars="350"/>
        <w:jc w:val="left"/>
        <w:outlineLvl w:val="0"/>
        <w:rPr>
          <w:rFonts w:ascii="宋体" w:hAnsi="宋体" w:cs="宋体"/>
          <w:b/>
          <w:bCs/>
          <w:color w:val="auto"/>
          <w:sz w:val="30"/>
          <w:szCs w:val="30"/>
          <w:lang w:val="zh-CN"/>
        </w:rPr>
      </w:pPr>
      <w:r>
        <w:rPr>
          <w:rFonts w:hint="eastAsia" w:ascii="宋体" w:hAnsi="宋体" w:cs="宋体"/>
          <w:b/>
          <w:color w:val="auto"/>
          <w:sz w:val="24"/>
          <w:szCs w:val="20"/>
        </w:rPr>
        <w:t>格式6：</w:t>
      </w:r>
    </w:p>
    <w:p>
      <w:pPr>
        <w:autoSpaceDE w:val="0"/>
        <w:autoSpaceDN w:val="0"/>
        <w:adjustRightInd w:val="0"/>
        <w:spacing w:line="360" w:lineRule="auto"/>
        <w:jc w:val="center"/>
        <w:rPr>
          <w:rFonts w:ascii="宋体" w:hAnsi="宋体" w:cs="宋体"/>
          <w:b/>
          <w:bCs/>
          <w:color w:val="auto"/>
          <w:sz w:val="36"/>
          <w:szCs w:val="36"/>
          <w:lang w:val="zh-CN"/>
        </w:rPr>
      </w:pPr>
      <w:r>
        <w:rPr>
          <w:rFonts w:hint="eastAsia" w:ascii="宋体" w:hAnsi="宋体" w:cs="宋体"/>
          <w:b/>
          <w:bCs/>
          <w:color w:val="auto"/>
          <w:sz w:val="36"/>
          <w:szCs w:val="36"/>
          <w:lang w:val="zh-CN"/>
        </w:rPr>
        <w:t>投标文件编制人员名单</w:t>
      </w:r>
    </w:p>
    <w:tbl>
      <w:tblPr>
        <w:tblStyle w:val="17"/>
        <w:tblW w:w="8522" w:type="dxa"/>
        <w:tblInd w:w="0" w:type="dxa"/>
        <w:tblLayout w:type="fixed"/>
        <w:tblCellMar>
          <w:top w:w="0" w:type="dxa"/>
          <w:left w:w="108" w:type="dxa"/>
          <w:bottom w:w="0" w:type="dxa"/>
          <w:right w:w="108" w:type="dxa"/>
        </w:tblCellMar>
      </w:tblPr>
      <w:tblGrid>
        <w:gridCol w:w="1183"/>
        <w:gridCol w:w="1375"/>
        <w:gridCol w:w="2354"/>
        <w:gridCol w:w="2255"/>
        <w:gridCol w:w="1355"/>
      </w:tblGrid>
      <w:tr>
        <w:tblPrEx>
          <w:tblCellMar>
            <w:top w:w="0" w:type="dxa"/>
            <w:left w:w="108" w:type="dxa"/>
            <w:bottom w:w="0" w:type="dxa"/>
            <w:right w:w="108" w:type="dxa"/>
          </w:tblCellMar>
        </w:tblPrEx>
        <w:trPr>
          <w:trHeight w:val="318"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rPr>
                <w:rFonts w:ascii="宋体" w:hAnsi="宋体" w:cs="宋体"/>
                <w:color w:val="auto"/>
                <w:sz w:val="24"/>
                <w:szCs w:val="24"/>
              </w:rPr>
            </w:pPr>
            <w:r>
              <w:rPr>
                <w:rFonts w:hint="eastAsia" w:ascii="宋体" w:hAnsi="宋体" w:cs="宋体"/>
                <w:color w:val="auto"/>
                <w:sz w:val="24"/>
                <w:szCs w:val="24"/>
              </w:rPr>
              <w:t>投标单位名称：</w:t>
            </w:r>
          </w:p>
        </w:tc>
      </w:tr>
      <w:tr>
        <w:tblPrEx>
          <w:tblCellMar>
            <w:top w:w="0" w:type="dxa"/>
            <w:left w:w="108" w:type="dxa"/>
            <w:bottom w:w="0" w:type="dxa"/>
            <w:right w:w="108" w:type="dxa"/>
          </w:tblCellMar>
        </w:tblPrEx>
        <w:trPr>
          <w:trHeight w:val="212" w:hRule="atLeast"/>
        </w:trPr>
        <w:tc>
          <w:tcPr>
            <w:tcW w:w="11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r>
              <w:rPr>
                <w:rFonts w:hint="eastAsia" w:ascii="宋体" w:hAnsi="宋体" w:cs="宋体"/>
                <w:color w:val="auto"/>
                <w:sz w:val="24"/>
                <w:szCs w:val="24"/>
              </w:rPr>
              <w:t>姓名</w:t>
            </w:r>
          </w:p>
        </w:tc>
        <w:tc>
          <w:tcPr>
            <w:tcW w:w="137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r>
              <w:rPr>
                <w:rFonts w:hint="eastAsia" w:ascii="宋体" w:hAnsi="宋体" w:cs="宋体"/>
                <w:color w:val="auto"/>
                <w:sz w:val="24"/>
                <w:szCs w:val="24"/>
              </w:rPr>
              <w:t>职务</w:t>
            </w:r>
          </w:p>
        </w:tc>
        <w:tc>
          <w:tcPr>
            <w:tcW w:w="235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r>
              <w:rPr>
                <w:rFonts w:hint="eastAsia" w:ascii="宋体" w:hAnsi="宋体" w:cs="宋体"/>
                <w:color w:val="auto"/>
                <w:sz w:val="24"/>
                <w:szCs w:val="24"/>
              </w:rPr>
              <w:t>所承担工作</w:t>
            </w:r>
          </w:p>
        </w:tc>
        <w:tc>
          <w:tcPr>
            <w:tcW w:w="22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r>
              <w:rPr>
                <w:rFonts w:hint="eastAsia" w:ascii="宋体" w:hAnsi="宋体" w:cs="宋体"/>
                <w:color w:val="auto"/>
                <w:sz w:val="24"/>
                <w:szCs w:val="24"/>
              </w:rPr>
              <w:t>身份证号码</w:t>
            </w: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r>
              <w:rPr>
                <w:rFonts w:hint="eastAsia" w:ascii="宋体" w:hAnsi="宋体" w:cs="宋体"/>
                <w:color w:val="auto"/>
                <w:sz w:val="24"/>
                <w:szCs w:val="24"/>
              </w:rPr>
              <w:t>本人签名栏</w:t>
            </w:r>
          </w:p>
        </w:tc>
      </w:tr>
      <w:tr>
        <w:tblPrEx>
          <w:tblCellMar>
            <w:top w:w="0" w:type="dxa"/>
            <w:left w:w="108" w:type="dxa"/>
            <w:bottom w:w="0" w:type="dxa"/>
            <w:right w:w="108" w:type="dxa"/>
          </w:tblCellMar>
        </w:tblPrEx>
        <w:trPr>
          <w:trHeight w:val="58" w:hRule="atLeast"/>
        </w:trPr>
        <w:tc>
          <w:tcPr>
            <w:tcW w:w="11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22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r>
      <w:tr>
        <w:tblPrEx>
          <w:tblCellMar>
            <w:top w:w="0" w:type="dxa"/>
            <w:left w:w="108" w:type="dxa"/>
            <w:bottom w:w="0" w:type="dxa"/>
            <w:right w:w="108" w:type="dxa"/>
          </w:tblCellMar>
        </w:tblPrEx>
        <w:trPr>
          <w:trHeight w:val="162" w:hRule="atLeast"/>
        </w:trPr>
        <w:tc>
          <w:tcPr>
            <w:tcW w:w="11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22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r>
      <w:tr>
        <w:tblPrEx>
          <w:tblCellMar>
            <w:top w:w="0" w:type="dxa"/>
            <w:left w:w="108" w:type="dxa"/>
            <w:bottom w:w="0" w:type="dxa"/>
            <w:right w:w="108" w:type="dxa"/>
          </w:tblCellMar>
        </w:tblPrEx>
        <w:trPr>
          <w:trHeight w:val="123" w:hRule="atLeast"/>
        </w:trPr>
        <w:tc>
          <w:tcPr>
            <w:tcW w:w="11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22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r>
      <w:tr>
        <w:tblPrEx>
          <w:tblCellMar>
            <w:top w:w="0" w:type="dxa"/>
            <w:left w:w="108" w:type="dxa"/>
            <w:bottom w:w="0" w:type="dxa"/>
            <w:right w:w="108" w:type="dxa"/>
          </w:tblCellMar>
        </w:tblPrEx>
        <w:trPr>
          <w:trHeight w:val="214" w:hRule="atLeast"/>
        </w:trPr>
        <w:tc>
          <w:tcPr>
            <w:tcW w:w="11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22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r>
      <w:tr>
        <w:tblPrEx>
          <w:tblCellMar>
            <w:top w:w="0" w:type="dxa"/>
            <w:left w:w="108" w:type="dxa"/>
            <w:bottom w:w="0" w:type="dxa"/>
            <w:right w:w="108" w:type="dxa"/>
          </w:tblCellMar>
        </w:tblPrEx>
        <w:trPr>
          <w:trHeight w:val="175" w:hRule="atLeast"/>
        </w:trPr>
        <w:tc>
          <w:tcPr>
            <w:tcW w:w="118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137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2354"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22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c>
          <w:tcPr>
            <w:tcW w:w="135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cs="宋体"/>
                <w:color w:val="auto"/>
                <w:sz w:val="24"/>
                <w:szCs w:val="24"/>
              </w:rPr>
            </w:pPr>
          </w:p>
        </w:tc>
      </w:tr>
    </w:tbl>
    <w:p>
      <w:pPr>
        <w:tabs>
          <w:tab w:val="left" w:pos="720"/>
        </w:tabs>
        <w:snapToGrid w:val="0"/>
        <w:spacing w:line="360" w:lineRule="auto"/>
        <w:rPr>
          <w:rFonts w:ascii="宋体" w:hAnsi="宋体" w:cs="宋体"/>
          <w:color w:val="auto"/>
          <w:sz w:val="24"/>
          <w:szCs w:val="24"/>
        </w:rPr>
      </w:pPr>
      <w:r>
        <w:rPr>
          <w:rFonts w:hint="eastAsia" w:ascii="宋体" w:hAnsi="宋体" w:cs="宋体"/>
          <w:color w:val="auto"/>
          <w:sz w:val="24"/>
          <w:szCs w:val="24"/>
        </w:rPr>
        <w:t>编制负责人：                          解释负责人：</w:t>
      </w:r>
    </w:p>
    <w:p>
      <w:pPr>
        <w:spacing w:line="360" w:lineRule="auto"/>
        <w:rPr>
          <w:rFonts w:ascii="宋体" w:hAnsi="宋体" w:cs="宋体"/>
          <w:color w:val="auto"/>
          <w:sz w:val="24"/>
          <w:szCs w:val="24"/>
        </w:rPr>
      </w:pPr>
    </w:p>
    <w:p>
      <w:pPr>
        <w:widowControl/>
        <w:spacing w:line="360" w:lineRule="auto"/>
        <w:jc w:val="left"/>
        <w:rPr>
          <w:rFonts w:ascii="宋体" w:hAnsi="宋体" w:cs="宋体"/>
          <w:bCs/>
          <w:iCs/>
          <w:color w:val="auto"/>
          <w:szCs w:val="21"/>
        </w:rPr>
      </w:pPr>
      <w:r>
        <w:rPr>
          <w:rFonts w:hint="eastAsia" w:ascii="宋体" w:hAnsi="宋体" w:cs="宋体"/>
          <w:color w:val="auto"/>
          <w:szCs w:val="21"/>
        </w:rPr>
        <w:t>注：</w:t>
      </w:r>
      <w:r>
        <w:rPr>
          <w:rFonts w:hint="eastAsia" w:ascii="宋体" w:hAnsi="宋体" w:cs="宋体"/>
          <w:bCs/>
          <w:iCs/>
          <w:color w:val="auto"/>
          <w:szCs w:val="21"/>
        </w:rPr>
        <w:t>参与编制标书所有人员名单应包括如编制工程总承包实施方案、投标报价、负责清样校对、负责加密打包、负责上传、负责密封、负责打印及复印等所有人员在内的人员名单。</w:t>
      </w:r>
    </w:p>
    <w:p>
      <w:pPr>
        <w:pStyle w:val="16"/>
        <w:ind w:firstLine="480"/>
        <w:rPr>
          <w:rFonts w:ascii="宋体" w:hAnsi="宋体" w:cs="宋体"/>
          <w:bCs/>
          <w:iCs/>
          <w:color w:val="auto"/>
          <w:sz w:val="24"/>
        </w:rPr>
      </w:pPr>
    </w:p>
    <w:p>
      <w:pPr>
        <w:pStyle w:val="16"/>
        <w:ind w:firstLine="480"/>
        <w:rPr>
          <w:rFonts w:ascii="宋体" w:hAnsi="宋体" w:cs="宋体"/>
          <w:bCs/>
          <w:iCs/>
          <w:color w:val="auto"/>
          <w:sz w:val="24"/>
        </w:rPr>
      </w:pPr>
    </w:p>
    <w:p>
      <w:pPr>
        <w:pStyle w:val="23"/>
        <w:spacing w:beforeLines="0" w:afterLines="0"/>
        <w:rPr>
          <w:rFonts w:ascii="宋体" w:eastAsia="宋体" w:cs="宋体"/>
          <w:color w:val="auto"/>
        </w:rPr>
      </w:pPr>
    </w:p>
    <w:p>
      <w:pPr>
        <w:pStyle w:val="23"/>
        <w:spacing w:beforeLines="0" w:afterLines="0"/>
        <w:rPr>
          <w:rFonts w:ascii="宋体" w:eastAsia="宋体" w:cs="宋体"/>
          <w:color w:val="auto"/>
        </w:rPr>
      </w:pPr>
    </w:p>
    <w:p>
      <w:pPr>
        <w:pStyle w:val="23"/>
        <w:spacing w:beforeLines="0" w:afterLines="0"/>
        <w:rPr>
          <w:rFonts w:ascii="宋体" w:eastAsia="宋体" w:cs="宋体"/>
          <w:color w:val="auto"/>
        </w:rPr>
      </w:pPr>
    </w:p>
    <w:p>
      <w:pPr>
        <w:pStyle w:val="23"/>
        <w:spacing w:beforeLines="0" w:afterLines="0"/>
        <w:rPr>
          <w:rFonts w:ascii="宋体" w:eastAsia="宋体" w:cs="宋体"/>
          <w:color w:val="auto"/>
        </w:rPr>
      </w:pPr>
    </w:p>
    <w:p>
      <w:pPr>
        <w:pStyle w:val="23"/>
        <w:spacing w:beforeLines="0" w:afterLines="0"/>
        <w:rPr>
          <w:rFonts w:ascii="宋体" w:eastAsia="宋体" w:cs="宋体"/>
          <w:color w:val="auto"/>
        </w:rPr>
      </w:pPr>
    </w:p>
    <w:p>
      <w:pPr>
        <w:pStyle w:val="23"/>
        <w:spacing w:beforeLines="0" w:afterLines="0"/>
        <w:rPr>
          <w:rFonts w:ascii="宋体" w:eastAsia="宋体" w:cs="宋体"/>
          <w:color w:val="auto"/>
        </w:rPr>
      </w:pPr>
    </w:p>
    <w:p>
      <w:pPr>
        <w:pStyle w:val="23"/>
        <w:spacing w:beforeLines="0" w:afterLines="0"/>
        <w:rPr>
          <w:rFonts w:ascii="宋体" w:eastAsia="宋体" w:cs="宋体"/>
          <w:color w:val="auto"/>
        </w:rPr>
      </w:pPr>
    </w:p>
    <w:p>
      <w:pPr>
        <w:pStyle w:val="16"/>
        <w:ind w:left="0" w:leftChars="0" w:firstLine="0" w:firstLineChars="0"/>
        <w:rPr>
          <w:rFonts w:ascii="宋体" w:hAnsi="宋体" w:cs="宋体"/>
          <w:bCs/>
          <w:iCs/>
          <w:color w:val="auto"/>
          <w:sz w:val="24"/>
        </w:rPr>
        <w:sectPr>
          <w:pgSz w:w="11906" w:h="16838"/>
          <w:pgMar w:top="1440" w:right="1797" w:bottom="1440" w:left="1797" w:header="851" w:footer="992" w:gutter="0"/>
          <w:cols w:space="720" w:num="1"/>
          <w:docGrid w:linePitch="312" w:charSpace="0"/>
        </w:sectPr>
      </w:pPr>
    </w:p>
    <w:p>
      <w:pPr>
        <w:pStyle w:val="2"/>
        <w:spacing w:line="360" w:lineRule="auto"/>
        <w:rPr>
          <w:rFonts w:hAnsi="宋体" w:cs="宋体"/>
          <w:b/>
          <w:color w:val="auto"/>
          <w:kern w:val="1"/>
          <w:sz w:val="24"/>
        </w:rPr>
      </w:pPr>
      <w:r>
        <w:rPr>
          <w:rFonts w:hint="eastAsia" w:hAnsi="宋体" w:cs="宋体"/>
          <w:b/>
          <w:color w:val="auto"/>
          <w:kern w:val="1"/>
          <w:sz w:val="24"/>
        </w:rPr>
        <w:t>格式7 工程总承包实施方案</w:t>
      </w:r>
    </w:p>
    <w:p>
      <w:pPr>
        <w:spacing w:line="360" w:lineRule="auto"/>
        <w:jc w:val="center"/>
        <w:rPr>
          <w:rFonts w:ascii="宋体" w:hAnsi="宋体" w:cs="宋体"/>
          <w:b/>
          <w:color w:val="auto"/>
          <w:spacing w:val="4"/>
          <w:sz w:val="32"/>
          <w:szCs w:val="32"/>
        </w:rPr>
      </w:pPr>
      <w:r>
        <w:rPr>
          <w:rFonts w:hint="eastAsia" w:ascii="宋体" w:hAnsi="宋体" w:cs="宋体"/>
          <w:b/>
          <w:color w:val="auto"/>
          <w:spacing w:val="4"/>
          <w:sz w:val="32"/>
          <w:szCs w:val="32"/>
        </w:rPr>
        <w:t>工程总承包实施方案</w:t>
      </w:r>
    </w:p>
    <w:p>
      <w:pPr>
        <w:spacing w:line="360" w:lineRule="auto"/>
        <w:rPr>
          <w:rFonts w:ascii="宋体" w:hAnsi="宋体" w:cs="宋体"/>
          <w:color w:val="auto"/>
          <w:sz w:val="24"/>
          <w:szCs w:val="24"/>
        </w:rPr>
      </w:pPr>
      <w:r>
        <w:rPr>
          <w:rFonts w:hint="eastAsia" w:ascii="宋体" w:hAnsi="宋体" w:cs="宋体"/>
          <w:color w:val="auto"/>
          <w:sz w:val="24"/>
          <w:szCs w:val="24"/>
        </w:rPr>
        <w:t>注：按照评审内容提交，格式自拟。</w:t>
      </w:r>
    </w:p>
    <w:p>
      <w:pPr>
        <w:pStyle w:val="2"/>
        <w:rPr>
          <w:rFonts w:hAnsi="宋体" w:cs="宋体"/>
          <w:color w:val="auto"/>
        </w:rPr>
      </w:pPr>
    </w:p>
    <w:p>
      <w:pPr>
        <w:pStyle w:val="2"/>
        <w:spacing w:line="360" w:lineRule="auto"/>
        <w:jc w:val="left"/>
        <w:rPr>
          <w:rFonts w:hAnsi="宋体" w:cs="宋体"/>
          <w:b/>
          <w:color w:val="auto"/>
          <w:kern w:val="1"/>
          <w:sz w:val="24"/>
        </w:rPr>
      </w:pPr>
    </w:p>
    <w:p>
      <w:pPr>
        <w:pStyle w:val="2"/>
        <w:spacing w:line="360" w:lineRule="auto"/>
        <w:jc w:val="left"/>
        <w:rPr>
          <w:rFonts w:hAnsi="宋体" w:cs="宋体"/>
          <w:b/>
          <w:color w:val="auto"/>
          <w:kern w:val="1"/>
          <w:sz w:val="24"/>
        </w:rPr>
      </w:pPr>
    </w:p>
    <w:p>
      <w:pPr>
        <w:pStyle w:val="2"/>
        <w:spacing w:line="360" w:lineRule="auto"/>
        <w:jc w:val="left"/>
        <w:rPr>
          <w:rFonts w:hAnsi="宋体" w:cs="宋体"/>
          <w:b/>
          <w:color w:val="auto"/>
          <w:kern w:val="1"/>
          <w:sz w:val="24"/>
        </w:rPr>
      </w:pPr>
    </w:p>
    <w:p>
      <w:pPr>
        <w:pStyle w:val="2"/>
        <w:spacing w:line="360" w:lineRule="auto"/>
        <w:jc w:val="left"/>
        <w:rPr>
          <w:rFonts w:hAnsi="宋体" w:cs="宋体"/>
          <w:b/>
          <w:color w:val="auto"/>
          <w:kern w:val="1"/>
          <w:sz w:val="24"/>
        </w:rPr>
      </w:pPr>
    </w:p>
    <w:p>
      <w:pPr>
        <w:pStyle w:val="2"/>
        <w:spacing w:line="360" w:lineRule="auto"/>
        <w:jc w:val="left"/>
        <w:rPr>
          <w:rFonts w:hAnsi="宋体" w:cs="宋体"/>
          <w:b/>
          <w:color w:val="auto"/>
          <w:kern w:val="1"/>
          <w:sz w:val="24"/>
        </w:rPr>
      </w:pPr>
    </w:p>
    <w:p>
      <w:pPr>
        <w:pStyle w:val="2"/>
        <w:spacing w:line="360" w:lineRule="auto"/>
        <w:jc w:val="left"/>
        <w:rPr>
          <w:rFonts w:hAnsi="宋体" w:cs="宋体"/>
          <w:color w:val="auto"/>
          <w:sz w:val="24"/>
          <w:szCs w:val="24"/>
        </w:rPr>
      </w:pPr>
      <w:r>
        <w:rPr>
          <w:rFonts w:hint="eastAsia" w:hAnsi="宋体" w:cs="宋体"/>
          <w:b/>
          <w:color w:val="auto"/>
          <w:kern w:val="1"/>
          <w:sz w:val="24"/>
        </w:rPr>
        <w:br w:type="page"/>
      </w:r>
      <w:r>
        <w:rPr>
          <w:rFonts w:hint="eastAsia" w:hAnsi="宋体" w:cs="宋体"/>
          <w:b/>
          <w:color w:val="auto"/>
          <w:kern w:val="1"/>
          <w:sz w:val="24"/>
        </w:rPr>
        <w:t>格式8 投标人认为应该提供的其他资料</w:t>
      </w:r>
    </w:p>
    <w:p>
      <w:pPr>
        <w:pStyle w:val="2"/>
        <w:spacing w:line="360" w:lineRule="auto"/>
        <w:jc w:val="center"/>
        <w:rPr>
          <w:rFonts w:hAnsi="宋体" w:cs="宋体"/>
          <w:b/>
          <w:bCs/>
          <w:color w:val="auto"/>
          <w:sz w:val="28"/>
          <w:szCs w:val="28"/>
        </w:rPr>
      </w:pPr>
    </w:p>
    <w:p>
      <w:pPr>
        <w:pStyle w:val="2"/>
        <w:spacing w:line="360" w:lineRule="auto"/>
        <w:jc w:val="center"/>
        <w:rPr>
          <w:rFonts w:hAnsi="宋体" w:cs="宋体"/>
          <w:b/>
          <w:bCs/>
          <w:color w:val="auto"/>
          <w:sz w:val="28"/>
          <w:szCs w:val="28"/>
        </w:rPr>
      </w:pPr>
      <w:r>
        <w:rPr>
          <w:rFonts w:hint="eastAsia" w:hAnsi="宋体" w:cs="宋体"/>
          <w:b/>
          <w:bCs/>
          <w:color w:val="auto"/>
          <w:sz w:val="28"/>
          <w:szCs w:val="28"/>
        </w:rPr>
        <w:t>投标人认为应该提供的其他资料</w:t>
      </w:r>
    </w:p>
    <w:p>
      <w:pPr>
        <w:widowControl/>
        <w:jc w:val="left"/>
        <w:rPr>
          <w:rFonts w:ascii="宋体" w:hAnsi="宋体" w:cs="宋体"/>
          <w:b/>
          <w:bCs/>
          <w:color w:val="auto"/>
          <w:sz w:val="28"/>
          <w:szCs w:val="28"/>
          <w:lang w:val="zh-CN"/>
        </w:rPr>
      </w:pPr>
    </w:p>
    <w:p>
      <w:pPr>
        <w:widowControl/>
        <w:jc w:val="left"/>
        <w:rPr>
          <w:rFonts w:ascii="宋体" w:hAnsi="宋体" w:cs="宋体"/>
          <w:b/>
          <w:bCs/>
          <w:color w:val="auto"/>
          <w:sz w:val="28"/>
          <w:szCs w:val="28"/>
          <w:lang w:val="zh-CN"/>
        </w:rPr>
      </w:pPr>
    </w:p>
    <w:p>
      <w:pPr>
        <w:pStyle w:val="16"/>
        <w:ind w:left="0" w:leftChars="0" w:firstLine="0" w:firstLineChars="0"/>
        <w:rPr>
          <w:rFonts w:ascii="宋体" w:hAnsi="宋体" w:cs="宋体"/>
          <w:bCs/>
          <w:iCs/>
          <w:color w:val="auto"/>
          <w:sz w:val="24"/>
        </w:rPr>
      </w:pPr>
    </w:p>
    <w:p>
      <w:pPr>
        <w:numPr>
          <w:ilvl w:val="0"/>
          <w:numId w:val="2"/>
        </w:numPr>
        <w:spacing w:before="120" w:beforeLines="50" w:after="120" w:afterLines="50" w:line="360" w:lineRule="auto"/>
        <w:jc w:val="center"/>
        <w:rPr>
          <w:rFonts w:ascii="宋体" w:hAnsi="宋体" w:cs="宋体"/>
          <w:b/>
          <w:bCs/>
          <w:color w:val="auto"/>
          <w:kern w:val="44"/>
          <w:sz w:val="44"/>
          <w:szCs w:val="44"/>
        </w:rPr>
      </w:pPr>
      <w:r>
        <w:rPr>
          <w:rFonts w:hint="eastAsia" w:ascii="宋体" w:hAnsi="宋体" w:cs="宋体"/>
          <w:color w:val="auto"/>
        </w:rPr>
        <w:br w:type="page"/>
      </w:r>
      <w:r>
        <w:rPr>
          <w:rFonts w:hint="eastAsia" w:ascii="宋体" w:hAnsi="宋体" w:cs="宋体"/>
          <w:b/>
          <w:bCs/>
          <w:color w:val="auto"/>
          <w:kern w:val="44"/>
          <w:sz w:val="44"/>
          <w:szCs w:val="44"/>
        </w:rPr>
        <w:t>否决性条款汇总</w:t>
      </w:r>
    </w:p>
    <w:p>
      <w:pPr>
        <w:pStyle w:val="2"/>
        <w:spacing w:line="360" w:lineRule="auto"/>
        <w:ind w:firstLine="480" w:firstLineChars="200"/>
        <w:rPr>
          <w:rFonts w:hAnsi="宋体" w:cs="宋体"/>
          <w:color w:val="auto"/>
          <w:sz w:val="24"/>
          <w:szCs w:val="24"/>
        </w:rPr>
      </w:pPr>
      <w:r>
        <w:rPr>
          <w:rFonts w:hint="eastAsia" w:hAnsi="宋体" w:cs="宋体"/>
          <w:color w:val="auto"/>
          <w:sz w:val="24"/>
          <w:szCs w:val="24"/>
        </w:rPr>
        <w:t>招标人应当在招标文件中将否决性条款单列，招标文件的其他条款与该单列的否决性条款不一致的，以单列的否决性条款为准。如招标文件澄清或修改的内容中增加否决性条款的，招标人应当重新单列完整的否决性条款，并依法发给潜在投标人或投标人。</w:t>
      </w:r>
    </w:p>
    <w:p>
      <w:pPr>
        <w:pStyle w:val="2"/>
        <w:spacing w:before="60" w:after="60" w:line="360" w:lineRule="auto"/>
        <w:ind w:firstLine="480" w:firstLineChars="200"/>
        <w:rPr>
          <w:rFonts w:hAnsi="宋体" w:cs="宋体"/>
          <w:color w:val="auto"/>
          <w:sz w:val="24"/>
          <w:szCs w:val="28"/>
        </w:rPr>
      </w:pPr>
      <w:r>
        <w:rPr>
          <w:rFonts w:hint="eastAsia" w:hAnsi="宋体" w:cs="宋体"/>
          <w:color w:val="auto"/>
          <w:sz w:val="24"/>
          <w:szCs w:val="24"/>
        </w:rPr>
        <w:t>否决性条款指招标文件中规定的拒绝受理或者作无效标以及不合格标处理等否定投标文件效力的条款。</w:t>
      </w:r>
    </w:p>
    <w:p>
      <w:pP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一、若出现以下情况，招标人将拒绝接收其投标文件</w:t>
      </w:r>
      <w:r>
        <w:rPr>
          <w:rFonts w:hint="eastAsia" w:ascii="宋体" w:hAnsi="宋体" w:cs="宋体"/>
          <w:color w:val="auto"/>
          <w:sz w:val="24"/>
          <w:szCs w:val="24"/>
        </w:rPr>
        <w:t>：</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（1）未按要求加密的电子投标文件，广州交易集团有限公司（广州公共资源交易中心）电子交易平台将予以拒收。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（2）逾期送达的电子投标文件，广州交易集团有限公司（广州公共资源交易中心）电子交易平台将予以拒收。</w:t>
      </w:r>
    </w:p>
    <w:p>
      <w:pPr>
        <w:spacing w:line="360" w:lineRule="auto"/>
        <w:ind w:firstLine="480" w:firstLineChars="200"/>
        <w:rPr>
          <w:rFonts w:ascii="宋体" w:hAnsi="宋体" w:cs="宋体"/>
          <w:color w:val="auto"/>
          <w:position w:val="-6"/>
          <w:sz w:val="24"/>
          <w:szCs w:val="24"/>
        </w:rPr>
      </w:pPr>
      <w:r>
        <w:rPr>
          <w:rFonts w:hint="eastAsia" w:ascii="宋体" w:hAnsi="宋体" w:cs="宋体"/>
          <w:color w:val="auto"/>
          <w:sz w:val="24"/>
          <w:szCs w:val="24"/>
        </w:rPr>
        <w:t>（3）在投标截止时间后</w:t>
      </w:r>
      <w:r>
        <w:rPr>
          <w:rFonts w:ascii="宋体" w:hAnsi="宋体" w:cs="宋体"/>
          <w:color w:val="auto"/>
          <w:sz w:val="24"/>
          <w:szCs w:val="24"/>
        </w:rPr>
        <w:t>半小时</w:t>
      </w:r>
      <w:r>
        <w:rPr>
          <w:rFonts w:hint="eastAsia" w:ascii="宋体" w:hAnsi="宋体" w:cs="宋体"/>
          <w:color w:val="auto"/>
          <w:sz w:val="24"/>
          <w:szCs w:val="24"/>
        </w:rPr>
        <w:t>内为投标人投标文件解密时间，投标人通过电子招标投标交易平台对已递交的电子投标文件进行解密。超过时间未解密的投标文件不参与开标、评标。</w:t>
      </w:r>
    </w:p>
    <w:p>
      <w:pPr>
        <w:spacing w:line="360" w:lineRule="auto"/>
        <w:ind w:firstLine="482" w:firstLineChars="200"/>
        <w:rPr>
          <w:rFonts w:ascii="宋体" w:hAnsi="宋体" w:cs="宋体"/>
          <w:color w:val="auto"/>
          <w:sz w:val="24"/>
          <w:szCs w:val="24"/>
        </w:rPr>
      </w:pPr>
      <w:r>
        <w:rPr>
          <w:rFonts w:hint="eastAsia" w:ascii="宋体" w:hAnsi="宋体" w:cs="宋体"/>
          <w:b/>
          <w:color w:val="auto"/>
          <w:sz w:val="24"/>
          <w:szCs w:val="24"/>
        </w:rPr>
        <w:t>二、作无效投标的情形</w:t>
      </w:r>
      <w:r>
        <w:rPr>
          <w:rFonts w:hint="eastAsia" w:ascii="宋体" w:hAnsi="宋体" w:cs="宋体"/>
          <w:color w:val="auto"/>
          <w:sz w:val="24"/>
          <w:szCs w:val="24"/>
        </w:rPr>
        <w:t>：</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(1)不符合招标文件“第三章 评标办法（综合评估法）评标办法前附表中2.1.1形式评审标准”的要求；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(2)不符合招标文件“第三章 评标办法（综合评估法）评标办法前附表中2.1.2资格评审标准”的要求；</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(3)不符合招标文件“第三章 评标办法（综合评估法）评标办法前附表中 2.1.3响应性评审标准”的要求；</w:t>
      </w:r>
    </w:p>
    <w:p>
      <w:pPr>
        <w:pStyle w:val="2"/>
        <w:numPr>
          <w:ilvl w:val="0"/>
          <w:numId w:val="3"/>
        </w:numPr>
        <w:spacing w:line="360" w:lineRule="auto"/>
        <w:ind w:firstLine="482" w:firstLineChars="200"/>
        <w:rPr>
          <w:rFonts w:hAnsi="宋体" w:cs="宋体"/>
          <w:b/>
          <w:color w:val="auto"/>
          <w:sz w:val="24"/>
          <w:szCs w:val="24"/>
        </w:rPr>
      </w:pPr>
      <w:r>
        <w:rPr>
          <w:rFonts w:hint="eastAsia" w:hAnsi="宋体" w:cs="宋体"/>
          <w:b/>
          <w:color w:val="auto"/>
          <w:sz w:val="24"/>
          <w:szCs w:val="24"/>
        </w:rPr>
        <w:t>投标人有以下情形之一的，评标委员会应当否决其投标：</w:t>
      </w:r>
    </w:p>
    <w:p>
      <w:pPr>
        <w:pStyle w:val="2"/>
        <w:spacing w:line="360" w:lineRule="auto"/>
        <w:ind w:firstLine="480" w:firstLineChars="200"/>
        <w:rPr>
          <w:rFonts w:hAnsi="宋体" w:cs="宋体"/>
          <w:color w:val="auto"/>
          <w:sz w:val="24"/>
          <w:szCs w:val="24"/>
        </w:rPr>
      </w:pPr>
      <w:r>
        <w:rPr>
          <w:rFonts w:hint="eastAsia" w:hAnsi="宋体" w:cs="宋体"/>
          <w:color w:val="auto"/>
          <w:sz w:val="24"/>
          <w:szCs w:val="24"/>
        </w:rPr>
        <w:t>（1）投标文件没有对招标文件的实质性要求和条件作出响应，或者对招标文件的偏差超出招标文件规定的偏差范围或最高项数；</w:t>
      </w:r>
    </w:p>
    <w:p>
      <w:pPr>
        <w:pStyle w:val="2"/>
        <w:spacing w:line="360" w:lineRule="auto"/>
        <w:ind w:firstLine="480" w:firstLineChars="200"/>
        <w:rPr>
          <w:rFonts w:hAnsi="宋体" w:cs="宋体"/>
          <w:color w:val="auto"/>
          <w:sz w:val="24"/>
          <w:szCs w:val="24"/>
        </w:rPr>
      </w:pPr>
      <w:r>
        <w:rPr>
          <w:rFonts w:hint="eastAsia" w:hAnsi="宋体" w:cs="宋体"/>
          <w:color w:val="auto"/>
          <w:sz w:val="24"/>
          <w:szCs w:val="24"/>
        </w:rPr>
        <w:t>（2）有串通投标、弄虚作假、行贿等违法行为；</w:t>
      </w:r>
    </w:p>
    <w:p>
      <w:pPr>
        <w:pStyle w:val="2"/>
        <w:spacing w:line="360" w:lineRule="auto"/>
        <w:ind w:firstLine="480" w:firstLineChars="200"/>
        <w:rPr>
          <w:rFonts w:hAnsi="宋体" w:cs="宋体"/>
          <w:color w:val="auto"/>
          <w:sz w:val="24"/>
          <w:szCs w:val="24"/>
        </w:rPr>
      </w:pPr>
      <w:r>
        <w:rPr>
          <w:rFonts w:hint="eastAsia" w:hAnsi="宋体" w:cs="宋体"/>
          <w:color w:val="auto"/>
          <w:sz w:val="24"/>
          <w:szCs w:val="24"/>
        </w:rPr>
        <w:t>（3）两个(含两个)以上的投标人加密打包投标文件电脑机器特征码一致的；</w:t>
      </w:r>
    </w:p>
    <w:p>
      <w:pPr>
        <w:pStyle w:val="2"/>
        <w:spacing w:line="360" w:lineRule="auto"/>
        <w:ind w:firstLine="480" w:firstLineChars="200"/>
        <w:rPr>
          <w:rFonts w:hAnsi="宋体" w:cs="宋体"/>
          <w:color w:val="auto"/>
          <w:sz w:val="24"/>
          <w:szCs w:val="24"/>
        </w:rPr>
      </w:pPr>
      <w:r>
        <w:rPr>
          <w:rFonts w:hint="eastAsia" w:hAnsi="宋体" w:cs="宋体"/>
          <w:color w:val="auto"/>
          <w:sz w:val="24"/>
          <w:szCs w:val="24"/>
        </w:rPr>
        <w:t>（4）投标报价有算术错误及其他错误的，评标委员会按以下原则要求投标人对投标报价进行修正，并要求投标人书面澄清确认。投标人拒不澄清确认的，评标委员会应当否决其投标:</w:t>
      </w:r>
    </w:p>
    <w:p>
      <w:pPr>
        <w:pStyle w:val="2"/>
        <w:spacing w:line="360" w:lineRule="auto"/>
        <w:ind w:firstLine="480" w:firstLineChars="200"/>
        <w:rPr>
          <w:rFonts w:hAnsi="宋体" w:cs="宋体"/>
          <w:color w:val="auto"/>
          <w:sz w:val="24"/>
          <w:szCs w:val="24"/>
        </w:rPr>
      </w:pPr>
      <w:r>
        <w:rPr>
          <w:rFonts w:hint="eastAsia" w:hAnsi="宋体" w:cs="宋体"/>
          <w:color w:val="auto"/>
          <w:sz w:val="24"/>
          <w:szCs w:val="24"/>
        </w:rPr>
        <w:t>1)如果数字表示的金额和用文字表示的金额不一致时，应以文字表示的金额为准；</w:t>
      </w:r>
    </w:p>
    <w:p>
      <w:pPr>
        <w:pStyle w:val="2"/>
        <w:spacing w:line="360" w:lineRule="auto"/>
        <w:ind w:firstLine="480" w:firstLineChars="200"/>
        <w:rPr>
          <w:rFonts w:hAnsi="宋体" w:cs="宋体"/>
          <w:color w:val="auto"/>
          <w:sz w:val="24"/>
          <w:szCs w:val="24"/>
        </w:rPr>
      </w:pPr>
      <w:r>
        <w:rPr>
          <w:rFonts w:hint="eastAsia" w:hAnsi="宋体" w:cs="宋体"/>
          <w:color w:val="auto"/>
          <w:sz w:val="24"/>
          <w:szCs w:val="24"/>
        </w:rPr>
        <w:t>2)如果(1-下浮率)与最高投标限价乘积不等于投标报价时，以下浮率为准修正投标报价(下浮率有明显的数量级错误的除外，此时应修正下浮率)，若修正后的投标报价超过最高投标限价的，作否决投标处理；</w:t>
      </w:r>
    </w:p>
    <w:p>
      <w:pPr>
        <w:pStyle w:val="2"/>
        <w:spacing w:line="360" w:lineRule="auto"/>
        <w:ind w:firstLine="480" w:firstLineChars="200"/>
        <w:rPr>
          <w:rFonts w:hAnsi="宋体" w:cs="宋体"/>
          <w:color w:val="auto"/>
          <w:sz w:val="24"/>
          <w:szCs w:val="24"/>
        </w:rPr>
      </w:pPr>
      <w:r>
        <w:rPr>
          <w:rFonts w:hint="eastAsia" w:hAnsi="宋体" w:cs="宋体"/>
          <w:color w:val="auto"/>
          <w:sz w:val="24"/>
          <w:szCs w:val="24"/>
        </w:rPr>
        <w:t>3)如果分项报价累加不等总价的，以分项报价累加为准，修正总价；</w:t>
      </w:r>
    </w:p>
    <w:p>
      <w:pPr>
        <w:pStyle w:val="2"/>
        <w:spacing w:line="360" w:lineRule="auto"/>
        <w:ind w:firstLine="480" w:firstLineChars="200"/>
        <w:rPr>
          <w:rFonts w:hAnsi="宋体" w:cs="宋体"/>
          <w:color w:val="auto"/>
          <w:sz w:val="24"/>
          <w:szCs w:val="24"/>
        </w:rPr>
      </w:pPr>
      <w:r>
        <w:rPr>
          <w:rFonts w:hint="eastAsia" w:hAnsi="宋体" w:cs="宋体"/>
          <w:color w:val="auto"/>
          <w:sz w:val="24"/>
          <w:szCs w:val="24"/>
        </w:rPr>
        <w:t>4)投标文件存在其他计算性错误的，按就低不就高计算并修正。</w:t>
      </w:r>
    </w:p>
    <w:p>
      <w:pPr>
        <w:pStyle w:val="2"/>
        <w:spacing w:line="360" w:lineRule="auto"/>
        <w:ind w:firstLine="480" w:firstLineChars="200"/>
        <w:rPr>
          <w:rFonts w:hAnsi="宋体" w:cs="宋体"/>
          <w:color w:val="auto"/>
          <w:sz w:val="24"/>
          <w:szCs w:val="24"/>
        </w:rPr>
      </w:pPr>
      <w:r>
        <w:rPr>
          <w:rFonts w:hint="eastAsia" w:ascii="Times New Roman" w:hAnsi="宋体" w:cs="宋体"/>
          <w:color w:val="auto"/>
          <w:kern w:val="2"/>
          <w:sz w:val="24"/>
          <w:szCs w:val="24"/>
        </w:rPr>
        <w:t>（</w:t>
      </w:r>
      <w:r>
        <w:rPr>
          <w:rFonts w:ascii="Times New Roman" w:hAnsi="宋体" w:cs="宋体"/>
          <w:color w:val="auto"/>
          <w:kern w:val="2"/>
          <w:sz w:val="24"/>
          <w:szCs w:val="24"/>
        </w:rPr>
        <w:t>5）项目负责人和安全员为同一人的；</w:t>
      </w:r>
    </w:p>
    <w:p>
      <w:pPr>
        <w:pStyle w:val="2"/>
        <w:spacing w:line="360" w:lineRule="auto"/>
        <w:ind w:firstLine="480" w:firstLineChars="200"/>
        <w:rPr>
          <w:rFonts w:hAnsi="宋体" w:cs="宋体"/>
          <w:color w:val="auto"/>
          <w:sz w:val="24"/>
          <w:szCs w:val="24"/>
        </w:rPr>
      </w:pPr>
      <w:r>
        <w:rPr>
          <w:rFonts w:hint="eastAsia" w:hAnsi="宋体" w:cs="宋体"/>
          <w:color w:val="auto"/>
          <w:sz w:val="24"/>
          <w:szCs w:val="24"/>
        </w:rPr>
        <w:t>（</w:t>
      </w:r>
      <w:r>
        <w:rPr>
          <w:rFonts w:hAnsi="宋体" w:cs="宋体"/>
          <w:color w:val="auto"/>
          <w:sz w:val="24"/>
          <w:szCs w:val="24"/>
        </w:rPr>
        <w:t>6）投标文件中的投标人</w:t>
      </w:r>
      <w:r>
        <w:rPr>
          <w:rFonts w:ascii="Times New Roman" w:hAnsi="宋体" w:cs="宋体"/>
          <w:color w:val="auto"/>
          <w:kern w:val="2"/>
          <w:sz w:val="24"/>
          <w:szCs w:val="24"/>
        </w:rPr>
        <w:t>企业名称、项目负责人、</w:t>
      </w:r>
      <w:r>
        <w:rPr>
          <w:rFonts w:hint="eastAsia" w:ascii="Times New Roman" w:hAnsi="宋体" w:cs="宋体"/>
          <w:color w:val="auto"/>
          <w:kern w:val="2"/>
          <w:sz w:val="24"/>
          <w:szCs w:val="24"/>
        </w:rPr>
        <w:t>设计负责人</w:t>
      </w:r>
      <w:r>
        <w:rPr>
          <w:rFonts w:ascii="Times New Roman" w:hAnsi="宋体" w:cs="宋体"/>
          <w:color w:val="auto"/>
          <w:kern w:val="2"/>
          <w:sz w:val="24"/>
          <w:szCs w:val="24"/>
        </w:rPr>
        <w:t>、专职安全员与投标登记时的信息不一致的。</w:t>
      </w:r>
    </w:p>
    <w:p>
      <w:pPr>
        <w:rPr>
          <w:color w:val="auto"/>
        </w:rPr>
      </w:pPr>
    </w:p>
    <w:p>
      <w:pPr>
        <w:rPr>
          <w:color w:val="auto"/>
        </w:rPr>
      </w:pPr>
    </w:p>
    <w:p>
      <w:pPr>
        <w:rPr>
          <w:color w:val="auto"/>
        </w:rPr>
      </w:pPr>
    </w:p>
    <w:sectPr>
      <w:pgSz w:w="11906" w:h="16838"/>
      <w:pgMar w:top="1440" w:right="1797" w:bottom="1440"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4097" o:spid="_x0000_s4097"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4098" o:spid="_x0000_s4098"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C5t4uMQIAAFIEAAAOAAAAZHJzL2Uyb0RvYy54bWytVMFu2zAMvQ/Y&#10;Pwi6L07apC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wuR+Px&#10;JIJkT3edD/hOgWHRyLmn1iVFxf4+YJfap8RSFla11ql92rIm51eX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gubeLjECAABSBAAADgAAAAAAAAABACAAAAAgAQAAZHJzL2Uyb0RvYy54bWxQSwUG&#10;AAAAAAYABgBZAQAAwwUAAAAA&#10;">
          <v:path/>
          <v:fill on="f" focussize="0,0"/>
          <v:stroke on="f" weight="0.5pt" joinstyle="miter"/>
          <v:imagedata o:title=""/>
          <o:lock v:ext="edit"/>
          <v:textbox inset="0mm,0mm,0mm,0mm" style="mso-fit-shape-to-text:t;">
            <w:txbxContent>
              <w:p>
                <w:pPr>
                  <w:pStyle w:val="12"/>
                  <w:jc w:val="center"/>
                </w:pPr>
                <w:r>
                  <w:fldChar w:fldCharType="begin"/>
                </w:r>
                <w:r>
                  <w:instrText xml:space="preserve">PAGE   \* MERGEFORMAT</w:instrText>
                </w:r>
                <w:r>
                  <w:fldChar w:fldCharType="separate"/>
                </w:r>
                <w:r>
                  <w:t>3</w:t>
                </w:r>
                <w:r>
                  <w:fldChar w:fldCharType="end"/>
                </w:r>
              </w:p>
            </w:txbxContent>
          </v:textbox>
        </v:shape>
      </w:pict>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4099" o:spid="_x0000_s4099"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path/>
          <v:fill on="f" focussize="0,0"/>
          <v:stroke on="f" weight="0.5pt" joinstyle="miter"/>
          <v:imagedata o:title=""/>
          <o:lock v:ext="edit"/>
          <v:textbox inset="0mm,0mm,0mm,0mm" style="mso-fit-shape-to-text:t;">
            <w:txbxContent>
              <w:p>
                <w:pPr>
                  <w:pStyle w:val="12"/>
                  <w:jc w:val="center"/>
                </w:pPr>
                <w:r>
                  <w:fldChar w:fldCharType="begin"/>
                </w:r>
                <w:r>
                  <w:instrText xml:space="preserve">PAGE   \* MERGEFORMAT</w:instrText>
                </w:r>
                <w:r>
                  <w:fldChar w:fldCharType="separate"/>
                </w:r>
                <w:r>
                  <w:t>41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4100" o:spid="_x0000_s4100"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NnVtATACAABT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SYI1Donhos3+7b&#10;ntceijPSstD1hTN8U2PyLXP+gVlsBGSCo+LvcSklYBLoLUoqsF/+dR7isT7opaTBxsqpxjmiRL7X&#10;WLfQg4NhB2M/GPqo7gA7NcMRNDyaeMF6OZilBfUZ52cVcqCLaY6ZcuoH8853zY3zx8VqFYOw0wzz&#10;W70zPEAH8ZxZHT0KGHUNonRK9Fphr8XK9HMRmvnPfYx6/B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NnVtATACAABTBAAADgAAAAAAAAABACAAAAAhAQAAZHJzL2Uyb0RvYy54bWxQSwUG&#10;AAAAAAYABgBZAQAAwwUAAAAA&#10;">
          <v:path/>
          <v:fill on="f" focussize="0,0"/>
          <v:stroke on="f" weight="0.5pt" joinstyle="miter"/>
          <v:imagedata o:title=""/>
          <o:lock v:ext="edit"/>
          <v:textbox inset="0mm,0mm,0mm,0mm" style="mso-fit-shape-to-text:t;">
            <w:txbxContent>
              <w:p>
                <w:pPr>
                  <w:pStyle w:val="12"/>
                  <w:jc w:val="center"/>
                </w:pPr>
                <w:r>
                  <w:fldChar w:fldCharType="begin"/>
                </w:r>
                <w:r>
                  <w:rPr>
                    <w:rStyle w:val="19"/>
                  </w:rPr>
                  <w:instrText xml:space="preserve"> PAGE </w:instrText>
                </w:r>
                <w:r>
                  <w:fldChar w:fldCharType="separate"/>
                </w:r>
                <w:r>
                  <w:rPr>
                    <w:rStyle w:val="19"/>
                  </w:rPr>
                  <w:t>43</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pict>
        <v:shape id="_x0000_s4101" o:spid="_x0000_s4101"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dxhddIAAAADAQAADwAAAAAAAAABACAAAAAiAAAAZHJzL2Rvd25yZXYueG1sUEsBAhQA&#10;FAAAAAgAh07iQEq6DocxAgAAUwQAAA4AAAAAAAAAAQAgAAAAIQEAAGRycy9lMm9Eb2MueG1sUEsF&#10;BgAAAAAGAAYAWQEAAMQFAAAAAA==&#10;">
          <v:path/>
          <v:fill on="f" focussize="0,0"/>
          <v:stroke on="f" weight="0.5pt" joinstyle="miter"/>
          <v:imagedata o:title=""/>
          <o:lock v:ext="edit"/>
          <v:textbox inset="0mm,0mm,0mm,0mm" style="mso-fit-shape-to-text:t;">
            <w:txbxContent>
              <w:p>
                <w:pPr>
                  <w:pStyle w:val="12"/>
                  <w:jc w:val="center"/>
                </w:pPr>
                <w:r>
                  <w:fldChar w:fldCharType="begin"/>
                </w:r>
                <w:r>
                  <w:rPr>
                    <w:rStyle w:val="19"/>
                  </w:rPr>
                  <w:instrText xml:space="preserve"> PAGE </w:instrText>
                </w:r>
                <w:r>
                  <w:fldChar w:fldCharType="separate"/>
                </w:r>
                <w:r>
                  <w:rPr>
                    <w:rStyle w:val="19"/>
                  </w:rPr>
                  <w:t>52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7A128D"/>
    <w:multiLevelType w:val="singleLevel"/>
    <w:tmpl w:val="DC7A128D"/>
    <w:lvl w:ilvl="0" w:tentative="0">
      <w:start w:val="8"/>
      <w:numFmt w:val="chineseCounting"/>
      <w:suff w:val="space"/>
      <w:lvlText w:val="第%1章"/>
      <w:lvlJc w:val="left"/>
      <w:rPr>
        <w:rFonts w:hint="eastAsia"/>
      </w:rPr>
    </w:lvl>
  </w:abstractNum>
  <w:abstractNum w:abstractNumId="1">
    <w:nsid w:val="1EE03FE3"/>
    <w:multiLevelType w:val="multilevel"/>
    <w:tmpl w:val="1EE03FE3"/>
    <w:lvl w:ilvl="0" w:tentative="0">
      <w:start w:val="1"/>
      <w:numFmt w:val="decimalEnclosedCircle"/>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007196"/>
    <w:multiLevelType w:val="singleLevel"/>
    <w:tmpl w:val="3A007196"/>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0ODJiMGI4NWZiMWQxODgwN2NkNTk4YzhjMmNiM2EifQ=="/>
  </w:docVars>
  <w:rsids>
    <w:rsidRoot w:val="39011837"/>
    <w:rsid w:val="0002065D"/>
    <w:rsid w:val="00037944"/>
    <w:rsid w:val="000519F3"/>
    <w:rsid w:val="000703E3"/>
    <w:rsid w:val="000A6468"/>
    <w:rsid w:val="000B1768"/>
    <w:rsid w:val="000C1C92"/>
    <w:rsid w:val="000C3110"/>
    <w:rsid w:val="000D3A16"/>
    <w:rsid w:val="000D4107"/>
    <w:rsid w:val="000E4F86"/>
    <w:rsid w:val="000F38A5"/>
    <w:rsid w:val="000F4E31"/>
    <w:rsid w:val="000F6081"/>
    <w:rsid w:val="000F78A1"/>
    <w:rsid w:val="001407C0"/>
    <w:rsid w:val="00153251"/>
    <w:rsid w:val="001841CB"/>
    <w:rsid w:val="001923D5"/>
    <w:rsid w:val="001949C3"/>
    <w:rsid w:val="001E0563"/>
    <w:rsid w:val="001E7B53"/>
    <w:rsid w:val="001F28C5"/>
    <w:rsid w:val="0022422B"/>
    <w:rsid w:val="00232CAC"/>
    <w:rsid w:val="002477A8"/>
    <w:rsid w:val="002602D8"/>
    <w:rsid w:val="002620B0"/>
    <w:rsid w:val="002620FE"/>
    <w:rsid w:val="002E05BA"/>
    <w:rsid w:val="002E71E6"/>
    <w:rsid w:val="002F2193"/>
    <w:rsid w:val="0030567E"/>
    <w:rsid w:val="0031109D"/>
    <w:rsid w:val="00312DAB"/>
    <w:rsid w:val="0033685E"/>
    <w:rsid w:val="00340FC9"/>
    <w:rsid w:val="00344E1C"/>
    <w:rsid w:val="00352E50"/>
    <w:rsid w:val="00357D65"/>
    <w:rsid w:val="00375311"/>
    <w:rsid w:val="00386497"/>
    <w:rsid w:val="00396DEE"/>
    <w:rsid w:val="003972BD"/>
    <w:rsid w:val="003B5D7D"/>
    <w:rsid w:val="003C3764"/>
    <w:rsid w:val="003C7F45"/>
    <w:rsid w:val="003D68F4"/>
    <w:rsid w:val="003E2F29"/>
    <w:rsid w:val="003E5FB4"/>
    <w:rsid w:val="003E69E0"/>
    <w:rsid w:val="003F5E85"/>
    <w:rsid w:val="004019EA"/>
    <w:rsid w:val="00412151"/>
    <w:rsid w:val="00424C07"/>
    <w:rsid w:val="00427A55"/>
    <w:rsid w:val="00433EEE"/>
    <w:rsid w:val="00435451"/>
    <w:rsid w:val="00444ACC"/>
    <w:rsid w:val="00452319"/>
    <w:rsid w:val="0047341D"/>
    <w:rsid w:val="00473F9F"/>
    <w:rsid w:val="00485E33"/>
    <w:rsid w:val="004C1919"/>
    <w:rsid w:val="004D1C72"/>
    <w:rsid w:val="004D6D26"/>
    <w:rsid w:val="004E4C34"/>
    <w:rsid w:val="005048C7"/>
    <w:rsid w:val="00515BE6"/>
    <w:rsid w:val="005214C4"/>
    <w:rsid w:val="00530278"/>
    <w:rsid w:val="0054469C"/>
    <w:rsid w:val="00547D6C"/>
    <w:rsid w:val="00573528"/>
    <w:rsid w:val="00585C70"/>
    <w:rsid w:val="0058681D"/>
    <w:rsid w:val="00587518"/>
    <w:rsid w:val="00597946"/>
    <w:rsid w:val="005B4D78"/>
    <w:rsid w:val="005C1DDE"/>
    <w:rsid w:val="005C58EB"/>
    <w:rsid w:val="005F659B"/>
    <w:rsid w:val="00615211"/>
    <w:rsid w:val="00661B21"/>
    <w:rsid w:val="0066762A"/>
    <w:rsid w:val="00670D9C"/>
    <w:rsid w:val="006871BA"/>
    <w:rsid w:val="0069217A"/>
    <w:rsid w:val="006A1E7C"/>
    <w:rsid w:val="006A28C2"/>
    <w:rsid w:val="006A645D"/>
    <w:rsid w:val="006C4E32"/>
    <w:rsid w:val="006D1708"/>
    <w:rsid w:val="0071581B"/>
    <w:rsid w:val="007310A0"/>
    <w:rsid w:val="00733034"/>
    <w:rsid w:val="007625CC"/>
    <w:rsid w:val="007678F6"/>
    <w:rsid w:val="00782749"/>
    <w:rsid w:val="00783120"/>
    <w:rsid w:val="00783977"/>
    <w:rsid w:val="0078564E"/>
    <w:rsid w:val="0079171D"/>
    <w:rsid w:val="007A2A94"/>
    <w:rsid w:val="007B0A23"/>
    <w:rsid w:val="007B4158"/>
    <w:rsid w:val="007C20DA"/>
    <w:rsid w:val="007C73FE"/>
    <w:rsid w:val="007E6A7B"/>
    <w:rsid w:val="008040D8"/>
    <w:rsid w:val="00807C34"/>
    <w:rsid w:val="00885A50"/>
    <w:rsid w:val="00896896"/>
    <w:rsid w:val="008B72C1"/>
    <w:rsid w:val="008D6758"/>
    <w:rsid w:val="0090540B"/>
    <w:rsid w:val="009138AD"/>
    <w:rsid w:val="00951C67"/>
    <w:rsid w:val="00981522"/>
    <w:rsid w:val="009925BA"/>
    <w:rsid w:val="009A004A"/>
    <w:rsid w:val="009C1AB5"/>
    <w:rsid w:val="009C5AAC"/>
    <w:rsid w:val="009E00B8"/>
    <w:rsid w:val="009F5964"/>
    <w:rsid w:val="00A008F8"/>
    <w:rsid w:val="00A03D9F"/>
    <w:rsid w:val="00A04FD9"/>
    <w:rsid w:val="00A226F8"/>
    <w:rsid w:val="00A24E92"/>
    <w:rsid w:val="00A413A9"/>
    <w:rsid w:val="00A414F0"/>
    <w:rsid w:val="00A5666D"/>
    <w:rsid w:val="00A63916"/>
    <w:rsid w:val="00A70E08"/>
    <w:rsid w:val="00A74322"/>
    <w:rsid w:val="00A84A2C"/>
    <w:rsid w:val="00A85988"/>
    <w:rsid w:val="00A93700"/>
    <w:rsid w:val="00AA57E7"/>
    <w:rsid w:val="00AB1563"/>
    <w:rsid w:val="00AB6DFD"/>
    <w:rsid w:val="00AD0CED"/>
    <w:rsid w:val="00AD3FF9"/>
    <w:rsid w:val="00AF2BB0"/>
    <w:rsid w:val="00B059EB"/>
    <w:rsid w:val="00B0656A"/>
    <w:rsid w:val="00B10692"/>
    <w:rsid w:val="00B20A76"/>
    <w:rsid w:val="00B233BD"/>
    <w:rsid w:val="00B259E8"/>
    <w:rsid w:val="00B44664"/>
    <w:rsid w:val="00B53F18"/>
    <w:rsid w:val="00B54170"/>
    <w:rsid w:val="00B546F0"/>
    <w:rsid w:val="00B70633"/>
    <w:rsid w:val="00B757EA"/>
    <w:rsid w:val="00B97C1D"/>
    <w:rsid w:val="00BA5457"/>
    <w:rsid w:val="00BB1E4B"/>
    <w:rsid w:val="00BB6633"/>
    <w:rsid w:val="00BC659A"/>
    <w:rsid w:val="00BC7FF8"/>
    <w:rsid w:val="00BD4345"/>
    <w:rsid w:val="00BD765C"/>
    <w:rsid w:val="00C16EE1"/>
    <w:rsid w:val="00C25810"/>
    <w:rsid w:val="00C77965"/>
    <w:rsid w:val="00C91E33"/>
    <w:rsid w:val="00C9203A"/>
    <w:rsid w:val="00C977E2"/>
    <w:rsid w:val="00CB7ECB"/>
    <w:rsid w:val="00CC23B0"/>
    <w:rsid w:val="00CC33C8"/>
    <w:rsid w:val="00CD4155"/>
    <w:rsid w:val="00CE0A08"/>
    <w:rsid w:val="00CE1BED"/>
    <w:rsid w:val="00D44288"/>
    <w:rsid w:val="00D478B5"/>
    <w:rsid w:val="00D62079"/>
    <w:rsid w:val="00D76B3F"/>
    <w:rsid w:val="00D92284"/>
    <w:rsid w:val="00D93377"/>
    <w:rsid w:val="00DA5EF2"/>
    <w:rsid w:val="00DB27F0"/>
    <w:rsid w:val="00DC052E"/>
    <w:rsid w:val="00DC16C1"/>
    <w:rsid w:val="00DD33B1"/>
    <w:rsid w:val="00DE17C9"/>
    <w:rsid w:val="00E068CC"/>
    <w:rsid w:val="00E06AB5"/>
    <w:rsid w:val="00E22B06"/>
    <w:rsid w:val="00E312C5"/>
    <w:rsid w:val="00E3292F"/>
    <w:rsid w:val="00E34FCC"/>
    <w:rsid w:val="00E46A88"/>
    <w:rsid w:val="00E56DA2"/>
    <w:rsid w:val="00E72012"/>
    <w:rsid w:val="00E76E77"/>
    <w:rsid w:val="00E81BBF"/>
    <w:rsid w:val="00E93793"/>
    <w:rsid w:val="00E94E37"/>
    <w:rsid w:val="00E97F59"/>
    <w:rsid w:val="00EA2D7D"/>
    <w:rsid w:val="00EB0375"/>
    <w:rsid w:val="00ED0579"/>
    <w:rsid w:val="00ED7275"/>
    <w:rsid w:val="00F40425"/>
    <w:rsid w:val="00F562AE"/>
    <w:rsid w:val="00F6370B"/>
    <w:rsid w:val="00F67ECA"/>
    <w:rsid w:val="00F772F2"/>
    <w:rsid w:val="00F832A0"/>
    <w:rsid w:val="00FA1C5D"/>
    <w:rsid w:val="00FA3E1C"/>
    <w:rsid w:val="00FB6DAC"/>
    <w:rsid w:val="00FC7527"/>
    <w:rsid w:val="00FF0583"/>
    <w:rsid w:val="0CCB23AD"/>
    <w:rsid w:val="0E7C0017"/>
    <w:rsid w:val="119053A0"/>
    <w:rsid w:val="15551B49"/>
    <w:rsid w:val="18421AC7"/>
    <w:rsid w:val="19053D5D"/>
    <w:rsid w:val="1961366C"/>
    <w:rsid w:val="1ABC20EB"/>
    <w:rsid w:val="1B003921"/>
    <w:rsid w:val="1D016BAF"/>
    <w:rsid w:val="246976D0"/>
    <w:rsid w:val="24C11F5B"/>
    <w:rsid w:val="27924114"/>
    <w:rsid w:val="27A16071"/>
    <w:rsid w:val="2C5843EF"/>
    <w:rsid w:val="2C623BEA"/>
    <w:rsid w:val="2CAC1234"/>
    <w:rsid w:val="2DC82DC5"/>
    <w:rsid w:val="2F2F04F6"/>
    <w:rsid w:val="310C744B"/>
    <w:rsid w:val="31A5624D"/>
    <w:rsid w:val="33F2309F"/>
    <w:rsid w:val="37FB755A"/>
    <w:rsid w:val="3888232F"/>
    <w:rsid w:val="39011837"/>
    <w:rsid w:val="3923264B"/>
    <w:rsid w:val="39CC17DF"/>
    <w:rsid w:val="3B631429"/>
    <w:rsid w:val="3FEE0F12"/>
    <w:rsid w:val="40FD06E5"/>
    <w:rsid w:val="41CF0DFB"/>
    <w:rsid w:val="441A7B56"/>
    <w:rsid w:val="452B420A"/>
    <w:rsid w:val="45880D49"/>
    <w:rsid w:val="48B836A2"/>
    <w:rsid w:val="4D8A1C7C"/>
    <w:rsid w:val="4E790515"/>
    <w:rsid w:val="4FC55AD5"/>
    <w:rsid w:val="503A4082"/>
    <w:rsid w:val="50C01347"/>
    <w:rsid w:val="543C52BF"/>
    <w:rsid w:val="55134720"/>
    <w:rsid w:val="580708C2"/>
    <w:rsid w:val="5D9555C5"/>
    <w:rsid w:val="5F49596C"/>
    <w:rsid w:val="6862442F"/>
    <w:rsid w:val="69983D4A"/>
    <w:rsid w:val="69E676CD"/>
    <w:rsid w:val="6B514C91"/>
    <w:rsid w:val="6CC2457F"/>
    <w:rsid w:val="6D7F77EA"/>
    <w:rsid w:val="6F543877"/>
    <w:rsid w:val="6F587B7E"/>
    <w:rsid w:val="6F80015D"/>
    <w:rsid w:val="737B21C8"/>
    <w:rsid w:val="74343850"/>
    <w:rsid w:val="74393BF8"/>
    <w:rsid w:val="743B0EE9"/>
    <w:rsid w:val="749A1EC4"/>
    <w:rsid w:val="788D62BA"/>
    <w:rsid w:val="790C7B25"/>
    <w:rsid w:val="7B3E08F2"/>
    <w:rsid w:val="7CA41DFF"/>
    <w:rsid w:val="7F8D3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2" w:lineRule="auto"/>
      <w:outlineLvl w:val="1"/>
    </w:pPr>
    <w:rPr>
      <w:rFonts w:ascii="Arial" w:hAnsi="Arial" w:eastAsia="黑体"/>
      <w:b/>
      <w:bCs/>
      <w:kern w:val="0"/>
      <w:sz w:val="32"/>
      <w:szCs w:val="32"/>
    </w:rPr>
  </w:style>
  <w:style w:type="paragraph" w:styleId="5">
    <w:name w:val="heading 3"/>
    <w:basedOn w:val="1"/>
    <w:next w:val="1"/>
    <w:qFormat/>
    <w:uiPriority w:val="0"/>
    <w:pPr>
      <w:keepNext/>
      <w:keepLines/>
      <w:spacing w:before="260" w:after="260" w:line="412" w:lineRule="auto"/>
      <w:ind w:firstLine="137" w:firstLineChars="49"/>
      <w:outlineLvl w:val="2"/>
    </w:pPr>
    <w:rPr>
      <w:rFonts w:ascii="黑体" w:hAnsi="宋体" w:eastAsia="黑体"/>
      <w:bCs/>
      <w:kern w:val="0"/>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29"/>
    <w:autoRedefine/>
    <w:unhideWhenUsed/>
    <w:qFormat/>
    <w:uiPriority w:val="0"/>
    <w:rPr>
      <w:rFonts w:ascii="宋体" w:hAnsi="Courier New"/>
      <w:kern w:val="0"/>
      <w:sz w:val="20"/>
      <w:szCs w:val="20"/>
    </w:rPr>
  </w:style>
  <w:style w:type="paragraph" w:styleId="6">
    <w:name w:val="annotation text"/>
    <w:basedOn w:val="1"/>
    <w:next w:val="1"/>
    <w:link w:val="25"/>
    <w:autoRedefine/>
    <w:unhideWhenUsed/>
    <w:qFormat/>
    <w:uiPriority w:val="99"/>
    <w:pPr>
      <w:jc w:val="left"/>
    </w:pPr>
  </w:style>
  <w:style w:type="paragraph" w:styleId="7">
    <w:name w:val="Body Text 3"/>
    <w:basedOn w:val="1"/>
    <w:autoRedefine/>
    <w:qFormat/>
    <w:uiPriority w:val="0"/>
    <w:pPr>
      <w:spacing w:after="120"/>
    </w:pPr>
    <w:rPr>
      <w:kern w:val="0"/>
      <w:sz w:val="16"/>
      <w:szCs w:val="16"/>
    </w:r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ind w:firstLine="560" w:firstLineChars="200"/>
    </w:pPr>
    <w:rPr>
      <w:rFonts w:ascii="Calibri" w:hAnsi="Calibri"/>
      <w:kern w:val="0"/>
      <w:sz w:val="28"/>
      <w:szCs w:val="24"/>
    </w:rPr>
  </w:style>
  <w:style w:type="paragraph" w:styleId="10">
    <w:name w:val="envelope return"/>
    <w:basedOn w:val="1"/>
    <w:autoRedefine/>
    <w:qFormat/>
    <w:uiPriority w:val="0"/>
    <w:pPr>
      <w:snapToGrid w:val="0"/>
    </w:pPr>
    <w:rPr>
      <w:rFonts w:ascii="Arial" w:hAnsi="Arial" w:cs="Arial"/>
      <w:szCs w:val="24"/>
    </w:rPr>
  </w:style>
  <w:style w:type="paragraph" w:styleId="11">
    <w:name w:val="Balloon Text"/>
    <w:basedOn w:val="1"/>
    <w:link w:val="27"/>
    <w:autoRedefine/>
    <w:qFormat/>
    <w:uiPriority w:val="0"/>
    <w:rPr>
      <w:sz w:val="18"/>
      <w:szCs w:val="18"/>
    </w:rPr>
  </w:style>
  <w:style w:type="paragraph" w:styleId="12">
    <w:name w:val="footer"/>
    <w:basedOn w:val="1"/>
    <w:qFormat/>
    <w:uiPriority w:val="99"/>
    <w:pPr>
      <w:tabs>
        <w:tab w:val="center" w:pos="4153"/>
        <w:tab w:val="right" w:pos="8306"/>
      </w:tabs>
      <w:snapToGrid w:val="0"/>
      <w:jc w:val="left"/>
    </w:pPr>
    <w:rPr>
      <w:kern w:val="0"/>
      <w:sz w:val="18"/>
      <w:szCs w:val="20"/>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20"/>
    </w:rPr>
  </w:style>
  <w:style w:type="paragraph" w:styleId="14">
    <w:name w:val="toc 1"/>
    <w:basedOn w:val="1"/>
    <w:next w:val="1"/>
    <w:autoRedefine/>
    <w:unhideWhenUsed/>
    <w:qFormat/>
    <w:uiPriority w:val="39"/>
    <w:pPr>
      <w:spacing w:before="120" w:after="120"/>
      <w:jc w:val="left"/>
    </w:pPr>
    <w:rPr>
      <w:b/>
      <w:bCs/>
      <w:caps/>
      <w:sz w:val="20"/>
      <w:szCs w:val="20"/>
    </w:rPr>
  </w:style>
  <w:style w:type="paragraph" w:styleId="15">
    <w:name w:val="annotation subject"/>
    <w:basedOn w:val="6"/>
    <w:next w:val="6"/>
    <w:link w:val="26"/>
    <w:qFormat/>
    <w:uiPriority w:val="0"/>
    <w:rPr>
      <w:b/>
      <w:bCs/>
    </w:rPr>
  </w:style>
  <w:style w:type="paragraph" w:styleId="16">
    <w:name w:val="Body Text First Indent 2"/>
    <w:basedOn w:val="9"/>
    <w:autoRedefine/>
    <w:qFormat/>
    <w:uiPriority w:val="0"/>
    <w:pPr>
      <w:spacing w:after="120"/>
      <w:ind w:left="420" w:leftChars="200" w:firstLine="420"/>
    </w:pPr>
    <w:rPr>
      <w:rFonts w:ascii="Times New Roman" w:hAnsi="Times New Roman"/>
      <w:sz w:val="20"/>
    </w:rPr>
  </w:style>
  <w:style w:type="character" w:styleId="19">
    <w:name w:val="page number"/>
    <w:unhideWhenUsed/>
    <w:qFormat/>
    <w:uiPriority w:val="0"/>
  </w:style>
  <w:style w:type="character" w:styleId="20">
    <w:name w:val="Hyperlink"/>
    <w:autoRedefine/>
    <w:unhideWhenUsed/>
    <w:qFormat/>
    <w:uiPriority w:val="99"/>
    <w:rPr>
      <w:color w:val="6D6D6D"/>
      <w:u w:val="none"/>
    </w:rPr>
  </w:style>
  <w:style w:type="character" w:styleId="21">
    <w:name w:val="annotation reference"/>
    <w:autoRedefine/>
    <w:unhideWhenUsed/>
    <w:qFormat/>
    <w:uiPriority w:val="0"/>
    <w:rPr>
      <w:sz w:val="21"/>
      <w:szCs w:val="21"/>
    </w:rPr>
  </w:style>
  <w:style w:type="paragraph" w:customStyle="1" w:styleId="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3">
    <w:name w:val="章节三"/>
    <w:basedOn w:val="24"/>
    <w:next w:val="24"/>
    <w:autoRedefine/>
    <w:qFormat/>
    <w:uiPriority w:val="0"/>
    <w:pPr>
      <w:spacing w:beforeLines="50" w:afterLines="50" w:line="240" w:lineRule="auto"/>
      <w:ind w:firstLine="0" w:firstLineChars="0"/>
      <w:jc w:val="left"/>
      <w:outlineLvl w:val="2"/>
    </w:pPr>
    <w:rPr>
      <w:rFonts w:ascii="黑体" w:hAnsi="宋体" w:eastAsia="黑体"/>
      <w:b/>
    </w:rPr>
  </w:style>
  <w:style w:type="paragraph" w:customStyle="1" w:styleId="24">
    <w:name w:val="文一"/>
    <w:basedOn w:val="1"/>
    <w:autoRedefine/>
    <w:qFormat/>
    <w:uiPriority w:val="0"/>
    <w:pPr>
      <w:topLinePunct/>
      <w:adjustRightInd w:val="0"/>
      <w:snapToGrid w:val="0"/>
      <w:spacing w:line="360" w:lineRule="auto"/>
      <w:ind w:firstLine="200" w:firstLineChars="200"/>
    </w:pPr>
    <w:rPr>
      <w:spacing w:val="4"/>
      <w:kern w:val="0"/>
      <w:sz w:val="24"/>
      <w:szCs w:val="24"/>
    </w:rPr>
  </w:style>
  <w:style w:type="character" w:customStyle="1" w:styleId="25">
    <w:name w:val="批注文字 Char"/>
    <w:basedOn w:val="18"/>
    <w:link w:val="6"/>
    <w:autoRedefine/>
    <w:qFormat/>
    <w:uiPriority w:val="99"/>
    <w:rPr>
      <w:kern w:val="2"/>
      <w:sz w:val="21"/>
      <w:szCs w:val="22"/>
    </w:rPr>
  </w:style>
  <w:style w:type="character" w:customStyle="1" w:styleId="26">
    <w:name w:val="批注主题 Char"/>
    <w:basedOn w:val="25"/>
    <w:link w:val="15"/>
    <w:autoRedefine/>
    <w:qFormat/>
    <w:uiPriority w:val="0"/>
    <w:rPr>
      <w:b/>
      <w:bCs/>
      <w:kern w:val="2"/>
      <w:sz w:val="21"/>
      <w:szCs w:val="22"/>
    </w:rPr>
  </w:style>
  <w:style w:type="character" w:customStyle="1" w:styleId="27">
    <w:name w:val="批注框文本 Char"/>
    <w:basedOn w:val="18"/>
    <w:link w:val="11"/>
    <w:autoRedefine/>
    <w:qFormat/>
    <w:uiPriority w:val="0"/>
    <w:rPr>
      <w:kern w:val="2"/>
      <w:sz w:val="18"/>
      <w:szCs w:val="18"/>
    </w:rPr>
  </w:style>
  <w:style w:type="paragraph" w:styleId="28">
    <w:name w:val="List Paragraph"/>
    <w:basedOn w:val="1"/>
    <w:autoRedefine/>
    <w:unhideWhenUsed/>
    <w:qFormat/>
    <w:uiPriority w:val="34"/>
    <w:pPr>
      <w:ind w:firstLine="420" w:firstLineChars="200"/>
    </w:pPr>
  </w:style>
  <w:style w:type="character" w:customStyle="1" w:styleId="29">
    <w:name w:val="纯文本 Char"/>
    <w:basedOn w:val="18"/>
    <w:link w:val="2"/>
    <w:autoRedefine/>
    <w:qFormat/>
    <w:uiPriority w:val="0"/>
    <w:rPr>
      <w:rFonts w:ascii="宋体" w:hAnsi="Courier New"/>
    </w:rPr>
  </w:style>
  <w:style w:type="paragraph" w:customStyle="1" w:styleId="30">
    <w:name w:val="修订1"/>
    <w:autoRedefine/>
    <w:hidden/>
    <w:unhideWhenUsed/>
    <w:qFormat/>
    <w:uiPriority w:val="99"/>
    <w:rPr>
      <w:rFonts w:ascii="Times New Roman" w:hAnsi="Times New Roman" w:eastAsia="宋体" w:cs="Times New Roman"/>
      <w:kern w:val="2"/>
      <w:sz w:val="21"/>
      <w:szCs w:val="22"/>
      <w:lang w:val="en-US" w:eastAsia="zh-CN" w:bidi="ar-SA"/>
    </w:rPr>
  </w:style>
  <w:style w:type="paragraph" w:customStyle="1" w:styleId="31">
    <w:name w:val="修订2"/>
    <w:autoRedefine/>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4317</Words>
  <Characters>24608</Characters>
  <Lines>205</Lines>
  <Paragraphs>57</Paragraphs>
  <TotalTime>0</TotalTime>
  <ScaleCrop>false</ScaleCrop>
  <LinksUpToDate>false</LinksUpToDate>
  <CharactersWithSpaces>28868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2024-02-29T09:39:00Z</dcterms:created>
  <dc:creator>NTKO</dc:creator>
  <cp:lastModifiedBy>admin</cp:lastModifiedBy>
  <cp:lastPrinted>2023-12-27T06:43:00Z</cp:lastPrinted>
  <dcterms:modified xsi:type="dcterms:W3CDTF">2024-03-08T04:38:25Z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9165DB99412243F8BE13A36F73C8ACE3</vt:lpwstr>
  </property>
</Properties>
</file>