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9" w:firstLineChars="177"/>
        <w:jc w:val="center"/>
        <w:rPr>
          <w:rFonts w:ascii="宋体" w:hAnsi="宋体"/>
          <w:b/>
          <w:color w:val="auto"/>
          <w:kern w:val="0"/>
          <w:sz w:val="32"/>
          <w:szCs w:val="32"/>
          <w:highlight w:val="none"/>
        </w:rPr>
      </w:pPr>
      <w:bookmarkStart w:id="0" w:name="_Toc221949921"/>
      <w:bookmarkStart w:id="1" w:name="_Toc168475642"/>
      <w:bookmarkStart w:id="2" w:name="_Toc222030983"/>
      <w:bookmarkStart w:id="3" w:name="_Toc222033832"/>
      <w:bookmarkStart w:id="4" w:name="_Toc229305341"/>
      <w:bookmarkStart w:id="5" w:name="_Toc144974495"/>
      <w:bookmarkStart w:id="6" w:name="_Toc221950007"/>
      <w:bookmarkStart w:id="7" w:name="_Toc222029481"/>
      <w:bookmarkStart w:id="8" w:name="_Toc222032650"/>
      <w:bookmarkStart w:id="9" w:name="_Toc168476045"/>
      <w:r>
        <w:rPr>
          <w:rFonts w:hint="eastAsia" w:ascii="宋体" w:hAnsi="宋体"/>
          <w:b/>
          <w:color w:val="auto"/>
          <w:kern w:val="0"/>
          <w:sz w:val="32"/>
          <w:szCs w:val="32"/>
          <w:highlight w:val="none"/>
        </w:rPr>
        <w:t>2024年度广州市番禺区石碁镇高标准农田改造提升建设项目（示范）（国债）</w:t>
      </w:r>
    </w:p>
    <w:p>
      <w:pPr>
        <w:spacing w:line="336" w:lineRule="auto"/>
        <w:jc w:val="center"/>
        <w:rPr>
          <w:rFonts w:ascii="宋体" w:hAnsi="宋体" w:cs="宋体"/>
          <w:color w:val="auto"/>
          <w:sz w:val="28"/>
          <w:szCs w:val="28"/>
          <w:highlight w:val="none"/>
        </w:rPr>
      </w:pPr>
      <w:r>
        <w:rPr>
          <w:rFonts w:hint="eastAsia" w:ascii="宋体" w:hAnsi="宋体" w:cs="宋体"/>
          <w:b/>
          <w:color w:val="auto"/>
          <w:sz w:val="28"/>
          <w:szCs w:val="28"/>
          <w:highlight w:val="none"/>
        </w:rPr>
        <w:t>招标公告</w:t>
      </w:r>
      <w:bookmarkEnd w:id="0"/>
    </w:p>
    <w:p>
      <w:pPr>
        <w:pStyle w:val="23"/>
        <w:keepNext w:val="0"/>
        <w:keepLines w:val="0"/>
        <w:spacing w:line="336" w:lineRule="auto"/>
        <w:outlineLvl w:val="2"/>
        <w:rPr>
          <w:color w:val="auto"/>
          <w:highlight w:val="none"/>
        </w:rPr>
      </w:pPr>
      <w:bookmarkStart w:id="10" w:name="_Toc168475626"/>
      <w:bookmarkStart w:id="11" w:name="_Toc32316"/>
      <w:bookmarkStart w:id="12" w:name="_Toc28236"/>
      <w:bookmarkStart w:id="13" w:name="_Toc144974480"/>
      <w:bookmarkStart w:id="14" w:name="_Toc229305323"/>
      <w:bookmarkStart w:id="15" w:name="_Toc29060"/>
      <w:bookmarkStart w:id="16" w:name="_Toc18551"/>
      <w:bookmarkStart w:id="17" w:name="_Toc168476029"/>
      <w:bookmarkStart w:id="18" w:name="_Toc221949922"/>
      <w:bookmarkStart w:id="19" w:name="_Toc222030965"/>
      <w:bookmarkStart w:id="20" w:name="_Toc222029463"/>
      <w:bookmarkStart w:id="21" w:name="_Toc222032632"/>
      <w:bookmarkStart w:id="22" w:name="_Toc387753532"/>
      <w:bookmarkStart w:id="23" w:name="_Toc3041"/>
      <w:bookmarkStart w:id="24" w:name="_Toc1650171334"/>
      <w:bookmarkStart w:id="25" w:name="_Toc222033814"/>
      <w:bookmarkStart w:id="26" w:name="_Toc8356"/>
      <w:bookmarkStart w:id="27" w:name="_Toc40953892"/>
      <w:r>
        <w:rPr>
          <w:rFonts w:hint="eastAsia"/>
          <w:color w:val="auto"/>
          <w:highlight w:val="none"/>
        </w:rPr>
        <w:t>1. 招标条件</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spacing w:line="336" w:lineRule="auto"/>
        <w:ind w:firstLine="420" w:firstLineChars="200"/>
        <w:rPr>
          <w:rFonts w:hint="eastAsia" w:ascii="宋体" w:hAnsi="宋体" w:eastAsia="宋体" w:cs="宋体"/>
          <w:color w:val="auto"/>
          <w:szCs w:val="21"/>
          <w:highlight w:val="none"/>
          <w:lang w:eastAsia="zh-CN"/>
        </w:rPr>
      </w:pPr>
      <w:bookmarkStart w:id="28" w:name="_Toc221949923"/>
      <w:r>
        <w:rPr>
          <w:rFonts w:hint="eastAsia" w:ascii="宋体" w:hAnsi="宋体" w:cs="宋体"/>
          <w:color w:val="auto"/>
          <w:szCs w:val="21"/>
          <w:highlight w:val="none"/>
        </w:rPr>
        <w:t>本招标项目</w:t>
      </w:r>
      <w:r>
        <w:rPr>
          <w:rFonts w:hint="eastAsia" w:ascii="宋体" w:hAnsi="宋体"/>
          <w:color w:val="auto"/>
          <w:sz w:val="21"/>
          <w:szCs w:val="21"/>
          <w:highlight w:val="none"/>
          <w:u w:val="single"/>
        </w:rPr>
        <w:t>2024年度广州市番禺区石碁镇高标准农田改造提升建设项目（示范）（国债）</w:t>
      </w:r>
      <w:r>
        <w:rPr>
          <w:rFonts w:hint="eastAsia" w:ascii="宋体" w:hAnsi="宋体" w:cs="宋体"/>
          <w:color w:val="auto"/>
          <w:szCs w:val="21"/>
          <w:highlight w:val="none"/>
        </w:rPr>
        <w:t>已由</w:t>
      </w:r>
      <w:r>
        <w:rPr>
          <w:rFonts w:hint="eastAsia" w:ascii="宋体" w:hAnsi="宋体"/>
          <w:color w:val="auto"/>
          <w:sz w:val="21"/>
          <w:szCs w:val="21"/>
          <w:highlight w:val="none"/>
          <w:u w:val="single"/>
        </w:rPr>
        <w:t>广东省农业农村厅</w:t>
      </w:r>
      <w:r>
        <w:rPr>
          <w:rFonts w:hint="eastAsia" w:ascii="宋体" w:hAnsi="宋体" w:cs="宋体"/>
          <w:color w:val="auto"/>
          <w:szCs w:val="21"/>
          <w:highlight w:val="none"/>
        </w:rPr>
        <w:t>以</w:t>
      </w:r>
      <w:r>
        <w:rPr>
          <w:rFonts w:hint="eastAsia" w:ascii="宋体" w:hAnsi="宋体"/>
          <w:color w:val="auto"/>
          <w:sz w:val="21"/>
          <w:szCs w:val="21"/>
          <w:highlight w:val="none"/>
          <w:u w:val="single"/>
        </w:rPr>
        <w:t>粤农农函[2019]1440号</w:t>
      </w:r>
      <w:r>
        <w:rPr>
          <w:rFonts w:hint="eastAsia" w:ascii="宋体" w:hAnsi="宋体" w:cs="宋体"/>
          <w:color w:val="auto"/>
          <w:szCs w:val="21"/>
          <w:highlight w:val="none"/>
        </w:rPr>
        <w:t>批准建设，建设资金来自</w:t>
      </w:r>
      <w:r>
        <w:rPr>
          <w:rFonts w:hint="eastAsia" w:ascii="宋体" w:hAnsi="宋体"/>
          <w:color w:val="auto"/>
          <w:sz w:val="21"/>
          <w:szCs w:val="21"/>
          <w:highlight w:val="none"/>
          <w:u w:val="single"/>
        </w:rPr>
        <w:t xml:space="preserve">财政资金 </w:t>
      </w:r>
      <w:r>
        <w:rPr>
          <w:rFonts w:hint="eastAsia" w:ascii="宋体" w:hAnsi="宋体" w:cs="宋体"/>
          <w:color w:val="auto"/>
          <w:szCs w:val="21"/>
          <w:highlight w:val="none"/>
        </w:rPr>
        <w:t>（资金来源），项目出资比例为</w:t>
      </w:r>
      <w:r>
        <w:rPr>
          <w:rFonts w:hint="eastAsia" w:ascii="宋体" w:hAnsi="宋体"/>
          <w:color w:val="auto"/>
          <w:sz w:val="21"/>
          <w:szCs w:val="21"/>
          <w:highlight w:val="none"/>
          <w:u w:val="single"/>
        </w:rPr>
        <w:t>100%</w:t>
      </w:r>
      <w:r>
        <w:rPr>
          <w:rFonts w:hint="eastAsia" w:ascii="宋体" w:hAnsi="宋体" w:cs="宋体"/>
          <w:color w:val="auto"/>
          <w:szCs w:val="21"/>
          <w:highlight w:val="none"/>
        </w:rPr>
        <w:t>，招标人为</w:t>
      </w:r>
      <w:r>
        <w:rPr>
          <w:rFonts w:hint="eastAsia" w:ascii="宋体" w:hAnsi="宋体"/>
          <w:color w:val="auto"/>
          <w:sz w:val="21"/>
          <w:szCs w:val="21"/>
          <w:highlight w:val="none"/>
          <w:u w:val="single"/>
        </w:rPr>
        <w:t>广州市番禺区石碁镇人民政府</w:t>
      </w:r>
      <w:r>
        <w:rPr>
          <w:rFonts w:hint="eastAsia" w:ascii="宋体" w:hAnsi="宋体" w:cs="宋体"/>
          <w:color w:val="auto"/>
          <w:szCs w:val="21"/>
          <w:highlight w:val="none"/>
        </w:rPr>
        <w:t>，招标代理机构为</w:t>
      </w:r>
      <w:r>
        <w:rPr>
          <w:rFonts w:hint="eastAsia"/>
          <w:color w:val="auto"/>
          <w:szCs w:val="21"/>
          <w:highlight w:val="none"/>
          <w:u w:val="single"/>
        </w:rPr>
        <w:t>广东粤能工程管理有限公司</w:t>
      </w:r>
      <w:r>
        <w:rPr>
          <w:rFonts w:hint="eastAsia" w:ascii="宋体" w:hAnsi="宋体" w:cs="宋体"/>
          <w:color w:val="auto"/>
          <w:szCs w:val="21"/>
          <w:highlight w:val="none"/>
        </w:rPr>
        <w:t>。项目已具备招标条件，现对本项目施工进行公开招标</w:t>
      </w:r>
      <w:bookmarkEnd w:id="28"/>
      <w:r>
        <w:rPr>
          <w:rFonts w:hint="eastAsia" w:ascii="宋体" w:hAnsi="宋体" w:cs="宋体"/>
          <w:color w:val="auto"/>
          <w:szCs w:val="21"/>
          <w:highlight w:val="none"/>
          <w:lang w:eastAsia="zh-CN"/>
        </w:rPr>
        <w:t>。</w:t>
      </w:r>
    </w:p>
    <w:p>
      <w:pPr>
        <w:pStyle w:val="23"/>
        <w:keepNext w:val="0"/>
        <w:keepLines w:val="0"/>
        <w:spacing w:line="336" w:lineRule="auto"/>
        <w:outlineLvl w:val="2"/>
        <w:rPr>
          <w:color w:val="auto"/>
          <w:highlight w:val="none"/>
        </w:rPr>
      </w:pPr>
      <w:bookmarkStart w:id="29" w:name="_Toc222030966"/>
      <w:bookmarkStart w:id="30" w:name="_Toc168475627"/>
      <w:bookmarkStart w:id="31" w:name="_Toc222029464"/>
      <w:bookmarkStart w:id="32" w:name="_Toc5380"/>
      <w:bookmarkStart w:id="33" w:name="_Toc168476030"/>
      <w:bookmarkStart w:id="34" w:name="_Toc229305324"/>
      <w:bookmarkStart w:id="35" w:name="_Toc222033815"/>
      <w:bookmarkStart w:id="36" w:name="_Toc1034972149"/>
      <w:bookmarkStart w:id="37" w:name="_Toc222032633"/>
      <w:bookmarkStart w:id="38" w:name="_Toc950596501"/>
      <w:bookmarkStart w:id="39" w:name="_Toc24058"/>
      <w:bookmarkStart w:id="40" w:name="_Toc9742"/>
      <w:bookmarkStart w:id="41" w:name="_Toc144974481"/>
      <w:bookmarkStart w:id="42" w:name="_Toc23244"/>
      <w:bookmarkStart w:id="43" w:name="_Toc2394"/>
      <w:bookmarkStart w:id="44" w:name="_Toc221949924"/>
      <w:bookmarkStart w:id="45" w:name="_Toc22303"/>
      <w:bookmarkStart w:id="46" w:name="_Toc387753533"/>
      <w:r>
        <w:rPr>
          <w:rFonts w:hint="eastAsia"/>
          <w:color w:val="auto"/>
          <w:highlight w:val="none"/>
        </w:rPr>
        <w:t>2. 项目概况与招标范围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spacing w:line="336" w:lineRule="auto"/>
        <w:ind w:firstLine="420" w:firstLineChars="200"/>
        <w:rPr>
          <w:color w:val="auto"/>
          <w:szCs w:val="21"/>
          <w:highlight w:val="none"/>
        </w:rPr>
      </w:pPr>
      <w:bookmarkStart w:id="47" w:name="_Toc109149738"/>
      <w:r>
        <w:rPr>
          <w:color w:val="auto"/>
          <w:szCs w:val="21"/>
          <w:highlight w:val="none"/>
        </w:rPr>
        <w:t xml:space="preserve">2.1 </w:t>
      </w:r>
      <w:r>
        <w:rPr>
          <w:rFonts w:hint="eastAsia"/>
          <w:color w:val="auto"/>
          <w:szCs w:val="21"/>
          <w:highlight w:val="none"/>
        </w:rPr>
        <w:t>项目概况</w:t>
      </w:r>
      <w:bookmarkEnd w:id="47"/>
    </w:p>
    <w:p>
      <w:pPr>
        <w:spacing w:line="336" w:lineRule="auto"/>
        <w:ind w:firstLine="840" w:firstLineChars="400"/>
        <w:rPr>
          <w:color w:val="auto"/>
          <w:szCs w:val="21"/>
          <w:highlight w:val="none"/>
          <w:u w:val="single"/>
        </w:rPr>
      </w:pPr>
      <w:r>
        <w:rPr>
          <w:rFonts w:hint="eastAsia"/>
          <w:color w:val="auto"/>
          <w:szCs w:val="21"/>
          <w:highlight w:val="none"/>
        </w:rPr>
        <w:t>建设地点：</w:t>
      </w:r>
      <w:r>
        <w:rPr>
          <w:rFonts w:hint="eastAsia"/>
          <w:color w:val="auto"/>
          <w:szCs w:val="21"/>
          <w:highlight w:val="none"/>
          <w:u w:val="single"/>
        </w:rPr>
        <w:t>广州市番禺区石碁镇</w:t>
      </w:r>
      <w:r>
        <w:rPr>
          <w:rFonts w:hint="eastAsia"/>
          <w:color w:val="auto"/>
          <w:szCs w:val="21"/>
          <w:highlight w:val="none"/>
        </w:rPr>
        <w:t>。</w:t>
      </w:r>
    </w:p>
    <w:p>
      <w:pPr>
        <w:spacing w:line="336" w:lineRule="auto"/>
        <w:ind w:firstLine="840" w:firstLineChars="400"/>
        <w:rPr>
          <w:rFonts w:ascii="宋体" w:hAnsi="宋体"/>
          <w:color w:val="auto"/>
          <w:szCs w:val="21"/>
          <w:highlight w:val="none"/>
          <w:u w:val="single"/>
        </w:rPr>
      </w:pPr>
      <w:r>
        <w:rPr>
          <w:rFonts w:hint="eastAsia"/>
          <w:color w:val="auto"/>
          <w:szCs w:val="21"/>
          <w:highlight w:val="none"/>
        </w:rPr>
        <w:t>建设规模：</w:t>
      </w:r>
      <w:r>
        <w:rPr>
          <w:rFonts w:ascii="宋体" w:hAnsi="宋体"/>
          <w:color w:val="auto"/>
          <w:szCs w:val="21"/>
          <w:highlight w:val="none"/>
          <w:u w:val="single"/>
        </w:rPr>
        <w:t>项目</w:t>
      </w:r>
      <w:r>
        <w:rPr>
          <w:rFonts w:hint="eastAsia" w:ascii="宋体" w:hAnsi="宋体"/>
          <w:color w:val="auto"/>
          <w:szCs w:val="21"/>
          <w:highlight w:val="none"/>
          <w:u w:val="single"/>
        </w:rPr>
        <w:t>改造提升地块</w:t>
      </w:r>
      <w:r>
        <w:rPr>
          <w:rFonts w:ascii="宋体" w:hAnsi="宋体"/>
          <w:color w:val="auto"/>
          <w:szCs w:val="21"/>
          <w:highlight w:val="none"/>
          <w:u w:val="single"/>
        </w:rPr>
        <w:t>位于石碁镇长坦、雁洲村2014年已建成高标，</w:t>
      </w:r>
      <w:r>
        <w:rPr>
          <w:rFonts w:hint="eastAsia" w:ascii="宋体" w:hAnsi="宋体"/>
          <w:color w:val="auto"/>
          <w:szCs w:val="21"/>
          <w:highlight w:val="none"/>
          <w:u w:val="single"/>
          <w:lang w:val="en-US" w:eastAsia="zh-CN"/>
        </w:rPr>
        <w:t>总改造建</w:t>
      </w:r>
      <w:r>
        <w:rPr>
          <w:rFonts w:hint="eastAsia" w:ascii="宋体" w:hAnsi="宋体"/>
          <w:color w:val="auto"/>
          <w:szCs w:val="21"/>
          <w:highlight w:val="none"/>
          <w:u w:val="single"/>
        </w:rPr>
        <w:t>面积1104亩</w:t>
      </w:r>
      <w:r>
        <w:rPr>
          <w:rFonts w:ascii="宋体" w:hAnsi="宋体"/>
          <w:color w:val="auto"/>
          <w:szCs w:val="21"/>
          <w:highlight w:val="none"/>
          <w:u w:val="single"/>
        </w:rPr>
        <w:t>（包含高效节水灌溉面积315亩），</w:t>
      </w:r>
      <w:r>
        <w:rPr>
          <w:rFonts w:hint="eastAsia" w:ascii="宋体" w:hAnsi="宋体"/>
          <w:color w:val="auto"/>
          <w:szCs w:val="21"/>
          <w:highlight w:val="none"/>
          <w:u w:val="single"/>
        </w:rPr>
        <w:t>补建地块</w:t>
      </w:r>
      <w:r>
        <w:rPr>
          <w:rFonts w:ascii="宋体" w:hAnsi="宋体"/>
          <w:color w:val="auto"/>
          <w:szCs w:val="21"/>
          <w:highlight w:val="none"/>
          <w:u w:val="single"/>
        </w:rPr>
        <w:t>选址位于石碁镇长坦村</w:t>
      </w:r>
      <w:r>
        <w:rPr>
          <w:rFonts w:hint="eastAsia" w:ascii="宋体" w:hAnsi="宋体"/>
          <w:color w:val="auto"/>
          <w:szCs w:val="21"/>
          <w:highlight w:val="none"/>
          <w:u w:val="single"/>
        </w:rPr>
        <w:t>面积6.85亩。</w:t>
      </w:r>
      <w:r>
        <w:rPr>
          <w:rFonts w:ascii="宋体" w:hAnsi="宋体"/>
          <w:color w:val="auto"/>
          <w:szCs w:val="21"/>
          <w:highlight w:val="none"/>
          <w:u w:val="single"/>
        </w:rPr>
        <w:t>主要工程集中在提升改造沟渠、道路等农田设施；完善灌溉系统的计量设备；改良土壤质量；增设无公害杀虫装备等方面</w:t>
      </w:r>
      <w:r>
        <w:rPr>
          <w:rFonts w:hint="eastAsia" w:ascii="宋体" w:hAnsi="宋体"/>
          <w:color w:val="auto"/>
          <w:szCs w:val="21"/>
          <w:highlight w:val="none"/>
          <w:u w:val="single"/>
          <w:lang w:eastAsia="zh-CN"/>
        </w:rPr>
        <w:t>（项目建设内容包括:灌排渠、管道;田间道、生产路、交叉路口、会车道、弯道加宽;节制闸、量水尺、人行桥板</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lang w:eastAsia="zh-CN"/>
        </w:rPr>
        <w:t>宣传栏、警示牌、科技推广措施、农田地力提升工程等），</w:t>
      </w:r>
      <w:r>
        <w:rPr>
          <w:rFonts w:hint="eastAsia" w:ascii="宋体" w:hAnsi="宋体"/>
          <w:color w:val="auto"/>
          <w:szCs w:val="21"/>
          <w:highlight w:val="none"/>
          <w:u w:val="single"/>
          <w:lang w:val="en-US" w:eastAsia="zh-CN"/>
        </w:rPr>
        <w:t>总投资约540.97万元</w:t>
      </w:r>
      <w:r>
        <w:rPr>
          <w:rFonts w:ascii="宋体" w:hAnsi="宋体"/>
          <w:color w:val="auto"/>
          <w:szCs w:val="21"/>
          <w:highlight w:val="none"/>
          <w:u w:val="single"/>
        </w:rPr>
        <w:t>。</w:t>
      </w:r>
      <w:r>
        <w:rPr>
          <w:rFonts w:hint="eastAsia" w:ascii="宋体" w:hAnsi="宋体"/>
          <w:color w:val="auto"/>
          <w:szCs w:val="21"/>
          <w:highlight w:val="none"/>
          <w:u w:val="single"/>
        </w:rPr>
        <w:t>（具体工作内容详见施工设计图纸和工程量清单）。</w:t>
      </w:r>
    </w:p>
    <w:p>
      <w:pPr>
        <w:spacing w:line="336" w:lineRule="auto"/>
        <w:ind w:firstLine="840" w:firstLineChars="400"/>
        <w:rPr>
          <w:color w:val="auto"/>
          <w:szCs w:val="21"/>
          <w:highlight w:val="none"/>
        </w:rPr>
      </w:pPr>
      <w:r>
        <w:rPr>
          <w:rFonts w:hint="eastAsia"/>
          <w:color w:val="auto"/>
          <w:szCs w:val="21"/>
          <w:highlight w:val="none"/>
        </w:rPr>
        <w:t>其他：</w:t>
      </w:r>
      <w:r>
        <w:rPr>
          <w:rFonts w:hint="eastAsia"/>
          <w:color w:val="auto"/>
          <w:szCs w:val="21"/>
          <w:highlight w:val="none"/>
          <w:u w:val="single"/>
        </w:rPr>
        <w:t xml:space="preserve">    /      </w:t>
      </w:r>
      <w:r>
        <w:rPr>
          <w:rFonts w:hint="eastAsia"/>
          <w:color w:val="auto"/>
          <w:szCs w:val="21"/>
          <w:highlight w:val="none"/>
        </w:rPr>
        <w:t>。</w:t>
      </w:r>
    </w:p>
    <w:p>
      <w:pPr>
        <w:spacing w:line="336" w:lineRule="auto"/>
        <w:ind w:firstLine="420" w:firstLineChars="200"/>
        <w:rPr>
          <w:color w:val="auto"/>
          <w:szCs w:val="21"/>
          <w:highlight w:val="none"/>
        </w:rPr>
      </w:pPr>
      <w:bookmarkStart w:id="48" w:name="_Toc109149739"/>
      <w:r>
        <w:rPr>
          <w:color w:val="auto"/>
          <w:szCs w:val="21"/>
          <w:highlight w:val="none"/>
        </w:rPr>
        <w:t>2.</w:t>
      </w:r>
      <w:r>
        <w:rPr>
          <w:rFonts w:hint="eastAsia"/>
          <w:color w:val="auto"/>
          <w:szCs w:val="21"/>
          <w:highlight w:val="none"/>
        </w:rPr>
        <w:t>2 标段划分及各标段招标内容、规模和最高投标限价</w:t>
      </w:r>
      <w:bookmarkEnd w:id="48"/>
    </w:p>
    <w:p>
      <w:pPr>
        <w:spacing w:line="336" w:lineRule="auto"/>
        <w:ind w:firstLine="840" w:firstLineChars="400"/>
        <w:rPr>
          <w:color w:val="auto"/>
          <w:szCs w:val="21"/>
          <w:highlight w:val="none"/>
        </w:rPr>
      </w:pPr>
      <w:r>
        <w:rPr>
          <w:rFonts w:hint="eastAsia"/>
          <w:color w:val="auto"/>
          <w:szCs w:val="21"/>
          <w:highlight w:val="none"/>
        </w:rPr>
        <w:t>招标范围：</w:t>
      </w:r>
      <w:r>
        <w:rPr>
          <w:rFonts w:ascii="宋体" w:hAnsi="宋体"/>
          <w:color w:val="auto"/>
          <w:szCs w:val="21"/>
          <w:highlight w:val="none"/>
          <w:u w:val="single"/>
        </w:rPr>
        <w:t>项目</w:t>
      </w:r>
      <w:r>
        <w:rPr>
          <w:rFonts w:hint="eastAsia" w:ascii="宋体" w:hAnsi="宋体"/>
          <w:color w:val="auto"/>
          <w:szCs w:val="21"/>
          <w:highlight w:val="none"/>
          <w:u w:val="single"/>
        </w:rPr>
        <w:t>改造提升地块</w:t>
      </w:r>
      <w:r>
        <w:rPr>
          <w:rFonts w:ascii="宋体" w:hAnsi="宋体"/>
          <w:color w:val="auto"/>
          <w:szCs w:val="21"/>
          <w:highlight w:val="none"/>
          <w:u w:val="single"/>
        </w:rPr>
        <w:t>位于石碁镇长坦、雁洲村2014年已建成高标，</w:t>
      </w:r>
      <w:r>
        <w:rPr>
          <w:rFonts w:hint="eastAsia" w:ascii="宋体" w:hAnsi="宋体"/>
          <w:color w:val="auto"/>
          <w:szCs w:val="21"/>
          <w:highlight w:val="none"/>
          <w:u w:val="single"/>
        </w:rPr>
        <w:t>面积1104亩</w:t>
      </w:r>
      <w:r>
        <w:rPr>
          <w:rFonts w:ascii="宋体" w:hAnsi="宋体"/>
          <w:color w:val="auto"/>
          <w:szCs w:val="21"/>
          <w:highlight w:val="none"/>
          <w:u w:val="single"/>
        </w:rPr>
        <w:t>（包含高效节水灌溉面积315亩），</w:t>
      </w:r>
      <w:r>
        <w:rPr>
          <w:rFonts w:hint="eastAsia" w:ascii="宋体" w:hAnsi="宋体"/>
          <w:color w:val="auto"/>
          <w:szCs w:val="21"/>
          <w:highlight w:val="none"/>
          <w:u w:val="single"/>
        </w:rPr>
        <w:t>补建地块</w:t>
      </w:r>
      <w:r>
        <w:rPr>
          <w:rFonts w:ascii="宋体" w:hAnsi="宋体"/>
          <w:color w:val="auto"/>
          <w:szCs w:val="21"/>
          <w:highlight w:val="none"/>
          <w:u w:val="single"/>
        </w:rPr>
        <w:t>选址位于石碁镇长坦村</w:t>
      </w:r>
      <w:r>
        <w:rPr>
          <w:rFonts w:hint="eastAsia" w:ascii="宋体" w:hAnsi="宋体"/>
          <w:color w:val="auto"/>
          <w:szCs w:val="21"/>
          <w:highlight w:val="none"/>
          <w:u w:val="single"/>
        </w:rPr>
        <w:t>面积6.85亩。</w:t>
      </w:r>
      <w:r>
        <w:rPr>
          <w:rFonts w:ascii="宋体" w:hAnsi="宋体"/>
          <w:color w:val="auto"/>
          <w:szCs w:val="21"/>
          <w:highlight w:val="none"/>
          <w:u w:val="single"/>
        </w:rPr>
        <w:t>主要工程集中在提升改造沟渠、道路等农田设施；完善灌溉系统的计量设备；改良土壤质量；增设无公害杀虫装备等方面</w:t>
      </w:r>
      <w:r>
        <w:rPr>
          <w:rFonts w:hint="eastAsia" w:ascii="宋体" w:hAnsi="宋体"/>
          <w:color w:val="auto"/>
          <w:szCs w:val="21"/>
          <w:highlight w:val="none"/>
          <w:u w:val="single"/>
          <w:lang w:eastAsia="zh-CN"/>
        </w:rPr>
        <w:t>（项目建设内容包括:灌排渠、管道;田间道、生产路、交叉路口、会车道、弯道加宽;节制闸、量水尺、人行桥板</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lang w:eastAsia="zh-CN"/>
        </w:rPr>
        <w:t>宣传栏、警示牌、科技推广措施、农田地力提升工程等）</w:t>
      </w:r>
      <w:r>
        <w:rPr>
          <w:rFonts w:ascii="宋体" w:hAnsi="宋体"/>
          <w:color w:val="auto"/>
          <w:szCs w:val="21"/>
          <w:highlight w:val="none"/>
          <w:u w:val="single"/>
        </w:rPr>
        <w:t>。</w:t>
      </w:r>
      <w:r>
        <w:rPr>
          <w:rFonts w:hint="eastAsia" w:ascii="宋体" w:hAnsi="宋体"/>
          <w:color w:val="auto"/>
          <w:szCs w:val="21"/>
          <w:highlight w:val="none"/>
          <w:u w:val="single"/>
        </w:rPr>
        <w:t>（具体工作内容详见施工设计图纸和工程量清单）</w:t>
      </w:r>
      <w:r>
        <w:rPr>
          <w:rFonts w:hint="eastAsia"/>
          <w:color w:val="auto"/>
          <w:szCs w:val="21"/>
          <w:highlight w:val="none"/>
        </w:rPr>
        <w:t>。</w:t>
      </w:r>
    </w:p>
    <w:p>
      <w:pPr>
        <w:spacing w:line="336" w:lineRule="auto"/>
        <w:ind w:firstLine="840" w:firstLineChars="400"/>
        <w:rPr>
          <w:color w:val="auto"/>
          <w:szCs w:val="21"/>
          <w:highlight w:val="none"/>
        </w:rPr>
      </w:pPr>
      <w:r>
        <w:rPr>
          <w:rFonts w:hint="eastAsia"/>
          <w:color w:val="auto"/>
          <w:szCs w:val="21"/>
          <w:highlight w:val="none"/>
        </w:rPr>
        <w:t>招标内容：</w:t>
      </w:r>
      <w:r>
        <w:rPr>
          <w:rFonts w:hint="eastAsia" w:ascii="宋体" w:hAnsi="宋体"/>
          <w:color w:val="auto"/>
          <w:sz w:val="21"/>
          <w:szCs w:val="21"/>
          <w:highlight w:val="none"/>
          <w:u w:val="single"/>
        </w:rPr>
        <w:t>按发包人提供的招标文件、工程量清单、招标答疑文件、全套施工图纸、设计说明及补充说明，承包2024年度广州市番禺区石碁镇高标准农田改造提升建设项目（示范）（国债）。（具体工作内容详见施工设计图纸和工程量清单）。</w:t>
      </w:r>
    </w:p>
    <w:p>
      <w:pPr>
        <w:spacing w:line="336" w:lineRule="auto"/>
        <w:ind w:firstLine="840" w:firstLineChars="400"/>
        <w:rPr>
          <w:color w:val="auto"/>
          <w:szCs w:val="21"/>
          <w:highlight w:val="none"/>
        </w:rPr>
      </w:pPr>
      <w:r>
        <w:rPr>
          <w:rFonts w:hint="eastAsia"/>
          <w:color w:val="auto"/>
          <w:szCs w:val="21"/>
          <w:highlight w:val="none"/>
        </w:rPr>
        <w:t>标段划分：</w:t>
      </w:r>
      <w:r>
        <w:rPr>
          <w:rFonts w:hint="eastAsia" w:ascii="宋体" w:hAnsi="宋体"/>
          <w:color w:val="auto"/>
          <w:sz w:val="21"/>
          <w:szCs w:val="21"/>
          <w:highlight w:val="none"/>
          <w:u w:val="single"/>
        </w:rPr>
        <w:t>1个标段。</w:t>
      </w:r>
    </w:p>
    <w:p>
      <w:pPr>
        <w:spacing w:line="336" w:lineRule="auto"/>
        <w:ind w:firstLine="840" w:firstLineChars="400"/>
        <w:rPr>
          <w:color w:val="auto"/>
          <w:szCs w:val="21"/>
          <w:highlight w:val="none"/>
          <w:u w:val="single"/>
        </w:rPr>
      </w:pPr>
      <w:r>
        <w:rPr>
          <w:rFonts w:hint="eastAsia"/>
          <w:color w:val="auto"/>
          <w:szCs w:val="21"/>
          <w:highlight w:val="none"/>
        </w:rPr>
        <w:t>（注：两个或两个以上标段的，应明确允许兼中或不兼中时，明确对项目负责人的数量要求。对于包含两个或两个以上专业的招标项目，应分别明确各专业对应的招标内容、规模和最高投标限价的专业组成费用。）</w:t>
      </w:r>
    </w:p>
    <w:p>
      <w:pPr>
        <w:spacing w:line="336" w:lineRule="auto"/>
        <w:ind w:left="420" w:leftChars="200" w:firstLine="420" w:firstLineChars="200"/>
        <w:rPr>
          <w:color w:val="auto"/>
          <w:szCs w:val="21"/>
          <w:highlight w:val="none"/>
        </w:rPr>
      </w:pPr>
      <w:r>
        <w:rPr>
          <w:rFonts w:hint="eastAsia"/>
          <w:color w:val="auto"/>
          <w:szCs w:val="21"/>
          <w:highlight w:val="none"/>
        </w:rPr>
        <w:t>计划</w:t>
      </w:r>
      <w:r>
        <w:rPr>
          <w:rFonts w:hint="eastAsia"/>
          <w:color w:val="auto"/>
          <w:highlight w:val="none"/>
        </w:rPr>
        <w:t>工期</w:t>
      </w:r>
      <w:r>
        <w:rPr>
          <w:rFonts w:hint="eastAsia"/>
          <w:color w:val="auto"/>
          <w:szCs w:val="21"/>
          <w:highlight w:val="none"/>
        </w:rPr>
        <w:t>：</w:t>
      </w:r>
      <w:r>
        <w:rPr>
          <w:rFonts w:hint="eastAsia"/>
          <w:color w:val="auto"/>
          <w:szCs w:val="21"/>
          <w:highlight w:val="none"/>
          <w:u w:val="single"/>
        </w:rPr>
        <w:t xml:space="preserve"> 90 </w:t>
      </w:r>
      <w:r>
        <w:rPr>
          <w:rFonts w:hint="eastAsia"/>
          <w:color w:val="auto"/>
          <w:szCs w:val="21"/>
          <w:highlight w:val="none"/>
        </w:rPr>
        <w:t>日历天。</w:t>
      </w:r>
    </w:p>
    <w:p>
      <w:pPr>
        <w:spacing w:line="336" w:lineRule="auto"/>
        <w:ind w:firstLine="840" w:firstLineChars="400"/>
        <w:rPr>
          <w:color w:val="auto"/>
          <w:szCs w:val="21"/>
          <w:highlight w:val="none"/>
        </w:rPr>
      </w:pPr>
      <w:r>
        <w:rPr>
          <w:rFonts w:hint="eastAsia"/>
          <w:color w:val="auto"/>
          <w:szCs w:val="21"/>
          <w:highlight w:val="none"/>
        </w:rPr>
        <w:t>最高投标限价：</w:t>
      </w:r>
      <w:r>
        <w:rPr>
          <w:rFonts w:hint="eastAsia"/>
          <w:color w:val="auto"/>
          <w:szCs w:val="21"/>
          <w:highlight w:val="none"/>
          <w:u w:val="single"/>
        </w:rPr>
        <w:t>427.81376</w:t>
      </w:r>
      <w:r>
        <w:rPr>
          <w:rFonts w:hint="eastAsia"/>
          <w:color w:val="auto"/>
          <w:szCs w:val="21"/>
          <w:highlight w:val="none"/>
        </w:rPr>
        <w:t>万元。</w:t>
      </w:r>
    </w:p>
    <w:p>
      <w:pPr>
        <w:spacing w:line="336" w:lineRule="auto"/>
        <w:ind w:firstLine="840" w:firstLineChars="400"/>
        <w:rPr>
          <w:color w:val="auto"/>
          <w:szCs w:val="21"/>
          <w:highlight w:val="none"/>
        </w:rPr>
      </w:pPr>
      <w:r>
        <w:rPr>
          <w:rFonts w:hint="eastAsia"/>
          <w:color w:val="auto"/>
          <w:szCs w:val="21"/>
          <w:highlight w:val="none"/>
        </w:rPr>
        <w:t>承包方式</w:t>
      </w:r>
      <w:r>
        <w:rPr>
          <w:rStyle w:val="34"/>
          <w:rFonts w:hint="eastAsia"/>
          <w:color w:val="auto"/>
          <w:szCs w:val="21"/>
          <w:highlight w:val="none"/>
        </w:rPr>
        <w:footnoteReference w:id="0"/>
      </w:r>
      <w:r>
        <w:rPr>
          <w:rFonts w:hint="eastAsia"/>
          <w:color w:val="auto"/>
          <w:szCs w:val="21"/>
          <w:highlight w:val="none"/>
        </w:rPr>
        <w:t>：</w:t>
      </w:r>
      <w:r>
        <w:rPr>
          <w:rFonts w:hint="eastAsia"/>
          <w:color w:val="auto"/>
          <w:szCs w:val="21"/>
          <w:highlight w:val="none"/>
          <w:u w:val="single"/>
        </w:rPr>
        <w:t>按招标图纸总价包干。</w:t>
      </w:r>
    </w:p>
    <w:p>
      <w:pPr>
        <w:spacing w:line="336" w:lineRule="auto"/>
        <w:ind w:firstLine="420" w:firstLineChars="200"/>
        <w:rPr>
          <w:color w:val="auto"/>
          <w:szCs w:val="21"/>
          <w:highlight w:val="none"/>
        </w:rPr>
      </w:pPr>
      <w:r>
        <w:rPr>
          <w:color w:val="auto"/>
          <w:szCs w:val="21"/>
          <w:highlight w:val="none"/>
        </w:rPr>
        <w:t>2.</w:t>
      </w:r>
      <w:r>
        <w:rPr>
          <w:rFonts w:hint="eastAsia"/>
          <w:color w:val="auto"/>
          <w:szCs w:val="21"/>
          <w:highlight w:val="none"/>
        </w:rPr>
        <w:t>3 其他：</w:t>
      </w:r>
      <w:r>
        <w:rPr>
          <w:rFonts w:hint="eastAsia"/>
          <w:color w:val="auto"/>
          <w:szCs w:val="21"/>
          <w:highlight w:val="none"/>
          <w:u w:val="single"/>
        </w:rPr>
        <w:t xml:space="preserve">     /    </w:t>
      </w:r>
      <w:r>
        <w:rPr>
          <w:rFonts w:hint="eastAsia"/>
          <w:color w:val="auto"/>
          <w:szCs w:val="21"/>
          <w:highlight w:val="none"/>
        </w:rPr>
        <w:t>。</w:t>
      </w:r>
    </w:p>
    <w:p>
      <w:pPr>
        <w:pStyle w:val="23"/>
        <w:keepNext w:val="0"/>
        <w:keepLines w:val="0"/>
        <w:spacing w:line="336" w:lineRule="auto"/>
        <w:outlineLvl w:val="2"/>
        <w:rPr>
          <w:color w:val="auto"/>
          <w:highlight w:val="none"/>
        </w:rPr>
      </w:pPr>
      <w:bookmarkStart w:id="49" w:name="_Toc222032634"/>
      <w:bookmarkStart w:id="50" w:name="_Toc15703"/>
      <w:bookmarkStart w:id="51" w:name="_Toc644469185"/>
      <w:bookmarkStart w:id="52" w:name="_Toc222029465"/>
      <w:bookmarkStart w:id="53" w:name="_Toc222033816"/>
      <w:bookmarkStart w:id="54" w:name="_Toc283061529"/>
      <w:bookmarkStart w:id="55" w:name="_Toc168476031"/>
      <w:bookmarkStart w:id="56" w:name="_Toc221949926"/>
      <w:bookmarkStart w:id="57" w:name="_Toc144974482"/>
      <w:bookmarkStart w:id="58" w:name="_Toc30667"/>
      <w:bookmarkStart w:id="59" w:name="_Toc6582"/>
      <w:bookmarkStart w:id="60" w:name="_Toc387753534"/>
      <w:bookmarkStart w:id="61" w:name="_Toc22773"/>
      <w:bookmarkStart w:id="62" w:name="_Toc22069"/>
      <w:bookmarkStart w:id="63" w:name="_Toc229305325"/>
      <w:bookmarkStart w:id="64" w:name="_Toc168475628"/>
      <w:bookmarkStart w:id="65" w:name="_Toc8497"/>
      <w:bookmarkStart w:id="66" w:name="_Toc222030967"/>
      <w:r>
        <w:rPr>
          <w:rFonts w:hint="eastAsia"/>
          <w:color w:val="auto"/>
          <w:highlight w:val="none"/>
        </w:rPr>
        <w:t>3. 投标人资格要求</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spacing w:line="336" w:lineRule="auto"/>
        <w:ind w:firstLine="420"/>
        <w:rPr>
          <w:rFonts w:ascii="宋体" w:hAnsi="宋体" w:cs="宋体"/>
          <w:color w:val="auto"/>
          <w:highlight w:val="none"/>
        </w:rPr>
      </w:pPr>
      <w:bookmarkStart w:id="67" w:name="_Toc221949927"/>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投标人参加投标的意思表达清楚，投标人代表被授权有效。</w:t>
      </w:r>
    </w:p>
    <w:p>
      <w:pPr>
        <w:spacing w:line="336" w:lineRule="auto"/>
        <w:ind w:firstLine="420"/>
        <w:rPr>
          <w:rFonts w:ascii="宋体" w:hAnsi="宋体" w:cs="宋体"/>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投标人均具有独立法人资格，按国家法律经营。</w:t>
      </w:r>
    </w:p>
    <w:p>
      <w:pPr>
        <w:spacing w:line="336" w:lineRule="auto"/>
        <w:ind w:firstLine="420"/>
        <w:rPr>
          <w:rFonts w:ascii="宋体" w:hAnsi="宋体" w:cs="宋体"/>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投标人均持有相关主管部门颁发有效期内的企业资质证书及安全生产许可证。</w:t>
      </w:r>
    </w:p>
    <w:p>
      <w:pPr>
        <w:spacing w:line="336" w:lineRule="auto"/>
        <w:ind w:firstLine="420"/>
        <w:rPr>
          <w:rFonts w:ascii="宋体" w:hAnsi="宋体" w:cs="宋体"/>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本次招标要求投标人须具备以下资质：</w:t>
      </w:r>
    </w:p>
    <w:p>
      <w:pPr>
        <w:spacing w:line="336" w:lineRule="auto"/>
        <w:ind w:firstLine="420"/>
        <w:rPr>
          <w:rFonts w:hint="eastAsia" w:ascii="宋体" w:hAnsi="宋体" w:cs="宋体"/>
          <w:color w:val="auto"/>
          <w:highlight w:val="none"/>
        </w:rPr>
      </w:pPr>
      <w:r>
        <w:rPr>
          <w:rFonts w:hint="eastAsia" w:ascii="宋体" w:hAnsi="宋体" w:cs="宋体"/>
          <w:strike w:val="0"/>
          <w:color w:val="auto"/>
          <w:highlight w:val="none"/>
        </w:rPr>
        <w:t>（注：施工总承包招标选择此项）</w:t>
      </w:r>
      <w:r>
        <w:rPr>
          <w:rFonts w:hint="eastAsia" w:ascii="宋体" w:hAnsi="宋体" w:cs="宋体"/>
          <w:color w:val="auto"/>
          <w:highlight w:val="none"/>
        </w:rPr>
        <w:t>投标人具有承接本工程所需的</w:t>
      </w:r>
      <w:r>
        <w:rPr>
          <w:rFonts w:hint="eastAsia" w:ascii="宋体" w:hAnsi="宋体" w:cs="宋体"/>
          <w:color w:val="auto"/>
          <w:highlight w:val="none"/>
          <w:u w:val="single"/>
        </w:rPr>
        <w:t>水利</w:t>
      </w:r>
      <w:r>
        <w:rPr>
          <w:rFonts w:hint="eastAsia" w:ascii="宋体" w:hAnsi="宋体" w:cs="宋体"/>
          <w:color w:val="auto"/>
          <w:highlight w:val="none"/>
          <w:u w:val="single"/>
          <w:lang w:val="en-US" w:eastAsia="zh-CN"/>
        </w:rPr>
        <w:t>水电</w:t>
      </w:r>
      <w:r>
        <w:rPr>
          <w:rFonts w:hint="eastAsia" w:ascii="宋体" w:hAnsi="宋体" w:cs="宋体"/>
          <w:color w:val="auto"/>
          <w:highlight w:val="none"/>
          <w:u w:val="single"/>
        </w:rPr>
        <w:t>工程施工总承包三级</w:t>
      </w:r>
      <w:r>
        <w:rPr>
          <w:rFonts w:hint="eastAsia" w:ascii="宋体" w:hAnsi="宋体" w:cs="宋体"/>
          <w:color w:val="auto"/>
          <w:highlight w:val="none"/>
        </w:rPr>
        <w:t>或以上级别施工总承包资质；（注：应选择符合招标内容的一种施工总承包资质；联合体的，以资质等级低的一方为等级标准）。</w:t>
      </w:r>
    </w:p>
    <w:p>
      <w:pPr>
        <w:pStyle w:val="50"/>
        <w:spacing w:line="240" w:lineRule="auto"/>
        <w:ind w:firstLine="422" w:firstLineChars="200"/>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lang w:val="en-US" w:eastAsia="zh-CN" w:bidi="ar-SA"/>
        </w:rPr>
        <w:t>注：</w:t>
      </w:r>
      <w:r>
        <w:rPr>
          <w:rFonts w:hint="eastAsia" w:ascii="宋体" w:hAnsi="宋体" w:eastAsia="宋体" w:cs="宋体"/>
          <w:b/>
          <w:bCs w:val="0"/>
          <w:color w:val="auto"/>
          <w:kern w:val="0"/>
          <w:sz w:val="21"/>
          <w:szCs w:val="21"/>
          <w:highlight w:val="none"/>
          <w:u w:val="single"/>
        </w:rPr>
        <w:t>①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住房城乡建设部办公厅关于做好有关建设工程企业资质证书换领和延续工作的通知》（建办市〔2023〕47号）、《广东省住房和城乡建设厅关于建设工程企业资质有关事宜的通知》（粤建许函〔2022〕846号）的要求设置。</w:t>
      </w:r>
    </w:p>
    <w:p>
      <w:pPr>
        <w:pStyle w:val="50"/>
        <w:spacing w:line="240" w:lineRule="auto"/>
        <w:ind w:firstLine="422" w:firstLineChars="200"/>
        <w:rPr>
          <w:rFonts w:hint="eastAsia" w:ascii="宋体" w:hAnsi="宋体" w:eastAsia="宋体" w:cs="宋体"/>
          <w:b/>
          <w:bCs w:val="0"/>
          <w:color w:val="auto"/>
          <w:kern w:val="0"/>
          <w:sz w:val="21"/>
          <w:szCs w:val="21"/>
          <w:highlight w:val="none"/>
          <w:u w:val="single"/>
          <w:lang w:val="en-US" w:eastAsia="zh-CN" w:bidi="ar-SA"/>
        </w:rPr>
      </w:pPr>
      <w:r>
        <w:rPr>
          <w:rFonts w:hint="eastAsia" w:ascii="宋体" w:hAnsi="宋体" w:eastAsia="宋体" w:cs="宋体"/>
          <w:b/>
          <w:bCs w:val="0"/>
          <w:color w:val="auto"/>
          <w:kern w:val="0"/>
          <w:sz w:val="21"/>
          <w:szCs w:val="21"/>
          <w:highlight w:val="none"/>
          <w:u w:val="single"/>
          <w:lang w:val="en-US" w:eastAsia="zh-CN" w:bidi="ar-SA"/>
        </w:rPr>
        <w:t>相关注意事项如下：</w:t>
      </w:r>
    </w:p>
    <w:p>
      <w:pPr>
        <w:pStyle w:val="50"/>
        <w:spacing w:line="240" w:lineRule="auto"/>
        <w:ind w:firstLine="422" w:firstLineChars="200"/>
        <w:rPr>
          <w:rFonts w:hint="eastAsia" w:ascii="宋体" w:hAnsi="宋体" w:eastAsia="宋体" w:cs="宋体"/>
          <w:b/>
          <w:bCs w:val="0"/>
          <w:color w:val="auto"/>
          <w:kern w:val="0"/>
          <w:sz w:val="21"/>
          <w:szCs w:val="21"/>
          <w:highlight w:val="none"/>
          <w:u w:val="single"/>
          <w:lang w:val="en-US" w:eastAsia="zh-CN" w:bidi="ar-SA"/>
        </w:rPr>
      </w:pPr>
      <w:r>
        <w:rPr>
          <w:rFonts w:hint="eastAsia" w:ascii="宋体" w:hAnsi="宋体" w:eastAsia="宋体" w:cs="宋体"/>
          <w:b/>
          <w:bCs w:val="0"/>
          <w:color w:val="auto"/>
          <w:kern w:val="0"/>
          <w:sz w:val="21"/>
          <w:szCs w:val="21"/>
          <w:highlight w:val="none"/>
          <w:u w:val="single"/>
          <w:lang w:val="en-US" w:eastAsia="zh-CN" w:bidi="ar-SA"/>
        </w:rPr>
        <w:t>（一）投标人按照上述规定办理了资质延期或换领新证，在投标截止前已取得新证的，投标人须在投标文件中提供经核准延期后的新资质证书。</w:t>
      </w:r>
    </w:p>
    <w:p>
      <w:pPr>
        <w:pStyle w:val="50"/>
        <w:spacing w:line="240" w:lineRule="auto"/>
        <w:ind w:left="0" w:leftChars="0" w:firstLine="422" w:firstLineChars="200"/>
        <w:rPr>
          <w:rFonts w:hint="eastAsia" w:ascii="宋体" w:hAnsi="宋体" w:eastAsia="宋体" w:cs="宋体"/>
          <w:b/>
          <w:bCs w:val="0"/>
          <w:color w:val="auto"/>
          <w:kern w:val="0"/>
          <w:sz w:val="21"/>
          <w:szCs w:val="21"/>
          <w:highlight w:val="none"/>
          <w:u w:val="single"/>
          <w:lang w:val="en-US" w:eastAsia="zh-CN" w:bidi="ar-SA"/>
        </w:rPr>
      </w:pPr>
      <w:r>
        <w:rPr>
          <w:rFonts w:hint="eastAsia" w:ascii="宋体" w:hAnsi="宋体" w:eastAsia="宋体" w:cs="宋体"/>
          <w:b/>
          <w:bCs w:val="0"/>
          <w:color w:val="auto"/>
          <w:kern w:val="0"/>
          <w:sz w:val="21"/>
          <w:szCs w:val="21"/>
          <w:highlight w:val="none"/>
          <w:u w:val="single"/>
          <w:lang w:val="en-US" w:eastAsia="zh-CN" w:bidi="ar-SA"/>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pPr>
        <w:pStyle w:val="50"/>
        <w:spacing w:line="240" w:lineRule="auto"/>
        <w:ind w:left="0" w:leftChars="0" w:firstLine="422" w:firstLineChars="200"/>
        <w:rPr>
          <w:rFonts w:hint="eastAsia" w:ascii="宋体" w:hAnsi="宋体" w:eastAsia="宋体" w:cs="宋体"/>
          <w:b/>
          <w:bCs w:val="0"/>
          <w:color w:val="auto"/>
          <w:kern w:val="0"/>
          <w:sz w:val="21"/>
          <w:szCs w:val="21"/>
          <w:highlight w:val="none"/>
          <w:u w:val="single"/>
          <w:lang w:val="en-US" w:eastAsia="zh-CN" w:bidi="ar-SA"/>
        </w:rPr>
      </w:pPr>
      <w:r>
        <w:rPr>
          <w:rFonts w:hint="eastAsia" w:ascii="宋体" w:hAnsi="宋体" w:eastAsia="宋体" w:cs="宋体"/>
          <w:b/>
          <w:bCs w:val="0"/>
          <w:color w:val="auto"/>
          <w:kern w:val="0"/>
          <w:sz w:val="21"/>
          <w:szCs w:val="21"/>
          <w:highlight w:val="none"/>
          <w:u w:val="single"/>
          <w:lang w:val="en-US" w:eastAsia="zh-CN" w:bidi="ar-SA"/>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pPr>
        <w:pStyle w:val="2"/>
        <w:ind w:left="0" w:leftChars="0" w:firstLine="422" w:firstLineChars="200"/>
        <w:rPr>
          <w:color w:val="auto"/>
          <w:highlight w:val="none"/>
        </w:rPr>
      </w:pPr>
      <w:r>
        <w:rPr>
          <w:rFonts w:hint="eastAsia" w:ascii="宋体" w:hAnsi="宋体" w:eastAsia="宋体" w:cs="宋体"/>
          <w:b/>
          <w:bCs w:val="0"/>
          <w:color w:val="auto"/>
          <w:kern w:val="0"/>
          <w:sz w:val="21"/>
          <w:szCs w:val="21"/>
          <w:highlight w:val="none"/>
          <w:u w:val="single"/>
          <w:lang w:val="en-US" w:eastAsia="zh-CN" w:bidi="ar-SA"/>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pPr>
        <w:spacing w:line="336" w:lineRule="auto"/>
        <w:ind w:firstLine="420"/>
        <w:rPr>
          <w:rFonts w:ascii="宋体" w:hAnsi="宋体" w:cs="宋体"/>
          <w:strike/>
          <w:color w:val="auto"/>
          <w:highlight w:val="none"/>
        </w:rPr>
      </w:pPr>
      <w:r>
        <w:rPr>
          <w:rFonts w:hint="eastAsia" w:ascii="宋体" w:hAnsi="宋体" w:cs="宋体"/>
          <w:strike/>
          <w:color w:val="auto"/>
          <w:highlight w:val="none"/>
        </w:rPr>
        <w:t>（注：专业承包招标选择此项，专业应与农田建设内容相关）投标人具有承接本工程所需的</w:t>
      </w:r>
      <w:r>
        <w:rPr>
          <w:rFonts w:hint="eastAsia" w:ascii="宋体" w:hAnsi="宋体" w:cs="宋体"/>
          <w:strike w:val="0"/>
          <w:color w:val="auto"/>
          <w:highlight w:val="none"/>
        </w:rPr>
        <w:t xml:space="preserve"> </w:t>
      </w:r>
      <w:r>
        <w:rPr>
          <w:rFonts w:hint="eastAsia" w:ascii="宋体" w:hAnsi="宋体" w:cs="宋体"/>
          <w:strike w:val="0"/>
          <w:color w:val="auto"/>
          <w:highlight w:val="none"/>
          <w:u w:val="single"/>
        </w:rPr>
        <w:t xml:space="preserve">           </w:t>
      </w:r>
      <w:r>
        <w:rPr>
          <w:rFonts w:hint="eastAsia" w:ascii="宋体" w:hAnsi="宋体" w:cs="宋体"/>
          <w:strike/>
          <w:color w:val="auto"/>
          <w:highlight w:val="none"/>
        </w:rPr>
        <w:t>级或以上级别专业承包资质。</w:t>
      </w:r>
    </w:p>
    <w:p>
      <w:pPr>
        <w:spacing w:line="336" w:lineRule="auto"/>
        <w:ind w:firstLine="420"/>
        <w:rPr>
          <w:rFonts w:ascii="宋体" w:hAnsi="宋体" w:cs="宋体"/>
          <w:color w:val="auto"/>
          <w:highlight w:val="none"/>
          <w:u w:val="singl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5</w:t>
      </w:r>
      <w:r>
        <w:rPr>
          <w:rFonts w:hint="eastAsia" w:ascii="宋体" w:hAnsi="宋体" w:cs="宋体"/>
          <w:color w:val="auto"/>
          <w:highlight w:val="none"/>
        </w:rPr>
        <w:t>投标人拟担任本项目负责人的人员为：</w:t>
      </w:r>
      <w:r>
        <w:rPr>
          <w:rFonts w:hint="eastAsia" w:ascii="宋体" w:hAnsi="宋体"/>
          <w:bCs/>
          <w:color w:val="auto"/>
          <w:sz w:val="21"/>
          <w:szCs w:val="21"/>
          <w:highlight w:val="none"/>
          <w:u w:val="single"/>
        </w:rPr>
        <w:t>水利水电工程</w:t>
      </w:r>
      <w:r>
        <w:rPr>
          <w:rFonts w:hint="eastAsia" w:ascii="宋体" w:hAnsi="宋体" w:cs="宋体"/>
          <w:color w:val="auto"/>
          <w:sz w:val="21"/>
          <w:szCs w:val="21"/>
          <w:highlight w:val="none"/>
        </w:rPr>
        <w:t>专业</w:t>
      </w:r>
      <w:r>
        <w:rPr>
          <w:rFonts w:hint="eastAsia" w:ascii="宋体" w:hAnsi="宋体"/>
          <w:bCs/>
          <w:color w:val="auto"/>
          <w:sz w:val="21"/>
          <w:szCs w:val="21"/>
          <w:highlight w:val="none"/>
          <w:u w:val="single"/>
        </w:rPr>
        <w:t>贰级</w:t>
      </w:r>
      <w:r>
        <w:rPr>
          <w:rFonts w:hint="eastAsia" w:ascii="宋体" w:hAnsi="宋体" w:cs="宋体"/>
          <w:color w:val="auto"/>
          <w:highlight w:val="none"/>
        </w:rPr>
        <w:t>或以上级别的注册建造师；同时具备有效的</w:t>
      </w:r>
      <w:r>
        <w:rPr>
          <w:rFonts w:hint="eastAsia" w:ascii="宋体" w:hAnsi="宋体" w:eastAsia="宋体" w:cs="宋体"/>
          <w:color w:val="auto"/>
          <w:highlight w:val="none"/>
          <w:u w:val="single"/>
        </w:rPr>
        <w:t>水行政主管部门颁发的安全生产考核合格证（</w:t>
      </w:r>
      <w:r>
        <w:rPr>
          <w:rFonts w:hint="eastAsia" w:cs="宋体"/>
          <w:color w:val="auto"/>
          <w:highlight w:val="none"/>
          <w:u w:val="single"/>
        </w:rPr>
        <w:t>B</w:t>
      </w:r>
      <w:r>
        <w:rPr>
          <w:rFonts w:hint="eastAsia" w:ascii="宋体" w:hAnsi="宋体" w:cs="宋体"/>
          <w:color w:val="auto"/>
          <w:highlight w:val="none"/>
          <w:u w:val="single"/>
        </w:rPr>
        <w:t>类）证书，且未在其他在建工程项目中担任项目负责人。</w:t>
      </w:r>
    </w:p>
    <w:p>
      <w:pPr>
        <w:spacing w:line="336" w:lineRule="auto"/>
        <w:ind w:firstLine="420"/>
        <w:rPr>
          <w:rFonts w:ascii="宋体" w:hAnsi="宋体" w:cs="宋体"/>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6</w:t>
      </w:r>
      <w:r>
        <w:rPr>
          <w:rFonts w:hint="eastAsia" w:ascii="宋体" w:hAnsi="宋体" w:cs="宋体"/>
          <w:color w:val="auto"/>
          <w:highlight w:val="none"/>
        </w:rPr>
        <w:t>专职安全员须具</w:t>
      </w:r>
      <w:r>
        <w:rPr>
          <w:rFonts w:hint="eastAsia" w:ascii="宋体" w:hAnsi="宋体" w:eastAsia="宋体" w:cs="宋体"/>
          <w:color w:val="auto"/>
          <w:highlight w:val="none"/>
        </w:rPr>
        <w:t>有水行政主管部门颁发的安全生产考核合格证（C类）证书</w:t>
      </w:r>
      <w:r>
        <w:rPr>
          <w:rFonts w:hint="eastAsia" w:ascii="宋体" w:hAnsi="宋体" w:cs="宋体"/>
          <w:color w:val="auto"/>
          <w:highlight w:val="none"/>
        </w:rPr>
        <w:t>。</w:t>
      </w:r>
    </w:p>
    <w:p>
      <w:pPr>
        <w:spacing w:line="336" w:lineRule="auto"/>
        <w:ind w:firstLine="420"/>
        <w:rPr>
          <w:rFonts w:ascii="宋体" w:hAnsi="宋体" w:cs="宋体"/>
          <w:color w:val="auto"/>
          <w:highlight w:val="none"/>
        </w:rPr>
      </w:pPr>
      <w:r>
        <w:rPr>
          <w:rFonts w:hint="eastAsia" w:ascii="宋体" w:hAnsi="宋体" w:cs="宋体"/>
          <w:color w:val="auto"/>
          <w:highlight w:val="none"/>
        </w:rPr>
        <w:t>注：项目负责人在任职期间不得担任专职安全员，项目专职安全员在任职期间也不得担任项目负责人，项目负责人和专职安全员不为同一人。</w:t>
      </w:r>
    </w:p>
    <w:p>
      <w:pPr>
        <w:spacing w:line="336" w:lineRule="auto"/>
        <w:ind w:firstLine="420" w:firstLineChars="200"/>
        <w:rPr>
          <w:rFonts w:ascii="宋体" w:hAnsi="宋体" w:cs="宋体"/>
          <w:strike/>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7</w:t>
      </w:r>
      <w:r>
        <w:rPr>
          <w:rFonts w:hint="eastAsia" w:ascii="宋体" w:hAnsi="宋体" w:cs="宋体"/>
          <w:color w:val="auto"/>
          <w:szCs w:val="21"/>
          <w:highlight w:val="none"/>
        </w:rPr>
        <w:t>本次招标</w:t>
      </w:r>
      <w:r>
        <w:rPr>
          <w:rFonts w:hint="eastAsia" w:ascii="宋体" w:hAnsi="宋体" w:cs="宋体"/>
          <w:color w:val="auto"/>
          <w:szCs w:val="21"/>
          <w:highlight w:val="none"/>
          <w:u w:val="single"/>
        </w:rPr>
        <w:t xml:space="preserve"> 不接受 </w:t>
      </w:r>
      <w:r>
        <w:rPr>
          <w:rFonts w:hint="eastAsia" w:ascii="宋体" w:hAnsi="宋体" w:cs="宋体"/>
          <w:color w:val="auto"/>
          <w:szCs w:val="21"/>
          <w:highlight w:val="none"/>
        </w:rPr>
        <w:t>联合体投标。</w:t>
      </w:r>
      <w:r>
        <w:rPr>
          <w:rFonts w:hint="eastAsia" w:ascii="宋体" w:hAnsi="宋体" w:cs="宋体"/>
          <w:strike/>
          <w:color w:val="auto"/>
          <w:szCs w:val="21"/>
          <w:highlight w:val="none"/>
        </w:rPr>
        <w:t xml:space="preserve"> 联合体投标的，应满足</w:t>
      </w:r>
      <w:r>
        <w:rPr>
          <w:rFonts w:hint="eastAsia" w:ascii="宋体" w:hAnsi="宋体" w:cs="宋体"/>
          <w:strike/>
          <w:color w:val="auto"/>
          <w:highlight w:val="none"/>
        </w:rPr>
        <w:t>下列要求：（采用单一资质的，招标人应明确是否允许联合体，涉及多资质的招标人应允许联合体投标；但法律规定应同时具备的除外）</w:t>
      </w:r>
    </w:p>
    <w:p>
      <w:pPr>
        <w:spacing w:line="336" w:lineRule="auto"/>
        <w:ind w:firstLine="420" w:firstLineChars="200"/>
        <w:rPr>
          <w:rFonts w:ascii="宋体" w:hAnsi="宋体" w:cs="宋体"/>
          <w:strike/>
          <w:color w:val="auto"/>
          <w:highlight w:val="none"/>
        </w:rPr>
      </w:pPr>
      <w:r>
        <w:rPr>
          <w:rFonts w:hint="eastAsia" w:ascii="宋体" w:hAnsi="宋体" w:cs="宋体"/>
          <w:strike/>
          <w:color w:val="auto"/>
          <w:highlight w:val="none"/>
        </w:rPr>
        <w:t>如投标人组成联合体，应明确牵头人（主办方），并签定联合体工作协议。投标人拟任本项目负责人应为牵头人正式员工。联合体工作协议应明确约定各方拟承担的工作和责任。</w:t>
      </w:r>
    </w:p>
    <w:p>
      <w:pPr>
        <w:spacing w:line="336" w:lineRule="auto"/>
        <w:ind w:firstLine="420" w:firstLineChars="200"/>
        <w:rPr>
          <w:rFonts w:ascii="宋体" w:hAnsi="宋体" w:cs="宋体"/>
          <w:strike/>
          <w:color w:val="auto"/>
          <w:highlight w:val="none"/>
        </w:rPr>
      </w:pPr>
      <w:r>
        <w:rPr>
          <w:rFonts w:hint="eastAsia" w:ascii="宋体" w:hAnsi="宋体" w:cs="宋体"/>
          <w:strike/>
          <w:color w:val="auto"/>
          <w:highlight w:val="none"/>
        </w:rPr>
        <w:t>（</w:t>
      </w:r>
      <w:r>
        <w:rPr>
          <w:rFonts w:hint="eastAsia" w:cs="宋体"/>
          <w:strike/>
          <w:color w:val="auto"/>
          <w:highlight w:val="none"/>
        </w:rPr>
        <w:t>1</w:t>
      </w:r>
      <w:r>
        <w:rPr>
          <w:rFonts w:hint="eastAsia" w:ascii="宋体" w:hAnsi="宋体" w:cs="宋体"/>
          <w:strike/>
          <w:color w:val="auto"/>
          <w:highlight w:val="none"/>
        </w:rPr>
        <w:t>）组成联合体承接按资质标准划分为同一类工程的投标人，其人员、机械设备等资源性指标可合并计算。</w:t>
      </w:r>
    </w:p>
    <w:p>
      <w:pPr>
        <w:spacing w:line="336" w:lineRule="auto"/>
        <w:ind w:firstLine="420" w:firstLineChars="200"/>
        <w:rPr>
          <w:rFonts w:ascii="宋体" w:hAnsi="宋体" w:cs="宋体"/>
          <w:strike/>
          <w:color w:val="auto"/>
          <w:highlight w:val="none"/>
        </w:rPr>
      </w:pPr>
      <w:r>
        <w:rPr>
          <w:rFonts w:hint="eastAsia" w:ascii="宋体" w:hAnsi="宋体" w:cs="宋体"/>
          <w:strike/>
          <w:color w:val="auto"/>
          <w:highlight w:val="none"/>
        </w:rPr>
        <w:t>（</w:t>
      </w:r>
      <w:r>
        <w:rPr>
          <w:rFonts w:hint="eastAsia" w:cs="宋体"/>
          <w:strike/>
          <w:color w:val="auto"/>
          <w:highlight w:val="none"/>
        </w:rPr>
        <w:t>2</w:t>
      </w:r>
      <w:r>
        <w:rPr>
          <w:rFonts w:hint="eastAsia" w:ascii="宋体" w:hAnsi="宋体" w:cs="宋体"/>
          <w:strike/>
          <w:color w:val="auto"/>
          <w:highlight w:val="none"/>
        </w:rPr>
        <w:t>）组成联合体承接按资质标准划分为多类工程的投标人，应在联合体协议中明确承接每一类工程的成员单位。</w:t>
      </w:r>
    </w:p>
    <w:p>
      <w:pPr>
        <w:spacing w:line="336" w:lineRule="auto"/>
        <w:ind w:firstLine="420" w:firstLineChars="200"/>
        <w:rPr>
          <w:rFonts w:ascii="宋体" w:hAnsi="宋体" w:cs="宋体"/>
          <w:color w:val="auto"/>
          <w:highlight w:val="none"/>
        </w:rPr>
      </w:pP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8</w:t>
      </w:r>
      <w:r>
        <w:rPr>
          <w:rFonts w:hint="eastAsia" w:ascii="宋体" w:hAnsi="宋体" w:cs="宋体"/>
          <w:color w:val="auto"/>
          <w:highlight w:val="none"/>
        </w:rPr>
        <w:t>信誉要求</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1</w:t>
      </w:r>
      <w:r>
        <w:rPr>
          <w:rFonts w:hint="eastAsia" w:ascii="宋体" w:hAnsi="宋体" w:cs="宋体"/>
          <w:color w:val="auto"/>
          <w:highlight w:val="none"/>
        </w:rPr>
        <w:t xml:space="preserve">）没有被依法暂停或取消投标资格（指被本招标项目所在地县级及以上农业农村（或住建、水利、公共资源交易）行政主管部门暂停或取消投标资格或禁止进入该区域建设市场且处于有效期内）； </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2</w:t>
      </w:r>
      <w:r>
        <w:rPr>
          <w:rFonts w:hint="eastAsia" w:ascii="宋体" w:hAnsi="宋体" w:cs="宋体"/>
          <w:color w:val="auto"/>
          <w:highlight w:val="none"/>
        </w:rPr>
        <w:t>）没有被责令停产停业、暂扣或者吊销许可证、暂扣或者吊销执照；</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）没有进入清算程序，或被宣告破产，或其他丧失履约能力的情形；</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）在最近三年内没有发生重大工程质量问题（以相关行业主管部门的行政处罚决定或司法机关出具的有关法律文书为准）；</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lang w:val="en-US" w:eastAsia="zh-CN"/>
        </w:rPr>
        <w:t>5</w:t>
      </w:r>
      <w:r>
        <w:rPr>
          <w:rFonts w:hint="eastAsia" w:ascii="宋体" w:hAnsi="宋体" w:cs="宋体"/>
          <w:color w:val="auto"/>
          <w:highlight w:val="none"/>
        </w:rPr>
        <w:t>）在近三年内投标人或其法定代表人、拟委任的项目负责人没有行贿犯罪行为。</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cs="宋体"/>
          <w:color w:val="auto"/>
          <w:highlight w:val="none"/>
          <w:lang w:val="en-US" w:eastAsia="zh-CN"/>
        </w:rPr>
        <w:t>6</w:t>
      </w:r>
      <w:r>
        <w:rPr>
          <w:rFonts w:hint="eastAsia" w:ascii="宋体" w:hAnsi="宋体" w:cs="宋体"/>
          <w:color w:val="auto"/>
          <w:highlight w:val="none"/>
        </w:rPr>
        <w:t>）不存在法律法规或投标人须知前附表第</w:t>
      </w:r>
      <w:r>
        <w:rPr>
          <w:rFonts w:hint="eastAsia" w:cs="宋体"/>
          <w:color w:val="auto"/>
          <w:highlight w:val="none"/>
        </w:rPr>
        <w:t>1</w:t>
      </w:r>
      <w:r>
        <w:rPr>
          <w:rFonts w:hint="eastAsia" w:ascii="宋体" w:hAnsi="宋体" w:cs="宋体"/>
          <w:color w:val="auto"/>
          <w:highlight w:val="none"/>
        </w:rPr>
        <w:t>.</w:t>
      </w:r>
      <w:r>
        <w:rPr>
          <w:rFonts w:hint="eastAsia" w:cs="宋体"/>
          <w:color w:val="auto"/>
          <w:highlight w:val="none"/>
        </w:rPr>
        <w:t>4</w:t>
      </w:r>
      <w:r>
        <w:rPr>
          <w:rFonts w:hint="eastAsia" w:ascii="宋体" w:hAnsi="宋体" w:cs="宋体"/>
          <w:color w:val="auto"/>
          <w:highlight w:val="none"/>
        </w:rPr>
        <w:t>.</w:t>
      </w:r>
      <w:r>
        <w:rPr>
          <w:rFonts w:hint="eastAsia" w:cs="宋体"/>
          <w:color w:val="auto"/>
          <w:highlight w:val="none"/>
        </w:rPr>
        <w:t>3</w:t>
      </w:r>
      <w:r>
        <w:rPr>
          <w:rFonts w:hint="eastAsia" w:ascii="宋体" w:hAnsi="宋体" w:cs="宋体"/>
          <w:color w:val="auto"/>
          <w:highlight w:val="none"/>
        </w:rPr>
        <w:t>（</w:t>
      </w:r>
      <w:r>
        <w:rPr>
          <w:rFonts w:hint="eastAsia" w:cs="宋体"/>
          <w:color w:val="auto"/>
          <w:highlight w:val="none"/>
        </w:rPr>
        <w:t>19</w:t>
      </w:r>
      <w:r>
        <w:rPr>
          <w:rFonts w:hint="eastAsia" w:ascii="宋体" w:hAnsi="宋体" w:cs="宋体"/>
          <w:color w:val="auto"/>
          <w:highlight w:val="none"/>
        </w:rPr>
        <w:t>）目规定的不得存在的其他情形。</w:t>
      </w:r>
    </w:p>
    <w:p>
      <w:pPr>
        <w:spacing w:line="336" w:lineRule="auto"/>
        <w:ind w:firstLine="420" w:firstLineChars="200"/>
        <w:rPr>
          <w:color w:val="auto"/>
          <w:highlight w:val="none"/>
        </w:rPr>
      </w:pPr>
      <w:r>
        <w:rPr>
          <w:rFonts w:hint="eastAsia"/>
          <w:color w:val="auto"/>
          <w:highlight w:val="none"/>
        </w:rPr>
        <w:t>3</w:t>
      </w:r>
      <w:r>
        <w:rPr>
          <w:rFonts w:hint="eastAsia" w:ascii="宋体" w:hAnsi="宋体" w:cs="宋体"/>
          <w:color w:val="auto"/>
          <w:highlight w:val="none"/>
        </w:rPr>
        <w:t>.</w:t>
      </w:r>
      <w:r>
        <w:rPr>
          <w:rFonts w:hint="eastAsia"/>
          <w:color w:val="auto"/>
          <w:highlight w:val="none"/>
        </w:rPr>
        <w:t>9资格审查前，投标人须在交易平台完成企业信息登记，及拟担任本工程项目负责人、专职安全员须是本企业信息登记中的在册人员。企业信息登记应按照交易平台关于企业信息登记的相关指南进行操作。详见：</w:t>
      </w:r>
      <w:r>
        <w:rPr>
          <w:rFonts w:hint="eastAsia"/>
          <w:color w:val="auto"/>
          <w:highlight w:val="none"/>
          <w:u w:val="single"/>
        </w:rPr>
        <w:t>广州交易集团有限公司（广州公共资源交易中心）</w:t>
      </w:r>
      <w:r>
        <w:rPr>
          <w:rFonts w:hint="eastAsia" w:ascii="宋体" w:hAnsi="宋体" w:cs="宋体"/>
          <w:color w:val="auto"/>
          <w:szCs w:val="21"/>
          <w:highlight w:val="none"/>
          <w:u w:val="single"/>
        </w:rPr>
        <w:t>网站发布的最新指引</w:t>
      </w:r>
      <w:r>
        <w:rPr>
          <w:rFonts w:hint="eastAsia"/>
          <w:color w:val="auto"/>
          <w:highlight w:val="none"/>
        </w:rPr>
        <w:t>。</w:t>
      </w:r>
    </w:p>
    <w:p>
      <w:pPr>
        <w:spacing w:line="336" w:lineRule="auto"/>
        <w:ind w:firstLine="420" w:firstLineChars="200"/>
        <w:rPr>
          <w:color w:val="auto"/>
          <w:highlight w:val="none"/>
        </w:rPr>
      </w:pPr>
      <w:r>
        <w:rPr>
          <w:rFonts w:hint="eastAsia"/>
          <w:color w:val="auto"/>
          <w:highlight w:val="none"/>
        </w:rPr>
        <w:t>3.10其他</w:t>
      </w:r>
      <w:r>
        <w:rPr>
          <w:color w:val="auto"/>
          <w:highlight w:val="none"/>
        </w:rPr>
        <w:t>要求：____________</w:t>
      </w:r>
      <w:r>
        <w:rPr>
          <w:rFonts w:hint="eastAsia"/>
          <w:color w:val="auto"/>
          <w:highlight w:val="none"/>
        </w:rPr>
        <w:t>。</w:t>
      </w:r>
    </w:p>
    <w:bookmarkEnd w:id="67"/>
    <w:p>
      <w:pPr>
        <w:pStyle w:val="23"/>
        <w:keepNext w:val="0"/>
        <w:keepLines w:val="0"/>
        <w:spacing w:line="336" w:lineRule="auto"/>
        <w:outlineLvl w:val="2"/>
        <w:rPr>
          <w:color w:val="auto"/>
          <w:highlight w:val="none"/>
        </w:rPr>
      </w:pPr>
      <w:bookmarkStart w:id="68" w:name="_Toc168476032"/>
      <w:bookmarkStart w:id="69" w:name="_Toc222033817"/>
      <w:bookmarkStart w:id="70" w:name="_Toc387753535"/>
      <w:bookmarkStart w:id="71" w:name="_Toc12445"/>
      <w:bookmarkStart w:id="72" w:name="_Toc933282979"/>
      <w:bookmarkStart w:id="73" w:name="_Toc222029466"/>
      <w:bookmarkStart w:id="74" w:name="_Toc1789"/>
      <w:bookmarkStart w:id="75" w:name="_Toc5342"/>
      <w:bookmarkStart w:id="76" w:name="_Toc222032635"/>
      <w:bookmarkStart w:id="77" w:name="_Toc144974483"/>
      <w:bookmarkStart w:id="78" w:name="_Toc221949930"/>
      <w:bookmarkStart w:id="79" w:name="_Toc1544"/>
      <w:bookmarkStart w:id="80" w:name="_Toc168475629"/>
      <w:bookmarkStart w:id="81" w:name="_Toc222030968"/>
      <w:bookmarkStart w:id="82" w:name="_Toc899841256"/>
      <w:bookmarkStart w:id="83" w:name="_Toc10699"/>
      <w:bookmarkStart w:id="84" w:name="_Toc27249"/>
      <w:bookmarkStart w:id="85" w:name="_Toc229305326"/>
      <w:r>
        <w:rPr>
          <w:rFonts w:hint="eastAsia"/>
          <w:color w:val="auto"/>
          <w:highlight w:val="none"/>
        </w:rPr>
        <w:t>4. 招标文件的获取</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adjustRightInd w:val="0"/>
        <w:snapToGrid w:val="0"/>
        <w:spacing w:line="336" w:lineRule="auto"/>
        <w:ind w:firstLine="420" w:firstLineChars="200"/>
        <w:rPr>
          <w:rFonts w:ascii="宋体" w:hAnsi="宋体" w:cs="宋体"/>
          <w:color w:val="auto"/>
          <w:szCs w:val="21"/>
          <w:highlight w:val="none"/>
        </w:rPr>
      </w:pPr>
      <w:bookmarkStart w:id="86" w:name="_Toc222029467"/>
      <w:bookmarkStart w:id="87" w:name="_Toc222033818"/>
      <w:bookmarkStart w:id="88" w:name="_Toc168475630"/>
      <w:bookmarkStart w:id="89" w:name="_Toc387753536"/>
      <w:bookmarkStart w:id="90" w:name="_Toc144974484"/>
      <w:bookmarkStart w:id="91" w:name="_Toc168476033"/>
      <w:bookmarkStart w:id="92" w:name="_Toc221949934"/>
      <w:bookmarkStart w:id="93" w:name="_Toc222030969"/>
      <w:bookmarkStart w:id="94" w:name="_Toc222032636"/>
      <w:bookmarkStart w:id="95" w:name="_Toc229305327"/>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1</w:t>
      </w:r>
      <w:r>
        <w:rPr>
          <w:rFonts w:hint="eastAsia"/>
          <w:color w:val="auto"/>
          <w:highlight w:val="none"/>
        </w:rPr>
        <w:t>凡有意参加投标者</w:t>
      </w:r>
      <w:r>
        <w:rPr>
          <w:rFonts w:hint="eastAsia"/>
          <w:strike/>
          <w:dstrike w:val="0"/>
          <w:color w:val="auto"/>
          <w:highlight w:val="none"/>
        </w:rPr>
        <w:t>（若为联合体投标，指联合体所有成员）</w:t>
      </w:r>
      <w:r>
        <w:rPr>
          <w:rFonts w:hint="eastAsia"/>
          <w:color w:val="auto"/>
          <w:highlight w:val="none"/>
        </w:rPr>
        <w:t>，应当在</w:t>
      </w:r>
      <w:r>
        <w:rPr>
          <w:rFonts w:hint="eastAsia"/>
          <w:color w:val="auto"/>
          <w:highlight w:val="none"/>
          <w:u w:val="single"/>
        </w:rPr>
        <w:t>广州交易集团有限公司（广州公共资源交易中心）交易平台</w:t>
      </w:r>
      <w:r>
        <w:rPr>
          <w:rFonts w:hint="eastAsia"/>
          <w:color w:val="auto"/>
          <w:highlight w:val="none"/>
        </w:rPr>
        <w:t>（以下简称“电子交易平台”，下同）（网址：</w:t>
      </w:r>
      <w:r>
        <w:rPr>
          <w:rFonts w:hint="eastAsia" w:ascii="宋体" w:hAnsi="宋体" w:cs="宋体"/>
          <w:color w:val="auto"/>
          <w:kern w:val="0"/>
          <w:sz w:val="20"/>
          <w:szCs w:val="20"/>
          <w:highlight w:val="none"/>
        </w:rPr>
        <w:t>http://www.gzggzy.cn</w:t>
      </w:r>
      <w:r>
        <w:rPr>
          <w:rFonts w:hint="eastAsia"/>
          <w:color w:val="auto"/>
          <w:highlight w:val="none"/>
        </w:rPr>
        <w:t>）进行注册登记，并办理CA数字证书（具体按照交易平台的相关指南进行操作，详见</w:t>
      </w:r>
      <w:r>
        <w:rPr>
          <w:rFonts w:hint="eastAsia"/>
          <w:color w:val="auto"/>
          <w:highlight w:val="none"/>
          <w:u w:val="single"/>
        </w:rPr>
        <w:t>广州交易集团有限公司（广州公共资源交易中心）</w:t>
      </w:r>
      <w:r>
        <w:rPr>
          <w:rFonts w:hint="eastAsia" w:ascii="宋体" w:hAnsi="宋体" w:cs="宋体"/>
          <w:color w:val="auto"/>
          <w:szCs w:val="21"/>
          <w:highlight w:val="none"/>
          <w:u w:val="single"/>
        </w:rPr>
        <w:t>网站发布的最新指引</w:t>
      </w:r>
      <w:r>
        <w:rPr>
          <w:rFonts w:hint="eastAsia"/>
          <w:color w:val="auto"/>
          <w:highlight w:val="none"/>
        </w:rPr>
        <w:t>）。</w:t>
      </w:r>
    </w:p>
    <w:p>
      <w:pPr>
        <w:adjustRightInd w:val="0"/>
        <w:snapToGrid w:val="0"/>
        <w:spacing w:line="336" w:lineRule="auto"/>
        <w:ind w:firstLine="420" w:firstLineChars="200"/>
        <w:rPr>
          <w:color w:val="auto"/>
          <w:highlight w:val="none"/>
        </w:rPr>
      </w:pPr>
      <w:r>
        <w:rPr>
          <w:rFonts w:hint="eastAsia" w:cs="宋体"/>
          <w:color w:val="auto"/>
          <w:szCs w:val="21"/>
          <w:highlight w:val="none"/>
        </w:rPr>
        <w:t>4</w:t>
      </w:r>
      <w:r>
        <w:rPr>
          <w:rFonts w:hint="eastAsia" w:ascii="宋体" w:hAnsi="宋体" w:cs="宋体"/>
          <w:color w:val="auto"/>
          <w:szCs w:val="21"/>
          <w:highlight w:val="none"/>
        </w:rPr>
        <w:t>.</w:t>
      </w:r>
      <w:r>
        <w:rPr>
          <w:rFonts w:hint="eastAsia" w:cs="宋体"/>
          <w:color w:val="auto"/>
          <w:szCs w:val="21"/>
          <w:highlight w:val="none"/>
        </w:rPr>
        <w:t>2</w:t>
      </w:r>
      <w:r>
        <w:rPr>
          <w:rFonts w:hint="eastAsia" w:ascii="宋体" w:hAnsi="宋体" w:cs="宋体"/>
          <w:color w:val="auto"/>
          <w:szCs w:val="21"/>
          <w:highlight w:val="none"/>
        </w:rPr>
        <w:t xml:space="preserve"> 完成注册登记后，</w:t>
      </w:r>
      <w:r>
        <w:rPr>
          <w:rFonts w:hint="eastAsia" w:ascii="宋体" w:hAnsi="宋体" w:cs="宋体"/>
          <w:color w:val="auto"/>
          <w:highlight w:val="none"/>
        </w:rPr>
        <w:t>请于</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 xml:space="preserve"> </w:t>
      </w:r>
      <w:r>
        <w:rPr>
          <w:rFonts w:hint="eastAsia" w:ascii="宋体" w:hAnsi="宋体" w:cs="宋体"/>
          <w:color w:val="auto"/>
          <w:highlight w:val="none"/>
        </w:rPr>
        <w:t>日至</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28</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9</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 xml:space="preserve"> </w:t>
      </w:r>
      <w:r>
        <w:rPr>
          <w:rFonts w:hint="eastAsia" w:ascii="宋体" w:hAnsi="宋体" w:cs="宋体"/>
          <w:color w:val="auto"/>
          <w:highlight w:val="none"/>
        </w:rPr>
        <w:t>分止</w:t>
      </w:r>
      <w:r>
        <w:rPr>
          <w:rFonts w:hint="eastAsia" w:ascii="宋体" w:hAnsi="宋体" w:cs="宋体"/>
          <w:color w:val="auto"/>
          <w:szCs w:val="21"/>
          <w:highlight w:val="none"/>
        </w:rPr>
        <w:t>（北京时间，下同）</w:t>
      </w:r>
      <w:r>
        <w:rPr>
          <w:rFonts w:hint="eastAsia" w:ascii="宋体" w:hAnsi="宋体" w:cs="宋体"/>
          <w:color w:val="auto"/>
          <w:highlight w:val="none"/>
        </w:rPr>
        <w:t>，通过互联网使用</w:t>
      </w:r>
      <w:r>
        <w:rPr>
          <w:rFonts w:hint="eastAsia" w:cs="宋体"/>
          <w:color w:val="auto"/>
          <w:szCs w:val="21"/>
          <w:highlight w:val="none"/>
        </w:rPr>
        <w:t>CA</w:t>
      </w:r>
      <w:r>
        <w:rPr>
          <w:rFonts w:hint="eastAsia" w:ascii="宋体" w:hAnsi="宋体" w:cs="宋体"/>
          <w:color w:val="auto"/>
          <w:szCs w:val="21"/>
          <w:highlight w:val="none"/>
        </w:rPr>
        <w:t>数字证书</w:t>
      </w:r>
      <w:r>
        <w:rPr>
          <w:rFonts w:hint="eastAsia" w:ascii="宋体" w:hAnsi="宋体" w:cs="宋体"/>
          <w:color w:val="auto"/>
          <w:highlight w:val="none"/>
        </w:rPr>
        <w:t>登录“电子交易平台”</w:t>
      </w:r>
      <w:r>
        <w:rPr>
          <w:rFonts w:hint="eastAsia" w:ascii="宋体" w:hAnsi="宋体" w:cs="宋体"/>
          <w:color w:val="auto"/>
          <w:szCs w:val="21"/>
          <w:highlight w:val="none"/>
        </w:rPr>
        <w:t>，在所投标段免费下载招标文件。</w:t>
      </w:r>
      <w:r>
        <w:rPr>
          <w:rFonts w:hint="eastAsia" w:ascii="宋体" w:hAnsi="宋体" w:cs="宋体"/>
          <w:strike/>
          <w:dstrike w:val="0"/>
          <w:color w:val="auto"/>
          <w:szCs w:val="21"/>
          <w:highlight w:val="none"/>
        </w:rPr>
        <w:t>联合体投标的，由联合体牵头人下载招标文件</w:t>
      </w:r>
      <w:r>
        <w:rPr>
          <w:rFonts w:hint="eastAsia" w:ascii="宋体" w:hAnsi="宋体" w:cs="宋体"/>
          <w:color w:val="auto"/>
          <w:szCs w:val="21"/>
          <w:highlight w:val="none"/>
        </w:rPr>
        <w:t>（具体操作按照交易平台的相关指南进行，详见</w:t>
      </w:r>
      <w:r>
        <w:rPr>
          <w:rFonts w:hint="eastAsia"/>
          <w:color w:val="auto"/>
          <w:highlight w:val="none"/>
          <w:u w:val="single"/>
        </w:rPr>
        <w:t>广州交易集团有限公司（广州公共资源交易中心）</w:t>
      </w:r>
      <w:r>
        <w:rPr>
          <w:rFonts w:hint="eastAsia" w:ascii="宋体" w:hAnsi="宋体" w:cs="宋体"/>
          <w:color w:val="auto"/>
          <w:szCs w:val="21"/>
          <w:highlight w:val="none"/>
          <w:u w:val="single"/>
        </w:rPr>
        <w:t>网站发布的最新指引</w:t>
      </w:r>
      <w:r>
        <w:rPr>
          <w:rFonts w:hint="eastAsia"/>
          <w:color w:val="auto"/>
          <w:highlight w:val="none"/>
        </w:rPr>
        <w:t>）。</w:t>
      </w:r>
      <w:r>
        <w:rPr>
          <w:rFonts w:hint="eastAsia" w:ascii="宋体" w:hAnsi="宋体" w:cs="宋体"/>
          <w:color w:val="auto"/>
          <w:szCs w:val="21"/>
          <w:highlight w:val="none"/>
        </w:rPr>
        <w:t>未按规定从“电子交易平台”下载招标文件的，</w:t>
      </w:r>
      <w:r>
        <w:rPr>
          <w:rFonts w:hint="eastAsia"/>
          <w:color w:val="auto"/>
          <w:highlight w:val="none"/>
        </w:rPr>
        <w:t>招标人（“</w:t>
      </w:r>
      <w:r>
        <w:rPr>
          <w:color w:val="auto"/>
          <w:highlight w:val="none"/>
        </w:rPr>
        <w:t>电子</w:t>
      </w:r>
      <w:r>
        <w:rPr>
          <w:rFonts w:hint="eastAsia"/>
          <w:color w:val="auto"/>
          <w:highlight w:val="none"/>
        </w:rPr>
        <w:t>交易平台”）拒收其投标文件。</w:t>
      </w:r>
    </w:p>
    <w:p>
      <w:pPr>
        <w:pStyle w:val="23"/>
        <w:keepNext w:val="0"/>
        <w:keepLines w:val="0"/>
        <w:spacing w:line="336" w:lineRule="auto"/>
        <w:outlineLvl w:val="2"/>
        <w:rPr>
          <w:color w:val="auto"/>
          <w:highlight w:val="none"/>
        </w:rPr>
      </w:pPr>
      <w:bookmarkStart w:id="96" w:name="_Toc2815"/>
      <w:bookmarkStart w:id="97" w:name="_Toc27825"/>
      <w:bookmarkStart w:id="98" w:name="_Toc21756"/>
      <w:bookmarkStart w:id="99" w:name="_Toc23646"/>
      <w:bookmarkStart w:id="100" w:name="_Toc7337"/>
      <w:bookmarkStart w:id="101" w:name="_Toc5300"/>
      <w:bookmarkStart w:id="102" w:name="_Toc1314950961"/>
      <w:bookmarkStart w:id="103" w:name="_Toc1143022034"/>
      <w:r>
        <w:rPr>
          <w:rFonts w:hint="eastAsia"/>
          <w:color w:val="auto"/>
          <w:highlight w:val="none"/>
        </w:rPr>
        <w:t>5. 公告发布日期、递交投标文件时间与开标时间</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spacing w:line="336" w:lineRule="auto"/>
        <w:rPr>
          <w:color w:val="auto"/>
          <w:szCs w:val="21"/>
          <w:highlight w:val="none"/>
        </w:rPr>
      </w:pPr>
      <w:bookmarkStart w:id="104" w:name="_Toc168475631"/>
      <w:bookmarkStart w:id="105" w:name="_Toc222030971"/>
      <w:bookmarkStart w:id="106" w:name="_Toc222029469"/>
      <w:bookmarkStart w:id="107" w:name="_Toc222033820"/>
      <w:bookmarkStart w:id="108" w:name="_Toc387753538"/>
      <w:bookmarkStart w:id="109" w:name="_Toc168476034"/>
      <w:bookmarkStart w:id="110" w:name="_Toc229305329"/>
      <w:bookmarkStart w:id="111" w:name="_Toc222032638"/>
      <w:bookmarkStart w:id="112" w:name="_Toc221949939"/>
      <w:r>
        <w:rPr>
          <w:rFonts w:hint="eastAsia"/>
          <w:color w:val="auto"/>
          <w:szCs w:val="21"/>
          <w:highlight w:val="none"/>
        </w:rPr>
        <w:t xml:space="preserve">    </w:t>
      </w:r>
      <w:r>
        <w:rPr>
          <w:color w:val="auto"/>
          <w:szCs w:val="21"/>
          <w:highlight w:val="none"/>
        </w:rPr>
        <w:t>5</w:t>
      </w:r>
      <w:r>
        <w:rPr>
          <w:rFonts w:ascii="宋体" w:hAnsi="宋体"/>
          <w:color w:val="auto"/>
          <w:szCs w:val="21"/>
          <w:highlight w:val="none"/>
        </w:rPr>
        <w:t>.</w:t>
      </w:r>
      <w:r>
        <w:rPr>
          <w:color w:val="auto"/>
          <w:szCs w:val="21"/>
          <w:highlight w:val="none"/>
        </w:rPr>
        <w:t>1</w:t>
      </w:r>
      <w:r>
        <w:rPr>
          <w:rFonts w:hint="eastAsia"/>
          <w:color w:val="auto"/>
          <w:szCs w:val="21"/>
          <w:highlight w:val="none"/>
        </w:rPr>
        <w:t>公告发布日期（含本日）：</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 xml:space="preserve"> </w:t>
      </w:r>
      <w:r>
        <w:rPr>
          <w:rFonts w:hint="eastAsia" w:ascii="宋体" w:hAnsi="宋体" w:cs="宋体"/>
          <w:color w:val="auto"/>
          <w:highlight w:val="none"/>
        </w:rPr>
        <w:t>分至</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28</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00</w:t>
      </w:r>
      <w:r>
        <w:rPr>
          <w:rFonts w:hint="eastAsia" w:ascii="宋体" w:hAnsi="宋体" w:cs="宋体"/>
          <w:color w:val="auto"/>
          <w:highlight w:val="none"/>
        </w:rPr>
        <w:t>分</w:t>
      </w:r>
      <w:r>
        <w:rPr>
          <w:rFonts w:hint="eastAsia"/>
          <w:color w:val="auto"/>
          <w:highlight w:val="none"/>
        </w:rPr>
        <w:t>。</w:t>
      </w:r>
      <w:r>
        <w:rPr>
          <w:rFonts w:hint="eastAsia"/>
          <w:color w:val="auto"/>
          <w:szCs w:val="21"/>
          <w:highlight w:val="none"/>
        </w:rPr>
        <w:t>凡有意参加投标者，请自行登录电子交易平台网站下载电子招标文件。</w:t>
      </w:r>
    </w:p>
    <w:p>
      <w:pPr>
        <w:adjustRightInd w:val="0"/>
        <w:snapToGrid w:val="0"/>
        <w:spacing w:line="336" w:lineRule="auto"/>
        <w:ind w:firstLine="420" w:firstLineChars="200"/>
        <w:rPr>
          <w:color w:val="auto"/>
          <w:highlight w:val="none"/>
        </w:rPr>
      </w:pPr>
      <w:r>
        <w:rPr>
          <w:rFonts w:hint="eastAsia"/>
          <w:color w:val="auto"/>
          <w:highlight w:val="none"/>
        </w:rPr>
        <w:t>注：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pPr>
        <w:adjustRightInd w:val="0"/>
        <w:snapToGrid w:val="0"/>
        <w:spacing w:line="336" w:lineRule="auto"/>
        <w:ind w:firstLine="420" w:firstLineChars="200"/>
        <w:rPr>
          <w:color w:val="auto"/>
          <w:highlight w:val="none"/>
        </w:rPr>
      </w:pPr>
      <w:r>
        <w:rPr>
          <w:rFonts w:hint="eastAsia"/>
          <w:color w:val="auto"/>
          <w:highlight w:val="none"/>
        </w:rPr>
        <w:t>5.2递交投标文件起始时间：</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 xml:space="preserve"> </w:t>
      </w:r>
      <w:r>
        <w:rPr>
          <w:rFonts w:hint="eastAsia" w:ascii="宋体" w:hAnsi="宋体" w:cs="宋体"/>
          <w:color w:val="auto"/>
          <w:highlight w:val="none"/>
        </w:rPr>
        <w:t>分</w:t>
      </w:r>
      <w:r>
        <w:rPr>
          <w:rFonts w:hint="eastAsia"/>
          <w:color w:val="auto"/>
          <w:highlight w:val="none"/>
        </w:rPr>
        <w:t>；</w:t>
      </w:r>
    </w:p>
    <w:p>
      <w:pPr>
        <w:adjustRightInd w:val="0"/>
        <w:snapToGrid w:val="0"/>
        <w:spacing w:line="336" w:lineRule="auto"/>
        <w:ind w:firstLine="2100" w:firstLineChars="1000"/>
        <w:rPr>
          <w:color w:val="auto"/>
          <w:highlight w:val="none"/>
        </w:rPr>
      </w:pPr>
      <w:r>
        <w:rPr>
          <w:rFonts w:hint="eastAsia"/>
          <w:color w:val="auto"/>
          <w:highlight w:val="none"/>
        </w:rPr>
        <w:t>截止时间：</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28</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 xml:space="preserve"> </w:t>
      </w:r>
      <w:r>
        <w:rPr>
          <w:rFonts w:hint="eastAsia" w:ascii="宋体" w:hAnsi="宋体" w:cs="宋体"/>
          <w:color w:val="auto"/>
          <w:highlight w:val="none"/>
        </w:rPr>
        <w:t>分</w:t>
      </w:r>
      <w:r>
        <w:rPr>
          <w:rFonts w:hint="eastAsia"/>
          <w:color w:val="auto"/>
          <w:highlight w:val="none"/>
        </w:rPr>
        <w:t>。</w:t>
      </w:r>
    </w:p>
    <w:p>
      <w:pPr>
        <w:adjustRightInd w:val="0"/>
        <w:snapToGrid w:val="0"/>
        <w:spacing w:line="336" w:lineRule="auto"/>
        <w:ind w:firstLine="420" w:firstLineChars="200"/>
        <w:rPr>
          <w:color w:val="auto"/>
          <w:highlight w:val="none"/>
        </w:rPr>
      </w:pPr>
      <w:r>
        <w:rPr>
          <w:rFonts w:hint="eastAsia"/>
          <w:color w:val="auto"/>
          <w:highlight w:val="none"/>
        </w:rPr>
        <w:t>5.3</w:t>
      </w:r>
      <w:r>
        <w:rPr>
          <w:rFonts w:hint="eastAsia"/>
          <w:strike/>
          <w:dstrike w:val="0"/>
          <w:color w:val="auto"/>
          <w:highlight w:val="none"/>
        </w:rPr>
        <w:t>（选择性条款）</w:t>
      </w:r>
      <w:r>
        <w:rPr>
          <w:rFonts w:hint="eastAsia"/>
          <w:color w:val="auto"/>
          <w:highlight w:val="none"/>
        </w:rPr>
        <w:t>递交投标文件备用光盘时间：</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28</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45</w:t>
      </w:r>
      <w:r>
        <w:rPr>
          <w:rFonts w:hint="eastAsia" w:ascii="宋体" w:hAnsi="宋体" w:cs="宋体"/>
          <w:color w:val="auto"/>
          <w:highlight w:val="none"/>
          <w:u w:val="single"/>
        </w:rPr>
        <w:t xml:space="preserve"> </w:t>
      </w:r>
      <w:r>
        <w:rPr>
          <w:rFonts w:hint="eastAsia" w:ascii="宋体" w:hAnsi="宋体" w:cs="宋体"/>
          <w:color w:val="auto"/>
          <w:highlight w:val="none"/>
        </w:rPr>
        <w:t>分至</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28</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 xml:space="preserve"> </w:t>
      </w:r>
      <w:r>
        <w:rPr>
          <w:rFonts w:hint="eastAsia" w:ascii="宋体" w:hAnsi="宋体" w:cs="宋体"/>
          <w:color w:val="auto"/>
          <w:highlight w:val="none"/>
        </w:rPr>
        <w:t>分</w:t>
      </w:r>
      <w:r>
        <w:rPr>
          <w:rFonts w:hint="eastAsia"/>
          <w:color w:val="auto"/>
          <w:highlight w:val="none"/>
        </w:rPr>
        <w:t>；递交地点：</w:t>
      </w:r>
      <w:r>
        <w:rPr>
          <w:rFonts w:hint="eastAsia"/>
          <w:color w:val="auto"/>
          <w:highlight w:val="none"/>
          <w:u w:val="single"/>
          <w:lang w:val="en-US" w:eastAsia="zh-CN"/>
        </w:rPr>
        <w:t>详见交易平台本项目的日程及场地安排</w:t>
      </w:r>
      <w:r>
        <w:rPr>
          <w:rFonts w:hint="eastAsia"/>
          <w:color w:val="auto"/>
          <w:highlight w:val="none"/>
        </w:rPr>
        <w:t>。(建议安排在投标文件截止时间前15分钟至投标文件截止时间）</w:t>
      </w:r>
    </w:p>
    <w:p>
      <w:pPr>
        <w:adjustRightInd w:val="0"/>
        <w:snapToGrid w:val="0"/>
        <w:spacing w:line="336" w:lineRule="auto"/>
        <w:ind w:firstLine="420" w:firstLineChars="200"/>
        <w:rPr>
          <w:rFonts w:ascii="宋体" w:hAnsi="宋体" w:cs="宋体"/>
          <w:color w:val="auto"/>
          <w:szCs w:val="21"/>
          <w:highlight w:val="none"/>
        </w:rPr>
      </w:pPr>
      <w:r>
        <w:rPr>
          <w:rFonts w:hint="eastAsia"/>
          <w:color w:val="auto"/>
          <w:highlight w:val="none"/>
        </w:rPr>
        <w:t>5.4开标开始时间：</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28</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 xml:space="preserve"> </w:t>
      </w:r>
      <w:r>
        <w:rPr>
          <w:rFonts w:hint="eastAsia" w:ascii="宋体" w:hAnsi="宋体" w:cs="宋体"/>
          <w:color w:val="auto"/>
          <w:highlight w:val="none"/>
        </w:rPr>
        <w:t>分；</w:t>
      </w:r>
    </w:p>
    <w:p>
      <w:pPr>
        <w:spacing w:line="336" w:lineRule="auto"/>
        <w:ind w:firstLine="420"/>
        <w:rPr>
          <w:color w:val="auto"/>
          <w:szCs w:val="21"/>
          <w:highlight w:val="none"/>
        </w:rPr>
      </w:pPr>
      <w:r>
        <w:rPr>
          <w:color w:val="auto"/>
          <w:szCs w:val="21"/>
          <w:highlight w:val="none"/>
        </w:rPr>
        <w:t>5</w:t>
      </w:r>
      <w:r>
        <w:rPr>
          <w:rFonts w:ascii="宋体" w:hAnsi="宋体"/>
          <w:color w:val="auto"/>
          <w:szCs w:val="21"/>
          <w:highlight w:val="none"/>
        </w:rPr>
        <w:t>.</w:t>
      </w:r>
      <w:r>
        <w:rPr>
          <w:rFonts w:hint="eastAsia"/>
          <w:color w:val="auto"/>
          <w:szCs w:val="21"/>
          <w:highlight w:val="none"/>
        </w:rPr>
        <w:t>5递交投标文件截止时间与开标时间是否有变化，请密切留意招标答疑中的相关信息。递交投标文件截止时间后，开标时间因故推迟的，相关评标信息仍以原递交投标文件截止时间的信息为准。</w:t>
      </w:r>
    </w:p>
    <w:p>
      <w:pPr>
        <w:spacing w:line="336" w:lineRule="auto"/>
        <w:ind w:firstLine="420"/>
        <w:rPr>
          <w:color w:val="auto"/>
          <w:highlight w:val="none"/>
        </w:rPr>
      </w:pPr>
      <w:r>
        <w:rPr>
          <w:rFonts w:hint="eastAsia"/>
          <w:color w:val="auto"/>
          <w:highlight w:val="none"/>
        </w:rPr>
        <w:t>5.6投标人通过电子交易平台递交电子投标文件。投标人应当在投标截止时间前，登录电子交易平台网站办理网上投标登记手续，并</w:t>
      </w:r>
      <w:r>
        <w:rPr>
          <w:color w:val="auto"/>
          <w:highlight w:val="none"/>
        </w:rPr>
        <w:t>通过</w:t>
      </w:r>
      <w:r>
        <w:rPr>
          <w:rFonts w:hint="eastAsia"/>
          <w:color w:val="auto"/>
          <w:highlight w:val="none"/>
        </w:rPr>
        <w:t>互联网</w:t>
      </w:r>
      <w:r>
        <w:rPr>
          <w:color w:val="auto"/>
          <w:highlight w:val="none"/>
        </w:rPr>
        <w:t>使用</w:t>
      </w:r>
      <w:r>
        <w:rPr>
          <w:rFonts w:hint="eastAsia"/>
          <w:color w:val="auto"/>
          <w:highlight w:val="none"/>
        </w:rPr>
        <w:t>CA数字证书登录“电子交易平台”，选择所投标段将</w:t>
      </w:r>
      <w:r>
        <w:rPr>
          <w:rFonts w:hint="eastAsia"/>
          <w:b/>
          <w:color w:val="auto"/>
          <w:highlight w:val="none"/>
        </w:rPr>
        <w:t>加密的电子投标文件</w:t>
      </w:r>
      <w:r>
        <w:rPr>
          <w:rFonts w:hint="eastAsia"/>
          <w:color w:val="auto"/>
          <w:highlight w:val="none"/>
        </w:rPr>
        <w:t>上传（按照电子交易平台的相关指南进行操作。详见：</w:t>
      </w:r>
      <w:r>
        <w:rPr>
          <w:rFonts w:hint="eastAsia"/>
          <w:color w:val="auto"/>
          <w:highlight w:val="none"/>
          <w:u w:val="single"/>
        </w:rPr>
        <w:t>广州交易集团有限公司（广州公共资源交易中心）</w:t>
      </w:r>
      <w:r>
        <w:rPr>
          <w:rFonts w:hint="eastAsia" w:ascii="宋体" w:hAnsi="宋体" w:cs="宋体"/>
          <w:color w:val="auto"/>
          <w:szCs w:val="21"/>
          <w:highlight w:val="none"/>
          <w:u w:val="single"/>
        </w:rPr>
        <w:t>网站发布的最新指引</w:t>
      </w:r>
      <w:r>
        <w:rPr>
          <w:rFonts w:hint="eastAsia"/>
          <w:color w:val="auto"/>
          <w:highlight w:val="none"/>
        </w:rPr>
        <w:t>）。投标人完成投标文件上传后，“</w:t>
      </w:r>
      <w:r>
        <w:rPr>
          <w:color w:val="auto"/>
          <w:highlight w:val="none"/>
        </w:rPr>
        <w:t>电子</w:t>
      </w:r>
      <w:r>
        <w:rPr>
          <w:rFonts w:hint="eastAsia"/>
          <w:color w:val="auto"/>
          <w:highlight w:val="none"/>
        </w:rPr>
        <w:t>交易平台”即时向投标人发出</w:t>
      </w:r>
      <w:r>
        <w:rPr>
          <w:color w:val="auto"/>
          <w:highlight w:val="none"/>
        </w:rPr>
        <w:t>电子签收凭证</w:t>
      </w:r>
      <w:r>
        <w:rPr>
          <w:rFonts w:hint="eastAsia"/>
          <w:color w:val="auto"/>
          <w:highlight w:val="none"/>
        </w:rPr>
        <w:t>，递交时间以</w:t>
      </w:r>
      <w:r>
        <w:rPr>
          <w:color w:val="auto"/>
          <w:highlight w:val="none"/>
        </w:rPr>
        <w:t>电子签收凭证</w:t>
      </w:r>
      <w:r>
        <w:rPr>
          <w:rFonts w:hint="eastAsia"/>
          <w:color w:val="auto"/>
          <w:highlight w:val="none"/>
        </w:rPr>
        <w:t>载明的传输完成时间为准。逾</w:t>
      </w:r>
      <w:r>
        <w:rPr>
          <w:color w:val="auto"/>
          <w:highlight w:val="none"/>
        </w:rPr>
        <w:t>期未完成上传</w:t>
      </w:r>
      <w:r>
        <w:rPr>
          <w:rFonts w:hint="eastAsia"/>
          <w:color w:val="auto"/>
          <w:highlight w:val="none"/>
        </w:rPr>
        <w:t>或未加密的</w:t>
      </w:r>
      <w:r>
        <w:rPr>
          <w:color w:val="auto"/>
          <w:highlight w:val="none"/>
        </w:rPr>
        <w:t>电子</w:t>
      </w:r>
      <w:r>
        <w:rPr>
          <w:rFonts w:hint="eastAsia"/>
          <w:color w:val="auto"/>
          <w:highlight w:val="none"/>
        </w:rPr>
        <w:t>投标文件</w:t>
      </w:r>
      <w:r>
        <w:rPr>
          <w:color w:val="auto"/>
          <w:highlight w:val="none"/>
        </w:rPr>
        <w:t>，招标人</w:t>
      </w:r>
      <w:r>
        <w:rPr>
          <w:rFonts w:hint="eastAsia"/>
          <w:color w:val="auto"/>
          <w:highlight w:val="none"/>
        </w:rPr>
        <w:t>（“</w:t>
      </w:r>
      <w:r>
        <w:rPr>
          <w:color w:val="auto"/>
          <w:highlight w:val="none"/>
        </w:rPr>
        <w:t>电子</w:t>
      </w:r>
      <w:r>
        <w:rPr>
          <w:rFonts w:hint="eastAsia"/>
          <w:color w:val="auto"/>
          <w:highlight w:val="none"/>
        </w:rPr>
        <w:t>交易平台”）</w:t>
      </w:r>
      <w:r>
        <w:rPr>
          <w:color w:val="auto"/>
          <w:highlight w:val="none"/>
        </w:rPr>
        <w:t>将拒收。</w:t>
      </w:r>
    </w:p>
    <w:p>
      <w:pPr>
        <w:pStyle w:val="23"/>
        <w:keepNext w:val="0"/>
        <w:keepLines w:val="0"/>
        <w:spacing w:line="336" w:lineRule="auto"/>
        <w:outlineLvl w:val="2"/>
        <w:rPr>
          <w:color w:val="auto"/>
          <w:highlight w:val="none"/>
        </w:rPr>
      </w:pPr>
      <w:bookmarkStart w:id="113" w:name="_Toc1526851159"/>
      <w:bookmarkStart w:id="114" w:name="_Toc27692"/>
      <w:bookmarkStart w:id="115" w:name="_Toc103634291"/>
      <w:bookmarkStart w:id="116" w:name="_Toc25079"/>
      <w:bookmarkStart w:id="117" w:name="_Toc24380"/>
      <w:bookmarkStart w:id="118" w:name="_Toc1015"/>
      <w:bookmarkStart w:id="119" w:name="_Toc19678"/>
      <w:bookmarkStart w:id="120" w:name="_Toc22977"/>
      <w:r>
        <w:rPr>
          <w:rFonts w:hint="eastAsia"/>
          <w:color w:val="auto"/>
          <w:highlight w:val="none"/>
        </w:rPr>
        <w:t>6.投标相关事宜</w:t>
      </w:r>
      <w:bookmarkEnd w:id="113"/>
      <w:bookmarkEnd w:id="114"/>
      <w:bookmarkEnd w:id="115"/>
      <w:bookmarkEnd w:id="116"/>
      <w:bookmarkEnd w:id="117"/>
      <w:bookmarkEnd w:id="118"/>
      <w:bookmarkEnd w:id="119"/>
      <w:bookmarkEnd w:id="120"/>
    </w:p>
    <w:p>
      <w:pPr>
        <w:spacing w:line="336" w:lineRule="auto"/>
        <w:rPr>
          <w:color w:val="auto"/>
          <w:highlight w:val="none"/>
        </w:rPr>
      </w:pP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p>
    <w:p>
      <w:pPr>
        <w:pStyle w:val="23"/>
        <w:keepNext w:val="0"/>
        <w:keepLines w:val="0"/>
        <w:spacing w:line="336" w:lineRule="auto"/>
        <w:outlineLvl w:val="2"/>
        <w:rPr>
          <w:color w:val="auto"/>
          <w:highlight w:val="none"/>
        </w:rPr>
      </w:pPr>
      <w:bookmarkStart w:id="121" w:name="_Toc12346225"/>
      <w:bookmarkStart w:id="122" w:name="_Toc8653"/>
      <w:bookmarkStart w:id="123" w:name="_Toc1837295352"/>
      <w:bookmarkStart w:id="124" w:name="_Toc29276"/>
      <w:bookmarkStart w:id="125" w:name="_Toc25148"/>
      <w:bookmarkStart w:id="126" w:name="_Toc1029"/>
      <w:bookmarkStart w:id="127" w:name="_Toc11828"/>
      <w:bookmarkStart w:id="128" w:name="_Toc1763"/>
      <w:r>
        <w:rPr>
          <w:rFonts w:hint="eastAsia"/>
          <w:color w:val="auto"/>
          <w:highlight w:val="none"/>
        </w:rPr>
        <w:t>7.资格审查方式评标办法</w:t>
      </w:r>
      <w:bookmarkEnd w:id="121"/>
      <w:bookmarkEnd w:id="122"/>
      <w:bookmarkEnd w:id="123"/>
      <w:bookmarkEnd w:id="124"/>
      <w:bookmarkEnd w:id="125"/>
      <w:bookmarkEnd w:id="126"/>
      <w:bookmarkEnd w:id="127"/>
      <w:bookmarkEnd w:id="128"/>
    </w:p>
    <w:p>
      <w:pPr>
        <w:spacing w:line="336" w:lineRule="auto"/>
        <w:ind w:firstLine="437"/>
        <w:rPr>
          <w:color w:val="auto"/>
          <w:highlight w:val="none"/>
        </w:rPr>
      </w:pPr>
      <w:r>
        <w:rPr>
          <w:rFonts w:hint="eastAsia"/>
          <w:color w:val="auto"/>
          <w:highlight w:val="none"/>
        </w:rPr>
        <w:t>7.1本次招标采用资格后审方式，由评标委员会负责资格审查。资格审查结果将在网站进行公示，公示时间不得少于3日（最后一天须为工作日）。</w:t>
      </w:r>
    </w:p>
    <w:p>
      <w:pPr>
        <w:spacing w:line="336" w:lineRule="auto"/>
        <w:ind w:firstLine="437"/>
        <w:rPr>
          <w:color w:val="auto"/>
          <w:highlight w:val="none"/>
        </w:rPr>
      </w:pPr>
      <w:r>
        <w:rPr>
          <w:rFonts w:hint="eastAsia"/>
          <w:color w:val="auto"/>
          <w:highlight w:val="none"/>
        </w:rPr>
        <w:t>满足资格审查合格条件的投标人不足3名或通过有效性审查的投标人不足3名时为招标失败。招标人分析招标失败原因，修正招标方案，报有关管理部门核准后，重新组织招标。</w:t>
      </w:r>
    </w:p>
    <w:p>
      <w:pPr>
        <w:spacing w:line="336" w:lineRule="auto"/>
        <w:ind w:firstLine="437"/>
        <w:rPr>
          <w:color w:val="auto"/>
          <w:highlight w:val="none"/>
        </w:rPr>
      </w:pPr>
      <w:r>
        <w:rPr>
          <w:rFonts w:hint="eastAsia"/>
          <w:color w:val="auto"/>
          <w:highlight w:val="none"/>
        </w:rPr>
        <w:t>7.2本次招标评标办法采用综合评分法。</w:t>
      </w:r>
    </w:p>
    <w:p>
      <w:pPr>
        <w:pStyle w:val="23"/>
        <w:keepNext w:val="0"/>
        <w:keepLines w:val="0"/>
        <w:spacing w:line="336" w:lineRule="auto"/>
        <w:outlineLvl w:val="2"/>
        <w:rPr>
          <w:color w:val="auto"/>
          <w:highlight w:val="none"/>
        </w:rPr>
      </w:pPr>
      <w:bookmarkStart w:id="129" w:name="_Toc3352"/>
      <w:bookmarkStart w:id="130" w:name="_Toc30310"/>
      <w:bookmarkStart w:id="131" w:name="_Toc1298211293"/>
      <w:bookmarkStart w:id="132" w:name="_Toc317831565"/>
      <w:bookmarkStart w:id="133" w:name="_Toc24057"/>
      <w:bookmarkStart w:id="134" w:name="_Toc12949"/>
      <w:bookmarkStart w:id="135" w:name="_Toc4594"/>
      <w:bookmarkStart w:id="136" w:name="_Toc1170"/>
      <w:r>
        <w:rPr>
          <w:rFonts w:hint="eastAsia"/>
          <w:color w:val="auto"/>
          <w:highlight w:val="none"/>
        </w:rPr>
        <w:t>8. 发布公告的媒介</w:t>
      </w:r>
      <w:bookmarkEnd w:id="104"/>
      <w:bookmarkEnd w:id="105"/>
      <w:bookmarkEnd w:id="106"/>
      <w:bookmarkEnd w:id="107"/>
      <w:bookmarkEnd w:id="108"/>
      <w:bookmarkEnd w:id="109"/>
      <w:bookmarkEnd w:id="110"/>
      <w:bookmarkEnd w:id="111"/>
      <w:bookmarkEnd w:id="112"/>
      <w:bookmarkEnd w:id="129"/>
      <w:bookmarkEnd w:id="130"/>
      <w:bookmarkEnd w:id="131"/>
      <w:bookmarkEnd w:id="132"/>
      <w:bookmarkEnd w:id="133"/>
      <w:bookmarkEnd w:id="134"/>
      <w:bookmarkEnd w:id="135"/>
      <w:bookmarkEnd w:id="136"/>
    </w:p>
    <w:p>
      <w:pPr>
        <w:spacing w:line="336" w:lineRule="auto"/>
        <w:ind w:firstLine="437"/>
        <w:rPr>
          <w:color w:val="auto"/>
          <w:highlight w:val="none"/>
        </w:rPr>
      </w:pPr>
      <w:bookmarkStart w:id="137" w:name="_Toc144974485"/>
      <w:bookmarkStart w:id="138" w:name="_Toc222029470"/>
      <w:bookmarkStart w:id="139" w:name="_Toc229305330"/>
      <w:bookmarkStart w:id="140" w:name="_Toc222033821"/>
      <w:bookmarkStart w:id="141" w:name="_Toc387753539"/>
      <w:bookmarkStart w:id="142" w:name="_Toc221949941"/>
      <w:bookmarkStart w:id="143" w:name="_Toc222032639"/>
      <w:bookmarkStart w:id="144" w:name="_Toc222030972"/>
      <w:bookmarkStart w:id="145" w:name="_Toc168475632"/>
      <w:bookmarkStart w:id="146" w:name="_Toc168476035"/>
      <w:r>
        <w:rPr>
          <w:rFonts w:hint="eastAsia"/>
          <w:color w:val="auto"/>
          <w:highlight w:val="none"/>
        </w:rPr>
        <w:t>本次招标公告同时在</w:t>
      </w:r>
      <w:r>
        <w:rPr>
          <w:rFonts w:hint="eastAsia"/>
          <w:color w:val="auto"/>
          <w:highlight w:val="none"/>
          <w:u w:val="single"/>
        </w:rPr>
        <w:t>广州交易集团有限公司（广州公共资源交易中心）交易平台（网址：</w:t>
      </w:r>
      <w:r>
        <w:rPr>
          <w:rFonts w:hint="eastAsia" w:ascii="宋体" w:hAnsi="宋体" w:cs="宋体"/>
          <w:color w:val="auto"/>
          <w:kern w:val="0"/>
          <w:sz w:val="20"/>
          <w:szCs w:val="20"/>
          <w:highlight w:val="none"/>
        </w:rPr>
        <w:t>http://www.gzggzy.cn</w:t>
      </w:r>
      <w:r>
        <w:rPr>
          <w:rFonts w:hint="eastAsia"/>
          <w:color w:val="auto"/>
          <w:highlight w:val="none"/>
          <w:u w:val="none"/>
        </w:rPr>
        <w:t>）</w:t>
      </w:r>
      <w:r>
        <w:rPr>
          <w:rFonts w:hint="eastAsia"/>
          <w:color w:val="auto"/>
          <w:highlight w:val="none"/>
        </w:rPr>
        <w:t>、广东省招标投标监管网（网址：http://zbtb.gd.gov.cn/）和中国招标投标公共服务平台（网址：http://www.cebpubservice.com/） (发布公告的媒介名称)上发布。本公告的修改、补充，在</w:t>
      </w:r>
      <w:r>
        <w:rPr>
          <w:rFonts w:hint="eastAsia"/>
          <w:color w:val="auto"/>
          <w:highlight w:val="none"/>
          <w:u w:val="single"/>
        </w:rPr>
        <w:t xml:space="preserve"> 广州交易集团有限公司（广州公共资源交易中心）交易平台</w:t>
      </w:r>
      <w:r>
        <w:rPr>
          <w:rFonts w:hint="eastAsia"/>
          <w:color w:val="auto"/>
          <w:highlight w:val="none"/>
        </w:rPr>
        <w:t>发布。本公告在各媒体发布的文本如有不同之处，以在</w:t>
      </w:r>
      <w:r>
        <w:rPr>
          <w:rFonts w:hint="eastAsia"/>
          <w:color w:val="auto"/>
          <w:highlight w:val="none"/>
          <w:u w:val="single"/>
        </w:rPr>
        <w:t>广州交易集团有限公司（广州公共资源交易中心）交易平台</w:t>
      </w:r>
      <w:r>
        <w:rPr>
          <w:rFonts w:hint="eastAsia"/>
          <w:color w:val="auto"/>
          <w:highlight w:val="none"/>
        </w:rPr>
        <w:t>发布的文本为准。</w:t>
      </w:r>
      <w:bookmarkStart w:id="170" w:name="_GoBack"/>
      <w:bookmarkEnd w:id="170"/>
    </w:p>
    <w:p>
      <w:pPr>
        <w:pStyle w:val="23"/>
        <w:keepNext w:val="0"/>
        <w:keepLines w:val="0"/>
        <w:numPr>
          <w:ilvl w:val="0"/>
          <w:numId w:val="1"/>
        </w:numPr>
        <w:spacing w:line="336" w:lineRule="auto"/>
        <w:outlineLvl w:val="2"/>
        <w:rPr>
          <w:color w:val="auto"/>
          <w:highlight w:val="none"/>
        </w:rPr>
      </w:pPr>
      <w:bookmarkStart w:id="147" w:name="_Toc9917"/>
      <w:bookmarkStart w:id="148" w:name="_Toc822"/>
      <w:bookmarkStart w:id="149" w:name="_Toc13503"/>
      <w:bookmarkStart w:id="150" w:name="_Toc1407589433"/>
      <w:bookmarkStart w:id="151" w:name="_Toc15125"/>
      <w:bookmarkStart w:id="152" w:name="_Toc28940"/>
      <w:bookmarkStart w:id="153" w:name="_Toc1370083816"/>
      <w:bookmarkStart w:id="154" w:name="_Toc21076"/>
      <w:r>
        <w:rPr>
          <w:rFonts w:hint="eastAsia"/>
          <w:color w:val="auto"/>
          <w:highlight w:val="none"/>
        </w:rPr>
        <w:t>异议方式</w:t>
      </w:r>
      <w:bookmarkEnd w:id="147"/>
    </w:p>
    <w:p>
      <w:pPr>
        <w:pStyle w:val="23"/>
        <w:keepNext w:val="0"/>
        <w:keepLines w:val="0"/>
        <w:spacing w:line="336" w:lineRule="auto"/>
        <w:ind w:firstLine="422" w:firstLineChars="200"/>
        <w:outlineLvl w:val="9"/>
        <w:rPr>
          <w:color w:val="auto"/>
          <w:sz w:val="21"/>
          <w:szCs w:val="15"/>
          <w:highlight w:val="none"/>
        </w:rPr>
      </w:pPr>
      <w:bookmarkStart w:id="155" w:name="_Toc25658"/>
      <w:r>
        <w:rPr>
          <w:rFonts w:hint="eastAsia"/>
          <w:color w:val="auto"/>
          <w:sz w:val="21"/>
          <w:szCs w:val="15"/>
          <w:highlight w:val="none"/>
        </w:rPr>
        <w:t>潜在投标人或利害关系人对本招标公告及招标文件有异议的，向招标人书面提出。</w:t>
      </w:r>
      <w:bookmarkEnd w:id="155"/>
    </w:p>
    <w:p>
      <w:pPr>
        <w:pStyle w:val="23"/>
        <w:keepNext w:val="0"/>
        <w:keepLines w:val="0"/>
        <w:spacing w:line="336" w:lineRule="auto"/>
        <w:ind w:firstLine="420" w:firstLineChars="200"/>
        <w:outlineLvl w:val="9"/>
        <w:rPr>
          <w:b w:val="0"/>
          <w:bCs w:val="0"/>
          <w:color w:val="auto"/>
          <w:sz w:val="21"/>
          <w:szCs w:val="15"/>
          <w:highlight w:val="none"/>
          <w:u w:val="single"/>
        </w:rPr>
      </w:pPr>
      <w:bookmarkStart w:id="156" w:name="_Toc29841"/>
      <w:r>
        <w:rPr>
          <w:rFonts w:hint="eastAsia"/>
          <w:b w:val="0"/>
          <w:bCs w:val="0"/>
          <w:color w:val="auto"/>
          <w:sz w:val="21"/>
          <w:szCs w:val="15"/>
          <w:highlight w:val="none"/>
        </w:rPr>
        <w:t>异议受理部门：</w:t>
      </w:r>
      <w:bookmarkEnd w:id="156"/>
      <w:r>
        <w:rPr>
          <w:rFonts w:hint="eastAsia"/>
          <w:b w:val="0"/>
          <w:bCs w:val="0"/>
          <w:color w:val="auto"/>
          <w:sz w:val="21"/>
          <w:szCs w:val="15"/>
          <w:highlight w:val="none"/>
          <w:u w:val="single"/>
        </w:rPr>
        <w:t>广州市番禺区石碁镇人民政府</w:t>
      </w:r>
    </w:p>
    <w:p>
      <w:pPr>
        <w:pStyle w:val="23"/>
        <w:keepNext w:val="0"/>
        <w:keepLines w:val="0"/>
        <w:spacing w:line="336" w:lineRule="auto"/>
        <w:ind w:firstLine="420" w:firstLineChars="200"/>
        <w:outlineLvl w:val="9"/>
        <w:rPr>
          <w:rFonts w:hint="eastAsia"/>
          <w:b w:val="0"/>
          <w:bCs w:val="0"/>
          <w:color w:val="auto"/>
          <w:sz w:val="21"/>
          <w:szCs w:val="15"/>
          <w:highlight w:val="none"/>
          <w:u w:val="single"/>
        </w:rPr>
      </w:pPr>
      <w:bookmarkStart w:id="157" w:name="_Toc25873"/>
      <w:r>
        <w:rPr>
          <w:rFonts w:hint="eastAsia"/>
          <w:b w:val="0"/>
          <w:bCs w:val="0"/>
          <w:color w:val="auto"/>
          <w:sz w:val="21"/>
          <w:szCs w:val="15"/>
          <w:highlight w:val="none"/>
        </w:rPr>
        <w:t>异议受理电话：</w:t>
      </w:r>
      <w:bookmarkEnd w:id="157"/>
      <w:r>
        <w:rPr>
          <w:rFonts w:hint="eastAsia"/>
          <w:b w:val="0"/>
          <w:bCs w:val="0"/>
          <w:color w:val="auto"/>
          <w:sz w:val="21"/>
          <w:szCs w:val="15"/>
          <w:highlight w:val="none"/>
          <w:u w:val="single"/>
        </w:rPr>
        <w:t>020-31139513</w:t>
      </w:r>
    </w:p>
    <w:p>
      <w:pPr>
        <w:pStyle w:val="23"/>
        <w:keepNext w:val="0"/>
        <w:keepLines w:val="0"/>
        <w:spacing w:line="336" w:lineRule="auto"/>
        <w:ind w:firstLine="420" w:firstLineChars="200"/>
        <w:outlineLvl w:val="9"/>
        <w:rPr>
          <w:b w:val="0"/>
          <w:bCs w:val="0"/>
          <w:color w:val="auto"/>
          <w:sz w:val="21"/>
          <w:szCs w:val="15"/>
          <w:highlight w:val="none"/>
          <w:u w:val="single"/>
        </w:rPr>
      </w:pPr>
      <w:bookmarkStart w:id="158" w:name="_Toc31538"/>
      <w:r>
        <w:rPr>
          <w:rFonts w:hint="eastAsia"/>
          <w:b w:val="0"/>
          <w:bCs w:val="0"/>
          <w:color w:val="auto"/>
          <w:sz w:val="21"/>
          <w:szCs w:val="15"/>
          <w:highlight w:val="none"/>
        </w:rPr>
        <w:t>地址：</w:t>
      </w:r>
      <w:bookmarkEnd w:id="158"/>
      <w:r>
        <w:rPr>
          <w:rFonts w:hint="eastAsia"/>
          <w:b w:val="0"/>
          <w:bCs w:val="0"/>
          <w:color w:val="auto"/>
          <w:sz w:val="21"/>
          <w:szCs w:val="15"/>
          <w:highlight w:val="none"/>
          <w:u w:val="single"/>
        </w:rPr>
        <w:t>番禺区石碁镇岐山南路8号</w:t>
      </w:r>
    </w:p>
    <w:p>
      <w:pPr>
        <w:pStyle w:val="23"/>
        <w:keepNext w:val="0"/>
        <w:keepLines w:val="0"/>
        <w:spacing w:line="336" w:lineRule="auto"/>
        <w:ind w:firstLine="420" w:firstLineChars="200"/>
        <w:outlineLvl w:val="9"/>
        <w:rPr>
          <w:b w:val="0"/>
          <w:bCs w:val="0"/>
          <w:color w:val="auto"/>
          <w:sz w:val="21"/>
          <w:szCs w:val="15"/>
          <w:highlight w:val="none"/>
        </w:rPr>
      </w:pPr>
      <w:bookmarkStart w:id="159" w:name="_Toc23904"/>
      <w:r>
        <w:rPr>
          <w:rFonts w:hint="eastAsia"/>
          <w:b w:val="0"/>
          <w:bCs w:val="0"/>
          <w:color w:val="auto"/>
          <w:sz w:val="21"/>
          <w:szCs w:val="15"/>
          <w:highlight w:val="none"/>
        </w:rPr>
        <w:t>注：潜在投标人或利害关系人可以通过线下或线上的形式提出异议。线上提出异议的，应通过电子交易平台提交，招标人也应通过电子交易平台答复线上提出的异议。具体按照电子交易平台相关指南进行操作。作出答复前，应当暂停招标投标活动。</w:t>
      </w:r>
      <w:bookmarkEnd w:id="159"/>
    </w:p>
    <w:p>
      <w:pPr>
        <w:pStyle w:val="23"/>
        <w:keepNext w:val="0"/>
        <w:keepLines w:val="0"/>
        <w:spacing w:line="336" w:lineRule="auto"/>
        <w:outlineLvl w:val="2"/>
        <w:rPr>
          <w:color w:val="auto"/>
          <w:highlight w:val="none"/>
        </w:rPr>
      </w:pPr>
      <w:bookmarkStart w:id="160" w:name="_Toc30424"/>
      <w:r>
        <w:rPr>
          <w:rFonts w:hint="eastAsia"/>
          <w:color w:val="auto"/>
          <w:highlight w:val="none"/>
        </w:rPr>
        <w:t>10.联系方式</w:t>
      </w:r>
      <w:bookmarkEnd w:id="137"/>
      <w:bookmarkEnd w:id="138"/>
      <w:bookmarkEnd w:id="139"/>
      <w:bookmarkEnd w:id="140"/>
      <w:bookmarkEnd w:id="141"/>
      <w:bookmarkEnd w:id="142"/>
      <w:bookmarkEnd w:id="143"/>
      <w:bookmarkEnd w:id="144"/>
      <w:bookmarkEnd w:id="145"/>
      <w:bookmarkEnd w:id="146"/>
      <w:bookmarkEnd w:id="148"/>
      <w:bookmarkEnd w:id="149"/>
      <w:bookmarkEnd w:id="150"/>
      <w:bookmarkEnd w:id="151"/>
      <w:bookmarkEnd w:id="152"/>
      <w:bookmarkEnd w:id="153"/>
      <w:bookmarkEnd w:id="154"/>
      <w:bookmarkEnd w:id="160"/>
    </w:p>
    <w:p>
      <w:pPr>
        <w:topLinePunct/>
        <w:spacing w:line="336" w:lineRule="auto"/>
        <w:ind w:firstLine="420" w:firstLineChars="200"/>
        <w:rPr>
          <w:rFonts w:ascii="宋体" w:hAnsi="宋体" w:cs="宋体"/>
          <w:color w:val="auto"/>
          <w:szCs w:val="21"/>
          <w:highlight w:val="none"/>
        </w:rPr>
      </w:pPr>
      <w:bookmarkStart w:id="161" w:name="_Toc221949942"/>
      <w:r>
        <w:rPr>
          <w:rFonts w:hint="eastAsia" w:ascii="宋体" w:hAnsi="宋体" w:cs="宋体"/>
          <w:color w:val="auto"/>
          <w:szCs w:val="21"/>
          <w:highlight w:val="none"/>
        </w:rPr>
        <w:t>招 标 人：广州市番禺区石碁镇人民政府       招标代理机构：</w:t>
      </w:r>
      <w:bookmarkEnd w:id="161"/>
      <w:r>
        <w:rPr>
          <w:rFonts w:hint="eastAsia" w:ascii="宋体" w:hAnsi="宋体" w:cs="宋体"/>
          <w:color w:val="auto"/>
          <w:szCs w:val="21"/>
          <w:highlight w:val="none"/>
        </w:rPr>
        <w:t>广东粤能工程管理有限公司</w:t>
      </w:r>
    </w:p>
    <w:p>
      <w:pPr>
        <w:topLinePunct/>
        <w:spacing w:line="336" w:lineRule="auto"/>
        <w:ind w:firstLine="420" w:firstLineChars="200"/>
        <w:rPr>
          <w:rFonts w:ascii="宋体" w:hAnsi="宋体" w:cs="宋体"/>
          <w:color w:val="auto"/>
          <w:szCs w:val="21"/>
          <w:highlight w:val="none"/>
        </w:rPr>
      </w:pPr>
      <w:bookmarkStart w:id="162" w:name="_Toc221949943"/>
      <w:r>
        <w:rPr>
          <w:rFonts w:hint="eastAsia" w:ascii="宋体" w:hAnsi="宋体" w:cs="宋体"/>
          <w:color w:val="auto"/>
          <w:szCs w:val="21"/>
          <w:highlight w:val="none"/>
        </w:rPr>
        <w:t>地    址：番禺区石碁镇岐山南路8号</w:t>
      </w:r>
      <w:r>
        <w:rPr>
          <w:rFonts w:hint="eastAsia" w:ascii="宋体" w:hAnsi="宋体" w:cs="宋体"/>
          <w:color w:val="auto"/>
          <w:szCs w:val="21"/>
          <w:highlight w:val="none"/>
        </w:rPr>
        <w:tab/>
      </w:r>
      <w:r>
        <w:rPr>
          <w:rFonts w:hint="eastAsia" w:ascii="宋体" w:hAnsi="宋体" w:cs="宋体"/>
          <w:color w:val="auto"/>
          <w:szCs w:val="21"/>
          <w:highlight w:val="none"/>
        </w:rPr>
        <w:t xml:space="preserve">       地    址：</w:t>
      </w:r>
      <w:bookmarkEnd w:id="162"/>
      <w:r>
        <w:rPr>
          <w:rFonts w:hint="eastAsia" w:ascii="宋体" w:hAnsi="宋体" w:cs="宋体"/>
          <w:color w:val="auto"/>
          <w:szCs w:val="21"/>
          <w:highlight w:val="none"/>
        </w:rPr>
        <w:t>番禺区南堤东路668号三楼</w:t>
      </w:r>
    </w:p>
    <w:p>
      <w:pPr>
        <w:topLinePunct/>
        <w:spacing w:line="336" w:lineRule="auto"/>
        <w:ind w:firstLine="420" w:firstLineChars="200"/>
        <w:rPr>
          <w:rFonts w:ascii="宋体" w:hAnsi="宋体" w:cs="宋体"/>
          <w:color w:val="auto"/>
          <w:szCs w:val="21"/>
          <w:highlight w:val="none"/>
        </w:rPr>
      </w:pPr>
      <w:bookmarkStart w:id="163" w:name="_Toc221949944"/>
      <w:r>
        <w:rPr>
          <w:rFonts w:hint="eastAsia" w:ascii="宋体" w:hAnsi="宋体" w:cs="宋体"/>
          <w:color w:val="auto"/>
          <w:szCs w:val="21"/>
          <w:highlight w:val="none"/>
        </w:rPr>
        <w:t>邮    编：                                 邮    编：</w:t>
      </w:r>
      <w:bookmarkEnd w:id="163"/>
    </w:p>
    <w:p>
      <w:pPr>
        <w:topLinePunct/>
        <w:spacing w:line="336" w:lineRule="auto"/>
        <w:ind w:firstLine="420" w:firstLineChars="200"/>
        <w:rPr>
          <w:rFonts w:ascii="宋体" w:hAnsi="宋体" w:cs="宋体"/>
          <w:color w:val="auto"/>
          <w:szCs w:val="21"/>
          <w:highlight w:val="none"/>
        </w:rPr>
      </w:pPr>
      <w:bookmarkStart w:id="164" w:name="_Toc221949945"/>
      <w:r>
        <w:rPr>
          <w:rFonts w:hint="eastAsia" w:ascii="宋体" w:hAnsi="宋体" w:cs="宋体"/>
          <w:color w:val="auto"/>
          <w:szCs w:val="21"/>
          <w:highlight w:val="none"/>
        </w:rPr>
        <w:t>联 系 人：杨工                             联 系 人：</w:t>
      </w:r>
      <w:bookmarkEnd w:id="164"/>
      <w:r>
        <w:rPr>
          <w:rFonts w:hint="eastAsia" w:ascii="宋体" w:hAnsi="宋体" w:cs="宋体"/>
          <w:color w:val="auto"/>
          <w:szCs w:val="21"/>
          <w:highlight w:val="none"/>
        </w:rPr>
        <w:t>许工</w:t>
      </w:r>
    </w:p>
    <w:p>
      <w:pPr>
        <w:topLinePunct/>
        <w:spacing w:line="336" w:lineRule="auto"/>
        <w:ind w:firstLine="420" w:firstLineChars="200"/>
        <w:rPr>
          <w:rFonts w:ascii="宋体" w:hAnsi="宋体" w:cs="宋体"/>
          <w:color w:val="auto"/>
          <w:szCs w:val="21"/>
          <w:highlight w:val="none"/>
        </w:rPr>
      </w:pPr>
      <w:bookmarkStart w:id="165" w:name="_Toc221949946"/>
      <w:r>
        <w:rPr>
          <w:rFonts w:hint="eastAsia" w:ascii="宋体" w:hAnsi="宋体" w:cs="宋体"/>
          <w:color w:val="auto"/>
          <w:szCs w:val="21"/>
          <w:highlight w:val="none"/>
        </w:rPr>
        <w:t>电    话：020-31139513                     电    话：</w:t>
      </w:r>
      <w:bookmarkEnd w:id="165"/>
      <w:r>
        <w:rPr>
          <w:rFonts w:hint="eastAsia" w:ascii="宋体" w:hAnsi="宋体" w:cs="宋体"/>
          <w:color w:val="auto"/>
          <w:szCs w:val="21"/>
          <w:highlight w:val="none"/>
        </w:rPr>
        <w:t>020-34618798/13070216361</w:t>
      </w:r>
    </w:p>
    <w:p>
      <w:pPr>
        <w:topLinePunct/>
        <w:spacing w:line="336" w:lineRule="auto"/>
        <w:ind w:firstLine="420" w:firstLineChars="200"/>
        <w:rPr>
          <w:rFonts w:ascii="宋体" w:hAnsi="宋体" w:cs="宋体"/>
          <w:color w:val="auto"/>
          <w:szCs w:val="21"/>
          <w:highlight w:val="none"/>
        </w:rPr>
      </w:pPr>
      <w:bookmarkStart w:id="166" w:name="_Toc221949947"/>
      <w:r>
        <w:rPr>
          <w:rFonts w:hint="eastAsia" w:ascii="宋体" w:hAnsi="宋体" w:cs="宋体"/>
          <w:color w:val="auto"/>
          <w:szCs w:val="21"/>
          <w:highlight w:val="none"/>
        </w:rPr>
        <w:t>传    真：                                 传    真：</w:t>
      </w:r>
      <w:bookmarkEnd w:id="166"/>
    </w:p>
    <w:p>
      <w:pPr>
        <w:topLinePunct/>
        <w:spacing w:line="336" w:lineRule="auto"/>
        <w:ind w:firstLine="420" w:firstLineChars="200"/>
        <w:rPr>
          <w:rFonts w:ascii="宋体" w:hAnsi="宋体" w:cs="宋体"/>
          <w:color w:val="auto"/>
          <w:szCs w:val="21"/>
          <w:highlight w:val="none"/>
        </w:rPr>
      </w:pPr>
      <w:bookmarkStart w:id="167" w:name="_Toc221949948"/>
      <w:r>
        <w:rPr>
          <w:rFonts w:hint="eastAsia" w:ascii="宋体" w:hAnsi="宋体" w:cs="宋体"/>
          <w:color w:val="auto"/>
          <w:szCs w:val="21"/>
          <w:highlight w:val="none"/>
        </w:rPr>
        <w:t>电子邮件：                                 电子邮件：</w:t>
      </w:r>
      <w:bookmarkEnd w:id="167"/>
    </w:p>
    <w:p>
      <w:pPr>
        <w:topLinePunct/>
        <w:spacing w:line="336" w:lineRule="auto"/>
        <w:ind w:firstLine="420" w:firstLineChars="200"/>
        <w:rPr>
          <w:rFonts w:ascii="宋体" w:hAnsi="宋体" w:cs="宋体"/>
          <w:color w:val="auto"/>
          <w:szCs w:val="21"/>
          <w:highlight w:val="none"/>
        </w:rPr>
      </w:pPr>
      <w:bookmarkStart w:id="168" w:name="_Toc221949949"/>
      <w:r>
        <w:rPr>
          <w:rFonts w:hint="eastAsia" w:ascii="宋体" w:hAnsi="宋体" w:cs="宋体"/>
          <w:color w:val="auto"/>
          <w:szCs w:val="21"/>
          <w:highlight w:val="none"/>
        </w:rPr>
        <w:t>网    址：                                 网    址：</w:t>
      </w:r>
      <w:bookmarkEnd w:id="168"/>
    </w:p>
    <w:p>
      <w:pPr>
        <w:spacing w:line="336" w:lineRule="auto"/>
        <w:rPr>
          <w:rFonts w:ascii="宋体" w:hAnsi="宋体" w:cs="宋体"/>
          <w:color w:val="auto"/>
          <w:szCs w:val="21"/>
          <w:highlight w:val="none"/>
        </w:rPr>
      </w:pPr>
    </w:p>
    <w:p>
      <w:pPr>
        <w:pStyle w:val="35"/>
        <w:spacing w:line="336" w:lineRule="auto"/>
        <w:rPr>
          <w:color w:val="auto"/>
          <w:highlight w:val="none"/>
        </w:rPr>
      </w:pPr>
    </w:p>
    <w:p>
      <w:pPr>
        <w:topLinePunct/>
        <w:spacing w:line="336" w:lineRule="auto"/>
        <w:ind w:firstLine="420" w:firstLineChars="200"/>
        <w:rPr>
          <w:rFonts w:ascii="宋体" w:hAnsi="宋体" w:cs="宋体"/>
          <w:color w:val="auto"/>
          <w:szCs w:val="21"/>
          <w:highlight w:val="none"/>
        </w:rPr>
      </w:pPr>
    </w:p>
    <w:p>
      <w:pPr>
        <w:topLinePunct/>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招标监督机构：广州市番禺区建设工程招标管理办公室</w:t>
      </w:r>
    </w:p>
    <w:p>
      <w:pPr>
        <w:topLinePunct/>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监督电话：020-84892221</w:t>
      </w:r>
    </w:p>
    <w:p>
      <w:pPr>
        <w:topLinePunct/>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联系地址：广州市番禺区沙头街景观大道南住建局二楼</w:t>
      </w:r>
    </w:p>
    <w:p>
      <w:pPr>
        <w:pStyle w:val="35"/>
        <w:spacing w:line="336" w:lineRule="auto"/>
        <w:rPr>
          <w:color w:val="auto"/>
          <w:highlight w:val="none"/>
        </w:rPr>
      </w:pPr>
    </w:p>
    <w:p>
      <w:pPr>
        <w:spacing w:line="336" w:lineRule="auto"/>
        <w:rPr>
          <w:rFonts w:ascii="宋体" w:hAnsi="宋体" w:cs="宋体"/>
          <w:color w:val="auto"/>
          <w:szCs w:val="21"/>
          <w:highlight w:val="none"/>
        </w:rPr>
      </w:pPr>
      <w:r>
        <w:rPr>
          <w:rFonts w:hint="eastAsia" w:ascii="宋体" w:hAnsi="宋体" w:cs="宋体"/>
          <w:color w:val="auto"/>
          <w:szCs w:val="21"/>
          <w:highlight w:val="none"/>
        </w:rPr>
        <w:t>　　　　　　　　　　　　　　　　　　　　　　　　　</w:t>
      </w:r>
      <w:bookmarkStart w:id="169" w:name="_Toc221949952"/>
      <w:r>
        <w:rPr>
          <w:rFonts w:hint="eastAsia" w:ascii="宋体" w:hAnsi="宋体" w:cs="宋体"/>
          <w:color w:val="auto"/>
          <w:szCs w:val="21"/>
          <w:highlight w:val="non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日</w:t>
      </w:r>
      <w:bookmarkEnd w:id="169"/>
    </w:p>
    <w:p>
      <w:pPr>
        <w:spacing w:line="336" w:lineRule="auto"/>
        <w:rPr>
          <w:rFonts w:ascii="宋体" w:hAnsi="宋体" w:cs="宋体"/>
          <w:color w:val="auto"/>
          <w:szCs w:val="21"/>
          <w:highlight w:val="none"/>
        </w:rPr>
      </w:pPr>
    </w:p>
    <w:p>
      <w:pPr>
        <w:spacing w:line="336" w:lineRule="auto"/>
        <w:ind w:left="900" w:hanging="900" w:hangingChars="450"/>
        <w:rPr>
          <w:rFonts w:ascii="宋体" w:hAnsi="宋体" w:cs="宋体"/>
          <w:color w:val="auto"/>
          <w:sz w:val="20"/>
          <w:szCs w:val="20"/>
          <w:highlight w:val="none"/>
        </w:rPr>
      </w:pPr>
      <w:r>
        <w:rPr>
          <w:rFonts w:hint="eastAsia" w:ascii="宋体" w:hAnsi="宋体" w:cs="宋体"/>
          <w:color w:val="auto"/>
          <w:sz w:val="20"/>
          <w:szCs w:val="20"/>
          <w:highlight w:val="none"/>
        </w:rPr>
        <w:t>备注：</w:t>
      </w:r>
      <w:r>
        <w:rPr>
          <w:rFonts w:hint="eastAsia" w:cs="宋体"/>
          <w:color w:val="auto"/>
          <w:sz w:val="20"/>
          <w:szCs w:val="20"/>
          <w:highlight w:val="none"/>
        </w:rPr>
        <w:t>1</w:t>
      </w:r>
      <w:r>
        <w:rPr>
          <w:rFonts w:hint="eastAsia" w:ascii="宋体" w:hAnsi="宋体" w:cs="宋体"/>
          <w:color w:val="auto"/>
          <w:sz w:val="20"/>
          <w:szCs w:val="20"/>
          <w:highlight w:val="none"/>
        </w:rPr>
        <w:t>. 投标人拟派的项目负责人（建造师）（下同）不得同时担任两个及以上建设工程项目的项目负责人（项目负责人）。存在下列情形之一的，视为未担任其他在建工程项目的项目负责人：（</w:t>
      </w:r>
      <w:r>
        <w:rPr>
          <w:rFonts w:hint="eastAsia" w:cs="宋体"/>
          <w:color w:val="auto"/>
          <w:sz w:val="20"/>
          <w:szCs w:val="20"/>
          <w:highlight w:val="none"/>
        </w:rPr>
        <w:t>1</w:t>
      </w:r>
      <w:r>
        <w:rPr>
          <w:rFonts w:hint="eastAsia" w:ascii="宋体" w:hAnsi="宋体" w:cs="宋体"/>
          <w:color w:val="auto"/>
          <w:sz w:val="20"/>
          <w:szCs w:val="20"/>
          <w:highlight w:val="none"/>
        </w:rPr>
        <w:t>）同一工程相邻分段发包或分期施工的;（</w:t>
      </w:r>
      <w:r>
        <w:rPr>
          <w:rFonts w:hint="eastAsia" w:cs="宋体"/>
          <w:color w:val="auto"/>
          <w:sz w:val="20"/>
          <w:szCs w:val="20"/>
          <w:highlight w:val="none"/>
        </w:rPr>
        <w:t>2</w:t>
      </w:r>
      <w:r>
        <w:rPr>
          <w:rFonts w:hint="eastAsia" w:ascii="宋体" w:hAnsi="宋体" w:cs="宋体"/>
          <w:color w:val="auto"/>
          <w:sz w:val="20"/>
          <w:szCs w:val="20"/>
          <w:highlight w:val="none"/>
        </w:rPr>
        <w:t>）合同约定的工程验收合格的；（</w:t>
      </w:r>
      <w:r>
        <w:rPr>
          <w:rFonts w:hint="eastAsia" w:cs="宋体"/>
          <w:color w:val="auto"/>
          <w:sz w:val="20"/>
          <w:szCs w:val="20"/>
          <w:highlight w:val="none"/>
        </w:rPr>
        <w:t>3</w:t>
      </w:r>
      <w:r>
        <w:rPr>
          <w:rFonts w:hint="eastAsia" w:ascii="宋体" w:hAnsi="宋体" w:cs="宋体"/>
          <w:color w:val="auto"/>
          <w:sz w:val="20"/>
          <w:szCs w:val="20"/>
          <w:highlight w:val="none"/>
        </w:rPr>
        <w:t>）因非承包方原因致使工程项目停工超过</w:t>
      </w:r>
      <w:r>
        <w:rPr>
          <w:rFonts w:hint="eastAsia" w:cs="宋体"/>
          <w:color w:val="auto"/>
          <w:sz w:val="20"/>
          <w:szCs w:val="20"/>
          <w:highlight w:val="none"/>
        </w:rPr>
        <w:t>120</w:t>
      </w:r>
      <w:r>
        <w:rPr>
          <w:rFonts w:hint="eastAsia" w:ascii="宋体" w:hAnsi="宋体" w:cs="宋体"/>
          <w:color w:val="auto"/>
          <w:sz w:val="20"/>
          <w:szCs w:val="20"/>
          <w:highlight w:val="none"/>
        </w:rPr>
        <w:t>天（含），经建设单位同意的。</w:t>
      </w:r>
    </w:p>
    <w:p>
      <w:pPr>
        <w:numPr>
          <w:ilvl w:val="0"/>
          <w:numId w:val="2"/>
        </w:numPr>
        <w:spacing w:line="336" w:lineRule="auto"/>
        <w:ind w:left="930" w:leftChars="300" w:hanging="300" w:hangingChars="150"/>
        <w:rPr>
          <w:rFonts w:ascii="宋体" w:hAnsi="宋体" w:cs="宋体"/>
          <w:color w:val="auto"/>
          <w:sz w:val="20"/>
          <w:szCs w:val="20"/>
          <w:highlight w:val="none"/>
        </w:rPr>
      </w:pPr>
      <w:r>
        <w:rPr>
          <w:rFonts w:hint="eastAsia" w:ascii="宋体" w:hAnsi="宋体" w:cs="宋体"/>
          <w:color w:val="auto"/>
          <w:sz w:val="20"/>
          <w:szCs w:val="20"/>
          <w:highlight w:val="none"/>
        </w:rPr>
        <w:t>“在所投标段免费下载招标文件”是指投标人拟参加某标段投标的，应按规定下载该标段的招标文件。投标人的下载活动“电子交易平台”将予以记录，并可在“下载情况查询”中查看，该记录作为投标人是否下载该标段招标文件的依据。</w:t>
      </w:r>
      <w:bookmarkEnd w:id="1"/>
      <w:bookmarkEnd w:id="2"/>
      <w:bookmarkEnd w:id="3"/>
      <w:bookmarkEnd w:id="4"/>
      <w:bookmarkEnd w:id="5"/>
      <w:bookmarkEnd w:id="6"/>
      <w:bookmarkEnd w:id="7"/>
      <w:bookmarkEnd w:id="8"/>
      <w:bookmarkEnd w:id="9"/>
    </w:p>
    <w:sectPr>
      <w:footerReference r:id="rId4" w:type="default"/>
      <w:pgSz w:w="11906" w:h="16838"/>
      <w:pgMar w:top="2098" w:right="1446" w:bottom="1984" w:left="1446" w:header="851" w:footer="1446"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pPr>
                  <w:pStyle w:val="1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183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1"/>
      </w:pPr>
      <w:r>
        <w:rPr>
          <w:rStyle w:val="34"/>
        </w:rPr>
        <w:footnoteRef/>
      </w:r>
      <w:r>
        <w:t xml:space="preserve"> </w:t>
      </w:r>
      <w:r>
        <w:rPr>
          <w:rFonts w:hint="eastAsia"/>
        </w:rPr>
        <w:t>由招标人根据项目实际情况选择，如总价包干、综合单价包干。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537DB"/>
    <w:multiLevelType w:val="singleLevel"/>
    <w:tmpl w:val="962537DB"/>
    <w:lvl w:ilvl="0" w:tentative="0">
      <w:start w:val="2"/>
      <w:numFmt w:val="decimal"/>
      <w:suff w:val="space"/>
      <w:lvlText w:val="%1."/>
      <w:lvlJc w:val="left"/>
    </w:lvl>
  </w:abstractNum>
  <w:abstractNum w:abstractNumId="1">
    <w:nsid w:val="FBE30CE4"/>
    <w:multiLevelType w:val="singleLevel"/>
    <w:tmpl w:val="FBE30CE4"/>
    <w:lvl w:ilvl="0" w:tentative="0">
      <w:start w:val="9"/>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HorizontalSpacing w:val="210"/>
  <w:drawingGridVerticalSpacing w:val="156"/>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hM2UxNmM1NWM4ZTg3NDRkOTNhYmE1MmUyOGRhMjMifQ=="/>
    <w:docVar w:name="KSO_WPS_MARK_KEY" w:val="8c213cd5-58e9-47ee-b71b-c99fd61ab990"/>
  </w:docVars>
  <w:rsids>
    <w:rsidRoot w:val="00172A27"/>
    <w:rsid w:val="00002BC5"/>
    <w:rsid w:val="00066EBC"/>
    <w:rsid w:val="00172A27"/>
    <w:rsid w:val="00192755"/>
    <w:rsid w:val="001C247B"/>
    <w:rsid w:val="0023497A"/>
    <w:rsid w:val="003D64E4"/>
    <w:rsid w:val="004277C9"/>
    <w:rsid w:val="004C300E"/>
    <w:rsid w:val="00535E7A"/>
    <w:rsid w:val="006360BD"/>
    <w:rsid w:val="006601D4"/>
    <w:rsid w:val="006A79C6"/>
    <w:rsid w:val="00787AE3"/>
    <w:rsid w:val="007A3406"/>
    <w:rsid w:val="00847DE1"/>
    <w:rsid w:val="009764F5"/>
    <w:rsid w:val="00B71F65"/>
    <w:rsid w:val="00C44682"/>
    <w:rsid w:val="00D0337D"/>
    <w:rsid w:val="00E24F82"/>
    <w:rsid w:val="00F431B9"/>
    <w:rsid w:val="00F92462"/>
    <w:rsid w:val="014557C2"/>
    <w:rsid w:val="0167398B"/>
    <w:rsid w:val="016904FA"/>
    <w:rsid w:val="017716F4"/>
    <w:rsid w:val="01993D60"/>
    <w:rsid w:val="019B3634"/>
    <w:rsid w:val="01AC3A93"/>
    <w:rsid w:val="01AF0E8E"/>
    <w:rsid w:val="01BA528A"/>
    <w:rsid w:val="01CA5F1D"/>
    <w:rsid w:val="01CE61B8"/>
    <w:rsid w:val="01D04EC2"/>
    <w:rsid w:val="01E21263"/>
    <w:rsid w:val="01E4322D"/>
    <w:rsid w:val="01F40F97"/>
    <w:rsid w:val="02186A33"/>
    <w:rsid w:val="021F4265"/>
    <w:rsid w:val="022573A2"/>
    <w:rsid w:val="022830E4"/>
    <w:rsid w:val="02663C42"/>
    <w:rsid w:val="02683895"/>
    <w:rsid w:val="029D33DC"/>
    <w:rsid w:val="029F53A6"/>
    <w:rsid w:val="02A1299B"/>
    <w:rsid w:val="02C31095"/>
    <w:rsid w:val="02C866AB"/>
    <w:rsid w:val="02E64D83"/>
    <w:rsid w:val="02ED1C6E"/>
    <w:rsid w:val="030D2310"/>
    <w:rsid w:val="03154D78"/>
    <w:rsid w:val="03260241"/>
    <w:rsid w:val="033248DF"/>
    <w:rsid w:val="034C45ED"/>
    <w:rsid w:val="03561F09"/>
    <w:rsid w:val="037633B5"/>
    <w:rsid w:val="037B196F"/>
    <w:rsid w:val="03800D34"/>
    <w:rsid w:val="038D16A3"/>
    <w:rsid w:val="03AF18D1"/>
    <w:rsid w:val="03B60BF9"/>
    <w:rsid w:val="03E219EE"/>
    <w:rsid w:val="03EE33CD"/>
    <w:rsid w:val="042E253E"/>
    <w:rsid w:val="0438160E"/>
    <w:rsid w:val="043B10FF"/>
    <w:rsid w:val="0451447E"/>
    <w:rsid w:val="0456200F"/>
    <w:rsid w:val="04635904"/>
    <w:rsid w:val="0477734B"/>
    <w:rsid w:val="04787C5D"/>
    <w:rsid w:val="048D4117"/>
    <w:rsid w:val="04A31AD1"/>
    <w:rsid w:val="04A70542"/>
    <w:rsid w:val="04A722F0"/>
    <w:rsid w:val="04A81553"/>
    <w:rsid w:val="04AE722E"/>
    <w:rsid w:val="04C174DB"/>
    <w:rsid w:val="04E716C3"/>
    <w:rsid w:val="05164A25"/>
    <w:rsid w:val="05453FE3"/>
    <w:rsid w:val="055C757F"/>
    <w:rsid w:val="057E1C87"/>
    <w:rsid w:val="0583671B"/>
    <w:rsid w:val="05B64EE1"/>
    <w:rsid w:val="05C328E8"/>
    <w:rsid w:val="05CA273A"/>
    <w:rsid w:val="05FA70D2"/>
    <w:rsid w:val="05FD39CC"/>
    <w:rsid w:val="06007F0A"/>
    <w:rsid w:val="061D0ABC"/>
    <w:rsid w:val="0631401F"/>
    <w:rsid w:val="064F2C3F"/>
    <w:rsid w:val="06A42F8B"/>
    <w:rsid w:val="06A55DD7"/>
    <w:rsid w:val="06BC02D5"/>
    <w:rsid w:val="06BD229F"/>
    <w:rsid w:val="06D01FD2"/>
    <w:rsid w:val="06E723F8"/>
    <w:rsid w:val="07124C61"/>
    <w:rsid w:val="071D4AEC"/>
    <w:rsid w:val="0721282E"/>
    <w:rsid w:val="072A7934"/>
    <w:rsid w:val="073360BD"/>
    <w:rsid w:val="07351E35"/>
    <w:rsid w:val="07391925"/>
    <w:rsid w:val="07893F2F"/>
    <w:rsid w:val="07A5520D"/>
    <w:rsid w:val="07AF3996"/>
    <w:rsid w:val="07CC279A"/>
    <w:rsid w:val="07D92C60"/>
    <w:rsid w:val="07DB29DD"/>
    <w:rsid w:val="07E1193E"/>
    <w:rsid w:val="080737D2"/>
    <w:rsid w:val="081D1247"/>
    <w:rsid w:val="082425D6"/>
    <w:rsid w:val="08320F44"/>
    <w:rsid w:val="08393E73"/>
    <w:rsid w:val="084F5B93"/>
    <w:rsid w:val="086B1627"/>
    <w:rsid w:val="08732C15"/>
    <w:rsid w:val="088B72CA"/>
    <w:rsid w:val="088E3EF3"/>
    <w:rsid w:val="08A90D2D"/>
    <w:rsid w:val="08BB0570"/>
    <w:rsid w:val="08C62A6B"/>
    <w:rsid w:val="08D631A4"/>
    <w:rsid w:val="08ED5152"/>
    <w:rsid w:val="08EF3D5E"/>
    <w:rsid w:val="0911242E"/>
    <w:rsid w:val="091268D2"/>
    <w:rsid w:val="091826ED"/>
    <w:rsid w:val="092403B3"/>
    <w:rsid w:val="092E1232"/>
    <w:rsid w:val="093305F6"/>
    <w:rsid w:val="09414AC1"/>
    <w:rsid w:val="096F267D"/>
    <w:rsid w:val="09780862"/>
    <w:rsid w:val="098F309D"/>
    <w:rsid w:val="09992B4F"/>
    <w:rsid w:val="099F5C8C"/>
    <w:rsid w:val="09AA1703"/>
    <w:rsid w:val="09AD65FB"/>
    <w:rsid w:val="09BE4364"/>
    <w:rsid w:val="09CD0A4B"/>
    <w:rsid w:val="09CD27F9"/>
    <w:rsid w:val="09E162A4"/>
    <w:rsid w:val="09F922B8"/>
    <w:rsid w:val="0A1042DF"/>
    <w:rsid w:val="0A1270CD"/>
    <w:rsid w:val="0A232A84"/>
    <w:rsid w:val="0A36214C"/>
    <w:rsid w:val="0A766CF7"/>
    <w:rsid w:val="0A932C40"/>
    <w:rsid w:val="0AAE262A"/>
    <w:rsid w:val="0ACA6D38"/>
    <w:rsid w:val="0ACC485F"/>
    <w:rsid w:val="0ADD4CBE"/>
    <w:rsid w:val="0AE147AE"/>
    <w:rsid w:val="0AF81AF7"/>
    <w:rsid w:val="0B0E540E"/>
    <w:rsid w:val="0B106E41"/>
    <w:rsid w:val="0B325009"/>
    <w:rsid w:val="0B863E3A"/>
    <w:rsid w:val="0B892750"/>
    <w:rsid w:val="0B8B2716"/>
    <w:rsid w:val="0B8F20D5"/>
    <w:rsid w:val="0BCB2D68"/>
    <w:rsid w:val="0BEF6A57"/>
    <w:rsid w:val="0C112E71"/>
    <w:rsid w:val="0C130A69"/>
    <w:rsid w:val="0C1E558E"/>
    <w:rsid w:val="0C201306"/>
    <w:rsid w:val="0C2A2FC0"/>
    <w:rsid w:val="0C346B5F"/>
    <w:rsid w:val="0C5C0E42"/>
    <w:rsid w:val="0C67162D"/>
    <w:rsid w:val="0C692CAD"/>
    <w:rsid w:val="0C8768B4"/>
    <w:rsid w:val="0C886EAB"/>
    <w:rsid w:val="0CAA0BCF"/>
    <w:rsid w:val="0CB8153E"/>
    <w:rsid w:val="0CB90E13"/>
    <w:rsid w:val="0CC779D3"/>
    <w:rsid w:val="0CD41FCF"/>
    <w:rsid w:val="0CEE7D86"/>
    <w:rsid w:val="0CFF53BF"/>
    <w:rsid w:val="0D097FEC"/>
    <w:rsid w:val="0D0C188A"/>
    <w:rsid w:val="0D100AE1"/>
    <w:rsid w:val="0D200E92"/>
    <w:rsid w:val="0D3D1A44"/>
    <w:rsid w:val="0D415BDD"/>
    <w:rsid w:val="0D625687"/>
    <w:rsid w:val="0D755681"/>
    <w:rsid w:val="0D933D59"/>
    <w:rsid w:val="0D951880"/>
    <w:rsid w:val="0DB6133E"/>
    <w:rsid w:val="0DBD4932"/>
    <w:rsid w:val="0DC932D7"/>
    <w:rsid w:val="0DE01A63"/>
    <w:rsid w:val="0DF76096"/>
    <w:rsid w:val="0E046881"/>
    <w:rsid w:val="0E0D2764"/>
    <w:rsid w:val="0E1B13CE"/>
    <w:rsid w:val="0E3A41D5"/>
    <w:rsid w:val="0E666D78"/>
    <w:rsid w:val="0E792F4F"/>
    <w:rsid w:val="0E811E04"/>
    <w:rsid w:val="0E833DCE"/>
    <w:rsid w:val="0E8518F4"/>
    <w:rsid w:val="0EBA4906"/>
    <w:rsid w:val="0EC817E1"/>
    <w:rsid w:val="0ED939EE"/>
    <w:rsid w:val="0EE228A3"/>
    <w:rsid w:val="0EE86506"/>
    <w:rsid w:val="0EFD592E"/>
    <w:rsid w:val="0EFD76DC"/>
    <w:rsid w:val="0F2B20F7"/>
    <w:rsid w:val="0F2D7E01"/>
    <w:rsid w:val="0F36419E"/>
    <w:rsid w:val="0F4065BF"/>
    <w:rsid w:val="0F4C41C0"/>
    <w:rsid w:val="0F704240"/>
    <w:rsid w:val="0F762D63"/>
    <w:rsid w:val="0FA84832"/>
    <w:rsid w:val="0FAC4C5F"/>
    <w:rsid w:val="0FBD6E6C"/>
    <w:rsid w:val="0FC75A7C"/>
    <w:rsid w:val="10132AE3"/>
    <w:rsid w:val="1030763E"/>
    <w:rsid w:val="104355C3"/>
    <w:rsid w:val="107F4121"/>
    <w:rsid w:val="108300B5"/>
    <w:rsid w:val="108856CC"/>
    <w:rsid w:val="10914580"/>
    <w:rsid w:val="10A71E43"/>
    <w:rsid w:val="10AD31A6"/>
    <w:rsid w:val="10DC4A70"/>
    <w:rsid w:val="10F93ED3"/>
    <w:rsid w:val="11034D52"/>
    <w:rsid w:val="11072BC3"/>
    <w:rsid w:val="11157E34"/>
    <w:rsid w:val="11401B02"/>
    <w:rsid w:val="11403B5A"/>
    <w:rsid w:val="11517434"/>
    <w:rsid w:val="116A2D8F"/>
    <w:rsid w:val="116E041E"/>
    <w:rsid w:val="119500A0"/>
    <w:rsid w:val="11B80C55"/>
    <w:rsid w:val="11B83125"/>
    <w:rsid w:val="11C04407"/>
    <w:rsid w:val="11CB7AC7"/>
    <w:rsid w:val="11DF131B"/>
    <w:rsid w:val="11E338E1"/>
    <w:rsid w:val="11ED6F4D"/>
    <w:rsid w:val="11FA6155"/>
    <w:rsid w:val="120D0B4F"/>
    <w:rsid w:val="120E12B5"/>
    <w:rsid w:val="12137217"/>
    <w:rsid w:val="1226519C"/>
    <w:rsid w:val="12372F05"/>
    <w:rsid w:val="126C2491"/>
    <w:rsid w:val="12843C71"/>
    <w:rsid w:val="12955E7E"/>
    <w:rsid w:val="129A34E5"/>
    <w:rsid w:val="12AD3208"/>
    <w:rsid w:val="12BB001E"/>
    <w:rsid w:val="12C3110E"/>
    <w:rsid w:val="12E7256C"/>
    <w:rsid w:val="12EA3113"/>
    <w:rsid w:val="12EC1F42"/>
    <w:rsid w:val="12ED4198"/>
    <w:rsid w:val="12F01C1A"/>
    <w:rsid w:val="12F232D0"/>
    <w:rsid w:val="132911E1"/>
    <w:rsid w:val="132A2A6A"/>
    <w:rsid w:val="132C1119"/>
    <w:rsid w:val="132C4AE6"/>
    <w:rsid w:val="13370CE3"/>
    <w:rsid w:val="136917E4"/>
    <w:rsid w:val="136F4921"/>
    <w:rsid w:val="13883F55"/>
    <w:rsid w:val="138861F8"/>
    <w:rsid w:val="13961EAE"/>
    <w:rsid w:val="139C49F3"/>
    <w:rsid w:val="13B41253"/>
    <w:rsid w:val="13C22CA3"/>
    <w:rsid w:val="13DA0234"/>
    <w:rsid w:val="13F7615B"/>
    <w:rsid w:val="140E7C96"/>
    <w:rsid w:val="14237BE5"/>
    <w:rsid w:val="14432035"/>
    <w:rsid w:val="14677A73"/>
    <w:rsid w:val="146D1F67"/>
    <w:rsid w:val="146E57C9"/>
    <w:rsid w:val="14726477"/>
    <w:rsid w:val="14975EDD"/>
    <w:rsid w:val="149F4D92"/>
    <w:rsid w:val="14A01236"/>
    <w:rsid w:val="14AC513B"/>
    <w:rsid w:val="14C03686"/>
    <w:rsid w:val="14F25809"/>
    <w:rsid w:val="150177FB"/>
    <w:rsid w:val="150A2B53"/>
    <w:rsid w:val="152E7E8B"/>
    <w:rsid w:val="153320AA"/>
    <w:rsid w:val="154C4F1A"/>
    <w:rsid w:val="156D6C3E"/>
    <w:rsid w:val="157A68B3"/>
    <w:rsid w:val="158C5316"/>
    <w:rsid w:val="1594241D"/>
    <w:rsid w:val="15A00DC2"/>
    <w:rsid w:val="15A563D8"/>
    <w:rsid w:val="15AA7E92"/>
    <w:rsid w:val="15BF5C2B"/>
    <w:rsid w:val="15C33C2B"/>
    <w:rsid w:val="15C9656A"/>
    <w:rsid w:val="15D965DB"/>
    <w:rsid w:val="15F66C34"/>
    <w:rsid w:val="16315EBE"/>
    <w:rsid w:val="163F7258"/>
    <w:rsid w:val="166242C9"/>
    <w:rsid w:val="166444E5"/>
    <w:rsid w:val="16783AEC"/>
    <w:rsid w:val="167D7355"/>
    <w:rsid w:val="169C5A2D"/>
    <w:rsid w:val="16C44F84"/>
    <w:rsid w:val="16CD7683"/>
    <w:rsid w:val="16CF5EA6"/>
    <w:rsid w:val="16F70EB5"/>
    <w:rsid w:val="17081314"/>
    <w:rsid w:val="17125CEF"/>
    <w:rsid w:val="17343EB7"/>
    <w:rsid w:val="173637C3"/>
    <w:rsid w:val="17485BB5"/>
    <w:rsid w:val="17497249"/>
    <w:rsid w:val="17557BE2"/>
    <w:rsid w:val="1756574D"/>
    <w:rsid w:val="175D178A"/>
    <w:rsid w:val="17716EB9"/>
    <w:rsid w:val="17797B1C"/>
    <w:rsid w:val="17904472"/>
    <w:rsid w:val="17C06A90"/>
    <w:rsid w:val="17C52D61"/>
    <w:rsid w:val="17DB2818"/>
    <w:rsid w:val="17DF183C"/>
    <w:rsid w:val="17E4768B"/>
    <w:rsid w:val="182757CA"/>
    <w:rsid w:val="183121A5"/>
    <w:rsid w:val="18504D21"/>
    <w:rsid w:val="185F31B6"/>
    <w:rsid w:val="1864257A"/>
    <w:rsid w:val="188B45D1"/>
    <w:rsid w:val="188E3A9B"/>
    <w:rsid w:val="189A2440"/>
    <w:rsid w:val="189C52A7"/>
    <w:rsid w:val="18B56AED"/>
    <w:rsid w:val="18BA4890"/>
    <w:rsid w:val="18C272A1"/>
    <w:rsid w:val="18C474BD"/>
    <w:rsid w:val="18D23988"/>
    <w:rsid w:val="18D70F9E"/>
    <w:rsid w:val="18DD40DB"/>
    <w:rsid w:val="190478B9"/>
    <w:rsid w:val="191F64A1"/>
    <w:rsid w:val="192166BD"/>
    <w:rsid w:val="1941466A"/>
    <w:rsid w:val="195B397D"/>
    <w:rsid w:val="19683303"/>
    <w:rsid w:val="196D1144"/>
    <w:rsid w:val="197607B7"/>
    <w:rsid w:val="197C38F4"/>
    <w:rsid w:val="198D78AF"/>
    <w:rsid w:val="198E5581"/>
    <w:rsid w:val="199B6470"/>
    <w:rsid w:val="19AF0A4A"/>
    <w:rsid w:val="19C07C84"/>
    <w:rsid w:val="19D11E91"/>
    <w:rsid w:val="19DD25E4"/>
    <w:rsid w:val="19E24781"/>
    <w:rsid w:val="19EA7915"/>
    <w:rsid w:val="19F44434"/>
    <w:rsid w:val="19F53DD2"/>
    <w:rsid w:val="1A0062D3"/>
    <w:rsid w:val="1A3D12D5"/>
    <w:rsid w:val="1A4E60FF"/>
    <w:rsid w:val="1A613215"/>
    <w:rsid w:val="1A6920CA"/>
    <w:rsid w:val="1A780E3A"/>
    <w:rsid w:val="1A8A3DEE"/>
    <w:rsid w:val="1A9F7253"/>
    <w:rsid w:val="1AA03612"/>
    <w:rsid w:val="1AC00093"/>
    <w:rsid w:val="1AC47300"/>
    <w:rsid w:val="1AD03EF7"/>
    <w:rsid w:val="1AE479A2"/>
    <w:rsid w:val="1AE654C9"/>
    <w:rsid w:val="1AF06347"/>
    <w:rsid w:val="1B083691"/>
    <w:rsid w:val="1B0E67CD"/>
    <w:rsid w:val="1B1B02DD"/>
    <w:rsid w:val="1B485F0D"/>
    <w:rsid w:val="1B486183"/>
    <w:rsid w:val="1B5E0744"/>
    <w:rsid w:val="1B697EA8"/>
    <w:rsid w:val="1B7B7DAF"/>
    <w:rsid w:val="1B7E3953"/>
    <w:rsid w:val="1B8371BB"/>
    <w:rsid w:val="1B8B308F"/>
    <w:rsid w:val="1B8D3B96"/>
    <w:rsid w:val="1B966EEF"/>
    <w:rsid w:val="1BCC4A05"/>
    <w:rsid w:val="1BD16179"/>
    <w:rsid w:val="1BDE2432"/>
    <w:rsid w:val="1BE063BC"/>
    <w:rsid w:val="1C071B9A"/>
    <w:rsid w:val="1C0C5403"/>
    <w:rsid w:val="1C1B528D"/>
    <w:rsid w:val="1C281B11"/>
    <w:rsid w:val="1C4A7CD9"/>
    <w:rsid w:val="1CAA782F"/>
    <w:rsid w:val="1CBC27F3"/>
    <w:rsid w:val="1CBC2A43"/>
    <w:rsid w:val="1CBF2152"/>
    <w:rsid w:val="1CCC570F"/>
    <w:rsid w:val="1CD35F20"/>
    <w:rsid w:val="1CE41EDC"/>
    <w:rsid w:val="1CF75960"/>
    <w:rsid w:val="1D141A36"/>
    <w:rsid w:val="1D2E13A9"/>
    <w:rsid w:val="1D5726AE"/>
    <w:rsid w:val="1D7D0CD2"/>
    <w:rsid w:val="1D905BC0"/>
    <w:rsid w:val="1D972D03"/>
    <w:rsid w:val="1DAB29F9"/>
    <w:rsid w:val="1DAF24EA"/>
    <w:rsid w:val="1DB47B00"/>
    <w:rsid w:val="1DBB0E8E"/>
    <w:rsid w:val="1DD27F86"/>
    <w:rsid w:val="1DD86B70"/>
    <w:rsid w:val="1E1265D5"/>
    <w:rsid w:val="1E171E3D"/>
    <w:rsid w:val="1E236A34"/>
    <w:rsid w:val="1E2D1660"/>
    <w:rsid w:val="1E766B63"/>
    <w:rsid w:val="1E7F6837"/>
    <w:rsid w:val="1E84031A"/>
    <w:rsid w:val="1E843120"/>
    <w:rsid w:val="1E9673A1"/>
    <w:rsid w:val="1EC72E85"/>
    <w:rsid w:val="1EC75611"/>
    <w:rsid w:val="1ED3045A"/>
    <w:rsid w:val="1ED41ADC"/>
    <w:rsid w:val="1EDE00FA"/>
    <w:rsid w:val="1EE71A21"/>
    <w:rsid w:val="1EFA7794"/>
    <w:rsid w:val="1EFD7285"/>
    <w:rsid w:val="1F0827F2"/>
    <w:rsid w:val="1F132604"/>
    <w:rsid w:val="1F1545CE"/>
    <w:rsid w:val="1F3452D6"/>
    <w:rsid w:val="1F6E2142"/>
    <w:rsid w:val="1F78690B"/>
    <w:rsid w:val="1F833C2E"/>
    <w:rsid w:val="1F953961"/>
    <w:rsid w:val="1F9544D3"/>
    <w:rsid w:val="1FA35DEC"/>
    <w:rsid w:val="1FA92F69"/>
    <w:rsid w:val="1FC57DA2"/>
    <w:rsid w:val="1FCE45BD"/>
    <w:rsid w:val="1FDB5818"/>
    <w:rsid w:val="1FEA5A5B"/>
    <w:rsid w:val="200A1C59"/>
    <w:rsid w:val="200A7EAB"/>
    <w:rsid w:val="200D799B"/>
    <w:rsid w:val="20176124"/>
    <w:rsid w:val="202C0EEE"/>
    <w:rsid w:val="203171E6"/>
    <w:rsid w:val="204C04C4"/>
    <w:rsid w:val="204F1C37"/>
    <w:rsid w:val="20541126"/>
    <w:rsid w:val="206155F1"/>
    <w:rsid w:val="20651585"/>
    <w:rsid w:val="206B050C"/>
    <w:rsid w:val="20737BFA"/>
    <w:rsid w:val="207D68CF"/>
    <w:rsid w:val="20847C5E"/>
    <w:rsid w:val="20C51022"/>
    <w:rsid w:val="20D06A4B"/>
    <w:rsid w:val="20DA1B23"/>
    <w:rsid w:val="20E64474"/>
    <w:rsid w:val="20EF05C9"/>
    <w:rsid w:val="20FD356C"/>
    <w:rsid w:val="210352D4"/>
    <w:rsid w:val="212E5E1B"/>
    <w:rsid w:val="21303941"/>
    <w:rsid w:val="21333432"/>
    <w:rsid w:val="21552463"/>
    <w:rsid w:val="21604585"/>
    <w:rsid w:val="2182430A"/>
    <w:rsid w:val="218D48F0"/>
    <w:rsid w:val="21997535"/>
    <w:rsid w:val="21B77BBF"/>
    <w:rsid w:val="21B856E5"/>
    <w:rsid w:val="21C35049"/>
    <w:rsid w:val="21C377A6"/>
    <w:rsid w:val="21F84D61"/>
    <w:rsid w:val="22066450"/>
    <w:rsid w:val="221B2F81"/>
    <w:rsid w:val="221C2118"/>
    <w:rsid w:val="224F429B"/>
    <w:rsid w:val="224F6049"/>
    <w:rsid w:val="22574EFE"/>
    <w:rsid w:val="225A65A3"/>
    <w:rsid w:val="225D0766"/>
    <w:rsid w:val="22835CF3"/>
    <w:rsid w:val="228C57DF"/>
    <w:rsid w:val="22B97967"/>
    <w:rsid w:val="22C16090"/>
    <w:rsid w:val="22C97BAA"/>
    <w:rsid w:val="22DB78DD"/>
    <w:rsid w:val="230277F9"/>
    <w:rsid w:val="23040BE2"/>
    <w:rsid w:val="233D2346"/>
    <w:rsid w:val="23562FB2"/>
    <w:rsid w:val="235C28A3"/>
    <w:rsid w:val="235E14DF"/>
    <w:rsid w:val="235F22BC"/>
    <w:rsid w:val="23616034"/>
    <w:rsid w:val="2366189C"/>
    <w:rsid w:val="236773C3"/>
    <w:rsid w:val="2388446E"/>
    <w:rsid w:val="239301B8"/>
    <w:rsid w:val="23B95E70"/>
    <w:rsid w:val="23BA4C3D"/>
    <w:rsid w:val="23D83E1C"/>
    <w:rsid w:val="23D8509C"/>
    <w:rsid w:val="23DF33FD"/>
    <w:rsid w:val="23E34C9B"/>
    <w:rsid w:val="24077A99"/>
    <w:rsid w:val="2412759C"/>
    <w:rsid w:val="246059C8"/>
    <w:rsid w:val="247955FF"/>
    <w:rsid w:val="2484156D"/>
    <w:rsid w:val="248C5333"/>
    <w:rsid w:val="24905845"/>
    <w:rsid w:val="24B85237"/>
    <w:rsid w:val="24CA5E5B"/>
    <w:rsid w:val="24EA2059"/>
    <w:rsid w:val="24EB2A8F"/>
    <w:rsid w:val="24FA6740"/>
    <w:rsid w:val="251A293E"/>
    <w:rsid w:val="25221E3E"/>
    <w:rsid w:val="254479BB"/>
    <w:rsid w:val="254E25E8"/>
    <w:rsid w:val="25714529"/>
    <w:rsid w:val="2589388C"/>
    <w:rsid w:val="258A5F10"/>
    <w:rsid w:val="258B55EA"/>
    <w:rsid w:val="258B7398"/>
    <w:rsid w:val="259D3570"/>
    <w:rsid w:val="25A33C5F"/>
    <w:rsid w:val="25B212BD"/>
    <w:rsid w:val="25D23219"/>
    <w:rsid w:val="25F50CB6"/>
    <w:rsid w:val="25F602DD"/>
    <w:rsid w:val="25F82554"/>
    <w:rsid w:val="25FC0296"/>
    <w:rsid w:val="2607029E"/>
    <w:rsid w:val="260B2287"/>
    <w:rsid w:val="260E1D77"/>
    <w:rsid w:val="261E020C"/>
    <w:rsid w:val="263A491A"/>
    <w:rsid w:val="26641C22"/>
    <w:rsid w:val="266E746B"/>
    <w:rsid w:val="26865DB2"/>
    <w:rsid w:val="26964247"/>
    <w:rsid w:val="269E759F"/>
    <w:rsid w:val="26AC4595"/>
    <w:rsid w:val="26C32B62"/>
    <w:rsid w:val="26ED00D6"/>
    <w:rsid w:val="26F45411"/>
    <w:rsid w:val="26F61189"/>
    <w:rsid w:val="26F96584"/>
    <w:rsid w:val="270D6265"/>
    <w:rsid w:val="27194E78"/>
    <w:rsid w:val="271B0BF0"/>
    <w:rsid w:val="271B474C"/>
    <w:rsid w:val="273870AC"/>
    <w:rsid w:val="273B3040"/>
    <w:rsid w:val="27475541"/>
    <w:rsid w:val="276854B7"/>
    <w:rsid w:val="277332E5"/>
    <w:rsid w:val="27881F6C"/>
    <w:rsid w:val="279309F0"/>
    <w:rsid w:val="27982240"/>
    <w:rsid w:val="279B763B"/>
    <w:rsid w:val="27A209C9"/>
    <w:rsid w:val="27A961FC"/>
    <w:rsid w:val="27AB1F74"/>
    <w:rsid w:val="27AC5CEC"/>
    <w:rsid w:val="27D52B4D"/>
    <w:rsid w:val="27E86D24"/>
    <w:rsid w:val="27ED433A"/>
    <w:rsid w:val="27F51DBA"/>
    <w:rsid w:val="27F8174D"/>
    <w:rsid w:val="27FA798C"/>
    <w:rsid w:val="27FF406E"/>
    <w:rsid w:val="28015C6A"/>
    <w:rsid w:val="2818512F"/>
    <w:rsid w:val="28277120"/>
    <w:rsid w:val="282B6C11"/>
    <w:rsid w:val="283E55A9"/>
    <w:rsid w:val="283F7687"/>
    <w:rsid w:val="28481571"/>
    <w:rsid w:val="2868347B"/>
    <w:rsid w:val="287F4144"/>
    <w:rsid w:val="28836A4D"/>
    <w:rsid w:val="288A7DDB"/>
    <w:rsid w:val="28951DB4"/>
    <w:rsid w:val="289576F7"/>
    <w:rsid w:val="289B14DC"/>
    <w:rsid w:val="28BB61E6"/>
    <w:rsid w:val="28E15521"/>
    <w:rsid w:val="28EC2844"/>
    <w:rsid w:val="28F50C40"/>
    <w:rsid w:val="28FF8C3E"/>
    <w:rsid w:val="290F7A5F"/>
    <w:rsid w:val="291D29FD"/>
    <w:rsid w:val="29282EA6"/>
    <w:rsid w:val="292D69B8"/>
    <w:rsid w:val="29384C0B"/>
    <w:rsid w:val="293E0BC6"/>
    <w:rsid w:val="29417EE1"/>
    <w:rsid w:val="29652BFF"/>
    <w:rsid w:val="29695C42"/>
    <w:rsid w:val="296E14AB"/>
    <w:rsid w:val="296F5223"/>
    <w:rsid w:val="2976035F"/>
    <w:rsid w:val="29942CDA"/>
    <w:rsid w:val="29AA0009"/>
    <w:rsid w:val="29AE18A7"/>
    <w:rsid w:val="29CF181E"/>
    <w:rsid w:val="29F51284"/>
    <w:rsid w:val="29F534C2"/>
    <w:rsid w:val="2A063491"/>
    <w:rsid w:val="2A1A518F"/>
    <w:rsid w:val="2A24364B"/>
    <w:rsid w:val="2A44220C"/>
    <w:rsid w:val="2A475858"/>
    <w:rsid w:val="2A60701A"/>
    <w:rsid w:val="2A7677B3"/>
    <w:rsid w:val="2A84085A"/>
    <w:rsid w:val="2A846AAC"/>
    <w:rsid w:val="2A895E70"/>
    <w:rsid w:val="2AC6025F"/>
    <w:rsid w:val="2AF43FC6"/>
    <w:rsid w:val="2B0B029A"/>
    <w:rsid w:val="2B0E47CE"/>
    <w:rsid w:val="2B1D67DB"/>
    <w:rsid w:val="2B2B6040"/>
    <w:rsid w:val="2B492F95"/>
    <w:rsid w:val="2B7B2D90"/>
    <w:rsid w:val="2B7D5CE8"/>
    <w:rsid w:val="2B807273"/>
    <w:rsid w:val="2BAA0794"/>
    <w:rsid w:val="2BD17810"/>
    <w:rsid w:val="2C047EA4"/>
    <w:rsid w:val="2C0734F1"/>
    <w:rsid w:val="2C220880"/>
    <w:rsid w:val="2C237961"/>
    <w:rsid w:val="2C33078A"/>
    <w:rsid w:val="2C424529"/>
    <w:rsid w:val="2C8114F5"/>
    <w:rsid w:val="2C862667"/>
    <w:rsid w:val="2C8D4FB3"/>
    <w:rsid w:val="2CCD473A"/>
    <w:rsid w:val="2CDF446E"/>
    <w:rsid w:val="2CF45854"/>
    <w:rsid w:val="2D0143E4"/>
    <w:rsid w:val="2D085772"/>
    <w:rsid w:val="2D1F06B1"/>
    <w:rsid w:val="2D2A4109"/>
    <w:rsid w:val="2D39592C"/>
    <w:rsid w:val="2D483DC1"/>
    <w:rsid w:val="2D5370BC"/>
    <w:rsid w:val="2D652BC5"/>
    <w:rsid w:val="2DA27975"/>
    <w:rsid w:val="2DE53D06"/>
    <w:rsid w:val="2DEA30CA"/>
    <w:rsid w:val="2DF81343"/>
    <w:rsid w:val="2DFB52D7"/>
    <w:rsid w:val="2E0028ED"/>
    <w:rsid w:val="2E093550"/>
    <w:rsid w:val="2E2824E6"/>
    <w:rsid w:val="2E2C7B08"/>
    <w:rsid w:val="2E302DEA"/>
    <w:rsid w:val="2E382087"/>
    <w:rsid w:val="2E555FE9"/>
    <w:rsid w:val="2E8A3797"/>
    <w:rsid w:val="2E8B21B7"/>
    <w:rsid w:val="2E951288"/>
    <w:rsid w:val="2E976DAE"/>
    <w:rsid w:val="2EA94167"/>
    <w:rsid w:val="2EAA4B45"/>
    <w:rsid w:val="2EB83212"/>
    <w:rsid w:val="2EC1468C"/>
    <w:rsid w:val="2ECE02F6"/>
    <w:rsid w:val="2EE8585B"/>
    <w:rsid w:val="2EEE3876"/>
    <w:rsid w:val="2EF91817"/>
    <w:rsid w:val="2F1A5A56"/>
    <w:rsid w:val="2F1B2B61"/>
    <w:rsid w:val="2F204FF5"/>
    <w:rsid w:val="2F2B6B37"/>
    <w:rsid w:val="2F320885"/>
    <w:rsid w:val="2F4D4820"/>
    <w:rsid w:val="2F503401"/>
    <w:rsid w:val="2F63610E"/>
    <w:rsid w:val="2F6A2D7D"/>
    <w:rsid w:val="2F6A44C2"/>
    <w:rsid w:val="2F797E7D"/>
    <w:rsid w:val="2F923A19"/>
    <w:rsid w:val="2F9E416C"/>
    <w:rsid w:val="2FA23C5C"/>
    <w:rsid w:val="2FB132FB"/>
    <w:rsid w:val="2FC72074"/>
    <w:rsid w:val="2FE37DD1"/>
    <w:rsid w:val="2FE83639"/>
    <w:rsid w:val="2FF90BD0"/>
    <w:rsid w:val="2FF92B02"/>
    <w:rsid w:val="30071D11"/>
    <w:rsid w:val="300D74F0"/>
    <w:rsid w:val="30281C88"/>
    <w:rsid w:val="30393E95"/>
    <w:rsid w:val="307355F9"/>
    <w:rsid w:val="30937A49"/>
    <w:rsid w:val="309B06AC"/>
    <w:rsid w:val="30C23E8A"/>
    <w:rsid w:val="30C25A2F"/>
    <w:rsid w:val="30E84AFF"/>
    <w:rsid w:val="30F304E8"/>
    <w:rsid w:val="30F57DBC"/>
    <w:rsid w:val="30F71D86"/>
    <w:rsid w:val="30FC431F"/>
    <w:rsid w:val="310224D9"/>
    <w:rsid w:val="310553C0"/>
    <w:rsid w:val="31077AEF"/>
    <w:rsid w:val="31436D79"/>
    <w:rsid w:val="31501496"/>
    <w:rsid w:val="31537BB5"/>
    <w:rsid w:val="31576CC8"/>
    <w:rsid w:val="31660CB9"/>
    <w:rsid w:val="31815AF3"/>
    <w:rsid w:val="31C417B4"/>
    <w:rsid w:val="31E10621"/>
    <w:rsid w:val="321921D0"/>
    <w:rsid w:val="322C5A5F"/>
    <w:rsid w:val="323B2146"/>
    <w:rsid w:val="32467354"/>
    <w:rsid w:val="32610823"/>
    <w:rsid w:val="32805DAB"/>
    <w:rsid w:val="328525BE"/>
    <w:rsid w:val="32877139"/>
    <w:rsid w:val="329D4BAF"/>
    <w:rsid w:val="32A001FB"/>
    <w:rsid w:val="32A0055C"/>
    <w:rsid w:val="32A7158A"/>
    <w:rsid w:val="32C57C62"/>
    <w:rsid w:val="32D4570A"/>
    <w:rsid w:val="331D184C"/>
    <w:rsid w:val="33464A70"/>
    <w:rsid w:val="33492641"/>
    <w:rsid w:val="33550FE6"/>
    <w:rsid w:val="33664FA1"/>
    <w:rsid w:val="338D2C6F"/>
    <w:rsid w:val="338D38EE"/>
    <w:rsid w:val="339A10EE"/>
    <w:rsid w:val="33B65F28"/>
    <w:rsid w:val="33DF01AE"/>
    <w:rsid w:val="33E9123C"/>
    <w:rsid w:val="33EF143A"/>
    <w:rsid w:val="34036C94"/>
    <w:rsid w:val="34142C4F"/>
    <w:rsid w:val="344D6161"/>
    <w:rsid w:val="34533564"/>
    <w:rsid w:val="34586FDF"/>
    <w:rsid w:val="345D7C37"/>
    <w:rsid w:val="34706476"/>
    <w:rsid w:val="34713BFD"/>
    <w:rsid w:val="348558FB"/>
    <w:rsid w:val="349124F1"/>
    <w:rsid w:val="34AC10D9"/>
    <w:rsid w:val="34BF705E"/>
    <w:rsid w:val="34D0301A"/>
    <w:rsid w:val="34F14D3E"/>
    <w:rsid w:val="34F62354"/>
    <w:rsid w:val="35134512"/>
    <w:rsid w:val="35213875"/>
    <w:rsid w:val="35364B2E"/>
    <w:rsid w:val="35577297"/>
    <w:rsid w:val="3566572C"/>
    <w:rsid w:val="357A4D33"/>
    <w:rsid w:val="35845BB2"/>
    <w:rsid w:val="35935DF5"/>
    <w:rsid w:val="359C73A0"/>
    <w:rsid w:val="359F29EC"/>
    <w:rsid w:val="35A85D44"/>
    <w:rsid w:val="35AB1391"/>
    <w:rsid w:val="35BF6BEA"/>
    <w:rsid w:val="35C102F5"/>
    <w:rsid w:val="35C12962"/>
    <w:rsid w:val="35E11256"/>
    <w:rsid w:val="35E63852"/>
    <w:rsid w:val="35EF585C"/>
    <w:rsid w:val="360627EA"/>
    <w:rsid w:val="36154A5C"/>
    <w:rsid w:val="36160F00"/>
    <w:rsid w:val="36372C24"/>
    <w:rsid w:val="366A3954"/>
    <w:rsid w:val="36741B52"/>
    <w:rsid w:val="367B0D63"/>
    <w:rsid w:val="367D0F7F"/>
    <w:rsid w:val="36BC6012"/>
    <w:rsid w:val="36D1600E"/>
    <w:rsid w:val="36E20DE2"/>
    <w:rsid w:val="36EA7C97"/>
    <w:rsid w:val="36FF1994"/>
    <w:rsid w:val="371371EE"/>
    <w:rsid w:val="37164F30"/>
    <w:rsid w:val="372C4753"/>
    <w:rsid w:val="375717D0"/>
    <w:rsid w:val="3757620D"/>
    <w:rsid w:val="376C6090"/>
    <w:rsid w:val="379E0B19"/>
    <w:rsid w:val="37A367C3"/>
    <w:rsid w:val="37A442FB"/>
    <w:rsid w:val="37B81B43"/>
    <w:rsid w:val="37C60704"/>
    <w:rsid w:val="37DC62F0"/>
    <w:rsid w:val="37E1109A"/>
    <w:rsid w:val="37F05781"/>
    <w:rsid w:val="37F53BFB"/>
    <w:rsid w:val="380F4B5F"/>
    <w:rsid w:val="381E409C"/>
    <w:rsid w:val="3828704D"/>
    <w:rsid w:val="38341AE1"/>
    <w:rsid w:val="3836588A"/>
    <w:rsid w:val="384A6C3F"/>
    <w:rsid w:val="384C6E5B"/>
    <w:rsid w:val="38573C0E"/>
    <w:rsid w:val="386121DB"/>
    <w:rsid w:val="386D0B7F"/>
    <w:rsid w:val="38795776"/>
    <w:rsid w:val="387B14EE"/>
    <w:rsid w:val="38801361"/>
    <w:rsid w:val="3881462B"/>
    <w:rsid w:val="38997BC6"/>
    <w:rsid w:val="389C3213"/>
    <w:rsid w:val="38B4055C"/>
    <w:rsid w:val="38B50391"/>
    <w:rsid w:val="38C34C43"/>
    <w:rsid w:val="38D17360"/>
    <w:rsid w:val="38DD4FCB"/>
    <w:rsid w:val="38F60B75"/>
    <w:rsid w:val="39111E53"/>
    <w:rsid w:val="39292CF8"/>
    <w:rsid w:val="39346B40"/>
    <w:rsid w:val="393A4F06"/>
    <w:rsid w:val="39537FB0"/>
    <w:rsid w:val="395F2BBE"/>
    <w:rsid w:val="396226AE"/>
    <w:rsid w:val="396F1CEE"/>
    <w:rsid w:val="397A5AB9"/>
    <w:rsid w:val="398E0DAD"/>
    <w:rsid w:val="399A1A1B"/>
    <w:rsid w:val="39A31606"/>
    <w:rsid w:val="39B747A8"/>
    <w:rsid w:val="39B95A63"/>
    <w:rsid w:val="39CD0CF6"/>
    <w:rsid w:val="39CD5D7A"/>
    <w:rsid w:val="3A1E5D66"/>
    <w:rsid w:val="3A41517D"/>
    <w:rsid w:val="3A5169AB"/>
    <w:rsid w:val="3A773F37"/>
    <w:rsid w:val="3A7D23E5"/>
    <w:rsid w:val="3A960861"/>
    <w:rsid w:val="3A995C5C"/>
    <w:rsid w:val="3AAF1923"/>
    <w:rsid w:val="3AB413D1"/>
    <w:rsid w:val="3AB502B9"/>
    <w:rsid w:val="3AC23405"/>
    <w:rsid w:val="3AE0603A"/>
    <w:rsid w:val="3AEC222F"/>
    <w:rsid w:val="3AF56EF0"/>
    <w:rsid w:val="3B0752BB"/>
    <w:rsid w:val="3B0A4DAB"/>
    <w:rsid w:val="3B1672AC"/>
    <w:rsid w:val="3B345984"/>
    <w:rsid w:val="3B3B31B7"/>
    <w:rsid w:val="3B3B4F65"/>
    <w:rsid w:val="3B450B56"/>
    <w:rsid w:val="3B450DF0"/>
    <w:rsid w:val="3B4C0280"/>
    <w:rsid w:val="3B541CB4"/>
    <w:rsid w:val="3B67182E"/>
    <w:rsid w:val="3B7CFA2F"/>
    <w:rsid w:val="3B841CCA"/>
    <w:rsid w:val="3B861267"/>
    <w:rsid w:val="3B8E778B"/>
    <w:rsid w:val="3BAE287A"/>
    <w:rsid w:val="3BB31A46"/>
    <w:rsid w:val="3BC520F7"/>
    <w:rsid w:val="3BE07517"/>
    <w:rsid w:val="3C061B78"/>
    <w:rsid w:val="3C347559"/>
    <w:rsid w:val="3C395948"/>
    <w:rsid w:val="3C3C71E7"/>
    <w:rsid w:val="3C406CD7"/>
    <w:rsid w:val="3C461E13"/>
    <w:rsid w:val="3C4936B2"/>
    <w:rsid w:val="3C4E0CC8"/>
    <w:rsid w:val="3C753EBD"/>
    <w:rsid w:val="3C8D17F0"/>
    <w:rsid w:val="3C90308E"/>
    <w:rsid w:val="3CB56E7C"/>
    <w:rsid w:val="3CD038CA"/>
    <w:rsid w:val="3CD25455"/>
    <w:rsid w:val="3CF5789E"/>
    <w:rsid w:val="3D31661F"/>
    <w:rsid w:val="3D361E88"/>
    <w:rsid w:val="3D377D8A"/>
    <w:rsid w:val="3D4F6AA6"/>
    <w:rsid w:val="3D5D5666"/>
    <w:rsid w:val="3D652B23"/>
    <w:rsid w:val="3D85696B"/>
    <w:rsid w:val="3D89645B"/>
    <w:rsid w:val="3D8F1598"/>
    <w:rsid w:val="3D932E36"/>
    <w:rsid w:val="3DAE1A1E"/>
    <w:rsid w:val="3DCA276B"/>
    <w:rsid w:val="3DD551FD"/>
    <w:rsid w:val="3DD7776F"/>
    <w:rsid w:val="3DDF607B"/>
    <w:rsid w:val="3DEFCDEB"/>
    <w:rsid w:val="3DF02C97"/>
    <w:rsid w:val="3E0755D2"/>
    <w:rsid w:val="3E174DA2"/>
    <w:rsid w:val="3E18158D"/>
    <w:rsid w:val="3E3E1C48"/>
    <w:rsid w:val="3E3E4857"/>
    <w:rsid w:val="3E4405D4"/>
    <w:rsid w:val="3E506F79"/>
    <w:rsid w:val="3E546A69"/>
    <w:rsid w:val="3E667E72"/>
    <w:rsid w:val="3E740419"/>
    <w:rsid w:val="3E817133"/>
    <w:rsid w:val="3E8B7FB1"/>
    <w:rsid w:val="3E8E3879"/>
    <w:rsid w:val="3EB23547"/>
    <w:rsid w:val="3EC55271"/>
    <w:rsid w:val="3EC62D97"/>
    <w:rsid w:val="3F1119BB"/>
    <w:rsid w:val="3F161F71"/>
    <w:rsid w:val="3F255D10"/>
    <w:rsid w:val="3F310B5F"/>
    <w:rsid w:val="3F3B3785"/>
    <w:rsid w:val="3F5D5AE0"/>
    <w:rsid w:val="3F6856EC"/>
    <w:rsid w:val="3F6F51DD"/>
    <w:rsid w:val="3F7F1678"/>
    <w:rsid w:val="3F9410E8"/>
    <w:rsid w:val="3FA330D9"/>
    <w:rsid w:val="3FAA090B"/>
    <w:rsid w:val="3FB34EB6"/>
    <w:rsid w:val="3FB56C6D"/>
    <w:rsid w:val="3FBD91A5"/>
    <w:rsid w:val="3FC05C00"/>
    <w:rsid w:val="3FD55988"/>
    <w:rsid w:val="3FDA2F9E"/>
    <w:rsid w:val="3FDF29E1"/>
    <w:rsid w:val="3FFA0F4B"/>
    <w:rsid w:val="40022B91"/>
    <w:rsid w:val="400C6ED0"/>
    <w:rsid w:val="40195AD2"/>
    <w:rsid w:val="403917BD"/>
    <w:rsid w:val="403E177F"/>
    <w:rsid w:val="4055002F"/>
    <w:rsid w:val="40763B34"/>
    <w:rsid w:val="408A49C4"/>
    <w:rsid w:val="40A24EE0"/>
    <w:rsid w:val="40A610D2"/>
    <w:rsid w:val="40A869C3"/>
    <w:rsid w:val="40CF687B"/>
    <w:rsid w:val="40DB5220"/>
    <w:rsid w:val="40E6539B"/>
    <w:rsid w:val="40EA7211"/>
    <w:rsid w:val="41171FD0"/>
    <w:rsid w:val="411C75E7"/>
    <w:rsid w:val="41681144"/>
    <w:rsid w:val="41766BA2"/>
    <w:rsid w:val="418331C2"/>
    <w:rsid w:val="418A6965"/>
    <w:rsid w:val="419751D9"/>
    <w:rsid w:val="41A575DC"/>
    <w:rsid w:val="41C43E62"/>
    <w:rsid w:val="41E8453E"/>
    <w:rsid w:val="41ED19E4"/>
    <w:rsid w:val="420460B1"/>
    <w:rsid w:val="42072045"/>
    <w:rsid w:val="423170C2"/>
    <w:rsid w:val="4242307D"/>
    <w:rsid w:val="42451376"/>
    <w:rsid w:val="425012F6"/>
    <w:rsid w:val="4258464E"/>
    <w:rsid w:val="42A925FC"/>
    <w:rsid w:val="42D71A17"/>
    <w:rsid w:val="42E10839"/>
    <w:rsid w:val="42FB6DBC"/>
    <w:rsid w:val="42FF4ACA"/>
    <w:rsid w:val="4300323D"/>
    <w:rsid w:val="430975C8"/>
    <w:rsid w:val="431C6D74"/>
    <w:rsid w:val="43244818"/>
    <w:rsid w:val="43587C51"/>
    <w:rsid w:val="439C056B"/>
    <w:rsid w:val="439F6110"/>
    <w:rsid w:val="43A833B4"/>
    <w:rsid w:val="43AA7997"/>
    <w:rsid w:val="43C81360"/>
    <w:rsid w:val="43E8388F"/>
    <w:rsid w:val="43F6747D"/>
    <w:rsid w:val="43FE2FD4"/>
    <w:rsid w:val="4400590E"/>
    <w:rsid w:val="44114AB5"/>
    <w:rsid w:val="441427F7"/>
    <w:rsid w:val="441B5933"/>
    <w:rsid w:val="442F6FA8"/>
    <w:rsid w:val="44354EF8"/>
    <w:rsid w:val="444B6F3A"/>
    <w:rsid w:val="444E5D09"/>
    <w:rsid w:val="44507CD3"/>
    <w:rsid w:val="44670B79"/>
    <w:rsid w:val="447245EE"/>
    <w:rsid w:val="44735770"/>
    <w:rsid w:val="4497554F"/>
    <w:rsid w:val="449974D6"/>
    <w:rsid w:val="44BE119A"/>
    <w:rsid w:val="44C60AEC"/>
    <w:rsid w:val="44F93EC7"/>
    <w:rsid w:val="44FA19ED"/>
    <w:rsid w:val="44FF3FDA"/>
    <w:rsid w:val="45055BEA"/>
    <w:rsid w:val="45060392"/>
    <w:rsid w:val="45062140"/>
    <w:rsid w:val="45521829"/>
    <w:rsid w:val="4572694C"/>
    <w:rsid w:val="45837C34"/>
    <w:rsid w:val="45E06E35"/>
    <w:rsid w:val="45E2495B"/>
    <w:rsid w:val="45ED50AE"/>
    <w:rsid w:val="45F66658"/>
    <w:rsid w:val="46036001"/>
    <w:rsid w:val="460F3276"/>
    <w:rsid w:val="461A71B3"/>
    <w:rsid w:val="462A6302"/>
    <w:rsid w:val="46397634"/>
    <w:rsid w:val="46466676"/>
    <w:rsid w:val="4665733A"/>
    <w:rsid w:val="466E1F57"/>
    <w:rsid w:val="46804174"/>
    <w:rsid w:val="468772B0"/>
    <w:rsid w:val="46955E71"/>
    <w:rsid w:val="46A460B4"/>
    <w:rsid w:val="46BA47D7"/>
    <w:rsid w:val="46BF4C9C"/>
    <w:rsid w:val="46CC2D7F"/>
    <w:rsid w:val="46D324F5"/>
    <w:rsid w:val="472649C3"/>
    <w:rsid w:val="47332F94"/>
    <w:rsid w:val="47347438"/>
    <w:rsid w:val="474014BD"/>
    <w:rsid w:val="47451645"/>
    <w:rsid w:val="474D77F3"/>
    <w:rsid w:val="474E6020"/>
    <w:rsid w:val="476D241D"/>
    <w:rsid w:val="476F66C2"/>
    <w:rsid w:val="47727F60"/>
    <w:rsid w:val="47732C87"/>
    <w:rsid w:val="47797541"/>
    <w:rsid w:val="47881532"/>
    <w:rsid w:val="478832E0"/>
    <w:rsid w:val="479223B1"/>
    <w:rsid w:val="47961EA1"/>
    <w:rsid w:val="47AA14A8"/>
    <w:rsid w:val="47C562E2"/>
    <w:rsid w:val="47D26D9C"/>
    <w:rsid w:val="47E04ECA"/>
    <w:rsid w:val="47E25905"/>
    <w:rsid w:val="47E26E94"/>
    <w:rsid w:val="48276F9D"/>
    <w:rsid w:val="482F5E51"/>
    <w:rsid w:val="48400AFB"/>
    <w:rsid w:val="48561F5C"/>
    <w:rsid w:val="489F3FFC"/>
    <w:rsid w:val="48A028AB"/>
    <w:rsid w:val="48A51EAE"/>
    <w:rsid w:val="48CA7C9D"/>
    <w:rsid w:val="48F70541"/>
    <w:rsid w:val="49025314"/>
    <w:rsid w:val="49153299"/>
    <w:rsid w:val="49296D45"/>
    <w:rsid w:val="493C6A78"/>
    <w:rsid w:val="49412B08"/>
    <w:rsid w:val="49441489"/>
    <w:rsid w:val="495F62C2"/>
    <w:rsid w:val="4966759A"/>
    <w:rsid w:val="49676BEC"/>
    <w:rsid w:val="49686565"/>
    <w:rsid w:val="496B3195"/>
    <w:rsid w:val="49AD702E"/>
    <w:rsid w:val="49B06B1E"/>
    <w:rsid w:val="49C425C9"/>
    <w:rsid w:val="4A0D49D3"/>
    <w:rsid w:val="4A0E5E62"/>
    <w:rsid w:val="4A1277D9"/>
    <w:rsid w:val="4A17094B"/>
    <w:rsid w:val="4A1B043B"/>
    <w:rsid w:val="4A1B2BD1"/>
    <w:rsid w:val="4A5058F8"/>
    <w:rsid w:val="4A5F6E80"/>
    <w:rsid w:val="4A63098A"/>
    <w:rsid w:val="4A6C19D6"/>
    <w:rsid w:val="4A7E09CA"/>
    <w:rsid w:val="4AD52CE0"/>
    <w:rsid w:val="4ADB7BCB"/>
    <w:rsid w:val="4ADD23A3"/>
    <w:rsid w:val="4AE02806"/>
    <w:rsid w:val="4AFF7D5D"/>
    <w:rsid w:val="4B201A81"/>
    <w:rsid w:val="4B5913DF"/>
    <w:rsid w:val="4B771FE9"/>
    <w:rsid w:val="4B9B6666"/>
    <w:rsid w:val="4BC863A1"/>
    <w:rsid w:val="4BC92119"/>
    <w:rsid w:val="4BD56D10"/>
    <w:rsid w:val="4BF47196"/>
    <w:rsid w:val="4BFF4505"/>
    <w:rsid w:val="4C07336D"/>
    <w:rsid w:val="4C2061DD"/>
    <w:rsid w:val="4C25342A"/>
    <w:rsid w:val="4C32568A"/>
    <w:rsid w:val="4C554C45"/>
    <w:rsid w:val="4C58667F"/>
    <w:rsid w:val="4C602A7D"/>
    <w:rsid w:val="4C6F2CC0"/>
    <w:rsid w:val="4C806C7C"/>
    <w:rsid w:val="4C883D82"/>
    <w:rsid w:val="4C983FC5"/>
    <w:rsid w:val="4CA3296A"/>
    <w:rsid w:val="4CAF7561"/>
    <w:rsid w:val="4CBB5F06"/>
    <w:rsid w:val="4CBD3A2C"/>
    <w:rsid w:val="4CCF19B1"/>
    <w:rsid w:val="4CD76580"/>
    <w:rsid w:val="4CFA2728"/>
    <w:rsid w:val="4D01600E"/>
    <w:rsid w:val="4D461C73"/>
    <w:rsid w:val="4D491763"/>
    <w:rsid w:val="4D782049"/>
    <w:rsid w:val="4D8B1D7C"/>
    <w:rsid w:val="4D9A3D6D"/>
    <w:rsid w:val="4DB841F3"/>
    <w:rsid w:val="4E165AE9"/>
    <w:rsid w:val="4E255D2C"/>
    <w:rsid w:val="4E2D698F"/>
    <w:rsid w:val="4E3E6DEE"/>
    <w:rsid w:val="4E9702AC"/>
    <w:rsid w:val="4EE2777A"/>
    <w:rsid w:val="4EED611E"/>
    <w:rsid w:val="4EFD007D"/>
    <w:rsid w:val="4EFD0A57"/>
    <w:rsid w:val="4F006555"/>
    <w:rsid w:val="4F0534B2"/>
    <w:rsid w:val="4F05790C"/>
    <w:rsid w:val="4F0A3ABE"/>
    <w:rsid w:val="4F12289B"/>
    <w:rsid w:val="4F1A1F35"/>
    <w:rsid w:val="4F2E0C11"/>
    <w:rsid w:val="4F4E3061"/>
    <w:rsid w:val="4F675E6D"/>
    <w:rsid w:val="4F7D3946"/>
    <w:rsid w:val="4F811CEE"/>
    <w:rsid w:val="4F8151E4"/>
    <w:rsid w:val="4F8C5937"/>
    <w:rsid w:val="4F8E0429"/>
    <w:rsid w:val="4F9D5D96"/>
    <w:rsid w:val="4FA964E9"/>
    <w:rsid w:val="4FE47521"/>
    <w:rsid w:val="500E459E"/>
    <w:rsid w:val="505428F9"/>
    <w:rsid w:val="505C1C7B"/>
    <w:rsid w:val="50632B3C"/>
    <w:rsid w:val="507B7E86"/>
    <w:rsid w:val="5098349E"/>
    <w:rsid w:val="50B31D37"/>
    <w:rsid w:val="50BC5B0F"/>
    <w:rsid w:val="50CB0E9B"/>
    <w:rsid w:val="50E20972"/>
    <w:rsid w:val="510E7D84"/>
    <w:rsid w:val="515A3F3F"/>
    <w:rsid w:val="515D57DD"/>
    <w:rsid w:val="51694182"/>
    <w:rsid w:val="51844B18"/>
    <w:rsid w:val="519136D9"/>
    <w:rsid w:val="51937451"/>
    <w:rsid w:val="519B00B4"/>
    <w:rsid w:val="51B15B29"/>
    <w:rsid w:val="51B94BFE"/>
    <w:rsid w:val="51BD037A"/>
    <w:rsid w:val="51CC5275"/>
    <w:rsid w:val="51D70EF0"/>
    <w:rsid w:val="51DC2B68"/>
    <w:rsid w:val="51FED7AB"/>
    <w:rsid w:val="520D7203"/>
    <w:rsid w:val="520E6AD8"/>
    <w:rsid w:val="52102850"/>
    <w:rsid w:val="523A5B3F"/>
    <w:rsid w:val="525941F7"/>
    <w:rsid w:val="5268443A"/>
    <w:rsid w:val="526A6404"/>
    <w:rsid w:val="527949B6"/>
    <w:rsid w:val="528D3EA0"/>
    <w:rsid w:val="52946FDD"/>
    <w:rsid w:val="52A531D0"/>
    <w:rsid w:val="52A94FCD"/>
    <w:rsid w:val="52AC6487"/>
    <w:rsid w:val="52C75604"/>
    <w:rsid w:val="530028C4"/>
    <w:rsid w:val="53004672"/>
    <w:rsid w:val="531666D6"/>
    <w:rsid w:val="53424C8B"/>
    <w:rsid w:val="539B25ED"/>
    <w:rsid w:val="53AC65A8"/>
    <w:rsid w:val="53AE37EA"/>
    <w:rsid w:val="53D1600F"/>
    <w:rsid w:val="53E96D15"/>
    <w:rsid w:val="53F561A1"/>
    <w:rsid w:val="53F57F4F"/>
    <w:rsid w:val="541552F5"/>
    <w:rsid w:val="54300F87"/>
    <w:rsid w:val="54324CFF"/>
    <w:rsid w:val="543C4225"/>
    <w:rsid w:val="544607AB"/>
    <w:rsid w:val="54547A6F"/>
    <w:rsid w:val="54686973"/>
    <w:rsid w:val="54791977"/>
    <w:rsid w:val="5486329D"/>
    <w:rsid w:val="54AB5BF1"/>
    <w:rsid w:val="54B81A07"/>
    <w:rsid w:val="54C067AF"/>
    <w:rsid w:val="54E104D3"/>
    <w:rsid w:val="54E67898"/>
    <w:rsid w:val="55045B77"/>
    <w:rsid w:val="55083CB2"/>
    <w:rsid w:val="55124B31"/>
    <w:rsid w:val="55264138"/>
    <w:rsid w:val="5527238A"/>
    <w:rsid w:val="55313209"/>
    <w:rsid w:val="55376345"/>
    <w:rsid w:val="553B68DE"/>
    <w:rsid w:val="554619BD"/>
    <w:rsid w:val="55517407"/>
    <w:rsid w:val="556A2277"/>
    <w:rsid w:val="556F5ADF"/>
    <w:rsid w:val="55741347"/>
    <w:rsid w:val="55807CEC"/>
    <w:rsid w:val="55911EF9"/>
    <w:rsid w:val="55A57753"/>
    <w:rsid w:val="55A97243"/>
    <w:rsid w:val="55BB0D24"/>
    <w:rsid w:val="55D54465"/>
    <w:rsid w:val="55D938A0"/>
    <w:rsid w:val="55DC09CA"/>
    <w:rsid w:val="55E738C7"/>
    <w:rsid w:val="55F52488"/>
    <w:rsid w:val="55FA3344"/>
    <w:rsid w:val="56020701"/>
    <w:rsid w:val="56024BA5"/>
    <w:rsid w:val="5609445F"/>
    <w:rsid w:val="56290384"/>
    <w:rsid w:val="56755377"/>
    <w:rsid w:val="567D5FDA"/>
    <w:rsid w:val="56892BD1"/>
    <w:rsid w:val="56A96530"/>
    <w:rsid w:val="56B440F1"/>
    <w:rsid w:val="56B55774"/>
    <w:rsid w:val="56C87B9D"/>
    <w:rsid w:val="56CA56C3"/>
    <w:rsid w:val="56D15A6E"/>
    <w:rsid w:val="56E2109B"/>
    <w:rsid w:val="56E61DD1"/>
    <w:rsid w:val="57140D07"/>
    <w:rsid w:val="57315742"/>
    <w:rsid w:val="57340B8F"/>
    <w:rsid w:val="576176AA"/>
    <w:rsid w:val="576C677A"/>
    <w:rsid w:val="57721191"/>
    <w:rsid w:val="577E64AD"/>
    <w:rsid w:val="57833AC4"/>
    <w:rsid w:val="57BD5228"/>
    <w:rsid w:val="57CA34A1"/>
    <w:rsid w:val="57D367F9"/>
    <w:rsid w:val="58133FA8"/>
    <w:rsid w:val="58242D3F"/>
    <w:rsid w:val="583225CE"/>
    <w:rsid w:val="58397D2F"/>
    <w:rsid w:val="583B08FD"/>
    <w:rsid w:val="584119B5"/>
    <w:rsid w:val="58450D79"/>
    <w:rsid w:val="585A0885"/>
    <w:rsid w:val="586025AF"/>
    <w:rsid w:val="586C4558"/>
    <w:rsid w:val="58780B02"/>
    <w:rsid w:val="5878114F"/>
    <w:rsid w:val="588B0E82"/>
    <w:rsid w:val="589D40A3"/>
    <w:rsid w:val="58A75590"/>
    <w:rsid w:val="58AE4AF2"/>
    <w:rsid w:val="58B636C1"/>
    <w:rsid w:val="58C46142"/>
    <w:rsid w:val="58C779E0"/>
    <w:rsid w:val="58CB127E"/>
    <w:rsid w:val="58E30CBE"/>
    <w:rsid w:val="58FC6B4A"/>
    <w:rsid w:val="5915074C"/>
    <w:rsid w:val="591E6307"/>
    <w:rsid w:val="59576FB6"/>
    <w:rsid w:val="5960230F"/>
    <w:rsid w:val="59723DF0"/>
    <w:rsid w:val="599B3347"/>
    <w:rsid w:val="599C2C1B"/>
    <w:rsid w:val="59A44665"/>
    <w:rsid w:val="59B12B6A"/>
    <w:rsid w:val="59CF4D9E"/>
    <w:rsid w:val="5A00764E"/>
    <w:rsid w:val="5A074538"/>
    <w:rsid w:val="5A166E71"/>
    <w:rsid w:val="5A19426B"/>
    <w:rsid w:val="5A2D7804"/>
    <w:rsid w:val="5A366C08"/>
    <w:rsid w:val="5A3D61AC"/>
    <w:rsid w:val="5A6F20DD"/>
    <w:rsid w:val="5A7122F9"/>
    <w:rsid w:val="5A865DA5"/>
    <w:rsid w:val="5AA747C7"/>
    <w:rsid w:val="5ADB0961"/>
    <w:rsid w:val="5AF70A51"/>
    <w:rsid w:val="5B0B165F"/>
    <w:rsid w:val="5B0C6BFA"/>
    <w:rsid w:val="5B2F01EA"/>
    <w:rsid w:val="5B411CCC"/>
    <w:rsid w:val="5B951EFD"/>
    <w:rsid w:val="5B9C33A6"/>
    <w:rsid w:val="5BB64468"/>
    <w:rsid w:val="5BBE50CA"/>
    <w:rsid w:val="5BC278ED"/>
    <w:rsid w:val="5BD86D9E"/>
    <w:rsid w:val="5BFE26BB"/>
    <w:rsid w:val="5C053689"/>
    <w:rsid w:val="5C7D4904"/>
    <w:rsid w:val="5C840904"/>
    <w:rsid w:val="5CA70254"/>
    <w:rsid w:val="5CC826A5"/>
    <w:rsid w:val="5CF07506"/>
    <w:rsid w:val="5D101AA7"/>
    <w:rsid w:val="5D184CAE"/>
    <w:rsid w:val="5D1A3C68"/>
    <w:rsid w:val="5D2D075A"/>
    <w:rsid w:val="5D3E4715"/>
    <w:rsid w:val="5D6A375C"/>
    <w:rsid w:val="5D6B3425"/>
    <w:rsid w:val="5D814602"/>
    <w:rsid w:val="5D9500AD"/>
    <w:rsid w:val="5D9D6CB3"/>
    <w:rsid w:val="5DB42C29"/>
    <w:rsid w:val="5DD21301"/>
    <w:rsid w:val="5DDC7655"/>
    <w:rsid w:val="5DDE3802"/>
    <w:rsid w:val="5DEF1EB3"/>
    <w:rsid w:val="5E055233"/>
    <w:rsid w:val="5E167DBD"/>
    <w:rsid w:val="5E1831B8"/>
    <w:rsid w:val="5E1D07CE"/>
    <w:rsid w:val="5E2751A9"/>
    <w:rsid w:val="5E5E7B70"/>
    <w:rsid w:val="5E60690D"/>
    <w:rsid w:val="5E693A13"/>
    <w:rsid w:val="5E9345EC"/>
    <w:rsid w:val="5E9F5687"/>
    <w:rsid w:val="5EB153BA"/>
    <w:rsid w:val="5EC155FD"/>
    <w:rsid w:val="5EC46E9C"/>
    <w:rsid w:val="5ECE3876"/>
    <w:rsid w:val="5EEC4411"/>
    <w:rsid w:val="5EF552A7"/>
    <w:rsid w:val="5EF77271"/>
    <w:rsid w:val="5EFA7CCD"/>
    <w:rsid w:val="5F2C5137"/>
    <w:rsid w:val="5F313E05"/>
    <w:rsid w:val="5F571ABE"/>
    <w:rsid w:val="5F685A79"/>
    <w:rsid w:val="5F797C86"/>
    <w:rsid w:val="5F7C7776"/>
    <w:rsid w:val="5FA23A48"/>
    <w:rsid w:val="5FA24513"/>
    <w:rsid w:val="5FF85648"/>
    <w:rsid w:val="60194FC5"/>
    <w:rsid w:val="602624D9"/>
    <w:rsid w:val="602C2F4B"/>
    <w:rsid w:val="604F09E7"/>
    <w:rsid w:val="606F2E37"/>
    <w:rsid w:val="606F72DB"/>
    <w:rsid w:val="607E751E"/>
    <w:rsid w:val="60844B35"/>
    <w:rsid w:val="608858C6"/>
    <w:rsid w:val="609E54CA"/>
    <w:rsid w:val="60A3754C"/>
    <w:rsid w:val="60E127A8"/>
    <w:rsid w:val="60F11A9E"/>
    <w:rsid w:val="60FB291D"/>
    <w:rsid w:val="61251748"/>
    <w:rsid w:val="61461DEA"/>
    <w:rsid w:val="6151078F"/>
    <w:rsid w:val="615838CB"/>
    <w:rsid w:val="615A69F8"/>
    <w:rsid w:val="617C1CB0"/>
    <w:rsid w:val="618741B1"/>
    <w:rsid w:val="618D7A19"/>
    <w:rsid w:val="6192502F"/>
    <w:rsid w:val="61A3598A"/>
    <w:rsid w:val="61A4713D"/>
    <w:rsid w:val="61A82AA5"/>
    <w:rsid w:val="61C97752"/>
    <w:rsid w:val="6203474B"/>
    <w:rsid w:val="620D2908"/>
    <w:rsid w:val="623C62A3"/>
    <w:rsid w:val="625247BE"/>
    <w:rsid w:val="625609F2"/>
    <w:rsid w:val="62607EDA"/>
    <w:rsid w:val="62A80882"/>
    <w:rsid w:val="62AA63A9"/>
    <w:rsid w:val="62D60F4C"/>
    <w:rsid w:val="62D842D6"/>
    <w:rsid w:val="62E47B0C"/>
    <w:rsid w:val="62E95123"/>
    <w:rsid w:val="62F7218E"/>
    <w:rsid w:val="62F835B8"/>
    <w:rsid w:val="62FC3200"/>
    <w:rsid w:val="63065CD5"/>
    <w:rsid w:val="63495BC1"/>
    <w:rsid w:val="635D78BF"/>
    <w:rsid w:val="63750415"/>
    <w:rsid w:val="639257BA"/>
    <w:rsid w:val="63B82D47"/>
    <w:rsid w:val="63D556A7"/>
    <w:rsid w:val="63E1229E"/>
    <w:rsid w:val="63E92F01"/>
    <w:rsid w:val="63EA73A4"/>
    <w:rsid w:val="64460353"/>
    <w:rsid w:val="645667E8"/>
    <w:rsid w:val="64A22BC9"/>
    <w:rsid w:val="64A62BA0"/>
    <w:rsid w:val="64A67C7F"/>
    <w:rsid w:val="64B90B25"/>
    <w:rsid w:val="64BA34FF"/>
    <w:rsid w:val="64DB461D"/>
    <w:rsid w:val="64DD2A65"/>
    <w:rsid w:val="64DE2339"/>
    <w:rsid w:val="64E02555"/>
    <w:rsid w:val="64E5191A"/>
    <w:rsid w:val="65024D2A"/>
    <w:rsid w:val="650D2C1F"/>
    <w:rsid w:val="65101BA2"/>
    <w:rsid w:val="651D5558"/>
    <w:rsid w:val="651D7306"/>
    <w:rsid w:val="652D5FC3"/>
    <w:rsid w:val="655645C6"/>
    <w:rsid w:val="65644F35"/>
    <w:rsid w:val="658253BB"/>
    <w:rsid w:val="658A426F"/>
    <w:rsid w:val="658E3D60"/>
    <w:rsid w:val="65C428C6"/>
    <w:rsid w:val="65DF280D"/>
    <w:rsid w:val="65E557F1"/>
    <w:rsid w:val="65EB7404"/>
    <w:rsid w:val="65F31BDB"/>
    <w:rsid w:val="66012783"/>
    <w:rsid w:val="66073390"/>
    <w:rsid w:val="660B26D0"/>
    <w:rsid w:val="663A5C95"/>
    <w:rsid w:val="66640307"/>
    <w:rsid w:val="667747F4"/>
    <w:rsid w:val="669B3865"/>
    <w:rsid w:val="669E498C"/>
    <w:rsid w:val="669F17D2"/>
    <w:rsid w:val="66C51584"/>
    <w:rsid w:val="66D103A8"/>
    <w:rsid w:val="67065B78"/>
    <w:rsid w:val="670A1B0C"/>
    <w:rsid w:val="67145A4D"/>
    <w:rsid w:val="671D18B0"/>
    <w:rsid w:val="672EA9ED"/>
    <w:rsid w:val="672F1572"/>
    <w:rsid w:val="6736645D"/>
    <w:rsid w:val="6739419F"/>
    <w:rsid w:val="676B42A5"/>
    <w:rsid w:val="67B007D0"/>
    <w:rsid w:val="67BF5061"/>
    <w:rsid w:val="67D6379C"/>
    <w:rsid w:val="67ED7271"/>
    <w:rsid w:val="67F0485E"/>
    <w:rsid w:val="67FF7197"/>
    <w:rsid w:val="68372F05"/>
    <w:rsid w:val="683B6DE1"/>
    <w:rsid w:val="6841330B"/>
    <w:rsid w:val="687B36E7"/>
    <w:rsid w:val="688D47A2"/>
    <w:rsid w:val="68AB4C28"/>
    <w:rsid w:val="68D22DEE"/>
    <w:rsid w:val="68DF11D4"/>
    <w:rsid w:val="69015A74"/>
    <w:rsid w:val="69085BD7"/>
    <w:rsid w:val="69164798"/>
    <w:rsid w:val="691B590A"/>
    <w:rsid w:val="6922138F"/>
    <w:rsid w:val="692F7608"/>
    <w:rsid w:val="69564B94"/>
    <w:rsid w:val="69601EB7"/>
    <w:rsid w:val="69766FE4"/>
    <w:rsid w:val="699A1D68"/>
    <w:rsid w:val="69C97A5C"/>
    <w:rsid w:val="69FF08FF"/>
    <w:rsid w:val="6A01502E"/>
    <w:rsid w:val="6A0779D8"/>
    <w:rsid w:val="6A130CD7"/>
    <w:rsid w:val="6A153145"/>
    <w:rsid w:val="6A2616E7"/>
    <w:rsid w:val="6A4D41E9"/>
    <w:rsid w:val="6A5C267E"/>
    <w:rsid w:val="6A61700D"/>
    <w:rsid w:val="6A9F256B"/>
    <w:rsid w:val="6AA54025"/>
    <w:rsid w:val="6AD45637"/>
    <w:rsid w:val="6ADC731B"/>
    <w:rsid w:val="6AE0505D"/>
    <w:rsid w:val="6AE43843"/>
    <w:rsid w:val="6AE628E8"/>
    <w:rsid w:val="6AEC6501"/>
    <w:rsid w:val="6B252A70"/>
    <w:rsid w:val="6B434BD5"/>
    <w:rsid w:val="6B451364"/>
    <w:rsid w:val="6B633598"/>
    <w:rsid w:val="6B663041"/>
    <w:rsid w:val="6B7718F2"/>
    <w:rsid w:val="6B7E4876"/>
    <w:rsid w:val="6BA3608B"/>
    <w:rsid w:val="6BE04BE9"/>
    <w:rsid w:val="6BF863D7"/>
    <w:rsid w:val="6C027255"/>
    <w:rsid w:val="6C133210"/>
    <w:rsid w:val="6C186A79"/>
    <w:rsid w:val="6C1F4A28"/>
    <w:rsid w:val="6C20148A"/>
    <w:rsid w:val="6C223A49"/>
    <w:rsid w:val="6C263442"/>
    <w:rsid w:val="6C2E004A"/>
    <w:rsid w:val="6C523D39"/>
    <w:rsid w:val="6C6B6BA9"/>
    <w:rsid w:val="6C6E20D3"/>
    <w:rsid w:val="6C861C34"/>
    <w:rsid w:val="6C937EAD"/>
    <w:rsid w:val="6C9C2815"/>
    <w:rsid w:val="6CA4054A"/>
    <w:rsid w:val="6CA64085"/>
    <w:rsid w:val="6CAF118B"/>
    <w:rsid w:val="6CB247D7"/>
    <w:rsid w:val="6CC369E5"/>
    <w:rsid w:val="6CCE613F"/>
    <w:rsid w:val="6CD97FB6"/>
    <w:rsid w:val="6CE6276D"/>
    <w:rsid w:val="6CEF3F26"/>
    <w:rsid w:val="6CFE3BAA"/>
    <w:rsid w:val="6CFE7A1D"/>
    <w:rsid w:val="6D072C9C"/>
    <w:rsid w:val="6D2531FB"/>
    <w:rsid w:val="6D286848"/>
    <w:rsid w:val="6D521F1F"/>
    <w:rsid w:val="6D5B09CB"/>
    <w:rsid w:val="6D673814"/>
    <w:rsid w:val="6D851EEC"/>
    <w:rsid w:val="6DB56710"/>
    <w:rsid w:val="6DC92D8B"/>
    <w:rsid w:val="6DEA61F3"/>
    <w:rsid w:val="6E0E3C8F"/>
    <w:rsid w:val="6E34121C"/>
    <w:rsid w:val="6E55366C"/>
    <w:rsid w:val="6E810905"/>
    <w:rsid w:val="6E873A42"/>
    <w:rsid w:val="6E8C4E15"/>
    <w:rsid w:val="6EA52F6B"/>
    <w:rsid w:val="6EE3511C"/>
    <w:rsid w:val="6EFE5B70"/>
    <w:rsid w:val="6F03131A"/>
    <w:rsid w:val="6F0B1E9B"/>
    <w:rsid w:val="6F241291"/>
    <w:rsid w:val="6F245233"/>
    <w:rsid w:val="6F3256D1"/>
    <w:rsid w:val="6F532BB1"/>
    <w:rsid w:val="6F63625D"/>
    <w:rsid w:val="6F667AFB"/>
    <w:rsid w:val="6F7630D2"/>
    <w:rsid w:val="6F765F90"/>
    <w:rsid w:val="6F7722FC"/>
    <w:rsid w:val="6F80665F"/>
    <w:rsid w:val="6F8A37EA"/>
    <w:rsid w:val="6F90417E"/>
    <w:rsid w:val="6F9258DA"/>
    <w:rsid w:val="6F9C20BD"/>
    <w:rsid w:val="6FB66D39"/>
    <w:rsid w:val="6FCC795E"/>
    <w:rsid w:val="6FF173C5"/>
    <w:rsid w:val="6FF80D33"/>
    <w:rsid w:val="70223A22"/>
    <w:rsid w:val="702C664F"/>
    <w:rsid w:val="702E23C7"/>
    <w:rsid w:val="702E3400"/>
    <w:rsid w:val="70335C2F"/>
    <w:rsid w:val="70497201"/>
    <w:rsid w:val="704B508B"/>
    <w:rsid w:val="704C0A9F"/>
    <w:rsid w:val="7076624B"/>
    <w:rsid w:val="707D50FC"/>
    <w:rsid w:val="708131AD"/>
    <w:rsid w:val="70C8281B"/>
    <w:rsid w:val="70D05DE9"/>
    <w:rsid w:val="70F7553D"/>
    <w:rsid w:val="70FC779A"/>
    <w:rsid w:val="710D7763"/>
    <w:rsid w:val="7113780F"/>
    <w:rsid w:val="714A76D4"/>
    <w:rsid w:val="715045BF"/>
    <w:rsid w:val="7159552E"/>
    <w:rsid w:val="715C7408"/>
    <w:rsid w:val="716D33C3"/>
    <w:rsid w:val="71734CC6"/>
    <w:rsid w:val="71755DD4"/>
    <w:rsid w:val="71AC3EEB"/>
    <w:rsid w:val="71B0505E"/>
    <w:rsid w:val="71E03B95"/>
    <w:rsid w:val="71EF489D"/>
    <w:rsid w:val="71EF5B86"/>
    <w:rsid w:val="72075F0B"/>
    <w:rsid w:val="721668E6"/>
    <w:rsid w:val="72206DE1"/>
    <w:rsid w:val="722515A8"/>
    <w:rsid w:val="72270896"/>
    <w:rsid w:val="723A4149"/>
    <w:rsid w:val="72514A93"/>
    <w:rsid w:val="72516841"/>
    <w:rsid w:val="72754F37"/>
    <w:rsid w:val="727F55C1"/>
    <w:rsid w:val="72855F71"/>
    <w:rsid w:val="729055BB"/>
    <w:rsid w:val="72976A9F"/>
    <w:rsid w:val="72A17B5D"/>
    <w:rsid w:val="72B73B84"/>
    <w:rsid w:val="72C60FDD"/>
    <w:rsid w:val="72CB749C"/>
    <w:rsid w:val="72CD6775"/>
    <w:rsid w:val="72D35A08"/>
    <w:rsid w:val="72D405E0"/>
    <w:rsid w:val="72E13E1B"/>
    <w:rsid w:val="72FD2525"/>
    <w:rsid w:val="730B4C41"/>
    <w:rsid w:val="7318110C"/>
    <w:rsid w:val="732950C8"/>
    <w:rsid w:val="732E7AA3"/>
    <w:rsid w:val="733540F3"/>
    <w:rsid w:val="73435BD4"/>
    <w:rsid w:val="73563420"/>
    <w:rsid w:val="73665897"/>
    <w:rsid w:val="7372081D"/>
    <w:rsid w:val="73926314"/>
    <w:rsid w:val="73AF7CC3"/>
    <w:rsid w:val="73B01345"/>
    <w:rsid w:val="73C71D9B"/>
    <w:rsid w:val="73E13BF4"/>
    <w:rsid w:val="73F531FC"/>
    <w:rsid w:val="740D2C3B"/>
    <w:rsid w:val="740D49E9"/>
    <w:rsid w:val="741B7106"/>
    <w:rsid w:val="74381A66"/>
    <w:rsid w:val="744F0B5E"/>
    <w:rsid w:val="74582108"/>
    <w:rsid w:val="74730CF0"/>
    <w:rsid w:val="74884070"/>
    <w:rsid w:val="748A7DE8"/>
    <w:rsid w:val="749B3DA3"/>
    <w:rsid w:val="74DE3A93"/>
    <w:rsid w:val="74FC6F38"/>
    <w:rsid w:val="75120509"/>
    <w:rsid w:val="752C5223"/>
    <w:rsid w:val="75314C7A"/>
    <w:rsid w:val="7533222E"/>
    <w:rsid w:val="757C0194"/>
    <w:rsid w:val="757DE146"/>
    <w:rsid w:val="758F0937"/>
    <w:rsid w:val="75907680"/>
    <w:rsid w:val="75AF3FAA"/>
    <w:rsid w:val="75C25ED6"/>
    <w:rsid w:val="75CF63FA"/>
    <w:rsid w:val="75EFC646"/>
    <w:rsid w:val="75FC6AC3"/>
    <w:rsid w:val="762C1090"/>
    <w:rsid w:val="76312C11"/>
    <w:rsid w:val="76455A1A"/>
    <w:rsid w:val="766528BB"/>
    <w:rsid w:val="766A7ED1"/>
    <w:rsid w:val="766F3739"/>
    <w:rsid w:val="76746FA2"/>
    <w:rsid w:val="76760624"/>
    <w:rsid w:val="76870A83"/>
    <w:rsid w:val="769179AA"/>
    <w:rsid w:val="769211D6"/>
    <w:rsid w:val="769F325B"/>
    <w:rsid w:val="76A51580"/>
    <w:rsid w:val="76A525E8"/>
    <w:rsid w:val="76A72ED3"/>
    <w:rsid w:val="76AA651F"/>
    <w:rsid w:val="76AC04E9"/>
    <w:rsid w:val="76C03AD6"/>
    <w:rsid w:val="76D65566"/>
    <w:rsid w:val="76E81F38"/>
    <w:rsid w:val="77044E51"/>
    <w:rsid w:val="77147E3D"/>
    <w:rsid w:val="7719023C"/>
    <w:rsid w:val="771C566F"/>
    <w:rsid w:val="777D1E86"/>
    <w:rsid w:val="77811976"/>
    <w:rsid w:val="7789082B"/>
    <w:rsid w:val="779A47E6"/>
    <w:rsid w:val="77BB7010"/>
    <w:rsid w:val="77C9104E"/>
    <w:rsid w:val="77D11031"/>
    <w:rsid w:val="77D575CC"/>
    <w:rsid w:val="77E1549F"/>
    <w:rsid w:val="77EB5041"/>
    <w:rsid w:val="77EF0B18"/>
    <w:rsid w:val="77F43EF6"/>
    <w:rsid w:val="783458C3"/>
    <w:rsid w:val="786F5C73"/>
    <w:rsid w:val="788039DC"/>
    <w:rsid w:val="78827754"/>
    <w:rsid w:val="7883171E"/>
    <w:rsid w:val="78832A30"/>
    <w:rsid w:val="78951193"/>
    <w:rsid w:val="789E7942"/>
    <w:rsid w:val="78B4775E"/>
    <w:rsid w:val="78B83D2B"/>
    <w:rsid w:val="78D6619A"/>
    <w:rsid w:val="78F86810"/>
    <w:rsid w:val="79135E20"/>
    <w:rsid w:val="79330A4E"/>
    <w:rsid w:val="793967F5"/>
    <w:rsid w:val="7956473D"/>
    <w:rsid w:val="7961380D"/>
    <w:rsid w:val="7963752C"/>
    <w:rsid w:val="798153CC"/>
    <w:rsid w:val="79B3393D"/>
    <w:rsid w:val="79C00BB7"/>
    <w:rsid w:val="79C454A1"/>
    <w:rsid w:val="79E306C6"/>
    <w:rsid w:val="79FF4DD4"/>
    <w:rsid w:val="79FF945A"/>
    <w:rsid w:val="7A2C12AF"/>
    <w:rsid w:val="7A3C1B84"/>
    <w:rsid w:val="7A5E1AFB"/>
    <w:rsid w:val="7A6A20B4"/>
    <w:rsid w:val="7A7255A6"/>
    <w:rsid w:val="7A7B2E7E"/>
    <w:rsid w:val="7A7C15F3"/>
    <w:rsid w:val="7A804167"/>
    <w:rsid w:val="7A923C0B"/>
    <w:rsid w:val="7AAC0AB8"/>
    <w:rsid w:val="7AC661DC"/>
    <w:rsid w:val="7AFD42F9"/>
    <w:rsid w:val="7B007056"/>
    <w:rsid w:val="7B034450"/>
    <w:rsid w:val="7B0703E4"/>
    <w:rsid w:val="7B18614D"/>
    <w:rsid w:val="7B212CD8"/>
    <w:rsid w:val="7B4231CA"/>
    <w:rsid w:val="7B542EFE"/>
    <w:rsid w:val="7B803CF3"/>
    <w:rsid w:val="7B8657AD"/>
    <w:rsid w:val="7B900CE5"/>
    <w:rsid w:val="7B9B803D"/>
    <w:rsid w:val="7BA72FC2"/>
    <w:rsid w:val="7BA774D1"/>
    <w:rsid w:val="7BBA0112"/>
    <w:rsid w:val="7BBB2A72"/>
    <w:rsid w:val="7BCC34E5"/>
    <w:rsid w:val="7BD227A0"/>
    <w:rsid w:val="7BF70459"/>
    <w:rsid w:val="7BF723CD"/>
    <w:rsid w:val="7C0466D2"/>
    <w:rsid w:val="7C090879"/>
    <w:rsid w:val="7C0B180E"/>
    <w:rsid w:val="7C374CF9"/>
    <w:rsid w:val="7C376AA7"/>
    <w:rsid w:val="7C460A98"/>
    <w:rsid w:val="7C55517F"/>
    <w:rsid w:val="7C556E26"/>
    <w:rsid w:val="7C5C1A19"/>
    <w:rsid w:val="7C6B0CD6"/>
    <w:rsid w:val="7C9C2DAE"/>
    <w:rsid w:val="7CAA1027"/>
    <w:rsid w:val="7CAC053C"/>
    <w:rsid w:val="7CAD6D69"/>
    <w:rsid w:val="7CB15915"/>
    <w:rsid w:val="7CB24D98"/>
    <w:rsid w:val="7CCA16C9"/>
    <w:rsid w:val="7CE56503"/>
    <w:rsid w:val="7CEF1407"/>
    <w:rsid w:val="7D00352C"/>
    <w:rsid w:val="7D0A5F6A"/>
    <w:rsid w:val="7D0F17D2"/>
    <w:rsid w:val="7D276B1C"/>
    <w:rsid w:val="7D2A2168"/>
    <w:rsid w:val="7D3E470B"/>
    <w:rsid w:val="7D4E22FA"/>
    <w:rsid w:val="7D5423C8"/>
    <w:rsid w:val="7D602561"/>
    <w:rsid w:val="7D847ACA"/>
    <w:rsid w:val="7DB54128"/>
    <w:rsid w:val="7DBB7264"/>
    <w:rsid w:val="7E087814"/>
    <w:rsid w:val="7E167D92"/>
    <w:rsid w:val="7E171E3C"/>
    <w:rsid w:val="7E1914E0"/>
    <w:rsid w:val="7E24305B"/>
    <w:rsid w:val="7E4158E9"/>
    <w:rsid w:val="7E5F0273"/>
    <w:rsid w:val="7E677E64"/>
    <w:rsid w:val="7E725B75"/>
    <w:rsid w:val="7E845165"/>
    <w:rsid w:val="7EA61CC2"/>
    <w:rsid w:val="7EAE6ED0"/>
    <w:rsid w:val="7EC47165"/>
    <w:rsid w:val="7ED24865"/>
    <w:rsid w:val="7ED60E22"/>
    <w:rsid w:val="7EE57794"/>
    <w:rsid w:val="7EEB3B79"/>
    <w:rsid w:val="7EF938A6"/>
    <w:rsid w:val="7EFE1AFE"/>
    <w:rsid w:val="7F0B2B16"/>
    <w:rsid w:val="7F17496E"/>
    <w:rsid w:val="7F1D01D6"/>
    <w:rsid w:val="7F233313"/>
    <w:rsid w:val="7F34107C"/>
    <w:rsid w:val="7F343772"/>
    <w:rsid w:val="7F3B240A"/>
    <w:rsid w:val="7F4D213E"/>
    <w:rsid w:val="7F5B2AAD"/>
    <w:rsid w:val="7F7D58EC"/>
    <w:rsid w:val="7F842003"/>
    <w:rsid w:val="7FA00746"/>
    <w:rsid w:val="7FB7048A"/>
    <w:rsid w:val="7FBB79EF"/>
    <w:rsid w:val="7FC335E9"/>
    <w:rsid w:val="7FC70142"/>
    <w:rsid w:val="7FC95C68"/>
    <w:rsid w:val="7FFD8351"/>
    <w:rsid w:val="7FFF78DC"/>
    <w:rsid w:val="96DE3BE2"/>
    <w:rsid w:val="96F63A20"/>
    <w:rsid w:val="9D4B5CFF"/>
    <w:rsid w:val="A7CD446F"/>
    <w:rsid w:val="BDFF3740"/>
    <w:rsid w:val="BEFF113C"/>
    <w:rsid w:val="BF7EF6BB"/>
    <w:rsid w:val="BFFE64DC"/>
    <w:rsid w:val="CCF9FE58"/>
    <w:rsid w:val="D5EFE6CB"/>
    <w:rsid w:val="D7F92033"/>
    <w:rsid w:val="DCFB06EB"/>
    <w:rsid w:val="DDBCE7D3"/>
    <w:rsid w:val="DDFE86F2"/>
    <w:rsid w:val="DE370ACC"/>
    <w:rsid w:val="DFEFA670"/>
    <w:rsid w:val="E15E4190"/>
    <w:rsid w:val="E69C0268"/>
    <w:rsid w:val="E9F71EFB"/>
    <w:rsid w:val="EDAEF2D5"/>
    <w:rsid w:val="EFF9FCF9"/>
    <w:rsid w:val="EFFC0B61"/>
    <w:rsid w:val="EFFD3760"/>
    <w:rsid w:val="F3FBF0BC"/>
    <w:rsid w:val="F4B50E80"/>
    <w:rsid w:val="F7BE7CC7"/>
    <w:rsid w:val="F9FB130D"/>
    <w:rsid w:val="FBDF572B"/>
    <w:rsid w:val="FBFD5B9A"/>
    <w:rsid w:val="FEFCDA4D"/>
    <w:rsid w:val="FF3B4BDD"/>
    <w:rsid w:val="FFCF29B1"/>
    <w:rsid w:val="FFFC6958"/>
    <w:rsid w:val="FFFF7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6">
    <w:name w:val="heading 2"/>
    <w:basedOn w:val="1"/>
    <w:next w:val="1"/>
    <w:link w:val="4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3"/>
    <w:autoRedefine/>
    <w:qFormat/>
    <w:uiPriority w:val="0"/>
    <w:pPr>
      <w:keepNext/>
      <w:keepLines/>
      <w:spacing w:before="120" w:after="120"/>
      <w:outlineLvl w:val="2"/>
    </w:pPr>
    <w:rPr>
      <w:rFonts w:ascii="宋体" w:hAnsi="宋体"/>
      <w:b/>
      <w:bCs/>
      <w:color w:val="FF0000"/>
      <w:sz w:val="24"/>
    </w:rPr>
  </w:style>
  <w:style w:type="paragraph" w:styleId="8">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autoRedefine/>
    <w:qFormat/>
    <w:uiPriority w:val="0"/>
    <w:pPr>
      <w:keepNext/>
      <w:keepLines/>
      <w:spacing w:before="280" w:after="290" w:line="372" w:lineRule="auto"/>
      <w:outlineLvl w:val="4"/>
    </w:pPr>
    <w:rPr>
      <w:b/>
      <w:bCs/>
      <w:sz w:val="28"/>
      <w:szCs w:val="28"/>
    </w:rPr>
  </w:style>
  <w:style w:type="character" w:default="1" w:styleId="29">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autoRedefine/>
    <w:qFormat/>
    <w:uiPriority w:val="0"/>
    <w:pPr>
      <w:ind w:firstLine="420" w:firstLineChars="200"/>
    </w:pPr>
  </w:style>
  <w:style w:type="paragraph" w:customStyle="1" w:styleId="3">
    <w:name w:val="正文文本缩进1"/>
    <w:basedOn w:val="1"/>
    <w:next w:val="4"/>
    <w:autoRedefine/>
    <w:qFormat/>
    <w:uiPriority w:val="0"/>
    <w:pPr>
      <w:spacing w:after="120"/>
      <w:ind w:left="200" w:leftChars="200"/>
    </w:pPr>
  </w:style>
  <w:style w:type="paragraph" w:customStyle="1" w:styleId="4">
    <w:name w:val="font5"/>
    <w:basedOn w:val="1"/>
    <w:autoRedefine/>
    <w:qFormat/>
    <w:uiPriority w:val="0"/>
    <w:pPr>
      <w:widowControl/>
      <w:spacing w:before="100" w:beforeAutospacing="1" w:after="100" w:afterAutospacing="1"/>
      <w:jc w:val="left"/>
    </w:pPr>
    <w:rPr>
      <w:rFonts w:ascii="宋体" w:hAnsi="宋体"/>
      <w:kern w:val="0"/>
      <w:sz w:val="24"/>
    </w:rPr>
  </w:style>
  <w:style w:type="paragraph" w:styleId="10">
    <w:name w:val="annotation text"/>
    <w:basedOn w:val="1"/>
    <w:autoRedefine/>
    <w:qFormat/>
    <w:uiPriority w:val="0"/>
    <w:pPr>
      <w:jc w:val="left"/>
    </w:pPr>
  </w:style>
  <w:style w:type="paragraph" w:styleId="11">
    <w:name w:val="Body Text 3"/>
    <w:basedOn w:val="1"/>
    <w:autoRedefine/>
    <w:qFormat/>
    <w:uiPriority w:val="0"/>
    <w:rPr>
      <w:rFonts w:ascii="宋体"/>
      <w:sz w:val="24"/>
      <w:szCs w:val="20"/>
    </w:rPr>
  </w:style>
  <w:style w:type="paragraph" w:styleId="12">
    <w:name w:val="Body Text"/>
    <w:basedOn w:val="1"/>
    <w:autoRedefine/>
    <w:qFormat/>
    <w:uiPriority w:val="0"/>
    <w:pPr>
      <w:spacing w:after="120"/>
    </w:pPr>
  </w:style>
  <w:style w:type="paragraph" w:styleId="13">
    <w:name w:val="Body Text Indent"/>
    <w:basedOn w:val="1"/>
    <w:next w:val="14"/>
    <w:autoRedefine/>
    <w:qFormat/>
    <w:uiPriority w:val="0"/>
    <w:pPr>
      <w:spacing w:after="120"/>
      <w:ind w:left="420" w:leftChars="200"/>
    </w:pPr>
  </w:style>
  <w:style w:type="paragraph" w:styleId="14">
    <w:name w:val="envelope return"/>
    <w:basedOn w:val="1"/>
    <w:autoRedefine/>
    <w:qFormat/>
    <w:uiPriority w:val="0"/>
    <w:pPr>
      <w:snapToGrid w:val="0"/>
    </w:pPr>
    <w:rPr>
      <w:rFonts w:ascii="Arial" w:hAnsi="Arial"/>
    </w:rPr>
  </w:style>
  <w:style w:type="paragraph" w:styleId="15">
    <w:name w:val="toc 3"/>
    <w:basedOn w:val="1"/>
    <w:next w:val="1"/>
    <w:autoRedefine/>
    <w:qFormat/>
    <w:uiPriority w:val="0"/>
    <w:pPr>
      <w:ind w:left="840" w:leftChars="400"/>
    </w:pPr>
  </w:style>
  <w:style w:type="paragraph" w:styleId="16">
    <w:name w:val="Plain Text"/>
    <w:basedOn w:val="1"/>
    <w:next w:val="1"/>
    <w:autoRedefine/>
    <w:qFormat/>
    <w:uiPriority w:val="0"/>
    <w:rPr>
      <w:rFonts w:ascii="宋体" w:hAnsi="Courier New" w:eastAsia="楷体_GB2312"/>
      <w:kern w:val="0"/>
      <w:sz w:val="20"/>
    </w:rPr>
  </w:style>
  <w:style w:type="paragraph" w:styleId="17">
    <w:name w:val="Balloon Text"/>
    <w:basedOn w:val="1"/>
    <w:link w:val="48"/>
    <w:autoRedefine/>
    <w:qFormat/>
    <w:uiPriority w:val="0"/>
    <w:rPr>
      <w:sz w:val="18"/>
      <w:szCs w:val="18"/>
    </w:rPr>
  </w:style>
  <w:style w:type="paragraph" w:styleId="18">
    <w:name w:val="footer"/>
    <w:basedOn w:val="1"/>
    <w:autoRedefine/>
    <w:qFormat/>
    <w:uiPriority w:val="99"/>
    <w:pPr>
      <w:tabs>
        <w:tab w:val="center" w:pos="4153"/>
        <w:tab w:val="right" w:pos="8306"/>
      </w:tabs>
      <w:snapToGrid w:val="0"/>
      <w:jc w:val="left"/>
    </w:pPr>
    <w:rPr>
      <w:sz w:val="18"/>
      <w:szCs w:val="18"/>
    </w:rPr>
  </w:style>
  <w:style w:type="paragraph" w:styleId="19">
    <w:name w:val="header"/>
    <w:basedOn w:val="1"/>
    <w:link w:val="47"/>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b/>
      <w:bCs/>
      <w:caps/>
      <w:sz w:val="20"/>
      <w:szCs w:val="20"/>
    </w:rPr>
  </w:style>
  <w:style w:type="paragraph" w:styleId="21">
    <w:name w:val="footnote text"/>
    <w:basedOn w:val="1"/>
    <w:autoRedefine/>
    <w:qFormat/>
    <w:uiPriority w:val="0"/>
    <w:pPr>
      <w:snapToGrid w:val="0"/>
      <w:jc w:val="left"/>
    </w:pPr>
    <w:rPr>
      <w:sz w:val="18"/>
    </w:rPr>
  </w:style>
  <w:style w:type="paragraph" w:styleId="22">
    <w:name w:val="toc 2"/>
    <w:basedOn w:val="1"/>
    <w:next w:val="23"/>
    <w:autoRedefine/>
    <w:qFormat/>
    <w:uiPriority w:val="39"/>
    <w:pPr>
      <w:ind w:left="210"/>
      <w:jc w:val="left"/>
    </w:pPr>
    <w:rPr>
      <w:smallCaps/>
      <w:kern w:val="0"/>
      <w:sz w:val="20"/>
      <w:szCs w:val="20"/>
    </w:rPr>
  </w:style>
  <w:style w:type="paragraph" w:customStyle="1" w:styleId="23">
    <w:name w:val="样式 标题 2 + Times New Roman 四号 非加粗 段前: 5 磅 段后: 0 磅 行距: 固定值 20..."/>
    <w:basedOn w:val="6"/>
    <w:link w:val="40"/>
    <w:autoRedefine/>
    <w:qFormat/>
    <w:uiPriority w:val="0"/>
    <w:pPr>
      <w:spacing w:before="100" w:after="0" w:line="400" w:lineRule="exact"/>
    </w:pPr>
    <w:rPr>
      <w:rFonts w:ascii="Times New Roman" w:hAnsi="Times New Roman" w:eastAsia="宋体"/>
      <w:kern w:val="0"/>
      <w:sz w:val="28"/>
      <w:szCs w:val="20"/>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Body Text First Indent"/>
    <w:basedOn w:val="12"/>
    <w:autoRedefine/>
    <w:qFormat/>
    <w:uiPriority w:val="0"/>
    <w:pPr>
      <w:ind w:firstLine="420"/>
    </w:pPr>
    <w:rPr>
      <w:rFonts w:eastAsia="楷体_GB2312"/>
    </w:rPr>
  </w:style>
  <w:style w:type="paragraph" w:styleId="26">
    <w:name w:val="Body Text First Indent 2"/>
    <w:basedOn w:val="13"/>
    <w:next w:val="27"/>
    <w:autoRedefine/>
    <w:qFormat/>
    <w:uiPriority w:val="0"/>
    <w:pPr>
      <w:ind w:firstLine="420"/>
    </w:pPr>
  </w:style>
  <w:style w:type="paragraph" w:customStyle="1" w:styleId="27">
    <w:name w:val="样式 正文首行缩进 2 + Arial"/>
    <w:basedOn w:val="1"/>
    <w:next w:val="1"/>
    <w:autoRedefine/>
    <w:qFormat/>
    <w:uiPriority w:val="0"/>
    <w:pPr>
      <w:spacing w:before="100" w:beforeAutospacing="1" w:after="120" w:line="320" w:lineRule="atLeast"/>
      <w:ind w:firstLine="200" w:firstLineChars="200"/>
    </w:pPr>
    <w:rPr>
      <w:rFonts w:ascii="Arial" w:hAnsi="Arial" w:cs="Arial"/>
    </w:rPr>
  </w:style>
  <w:style w:type="character" w:styleId="30">
    <w:name w:val="page number"/>
    <w:autoRedefine/>
    <w:qFormat/>
    <w:uiPriority w:val="0"/>
    <w:rPr>
      <w:rFonts w:ascii="Arial" w:hAnsi="Arial" w:eastAsia="黑体"/>
      <w:kern w:val="2"/>
      <w:sz w:val="21"/>
      <w:szCs w:val="21"/>
      <w:lang w:val="en-US" w:eastAsia="zh-CN" w:bidi="ar-SA"/>
    </w:rPr>
  </w:style>
  <w:style w:type="character" w:styleId="31">
    <w:name w:val="Emphasis"/>
    <w:basedOn w:val="29"/>
    <w:autoRedefine/>
    <w:qFormat/>
    <w:uiPriority w:val="0"/>
    <w:rPr>
      <w:i/>
    </w:rPr>
  </w:style>
  <w:style w:type="character" w:styleId="32">
    <w:name w:val="Hyperlink"/>
    <w:autoRedefine/>
    <w:qFormat/>
    <w:uiPriority w:val="99"/>
    <w:rPr>
      <w:rFonts w:ascii="Arial" w:hAnsi="Arial" w:eastAsia="黑体"/>
      <w:color w:val="0000FF"/>
      <w:kern w:val="2"/>
      <w:sz w:val="21"/>
      <w:szCs w:val="21"/>
      <w:u w:val="single"/>
      <w:lang w:val="en-US" w:eastAsia="zh-CN" w:bidi="ar-SA"/>
    </w:rPr>
  </w:style>
  <w:style w:type="character" w:styleId="33">
    <w:name w:val="annotation reference"/>
    <w:basedOn w:val="29"/>
    <w:autoRedefine/>
    <w:qFormat/>
    <w:uiPriority w:val="0"/>
    <w:rPr>
      <w:sz w:val="21"/>
      <w:szCs w:val="21"/>
    </w:rPr>
  </w:style>
  <w:style w:type="character" w:styleId="34">
    <w:name w:val="footnote reference"/>
    <w:basedOn w:val="29"/>
    <w:autoRedefine/>
    <w:qFormat/>
    <w:uiPriority w:val="0"/>
    <w:rPr>
      <w:vertAlign w:val="superscript"/>
    </w:rPr>
  </w:style>
  <w:style w:type="paragraph" w:customStyle="1" w:styleId="35">
    <w:name w:val="PlainText"/>
    <w:basedOn w:val="1"/>
    <w:autoRedefine/>
    <w:qFormat/>
    <w:uiPriority w:val="0"/>
    <w:rPr>
      <w:rFonts w:ascii="宋体" w:hAnsi="Courier New"/>
      <w:kern w:val="0"/>
      <w:sz w:val="20"/>
      <w:szCs w:val="20"/>
    </w:rPr>
  </w:style>
  <w:style w:type="paragraph" w:customStyle="1" w:styleId="36">
    <w:name w:val="样式20"/>
    <w:basedOn w:val="1"/>
    <w:next w:val="1"/>
    <w:autoRedefine/>
    <w:qFormat/>
    <w:uiPriority w:val="0"/>
    <w:pPr>
      <w:spacing w:line="460" w:lineRule="exact"/>
      <w:ind w:firstLine="900" w:firstLineChars="300"/>
      <w:outlineLvl w:val="0"/>
    </w:pPr>
    <w:rPr>
      <w:rFonts w:eastAsia="黑体"/>
      <w:sz w:val="30"/>
      <w:szCs w:val="30"/>
      <w:u w:val="single"/>
    </w:rPr>
  </w:style>
  <w:style w:type="paragraph" w:customStyle="1" w:styleId="37">
    <w:name w:val="样式 标题 1 + 黑体 三号 非加粗 居中 段前: 6 磅 段后: 6 磅 行距: 固定值 20 磅"/>
    <w:basedOn w:val="5"/>
    <w:autoRedefine/>
    <w:qFormat/>
    <w:uiPriority w:val="0"/>
    <w:pPr>
      <w:spacing w:before="120" w:after="120" w:line="400" w:lineRule="exact"/>
    </w:pPr>
    <w:rPr>
      <w:rFonts w:ascii="黑体" w:hAnsi="黑体" w:eastAsia="黑体"/>
      <w:kern w:val="0"/>
      <w:sz w:val="32"/>
      <w:szCs w:val="20"/>
    </w:rPr>
  </w:style>
  <w:style w:type="paragraph" w:customStyle="1" w:styleId="38">
    <w:name w:val="样式 标题 3 + (中文) 黑体 小四 非加粗 段前: 7.8 磅 段后: 0 磅 行距: 固定值 20 磅"/>
    <w:basedOn w:val="7"/>
    <w:link w:val="42"/>
    <w:autoRedefine/>
    <w:qFormat/>
    <w:uiPriority w:val="0"/>
    <w:pPr>
      <w:spacing w:before="0" w:after="0" w:line="400" w:lineRule="exact"/>
    </w:pPr>
    <w:rPr>
      <w:rFonts w:ascii="Times New Roman" w:hAnsi="Times New Roman" w:eastAsia="黑体"/>
      <w:color w:val="000000"/>
      <w:kern w:val="0"/>
      <w:sz w:val="20"/>
      <w:szCs w:val="20"/>
    </w:rPr>
  </w:style>
  <w:style w:type="paragraph" w:customStyle="1" w:styleId="39">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样式 标题 2 + Times New Roman 四号 非加粗 段前: 5 磅 段后: 0 磅 行距: 固定值 20... Char"/>
    <w:link w:val="23"/>
    <w:autoRedefine/>
    <w:qFormat/>
    <w:uiPriority w:val="0"/>
    <w:rPr>
      <w:rFonts w:ascii="Times New Roman" w:hAnsi="Times New Roman" w:eastAsia="宋体"/>
      <w:kern w:val="0"/>
      <w:sz w:val="28"/>
      <w:szCs w:val="20"/>
    </w:rPr>
  </w:style>
  <w:style w:type="character" w:customStyle="1" w:styleId="41">
    <w:name w:val="标题 2 Char"/>
    <w:link w:val="6"/>
    <w:autoRedefine/>
    <w:qFormat/>
    <w:uiPriority w:val="0"/>
    <w:rPr>
      <w:rFonts w:ascii="Arial" w:hAnsi="Arial" w:eastAsia="黑体"/>
      <w:b/>
      <w:bCs/>
      <w:sz w:val="32"/>
      <w:szCs w:val="32"/>
    </w:rPr>
  </w:style>
  <w:style w:type="character" w:customStyle="1" w:styleId="42">
    <w:name w:val="样式 标题 3 + (中文) 黑体 小四 非加粗 段前: 7.8 磅 段后: 0 磅 行距: 固定值 20 磅 Char"/>
    <w:link w:val="38"/>
    <w:autoRedefine/>
    <w:qFormat/>
    <w:uiPriority w:val="0"/>
    <w:rPr>
      <w:rFonts w:ascii="Times New Roman" w:hAnsi="Times New Roman" w:eastAsia="黑体"/>
      <w:color w:val="000000"/>
      <w:kern w:val="0"/>
      <w:sz w:val="20"/>
      <w:szCs w:val="20"/>
    </w:rPr>
  </w:style>
  <w:style w:type="character" w:customStyle="1" w:styleId="43">
    <w:name w:val="标题 3 Char"/>
    <w:link w:val="7"/>
    <w:autoRedefine/>
    <w:qFormat/>
    <w:uiPriority w:val="0"/>
    <w:rPr>
      <w:rFonts w:ascii="宋体" w:hAnsi="宋体"/>
      <w:b/>
      <w:bCs/>
      <w:color w:val="FF0000"/>
      <w:sz w:val="24"/>
    </w:rPr>
  </w:style>
  <w:style w:type="paragraph" w:customStyle="1" w:styleId="44">
    <w:name w:val="xl31"/>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45">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character" w:customStyle="1" w:styleId="47">
    <w:name w:val="页眉 Char"/>
    <w:basedOn w:val="29"/>
    <w:link w:val="19"/>
    <w:autoRedefine/>
    <w:qFormat/>
    <w:uiPriority w:val="0"/>
    <w:rPr>
      <w:kern w:val="2"/>
      <w:sz w:val="18"/>
      <w:szCs w:val="18"/>
    </w:rPr>
  </w:style>
  <w:style w:type="character" w:customStyle="1" w:styleId="48">
    <w:name w:val="批注框文本 Char"/>
    <w:basedOn w:val="29"/>
    <w:link w:val="17"/>
    <w:autoRedefine/>
    <w:qFormat/>
    <w:uiPriority w:val="0"/>
    <w:rPr>
      <w:kern w:val="2"/>
      <w:sz w:val="18"/>
      <w:szCs w:val="18"/>
    </w:rPr>
  </w:style>
  <w:style w:type="paragraph" w:customStyle="1" w:styleId="49">
    <w:name w:val="样式 宋体 行距: 1.5 倍行距"/>
    <w:basedOn w:val="1"/>
    <w:autoRedefine/>
    <w:qFormat/>
    <w:uiPriority w:val="0"/>
    <w:pPr>
      <w:jc w:val="center"/>
    </w:pPr>
    <w:rPr>
      <w:b/>
    </w:rPr>
  </w:style>
  <w:style w:type="paragraph" w:customStyle="1" w:styleId="50">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18054</Words>
  <Characters>102913</Characters>
  <Lines>857</Lines>
  <Paragraphs>241</Paragraphs>
  <TotalTime>8</TotalTime>
  <ScaleCrop>false</ScaleCrop>
  <LinksUpToDate>false</LinksUpToDate>
  <CharactersWithSpaces>120726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2024-01-21T09:35:00Z</dcterms:created>
  <dc:creator>Administrator</dc:creator>
  <cp:lastModifiedBy>Administrator</cp:lastModifiedBy>
  <cp:lastPrinted>2024-02-22T14:33:00Z</cp:lastPrinted>
  <dcterms:modified xsi:type="dcterms:W3CDTF">2024-03-07T08:14:55Z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0A111327FC5F413B98AB45EBC15AB71F_13</vt:lpwstr>
  </property>
</Properties>
</file>