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宋体" w:hAnsi="宋体"/>
          <w:b/>
          <w:color w:val="auto"/>
          <w:kern w:val="0"/>
          <w:sz w:val="32"/>
          <w:szCs w:val="32"/>
          <w:highlight w:val="none"/>
        </w:rPr>
      </w:pPr>
      <w:bookmarkStart w:id="0" w:name="_Toc168475642"/>
      <w:bookmarkStart w:id="1" w:name="_Toc168476045"/>
      <w:bookmarkStart w:id="2" w:name="_Toc229305341"/>
      <w:bookmarkStart w:id="3" w:name="_Toc222030983"/>
      <w:bookmarkStart w:id="4" w:name="_Toc221950007"/>
      <w:bookmarkStart w:id="5" w:name="_Toc222029481"/>
      <w:bookmarkStart w:id="6" w:name="_Toc222032650"/>
      <w:bookmarkStart w:id="7" w:name="_Toc222033832"/>
      <w:bookmarkStart w:id="8" w:name="_Toc144974495"/>
      <w:r>
        <w:rPr>
          <w:rFonts w:hint="eastAsia" w:ascii="宋体" w:hAnsi="宋体"/>
          <w:b/>
          <w:color w:val="auto"/>
          <w:kern w:val="0"/>
          <w:sz w:val="32"/>
          <w:szCs w:val="32"/>
          <w:highlight w:val="none"/>
        </w:rPr>
        <w:t xml:space="preserve">       2024年度广州市番禺区石碁镇高标准农田改造提升建设项目（示范）（国债）</w:t>
      </w:r>
    </w:p>
    <w:p>
      <w:pPr>
        <w:spacing w:line="336" w:lineRule="auto"/>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施工招标</w:t>
      </w:r>
    </w:p>
    <w:p>
      <w:pPr>
        <w:spacing w:line="336" w:lineRule="auto"/>
        <w:jc w:val="left"/>
        <w:rPr>
          <w:rFonts w:ascii="宋体" w:hAnsi="宋体" w:cs="宋体"/>
          <w:color w:val="auto"/>
          <w:sz w:val="28"/>
          <w:szCs w:val="28"/>
          <w:highlight w:val="none"/>
        </w:rPr>
      </w:pPr>
    </w:p>
    <w:p>
      <w:pPr>
        <w:spacing w:line="336" w:lineRule="auto"/>
        <w:jc w:val="left"/>
        <w:rPr>
          <w:rFonts w:ascii="宋体" w:hAnsi="宋体" w:cs="宋体"/>
          <w:color w:val="auto"/>
          <w:sz w:val="28"/>
          <w:szCs w:val="28"/>
          <w:highlight w:val="none"/>
        </w:rPr>
      </w:pPr>
    </w:p>
    <w:p>
      <w:pPr>
        <w:spacing w:line="336" w:lineRule="auto"/>
        <w:jc w:val="left"/>
        <w:rPr>
          <w:rFonts w:ascii="宋体" w:hAnsi="宋体" w:cs="宋体"/>
          <w:color w:val="auto"/>
          <w:sz w:val="28"/>
          <w:szCs w:val="28"/>
          <w:highlight w:val="none"/>
        </w:rPr>
      </w:pPr>
    </w:p>
    <w:p>
      <w:pPr>
        <w:spacing w:line="336" w:lineRule="auto"/>
        <w:jc w:val="left"/>
        <w:rPr>
          <w:rFonts w:ascii="宋体" w:hAnsi="宋体" w:cs="宋体"/>
          <w:color w:val="auto"/>
          <w:sz w:val="28"/>
          <w:szCs w:val="28"/>
          <w:highlight w:val="none"/>
        </w:rPr>
      </w:pPr>
    </w:p>
    <w:p>
      <w:pPr>
        <w:spacing w:line="336" w:lineRule="auto"/>
        <w:jc w:val="center"/>
        <w:rPr>
          <w:rFonts w:ascii="方正小标宋简体" w:hAnsi="方正小标宋简体" w:eastAsia="方正小标宋简体" w:cs="方正小标宋简体"/>
          <w:color w:val="auto"/>
          <w:sz w:val="72"/>
          <w:szCs w:val="72"/>
          <w:highlight w:val="none"/>
        </w:rPr>
      </w:pPr>
      <w:bookmarkStart w:id="9" w:name="_Toc221949913"/>
      <w:r>
        <w:rPr>
          <w:rFonts w:hint="eastAsia" w:ascii="方正小标宋简体" w:hAnsi="方正小标宋简体" w:eastAsia="方正小标宋简体" w:cs="方正小标宋简体"/>
          <w:color w:val="auto"/>
          <w:sz w:val="72"/>
          <w:szCs w:val="72"/>
          <w:highlight w:val="none"/>
        </w:rPr>
        <w:t>招   标  文  件</w:t>
      </w:r>
      <w:bookmarkEnd w:id="9"/>
    </w:p>
    <w:p>
      <w:pPr>
        <w:spacing w:line="336" w:lineRule="auto"/>
        <w:rPr>
          <w:rFonts w:ascii="宋体" w:hAnsi="宋体" w:cs="宋体"/>
          <w:color w:val="auto"/>
          <w:highlight w:val="none"/>
        </w:rPr>
      </w:pPr>
    </w:p>
    <w:p>
      <w:pPr>
        <w:spacing w:line="336" w:lineRule="auto"/>
        <w:rPr>
          <w:rFonts w:ascii="宋体" w:hAnsi="宋体" w:cs="宋体"/>
          <w:color w:val="auto"/>
          <w:sz w:val="28"/>
          <w:szCs w:val="28"/>
          <w:highlight w:val="none"/>
          <w:u w:val="single"/>
        </w:rPr>
      </w:pPr>
    </w:p>
    <w:p>
      <w:pPr>
        <w:pStyle w:val="23"/>
        <w:spacing w:line="336" w:lineRule="auto"/>
        <w:ind w:left="0" w:leftChars="0" w:firstLine="0"/>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jc w:val="center"/>
        <w:rPr>
          <w:rFonts w:ascii="宋体" w:hAnsi="宋体" w:cs="宋体"/>
          <w:b/>
          <w:color w:val="auto"/>
          <w:sz w:val="32"/>
          <w:szCs w:val="32"/>
          <w:highlight w:val="none"/>
        </w:rPr>
      </w:pPr>
      <w:bookmarkStart w:id="10" w:name="_Toc221949915"/>
      <w:r>
        <w:rPr>
          <w:rFonts w:hint="eastAsia" w:ascii="宋体" w:hAnsi="宋体" w:cs="宋体"/>
          <w:b/>
          <w:color w:val="auto"/>
          <w:sz w:val="32"/>
          <w:szCs w:val="32"/>
          <w:highlight w:val="none"/>
        </w:rPr>
        <w:t xml:space="preserve">  招   标   人：广州市番禺区石碁镇人民政府（盖章）</w:t>
      </w:r>
    </w:p>
    <w:p>
      <w:pPr>
        <w:spacing w:line="336" w:lineRule="auto"/>
        <w:jc w:val="center"/>
        <w:rPr>
          <w:rFonts w:ascii="宋体" w:hAnsi="宋体" w:cs="宋体"/>
          <w:color w:val="auto"/>
          <w:sz w:val="28"/>
          <w:szCs w:val="28"/>
          <w:highlight w:val="none"/>
          <w:u w:val="single"/>
        </w:rPr>
      </w:pPr>
      <w:r>
        <w:rPr>
          <w:rFonts w:hint="eastAsia" w:ascii="宋体" w:hAnsi="宋体" w:cs="宋体"/>
          <w:b/>
          <w:color w:val="auto"/>
          <w:sz w:val="32"/>
          <w:szCs w:val="32"/>
          <w:highlight w:val="none"/>
        </w:rPr>
        <w:t>招标代理机构：广东粤能工程管理有限公司（盖章）</w:t>
      </w:r>
      <w:bookmarkEnd w:id="10"/>
    </w:p>
    <w:p>
      <w:pPr>
        <w:spacing w:line="336" w:lineRule="auto"/>
        <w:jc w:val="center"/>
        <w:rPr>
          <w:rFonts w:ascii="宋体" w:hAnsi="宋体" w:cs="宋体"/>
          <w:b/>
          <w:color w:val="auto"/>
          <w:sz w:val="28"/>
          <w:szCs w:val="28"/>
          <w:highlight w:val="none"/>
        </w:rPr>
        <w:sectPr>
          <w:footerReference r:id="rId4" w:type="default"/>
          <w:pgSz w:w="11906" w:h="16838"/>
          <w:pgMar w:top="2098" w:right="1446" w:bottom="1984" w:left="1446" w:header="851" w:footer="1446" w:gutter="0"/>
          <w:cols w:space="0" w:num="1"/>
          <w:docGrid w:linePitch="312" w:charSpace="0"/>
        </w:sectPr>
      </w:pPr>
      <w:bookmarkStart w:id="11" w:name="_Toc221949917"/>
      <w:r>
        <w:rPr>
          <w:rFonts w:hint="eastAsia" w:ascii="宋体" w:hAnsi="宋体" w:cs="宋体"/>
          <w:b/>
          <w:color w:val="auto"/>
          <w:sz w:val="28"/>
          <w:szCs w:val="28"/>
          <w:highlight w:val="none"/>
        </w:rPr>
        <w:t>2024年3月</w:t>
      </w: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日</w:t>
      </w:r>
      <w:bookmarkEnd w:id="11"/>
    </w:p>
    <w:p>
      <w:pPr>
        <w:pStyle w:val="8"/>
        <w:spacing w:line="336" w:lineRule="auto"/>
        <w:rPr>
          <w:rFonts w:hAnsi="宋体" w:cs="宋体"/>
          <w:b/>
          <w:snapToGrid w:val="0"/>
          <w:color w:val="auto"/>
          <w:kern w:val="0"/>
          <w:sz w:val="32"/>
          <w:szCs w:val="32"/>
          <w:highlight w:val="none"/>
        </w:rPr>
      </w:pPr>
    </w:p>
    <w:p>
      <w:pPr>
        <w:spacing w:line="336" w:lineRule="auto"/>
        <w:jc w:val="center"/>
        <w:outlineLvl w:val="0"/>
        <w:rPr>
          <w:b/>
          <w:color w:val="auto"/>
          <w:sz w:val="28"/>
          <w:szCs w:val="28"/>
          <w:highlight w:val="none"/>
        </w:rPr>
      </w:pPr>
      <w:bookmarkStart w:id="12" w:name="_Toc2834"/>
      <w:bookmarkStart w:id="13" w:name="_Toc28223"/>
      <w:bookmarkStart w:id="14" w:name="_Toc387753530"/>
      <w:bookmarkStart w:id="15" w:name="_Toc221949919"/>
      <w:r>
        <w:rPr>
          <w:rFonts w:ascii="宋体" w:hAnsi="宋体"/>
          <w:b/>
          <w:color w:val="auto"/>
          <w:sz w:val="28"/>
          <w:szCs w:val="28"/>
          <w:highlight w:val="none"/>
        </w:rPr>
        <w:t>目 录</w:t>
      </w:r>
      <w:bookmarkEnd w:id="12"/>
      <w:bookmarkEnd w:id="13"/>
    </w:p>
    <w:p>
      <w:pPr>
        <w:pStyle w:val="17"/>
        <w:tabs>
          <w:tab w:val="right" w:leader="dot" w:pos="8312"/>
        </w:tabs>
        <w:spacing w:line="336" w:lineRule="auto"/>
        <w:rPr>
          <w:rFonts w:ascii="宋体" w:hAnsi="宋体" w:cs="宋体"/>
          <w:color w:val="auto"/>
          <w:highlight w:val="none"/>
        </w:rPr>
      </w:pPr>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TOC \o "1-3" \h \u </w:instrText>
      </w:r>
      <w:r>
        <w:rPr>
          <w:rFonts w:hint="eastAsia" w:ascii="宋体" w:hAnsi="宋体" w:cs="宋体"/>
          <w:b w:val="0"/>
          <w:color w:val="auto"/>
          <w:sz w:val="21"/>
          <w:szCs w:val="21"/>
          <w:highlight w:val="none"/>
        </w:rPr>
        <w:fldChar w:fldCharType="separate"/>
      </w:r>
    </w:p>
    <w:p>
      <w:pPr>
        <w:pStyle w:val="17"/>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"_Toc423" </w:instrText>
      </w:r>
      <w:r>
        <w:rPr>
          <w:color w:val="auto"/>
          <w:highlight w:val="none"/>
        </w:rPr>
        <w:fldChar w:fldCharType="separate"/>
      </w:r>
      <w:r>
        <w:rPr>
          <w:rFonts w:hint="eastAsia" w:ascii="宋体" w:hAnsi="宋体" w:cs="宋体"/>
          <w:bCs w:val="0"/>
          <w:color w:val="auto"/>
          <w:sz w:val="21"/>
          <w:szCs w:val="21"/>
          <w:highlight w:val="none"/>
        </w:rPr>
        <w:t>第  一  卷</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_Toc423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"_Toc3135" </w:instrText>
      </w:r>
      <w:r>
        <w:rPr>
          <w:color w:val="auto"/>
          <w:highlight w:val="none"/>
        </w:rPr>
        <w:fldChar w:fldCharType="separate"/>
      </w:r>
      <w:r>
        <w:rPr>
          <w:rFonts w:hint="eastAsia" w:ascii="宋体" w:hAnsi="宋体" w:cs="宋体"/>
          <w:color w:val="auto"/>
          <w:sz w:val="21"/>
          <w:szCs w:val="21"/>
          <w:highlight w:val="none"/>
        </w:rPr>
        <w:t>第一章 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_Toc3135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7"/>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"_Toc7858" </w:instrText>
      </w:r>
      <w:r>
        <w:rPr>
          <w:color w:val="auto"/>
          <w:highlight w:val="none"/>
        </w:rPr>
        <w:fldChar w:fldCharType="separate"/>
      </w:r>
      <w:r>
        <w:rPr>
          <w:rFonts w:hint="eastAsia" w:ascii="宋体" w:hAnsi="宋体" w:cs="宋体"/>
          <w:color w:val="auto"/>
          <w:sz w:val="21"/>
          <w:szCs w:val="21"/>
          <w:highlight w:val="none"/>
        </w:rPr>
        <w:t>第二章 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_Toc7858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2"/>
        <w:tabs>
          <w:tab w:val="right" w:leader="dot" w:pos="8312"/>
        </w:tabs>
        <w:spacing w:line="336" w:lineRule="auto"/>
        <w:ind w:left="0" w:leftChars="0" w:firstLine="210" w:firstLineChars="10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"_Toc19442" </w:instrText>
      </w:r>
      <w:r>
        <w:rPr>
          <w:color w:val="auto"/>
          <w:highlight w:val="none"/>
        </w:rPr>
        <w:fldChar w:fldCharType="separate"/>
      </w:r>
      <w:r>
        <w:rPr>
          <w:rFonts w:hint="eastAsia" w:ascii="宋体" w:hAnsi="宋体" w:cs="宋体"/>
          <w:color w:val="auto"/>
          <w:szCs w:val="21"/>
          <w:highlight w:val="none"/>
        </w:rPr>
        <w:t>投标人须知修改表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_Toc19442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"_Toc8567" </w:instrText>
      </w:r>
      <w:r>
        <w:rPr>
          <w:color w:val="auto"/>
          <w:highlight w:val="none"/>
        </w:rPr>
        <w:fldChar w:fldCharType="separate"/>
      </w:r>
      <w:r>
        <w:rPr>
          <w:rFonts w:hint="eastAsia" w:ascii="宋体" w:hAnsi="宋体" w:cs="宋体"/>
          <w:color w:val="auto"/>
          <w:sz w:val="21"/>
          <w:szCs w:val="21"/>
          <w:highlight w:val="none"/>
        </w:rPr>
        <w:t>投标人须知前附表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_Toc8567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"_Toc31179" </w:instrText>
      </w:r>
      <w:r>
        <w:rPr>
          <w:color w:val="auto"/>
          <w:highlight w:val="none"/>
        </w:rPr>
        <w:fldChar w:fldCharType="separate"/>
      </w:r>
      <w:r>
        <w:rPr>
          <w:rFonts w:hint="eastAsia" w:ascii="宋体" w:hAnsi="宋体" w:cs="宋体"/>
          <w:color w:val="auto"/>
          <w:sz w:val="21"/>
          <w:szCs w:val="21"/>
          <w:highlight w:val="none"/>
        </w:rPr>
        <w:t>投标人须知通用条款部分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_Toc31179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"_Toc21527" </w:instrText>
      </w:r>
      <w:r>
        <w:rPr>
          <w:color w:val="auto"/>
          <w:highlight w:val="none"/>
        </w:rPr>
        <w:fldChar w:fldCharType="separate"/>
      </w:r>
      <w:r>
        <w:rPr>
          <w:rFonts w:hint="eastAsia" w:cs="宋体"/>
          <w:color w:val="auto"/>
          <w:sz w:val="21"/>
          <w:szCs w:val="21"/>
          <w:highlight w:val="none"/>
        </w:rPr>
        <w:t>1</w:t>
      </w:r>
      <w:r>
        <w:rPr>
          <w:rFonts w:hint="eastAsia" w:ascii="宋体" w:hAnsi="宋体" w:cs="宋体"/>
          <w:color w:val="auto"/>
          <w:sz w:val="21"/>
          <w:szCs w:val="21"/>
          <w:highlight w:val="none"/>
        </w:rPr>
        <w:t>. 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_Toc21527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"_Toc3807" </w:instrText>
      </w:r>
      <w:r>
        <w:rPr>
          <w:color w:val="auto"/>
          <w:highlight w:val="none"/>
        </w:rPr>
        <w:fldChar w:fldCharType="separate"/>
      </w:r>
      <w:r>
        <w:rPr>
          <w:rFonts w:hint="eastAsia" w:cs="宋体"/>
          <w:color w:val="auto"/>
          <w:sz w:val="21"/>
          <w:szCs w:val="21"/>
          <w:highlight w:val="none"/>
        </w:rPr>
        <w:t>2</w:t>
      </w:r>
      <w:r>
        <w:rPr>
          <w:rFonts w:hint="eastAsia" w:ascii="宋体" w:hAnsi="宋体" w:cs="宋体"/>
          <w:color w:val="auto"/>
          <w:sz w:val="21"/>
          <w:szCs w:val="21"/>
          <w:highlight w:val="none"/>
        </w:rPr>
        <w:t>. 招标文件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_Toc3807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"_Toc13403" </w:instrText>
      </w:r>
      <w:r>
        <w:rPr>
          <w:color w:val="auto"/>
          <w:highlight w:val="none"/>
        </w:rPr>
        <w:fldChar w:fldCharType="separate"/>
      </w:r>
      <w:r>
        <w:rPr>
          <w:rFonts w:hint="eastAsia" w:cs="宋体"/>
          <w:color w:val="auto"/>
          <w:sz w:val="21"/>
          <w:szCs w:val="21"/>
          <w:highlight w:val="none"/>
        </w:rPr>
        <w:t>3</w:t>
      </w:r>
      <w:r>
        <w:rPr>
          <w:rFonts w:hint="eastAsia" w:ascii="宋体" w:hAnsi="宋体" w:cs="宋体"/>
          <w:color w:val="auto"/>
          <w:sz w:val="21"/>
          <w:szCs w:val="21"/>
          <w:highlight w:val="none"/>
        </w:rPr>
        <w:t>. 投标文件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_Toc13403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"_Toc9415" </w:instrText>
      </w:r>
      <w:r>
        <w:rPr>
          <w:color w:val="auto"/>
          <w:highlight w:val="none"/>
        </w:rPr>
        <w:fldChar w:fldCharType="separate"/>
      </w:r>
      <w:r>
        <w:rPr>
          <w:rFonts w:hint="eastAsia" w:cs="宋体"/>
          <w:color w:val="auto"/>
          <w:sz w:val="21"/>
          <w:szCs w:val="21"/>
          <w:highlight w:val="none"/>
        </w:rPr>
        <w:t>4</w:t>
      </w:r>
      <w:r>
        <w:rPr>
          <w:rFonts w:hint="eastAsia" w:ascii="宋体" w:hAnsi="宋体" w:cs="宋体"/>
          <w:color w:val="auto"/>
          <w:sz w:val="21"/>
          <w:szCs w:val="21"/>
          <w:highlight w:val="none"/>
        </w:rPr>
        <w:t>. 投标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_Toc9415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"_Toc15570" </w:instrText>
      </w:r>
      <w:r>
        <w:rPr>
          <w:color w:val="auto"/>
          <w:highlight w:val="none"/>
        </w:rPr>
        <w:fldChar w:fldCharType="separate"/>
      </w:r>
      <w:r>
        <w:rPr>
          <w:rFonts w:hint="eastAsia" w:cs="宋体"/>
          <w:color w:val="auto"/>
          <w:sz w:val="21"/>
          <w:szCs w:val="21"/>
          <w:highlight w:val="none"/>
        </w:rPr>
        <w:t>5</w:t>
      </w:r>
      <w:r>
        <w:rPr>
          <w:rFonts w:hint="eastAsia" w:ascii="宋体" w:hAnsi="宋体" w:cs="宋体"/>
          <w:color w:val="auto"/>
          <w:sz w:val="21"/>
          <w:szCs w:val="21"/>
          <w:highlight w:val="none"/>
        </w:rPr>
        <w:t>. 开标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_Toc15570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sectPr>
          <w:footerReference r:id="rId5" w:type="default"/>
          <w:pgSz w:w="11906" w:h="16838"/>
          <w:pgMar w:top="2098" w:right="1446" w:bottom="1984" w:left="1446" w:header="851" w:footer="1446" w:gutter="0"/>
          <w:cols w:space="0" w:num="1"/>
          <w:docGrid w:linePitch="312" w:charSpace="0"/>
        </w:sectPr>
      </w:pP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"_Toc16277" </w:instrText>
      </w:r>
      <w:r>
        <w:rPr>
          <w:color w:val="auto"/>
          <w:highlight w:val="none"/>
        </w:rPr>
        <w:fldChar w:fldCharType="separate"/>
      </w:r>
      <w:r>
        <w:rPr>
          <w:rFonts w:hint="eastAsia" w:cs="宋体"/>
          <w:color w:val="auto"/>
          <w:sz w:val="21"/>
          <w:szCs w:val="21"/>
          <w:highlight w:val="none"/>
        </w:rPr>
        <w:t>6</w:t>
      </w:r>
      <w:r>
        <w:rPr>
          <w:rFonts w:hint="eastAsia" w:ascii="宋体" w:hAnsi="宋体" w:cs="宋体"/>
          <w:color w:val="auto"/>
          <w:sz w:val="21"/>
          <w:szCs w:val="21"/>
          <w:highlight w:val="none"/>
        </w:rPr>
        <w:t>. 评标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_Toc16277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"_Toc8620" </w:instrText>
      </w:r>
      <w:r>
        <w:rPr>
          <w:color w:val="auto"/>
          <w:highlight w:val="none"/>
        </w:rPr>
        <w:fldChar w:fldCharType="separate"/>
      </w:r>
      <w:r>
        <w:rPr>
          <w:rFonts w:hint="eastAsia" w:cs="宋体"/>
          <w:color w:val="auto"/>
          <w:sz w:val="21"/>
          <w:szCs w:val="21"/>
          <w:highlight w:val="none"/>
        </w:rPr>
        <w:t>7</w:t>
      </w:r>
      <w:r>
        <w:rPr>
          <w:rFonts w:hint="eastAsia" w:ascii="宋体" w:hAnsi="宋体" w:cs="宋体"/>
          <w:color w:val="auto"/>
          <w:sz w:val="21"/>
          <w:szCs w:val="21"/>
          <w:highlight w:val="none"/>
        </w:rPr>
        <w:t>. 合同授予</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_Toc8620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"_Toc1341" </w:instrText>
      </w:r>
      <w:r>
        <w:rPr>
          <w:color w:val="auto"/>
          <w:highlight w:val="none"/>
        </w:rPr>
        <w:fldChar w:fldCharType="separate"/>
      </w:r>
      <w:r>
        <w:rPr>
          <w:rFonts w:hint="eastAsia" w:cs="宋体"/>
          <w:color w:val="auto"/>
          <w:sz w:val="21"/>
          <w:szCs w:val="21"/>
          <w:highlight w:val="none"/>
        </w:rPr>
        <w:t>8</w:t>
      </w:r>
      <w:r>
        <w:rPr>
          <w:rFonts w:hint="eastAsia" w:ascii="宋体" w:hAnsi="宋体" w:cs="宋体"/>
          <w:color w:val="auto"/>
          <w:sz w:val="21"/>
          <w:szCs w:val="21"/>
          <w:highlight w:val="none"/>
        </w:rPr>
        <w:t>. 重新招标、不再招标和终止招标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cs="宋体"/>
          <w:color w:val="auto"/>
          <w:sz w:val="21"/>
          <w:szCs w:val="21"/>
          <w:highlight w:val="none"/>
        </w:rPr>
        <w:t>9</w:t>
      </w:r>
      <w:r>
        <w:rPr>
          <w:rFonts w:hint="eastAsia" w:ascii="宋体" w:hAnsi="宋体" w:cs="宋体"/>
          <w:color w:val="auto"/>
          <w:sz w:val="21"/>
          <w:szCs w:val="21"/>
          <w:highlight w:val="none"/>
        </w:rPr>
        <w:t>. 纪律和监督</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_Toc14675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"_Toc3685" </w:instrText>
      </w:r>
      <w:r>
        <w:rPr>
          <w:color w:val="auto"/>
          <w:highlight w:val="none"/>
        </w:rPr>
        <w:fldChar w:fldCharType="separate"/>
      </w:r>
      <w:r>
        <w:rPr>
          <w:rFonts w:hint="eastAsia" w:cs="宋体"/>
          <w:color w:val="auto"/>
          <w:sz w:val="21"/>
          <w:szCs w:val="21"/>
          <w:highlight w:val="none"/>
        </w:rPr>
        <w:t>10</w:t>
      </w:r>
      <w:r>
        <w:rPr>
          <w:rFonts w:hint="eastAsia" w:ascii="宋体" w:hAnsi="宋体" w:cs="宋体"/>
          <w:color w:val="auto"/>
          <w:sz w:val="21"/>
          <w:szCs w:val="21"/>
          <w:highlight w:val="none"/>
        </w:rPr>
        <w:t>. 需要补充的其他内容</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_Toc3685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"_Toc5279" </w:instrText>
      </w:r>
      <w:r>
        <w:rPr>
          <w:color w:val="auto"/>
          <w:highlight w:val="none"/>
        </w:rPr>
        <w:fldChar w:fldCharType="separate"/>
      </w:r>
      <w:r>
        <w:rPr>
          <w:rFonts w:hint="eastAsia" w:ascii="宋体" w:hAnsi="宋体" w:cs="宋体"/>
          <w:bCs/>
          <w:color w:val="auto"/>
          <w:szCs w:val="21"/>
          <w:highlight w:val="none"/>
        </w:rPr>
        <w:t>附表一：投标确认书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_Toc5279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"_Toc9792" </w:instrText>
      </w:r>
      <w:r>
        <w:rPr>
          <w:color w:val="auto"/>
          <w:highlight w:val="none"/>
        </w:rPr>
        <w:fldChar w:fldCharType="separate"/>
      </w:r>
      <w:r>
        <w:rPr>
          <w:rFonts w:hint="eastAsia" w:ascii="宋体" w:hAnsi="宋体" w:cs="宋体"/>
          <w:bCs/>
          <w:color w:val="auto"/>
          <w:szCs w:val="21"/>
          <w:highlight w:val="none"/>
        </w:rPr>
        <w:t>附表二：招标文件澄清申请函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_Toc9792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"_Toc25905" </w:instrText>
      </w:r>
      <w:r>
        <w:rPr>
          <w:color w:val="auto"/>
          <w:highlight w:val="none"/>
        </w:rPr>
        <w:fldChar w:fldCharType="separate"/>
      </w:r>
      <w:r>
        <w:rPr>
          <w:rFonts w:hint="eastAsia" w:ascii="宋体" w:hAnsi="宋体" w:cs="宋体"/>
          <w:bCs/>
          <w:color w:val="auto"/>
          <w:szCs w:val="21"/>
          <w:highlight w:val="none"/>
        </w:rPr>
        <w:t>附表三：招标文件澄清通知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_Toc25905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"_Toc8724" </w:instrText>
      </w:r>
      <w:r>
        <w:rPr>
          <w:color w:val="auto"/>
          <w:highlight w:val="none"/>
        </w:rPr>
        <w:fldChar w:fldCharType="separate"/>
      </w:r>
      <w:r>
        <w:rPr>
          <w:rFonts w:hint="eastAsia" w:ascii="宋体" w:hAnsi="宋体" w:cs="宋体"/>
          <w:bCs/>
          <w:color w:val="auto"/>
          <w:szCs w:val="21"/>
          <w:highlight w:val="none"/>
        </w:rPr>
        <w:t>附表四：招标文件修改通知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_Toc8724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"_Toc16059" </w:instrText>
      </w:r>
      <w:r>
        <w:rPr>
          <w:color w:val="auto"/>
          <w:highlight w:val="none"/>
        </w:rPr>
        <w:fldChar w:fldCharType="separate"/>
      </w:r>
      <w:r>
        <w:rPr>
          <w:rFonts w:hint="eastAsia" w:ascii="宋体" w:hAnsi="宋体" w:cs="宋体"/>
          <w:bCs/>
          <w:color w:val="auto"/>
          <w:szCs w:val="21"/>
          <w:highlight w:val="none"/>
        </w:rPr>
        <w:t>附表五：投标文件递交签收凭证</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_Toc16059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"_Toc28037" </w:instrText>
      </w:r>
      <w:r>
        <w:rPr>
          <w:color w:val="auto"/>
          <w:highlight w:val="none"/>
        </w:rPr>
        <w:fldChar w:fldCharType="separate"/>
      </w:r>
      <w:r>
        <w:rPr>
          <w:rFonts w:hint="eastAsia" w:ascii="宋体" w:hAnsi="宋体" w:cs="宋体"/>
          <w:bCs/>
          <w:color w:val="auto"/>
          <w:szCs w:val="21"/>
          <w:highlight w:val="none"/>
        </w:rPr>
        <w:t>附表六：开标记录表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_Toc28037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"_Toc5846" </w:instrText>
      </w:r>
      <w:r>
        <w:rPr>
          <w:color w:val="auto"/>
          <w:highlight w:val="none"/>
        </w:rPr>
        <w:fldChar w:fldCharType="separate"/>
      </w:r>
      <w:r>
        <w:rPr>
          <w:rFonts w:hint="eastAsia" w:ascii="宋体" w:hAnsi="宋体" w:cs="宋体"/>
          <w:bCs/>
          <w:color w:val="auto"/>
          <w:szCs w:val="21"/>
          <w:highlight w:val="none"/>
        </w:rPr>
        <w:t>附表七：投标文件问题澄清通知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_Toc5846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"_Toc28166" </w:instrText>
      </w:r>
      <w:r>
        <w:rPr>
          <w:color w:val="auto"/>
          <w:highlight w:val="none"/>
        </w:rPr>
        <w:fldChar w:fldCharType="separate"/>
      </w:r>
      <w:r>
        <w:rPr>
          <w:rFonts w:hint="eastAsia" w:ascii="宋体" w:hAnsi="宋体" w:cs="宋体"/>
          <w:bCs/>
          <w:color w:val="auto"/>
          <w:szCs w:val="21"/>
          <w:highlight w:val="none"/>
        </w:rPr>
        <w:t>附表八：投标文件问题的澄清函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_Toc28166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"_Toc21120" </w:instrText>
      </w:r>
      <w:r>
        <w:rPr>
          <w:color w:val="auto"/>
          <w:highlight w:val="none"/>
        </w:rPr>
        <w:fldChar w:fldCharType="separate"/>
      </w:r>
      <w:r>
        <w:rPr>
          <w:rFonts w:hint="eastAsia" w:ascii="宋体" w:hAnsi="宋体" w:cs="宋体"/>
          <w:bCs/>
          <w:color w:val="auto"/>
          <w:szCs w:val="21"/>
          <w:highlight w:val="none"/>
        </w:rPr>
        <w:t>附表九：中标通知书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_Toc21120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"_Toc31908" </w:instrText>
      </w:r>
      <w:r>
        <w:rPr>
          <w:color w:val="auto"/>
          <w:highlight w:val="none"/>
        </w:rPr>
        <w:fldChar w:fldCharType="separate"/>
      </w:r>
      <w:r>
        <w:rPr>
          <w:rFonts w:hint="eastAsia" w:ascii="宋体" w:hAnsi="宋体" w:cs="宋体"/>
          <w:bCs/>
          <w:color w:val="auto"/>
          <w:szCs w:val="21"/>
          <w:highlight w:val="none"/>
        </w:rPr>
        <w:t>附表十：中标结果通知书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_Toc31908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"_Toc30320" </w:instrText>
      </w:r>
      <w:r>
        <w:rPr>
          <w:color w:val="auto"/>
          <w:highlight w:val="none"/>
        </w:rPr>
        <w:fldChar w:fldCharType="separate"/>
      </w:r>
      <w:r>
        <w:rPr>
          <w:rFonts w:hint="eastAsia" w:ascii="宋体" w:hAnsi="宋体" w:cs="宋体"/>
          <w:bCs/>
          <w:color w:val="auto"/>
          <w:szCs w:val="21"/>
          <w:highlight w:val="none"/>
        </w:rPr>
        <w:t>附表十一：异议函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_Toc30320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"_Toc25495" </w:instrText>
      </w:r>
      <w:r>
        <w:rPr>
          <w:color w:val="auto"/>
          <w:highlight w:val="none"/>
        </w:rPr>
        <w:fldChar w:fldCharType="separate"/>
      </w:r>
      <w:r>
        <w:rPr>
          <w:rFonts w:hint="eastAsia" w:ascii="宋体" w:hAnsi="宋体" w:cs="宋体"/>
          <w:bCs/>
          <w:color w:val="auto"/>
          <w:szCs w:val="21"/>
          <w:highlight w:val="none"/>
        </w:rPr>
        <w:t>附表十二：异议答复函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_Toc25495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"_Toc754" </w:instrText>
      </w:r>
      <w:r>
        <w:rPr>
          <w:color w:val="auto"/>
          <w:highlight w:val="none"/>
        </w:rPr>
        <w:fldChar w:fldCharType="separate"/>
      </w:r>
      <w:r>
        <w:rPr>
          <w:rFonts w:hint="eastAsia" w:ascii="宋体" w:hAnsi="宋体" w:cs="宋体"/>
          <w:bCs/>
          <w:color w:val="auto"/>
          <w:szCs w:val="21"/>
          <w:highlight w:val="none"/>
        </w:rPr>
        <w:t>附表十三：授权委托书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_Toc754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cs="宋体"/>
          <w:bCs/>
          <w:color w:val="auto"/>
          <w:szCs w:val="21"/>
          <w:highlight w:val="none"/>
        </w:rPr>
        <w:t>附件十四：抽取评标基准价的下浮率记录表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_Toc19746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7"/>
        <w:tabs>
          <w:tab w:val="right" w:leader="dot" w:pos="8312"/>
        </w:tabs>
        <w:spacing w:line="336" w:lineRule="auto"/>
        <w:ind w:firstLine="201" w:firstLineChars="1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"_Toc8125" </w:instrText>
      </w:r>
      <w:r>
        <w:rPr>
          <w:color w:val="auto"/>
          <w:highlight w:val="none"/>
        </w:rPr>
        <w:fldChar w:fldCharType="separate"/>
      </w:r>
      <w:r>
        <w:rPr>
          <w:rFonts w:hint="eastAsia" w:ascii="宋体" w:hAnsi="宋体" w:cs="宋体"/>
          <w:color w:val="auto"/>
          <w:sz w:val="21"/>
          <w:szCs w:val="21"/>
          <w:highlight w:val="none"/>
        </w:rPr>
        <w:t>第三章 评标办法（综合评分法）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_Toc8125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"_Toc22171" </w:instrText>
      </w:r>
      <w:r>
        <w:rPr>
          <w:color w:val="auto"/>
          <w:highlight w:val="none"/>
        </w:rPr>
        <w:fldChar w:fldCharType="separate"/>
      </w:r>
      <w:r>
        <w:rPr>
          <w:rFonts w:hint="eastAsia" w:ascii="宋体" w:hAnsi="宋体" w:cs="宋体"/>
          <w:color w:val="auto"/>
          <w:szCs w:val="21"/>
          <w:highlight w:val="none"/>
        </w:rPr>
        <w:t>评标办法修改表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_Toc22171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"_Toc8035" </w:instrText>
      </w:r>
      <w:r>
        <w:rPr>
          <w:color w:val="auto"/>
          <w:highlight w:val="none"/>
        </w:rPr>
        <w:fldChar w:fldCharType="separate"/>
      </w:r>
      <w:r>
        <w:rPr>
          <w:rFonts w:hint="eastAsia" w:ascii="宋体" w:hAnsi="宋体" w:cs="宋体"/>
          <w:color w:val="auto"/>
          <w:szCs w:val="21"/>
          <w:highlight w:val="none"/>
        </w:rPr>
        <w:t>评标办法前附表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_Toc8035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"_Toc20631" </w:instrText>
      </w:r>
      <w:r>
        <w:rPr>
          <w:color w:val="auto"/>
          <w:highlight w:val="none"/>
        </w:rPr>
        <w:fldChar w:fldCharType="separate"/>
      </w:r>
      <w:r>
        <w:rPr>
          <w:rFonts w:hint="eastAsia" w:cs="宋体"/>
          <w:color w:val="auto"/>
          <w:szCs w:val="21"/>
          <w:highlight w:val="none"/>
        </w:rPr>
        <w:t>1</w:t>
      </w:r>
      <w:r>
        <w:rPr>
          <w:rFonts w:hint="eastAsia" w:ascii="宋体" w:hAnsi="宋体" w:cs="宋体"/>
          <w:color w:val="auto"/>
          <w:szCs w:val="21"/>
          <w:highlight w:val="none"/>
        </w:rPr>
        <w:t>. 评标方法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_Toc20631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"_Toc24389" </w:instrText>
      </w:r>
      <w:r>
        <w:rPr>
          <w:color w:val="auto"/>
          <w:highlight w:val="none"/>
        </w:rPr>
        <w:fldChar w:fldCharType="separate"/>
      </w:r>
      <w:r>
        <w:rPr>
          <w:rFonts w:hint="eastAsia" w:cs="宋体"/>
          <w:color w:val="auto"/>
          <w:szCs w:val="21"/>
          <w:highlight w:val="none"/>
        </w:rPr>
        <w:t>2</w:t>
      </w:r>
      <w:r>
        <w:rPr>
          <w:rFonts w:hint="eastAsia" w:ascii="宋体" w:hAnsi="宋体" w:cs="宋体"/>
          <w:color w:val="auto"/>
          <w:szCs w:val="21"/>
          <w:highlight w:val="none"/>
        </w:rPr>
        <w:t>. 评审标准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_Toc24389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"_Toc15755" </w:instrText>
      </w:r>
      <w:r>
        <w:rPr>
          <w:color w:val="auto"/>
          <w:highlight w:val="none"/>
        </w:rPr>
        <w:fldChar w:fldCharType="separate"/>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分值构成与评分标准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_Toc15755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"_Toc28729"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 评标程序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_Toc28729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"_Toc27234"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初步评审</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_Toc27234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"_Toc6360"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详细评审</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_Toc6360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"_Toc20721"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投标文件的澄清和补正</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_Toc20721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"_Toc12699"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评标结果</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_Toc12699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"_Toc16300" </w:instrText>
      </w:r>
      <w:r>
        <w:rPr>
          <w:color w:val="auto"/>
          <w:highlight w:val="none"/>
        </w:rPr>
        <w:fldChar w:fldCharType="separate"/>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评标的有关规定</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_Toc16300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"_Toc25727" </w:instrText>
      </w:r>
      <w:r>
        <w:rPr>
          <w:color w:val="auto"/>
          <w:highlight w:val="none"/>
        </w:rPr>
        <w:fldChar w:fldCharType="separate"/>
      </w:r>
      <w:r>
        <w:rPr>
          <w:rFonts w:hint="eastAsia" w:ascii="宋体" w:hAnsi="宋体" w:cs="宋体"/>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_Toc25727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"_Toc11108" </w:instrText>
      </w:r>
      <w:r>
        <w:rPr>
          <w:color w:val="auto"/>
          <w:highlight w:val="none"/>
        </w:rPr>
        <w:fldChar w:fldCharType="separate"/>
      </w:r>
      <w:r>
        <w:rPr>
          <w:rFonts w:hint="eastAsia" w:ascii="宋体" w:hAnsi="宋体" w:cs="宋体"/>
          <w:color w:val="auto"/>
          <w:szCs w:val="21"/>
          <w:highlight w:val="none"/>
        </w:rPr>
        <w:t>第一部分 合同协议书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_Toc11108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2"/>
        <w:tabs>
          <w:tab w:val="right" w:leader="dot" w:pos="8312"/>
        </w:tabs>
        <w:spacing w:line="336" w:lineRule="auto"/>
        <w:rPr>
          <w:rFonts w:ascii="宋体" w:hAnsi="宋体" w:cs="宋体"/>
          <w:color w:val="auto"/>
          <w:szCs w:val="21"/>
          <w:highlight w:val="none"/>
        </w:rPr>
        <w:sectPr>
          <w:footerReference r:id="rId6" w:type="default"/>
          <w:pgSz w:w="11906" w:h="16838"/>
          <w:pgMar w:top="2098" w:right="1446" w:bottom="1984" w:left="1446" w:header="851" w:footer="1446" w:gutter="0"/>
          <w:cols w:space="0" w:num="1"/>
          <w:docGrid w:linePitch="312" w:charSpace="0"/>
        </w:sectPr>
      </w:pPr>
    </w:p>
    <w:p>
      <w:pPr>
        <w:pStyle w:val="12"/>
        <w:tabs>
          <w:tab w:val="right" w:leader="dot" w:pos="8312"/>
        </w:tabs>
        <w:spacing w:line="336"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"_Toc3913" </w:instrText>
      </w:r>
      <w:r>
        <w:rPr>
          <w:color w:val="auto"/>
          <w:highlight w:val="none"/>
        </w:rPr>
        <w:fldChar w:fldCharType="separate"/>
      </w:r>
      <w:r>
        <w:rPr>
          <w:rFonts w:hint="eastAsia" w:ascii="宋体" w:hAnsi="宋体" w:cs="宋体"/>
          <w:color w:val="auto"/>
          <w:szCs w:val="21"/>
          <w:highlight w:val="none"/>
        </w:rPr>
        <w:t>第二部分 通用合同条款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_Toc3913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9"/>
        <w:tabs>
          <w:tab w:val="right" w:leader="dot" w:pos="8312"/>
        </w:tabs>
        <w:spacing w:line="336" w:lineRule="auto"/>
        <w:ind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"_Toc18398" </w:instrText>
      </w:r>
      <w:r>
        <w:rPr>
          <w:color w:val="auto"/>
          <w:highlight w:val="none"/>
        </w:rPr>
        <w:fldChar w:fldCharType="separate"/>
      </w:r>
      <w:r>
        <w:rPr>
          <w:rFonts w:hint="eastAsia" w:ascii="宋体" w:hAnsi="宋体" w:cs="宋体"/>
          <w:color w:val="auto"/>
          <w:sz w:val="21"/>
          <w:szCs w:val="21"/>
          <w:highlight w:val="none"/>
        </w:rPr>
        <w:t>第三部分 专用合同条款</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_Toc18398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"_Toc3285" </w:instrText>
      </w:r>
      <w:r>
        <w:rPr>
          <w:color w:val="auto"/>
          <w:highlight w:val="none"/>
        </w:rPr>
        <w:fldChar w:fldCharType="separate"/>
      </w:r>
      <w:r>
        <w:rPr>
          <w:rFonts w:hint="eastAsia" w:ascii="宋体" w:hAnsi="宋体" w:cs="宋体"/>
          <w:color w:val="auto"/>
          <w:sz w:val="21"/>
          <w:szCs w:val="21"/>
          <w:highlight w:val="none"/>
        </w:rPr>
        <w:t>第五章  工程量清单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_Toc3285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7"/>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"_Toc11955" </w:instrText>
      </w:r>
      <w:r>
        <w:rPr>
          <w:color w:val="auto"/>
          <w:highlight w:val="none"/>
        </w:rPr>
        <w:fldChar w:fldCharType="separate"/>
      </w:r>
      <w:r>
        <w:rPr>
          <w:rFonts w:hint="eastAsia" w:ascii="宋体" w:hAnsi="宋体" w:cs="宋体"/>
          <w:bCs w:val="0"/>
          <w:color w:val="auto"/>
          <w:sz w:val="21"/>
          <w:szCs w:val="21"/>
          <w:highlight w:val="none"/>
        </w:rPr>
        <w:t>第  二  卷</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_Toc11955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"_Toc30661" </w:instrText>
      </w:r>
      <w:r>
        <w:rPr>
          <w:color w:val="auto"/>
          <w:highlight w:val="none"/>
        </w:rPr>
        <w:fldChar w:fldCharType="separate"/>
      </w:r>
      <w:r>
        <w:rPr>
          <w:rFonts w:hint="eastAsia" w:ascii="宋体" w:hAnsi="宋体" w:cs="宋体"/>
          <w:color w:val="auto"/>
          <w:sz w:val="21"/>
          <w:szCs w:val="21"/>
          <w:highlight w:val="none"/>
        </w:rPr>
        <w:t>第六章 图纸（招标图纸）</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_Toc30661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7"/>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"_Toc10492" </w:instrText>
      </w:r>
      <w:r>
        <w:rPr>
          <w:color w:val="auto"/>
          <w:highlight w:val="none"/>
        </w:rPr>
        <w:fldChar w:fldCharType="separate"/>
      </w:r>
      <w:r>
        <w:rPr>
          <w:rFonts w:hint="eastAsia" w:ascii="宋体" w:hAnsi="宋体" w:cs="宋体"/>
          <w:bCs w:val="0"/>
          <w:color w:val="auto"/>
          <w:sz w:val="21"/>
          <w:szCs w:val="21"/>
          <w:highlight w:val="none"/>
        </w:rPr>
        <w:t>第 三 卷</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_Toc10492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"_Toc26303" </w:instrText>
      </w:r>
      <w:r>
        <w:rPr>
          <w:color w:val="auto"/>
          <w:highlight w:val="none"/>
        </w:rPr>
        <w:fldChar w:fldCharType="separate"/>
      </w:r>
      <w:r>
        <w:rPr>
          <w:rFonts w:hint="eastAsia" w:ascii="宋体" w:hAnsi="宋体" w:cs="宋体"/>
          <w:color w:val="auto"/>
          <w:sz w:val="21"/>
          <w:szCs w:val="21"/>
          <w:highlight w:val="none"/>
        </w:rPr>
        <w:t>第七章 技术标准和要求（合同技术条款）</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_Toc26303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7"/>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"_Toc5426" </w:instrText>
      </w:r>
      <w:r>
        <w:rPr>
          <w:color w:val="auto"/>
          <w:highlight w:val="none"/>
        </w:rPr>
        <w:fldChar w:fldCharType="separate"/>
      </w:r>
      <w:r>
        <w:rPr>
          <w:rFonts w:hint="eastAsia" w:ascii="宋体" w:hAnsi="宋体" w:cs="宋体"/>
          <w:bCs w:val="0"/>
          <w:color w:val="auto"/>
          <w:sz w:val="21"/>
          <w:szCs w:val="21"/>
          <w:highlight w:val="none"/>
        </w:rPr>
        <w:t>第  四  卷</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_Toc5426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"_Toc32465" </w:instrText>
      </w:r>
      <w:r>
        <w:rPr>
          <w:color w:val="auto"/>
          <w:highlight w:val="none"/>
        </w:rPr>
        <w:fldChar w:fldCharType="separate"/>
      </w:r>
      <w:r>
        <w:rPr>
          <w:rFonts w:hint="eastAsia" w:ascii="宋体" w:hAnsi="宋体" w:cs="宋体"/>
          <w:color w:val="auto"/>
          <w:sz w:val="21"/>
          <w:szCs w:val="21"/>
          <w:highlight w:val="none"/>
        </w:rPr>
        <w:t>第八章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_Toc32465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"_Toc14224" </w:instrText>
      </w:r>
      <w:r>
        <w:rPr>
          <w:color w:val="auto"/>
          <w:highlight w:val="none"/>
        </w:rPr>
        <w:fldChar w:fldCharType="separate"/>
      </w:r>
      <w:r>
        <w:rPr>
          <w:rFonts w:hint="eastAsia" w:ascii="宋体" w:hAnsi="宋体" w:cs="宋体"/>
          <w:color w:val="auto"/>
          <w:sz w:val="21"/>
          <w:szCs w:val="21"/>
          <w:highlight w:val="none"/>
        </w:rPr>
        <w:t>一、投标函及投标函附录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_Toc14224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"_Toc4540" </w:instrText>
      </w:r>
      <w:r>
        <w:rPr>
          <w:color w:val="auto"/>
          <w:highlight w:val="none"/>
        </w:rPr>
        <w:fldChar w:fldCharType="separate"/>
      </w:r>
      <w:r>
        <w:rPr>
          <w:rFonts w:hint="eastAsia" w:ascii="宋体" w:hAnsi="宋体" w:cs="宋体"/>
          <w:color w:val="auto"/>
          <w:sz w:val="21"/>
          <w:szCs w:val="21"/>
          <w:highlight w:val="none"/>
        </w:rPr>
        <w:t>二、法定代表人身份证明</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_Toc4540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"_Toc20240" </w:instrText>
      </w:r>
      <w:r>
        <w:rPr>
          <w:color w:val="auto"/>
          <w:highlight w:val="none"/>
        </w:rPr>
        <w:fldChar w:fldCharType="separate"/>
      </w:r>
      <w:r>
        <w:rPr>
          <w:rFonts w:hint="eastAsia" w:ascii="宋体" w:hAnsi="宋体" w:cs="宋体"/>
          <w:color w:val="auto"/>
          <w:sz w:val="21"/>
          <w:szCs w:val="21"/>
          <w:highlight w:val="none"/>
        </w:rPr>
        <w:t>三、投标保证金</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_Toc20240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"_Toc24845" </w:instrText>
      </w:r>
      <w:r>
        <w:rPr>
          <w:color w:val="auto"/>
          <w:highlight w:val="none"/>
        </w:rPr>
        <w:fldChar w:fldCharType="separate"/>
      </w:r>
      <w:r>
        <w:rPr>
          <w:rFonts w:hint="eastAsia" w:ascii="宋体" w:hAnsi="宋体" w:cs="宋体"/>
          <w:color w:val="auto"/>
          <w:sz w:val="21"/>
          <w:szCs w:val="21"/>
          <w:highlight w:val="none"/>
        </w:rPr>
        <w:t>四、联合体协议书</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_Toc24845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"_Toc18266" </w:instrText>
      </w:r>
      <w:r>
        <w:rPr>
          <w:color w:val="auto"/>
          <w:highlight w:val="none"/>
        </w:rPr>
        <w:fldChar w:fldCharType="separate"/>
      </w:r>
      <w:r>
        <w:rPr>
          <w:rFonts w:hint="eastAsia" w:ascii="宋体" w:hAnsi="宋体" w:cs="宋体"/>
          <w:color w:val="auto"/>
          <w:sz w:val="21"/>
          <w:szCs w:val="21"/>
          <w:highlight w:val="none"/>
        </w:rPr>
        <w:t>五、拟分包项目情况表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_Toc18266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"_Toc4372" </w:instrText>
      </w:r>
      <w:r>
        <w:rPr>
          <w:color w:val="auto"/>
          <w:highlight w:val="none"/>
        </w:rPr>
        <w:fldChar w:fldCharType="separate"/>
      </w:r>
      <w:r>
        <w:rPr>
          <w:rFonts w:hint="eastAsia" w:ascii="宋体" w:hAnsi="宋体" w:cs="宋体"/>
          <w:color w:val="auto"/>
          <w:sz w:val="21"/>
          <w:szCs w:val="21"/>
          <w:highlight w:val="none"/>
        </w:rPr>
        <w:t>六、投标报价</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_Toc4372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"_Toc31555" </w:instrText>
      </w:r>
      <w:r>
        <w:rPr>
          <w:color w:val="auto"/>
          <w:highlight w:val="none"/>
        </w:rPr>
        <w:fldChar w:fldCharType="separate"/>
      </w:r>
      <w:r>
        <w:rPr>
          <w:rFonts w:hint="eastAsia" w:ascii="宋体" w:hAnsi="宋体" w:cs="宋体"/>
          <w:color w:val="auto"/>
          <w:sz w:val="21"/>
          <w:szCs w:val="21"/>
          <w:highlight w:val="none"/>
        </w:rPr>
        <w:t>七、施工组织设计</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_Toc31555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"_Toc20175" </w:instrText>
      </w:r>
      <w:r>
        <w:rPr>
          <w:color w:val="auto"/>
          <w:highlight w:val="none"/>
        </w:rPr>
        <w:fldChar w:fldCharType="separate"/>
      </w:r>
      <w:r>
        <w:rPr>
          <w:rFonts w:hint="eastAsia" w:ascii="宋体" w:hAnsi="宋体" w:cs="宋体"/>
          <w:color w:val="auto"/>
          <w:sz w:val="21"/>
          <w:szCs w:val="21"/>
          <w:highlight w:val="none"/>
        </w:rPr>
        <w:t>八、项目管理机构</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_Toc20175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"_Toc8253" </w:instrText>
      </w:r>
      <w:r>
        <w:rPr>
          <w:color w:val="auto"/>
          <w:highlight w:val="none"/>
        </w:rPr>
        <w:fldChar w:fldCharType="separate"/>
      </w:r>
      <w:r>
        <w:rPr>
          <w:rFonts w:hint="eastAsia" w:ascii="宋体" w:hAnsi="宋体" w:cs="宋体"/>
          <w:color w:val="auto"/>
          <w:sz w:val="21"/>
          <w:szCs w:val="21"/>
          <w:highlight w:val="none"/>
        </w:rPr>
        <w:t>九、资格审查资料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_Toc8253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"_Toc9072" </w:instrText>
      </w:r>
      <w:r>
        <w:rPr>
          <w:color w:val="auto"/>
          <w:highlight w:val="none"/>
        </w:rPr>
        <w:fldChar w:fldCharType="separate"/>
      </w:r>
      <w:r>
        <w:rPr>
          <w:rFonts w:hint="eastAsia" w:ascii="宋体" w:hAnsi="宋体" w:cs="宋体"/>
          <w:color w:val="auto"/>
          <w:sz w:val="21"/>
          <w:szCs w:val="21"/>
          <w:highlight w:val="none"/>
        </w:rPr>
        <w:t>十、农田建设项目信用承诺书</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_Toc9072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19"/>
        <w:tabs>
          <w:tab w:val="right" w:leader="dot" w:pos="8312"/>
        </w:tabs>
        <w:spacing w:line="336" w:lineRule="auto"/>
        <w:ind w:firstLine="400" w:firstLineChars="200"/>
        <w:rPr>
          <w:rFonts w:hint="default"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"_Toc6506" </w:instrText>
      </w:r>
      <w:r>
        <w:rPr>
          <w:color w:val="auto"/>
          <w:highlight w:val="none"/>
        </w:rPr>
        <w:fldChar w:fldCharType="separate"/>
      </w:r>
      <w:r>
        <w:rPr>
          <w:rFonts w:hint="eastAsia" w:ascii="宋体" w:hAnsi="宋体" w:cs="宋体"/>
          <w:color w:val="auto"/>
          <w:sz w:val="21"/>
          <w:szCs w:val="21"/>
          <w:highlight w:val="none"/>
        </w:rPr>
        <w:t>十一、其他材料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cs="宋体"/>
          <w:color w:val="auto"/>
          <w:sz w:val="21"/>
          <w:szCs w:val="21"/>
          <w:highlight w:val="none"/>
        </w:rPr>
        <w:t>1</w:t>
      </w:r>
      <w:r>
        <w:rPr>
          <w:rFonts w:hint="eastAsia" w:cs="宋体"/>
          <w:color w:val="auto"/>
          <w:sz w:val="21"/>
          <w:szCs w:val="21"/>
          <w:highlight w:val="none"/>
          <w:lang w:val="en-US" w:eastAsia="zh-CN"/>
        </w:rPr>
        <w:t>78</w:t>
      </w:r>
    </w:p>
    <w:p>
      <w:pPr>
        <w:spacing w:line="336" w:lineRule="auto"/>
        <w:rPr>
          <w:rFonts w:ascii="宋体" w:hAnsi="宋体" w:cs="宋体"/>
          <w:color w:val="auto"/>
          <w:szCs w:val="21"/>
          <w:highlight w:val="none"/>
        </w:rPr>
        <w:sectPr>
          <w:footerReference r:id="rId7" w:type="default"/>
          <w:pgSz w:w="11906" w:h="16838"/>
          <w:pgMar w:top="2098" w:right="1446" w:bottom="1984" w:left="1446" w:header="851" w:footer="1446" w:gutter="0"/>
          <w:cols w:space="0" w:num="1"/>
          <w:docGrid w:linePitch="312" w:charSpace="0"/>
        </w:sectPr>
      </w:pPr>
      <w:r>
        <w:rPr>
          <w:rFonts w:hint="eastAsia" w:ascii="宋体" w:hAnsi="宋体" w:cs="宋体"/>
          <w:color w:val="auto"/>
          <w:szCs w:val="21"/>
          <w:highlight w:val="none"/>
        </w:rPr>
        <w:fldChar w:fldCharType="end"/>
      </w:r>
    </w:p>
    <w:p>
      <w:pPr>
        <w:pStyle w:val="2"/>
        <w:keepNext w:val="0"/>
        <w:keepLines w:val="0"/>
        <w:spacing w:line="336" w:lineRule="auto"/>
        <w:rPr>
          <w:rFonts w:ascii="黑体" w:hAnsi="黑体" w:eastAsia="黑体" w:cs="宋体"/>
          <w:b w:val="0"/>
          <w:bCs w:val="0"/>
          <w:color w:val="auto"/>
          <w:sz w:val="36"/>
          <w:szCs w:val="36"/>
          <w:highlight w:val="none"/>
        </w:rPr>
      </w:pPr>
      <w:bookmarkStart w:id="16" w:name="_Toc11055"/>
      <w:bookmarkStart w:id="17" w:name="_Toc423"/>
      <w:bookmarkStart w:id="18" w:name="_Toc1022110963"/>
      <w:bookmarkStart w:id="19" w:name="_Toc4665"/>
      <w:bookmarkStart w:id="20" w:name="_Toc297"/>
      <w:bookmarkStart w:id="21" w:name="_Toc32402"/>
      <w:bookmarkStart w:id="22" w:name="_Toc18137"/>
      <w:bookmarkStart w:id="23" w:name="_Toc2053547031"/>
      <w:r>
        <w:rPr>
          <w:rFonts w:hint="eastAsia" w:ascii="黑体" w:hAnsi="黑体" w:eastAsia="黑体" w:cs="宋体"/>
          <w:b w:val="0"/>
          <w:bCs w:val="0"/>
          <w:color w:val="auto"/>
          <w:sz w:val="36"/>
          <w:szCs w:val="36"/>
          <w:highlight w:val="none"/>
        </w:rPr>
        <w:t>第  一  卷</w:t>
      </w:r>
      <w:bookmarkEnd w:id="14"/>
      <w:bookmarkEnd w:id="15"/>
      <w:bookmarkEnd w:id="16"/>
      <w:bookmarkEnd w:id="17"/>
      <w:bookmarkEnd w:id="18"/>
      <w:bookmarkEnd w:id="19"/>
      <w:bookmarkEnd w:id="20"/>
      <w:bookmarkEnd w:id="21"/>
      <w:bookmarkEnd w:id="22"/>
      <w:bookmarkEnd w:id="23"/>
      <w:bookmarkStart w:id="24" w:name="_Toc144974479"/>
      <w:bookmarkStart w:id="25" w:name="_Toc222032631"/>
      <w:bookmarkStart w:id="26" w:name="_Toc168475625"/>
      <w:bookmarkStart w:id="27" w:name="_Toc168476028"/>
      <w:bookmarkStart w:id="28" w:name="_Toc387753531"/>
      <w:bookmarkStart w:id="29" w:name="_Toc221949920"/>
      <w:bookmarkStart w:id="30" w:name="_Toc222033813"/>
      <w:bookmarkStart w:id="31" w:name="_Toc222030964"/>
      <w:bookmarkStart w:id="32" w:name="_Toc222029462"/>
      <w:bookmarkStart w:id="33" w:name="_Toc229305322"/>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color w:val="auto"/>
          <w:highlight w:val="none"/>
        </w:rPr>
      </w:pPr>
    </w:p>
    <w:p>
      <w:pPr>
        <w:spacing w:line="336" w:lineRule="auto"/>
        <w:rPr>
          <w:rFonts w:ascii="黑体" w:hAnsi="黑体" w:eastAsia="黑体"/>
          <w:color w:val="auto"/>
          <w:sz w:val="32"/>
          <w:highlight w:val="none"/>
        </w:rPr>
      </w:pPr>
      <w:bookmarkStart w:id="34" w:name="_Toc7637"/>
      <w:bookmarkStart w:id="35" w:name="_Toc447874717"/>
      <w:bookmarkStart w:id="36" w:name="_Toc5269"/>
      <w:bookmarkStart w:id="37" w:name="_Toc28502"/>
      <w:bookmarkStart w:id="38" w:name="_Toc1246595336"/>
      <w:bookmarkStart w:id="39" w:name="_Toc22318"/>
      <w:bookmarkStart w:id="40" w:name="_Toc32181"/>
      <w:r>
        <w:rPr>
          <w:rFonts w:hint="eastAsia" w:ascii="黑体" w:hAnsi="黑体" w:eastAsia="黑体"/>
          <w:color w:val="auto"/>
          <w:sz w:val="32"/>
          <w:highlight w:val="none"/>
        </w:rPr>
        <w:br w:type="page"/>
      </w:r>
    </w:p>
    <w:p>
      <w:pPr>
        <w:pStyle w:val="3"/>
        <w:keepNext w:val="0"/>
        <w:keepLines w:val="0"/>
        <w:spacing w:line="336" w:lineRule="auto"/>
        <w:jc w:val="center"/>
        <w:rPr>
          <w:rFonts w:ascii="黑体" w:hAnsi="黑体"/>
          <w:b w:val="0"/>
          <w:bCs w:val="0"/>
          <w:color w:val="auto"/>
          <w:highlight w:val="none"/>
        </w:rPr>
      </w:pPr>
      <w:bookmarkStart w:id="41" w:name="_Toc3135"/>
      <w:r>
        <w:rPr>
          <w:rFonts w:hint="eastAsia" w:ascii="黑体" w:hAnsi="黑体"/>
          <w:b w:val="0"/>
          <w:bCs w:val="0"/>
          <w:color w:val="auto"/>
          <w:highlight w:val="none"/>
        </w:rPr>
        <w:t>第一章 招标公告</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黑体" w:hAnsi="黑体"/>
          <w:b w:val="0"/>
          <w:bCs w:val="0"/>
          <w:color w:val="auto"/>
          <w:highlight w:val="none"/>
        </w:rPr>
        <w:t>（另册）</w:t>
      </w:r>
    </w:p>
    <w:p>
      <w:pPr>
        <w:rPr>
          <w:color w:val="auto"/>
          <w:highlight w:val="none"/>
        </w:rPr>
      </w:pPr>
    </w:p>
    <w:p>
      <w:pPr>
        <w:pStyle w:val="5"/>
        <w:rPr>
          <w:color w:val="auto"/>
          <w:highlight w:val="none"/>
        </w:rPr>
        <w:sectPr>
          <w:footerReference r:id="rId8" w:type="default"/>
          <w:pgSz w:w="11906" w:h="16838"/>
          <w:pgMar w:top="2098" w:right="1446" w:bottom="1984" w:left="1446" w:header="851" w:footer="1446" w:gutter="0"/>
          <w:pgNumType w:start="1"/>
          <w:cols w:space="0" w:num="1"/>
          <w:docGrid w:linePitch="312" w:charSpace="0"/>
        </w:sectPr>
      </w:pPr>
    </w:p>
    <w:p>
      <w:pPr>
        <w:pStyle w:val="37"/>
        <w:keepNext w:val="0"/>
        <w:keepLines w:val="0"/>
        <w:spacing w:line="336" w:lineRule="auto"/>
        <w:outlineLvl w:val="1"/>
        <w:rPr>
          <w:color w:val="auto"/>
          <w:highlight w:val="none"/>
        </w:rPr>
      </w:pPr>
      <w:bookmarkStart w:id="42" w:name="_Toc29292"/>
      <w:bookmarkStart w:id="43" w:name="_Toc13135"/>
      <w:bookmarkStart w:id="44" w:name="_Toc1109874410"/>
      <w:bookmarkStart w:id="45" w:name="_Toc5759"/>
      <w:bookmarkStart w:id="46" w:name="_Toc395709049"/>
      <w:bookmarkStart w:id="47" w:name="_Toc395709702"/>
      <w:bookmarkStart w:id="48" w:name="_Toc18454"/>
      <w:bookmarkStart w:id="49" w:name="_Toc7858"/>
      <w:bookmarkStart w:id="50" w:name="_Toc1961498336"/>
      <w:bookmarkStart w:id="51" w:name="_Toc27904"/>
      <w:bookmarkStart w:id="52" w:name="_Toc387753550"/>
      <w:r>
        <w:rPr>
          <w:rFonts w:hint="eastAsia"/>
          <w:color w:val="auto"/>
          <w:highlight w:val="none"/>
        </w:rPr>
        <w:t>第二章 投标人须知</w:t>
      </w:r>
      <w:bookmarkEnd w:id="0"/>
      <w:bookmarkEnd w:id="1"/>
      <w:bookmarkEnd w:id="2"/>
      <w:bookmarkEnd w:id="3"/>
      <w:bookmarkEnd w:id="4"/>
      <w:bookmarkEnd w:id="5"/>
      <w:bookmarkEnd w:id="6"/>
      <w:bookmarkEnd w:id="7"/>
      <w:bookmarkEnd w:id="8"/>
      <w:bookmarkEnd w:id="42"/>
      <w:bookmarkEnd w:id="43"/>
      <w:bookmarkEnd w:id="44"/>
      <w:bookmarkEnd w:id="45"/>
      <w:bookmarkEnd w:id="46"/>
      <w:bookmarkEnd w:id="47"/>
      <w:bookmarkEnd w:id="48"/>
      <w:bookmarkEnd w:id="49"/>
      <w:bookmarkEnd w:id="50"/>
      <w:bookmarkEnd w:id="51"/>
      <w:bookmarkEnd w:id="52"/>
      <w:bookmarkStart w:id="53" w:name="_Toc221950008"/>
    </w:p>
    <w:p>
      <w:pPr>
        <w:spacing w:line="336" w:lineRule="auto"/>
        <w:rPr>
          <w:color w:val="auto"/>
          <w:highlight w:val="none"/>
        </w:rPr>
      </w:pPr>
    </w:p>
    <w:p>
      <w:pPr>
        <w:spacing w:line="336" w:lineRule="auto"/>
        <w:jc w:val="center"/>
        <w:outlineLvl w:val="2"/>
        <w:rPr>
          <w:rFonts w:ascii="黑体" w:hAnsi="黑体" w:eastAsia="黑体"/>
          <w:color w:val="auto"/>
          <w:sz w:val="28"/>
          <w:szCs w:val="27"/>
          <w:highlight w:val="none"/>
        </w:rPr>
      </w:pPr>
      <w:bookmarkStart w:id="54" w:name="_Toc19442"/>
      <w:bookmarkStart w:id="55" w:name="_Toc21787638"/>
      <w:bookmarkStart w:id="56" w:name="_Toc1112181312"/>
      <w:bookmarkStart w:id="57" w:name="_Toc13160"/>
      <w:bookmarkStart w:id="58" w:name="_Toc2218"/>
      <w:bookmarkStart w:id="59" w:name="_Toc5477"/>
      <w:bookmarkStart w:id="60" w:name="_Toc12369"/>
      <w:bookmarkStart w:id="61" w:name="_Toc32490"/>
      <w:bookmarkStart w:id="62" w:name="_Toc405622286"/>
      <w:r>
        <w:rPr>
          <w:rFonts w:hint="eastAsia" w:ascii="黑体" w:hAnsi="黑体" w:eastAsia="黑体"/>
          <w:color w:val="auto"/>
          <w:sz w:val="28"/>
          <w:szCs w:val="27"/>
          <w:highlight w:val="none"/>
        </w:rPr>
        <w:t>投标人须知修改表</w:t>
      </w:r>
      <w:bookmarkEnd w:id="54"/>
      <w:bookmarkEnd w:id="55"/>
    </w:p>
    <w:p>
      <w:pPr>
        <w:pStyle w:val="22"/>
        <w:spacing w:line="33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本投标人须知使用本示范文本的投标人须知通用条款，与该通用条款不同之处，均在本表中列明，并以现文为准，原文不再有效。本示范文本请投标人自行到</w:t>
      </w:r>
      <w:r>
        <w:rPr>
          <w:rFonts w:hint="eastAsia" w:ascii="宋体" w:hAnsi="宋体" w:eastAsia="宋体" w:cs="宋体"/>
          <w:color w:val="auto"/>
          <w:szCs w:val="21"/>
          <w:highlight w:val="none"/>
          <w:u w:val="single"/>
        </w:rPr>
        <w:t>广州市农业农村局</w:t>
      </w:r>
      <w:r>
        <w:rPr>
          <w:rFonts w:hint="eastAsia" w:ascii="宋体" w:hAnsi="宋体" w:eastAsia="宋体" w:cs="宋体"/>
          <w:color w:val="auto"/>
          <w:szCs w:val="21"/>
          <w:highlight w:val="none"/>
        </w:rPr>
        <w:t>网站（网址：</w:t>
      </w:r>
      <w:r>
        <w:rPr>
          <w:rFonts w:hint="eastAsia" w:ascii="宋体" w:hAnsi="宋体" w:eastAsia="宋体" w:cs="宋体"/>
          <w:color w:val="auto"/>
          <w:szCs w:val="21"/>
          <w:highlight w:val="none"/>
          <w:u w:val="single"/>
        </w:rPr>
        <w:t>http://nyncj.gz.gov.cn/</w:t>
      </w:r>
      <w:r>
        <w:rPr>
          <w:rFonts w:hint="eastAsia" w:ascii="宋体" w:hAnsi="宋体" w:eastAsia="宋体" w:cs="宋体"/>
          <w:color w:val="auto"/>
          <w:szCs w:val="21"/>
          <w:highlight w:val="none"/>
        </w:rPr>
        <w:t>）下载查阅。</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             修改类型：增加</w:t>
      </w:r>
    </w:p>
    <w:p>
      <w:pPr>
        <w:pBdr>
          <w:bottom w:val="single" w:color="auto" w:sz="6" w:space="1"/>
        </w:pBd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现文：</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条款号：3.4 投标保证金             修改类型：修改</w:t>
      </w:r>
    </w:p>
    <w:p>
      <w:pPr>
        <w:spacing w:line="336"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highlight w:val="none"/>
        </w:rPr>
        <w:t>投标人须知</w:t>
      </w:r>
      <w:r>
        <w:rPr>
          <w:rFonts w:hint="eastAsia"/>
          <w:color w:val="auto"/>
          <w:highlight w:val="none"/>
        </w:rPr>
        <w:t>前附表规定提交</w:t>
      </w:r>
      <w:r>
        <w:rPr>
          <w:rFonts w:hint="eastAsia" w:ascii="宋体" w:hAnsi="宋体" w:cs="宋体"/>
          <w:color w:val="auto"/>
          <w:highlight w:val="none"/>
        </w:rPr>
        <w:t>投标保证金的，</w:t>
      </w:r>
      <w:r>
        <w:rPr>
          <w:rFonts w:hint="eastAsia" w:ascii="宋体" w:hAnsi="宋体" w:cs="宋体"/>
          <w:color w:val="auto"/>
          <w:szCs w:val="21"/>
          <w:highlight w:val="none"/>
        </w:rPr>
        <w:t>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投标人不按本章第</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项要求提交投标保证金的，其投标将被否决。</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招标人</w:t>
      </w:r>
      <w:r>
        <w:rPr>
          <w:rFonts w:hint="eastAsia"/>
          <w:color w:val="auto"/>
          <w:highlight w:val="none"/>
        </w:rPr>
        <w:t>最迟在</w:t>
      </w:r>
      <w:r>
        <w:rPr>
          <w:rFonts w:hint="eastAsia" w:ascii="宋体" w:hAnsi="宋体" w:cs="宋体"/>
          <w:color w:val="auto"/>
          <w:szCs w:val="21"/>
          <w:highlight w:val="none"/>
        </w:rPr>
        <w:t>与中标人签订合同后</w:t>
      </w:r>
      <w:r>
        <w:rPr>
          <w:rFonts w:hint="eastAsia" w:cs="宋体"/>
          <w:color w:val="auto"/>
          <w:szCs w:val="21"/>
          <w:highlight w:val="none"/>
        </w:rPr>
        <w:t>5</w:t>
      </w:r>
      <w:r>
        <w:rPr>
          <w:rFonts w:hint="eastAsia" w:ascii="宋体" w:hAnsi="宋体" w:cs="宋体"/>
          <w:color w:val="auto"/>
          <w:szCs w:val="21"/>
          <w:highlight w:val="none"/>
        </w:rPr>
        <w:t>日内，向未中标的投标人和中标人退还投标保证金。</w:t>
      </w:r>
      <w:r>
        <w:rPr>
          <w:rFonts w:hint="eastAsia" w:ascii="宋体" w:hAnsi="宋体" w:cs="宋体"/>
          <w:color w:val="auto"/>
          <w:highlight w:val="none"/>
        </w:rPr>
        <w:t>招标人同时退还投标保证金的银行同期存款利息。投标保证金及利息的计息标准和退还方式见投标人须知前附表。</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有下列情形之一的，投标保证金将不予退还： </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）投标人在规定的投标有效期内撤销或修改其投标文件；</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）中标人在收到中标通知书后，</w:t>
      </w:r>
      <w:r>
        <w:rPr>
          <w:rFonts w:hint="eastAsia"/>
          <w:color w:val="auto"/>
          <w:highlight w:val="none"/>
        </w:rPr>
        <w:t>无正当理由拒签合同、在签订合同时向招标人提出附加条件或未按招标文件规定提交履约保证金。</w:t>
      </w:r>
    </w:p>
    <w:p>
      <w:pPr>
        <w:pStyle w:val="23"/>
        <w:spacing w:line="360" w:lineRule="auto"/>
        <w:ind w:left="0" w:leftChars="0" w:firstLine="480"/>
        <w:rPr>
          <w:rFonts w:ascii="宋体" w:hAnsi="宋体" w:cs="宋体"/>
          <w:b/>
          <w:bCs/>
          <w:color w:val="auto"/>
          <w:szCs w:val="21"/>
          <w:highlight w:val="none"/>
        </w:rPr>
      </w:pPr>
      <w:r>
        <w:rPr>
          <w:rFonts w:hint="eastAsia" w:ascii="宋体" w:hAnsi="宋体" w:cs="宋体"/>
          <w:b/>
          <w:bCs/>
          <w:color w:val="auto"/>
          <w:szCs w:val="21"/>
          <w:highlight w:val="none"/>
        </w:rPr>
        <w:t>现文：</w:t>
      </w:r>
    </w:p>
    <w:p>
      <w:pPr>
        <w:pStyle w:val="23"/>
        <w:adjustRightInd w:val="0"/>
        <w:snapToGrid w:val="0"/>
        <w:ind w:left="0" w:leftChars="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highlight w:val="none"/>
          <w:u w:val="single"/>
        </w:rPr>
        <w:t>本项目免收投标保证金，投标人需提供《关于投标保证金的承诺》（详见投标文件格式）。</w:t>
      </w:r>
    </w:p>
    <w:p>
      <w:pPr>
        <w:adjustRightInd w:val="0"/>
        <w:snapToGrid w:val="0"/>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w:t>
      </w:r>
      <w:r>
        <w:rPr>
          <w:rFonts w:hint="eastAsia"/>
          <w:color w:val="auto"/>
          <w:szCs w:val="21"/>
          <w:highlight w:val="none"/>
          <w:u w:val="single"/>
        </w:rPr>
        <w:t>若投标人存在3.4.4条款所列</w:t>
      </w:r>
      <w:r>
        <w:rPr>
          <w:rFonts w:hint="eastAsia"/>
          <w:color w:val="auto"/>
          <w:highlight w:val="none"/>
          <w:u w:val="single"/>
        </w:rPr>
        <w:t>不予退还投标保证金情形的，需按照招标人的要求，在</w:t>
      </w:r>
      <w:r>
        <w:rPr>
          <w:rFonts w:hint="eastAsia"/>
          <w:color w:val="auto"/>
          <w:szCs w:val="21"/>
          <w:highlight w:val="none"/>
          <w:u w:val="single"/>
        </w:rPr>
        <w:t>发现存在3.4.4条款所列情形之日起</w:t>
      </w:r>
      <w:r>
        <w:rPr>
          <w:rFonts w:hint="eastAsia" w:ascii="宋体" w:hAnsi="宋体" w:cs="宋体"/>
          <w:color w:val="auto"/>
          <w:highlight w:val="none"/>
          <w:u w:val="single"/>
        </w:rPr>
        <w:t>5个工作日内</w:t>
      </w:r>
      <w:r>
        <w:rPr>
          <w:rFonts w:hint="eastAsia"/>
          <w:color w:val="auto"/>
          <w:highlight w:val="none"/>
          <w:u w:val="single"/>
        </w:rPr>
        <w:t>向招标人足额补交</w:t>
      </w:r>
      <w:r>
        <w:rPr>
          <w:rFonts w:hint="eastAsia" w:ascii="宋体" w:hAnsi="宋体" w:cs="宋体"/>
          <w:color w:val="auto"/>
          <w:highlight w:val="none"/>
          <w:u w:val="single"/>
        </w:rPr>
        <w:t>投标保证金</w:t>
      </w:r>
      <w:r>
        <w:rPr>
          <w:rFonts w:hint="eastAsia"/>
          <w:color w:val="auto"/>
          <w:highlight w:val="none"/>
          <w:u w:val="single"/>
        </w:rPr>
        <w:t>。</w:t>
      </w:r>
    </w:p>
    <w:p>
      <w:pPr>
        <w:spacing w:line="336" w:lineRule="auto"/>
        <w:ind w:firstLine="420" w:firstLineChars="200"/>
        <w:rPr>
          <w:rFonts w:ascii="宋体" w:hAnsi="宋体" w:cs="宋体"/>
          <w:strike/>
          <w:color w:val="auto"/>
          <w:szCs w:val="21"/>
          <w:highlight w:val="none"/>
        </w:rPr>
      </w:pPr>
      <w:r>
        <w:rPr>
          <w:rFonts w:hint="eastAsia" w:cs="宋体"/>
          <w:strike/>
          <w:color w:val="auto"/>
          <w:szCs w:val="21"/>
          <w:highlight w:val="none"/>
        </w:rPr>
        <w:t>3</w:t>
      </w:r>
      <w:r>
        <w:rPr>
          <w:rFonts w:hint="eastAsia" w:ascii="宋体" w:hAnsi="宋体" w:cs="宋体"/>
          <w:strike/>
          <w:color w:val="auto"/>
          <w:szCs w:val="21"/>
          <w:highlight w:val="none"/>
        </w:rPr>
        <w:t>.</w:t>
      </w:r>
      <w:r>
        <w:rPr>
          <w:rFonts w:hint="eastAsia" w:cs="宋体"/>
          <w:strike/>
          <w:color w:val="auto"/>
          <w:szCs w:val="21"/>
          <w:highlight w:val="none"/>
        </w:rPr>
        <w:t>4</w:t>
      </w:r>
      <w:r>
        <w:rPr>
          <w:rFonts w:hint="eastAsia" w:ascii="宋体" w:hAnsi="宋体" w:cs="宋体"/>
          <w:strike/>
          <w:color w:val="auto"/>
          <w:szCs w:val="21"/>
          <w:highlight w:val="none"/>
        </w:rPr>
        <w:t>.</w:t>
      </w:r>
      <w:r>
        <w:rPr>
          <w:rFonts w:hint="eastAsia" w:cs="宋体"/>
          <w:strike/>
          <w:color w:val="auto"/>
          <w:szCs w:val="21"/>
          <w:highlight w:val="none"/>
        </w:rPr>
        <w:t>3</w:t>
      </w:r>
      <w:r>
        <w:rPr>
          <w:rFonts w:hint="eastAsia" w:ascii="宋体" w:hAnsi="宋体" w:cs="宋体"/>
          <w:strike/>
          <w:color w:val="auto"/>
          <w:szCs w:val="21"/>
          <w:highlight w:val="none"/>
        </w:rPr>
        <w:t xml:space="preserve"> 招标人</w:t>
      </w:r>
      <w:r>
        <w:rPr>
          <w:rFonts w:hint="eastAsia"/>
          <w:strike/>
          <w:color w:val="auto"/>
          <w:highlight w:val="none"/>
        </w:rPr>
        <w:t>最迟在</w:t>
      </w:r>
      <w:r>
        <w:rPr>
          <w:rFonts w:hint="eastAsia" w:ascii="宋体" w:hAnsi="宋体" w:cs="宋体"/>
          <w:strike/>
          <w:color w:val="auto"/>
          <w:szCs w:val="21"/>
          <w:highlight w:val="none"/>
        </w:rPr>
        <w:t>与中标人签订合同后</w:t>
      </w:r>
      <w:r>
        <w:rPr>
          <w:rFonts w:hint="eastAsia" w:cs="宋体"/>
          <w:strike/>
          <w:color w:val="auto"/>
          <w:szCs w:val="21"/>
          <w:highlight w:val="none"/>
        </w:rPr>
        <w:t>5</w:t>
      </w:r>
      <w:r>
        <w:rPr>
          <w:rFonts w:hint="eastAsia" w:ascii="宋体" w:hAnsi="宋体" w:cs="宋体"/>
          <w:strike/>
          <w:color w:val="auto"/>
          <w:szCs w:val="21"/>
          <w:highlight w:val="none"/>
        </w:rPr>
        <w:t>日内，向未中标的投标人和中标人退还投标保证金。</w:t>
      </w:r>
      <w:r>
        <w:rPr>
          <w:rFonts w:hint="eastAsia" w:ascii="宋体" w:hAnsi="宋体" w:cs="宋体"/>
          <w:strike/>
          <w:color w:val="auto"/>
          <w:highlight w:val="none"/>
        </w:rPr>
        <w:t>招标人同时退还投标保证金的银行同期存款利息。投标保证金及利息的计息标准和退还方式见投标人须知前附表。</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有下列情形之一的，投标保证金将不予退还： </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）投标人在规定的投标有效期内撤销或修改其投标文件；</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（2）中标人未在规定期限内按要求递交履约担保；</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（3）中标人未在规定期限内签署合同协议。</w:t>
      </w:r>
    </w:p>
    <w:p>
      <w:pPr>
        <w:spacing w:line="336" w:lineRule="auto"/>
        <w:ind w:firstLine="470" w:firstLineChars="224"/>
        <w:rPr>
          <w:rFonts w:ascii="宋体" w:hAnsi="宋体" w:cs="宋体"/>
          <w:color w:val="auto"/>
          <w:szCs w:val="21"/>
          <w:highlight w:val="none"/>
        </w:rPr>
      </w:pP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修改类型：修改</w:t>
      </w:r>
    </w:p>
    <w:p>
      <w:pPr>
        <w:spacing w:line="336"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原文：</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投标文件应包括下列内容：</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）投标函及投标函附录；</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）法定代表人身份证明；</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）投标保证金；</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）联合体协议书；</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）拟分包项目情况表；</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）投标报价；</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）施工组织设计；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）项目管理机构；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）资格审查资料；</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）农田建设项目信用承诺书；</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）投标人须知前附表规定的其他材料。</w:t>
      </w:r>
    </w:p>
    <w:p>
      <w:pPr>
        <w:spacing w:line="336"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现文：</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投标文件应包括下列内容：</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）投标函及投标函附录；</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）法定代表人身份证明；</w:t>
      </w:r>
    </w:p>
    <w:p>
      <w:pPr>
        <w:spacing w:line="336" w:lineRule="auto"/>
        <w:ind w:firstLine="359" w:firstLineChars="171"/>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olor w:val="auto"/>
          <w:szCs w:val="21"/>
          <w:highlight w:val="none"/>
          <w:u w:val="single"/>
        </w:rPr>
        <w:t>《关于投标保证金的承诺》</w:t>
      </w:r>
    </w:p>
    <w:p>
      <w:pPr>
        <w:spacing w:line="336" w:lineRule="auto"/>
        <w:ind w:firstLine="359" w:firstLineChars="171"/>
        <w:rPr>
          <w:rFonts w:ascii="宋体" w:hAnsi="宋体" w:cs="宋体"/>
          <w:strike/>
          <w:color w:val="auto"/>
          <w:szCs w:val="21"/>
          <w:highlight w:val="none"/>
        </w:rPr>
      </w:pPr>
      <w:r>
        <w:rPr>
          <w:rFonts w:hint="eastAsia" w:ascii="宋体" w:hAnsi="宋体" w:cs="宋体"/>
          <w:strike/>
          <w:color w:val="auto"/>
          <w:szCs w:val="21"/>
          <w:highlight w:val="none"/>
        </w:rPr>
        <w:t>（</w:t>
      </w:r>
      <w:r>
        <w:rPr>
          <w:rFonts w:hint="eastAsia" w:cs="宋体"/>
          <w:strike/>
          <w:color w:val="auto"/>
          <w:szCs w:val="21"/>
          <w:highlight w:val="none"/>
        </w:rPr>
        <w:t>4</w:t>
      </w:r>
      <w:r>
        <w:rPr>
          <w:rFonts w:hint="eastAsia" w:ascii="宋体" w:hAnsi="宋体" w:cs="宋体"/>
          <w:strike/>
          <w:color w:val="auto"/>
          <w:szCs w:val="21"/>
          <w:highlight w:val="none"/>
        </w:rPr>
        <w:t>）联合体协议书；</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）拟分包项目情况表；</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）投标报价；</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）施工组织设计；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）项目管理机构；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）资格审查资料；</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）农田建设项目信用承诺书；</w:t>
      </w:r>
    </w:p>
    <w:p>
      <w:pPr>
        <w:spacing w:line="336"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）投标人须知前附表规定的其他材料。</w:t>
      </w:r>
    </w:p>
    <w:p>
      <w:pPr>
        <w:spacing w:line="336" w:lineRule="auto"/>
        <w:ind w:firstLine="470" w:firstLineChars="224"/>
        <w:rPr>
          <w:rFonts w:hint="eastAsia" w:ascii="宋体" w:hAnsi="宋体" w:cs="宋体"/>
          <w:color w:val="auto"/>
          <w:szCs w:val="21"/>
          <w:highlight w:val="none"/>
        </w:rPr>
      </w:pP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条款号：</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修改类型：修改</w:t>
      </w:r>
    </w:p>
    <w:p>
      <w:pPr>
        <w:pageBreakBefore w:val="0"/>
        <w:widowControl w:val="0"/>
        <w:kinsoku/>
        <w:wordWrap/>
        <w:overflowPunct/>
        <w:topLinePunct w:val="0"/>
        <w:bidi w:val="0"/>
        <w:snapToGrid/>
        <w:spacing w:beforeLines="0" w:afterLines="0" w:line="336" w:lineRule="auto"/>
        <w:ind w:firstLine="420" w:firstLineChars="200"/>
        <w:textAlignment w:val="auto"/>
        <w:outlineLvl w:val="9"/>
        <w:rPr>
          <w:rFonts w:ascii="宋体" w:hAnsi="宋体" w:cs="宋体"/>
          <w:color w:val="auto"/>
          <w:szCs w:val="21"/>
          <w:highlight w:val="none"/>
        </w:rPr>
      </w:pPr>
      <w:r>
        <w:rPr>
          <w:rFonts w:hint="eastAsia" w:cs="宋体"/>
          <w:color w:val="auto"/>
          <w:szCs w:val="21"/>
          <w:highlight w:val="none"/>
          <w:lang w:val="en-US" w:eastAsia="zh-CN"/>
        </w:rPr>
        <w:t>原文：</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中标人不能按本章第</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项要求提交履约保证金的，视为放弃中标，其投标保证金不予退还，给招标人造成的损失超过投标保证金数额的，中标人还应当对超过部分予以赔偿。</w:t>
      </w:r>
    </w:p>
    <w:p>
      <w:pPr>
        <w:spacing w:line="336" w:lineRule="auto"/>
        <w:ind w:firstLine="420" w:firstLineChars="200"/>
        <w:rPr>
          <w:rFonts w:hint="default" w:cs="宋体"/>
          <w:color w:val="auto"/>
          <w:szCs w:val="21"/>
          <w:highlight w:val="none"/>
          <w:lang w:val="en-US" w:eastAsia="zh-CN"/>
        </w:rPr>
      </w:pP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lang w:val="en-US" w:eastAsia="zh-CN"/>
        </w:rPr>
        <w:t>现文：</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中标人不能按本章第</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项要求提交履约保证金的，视为放弃中标，</w:t>
      </w:r>
      <w:r>
        <w:rPr>
          <w:rFonts w:hint="eastAsia" w:ascii="宋体" w:hAnsi="宋体" w:cs="宋体"/>
          <w:color w:val="auto"/>
          <w:highlight w:val="none"/>
          <w:u w:val="single"/>
        </w:rPr>
        <w:t>招标人有权根据《关于投标保证金的承诺》，要求投标人足额补交投标保证金，其补交的投标保证金不予退还。</w:t>
      </w:r>
      <w:r>
        <w:rPr>
          <w:rFonts w:hint="eastAsia" w:ascii="宋体" w:hAnsi="宋体" w:cs="宋体"/>
          <w:color w:val="auto"/>
          <w:szCs w:val="21"/>
          <w:highlight w:val="none"/>
        </w:rPr>
        <w:t>给招标人造成的损失超过投标保证金数额的，中标人还应当对超过部分予以赔偿。</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条款号：</w:t>
      </w:r>
      <w:r>
        <w:rPr>
          <w:rFonts w:hint="eastAsia" w:ascii="宋体" w:hAnsi="宋体" w:cs="宋体"/>
          <w:color w:val="auto"/>
          <w:szCs w:val="21"/>
          <w:highlight w:val="none"/>
          <w:lang w:val="en-US" w:eastAsia="zh-CN"/>
        </w:rPr>
        <w:t>7.4.1</w:t>
      </w:r>
      <w:r>
        <w:rPr>
          <w:rFonts w:hint="eastAsia" w:ascii="宋体" w:hAnsi="宋体" w:cs="宋体"/>
          <w:color w:val="auto"/>
          <w:szCs w:val="21"/>
          <w:highlight w:val="none"/>
        </w:rPr>
        <w:t xml:space="preserve">             修改类型：修改</w:t>
      </w:r>
    </w:p>
    <w:p>
      <w:pPr>
        <w:pStyle w:val="32"/>
        <w:spacing w:line="360" w:lineRule="auto"/>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原文：</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招标人和中标人应当在投标有效期内并自中标通知书发出之日起</w:t>
      </w:r>
      <w:r>
        <w:rPr>
          <w:rFonts w:hint="eastAsia" w:cs="宋体"/>
          <w:color w:val="auto"/>
          <w:szCs w:val="21"/>
          <w:highlight w:val="none"/>
        </w:rPr>
        <w:t>30</w:t>
      </w:r>
      <w:r>
        <w:rPr>
          <w:rFonts w:hint="eastAsia" w:ascii="宋体" w:hAnsi="宋体" w:cs="宋体"/>
          <w:color w:val="auto"/>
          <w:szCs w:val="21"/>
          <w:highlight w:val="none"/>
        </w:rPr>
        <w:t xml:space="preserve">日内，根据招标文件和中标人的投标文件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pPr>
        <w:spacing w:line="360" w:lineRule="auto"/>
        <w:ind w:firstLine="420" w:firstLineChars="200"/>
        <w:rPr>
          <w:rFonts w:hint="eastAsia" w:ascii="宋体" w:hAnsi="宋体" w:cs="宋体"/>
          <w:color w:val="auto"/>
          <w:szCs w:val="21"/>
          <w:highlight w:val="none"/>
        </w:rPr>
      </w:pPr>
      <w:r>
        <w:rPr>
          <w:rFonts w:hint="eastAsia" w:cs="宋体"/>
          <w:color w:val="auto"/>
          <w:szCs w:val="21"/>
          <w:highlight w:val="none"/>
          <w:lang w:val="en-US" w:eastAsia="zh-CN"/>
        </w:rPr>
        <w:t>现文：</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招标人和中标人应当在投标有效期内并自中标通知书发出之日起</w:t>
      </w:r>
      <w:r>
        <w:rPr>
          <w:rFonts w:hint="eastAsia" w:cs="宋体"/>
          <w:color w:val="auto"/>
          <w:szCs w:val="21"/>
          <w:highlight w:val="none"/>
        </w:rPr>
        <w:t>30</w:t>
      </w:r>
      <w:r>
        <w:rPr>
          <w:rFonts w:hint="eastAsia" w:ascii="宋体" w:hAnsi="宋体" w:cs="宋体"/>
          <w:color w:val="auto"/>
          <w:szCs w:val="21"/>
          <w:highlight w:val="none"/>
        </w:rPr>
        <w:t>日内，根据招标文件和中标人的投标文件订立书面合同。中标人无正当理由拒签合同或在签订合同时向招标人提出附加条件的，招标人取消其中标资格，</w:t>
      </w:r>
      <w:r>
        <w:rPr>
          <w:rFonts w:hint="eastAsia" w:ascii="宋体" w:hAnsi="宋体" w:cs="宋体"/>
          <w:color w:val="auto"/>
          <w:highlight w:val="none"/>
          <w:u w:val="single"/>
        </w:rPr>
        <w:t>招标人有权根据《关于投标保证金的承诺》，要求投标人足额补交投标保证金，其补交的投标保证金不予退还。</w:t>
      </w:r>
      <w:r>
        <w:rPr>
          <w:rFonts w:hint="eastAsia" w:ascii="宋体" w:hAnsi="宋体" w:cs="宋体"/>
          <w:color w:val="auto"/>
          <w:szCs w:val="21"/>
          <w:highlight w:val="none"/>
        </w:rPr>
        <w:t xml:space="preserve">给招标人造成的损失超过投标保证金数额的，中标人还应当对超过部分予以赔偿。 </w:t>
      </w:r>
    </w:p>
    <w:p>
      <w:pPr>
        <w:spacing w:line="336" w:lineRule="auto"/>
        <w:rPr>
          <w:rFonts w:hint="eastAsia" w:ascii="宋体" w:hAnsi="宋体" w:cs="宋体"/>
          <w:color w:val="auto"/>
          <w:szCs w:val="21"/>
          <w:highlight w:val="none"/>
        </w:rPr>
      </w:pP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条款号：</w:t>
      </w:r>
      <w:r>
        <w:rPr>
          <w:rFonts w:hint="eastAsia" w:ascii="宋体" w:hAnsi="宋体" w:cs="宋体"/>
          <w:color w:val="auto"/>
          <w:szCs w:val="21"/>
          <w:highlight w:val="none"/>
          <w:lang w:val="en-US" w:eastAsia="zh-CN"/>
        </w:rPr>
        <w:t>7.4.2</w:t>
      </w:r>
      <w:r>
        <w:rPr>
          <w:rFonts w:hint="eastAsia" w:ascii="宋体" w:hAnsi="宋体" w:cs="宋体"/>
          <w:color w:val="auto"/>
          <w:szCs w:val="21"/>
          <w:highlight w:val="none"/>
        </w:rPr>
        <w:t xml:space="preserve">            修改类型：修改</w:t>
      </w:r>
    </w:p>
    <w:p>
      <w:pPr>
        <w:pageBreakBefore w:val="0"/>
        <w:widowControl w:val="0"/>
        <w:kinsoku/>
        <w:wordWrap/>
        <w:overflowPunct/>
        <w:topLinePunct w:val="0"/>
        <w:bidi w:val="0"/>
        <w:snapToGrid/>
        <w:spacing w:beforeLines="0" w:afterLines="0" w:line="336" w:lineRule="auto"/>
        <w:ind w:firstLine="420" w:firstLineChars="200"/>
        <w:textAlignment w:val="auto"/>
        <w:outlineLvl w:val="9"/>
        <w:rPr>
          <w:rFonts w:hint="eastAsia" w:ascii="宋体" w:hAnsi="宋体" w:cs="宋体"/>
          <w:color w:val="auto"/>
          <w:szCs w:val="21"/>
          <w:highlight w:val="none"/>
        </w:rPr>
      </w:pPr>
      <w:r>
        <w:rPr>
          <w:rFonts w:hint="eastAsia" w:cs="宋体"/>
          <w:color w:val="auto"/>
          <w:szCs w:val="21"/>
          <w:highlight w:val="none"/>
          <w:lang w:val="en-US" w:eastAsia="zh-CN"/>
        </w:rPr>
        <w:t>原文：</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发出中标通知书后，招标人无正当理由拒签合同的，招标人向中标人退还投标保证金；给中标人造成损失的，还应当赔偿损失。 </w:t>
      </w:r>
    </w:p>
    <w:p>
      <w:pPr>
        <w:spacing w:line="336" w:lineRule="auto"/>
        <w:ind w:firstLine="420" w:firstLineChars="200"/>
        <w:rPr>
          <w:rFonts w:hint="eastAsia" w:ascii="宋体" w:hAnsi="宋体" w:cs="宋体"/>
          <w:color w:val="auto"/>
          <w:szCs w:val="21"/>
          <w:highlight w:val="none"/>
        </w:rPr>
      </w:pPr>
      <w:r>
        <w:rPr>
          <w:rFonts w:hint="eastAsia" w:cs="宋体"/>
          <w:color w:val="auto"/>
          <w:szCs w:val="21"/>
          <w:highlight w:val="none"/>
          <w:lang w:val="en-US" w:eastAsia="zh-CN"/>
        </w:rPr>
        <w:t>现文</w:t>
      </w:r>
      <w:r>
        <w:rPr>
          <w:rFonts w:hint="eastAsia" w:cs="宋体"/>
          <w:color w:val="auto"/>
          <w:szCs w:val="21"/>
          <w:highlight w:val="none"/>
          <w:lang w:val="en-US" w:eastAsia="zh-CN"/>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发出中标通知书后，招标人无正当理由拒签合同的，</w:t>
      </w:r>
      <w:r>
        <w:rPr>
          <w:rFonts w:hint="eastAsia" w:ascii="宋体" w:hAnsi="宋体" w:cs="宋体"/>
          <w:strike/>
          <w:color w:val="auto"/>
          <w:szCs w:val="21"/>
          <w:highlight w:val="none"/>
        </w:rPr>
        <w:t>招标人向中标人退还投标保证金；</w:t>
      </w:r>
      <w:r>
        <w:rPr>
          <w:rFonts w:hint="eastAsia" w:ascii="宋体" w:hAnsi="宋体" w:cs="宋体"/>
          <w:color w:val="auto"/>
          <w:szCs w:val="21"/>
          <w:highlight w:val="none"/>
        </w:rPr>
        <w:t xml:space="preserve">给中标人造成损失的，还应当赔偿损失。 </w:t>
      </w:r>
    </w:p>
    <w:p>
      <w:pPr>
        <w:spacing w:line="336" w:lineRule="auto"/>
        <w:rPr>
          <w:rFonts w:hint="eastAsia" w:ascii="宋体" w:hAnsi="宋体" w:cs="宋体"/>
          <w:color w:val="auto"/>
          <w:szCs w:val="21"/>
          <w:highlight w:val="none"/>
        </w:rPr>
      </w:pPr>
    </w:p>
    <w:p>
      <w:pPr>
        <w:spacing w:line="336" w:lineRule="auto"/>
        <w:rPr>
          <w:rFonts w:hint="eastAsia"/>
          <w:color w:val="auto"/>
          <w:sz w:val="24"/>
          <w:szCs w:val="24"/>
          <w:highlight w:val="none"/>
        </w:rPr>
      </w:pPr>
      <w:r>
        <w:rPr>
          <w:rFonts w:hint="eastAsia" w:ascii="宋体" w:hAnsi="宋体" w:cs="宋体"/>
          <w:color w:val="auto"/>
          <w:szCs w:val="21"/>
          <w:highlight w:val="none"/>
        </w:rPr>
        <w:t>条款号：</w:t>
      </w:r>
      <w:r>
        <w:rPr>
          <w:rFonts w:hint="eastAsia" w:ascii="宋体" w:hAnsi="宋体" w:cs="宋体"/>
          <w:color w:val="auto"/>
          <w:szCs w:val="21"/>
          <w:highlight w:val="none"/>
          <w:lang w:val="en-US" w:eastAsia="zh-CN"/>
        </w:rPr>
        <w:t>8.3</w:t>
      </w:r>
      <w:r>
        <w:rPr>
          <w:rFonts w:hint="eastAsia" w:ascii="宋体" w:hAnsi="宋体" w:cs="宋体"/>
          <w:color w:val="auto"/>
          <w:szCs w:val="21"/>
          <w:highlight w:val="none"/>
        </w:rPr>
        <w:t xml:space="preserve">            修改类型：修改</w:t>
      </w:r>
    </w:p>
    <w:p>
      <w:pPr>
        <w:pStyle w:val="38"/>
        <w:keepNext w:val="0"/>
        <w:keepLines w:val="0"/>
        <w:spacing w:line="336" w:lineRule="auto"/>
        <w:outlineLvl w:val="9"/>
        <w:rPr>
          <w:rFonts w:hint="eastAsia"/>
          <w:color w:val="auto"/>
          <w:sz w:val="24"/>
          <w:szCs w:val="24"/>
          <w:highlight w:val="none"/>
          <w:lang w:val="en-US" w:eastAsia="zh-CN"/>
        </w:rPr>
      </w:pPr>
    </w:p>
    <w:p>
      <w:pPr>
        <w:pStyle w:val="38"/>
        <w:keepNext w:val="0"/>
        <w:keepLines w:val="0"/>
        <w:spacing w:line="336" w:lineRule="auto"/>
        <w:outlineLvl w:val="9"/>
        <w:rPr>
          <w:color w:val="auto"/>
          <w:sz w:val="24"/>
          <w:szCs w:val="24"/>
          <w:highlight w:val="none"/>
        </w:rPr>
      </w:pPr>
      <w:r>
        <w:rPr>
          <w:rFonts w:hint="eastAsia" w:ascii="宋体" w:hAnsi="宋体" w:eastAsia="宋体" w:cs="宋体"/>
          <w:b w:val="0"/>
          <w:bCs w:val="0"/>
          <w:color w:val="auto"/>
          <w:kern w:val="2"/>
          <w:sz w:val="21"/>
          <w:szCs w:val="21"/>
          <w:highlight w:val="none"/>
          <w:lang w:val="en-US" w:eastAsia="zh-CN" w:bidi="ar-SA"/>
        </w:rPr>
        <w:t>原文：</w:t>
      </w:r>
      <w:r>
        <w:rPr>
          <w:rFonts w:hint="eastAsia"/>
          <w:color w:val="auto"/>
          <w:sz w:val="24"/>
          <w:szCs w:val="24"/>
          <w:highlight w:val="none"/>
        </w:rPr>
        <w:t>8.3 终止招标</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pPr>
        <w:pStyle w:val="38"/>
        <w:keepNext w:val="0"/>
        <w:keepLines w:val="0"/>
        <w:spacing w:line="336" w:lineRule="auto"/>
        <w:outlineLvl w:val="9"/>
        <w:rPr>
          <w:color w:val="auto"/>
          <w:sz w:val="24"/>
          <w:szCs w:val="24"/>
          <w:highlight w:val="none"/>
        </w:rPr>
      </w:pPr>
      <w:r>
        <w:rPr>
          <w:rFonts w:hint="eastAsia" w:ascii="宋体" w:hAnsi="宋体" w:eastAsia="宋体" w:cs="宋体"/>
          <w:b w:val="0"/>
          <w:bCs w:val="0"/>
          <w:color w:val="auto"/>
          <w:kern w:val="2"/>
          <w:sz w:val="21"/>
          <w:szCs w:val="21"/>
          <w:highlight w:val="none"/>
          <w:lang w:val="en-US" w:eastAsia="zh-CN" w:bidi="ar-SA"/>
        </w:rPr>
        <w:t>现文：</w:t>
      </w:r>
      <w:r>
        <w:rPr>
          <w:rFonts w:hint="eastAsia"/>
          <w:color w:val="auto"/>
          <w:sz w:val="24"/>
          <w:szCs w:val="24"/>
          <w:highlight w:val="none"/>
        </w:rPr>
        <w:t>8.3 终止招标</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因不可抗力等原因，招标人终止招标的，将通过“电子交易平台”及时发布公告，或者以书面形式通知被邀请的或者已经获取招标文件的潜在投标人。</w:t>
      </w:r>
      <w:r>
        <w:rPr>
          <w:rFonts w:hint="eastAsia" w:ascii="宋体" w:hAnsi="宋体" w:cs="宋体"/>
          <w:strike/>
          <w:color w:val="auto"/>
          <w:highlight w:val="none"/>
        </w:rPr>
        <w:t>已经发出招标文件或者已经收取投标保证金的，招标人将及时退还所收取的招标文件的费用，以及所收取的投标保证金及银行同期存款利息。</w:t>
      </w:r>
    </w:p>
    <w:p>
      <w:pPr>
        <w:spacing w:line="336" w:lineRule="auto"/>
        <w:rPr>
          <w:rFonts w:hint="eastAsia" w:ascii="宋体" w:hAnsi="宋体" w:cs="宋体"/>
          <w:color w:val="auto"/>
          <w:szCs w:val="21"/>
          <w:highlight w:val="none"/>
        </w:rPr>
      </w:pPr>
    </w:p>
    <w:p>
      <w:pPr>
        <w:spacing w:line="336" w:lineRule="auto"/>
        <w:rPr>
          <w:rFonts w:hint="default" w:eastAsia="宋体"/>
          <w:color w:val="auto"/>
          <w:sz w:val="24"/>
          <w:szCs w:val="24"/>
          <w:highlight w:val="none"/>
          <w:lang w:val="en-US" w:eastAsia="zh-CN"/>
        </w:rPr>
      </w:pPr>
      <w:r>
        <w:rPr>
          <w:rFonts w:hint="eastAsia" w:ascii="宋体" w:hAnsi="宋体" w:cs="宋体"/>
          <w:color w:val="auto"/>
          <w:szCs w:val="21"/>
          <w:highlight w:val="none"/>
        </w:rPr>
        <w:t>条款号：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附表一”至“附表五</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修改类型：</w:t>
      </w:r>
      <w:r>
        <w:rPr>
          <w:rFonts w:hint="eastAsia" w:ascii="宋体" w:hAnsi="宋体" w:cs="宋体"/>
          <w:color w:val="auto"/>
          <w:szCs w:val="21"/>
          <w:highlight w:val="none"/>
          <w:lang w:val="en-US" w:eastAsia="zh-CN"/>
        </w:rPr>
        <w:t>删除</w:t>
      </w:r>
    </w:p>
    <w:p>
      <w:pPr>
        <w:pBdr>
          <w:bottom w:val="single" w:color="auto" w:sz="6" w:space="1"/>
        </w:pBdr>
        <w:spacing w:line="336" w:lineRule="auto"/>
        <w:rPr>
          <w:rFonts w:ascii="宋体" w:hAnsi="宋体" w:cs="宋体"/>
          <w:color w:val="auto"/>
          <w:szCs w:val="21"/>
          <w:highlight w:val="none"/>
        </w:rPr>
      </w:pPr>
    </w:p>
    <w:p>
      <w:pPr>
        <w:pStyle w:val="32"/>
        <w:ind w:left="0" w:leftChars="0" w:firstLine="0" w:firstLineChars="0"/>
        <w:rPr>
          <w:rFonts w:ascii="宋体" w:hAnsi="宋体" w:cs="宋体"/>
          <w:color w:val="auto"/>
          <w:szCs w:val="21"/>
          <w:highlight w:val="none"/>
        </w:rPr>
      </w:pPr>
    </w:p>
    <w:p>
      <w:pPr>
        <w:spacing w:line="336" w:lineRule="auto"/>
        <w:rPr>
          <w:rFonts w:ascii="宋体" w:hAnsi="宋体" w:cs="宋体"/>
          <w:color w:val="auto"/>
          <w:szCs w:val="21"/>
          <w:highlight w:val="none"/>
        </w:rPr>
      </w:pPr>
      <w:r>
        <w:rPr>
          <w:rFonts w:hint="eastAsia" w:ascii="宋体" w:hAnsi="宋体" w:cs="宋体"/>
          <w:color w:val="auto"/>
          <w:szCs w:val="21"/>
          <w:highlight w:val="none"/>
        </w:rPr>
        <w:t>注：以上修改，仅限于本范本中有可供选择条款的情形。</w:t>
      </w:r>
    </w:p>
    <w:p>
      <w:pPr>
        <w:spacing w:line="336"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20"/>
        <w:keepNext w:val="0"/>
        <w:keepLines w:val="0"/>
        <w:spacing w:line="336" w:lineRule="auto"/>
        <w:jc w:val="center"/>
        <w:outlineLvl w:val="2"/>
        <w:rPr>
          <w:color w:val="auto"/>
          <w:highlight w:val="none"/>
        </w:rPr>
      </w:pPr>
      <w:bookmarkStart w:id="63" w:name="_Toc8567"/>
      <w:r>
        <w:rPr>
          <w:rFonts w:hint="eastAsia"/>
          <w:color w:val="auto"/>
          <w:highlight w:val="none"/>
        </w:rPr>
        <w:t>投标人须知前附表</w:t>
      </w:r>
      <w:bookmarkEnd w:id="53"/>
      <w:bookmarkEnd w:id="56"/>
      <w:bookmarkEnd w:id="57"/>
      <w:bookmarkEnd w:id="58"/>
      <w:bookmarkEnd w:id="59"/>
      <w:bookmarkEnd w:id="60"/>
      <w:bookmarkEnd w:id="61"/>
      <w:bookmarkEnd w:id="62"/>
      <w:bookmarkEnd w:id="63"/>
    </w:p>
    <w:tbl>
      <w:tblPr>
        <w:tblStyle w:val="25"/>
        <w:tblW w:w="8748" w:type="dxa"/>
        <w:jc w:val="center"/>
        <w:tblLayout w:type="fixed"/>
        <w:tblCellMar>
          <w:top w:w="0" w:type="dxa"/>
          <w:left w:w="108" w:type="dxa"/>
          <w:bottom w:w="0" w:type="dxa"/>
          <w:right w:w="108" w:type="dxa"/>
        </w:tblCellMar>
      </w:tblPr>
      <w:tblGrid>
        <w:gridCol w:w="1008"/>
        <w:gridCol w:w="2160"/>
        <w:gridCol w:w="5580"/>
      </w:tblGrid>
      <w:tr>
        <w:tblPrEx>
          <w:tblCellMar>
            <w:top w:w="0" w:type="dxa"/>
            <w:left w:w="108" w:type="dxa"/>
            <w:bottom w:w="0" w:type="dxa"/>
            <w:right w:w="108" w:type="dxa"/>
          </w:tblCellMar>
        </w:tblPrEx>
        <w:trPr>
          <w:trHeight w:val="567" w:hRule="atLeast"/>
          <w:tblHeader/>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color w:val="auto"/>
                <w:szCs w:val="21"/>
                <w:highlight w:val="none"/>
              </w:rPr>
            </w:pPr>
            <w:bookmarkStart w:id="64" w:name="_Toc221950009"/>
            <w:r>
              <w:rPr>
                <w:rFonts w:hint="eastAsia" w:ascii="黑体" w:hAnsi="黑体" w:eastAsia="黑体" w:cs="黑体"/>
                <w:bCs/>
                <w:color w:val="auto"/>
                <w:szCs w:val="21"/>
                <w:highlight w:val="none"/>
              </w:rPr>
              <w:t>条款号</w:t>
            </w:r>
            <w:bookmarkEnd w:id="64"/>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color w:val="auto"/>
                <w:szCs w:val="21"/>
                <w:highlight w:val="none"/>
              </w:rPr>
            </w:pPr>
            <w:bookmarkStart w:id="65" w:name="_Toc221950010"/>
            <w:r>
              <w:rPr>
                <w:rFonts w:hint="eastAsia" w:ascii="黑体" w:hAnsi="黑体" w:eastAsia="黑体" w:cs="黑体"/>
                <w:bCs/>
                <w:color w:val="auto"/>
                <w:szCs w:val="21"/>
                <w:highlight w:val="none"/>
              </w:rPr>
              <w:t>条  款  名  称</w:t>
            </w:r>
            <w:bookmarkEnd w:id="65"/>
          </w:p>
        </w:tc>
        <w:tc>
          <w:tcPr>
            <w:tcW w:w="55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color w:val="auto"/>
                <w:szCs w:val="21"/>
                <w:highlight w:val="none"/>
              </w:rPr>
            </w:pPr>
            <w:bookmarkStart w:id="66" w:name="_Toc221950011"/>
            <w:r>
              <w:rPr>
                <w:rFonts w:hint="eastAsia" w:ascii="黑体" w:hAnsi="黑体" w:eastAsia="黑体" w:cs="黑体"/>
                <w:bCs/>
                <w:color w:val="auto"/>
                <w:szCs w:val="21"/>
                <w:highlight w:val="none"/>
              </w:rPr>
              <w:t>编  列  内  容</w:t>
            </w:r>
            <w:bookmarkEnd w:id="66"/>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67" w:name="_Toc221950012"/>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bookmarkEnd w:id="67"/>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68" w:name="_Toc221950013"/>
            <w:r>
              <w:rPr>
                <w:rFonts w:hint="eastAsia" w:ascii="宋体" w:hAnsi="宋体" w:cs="宋体"/>
                <w:color w:val="auto"/>
                <w:szCs w:val="21"/>
                <w:highlight w:val="none"/>
              </w:rPr>
              <w:t>招标人</w:t>
            </w:r>
            <w:bookmarkEnd w:id="68"/>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广州市番禺区石碁镇人民政府</w:t>
            </w:r>
          </w:p>
          <w:p>
            <w:pPr>
              <w:snapToGrid w:val="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番禺区石碁镇岐山南路8号</w:t>
            </w:r>
          </w:p>
          <w:p>
            <w:pPr>
              <w:snapToGrid w:val="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杨工</w:t>
            </w:r>
          </w:p>
          <w:p>
            <w:pPr>
              <w:snapToGrid w:val="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020-31139513 </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69" w:name="_Toc221950014"/>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bookmarkEnd w:id="69"/>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0" w:name="_Toc221950015"/>
            <w:r>
              <w:rPr>
                <w:rFonts w:hint="eastAsia" w:ascii="宋体" w:hAnsi="宋体" w:cs="宋体"/>
                <w:color w:val="auto"/>
                <w:szCs w:val="21"/>
                <w:highlight w:val="none"/>
              </w:rPr>
              <w:t>招标代理机构</w:t>
            </w:r>
            <w:bookmarkEnd w:id="70"/>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广东粤能工程管理有限公司</w:t>
            </w:r>
          </w:p>
          <w:p>
            <w:pPr>
              <w:snapToGrid w:val="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广州市番禺区南堤东路668号三楼</w:t>
            </w:r>
          </w:p>
          <w:p>
            <w:pPr>
              <w:snapToGrid w:val="0"/>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许工</w:t>
            </w:r>
          </w:p>
          <w:p>
            <w:pPr>
              <w:snapToGrid w:val="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020-34618798</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1" w:name="_Toc221950016"/>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bookmarkEnd w:id="71"/>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ascii="宋体" w:hAnsi="宋体"/>
                <w:color w:val="auto"/>
                <w:szCs w:val="21"/>
                <w:highlight w:val="none"/>
              </w:rPr>
              <w:t>项目</w:t>
            </w:r>
            <w:r>
              <w:rPr>
                <w:rFonts w:hint="eastAsia" w:ascii="宋体" w:hAnsi="宋体"/>
                <w:color w:val="auto"/>
                <w:szCs w:val="21"/>
                <w:highlight w:val="none"/>
              </w:rPr>
              <w:t>名称</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u w:val="single"/>
              </w:rPr>
            </w:pPr>
            <w:r>
              <w:rPr>
                <w:rFonts w:hint="eastAsia" w:ascii="宋体" w:hAnsi="宋体"/>
                <w:color w:val="auto"/>
                <w:szCs w:val="21"/>
                <w:highlight w:val="none"/>
              </w:rPr>
              <w:t>项目名称：</w:t>
            </w:r>
            <w:r>
              <w:rPr>
                <w:rFonts w:hint="eastAsia"/>
                <w:color w:val="auto"/>
                <w:szCs w:val="21"/>
                <w:highlight w:val="none"/>
              </w:rPr>
              <w:t>2024年度广州市番禺区石碁镇高标准农田改造提升建设项目</w:t>
            </w:r>
            <w:r>
              <w:rPr>
                <w:rFonts w:hint="eastAsia"/>
                <w:color w:val="auto"/>
                <w:szCs w:val="21"/>
                <w:highlight w:val="none"/>
              </w:rPr>
              <w:t>（示范）（国债）</w:t>
            </w:r>
          </w:p>
          <w:p>
            <w:pPr>
              <w:snapToGrid w:val="0"/>
              <w:rPr>
                <w:rFonts w:ascii="宋体" w:hAnsi="宋体" w:cs="宋体"/>
                <w:color w:val="auto"/>
                <w:szCs w:val="21"/>
                <w:highlight w:val="none"/>
              </w:rPr>
            </w:pPr>
            <w:r>
              <w:rPr>
                <w:rFonts w:hint="eastAsia" w:ascii="宋体" w:hAnsi="宋体"/>
                <w:color w:val="auto"/>
                <w:szCs w:val="21"/>
                <w:highlight w:val="none"/>
              </w:rPr>
              <w:t>标段名称：/</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2" w:name="_Toc221950018"/>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5</w:t>
            </w:r>
            <w:bookmarkEnd w:id="72"/>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3" w:name="_Toc221950019"/>
            <w:r>
              <w:rPr>
                <w:rFonts w:hint="eastAsia" w:ascii="宋体" w:hAnsi="宋体" w:cs="宋体"/>
                <w:color w:val="auto"/>
                <w:szCs w:val="21"/>
                <w:highlight w:val="none"/>
              </w:rPr>
              <w:t>建设地点</w:t>
            </w:r>
            <w:bookmarkEnd w:id="73"/>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szCs w:val="21"/>
                <w:highlight w:val="none"/>
              </w:rPr>
              <w:t>广州市番禺区石碁镇</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4" w:name="_Toc221950020"/>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bookmarkEnd w:id="74"/>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5" w:name="_Toc221950021"/>
            <w:r>
              <w:rPr>
                <w:rFonts w:hint="eastAsia" w:ascii="宋体" w:hAnsi="宋体" w:cs="宋体"/>
                <w:color w:val="auto"/>
                <w:szCs w:val="21"/>
                <w:highlight w:val="none"/>
              </w:rPr>
              <w:t>现场管理机构</w:t>
            </w:r>
            <w:bookmarkEnd w:id="75"/>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6" w:name="_Toc221950022"/>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7</w:t>
            </w:r>
            <w:bookmarkEnd w:id="76"/>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7" w:name="_Toc221950023"/>
            <w:r>
              <w:rPr>
                <w:rFonts w:hint="eastAsia" w:ascii="宋体" w:hAnsi="宋体" w:cs="宋体"/>
                <w:color w:val="auto"/>
                <w:szCs w:val="21"/>
                <w:highlight w:val="none"/>
              </w:rPr>
              <w:t>设计人</w:t>
            </w:r>
            <w:bookmarkEnd w:id="77"/>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szCs w:val="21"/>
                <w:highlight w:val="none"/>
              </w:rPr>
              <w:t>中慧长源工程设计集团有限公司</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8" w:name="_Toc221950024"/>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8</w:t>
            </w:r>
            <w:bookmarkEnd w:id="78"/>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79" w:name="_Toc221950025"/>
            <w:r>
              <w:rPr>
                <w:rFonts w:hint="eastAsia" w:ascii="宋体" w:hAnsi="宋体" w:cs="宋体"/>
                <w:color w:val="auto"/>
                <w:szCs w:val="21"/>
                <w:highlight w:val="none"/>
              </w:rPr>
              <w:t>监理</w:t>
            </w:r>
            <w:bookmarkEnd w:id="79"/>
            <w:r>
              <w:rPr>
                <w:rFonts w:hint="eastAsia" w:ascii="宋体" w:hAnsi="宋体" w:cs="宋体"/>
                <w:color w:val="auto"/>
                <w:szCs w:val="21"/>
                <w:highlight w:val="none"/>
              </w:rPr>
              <w:t>人</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0" w:name="_Toc221950026"/>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bookmarkEnd w:id="80"/>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代建人</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1" w:name="_Toc221950030"/>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bookmarkEnd w:id="81"/>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2" w:name="_Toc221950031"/>
            <w:r>
              <w:rPr>
                <w:rFonts w:hint="eastAsia" w:ascii="宋体" w:hAnsi="宋体" w:cs="宋体"/>
                <w:color w:val="auto"/>
                <w:szCs w:val="21"/>
                <w:highlight w:val="none"/>
              </w:rPr>
              <w:t>资金来源</w:t>
            </w:r>
            <w:bookmarkEnd w:id="82"/>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u w:val="single"/>
              </w:rPr>
            </w:pPr>
            <w:r>
              <w:rPr>
                <w:rFonts w:hint="eastAsia"/>
                <w:color w:val="auto"/>
                <w:szCs w:val="21"/>
                <w:highlight w:val="none"/>
              </w:rPr>
              <w:t>财政资金</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3" w:name="_Toc221950032"/>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bookmarkEnd w:id="83"/>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4" w:name="_Toc221950033"/>
            <w:r>
              <w:rPr>
                <w:rFonts w:hint="eastAsia" w:ascii="宋体" w:hAnsi="宋体" w:cs="宋体"/>
                <w:color w:val="auto"/>
                <w:szCs w:val="21"/>
                <w:highlight w:val="none"/>
              </w:rPr>
              <w:t>出资比例</w:t>
            </w:r>
            <w:bookmarkEnd w:id="84"/>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szCs w:val="21"/>
                <w:highlight w:val="none"/>
              </w:rPr>
              <w:t>100%</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5" w:name="_Toc221950034"/>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bookmarkEnd w:id="85"/>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6" w:name="_Toc221950035"/>
            <w:r>
              <w:rPr>
                <w:rFonts w:hint="eastAsia" w:ascii="宋体" w:hAnsi="宋体" w:cs="宋体"/>
                <w:color w:val="auto"/>
                <w:szCs w:val="21"/>
                <w:highlight w:val="none"/>
              </w:rPr>
              <w:t>资金落实情况</w:t>
            </w:r>
            <w:bookmarkEnd w:id="86"/>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szCs w:val="21"/>
                <w:highlight w:val="none"/>
              </w:rPr>
              <w:t>已落实</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7" w:name="_Toc221950036"/>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bookmarkEnd w:id="87"/>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8" w:name="_Toc221950037"/>
            <w:r>
              <w:rPr>
                <w:rFonts w:hint="eastAsia" w:ascii="宋体" w:hAnsi="宋体" w:cs="宋体"/>
                <w:color w:val="auto"/>
                <w:szCs w:val="21"/>
                <w:highlight w:val="none"/>
              </w:rPr>
              <w:t>招标范围</w:t>
            </w:r>
            <w:bookmarkEnd w:id="88"/>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szCs w:val="21"/>
                <w:highlight w:val="none"/>
              </w:rPr>
              <w:t>详见招标公告</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89" w:name="_Toc221950038"/>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bookmarkEnd w:id="89"/>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90" w:name="_Toc221950039"/>
            <w:r>
              <w:rPr>
                <w:rFonts w:hint="eastAsia" w:ascii="宋体" w:hAnsi="宋体" w:cs="宋体"/>
                <w:color w:val="auto"/>
                <w:szCs w:val="21"/>
                <w:highlight w:val="none"/>
              </w:rPr>
              <w:t>计划工期</w:t>
            </w:r>
            <w:bookmarkEnd w:id="90"/>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bookmarkStart w:id="91" w:name="_Toc221950040"/>
            <w:r>
              <w:rPr>
                <w:rFonts w:hint="eastAsia" w:ascii="宋体" w:hAnsi="宋体" w:cs="宋体"/>
                <w:color w:val="auto"/>
                <w:szCs w:val="21"/>
                <w:highlight w:val="none"/>
              </w:rPr>
              <w:t>计划工期：</w:t>
            </w:r>
            <w:r>
              <w:rPr>
                <w:rFonts w:hint="eastAsia" w:ascii="宋体" w:hAnsi="宋体" w:cs="宋体"/>
                <w:color w:val="auto"/>
                <w:szCs w:val="21"/>
                <w:highlight w:val="none"/>
              </w:rPr>
              <w:t>90日历天</w:t>
            </w:r>
            <w:bookmarkEnd w:id="91"/>
          </w:p>
          <w:p>
            <w:pPr>
              <w:snapToGrid w:val="0"/>
              <w:rPr>
                <w:rFonts w:ascii="宋体" w:hAnsi="宋体" w:cs="宋体"/>
                <w:color w:val="auto"/>
                <w:szCs w:val="21"/>
                <w:highlight w:val="none"/>
              </w:rPr>
            </w:pPr>
            <w:bookmarkStart w:id="92" w:name="_Toc221950041"/>
            <w:r>
              <w:rPr>
                <w:rFonts w:hint="eastAsia" w:ascii="宋体" w:hAnsi="宋体" w:cs="宋体"/>
                <w:color w:val="auto"/>
                <w:szCs w:val="21"/>
                <w:highlight w:val="none"/>
              </w:rPr>
              <w:t>计划开工日期：    年    月    日</w:t>
            </w:r>
            <w:bookmarkEnd w:id="92"/>
          </w:p>
          <w:p>
            <w:pPr>
              <w:snapToGrid w:val="0"/>
              <w:rPr>
                <w:rFonts w:ascii="宋体" w:hAnsi="宋体" w:cs="宋体"/>
                <w:color w:val="auto"/>
                <w:szCs w:val="21"/>
                <w:highlight w:val="none"/>
              </w:rPr>
            </w:pPr>
            <w:bookmarkStart w:id="93" w:name="_Toc221950042"/>
            <w:r>
              <w:rPr>
                <w:rFonts w:hint="eastAsia" w:ascii="宋体" w:hAnsi="宋体" w:cs="宋体"/>
                <w:color w:val="auto"/>
                <w:szCs w:val="21"/>
                <w:highlight w:val="none"/>
              </w:rPr>
              <w:t>计划完工日期：    年    月    日</w:t>
            </w:r>
            <w:bookmarkEnd w:id="93"/>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94" w:name="_Toc221950043"/>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bookmarkEnd w:id="94"/>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95" w:name="_Toc221950044"/>
            <w:r>
              <w:rPr>
                <w:rFonts w:hint="eastAsia" w:ascii="宋体" w:hAnsi="宋体" w:cs="宋体"/>
                <w:color w:val="auto"/>
                <w:szCs w:val="21"/>
                <w:highlight w:val="none"/>
              </w:rPr>
              <w:t>质量要求</w:t>
            </w:r>
            <w:bookmarkEnd w:id="95"/>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 xml:space="preserve">详见第七章“技术标准和要求” </w:t>
            </w:r>
          </w:p>
        </w:tc>
      </w:tr>
      <w:tr>
        <w:tblPrEx>
          <w:tblCellMar>
            <w:top w:w="0" w:type="dxa"/>
            <w:left w:w="108" w:type="dxa"/>
            <w:bottom w:w="0" w:type="dxa"/>
            <w:right w:w="108" w:type="dxa"/>
          </w:tblCellMar>
        </w:tblPrEx>
        <w:trPr>
          <w:trHeight w:val="195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96" w:name="_Toc221950045"/>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bookmarkEnd w:id="96"/>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97" w:name="_Toc221950046"/>
            <w:r>
              <w:rPr>
                <w:rFonts w:hint="eastAsia" w:ascii="宋体" w:hAnsi="宋体" w:cs="宋体"/>
                <w:color w:val="auto"/>
                <w:szCs w:val="21"/>
                <w:highlight w:val="none"/>
              </w:rPr>
              <w:t>投标人资质条件、</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能力、信誉</w:t>
            </w:r>
            <w:bookmarkEnd w:id="97"/>
          </w:p>
        </w:tc>
        <w:tc>
          <w:tcPr>
            <w:tcW w:w="558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Cs w:val="21"/>
                <w:highlight w:val="none"/>
              </w:rPr>
            </w:pPr>
            <w:bookmarkStart w:id="98" w:name="_Toc221950047"/>
            <w:r>
              <w:rPr>
                <w:rFonts w:hint="eastAsia" w:hAnsi="宋体"/>
                <w:b/>
                <w:color w:val="auto"/>
                <w:szCs w:val="21"/>
                <w:highlight w:val="none"/>
              </w:rPr>
              <w:t>资质要求：</w:t>
            </w:r>
            <w:r>
              <w:rPr>
                <w:rFonts w:hint="eastAsia" w:hAnsi="宋体"/>
                <w:color w:val="auto"/>
                <w:szCs w:val="21"/>
                <w:highlight w:val="none"/>
              </w:rPr>
              <w:t>见招标公告</w:t>
            </w:r>
            <w:r>
              <w:rPr>
                <w:rFonts w:hint="eastAsia" w:hAnsi="宋体"/>
                <w:strike/>
                <w:color w:val="auto"/>
                <w:szCs w:val="21"/>
                <w:highlight w:val="none"/>
              </w:rPr>
              <w:t>或投标邀请书</w:t>
            </w:r>
          </w:p>
          <w:bookmarkEnd w:id="98"/>
          <w:p>
            <w:pPr>
              <w:snapToGrid w:val="0"/>
              <w:rPr>
                <w:rFonts w:ascii="宋体" w:hAnsi="宋体"/>
                <w:b/>
                <w:strike/>
                <w:color w:val="auto"/>
                <w:szCs w:val="21"/>
                <w:highlight w:val="none"/>
              </w:rPr>
            </w:pPr>
            <w:bookmarkStart w:id="99" w:name="_Toc221950050"/>
            <w:r>
              <w:rPr>
                <w:rFonts w:hint="eastAsia" w:ascii="宋体" w:hAnsi="宋体"/>
                <w:b/>
                <w:color w:val="auto"/>
                <w:szCs w:val="21"/>
                <w:highlight w:val="none"/>
              </w:rPr>
              <w:t>信誉要求：</w:t>
            </w:r>
            <w:r>
              <w:rPr>
                <w:rFonts w:hint="eastAsia" w:hAnsi="宋体"/>
                <w:color w:val="auto"/>
                <w:szCs w:val="21"/>
                <w:highlight w:val="none"/>
              </w:rPr>
              <w:t>见招标公告</w:t>
            </w:r>
            <w:r>
              <w:rPr>
                <w:rFonts w:hint="eastAsia" w:hAnsi="宋体"/>
                <w:strike/>
                <w:color w:val="auto"/>
                <w:szCs w:val="21"/>
                <w:highlight w:val="none"/>
              </w:rPr>
              <w:t>或投标邀请书</w:t>
            </w:r>
          </w:p>
          <w:bookmarkEnd w:id="99"/>
          <w:p>
            <w:pPr>
              <w:snapToGrid w:val="0"/>
              <w:rPr>
                <w:rFonts w:ascii="宋体" w:hAnsi="宋体" w:cs="宋体"/>
                <w:strike/>
                <w:color w:val="auto"/>
                <w:szCs w:val="21"/>
                <w:highlight w:val="none"/>
              </w:rPr>
            </w:pPr>
            <w:bookmarkStart w:id="100" w:name="_Toc221950051"/>
            <w:r>
              <w:rPr>
                <w:rFonts w:hint="eastAsia" w:ascii="宋体" w:hAnsi="宋体"/>
                <w:b/>
                <w:color w:val="auto"/>
                <w:szCs w:val="21"/>
                <w:highlight w:val="none"/>
              </w:rPr>
              <w:t>项目负责人资格：</w:t>
            </w:r>
            <w:r>
              <w:rPr>
                <w:rFonts w:hint="eastAsia" w:hAnsi="宋体"/>
                <w:color w:val="auto"/>
                <w:szCs w:val="21"/>
                <w:highlight w:val="none"/>
              </w:rPr>
              <w:t>见招标公告</w:t>
            </w:r>
            <w:r>
              <w:rPr>
                <w:rFonts w:hint="eastAsia" w:hAnsi="宋体"/>
                <w:strike/>
                <w:color w:val="auto"/>
                <w:szCs w:val="21"/>
                <w:highlight w:val="none"/>
              </w:rPr>
              <w:t>或投标邀请书</w:t>
            </w:r>
          </w:p>
          <w:bookmarkEnd w:id="100"/>
          <w:p>
            <w:pPr>
              <w:snapToGrid w:val="0"/>
              <w:rPr>
                <w:rFonts w:hAnsi="宋体"/>
                <w:strike/>
                <w:color w:val="auto"/>
                <w:szCs w:val="21"/>
                <w:highlight w:val="none"/>
              </w:rPr>
            </w:pPr>
            <w:bookmarkStart w:id="101" w:name="_Toc221950052"/>
            <w:r>
              <w:rPr>
                <w:rFonts w:hint="eastAsia" w:ascii="宋体" w:hAnsi="宋体"/>
                <w:b/>
                <w:color w:val="auto"/>
                <w:szCs w:val="21"/>
                <w:highlight w:val="none"/>
              </w:rPr>
              <w:t>专职安全员：</w:t>
            </w:r>
            <w:r>
              <w:rPr>
                <w:rFonts w:hint="eastAsia" w:hAnsi="宋体"/>
                <w:color w:val="auto"/>
                <w:szCs w:val="21"/>
                <w:highlight w:val="none"/>
              </w:rPr>
              <w:t>见招标公告</w:t>
            </w:r>
            <w:r>
              <w:rPr>
                <w:rFonts w:hint="eastAsia" w:hAnsi="宋体"/>
                <w:strike/>
                <w:color w:val="auto"/>
                <w:szCs w:val="21"/>
                <w:highlight w:val="none"/>
              </w:rPr>
              <w:t>或投标邀请书</w:t>
            </w:r>
          </w:p>
          <w:p>
            <w:pPr>
              <w:snapToGrid w:val="0"/>
              <w:rPr>
                <w:rFonts w:ascii="宋体" w:hAnsi="宋体" w:cs="宋体"/>
                <w:color w:val="auto"/>
                <w:szCs w:val="21"/>
                <w:highlight w:val="none"/>
              </w:rPr>
            </w:pPr>
            <w:r>
              <w:rPr>
                <w:rFonts w:hint="eastAsia" w:ascii="宋体" w:hAnsi="宋体"/>
                <w:b/>
                <w:color w:val="auto"/>
                <w:szCs w:val="21"/>
                <w:highlight w:val="none"/>
              </w:rPr>
              <w:t>其他：</w:t>
            </w:r>
            <w:bookmarkEnd w:id="101"/>
            <w:r>
              <w:rPr>
                <w:rFonts w:hint="eastAsia" w:hAnsi="宋体"/>
                <w:color w:val="auto"/>
                <w:szCs w:val="21"/>
                <w:highlight w:val="none"/>
              </w:rPr>
              <w:t>见招标公告</w:t>
            </w:r>
            <w:r>
              <w:rPr>
                <w:rFonts w:hint="eastAsia" w:hAnsi="宋体"/>
                <w:strike/>
                <w:color w:val="auto"/>
                <w:szCs w:val="21"/>
                <w:highlight w:val="none"/>
              </w:rPr>
              <w:t>或投标邀请书</w:t>
            </w:r>
          </w:p>
        </w:tc>
      </w:tr>
      <w:tr>
        <w:tblPrEx>
          <w:tblCellMar>
            <w:top w:w="0" w:type="dxa"/>
            <w:left w:w="108" w:type="dxa"/>
            <w:bottom w:w="0" w:type="dxa"/>
            <w:right w:w="108" w:type="dxa"/>
          </w:tblCellMar>
        </w:tblPrEx>
        <w:trPr>
          <w:trHeight w:val="170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是否接受</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联合体投标</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☑不接受</w:t>
            </w:r>
            <w:r>
              <w:rPr>
                <w:rFonts w:ascii="宋体" w:hAnsi="宋体" w:cs="宋体"/>
                <w:color w:val="auto"/>
                <w:szCs w:val="21"/>
                <w:highlight w:val="none"/>
              </w:rPr>
              <w:t>；</w:t>
            </w:r>
          </w:p>
          <w:p>
            <w:pPr>
              <w:snapToGrid w:val="0"/>
              <w:ind w:firstLine="71" w:firstLineChars="34"/>
              <w:rPr>
                <w:rFonts w:ascii="宋体" w:hAnsi="宋体" w:cs="宋体"/>
                <w:color w:val="auto"/>
                <w:szCs w:val="21"/>
                <w:highlight w:val="none"/>
                <w:u w:val="single"/>
              </w:rPr>
            </w:pPr>
            <w:r>
              <w:rPr>
                <w:rFonts w:hint="eastAsia" w:ascii="宋体" w:hAnsi="宋体" w:cs="宋体"/>
                <w:color w:val="auto"/>
                <w:szCs w:val="21"/>
                <w:highlight w:val="none"/>
              </w:rPr>
              <w:t>□接受，应满足下列条件：</w:t>
            </w:r>
          </w:p>
          <w:p>
            <w:pPr>
              <w:snapToGrid w:val="0"/>
              <w:ind w:firstLine="71" w:firstLineChars="34"/>
              <w:rPr>
                <w:rFonts w:ascii="宋体" w:hAnsi="宋体" w:cs="宋体"/>
                <w:color w:val="auto"/>
                <w:szCs w:val="21"/>
                <w:highlight w:val="none"/>
                <w:u w:val="single"/>
              </w:rPr>
            </w:pPr>
            <w:r>
              <w:rPr>
                <w:rFonts w:hint="eastAsia" w:ascii="宋体" w:hAnsi="宋体" w:cs="宋体"/>
                <w:color w:val="auto"/>
                <w:highlight w:val="none"/>
                <w:u w:val="single"/>
              </w:rPr>
              <w:t>联合体资质按照联合体协议约定的分工认定。</w:t>
            </w:r>
            <w:r>
              <w:rPr>
                <w:rFonts w:hint="eastAsia"/>
                <w:color w:val="auto"/>
                <w:szCs w:val="21"/>
                <w:highlight w:val="none"/>
                <w:u w:val="single"/>
              </w:rPr>
              <w:t>其他审查标准按              。</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ind w:right="-20"/>
              <w:jc w:val="center"/>
              <w:rPr>
                <w:rFonts w:cs="宋体"/>
                <w:color w:val="auto"/>
                <w:szCs w:val="21"/>
                <w:highlight w:val="none"/>
              </w:rPr>
            </w:pPr>
            <w:r>
              <w:rPr>
                <w:rFonts w:hint="eastAsia" w:cs="宋体"/>
                <w:color w:val="auto"/>
                <w:szCs w:val="21"/>
                <w:highlight w:val="none"/>
              </w:rPr>
              <w:t>1.4.3（19）</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ind w:right="-20"/>
              <w:jc w:val="center"/>
              <w:rPr>
                <w:rFonts w:ascii="宋体" w:hAnsi="宋体"/>
                <w:color w:val="auto"/>
                <w:szCs w:val="21"/>
                <w:highlight w:val="none"/>
              </w:rPr>
            </w:pPr>
            <w:r>
              <w:rPr>
                <w:rFonts w:hint="eastAsia" w:ascii="宋体" w:hAnsi="宋体"/>
                <w:color w:val="auto"/>
                <w:szCs w:val="21"/>
                <w:highlight w:val="none"/>
              </w:rPr>
              <w:t>投标人不得存在的</w:t>
            </w:r>
          </w:p>
          <w:p>
            <w:pPr>
              <w:snapToGrid w:val="0"/>
              <w:ind w:right="-20"/>
              <w:jc w:val="center"/>
              <w:rPr>
                <w:rFonts w:ascii="宋体" w:hAnsi="宋体" w:cs="宋体"/>
                <w:color w:val="auto"/>
                <w:szCs w:val="21"/>
                <w:highlight w:val="none"/>
              </w:rPr>
            </w:pPr>
            <w:r>
              <w:rPr>
                <w:rFonts w:hint="eastAsia" w:ascii="宋体" w:hAnsi="宋体"/>
                <w:color w:val="auto"/>
                <w:szCs w:val="21"/>
                <w:highlight w:val="none"/>
              </w:rPr>
              <w:t>其他情形</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s="宋体"/>
                <w:color w:val="auto"/>
                <w:highlight w:val="none"/>
              </w:rPr>
            </w:pPr>
            <w:r>
              <w:rPr>
                <w:color w:val="auto"/>
                <w:highlight w:val="none"/>
              </w:rPr>
              <w:t>法律法规或投标人须知前附表规定的其他情形。</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olor w:val="auto"/>
                <w:szCs w:val="21"/>
                <w:highlight w:val="none"/>
              </w:rPr>
              <w:t>.</w:t>
            </w:r>
            <w:r>
              <w:rPr>
                <w:rFonts w:hint="eastAsia"/>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1" w:firstLineChars="34"/>
              <w:jc w:val="left"/>
              <w:rPr>
                <w:rFonts w:ascii="宋体" w:hAnsi="宋体" w:cs="宋体"/>
                <w:color w:val="auto"/>
                <w:szCs w:val="21"/>
                <w:highlight w:val="none"/>
              </w:rPr>
            </w:pPr>
            <w:r>
              <w:rPr>
                <w:rFonts w:hint="eastAsia" w:ascii="宋体" w:hAnsi="宋体" w:cs="宋体"/>
                <w:color w:val="auto"/>
                <w:szCs w:val="21"/>
                <w:highlight w:val="none"/>
              </w:rPr>
              <w:t>☑不组织；</w:t>
            </w:r>
          </w:p>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□组  织，踏勘时间：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ind w:firstLine="1008" w:firstLineChars="480"/>
              <w:rPr>
                <w:rFonts w:ascii="宋体" w:hAnsi="宋体" w:cs="宋体"/>
                <w:color w:val="auto"/>
                <w:szCs w:val="21"/>
                <w:highlight w:val="none"/>
              </w:rPr>
            </w:pPr>
            <w:r>
              <w:rPr>
                <w:rFonts w:hint="eastAsia" w:ascii="宋体" w:hAnsi="宋体" w:cs="宋体"/>
                <w:color w:val="auto"/>
                <w:szCs w:val="21"/>
                <w:highlight w:val="none"/>
              </w:rPr>
              <w:t xml:space="preserve"> 踏勘集中地点：</w:t>
            </w:r>
            <w:r>
              <w:rPr>
                <w:rFonts w:hint="eastAsia" w:ascii="宋体" w:hAnsi="宋体" w:cs="宋体"/>
                <w:color w:val="auto"/>
                <w:szCs w:val="21"/>
                <w:highlight w:val="none"/>
                <w:u w:val="single"/>
              </w:rPr>
              <w:t xml:space="preserve">    </w:t>
            </w:r>
            <w:r>
              <w:rPr>
                <w:rFonts w:hint="eastAsia" w:ascii="宋体" w:hAnsi="宋体" w:cs="宋体"/>
                <w:color w:val="auto"/>
                <w:sz w:val="18"/>
                <w:szCs w:val="18"/>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olor w:val="auto"/>
                <w:szCs w:val="21"/>
                <w:highlight w:val="none"/>
              </w:rPr>
              <w:t>.</w:t>
            </w:r>
            <w:r>
              <w:rPr>
                <w:rFonts w:hint="eastAsia"/>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1" w:firstLineChars="34"/>
              <w:jc w:val="left"/>
              <w:rPr>
                <w:rFonts w:ascii="宋体" w:hAnsi="宋体" w:cs="宋体"/>
                <w:color w:val="auto"/>
                <w:szCs w:val="21"/>
                <w:highlight w:val="none"/>
              </w:rPr>
            </w:pPr>
            <w:r>
              <w:rPr>
                <w:rFonts w:hint="eastAsia" w:ascii="宋体" w:hAnsi="宋体" w:cs="宋体"/>
                <w:color w:val="auto"/>
                <w:szCs w:val="21"/>
                <w:highlight w:val="none"/>
              </w:rPr>
              <w:t>☑不召开；</w:t>
            </w:r>
          </w:p>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□召  开，召开时间：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ind w:firstLine="1113" w:firstLineChars="530"/>
              <w:rPr>
                <w:rFonts w:ascii="宋体" w:hAnsi="宋体" w:cs="宋体"/>
                <w:color w:val="auto"/>
                <w:szCs w:val="21"/>
                <w:highlight w:val="none"/>
              </w:rPr>
            </w:pPr>
            <w:r>
              <w:rPr>
                <w:rFonts w:hint="eastAsia" w:ascii="宋体" w:hAnsi="宋体" w:cs="宋体"/>
                <w:color w:val="auto"/>
                <w:szCs w:val="21"/>
                <w:highlight w:val="none"/>
              </w:rPr>
              <w:t>召开地点：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tblPrEx>
          <w:tblCellMar>
            <w:top w:w="0" w:type="dxa"/>
            <w:left w:w="108" w:type="dxa"/>
            <w:bottom w:w="0" w:type="dxa"/>
            <w:right w:w="108" w:type="dxa"/>
          </w:tblCellMar>
        </w:tblPrEx>
        <w:trPr>
          <w:trHeight w:val="170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10</w:t>
            </w:r>
            <w:r>
              <w:rPr>
                <w:rFonts w:hint="eastAsia" w:ascii="宋体" w:hAnsi="宋体"/>
                <w:color w:val="auto"/>
                <w:szCs w:val="21"/>
                <w:highlight w:val="none"/>
              </w:rPr>
              <w:t>.</w:t>
            </w:r>
            <w:r>
              <w:rPr>
                <w:rFonts w:hint="eastAsia"/>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投标人提出问题的</w:t>
            </w:r>
          </w:p>
          <w:p>
            <w:pPr>
              <w:snapToGrid w:val="0"/>
              <w:jc w:val="center"/>
              <w:rPr>
                <w:color w:val="auto"/>
                <w:highlight w:val="none"/>
              </w:rPr>
            </w:pPr>
            <w:r>
              <w:rPr>
                <w:rFonts w:hint="eastAsia"/>
                <w:color w:val="auto"/>
                <w:highlight w:val="none"/>
              </w:rPr>
              <w:t>截止时间</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highlight w:val="none"/>
              </w:rPr>
            </w:pPr>
            <w:r>
              <w:rPr>
                <w:rFonts w:ascii="宋体" w:hAnsi="宋体" w:cs="宋体"/>
                <w:color w:val="auto"/>
                <w:spacing w:val="-19"/>
                <w:highlight w:val="none"/>
              </w:rPr>
              <w:t>疑问提交时间：</w:t>
            </w:r>
            <w:r>
              <w:rPr>
                <w:rFonts w:hint="eastAsia" w:ascii="宋体" w:hAnsi="宋体" w:cs="宋体"/>
                <w:color w:val="auto"/>
                <w:szCs w:val="21"/>
                <w:highlight w:val="none"/>
                <w:u w:val="single"/>
              </w:rPr>
              <w:t xml:space="preserve">    </w:t>
            </w:r>
            <w:r>
              <w:rPr>
                <w:rFonts w:ascii="宋体" w:hAnsi="宋体" w:cs="宋体"/>
                <w:color w:val="auto"/>
                <w:spacing w:val="-19"/>
                <w:highlight w:val="none"/>
              </w:rPr>
              <w:t>年</w:t>
            </w:r>
            <w:r>
              <w:rPr>
                <w:rFonts w:hint="eastAsia" w:ascii="宋体" w:hAnsi="宋体" w:cs="宋体"/>
                <w:color w:val="auto"/>
                <w:spacing w:val="-19"/>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pacing w:val="-19"/>
                <w:highlight w:val="none"/>
              </w:rPr>
              <w:t xml:space="preserve"> </w:t>
            </w:r>
            <w:r>
              <w:rPr>
                <w:rFonts w:ascii="宋体" w:hAnsi="宋体" w:cs="宋体"/>
                <w:color w:val="auto"/>
                <w:spacing w:val="-19"/>
                <w:highlight w:val="none"/>
              </w:rPr>
              <w:t>月</w:t>
            </w:r>
            <w:r>
              <w:rPr>
                <w:rFonts w:hint="eastAsia" w:ascii="宋体" w:hAnsi="宋体" w:cs="宋体"/>
                <w:color w:val="auto"/>
                <w:szCs w:val="21"/>
                <w:highlight w:val="none"/>
                <w:u w:val="single"/>
              </w:rPr>
              <w:t xml:space="preserve">    </w:t>
            </w:r>
            <w:r>
              <w:rPr>
                <w:rFonts w:ascii="宋体" w:hAnsi="宋体" w:cs="宋体"/>
                <w:color w:val="auto"/>
                <w:spacing w:val="-19"/>
                <w:highlight w:val="none"/>
              </w:rPr>
              <w:t>日</w:t>
            </w:r>
            <w:r>
              <w:rPr>
                <w:rFonts w:hint="eastAsia" w:ascii="宋体" w:hAnsi="宋体" w:cs="宋体"/>
                <w:color w:val="auto"/>
                <w:szCs w:val="21"/>
                <w:highlight w:val="none"/>
                <w:u w:val="single"/>
              </w:rPr>
              <w:t xml:space="preserve">    </w:t>
            </w:r>
            <w:r>
              <w:rPr>
                <w:rFonts w:ascii="宋体" w:hAnsi="宋体" w:cs="宋体"/>
                <w:color w:val="auto"/>
                <w:spacing w:val="-19"/>
                <w:highlight w:val="none"/>
              </w:rPr>
              <w:t>时</w:t>
            </w:r>
            <w:r>
              <w:rPr>
                <w:rFonts w:hint="eastAsia" w:ascii="宋体" w:hAnsi="宋体" w:cs="宋体"/>
                <w:color w:val="auto"/>
                <w:spacing w:val="-19"/>
                <w:highlight w:val="none"/>
              </w:rPr>
              <w:t xml:space="preserve"> </w:t>
            </w:r>
            <w:r>
              <w:rPr>
                <w:rFonts w:ascii="宋体" w:hAnsi="宋体" w:cs="宋体"/>
                <w:color w:val="auto"/>
                <w:spacing w:val="-19"/>
                <w:highlight w:val="none"/>
              </w:rPr>
              <w:t>前；</w:t>
            </w:r>
            <w:r>
              <w:rPr>
                <w:rFonts w:hint="eastAsia" w:ascii="宋体" w:hAnsi="宋体" w:cs="宋体"/>
                <w:color w:val="auto"/>
                <w:spacing w:val="-19"/>
                <w:highlight w:val="none"/>
              </w:rPr>
              <w:t>(详见</w:t>
            </w:r>
            <w:r>
              <w:rPr>
                <w:rFonts w:hint="eastAsia" w:ascii="宋体" w:hAnsi="宋体" w:cs="宋体"/>
                <w:color w:val="auto"/>
                <w:spacing w:val="-19"/>
                <w:highlight w:val="none"/>
                <w:lang w:val="en-US" w:eastAsia="zh-CN"/>
              </w:rPr>
              <w:t>交易平台</w:t>
            </w:r>
            <w:r>
              <w:rPr>
                <w:rFonts w:hint="eastAsia" w:ascii="宋体" w:hAnsi="宋体" w:cs="宋体"/>
                <w:color w:val="auto"/>
                <w:spacing w:val="-19"/>
                <w:highlight w:val="none"/>
              </w:rPr>
              <w:t>本项目</w:t>
            </w:r>
            <w:r>
              <w:rPr>
                <w:rFonts w:hint="eastAsia" w:ascii="宋体" w:hAnsi="宋体" w:cs="宋体"/>
                <w:color w:val="auto"/>
                <w:spacing w:val="-19"/>
                <w:highlight w:val="none"/>
                <w:lang w:val="en-US" w:eastAsia="zh-CN"/>
              </w:rPr>
              <w:t>日程安排</w:t>
            </w:r>
            <w:r>
              <w:rPr>
                <w:rFonts w:hint="eastAsia" w:ascii="宋体" w:hAnsi="宋体" w:cs="宋体"/>
                <w:color w:val="auto"/>
                <w:spacing w:val="-19"/>
                <w:highlight w:val="none"/>
              </w:rPr>
              <w:t>)</w:t>
            </w:r>
          </w:p>
          <w:p>
            <w:pPr>
              <w:snapToGrid w:val="0"/>
              <w:rPr>
                <w:rFonts w:ascii="宋体" w:hAnsi="宋体" w:cs="宋体"/>
                <w:color w:val="auto"/>
                <w:highlight w:val="none"/>
              </w:rPr>
            </w:pPr>
            <w:r>
              <w:rPr>
                <w:rFonts w:ascii="宋体" w:hAnsi="宋体" w:cs="宋体"/>
                <w:color w:val="auto"/>
                <w:spacing w:val="-11"/>
                <w:highlight w:val="none"/>
              </w:rPr>
              <w:t>形式：</w:t>
            </w:r>
            <w:r>
              <w:rPr>
                <w:rFonts w:hint="eastAsia" w:ascii="宋体" w:hAnsi="宋体" w:cs="宋体"/>
                <w:color w:val="auto"/>
                <w:spacing w:val="-11"/>
                <w:highlight w:val="none"/>
              </w:rPr>
              <w:t>投标人的疑问通过电子交易平台提交</w:t>
            </w:r>
            <w:r>
              <w:rPr>
                <w:rFonts w:ascii="宋体" w:hAnsi="宋体" w:cs="宋体"/>
                <w:color w:val="auto"/>
                <w:spacing w:val="-11"/>
                <w:highlight w:val="none"/>
              </w:rPr>
              <w:t>。</w:t>
            </w:r>
          </w:p>
          <w:p>
            <w:pPr>
              <w:snapToGrid w:val="0"/>
              <w:rPr>
                <w:color w:val="auto"/>
                <w:highlight w:val="none"/>
              </w:rPr>
            </w:pPr>
            <w:r>
              <w:rPr>
                <w:rFonts w:ascii="宋体" w:hAnsi="宋体" w:cs="宋体"/>
                <w:color w:val="auto"/>
                <w:spacing w:val="-7"/>
                <w:highlight w:val="none"/>
              </w:rPr>
              <w:t>具体要求：</w:t>
            </w:r>
            <w:r>
              <w:rPr>
                <w:rFonts w:hint="eastAsia" w:ascii="宋体" w:hAnsi="宋体" w:cs="宋体"/>
                <w:color w:val="auto"/>
                <w:spacing w:val="-7"/>
                <w:highlight w:val="none"/>
              </w:rPr>
              <w:t>按照电子交易平台的相关指南进行操作。提问一律不得署名。</w:t>
            </w:r>
          </w:p>
        </w:tc>
      </w:tr>
      <w:tr>
        <w:tblPrEx>
          <w:tblCellMar>
            <w:top w:w="0" w:type="dxa"/>
            <w:left w:w="108" w:type="dxa"/>
            <w:bottom w:w="0" w:type="dxa"/>
            <w:right w:w="108" w:type="dxa"/>
          </w:tblCellMar>
        </w:tblPrEx>
        <w:trPr>
          <w:trHeight w:val="170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02" w:name="_Toc221950053"/>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bookmarkEnd w:id="102"/>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03" w:name="_Toc221950054"/>
            <w:r>
              <w:rPr>
                <w:rFonts w:hint="eastAsia" w:ascii="宋体" w:hAnsi="宋体" w:cs="宋体"/>
                <w:color w:val="auto"/>
                <w:szCs w:val="21"/>
                <w:highlight w:val="none"/>
              </w:rPr>
              <w:t>分包</w:t>
            </w:r>
            <w:bookmarkEnd w:id="103"/>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s="宋体"/>
                <w:color w:val="auto"/>
                <w:szCs w:val="21"/>
                <w:highlight w:val="none"/>
              </w:rPr>
            </w:pPr>
            <w:bookmarkStart w:id="104" w:name="_Toc221950057"/>
            <w:bookmarkStart w:id="105" w:name="_Toc221950056"/>
            <w:r>
              <w:rPr>
                <w:rFonts w:hint="eastAsia" w:ascii="宋体" w:hAnsi="宋体" w:cs="宋体"/>
                <w:color w:val="auto"/>
                <w:szCs w:val="21"/>
                <w:highlight w:val="none"/>
              </w:rPr>
              <w:t>□不允许</w:t>
            </w:r>
            <w:bookmarkEnd w:id="104"/>
            <w:r>
              <w:rPr>
                <w:rFonts w:ascii="宋体" w:hAnsi="宋体" w:cs="宋体"/>
                <w:color w:val="auto"/>
                <w:szCs w:val="21"/>
                <w:highlight w:val="none"/>
              </w:rPr>
              <w:t>；</w:t>
            </w:r>
          </w:p>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☑允许，分包内容要求：</w:t>
            </w:r>
            <w:bookmarkEnd w:id="105"/>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r>
              <w:rPr>
                <w:rFonts w:hint="eastAsia" w:ascii="宋体" w:hAnsi="宋体" w:cs="宋体"/>
                <w:color w:val="auto"/>
                <w:szCs w:val="21"/>
                <w:highlight w:val="none"/>
              </w:rPr>
              <w:t xml:space="preserve"> </w:t>
            </w:r>
          </w:p>
          <w:p>
            <w:pPr>
              <w:snapToGrid w:val="0"/>
              <w:rPr>
                <w:rFonts w:ascii="宋体" w:hAnsi="宋体" w:cs="宋体"/>
                <w:color w:val="auto"/>
                <w:szCs w:val="21"/>
                <w:highlight w:val="none"/>
              </w:rPr>
            </w:pPr>
            <w:r>
              <w:rPr>
                <w:rFonts w:hint="eastAsia" w:ascii="宋体" w:hAnsi="宋体" w:cs="宋体"/>
                <w:color w:val="auto"/>
                <w:szCs w:val="21"/>
                <w:highlight w:val="none"/>
              </w:rPr>
              <w:t>分包金额要求：</w:t>
            </w:r>
            <w:r>
              <w:rPr>
                <w:rFonts w:hint="eastAsia" w:ascii="宋体" w:hAnsi="宋体" w:cs="宋体"/>
                <w:color w:val="auto"/>
                <w:kern w:val="0"/>
                <w:szCs w:val="21"/>
                <w:highlight w:val="none"/>
                <w:u w:val="single"/>
                <w:lang w:val="zh-CN"/>
              </w:rPr>
              <w:t>根据实际情况确定，</w:t>
            </w:r>
            <w:r>
              <w:rPr>
                <w:rFonts w:hint="eastAsia" w:ascii="宋体" w:hAnsi="宋体" w:cs="宋体"/>
                <w:color w:val="auto"/>
                <w:szCs w:val="21"/>
                <w:highlight w:val="none"/>
              </w:rPr>
              <w:t xml:space="preserve"> </w:t>
            </w:r>
          </w:p>
          <w:p>
            <w:pPr>
              <w:snapToGrid w:val="0"/>
              <w:rPr>
                <w:rFonts w:ascii="宋体" w:hAnsi="宋体" w:cs="宋体"/>
                <w:color w:val="auto"/>
                <w:szCs w:val="21"/>
                <w:highlight w:val="none"/>
              </w:rPr>
            </w:pPr>
            <w:r>
              <w:rPr>
                <w:rFonts w:hint="eastAsia" w:ascii="宋体" w:hAnsi="宋体" w:cs="宋体"/>
                <w:color w:val="auto"/>
                <w:szCs w:val="21"/>
                <w:highlight w:val="none"/>
              </w:rPr>
              <w:t>接受分包的第三人资质要求：</w:t>
            </w:r>
            <w:r>
              <w:rPr>
                <w:rFonts w:hint="eastAsia" w:ascii="宋体" w:hAnsi="宋体" w:cs="宋体"/>
                <w:color w:val="auto"/>
                <w:kern w:val="0"/>
                <w:szCs w:val="21"/>
                <w:highlight w:val="none"/>
                <w:u w:val="single"/>
                <w:lang w:val="zh-CN"/>
              </w:rPr>
              <w:t>应当具备相应的资质条件，并不得再次分包。</w:t>
            </w:r>
            <w:r>
              <w:rPr>
                <w:rFonts w:ascii="宋体" w:hAnsi="宋体" w:cs="宋体"/>
                <w:color w:val="auto"/>
                <w:szCs w:val="21"/>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12</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☑不允许；</w:t>
            </w:r>
          </w:p>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□允许，偏离允许幅度及其处理办法：</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r>
              <w:rPr>
                <w:rFonts w:hint="eastAsia"/>
                <w:color w:val="auto"/>
                <w:highlight w:val="none"/>
              </w:rPr>
              <w:t>（9）</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构成招标文件的其它材料</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u w:val="singl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ascii="宋体" w:hAnsi="宋体" w:cs="宋体"/>
                <w:color w:val="auto"/>
                <w:szCs w:val="21"/>
                <w:highlight w:val="none"/>
                <w:u w:val="single"/>
              </w:rPr>
              <w:t>最高投标限价公布函</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2.2.1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投标人要求</w:t>
            </w:r>
          </w:p>
          <w:p>
            <w:pPr>
              <w:snapToGrid w:val="0"/>
              <w:jc w:val="center"/>
              <w:rPr>
                <w:color w:val="auto"/>
                <w:highlight w:val="none"/>
              </w:rPr>
            </w:pPr>
            <w:r>
              <w:rPr>
                <w:rFonts w:hint="eastAsia"/>
                <w:color w:val="auto"/>
                <w:highlight w:val="none"/>
              </w:rPr>
              <w:t>澄清招标文件的截止时间</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rPr>
            </w:pPr>
            <w:r>
              <w:rPr>
                <w:rFonts w:hint="eastAsia"/>
                <w:color w:val="auto"/>
                <w:szCs w:val="21"/>
                <w:highlight w:val="none"/>
              </w:rPr>
              <w:t>递交投标文件截止之日</w:t>
            </w:r>
            <w:r>
              <w:rPr>
                <w:rFonts w:hint="eastAsia" w:ascii="宋体" w:hAnsi="宋体" w:cs="宋体"/>
                <w:color w:val="auto"/>
                <w:szCs w:val="21"/>
                <w:highlight w:val="none"/>
                <w:u w:val="single"/>
              </w:rPr>
              <w:t xml:space="preserve"> 15 </w:t>
            </w:r>
            <w:r>
              <w:rPr>
                <w:rFonts w:hint="eastAsia"/>
                <w:color w:val="auto"/>
                <w:szCs w:val="21"/>
                <w:highlight w:val="none"/>
              </w:rPr>
              <w:t>日前</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cs="宋体"/>
                <w:color w:val="auto"/>
                <w:szCs w:val="21"/>
                <w:highlight w:val="none"/>
              </w:rPr>
              <w:t>（11）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构成投标文件</w:t>
            </w:r>
          </w:p>
          <w:p>
            <w:pPr>
              <w:snapToGrid w:val="0"/>
              <w:jc w:val="center"/>
              <w:rPr>
                <w:color w:val="auto"/>
                <w:highlight w:val="none"/>
              </w:rPr>
            </w:pPr>
            <w:r>
              <w:rPr>
                <w:rFonts w:hint="eastAsia"/>
                <w:color w:val="auto"/>
                <w:highlight w:val="none"/>
              </w:rPr>
              <w:t>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r>
              <w:rPr>
                <w:rFonts w:hint="eastAsia" w:ascii="宋体" w:hAnsi="宋体" w:cs="宋体"/>
                <w:color w:val="auto"/>
                <w:szCs w:val="21"/>
                <w:highlight w:val="none"/>
                <w:u w:val="single"/>
              </w:rPr>
              <w:t>满足本项目评审要求的其他资料。</w:t>
            </w:r>
            <w:bookmarkStart w:id="2972" w:name="_GoBack"/>
            <w:bookmarkEnd w:id="2972"/>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olor w:val="auto"/>
                <w:szCs w:val="21"/>
                <w:highlight w:val="none"/>
              </w:rPr>
            </w:pPr>
            <w:r>
              <w:rPr>
                <w:rFonts w:hint="eastAsia" w:ascii="宋体" w:hAnsi="宋体"/>
                <w:color w:val="auto"/>
                <w:szCs w:val="21"/>
                <w:highlight w:val="none"/>
              </w:rPr>
              <w:t>最高投标限价为</w:t>
            </w:r>
            <w:r>
              <w:rPr>
                <w:rFonts w:hint="eastAsia"/>
                <w:color w:val="auto"/>
                <w:szCs w:val="21"/>
                <w:highlight w:val="none"/>
                <w:u w:val="single"/>
              </w:rPr>
              <w:t>427.81376</w:t>
            </w:r>
            <w:r>
              <w:rPr>
                <w:rFonts w:hint="eastAsia" w:ascii="宋体" w:hAnsi="宋体"/>
                <w:color w:val="auto"/>
                <w:szCs w:val="21"/>
                <w:highlight w:val="none"/>
              </w:rPr>
              <w:t>万元。</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color w:val="auto"/>
                <w:szCs w:val="21"/>
                <w:highlight w:val="none"/>
              </w:rPr>
            </w:pPr>
            <w:bookmarkStart w:id="106" w:name="_Toc221950062"/>
            <w:r>
              <w:rPr>
                <w:rFonts w:hint="eastAsia" w:cs="宋体"/>
                <w:color w:val="auto"/>
                <w:szCs w:val="21"/>
                <w:highlight w:val="none"/>
              </w:rPr>
              <w:t>3.2.4</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成本警示价</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olor w:val="auto"/>
                <w:szCs w:val="21"/>
                <w:highlight w:val="none"/>
              </w:rPr>
            </w:pPr>
            <w:r>
              <w:rPr>
                <w:rFonts w:hint="eastAsia" w:ascii="宋体" w:hAnsi="宋体"/>
                <w:color w:val="auto"/>
                <w:szCs w:val="21"/>
                <w:highlight w:val="none"/>
              </w:rPr>
              <w:t>成本警示价为</w:t>
            </w:r>
            <w:r>
              <w:rPr>
                <w:rFonts w:hint="eastAsia" w:ascii="Times New Roman" w:hAnsi="Times New Roman" w:eastAsia="宋体" w:cs="Times New Roman"/>
                <w:color w:val="auto"/>
                <w:szCs w:val="21"/>
                <w:highlight w:val="none"/>
                <w:u w:val="single"/>
                <w:lang w:val="en-US" w:eastAsia="zh-CN"/>
              </w:rPr>
              <w:t>406.423072</w:t>
            </w:r>
            <w:r>
              <w:rPr>
                <w:rFonts w:hint="eastAsia" w:cs="Times New Roman"/>
                <w:color w:val="auto"/>
                <w:szCs w:val="21"/>
                <w:highlight w:val="none"/>
                <w:u w:val="none"/>
                <w:lang w:val="en-US" w:eastAsia="zh-CN"/>
              </w:rPr>
              <w:t>万</w:t>
            </w:r>
            <w:r>
              <w:rPr>
                <w:rFonts w:hint="eastAsia" w:ascii="宋体" w:hAnsi="宋体"/>
                <w:color w:val="auto"/>
                <w:szCs w:val="21"/>
                <w:highlight w:val="none"/>
              </w:rPr>
              <w:t>元。（最高投标限价</w:t>
            </w:r>
            <w:r>
              <w:rPr>
                <w:rFonts w:hint="eastAsia" w:ascii="宋体" w:hAnsi="宋体" w:eastAsia="宋体" w:cs="Times New Roman"/>
                <w:color w:val="auto"/>
                <w:szCs w:val="21"/>
                <w:highlight w:val="none"/>
              </w:rPr>
              <w:t>的95%</w:t>
            </w:r>
            <w:r>
              <w:rPr>
                <w:rFonts w:hint="eastAsia" w:ascii="宋体" w:hAnsi="宋体"/>
                <w:color w:val="auto"/>
                <w:szCs w:val="21"/>
                <w:highlight w:val="none"/>
              </w:rPr>
              <w:t>设置</w:t>
            </w:r>
            <w:r>
              <w:rPr>
                <w:rFonts w:hint="eastAsia" w:ascii="宋体" w:hAnsi="宋体" w:eastAsia="宋体" w:cs="Times New Roman"/>
                <w:color w:val="auto"/>
                <w:szCs w:val="21"/>
                <w:highlight w:val="none"/>
              </w:rPr>
              <w:t>为成本警示价）</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bookmarkEnd w:id="106"/>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07" w:name="_Toc221950063"/>
            <w:r>
              <w:rPr>
                <w:rFonts w:hint="eastAsia" w:ascii="宋体" w:hAnsi="宋体" w:cs="宋体"/>
                <w:color w:val="auto"/>
                <w:szCs w:val="21"/>
                <w:highlight w:val="none"/>
              </w:rPr>
              <w:t>投标有效期</w:t>
            </w:r>
            <w:bookmarkEnd w:id="107"/>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aps/>
                <w:color w:val="auto"/>
                <w:szCs w:val="21"/>
                <w:highlight w:val="none"/>
              </w:rPr>
              <w:t>自投标截止时间起</w:t>
            </w:r>
            <w:r>
              <w:rPr>
                <w:rFonts w:hint="eastAsia" w:ascii="宋体" w:hAnsi="宋体"/>
                <w:caps/>
                <w:color w:val="auto"/>
                <w:szCs w:val="21"/>
                <w:highlight w:val="none"/>
              </w:rPr>
              <w:t>日</w:t>
            </w:r>
            <w:r>
              <w:rPr>
                <w:rFonts w:hint="eastAsia" w:ascii="宋体" w:hAnsi="宋体" w:cs="宋体"/>
                <w:color w:val="auto"/>
                <w:szCs w:val="21"/>
                <w:highlight w:val="none"/>
                <w:u w:val="single"/>
              </w:rPr>
              <w:t xml:space="preserve"> 90日历天 </w:t>
            </w:r>
            <w:r>
              <w:rPr>
                <w:rFonts w:hint="eastAsia" w:ascii="宋体" w:hAnsi="宋体"/>
                <w:caps/>
                <w:color w:val="auto"/>
                <w:szCs w:val="21"/>
                <w:highlight w:val="none"/>
              </w:rPr>
              <w:t>内有效</w:t>
            </w:r>
          </w:p>
        </w:tc>
      </w:tr>
      <w:tr>
        <w:tblPrEx>
          <w:tblCellMar>
            <w:top w:w="0" w:type="dxa"/>
            <w:left w:w="108" w:type="dxa"/>
            <w:bottom w:w="0" w:type="dxa"/>
            <w:right w:w="108" w:type="dxa"/>
          </w:tblCellMar>
        </w:tblPrEx>
        <w:trPr>
          <w:trHeight w:val="1110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08" w:name="_Toc221950064"/>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bookmarkEnd w:id="108"/>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09" w:name="_Toc221950065"/>
            <w:r>
              <w:rPr>
                <w:rFonts w:hint="eastAsia" w:ascii="宋体" w:hAnsi="宋体" w:cs="宋体"/>
                <w:color w:val="auto"/>
                <w:szCs w:val="21"/>
                <w:highlight w:val="none"/>
              </w:rPr>
              <w:t>投标保证金</w:t>
            </w:r>
            <w:bookmarkEnd w:id="109"/>
          </w:p>
        </w:tc>
        <w:tc>
          <w:tcPr>
            <w:tcW w:w="55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不提交</w:t>
            </w:r>
          </w:p>
          <w:p>
            <w:pPr>
              <w:jc w:val="left"/>
              <w:rPr>
                <w:color w:val="auto"/>
                <w:szCs w:val="21"/>
                <w:highlight w:val="none"/>
              </w:rPr>
            </w:pPr>
            <w:r>
              <w:rPr>
                <w:rFonts w:hint="eastAsia"/>
                <w:color w:val="auto"/>
                <w:szCs w:val="21"/>
                <w:highlight w:val="none"/>
              </w:rPr>
              <w:t>1、提供《关于投标保证金的承诺》（详见第八章投标文件格式）。</w:t>
            </w:r>
          </w:p>
          <w:p>
            <w:pPr>
              <w:rPr>
                <w:rFonts w:ascii="宋体" w:hAnsi="宋体"/>
                <w:color w:val="auto"/>
                <w:szCs w:val="21"/>
                <w:highlight w:val="none"/>
              </w:rPr>
            </w:pPr>
            <w:r>
              <w:rPr>
                <w:rFonts w:hint="eastAsia"/>
                <w:color w:val="auto"/>
                <w:szCs w:val="21"/>
                <w:highlight w:val="none"/>
              </w:rPr>
              <w:t>2、对于投标人已提供《关于投标保证金的承诺》，若投标人存在3.4.</w:t>
            </w:r>
            <w:r>
              <w:rPr>
                <w:color w:val="auto"/>
                <w:szCs w:val="21"/>
                <w:highlight w:val="none"/>
              </w:rPr>
              <w:t>4</w:t>
            </w:r>
            <w:r>
              <w:rPr>
                <w:rFonts w:hint="eastAsia"/>
                <w:color w:val="auto"/>
                <w:szCs w:val="21"/>
                <w:highlight w:val="none"/>
              </w:rPr>
              <w:t>条款所列情形，投标人应按照招标人的要求在发现存在 3.4.</w:t>
            </w:r>
            <w:r>
              <w:rPr>
                <w:color w:val="auto"/>
                <w:szCs w:val="21"/>
                <w:highlight w:val="none"/>
              </w:rPr>
              <w:t>4</w:t>
            </w:r>
            <w:r>
              <w:rPr>
                <w:rFonts w:hint="eastAsia"/>
                <w:color w:val="auto"/>
                <w:szCs w:val="21"/>
                <w:highlight w:val="none"/>
              </w:rPr>
              <w:t>条款所列情形之日起5个工作日内补交人民币</w:t>
            </w:r>
            <w:r>
              <w:rPr>
                <w:rFonts w:hint="eastAsia"/>
                <w:color w:val="auto"/>
                <w:szCs w:val="21"/>
                <w:highlight w:val="none"/>
                <w:u w:val="single"/>
              </w:rPr>
              <w:t>8</w:t>
            </w:r>
            <w:r>
              <w:rPr>
                <w:rFonts w:hint="eastAsia"/>
                <w:color w:val="auto"/>
                <w:szCs w:val="21"/>
                <w:highlight w:val="none"/>
              </w:rPr>
              <w:t>万元投标保证金;若未按要求补交投标保证金的，将暂停其参与招标人后续工程投标，直至完成补交手续为止。</w:t>
            </w:r>
          </w:p>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提交，</w:t>
            </w:r>
          </w:p>
          <w:p>
            <w:pPr>
              <w:jc w:val="left"/>
              <w:rPr>
                <w:rFonts w:ascii="宋体" w:hAnsi="Calibri" w:cs="宋体"/>
                <w:color w:val="auto"/>
                <w:kern w:val="0"/>
                <w:szCs w:val="21"/>
                <w:highlight w:val="none"/>
              </w:rPr>
            </w:pPr>
            <w:r>
              <w:rPr>
                <w:rFonts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递交截止时间（到账时间）：同本标段投标截止时间。</w:t>
            </w:r>
          </w:p>
          <w:p>
            <w:pPr>
              <w:jc w:val="left"/>
              <w:rPr>
                <w:rFonts w:ascii="宋体" w:hAnsi="Calibri" w:cs="宋体"/>
                <w:color w:val="auto"/>
                <w:kern w:val="0"/>
                <w:szCs w:val="21"/>
                <w:highlight w:val="none"/>
                <w:u w:val="single"/>
              </w:rPr>
            </w:pPr>
            <w:r>
              <w:rPr>
                <w:rFonts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金额</w:t>
            </w:r>
            <w:r>
              <w:rPr>
                <w:rStyle w:val="31"/>
                <w:rFonts w:hint="eastAsia" w:ascii="宋体" w:hAnsi="宋体" w:cs="宋体"/>
                <w:color w:val="auto"/>
                <w:kern w:val="0"/>
                <w:szCs w:val="21"/>
                <w:highlight w:val="none"/>
              </w:rPr>
              <w:footnoteReference w:id="0"/>
            </w:r>
            <w:r>
              <w:rPr>
                <w:rFonts w:hint="eastAsia" w:ascii="宋体" w:hAnsi="宋体" w:cs="宋体"/>
                <w:color w:val="auto"/>
                <w:kern w:val="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万元。</w:t>
            </w:r>
          </w:p>
          <w:p>
            <w:pPr>
              <w:ind w:left="210" w:hanging="210" w:hangingChars="100"/>
              <w:rPr>
                <w:rFonts w:ascii="Calibri" w:hAnsi="Calibri"/>
                <w:color w:val="auto"/>
                <w:szCs w:val="22"/>
                <w:highlight w:val="none"/>
                <w:u w:val="single"/>
              </w:rPr>
            </w:pPr>
            <w:r>
              <w:rPr>
                <w:color w:val="auto"/>
                <w:szCs w:val="22"/>
                <w:highlight w:val="none"/>
              </w:rPr>
              <w:t>3</w:t>
            </w:r>
            <w:r>
              <w:rPr>
                <w:rFonts w:ascii="Calibri" w:hAnsi="Calibri"/>
                <w:color w:val="auto"/>
                <w:szCs w:val="22"/>
                <w:highlight w:val="none"/>
              </w:rPr>
              <w:t xml:space="preserve">. </w:t>
            </w:r>
            <w:r>
              <w:rPr>
                <w:rFonts w:hint="eastAsia" w:ascii="Calibri" w:hAnsi="Calibri"/>
                <w:color w:val="auto"/>
                <w:szCs w:val="22"/>
                <w:highlight w:val="none"/>
              </w:rPr>
              <w:t>形式：投标</w:t>
            </w:r>
            <w:r>
              <w:rPr>
                <w:rFonts w:hint="eastAsia" w:ascii="宋体" w:hAnsi="宋体" w:cs="宋体"/>
                <w:color w:val="auto"/>
                <w:kern w:val="0"/>
                <w:szCs w:val="21"/>
                <w:highlight w:val="none"/>
              </w:rPr>
              <w:t>人应当采用现金、电子银行保函、电子担保保函、电子保险保单中的一种</w:t>
            </w:r>
            <w:r>
              <w:rPr>
                <w:rFonts w:hint="eastAsia" w:ascii="Calibri" w:hAnsi="Calibri"/>
                <w:color w:val="auto"/>
                <w:szCs w:val="22"/>
                <w:highlight w:val="none"/>
              </w:rPr>
              <w:t>形式递交投标担保。</w:t>
            </w:r>
          </w:p>
          <w:p>
            <w:pPr>
              <w:jc w:val="left"/>
              <w:rPr>
                <w:rFonts w:ascii="Calibri" w:hAnsi="Calibri"/>
                <w:color w:val="auto"/>
                <w:szCs w:val="22"/>
                <w:highlight w:val="none"/>
              </w:rPr>
            </w:pPr>
            <w:r>
              <w:rPr>
                <w:rFonts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递交方</w:t>
            </w:r>
            <w:r>
              <w:rPr>
                <w:rFonts w:hint="eastAsia" w:ascii="Calibri" w:hAnsi="Calibri"/>
                <w:color w:val="auto"/>
                <w:szCs w:val="22"/>
                <w:highlight w:val="none"/>
              </w:rPr>
              <w:t>式及要求</w:t>
            </w:r>
            <w:r>
              <w:rPr>
                <w:rStyle w:val="31"/>
                <w:rFonts w:hint="eastAsia" w:ascii="Calibri" w:hAnsi="Calibri"/>
                <w:color w:val="auto"/>
                <w:szCs w:val="22"/>
                <w:highlight w:val="none"/>
              </w:rPr>
              <w:footnoteReference w:id="1"/>
            </w:r>
            <w:r>
              <w:rPr>
                <w:rFonts w:hint="eastAsia" w:ascii="Calibri" w:hAnsi="Calibri"/>
                <w:color w:val="auto"/>
                <w:szCs w:val="22"/>
                <w:highlight w:val="none"/>
              </w:rPr>
              <w:t>：</w:t>
            </w:r>
          </w:p>
          <w:p>
            <w:pPr>
              <w:ind w:firstLine="211" w:firstLineChars="100"/>
              <w:jc w:val="left"/>
              <w:rPr>
                <w:rFonts w:ascii="宋体" w:hAnsi="宋体" w:cs="宋体"/>
                <w:b/>
                <w:color w:val="auto"/>
                <w:kern w:val="0"/>
                <w:szCs w:val="21"/>
                <w:highlight w:val="none"/>
              </w:rPr>
            </w:pPr>
            <w:r>
              <w:rPr>
                <w:rFonts w:ascii="宋体" w:hAnsi="宋体" w:cs="宋体"/>
                <w:b/>
                <w:color w:val="auto"/>
                <w:kern w:val="0"/>
                <w:szCs w:val="21"/>
                <w:highlight w:val="none"/>
              </w:rPr>
              <w:t>（</w:t>
            </w:r>
            <w:r>
              <w:rPr>
                <w:rFonts w:cs="宋体"/>
                <w:b/>
                <w:color w:val="auto"/>
                <w:kern w:val="0"/>
                <w:szCs w:val="21"/>
                <w:highlight w:val="none"/>
              </w:rPr>
              <w:t>1</w:t>
            </w:r>
            <w:r>
              <w:rPr>
                <w:rFonts w:hint="eastAsia" w:ascii="宋体" w:hAnsi="宋体" w:cs="宋体"/>
                <w:b/>
                <w:color w:val="auto"/>
                <w:kern w:val="0"/>
                <w:szCs w:val="21"/>
                <w:highlight w:val="none"/>
              </w:rPr>
              <w:t>）采用现金方式</w:t>
            </w:r>
          </w:p>
          <w:p>
            <w:pPr>
              <w:ind w:firstLine="525" w:firstLineChars="250"/>
              <w:jc w:val="left"/>
              <w:rPr>
                <w:rFonts w:ascii="宋体" w:hAnsi="宋体" w:cs="宋体"/>
                <w:b/>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）必须从投标人的基本账户汇至招标人指定的账户及账号。</w:t>
            </w:r>
          </w:p>
          <w:p>
            <w:pPr>
              <w:ind w:left="239" w:leftChars="114" w:firstLine="420" w:firstLineChars="200"/>
              <w:jc w:val="left"/>
              <w:rPr>
                <w:rFonts w:ascii="宋体" w:hAnsi="Calibri" w:cs="宋体"/>
                <w:color w:val="auto"/>
                <w:kern w:val="0"/>
                <w:szCs w:val="21"/>
                <w:highlight w:val="none"/>
              </w:rPr>
            </w:pPr>
            <w:r>
              <w:rPr>
                <w:rFonts w:hint="eastAsia" w:ascii="宋体" w:hAnsi="宋体" w:cs="宋体"/>
                <w:color w:val="auto"/>
                <w:kern w:val="0"/>
                <w:szCs w:val="21"/>
                <w:highlight w:val="none"/>
              </w:rPr>
              <w:t>保证金账号：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ind w:left="239" w:leftChars="114" w:firstLine="420" w:firstLineChars="200"/>
              <w:jc w:val="left"/>
              <w:rPr>
                <w:rFonts w:ascii="宋体" w:hAnsi="Calibri" w:cs="宋体"/>
                <w:color w:val="auto"/>
                <w:kern w:val="0"/>
                <w:szCs w:val="21"/>
                <w:highlight w:val="none"/>
              </w:rPr>
            </w:pPr>
            <w:r>
              <w:rPr>
                <w:rFonts w:hint="eastAsia" w:ascii="宋体" w:hAnsi="宋体" w:cs="宋体"/>
                <w:color w:val="auto"/>
                <w:kern w:val="0"/>
                <w:szCs w:val="21"/>
                <w:highlight w:val="none"/>
              </w:rPr>
              <w:t>账户名称：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ind w:left="239" w:leftChars="114"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ind w:left="239" w:leftChars="114" w:firstLine="420" w:firstLineChars="200"/>
              <w:jc w:val="left"/>
              <w:rPr>
                <w:rFonts w:ascii="宋体" w:hAnsi="Calibri" w:cs="宋体"/>
                <w:color w:val="auto"/>
                <w:kern w:val="0"/>
                <w:szCs w:val="21"/>
                <w:highlight w:val="none"/>
              </w:rPr>
            </w:pPr>
            <w:r>
              <w:rPr>
                <w:rFonts w:hint="eastAsia" w:ascii="宋体" w:hAnsi="Calibri" w:cs="宋体"/>
                <w:color w:val="auto"/>
                <w:kern w:val="0"/>
                <w:szCs w:val="21"/>
                <w:highlight w:val="none"/>
              </w:rPr>
              <w:t>其他要求：</w:t>
            </w:r>
            <w:r>
              <w:rPr>
                <w:rFonts w:hint="eastAsia" w:ascii="宋体" w:hAnsi="宋体" w:cs="宋体"/>
                <w:color w:val="auto"/>
                <w:kern w:val="0"/>
                <w:szCs w:val="21"/>
                <w:highlight w:val="none"/>
                <w:u w:val="single"/>
              </w:rPr>
              <w:t xml:space="preserve">              </w:t>
            </w:r>
            <w:r>
              <w:rPr>
                <w:rFonts w:hint="eastAsia" w:ascii="宋体" w:hAnsi="Calibri" w:cs="宋体"/>
                <w:color w:val="auto"/>
                <w:kern w:val="0"/>
                <w:szCs w:val="21"/>
                <w:highlight w:val="none"/>
              </w:rPr>
              <w:t>。</w:t>
            </w:r>
          </w:p>
          <w:p>
            <w:pPr>
              <w:ind w:firstLine="525" w:firstLineChars="250"/>
              <w:jc w:val="left"/>
              <w:rPr>
                <w:rFonts w:ascii="宋体" w:hAnsi="Calibri"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基本账户</w:t>
            </w:r>
            <w:r>
              <w:rPr>
                <w:rFonts w:hint="eastAsia" w:ascii="宋体" w:hAnsi="宋体" w:cs="宋体"/>
                <w:color w:val="auto"/>
                <w:kern w:val="0"/>
                <w:szCs w:val="21"/>
                <w:highlight w:val="none"/>
              </w:rPr>
              <w:t>信息将以投标人办理交易主体注册登记所填基本账户信息为准，若投标人汇款账户与注册登记时的基本账户信息不相符，由此造成投标保证金比</w:t>
            </w:r>
            <w:r>
              <w:rPr>
                <w:rFonts w:ascii="宋体" w:hAnsi="宋体" w:cs="宋体"/>
                <w:color w:val="auto"/>
                <w:kern w:val="0"/>
                <w:szCs w:val="21"/>
                <w:highlight w:val="none"/>
              </w:rPr>
              <w:t>对</w:t>
            </w:r>
            <w:r>
              <w:rPr>
                <w:rFonts w:hint="eastAsia" w:ascii="宋体" w:hAnsi="宋体" w:cs="宋体"/>
                <w:color w:val="auto"/>
                <w:kern w:val="0"/>
                <w:szCs w:val="21"/>
                <w:highlight w:val="none"/>
              </w:rPr>
              <w:t>失败的责任由投标人自行承担。</w:t>
            </w:r>
          </w:p>
          <w:p>
            <w:pPr>
              <w:ind w:left="206" w:leftChars="98" w:firstLine="315" w:firstLineChars="15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）投标保证金到账查询方法及其他要求：</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ind w:firstLine="316" w:firstLineChars="150"/>
              <w:jc w:val="left"/>
              <w:rPr>
                <w:rFonts w:ascii="宋体" w:hAnsi="宋体" w:cs="宋体"/>
                <w:b/>
                <w:color w:val="auto"/>
                <w:kern w:val="0"/>
                <w:szCs w:val="21"/>
                <w:highlight w:val="none"/>
              </w:rPr>
            </w:pPr>
            <w:r>
              <w:rPr>
                <w:rFonts w:ascii="宋体" w:hAnsi="宋体" w:cs="宋体"/>
                <w:b/>
                <w:color w:val="auto"/>
                <w:kern w:val="0"/>
                <w:szCs w:val="21"/>
                <w:highlight w:val="none"/>
              </w:rPr>
              <w:t>（</w:t>
            </w:r>
            <w:r>
              <w:rPr>
                <w:rFonts w:cs="宋体"/>
                <w:b/>
                <w:color w:val="auto"/>
                <w:kern w:val="0"/>
                <w:szCs w:val="21"/>
                <w:highlight w:val="none"/>
              </w:rPr>
              <w:t>2</w:t>
            </w:r>
            <w:r>
              <w:rPr>
                <w:rFonts w:hint="eastAsia" w:ascii="宋体" w:hAnsi="宋体" w:cs="宋体"/>
                <w:b/>
                <w:color w:val="auto"/>
                <w:kern w:val="0"/>
                <w:szCs w:val="21"/>
                <w:highlight w:val="none"/>
              </w:rPr>
              <w:t>）采用电子银行保函、电子担保保函、电子保险保单方式（以下简称保函、保单）</w:t>
            </w:r>
          </w:p>
          <w:p>
            <w:pPr>
              <w:ind w:firstLine="525" w:firstLineChars="25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）投标人须及时登录“电子交易平台”选择所投标段按系统引导的程序申请电子保函或保单。</w:t>
            </w:r>
          </w:p>
          <w:p>
            <w:pPr>
              <w:ind w:firstLine="525" w:firstLineChars="25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投标人</w:t>
            </w:r>
            <w:r>
              <w:rPr>
                <w:rFonts w:hint="eastAsia" w:ascii="宋体" w:hAnsi="宋体" w:cs="宋体"/>
                <w:color w:val="auto"/>
                <w:kern w:val="0"/>
                <w:szCs w:val="21"/>
                <w:highlight w:val="none"/>
              </w:rPr>
              <w:t>可在“电子交易平台”查询</w:t>
            </w:r>
            <w:r>
              <w:rPr>
                <w:rFonts w:ascii="宋体" w:hAnsi="宋体" w:cs="宋体"/>
                <w:color w:val="auto"/>
                <w:kern w:val="0"/>
                <w:szCs w:val="21"/>
                <w:highlight w:val="none"/>
              </w:rPr>
              <w:t>保函</w:t>
            </w:r>
            <w:r>
              <w:rPr>
                <w:rFonts w:hint="eastAsia" w:ascii="宋体" w:hAnsi="宋体" w:cs="宋体"/>
                <w:color w:val="auto"/>
                <w:kern w:val="0"/>
                <w:szCs w:val="21"/>
                <w:highlight w:val="none"/>
              </w:rPr>
              <w:t>或保单是否申请成功，开具成功后可下载</w:t>
            </w:r>
            <w:r>
              <w:rPr>
                <w:rFonts w:ascii="宋体" w:hAnsi="宋体" w:cs="宋体"/>
                <w:color w:val="auto"/>
                <w:kern w:val="0"/>
                <w:szCs w:val="21"/>
                <w:highlight w:val="none"/>
              </w:rPr>
              <w:t>电子保函</w:t>
            </w:r>
            <w:r>
              <w:rPr>
                <w:rFonts w:hint="eastAsia" w:ascii="宋体" w:hAnsi="宋体" w:cs="宋体"/>
                <w:color w:val="auto"/>
                <w:kern w:val="0"/>
                <w:szCs w:val="21"/>
                <w:highlight w:val="none"/>
              </w:rPr>
              <w:t>或保单</w:t>
            </w:r>
            <w:r>
              <w:rPr>
                <w:rFonts w:ascii="宋体" w:hAnsi="宋体" w:cs="宋体"/>
                <w:color w:val="auto"/>
                <w:kern w:val="0"/>
                <w:szCs w:val="21"/>
                <w:highlight w:val="none"/>
              </w:rPr>
              <w:t>。电子保函</w:t>
            </w:r>
            <w:r>
              <w:rPr>
                <w:rFonts w:hint="eastAsia" w:ascii="宋体" w:hAnsi="宋体" w:cs="宋体"/>
                <w:color w:val="auto"/>
                <w:kern w:val="0"/>
                <w:szCs w:val="21"/>
                <w:highlight w:val="none"/>
              </w:rPr>
              <w:t>或保单</w:t>
            </w:r>
            <w:r>
              <w:rPr>
                <w:rFonts w:ascii="宋体" w:hAnsi="宋体" w:cs="宋体"/>
                <w:color w:val="auto"/>
                <w:kern w:val="0"/>
                <w:szCs w:val="21"/>
                <w:highlight w:val="none"/>
              </w:rPr>
              <w:t>应</w:t>
            </w:r>
            <w:r>
              <w:rPr>
                <w:rFonts w:hint="eastAsia" w:ascii="宋体" w:hAnsi="宋体" w:cs="宋体"/>
                <w:color w:val="auto"/>
                <w:kern w:val="0"/>
                <w:szCs w:val="21"/>
                <w:highlight w:val="none"/>
              </w:rPr>
              <w:t>载明：保函或保单受益人（招标人）、标段名称、标段编号、担保内容、担保金额、保函或保单有效期等信息，检查其内容符合招标文件的相关约定后，</w:t>
            </w:r>
            <w:r>
              <w:rPr>
                <w:rFonts w:ascii="宋体" w:hAnsi="宋体" w:cs="宋体"/>
                <w:color w:val="auto"/>
                <w:kern w:val="0"/>
                <w:szCs w:val="21"/>
                <w:highlight w:val="none"/>
              </w:rPr>
              <w:t>上传至投标</w:t>
            </w:r>
            <w:r>
              <w:rPr>
                <w:rFonts w:hint="eastAsia" w:ascii="宋体" w:hAnsi="宋体" w:cs="宋体"/>
                <w:color w:val="auto"/>
                <w:kern w:val="0"/>
                <w:szCs w:val="21"/>
                <w:highlight w:val="none"/>
              </w:rPr>
              <w:t>文件的“投标保证金”栏目中。</w:t>
            </w:r>
          </w:p>
          <w:p>
            <w:pPr>
              <w:snapToGrid w:val="0"/>
              <w:ind w:firstLine="420" w:firstLineChars="200"/>
              <w:jc w:val="left"/>
              <w:rPr>
                <w:rFonts w:ascii="宋体" w:hAnsi="宋体" w:cs="宋体"/>
                <w:color w:val="auto"/>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）开标后，电子交易平台将自动比对投标截止时间前收到的电子保函或保单情况；评标时评标委员会可以直接在投标文件中查验电子保函或保单。</w:t>
            </w:r>
          </w:p>
        </w:tc>
      </w:tr>
      <w:tr>
        <w:tblPrEx>
          <w:tblCellMar>
            <w:top w:w="0" w:type="dxa"/>
            <w:left w:w="108" w:type="dxa"/>
            <w:bottom w:w="0" w:type="dxa"/>
            <w:right w:w="108" w:type="dxa"/>
          </w:tblCellMar>
        </w:tblPrEx>
        <w:trPr>
          <w:trHeight w:val="510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strike/>
                <w:color w:val="auto"/>
                <w:szCs w:val="21"/>
                <w:highlight w:val="none"/>
              </w:rPr>
            </w:pPr>
            <w:r>
              <w:rPr>
                <w:rFonts w:hint="eastAsia" w:cs="宋体"/>
                <w:strike/>
                <w:color w:val="auto"/>
                <w:szCs w:val="21"/>
                <w:highlight w:val="none"/>
              </w:rPr>
              <w:t>3</w:t>
            </w:r>
            <w:r>
              <w:rPr>
                <w:rFonts w:hint="eastAsia" w:ascii="宋体" w:hAnsi="宋体" w:cs="宋体"/>
                <w:strike/>
                <w:color w:val="auto"/>
                <w:szCs w:val="21"/>
                <w:highlight w:val="none"/>
              </w:rPr>
              <w:t>.</w:t>
            </w:r>
            <w:r>
              <w:rPr>
                <w:rFonts w:hint="eastAsia" w:cs="宋体"/>
                <w:strike/>
                <w:color w:val="auto"/>
                <w:szCs w:val="21"/>
                <w:highlight w:val="none"/>
              </w:rPr>
              <w:t>4</w:t>
            </w:r>
            <w:r>
              <w:rPr>
                <w:rFonts w:hint="eastAsia" w:ascii="宋体" w:hAnsi="宋体" w:cs="宋体"/>
                <w:strike/>
                <w:color w:val="auto"/>
                <w:szCs w:val="21"/>
                <w:highlight w:val="none"/>
              </w:rPr>
              <w:t>.</w:t>
            </w:r>
            <w:r>
              <w:rPr>
                <w:rFonts w:hint="eastAsia" w:cs="宋体"/>
                <w:strike/>
                <w:color w:val="auto"/>
                <w:szCs w:val="21"/>
                <w:highlight w:val="none"/>
              </w:rPr>
              <w:t>3</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cs="宋体"/>
                <w:strike/>
                <w:snapToGrid w:val="0"/>
                <w:color w:val="auto"/>
                <w:szCs w:val="21"/>
                <w:highlight w:val="none"/>
              </w:rPr>
            </w:pPr>
            <w:r>
              <w:rPr>
                <w:rFonts w:hint="eastAsia" w:ascii="宋体" w:hAnsi="宋体" w:cs="宋体"/>
                <w:strike/>
                <w:snapToGrid w:val="0"/>
                <w:color w:val="auto"/>
                <w:szCs w:val="21"/>
                <w:highlight w:val="none"/>
              </w:rPr>
              <w:t>退还投标保证金</w:t>
            </w:r>
          </w:p>
          <w:p>
            <w:pPr>
              <w:snapToGrid w:val="0"/>
              <w:jc w:val="center"/>
              <w:rPr>
                <w:rFonts w:ascii="宋体" w:hAnsi="宋体" w:cs="宋体"/>
                <w:strike/>
                <w:color w:val="auto"/>
                <w:szCs w:val="21"/>
                <w:highlight w:val="none"/>
              </w:rPr>
            </w:pPr>
            <w:r>
              <w:rPr>
                <w:rFonts w:hint="eastAsia" w:ascii="宋体" w:hAnsi="宋体" w:cs="宋体"/>
                <w:strike/>
                <w:snapToGrid w:val="0"/>
                <w:color w:val="auto"/>
                <w:szCs w:val="21"/>
                <w:highlight w:val="none"/>
              </w:rPr>
              <w:t>及利息</w:t>
            </w:r>
          </w:p>
        </w:tc>
        <w:tc>
          <w:tcPr>
            <w:tcW w:w="5580" w:type="dxa"/>
            <w:tcBorders>
              <w:top w:val="single" w:color="auto" w:sz="4" w:space="0"/>
              <w:left w:val="single" w:color="auto" w:sz="4" w:space="0"/>
              <w:bottom w:val="single" w:color="auto" w:sz="4" w:space="0"/>
              <w:right w:val="single" w:color="auto" w:sz="4" w:space="0"/>
            </w:tcBorders>
            <w:vAlign w:val="center"/>
          </w:tcPr>
          <w:p>
            <w:pPr>
              <w:rPr>
                <w:rFonts w:ascii="Calibri" w:hAnsi="Calibri"/>
                <w:strike/>
                <w:color w:val="auto"/>
                <w:szCs w:val="22"/>
                <w:highlight w:val="none"/>
              </w:rPr>
            </w:pPr>
            <w:r>
              <w:rPr>
                <w:rFonts w:cs="宋体"/>
                <w:strike/>
                <w:color w:val="auto"/>
                <w:kern w:val="0"/>
                <w:szCs w:val="21"/>
                <w:highlight w:val="none"/>
              </w:rPr>
              <w:t>1</w:t>
            </w:r>
            <w:r>
              <w:rPr>
                <w:rFonts w:ascii="宋体" w:hAnsi="宋体" w:cs="宋体"/>
                <w:strike/>
                <w:color w:val="auto"/>
                <w:kern w:val="0"/>
                <w:szCs w:val="21"/>
                <w:highlight w:val="none"/>
              </w:rPr>
              <w:t xml:space="preserve"> .</w:t>
            </w:r>
            <w:r>
              <w:rPr>
                <w:rFonts w:hint="eastAsia" w:ascii="宋体" w:hAnsi="宋体" w:cs="宋体"/>
                <w:strike/>
                <w:color w:val="auto"/>
                <w:kern w:val="0"/>
                <w:szCs w:val="21"/>
                <w:highlight w:val="none"/>
              </w:rPr>
              <w:t>采用现金方式</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方式一</w:t>
            </w:r>
            <w:r>
              <w:rPr>
                <w:rStyle w:val="31"/>
                <w:rFonts w:hint="eastAsia" w:ascii="Calibri" w:hAnsi="Calibri"/>
                <w:strike/>
                <w:color w:val="auto"/>
                <w:szCs w:val="22"/>
                <w:highlight w:val="none"/>
              </w:rPr>
              <w:footnoteReference w:id="2"/>
            </w:r>
            <w:r>
              <w:rPr>
                <w:rFonts w:hint="eastAsia" w:ascii="Calibri" w:hAnsi="Calibri"/>
                <w:strike/>
                <w:color w:val="auto"/>
                <w:szCs w:val="22"/>
                <w:highlight w:val="none"/>
              </w:rPr>
              <w:t>：</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w:t>
            </w:r>
            <w:r>
              <w:rPr>
                <w:rFonts w:hint="eastAsia"/>
                <w:strike/>
                <w:color w:val="auto"/>
                <w:szCs w:val="22"/>
                <w:highlight w:val="none"/>
              </w:rPr>
              <w:t>1</w:t>
            </w:r>
            <w:r>
              <w:rPr>
                <w:rFonts w:hint="eastAsia" w:ascii="Calibri" w:hAnsi="Calibri"/>
                <w:strike/>
                <w:color w:val="auto"/>
                <w:szCs w:val="22"/>
                <w:highlight w:val="none"/>
              </w:rPr>
              <w:t>）计算利息的起始日期为投标截止当日，终止日期为招标人退还投标保证金日期的前一日；</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w:t>
            </w:r>
            <w:r>
              <w:rPr>
                <w:rFonts w:hint="eastAsia"/>
                <w:strike/>
                <w:color w:val="auto"/>
                <w:szCs w:val="22"/>
                <w:highlight w:val="none"/>
              </w:rPr>
              <w:t>2</w:t>
            </w:r>
            <w:r>
              <w:rPr>
                <w:rFonts w:hint="eastAsia" w:ascii="Calibri" w:hAnsi="Calibri"/>
                <w:strike/>
                <w:color w:val="auto"/>
                <w:szCs w:val="22"/>
                <w:highlight w:val="none"/>
              </w:rPr>
              <w:t>）投标保证金的利息按照第（</w:t>
            </w:r>
            <w:r>
              <w:rPr>
                <w:rFonts w:hint="eastAsia"/>
                <w:strike/>
                <w:color w:val="auto"/>
                <w:szCs w:val="22"/>
                <w:highlight w:val="none"/>
              </w:rPr>
              <w:t>1</w:t>
            </w:r>
            <w:r>
              <w:rPr>
                <w:rFonts w:hint="eastAsia" w:ascii="Calibri" w:hAnsi="Calibri"/>
                <w:strike/>
                <w:color w:val="auto"/>
                <w:szCs w:val="22"/>
                <w:highlight w:val="none"/>
              </w:rPr>
              <w:t>）款所述计息时间段内招标人指定汇入银行公告的活期存款利率计付，并扣除招标人汇款手续费；</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w:t>
            </w:r>
            <w:r>
              <w:rPr>
                <w:rFonts w:hint="eastAsia"/>
                <w:strike/>
                <w:color w:val="auto"/>
                <w:szCs w:val="22"/>
                <w:highlight w:val="none"/>
              </w:rPr>
              <w:t>3</w:t>
            </w:r>
            <w:r>
              <w:rPr>
                <w:rFonts w:hint="eastAsia" w:ascii="Calibri" w:hAnsi="Calibri"/>
                <w:strike/>
                <w:color w:val="auto"/>
                <w:szCs w:val="22"/>
                <w:highlight w:val="none"/>
              </w:rPr>
              <w:t>）利息金额计算至分位，分以下尾数四舍五入；</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w:t>
            </w:r>
            <w:r>
              <w:rPr>
                <w:rFonts w:hint="eastAsia"/>
                <w:strike/>
                <w:color w:val="auto"/>
                <w:szCs w:val="22"/>
                <w:highlight w:val="none"/>
              </w:rPr>
              <w:t>4</w:t>
            </w:r>
            <w:r>
              <w:rPr>
                <w:rFonts w:hint="eastAsia" w:ascii="Calibri" w:hAnsi="Calibri"/>
                <w:strike/>
                <w:color w:val="auto"/>
                <w:szCs w:val="22"/>
                <w:highlight w:val="none"/>
              </w:rPr>
              <w:t>）投标人在接到招标人的退还投标保证金通知后，在提交相关资料的同时须按通知规定将利息等额增值税发票提交给招标人，如未提供利息等额增值税发票将视为投标人主动放弃，不予支付利息。</w:t>
            </w:r>
          </w:p>
          <w:p>
            <w:pPr>
              <w:ind w:firstLine="210" w:firstLineChars="100"/>
              <w:rPr>
                <w:rFonts w:ascii="Calibri" w:hAnsi="Calibri"/>
                <w:strike/>
                <w:color w:val="auto"/>
                <w:szCs w:val="22"/>
                <w:highlight w:val="none"/>
              </w:rPr>
            </w:pPr>
            <w:r>
              <w:rPr>
                <w:rFonts w:hint="eastAsia" w:ascii="Calibri" w:hAnsi="Calibri"/>
                <w:strike/>
                <w:color w:val="auto"/>
                <w:szCs w:val="22"/>
                <w:highlight w:val="none"/>
              </w:rPr>
              <w:t>方式二</w:t>
            </w:r>
            <w:r>
              <w:rPr>
                <w:rStyle w:val="31"/>
                <w:rFonts w:hint="eastAsia" w:ascii="Calibri" w:hAnsi="Calibri"/>
                <w:strike/>
                <w:color w:val="auto"/>
                <w:szCs w:val="22"/>
                <w:highlight w:val="none"/>
              </w:rPr>
              <w:footnoteReference w:id="3"/>
            </w:r>
            <w:r>
              <w:rPr>
                <w:rFonts w:hint="eastAsia" w:ascii="Calibri" w:hAnsi="Calibri"/>
                <w:strike/>
                <w:color w:val="auto"/>
                <w:szCs w:val="22"/>
                <w:highlight w:val="none"/>
              </w:rPr>
              <w:t>：利息退还方式按</w:t>
            </w:r>
            <w:r>
              <w:rPr>
                <w:rFonts w:hint="eastAsia" w:ascii="Calibri" w:hAnsi="Calibri"/>
                <w:strike/>
                <w:color w:val="auto"/>
                <w:szCs w:val="22"/>
                <w:highlight w:val="none"/>
                <w:u w:val="single"/>
              </w:rPr>
              <w:t xml:space="preserve">       公共资源交易中心</w:t>
            </w:r>
            <w:r>
              <w:rPr>
                <w:rFonts w:hint="eastAsia" w:ascii="Calibri" w:hAnsi="Calibri"/>
                <w:strike/>
                <w:color w:val="auto"/>
                <w:szCs w:val="22"/>
                <w:highlight w:val="none"/>
              </w:rPr>
              <w:t>规定办理。</w:t>
            </w:r>
          </w:p>
          <w:p>
            <w:pPr>
              <w:snapToGrid w:val="0"/>
              <w:ind w:left="315" w:hanging="315" w:hangingChars="150"/>
              <w:rPr>
                <w:strike/>
                <w:color w:val="auto"/>
                <w:highlight w:val="none"/>
              </w:rPr>
            </w:pPr>
            <w:r>
              <w:rPr>
                <w:rFonts w:cs="宋体"/>
                <w:strike/>
                <w:color w:val="auto"/>
                <w:kern w:val="0"/>
                <w:szCs w:val="21"/>
                <w:highlight w:val="none"/>
              </w:rPr>
              <w:t>2</w:t>
            </w:r>
            <w:r>
              <w:rPr>
                <w:rFonts w:ascii="宋体" w:hAnsi="宋体" w:cs="宋体"/>
                <w:strike/>
                <w:color w:val="auto"/>
                <w:kern w:val="0"/>
                <w:szCs w:val="21"/>
                <w:highlight w:val="none"/>
              </w:rPr>
              <w:t>.</w:t>
            </w:r>
            <w:r>
              <w:rPr>
                <w:rFonts w:hint="eastAsia" w:ascii="宋体" w:hAnsi="宋体" w:cs="宋体"/>
                <w:strike/>
                <w:color w:val="auto"/>
                <w:kern w:val="0"/>
                <w:szCs w:val="21"/>
                <w:highlight w:val="none"/>
              </w:rPr>
              <w:t xml:space="preserve"> 采用电子保函或保单方式，不产生利息，电子保函或保单到期</w:t>
            </w:r>
            <w:r>
              <w:rPr>
                <w:rFonts w:ascii="宋体" w:hAnsi="宋体" w:cs="宋体"/>
                <w:strike/>
                <w:color w:val="auto"/>
                <w:kern w:val="0"/>
                <w:szCs w:val="21"/>
                <w:highlight w:val="none"/>
              </w:rPr>
              <w:t>后自动失效</w:t>
            </w:r>
            <w:r>
              <w:rPr>
                <w:rFonts w:hint="eastAsia" w:ascii="宋体" w:hAnsi="宋体" w:cs="宋体"/>
                <w:strike/>
                <w:color w:val="auto"/>
                <w:kern w:val="0"/>
                <w:szCs w:val="21"/>
                <w:highlight w:val="none"/>
              </w:rPr>
              <w:t>。</w:t>
            </w:r>
          </w:p>
        </w:tc>
      </w:tr>
      <w:tr>
        <w:tblPrEx>
          <w:tblCellMar>
            <w:top w:w="0" w:type="dxa"/>
            <w:left w:w="108" w:type="dxa"/>
            <w:bottom w:w="0" w:type="dxa"/>
            <w:right w:w="108" w:type="dxa"/>
          </w:tblCellMar>
        </w:tblPrEx>
        <w:trPr>
          <w:trHeight w:val="71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olor w:val="auto"/>
                <w:szCs w:val="21"/>
                <w:highlight w:val="none"/>
              </w:rPr>
              <w:t>类似工程</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hint="eastAsia"/>
                <w:color w:val="auto"/>
                <w:highlight w:val="none"/>
              </w:rPr>
              <w:t>本招标文件中所有“类似工程</w:t>
            </w:r>
            <w:r>
              <w:rPr>
                <w:rStyle w:val="31"/>
                <w:rFonts w:hint="eastAsia"/>
                <w:color w:val="auto"/>
                <w:highlight w:val="none"/>
              </w:rPr>
              <w:footnoteReference w:id="4"/>
            </w:r>
            <w:r>
              <w:rPr>
                <w:rFonts w:hint="eastAsia"/>
                <w:color w:val="auto"/>
                <w:highlight w:val="none"/>
              </w:rPr>
              <w:t>”是指：</w:t>
            </w:r>
            <w:r>
              <w:rPr>
                <w:rFonts w:hint="eastAsia" w:ascii="宋体" w:hAnsi="宋体" w:cs="宋体"/>
                <w:color w:val="auto"/>
                <w:szCs w:val="21"/>
                <w:highlight w:val="none"/>
                <w:u w:val="single"/>
              </w:rPr>
              <w:t>高标准农田建设项目、农田水利项目、农业综合开发项目</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其他</w:t>
            </w:r>
            <w:r>
              <w:rPr>
                <w:rFonts w:hint="eastAsia" w:ascii="宋体" w:hAnsi="宋体" w:cs="宋体"/>
                <w:color w:val="auto"/>
                <w:szCs w:val="21"/>
                <w:highlight w:val="none"/>
                <w:u w:val="single"/>
              </w:rPr>
              <w:t>水利项目</w:t>
            </w:r>
            <w:r>
              <w:rPr>
                <w:rFonts w:hint="eastAsia" w:ascii="宋体" w:hAnsi="宋体" w:cs="宋体"/>
                <w:color w:val="auto"/>
                <w:szCs w:val="21"/>
                <w:highlight w:val="none"/>
                <w:u w:val="single"/>
              </w:rPr>
              <w:t>等</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3.6</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是否允许递交</w:t>
            </w:r>
          </w:p>
          <w:p>
            <w:pPr>
              <w:snapToGrid w:val="0"/>
              <w:jc w:val="center"/>
              <w:rPr>
                <w:rFonts w:ascii="宋体" w:hAnsi="宋体" w:cs="宋体"/>
                <w:color w:val="auto"/>
                <w:szCs w:val="21"/>
                <w:highlight w:val="none"/>
              </w:rPr>
            </w:pPr>
            <w:r>
              <w:rPr>
                <w:rFonts w:hint="eastAsia"/>
                <w:color w:val="auto"/>
                <w:highlight w:val="none"/>
              </w:rPr>
              <w:t>备选投标方案</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color w:val="auto"/>
                <w:highlight w:val="none"/>
              </w:rPr>
              <w:t>不允许</w:t>
            </w:r>
          </w:p>
        </w:tc>
      </w:tr>
      <w:tr>
        <w:tblPrEx>
          <w:tblCellMar>
            <w:top w:w="0" w:type="dxa"/>
            <w:left w:w="108" w:type="dxa"/>
            <w:bottom w:w="0" w:type="dxa"/>
            <w:right w:w="108" w:type="dxa"/>
          </w:tblCellMar>
        </w:tblPrEx>
        <w:trPr>
          <w:trHeight w:val="71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0" w:name="_Toc221950069"/>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kern w:val="0"/>
                <w:szCs w:val="21"/>
                <w:highlight w:val="none"/>
              </w:rPr>
            </w:pP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日时分</w:t>
            </w:r>
          </w:p>
        </w:tc>
      </w:tr>
      <w:bookmarkEnd w:id="110"/>
      <w:tr>
        <w:tblPrEx>
          <w:tblCellMar>
            <w:top w:w="0" w:type="dxa"/>
            <w:left w:w="108" w:type="dxa"/>
            <w:bottom w:w="0" w:type="dxa"/>
            <w:right w:w="108" w:type="dxa"/>
          </w:tblCellMar>
        </w:tblPrEx>
        <w:trPr>
          <w:trHeight w:val="83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olor w:val="auto"/>
                <w:szCs w:val="21"/>
                <w:highlight w:val="none"/>
              </w:rPr>
              <w:t>是否退还投标文件</w:t>
            </w:r>
          </w:p>
        </w:tc>
        <w:tc>
          <w:tcPr>
            <w:tcW w:w="5580" w:type="dxa"/>
            <w:tcBorders>
              <w:top w:val="single" w:color="auto" w:sz="4" w:space="0"/>
              <w:left w:val="single" w:color="auto" w:sz="4" w:space="0"/>
              <w:bottom w:val="single" w:color="auto" w:sz="4" w:space="0"/>
              <w:right w:val="single" w:color="auto" w:sz="4" w:space="0"/>
            </w:tcBorders>
            <w:vAlign w:val="center"/>
          </w:tcPr>
          <w:p>
            <w:pPr>
              <w:pStyle w:val="8"/>
              <w:topLinePunct/>
              <w:snapToGrid w:val="0"/>
              <w:rPr>
                <w:color w:val="auto"/>
                <w:sz w:val="21"/>
                <w:szCs w:val="21"/>
                <w:highlight w:val="none"/>
              </w:rPr>
            </w:pPr>
            <w:r>
              <w:rPr>
                <w:rFonts w:hint="eastAsia"/>
                <w:color w:val="auto"/>
                <w:sz w:val="32"/>
                <w:szCs w:val="32"/>
                <w:highlight w:val="none"/>
              </w:rPr>
              <w:t>☑</w:t>
            </w:r>
            <w:r>
              <w:rPr>
                <w:rFonts w:hint="eastAsia"/>
                <w:color w:val="auto"/>
                <w:szCs w:val="21"/>
                <w:highlight w:val="none"/>
              </w:rPr>
              <w:t>否</w:t>
            </w:r>
            <w:r>
              <w:rPr>
                <w:color w:val="auto"/>
                <w:szCs w:val="21"/>
                <w:highlight w:val="none"/>
              </w:rPr>
              <w:t>；</w:t>
            </w:r>
          </w:p>
          <w:p>
            <w:pPr>
              <w:adjustRightInd w:val="0"/>
              <w:snapToGrid w:val="0"/>
              <w:rPr>
                <w:rFonts w:ascii="宋体" w:hAnsi="宋体" w:cs="宋体"/>
                <w:color w:val="auto"/>
                <w:szCs w:val="21"/>
                <w:highlight w:val="none"/>
              </w:rPr>
            </w:pPr>
            <w:r>
              <w:rPr>
                <w:color w:val="auto"/>
                <w:sz w:val="32"/>
                <w:szCs w:val="32"/>
                <w:highlight w:val="none"/>
              </w:rPr>
              <w:t>□</w:t>
            </w:r>
            <w:r>
              <w:rPr>
                <w:rFonts w:hint="eastAsia"/>
                <w:color w:val="auto"/>
                <w:szCs w:val="21"/>
                <w:highlight w:val="none"/>
              </w:rPr>
              <w:t>是</w:t>
            </w:r>
            <w:r>
              <w:rPr>
                <w:color w:val="auto"/>
                <w:szCs w:val="21"/>
                <w:highlight w:val="none"/>
              </w:rPr>
              <w:t>，</w:t>
            </w:r>
            <w:r>
              <w:rPr>
                <w:rFonts w:hint="eastAsia"/>
                <w:color w:val="auto"/>
                <w:highlight w:val="none"/>
              </w:rPr>
              <w:t>退还安排：</w:t>
            </w:r>
            <w:r>
              <w:rPr>
                <w:rFonts w:hint="eastAsia" w:ascii="宋体" w:hAnsi="宋体" w:cs="宋体"/>
                <w:color w:val="auto"/>
                <w:kern w:val="0"/>
                <w:szCs w:val="21"/>
                <w:highlight w:val="none"/>
                <w:u w:val="single"/>
              </w:rPr>
              <w:t>　　　</w:t>
            </w:r>
          </w:p>
        </w:tc>
      </w:tr>
      <w:tr>
        <w:tblPrEx>
          <w:tblCellMar>
            <w:top w:w="0" w:type="dxa"/>
            <w:left w:w="108" w:type="dxa"/>
            <w:bottom w:w="0" w:type="dxa"/>
            <w:right w:w="108" w:type="dxa"/>
          </w:tblCellMar>
        </w:tblPrEx>
        <w:trPr>
          <w:trHeight w:val="692" w:hRule="atLeast"/>
          <w:jc w:val="center"/>
        </w:trPr>
        <w:tc>
          <w:tcPr>
            <w:tcW w:w="1008"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1" w:name="_Toc221950071"/>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1</w:t>
            </w:r>
            <w:bookmarkEnd w:id="111"/>
            <w:r>
              <w:rPr>
                <w:rFonts w:hint="eastAsia" w:ascii="宋体" w:hAnsi="宋体" w:cs="宋体"/>
                <w:color w:val="auto"/>
                <w:szCs w:val="21"/>
                <w:highlight w:val="none"/>
              </w:rPr>
              <w:t>.</w:t>
            </w:r>
            <w:r>
              <w:rPr>
                <w:rFonts w:hint="eastAsia" w:cs="宋体"/>
                <w:color w:val="auto"/>
                <w:szCs w:val="21"/>
                <w:highlight w:val="none"/>
              </w:rPr>
              <w:t>2</w:t>
            </w:r>
          </w:p>
        </w:tc>
        <w:tc>
          <w:tcPr>
            <w:tcW w:w="2160"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2" w:name="_Toc221950072"/>
            <w:r>
              <w:rPr>
                <w:rFonts w:hint="eastAsia" w:ascii="宋体" w:hAnsi="宋体" w:cs="宋体"/>
                <w:color w:val="auto"/>
                <w:szCs w:val="21"/>
                <w:highlight w:val="none"/>
              </w:rPr>
              <w:t>组织开标地点</w:t>
            </w:r>
            <w:bookmarkEnd w:id="112"/>
          </w:p>
        </w:tc>
        <w:tc>
          <w:tcPr>
            <w:tcW w:w="5580" w:type="dxa"/>
            <w:tcBorders>
              <w:top w:val="single" w:color="auto" w:sz="4" w:space="0"/>
              <w:left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color w:val="auto"/>
                <w:szCs w:val="21"/>
                <w:highlight w:val="none"/>
                <w:u w:val="single"/>
              </w:rPr>
              <w:t>同递交投标文件地点</w:t>
            </w:r>
          </w:p>
        </w:tc>
      </w:tr>
      <w:tr>
        <w:tblPrEx>
          <w:tblCellMar>
            <w:top w:w="0" w:type="dxa"/>
            <w:left w:w="108" w:type="dxa"/>
            <w:bottom w:w="0" w:type="dxa"/>
            <w:right w:w="108" w:type="dxa"/>
          </w:tblCellMar>
        </w:tblPrEx>
        <w:trPr>
          <w:trHeight w:val="130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color w:val="auto"/>
                <w:szCs w:val="21"/>
                <w:highlight w:val="none"/>
              </w:rPr>
              <w:t>5</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6</w:t>
            </w:r>
            <w:r>
              <w:rPr>
                <w:rFonts w:hint="eastAsia" w:ascii="宋体" w:hAnsi="宋体"/>
                <w:color w:val="auto"/>
                <w:szCs w:val="21"/>
                <w:highlight w:val="none"/>
              </w:rPr>
              <w:t>）</w:t>
            </w:r>
          </w:p>
        </w:tc>
        <w:tc>
          <w:tcPr>
            <w:tcW w:w="2160" w:type="dxa"/>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解密时间</w:t>
            </w:r>
          </w:p>
        </w:tc>
        <w:tc>
          <w:tcPr>
            <w:tcW w:w="5580" w:type="dxa"/>
            <w:tcBorders>
              <w:top w:val="single" w:color="auto" w:sz="4" w:space="0"/>
              <w:left w:val="single" w:color="auto" w:sz="4" w:space="0"/>
              <w:right w:val="single" w:color="auto" w:sz="4"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招标人发出解密提示后</w:t>
            </w:r>
            <w:r>
              <w:rPr>
                <w:rFonts w:hint="eastAsia"/>
                <w:color w:val="auto"/>
                <w:szCs w:val="21"/>
                <w:highlight w:val="none"/>
                <w:u w:val="single"/>
              </w:rPr>
              <w:t>30</w:t>
            </w:r>
            <w:r>
              <w:rPr>
                <w:rFonts w:hint="eastAsia" w:ascii="宋体" w:hAnsi="宋体"/>
                <w:color w:val="auto"/>
                <w:szCs w:val="21"/>
                <w:highlight w:val="none"/>
              </w:rPr>
              <w:t>分钟内</w:t>
            </w:r>
          </w:p>
          <w:p>
            <w:pPr>
              <w:snapToGrid w:val="0"/>
              <w:rPr>
                <w:rFonts w:ascii="宋体" w:hAnsi="宋体"/>
                <w:color w:val="auto"/>
                <w:szCs w:val="21"/>
                <w:highlight w:val="none"/>
              </w:rPr>
            </w:pPr>
            <w:r>
              <w:rPr>
                <w:rFonts w:hint="eastAsia" w:ascii="宋体" w:hAnsi="宋体"/>
                <w:color w:val="auto"/>
                <w:szCs w:val="21"/>
                <w:highlight w:val="none"/>
              </w:rPr>
              <w:t>（招标人应充分考虑标段数和投标人数量，合理设置解密时间，该时间不应少于</w:t>
            </w:r>
            <w:r>
              <w:rPr>
                <w:rFonts w:hint="eastAsia"/>
                <w:color w:val="auto"/>
                <w:szCs w:val="21"/>
                <w:highlight w:val="none"/>
              </w:rPr>
              <w:t>30</w:t>
            </w:r>
            <w:r>
              <w:rPr>
                <w:rFonts w:hint="eastAsia" w:ascii="宋体" w:hAnsi="宋体"/>
                <w:color w:val="auto"/>
                <w:szCs w:val="21"/>
                <w:highlight w:val="none"/>
              </w:rPr>
              <w:t>分钟）</w:t>
            </w:r>
          </w:p>
        </w:tc>
      </w:tr>
      <w:tr>
        <w:tblPrEx>
          <w:tblCellMar>
            <w:top w:w="0" w:type="dxa"/>
            <w:left w:w="108" w:type="dxa"/>
            <w:bottom w:w="0" w:type="dxa"/>
            <w:right w:w="108" w:type="dxa"/>
          </w:tblCellMar>
        </w:tblPrEx>
        <w:trPr>
          <w:trHeight w:val="92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3" w:name="_Toc221950075"/>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bookmarkEnd w:id="113"/>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4" w:name="_Toc221950076"/>
            <w:r>
              <w:rPr>
                <w:rFonts w:hint="eastAsia" w:ascii="宋体" w:hAnsi="宋体" w:cs="宋体"/>
                <w:color w:val="auto"/>
                <w:szCs w:val="21"/>
                <w:highlight w:val="none"/>
              </w:rPr>
              <w:t>评标委员会的组建</w:t>
            </w:r>
            <w:bookmarkEnd w:id="114"/>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rPr>
            </w:pPr>
            <w:r>
              <w:rPr>
                <w:rFonts w:hint="eastAsia"/>
                <w:color w:val="auto"/>
                <w:highlight w:val="none"/>
              </w:rPr>
              <w:t>评标委员会构成：</w:t>
            </w:r>
            <w:r>
              <w:rPr>
                <w:rFonts w:hint="eastAsia" w:ascii="宋体" w:hAnsi="宋体" w:cs="宋体"/>
                <w:color w:val="auto"/>
                <w:szCs w:val="21"/>
                <w:highlight w:val="none"/>
                <w:u w:val="single"/>
              </w:rPr>
              <w:t>5</w:t>
            </w:r>
            <w:r>
              <w:rPr>
                <w:rFonts w:hint="eastAsia"/>
                <w:color w:val="auto"/>
                <w:highlight w:val="none"/>
              </w:rPr>
              <w:t>人，其中招标人代表</w:t>
            </w:r>
            <w:r>
              <w:rPr>
                <w:rFonts w:hint="eastAsia" w:ascii="宋体" w:hAnsi="宋体" w:cs="宋体"/>
                <w:color w:val="auto"/>
                <w:szCs w:val="21"/>
                <w:highlight w:val="none"/>
                <w:u w:val="single"/>
              </w:rPr>
              <w:t>0</w:t>
            </w:r>
            <w:r>
              <w:rPr>
                <w:rFonts w:hint="eastAsia"/>
                <w:color w:val="auto"/>
                <w:highlight w:val="none"/>
              </w:rPr>
              <w:t>人，专家</w:t>
            </w:r>
            <w:r>
              <w:rPr>
                <w:rFonts w:hint="eastAsia" w:ascii="宋体" w:hAnsi="宋体" w:cs="宋体"/>
                <w:color w:val="auto"/>
                <w:szCs w:val="21"/>
                <w:highlight w:val="none"/>
                <w:u w:val="single"/>
              </w:rPr>
              <w:t>5</w:t>
            </w:r>
            <w:r>
              <w:rPr>
                <w:rFonts w:hint="eastAsia"/>
                <w:color w:val="auto"/>
                <w:highlight w:val="none"/>
              </w:rPr>
              <w:t>人；</w:t>
            </w:r>
          </w:p>
          <w:p>
            <w:pPr>
              <w:snapToGrid w:val="0"/>
              <w:rPr>
                <w:color w:val="auto"/>
                <w:highlight w:val="none"/>
              </w:rPr>
            </w:pPr>
            <w:r>
              <w:rPr>
                <w:rFonts w:hint="eastAsia"/>
                <w:color w:val="auto"/>
                <w:highlight w:val="none"/>
              </w:rPr>
              <w:t>评标专家确定方式</w:t>
            </w:r>
            <w:r>
              <w:rPr>
                <w:rFonts w:hint="eastAsia" w:ascii="宋体" w:hAnsi="宋体" w:cs="宋体"/>
                <w:color w:val="auto"/>
                <w:szCs w:val="21"/>
                <w:highlight w:val="none"/>
                <w:u w:val="single"/>
              </w:rPr>
              <w:t>依法从广东省综合评标评审专家库中随机抽取</w:t>
            </w:r>
            <w:r>
              <w:rPr>
                <w:rFonts w:hint="eastAsia"/>
                <w:color w:val="auto"/>
                <w:highlight w:val="none"/>
                <w:u w:val="single"/>
              </w:rPr>
              <w:t>。</w:t>
            </w:r>
          </w:p>
        </w:tc>
      </w:tr>
      <w:tr>
        <w:tblPrEx>
          <w:tblCellMar>
            <w:top w:w="0" w:type="dxa"/>
            <w:left w:w="108" w:type="dxa"/>
            <w:bottom w:w="0" w:type="dxa"/>
            <w:right w:w="108" w:type="dxa"/>
          </w:tblCellMar>
        </w:tblPrEx>
        <w:trPr>
          <w:trHeight w:val="98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4</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评标结果公示媒介</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u w:val="single"/>
              </w:rPr>
            </w:pPr>
            <w:r>
              <w:rPr>
                <w:rFonts w:hint="eastAsia"/>
                <w:color w:val="auto"/>
                <w:highlight w:val="none"/>
                <w:u w:val="single"/>
              </w:rPr>
              <w:t>广州交易集团有限公司（广州公共资源交易中心）交易平台</w:t>
            </w:r>
            <w:r>
              <w:rPr>
                <w:rFonts w:hint="eastAsia"/>
                <w:color w:val="auto"/>
                <w:szCs w:val="21"/>
                <w:highlight w:val="none"/>
                <w:u w:val="single"/>
              </w:rPr>
              <w:t>、广东省招标投标监管网、中国招标投标公共服务平台（适用于公开招标项目）</w:t>
            </w:r>
          </w:p>
          <w:p>
            <w:pPr>
              <w:snapToGrid w:val="0"/>
              <w:rPr>
                <w:rFonts w:ascii="宋体" w:hAnsi="宋体"/>
                <w:color w:val="auto"/>
                <w:szCs w:val="21"/>
                <w:highlight w:val="none"/>
              </w:rPr>
            </w:pPr>
            <w:r>
              <w:rPr>
                <w:rFonts w:hint="eastAsia" w:ascii="宋体" w:hAnsi="宋体"/>
                <w:color w:val="auto"/>
                <w:szCs w:val="21"/>
                <w:highlight w:val="none"/>
              </w:rPr>
              <w:t>通过邮件进行发布（</w:t>
            </w:r>
            <w:r>
              <w:rPr>
                <w:rFonts w:hint="eastAsia"/>
                <w:color w:val="auto"/>
                <w:szCs w:val="21"/>
                <w:highlight w:val="none"/>
                <w:u w:val="single"/>
              </w:rPr>
              <w:t>适用于邀请招标项目</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83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7.1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是否授权评标委员会确定中标人</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rPr>
            </w:pPr>
            <w:r>
              <w:rPr>
                <w:rFonts w:hint="eastAsia"/>
                <w:color w:val="auto"/>
                <w:highlight w:val="none"/>
              </w:rPr>
              <w:t>□是</w:t>
            </w:r>
          </w:p>
          <w:p>
            <w:pPr>
              <w:snapToGrid w:val="0"/>
              <w:rPr>
                <w:color w:val="auto"/>
                <w:highlight w:val="none"/>
                <w:u w:val="single"/>
              </w:rPr>
            </w:pPr>
            <w:r>
              <w:rPr>
                <w:rFonts w:hint="eastAsia"/>
                <w:color w:val="auto"/>
                <w:highlight w:val="none"/>
              </w:rPr>
              <w:t>☑否，推荐的中标候选人数：</w:t>
            </w:r>
            <w:r>
              <w:rPr>
                <w:rFonts w:hint="eastAsia"/>
                <w:color w:val="auto"/>
                <w:highlight w:val="none"/>
                <w:u w:val="single"/>
              </w:rPr>
              <w:t xml:space="preserve"> 不超过3人       </w:t>
            </w:r>
          </w:p>
        </w:tc>
      </w:tr>
      <w:tr>
        <w:tblPrEx>
          <w:tblCellMar>
            <w:top w:w="0" w:type="dxa"/>
            <w:left w:w="108" w:type="dxa"/>
            <w:bottom w:w="0" w:type="dxa"/>
            <w:right w:w="108" w:type="dxa"/>
          </w:tblCellMar>
        </w:tblPrEx>
        <w:trPr>
          <w:trHeight w:val="211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5" w:name="_Toc221950079"/>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bookmarkEnd w:id="115"/>
            <w:r>
              <w:rPr>
                <w:rFonts w:hint="eastAsia" w:cs="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bookmarkStart w:id="116" w:name="_Toc221950080"/>
            <w:r>
              <w:rPr>
                <w:rFonts w:hint="eastAsia" w:ascii="宋体" w:hAnsi="宋体" w:cs="宋体"/>
                <w:color w:val="auto"/>
                <w:szCs w:val="21"/>
                <w:highlight w:val="none"/>
              </w:rPr>
              <w:t>履约</w:t>
            </w:r>
            <w:bookmarkEnd w:id="116"/>
            <w:r>
              <w:rPr>
                <w:rFonts w:hint="eastAsia" w:ascii="宋体" w:hAnsi="宋体" w:cs="宋体"/>
                <w:color w:val="auto"/>
                <w:szCs w:val="21"/>
                <w:highlight w:val="none"/>
              </w:rPr>
              <w:t>保证金</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bookmarkStart w:id="117" w:name="_Toc221950081"/>
            <w:r>
              <w:rPr>
                <w:rFonts w:hint="eastAsia"/>
                <w:color w:val="auto"/>
                <w:highlight w:val="none"/>
              </w:rPr>
              <w:t>□</w:t>
            </w:r>
            <w:r>
              <w:rPr>
                <w:rFonts w:hint="eastAsia"/>
                <w:color w:val="auto"/>
                <w:szCs w:val="21"/>
                <w:highlight w:val="none"/>
              </w:rPr>
              <w:t>不提交</w:t>
            </w:r>
          </w:p>
          <w:p>
            <w:pPr>
              <w:snapToGrid w:val="0"/>
              <w:rPr>
                <w:rFonts w:ascii="宋体" w:hAnsi="宋体" w:cs="宋体"/>
                <w:b/>
                <w:color w:val="auto"/>
                <w:szCs w:val="21"/>
                <w:highlight w:val="none"/>
              </w:rPr>
            </w:pPr>
            <w:r>
              <w:rPr>
                <w:rFonts w:hint="eastAsia"/>
                <w:color w:val="auto"/>
                <w:highlight w:val="none"/>
              </w:rPr>
              <w:t>☑</w:t>
            </w:r>
            <w:r>
              <w:rPr>
                <w:rFonts w:hint="eastAsia"/>
                <w:color w:val="auto"/>
                <w:szCs w:val="21"/>
                <w:highlight w:val="none"/>
              </w:rPr>
              <w:t>提交，</w:t>
            </w:r>
          </w:p>
          <w:p>
            <w:pPr>
              <w:snapToGrid w:val="0"/>
              <w:rPr>
                <w:rFonts w:ascii="宋体" w:hAnsi="宋体" w:cs="宋体"/>
                <w:color w:val="auto"/>
                <w:szCs w:val="21"/>
                <w:highlight w:val="none"/>
              </w:rPr>
            </w:pPr>
            <w:r>
              <w:rPr>
                <w:rFonts w:hint="eastAsia" w:ascii="宋体" w:hAnsi="宋体" w:cs="宋体"/>
                <w:color w:val="auto"/>
                <w:szCs w:val="21"/>
                <w:highlight w:val="none"/>
              </w:rPr>
              <w:t>履约保证金的形式：</w:t>
            </w:r>
            <w:bookmarkEnd w:id="117"/>
            <w:r>
              <w:rPr>
                <w:rFonts w:hint="eastAsia" w:ascii="宋体" w:hAnsi="宋体" w:cs="宋体"/>
                <w:color w:val="auto"/>
                <w:szCs w:val="21"/>
                <w:highlight w:val="none"/>
              </w:rPr>
              <w:t>可以以现金转账、银行保函形式或履约保证保险等有效方式向招标人递交履约担保；如果中标人的履约担保是以银行保函的形式提供，则该银行保函应由在中国注册的银行开具。（若中标人不提交，招标人有权取消其中标资格及</w:t>
            </w:r>
            <w:r>
              <w:rPr>
                <w:rFonts w:hint="eastAsia" w:ascii="宋体" w:hAnsi="宋体" w:cs="宋体"/>
                <w:color w:val="auto"/>
                <w:szCs w:val="21"/>
                <w:highlight w:val="none"/>
                <w:u w:val="single"/>
              </w:rPr>
              <w:t>有权根据《关于投标保证金的承诺》，要求投标人足额补交投标保证金，其补交的投标保证金不予退还。</w:t>
            </w:r>
            <w:r>
              <w:rPr>
                <w:rFonts w:hint="eastAsia" w:ascii="宋体" w:hAnsi="宋体" w:cs="宋体"/>
                <w:color w:val="auto"/>
                <w:szCs w:val="21"/>
                <w:highlight w:val="none"/>
              </w:rPr>
              <w:t>中标人需确保银行保函或保证保险在工程竣工前有效。）</w:t>
            </w:r>
          </w:p>
          <w:p>
            <w:pPr>
              <w:snapToGrid w:val="0"/>
              <w:rPr>
                <w:rFonts w:ascii="宋体" w:hAnsi="宋体" w:cs="宋体"/>
                <w:color w:val="auto"/>
                <w:szCs w:val="21"/>
                <w:highlight w:val="none"/>
                <w:u w:val="single"/>
              </w:rPr>
            </w:pPr>
            <w:bookmarkStart w:id="118" w:name="_Toc221950082"/>
            <w:r>
              <w:rPr>
                <w:rFonts w:hint="eastAsia" w:ascii="宋体" w:hAnsi="宋体" w:cs="宋体"/>
                <w:color w:val="auto"/>
                <w:szCs w:val="21"/>
                <w:highlight w:val="none"/>
              </w:rPr>
              <w:t>履约保证金的金额</w:t>
            </w:r>
            <w:r>
              <w:rPr>
                <w:rStyle w:val="31"/>
                <w:rFonts w:hint="eastAsia" w:ascii="宋体" w:hAnsi="宋体" w:cs="宋体"/>
                <w:color w:val="auto"/>
                <w:szCs w:val="21"/>
                <w:highlight w:val="none"/>
              </w:rPr>
              <w:footnoteReference w:id="5"/>
            </w:r>
            <w:r>
              <w:rPr>
                <w:rFonts w:hint="eastAsia" w:ascii="宋体" w:hAnsi="宋体" w:cs="宋体"/>
                <w:color w:val="auto"/>
                <w:szCs w:val="21"/>
                <w:highlight w:val="none"/>
              </w:rPr>
              <w:t>：</w:t>
            </w:r>
            <w:bookmarkEnd w:id="118"/>
            <w:r>
              <w:rPr>
                <w:rFonts w:hint="eastAsia" w:ascii="宋体" w:hAnsi="宋体" w:cs="宋体"/>
                <w:color w:val="auto"/>
                <w:szCs w:val="21"/>
                <w:highlight w:val="none"/>
                <w:u w:val="single"/>
              </w:rPr>
              <w:t>为中标价款的10%</w:t>
            </w:r>
          </w:p>
          <w:p>
            <w:pPr>
              <w:rPr>
                <w:color w:val="auto"/>
                <w:highlight w:val="none"/>
              </w:rPr>
            </w:pPr>
            <w:r>
              <w:rPr>
                <w:rFonts w:hint="eastAsia"/>
                <w:color w:val="auto"/>
                <w:highlight w:val="none"/>
              </w:rPr>
              <w:t xml:space="preserve">□其他形式 </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履约保证金的金额：合同总价的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cs="宋体"/>
                <w:color w:val="auto"/>
                <w:szCs w:val="21"/>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highlight w:val="none"/>
              </w:rPr>
              <w:t>9</w:t>
            </w:r>
            <w:r>
              <w:rPr>
                <w:rFonts w:hint="eastAsia" w:ascii="宋体" w:hAnsi="宋体" w:cs="宋体"/>
                <w:color w:val="auto"/>
                <w:highlight w:val="none"/>
              </w:rPr>
              <w:t>.</w:t>
            </w: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行政监督部门</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u w:val="single"/>
              </w:rPr>
            </w:pPr>
            <w:r>
              <w:rPr>
                <w:rFonts w:hint="eastAsia" w:ascii="宋体" w:hAnsi="宋体" w:cs="宋体"/>
                <w:color w:val="auto"/>
                <w:szCs w:val="21"/>
                <w:highlight w:val="none"/>
              </w:rPr>
              <w:t>名    称：</w:t>
            </w:r>
            <w:r>
              <w:rPr>
                <w:rFonts w:hint="eastAsia"/>
                <w:color w:val="auto"/>
                <w:highlight w:val="none"/>
                <w:u w:val="single"/>
              </w:rPr>
              <w:t>广州市番禺区建设工程招标管理办公室</w:t>
            </w:r>
          </w:p>
          <w:p>
            <w:pPr>
              <w:snapToGrid w:val="0"/>
              <w:rPr>
                <w:rFonts w:ascii="宋体" w:hAnsi="宋体" w:cs="宋体"/>
                <w:color w:val="auto"/>
                <w:szCs w:val="21"/>
                <w:highlight w:val="none"/>
              </w:rPr>
            </w:pPr>
            <w:r>
              <w:rPr>
                <w:rFonts w:hint="eastAsia" w:ascii="宋体" w:hAnsi="宋体" w:cs="宋体"/>
                <w:color w:val="auto"/>
                <w:szCs w:val="21"/>
                <w:highlight w:val="none"/>
              </w:rPr>
              <w:t>地    址：</w:t>
            </w:r>
            <w:r>
              <w:rPr>
                <w:rFonts w:hint="eastAsia"/>
                <w:color w:val="auto"/>
                <w:highlight w:val="none"/>
                <w:u w:val="single"/>
              </w:rPr>
              <w:t>广州市番禺区沙头街景观大道南7号</w:t>
            </w:r>
          </w:p>
          <w:p>
            <w:pPr>
              <w:snapToGrid w:val="0"/>
              <w:rPr>
                <w:color w:val="auto"/>
                <w:highlight w:val="none"/>
                <w:u w:val="single"/>
              </w:rPr>
            </w:pPr>
            <w:r>
              <w:rPr>
                <w:rFonts w:hint="eastAsia" w:ascii="宋体" w:hAnsi="宋体" w:cs="宋体"/>
                <w:color w:val="auto"/>
                <w:szCs w:val="21"/>
                <w:highlight w:val="none"/>
              </w:rPr>
              <w:t>电    话：</w:t>
            </w:r>
            <w:r>
              <w:rPr>
                <w:rFonts w:hint="eastAsia"/>
                <w:color w:val="auto"/>
                <w:highlight w:val="none"/>
                <w:u w:val="single"/>
              </w:rPr>
              <w:t>020-84892221</w:t>
            </w:r>
          </w:p>
          <w:p>
            <w:pPr>
              <w:snapToGrid w:val="0"/>
              <w:rPr>
                <w:rFonts w:ascii="宋体" w:hAnsi="宋体" w:cs="宋体"/>
                <w:color w:val="auto"/>
                <w:szCs w:val="21"/>
                <w:highlight w:val="none"/>
              </w:rPr>
            </w:pPr>
            <w:r>
              <w:rPr>
                <w:rFonts w:hint="eastAsia" w:ascii="宋体" w:hAnsi="宋体" w:cs="宋体"/>
                <w:color w:val="auto"/>
                <w:szCs w:val="21"/>
                <w:highlight w:val="none"/>
              </w:rPr>
              <w:t>传    真：</w:t>
            </w:r>
          </w:p>
          <w:p>
            <w:pPr>
              <w:snapToGrid w:val="0"/>
              <w:rPr>
                <w:rFonts w:ascii="宋体" w:hAnsi="宋体" w:cs="宋体"/>
                <w:color w:val="auto"/>
                <w:szCs w:val="21"/>
                <w:highlight w:val="none"/>
              </w:rPr>
            </w:pPr>
            <w:r>
              <w:rPr>
                <w:rFonts w:hint="eastAsia" w:ascii="宋体" w:hAnsi="宋体" w:cs="宋体"/>
                <w:color w:val="auto"/>
                <w:szCs w:val="21"/>
                <w:highlight w:val="none"/>
              </w:rPr>
              <w:t>邮政编码：</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10</w:t>
            </w:r>
          </w:p>
        </w:tc>
        <w:tc>
          <w:tcPr>
            <w:tcW w:w="7740"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62" w:firstLineChars="220"/>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color w:val="auto"/>
                <w:szCs w:val="21"/>
                <w:highlight w:val="none"/>
              </w:rPr>
            </w:pPr>
            <w:r>
              <w:rPr>
                <w:rFonts w:hint="eastAsia" w:cs="宋体"/>
                <w:color w:val="auto"/>
                <w:szCs w:val="21"/>
                <w:highlight w:val="none"/>
              </w:rPr>
              <w:t>10.1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多标段投标</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   共分</w:t>
            </w:r>
            <w:r>
              <w:rPr>
                <w:rFonts w:hint="eastAsia" w:cs="宋体"/>
                <w:color w:val="auto"/>
                <w:szCs w:val="21"/>
                <w:highlight w:val="none"/>
              </w:rPr>
              <w:t>1</w:t>
            </w:r>
            <w:r>
              <w:rPr>
                <w:rFonts w:hint="eastAsia" w:ascii="宋体" w:hAnsi="宋体" w:cs="宋体"/>
                <w:color w:val="auto"/>
                <w:szCs w:val="21"/>
                <w:highlight w:val="none"/>
              </w:rPr>
              <w:t>个标段。</w:t>
            </w:r>
          </w:p>
          <w:p>
            <w:pPr>
              <w:snapToGrid w:val="0"/>
              <w:ind w:firstLine="71" w:firstLineChars="34"/>
              <w:rPr>
                <w:rFonts w:ascii="宋体" w:hAnsi="宋体" w:cs="宋体"/>
                <w:color w:val="auto"/>
                <w:szCs w:val="21"/>
                <w:highlight w:val="none"/>
              </w:rPr>
            </w:pPr>
            <w:r>
              <w:rPr>
                <w:rFonts w:hint="eastAsia" w:ascii="宋体" w:hAnsi="宋体" w:cs="宋体"/>
                <w:color w:val="auto"/>
                <w:szCs w:val="21"/>
                <w:highlight w:val="none"/>
              </w:rPr>
              <w:t>□   共分（ ）个标段，按下列规定进行：</w:t>
            </w:r>
          </w:p>
          <w:p>
            <w:pPr>
              <w:snapToGrid w:val="0"/>
              <w:rPr>
                <w:rFonts w:ascii="宋体" w:hAnsi="宋体"/>
                <w:color w:val="auto"/>
                <w:szCs w:val="21"/>
                <w:highlight w:val="none"/>
              </w:rPr>
            </w:pPr>
            <w:r>
              <w:rPr>
                <w:rFonts w:hint="eastAsia" w:ascii="宋体" w:hAnsi="宋体"/>
                <w:color w:val="auto"/>
                <w:szCs w:val="21"/>
                <w:highlight w:val="none"/>
              </w:rPr>
              <w:t>投标人可同时对本次招标标段中的个标段投标。招标人按下列原则选择中标人：</w:t>
            </w:r>
          </w:p>
          <w:p>
            <w:pPr>
              <w:snapToGrid w:val="0"/>
              <w:ind w:firstLine="210" w:firstLineChars="100"/>
              <w:rPr>
                <w:rFonts w:ascii="宋体" w:hAnsi="宋体"/>
                <w:color w:val="auto"/>
                <w:szCs w:val="21"/>
                <w:highlight w:val="none"/>
              </w:rPr>
            </w:pPr>
            <w:r>
              <w:rPr>
                <w:rFonts w:hint="eastAsia" w:ascii="宋体" w:hAnsi="宋体"/>
                <w:color w:val="auto"/>
                <w:szCs w:val="21"/>
                <w:highlight w:val="none"/>
              </w:rPr>
              <w:t>□招标人按标段择优选择中标人。</w:t>
            </w:r>
          </w:p>
          <w:p>
            <w:pPr>
              <w:snapToGrid w:val="0"/>
              <w:ind w:firstLine="210" w:firstLineChars="100"/>
              <w:rPr>
                <w:rFonts w:ascii="宋体" w:hAnsi="宋体"/>
                <w:color w:val="auto"/>
                <w:szCs w:val="21"/>
                <w:highlight w:val="none"/>
              </w:rPr>
            </w:pPr>
            <w:r>
              <w:rPr>
                <w:rFonts w:hint="eastAsia" w:ascii="宋体" w:hAnsi="宋体"/>
                <w:color w:val="auto"/>
                <w:szCs w:val="21"/>
                <w:highlight w:val="none"/>
              </w:rPr>
              <w:t>□投标人最多只允许中标个标段。如果同一投标人在多个标段中均排序第一，</w:t>
            </w:r>
            <w:r>
              <w:rPr>
                <w:rFonts w:ascii="宋体" w:hAnsi="宋体"/>
                <w:color w:val="auto"/>
                <w:szCs w:val="21"/>
                <w:highlight w:val="none"/>
              </w:rPr>
              <w:t>推荐中标候选人顺序为：</w:t>
            </w:r>
          </w:p>
          <w:p>
            <w:pPr>
              <w:snapToGrid w:val="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按照标段顺序，投标人在前面标段被推荐为第一中标候选人后，所投其他标段将不再被推荐为中标候选人。</w:t>
            </w:r>
          </w:p>
          <w:p>
            <w:pPr>
              <w:snapToGrid w:val="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按照标段最高</w:t>
            </w:r>
            <w:r>
              <w:rPr>
                <w:rFonts w:hint="eastAsia" w:ascii="宋体" w:hAnsi="宋体"/>
                <w:color w:val="auto"/>
                <w:szCs w:val="21"/>
                <w:highlight w:val="none"/>
              </w:rPr>
              <w:t>投标</w:t>
            </w:r>
            <w:r>
              <w:rPr>
                <w:rFonts w:ascii="宋体" w:hAnsi="宋体"/>
                <w:color w:val="auto"/>
                <w:szCs w:val="21"/>
                <w:highlight w:val="none"/>
              </w:rPr>
              <w:t>限价从大到小的顺序，投标人在最高</w:t>
            </w:r>
            <w:r>
              <w:rPr>
                <w:rFonts w:hint="eastAsia" w:ascii="宋体" w:hAnsi="宋体"/>
                <w:color w:val="auto"/>
                <w:szCs w:val="21"/>
                <w:highlight w:val="none"/>
              </w:rPr>
              <w:t>投标</w:t>
            </w:r>
            <w:r>
              <w:rPr>
                <w:rFonts w:ascii="宋体" w:hAnsi="宋体"/>
                <w:color w:val="auto"/>
                <w:szCs w:val="21"/>
                <w:highlight w:val="none"/>
              </w:rPr>
              <w:t>限价大的标段被推荐为第一中标候选人后，所投其他标段将不再被推荐为中标候选人。</w:t>
            </w:r>
          </w:p>
          <w:p>
            <w:pPr>
              <w:snapToGrid w:val="0"/>
              <w:ind w:left="315" w:leftChars="150" w:firstLine="210" w:firstLineChars="100"/>
              <w:rPr>
                <w:rFonts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u w:val="single"/>
              </w:rPr>
              <w:t xml:space="preserve">    </w:t>
            </w:r>
            <w:r>
              <w:rPr>
                <w:rFonts w:hint="eastAsia"/>
                <w:color w:val="auto"/>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中标后须提交的</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纸质投标文件</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u w:val="single"/>
              </w:rPr>
            </w:pPr>
            <w:r>
              <w:rPr>
                <w:rFonts w:hint="eastAsia"/>
                <w:color w:val="auto"/>
                <w:highlight w:val="none"/>
              </w:rPr>
              <w:t>份数：</w:t>
            </w:r>
            <w:r>
              <w:rPr>
                <w:rFonts w:hint="eastAsia"/>
                <w:color w:val="auto"/>
                <w:highlight w:val="none"/>
                <w:u w:val="single"/>
              </w:rPr>
              <w:t xml:space="preserve"> 3</w:t>
            </w:r>
            <w:r>
              <w:rPr>
                <w:rFonts w:hint="eastAsia"/>
                <w:color w:val="auto"/>
                <w:highlight w:val="none"/>
                <w:u w:val="single"/>
              </w:rPr>
              <w:t xml:space="preserve"> </w:t>
            </w:r>
            <w:r>
              <w:rPr>
                <w:rFonts w:hint="eastAsia"/>
                <w:color w:val="auto"/>
                <w:highlight w:val="none"/>
              </w:rPr>
              <w:t>，中标人提交的纸质投标文件应当与导入电子开标评标系统的电子投标文件内容一致。</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10.3</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交易平台</w:t>
            </w:r>
          </w:p>
          <w:p>
            <w:pPr>
              <w:snapToGrid w:val="0"/>
              <w:jc w:val="center"/>
              <w:rPr>
                <w:color w:val="auto"/>
                <w:highlight w:val="none"/>
              </w:rPr>
            </w:pPr>
            <w:r>
              <w:rPr>
                <w:rFonts w:hint="eastAsia"/>
                <w:color w:val="auto"/>
                <w:highlight w:val="none"/>
              </w:rPr>
              <w:t>信息服务费</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rPr>
            </w:pPr>
            <w:r>
              <w:rPr>
                <w:rFonts w:hint="eastAsia"/>
                <w:color w:val="auto"/>
                <w:highlight w:val="none"/>
              </w:rPr>
              <w:t>根据有关文件规定，</w:t>
            </w:r>
            <w:r>
              <w:rPr>
                <w:rFonts w:hint="eastAsia"/>
                <w:color w:val="auto"/>
                <w:szCs w:val="21"/>
                <w:highlight w:val="none"/>
              </w:rPr>
              <w:t>由</w:t>
            </w:r>
            <w:r>
              <w:rPr>
                <w:rFonts w:hint="eastAsia"/>
                <w:color w:val="auto"/>
                <w:szCs w:val="21"/>
                <w:highlight w:val="none"/>
                <w:u w:val="single"/>
              </w:rPr>
              <w:t>（</w:t>
            </w:r>
            <w:r>
              <w:rPr>
                <w:color w:val="auto"/>
                <w:sz w:val="32"/>
                <w:szCs w:val="32"/>
                <w:highlight w:val="none"/>
                <w:u w:val="single"/>
              </w:rPr>
              <w:t>□</w:t>
            </w:r>
            <w:r>
              <w:rPr>
                <w:rFonts w:hint="eastAsia"/>
                <w:color w:val="auto"/>
                <w:szCs w:val="21"/>
                <w:highlight w:val="none"/>
                <w:u w:val="single"/>
              </w:rPr>
              <w:t>招标人、</w:t>
            </w:r>
            <w:r>
              <w:rPr>
                <w:rFonts w:hint="eastAsia"/>
                <w:color w:val="auto"/>
                <w:sz w:val="32"/>
                <w:szCs w:val="32"/>
                <w:highlight w:val="none"/>
                <w:u w:val="single"/>
              </w:rPr>
              <w:t>☑</w:t>
            </w:r>
            <w:r>
              <w:rPr>
                <w:rFonts w:hint="eastAsia"/>
                <w:color w:val="auto"/>
                <w:szCs w:val="21"/>
                <w:highlight w:val="none"/>
                <w:u w:val="single"/>
              </w:rPr>
              <w:t>中标人）</w:t>
            </w:r>
            <w:r>
              <w:rPr>
                <w:rFonts w:hint="eastAsia"/>
                <w:color w:val="auto"/>
                <w:highlight w:val="none"/>
              </w:rPr>
              <w:t>向电子交易平台交纳信息服务费。</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10.4</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cs="宋体"/>
                <w:color w:val="auto"/>
                <w:spacing w:val="4"/>
                <w:kern w:val="0"/>
                <w:sz w:val="22"/>
                <w:szCs w:val="22"/>
                <w:highlight w:val="none"/>
              </w:rPr>
              <w:t>招标代理服务费</w:t>
            </w:r>
          </w:p>
        </w:tc>
        <w:tc>
          <w:tcPr>
            <w:tcW w:w="5580"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r>
              <w:rPr>
                <w:color w:val="auto"/>
                <w:sz w:val="32"/>
                <w:szCs w:val="32"/>
                <w:highlight w:val="none"/>
              </w:rPr>
              <w:t>□</w:t>
            </w:r>
            <w:r>
              <w:rPr>
                <w:rFonts w:hint="eastAsia"/>
                <w:color w:val="auto"/>
                <w:szCs w:val="21"/>
                <w:highlight w:val="none"/>
              </w:rPr>
              <w:t>本次招标没有招标代理服务费。</w:t>
            </w:r>
          </w:p>
          <w:p>
            <w:pPr>
              <w:adjustRightInd w:val="0"/>
              <w:snapToGrid w:val="0"/>
              <w:jc w:val="left"/>
              <w:rPr>
                <w:color w:val="auto"/>
                <w:szCs w:val="21"/>
                <w:highlight w:val="none"/>
              </w:rPr>
            </w:pPr>
            <w:r>
              <w:rPr>
                <w:rFonts w:hint="eastAsia"/>
                <w:color w:val="auto"/>
                <w:sz w:val="32"/>
                <w:szCs w:val="32"/>
                <w:highlight w:val="none"/>
              </w:rPr>
              <w:t>☑</w:t>
            </w:r>
            <w:r>
              <w:rPr>
                <w:rFonts w:hint="eastAsia"/>
                <w:color w:val="auto"/>
                <w:szCs w:val="21"/>
                <w:highlight w:val="none"/>
              </w:rPr>
              <w:t>本次招标有招标代理服务费。根据</w:t>
            </w:r>
            <w:r>
              <w:rPr>
                <w:color w:val="auto"/>
                <w:szCs w:val="21"/>
                <w:highlight w:val="none"/>
              </w:rPr>
              <w:t>招标人</w:t>
            </w:r>
            <w:r>
              <w:rPr>
                <w:rFonts w:hint="eastAsia"/>
                <w:color w:val="auto"/>
                <w:szCs w:val="21"/>
                <w:highlight w:val="none"/>
              </w:rPr>
              <w:t>和</w:t>
            </w:r>
            <w:r>
              <w:rPr>
                <w:color w:val="auto"/>
                <w:szCs w:val="21"/>
                <w:highlight w:val="none"/>
              </w:rPr>
              <w:t>招标代理机构</w:t>
            </w:r>
            <w:r>
              <w:rPr>
                <w:rFonts w:hint="eastAsia"/>
                <w:color w:val="auto"/>
                <w:szCs w:val="21"/>
                <w:highlight w:val="none"/>
              </w:rPr>
              <w:t>委托代理合同的约定，本项目招标代理服务费：</w:t>
            </w:r>
          </w:p>
          <w:p>
            <w:pPr>
              <w:snapToGrid w:val="0"/>
              <w:ind w:firstLine="320" w:firstLineChars="100"/>
              <w:rPr>
                <w:color w:val="auto"/>
                <w:szCs w:val="21"/>
                <w:highlight w:val="none"/>
              </w:rPr>
            </w:pPr>
            <w:r>
              <w:rPr>
                <w:rFonts w:hint="eastAsia"/>
                <w:color w:val="auto"/>
                <w:sz w:val="32"/>
                <w:szCs w:val="32"/>
                <w:highlight w:val="none"/>
              </w:rPr>
              <w:t>☑</w:t>
            </w:r>
            <w:r>
              <w:rPr>
                <w:rFonts w:hint="eastAsia"/>
                <w:color w:val="auto"/>
                <w:szCs w:val="21"/>
                <w:highlight w:val="none"/>
              </w:rPr>
              <w:t>由招标人支付。</w:t>
            </w:r>
          </w:p>
          <w:p>
            <w:pPr>
              <w:snapToGrid w:val="0"/>
              <w:ind w:firstLine="320" w:firstLineChars="100"/>
              <w:rPr>
                <w:color w:val="auto"/>
                <w:szCs w:val="21"/>
                <w:highlight w:val="none"/>
              </w:rPr>
            </w:pPr>
            <w:r>
              <w:rPr>
                <w:color w:val="auto"/>
                <w:sz w:val="32"/>
                <w:szCs w:val="32"/>
                <w:highlight w:val="none"/>
              </w:rPr>
              <w:t>□</w:t>
            </w:r>
            <w:r>
              <w:rPr>
                <w:rFonts w:hint="eastAsia"/>
                <w:color w:val="auto"/>
                <w:szCs w:val="21"/>
                <w:highlight w:val="none"/>
              </w:rPr>
              <w:t>由中标人支付。</w:t>
            </w:r>
          </w:p>
          <w:p>
            <w:pPr>
              <w:snapToGrid w:val="0"/>
              <w:rPr>
                <w:color w:val="auto"/>
                <w:szCs w:val="21"/>
                <w:highlight w:val="none"/>
              </w:rPr>
            </w:pPr>
            <w:r>
              <w:rPr>
                <w:rFonts w:hint="eastAsia"/>
                <w:color w:val="auto"/>
                <w:szCs w:val="21"/>
                <w:highlight w:val="none"/>
              </w:rPr>
              <w:t xml:space="preserve">     支付标准：</w:t>
            </w:r>
            <w:r>
              <w:rPr>
                <w:rFonts w:hint="eastAsia" w:ascii="宋体" w:hAnsi="宋体" w:cs="宋体"/>
                <w:color w:val="auto"/>
                <w:szCs w:val="21"/>
                <w:highlight w:val="none"/>
                <w:u w:val="single"/>
              </w:rPr>
              <w:t xml:space="preserve">按签订的招标代理合同约定   </w:t>
            </w:r>
            <w:r>
              <w:rPr>
                <w:rFonts w:hint="eastAsia"/>
                <w:color w:val="auto"/>
                <w:szCs w:val="21"/>
                <w:highlight w:val="none"/>
              </w:rPr>
              <w:t xml:space="preserve"> ；</w:t>
            </w:r>
          </w:p>
          <w:p>
            <w:pPr>
              <w:snapToGrid w:val="0"/>
              <w:rPr>
                <w:color w:val="auto"/>
                <w:szCs w:val="21"/>
                <w:highlight w:val="none"/>
              </w:rPr>
            </w:pPr>
            <w:r>
              <w:rPr>
                <w:rFonts w:hint="eastAsia"/>
                <w:color w:val="auto"/>
                <w:szCs w:val="21"/>
                <w:highlight w:val="none"/>
              </w:rPr>
              <w:t xml:space="preserve">     支付方式：</w:t>
            </w:r>
            <w:r>
              <w:rPr>
                <w:rFonts w:hint="eastAsia" w:ascii="宋体" w:hAnsi="宋体" w:cs="宋体"/>
                <w:color w:val="auto"/>
                <w:szCs w:val="21"/>
                <w:highlight w:val="none"/>
                <w:u w:val="single"/>
              </w:rPr>
              <w:t>按签订的招标代理合同约定</w:t>
            </w:r>
            <w:r>
              <w:rPr>
                <w:rFonts w:hint="eastAsia"/>
                <w:color w:val="auto"/>
                <w:szCs w:val="21"/>
                <w:highlight w:val="none"/>
              </w:rPr>
              <w:t>；</w:t>
            </w:r>
          </w:p>
          <w:p>
            <w:pPr>
              <w:snapToGrid w:val="0"/>
              <w:rPr>
                <w:color w:val="auto"/>
                <w:highlight w:val="none"/>
              </w:rPr>
            </w:pPr>
            <w:r>
              <w:rPr>
                <w:rFonts w:hint="eastAsia"/>
                <w:color w:val="auto"/>
                <w:szCs w:val="21"/>
                <w:highlight w:val="none"/>
              </w:rPr>
              <w:t xml:space="preserve">     支付时间：</w:t>
            </w:r>
            <w:r>
              <w:rPr>
                <w:rFonts w:hint="eastAsia" w:ascii="宋体" w:hAnsi="宋体" w:cs="宋体"/>
                <w:color w:val="auto"/>
                <w:szCs w:val="21"/>
                <w:highlight w:val="none"/>
                <w:u w:val="single"/>
              </w:rPr>
              <w:t>按签订的招标代理合同约定</w:t>
            </w:r>
            <w:r>
              <w:rPr>
                <w:rFonts w:hint="eastAsia"/>
                <w:color w:val="auto"/>
                <w:szCs w:val="21"/>
                <w:highlight w:val="none"/>
              </w:rPr>
              <w:t>。</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10.5</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4"/>
                <w:kern w:val="0"/>
                <w:sz w:val="22"/>
                <w:szCs w:val="22"/>
                <w:highlight w:val="none"/>
              </w:rPr>
            </w:pPr>
            <w:r>
              <w:rPr>
                <w:rFonts w:hint="eastAsia"/>
                <w:color w:val="auto"/>
                <w:highlight w:val="none"/>
              </w:rPr>
              <w:t>知识产权</w:t>
            </w:r>
          </w:p>
        </w:tc>
        <w:tc>
          <w:tcPr>
            <w:tcW w:w="5580"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10.6</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4"/>
                <w:kern w:val="0"/>
                <w:sz w:val="22"/>
                <w:szCs w:val="22"/>
                <w:highlight w:val="none"/>
              </w:rPr>
            </w:pPr>
            <w:r>
              <w:rPr>
                <w:rFonts w:hint="eastAsia"/>
                <w:color w:val="auto"/>
                <w:highlight w:val="none"/>
              </w:rPr>
              <w:t>同义词语</w:t>
            </w:r>
          </w:p>
        </w:tc>
        <w:tc>
          <w:tcPr>
            <w:tcW w:w="5580"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10.7</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4"/>
                <w:kern w:val="0"/>
                <w:sz w:val="22"/>
                <w:szCs w:val="22"/>
                <w:highlight w:val="none"/>
              </w:rPr>
            </w:pPr>
            <w:r>
              <w:rPr>
                <w:rFonts w:hint="eastAsia"/>
                <w:color w:val="auto"/>
                <w:highlight w:val="none"/>
              </w:rPr>
              <w:t>解释权</w:t>
            </w:r>
          </w:p>
        </w:tc>
        <w:tc>
          <w:tcPr>
            <w:tcW w:w="5580"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85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olor w:val="auto"/>
                <w:highlight w:val="none"/>
              </w:rPr>
              <w:t>8</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招标人补充的</w:t>
            </w:r>
          </w:p>
          <w:p>
            <w:pPr>
              <w:snapToGrid w:val="0"/>
              <w:jc w:val="center"/>
              <w:rPr>
                <w:color w:val="auto"/>
                <w:highlight w:val="none"/>
              </w:rPr>
            </w:pPr>
            <w:r>
              <w:rPr>
                <w:rFonts w:hint="eastAsia"/>
                <w:color w:val="auto"/>
                <w:highlight w:val="none"/>
              </w:rPr>
              <w:t>其他内容</w:t>
            </w:r>
          </w:p>
        </w:tc>
        <w:tc>
          <w:tcPr>
            <w:tcW w:w="5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2"/>
                <w:highlight w:val="none"/>
              </w:rPr>
            </w:pPr>
            <w:r>
              <w:rPr>
                <w:rFonts w:ascii="宋体" w:hAnsi="宋体" w:cs="宋体"/>
                <w:color w:val="auto"/>
                <w:spacing w:val="-5"/>
                <w:highlight w:val="none"/>
              </w:rPr>
              <w:t>电子招标投标解</w:t>
            </w:r>
            <w:r>
              <w:rPr>
                <w:rFonts w:ascii="宋体" w:hAnsi="宋体" w:cs="宋体"/>
                <w:color w:val="auto"/>
                <w:spacing w:val="-1"/>
                <w:highlight w:val="none"/>
              </w:rPr>
              <w:t>密失败及突发情</w:t>
            </w:r>
            <w:r>
              <w:rPr>
                <w:rFonts w:ascii="宋体" w:hAnsi="宋体" w:cs="宋体"/>
                <w:color w:val="auto"/>
                <w:spacing w:val="-2"/>
                <w:highlight w:val="none"/>
              </w:rPr>
              <w:t>况的补救</w:t>
            </w:r>
            <w:r>
              <w:rPr>
                <w:rFonts w:hint="eastAsia" w:ascii="宋体" w:hAnsi="宋体" w:cs="宋体"/>
                <w:color w:val="auto"/>
                <w:spacing w:val="-2"/>
                <w:highlight w:val="none"/>
              </w:rPr>
              <w:t>：</w:t>
            </w:r>
          </w:p>
          <w:p>
            <w:pPr>
              <w:ind w:right="39"/>
              <w:rPr>
                <w:rFonts w:ascii="宋体" w:hAnsi="宋体" w:cs="宋体"/>
                <w:color w:val="auto"/>
                <w:highlight w:val="none"/>
              </w:rPr>
            </w:pPr>
            <w:r>
              <w:rPr>
                <w:rFonts w:cs="宋体"/>
                <w:color w:val="auto"/>
                <w:spacing w:val="-3"/>
                <w:highlight w:val="none"/>
              </w:rPr>
              <w:t>1</w:t>
            </w:r>
            <w:r>
              <w:rPr>
                <w:rFonts w:ascii="宋体" w:hAnsi="宋体" w:cs="宋体"/>
                <w:color w:val="auto"/>
                <w:spacing w:val="-3"/>
                <w:highlight w:val="none"/>
              </w:rPr>
              <w:t>、按照交易平台的相关指南进行操作。</w:t>
            </w:r>
            <w:r>
              <w:rPr>
                <w:rFonts w:ascii="宋体" w:hAnsi="宋体" w:cs="宋体"/>
                <w:color w:val="auto"/>
                <w:spacing w:val="-3"/>
                <w:highlight w:val="none"/>
              </w:rPr>
              <w:t>详见：</w:t>
            </w:r>
            <w:r>
              <w:rPr>
                <w:rFonts w:hint="eastAsia"/>
                <w:color w:val="auto"/>
                <w:highlight w:val="none"/>
                <w:u w:val="single"/>
              </w:rPr>
              <w:t>广州交易集团有限公司（广州公共资源交易中心）</w:t>
            </w:r>
            <w:r>
              <w:rPr>
                <w:rFonts w:hint="eastAsia" w:ascii="宋体" w:hAnsi="宋体" w:cs="宋体"/>
                <w:color w:val="auto"/>
                <w:szCs w:val="21"/>
                <w:highlight w:val="none"/>
                <w:u w:val="single"/>
              </w:rPr>
              <w:t>网站发布的最新指引</w:t>
            </w:r>
            <w:r>
              <w:rPr>
                <w:rFonts w:ascii="宋体" w:hAnsi="宋体" w:cs="宋体"/>
                <w:color w:val="auto"/>
                <w:spacing w:val="-3"/>
                <w:highlight w:val="none"/>
              </w:rPr>
              <w:t>。</w:t>
            </w:r>
          </w:p>
          <w:p>
            <w:pPr>
              <w:ind w:right="39"/>
              <w:rPr>
                <w:rFonts w:ascii="宋体" w:hAnsi="宋体" w:cs="宋体"/>
                <w:color w:val="auto"/>
                <w:spacing w:val="-3"/>
                <w:highlight w:val="none"/>
              </w:rPr>
            </w:pPr>
            <w:r>
              <w:rPr>
                <w:rFonts w:cs="宋体"/>
                <w:color w:val="auto"/>
                <w:spacing w:val="-1"/>
                <w:highlight w:val="none"/>
              </w:rPr>
              <w:t>2</w:t>
            </w:r>
            <w:r>
              <w:rPr>
                <w:rFonts w:ascii="宋体" w:hAnsi="宋体" w:cs="宋体"/>
                <w:color w:val="auto"/>
                <w:spacing w:val="-1"/>
                <w:highlight w:val="none"/>
              </w:rPr>
              <w:t>、提交投</w:t>
            </w:r>
            <w:r>
              <w:rPr>
                <w:rFonts w:ascii="宋体" w:hAnsi="宋体" w:cs="宋体"/>
                <w:color w:val="auto"/>
                <w:spacing w:val="-3"/>
                <w:highlight w:val="none"/>
              </w:rPr>
              <w:t>标文件光盘备用</w:t>
            </w:r>
          </w:p>
          <w:p>
            <w:pPr>
              <w:ind w:right="39"/>
              <w:rPr>
                <w:rFonts w:ascii="宋体" w:hAnsi="宋体" w:cs="宋体"/>
                <w:color w:val="auto"/>
                <w:spacing w:val="-3"/>
                <w:highlight w:val="none"/>
              </w:rPr>
            </w:pPr>
            <w:r>
              <w:rPr>
                <w:rFonts w:ascii="宋体" w:hAnsi="宋体" w:cs="宋体"/>
                <w:color w:val="auto"/>
                <w:spacing w:val="-3"/>
                <w:highlight w:val="none"/>
              </w:rPr>
              <w:t>投标人可制作非加密的电子投标文件（</w:t>
            </w:r>
            <w:r>
              <w:rPr>
                <w:rFonts w:cs="宋体"/>
                <w:color w:val="auto"/>
                <w:spacing w:val="-3"/>
                <w:highlight w:val="none"/>
              </w:rPr>
              <w:t>PDF</w:t>
            </w:r>
            <w:r>
              <w:rPr>
                <w:rFonts w:ascii="宋体" w:hAnsi="宋体" w:cs="宋体"/>
                <w:color w:val="auto"/>
                <w:spacing w:val="-3"/>
                <w:highlight w:val="none"/>
              </w:rPr>
              <w:t>格式）刻入光盘（</w:t>
            </w:r>
            <w:r>
              <w:rPr>
                <w:rFonts w:cs="宋体"/>
                <w:color w:val="auto"/>
                <w:spacing w:val="-3"/>
                <w:highlight w:val="none"/>
              </w:rPr>
              <w:t>1</w:t>
            </w:r>
            <w:r>
              <w:rPr>
                <w:rFonts w:ascii="宋体" w:hAnsi="宋体" w:cs="宋体"/>
                <w:color w:val="auto"/>
                <w:spacing w:val="-3"/>
                <w:highlight w:val="none"/>
              </w:rPr>
              <w:t>份），在</w:t>
            </w:r>
            <w:r>
              <w:rPr>
                <w:rFonts w:hint="eastAsia" w:ascii="宋体" w:hAnsi="宋体" w:cs="宋体"/>
                <w:color w:val="auto"/>
                <w:spacing w:val="-3"/>
                <w:highlight w:val="none"/>
              </w:rPr>
              <w:t>招标公告</w:t>
            </w:r>
            <w:r>
              <w:rPr>
                <w:rFonts w:hint="eastAsia" w:ascii="宋体" w:hAnsi="宋体" w:cs="宋体"/>
                <w:strike/>
                <w:color w:val="auto"/>
                <w:spacing w:val="-3"/>
                <w:highlight w:val="none"/>
              </w:rPr>
              <w:t>或投标邀请书</w:t>
            </w:r>
            <w:r>
              <w:rPr>
                <w:rFonts w:ascii="宋体" w:hAnsi="宋体" w:cs="宋体"/>
                <w:color w:val="auto"/>
                <w:spacing w:val="-3"/>
                <w:highlight w:val="none"/>
              </w:rPr>
              <w:t>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ind w:right="39"/>
              <w:rPr>
                <w:rFonts w:ascii="宋体" w:hAnsi="宋体" w:cs="宋体"/>
                <w:color w:val="auto"/>
                <w:spacing w:val="-3"/>
                <w:highlight w:val="none"/>
              </w:rPr>
            </w:pPr>
            <w:r>
              <w:rPr>
                <w:rFonts w:cs="宋体"/>
                <w:color w:val="auto"/>
                <w:spacing w:val="-3"/>
                <w:highlight w:val="none"/>
              </w:rPr>
              <w:t>3</w:t>
            </w:r>
            <w:r>
              <w:rPr>
                <w:rFonts w:ascii="宋体" w:hAnsi="宋体" w:cs="宋体"/>
                <w:color w:val="auto"/>
                <w:spacing w:val="-3"/>
                <w:highlight w:val="none"/>
              </w:rPr>
              <w:t>、补救方案</w:t>
            </w:r>
          </w:p>
          <w:p>
            <w:pPr>
              <w:ind w:right="39"/>
              <w:rPr>
                <w:rFonts w:ascii="宋体" w:hAnsi="宋体" w:cs="宋体"/>
                <w:color w:val="auto"/>
                <w:spacing w:val="-3"/>
                <w:highlight w:val="none"/>
              </w:rPr>
            </w:pPr>
            <w:r>
              <w:rPr>
                <w:rFonts w:ascii="宋体" w:hAnsi="宋体" w:cs="宋体"/>
                <w:color w:val="auto"/>
                <w:spacing w:val="-3"/>
                <w:highlight w:val="none"/>
              </w:rPr>
              <w:t>（</w:t>
            </w:r>
            <w:r>
              <w:rPr>
                <w:rFonts w:cs="宋体"/>
                <w:color w:val="auto"/>
                <w:spacing w:val="-3"/>
                <w:highlight w:val="none"/>
              </w:rPr>
              <w:t>1</w:t>
            </w:r>
            <w:r>
              <w:rPr>
                <w:rFonts w:ascii="宋体" w:hAnsi="宋体" w:cs="宋体"/>
                <w:color w:val="auto"/>
                <w:spacing w:val="-3"/>
                <w:highlight w:val="none"/>
              </w:rPr>
              <w:t>）投标文件解密失败的补救方案：</w:t>
            </w:r>
          </w:p>
          <w:p>
            <w:pPr>
              <w:ind w:right="39"/>
              <w:rPr>
                <w:rFonts w:ascii="宋体" w:hAnsi="宋体" w:cs="宋体"/>
                <w:color w:val="auto"/>
                <w:spacing w:val="-3"/>
                <w:highlight w:val="none"/>
              </w:rPr>
            </w:pPr>
            <w:r>
              <w:rPr>
                <w:rFonts w:ascii="宋体" w:hAnsi="宋体" w:cs="宋体"/>
                <w:color w:val="auto"/>
                <w:spacing w:val="-3"/>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ind w:right="39"/>
              <w:rPr>
                <w:rFonts w:ascii="宋体" w:hAnsi="宋体" w:cs="宋体"/>
                <w:color w:val="auto"/>
                <w:spacing w:val="-3"/>
                <w:highlight w:val="none"/>
              </w:rPr>
            </w:pPr>
            <w:r>
              <w:rPr>
                <w:rFonts w:ascii="宋体" w:hAnsi="宋体" w:cs="宋体"/>
                <w:color w:val="auto"/>
                <w:spacing w:val="-3"/>
                <w:highlight w:val="none"/>
              </w:rPr>
              <w:t>（</w:t>
            </w:r>
            <w:r>
              <w:rPr>
                <w:rFonts w:cs="宋体"/>
                <w:color w:val="auto"/>
                <w:spacing w:val="-3"/>
                <w:highlight w:val="none"/>
              </w:rPr>
              <w:t>2</w:t>
            </w:r>
            <w:r>
              <w:rPr>
                <w:rFonts w:ascii="宋体" w:hAnsi="宋体" w:cs="宋体"/>
                <w:color w:val="auto"/>
                <w:spacing w:val="-3"/>
                <w:highlight w:val="none"/>
              </w:rPr>
              <w:t>）评标时突发情况的补救方案</w:t>
            </w:r>
          </w:p>
          <w:p>
            <w:pPr>
              <w:ind w:right="39"/>
              <w:rPr>
                <w:rFonts w:ascii="宋体" w:hAnsi="宋体" w:cs="宋体"/>
                <w:color w:val="auto"/>
                <w:spacing w:val="-2"/>
                <w:highlight w:val="none"/>
              </w:rPr>
            </w:pPr>
            <w:r>
              <w:rPr>
                <w:rFonts w:ascii="宋体" w:hAnsi="宋体" w:cs="宋体"/>
                <w:color w:val="auto"/>
                <w:spacing w:val="-3"/>
                <w:highlight w:val="none"/>
              </w:rPr>
              <w:t>若遇不可抗力发生（指网络瘫痪、服务器损坏、交易系统故障短期无法恢复等因素），由评标委员会开启投标人递交的全部投标文件光盘，并按光盘内容进行评审。（</w:t>
            </w:r>
            <w:r>
              <w:rPr>
                <w:rFonts w:cs="宋体"/>
                <w:color w:val="auto"/>
                <w:spacing w:val="-3"/>
                <w:highlight w:val="none"/>
              </w:rPr>
              <w:t>3</w:t>
            </w:r>
            <w:r>
              <w:rPr>
                <w:rFonts w:ascii="宋体" w:hAnsi="宋体" w:cs="宋体"/>
                <w:color w:val="auto"/>
                <w:spacing w:val="-3"/>
                <w:highlight w:val="none"/>
              </w:rPr>
              <w:t>）除发生上述情况外，开标评标均以投标人通过交易平台网上递交的电子投标文件为准。</w:t>
            </w:r>
          </w:p>
        </w:tc>
      </w:tr>
    </w:tbl>
    <w:p>
      <w:pPr>
        <w:pStyle w:val="20"/>
        <w:keepNext w:val="0"/>
        <w:keepLines w:val="0"/>
        <w:spacing w:line="336" w:lineRule="auto"/>
        <w:jc w:val="center"/>
        <w:outlineLvl w:val="2"/>
        <w:rPr>
          <w:color w:val="auto"/>
          <w:highlight w:val="none"/>
        </w:rPr>
      </w:pPr>
      <w:bookmarkStart w:id="119" w:name="_Toc1048312297"/>
      <w:bookmarkStart w:id="120" w:name="_Toc2691"/>
      <w:bookmarkStart w:id="121" w:name="_Toc815628639"/>
      <w:bookmarkStart w:id="122" w:name="_Toc515570294"/>
      <w:bookmarkStart w:id="123" w:name="_Toc31179"/>
      <w:bookmarkStart w:id="124" w:name="_Toc8683"/>
      <w:bookmarkStart w:id="125" w:name="_Toc30225"/>
      <w:bookmarkStart w:id="126" w:name="_Toc18833"/>
      <w:bookmarkStart w:id="127" w:name="_Toc25683"/>
      <w:bookmarkStart w:id="128" w:name="_Toc221950083"/>
      <w:bookmarkStart w:id="129" w:name="_Toc222029482"/>
      <w:bookmarkStart w:id="130" w:name="_Toc144974497"/>
      <w:bookmarkStart w:id="131" w:name="_Toc168476047"/>
      <w:bookmarkStart w:id="132" w:name="_Toc387753551"/>
      <w:bookmarkStart w:id="133" w:name="_Toc222033833"/>
      <w:bookmarkStart w:id="134" w:name="_Toc222030984"/>
      <w:bookmarkStart w:id="135" w:name="_Toc229305342"/>
      <w:bookmarkStart w:id="136" w:name="_Toc168475644"/>
      <w:bookmarkStart w:id="137" w:name="_Toc222032651"/>
      <w:r>
        <w:rPr>
          <w:rFonts w:hint="eastAsia"/>
          <w:color w:val="auto"/>
          <w:highlight w:val="none"/>
        </w:rPr>
        <w:t>投标人须知通用条款部分</w:t>
      </w:r>
      <w:bookmarkEnd w:id="119"/>
      <w:bookmarkEnd w:id="120"/>
      <w:bookmarkEnd w:id="121"/>
      <w:bookmarkEnd w:id="122"/>
      <w:bookmarkEnd w:id="123"/>
      <w:bookmarkEnd w:id="124"/>
      <w:bookmarkEnd w:id="125"/>
      <w:bookmarkEnd w:id="126"/>
      <w:bookmarkEnd w:id="127"/>
    </w:p>
    <w:p>
      <w:pPr>
        <w:pStyle w:val="20"/>
        <w:keepNext w:val="0"/>
        <w:keepLines w:val="0"/>
        <w:spacing w:line="336" w:lineRule="auto"/>
        <w:outlineLvl w:val="2"/>
        <w:rPr>
          <w:color w:val="auto"/>
          <w:highlight w:val="none"/>
        </w:rPr>
      </w:pPr>
      <w:bookmarkStart w:id="138" w:name="_Toc12069"/>
      <w:bookmarkStart w:id="139" w:name="_Toc16936"/>
      <w:bookmarkStart w:id="140" w:name="_Toc1248144337"/>
      <w:bookmarkStart w:id="141" w:name="_Toc29788"/>
      <w:bookmarkStart w:id="142" w:name="_Toc1770274771"/>
      <w:bookmarkStart w:id="143" w:name="_Toc3181"/>
      <w:bookmarkStart w:id="144" w:name="_Toc13221"/>
      <w:bookmarkStart w:id="145" w:name="_Toc21527"/>
      <w:r>
        <w:rPr>
          <w:rFonts w:hint="eastAsia"/>
          <w:color w:val="auto"/>
          <w:highlight w:val="none"/>
        </w:rPr>
        <w:t>1. 总则</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38"/>
        <w:keepNext w:val="0"/>
        <w:keepLines w:val="0"/>
        <w:spacing w:line="336" w:lineRule="auto"/>
        <w:outlineLvl w:val="9"/>
        <w:rPr>
          <w:color w:val="auto"/>
          <w:sz w:val="24"/>
          <w:szCs w:val="24"/>
          <w:highlight w:val="none"/>
        </w:rPr>
      </w:pPr>
      <w:bookmarkStart w:id="146" w:name="_Toc4490"/>
      <w:bookmarkStart w:id="147" w:name="_Toc12480"/>
      <w:bookmarkStart w:id="148" w:name="_Toc3668"/>
      <w:bookmarkStart w:id="149" w:name="_Toc31249"/>
      <w:bookmarkStart w:id="150" w:name="_Toc789686727"/>
      <w:bookmarkStart w:id="151" w:name="_Toc643095384"/>
      <w:bookmarkStart w:id="152" w:name="_Toc16125"/>
      <w:bookmarkStart w:id="153" w:name="_Toc26241"/>
      <w:bookmarkStart w:id="154" w:name="_Toc221950086"/>
      <w:r>
        <w:rPr>
          <w:rFonts w:hint="eastAsia"/>
          <w:color w:val="auto"/>
          <w:sz w:val="24"/>
          <w:szCs w:val="24"/>
          <w:highlight w:val="none"/>
        </w:rPr>
        <w:t>1.1 项目概况</w:t>
      </w:r>
      <w:bookmarkEnd w:id="146"/>
      <w:bookmarkEnd w:id="147"/>
      <w:bookmarkEnd w:id="148"/>
      <w:bookmarkEnd w:id="149"/>
      <w:bookmarkEnd w:id="150"/>
      <w:bookmarkEnd w:id="151"/>
      <w:bookmarkEnd w:id="152"/>
      <w:bookmarkEnd w:id="153"/>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根据《中华人民共和国招标投标法》、《中华人民共和国招标投标法实施条例》等有关法律、法规和规章的规定，本招标项目已具备招标条件，现对本标段施工进行招标。</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 xml:space="preserve"> 本招标项目招标人：见投标人须知前附表。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 xml:space="preserve"> 本标段招标代理机构：见投标人须知前附表。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4</w:t>
      </w:r>
      <w:r>
        <w:rPr>
          <w:rFonts w:hint="eastAsia" w:ascii="宋体" w:hAnsi="宋体"/>
          <w:color w:val="auto"/>
          <w:szCs w:val="21"/>
          <w:highlight w:val="none"/>
        </w:rPr>
        <w:t xml:space="preserve"> 本招标项目名称：见投标人须知前附表。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5</w:t>
      </w:r>
      <w:r>
        <w:rPr>
          <w:rFonts w:hint="eastAsia" w:ascii="宋体" w:hAnsi="宋体"/>
          <w:color w:val="auto"/>
          <w:szCs w:val="21"/>
          <w:highlight w:val="none"/>
        </w:rPr>
        <w:t xml:space="preserve"> 本标段建设地点：见投标人须知前附表。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6</w:t>
      </w:r>
      <w:r>
        <w:rPr>
          <w:rFonts w:hint="eastAsia" w:ascii="宋体" w:hAnsi="宋体"/>
          <w:color w:val="auto"/>
          <w:szCs w:val="21"/>
          <w:highlight w:val="none"/>
        </w:rPr>
        <w:t>本招标项目现场管理机构：见投标人须知前附表。</w:t>
      </w:r>
      <w:bookmarkEnd w:id="154"/>
    </w:p>
    <w:p>
      <w:pPr>
        <w:spacing w:line="336" w:lineRule="auto"/>
        <w:ind w:firstLine="420" w:firstLineChars="200"/>
        <w:rPr>
          <w:rFonts w:ascii="宋体" w:hAnsi="宋体"/>
          <w:color w:val="auto"/>
          <w:szCs w:val="21"/>
          <w:highlight w:val="none"/>
        </w:rPr>
      </w:pPr>
      <w:bookmarkStart w:id="155" w:name="_Toc221950087"/>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7</w:t>
      </w:r>
      <w:r>
        <w:rPr>
          <w:rFonts w:hint="eastAsia" w:ascii="宋体" w:hAnsi="宋体"/>
          <w:color w:val="auto"/>
          <w:szCs w:val="21"/>
          <w:highlight w:val="none"/>
        </w:rPr>
        <w:t>本招标项目设计人：见投标人须知前附表。</w:t>
      </w:r>
      <w:bookmarkEnd w:id="155"/>
    </w:p>
    <w:p>
      <w:pPr>
        <w:spacing w:line="336" w:lineRule="auto"/>
        <w:ind w:firstLine="420" w:firstLineChars="200"/>
        <w:rPr>
          <w:rFonts w:ascii="宋体" w:hAnsi="宋体"/>
          <w:color w:val="auto"/>
          <w:szCs w:val="21"/>
          <w:highlight w:val="none"/>
        </w:rPr>
      </w:pPr>
      <w:bookmarkStart w:id="156" w:name="_Toc221950088"/>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8</w:t>
      </w:r>
      <w:r>
        <w:rPr>
          <w:rFonts w:hint="eastAsia" w:ascii="宋体" w:hAnsi="宋体"/>
          <w:color w:val="auto"/>
          <w:szCs w:val="21"/>
          <w:highlight w:val="none"/>
        </w:rPr>
        <w:t>本招标项目监理人：见投标人须知前附表。</w:t>
      </w:r>
      <w:bookmarkEnd w:id="156"/>
    </w:p>
    <w:p>
      <w:pPr>
        <w:spacing w:line="336" w:lineRule="auto"/>
        <w:ind w:firstLine="420" w:firstLineChars="200"/>
        <w:rPr>
          <w:rFonts w:ascii="宋体" w:hAnsi="宋体"/>
          <w:color w:val="auto"/>
          <w:szCs w:val="21"/>
          <w:highlight w:val="none"/>
        </w:rPr>
      </w:pPr>
      <w:bookmarkStart w:id="157" w:name="_Toc221950089"/>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9</w:t>
      </w:r>
      <w:r>
        <w:rPr>
          <w:rFonts w:hint="eastAsia" w:ascii="宋体" w:hAnsi="宋体"/>
          <w:color w:val="auto"/>
          <w:szCs w:val="21"/>
          <w:highlight w:val="none"/>
        </w:rPr>
        <w:t>本招标项目代建人：见投标人须知前附表。</w:t>
      </w:r>
      <w:bookmarkEnd w:id="157"/>
    </w:p>
    <w:p>
      <w:pPr>
        <w:pStyle w:val="38"/>
        <w:keepNext w:val="0"/>
        <w:keepLines w:val="0"/>
        <w:spacing w:line="336" w:lineRule="auto"/>
        <w:outlineLvl w:val="9"/>
        <w:rPr>
          <w:color w:val="auto"/>
          <w:sz w:val="24"/>
          <w:szCs w:val="24"/>
          <w:highlight w:val="none"/>
        </w:rPr>
      </w:pPr>
      <w:bookmarkStart w:id="158" w:name="_Toc2347"/>
      <w:bookmarkStart w:id="159" w:name="_Toc152045531"/>
      <w:bookmarkStart w:id="160" w:name="_Toc24707"/>
      <w:bookmarkStart w:id="161" w:name="_Toc20888"/>
      <w:bookmarkStart w:id="162" w:name="_Toc2788"/>
      <w:bookmarkStart w:id="163" w:name="_Toc179632548"/>
      <w:bookmarkStart w:id="164" w:name="_Toc1782802650"/>
      <w:bookmarkStart w:id="165" w:name="_Toc144974499"/>
      <w:bookmarkStart w:id="166" w:name="_Toc152042307"/>
      <w:bookmarkStart w:id="167" w:name="_Toc1922593679"/>
      <w:bookmarkStart w:id="168" w:name="_Toc17478"/>
      <w:bookmarkStart w:id="169" w:name="_Toc32187"/>
      <w:r>
        <w:rPr>
          <w:rFonts w:hint="eastAsia"/>
          <w:color w:val="auto"/>
          <w:sz w:val="24"/>
          <w:szCs w:val="24"/>
          <w:highlight w:val="none"/>
        </w:rPr>
        <w:t>1.2 资金来源和落实情况</w:t>
      </w:r>
      <w:bookmarkEnd w:id="158"/>
      <w:bookmarkEnd w:id="159"/>
      <w:bookmarkEnd w:id="160"/>
      <w:bookmarkEnd w:id="161"/>
      <w:bookmarkEnd w:id="162"/>
      <w:bookmarkEnd w:id="163"/>
      <w:bookmarkEnd w:id="164"/>
      <w:bookmarkEnd w:id="165"/>
      <w:bookmarkEnd w:id="166"/>
      <w:bookmarkEnd w:id="167"/>
      <w:bookmarkEnd w:id="168"/>
      <w:bookmarkEnd w:id="169"/>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 xml:space="preserve"> 本招标项目的资金来源：见投标人须知前附表。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 xml:space="preserve"> 本招标项目的出资比例：见投标人须知前附表。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 xml:space="preserve"> 本招标项目的资金落实情况：见投标人须知前附表。</w:t>
      </w:r>
    </w:p>
    <w:p>
      <w:pPr>
        <w:pStyle w:val="38"/>
        <w:keepNext w:val="0"/>
        <w:keepLines w:val="0"/>
        <w:spacing w:line="336" w:lineRule="auto"/>
        <w:outlineLvl w:val="9"/>
        <w:rPr>
          <w:color w:val="auto"/>
          <w:sz w:val="24"/>
          <w:szCs w:val="24"/>
          <w:highlight w:val="none"/>
        </w:rPr>
      </w:pPr>
      <w:bookmarkStart w:id="170" w:name="_Toc12523"/>
      <w:bookmarkStart w:id="171" w:name="_Toc973154621"/>
      <w:bookmarkStart w:id="172" w:name="_Toc20459"/>
      <w:bookmarkStart w:id="173" w:name="_Toc1360382914"/>
      <w:bookmarkStart w:id="174" w:name="_Toc19490"/>
      <w:bookmarkStart w:id="175" w:name="_Toc31919"/>
      <w:bookmarkStart w:id="176" w:name="_Toc179632549"/>
      <w:bookmarkStart w:id="177" w:name="_Toc26875"/>
      <w:bookmarkStart w:id="178" w:name="_Toc144974500"/>
      <w:bookmarkStart w:id="179" w:name="_Toc152042308"/>
      <w:bookmarkStart w:id="180" w:name="_Toc152045532"/>
      <w:bookmarkStart w:id="181" w:name="_Toc31675"/>
      <w:r>
        <w:rPr>
          <w:rFonts w:hint="eastAsia"/>
          <w:color w:val="auto"/>
          <w:sz w:val="24"/>
          <w:szCs w:val="24"/>
          <w:highlight w:val="none"/>
        </w:rPr>
        <w:t>1.3 招标范围、计划工期和质量要求</w:t>
      </w:r>
      <w:bookmarkEnd w:id="170"/>
      <w:bookmarkEnd w:id="171"/>
      <w:bookmarkEnd w:id="172"/>
      <w:bookmarkEnd w:id="173"/>
      <w:bookmarkEnd w:id="174"/>
      <w:bookmarkEnd w:id="175"/>
      <w:bookmarkEnd w:id="176"/>
      <w:bookmarkEnd w:id="177"/>
      <w:bookmarkEnd w:id="178"/>
      <w:bookmarkEnd w:id="179"/>
      <w:bookmarkEnd w:id="180"/>
      <w:bookmarkEnd w:id="181"/>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 xml:space="preserve"> 本次招标范围：见投标人须知前附表。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 xml:space="preserve"> 本标段的计划工期：见投标人须知前附表。</w:t>
      </w:r>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 xml:space="preserve"> 本标段的质量要求：见投标人须知前附表。</w:t>
      </w:r>
    </w:p>
    <w:p>
      <w:pPr>
        <w:pStyle w:val="38"/>
        <w:keepNext w:val="0"/>
        <w:keepLines w:val="0"/>
        <w:spacing w:line="336" w:lineRule="auto"/>
        <w:outlineLvl w:val="9"/>
        <w:rPr>
          <w:color w:val="auto"/>
          <w:sz w:val="24"/>
          <w:szCs w:val="24"/>
          <w:highlight w:val="none"/>
        </w:rPr>
      </w:pPr>
      <w:bookmarkStart w:id="182" w:name="_Toc25555"/>
      <w:bookmarkStart w:id="183" w:name="_Toc23470"/>
      <w:bookmarkStart w:id="184" w:name="_Toc1120094405"/>
      <w:bookmarkStart w:id="185" w:name="_Toc10198"/>
      <w:bookmarkStart w:id="186" w:name="_Toc1889614774"/>
      <w:bookmarkStart w:id="187" w:name="_Toc25194"/>
      <w:bookmarkStart w:id="188" w:name="_Toc24944"/>
      <w:bookmarkStart w:id="189" w:name="_Toc10218"/>
      <w:r>
        <w:rPr>
          <w:rFonts w:hint="eastAsia"/>
          <w:color w:val="auto"/>
          <w:sz w:val="24"/>
          <w:szCs w:val="24"/>
          <w:highlight w:val="none"/>
        </w:rPr>
        <w:t>1.4 投标人资格要求</w:t>
      </w:r>
      <w:bookmarkEnd w:id="182"/>
      <w:bookmarkEnd w:id="183"/>
      <w:bookmarkEnd w:id="184"/>
      <w:bookmarkEnd w:id="185"/>
      <w:bookmarkEnd w:id="186"/>
      <w:bookmarkEnd w:id="187"/>
      <w:bookmarkEnd w:id="188"/>
      <w:bookmarkEnd w:id="189"/>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投标人应具备承担本标段施工的资质条件、能力和信誉。</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）资质条件：见投标人须知前附表；</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）信誉要求：见投标人须知前附表；</w:t>
      </w:r>
    </w:p>
    <w:p>
      <w:pPr>
        <w:spacing w:line="336"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）项目负责人资格：见投标人须知前附表；</w:t>
      </w:r>
    </w:p>
    <w:p>
      <w:pPr>
        <w:spacing w:line="336"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）专职安全员：见投标人须知前附表。</w:t>
      </w:r>
    </w:p>
    <w:p>
      <w:pPr>
        <w:spacing w:line="336"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）其他：见投标人须知前附表。</w:t>
      </w:r>
    </w:p>
    <w:p>
      <w:pPr>
        <w:spacing w:line="336" w:lineRule="auto"/>
        <w:ind w:firstLine="525" w:firstLineChars="250"/>
        <w:rPr>
          <w:rFonts w:ascii="宋体" w:hAnsi="宋体" w:cs="宋体"/>
          <w:strike/>
          <w:dstrike w:val="0"/>
          <w:color w:val="auto"/>
          <w:szCs w:val="21"/>
          <w:highlight w:val="none"/>
        </w:rPr>
      </w:pPr>
      <w:r>
        <w:rPr>
          <w:rFonts w:hint="eastAsia" w:cs="宋体"/>
          <w:strike/>
          <w:dstrike w:val="0"/>
          <w:color w:val="auto"/>
          <w:szCs w:val="21"/>
          <w:highlight w:val="none"/>
        </w:rPr>
        <w:t>1</w:t>
      </w:r>
      <w:r>
        <w:rPr>
          <w:rFonts w:hint="eastAsia" w:ascii="宋体" w:hAnsi="宋体" w:cs="宋体"/>
          <w:strike/>
          <w:dstrike w:val="0"/>
          <w:color w:val="auto"/>
          <w:szCs w:val="21"/>
          <w:highlight w:val="none"/>
        </w:rPr>
        <w:t>.</w:t>
      </w:r>
      <w:r>
        <w:rPr>
          <w:rFonts w:hint="eastAsia" w:cs="宋体"/>
          <w:strike/>
          <w:dstrike w:val="0"/>
          <w:color w:val="auto"/>
          <w:szCs w:val="21"/>
          <w:highlight w:val="none"/>
        </w:rPr>
        <w:t>4</w:t>
      </w:r>
      <w:r>
        <w:rPr>
          <w:rFonts w:hint="eastAsia" w:ascii="宋体" w:hAnsi="宋体" w:cs="宋体"/>
          <w:strike/>
          <w:dstrike w:val="0"/>
          <w:color w:val="auto"/>
          <w:szCs w:val="21"/>
          <w:highlight w:val="none"/>
        </w:rPr>
        <w:t>.</w:t>
      </w:r>
      <w:r>
        <w:rPr>
          <w:rFonts w:hint="eastAsia" w:cs="宋体"/>
          <w:strike/>
          <w:dstrike w:val="0"/>
          <w:color w:val="auto"/>
          <w:szCs w:val="21"/>
          <w:highlight w:val="none"/>
        </w:rPr>
        <w:t>2</w:t>
      </w:r>
      <w:r>
        <w:rPr>
          <w:rFonts w:hint="eastAsia" w:ascii="宋体" w:hAnsi="宋体" w:cs="宋体"/>
          <w:strike/>
          <w:dstrike w:val="0"/>
          <w:color w:val="auto"/>
          <w:szCs w:val="21"/>
          <w:highlight w:val="none"/>
        </w:rPr>
        <w:t xml:space="preserve"> 投标人须知前附表规定接受联合体投标的，除应符合本章第</w:t>
      </w:r>
      <w:r>
        <w:rPr>
          <w:rFonts w:hint="eastAsia" w:cs="宋体"/>
          <w:strike/>
          <w:dstrike w:val="0"/>
          <w:color w:val="auto"/>
          <w:szCs w:val="21"/>
          <w:highlight w:val="none"/>
        </w:rPr>
        <w:t>1</w:t>
      </w:r>
      <w:r>
        <w:rPr>
          <w:rFonts w:hint="eastAsia" w:ascii="宋体" w:hAnsi="宋体" w:cs="宋体"/>
          <w:strike/>
          <w:dstrike w:val="0"/>
          <w:color w:val="auto"/>
          <w:szCs w:val="21"/>
          <w:highlight w:val="none"/>
        </w:rPr>
        <w:t>.</w:t>
      </w:r>
      <w:r>
        <w:rPr>
          <w:rFonts w:hint="eastAsia" w:cs="宋体"/>
          <w:strike/>
          <w:dstrike w:val="0"/>
          <w:color w:val="auto"/>
          <w:szCs w:val="21"/>
          <w:highlight w:val="none"/>
        </w:rPr>
        <w:t>4</w:t>
      </w:r>
      <w:r>
        <w:rPr>
          <w:rFonts w:hint="eastAsia" w:ascii="宋体" w:hAnsi="宋体" w:cs="宋体"/>
          <w:strike/>
          <w:dstrike w:val="0"/>
          <w:color w:val="auto"/>
          <w:szCs w:val="21"/>
          <w:highlight w:val="none"/>
        </w:rPr>
        <w:t>.</w:t>
      </w:r>
      <w:r>
        <w:rPr>
          <w:rFonts w:hint="eastAsia" w:cs="宋体"/>
          <w:strike/>
          <w:dstrike w:val="0"/>
          <w:color w:val="auto"/>
          <w:szCs w:val="21"/>
          <w:highlight w:val="none"/>
        </w:rPr>
        <w:t>1</w:t>
      </w:r>
      <w:r>
        <w:rPr>
          <w:rFonts w:hint="eastAsia" w:ascii="宋体" w:hAnsi="宋体" w:cs="宋体"/>
          <w:strike/>
          <w:dstrike w:val="0"/>
          <w:color w:val="auto"/>
          <w:szCs w:val="21"/>
          <w:highlight w:val="none"/>
        </w:rPr>
        <w:t xml:space="preserve">项和投标人须知前附表的要求外，还应遵守以下规定： </w:t>
      </w:r>
    </w:p>
    <w:p>
      <w:pPr>
        <w:spacing w:line="336" w:lineRule="auto"/>
        <w:ind w:firstLine="718" w:firstLineChars="342"/>
        <w:rPr>
          <w:rFonts w:ascii="宋体" w:hAnsi="宋体" w:cs="宋体"/>
          <w:strike/>
          <w:dstrike w:val="0"/>
          <w:color w:val="auto"/>
          <w:szCs w:val="21"/>
          <w:highlight w:val="none"/>
        </w:rPr>
      </w:pPr>
      <w:r>
        <w:rPr>
          <w:rFonts w:hint="eastAsia" w:ascii="宋体" w:hAnsi="宋体" w:cs="宋体"/>
          <w:strike/>
          <w:dstrike w:val="0"/>
          <w:color w:val="auto"/>
          <w:szCs w:val="21"/>
          <w:highlight w:val="none"/>
        </w:rPr>
        <w:t>（</w:t>
      </w:r>
      <w:r>
        <w:rPr>
          <w:rFonts w:hint="eastAsia" w:cs="宋体"/>
          <w:strike/>
          <w:dstrike w:val="0"/>
          <w:color w:val="auto"/>
          <w:szCs w:val="21"/>
          <w:highlight w:val="none"/>
        </w:rPr>
        <w:t>1</w:t>
      </w:r>
      <w:r>
        <w:rPr>
          <w:rFonts w:hint="eastAsia" w:ascii="宋体" w:hAnsi="宋体" w:cs="宋体"/>
          <w:strike/>
          <w:dstrike w:val="0"/>
          <w:color w:val="auto"/>
          <w:szCs w:val="21"/>
          <w:highlight w:val="none"/>
        </w:rPr>
        <w:t>）联合体各方应按招标文件提供的格式签订联合体协议书，明确联合体牵头人和各方权利义务；</w:t>
      </w:r>
    </w:p>
    <w:p>
      <w:pPr>
        <w:spacing w:line="336" w:lineRule="auto"/>
        <w:ind w:firstLine="718" w:firstLineChars="342"/>
        <w:rPr>
          <w:rFonts w:ascii="宋体" w:hAnsi="宋体" w:cs="宋体"/>
          <w:strike/>
          <w:dstrike w:val="0"/>
          <w:color w:val="auto"/>
          <w:szCs w:val="21"/>
          <w:highlight w:val="none"/>
        </w:rPr>
      </w:pPr>
      <w:r>
        <w:rPr>
          <w:rFonts w:hint="eastAsia" w:ascii="宋体" w:hAnsi="宋体" w:cs="宋体"/>
          <w:strike/>
          <w:dstrike w:val="0"/>
          <w:color w:val="auto"/>
          <w:szCs w:val="21"/>
          <w:highlight w:val="none"/>
        </w:rPr>
        <w:t>（</w:t>
      </w:r>
      <w:r>
        <w:rPr>
          <w:rFonts w:hint="eastAsia" w:cs="宋体"/>
          <w:strike/>
          <w:dstrike w:val="0"/>
          <w:color w:val="auto"/>
          <w:szCs w:val="21"/>
          <w:highlight w:val="none"/>
        </w:rPr>
        <w:t>2</w:t>
      </w:r>
      <w:r>
        <w:rPr>
          <w:rFonts w:hint="eastAsia" w:ascii="宋体" w:hAnsi="宋体" w:cs="宋体"/>
          <w:strike/>
          <w:dstrike w:val="0"/>
          <w:color w:val="auto"/>
          <w:szCs w:val="21"/>
          <w:highlight w:val="none"/>
        </w:rPr>
        <w:t xml:space="preserve">）由同一专业的单位组成的联合体，按照资质等级较低的单位确定资质等级； </w:t>
      </w:r>
    </w:p>
    <w:p>
      <w:pPr>
        <w:spacing w:line="336" w:lineRule="auto"/>
        <w:ind w:firstLine="718" w:firstLineChars="342"/>
        <w:rPr>
          <w:rFonts w:ascii="宋体" w:hAnsi="宋体" w:cs="宋体"/>
          <w:strike/>
          <w:dstrike w:val="0"/>
          <w:color w:val="auto"/>
          <w:szCs w:val="21"/>
          <w:highlight w:val="none"/>
        </w:rPr>
      </w:pPr>
      <w:r>
        <w:rPr>
          <w:rFonts w:hint="eastAsia" w:ascii="宋体" w:hAnsi="宋体" w:cs="宋体"/>
          <w:strike/>
          <w:dstrike w:val="0"/>
          <w:color w:val="auto"/>
          <w:szCs w:val="21"/>
          <w:highlight w:val="none"/>
        </w:rPr>
        <w:t>（</w:t>
      </w:r>
      <w:r>
        <w:rPr>
          <w:rFonts w:hint="eastAsia" w:cs="宋体"/>
          <w:strike/>
          <w:dstrike w:val="0"/>
          <w:color w:val="auto"/>
          <w:szCs w:val="21"/>
          <w:highlight w:val="none"/>
        </w:rPr>
        <w:t>3</w:t>
      </w:r>
      <w:r>
        <w:rPr>
          <w:rFonts w:hint="eastAsia" w:ascii="宋体" w:hAnsi="宋体" w:cs="宋体"/>
          <w:strike/>
          <w:dstrike w:val="0"/>
          <w:color w:val="auto"/>
          <w:szCs w:val="21"/>
          <w:highlight w:val="none"/>
        </w:rPr>
        <w:t>）联合体各方不得再以自己名义单独或参加其他联合体在同一标段中投标。</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投标人不得存在下列情形之一：</w:t>
      </w:r>
    </w:p>
    <w:p>
      <w:pPr>
        <w:numPr>
          <w:ilvl w:val="0"/>
          <w:numId w:val="1"/>
        </w:numPr>
        <w:spacing w:line="336" w:lineRule="auto"/>
        <w:ind w:firstLine="420" w:firstLineChars="200"/>
        <w:rPr>
          <w:color w:val="auto"/>
          <w:highlight w:val="none"/>
        </w:rPr>
      </w:pPr>
      <w:r>
        <w:rPr>
          <w:rFonts w:hint="eastAsia"/>
          <w:color w:val="auto"/>
          <w:highlight w:val="none"/>
        </w:rPr>
        <w:t>为招标人不具有独立法人资格的附属机构（单位）；</w:t>
      </w:r>
    </w:p>
    <w:p>
      <w:pPr>
        <w:spacing w:line="336" w:lineRule="auto"/>
        <w:ind w:firstLine="420" w:firstLineChars="200"/>
        <w:rPr>
          <w:color w:val="auto"/>
          <w:highlight w:val="none"/>
        </w:rPr>
      </w:pPr>
      <w:r>
        <w:rPr>
          <w:rFonts w:hint="eastAsia"/>
          <w:color w:val="auto"/>
          <w:highlight w:val="none"/>
        </w:rPr>
        <w:t>（2）与招标人存在利害关系</w:t>
      </w:r>
      <w:r>
        <w:rPr>
          <w:rFonts w:hint="eastAsia" w:ascii="宋体" w:hAnsi="宋体"/>
          <w:color w:val="auto"/>
          <w:highlight w:val="none"/>
        </w:rPr>
        <w:t>且可能</w:t>
      </w:r>
      <w:r>
        <w:rPr>
          <w:rFonts w:hint="eastAsia"/>
          <w:color w:val="auto"/>
          <w:highlight w:val="none"/>
        </w:rPr>
        <w:t>影响招标公正性的；</w:t>
      </w:r>
    </w:p>
    <w:p>
      <w:pPr>
        <w:spacing w:line="336" w:lineRule="auto"/>
        <w:ind w:firstLine="420" w:firstLineChars="200"/>
        <w:rPr>
          <w:color w:val="auto"/>
          <w:highlight w:val="none"/>
        </w:rPr>
      </w:pPr>
      <w:r>
        <w:rPr>
          <w:rFonts w:hint="eastAsia"/>
          <w:color w:val="auto"/>
          <w:highlight w:val="none"/>
        </w:rPr>
        <w:t>（3）与本招标项目的其他投标人为同一单位负责人；</w:t>
      </w:r>
    </w:p>
    <w:p>
      <w:pPr>
        <w:spacing w:line="336" w:lineRule="auto"/>
        <w:ind w:firstLine="420" w:firstLineChars="200"/>
        <w:rPr>
          <w:color w:val="auto"/>
          <w:highlight w:val="none"/>
        </w:rPr>
      </w:pPr>
      <w:r>
        <w:rPr>
          <w:rFonts w:hint="eastAsia"/>
          <w:color w:val="auto"/>
          <w:highlight w:val="none"/>
        </w:rPr>
        <w:t xml:space="preserve">（4）与本招标项目的其他投标人存在控股、管理关系； </w:t>
      </w:r>
    </w:p>
    <w:p>
      <w:pPr>
        <w:spacing w:line="336" w:lineRule="auto"/>
        <w:ind w:firstLine="420" w:firstLineChars="200"/>
        <w:rPr>
          <w:color w:val="auto"/>
          <w:highlight w:val="none"/>
        </w:rPr>
      </w:pPr>
      <w:r>
        <w:rPr>
          <w:rFonts w:hint="eastAsia"/>
          <w:color w:val="auto"/>
          <w:highlight w:val="none"/>
        </w:rPr>
        <w:t xml:space="preserve">（5）为本标段前期准备提供设计或咨询服务的，但设计施工总承包的除外； </w:t>
      </w:r>
    </w:p>
    <w:p>
      <w:pPr>
        <w:spacing w:line="336" w:lineRule="auto"/>
        <w:ind w:firstLine="420" w:firstLineChars="200"/>
        <w:rPr>
          <w:color w:val="auto"/>
          <w:highlight w:val="none"/>
        </w:rPr>
      </w:pPr>
      <w:r>
        <w:rPr>
          <w:rFonts w:hint="eastAsia"/>
          <w:color w:val="auto"/>
          <w:highlight w:val="none"/>
        </w:rPr>
        <w:t>（6）为本标段的监理人；</w:t>
      </w:r>
    </w:p>
    <w:p>
      <w:pPr>
        <w:spacing w:line="336" w:lineRule="auto"/>
        <w:ind w:firstLine="420" w:firstLineChars="200"/>
        <w:rPr>
          <w:color w:val="auto"/>
          <w:highlight w:val="none"/>
        </w:rPr>
      </w:pPr>
      <w:r>
        <w:rPr>
          <w:rFonts w:hint="eastAsia"/>
          <w:color w:val="auto"/>
          <w:highlight w:val="none"/>
        </w:rPr>
        <w:t xml:space="preserve">（7）为本标段的代建人； </w:t>
      </w:r>
    </w:p>
    <w:p>
      <w:pPr>
        <w:spacing w:line="336" w:lineRule="auto"/>
        <w:ind w:firstLine="420" w:firstLineChars="200"/>
        <w:rPr>
          <w:color w:val="auto"/>
          <w:highlight w:val="none"/>
        </w:rPr>
      </w:pPr>
      <w:r>
        <w:rPr>
          <w:rFonts w:hint="eastAsia"/>
          <w:color w:val="auto"/>
          <w:highlight w:val="none"/>
        </w:rPr>
        <w:t xml:space="preserve">（8）为本标段提供招标代理服务的； </w:t>
      </w:r>
    </w:p>
    <w:p>
      <w:pPr>
        <w:spacing w:line="336" w:lineRule="auto"/>
        <w:ind w:firstLine="420" w:firstLineChars="200"/>
        <w:rPr>
          <w:color w:val="auto"/>
          <w:highlight w:val="none"/>
        </w:rPr>
      </w:pPr>
      <w:r>
        <w:rPr>
          <w:rFonts w:hint="eastAsia"/>
          <w:color w:val="auto"/>
          <w:highlight w:val="none"/>
        </w:rPr>
        <w:t>（9）与本标段的监理人或代建人或招标代理机构同为一个法定代表人的；</w:t>
      </w:r>
    </w:p>
    <w:p>
      <w:pPr>
        <w:spacing w:line="336" w:lineRule="auto"/>
        <w:ind w:firstLine="420" w:firstLineChars="200"/>
        <w:rPr>
          <w:color w:val="auto"/>
          <w:highlight w:val="none"/>
        </w:rPr>
      </w:pPr>
      <w:r>
        <w:rPr>
          <w:rFonts w:hint="eastAsia"/>
          <w:color w:val="auto"/>
          <w:highlight w:val="none"/>
        </w:rPr>
        <w:t>（10）与本标段的监理人或代建人或招标代理机构相互控股或参股的；</w:t>
      </w:r>
    </w:p>
    <w:p>
      <w:pPr>
        <w:spacing w:line="336" w:lineRule="auto"/>
        <w:ind w:firstLine="420" w:firstLineChars="200"/>
        <w:rPr>
          <w:color w:val="auto"/>
          <w:highlight w:val="none"/>
        </w:rPr>
      </w:pPr>
      <w:r>
        <w:rPr>
          <w:rFonts w:hint="eastAsia"/>
          <w:color w:val="auto"/>
          <w:highlight w:val="none"/>
        </w:rPr>
        <w:t>（11）与本标段的监理人或代建人或招标代理机构相互任职或工作的；</w:t>
      </w:r>
    </w:p>
    <w:p>
      <w:pPr>
        <w:spacing w:line="336" w:lineRule="auto"/>
        <w:ind w:firstLine="420" w:firstLineChars="200"/>
        <w:rPr>
          <w:color w:val="auto"/>
          <w:highlight w:val="none"/>
        </w:rPr>
      </w:pPr>
      <w:r>
        <w:rPr>
          <w:rFonts w:hint="eastAsia"/>
          <w:color w:val="auto"/>
          <w:highlight w:val="none"/>
        </w:rPr>
        <w:t xml:space="preserve">（12）被依法暂停或取消投标资格（指被本招标项目所在地县级及以上农业农村（或住建、水利、公共资源交易）行政主管部门暂停或取消投标资格或禁止进入该区域建设市场且处于有效期内）； </w:t>
      </w:r>
    </w:p>
    <w:p>
      <w:pPr>
        <w:spacing w:line="336" w:lineRule="auto"/>
        <w:ind w:firstLine="420" w:firstLineChars="200"/>
        <w:rPr>
          <w:color w:val="auto"/>
          <w:highlight w:val="none"/>
        </w:rPr>
      </w:pPr>
      <w:r>
        <w:rPr>
          <w:rFonts w:hint="eastAsia"/>
          <w:color w:val="auto"/>
          <w:highlight w:val="none"/>
        </w:rPr>
        <w:t>（13）被责令停产停业、暂扣或者吊销许可证、暂扣或者吊销执照；</w:t>
      </w:r>
    </w:p>
    <w:p>
      <w:pPr>
        <w:spacing w:line="336" w:lineRule="auto"/>
        <w:ind w:firstLine="420" w:firstLineChars="200"/>
        <w:rPr>
          <w:color w:val="auto"/>
          <w:highlight w:val="none"/>
        </w:rPr>
      </w:pPr>
      <w:r>
        <w:rPr>
          <w:rFonts w:hint="eastAsia"/>
          <w:color w:val="auto"/>
          <w:highlight w:val="none"/>
        </w:rPr>
        <w:t>（14）进入清算程序，或被宣告破产，或其他丧失履约能力的情形；</w:t>
      </w:r>
    </w:p>
    <w:p>
      <w:pPr>
        <w:spacing w:line="336" w:lineRule="auto"/>
        <w:ind w:firstLine="420" w:firstLineChars="200"/>
        <w:rPr>
          <w:color w:val="auto"/>
          <w:highlight w:val="none"/>
        </w:rPr>
      </w:pPr>
      <w:r>
        <w:rPr>
          <w:rFonts w:hint="eastAsia"/>
          <w:color w:val="auto"/>
          <w:highlight w:val="none"/>
        </w:rPr>
        <w:t>（15）在最近三年内发生重大工程质量问题（以相关行业主管部门的行政处罚决定或司法机关出具的有关法律文书为准）；</w:t>
      </w:r>
    </w:p>
    <w:p>
      <w:pPr>
        <w:spacing w:line="336" w:lineRule="auto"/>
        <w:ind w:firstLine="420" w:firstLineChars="200"/>
        <w:rPr>
          <w:strike/>
          <w:dstrike w:val="0"/>
          <w:color w:val="auto"/>
          <w:highlight w:val="none"/>
        </w:rPr>
      </w:pPr>
      <w:r>
        <w:rPr>
          <w:rFonts w:hint="eastAsia"/>
          <w:strike/>
          <w:dstrike w:val="0"/>
          <w:color w:val="auto"/>
          <w:highlight w:val="none"/>
        </w:rPr>
        <w:t>（16）在“国家企业信用信息公示系统”（</w:t>
      </w:r>
      <w:r>
        <w:rPr>
          <w:strike/>
          <w:dstrike w:val="0"/>
          <w:color w:val="auto"/>
          <w:highlight w:val="none"/>
        </w:rPr>
        <w:t xml:space="preserve"> www.gsxt.gov.cn</w:t>
      </w:r>
      <w:r>
        <w:rPr>
          <w:rFonts w:hint="eastAsia"/>
          <w:strike/>
          <w:dstrike w:val="0"/>
          <w:color w:val="auto"/>
          <w:highlight w:val="none"/>
        </w:rPr>
        <w:t>）中被列入严重违法失信企业名单；</w:t>
      </w:r>
    </w:p>
    <w:p>
      <w:pPr>
        <w:spacing w:line="336" w:lineRule="auto"/>
        <w:ind w:firstLine="420" w:firstLineChars="200"/>
        <w:rPr>
          <w:strike/>
          <w:dstrike w:val="0"/>
          <w:color w:val="auto"/>
          <w:highlight w:val="none"/>
        </w:rPr>
      </w:pPr>
      <w:r>
        <w:rPr>
          <w:rFonts w:hint="eastAsia"/>
          <w:strike/>
          <w:dstrike w:val="0"/>
          <w:color w:val="auto"/>
          <w:highlight w:val="none"/>
        </w:rPr>
        <w:t>（17）在</w:t>
      </w:r>
      <w:r>
        <w:rPr>
          <w:strike/>
          <w:dstrike w:val="0"/>
          <w:color w:val="auto"/>
          <w:highlight w:val="none"/>
        </w:rPr>
        <w:t>“</w:t>
      </w:r>
      <w:r>
        <w:rPr>
          <w:rFonts w:hint="eastAsia"/>
          <w:strike/>
          <w:dstrike w:val="0"/>
          <w:color w:val="auto"/>
          <w:highlight w:val="none"/>
        </w:rPr>
        <w:t>信用中国</w:t>
      </w:r>
      <w:r>
        <w:rPr>
          <w:strike/>
          <w:dstrike w:val="0"/>
          <w:color w:val="auto"/>
          <w:highlight w:val="none"/>
        </w:rPr>
        <w:t>”</w:t>
      </w:r>
      <w:r>
        <w:rPr>
          <w:rFonts w:hint="eastAsia"/>
          <w:strike/>
          <w:dstrike w:val="0"/>
          <w:color w:val="auto"/>
          <w:highlight w:val="none"/>
        </w:rPr>
        <w:t>网站（</w:t>
      </w:r>
      <w:r>
        <w:rPr>
          <w:strike/>
          <w:dstrike w:val="0"/>
          <w:color w:val="auto"/>
          <w:highlight w:val="none"/>
        </w:rPr>
        <w:fldChar w:fldCharType="begin"/>
      </w:r>
      <w:r>
        <w:rPr>
          <w:strike/>
          <w:dstrike w:val="0"/>
          <w:color w:val="auto"/>
          <w:highlight w:val="none"/>
        </w:rPr>
        <w:instrText xml:space="preserve"> HYPERLINK "http://www.creditchina.gov.cn/" </w:instrText>
      </w:r>
      <w:r>
        <w:rPr>
          <w:strike/>
          <w:dstrike w:val="0"/>
          <w:color w:val="auto"/>
          <w:highlight w:val="none"/>
        </w:rPr>
        <w:fldChar w:fldCharType="separate"/>
      </w:r>
      <w:r>
        <w:rPr>
          <w:strike/>
          <w:dstrike w:val="0"/>
          <w:color w:val="auto"/>
          <w:highlight w:val="none"/>
        </w:rPr>
        <w:t>www.creditchina.gov.cn</w:t>
      </w:r>
      <w:r>
        <w:rPr>
          <w:strike/>
          <w:dstrike w:val="0"/>
          <w:color w:val="auto"/>
          <w:highlight w:val="none"/>
        </w:rPr>
        <w:fldChar w:fldCharType="end"/>
      </w:r>
      <w:r>
        <w:rPr>
          <w:rFonts w:hint="eastAsia"/>
          <w:strike/>
          <w:dstrike w:val="0"/>
          <w:color w:val="auto"/>
          <w:highlight w:val="none"/>
        </w:rPr>
        <w:t>）或“中国执行信息公开网”（http://zxgk.court.gov.cn/shixin/）被列入失信被执行人名单；</w:t>
      </w:r>
    </w:p>
    <w:p>
      <w:pPr>
        <w:spacing w:line="336" w:lineRule="auto"/>
        <w:ind w:firstLine="420" w:firstLineChars="200"/>
        <w:rPr>
          <w:color w:val="auto"/>
          <w:highlight w:val="none"/>
        </w:rPr>
      </w:pPr>
      <w:r>
        <w:rPr>
          <w:rFonts w:hint="eastAsia"/>
          <w:color w:val="auto"/>
          <w:highlight w:val="none"/>
        </w:rPr>
        <w:t>（18）在近三年内投标人或其法定代表人、拟委任的项目负责人有行贿犯罪行为；</w:t>
      </w:r>
    </w:p>
    <w:p>
      <w:pPr>
        <w:spacing w:line="336" w:lineRule="auto"/>
        <w:ind w:firstLine="420" w:firstLineChars="200"/>
        <w:rPr>
          <w:color w:val="auto"/>
          <w:highlight w:val="none"/>
        </w:rPr>
      </w:pPr>
      <w:r>
        <w:rPr>
          <w:rFonts w:hint="eastAsia"/>
          <w:color w:val="auto"/>
          <w:highlight w:val="none"/>
        </w:rPr>
        <w:t>（19）</w:t>
      </w:r>
      <w:r>
        <w:rPr>
          <w:color w:val="auto"/>
          <w:highlight w:val="none"/>
        </w:rPr>
        <w:t>法律法规或投标人须知前附表规定的其他情形。</w:t>
      </w:r>
    </w:p>
    <w:p>
      <w:pPr>
        <w:pStyle w:val="38"/>
        <w:keepNext w:val="0"/>
        <w:keepLines w:val="0"/>
        <w:spacing w:line="336" w:lineRule="auto"/>
        <w:outlineLvl w:val="9"/>
        <w:rPr>
          <w:color w:val="auto"/>
          <w:sz w:val="24"/>
          <w:szCs w:val="24"/>
          <w:highlight w:val="none"/>
        </w:rPr>
      </w:pPr>
      <w:bookmarkStart w:id="190" w:name="_Toc32337"/>
      <w:bookmarkStart w:id="191" w:name="_Toc28959"/>
      <w:bookmarkStart w:id="192" w:name="_Toc16796"/>
      <w:bookmarkStart w:id="193" w:name="_Toc152042311"/>
      <w:bookmarkStart w:id="194" w:name="_Toc825848846"/>
      <w:bookmarkStart w:id="195" w:name="_Toc152045535"/>
      <w:bookmarkStart w:id="196" w:name="_Toc24855"/>
      <w:bookmarkStart w:id="197" w:name="_Toc179632552"/>
      <w:bookmarkStart w:id="198" w:name="_Toc32622"/>
      <w:bookmarkStart w:id="199" w:name="_Toc26552"/>
      <w:bookmarkStart w:id="200" w:name="_Toc155714282"/>
      <w:bookmarkStart w:id="201" w:name="_Toc144974503"/>
      <w:r>
        <w:rPr>
          <w:rFonts w:hint="eastAsia"/>
          <w:color w:val="auto"/>
          <w:sz w:val="24"/>
          <w:szCs w:val="24"/>
          <w:highlight w:val="none"/>
        </w:rPr>
        <w:t>1.5 费用承担</w:t>
      </w:r>
      <w:bookmarkEnd w:id="190"/>
      <w:bookmarkEnd w:id="191"/>
      <w:bookmarkEnd w:id="192"/>
      <w:bookmarkEnd w:id="193"/>
      <w:bookmarkEnd w:id="194"/>
      <w:bookmarkEnd w:id="195"/>
      <w:bookmarkEnd w:id="196"/>
      <w:bookmarkEnd w:id="197"/>
      <w:bookmarkEnd w:id="198"/>
      <w:bookmarkEnd w:id="199"/>
      <w:bookmarkEnd w:id="200"/>
      <w:bookmarkEnd w:id="201"/>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pStyle w:val="38"/>
        <w:keepNext w:val="0"/>
        <w:keepLines w:val="0"/>
        <w:spacing w:line="336" w:lineRule="auto"/>
        <w:outlineLvl w:val="9"/>
        <w:rPr>
          <w:color w:val="auto"/>
          <w:sz w:val="24"/>
          <w:szCs w:val="24"/>
          <w:highlight w:val="none"/>
        </w:rPr>
      </w:pPr>
      <w:bookmarkStart w:id="202" w:name="_Toc927591477"/>
      <w:bookmarkStart w:id="203" w:name="_Toc9984"/>
      <w:bookmarkStart w:id="204" w:name="_Toc144974504"/>
      <w:bookmarkStart w:id="205" w:name="_Toc24671"/>
      <w:bookmarkStart w:id="206" w:name="_Toc9565"/>
      <w:bookmarkStart w:id="207" w:name="_Toc179632553"/>
      <w:bookmarkStart w:id="208" w:name="_Toc22575"/>
      <w:bookmarkStart w:id="209" w:name="_Toc1186041593"/>
      <w:bookmarkStart w:id="210" w:name="_Toc926"/>
      <w:bookmarkStart w:id="211" w:name="_Toc152042312"/>
      <w:bookmarkStart w:id="212" w:name="_Toc12770"/>
      <w:bookmarkStart w:id="213" w:name="_Toc152045536"/>
      <w:r>
        <w:rPr>
          <w:rFonts w:hint="eastAsia"/>
          <w:color w:val="auto"/>
          <w:sz w:val="24"/>
          <w:szCs w:val="24"/>
          <w:highlight w:val="none"/>
        </w:rPr>
        <w:t>1.6 保密</w:t>
      </w:r>
      <w:bookmarkEnd w:id="202"/>
      <w:bookmarkEnd w:id="203"/>
      <w:bookmarkEnd w:id="204"/>
      <w:bookmarkEnd w:id="205"/>
      <w:bookmarkEnd w:id="206"/>
      <w:bookmarkEnd w:id="207"/>
      <w:bookmarkEnd w:id="208"/>
      <w:bookmarkEnd w:id="209"/>
      <w:bookmarkEnd w:id="210"/>
      <w:bookmarkEnd w:id="211"/>
      <w:bookmarkEnd w:id="212"/>
      <w:bookmarkEnd w:id="213"/>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pPr>
        <w:pStyle w:val="38"/>
        <w:keepNext w:val="0"/>
        <w:keepLines w:val="0"/>
        <w:spacing w:line="336" w:lineRule="auto"/>
        <w:outlineLvl w:val="9"/>
        <w:rPr>
          <w:color w:val="auto"/>
          <w:sz w:val="24"/>
          <w:szCs w:val="24"/>
          <w:highlight w:val="none"/>
        </w:rPr>
      </w:pPr>
      <w:bookmarkStart w:id="214" w:name="_Toc144974505"/>
      <w:bookmarkStart w:id="215" w:name="_Toc11755"/>
      <w:bookmarkStart w:id="216" w:name="_Toc21462"/>
      <w:bookmarkStart w:id="217" w:name="_Toc1216120234"/>
      <w:bookmarkStart w:id="218" w:name="_Toc152042313"/>
      <w:bookmarkStart w:id="219" w:name="_Toc4040"/>
      <w:bookmarkStart w:id="220" w:name="_Toc152045537"/>
      <w:bookmarkStart w:id="221" w:name="_Toc1340324548"/>
      <w:bookmarkStart w:id="222" w:name="_Toc12764"/>
      <w:bookmarkStart w:id="223" w:name="_Toc12006"/>
      <w:bookmarkStart w:id="224" w:name="_Toc5909"/>
      <w:bookmarkStart w:id="225" w:name="_Toc179632554"/>
      <w:r>
        <w:rPr>
          <w:rFonts w:hint="eastAsia"/>
          <w:color w:val="auto"/>
          <w:sz w:val="24"/>
          <w:szCs w:val="24"/>
          <w:highlight w:val="none"/>
        </w:rPr>
        <w:t>1.7 语言</w:t>
      </w:r>
      <w:bookmarkEnd w:id="214"/>
      <w:r>
        <w:rPr>
          <w:rFonts w:hint="eastAsia"/>
          <w:color w:val="auto"/>
          <w:sz w:val="24"/>
          <w:szCs w:val="24"/>
          <w:highlight w:val="none"/>
        </w:rPr>
        <w:t>文字</w:t>
      </w:r>
      <w:bookmarkEnd w:id="215"/>
      <w:bookmarkEnd w:id="216"/>
      <w:bookmarkEnd w:id="217"/>
      <w:bookmarkEnd w:id="218"/>
      <w:bookmarkEnd w:id="219"/>
      <w:bookmarkEnd w:id="220"/>
      <w:bookmarkEnd w:id="221"/>
      <w:bookmarkEnd w:id="222"/>
      <w:bookmarkEnd w:id="223"/>
      <w:bookmarkEnd w:id="224"/>
      <w:bookmarkEnd w:id="225"/>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pStyle w:val="38"/>
        <w:keepNext w:val="0"/>
        <w:keepLines w:val="0"/>
        <w:spacing w:line="336" w:lineRule="auto"/>
        <w:outlineLvl w:val="9"/>
        <w:rPr>
          <w:color w:val="auto"/>
          <w:sz w:val="24"/>
          <w:szCs w:val="24"/>
          <w:highlight w:val="none"/>
        </w:rPr>
      </w:pPr>
      <w:bookmarkStart w:id="226" w:name="_Toc152042314"/>
      <w:bookmarkStart w:id="227" w:name="_Toc61777666"/>
      <w:bookmarkStart w:id="228" w:name="_Toc144974506"/>
      <w:bookmarkStart w:id="229" w:name="_Toc13078"/>
      <w:bookmarkStart w:id="230" w:name="_Toc23380"/>
      <w:bookmarkStart w:id="231" w:name="_Toc22902"/>
      <w:bookmarkStart w:id="232" w:name="_Toc152045538"/>
      <w:bookmarkStart w:id="233" w:name="_Toc12475"/>
      <w:bookmarkStart w:id="234" w:name="_Toc1847959809"/>
      <w:bookmarkStart w:id="235" w:name="_Toc141"/>
      <w:bookmarkStart w:id="236" w:name="_Toc179632555"/>
      <w:bookmarkStart w:id="237" w:name="_Toc17449"/>
      <w:r>
        <w:rPr>
          <w:rFonts w:hint="eastAsia"/>
          <w:color w:val="auto"/>
          <w:sz w:val="24"/>
          <w:szCs w:val="24"/>
          <w:highlight w:val="none"/>
        </w:rPr>
        <w:t>1.8 计量单位</w:t>
      </w:r>
      <w:bookmarkEnd w:id="226"/>
      <w:bookmarkEnd w:id="227"/>
      <w:bookmarkEnd w:id="228"/>
      <w:bookmarkEnd w:id="229"/>
      <w:bookmarkEnd w:id="230"/>
      <w:bookmarkEnd w:id="231"/>
      <w:bookmarkEnd w:id="232"/>
      <w:bookmarkEnd w:id="233"/>
      <w:bookmarkEnd w:id="234"/>
      <w:bookmarkEnd w:id="235"/>
      <w:bookmarkEnd w:id="236"/>
      <w:bookmarkEnd w:id="237"/>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38"/>
        <w:keepNext w:val="0"/>
        <w:keepLines w:val="0"/>
        <w:spacing w:line="336" w:lineRule="auto"/>
        <w:outlineLvl w:val="9"/>
        <w:rPr>
          <w:color w:val="auto"/>
          <w:sz w:val="24"/>
          <w:szCs w:val="24"/>
          <w:highlight w:val="none"/>
        </w:rPr>
      </w:pPr>
      <w:bookmarkStart w:id="238" w:name="_Toc13368"/>
      <w:bookmarkStart w:id="239" w:name="_Toc18080"/>
      <w:bookmarkStart w:id="240" w:name="_Toc285153282"/>
      <w:bookmarkStart w:id="241" w:name="_Toc18142"/>
      <w:bookmarkStart w:id="242" w:name="_Toc1375466194"/>
      <w:bookmarkStart w:id="243" w:name="_Toc3171"/>
      <w:bookmarkStart w:id="244" w:name="_Toc3541"/>
      <w:bookmarkStart w:id="245" w:name="_Toc23437"/>
      <w:bookmarkStart w:id="246" w:name="_Toc221950112"/>
      <w:r>
        <w:rPr>
          <w:rFonts w:hint="eastAsia"/>
          <w:color w:val="auto"/>
          <w:sz w:val="24"/>
          <w:szCs w:val="24"/>
          <w:highlight w:val="none"/>
        </w:rPr>
        <w:t>1.9 踏勘现场</w:t>
      </w:r>
      <w:bookmarkEnd w:id="238"/>
      <w:bookmarkEnd w:id="239"/>
      <w:bookmarkEnd w:id="240"/>
      <w:bookmarkEnd w:id="241"/>
      <w:bookmarkEnd w:id="242"/>
      <w:bookmarkEnd w:id="243"/>
      <w:bookmarkEnd w:id="244"/>
      <w:bookmarkEnd w:id="245"/>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投标人须知前附表规定组织踏勘现场的，</w:t>
      </w:r>
      <w:bookmarkEnd w:id="246"/>
      <w:r>
        <w:rPr>
          <w:rFonts w:hint="eastAsia" w:ascii="宋体" w:hAnsi="宋体" w:cs="宋体"/>
          <w:color w:val="auto"/>
          <w:highlight w:val="none"/>
        </w:rPr>
        <w:t>招标人按投标人须知前附表规定的时间、地点组织投标人踏勘项目现场。</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投标人踏勘现场发生的费用自理。</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除招标人的原因外，投标人自行负责在踏勘现场中所发生的人员伤亡和财产损失。</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招标人在踏勘现场中介绍的工程场地和相关的周边环境情况，供投标人在编制投标文件时参考，招标人不对投标人据此作出的判断和决策负责。</w:t>
      </w:r>
    </w:p>
    <w:p>
      <w:pPr>
        <w:pStyle w:val="38"/>
        <w:keepNext w:val="0"/>
        <w:keepLines w:val="0"/>
        <w:spacing w:line="336" w:lineRule="auto"/>
        <w:outlineLvl w:val="9"/>
        <w:rPr>
          <w:color w:val="auto"/>
          <w:sz w:val="24"/>
          <w:szCs w:val="24"/>
          <w:highlight w:val="none"/>
        </w:rPr>
      </w:pPr>
      <w:bookmarkStart w:id="247" w:name="_Toc843012234"/>
      <w:bookmarkStart w:id="248" w:name="_Toc21793"/>
      <w:bookmarkStart w:id="249" w:name="_Toc16889"/>
      <w:bookmarkStart w:id="250" w:name="_Toc12189"/>
      <w:bookmarkStart w:id="251" w:name="_Toc32598"/>
      <w:bookmarkStart w:id="252" w:name="_Toc30534"/>
      <w:bookmarkStart w:id="253" w:name="_Toc1257074126"/>
      <w:bookmarkStart w:id="254" w:name="_Toc8332"/>
      <w:r>
        <w:rPr>
          <w:rFonts w:hint="eastAsia"/>
          <w:color w:val="auto"/>
          <w:sz w:val="24"/>
          <w:szCs w:val="24"/>
          <w:highlight w:val="none"/>
        </w:rPr>
        <w:t>1.10 投标预备会</w:t>
      </w:r>
      <w:bookmarkEnd w:id="247"/>
      <w:bookmarkEnd w:id="248"/>
      <w:bookmarkEnd w:id="249"/>
      <w:bookmarkEnd w:id="250"/>
      <w:bookmarkEnd w:id="251"/>
      <w:bookmarkEnd w:id="252"/>
      <w:bookmarkEnd w:id="253"/>
      <w:bookmarkEnd w:id="254"/>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投标人须知前附表规定召开投标预备会的，招标人按照投标人须知前附表规定的时间和地点召开投标预备会</w:t>
      </w:r>
      <w:r>
        <w:rPr>
          <w:rFonts w:hint="eastAsia" w:ascii="宋体" w:hAnsi="宋体" w:cs="宋体"/>
          <w:color w:val="auto"/>
          <w:highlight w:val="none"/>
        </w:rPr>
        <w:t>，澄清投标人提出的问题。</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2</w:t>
      </w:r>
      <w:r>
        <w:rPr>
          <w:rFonts w:hint="eastAsia"/>
          <w:color w:val="auto"/>
          <w:highlight w:val="none"/>
        </w:rPr>
        <w:t>在投标人须知前附表规定的时间前，投标人应使用CA数字证书</w:t>
      </w:r>
      <w:r>
        <w:rPr>
          <w:color w:val="auto"/>
          <w:highlight w:val="none"/>
        </w:rPr>
        <w:t>登录</w:t>
      </w:r>
      <w:r>
        <w:rPr>
          <w:rFonts w:hint="eastAsia"/>
          <w:color w:val="auto"/>
          <w:highlight w:val="none"/>
        </w:rPr>
        <w:t>“电子交易平台”，在“投标答疑”菜单以书面形式将提出的问题送达招标人，以便招标人在会议期间澄清。</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投标预备会后，招标人</w:t>
      </w:r>
      <w:r>
        <w:rPr>
          <w:rFonts w:hint="eastAsia" w:ascii="宋体" w:hAnsi="宋体" w:cs="宋体"/>
          <w:color w:val="auto"/>
          <w:highlight w:val="none"/>
        </w:rPr>
        <w:t>在本章第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项规定的时间内</w:t>
      </w:r>
      <w:r>
        <w:rPr>
          <w:rFonts w:hint="eastAsia" w:ascii="宋体" w:hAnsi="宋体" w:cs="宋体"/>
          <w:color w:val="auto"/>
          <w:szCs w:val="21"/>
          <w:highlight w:val="none"/>
        </w:rPr>
        <w:t>，将对投标人所提问题的澄清，以书面形式通过“电子交易平台”通知所有下载招标文件的投标人。该澄清通知为招标文件的组成部分。</w:t>
      </w:r>
    </w:p>
    <w:p>
      <w:pPr>
        <w:pStyle w:val="38"/>
        <w:keepNext w:val="0"/>
        <w:keepLines w:val="0"/>
        <w:spacing w:line="336" w:lineRule="auto"/>
        <w:outlineLvl w:val="9"/>
        <w:rPr>
          <w:color w:val="auto"/>
          <w:sz w:val="24"/>
          <w:szCs w:val="24"/>
          <w:highlight w:val="none"/>
        </w:rPr>
      </w:pPr>
      <w:bookmarkStart w:id="255" w:name="_Toc2189"/>
      <w:bookmarkStart w:id="256" w:name="_Toc4598"/>
      <w:bookmarkStart w:id="257" w:name="_Toc3120"/>
      <w:bookmarkStart w:id="258" w:name="_Toc30175"/>
      <w:bookmarkStart w:id="259" w:name="_Toc15322"/>
      <w:bookmarkStart w:id="260" w:name="_Toc20234"/>
      <w:bookmarkStart w:id="261" w:name="_Toc735448311"/>
      <w:bookmarkStart w:id="262" w:name="_Toc1012374167"/>
      <w:r>
        <w:rPr>
          <w:rFonts w:hint="eastAsia"/>
          <w:color w:val="auto"/>
          <w:sz w:val="24"/>
          <w:szCs w:val="24"/>
          <w:highlight w:val="none"/>
        </w:rPr>
        <w:t>1.11 分包</w:t>
      </w:r>
      <w:bookmarkEnd w:id="255"/>
      <w:bookmarkEnd w:id="256"/>
      <w:bookmarkEnd w:id="257"/>
      <w:bookmarkEnd w:id="258"/>
      <w:bookmarkEnd w:id="259"/>
      <w:bookmarkEnd w:id="260"/>
      <w:bookmarkEnd w:id="261"/>
      <w:bookmarkEnd w:id="262"/>
    </w:p>
    <w:p>
      <w:pPr>
        <w:spacing w:line="336" w:lineRule="auto"/>
        <w:ind w:firstLine="420" w:firstLineChars="200"/>
        <w:rPr>
          <w:rFonts w:ascii="宋体" w:hAnsi="宋体" w:cs="宋体"/>
          <w:color w:val="auto"/>
          <w:szCs w:val="21"/>
          <w:highlight w:val="none"/>
        </w:rPr>
      </w:pPr>
      <w:r>
        <w:rPr>
          <w:rFonts w:hint="eastAsia" w:ascii="宋体" w:hAnsi="宋体" w:cs="宋体"/>
          <w:vanish/>
          <w:color w:val="auto"/>
          <w:szCs w:val="21"/>
          <w:highlight w:val="none"/>
        </w:rPr>
        <w:t>招要</w:t>
      </w:r>
      <w:r>
        <w:rPr>
          <w:rFonts w:hint="eastAsia" w:cs="宋体"/>
          <w:vanish/>
          <w:color w:val="auto"/>
          <w:szCs w:val="21"/>
          <w:highlight w:val="none"/>
        </w:rPr>
        <w:t>11</w:t>
      </w:r>
      <w:r>
        <w:rPr>
          <w:rFonts w:hint="eastAsia" w:ascii="宋体" w:hAnsi="宋体" w:cs="宋体"/>
          <w:vanish/>
          <w:color w:val="auto"/>
          <w:szCs w:val="21"/>
          <w:highlight w:val="none"/>
        </w:rPr>
        <w:t xml:space="preserve"> </w:t>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r>
        <w:rPr>
          <w:rFonts w:hint="eastAsia" w:ascii="宋体" w:hAnsi="宋体" w:cs="宋体"/>
          <w:vanish/>
          <w:color w:val="auto"/>
          <w:szCs w:val="21"/>
          <w:highlight w:val="none"/>
        </w:rPr>
        <w:pgNum/>
      </w:r>
      <w:bookmarkStart w:id="263" w:name="_Toc221950129"/>
      <w:r>
        <w:rPr>
          <w:rFonts w:hint="eastAsia" w:cs="宋体"/>
          <w:vanish/>
          <w:color w:val="auto"/>
          <w:szCs w:val="21"/>
          <w:highlight w:val="none"/>
        </w:rPr>
        <w:t>1</w:t>
      </w:r>
      <w:r>
        <w:rPr>
          <w:rFonts w:hint="eastAsia" w:ascii="宋体" w:hAnsi="宋体" w:cs="宋体"/>
          <w:vanish/>
          <w:color w:val="auto"/>
          <w:szCs w:val="21"/>
          <w:highlight w:val="none"/>
        </w:rPr>
        <w:t>.</w:t>
      </w:r>
      <w:r>
        <w:rPr>
          <w:rFonts w:hint="eastAsia" w:cs="宋体"/>
          <w:vanish/>
          <w:color w:val="auto"/>
          <w:szCs w:val="21"/>
          <w:highlight w:val="none"/>
        </w:rPr>
        <w:t>111</w:t>
      </w:r>
      <w:r>
        <w:rPr>
          <w:rFonts w:hint="eastAsia" w:ascii="宋体" w:hAnsi="宋体" w:cs="宋体"/>
          <w:vanish/>
          <w:color w:val="auto"/>
          <w:szCs w:val="21"/>
          <w:highlight w:val="none"/>
        </w:rPr>
        <w:t>.</w:t>
      </w:r>
      <w:r>
        <w:rPr>
          <w:rFonts w:hint="eastAsia" w:cs="宋体"/>
          <w:vanish/>
          <w:color w:val="auto"/>
          <w:szCs w:val="21"/>
          <w:highlight w:val="none"/>
        </w:rPr>
        <w:t>11</w:t>
      </w:r>
      <w:bookmarkEnd w:id="263"/>
      <w:r>
        <w:rPr>
          <w:rFonts w:hint="eastAsia"/>
          <w:color w:val="auto"/>
          <w:highlight w:val="none"/>
        </w:rPr>
        <w:t>投标人拟在中标后将中标项目的部分非主体、非关键性工作进行分包的，应符合投标人须知前附表规定的分包内容、分包金额和接受分包的第三人资质要求等限制性条件。</w:t>
      </w:r>
    </w:p>
    <w:p>
      <w:pPr>
        <w:pStyle w:val="38"/>
        <w:keepNext w:val="0"/>
        <w:keepLines w:val="0"/>
        <w:spacing w:line="336" w:lineRule="auto"/>
        <w:outlineLvl w:val="9"/>
        <w:rPr>
          <w:color w:val="auto"/>
          <w:sz w:val="24"/>
          <w:szCs w:val="24"/>
          <w:highlight w:val="none"/>
        </w:rPr>
      </w:pPr>
      <w:bookmarkStart w:id="264" w:name="_Toc27367"/>
      <w:bookmarkStart w:id="265" w:name="_Toc568214811"/>
      <w:bookmarkStart w:id="266" w:name="_Toc10595"/>
      <w:bookmarkStart w:id="267" w:name="_Toc30611"/>
      <w:bookmarkStart w:id="268" w:name="_Toc5980"/>
      <w:bookmarkStart w:id="269" w:name="_Toc18919"/>
      <w:bookmarkStart w:id="270" w:name="_Toc2019935380"/>
      <w:bookmarkStart w:id="271" w:name="_Toc32118"/>
      <w:bookmarkStart w:id="272" w:name="_Toc179632559"/>
      <w:bookmarkStart w:id="273" w:name="_Toc221950134"/>
      <w:r>
        <w:rPr>
          <w:rFonts w:hint="eastAsia"/>
          <w:color w:val="auto"/>
          <w:sz w:val="24"/>
          <w:szCs w:val="24"/>
          <w:highlight w:val="none"/>
        </w:rPr>
        <w:t>1.12 偏离</w:t>
      </w:r>
      <w:bookmarkEnd w:id="264"/>
      <w:bookmarkEnd w:id="265"/>
      <w:bookmarkEnd w:id="266"/>
      <w:bookmarkEnd w:id="267"/>
      <w:bookmarkEnd w:id="268"/>
      <w:bookmarkEnd w:id="269"/>
      <w:bookmarkEnd w:id="270"/>
      <w:bookmarkEnd w:id="271"/>
    </w:p>
    <w:bookmarkEnd w:id="272"/>
    <w:bookmarkEnd w:id="273"/>
    <w:p>
      <w:pPr>
        <w:spacing w:line="336" w:lineRule="auto"/>
        <w:ind w:firstLine="420" w:firstLineChars="200"/>
        <w:rPr>
          <w:rFonts w:ascii="宋体" w:hAnsi="宋体" w:cs="宋体"/>
          <w:color w:val="auto"/>
          <w:szCs w:val="21"/>
          <w:highlight w:val="none"/>
        </w:rPr>
      </w:pPr>
      <w:bookmarkStart w:id="274" w:name="_Toc221950135"/>
      <w:r>
        <w:rPr>
          <w:rFonts w:hint="eastAsia" w:ascii="宋体" w:hAnsi="宋体" w:cs="宋体"/>
          <w:color w:val="auto"/>
          <w:szCs w:val="21"/>
          <w:highlight w:val="none"/>
        </w:rPr>
        <w:t>投标文件不允许偏离招标文件的实质性要求和条件</w:t>
      </w:r>
      <w:bookmarkEnd w:id="274"/>
      <w:r>
        <w:rPr>
          <w:rFonts w:hint="eastAsia" w:ascii="宋体" w:hAnsi="宋体" w:cs="宋体"/>
          <w:color w:val="auto"/>
          <w:szCs w:val="21"/>
          <w:highlight w:val="none"/>
        </w:rPr>
        <w:t>。投标文件偏离招标文件的非实质性要求和条件的，其处理方式见投标人须知前附表。</w:t>
      </w:r>
      <w:bookmarkStart w:id="275" w:name="_Toc222030985"/>
      <w:bookmarkStart w:id="276" w:name="_Toc222033834"/>
      <w:bookmarkStart w:id="277" w:name="_Toc144974510"/>
      <w:bookmarkStart w:id="278" w:name="_Toc221950136"/>
      <w:bookmarkStart w:id="279" w:name="_Toc222029483"/>
      <w:bookmarkStart w:id="280" w:name="_Toc222032652"/>
      <w:bookmarkStart w:id="281" w:name="_Toc229305343"/>
      <w:bookmarkStart w:id="282" w:name="_Toc168475657"/>
      <w:bookmarkStart w:id="283" w:name="_Toc168476060"/>
    </w:p>
    <w:p>
      <w:pPr>
        <w:pStyle w:val="20"/>
        <w:keepNext w:val="0"/>
        <w:keepLines w:val="0"/>
        <w:spacing w:line="336" w:lineRule="auto"/>
        <w:outlineLvl w:val="2"/>
        <w:rPr>
          <w:color w:val="auto"/>
          <w:highlight w:val="none"/>
        </w:rPr>
      </w:pPr>
      <w:bookmarkStart w:id="284" w:name="_Toc3807"/>
      <w:bookmarkStart w:id="285" w:name="_Toc1776295213"/>
      <w:bookmarkStart w:id="286" w:name="_Toc387753552"/>
      <w:bookmarkStart w:id="287" w:name="_Toc23773"/>
      <w:bookmarkStart w:id="288" w:name="_Toc27580"/>
      <w:bookmarkStart w:id="289" w:name="_Toc9431735"/>
      <w:bookmarkStart w:id="290" w:name="_Toc7304"/>
      <w:bookmarkStart w:id="291" w:name="_Toc13481"/>
      <w:bookmarkStart w:id="292" w:name="_Toc18171"/>
      <w:r>
        <w:rPr>
          <w:rFonts w:hint="eastAsia"/>
          <w:color w:val="auto"/>
          <w:highlight w:val="none"/>
        </w:rPr>
        <w:t>2. 招标文件</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38"/>
        <w:keepNext w:val="0"/>
        <w:keepLines w:val="0"/>
        <w:spacing w:line="336" w:lineRule="auto"/>
        <w:outlineLvl w:val="9"/>
        <w:rPr>
          <w:color w:val="auto"/>
          <w:sz w:val="24"/>
          <w:szCs w:val="24"/>
          <w:highlight w:val="none"/>
        </w:rPr>
      </w:pPr>
      <w:bookmarkStart w:id="293" w:name="_Toc29349"/>
      <w:bookmarkStart w:id="294" w:name="_Toc144974511"/>
      <w:bookmarkStart w:id="295" w:name="_Toc2050399272"/>
      <w:bookmarkStart w:id="296" w:name="_Toc7912554"/>
      <w:bookmarkStart w:id="297" w:name="_Toc152045543"/>
      <w:bookmarkStart w:id="298" w:name="_Toc30966"/>
      <w:bookmarkStart w:id="299" w:name="_Toc3084"/>
      <w:bookmarkStart w:id="300" w:name="_Toc26072"/>
      <w:bookmarkStart w:id="301" w:name="_Toc179632561"/>
      <w:bookmarkStart w:id="302" w:name="_Toc152042319"/>
      <w:bookmarkStart w:id="303" w:name="_Toc24109"/>
      <w:bookmarkStart w:id="304" w:name="_Toc28860"/>
      <w:r>
        <w:rPr>
          <w:rFonts w:hint="eastAsia"/>
          <w:color w:val="auto"/>
          <w:sz w:val="24"/>
          <w:szCs w:val="24"/>
          <w:highlight w:val="none"/>
        </w:rPr>
        <w:t>2.1 招标文件的组成</w:t>
      </w:r>
      <w:bookmarkEnd w:id="293"/>
      <w:bookmarkEnd w:id="294"/>
      <w:bookmarkEnd w:id="295"/>
      <w:bookmarkEnd w:id="296"/>
      <w:bookmarkEnd w:id="297"/>
      <w:bookmarkEnd w:id="298"/>
      <w:bookmarkEnd w:id="299"/>
      <w:bookmarkEnd w:id="300"/>
      <w:bookmarkEnd w:id="301"/>
      <w:bookmarkEnd w:id="302"/>
      <w:bookmarkEnd w:id="303"/>
      <w:bookmarkEnd w:id="304"/>
    </w:p>
    <w:p>
      <w:pPr>
        <w:spacing w:line="336" w:lineRule="auto"/>
        <w:rPr>
          <w:rFonts w:ascii="宋体" w:hAnsi="宋体" w:cs="宋体"/>
          <w:color w:val="auto"/>
          <w:szCs w:val="21"/>
          <w:highlight w:val="none"/>
        </w:rPr>
      </w:pPr>
      <w:r>
        <w:rPr>
          <w:rFonts w:hint="eastAsia" w:ascii="宋体" w:hAnsi="宋体" w:cs="宋体"/>
          <w:color w:val="auto"/>
          <w:szCs w:val="21"/>
          <w:highlight w:val="none"/>
        </w:rPr>
        <w:t>　　本招标文件包括：</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）招标公告</w:t>
      </w:r>
      <w:r>
        <w:rPr>
          <w:rFonts w:hint="eastAsia" w:ascii="宋体" w:hAnsi="宋体" w:cs="宋体"/>
          <w:strike/>
          <w:dstrike w:val="0"/>
          <w:color w:val="auto"/>
          <w:szCs w:val="21"/>
          <w:highlight w:val="none"/>
        </w:rPr>
        <w:t>（或投标邀请书）</w:t>
      </w:r>
      <w:r>
        <w:rPr>
          <w:rFonts w:hint="eastAsia" w:ascii="宋体" w:hAnsi="宋体" w:cs="宋体"/>
          <w:color w:val="auto"/>
          <w:szCs w:val="21"/>
          <w:highlight w:val="none"/>
        </w:rPr>
        <w:t>；</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）投标人须知；</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）评标办法；</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）合同条款及格式；</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）工程量清单；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）图纸；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）技术标准和要求；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）投标文件格式；</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）投标人须知前附表规定的其他材料。</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款、第</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款和第</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款对招标文件所作的澄清、修改，构成招标文件的组成部分。</w:t>
      </w:r>
    </w:p>
    <w:p>
      <w:pPr>
        <w:pStyle w:val="38"/>
        <w:keepNext w:val="0"/>
        <w:keepLines w:val="0"/>
        <w:spacing w:line="336" w:lineRule="auto"/>
        <w:outlineLvl w:val="9"/>
        <w:rPr>
          <w:color w:val="auto"/>
          <w:sz w:val="24"/>
          <w:szCs w:val="24"/>
          <w:highlight w:val="none"/>
        </w:rPr>
      </w:pPr>
      <w:bookmarkStart w:id="305" w:name="_Toc2123569671"/>
      <w:bookmarkStart w:id="306" w:name="_Toc14703"/>
      <w:bookmarkStart w:id="307" w:name="_Toc27456"/>
      <w:bookmarkStart w:id="308" w:name="_Toc18104"/>
      <w:bookmarkStart w:id="309" w:name="_Toc7417"/>
      <w:bookmarkStart w:id="310" w:name="_Toc395776369"/>
      <w:bookmarkStart w:id="311" w:name="_Toc11765"/>
      <w:bookmarkStart w:id="312" w:name="_Toc2095065971"/>
      <w:bookmarkStart w:id="313" w:name="_Toc7075"/>
      <w:bookmarkStart w:id="314" w:name="_Toc221950142"/>
      <w:bookmarkStart w:id="315" w:name="_Toc229305344"/>
      <w:bookmarkStart w:id="316" w:name="_Toc168476064"/>
      <w:bookmarkStart w:id="317" w:name="_Toc222030986"/>
      <w:bookmarkStart w:id="318" w:name="_Toc168475661"/>
      <w:bookmarkStart w:id="319" w:name="_Toc144974514"/>
      <w:bookmarkStart w:id="320" w:name="_Toc222032653"/>
      <w:bookmarkStart w:id="321" w:name="_Toc221950151"/>
      <w:bookmarkStart w:id="322" w:name="_Toc222029484"/>
      <w:bookmarkStart w:id="323" w:name="_Toc222033835"/>
      <w:bookmarkStart w:id="324" w:name="_Toc387753553"/>
      <w:r>
        <w:rPr>
          <w:rFonts w:hint="eastAsia"/>
          <w:color w:val="auto"/>
          <w:sz w:val="24"/>
          <w:szCs w:val="24"/>
          <w:highlight w:val="none"/>
        </w:rPr>
        <w:t>2.2 招标文件的澄清</w:t>
      </w:r>
      <w:bookmarkEnd w:id="305"/>
      <w:bookmarkEnd w:id="306"/>
      <w:bookmarkEnd w:id="307"/>
      <w:bookmarkEnd w:id="308"/>
      <w:bookmarkEnd w:id="309"/>
      <w:bookmarkEnd w:id="310"/>
      <w:bookmarkEnd w:id="311"/>
      <w:bookmarkEnd w:id="312"/>
      <w:bookmarkEnd w:id="313"/>
    </w:p>
    <w:bookmarkEnd w:id="314"/>
    <w:p>
      <w:pPr>
        <w:pStyle w:val="39"/>
        <w:spacing w:line="336" w:lineRule="auto"/>
        <w:ind w:firstLine="420" w:firstLineChars="200"/>
        <w:rPr>
          <w:color w:val="auto"/>
          <w:sz w:val="21"/>
          <w:szCs w:val="21"/>
          <w:highlight w:val="none"/>
        </w:rPr>
      </w:pPr>
      <w:bookmarkStart w:id="325" w:name="_Toc395776370"/>
      <w:r>
        <w:rPr>
          <w:rFonts w:hint="eastAsia" w:ascii="Times New Roman" w:hAnsi="Times New Roman"/>
          <w:color w:val="auto"/>
          <w:sz w:val="21"/>
          <w:szCs w:val="21"/>
          <w:highlight w:val="none"/>
        </w:rPr>
        <w:t>2</w:t>
      </w:r>
      <w:r>
        <w:rPr>
          <w:rFonts w:hint="eastAsia"/>
          <w:color w:val="auto"/>
          <w:sz w:val="21"/>
          <w:szCs w:val="21"/>
          <w:highlight w:val="none"/>
        </w:rPr>
        <w:t>.</w:t>
      </w:r>
      <w:r>
        <w:rPr>
          <w:rFonts w:hint="eastAsia" w:ascii="Times New Roman" w:hAnsi="Times New Roman"/>
          <w:color w:val="auto"/>
          <w:sz w:val="21"/>
          <w:szCs w:val="21"/>
          <w:highlight w:val="none"/>
        </w:rPr>
        <w:t>2</w:t>
      </w:r>
      <w:r>
        <w:rPr>
          <w:rFonts w:hint="eastAsia"/>
          <w:color w:val="auto"/>
          <w:sz w:val="21"/>
          <w:szCs w:val="21"/>
          <w:highlight w:val="none"/>
        </w:rPr>
        <w:t>.</w:t>
      </w:r>
      <w:r>
        <w:rPr>
          <w:rFonts w:hint="eastAsia" w:ascii="Times New Roman" w:hAnsi="Times New Roman"/>
          <w:color w:val="auto"/>
          <w:sz w:val="21"/>
          <w:szCs w:val="21"/>
          <w:highlight w:val="none"/>
        </w:rPr>
        <w:t>1</w:t>
      </w:r>
      <w:r>
        <w:rPr>
          <w:rFonts w:hint="eastAsia"/>
          <w:color w:val="auto"/>
          <w:sz w:val="21"/>
          <w:szCs w:val="21"/>
          <w:highlight w:val="none"/>
        </w:rPr>
        <w:t>投标人应仔细阅读和检查招标文件的全部内容。如发现缺页或附件不全，应及时向招标人提出，以便补齐。如有疑问，应在投标人须知前附表规定的时间前，要求招标人对招标文件予以澄清，按照电子交易平台的相关指南进行操作。</w:t>
      </w:r>
    </w:p>
    <w:p>
      <w:pPr>
        <w:spacing w:line="336" w:lineRule="auto"/>
        <w:ind w:firstLine="420" w:firstLineChars="200"/>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招标人对招标文件的澄清通过“</w:t>
      </w:r>
      <w:r>
        <w:rPr>
          <w:rFonts w:hint="eastAsia" w:ascii="宋体" w:hAnsi="宋体" w:cs="宋体"/>
          <w:color w:val="auto"/>
          <w:szCs w:val="21"/>
          <w:highlight w:val="none"/>
        </w:rPr>
        <w:t>电子交易平台”</w:t>
      </w:r>
      <w:r>
        <w:rPr>
          <w:rFonts w:hint="eastAsia" w:ascii="宋体" w:hAnsi="宋体" w:cs="宋体"/>
          <w:color w:val="auto"/>
          <w:kern w:val="0"/>
          <w:szCs w:val="21"/>
          <w:highlight w:val="none"/>
        </w:rPr>
        <w:t>发给所有下载招标文件的投标人，但不指明澄清问题的来源。如果澄清通知发出的时间距投标人须知前附表第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项规定的投标截止时间不足</w:t>
      </w:r>
      <w:r>
        <w:rPr>
          <w:rFonts w:hint="eastAsia" w:cs="宋体"/>
          <w:color w:val="auto"/>
          <w:kern w:val="0"/>
          <w:szCs w:val="21"/>
          <w:highlight w:val="none"/>
        </w:rPr>
        <w:t>15</w:t>
      </w:r>
      <w:r>
        <w:rPr>
          <w:rFonts w:hint="eastAsia" w:ascii="宋体" w:hAnsi="宋体" w:cs="宋体"/>
          <w:color w:val="auto"/>
          <w:kern w:val="0"/>
          <w:szCs w:val="21"/>
          <w:highlight w:val="none"/>
        </w:rPr>
        <w:t>日，并且澄清的内容影响投标文件编制的，相应延长投标截止时间。</w:t>
      </w:r>
    </w:p>
    <w:p>
      <w:pPr>
        <w:spacing w:line="336" w:lineRule="auto"/>
        <w:ind w:firstLine="420" w:firstLineChars="200"/>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投标人应实</w:t>
      </w:r>
      <w:r>
        <w:rPr>
          <w:rFonts w:hint="eastAsia"/>
          <w:color w:val="auto"/>
          <w:highlight w:val="none"/>
        </w:rPr>
        <w:t>时关注“电子交易平台”</w:t>
      </w:r>
      <w:r>
        <w:rPr>
          <w:rFonts w:hint="eastAsia" w:ascii="宋体" w:hAnsi="宋体" w:cs="宋体"/>
          <w:color w:val="auto"/>
          <w:kern w:val="0"/>
          <w:szCs w:val="21"/>
          <w:highlight w:val="none"/>
        </w:rPr>
        <w:t>上发出的澄清通知，因投标人自身原因未及时获知澄清内容而导致的任何后果将由投标人自行承担。</w:t>
      </w:r>
    </w:p>
    <w:p>
      <w:pPr>
        <w:pStyle w:val="38"/>
        <w:keepNext w:val="0"/>
        <w:keepLines w:val="0"/>
        <w:spacing w:line="336" w:lineRule="auto"/>
        <w:outlineLvl w:val="9"/>
        <w:rPr>
          <w:color w:val="auto"/>
          <w:sz w:val="24"/>
          <w:szCs w:val="24"/>
          <w:highlight w:val="none"/>
        </w:rPr>
      </w:pPr>
      <w:bookmarkStart w:id="326" w:name="_Toc6569"/>
      <w:bookmarkStart w:id="327" w:name="_Toc1788641439"/>
      <w:bookmarkStart w:id="328" w:name="_Toc9601"/>
      <w:bookmarkStart w:id="329" w:name="_Toc28519"/>
      <w:bookmarkStart w:id="330" w:name="_Toc3748"/>
      <w:bookmarkStart w:id="331" w:name="_Toc1752"/>
      <w:bookmarkStart w:id="332" w:name="_Toc1846727087"/>
      <w:bookmarkStart w:id="333" w:name="_Toc19139"/>
      <w:r>
        <w:rPr>
          <w:rFonts w:hint="eastAsia"/>
          <w:color w:val="auto"/>
          <w:sz w:val="24"/>
          <w:szCs w:val="24"/>
          <w:highlight w:val="none"/>
        </w:rPr>
        <w:t>2.3 招标文件的修改</w:t>
      </w:r>
      <w:bookmarkEnd w:id="325"/>
      <w:bookmarkEnd w:id="326"/>
      <w:bookmarkEnd w:id="327"/>
      <w:bookmarkEnd w:id="328"/>
      <w:bookmarkEnd w:id="329"/>
      <w:bookmarkEnd w:id="330"/>
      <w:bookmarkEnd w:id="331"/>
      <w:bookmarkEnd w:id="332"/>
      <w:bookmarkEnd w:id="333"/>
    </w:p>
    <w:p>
      <w:pPr>
        <w:spacing w:line="336" w:lineRule="auto"/>
        <w:ind w:firstLine="420" w:firstLineChars="200"/>
        <w:rPr>
          <w:rFonts w:ascii="宋体" w:hAnsi="宋体" w:cs="宋体"/>
          <w:color w:val="auto"/>
          <w:highlight w:val="none"/>
        </w:rPr>
      </w:pPr>
      <w:bookmarkStart w:id="334" w:name="_Toc395776371"/>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招标人可以书面形式修改招标文件，并通过“电子交易平台”通知所有下载招标文件的投标人。如果修改通知发出的时间距投标人须知前附表第</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项规定的投标截止时间不足</w:t>
      </w:r>
      <w:r>
        <w:rPr>
          <w:rFonts w:hint="eastAsia" w:cs="宋体"/>
          <w:color w:val="auto"/>
          <w:highlight w:val="none"/>
        </w:rPr>
        <w:t>15</w:t>
      </w:r>
      <w:r>
        <w:rPr>
          <w:rFonts w:hint="eastAsia" w:ascii="宋体" w:hAnsi="宋体" w:cs="宋体"/>
          <w:color w:val="auto"/>
          <w:highlight w:val="none"/>
        </w:rPr>
        <w:t>日，并且修改的内容影响投标文件编制的，相应延长投标截止时间。</w:t>
      </w:r>
    </w:p>
    <w:p>
      <w:pPr>
        <w:spacing w:line="336" w:lineRule="auto"/>
        <w:ind w:firstLine="420" w:firstLineChars="20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投标人应实时</w:t>
      </w:r>
      <w:r>
        <w:rPr>
          <w:rFonts w:hint="eastAsia"/>
          <w:color w:val="auto"/>
          <w:highlight w:val="none"/>
        </w:rPr>
        <w:t>关注“电子交易平台”</w:t>
      </w:r>
      <w:r>
        <w:rPr>
          <w:rFonts w:hint="eastAsia" w:ascii="宋体" w:hAnsi="宋体" w:cs="宋体"/>
          <w:color w:val="auto"/>
          <w:highlight w:val="none"/>
        </w:rPr>
        <w:t>上发出的修改通知，因投标人自身原因未及时获知修改内容而导致的任何后果将由投标人自行承担。</w:t>
      </w:r>
    </w:p>
    <w:p>
      <w:pPr>
        <w:pStyle w:val="38"/>
        <w:keepNext w:val="0"/>
        <w:keepLines w:val="0"/>
        <w:spacing w:line="336" w:lineRule="auto"/>
        <w:outlineLvl w:val="9"/>
        <w:rPr>
          <w:color w:val="auto"/>
          <w:sz w:val="24"/>
          <w:szCs w:val="24"/>
          <w:highlight w:val="none"/>
        </w:rPr>
      </w:pPr>
      <w:bookmarkStart w:id="335" w:name="_Toc7527"/>
      <w:bookmarkStart w:id="336" w:name="_Toc23615"/>
      <w:bookmarkStart w:id="337" w:name="_Toc220747189"/>
      <w:bookmarkStart w:id="338" w:name="_Toc32198"/>
      <w:bookmarkStart w:id="339" w:name="_Toc18444"/>
      <w:bookmarkStart w:id="340" w:name="_Toc1306123847"/>
      <w:bookmarkStart w:id="341" w:name="_Toc29161"/>
      <w:bookmarkStart w:id="342" w:name="_Toc23287"/>
      <w:r>
        <w:rPr>
          <w:rFonts w:hint="eastAsia"/>
          <w:color w:val="auto"/>
          <w:sz w:val="24"/>
          <w:szCs w:val="24"/>
          <w:highlight w:val="none"/>
        </w:rPr>
        <w:t>2.4 招标文件的异议</w:t>
      </w:r>
      <w:bookmarkEnd w:id="334"/>
      <w:bookmarkEnd w:id="335"/>
      <w:bookmarkEnd w:id="336"/>
      <w:bookmarkEnd w:id="337"/>
      <w:bookmarkEnd w:id="338"/>
      <w:bookmarkEnd w:id="339"/>
      <w:bookmarkEnd w:id="340"/>
      <w:bookmarkEnd w:id="341"/>
      <w:bookmarkEnd w:id="342"/>
    </w:p>
    <w:p>
      <w:pPr>
        <w:spacing w:line="336" w:lineRule="auto"/>
        <w:ind w:firstLine="462" w:firstLineChars="22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投标人或者其他利害关系人对招标文件（包括对招标文件澄清和修改的内容）有异议的，应当在投标人须知前附表</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项规定的投标截止时间</w:t>
      </w:r>
      <w:r>
        <w:rPr>
          <w:rFonts w:hint="eastAsia" w:cs="宋体"/>
          <w:color w:val="auto"/>
          <w:highlight w:val="none"/>
        </w:rPr>
        <w:t>10</w:t>
      </w:r>
      <w:r>
        <w:rPr>
          <w:rFonts w:hint="eastAsia" w:ascii="宋体" w:hAnsi="宋体" w:cs="宋体"/>
          <w:color w:val="auto"/>
          <w:highlight w:val="none"/>
        </w:rPr>
        <w:t>日前提出。招标人自收到异议之日起</w:t>
      </w:r>
      <w:r>
        <w:rPr>
          <w:rFonts w:hint="eastAsia" w:cs="宋体"/>
          <w:color w:val="auto"/>
          <w:highlight w:val="none"/>
        </w:rPr>
        <w:t>3</w:t>
      </w:r>
      <w:r>
        <w:rPr>
          <w:rFonts w:hint="eastAsia" w:ascii="宋体" w:hAnsi="宋体" w:cs="宋体"/>
          <w:color w:val="auto"/>
          <w:highlight w:val="none"/>
        </w:rPr>
        <w:t>日内作出答复；作出答复前，招标人将暂停招标投标活动。逾期提出的，招标人可</w:t>
      </w:r>
      <w:r>
        <w:rPr>
          <w:rFonts w:hint="eastAsia" w:ascii="宋体" w:hAnsi="宋体" w:cs="宋体"/>
          <w:color w:val="auto"/>
          <w:szCs w:val="21"/>
          <w:highlight w:val="none"/>
        </w:rPr>
        <w:t>不予受理</w:t>
      </w:r>
      <w:r>
        <w:rPr>
          <w:rFonts w:hint="eastAsia" w:ascii="宋体" w:hAnsi="宋体" w:cs="宋体"/>
          <w:color w:val="auto"/>
          <w:highlight w:val="none"/>
        </w:rPr>
        <w:t>。异议与答复应</w:t>
      </w:r>
      <w:r>
        <w:rPr>
          <w:rFonts w:hint="eastAsia" w:ascii="宋体" w:hAnsi="宋体" w:cs="宋体"/>
          <w:color w:val="auto"/>
          <w:szCs w:val="21"/>
          <w:highlight w:val="none"/>
        </w:rPr>
        <w:t>通过“电子交易平台”进行</w:t>
      </w:r>
      <w:r>
        <w:rPr>
          <w:rFonts w:hint="eastAsia" w:ascii="宋体" w:hAnsi="宋体" w:cs="宋体"/>
          <w:color w:val="auto"/>
          <w:highlight w:val="none"/>
        </w:rPr>
        <w:t>。</w:t>
      </w:r>
    </w:p>
    <w:p>
      <w:pPr>
        <w:spacing w:line="336" w:lineRule="auto"/>
        <w:ind w:firstLine="462" w:firstLineChars="220"/>
        <w:rPr>
          <w:rFonts w:ascii="宋体" w:hAnsi="宋体" w:cs="宋体"/>
          <w:color w:val="auto"/>
          <w:highlight w:val="none"/>
        </w:rPr>
      </w:pPr>
      <w:r>
        <w:rPr>
          <w:rFonts w:hint="eastAsia" w:ascii="宋体" w:hAnsi="宋体" w:cs="宋体"/>
          <w:color w:val="auto"/>
          <w:highlight w:val="none"/>
        </w:rPr>
        <w:t>本处所称异议是指投标人或者其他利害关系人认为招标文件的内容违反法律、法规、规章的强制性规定，违反公开、公平、公正和诚实信用原则，影响投标人投标而向招标人提出的质疑。</w:t>
      </w:r>
    </w:p>
    <w:p>
      <w:pPr>
        <w:spacing w:line="336" w:lineRule="auto"/>
        <w:ind w:firstLine="359" w:firstLineChars="171"/>
        <w:rPr>
          <w:rFonts w:ascii="宋体" w:hAnsi="宋体" w:cs="宋体"/>
          <w:color w:val="auto"/>
          <w:highlight w:val="none"/>
        </w:rPr>
      </w:pPr>
      <w:r>
        <w:rPr>
          <w:rFonts w:hint="eastAsia" w:cs="宋体"/>
          <w:bCs/>
          <w:color w:val="auto"/>
          <w:highlight w:val="none"/>
        </w:rPr>
        <w:t>2</w:t>
      </w:r>
      <w:r>
        <w:rPr>
          <w:rFonts w:hint="eastAsia" w:ascii="宋体" w:hAnsi="宋体" w:cs="宋体"/>
          <w:bCs/>
          <w:color w:val="auto"/>
          <w:highlight w:val="none"/>
        </w:rPr>
        <w:t>.</w:t>
      </w:r>
      <w:r>
        <w:rPr>
          <w:rFonts w:hint="eastAsia" w:cs="宋体"/>
          <w:bCs/>
          <w:color w:val="auto"/>
          <w:highlight w:val="none"/>
        </w:rPr>
        <w:t>4</w:t>
      </w:r>
      <w:r>
        <w:rPr>
          <w:rFonts w:hint="eastAsia" w:ascii="宋体" w:hAnsi="宋体" w:cs="宋体"/>
          <w:bCs/>
          <w:color w:val="auto"/>
          <w:highlight w:val="none"/>
        </w:rPr>
        <w:t>.</w:t>
      </w:r>
      <w:r>
        <w:rPr>
          <w:rFonts w:hint="eastAsia" w:cs="宋体"/>
          <w:bCs/>
          <w:color w:val="auto"/>
          <w:highlight w:val="none"/>
        </w:rPr>
        <w:t>2</w:t>
      </w:r>
      <w:r>
        <w:rPr>
          <w:rFonts w:hint="eastAsia" w:ascii="宋体" w:hAnsi="宋体" w:cs="宋体"/>
          <w:bCs/>
          <w:color w:val="auto"/>
          <w:highlight w:val="none"/>
        </w:rPr>
        <w:t>招标人对异议的答复构成对招标文件澄清或者修改的，</w:t>
      </w:r>
      <w:r>
        <w:rPr>
          <w:rFonts w:hint="eastAsia" w:ascii="宋体" w:hAnsi="宋体" w:cs="宋体"/>
          <w:color w:val="auto"/>
          <w:highlight w:val="none"/>
        </w:rPr>
        <w:t>招标人将按照本章第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款、第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款规定办理。</w:t>
      </w:r>
    </w:p>
    <w:p>
      <w:pPr>
        <w:pStyle w:val="20"/>
        <w:keepNext w:val="0"/>
        <w:keepLines w:val="0"/>
        <w:spacing w:line="336" w:lineRule="auto"/>
        <w:outlineLvl w:val="2"/>
        <w:rPr>
          <w:color w:val="auto"/>
          <w:highlight w:val="none"/>
        </w:rPr>
      </w:pPr>
      <w:bookmarkStart w:id="343" w:name="_Toc1383675457"/>
      <w:bookmarkStart w:id="344" w:name="_Toc3651"/>
      <w:bookmarkStart w:id="345" w:name="_Toc20361"/>
      <w:bookmarkStart w:id="346" w:name="_Toc13403"/>
      <w:bookmarkStart w:id="347" w:name="_Toc8343"/>
      <w:bookmarkStart w:id="348" w:name="_Toc1317666139"/>
      <w:bookmarkStart w:id="349" w:name="_Toc6995"/>
      <w:bookmarkStart w:id="350" w:name="_Toc29608"/>
      <w:r>
        <w:rPr>
          <w:rFonts w:hint="eastAsia"/>
          <w:color w:val="auto"/>
          <w:highlight w:val="none"/>
        </w:rPr>
        <w:t>3. 投标文件</w:t>
      </w:r>
      <w:bookmarkEnd w:id="315"/>
      <w:bookmarkEnd w:id="316"/>
      <w:bookmarkEnd w:id="317"/>
      <w:bookmarkEnd w:id="318"/>
      <w:bookmarkEnd w:id="319"/>
      <w:bookmarkEnd w:id="320"/>
      <w:bookmarkEnd w:id="321"/>
      <w:bookmarkEnd w:id="322"/>
      <w:bookmarkEnd w:id="323"/>
      <w:bookmarkEnd w:id="324"/>
      <w:bookmarkEnd w:id="343"/>
      <w:bookmarkEnd w:id="344"/>
      <w:bookmarkEnd w:id="345"/>
      <w:bookmarkEnd w:id="346"/>
      <w:bookmarkEnd w:id="347"/>
      <w:bookmarkEnd w:id="348"/>
      <w:bookmarkEnd w:id="349"/>
      <w:bookmarkEnd w:id="350"/>
    </w:p>
    <w:p>
      <w:pPr>
        <w:pStyle w:val="38"/>
        <w:keepNext w:val="0"/>
        <w:keepLines w:val="0"/>
        <w:spacing w:line="336" w:lineRule="auto"/>
        <w:outlineLvl w:val="9"/>
        <w:rPr>
          <w:color w:val="auto"/>
          <w:sz w:val="24"/>
          <w:szCs w:val="24"/>
          <w:highlight w:val="none"/>
        </w:rPr>
      </w:pPr>
      <w:bookmarkStart w:id="351" w:name="_Toc179632565"/>
      <w:bookmarkStart w:id="352" w:name="_Toc428392008"/>
      <w:bookmarkStart w:id="353" w:name="_Toc144974515"/>
      <w:bookmarkStart w:id="354" w:name="_Toc10502"/>
      <w:bookmarkStart w:id="355" w:name="_Toc19862"/>
      <w:bookmarkStart w:id="356" w:name="_Toc152045547"/>
      <w:bookmarkStart w:id="357" w:name="_Toc14111"/>
      <w:bookmarkStart w:id="358" w:name="_Toc823241798"/>
      <w:bookmarkStart w:id="359" w:name="_Toc1787"/>
      <w:bookmarkStart w:id="360" w:name="_Toc152042323"/>
      <w:bookmarkStart w:id="361" w:name="_Toc30639"/>
      <w:bookmarkStart w:id="362" w:name="_Toc3295"/>
      <w:r>
        <w:rPr>
          <w:rFonts w:hint="eastAsia"/>
          <w:color w:val="auto"/>
          <w:sz w:val="24"/>
          <w:szCs w:val="24"/>
          <w:highlight w:val="none"/>
        </w:rPr>
        <w:t>3.1 投标文件的组成</w:t>
      </w:r>
      <w:bookmarkEnd w:id="351"/>
      <w:bookmarkEnd w:id="352"/>
      <w:bookmarkEnd w:id="353"/>
      <w:bookmarkEnd w:id="354"/>
      <w:bookmarkEnd w:id="355"/>
      <w:bookmarkEnd w:id="356"/>
      <w:bookmarkEnd w:id="357"/>
      <w:bookmarkEnd w:id="358"/>
      <w:bookmarkEnd w:id="359"/>
      <w:bookmarkEnd w:id="360"/>
      <w:bookmarkEnd w:id="361"/>
      <w:bookmarkEnd w:id="362"/>
    </w:p>
    <w:p>
      <w:pPr>
        <w:spacing w:line="336" w:lineRule="auto"/>
        <w:rPr>
          <w:rFonts w:ascii="宋体" w:hAnsi="宋体" w:cs="宋体"/>
          <w:color w:val="auto"/>
          <w:szCs w:val="21"/>
          <w:highlight w:val="none"/>
        </w:rPr>
      </w:pPr>
      <w:r>
        <w:rPr>
          <w:rFonts w:hint="eastAsia" w:ascii="宋体" w:hAnsi="宋体" w:cs="宋体"/>
          <w:color w:val="auto"/>
          <w:szCs w:val="21"/>
          <w:highlight w:val="none"/>
        </w:rPr>
        <w:t>　　</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投标文件应包括下列内容：</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）投标函及投标函附录；</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）法定代表人身份证明；</w:t>
      </w:r>
    </w:p>
    <w:p>
      <w:pPr>
        <w:spacing w:line="336" w:lineRule="auto"/>
        <w:ind w:firstLine="359" w:firstLineChars="171"/>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olor w:val="auto"/>
          <w:szCs w:val="21"/>
          <w:highlight w:val="none"/>
          <w:u w:val="single"/>
        </w:rPr>
        <w:t>《关于投标保证金的承诺》</w:t>
      </w:r>
    </w:p>
    <w:p>
      <w:pPr>
        <w:spacing w:line="336" w:lineRule="auto"/>
        <w:ind w:firstLine="359" w:firstLineChars="171"/>
        <w:rPr>
          <w:rFonts w:ascii="宋体" w:hAnsi="宋体" w:cs="宋体"/>
          <w:strike/>
          <w:color w:val="auto"/>
          <w:szCs w:val="21"/>
          <w:highlight w:val="none"/>
        </w:rPr>
      </w:pPr>
      <w:r>
        <w:rPr>
          <w:rFonts w:hint="eastAsia" w:ascii="宋体" w:hAnsi="宋体" w:cs="宋体"/>
          <w:strike/>
          <w:color w:val="auto"/>
          <w:szCs w:val="21"/>
          <w:highlight w:val="none"/>
        </w:rPr>
        <w:t>（</w:t>
      </w:r>
      <w:r>
        <w:rPr>
          <w:rFonts w:hint="eastAsia" w:cs="宋体"/>
          <w:strike/>
          <w:color w:val="auto"/>
          <w:szCs w:val="21"/>
          <w:highlight w:val="none"/>
        </w:rPr>
        <w:t>4</w:t>
      </w:r>
      <w:r>
        <w:rPr>
          <w:rFonts w:hint="eastAsia" w:ascii="宋体" w:hAnsi="宋体" w:cs="宋体"/>
          <w:strike/>
          <w:color w:val="auto"/>
          <w:szCs w:val="21"/>
          <w:highlight w:val="none"/>
        </w:rPr>
        <w:t>）联合体协议书；</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）拟分包项目情况表；</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）投标报价；</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）施工组织设计； </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）项目管理机构；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）资格审查资料；</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）农田建设项目信用承诺书；</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）投标人须知前附表规定的其他材料。</w:t>
      </w:r>
    </w:p>
    <w:p>
      <w:pPr>
        <w:spacing w:line="336" w:lineRule="auto"/>
        <w:ind w:firstLine="359" w:firstLineChars="171"/>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投标人须知前附表规定不接受联合体投标的，或投标人没有组成联合体的，投标文件不包括本章第</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）目所指的联合体协议书。 </w:t>
      </w:r>
    </w:p>
    <w:p>
      <w:pPr>
        <w:pStyle w:val="38"/>
        <w:keepNext w:val="0"/>
        <w:keepLines w:val="0"/>
        <w:spacing w:line="336" w:lineRule="auto"/>
        <w:outlineLvl w:val="9"/>
        <w:rPr>
          <w:color w:val="auto"/>
          <w:sz w:val="24"/>
          <w:szCs w:val="24"/>
          <w:highlight w:val="none"/>
        </w:rPr>
      </w:pPr>
      <w:bookmarkStart w:id="363" w:name="_Toc179632566"/>
      <w:bookmarkStart w:id="364" w:name="_Toc31400"/>
      <w:bookmarkStart w:id="365" w:name="_Toc6195"/>
      <w:bookmarkStart w:id="366" w:name="_Toc1036125780"/>
      <w:bookmarkStart w:id="367" w:name="_Toc127016271"/>
      <w:bookmarkStart w:id="368" w:name="_Toc23279"/>
      <w:bookmarkStart w:id="369" w:name="_Toc11250"/>
      <w:bookmarkStart w:id="370" w:name="_Toc152045548"/>
      <w:bookmarkStart w:id="371" w:name="_Toc144974516"/>
      <w:bookmarkStart w:id="372" w:name="_Toc152042324"/>
      <w:bookmarkStart w:id="373" w:name="_Toc16760"/>
      <w:bookmarkStart w:id="374" w:name="_Toc19335"/>
      <w:r>
        <w:rPr>
          <w:rFonts w:hint="eastAsia"/>
          <w:color w:val="auto"/>
          <w:sz w:val="24"/>
          <w:szCs w:val="24"/>
          <w:highlight w:val="none"/>
        </w:rPr>
        <w:t>3.2 投标报价</w:t>
      </w:r>
      <w:bookmarkEnd w:id="363"/>
      <w:bookmarkEnd w:id="364"/>
      <w:bookmarkEnd w:id="365"/>
      <w:bookmarkEnd w:id="366"/>
      <w:bookmarkEnd w:id="367"/>
      <w:bookmarkEnd w:id="368"/>
      <w:bookmarkEnd w:id="369"/>
      <w:bookmarkEnd w:id="370"/>
      <w:bookmarkEnd w:id="371"/>
      <w:bookmarkEnd w:id="372"/>
      <w:bookmarkEnd w:id="373"/>
      <w:bookmarkEnd w:id="374"/>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投标人应按第五章“工程量清单”的要求填写相应表格。</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投标人在投标截止时间前修改投标函中的投标总报价，应同时修改第五章“工程量清单”中的相应报价。此修改须符合本章第</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款的有关要求。　　</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投标人投标函中的大写报价或算术错误修正后的投标总报价大于最高投标限价的，</w:t>
      </w:r>
      <w:r>
        <w:rPr>
          <w:rFonts w:ascii="宋体" w:hAnsi="宋体" w:cs="宋体"/>
          <w:color w:val="auto"/>
          <w:szCs w:val="21"/>
          <w:highlight w:val="none"/>
        </w:rPr>
        <w:t>其投标</w:t>
      </w:r>
      <w:r>
        <w:rPr>
          <w:rFonts w:hint="eastAsia" w:ascii="宋体" w:hAnsi="宋体" w:cs="宋体"/>
          <w:color w:val="auto"/>
          <w:szCs w:val="21"/>
          <w:highlight w:val="none"/>
        </w:rPr>
        <w:t>将被否决</w:t>
      </w:r>
      <w:r>
        <w:rPr>
          <w:rFonts w:ascii="宋体" w:hAnsi="宋体" w:cs="宋体"/>
          <w:color w:val="auto"/>
          <w:szCs w:val="21"/>
          <w:highlight w:val="none"/>
        </w:rPr>
        <w:t>。</w:t>
      </w:r>
      <w:r>
        <w:rPr>
          <w:rFonts w:hint="eastAsia" w:ascii="宋体" w:hAnsi="宋体" w:cs="宋体"/>
          <w:color w:val="auto"/>
          <w:szCs w:val="21"/>
          <w:highlight w:val="none"/>
        </w:rPr>
        <w:t>最高投标限价见投标人须知前附表。</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成本警示价见投标人须知前附表。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38"/>
        <w:keepNext w:val="0"/>
        <w:keepLines w:val="0"/>
        <w:spacing w:line="336" w:lineRule="auto"/>
        <w:outlineLvl w:val="9"/>
        <w:rPr>
          <w:color w:val="auto"/>
          <w:sz w:val="24"/>
          <w:szCs w:val="24"/>
          <w:highlight w:val="none"/>
        </w:rPr>
      </w:pPr>
      <w:bookmarkStart w:id="375" w:name="_Toc1211"/>
      <w:bookmarkStart w:id="376" w:name="_Toc8863"/>
      <w:bookmarkStart w:id="377" w:name="_Toc179632567"/>
      <w:bookmarkStart w:id="378" w:name="_Toc1611401478"/>
      <w:bookmarkStart w:id="379" w:name="_Toc12266"/>
      <w:bookmarkStart w:id="380" w:name="_Toc144974517"/>
      <w:bookmarkStart w:id="381" w:name="_Toc397810664"/>
      <w:bookmarkStart w:id="382" w:name="_Toc31332"/>
      <w:bookmarkStart w:id="383" w:name="_Toc15720"/>
      <w:bookmarkStart w:id="384" w:name="_Toc402"/>
      <w:bookmarkStart w:id="385" w:name="_Toc152042325"/>
      <w:bookmarkStart w:id="386" w:name="_Toc152045549"/>
      <w:r>
        <w:rPr>
          <w:rFonts w:hint="eastAsia"/>
          <w:color w:val="auto"/>
          <w:sz w:val="24"/>
          <w:szCs w:val="24"/>
          <w:highlight w:val="none"/>
        </w:rPr>
        <w:t>3.3 投标有效期</w:t>
      </w:r>
      <w:bookmarkEnd w:id="375"/>
      <w:bookmarkEnd w:id="376"/>
      <w:bookmarkEnd w:id="377"/>
      <w:bookmarkEnd w:id="378"/>
      <w:bookmarkEnd w:id="379"/>
      <w:bookmarkEnd w:id="380"/>
      <w:bookmarkEnd w:id="381"/>
      <w:bookmarkEnd w:id="382"/>
      <w:bookmarkEnd w:id="383"/>
      <w:bookmarkEnd w:id="384"/>
      <w:bookmarkEnd w:id="385"/>
      <w:bookmarkEnd w:id="386"/>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在投标人须知前附表规定的投标有效期内，投标人不得要求撤销或修改其投标文件。</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出现特殊情况需要延长投标有效期的，招标人以书面形式通知所有投标人延长投标有效期。投标人同意延长的</w:t>
      </w:r>
      <w:r>
        <w:rPr>
          <w:rFonts w:hint="eastAsia" w:ascii="宋体" w:hAnsi="宋体" w:cs="宋体"/>
          <w:strike/>
          <w:color w:val="auto"/>
          <w:szCs w:val="21"/>
          <w:highlight w:val="none"/>
        </w:rPr>
        <w:t>，应相应延长其投标保证金的有效期</w:t>
      </w:r>
      <w:r>
        <w:rPr>
          <w:rFonts w:hint="eastAsia" w:ascii="宋体" w:hAnsi="宋体" w:cs="宋体"/>
          <w:color w:val="auto"/>
          <w:szCs w:val="21"/>
          <w:highlight w:val="none"/>
        </w:rPr>
        <w:t>，但不得要求或被允许修改或撤销其投标文件；投标人拒绝延长的，其投标失效</w:t>
      </w:r>
      <w:r>
        <w:rPr>
          <w:rFonts w:hint="eastAsia" w:ascii="宋体" w:hAnsi="宋体" w:cs="宋体"/>
          <w:strike/>
          <w:color w:val="auto"/>
          <w:szCs w:val="21"/>
          <w:highlight w:val="none"/>
        </w:rPr>
        <w:t>，但投标人有权收回其投标保证金</w:t>
      </w:r>
      <w:r>
        <w:rPr>
          <w:rFonts w:hint="eastAsia" w:ascii="宋体" w:hAnsi="宋体" w:cs="宋体"/>
          <w:color w:val="auto"/>
          <w:szCs w:val="21"/>
          <w:highlight w:val="none"/>
        </w:rPr>
        <w:t>。</w:t>
      </w:r>
    </w:p>
    <w:p>
      <w:pPr>
        <w:pStyle w:val="38"/>
        <w:keepNext w:val="0"/>
        <w:keepLines w:val="0"/>
        <w:spacing w:line="336" w:lineRule="auto"/>
        <w:outlineLvl w:val="9"/>
        <w:rPr>
          <w:color w:val="auto"/>
          <w:sz w:val="24"/>
          <w:szCs w:val="24"/>
          <w:highlight w:val="none"/>
        </w:rPr>
      </w:pPr>
      <w:bookmarkStart w:id="387" w:name="_Toc26636"/>
      <w:bookmarkStart w:id="388" w:name="_Toc144974518"/>
      <w:bookmarkStart w:id="389" w:name="_Toc152042326"/>
      <w:bookmarkStart w:id="390" w:name="_Toc781267123"/>
      <w:bookmarkStart w:id="391" w:name="_Toc28336"/>
      <w:bookmarkStart w:id="392" w:name="_Toc152045550"/>
      <w:bookmarkStart w:id="393" w:name="_Toc16988"/>
      <w:bookmarkStart w:id="394" w:name="_Toc179632568"/>
      <w:bookmarkStart w:id="395" w:name="_Toc3616"/>
      <w:bookmarkStart w:id="396" w:name="_Toc1022585472"/>
      <w:bookmarkStart w:id="397" w:name="_Toc8694"/>
      <w:bookmarkStart w:id="398" w:name="_Toc26356"/>
      <w:r>
        <w:rPr>
          <w:rFonts w:hint="eastAsia"/>
          <w:color w:val="auto"/>
          <w:sz w:val="24"/>
          <w:szCs w:val="24"/>
          <w:highlight w:val="none"/>
        </w:rPr>
        <w:t>3.4 投标保证金</w:t>
      </w:r>
      <w:bookmarkEnd w:id="387"/>
      <w:bookmarkEnd w:id="388"/>
      <w:bookmarkEnd w:id="389"/>
      <w:bookmarkEnd w:id="390"/>
      <w:bookmarkEnd w:id="391"/>
      <w:bookmarkEnd w:id="392"/>
      <w:bookmarkEnd w:id="393"/>
      <w:bookmarkEnd w:id="394"/>
      <w:bookmarkEnd w:id="395"/>
      <w:bookmarkEnd w:id="396"/>
      <w:bookmarkEnd w:id="397"/>
      <w:bookmarkEnd w:id="398"/>
    </w:p>
    <w:p>
      <w:pPr>
        <w:pStyle w:val="23"/>
        <w:adjustRightInd w:val="0"/>
        <w:snapToGrid w:val="0"/>
        <w:ind w:left="0" w:leftChars="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highlight w:val="none"/>
          <w:u w:val="single"/>
        </w:rPr>
        <w:t>本项目免收投标保证金，投标人需提供《关于投标保证金的承诺》（详见投标文件格式）。</w:t>
      </w:r>
    </w:p>
    <w:p>
      <w:pPr>
        <w:adjustRightInd w:val="0"/>
        <w:snapToGrid w:val="0"/>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w:t>
      </w:r>
      <w:r>
        <w:rPr>
          <w:rFonts w:hint="eastAsia"/>
          <w:color w:val="auto"/>
          <w:szCs w:val="21"/>
          <w:highlight w:val="none"/>
          <w:u w:val="single"/>
        </w:rPr>
        <w:t>若投标人存在3.4.4条款所列</w:t>
      </w:r>
      <w:r>
        <w:rPr>
          <w:rFonts w:hint="eastAsia"/>
          <w:color w:val="auto"/>
          <w:highlight w:val="none"/>
          <w:u w:val="single"/>
        </w:rPr>
        <w:t>不予退还投标保证金情形的，需按照招标人的要求，在</w:t>
      </w:r>
      <w:r>
        <w:rPr>
          <w:rFonts w:hint="eastAsia"/>
          <w:color w:val="auto"/>
          <w:szCs w:val="21"/>
          <w:highlight w:val="none"/>
          <w:u w:val="single"/>
        </w:rPr>
        <w:t>发现存在3.4.4条款所列情形之日起</w:t>
      </w:r>
      <w:r>
        <w:rPr>
          <w:rFonts w:hint="eastAsia" w:ascii="宋体" w:hAnsi="宋体" w:cs="宋体"/>
          <w:color w:val="auto"/>
          <w:highlight w:val="none"/>
          <w:u w:val="single"/>
        </w:rPr>
        <w:t>5个工作日内</w:t>
      </w:r>
      <w:r>
        <w:rPr>
          <w:rFonts w:hint="eastAsia"/>
          <w:color w:val="auto"/>
          <w:highlight w:val="none"/>
          <w:u w:val="single"/>
        </w:rPr>
        <w:t>向招标人足额补交</w:t>
      </w:r>
      <w:r>
        <w:rPr>
          <w:rFonts w:hint="eastAsia" w:ascii="宋体" w:hAnsi="宋体" w:cs="宋体"/>
          <w:color w:val="auto"/>
          <w:highlight w:val="none"/>
          <w:u w:val="single"/>
        </w:rPr>
        <w:t>投标保证金</w:t>
      </w:r>
      <w:r>
        <w:rPr>
          <w:rFonts w:hint="eastAsia"/>
          <w:color w:val="auto"/>
          <w:highlight w:val="none"/>
          <w:u w:val="single"/>
        </w:rPr>
        <w:t>。</w:t>
      </w:r>
    </w:p>
    <w:p>
      <w:pPr>
        <w:spacing w:line="336" w:lineRule="auto"/>
        <w:ind w:firstLine="420" w:firstLineChars="200"/>
        <w:rPr>
          <w:rFonts w:ascii="宋体" w:hAnsi="宋体" w:cs="宋体"/>
          <w:strike/>
          <w:color w:val="auto"/>
          <w:szCs w:val="21"/>
          <w:highlight w:val="none"/>
        </w:rPr>
      </w:pPr>
      <w:r>
        <w:rPr>
          <w:rFonts w:hint="eastAsia" w:cs="宋体"/>
          <w:strike/>
          <w:color w:val="auto"/>
          <w:szCs w:val="21"/>
          <w:highlight w:val="none"/>
        </w:rPr>
        <w:t>3</w:t>
      </w:r>
      <w:r>
        <w:rPr>
          <w:rFonts w:hint="eastAsia" w:ascii="宋体" w:hAnsi="宋体" w:cs="宋体"/>
          <w:strike/>
          <w:color w:val="auto"/>
          <w:szCs w:val="21"/>
          <w:highlight w:val="none"/>
        </w:rPr>
        <w:t>.</w:t>
      </w:r>
      <w:r>
        <w:rPr>
          <w:rFonts w:hint="eastAsia" w:cs="宋体"/>
          <w:strike/>
          <w:color w:val="auto"/>
          <w:szCs w:val="21"/>
          <w:highlight w:val="none"/>
        </w:rPr>
        <w:t>4</w:t>
      </w:r>
      <w:r>
        <w:rPr>
          <w:rFonts w:hint="eastAsia" w:ascii="宋体" w:hAnsi="宋体" w:cs="宋体"/>
          <w:strike/>
          <w:color w:val="auto"/>
          <w:szCs w:val="21"/>
          <w:highlight w:val="none"/>
        </w:rPr>
        <w:t>.</w:t>
      </w:r>
      <w:r>
        <w:rPr>
          <w:rFonts w:hint="eastAsia" w:cs="宋体"/>
          <w:strike/>
          <w:color w:val="auto"/>
          <w:szCs w:val="21"/>
          <w:highlight w:val="none"/>
        </w:rPr>
        <w:t>3</w:t>
      </w:r>
      <w:r>
        <w:rPr>
          <w:rFonts w:hint="eastAsia" w:ascii="宋体" w:hAnsi="宋体" w:cs="宋体"/>
          <w:strike/>
          <w:color w:val="auto"/>
          <w:szCs w:val="21"/>
          <w:highlight w:val="none"/>
        </w:rPr>
        <w:t xml:space="preserve"> 招标人</w:t>
      </w:r>
      <w:r>
        <w:rPr>
          <w:rFonts w:hint="eastAsia"/>
          <w:strike/>
          <w:color w:val="auto"/>
          <w:highlight w:val="none"/>
        </w:rPr>
        <w:t>最迟在</w:t>
      </w:r>
      <w:r>
        <w:rPr>
          <w:rFonts w:hint="eastAsia" w:ascii="宋体" w:hAnsi="宋体" w:cs="宋体"/>
          <w:strike/>
          <w:color w:val="auto"/>
          <w:szCs w:val="21"/>
          <w:highlight w:val="none"/>
        </w:rPr>
        <w:t>与中标人签订合同后</w:t>
      </w:r>
      <w:r>
        <w:rPr>
          <w:rFonts w:hint="eastAsia" w:cs="宋体"/>
          <w:strike/>
          <w:color w:val="auto"/>
          <w:szCs w:val="21"/>
          <w:highlight w:val="none"/>
        </w:rPr>
        <w:t>5</w:t>
      </w:r>
      <w:r>
        <w:rPr>
          <w:rFonts w:hint="eastAsia" w:ascii="宋体" w:hAnsi="宋体" w:cs="宋体"/>
          <w:strike/>
          <w:color w:val="auto"/>
          <w:szCs w:val="21"/>
          <w:highlight w:val="none"/>
        </w:rPr>
        <w:t>日内，向未中标的投标人和中标人退还投标保证金。</w:t>
      </w:r>
      <w:r>
        <w:rPr>
          <w:rFonts w:hint="eastAsia" w:ascii="宋体" w:hAnsi="宋体" w:cs="宋体"/>
          <w:strike/>
          <w:color w:val="auto"/>
          <w:highlight w:val="none"/>
        </w:rPr>
        <w:t>招标人同时退还投标保证金的银行同期存款利息。投标保证金及利息的计息标准和退还方式见投标人须知前附表。</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有下列情形之一的，投标保证金将不予退还： </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）投标人在规定的投标有效期内撤销或修改其投标文件；</w:t>
      </w:r>
    </w:p>
    <w:p>
      <w:pPr>
        <w:spacing w:line="336"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（2）中标人未在规定期限内按要求递交履约担保；</w:t>
      </w:r>
    </w:p>
    <w:p>
      <w:pPr>
        <w:spacing w:line="336" w:lineRule="auto"/>
        <w:ind w:firstLine="718" w:firstLineChars="342"/>
        <w:rPr>
          <w:color w:val="auto"/>
          <w:sz w:val="24"/>
          <w:highlight w:val="none"/>
        </w:rPr>
      </w:pPr>
      <w:r>
        <w:rPr>
          <w:rFonts w:hint="eastAsia" w:ascii="宋体" w:hAnsi="宋体" w:cs="宋体"/>
          <w:color w:val="auto"/>
          <w:szCs w:val="21"/>
          <w:highlight w:val="none"/>
        </w:rPr>
        <w:t>（3）中标人未在规定期限内签署合同协议。</w:t>
      </w:r>
      <w:bookmarkStart w:id="399" w:name="_Toc56915304"/>
      <w:bookmarkStart w:id="400" w:name="_Toc26546"/>
      <w:bookmarkStart w:id="401" w:name="_Toc19487"/>
      <w:bookmarkStart w:id="402" w:name="_Toc11146"/>
      <w:bookmarkStart w:id="403" w:name="_Toc1363655580"/>
      <w:bookmarkStart w:id="404" w:name="_Toc22131"/>
      <w:bookmarkStart w:id="405" w:name="_Toc26344"/>
      <w:bookmarkStart w:id="406" w:name="_Toc16623"/>
      <w:bookmarkStart w:id="407" w:name="_Toc221950168"/>
    </w:p>
    <w:p>
      <w:pPr>
        <w:pStyle w:val="38"/>
        <w:keepNext w:val="0"/>
        <w:keepLines w:val="0"/>
        <w:spacing w:line="336" w:lineRule="auto"/>
        <w:outlineLvl w:val="9"/>
        <w:rPr>
          <w:color w:val="auto"/>
          <w:sz w:val="24"/>
          <w:szCs w:val="24"/>
          <w:highlight w:val="none"/>
        </w:rPr>
      </w:pPr>
      <w:r>
        <w:rPr>
          <w:rFonts w:hint="eastAsia"/>
          <w:color w:val="auto"/>
          <w:sz w:val="24"/>
          <w:szCs w:val="24"/>
          <w:highlight w:val="none"/>
        </w:rPr>
        <w:t>3.5 资格审查资料</w:t>
      </w:r>
      <w:bookmarkEnd w:id="399"/>
      <w:bookmarkEnd w:id="400"/>
      <w:bookmarkEnd w:id="401"/>
      <w:bookmarkEnd w:id="402"/>
      <w:bookmarkEnd w:id="403"/>
      <w:bookmarkEnd w:id="404"/>
      <w:bookmarkEnd w:id="405"/>
      <w:bookmarkEnd w:id="406"/>
    </w:p>
    <w:bookmarkEnd w:id="407"/>
    <w:p>
      <w:pPr>
        <w:spacing w:line="336" w:lineRule="auto"/>
        <w:ind w:firstLine="420" w:firstLineChars="200"/>
        <w:rPr>
          <w:color w:val="auto"/>
          <w:highlight w:val="none"/>
        </w:rPr>
      </w:pPr>
      <w:r>
        <w:rPr>
          <w:rFonts w:hint="eastAsia"/>
          <w:color w:val="auto"/>
          <w:highlight w:val="none"/>
        </w:rPr>
        <w:t>3.5.1投标人须按招标文件第八章“投标文件格式”中规定的表格内容填写资格审查表，并按各资格审查表的具体要求提供相关证件及证明材料。</w:t>
      </w:r>
    </w:p>
    <w:p>
      <w:pPr>
        <w:spacing w:line="336" w:lineRule="auto"/>
        <w:ind w:firstLine="420" w:firstLineChars="200"/>
        <w:rPr>
          <w:color w:val="auto"/>
          <w:highlight w:val="none"/>
        </w:rPr>
      </w:pPr>
      <w:r>
        <w:rPr>
          <w:rFonts w:hint="eastAsia"/>
          <w:color w:val="auto"/>
          <w:highlight w:val="none"/>
        </w:rPr>
        <w:t>本招标文件中“类似工程”的定义见投标人须知前附表。</w:t>
      </w:r>
    </w:p>
    <w:p>
      <w:pPr>
        <w:spacing w:line="336" w:lineRule="auto"/>
        <w:ind w:firstLine="420" w:firstLineChars="200"/>
        <w:rPr>
          <w:color w:val="auto"/>
          <w:highlight w:val="none"/>
        </w:rPr>
      </w:pPr>
      <w:r>
        <w:rPr>
          <w:rFonts w:hint="eastAsia"/>
          <w:color w:val="auto"/>
          <w:highlight w:val="none"/>
        </w:rPr>
        <w:t>3.5.2投标人须知前附表规定接受联合体投标的，本章第3.5.1项规定的表格和资料应包括联合体各方相关情况。</w:t>
      </w:r>
    </w:p>
    <w:p>
      <w:pPr>
        <w:pStyle w:val="38"/>
        <w:keepNext w:val="0"/>
        <w:keepLines w:val="0"/>
        <w:spacing w:line="336" w:lineRule="auto"/>
        <w:outlineLvl w:val="9"/>
        <w:rPr>
          <w:color w:val="auto"/>
          <w:sz w:val="24"/>
          <w:szCs w:val="24"/>
          <w:highlight w:val="none"/>
        </w:rPr>
      </w:pPr>
      <w:bookmarkStart w:id="408" w:name="_Toc28207"/>
      <w:bookmarkStart w:id="409" w:name="_Toc18043"/>
      <w:bookmarkStart w:id="410" w:name="_Toc20251"/>
      <w:bookmarkStart w:id="411" w:name="_Toc620919322"/>
      <w:bookmarkStart w:id="412" w:name="_Toc30131"/>
      <w:bookmarkStart w:id="413" w:name="_Toc87020690"/>
      <w:bookmarkStart w:id="414" w:name="_Toc16824"/>
      <w:bookmarkStart w:id="415" w:name="_Toc2823"/>
      <w:bookmarkStart w:id="416" w:name="_Toc221950172"/>
      <w:r>
        <w:rPr>
          <w:rFonts w:hint="eastAsia"/>
          <w:color w:val="auto"/>
          <w:sz w:val="24"/>
          <w:szCs w:val="24"/>
          <w:highlight w:val="none"/>
        </w:rPr>
        <w:t>3.6 备选投标方案</w:t>
      </w:r>
      <w:bookmarkEnd w:id="408"/>
      <w:bookmarkEnd w:id="409"/>
      <w:bookmarkEnd w:id="410"/>
      <w:bookmarkEnd w:id="411"/>
      <w:bookmarkEnd w:id="412"/>
      <w:bookmarkEnd w:id="413"/>
      <w:bookmarkEnd w:id="414"/>
      <w:bookmarkEnd w:id="415"/>
    </w:p>
    <w:bookmarkEnd w:id="416"/>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候选人递交的备选投标方案优于其按照招标文件要求编制的投标方案的，该中标候选人被确定为中标人后，招标人可以接受该备选投标方案。</w:t>
      </w:r>
    </w:p>
    <w:p>
      <w:pPr>
        <w:pStyle w:val="38"/>
        <w:keepNext w:val="0"/>
        <w:keepLines w:val="0"/>
        <w:spacing w:line="336" w:lineRule="auto"/>
        <w:outlineLvl w:val="9"/>
        <w:rPr>
          <w:color w:val="auto"/>
          <w:sz w:val="24"/>
          <w:szCs w:val="24"/>
          <w:highlight w:val="none"/>
        </w:rPr>
      </w:pPr>
      <w:bookmarkStart w:id="417" w:name="_Toc4647"/>
      <w:bookmarkStart w:id="418" w:name="_Toc27173"/>
      <w:bookmarkStart w:id="419" w:name="_Toc32482"/>
      <w:bookmarkStart w:id="420" w:name="_Toc2719"/>
      <w:bookmarkStart w:id="421" w:name="_Toc517"/>
      <w:bookmarkStart w:id="422" w:name="_Toc1922558595"/>
      <w:bookmarkStart w:id="423" w:name="_Toc29192"/>
      <w:bookmarkStart w:id="424" w:name="_Toc521370555"/>
      <w:bookmarkStart w:id="425" w:name="_Toc387753554"/>
      <w:r>
        <w:rPr>
          <w:rFonts w:hint="eastAsia"/>
          <w:color w:val="auto"/>
          <w:sz w:val="24"/>
          <w:szCs w:val="24"/>
          <w:highlight w:val="none"/>
        </w:rPr>
        <w:t>3.7 投标文件的编制</w:t>
      </w:r>
      <w:bookmarkEnd w:id="417"/>
      <w:bookmarkEnd w:id="418"/>
      <w:bookmarkEnd w:id="419"/>
      <w:bookmarkEnd w:id="420"/>
      <w:bookmarkEnd w:id="421"/>
      <w:bookmarkEnd w:id="422"/>
      <w:bookmarkEnd w:id="423"/>
      <w:bookmarkEnd w:id="424"/>
      <w:bookmarkEnd w:id="425"/>
    </w:p>
    <w:p>
      <w:pPr>
        <w:spacing w:line="336" w:lineRule="auto"/>
        <w:ind w:firstLine="420" w:firstLineChars="200"/>
        <w:rPr>
          <w:rFonts w:ascii="宋体" w:hAnsi="宋体" w:cs="宋体"/>
          <w:color w:val="auto"/>
          <w:szCs w:val="21"/>
          <w:highlight w:val="none"/>
        </w:rPr>
      </w:pPr>
      <w:bookmarkStart w:id="426" w:name="_Toc221950175"/>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投标文件应当对招标文件有关工期、投标有效期、质量要求、技术标准和要求、招标范围等实质性内容做出响应。</w:t>
      </w:r>
    </w:p>
    <w:p>
      <w:pPr>
        <w:pStyle w:val="39"/>
        <w:spacing w:line="336" w:lineRule="auto"/>
        <w:ind w:firstLine="420" w:firstLineChars="200"/>
        <w:rPr>
          <w:color w:val="auto"/>
          <w:sz w:val="21"/>
          <w:szCs w:val="21"/>
          <w:highlight w:val="none"/>
        </w:rPr>
      </w:pPr>
      <w:r>
        <w:rPr>
          <w:rFonts w:hint="eastAsia" w:ascii="Times New Roman" w:hAnsi="Times New Roman"/>
          <w:color w:val="auto"/>
          <w:sz w:val="21"/>
          <w:szCs w:val="21"/>
          <w:highlight w:val="none"/>
        </w:rPr>
        <w:t>3</w:t>
      </w:r>
      <w:r>
        <w:rPr>
          <w:rFonts w:hint="eastAsia"/>
          <w:color w:val="auto"/>
          <w:sz w:val="21"/>
          <w:szCs w:val="21"/>
          <w:highlight w:val="none"/>
        </w:rPr>
        <w:t>.</w:t>
      </w:r>
      <w:r>
        <w:rPr>
          <w:rFonts w:hint="eastAsia" w:ascii="Times New Roman" w:hAnsi="Times New Roman"/>
          <w:color w:val="auto"/>
          <w:sz w:val="21"/>
          <w:szCs w:val="21"/>
          <w:highlight w:val="none"/>
        </w:rPr>
        <w:t>7</w:t>
      </w:r>
      <w:r>
        <w:rPr>
          <w:rFonts w:hint="eastAsia"/>
          <w:color w:val="auto"/>
          <w:sz w:val="21"/>
          <w:szCs w:val="21"/>
          <w:highlight w:val="none"/>
        </w:rPr>
        <w:t>.</w:t>
      </w:r>
      <w:r>
        <w:rPr>
          <w:rFonts w:hint="eastAsia" w:ascii="Times New Roman" w:hAnsi="Times New Roman"/>
          <w:color w:val="auto"/>
          <w:sz w:val="21"/>
          <w:szCs w:val="21"/>
          <w:highlight w:val="none"/>
        </w:rPr>
        <w:t>3</w:t>
      </w:r>
      <w:r>
        <w:rPr>
          <w:rFonts w:hint="eastAsia"/>
          <w:color w:val="auto"/>
          <w:sz w:val="21"/>
          <w:szCs w:val="21"/>
          <w:highlight w:val="none"/>
        </w:rPr>
        <w:t xml:space="preserve"> 电子投标文件制作</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）电子投标文件由投标人使用“电子交易平台”提供的“电子投标文件制作软件”制作生成。</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）投标人在编制电子投标文件时应当建立分级目录，并按照标签提示导入相关内容。</w:t>
      </w:r>
    </w:p>
    <w:p>
      <w:pPr>
        <w:spacing w:line="336"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电子投标文件中的</w:t>
      </w:r>
      <w:r>
        <w:rPr>
          <w:color w:val="auto"/>
          <w:highlight w:val="none"/>
        </w:rPr>
        <w:t>证明</w:t>
      </w:r>
      <w:r>
        <w:rPr>
          <w:rFonts w:hint="eastAsia"/>
          <w:color w:val="auto"/>
          <w:highlight w:val="none"/>
        </w:rPr>
        <w:t>材料均为相关</w:t>
      </w:r>
      <w:r>
        <w:rPr>
          <w:color w:val="auto"/>
          <w:highlight w:val="none"/>
        </w:rPr>
        <w:t>原件的</w:t>
      </w:r>
      <w:r>
        <w:rPr>
          <w:rFonts w:hint="eastAsia"/>
          <w:color w:val="auto"/>
          <w:highlight w:val="none"/>
        </w:rPr>
        <w:t>“</w:t>
      </w:r>
      <w:r>
        <w:rPr>
          <w:color w:val="auto"/>
          <w:highlight w:val="none"/>
        </w:rPr>
        <w:t>扫描件</w:t>
      </w:r>
      <w:r>
        <w:rPr>
          <w:rFonts w:ascii="宋体" w:hAnsi="宋体"/>
          <w:color w:val="auto"/>
          <w:szCs w:val="21"/>
          <w:highlight w:val="none"/>
        </w:rPr>
        <w:t>”，</w:t>
      </w:r>
      <w:r>
        <w:rPr>
          <w:rFonts w:hint="eastAsia" w:ascii="宋体" w:hAnsi="宋体"/>
          <w:color w:val="auto"/>
          <w:szCs w:val="21"/>
          <w:highlight w:val="none"/>
        </w:rPr>
        <w:t>应从“</w:t>
      </w:r>
      <w:r>
        <w:rPr>
          <w:rFonts w:ascii="宋体" w:hAnsi="宋体"/>
          <w:color w:val="auto"/>
          <w:szCs w:val="21"/>
          <w:highlight w:val="none"/>
        </w:rPr>
        <w:t>电子</w:t>
      </w:r>
      <w:r>
        <w:rPr>
          <w:rFonts w:hint="eastAsia" w:ascii="宋体" w:hAnsi="宋体"/>
          <w:color w:val="auto"/>
          <w:szCs w:val="21"/>
          <w:highlight w:val="none"/>
        </w:rPr>
        <w:t>交易</w:t>
      </w:r>
      <w:r>
        <w:rPr>
          <w:rFonts w:ascii="宋体" w:hAnsi="宋体"/>
          <w:color w:val="auto"/>
          <w:szCs w:val="21"/>
          <w:highlight w:val="none"/>
        </w:rPr>
        <w:t>平台”</w:t>
      </w:r>
      <w:r>
        <w:rPr>
          <w:rFonts w:hint="eastAsia" w:ascii="宋体" w:hAnsi="宋体"/>
          <w:color w:val="auto"/>
          <w:szCs w:val="21"/>
          <w:highlight w:val="none"/>
        </w:rPr>
        <w:t>交易主体诚信库中选择，交易主体诚信库中没有的</w:t>
      </w:r>
      <w:r>
        <w:rPr>
          <w:rFonts w:hint="eastAsia"/>
          <w:color w:val="auto"/>
          <w:highlight w:val="none"/>
        </w:rPr>
        <w:t>“</w:t>
      </w:r>
      <w:r>
        <w:rPr>
          <w:color w:val="auto"/>
          <w:highlight w:val="none"/>
        </w:rPr>
        <w:t>扫描件</w:t>
      </w:r>
      <w:r>
        <w:rPr>
          <w:rFonts w:ascii="宋体" w:hAnsi="宋体"/>
          <w:color w:val="auto"/>
          <w:szCs w:val="21"/>
          <w:highlight w:val="none"/>
        </w:rPr>
        <w:t>”</w:t>
      </w:r>
      <w:r>
        <w:rPr>
          <w:rFonts w:hint="eastAsia" w:ascii="宋体" w:hAnsi="宋体"/>
          <w:color w:val="auto"/>
          <w:szCs w:val="21"/>
          <w:highlight w:val="none"/>
        </w:rPr>
        <w:t>，应以附件形式直接导入，</w:t>
      </w:r>
      <w:r>
        <w:rPr>
          <w:rFonts w:ascii="宋体" w:hAnsi="宋体"/>
          <w:color w:val="auto"/>
          <w:szCs w:val="21"/>
          <w:highlight w:val="none"/>
        </w:rPr>
        <w:t>未标示</w:t>
      </w:r>
      <w:r>
        <w:rPr>
          <w:rFonts w:hint="eastAsia"/>
          <w:color w:val="auto"/>
          <w:highlight w:val="none"/>
        </w:rPr>
        <w:t>“</w:t>
      </w:r>
      <w:r>
        <w:rPr>
          <w:color w:val="auto"/>
          <w:highlight w:val="none"/>
        </w:rPr>
        <w:t>扫描件</w:t>
      </w:r>
      <w:r>
        <w:rPr>
          <w:rFonts w:ascii="宋体" w:hAnsi="宋体"/>
          <w:color w:val="auto"/>
          <w:szCs w:val="21"/>
          <w:highlight w:val="none"/>
        </w:rPr>
        <w:t>”的证明</w:t>
      </w:r>
      <w:r>
        <w:rPr>
          <w:rFonts w:hint="eastAsia" w:ascii="宋体" w:hAnsi="宋体"/>
          <w:color w:val="auto"/>
          <w:szCs w:val="21"/>
          <w:highlight w:val="none"/>
        </w:rPr>
        <w:t>材料</w:t>
      </w:r>
      <w:r>
        <w:rPr>
          <w:rFonts w:ascii="宋体" w:hAnsi="宋体"/>
          <w:color w:val="auto"/>
          <w:szCs w:val="21"/>
          <w:highlight w:val="none"/>
        </w:rPr>
        <w:t>均应直接制作生成。</w:t>
      </w:r>
    </w:p>
    <w:p>
      <w:pPr>
        <w:spacing w:line="336" w:lineRule="auto"/>
        <w:ind w:firstLine="420" w:firstLineChars="200"/>
        <w:rPr>
          <w:color w:val="auto"/>
          <w:highlight w:val="none"/>
        </w:rPr>
      </w:pPr>
      <w:r>
        <w:rPr>
          <w:rFonts w:hint="eastAsia"/>
          <w:color w:val="auto"/>
          <w:highlight w:val="none"/>
        </w:rPr>
        <w:t>（4）第八章投标文件格式文件</w:t>
      </w:r>
      <w:r>
        <w:rPr>
          <w:rFonts w:hint="eastAsia"/>
          <w:color w:val="auto"/>
          <w:szCs w:val="21"/>
          <w:highlight w:val="none"/>
        </w:rPr>
        <w:t>（包括投标总价封面）</w:t>
      </w:r>
      <w:r>
        <w:rPr>
          <w:rFonts w:hint="eastAsia"/>
          <w:color w:val="auto"/>
          <w:highlight w:val="none"/>
        </w:rPr>
        <w:t>要求“盖单位章”的地方，投标人应使用</w:t>
      </w:r>
      <w:r>
        <w:rPr>
          <w:color w:val="auto"/>
          <w:highlight w:val="none"/>
        </w:rPr>
        <w:t xml:space="preserve">CA </w:t>
      </w:r>
      <w:r>
        <w:rPr>
          <w:rFonts w:hint="eastAsia"/>
          <w:color w:val="auto"/>
          <w:highlight w:val="none"/>
        </w:rPr>
        <w:t>数字证书加盖投标人的单位电子印章；要求“签字”的地方，投标人应使用</w:t>
      </w:r>
      <w:r>
        <w:rPr>
          <w:color w:val="auto"/>
          <w:highlight w:val="none"/>
        </w:rPr>
        <w:t xml:space="preserve">CA </w:t>
      </w:r>
      <w:r>
        <w:rPr>
          <w:rFonts w:hint="eastAsia"/>
          <w:color w:val="auto"/>
          <w:highlight w:val="none"/>
        </w:rPr>
        <w:t>数字证书加盖法定代表人的个人电子印章或电子签名章，或在线下完成后扫描上传。</w:t>
      </w:r>
    </w:p>
    <w:p>
      <w:pPr>
        <w:spacing w:line="336" w:lineRule="auto"/>
        <w:ind w:firstLine="420" w:firstLineChars="200"/>
        <w:rPr>
          <w:color w:val="auto"/>
          <w:highlight w:val="none"/>
        </w:rPr>
      </w:pPr>
      <w:r>
        <w:rPr>
          <w:rFonts w:hint="eastAsia"/>
          <w:color w:val="auto"/>
          <w:highlight w:val="none"/>
        </w:rPr>
        <w:t>联合体投标的，投标文件由联合体牵头人按上述规定在要求“盖单位章”的地方加盖联合体牵头人单位电子印章；在要求“签字”的地方加盖联合体牵头人法定代表人的个人电子印章或电子签名章，或在线下完成后扫描上传。招标文件有特别说明的除外。</w:t>
      </w:r>
    </w:p>
    <w:p>
      <w:pPr>
        <w:spacing w:line="336" w:lineRule="auto"/>
        <w:ind w:firstLine="420" w:firstLineChars="200"/>
        <w:rPr>
          <w:rFonts w:ascii="宋体" w:hAnsi="宋体" w:cs="宋体"/>
          <w:color w:val="auto"/>
          <w:szCs w:val="21"/>
          <w:highlight w:val="none"/>
        </w:rPr>
      </w:pPr>
      <w:r>
        <w:rPr>
          <w:rFonts w:hint="eastAsia"/>
          <w:color w:val="auto"/>
          <w:highlight w:val="none"/>
        </w:rPr>
        <w:t>联合体投标的，由联合体牵头单位负责上传投标文件和加盖电子印章；投标文件封面及其他内容落款中的“投标人”应填写联合体各方的单位全称【格式为：（主）XXXX公司（成）XXXXX公司】；除联合体协议书必须由联合体成员各方盖章或签字外，投标文件其他需要盖章或签字的部分可仅由联合体牵头人盖章或签字，视作符合要求。投标文件中需个人签字或盖章的，可在线下完成后扫描上传，按照交易平台的相关指南进行操作。</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电子投标文件</w:t>
      </w:r>
      <w:r>
        <w:rPr>
          <w:rFonts w:hint="eastAsia" w:ascii="宋体" w:hAnsi="宋体"/>
          <w:color w:val="auto"/>
          <w:szCs w:val="21"/>
          <w:highlight w:val="none"/>
        </w:rPr>
        <w:t>制作完成后</w:t>
      </w:r>
      <w:r>
        <w:rPr>
          <w:rFonts w:ascii="宋体" w:hAnsi="宋体"/>
          <w:color w:val="auto"/>
          <w:szCs w:val="21"/>
          <w:highlight w:val="none"/>
        </w:rPr>
        <w:t>，</w:t>
      </w:r>
      <w:r>
        <w:rPr>
          <w:rFonts w:hint="eastAsia" w:ascii="宋体" w:hAnsi="宋体"/>
          <w:color w:val="auto"/>
          <w:szCs w:val="21"/>
          <w:highlight w:val="none"/>
        </w:rPr>
        <w:t>必须进行加密（不含备用光盘）。</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）电子投标文件制作的具体方法详见交易平台的相关指南。</w:t>
      </w:r>
    </w:p>
    <w:bookmarkEnd w:id="426"/>
    <w:p>
      <w:pPr>
        <w:pStyle w:val="20"/>
        <w:keepNext w:val="0"/>
        <w:keepLines w:val="0"/>
        <w:spacing w:line="336" w:lineRule="auto"/>
        <w:outlineLvl w:val="2"/>
        <w:rPr>
          <w:color w:val="auto"/>
          <w:highlight w:val="none"/>
        </w:rPr>
      </w:pPr>
      <w:bookmarkStart w:id="427" w:name="_Toc28127"/>
      <w:bookmarkStart w:id="428" w:name="_Toc21610"/>
      <w:bookmarkStart w:id="429" w:name="_Toc387753555"/>
      <w:bookmarkStart w:id="430" w:name="_Toc522569678"/>
      <w:bookmarkStart w:id="431" w:name="_Toc10244"/>
      <w:bookmarkStart w:id="432" w:name="_Toc705778426"/>
      <w:bookmarkStart w:id="433" w:name="_Toc5861"/>
      <w:bookmarkStart w:id="434" w:name="_Toc12046"/>
      <w:bookmarkStart w:id="435" w:name="_Toc9415"/>
      <w:r>
        <w:rPr>
          <w:rFonts w:hint="eastAsia"/>
          <w:color w:val="auto"/>
          <w:highlight w:val="none"/>
        </w:rPr>
        <w:t>4. 投标</w:t>
      </w:r>
      <w:bookmarkEnd w:id="427"/>
      <w:bookmarkEnd w:id="428"/>
      <w:bookmarkEnd w:id="429"/>
      <w:bookmarkEnd w:id="430"/>
      <w:bookmarkEnd w:id="431"/>
      <w:bookmarkEnd w:id="432"/>
      <w:bookmarkEnd w:id="433"/>
      <w:bookmarkEnd w:id="434"/>
      <w:bookmarkEnd w:id="435"/>
    </w:p>
    <w:p>
      <w:pPr>
        <w:pStyle w:val="38"/>
        <w:keepNext w:val="0"/>
        <w:keepLines w:val="0"/>
        <w:spacing w:line="336" w:lineRule="auto"/>
        <w:outlineLvl w:val="9"/>
        <w:rPr>
          <w:color w:val="auto"/>
          <w:sz w:val="24"/>
          <w:szCs w:val="24"/>
          <w:highlight w:val="none"/>
        </w:rPr>
      </w:pPr>
      <w:bookmarkStart w:id="436" w:name="_Toc152042332"/>
      <w:bookmarkStart w:id="437" w:name="_Toc152045556"/>
      <w:bookmarkStart w:id="438" w:name="_Toc179632574"/>
      <w:bookmarkStart w:id="439" w:name="_Toc144974524"/>
      <w:bookmarkStart w:id="440" w:name="_Toc29505"/>
      <w:bookmarkStart w:id="441" w:name="_Toc2017683197"/>
      <w:bookmarkStart w:id="442" w:name="_Toc569625122"/>
      <w:bookmarkStart w:id="443" w:name="_Toc13292"/>
      <w:bookmarkStart w:id="444" w:name="_Toc25205"/>
      <w:bookmarkStart w:id="445" w:name="_Toc17105"/>
      <w:bookmarkStart w:id="446" w:name="_Toc8818"/>
      <w:bookmarkStart w:id="447" w:name="_Toc515570322"/>
      <w:bookmarkStart w:id="448" w:name="_Toc14330"/>
      <w:r>
        <w:rPr>
          <w:rFonts w:hint="eastAsia"/>
          <w:color w:val="auto"/>
          <w:sz w:val="24"/>
          <w:szCs w:val="24"/>
          <w:highlight w:val="none"/>
        </w:rPr>
        <w:t>4.1 投标文件的</w:t>
      </w:r>
      <w:bookmarkEnd w:id="436"/>
      <w:bookmarkEnd w:id="437"/>
      <w:bookmarkEnd w:id="438"/>
      <w:bookmarkEnd w:id="439"/>
      <w:r>
        <w:rPr>
          <w:rFonts w:hint="eastAsia"/>
          <w:color w:val="auto"/>
          <w:sz w:val="24"/>
          <w:szCs w:val="24"/>
          <w:highlight w:val="none"/>
        </w:rPr>
        <w:t>加密</w:t>
      </w:r>
      <w:bookmarkEnd w:id="440"/>
      <w:bookmarkEnd w:id="441"/>
      <w:bookmarkEnd w:id="442"/>
      <w:bookmarkEnd w:id="443"/>
      <w:bookmarkEnd w:id="444"/>
      <w:bookmarkEnd w:id="445"/>
      <w:bookmarkEnd w:id="446"/>
      <w:bookmarkEnd w:id="447"/>
      <w:bookmarkEnd w:id="448"/>
    </w:p>
    <w:p>
      <w:pPr>
        <w:spacing w:line="336" w:lineRule="auto"/>
        <w:ind w:firstLine="420" w:firstLineChars="200"/>
        <w:rPr>
          <w:color w:val="auto"/>
          <w:highlight w:val="none"/>
        </w:rPr>
      </w:pPr>
      <w:r>
        <w:rPr>
          <w:rFonts w:hint="eastAsia"/>
          <w:color w:val="auto"/>
          <w:highlight w:val="none"/>
        </w:rPr>
        <w:t>投标人应当按照</w:t>
      </w:r>
      <w:r>
        <w:rPr>
          <w:color w:val="auto"/>
          <w:highlight w:val="none"/>
        </w:rPr>
        <w:t>本章第3.</w:t>
      </w:r>
      <w:r>
        <w:rPr>
          <w:rFonts w:hint="eastAsia"/>
          <w:color w:val="auto"/>
          <w:highlight w:val="none"/>
        </w:rPr>
        <w:t>7.3</w:t>
      </w:r>
      <w:r>
        <w:rPr>
          <w:color w:val="auto"/>
          <w:highlight w:val="none"/>
        </w:rPr>
        <w:t>项要求制作</w:t>
      </w:r>
      <w:r>
        <w:rPr>
          <w:rFonts w:hint="eastAsia"/>
          <w:color w:val="auto"/>
          <w:highlight w:val="none"/>
        </w:rPr>
        <w:t>电子投标文件，并在投标时上传</w:t>
      </w:r>
      <w:r>
        <w:rPr>
          <w:rFonts w:hint="eastAsia"/>
          <w:b/>
          <w:color w:val="auto"/>
          <w:highlight w:val="none"/>
        </w:rPr>
        <w:t>加密的电子投标文件</w:t>
      </w:r>
      <w:r>
        <w:rPr>
          <w:rFonts w:hint="eastAsia"/>
          <w:color w:val="auto"/>
          <w:highlight w:val="none"/>
        </w:rPr>
        <w:t>，未</w:t>
      </w:r>
      <w:r>
        <w:rPr>
          <w:color w:val="auto"/>
          <w:highlight w:val="none"/>
        </w:rPr>
        <w:t>加密的</w:t>
      </w:r>
      <w:r>
        <w:rPr>
          <w:rFonts w:hint="eastAsia"/>
          <w:color w:val="auto"/>
          <w:highlight w:val="none"/>
        </w:rPr>
        <w:t>电子</w:t>
      </w:r>
      <w:r>
        <w:rPr>
          <w:color w:val="auto"/>
          <w:highlight w:val="none"/>
        </w:rPr>
        <w:t>投标文件，</w:t>
      </w:r>
      <w:r>
        <w:rPr>
          <w:rFonts w:hint="eastAsia"/>
          <w:color w:val="auto"/>
          <w:highlight w:val="none"/>
        </w:rPr>
        <w:t>招标人（“</w:t>
      </w:r>
      <w:r>
        <w:rPr>
          <w:color w:val="auto"/>
          <w:highlight w:val="none"/>
        </w:rPr>
        <w:t>电子</w:t>
      </w:r>
      <w:r>
        <w:rPr>
          <w:rFonts w:hint="eastAsia"/>
          <w:color w:val="auto"/>
          <w:highlight w:val="none"/>
        </w:rPr>
        <w:t>交易平台”）将拒收并提示。</w:t>
      </w:r>
    </w:p>
    <w:p>
      <w:pPr>
        <w:pStyle w:val="38"/>
        <w:keepNext w:val="0"/>
        <w:keepLines w:val="0"/>
        <w:spacing w:line="336" w:lineRule="auto"/>
        <w:outlineLvl w:val="9"/>
        <w:rPr>
          <w:color w:val="auto"/>
          <w:sz w:val="24"/>
          <w:szCs w:val="24"/>
          <w:highlight w:val="none"/>
        </w:rPr>
      </w:pPr>
      <w:bookmarkStart w:id="449" w:name="_Toc884949357"/>
      <w:bookmarkStart w:id="450" w:name="_Toc1508"/>
      <w:bookmarkStart w:id="451" w:name="_Toc152042333"/>
      <w:bookmarkStart w:id="452" w:name="_Toc152045557"/>
      <w:bookmarkStart w:id="453" w:name="_Toc144974525"/>
      <w:bookmarkStart w:id="454" w:name="_Toc32593"/>
      <w:bookmarkStart w:id="455" w:name="_Toc26787"/>
      <w:bookmarkStart w:id="456" w:name="_Toc179632575"/>
      <w:bookmarkStart w:id="457" w:name="_Toc515570323"/>
      <w:bookmarkStart w:id="458" w:name="_Toc335385243"/>
      <w:bookmarkStart w:id="459" w:name="_Toc175"/>
      <w:bookmarkStart w:id="460" w:name="_Toc17893"/>
      <w:bookmarkStart w:id="461" w:name="_Toc486"/>
      <w:r>
        <w:rPr>
          <w:rFonts w:hint="eastAsia"/>
          <w:color w:val="auto"/>
          <w:sz w:val="24"/>
          <w:szCs w:val="24"/>
          <w:highlight w:val="none"/>
        </w:rPr>
        <w:t>4.2 投标文件的递交</w:t>
      </w:r>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336" w:lineRule="auto"/>
        <w:ind w:firstLine="420" w:firstLineChars="200"/>
        <w:rPr>
          <w:rFonts w:ascii="宋体" w:hAnsi="宋体"/>
          <w:color w:val="auto"/>
          <w:highlight w:val="none"/>
        </w:rPr>
      </w:pPr>
      <w:r>
        <w:rPr>
          <w:rFonts w:hint="eastAsia"/>
          <w:color w:val="auto"/>
          <w:highlight w:val="none"/>
        </w:rPr>
        <w:t>4</w:t>
      </w: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hint="eastAsia"/>
          <w:color w:val="auto"/>
          <w:highlight w:val="none"/>
        </w:rPr>
        <w:t>1</w:t>
      </w:r>
      <w:r>
        <w:rPr>
          <w:rFonts w:hint="eastAsia" w:ascii="宋体" w:hAnsi="宋体"/>
          <w:color w:val="auto"/>
          <w:highlight w:val="none"/>
        </w:rPr>
        <w:t xml:space="preserve"> 投标人递交投标文件的截止时间（投标截止时间）：见投标人须知前附表。</w:t>
      </w:r>
    </w:p>
    <w:p>
      <w:pPr>
        <w:spacing w:line="336" w:lineRule="auto"/>
        <w:ind w:firstLine="420" w:firstLineChars="200"/>
        <w:rPr>
          <w:rFonts w:ascii="宋体" w:hAnsi="宋体"/>
          <w:color w:val="auto"/>
          <w:highlight w:val="none"/>
        </w:rPr>
      </w:pPr>
      <w:r>
        <w:rPr>
          <w:color w:val="auto"/>
          <w:highlight w:val="none"/>
        </w:rPr>
        <w:t>4</w:t>
      </w:r>
      <w:r>
        <w:rPr>
          <w:rFonts w:ascii="宋体" w:hAnsi="宋体"/>
          <w:color w:val="auto"/>
          <w:highlight w:val="none"/>
        </w:rPr>
        <w:t>.</w:t>
      </w:r>
      <w:r>
        <w:rPr>
          <w:rFonts w:hint="eastAsia"/>
          <w:color w:val="auto"/>
          <w:highlight w:val="none"/>
        </w:rPr>
        <w:t>2</w:t>
      </w:r>
      <w:r>
        <w:rPr>
          <w:rFonts w:ascii="宋体" w:hAnsi="宋体"/>
          <w:color w:val="auto"/>
          <w:highlight w:val="none"/>
        </w:rPr>
        <w:t>.</w:t>
      </w:r>
      <w:r>
        <w:rPr>
          <w:rFonts w:hint="eastAsia"/>
          <w:color w:val="auto"/>
          <w:highlight w:val="none"/>
        </w:rPr>
        <w:t>2</w:t>
      </w:r>
      <w:r>
        <w:rPr>
          <w:rFonts w:hint="eastAsia" w:ascii="宋体" w:hAnsi="宋体"/>
          <w:color w:val="auto"/>
          <w:highlight w:val="none"/>
        </w:rPr>
        <w:t xml:space="preserve"> 投标人应当在投标截止时间前，</w:t>
      </w:r>
      <w:r>
        <w:rPr>
          <w:rFonts w:ascii="宋体" w:hAnsi="宋体"/>
          <w:color w:val="auto"/>
          <w:highlight w:val="none"/>
        </w:rPr>
        <w:t>通过</w:t>
      </w:r>
      <w:r>
        <w:rPr>
          <w:rFonts w:hint="eastAsia" w:ascii="宋体" w:hAnsi="宋体"/>
          <w:color w:val="auto"/>
          <w:highlight w:val="none"/>
        </w:rPr>
        <w:t>互联网</w:t>
      </w:r>
      <w:r>
        <w:rPr>
          <w:rFonts w:ascii="宋体" w:hAnsi="宋体"/>
          <w:color w:val="auto"/>
          <w:highlight w:val="none"/>
        </w:rPr>
        <w:t>使用</w:t>
      </w:r>
      <w:r>
        <w:rPr>
          <w:rFonts w:hint="eastAsia"/>
          <w:color w:val="auto"/>
          <w:highlight w:val="none"/>
        </w:rPr>
        <w:t>CA</w:t>
      </w:r>
      <w:r>
        <w:rPr>
          <w:rFonts w:hint="eastAsia" w:ascii="宋体" w:hAnsi="宋体"/>
          <w:color w:val="auto"/>
          <w:highlight w:val="none"/>
        </w:rPr>
        <w:t>数字证书登录“电子交易平台”，选择所投标段将</w:t>
      </w:r>
      <w:r>
        <w:rPr>
          <w:rFonts w:hint="eastAsia" w:ascii="宋体" w:hAnsi="宋体"/>
          <w:b/>
          <w:color w:val="auto"/>
          <w:highlight w:val="none"/>
        </w:rPr>
        <w:t>加密的电子投标文件</w:t>
      </w:r>
      <w:r>
        <w:rPr>
          <w:rFonts w:hint="eastAsia" w:ascii="宋体" w:hAnsi="宋体"/>
          <w:color w:val="auto"/>
          <w:highlight w:val="none"/>
        </w:rPr>
        <w:t>上传。投标人完成投标文件上传后，“</w:t>
      </w:r>
      <w:r>
        <w:rPr>
          <w:rFonts w:ascii="宋体" w:hAnsi="宋体"/>
          <w:color w:val="auto"/>
          <w:highlight w:val="none"/>
        </w:rPr>
        <w:t>电子</w:t>
      </w:r>
      <w:r>
        <w:rPr>
          <w:rFonts w:hint="eastAsia" w:ascii="宋体" w:hAnsi="宋体"/>
          <w:color w:val="auto"/>
          <w:highlight w:val="none"/>
        </w:rPr>
        <w:t>交易平台”即时向投标人发出</w:t>
      </w:r>
      <w:r>
        <w:rPr>
          <w:rFonts w:ascii="宋体" w:hAnsi="宋体"/>
          <w:color w:val="auto"/>
          <w:highlight w:val="none"/>
        </w:rPr>
        <w:t>电子签收凭证</w:t>
      </w:r>
      <w:r>
        <w:rPr>
          <w:rFonts w:hint="eastAsia" w:ascii="宋体" w:hAnsi="宋体"/>
          <w:color w:val="auto"/>
          <w:highlight w:val="none"/>
        </w:rPr>
        <w:t>，递交时间以</w:t>
      </w:r>
      <w:r>
        <w:rPr>
          <w:rFonts w:ascii="宋体" w:hAnsi="宋体"/>
          <w:color w:val="auto"/>
          <w:highlight w:val="none"/>
        </w:rPr>
        <w:t>电子签收凭证</w:t>
      </w:r>
      <w:r>
        <w:rPr>
          <w:rFonts w:hint="eastAsia" w:ascii="宋体" w:hAnsi="宋体"/>
          <w:color w:val="auto"/>
          <w:highlight w:val="none"/>
        </w:rPr>
        <w:t>载明的传输完成时间为准。投标人应充分考虑上传文件时的不可预见因素，投标文件</w:t>
      </w:r>
      <w:r>
        <w:rPr>
          <w:rFonts w:ascii="宋体" w:hAnsi="宋体"/>
          <w:color w:val="auto"/>
          <w:highlight w:val="none"/>
        </w:rPr>
        <w:t>未在投标截止时间前完成上传</w:t>
      </w:r>
      <w:r>
        <w:rPr>
          <w:rFonts w:hint="eastAsia" w:ascii="宋体" w:hAnsi="宋体"/>
          <w:color w:val="auto"/>
          <w:highlight w:val="none"/>
        </w:rPr>
        <w:t>的，</w:t>
      </w:r>
      <w:r>
        <w:rPr>
          <w:rFonts w:ascii="宋体" w:hAnsi="宋体"/>
          <w:color w:val="auto"/>
          <w:highlight w:val="none"/>
        </w:rPr>
        <w:t>视为逾期送达</w:t>
      </w:r>
      <w:r>
        <w:rPr>
          <w:rFonts w:hint="eastAsia" w:ascii="宋体" w:hAnsi="宋体"/>
          <w:color w:val="auto"/>
          <w:highlight w:val="none"/>
        </w:rPr>
        <w:t>，招标人（“</w:t>
      </w:r>
      <w:r>
        <w:rPr>
          <w:rFonts w:ascii="宋体" w:hAnsi="宋体"/>
          <w:color w:val="auto"/>
          <w:highlight w:val="none"/>
        </w:rPr>
        <w:t>电子</w:t>
      </w:r>
      <w:r>
        <w:rPr>
          <w:rFonts w:hint="eastAsia" w:ascii="宋体" w:hAnsi="宋体"/>
          <w:color w:val="auto"/>
          <w:highlight w:val="none"/>
        </w:rPr>
        <w:t>交易平台”）</w:t>
      </w:r>
      <w:r>
        <w:rPr>
          <w:rFonts w:ascii="宋体" w:hAnsi="宋体"/>
          <w:color w:val="auto"/>
          <w:highlight w:val="none"/>
        </w:rPr>
        <w:t>将拒收。</w:t>
      </w:r>
    </w:p>
    <w:p>
      <w:pPr>
        <w:spacing w:line="336" w:lineRule="auto"/>
        <w:ind w:firstLine="420" w:firstLineChars="200"/>
        <w:rPr>
          <w:rFonts w:ascii="宋体" w:hAnsi="宋体"/>
          <w:color w:val="auto"/>
          <w:highlight w:val="none"/>
        </w:rPr>
      </w:pPr>
      <w:r>
        <w:rPr>
          <w:rFonts w:hint="eastAsia"/>
          <w:color w:val="auto"/>
          <w:highlight w:val="none"/>
        </w:rPr>
        <w:t>4</w:t>
      </w: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 xml:space="preserve"> 除投标人须知前附表另有规定外，投标人所递交的投标文件不予退还。</w:t>
      </w:r>
    </w:p>
    <w:p>
      <w:pPr>
        <w:pStyle w:val="38"/>
        <w:keepNext w:val="0"/>
        <w:keepLines w:val="0"/>
        <w:spacing w:line="336" w:lineRule="auto"/>
        <w:outlineLvl w:val="9"/>
        <w:rPr>
          <w:color w:val="auto"/>
          <w:sz w:val="24"/>
          <w:szCs w:val="24"/>
          <w:highlight w:val="none"/>
        </w:rPr>
      </w:pPr>
      <w:bookmarkStart w:id="462" w:name="_Toc10760"/>
      <w:bookmarkStart w:id="463" w:name="_Toc449"/>
      <w:bookmarkStart w:id="464" w:name="_Toc26688"/>
      <w:bookmarkStart w:id="465" w:name="_Toc928191965"/>
      <w:bookmarkStart w:id="466" w:name="_Toc515570324"/>
      <w:bookmarkStart w:id="467" w:name="_Toc22139"/>
      <w:bookmarkStart w:id="468" w:name="_Toc8403"/>
      <w:bookmarkStart w:id="469" w:name="_Toc1817959738"/>
      <w:bookmarkStart w:id="470" w:name="_Toc24654"/>
      <w:r>
        <w:rPr>
          <w:rFonts w:hint="eastAsia"/>
          <w:color w:val="auto"/>
          <w:sz w:val="24"/>
          <w:szCs w:val="24"/>
          <w:highlight w:val="none"/>
        </w:rPr>
        <w:t>4.3 投标文件的修改与撤回</w:t>
      </w:r>
      <w:bookmarkEnd w:id="462"/>
      <w:bookmarkEnd w:id="463"/>
      <w:bookmarkEnd w:id="464"/>
      <w:bookmarkEnd w:id="465"/>
      <w:bookmarkEnd w:id="466"/>
      <w:bookmarkEnd w:id="467"/>
      <w:bookmarkEnd w:id="468"/>
      <w:bookmarkEnd w:id="469"/>
      <w:bookmarkEnd w:id="470"/>
    </w:p>
    <w:p>
      <w:pPr>
        <w:spacing w:line="336" w:lineRule="auto"/>
        <w:ind w:firstLine="420" w:firstLineChars="200"/>
        <w:rPr>
          <w:rFonts w:ascii="宋体" w:hAnsi="宋体"/>
          <w:color w:val="auto"/>
          <w:highlight w:val="none"/>
        </w:rPr>
      </w:pPr>
      <w:r>
        <w:rPr>
          <w:color w:val="auto"/>
          <w:highlight w:val="none"/>
        </w:rPr>
        <w:t>4</w:t>
      </w:r>
      <w:r>
        <w:rPr>
          <w:rFonts w:ascii="宋体" w:hAnsi="宋体"/>
          <w:color w:val="auto"/>
          <w:highlight w:val="none"/>
        </w:rPr>
        <w:t>.</w:t>
      </w:r>
      <w:r>
        <w:rPr>
          <w:color w:val="auto"/>
          <w:highlight w:val="none"/>
        </w:rPr>
        <w:t>3</w:t>
      </w:r>
      <w:r>
        <w:rPr>
          <w:rFonts w:ascii="宋体" w:hAnsi="宋体"/>
          <w:color w:val="auto"/>
          <w:highlight w:val="none"/>
        </w:rPr>
        <w:t>.</w:t>
      </w:r>
      <w:r>
        <w:rPr>
          <w:color w:val="auto"/>
          <w:highlight w:val="none"/>
        </w:rPr>
        <w:t>1</w:t>
      </w:r>
      <w:r>
        <w:rPr>
          <w:rFonts w:hint="eastAsia" w:ascii="宋体" w:hAnsi="宋体"/>
          <w:color w:val="auto"/>
          <w:highlight w:val="none"/>
        </w:rPr>
        <w:t xml:space="preserve"> 在本章第</w:t>
      </w:r>
      <w:r>
        <w:rPr>
          <w:rFonts w:hint="eastAsia"/>
          <w:color w:val="auto"/>
          <w:highlight w:val="none"/>
        </w:rPr>
        <w:t>4</w:t>
      </w: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hint="eastAsia"/>
          <w:color w:val="auto"/>
          <w:highlight w:val="none"/>
        </w:rPr>
        <w:t>1</w:t>
      </w:r>
      <w:r>
        <w:rPr>
          <w:rFonts w:hint="eastAsia" w:ascii="宋体" w:hAnsi="宋体"/>
          <w:color w:val="auto"/>
          <w:highlight w:val="none"/>
        </w:rPr>
        <w:t>项规定的投标截止时间前，投标人可以修改或撤回已递交的投标文件。</w:t>
      </w:r>
    </w:p>
    <w:p>
      <w:pPr>
        <w:spacing w:line="336" w:lineRule="auto"/>
        <w:ind w:firstLine="420" w:firstLineChars="200"/>
        <w:rPr>
          <w:rFonts w:ascii="宋体" w:hAnsi="宋体"/>
          <w:color w:val="auto"/>
          <w:highlight w:val="none"/>
        </w:rPr>
      </w:pPr>
      <w:r>
        <w:rPr>
          <w:rFonts w:hint="eastAsia"/>
          <w:color w:val="auto"/>
          <w:highlight w:val="none"/>
        </w:rPr>
        <w:t>4</w:t>
      </w: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 xml:space="preserve"> 投标人撤回投标文件的，在“电子交易平台”直接进行撤回操作</w:t>
      </w:r>
      <w:r>
        <w:rPr>
          <w:rFonts w:ascii="宋体" w:hAnsi="宋体"/>
          <w:color w:val="auto"/>
          <w:highlight w:val="none"/>
        </w:rPr>
        <w:t>。</w:t>
      </w:r>
    </w:p>
    <w:p>
      <w:pPr>
        <w:spacing w:line="336" w:lineRule="auto"/>
        <w:ind w:firstLine="420" w:firstLineChars="200"/>
        <w:rPr>
          <w:rFonts w:ascii="宋体" w:hAnsi="宋体"/>
          <w:color w:val="auto"/>
          <w:highlight w:val="none"/>
        </w:rPr>
      </w:pPr>
      <w:r>
        <w:rPr>
          <w:rFonts w:hint="eastAsia"/>
          <w:color w:val="auto"/>
          <w:highlight w:val="none"/>
        </w:rPr>
        <w:t>4</w:t>
      </w: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 xml:space="preserve"> 投标人修改投标文件的，</w:t>
      </w:r>
      <w:r>
        <w:rPr>
          <w:rFonts w:ascii="宋体" w:hAnsi="宋体"/>
          <w:color w:val="auto"/>
          <w:highlight w:val="none"/>
        </w:rPr>
        <w:t>应当</w:t>
      </w:r>
      <w:r>
        <w:rPr>
          <w:rFonts w:hint="eastAsia" w:ascii="宋体" w:hAnsi="宋体"/>
          <w:color w:val="auto"/>
          <w:highlight w:val="none"/>
        </w:rPr>
        <w:t>先按本章第</w:t>
      </w:r>
      <w:r>
        <w:rPr>
          <w:color w:val="auto"/>
          <w:highlight w:val="none"/>
        </w:rPr>
        <w:t>4</w:t>
      </w:r>
      <w:r>
        <w:rPr>
          <w:rFonts w:ascii="宋体" w:hAnsi="宋体"/>
          <w:color w:val="auto"/>
          <w:highlight w:val="none"/>
        </w:rPr>
        <w:t>.</w:t>
      </w:r>
      <w:r>
        <w:rPr>
          <w:color w:val="auto"/>
          <w:highlight w:val="none"/>
        </w:rPr>
        <w:t>3</w:t>
      </w:r>
      <w:r>
        <w:rPr>
          <w:rFonts w:ascii="宋体" w:hAnsi="宋体"/>
          <w:color w:val="auto"/>
          <w:highlight w:val="none"/>
        </w:rPr>
        <w:t>.</w:t>
      </w:r>
      <w:r>
        <w:rPr>
          <w:color w:val="auto"/>
          <w:highlight w:val="none"/>
        </w:rPr>
        <w:t>2</w:t>
      </w:r>
      <w:r>
        <w:rPr>
          <w:rFonts w:hint="eastAsia" w:ascii="宋体" w:hAnsi="宋体"/>
          <w:color w:val="auto"/>
          <w:highlight w:val="none"/>
        </w:rPr>
        <w:t>项的规定撤回投标文件，再</w:t>
      </w:r>
      <w:r>
        <w:rPr>
          <w:rFonts w:ascii="宋体" w:hAnsi="宋体"/>
          <w:color w:val="auto"/>
          <w:highlight w:val="none"/>
        </w:rPr>
        <w:t>使用</w:t>
      </w:r>
      <w:r>
        <w:rPr>
          <w:rFonts w:hint="eastAsia" w:ascii="宋体" w:hAnsi="宋体"/>
          <w:color w:val="auto"/>
          <w:highlight w:val="none"/>
        </w:rPr>
        <w:t>“电子</w:t>
      </w:r>
      <w:r>
        <w:rPr>
          <w:rFonts w:ascii="宋体" w:hAnsi="宋体"/>
          <w:color w:val="auto"/>
          <w:highlight w:val="none"/>
        </w:rPr>
        <w:t>投标文件制作软件”制作成完整的投标文件</w:t>
      </w:r>
      <w:r>
        <w:rPr>
          <w:rFonts w:hint="eastAsia" w:ascii="宋体" w:hAnsi="宋体"/>
          <w:color w:val="auto"/>
          <w:highlight w:val="none"/>
        </w:rPr>
        <w:t>，并按照本章第</w:t>
      </w:r>
      <w:r>
        <w:rPr>
          <w:rFonts w:hint="eastAsia"/>
          <w:color w:val="auto"/>
          <w:highlight w:val="none"/>
        </w:rPr>
        <w:t>3</w:t>
      </w:r>
      <w:r>
        <w:rPr>
          <w:rFonts w:hint="eastAsia" w:ascii="宋体" w:hAnsi="宋体"/>
          <w:color w:val="auto"/>
          <w:highlight w:val="none"/>
        </w:rPr>
        <w:t>条、第</w:t>
      </w:r>
      <w:r>
        <w:rPr>
          <w:rFonts w:hint="eastAsia"/>
          <w:color w:val="auto"/>
          <w:highlight w:val="none"/>
        </w:rPr>
        <w:t>4</w:t>
      </w:r>
      <w:r>
        <w:rPr>
          <w:rFonts w:hint="eastAsia" w:ascii="宋体" w:hAnsi="宋体"/>
          <w:color w:val="auto"/>
          <w:highlight w:val="none"/>
        </w:rPr>
        <w:t>条规定进行编制和递交。</w:t>
      </w:r>
    </w:p>
    <w:p>
      <w:pPr>
        <w:pStyle w:val="20"/>
        <w:keepNext w:val="0"/>
        <w:keepLines w:val="0"/>
        <w:spacing w:line="336" w:lineRule="auto"/>
        <w:outlineLvl w:val="2"/>
        <w:rPr>
          <w:color w:val="auto"/>
          <w:highlight w:val="none"/>
        </w:rPr>
      </w:pPr>
      <w:bookmarkStart w:id="471" w:name="_Toc13308"/>
      <w:bookmarkStart w:id="472" w:name="_Toc222032654"/>
      <w:bookmarkStart w:id="473" w:name="_Toc1617937419"/>
      <w:bookmarkStart w:id="474" w:name="_Toc222030987"/>
      <w:bookmarkStart w:id="475" w:name="_Toc168475674"/>
      <w:bookmarkStart w:id="476" w:name="_Toc7210"/>
      <w:bookmarkStart w:id="477" w:name="_Toc15570"/>
      <w:bookmarkStart w:id="478" w:name="_Toc222029485"/>
      <w:bookmarkStart w:id="479" w:name="_Toc144974527"/>
      <w:bookmarkStart w:id="480" w:name="_Toc229305345"/>
      <w:bookmarkStart w:id="481" w:name="_Toc387753556"/>
      <w:bookmarkStart w:id="482" w:name="_Toc685828188"/>
      <w:bookmarkStart w:id="483" w:name="_Toc31593"/>
      <w:bookmarkStart w:id="484" w:name="_Toc221950189"/>
      <w:bookmarkStart w:id="485" w:name="_Toc26097"/>
      <w:bookmarkStart w:id="486" w:name="_Toc23158"/>
      <w:bookmarkStart w:id="487" w:name="_Toc168476077"/>
      <w:bookmarkStart w:id="488" w:name="_Toc222033836"/>
      <w:r>
        <w:rPr>
          <w:rFonts w:hint="eastAsia"/>
          <w:color w:val="auto"/>
          <w:highlight w:val="none"/>
        </w:rPr>
        <w:t>5. 开标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38"/>
        <w:keepNext w:val="0"/>
        <w:keepLines w:val="0"/>
        <w:spacing w:line="336" w:lineRule="auto"/>
        <w:outlineLvl w:val="9"/>
        <w:rPr>
          <w:color w:val="auto"/>
          <w:sz w:val="24"/>
          <w:szCs w:val="24"/>
          <w:highlight w:val="none"/>
        </w:rPr>
      </w:pPr>
      <w:bookmarkStart w:id="489" w:name="_Toc144974528"/>
      <w:bookmarkStart w:id="490" w:name="_Toc152042336"/>
      <w:bookmarkStart w:id="491" w:name="_Toc14851"/>
      <w:bookmarkStart w:id="492" w:name="_Toc4325"/>
      <w:bookmarkStart w:id="493" w:name="_Toc507740480"/>
      <w:bookmarkStart w:id="494" w:name="_Toc15242"/>
      <w:bookmarkStart w:id="495" w:name="_Toc26369"/>
      <w:bookmarkStart w:id="496" w:name="_Toc515570326"/>
      <w:bookmarkStart w:id="497" w:name="_Toc152045560"/>
      <w:bookmarkStart w:id="498" w:name="_Toc1583529580"/>
      <w:bookmarkStart w:id="499" w:name="_Toc179632578"/>
      <w:bookmarkStart w:id="500" w:name="_Toc8272"/>
      <w:bookmarkStart w:id="501" w:name="_Toc22407"/>
      <w:bookmarkStart w:id="502" w:name="_Toc221950196"/>
      <w:r>
        <w:rPr>
          <w:rFonts w:hint="eastAsia"/>
          <w:color w:val="auto"/>
          <w:sz w:val="24"/>
          <w:szCs w:val="24"/>
          <w:highlight w:val="none"/>
        </w:rPr>
        <w:t>5.1 开标时间和地点</w:t>
      </w:r>
      <w:bookmarkEnd w:id="489"/>
      <w:bookmarkEnd w:id="490"/>
      <w:bookmarkEnd w:id="491"/>
      <w:bookmarkEnd w:id="492"/>
      <w:bookmarkEnd w:id="493"/>
      <w:bookmarkEnd w:id="494"/>
      <w:bookmarkEnd w:id="495"/>
      <w:bookmarkEnd w:id="496"/>
      <w:bookmarkEnd w:id="497"/>
      <w:bookmarkEnd w:id="498"/>
      <w:bookmarkEnd w:id="499"/>
      <w:bookmarkEnd w:id="500"/>
      <w:bookmarkEnd w:id="501"/>
    </w:p>
    <w:p>
      <w:pPr>
        <w:spacing w:line="336" w:lineRule="auto"/>
        <w:ind w:firstLine="420" w:firstLineChars="200"/>
        <w:rPr>
          <w:color w:val="auto"/>
          <w:highlight w:val="none"/>
        </w:rPr>
      </w:pPr>
      <w:r>
        <w:rPr>
          <w:rFonts w:hint="eastAsia"/>
          <w:color w:val="auto"/>
          <w:highlight w:val="none"/>
        </w:rPr>
        <w:t>5.1.1 招标人在本章第4.2.1项规定的投标截止时间（开标时间）</w:t>
      </w:r>
      <w:r>
        <w:rPr>
          <w:rFonts w:hint="eastAsia"/>
          <w:bCs/>
          <w:iCs/>
          <w:color w:val="auto"/>
          <w:highlight w:val="none"/>
        </w:rPr>
        <w:t>在</w:t>
      </w:r>
      <w:r>
        <w:rPr>
          <w:rFonts w:hint="eastAsia"/>
          <w:color w:val="auto"/>
          <w:highlight w:val="none"/>
        </w:rPr>
        <w:t>“电子交易平台”</w:t>
      </w:r>
      <w:r>
        <w:rPr>
          <w:rFonts w:hint="eastAsia"/>
          <w:bCs/>
          <w:iCs/>
          <w:color w:val="auto"/>
          <w:highlight w:val="none"/>
        </w:rPr>
        <w:t>上</w:t>
      </w:r>
      <w:r>
        <w:rPr>
          <w:rFonts w:hint="eastAsia"/>
          <w:color w:val="auto"/>
          <w:highlight w:val="none"/>
        </w:rPr>
        <w:t>公开进行开标，</w:t>
      </w:r>
      <w:r>
        <w:rPr>
          <w:rFonts w:hint="eastAsia"/>
          <w:bCs/>
          <w:iCs/>
          <w:color w:val="auto"/>
          <w:highlight w:val="none"/>
        </w:rPr>
        <w:t>所有投标人均</w:t>
      </w:r>
      <w:r>
        <w:rPr>
          <w:rFonts w:hint="eastAsia"/>
          <w:b/>
          <w:bCs/>
          <w:iCs/>
          <w:color w:val="auto"/>
          <w:highlight w:val="none"/>
        </w:rPr>
        <w:t>应当准时在线参加开标</w:t>
      </w:r>
      <w:r>
        <w:rPr>
          <w:rFonts w:hint="eastAsia"/>
          <w:color w:val="auto"/>
          <w:highlight w:val="none"/>
        </w:rPr>
        <w:t>。</w:t>
      </w:r>
    </w:p>
    <w:p>
      <w:pPr>
        <w:spacing w:line="336" w:lineRule="auto"/>
        <w:ind w:firstLine="420" w:firstLineChars="200"/>
        <w:rPr>
          <w:color w:val="auto"/>
          <w:highlight w:val="none"/>
        </w:rPr>
      </w:pPr>
      <w:r>
        <w:rPr>
          <w:rFonts w:hint="eastAsia"/>
          <w:color w:val="auto"/>
          <w:highlight w:val="none"/>
        </w:rPr>
        <w:t>5.1.2招标人通过互联网在投标人须知前附表规定的地点组织开标，并在投标人须知前附表5.2.1（6）规定的时间内，</w:t>
      </w:r>
      <w:r>
        <w:rPr>
          <w:color w:val="auto"/>
          <w:highlight w:val="none"/>
        </w:rPr>
        <w:t>使用</w:t>
      </w:r>
      <w:r>
        <w:rPr>
          <w:rFonts w:hint="eastAsia"/>
          <w:color w:val="auto"/>
          <w:highlight w:val="none"/>
        </w:rPr>
        <w:t>CA数字证书登录“电子交易平台”，进入“开标大厅”选择相应标段作在线开标的准备工作。</w:t>
      </w:r>
    </w:p>
    <w:p>
      <w:pPr>
        <w:spacing w:line="336" w:lineRule="auto"/>
        <w:ind w:firstLine="420" w:firstLineChars="200"/>
        <w:rPr>
          <w:color w:val="auto"/>
          <w:highlight w:val="none"/>
        </w:rPr>
      </w:pPr>
      <w:r>
        <w:rPr>
          <w:rFonts w:hint="eastAsia"/>
          <w:color w:val="auto"/>
          <w:highlight w:val="none"/>
        </w:rPr>
        <w:t>5.1.3 投标人应当在能够保证设施设备可靠、互联网畅通的</w:t>
      </w:r>
      <w:r>
        <w:rPr>
          <w:rFonts w:hint="eastAsia"/>
          <w:b/>
          <w:color w:val="auto"/>
          <w:highlight w:val="none"/>
        </w:rPr>
        <w:t>任意地点</w:t>
      </w:r>
      <w:r>
        <w:rPr>
          <w:rFonts w:hint="eastAsia"/>
          <w:color w:val="auto"/>
          <w:highlight w:val="none"/>
        </w:rPr>
        <w:t>，通过互联网在线参加开标</w:t>
      </w:r>
      <w:r>
        <w:rPr>
          <w:rFonts w:hint="eastAsia"/>
          <w:color w:val="auto"/>
          <w:szCs w:val="21"/>
          <w:highlight w:val="none"/>
        </w:rPr>
        <w:t>。在</w:t>
      </w:r>
      <w:r>
        <w:rPr>
          <w:rFonts w:hint="eastAsia"/>
          <w:color w:val="auto"/>
          <w:highlight w:val="none"/>
        </w:rPr>
        <w:t>投标截止时间前，</w:t>
      </w:r>
      <w:r>
        <w:rPr>
          <w:b/>
          <w:color w:val="auto"/>
          <w:highlight w:val="none"/>
        </w:rPr>
        <w:t>使用</w:t>
      </w:r>
      <w:r>
        <w:rPr>
          <w:rFonts w:hint="eastAsia"/>
          <w:b/>
          <w:color w:val="auto"/>
          <w:highlight w:val="none"/>
        </w:rPr>
        <w:t>加密该投标文件的CA数字证书</w:t>
      </w:r>
      <w:r>
        <w:rPr>
          <w:rFonts w:hint="eastAsia"/>
          <w:color w:val="auto"/>
          <w:highlight w:val="none"/>
        </w:rPr>
        <w:t>登录“电子交易平台”，进入“开标大厅”选择所投标段进行签到，并实时在线关注招标人的操作情况。</w:t>
      </w:r>
    </w:p>
    <w:p>
      <w:pPr>
        <w:pStyle w:val="38"/>
        <w:keepNext w:val="0"/>
        <w:keepLines w:val="0"/>
        <w:spacing w:line="336" w:lineRule="auto"/>
        <w:outlineLvl w:val="9"/>
        <w:rPr>
          <w:color w:val="auto"/>
          <w:sz w:val="24"/>
          <w:szCs w:val="24"/>
          <w:highlight w:val="none"/>
        </w:rPr>
      </w:pPr>
      <w:bookmarkStart w:id="503" w:name="_Toc460162817"/>
      <w:bookmarkStart w:id="504" w:name="_Toc29395"/>
      <w:bookmarkStart w:id="505" w:name="_Toc152042337"/>
      <w:bookmarkStart w:id="506" w:name="_Toc144974529"/>
      <w:bookmarkStart w:id="507" w:name="_Toc24473"/>
      <w:bookmarkStart w:id="508" w:name="_Toc8565"/>
      <w:bookmarkStart w:id="509" w:name="_Toc9539"/>
      <w:bookmarkStart w:id="510" w:name="_Toc179632579"/>
      <w:bookmarkStart w:id="511" w:name="_Toc515570327"/>
      <w:bookmarkStart w:id="512" w:name="_Toc22488"/>
      <w:bookmarkStart w:id="513" w:name="_Toc1571287349"/>
      <w:bookmarkStart w:id="514" w:name="_Toc152045561"/>
      <w:bookmarkStart w:id="515" w:name="_Toc8059"/>
      <w:r>
        <w:rPr>
          <w:rFonts w:hint="eastAsia"/>
          <w:color w:val="auto"/>
          <w:sz w:val="24"/>
          <w:szCs w:val="24"/>
          <w:highlight w:val="none"/>
        </w:rPr>
        <w:t>5.2 开标程序</w:t>
      </w:r>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336" w:lineRule="auto"/>
        <w:ind w:firstLine="420" w:firstLineChars="200"/>
        <w:rPr>
          <w:color w:val="auto"/>
          <w:highlight w:val="none"/>
        </w:rPr>
      </w:pPr>
      <w:r>
        <w:rPr>
          <w:rFonts w:hint="eastAsia"/>
          <w:color w:val="auto"/>
          <w:highlight w:val="none"/>
        </w:rPr>
        <w:t>5.2.1 主持人按下列程序在“电子交易平台”的“开标大厅”进行在线开标：</w:t>
      </w:r>
    </w:p>
    <w:p>
      <w:pPr>
        <w:spacing w:line="336" w:lineRule="auto"/>
        <w:ind w:firstLine="420" w:firstLineChars="200"/>
        <w:rPr>
          <w:color w:val="auto"/>
          <w:highlight w:val="none"/>
        </w:rPr>
      </w:pPr>
      <w:r>
        <w:rPr>
          <w:color w:val="auto"/>
          <w:highlight w:val="none"/>
        </w:rPr>
        <w:t>（1）宣布开标纪律；</w:t>
      </w:r>
    </w:p>
    <w:p>
      <w:pPr>
        <w:spacing w:line="336" w:lineRule="auto"/>
        <w:ind w:firstLine="420" w:firstLineChars="200"/>
        <w:rPr>
          <w:color w:val="auto"/>
          <w:highlight w:val="none"/>
        </w:rPr>
      </w:pPr>
      <w:r>
        <w:rPr>
          <w:color w:val="auto"/>
          <w:highlight w:val="none"/>
        </w:rPr>
        <w:t>（2）公布</w:t>
      </w:r>
      <w:r>
        <w:rPr>
          <w:rFonts w:hint="eastAsia"/>
          <w:color w:val="auto"/>
          <w:highlight w:val="none"/>
        </w:rPr>
        <w:t>主持人、招标人代表、监标人</w:t>
      </w:r>
      <w:r>
        <w:rPr>
          <w:color w:val="auto"/>
          <w:highlight w:val="none"/>
        </w:rPr>
        <w:t>等有关人员</w:t>
      </w:r>
      <w:r>
        <w:rPr>
          <w:rFonts w:hint="eastAsia"/>
          <w:color w:val="auto"/>
          <w:highlight w:val="none"/>
        </w:rPr>
        <w:t>姓</w:t>
      </w:r>
      <w:r>
        <w:rPr>
          <w:color w:val="auto"/>
          <w:highlight w:val="none"/>
        </w:rPr>
        <w:t xml:space="preserve">名； </w:t>
      </w:r>
    </w:p>
    <w:p>
      <w:pPr>
        <w:spacing w:line="336" w:lineRule="auto"/>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公布在投标截止时间前投标文件的递交情况；</w:t>
      </w:r>
    </w:p>
    <w:p>
      <w:pPr>
        <w:spacing w:line="336" w:lineRule="auto"/>
        <w:ind w:firstLine="420" w:firstLineChars="200"/>
        <w:rPr>
          <w:strike/>
          <w:dstrike w:val="0"/>
          <w:color w:val="auto"/>
          <w:szCs w:val="21"/>
          <w:highlight w:val="none"/>
        </w:rPr>
      </w:pPr>
      <w:r>
        <w:rPr>
          <w:strike/>
          <w:dstrike w:val="0"/>
          <w:color w:val="auto"/>
          <w:highlight w:val="none"/>
        </w:rPr>
        <w:t>（</w:t>
      </w:r>
      <w:r>
        <w:rPr>
          <w:rFonts w:hint="eastAsia"/>
          <w:strike/>
          <w:dstrike w:val="0"/>
          <w:color w:val="auto"/>
          <w:highlight w:val="none"/>
        </w:rPr>
        <w:t>4</w:t>
      </w:r>
      <w:r>
        <w:rPr>
          <w:strike/>
          <w:dstrike w:val="0"/>
          <w:color w:val="auto"/>
          <w:highlight w:val="none"/>
        </w:rPr>
        <w:t>）</w:t>
      </w:r>
      <w:r>
        <w:rPr>
          <w:rFonts w:hint="eastAsia"/>
          <w:strike/>
          <w:dstrike w:val="0"/>
          <w:color w:val="auto"/>
          <w:szCs w:val="21"/>
          <w:highlight w:val="none"/>
        </w:rPr>
        <w:t>公布投标保证金递交情况；</w:t>
      </w:r>
    </w:p>
    <w:p>
      <w:pPr>
        <w:spacing w:line="336" w:lineRule="auto"/>
        <w:ind w:firstLine="420" w:firstLineChars="200"/>
        <w:rPr>
          <w:color w:val="auto"/>
          <w:highlight w:val="none"/>
        </w:rPr>
      </w:pPr>
      <w:r>
        <w:rPr>
          <w:rFonts w:hint="eastAsia"/>
          <w:color w:val="auto"/>
          <w:highlight w:val="none"/>
        </w:rPr>
        <w:t>（5）需抽取评标基准价下浮率的，由招标人</w:t>
      </w:r>
      <w:r>
        <w:rPr>
          <w:color w:val="auto"/>
          <w:highlight w:val="none"/>
        </w:rPr>
        <w:t>代表</w:t>
      </w:r>
      <w:r>
        <w:rPr>
          <w:rFonts w:hint="eastAsia"/>
          <w:color w:val="auto"/>
          <w:highlight w:val="none"/>
        </w:rPr>
        <w:t>在“开标大厅”按标段抽取评标基准价下浮率；</w:t>
      </w:r>
    </w:p>
    <w:p>
      <w:pPr>
        <w:spacing w:line="336" w:lineRule="auto"/>
        <w:ind w:firstLine="420" w:firstLineChars="200"/>
        <w:rPr>
          <w:color w:val="auto"/>
          <w:highlight w:val="none"/>
        </w:rPr>
      </w:pPr>
      <w:r>
        <w:rPr>
          <w:color w:val="auto"/>
          <w:highlight w:val="none"/>
        </w:rPr>
        <w:t>（</w:t>
      </w:r>
      <w:r>
        <w:rPr>
          <w:rFonts w:hint="eastAsia"/>
          <w:color w:val="auto"/>
          <w:highlight w:val="none"/>
        </w:rPr>
        <w:t>6</w:t>
      </w:r>
      <w:r>
        <w:rPr>
          <w:color w:val="auto"/>
          <w:highlight w:val="none"/>
        </w:rPr>
        <w:t>）</w:t>
      </w:r>
      <w:r>
        <w:rPr>
          <w:color w:val="auto"/>
          <w:szCs w:val="21"/>
          <w:highlight w:val="none"/>
        </w:rPr>
        <w:t>投标人</w:t>
      </w:r>
      <w:r>
        <w:rPr>
          <w:rFonts w:hint="eastAsia"/>
          <w:color w:val="auto"/>
          <w:szCs w:val="21"/>
          <w:highlight w:val="none"/>
        </w:rPr>
        <w:t>根据提示</w:t>
      </w:r>
      <w:r>
        <w:rPr>
          <w:color w:val="auto"/>
          <w:szCs w:val="21"/>
          <w:highlight w:val="none"/>
        </w:rPr>
        <w:t>在</w:t>
      </w:r>
      <w:r>
        <w:rPr>
          <w:rFonts w:hint="eastAsia"/>
          <w:color w:val="auto"/>
          <w:szCs w:val="21"/>
          <w:highlight w:val="none"/>
        </w:rPr>
        <w:t>投标人须知前附表规定的时间内</w:t>
      </w:r>
      <w:r>
        <w:rPr>
          <w:color w:val="auto"/>
          <w:szCs w:val="21"/>
          <w:highlight w:val="none"/>
        </w:rPr>
        <w:t>解密投标文件</w:t>
      </w:r>
      <w:r>
        <w:rPr>
          <w:rFonts w:hint="eastAsia"/>
          <w:color w:val="auto"/>
          <w:szCs w:val="21"/>
          <w:highlight w:val="none"/>
        </w:rPr>
        <w:t>；</w:t>
      </w:r>
    </w:p>
    <w:p>
      <w:pPr>
        <w:spacing w:line="336" w:lineRule="auto"/>
        <w:ind w:firstLine="420" w:firstLineChars="200"/>
        <w:rPr>
          <w:color w:val="auto"/>
          <w:highlight w:val="none"/>
        </w:rPr>
      </w:pPr>
      <w:r>
        <w:rPr>
          <w:rFonts w:hint="eastAsia"/>
          <w:color w:val="auto"/>
          <w:highlight w:val="none"/>
        </w:rPr>
        <w:t>（7）读取已解密</w:t>
      </w:r>
      <w:r>
        <w:rPr>
          <w:rFonts w:hint="eastAsia"/>
          <w:color w:val="auto"/>
          <w:szCs w:val="21"/>
          <w:highlight w:val="none"/>
        </w:rPr>
        <w:t>的投标文件的内容</w:t>
      </w:r>
      <w:r>
        <w:rPr>
          <w:rFonts w:hint="eastAsia"/>
          <w:color w:val="auto"/>
          <w:highlight w:val="none"/>
        </w:rPr>
        <w:t>；</w:t>
      </w:r>
    </w:p>
    <w:p>
      <w:pPr>
        <w:spacing w:line="336" w:lineRule="auto"/>
        <w:ind w:firstLine="420" w:firstLineChars="200"/>
        <w:rPr>
          <w:color w:val="auto"/>
          <w:highlight w:val="none"/>
        </w:rPr>
      </w:pPr>
      <w:r>
        <w:rPr>
          <w:color w:val="auto"/>
          <w:highlight w:val="none"/>
        </w:rPr>
        <w:t>（</w:t>
      </w:r>
      <w:r>
        <w:rPr>
          <w:rFonts w:hint="eastAsia"/>
          <w:color w:val="auto"/>
          <w:highlight w:val="none"/>
        </w:rPr>
        <w:t>8</w:t>
      </w:r>
      <w:r>
        <w:rPr>
          <w:color w:val="auto"/>
          <w:highlight w:val="none"/>
        </w:rPr>
        <w:t>）</w:t>
      </w:r>
      <w:r>
        <w:rPr>
          <w:rFonts w:hint="eastAsia"/>
          <w:color w:val="auto"/>
          <w:highlight w:val="none"/>
        </w:rPr>
        <w:t>公布</w:t>
      </w:r>
      <w:r>
        <w:rPr>
          <w:color w:val="auto"/>
          <w:highlight w:val="none"/>
        </w:rPr>
        <w:t>投标人名称、</w:t>
      </w:r>
      <w:r>
        <w:rPr>
          <w:rFonts w:hint="eastAsia"/>
          <w:color w:val="auto"/>
          <w:highlight w:val="none"/>
        </w:rPr>
        <w:t>标段名称、</w:t>
      </w:r>
      <w:r>
        <w:rPr>
          <w:rFonts w:hint="eastAsia"/>
          <w:strike/>
          <w:color w:val="auto"/>
          <w:highlight w:val="none"/>
        </w:rPr>
        <w:t>投标保证金的递交情况</w:t>
      </w:r>
      <w:r>
        <w:rPr>
          <w:rFonts w:hint="eastAsia"/>
          <w:color w:val="auto"/>
          <w:highlight w:val="none"/>
        </w:rPr>
        <w:t>、</w:t>
      </w:r>
      <w:r>
        <w:rPr>
          <w:color w:val="auto"/>
          <w:highlight w:val="none"/>
        </w:rPr>
        <w:t>投标报价</w:t>
      </w:r>
      <w:r>
        <w:rPr>
          <w:rFonts w:hint="eastAsia"/>
          <w:color w:val="auto"/>
          <w:highlight w:val="none"/>
        </w:rPr>
        <w:t>、项目负责人姓名及其他内容，并</w:t>
      </w:r>
      <w:r>
        <w:rPr>
          <w:rFonts w:hint="eastAsia"/>
          <w:bCs/>
          <w:iCs/>
          <w:color w:val="auto"/>
          <w:highlight w:val="none"/>
        </w:rPr>
        <w:t>生成开标记录</w:t>
      </w:r>
      <w:r>
        <w:rPr>
          <w:rFonts w:hint="eastAsia"/>
          <w:color w:val="auto"/>
          <w:highlight w:val="none"/>
        </w:rPr>
        <w:t>；</w:t>
      </w:r>
    </w:p>
    <w:p>
      <w:pPr>
        <w:spacing w:line="336" w:lineRule="auto"/>
        <w:ind w:firstLine="420" w:firstLineChars="200"/>
        <w:rPr>
          <w:color w:val="auto"/>
          <w:highlight w:val="none"/>
        </w:rPr>
      </w:pPr>
      <w:r>
        <w:rPr>
          <w:color w:val="auto"/>
          <w:highlight w:val="none"/>
        </w:rPr>
        <w:t>（</w:t>
      </w:r>
      <w:r>
        <w:rPr>
          <w:rFonts w:hint="eastAsia"/>
          <w:color w:val="auto"/>
          <w:highlight w:val="none"/>
        </w:rPr>
        <w:t>9</w:t>
      </w:r>
      <w:r>
        <w:rPr>
          <w:color w:val="auto"/>
          <w:highlight w:val="none"/>
        </w:rPr>
        <w:t>）开标结束。</w:t>
      </w:r>
    </w:p>
    <w:p>
      <w:pPr>
        <w:spacing w:line="336" w:lineRule="auto"/>
        <w:ind w:firstLine="420" w:firstLineChars="200"/>
        <w:rPr>
          <w:color w:val="auto"/>
          <w:highlight w:val="none"/>
        </w:rPr>
      </w:pPr>
      <w:r>
        <w:rPr>
          <w:rFonts w:hint="eastAsia"/>
          <w:color w:val="auto"/>
          <w:highlight w:val="none"/>
        </w:rPr>
        <w:t xml:space="preserve">5.2.2 </w:t>
      </w:r>
      <w:r>
        <w:rPr>
          <w:rFonts w:hint="eastAsia"/>
          <w:bCs/>
          <w:iCs/>
          <w:color w:val="auto"/>
          <w:highlight w:val="none"/>
        </w:rPr>
        <w:t>在本章第</w:t>
      </w:r>
      <w:r>
        <w:rPr>
          <w:rFonts w:hint="eastAsia"/>
          <w:color w:val="auto"/>
          <w:highlight w:val="none"/>
        </w:rPr>
        <w:t>5.2.1</w:t>
      </w:r>
      <w:r>
        <w:rPr>
          <w:color w:val="auto"/>
          <w:highlight w:val="none"/>
        </w:rPr>
        <w:t>（</w:t>
      </w:r>
      <w:r>
        <w:rPr>
          <w:rFonts w:hint="eastAsia"/>
          <w:color w:val="auto"/>
          <w:highlight w:val="none"/>
        </w:rPr>
        <w:t>6</w:t>
      </w:r>
      <w:r>
        <w:rPr>
          <w:color w:val="auto"/>
          <w:highlight w:val="none"/>
        </w:rPr>
        <w:t>）</w:t>
      </w:r>
      <w:r>
        <w:rPr>
          <w:rFonts w:hint="eastAsia"/>
          <w:color w:val="auto"/>
          <w:highlight w:val="none"/>
        </w:rPr>
        <w:t>目规定的</w:t>
      </w:r>
      <w:r>
        <w:rPr>
          <w:rFonts w:hint="eastAsia"/>
          <w:color w:val="auto"/>
          <w:szCs w:val="21"/>
          <w:highlight w:val="none"/>
        </w:rPr>
        <w:t>时间内</w:t>
      </w:r>
      <w:r>
        <w:rPr>
          <w:rFonts w:hint="eastAsia"/>
          <w:bCs/>
          <w:iCs/>
          <w:color w:val="auto"/>
          <w:highlight w:val="none"/>
        </w:rPr>
        <w:t>，非因“电子交易平台”原因造成投标文件未解密的，视为投标人撤回投标文件。已解密的投标文件少于三个的，招标失败；已解密的投标文件不少于三个，开标继续进行。</w:t>
      </w:r>
    </w:p>
    <w:p>
      <w:pPr>
        <w:pStyle w:val="38"/>
        <w:keepNext w:val="0"/>
        <w:keepLines w:val="0"/>
        <w:spacing w:line="336" w:lineRule="auto"/>
        <w:outlineLvl w:val="9"/>
        <w:rPr>
          <w:color w:val="auto"/>
          <w:sz w:val="24"/>
          <w:szCs w:val="24"/>
          <w:highlight w:val="none"/>
        </w:rPr>
      </w:pPr>
      <w:bookmarkStart w:id="516" w:name="_Toc18385"/>
      <w:bookmarkStart w:id="517" w:name="_Toc1253256421"/>
      <w:bookmarkStart w:id="518" w:name="_Toc25752"/>
      <w:bookmarkStart w:id="519" w:name="_Toc300834983"/>
      <w:bookmarkStart w:id="520" w:name="_Toc21976"/>
      <w:bookmarkStart w:id="521" w:name="_Toc460938219"/>
      <w:bookmarkStart w:id="522" w:name="_Toc515570328"/>
      <w:bookmarkStart w:id="523" w:name="_Toc2707"/>
      <w:bookmarkStart w:id="524" w:name="_Toc13359"/>
      <w:bookmarkStart w:id="525" w:name="_Toc27225"/>
      <w:r>
        <w:rPr>
          <w:rFonts w:hint="eastAsia"/>
          <w:color w:val="auto"/>
          <w:sz w:val="24"/>
          <w:szCs w:val="24"/>
          <w:highlight w:val="none"/>
        </w:rPr>
        <w:t>5.3 开标异议</w:t>
      </w:r>
      <w:bookmarkEnd w:id="516"/>
      <w:bookmarkEnd w:id="517"/>
      <w:bookmarkEnd w:id="518"/>
      <w:bookmarkEnd w:id="519"/>
      <w:bookmarkEnd w:id="520"/>
      <w:bookmarkEnd w:id="521"/>
      <w:bookmarkEnd w:id="522"/>
      <w:bookmarkEnd w:id="523"/>
      <w:bookmarkEnd w:id="524"/>
      <w:bookmarkEnd w:id="525"/>
    </w:p>
    <w:p>
      <w:pPr>
        <w:spacing w:line="336" w:lineRule="auto"/>
        <w:ind w:firstLine="420" w:firstLineChars="200"/>
        <w:rPr>
          <w:color w:val="auto"/>
          <w:highlight w:val="none"/>
        </w:rPr>
      </w:pPr>
      <w:r>
        <w:rPr>
          <w:rFonts w:hint="eastAsia"/>
          <w:color w:val="auto"/>
          <w:highlight w:val="none"/>
        </w:rPr>
        <w:t>5.3.1投标人对开标有异议的，应当在开标过程中提出；招标人当场对异议作出答复，并记入开标记录。异议与答复应通过 “开标大厅”进行。</w:t>
      </w:r>
    </w:p>
    <w:p>
      <w:pPr>
        <w:spacing w:line="336" w:lineRule="auto"/>
        <w:ind w:firstLine="420" w:firstLineChars="200"/>
        <w:rPr>
          <w:color w:val="auto"/>
          <w:highlight w:val="none"/>
        </w:rPr>
      </w:pPr>
      <w:r>
        <w:rPr>
          <w:rFonts w:hint="eastAsia"/>
          <w:color w:val="auto"/>
          <w:highlight w:val="none"/>
        </w:rPr>
        <w:t>本处所称异议是指投标人在</w:t>
      </w:r>
      <w:r>
        <w:rPr>
          <w:color w:val="auto"/>
          <w:highlight w:val="none"/>
        </w:rPr>
        <w:t>开标</w:t>
      </w:r>
      <w:r>
        <w:rPr>
          <w:rFonts w:hint="eastAsia"/>
          <w:color w:val="auto"/>
          <w:highlight w:val="none"/>
        </w:rPr>
        <w:t>过程中</w:t>
      </w:r>
      <w:r>
        <w:rPr>
          <w:color w:val="auto"/>
          <w:highlight w:val="none"/>
        </w:rPr>
        <w:t>对投标文件提交、</w:t>
      </w:r>
      <w:r>
        <w:rPr>
          <w:rFonts w:hint="eastAsia"/>
          <w:color w:val="auto"/>
          <w:highlight w:val="none"/>
        </w:rPr>
        <w:t>投标</w:t>
      </w:r>
      <w:r>
        <w:rPr>
          <w:color w:val="auto"/>
          <w:highlight w:val="none"/>
        </w:rPr>
        <w:t>截</w:t>
      </w:r>
      <w:r>
        <w:rPr>
          <w:rFonts w:hint="eastAsia"/>
          <w:color w:val="auto"/>
          <w:highlight w:val="none"/>
        </w:rPr>
        <w:t>止</w:t>
      </w:r>
      <w:r>
        <w:rPr>
          <w:color w:val="auto"/>
          <w:highlight w:val="none"/>
        </w:rPr>
        <w:t>时间、开标程序、开标记录以及投标人和招标人或者投标人相互之间存在利益冲突的情形等</w:t>
      </w:r>
      <w:r>
        <w:rPr>
          <w:rFonts w:hint="eastAsia"/>
          <w:color w:val="auto"/>
          <w:highlight w:val="none"/>
        </w:rPr>
        <w:t>提出的质疑。</w:t>
      </w:r>
    </w:p>
    <w:p>
      <w:pPr>
        <w:spacing w:line="336" w:lineRule="auto"/>
        <w:ind w:firstLine="420" w:firstLineChars="200"/>
        <w:rPr>
          <w:color w:val="auto"/>
          <w:highlight w:val="none"/>
        </w:rPr>
      </w:pPr>
      <w:r>
        <w:rPr>
          <w:rFonts w:hint="eastAsia"/>
          <w:color w:val="auto"/>
          <w:highlight w:val="none"/>
        </w:rPr>
        <w:t xml:space="preserve">5.3.2 </w:t>
      </w:r>
      <w:r>
        <w:rPr>
          <w:color w:val="auto"/>
          <w:highlight w:val="none"/>
        </w:rPr>
        <w:t>投标人异议成立的，招标人</w:t>
      </w:r>
      <w:r>
        <w:rPr>
          <w:rFonts w:hint="eastAsia"/>
          <w:color w:val="auto"/>
          <w:highlight w:val="none"/>
        </w:rPr>
        <w:t>将</w:t>
      </w:r>
      <w:r>
        <w:rPr>
          <w:color w:val="auto"/>
          <w:highlight w:val="none"/>
        </w:rPr>
        <w:t>及时采取纠正措施，或者提交评标委员会评审确认；投标人异议不成立的，招标人</w:t>
      </w:r>
      <w:r>
        <w:rPr>
          <w:rFonts w:hint="eastAsia"/>
          <w:color w:val="auto"/>
          <w:highlight w:val="none"/>
        </w:rPr>
        <w:t>将</w:t>
      </w:r>
      <w:r>
        <w:rPr>
          <w:color w:val="auto"/>
          <w:highlight w:val="none"/>
        </w:rPr>
        <w:t>当场给予解释说明。</w:t>
      </w:r>
    </w:p>
    <w:p>
      <w:pPr>
        <w:pStyle w:val="38"/>
        <w:keepNext w:val="0"/>
        <w:keepLines w:val="0"/>
        <w:spacing w:line="336" w:lineRule="auto"/>
        <w:outlineLvl w:val="9"/>
        <w:rPr>
          <w:color w:val="auto"/>
          <w:sz w:val="24"/>
          <w:szCs w:val="24"/>
          <w:highlight w:val="none"/>
        </w:rPr>
      </w:pPr>
      <w:bookmarkStart w:id="526" w:name="_Toc409200553"/>
      <w:bookmarkStart w:id="527" w:name="_Toc1868123395"/>
      <w:bookmarkStart w:id="528" w:name="_Toc26300"/>
      <w:bookmarkStart w:id="529" w:name="_Toc515570329"/>
      <w:bookmarkStart w:id="530" w:name="_Toc14026"/>
      <w:bookmarkStart w:id="531" w:name="_Toc5672"/>
      <w:bookmarkStart w:id="532" w:name="_Toc14689"/>
      <w:bookmarkStart w:id="533" w:name="_Toc11162"/>
      <w:bookmarkStart w:id="534" w:name="_Toc5289"/>
      <w:bookmarkStart w:id="535" w:name="_Toc400530224"/>
      <w:bookmarkStart w:id="536" w:name="_Toc402465011"/>
      <w:r>
        <w:rPr>
          <w:color w:val="auto"/>
          <w:sz w:val="24"/>
          <w:szCs w:val="24"/>
          <w:highlight w:val="none"/>
        </w:rPr>
        <w:t>5.</w:t>
      </w:r>
      <w:r>
        <w:rPr>
          <w:rFonts w:hint="eastAsia"/>
          <w:color w:val="auto"/>
          <w:sz w:val="24"/>
          <w:szCs w:val="24"/>
          <w:highlight w:val="none"/>
        </w:rPr>
        <w:t xml:space="preserve">4 </w:t>
      </w:r>
      <w:r>
        <w:rPr>
          <w:color w:val="auto"/>
          <w:sz w:val="24"/>
          <w:szCs w:val="24"/>
          <w:highlight w:val="none"/>
        </w:rPr>
        <w:t>特殊情况的处置</w:t>
      </w:r>
      <w:bookmarkEnd w:id="526"/>
      <w:bookmarkEnd w:id="527"/>
      <w:bookmarkEnd w:id="528"/>
      <w:bookmarkEnd w:id="529"/>
      <w:bookmarkEnd w:id="530"/>
      <w:bookmarkEnd w:id="531"/>
      <w:bookmarkEnd w:id="532"/>
      <w:bookmarkEnd w:id="533"/>
      <w:bookmarkEnd w:id="534"/>
    </w:p>
    <w:p>
      <w:pPr>
        <w:spacing w:line="336" w:lineRule="auto"/>
        <w:ind w:firstLine="420" w:firstLineChars="200"/>
        <w:rPr>
          <w:color w:val="auto"/>
          <w:highlight w:val="none"/>
        </w:rPr>
      </w:pPr>
      <w:r>
        <w:rPr>
          <w:rFonts w:hint="eastAsia"/>
          <w:color w:val="auto"/>
          <w:highlight w:val="none"/>
        </w:rPr>
        <w:t>5.4.1</w:t>
      </w:r>
      <w:r>
        <w:rPr>
          <w:color w:val="auto"/>
          <w:highlight w:val="none"/>
        </w:rPr>
        <w:t>因</w:t>
      </w:r>
      <w:r>
        <w:rPr>
          <w:rFonts w:hint="eastAsia"/>
          <w:color w:val="auto"/>
          <w:highlight w:val="none"/>
        </w:rPr>
        <w:t>“电子交易平台”</w:t>
      </w:r>
      <w:r>
        <w:rPr>
          <w:color w:val="auto"/>
          <w:highlight w:val="none"/>
        </w:rPr>
        <w:t>系统</w:t>
      </w:r>
      <w:r>
        <w:rPr>
          <w:rFonts w:hint="eastAsia"/>
          <w:color w:val="auto"/>
          <w:highlight w:val="none"/>
        </w:rPr>
        <w:t>故障</w:t>
      </w:r>
      <w:r>
        <w:rPr>
          <w:color w:val="auto"/>
          <w:highlight w:val="none"/>
        </w:rPr>
        <w:t>导致</w:t>
      </w:r>
      <w:r>
        <w:rPr>
          <w:rFonts w:hint="eastAsia"/>
          <w:color w:val="auto"/>
          <w:highlight w:val="none"/>
        </w:rPr>
        <w:t>无法投标的，交易中心及时通知招标人，招标人视情况决定是否顺延投标截止时间。</w:t>
      </w:r>
      <w:r>
        <w:rPr>
          <w:color w:val="auto"/>
          <w:highlight w:val="none"/>
        </w:rPr>
        <w:t>因投标人自身</w:t>
      </w:r>
      <w:r>
        <w:rPr>
          <w:rFonts w:hint="eastAsia"/>
          <w:color w:val="auto"/>
          <w:highlight w:val="none"/>
        </w:rPr>
        <w:t>原因</w:t>
      </w:r>
      <w:r>
        <w:rPr>
          <w:color w:val="auto"/>
          <w:highlight w:val="none"/>
        </w:rPr>
        <w:t>导致无法完成投标的，由投标人自行承担后果。</w:t>
      </w:r>
    </w:p>
    <w:p>
      <w:pPr>
        <w:spacing w:line="336" w:lineRule="auto"/>
        <w:ind w:firstLine="420" w:firstLineChars="200"/>
        <w:rPr>
          <w:color w:val="auto"/>
          <w:highlight w:val="none"/>
        </w:rPr>
      </w:pPr>
      <w:r>
        <w:rPr>
          <w:rFonts w:hint="eastAsia"/>
          <w:color w:val="auto"/>
          <w:highlight w:val="none"/>
        </w:rPr>
        <w:t xml:space="preserve">5.4.2 </w:t>
      </w:r>
      <w:r>
        <w:rPr>
          <w:color w:val="auto"/>
          <w:highlight w:val="none"/>
        </w:rPr>
        <w:t>因</w:t>
      </w:r>
      <w:r>
        <w:rPr>
          <w:rFonts w:hint="eastAsia"/>
          <w:color w:val="auto"/>
          <w:highlight w:val="none"/>
        </w:rPr>
        <w:t>“电子交易平台”</w:t>
      </w:r>
      <w:r>
        <w:rPr>
          <w:color w:val="auto"/>
          <w:highlight w:val="none"/>
        </w:rPr>
        <w:t>系统</w:t>
      </w:r>
      <w:r>
        <w:rPr>
          <w:rFonts w:hint="eastAsia"/>
          <w:color w:val="auto"/>
          <w:highlight w:val="none"/>
        </w:rPr>
        <w:t>故障</w:t>
      </w:r>
      <w:r>
        <w:rPr>
          <w:color w:val="auto"/>
          <w:highlight w:val="none"/>
        </w:rPr>
        <w:t>导致</w:t>
      </w:r>
      <w:r>
        <w:rPr>
          <w:rFonts w:hint="eastAsia"/>
          <w:color w:val="auto"/>
          <w:highlight w:val="none"/>
        </w:rPr>
        <w:t>无法正常开标的，招标人将</w:t>
      </w:r>
      <w:r>
        <w:rPr>
          <w:color w:val="auto"/>
          <w:highlight w:val="none"/>
        </w:rPr>
        <w:t>暂停开标</w:t>
      </w:r>
      <w:r>
        <w:rPr>
          <w:rFonts w:hint="eastAsia"/>
          <w:color w:val="auto"/>
          <w:highlight w:val="none"/>
        </w:rPr>
        <w:t>，待系统恢复</w:t>
      </w:r>
      <w:r>
        <w:rPr>
          <w:color w:val="auto"/>
          <w:highlight w:val="none"/>
        </w:rPr>
        <w:t>正常</w:t>
      </w:r>
      <w:r>
        <w:rPr>
          <w:rFonts w:hint="eastAsia"/>
          <w:color w:val="auto"/>
          <w:highlight w:val="none"/>
        </w:rPr>
        <w:t>后继续开标。</w:t>
      </w:r>
    </w:p>
    <w:p>
      <w:pPr>
        <w:spacing w:line="336" w:lineRule="auto"/>
        <w:ind w:firstLine="420" w:firstLineChars="200"/>
        <w:rPr>
          <w:color w:val="auto"/>
          <w:highlight w:val="none"/>
        </w:rPr>
      </w:pPr>
      <w:r>
        <w:rPr>
          <w:rFonts w:hint="eastAsia"/>
          <w:color w:val="auto"/>
          <w:highlight w:val="none"/>
        </w:rPr>
        <w:t>5.4.3 “电子交易平台”</w:t>
      </w:r>
      <w:r>
        <w:rPr>
          <w:color w:val="auto"/>
          <w:highlight w:val="none"/>
        </w:rPr>
        <w:t>系统</w:t>
      </w:r>
      <w:r>
        <w:rPr>
          <w:rFonts w:hint="eastAsia"/>
          <w:color w:val="auto"/>
          <w:highlight w:val="none"/>
        </w:rPr>
        <w:t>故障是指下列情形：</w:t>
      </w:r>
    </w:p>
    <w:p>
      <w:pPr>
        <w:spacing w:line="336" w:lineRule="auto"/>
        <w:ind w:firstLine="420" w:firstLineChars="200"/>
        <w:rPr>
          <w:color w:val="auto"/>
          <w:highlight w:val="none"/>
        </w:rPr>
      </w:pPr>
      <w:r>
        <w:rPr>
          <w:color w:val="auto"/>
          <w:highlight w:val="none"/>
        </w:rPr>
        <w:t>（1）系统服务器发生故障，无法访问或无法使用系统；</w:t>
      </w:r>
    </w:p>
    <w:p>
      <w:pPr>
        <w:spacing w:line="336" w:lineRule="auto"/>
        <w:ind w:firstLine="420" w:firstLineChars="200"/>
        <w:rPr>
          <w:color w:val="auto"/>
          <w:highlight w:val="none"/>
        </w:rPr>
      </w:pPr>
      <w:r>
        <w:rPr>
          <w:color w:val="auto"/>
          <w:highlight w:val="none"/>
        </w:rPr>
        <w:t>（2）系统的软件或数据库出现错误，不能进行正常操作；</w:t>
      </w:r>
    </w:p>
    <w:p>
      <w:pPr>
        <w:spacing w:line="336" w:lineRule="auto"/>
        <w:ind w:firstLine="420" w:firstLineChars="200"/>
        <w:rPr>
          <w:color w:val="auto"/>
          <w:highlight w:val="none"/>
        </w:rPr>
      </w:pPr>
      <w:r>
        <w:rPr>
          <w:color w:val="auto"/>
          <w:highlight w:val="none"/>
        </w:rPr>
        <w:t>（3）系统发现有安全漏洞，有潜在的泄密危险；</w:t>
      </w:r>
    </w:p>
    <w:p>
      <w:pPr>
        <w:spacing w:line="336" w:lineRule="auto"/>
        <w:ind w:firstLine="420" w:firstLineChars="200"/>
        <w:rPr>
          <w:color w:val="auto"/>
          <w:highlight w:val="none"/>
        </w:rPr>
      </w:pPr>
      <w:r>
        <w:rPr>
          <w:rFonts w:hint="eastAsia"/>
          <w:color w:val="auto"/>
          <w:highlight w:val="none"/>
        </w:rPr>
        <w:t>（4）出现断电、断网事故；</w:t>
      </w:r>
    </w:p>
    <w:p>
      <w:pPr>
        <w:spacing w:line="336" w:lineRule="auto"/>
        <w:ind w:firstLine="420" w:firstLineChars="200"/>
        <w:rPr>
          <w:color w:val="auto"/>
          <w:highlight w:val="none"/>
        </w:rPr>
      </w:pPr>
      <w:r>
        <w:rPr>
          <w:color w:val="auto"/>
          <w:highlight w:val="none"/>
        </w:rPr>
        <w:t>（</w:t>
      </w:r>
      <w:r>
        <w:rPr>
          <w:rFonts w:hint="eastAsia"/>
          <w:color w:val="auto"/>
          <w:highlight w:val="none"/>
        </w:rPr>
        <w:t>5</w:t>
      </w:r>
      <w:r>
        <w:rPr>
          <w:color w:val="auto"/>
          <w:highlight w:val="none"/>
        </w:rPr>
        <w:t>）其他无法保证招投标过程</w:t>
      </w:r>
      <w:r>
        <w:rPr>
          <w:rFonts w:hint="eastAsia"/>
          <w:color w:val="auto"/>
          <w:highlight w:val="none"/>
        </w:rPr>
        <w:t>正常进行</w:t>
      </w:r>
      <w:r>
        <w:rPr>
          <w:color w:val="auto"/>
          <w:highlight w:val="none"/>
        </w:rPr>
        <w:t>的情形。</w:t>
      </w:r>
      <w:bookmarkEnd w:id="535"/>
      <w:bookmarkEnd w:id="536"/>
    </w:p>
    <w:bookmarkEnd w:id="502"/>
    <w:p>
      <w:pPr>
        <w:pStyle w:val="20"/>
        <w:keepNext w:val="0"/>
        <w:keepLines w:val="0"/>
        <w:spacing w:line="336" w:lineRule="auto"/>
        <w:outlineLvl w:val="2"/>
        <w:rPr>
          <w:color w:val="auto"/>
          <w:highlight w:val="none"/>
        </w:rPr>
      </w:pPr>
      <w:bookmarkStart w:id="537" w:name="_Toc387753557"/>
      <w:bookmarkStart w:id="538" w:name="_Toc1313418476"/>
      <w:bookmarkStart w:id="539" w:name="_Toc222032655"/>
      <w:bookmarkStart w:id="540" w:name="_Toc229305346"/>
      <w:bookmarkStart w:id="541" w:name="_Toc144974530"/>
      <w:bookmarkStart w:id="542" w:name="_Toc1580257222"/>
      <w:bookmarkStart w:id="543" w:name="_Toc11272"/>
      <w:bookmarkStart w:id="544" w:name="_Toc16277"/>
      <w:bookmarkStart w:id="545" w:name="_Toc222029486"/>
      <w:bookmarkStart w:id="546" w:name="_Toc21894"/>
      <w:bookmarkStart w:id="547" w:name="_Toc1697"/>
      <w:bookmarkStart w:id="548" w:name="_Toc222033837"/>
      <w:bookmarkStart w:id="549" w:name="_Toc25372"/>
      <w:bookmarkStart w:id="550" w:name="_Toc452"/>
      <w:bookmarkStart w:id="551" w:name="_Toc222030988"/>
      <w:bookmarkStart w:id="552" w:name="_Toc221950200"/>
      <w:bookmarkStart w:id="553" w:name="_Toc168476080"/>
      <w:bookmarkStart w:id="554" w:name="_Toc168475677"/>
      <w:r>
        <w:rPr>
          <w:rFonts w:hint="eastAsia"/>
          <w:color w:val="auto"/>
          <w:highlight w:val="none"/>
        </w:rPr>
        <w:t>6. 评标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38"/>
        <w:keepNext w:val="0"/>
        <w:keepLines w:val="0"/>
        <w:spacing w:line="336" w:lineRule="auto"/>
        <w:outlineLvl w:val="9"/>
        <w:rPr>
          <w:color w:val="auto"/>
          <w:sz w:val="24"/>
          <w:szCs w:val="24"/>
          <w:highlight w:val="none"/>
        </w:rPr>
      </w:pPr>
      <w:bookmarkStart w:id="555" w:name="_Toc152042339"/>
      <w:bookmarkStart w:id="556" w:name="_Toc29457"/>
      <w:bookmarkStart w:id="557" w:name="_Toc16198"/>
      <w:bookmarkStart w:id="558" w:name="_Toc1408970704"/>
      <w:bookmarkStart w:id="559" w:name="_Toc25522"/>
      <w:bookmarkStart w:id="560" w:name="_Toc17877"/>
      <w:bookmarkStart w:id="561" w:name="_Toc30768"/>
      <w:bookmarkStart w:id="562" w:name="_Toc144974531"/>
      <w:bookmarkStart w:id="563" w:name="_Toc152045563"/>
      <w:bookmarkStart w:id="564" w:name="_Toc9634"/>
      <w:bookmarkStart w:id="565" w:name="_Toc1286787065"/>
      <w:bookmarkStart w:id="566" w:name="_Toc179632581"/>
      <w:bookmarkStart w:id="567" w:name="_Toc221950207"/>
      <w:r>
        <w:rPr>
          <w:rFonts w:hint="eastAsia"/>
          <w:color w:val="auto"/>
          <w:sz w:val="24"/>
          <w:szCs w:val="24"/>
          <w:highlight w:val="none"/>
        </w:rPr>
        <w:t>6.1 评标委员会</w:t>
      </w:r>
      <w:bookmarkEnd w:id="555"/>
      <w:bookmarkEnd w:id="556"/>
      <w:bookmarkEnd w:id="557"/>
      <w:bookmarkEnd w:id="558"/>
      <w:bookmarkEnd w:id="559"/>
      <w:bookmarkEnd w:id="560"/>
      <w:bookmarkEnd w:id="561"/>
      <w:bookmarkEnd w:id="562"/>
      <w:bookmarkEnd w:id="563"/>
      <w:bookmarkEnd w:id="564"/>
      <w:bookmarkEnd w:id="565"/>
      <w:bookmarkEnd w:id="566"/>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评标委员会成员有下列情形之一的，应当回避：</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）投标人或投标人的主要负责人的近亲属；</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）项目主管部门或者行政监督部门的人员；</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）与投标人有经济利益关系或其他利害关系，可能影响对投标公正评审的；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pPr>
        <w:pStyle w:val="38"/>
        <w:keepNext w:val="0"/>
        <w:keepLines w:val="0"/>
        <w:spacing w:line="336" w:lineRule="auto"/>
        <w:outlineLvl w:val="9"/>
        <w:rPr>
          <w:color w:val="auto"/>
          <w:sz w:val="24"/>
          <w:szCs w:val="24"/>
          <w:highlight w:val="none"/>
        </w:rPr>
      </w:pPr>
      <w:bookmarkStart w:id="568" w:name="_Toc8732"/>
      <w:bookmarkStart w:id="569" w:name="_Toc179632582"/>
      <w:bookmarkStart w:id="570" w:name="_Toc152042340"/>
      <w:bookmarkStart w:id="571" w:name="_Toc152045564"/>
      <w:bookmarkStart w:id="572" w:name="_Toc144974532"/>
      <w:bookmarkStart w:id="573" w:name="_Toc9964"/>
      <w:bookmarkStart w:id="574" w:name="_Toc14209"/>
      <w:bookmarkStart w:id="575" w:name="_Toc21087"/>
      <w:bookmarkStart w:id="576" w:name="_Toc648231224"/>
      <w:bookmarkStart w:id="577" w:name="_Toc12826"/>
      <w:bookmarkStart w:id="578" w:name="_Toc1595242147"/>
      <w:bookmarkStart w:id="579" w:name="_Toc7343"/>
      <w:r>
        <w:rPr>
          <w:rFonts w:hint="eastAsia"/>
          <w:color w:val="auto"/>
          <w:sz w:val="24"/>
          <w:szCs w:val="24"/>
          <w:highlight w:val="none"/>
        </w:rPr>
        <w:t>6.2 评标原则</w:t>
      </w:r>
      <w:bookmarkEnd w:id="568"/>
      <w:bookmarkEnd w:id="569"/>
      <w:bookmarkEnd w:id="570"/>
      <w:bookmarkEnd w:id="571"/>
      <w:bookmarkEnd w:id="572"/>
      <w:bookmarkEnd w:id="573"/>
      <w:bookmarkEnd w:id="574"/>
      <w:bookmarkEnd w:id="575"/>
      <w:bookmarkEnd w:id="576"/>
      <w:bookmarkEnd w:id="577"/>
      <w:bookmarkEnd w:id="578"/>
      <w:bookmarkEnd w:id="579"/>
      <w:r>
        <w:rPr>
          <w:rFonts w:hint="eastAsia"/>
          <w:color w:val="auto"/>
          <w:sz w:val="24"/>
          <w:szCs w:val="24"/>
          <w:highlight w:val="none"/>
        </w:rPr>
        <w:tab/>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38"/>
        <w:keepNext w:val="0"/>
        <w:keepLines w:val="0"/>
        <w:spacing w:line="336" w:lineRule="auto"/>
        <w:outlineLvl w:val="9"/>
        <w:rPr>
          <w:color w:val="auto"/>
          <w:sz w:val="24"/>
          <w:szCs w:val="24"/>
          <w:highlight w:val="none"/>
        </w:rPr>
      </w:pPr>
      <w:bookmarkStart w:id="580" w:name="_Toc602"/>
      <w:bookmarkStart w:id="581" w:name="_Toc506259376"/>
      <w:bookmarkStart w:id="582" w:name="_Toc23703"/>
      <w:bookmarkStart w:id="583" w:name="_Toc648893808"/>
      <w:bookmarkStart w:id="584" w:name="_Toc25174"/>
      <w:bookmarkStart w:id="585" w:name="_Toc5358"/>
      <w:bookmarkStart w:id="586" w:name="_Toc27621"/>
      <w:bookmarkStart w:id="587" w:name="_Toc144974533"/>
      <w:bookmarkStart w:id="588" w:name="_Toc23179"/>
      <w:bookmarkStart w:id="589" w:name="_Toc152042341"/>
      <w:bookmarkStart w:id="590" w:name="_Toc152045565"/>
      <w:bookmarkStart w:id="591" w:name="_Toc179632583"/>
      <w:r>
        <w:rPr>
          <w:rFonts w:hint="eastAsia"/>
          <w:color w:val="auto"/>
          <w:sz w:val="24"/>
          <w:szCs w:val="24"/>
          <w:highlight w:val="none"/>
        </w:rPr>
        <w:t>6.3 评标</w:t>
      </w:r>
      <w:bookmarkEnd w:id="580"/>
      <w:bookmarkEnd w:id="581"/>
      <w:bookmarkEnd w:id="582"/>
      <w:bookmarkEnd w:id="583"/>
      <w:bookmarkEnd w:id="584"/>
      <w:bookmarkEnd w:id="585"/>
      <w:bookmarkEnd w:id="586"/>
      <w:bookmarkEnd w:id="587"/>
      <w:bookmarkEnd w:id="588"/>
      <w:bookmarkEnd w:id="589"/>
      <w:bookmarkEnd w:id="590"/>
      <w:bookmarkEnd w:id="591"/>
    </w:p>
    <w:p>
      <w:pPr>
        <w:spacing w:line="336" w:lineRule="auto"/>
        <w:ind w:firstLine="420" w:firstLineChars="200"/>
        <w:rPr>
          <w:color w:val="auto"/>
          <w:szCs w:val="21"/>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bookmarkEnd w:id="567"/>
      <w:bookmarkStart w:id="592" w:name="_Toc168476084"/>
      <w:bookmarkStart w:id="593" w:name="_Toc168475681"/>
      <w:bookmarkStart w:id="594" w:name="_Toc387753558"/>
      <w:bookmarkStart w:id="595" w:name="_Toc222029487"/>
      <w:bookmarkStart w:id="596" w:name="_Toc221950208"/>
      <w:bookmarkStart w:id="597" w:name="_Toc222032656"/>
      <w:bookmarkStart w:id="598" w:name="_Toc229305347"/>
      <w:bookmarkStart w:id="599" w:name="_Toc222033838"/>
      <w:bookmarkStart w:id="600" w:name="_Toc144974534"/>
      <w:bookmarkStart w:id="601" w:name="_Toc222030989"/>
    </w:p>
    <w:p>
      <w:pPr>
        <w:pStyle w:val="38"/>
        <w:keepNext w:val="0"/>
        <w:keepLines w:val="0"/>
        <w:spacing w:line="336" w:lineRule="auto"/>
        <w:outlineLvl w:val="9"/>
        <w:rPr>
          <w:color w:val="auto"/>
          <w:sz w:val="24"/>
          <w:szCs w:val="24"/>
          <w:highlight w:val="none"/>
        </w:rPr>
      </w:pPr>
      <w:bookmarkStart w:id="602" w:name="_Toc27372"/>
      <w:bookmarkStart w:id="603" w:name="_Toc1470748370"/>
      <w:bookmarkStart w:id="604" w:name="_Toc987263227"/>
      <w:bookmarkStart w:id="605" w:name="_Toc21484"/>
      <w:bookmarkStart w:id="606" w:name="_Toc31035"/>
      <w:bookmarkStart w:id="607" w:name="_Toc16859"/>
      <w:bookmarkStart w:id="608" w:name="_Toc7820"/>
      <w:bookmarkStart w:id="609" w:name="_Toc31684"/>
      <w:r>
        <w:rPr>
          <w:rFonts w:hint="eastAsia"/>
          <w:color w:val="auto"/>
          <w:sz w:val="24"/>
          <w:szCs w:val="24"/>
          <w:highlight w:val="none"/>
        </w:rPr>
        <w:t>6.4 评标结果公示</w:t>
      </w:r>
      <w:bookmarkEnd w:id="602"/>
      <w:bookmarkEnd w:id="603"/>
      <w:bookmarkEnd w:id="604"/>
      <w:bookmarkEnd w:id="605"/>
      <w:bookmarkEnd w:id="606"/>
      <w:bookmarkEnd w:id="607"/>
      <w:bookmarkEnd w:id="608"/>
      <w:bookmarkEnd w:id="609"/>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招标人将自收到评标报告之日起</w:t>
      </w:r>
      <w:r>
        <w:rPr>
          <w:rFonts w:hint="eastAsia" w:cs="宋体"/>
          <w:color w:val="auto"/>
          <w:szCs w:val="21"/>
          <w:highlight w:val="none"/>
        </w:rPr>
        <w:t>3</w:t>
      </w:r>
      <w:r>
        <w:rPr>
          <w:rFonts w:hint="eastAsia" w:ascii="宋体" w:hAnsi="宋体" w:cs="宋体"/>
          <w:color w:val="auto"/>
          <w:szCs w:val="21"/>
          <w:highlight w:val="none"/>
        </w:rPr>
        <w:t>日内，</w:t>
      </w:r>
      <w:r>
        <w:rPr>
          <w:rFonts w:hint="eastAsia"/>
          <w:color w:val="auto"/>
          <w:highlight w:val="none"/>
        </w:rPr>
        <w:t>在投标人须知前附表规定的媒介公示中标候选人。</w:t>
      </w:r>
      <w:r>
        <w:rPr>
          <w:rFonts w:hint="eastAsia" w:ascii="宋体" w:hAnsi="宋体" w:cs="宋体"/>
          <w:color w:val="auto"/>
          <w:szCs w:val="21"/>
          <w:highlight w:val="none"/>
        </w:rPr>
        <w:t>公示期不少于</w:t>
      </w:r>
      <w:r>
        <w:rPr>
          <w:rFonts w:hint="eastAsia" w:cs="宋体"/>
          <w:color w:val="auto"/>
          <w:szCs w:val="21"/>
          <w:highlight w:val="none"/>
        </w:rPr>
        <w:t>3</w:t>
      </w:r>
      <w:r>
        <w:rPr>
          <w:rFonts w:hint="eastAsia" w:ascii="宋体" w:hAnsi="宋体" w:cs="宋体"/>
          <w:color w:val="auto"/>
          <w:szCs w:val="21"/>
          <w:highlight w:val="none"/>
        </w:rPr>
        <w:t xml:space="preserve">日（最后一天须为工作日）。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投标人或者其它利害关系人对评标结果有异议的，应当在评标结果公示期间提出。招标人应当自收到异议之日起</w:t>
      </w:r>
      <w:r>
        <w:rPr>
          <w:rFonts w:hint="eastAsia" w:cs="宋体"/>
          <w:color w:val="auto"/>
          <w:szCs w:val="21"/>
          <w:highlight w:val="none"/>
        </w:rPr>
        <w:t>3</w:t>
      </w:r>
      <w:r>
        <w:rPr>
          <w:rFonts w:hint="eastAsia" w:ascii="宋体" w:hAnsi="宋体" w:cs="宋体"/>
          <w:color w:val="auto"/>
          <w:szCs w:val="21"/>
          <w:highlight w:val="none"/>
        </w:rPr>
        <w:t>日内作出答复；作出答复前，应当暂停招投标活动。异议和答复应当通过“电子交易平台”进行。</w:t>
      </w:r>
    </w:p>
    <w:p>
      <w:pPr>
        <w:pStyle w:val="38"/>
        <w:keepNext w:val="0"/>
        <w:keepLines w:val="0"/>
        <w:spacing w:line="336" w:lineRule="auto"/>
        <w:outlineLvl w:val="9"/>
        <w:rPr>
          <w:color w:val="auto"/>
          <w:sz w:val="24"/>
          <w:szCs w:val="24"/>
          <w:highlight w:val="none"/>
        </w:rPr>
      </w:pPr>
      <w:bookmarkStart w:id="610" w:name="_Toc2023697418"/>
      <w:bookmarkStart w:id="611" w:name="_Toc3742"/>
      <w:bookmarkStart w:id="612" w:name="_Toc14073"/>
      <w:bookmarkStart w:id="613" w:name="_Toc14914"/>
      <w:bookmarkStart w:id="614" w:name="_Toc12404"/>
      <w:bookmarkStart w:id="615" w:name="_Toc1880395429"/>
      <w:bookmarkStart w:id="616" w:name="_Toc27023"/>
      <w:bookmarkStart w:id="617" w:name="_Toc400530233"/>
      <w:bookmarkStart w:id="618" w:name="_Toc511"/>
      <w:r>
        <w:rPr>
          <w:rFonts w:hint="eastAsia"/>
          <w:color w:val="auto"/>
          <w:sz w:val="24"/>
          <w:szCs w:val="24"/>
          <w:highlight w:val="none"/>
        </w:rPr>
        <w:t>6.5 履约能力的审查（如有）</w:t>
      </w:r>
      <w:bookmarkEnd w:id="610"/>
      <w:bookmarkEnd w:id="611"/>
      <w:bookmarkEnd w:id="612"/>
      <w:bookmarkEnd w:id="613"/>
      <w:bookmarkEnd w:id="614"/>
      <w:bookmarkEnd w:id="615"/>
      <w:bookmarkEnd w:id="616"/>
      <w:bookmarkEnd w:id="617"/>
      <w:bookmarkEnd w:id="618"/>
    </w:p>
    <w:p>
      <w:pPr>
        <w:pStyle w:val="39"/>
        <w:spacing w:line="336" w:lineRule="auto"/>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20"/>
        <w:keepNext w:val="0"/>
        <w:keepLines w:val="0"/>
        <w:spacing w:line="336" w:lineRule="auto"/>
        <w:outlineLvl w:val="2"/>
        <w:rPr>
          <w:color w:val="auto"/>
          <w:highlight w:val="none"/>
        </w:rPr>
      </w:pPr>
      <w:bookmarkStart w:id="619" w:name="_Toc15514"/>
      <w:bookmarkStart w:id="620" w:name="_Toc19197"/>
      <w:bookmarkStart w:id="621" w:name="_Toc701"/>
      <w:bookmarkStart w:id="622" w:name="_Toc1905967935"/>
      <w:bookmarkStart w:id="623" w:name="_Toc1349271611"/>
      <w:bookmarkStart w:id="624" w:name="_Toc3896"/>
      <w:bookmarkStart w:id="625" w:name="_Toc18431"/>
      <w:bookmarkStart w:id="626" w:name="_Toc8620"/>
      <w:r>
        <w:rPr>
          <w:rFonts w:hint="eastAsia"/>
          <w:color w:val="auto"/>
          <w:highlight w:val="none"/>
        </w:rPr>
        <w:t>7. 合同授予</w:t>
      </w:r>
      <w:bookmarkEnd w:id="592"/>
      <w:bookmarkEnd w:id="593"/>
      <w:bookmarkEnd w:id="594"/>
      <w:bookmarkEnd w:id="595"/>
      <w:bookmarkEnd w:id="596"/>
      <w:bookmarkEnd w:id="597"/>
      <w:bookmarkEnd w:id="598"/>
      <w:bookmarkEnd w:id="599"/>
      <w:bookmarkEnd w:id="600"/>
      <w:bookmarkEnd w:id="601"/>
      <w:bookmarkEnd w:id="619"/>
      <w:bookmarkEnd w:id="620"/>
      <w:bookmarkEnd w:id="621"/>
      <w:bookmarkEnd w:id="622"/>
      <w:bookmarkEnd w:id="623"/>
      <w:bookmarkEnd w:id="624"/>
      <w:bookmarkEnd w:id="625"/>
      <w:bookmarkEnd w:id="626"/>
    </w:p>
    <w:p>
      <w:pPr>
        <w:pStyle w:val="38"/>
        <w:keepNext w:val="0"/>
        <w:keepLines w:val="0"/>
        <w:spacing w:line="336" w:lineRule="auto"/>
        <w:outlineLvl w:val="9"/>
        <w:rPr>
          <w:color w:val="auto"/>
          <w:sz w:val="24"/>
          <w:szCs w:val="24"/>
          <w:highlight w:val="none"/>
        </w:rPr>
      </w:pPr>
      <w:bookmarkStart w:id="627" w:name="_Toc18977"/>
      <w:bookmarkStart w:id="628" w:name="_Toc1722711538"/>
      <w:bookmarkStart w:id="629" w:name="_Toc29461"/>
      <w:bookmarkStart w:id="630" w:name="_Toc13591"/>
      <w:bookmarkStart w:id="631" w:name="_Toc19398"/>
      <w:bookmarkStart w:id="632" w:name="_Toc335638889"/>
      <w:bookmarkStart w:id="633" w:name="_Toc22908"/>
      <w:bookmarkStart w:id="634" w:name="_Toc24269"/>
      <w:bookmarkStart w:id="635" w:name="_Toc221950211"/>
      <w:r>
        <w:rPr>
          <w:rFonts w:hint="eastAsia"/>
          <w:color w:val="auto"/>
          <w:sz w:val="24"/>
          <w:szCs w:val="24"/>
          <w:highlight w:val="none"/>
        </w:rPr>
        <w:t>7.1 定标方式</w:t>
      </w:r>
      <w:bookmarkEnd w:id="627"/>
      <w:bookmarkEnd w:id="628"/>
      <w:bookmarkEnd w:id="629"/>
      <w:bookmarkEnd w:id="630"/>
      <w:bookmarkEnd w:id="631"/>
      <w:bookmarkEnd w:id="632"/>
      <w:bookmarkEnd w:id="633"/>
      <w:bookmarkEnd w:id="634"/>
    </w:p>
    <w:bookmarkEnd w:id="635"/>
    <w:p>
      <w:pPr>
        <w:spacing w:line="336" w:lineRule="auto"/>
        <w:ind w:firstLine="420" w:firstLineChars="200"/>
        <w:rPr>
          <w:color w:val="auto"/>
          <w:highlight w:val="none"/>
        </w:rPr>
      </w:pPr>
      <w:r>
        <w:rPr>
          <w:rFonts w:hint="eastAsia"/>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336" w:lineRule="auto"/>
        <w:ind w:firstLine="420" w:firstLineChars="200"/>
        <w:rPr>
          <w:color w:val="auto"/>
          <w:highlight w:val="none"/>
        </w:rPr>
      </w:pPr>
      <w:r>
        <w:rPr>
          <w:rFonts w:hint="eastAsia"/>
          <w:color w:val="auto"/>
          <w:highlight w:val="none"/>
        </w:rPr>
        <w:t>投标人须知前附表规定评标委员会直接确定中标人的，评标委员会可根据招标人授权直接确定中标人，</w:t>
      </w:r>
      <w:r>
        <w:rPr>
          <w:rFonts w:hint="eastAsia" w:ascii="宋体" w:hAnsi="宋体" w:cs="宋体"/>
          <w:color w:val="auto"/>
          <w:highlight w:val="none"/>
        </w:rPr>
        <w:t>但投标报价低于其成本的除外。</w:t>
      </w:r>
    </w:p>
    <w:p>
      <w:pPr>
        <w:spacing w:line="336" w:lineRule="auto"/>
        <w:ind w:firstLine="420" w:firstLineChars="200"/>
        <w:rPr>
          <w:color w:val="auto"/>
          <w:highlight w:val="none"/>
        </w:rPr>
      </w:pPr>
      <w:r>
        <w:rPr>
          <w:rFonts w:hint="eastAsia"/>
          <w:color w:val="auto"/>
          <w:highlight w:val="none"/>
        </w:rPr>
        <w:t>投标人须知前附表规定</w:t>
      </w:r>
      <w:r>
        <w:rPr>
          <w:rFonts w:hint="eastAsia" w:ascii="宋体" w:hAnsi="宋体" w:cs="宋体"/>
          <w:color w:val="auto"/>
          <w:szCs w:val="21"/>
          <w:highlight w:val="none"/>
        </w:rPr>
        <w:t>评标委员会推荐中标候选人不超过</w:t>
      </w:r>
      <w:r>
        <w:rPr>
          <w:rFonts w:hint="eastAsia" w:cs="宋体"/>
          <w:color w:val="auto"/>
          <w:szCs w:val="21"/>
          <w:highlight w:val="none"/>
        </w:rPr>
        <w:t>3</w:t>
      </w:r>
      <w:r>
        <w:rPr>
          <w:rFonts w:hint="eastAsia" w:ascii="宋体" w:hAnsi="宋体" w:cs="宋体"/>
          <w:color w:val="auto"/>
          <w:szCs w:val="21"/>
          <w:highlight w:val="none"/>
        </w:rPr>
        <w:t>名的：原则上每个标段推荐</w:t>
      </w:r>
      <w:r>
        <w:rPr>
          <w:rFonts w:hint="eastAsia" w:cs="宋体"/>
          <w:color w:val="auto"/>
          <w:szCs w:val="21"/>
          <w:highlight w:val="none"/>
        </w:rPr>
        <w:t>3</w:t>
      </w:r>
      <w:r>
        <w:rPr>
          <w:rFonts w:hint="eastAsia" w:ascii="宋体" w:hAnsi="宋体" w:cs="宋体"/>
          <w:color w:val="auto"/>
          <w:szCs w:val="21"/>
          <w:highlight w:val="none"/>
        </w:rPr>
        <w:t>名中标候选人，如经评标委员会评审后有效投标人不足</w:t>
      </w:r>
      <w:r>
        <w:rPr>
          <w:rFonts w:hint="eastAsia" w:cs="宋体"/>
          <w:color w:val="auto"/>
          <w:szCs w:val="21"/>
          <w:highlight w:val="none"/>
        </w:rPr>
        <w:t>3</w:t>
      </w:r>
      <w:r>
        <w:rPr>
          <w:rFonts w:hint="eastAsia" w:ascii="宋体" w:hAnsi="宋体" w:cs="宋体"/>
          <w:color w:val="auto"/>
          <w:szCs w:val="21"/>
          <w:highlight w:val="none"/>
        </w:rPr>
        <w:t>名且仍认定为具有可竞争性的，可推荐</w:t>
      </w:r>
      <w:r>
        <w:rPr>
          <w:rFonts w:hint="eastAsia" w:cs="宋体"/>
          <w:color w:val="auto"/>
          <w:szCs w:val="21"/>
          <w:highlight w:val="none"/>
        </w:rPr>
        <w:t>1</w:t>
      </w:r>
      <w:r>
        <w:rPr>
          <w:rFonts w:hint="eastAsia" w:ascii="宋体" w:hAnsi="宋体" w:cs="宋体"/>
          <w:color w:val="auto"/>
          <w:szCs w:val="21"/>
          <w:highlight w:val="none"/>
        </w:rPr>
        <w:t>到</w:t>
      </w:r>
      <w:r>
        <w:rPr>
          <w:rFonts w:hint="eastAsia" w:cs="宋体"/>
          <w:color w:val="auto"/>
          <w:szCs w:val="21"/>
          <w:highlight w:val="none"/>
        </w:rPr>
        <w:t>2</w:t>
      </w:r>
      <w:r>
        <w:rPr>
          <w:rFonts w:hint="eastAsia" w:ascii="宋体" w:hAnsi="宋体" w:cs="宋体"/>
          <w:color w:val="auto"/>
          <w:szCs w:val="21"/>
          <w:highlight w:val="none"/>
        </w:rPr>
        <w:t>名中标候选人,并标明排序，招标人依据评标委员会推荐的中标候选人确定中标人。</w:t>
      </w:r>
    </w:p>
    <w:p>
      <w:pPr>
        <w:pStyle w:val="38"/>
        <w:keepNext w:val="0"/>
        <w:keepLines w:val="0"/>
        <w:spacing w:line="336" w:lineRule="auto"/>
        <w:outlineLvl w:val="9"/>
        <w:rPr>
          <w:color w:val="auto"/>
          <w:sz w:val="24"/>
          <w:szCs w:val="24"/>
          <w:highlight w:val="none"/>
        </w:rPr>
      </w:pPr>
      <w:bookmarkStart w:id="636" w:name="_Toc24716"/>
      <w:bookmarkStart w:id="637" w:name="_Toc17303"/>
      <w:bookmarkStart w:id="638" w:name="_Toc5818"/>
      <w:bookmarkStart w:id="639" w:name="_Toc179632586"/>
      <w:bookmarkStart w:id="640" w:name="_Toc19271"/>
      <w:bookmarkStart w:id="641" w:name="_Toc144974536"/>
      <w:bookmarkStart w:id="642" w:name="_Toc301126592"/>
      <w:bookmarkStart w:id="643" w:name="_Toc152045568"/>
      <w:bookmarkStart w:id="644" w:name="_Toc152042344"/>
      <w:bookmarkStart w:id="645" w:name="_Toc1896149150"/>
      <w:bookmarkStart w:id="646" w:name="_Toc20182"/>
      <w:bookmarkStart w:id="647" w:name="_Toc24741"/>
      <w:r>
        <w:rPr>
          <w:rFonts w:hint="eastAsia"/>
          <w:color w:val="auto"/>
          <w:sz w:val="24"/>
          <w:szCs w:val="24"/>
          <w:highlight w:val="none"/>
        </w:rPr>
        <w:t>7.2 中标通知</w:t>
      </w:r>
      <w:bookmarkEnd w:id="636"/>
      <w:bookmarkEnd w:id="637"/>
      <w:bookmarkEnd w:id="638"/>
      <w:bookmarkEnd w:id="639"/>
      <w:bookmarkEnd w:id="640"/>
      <w:bookmarkEnd w:id="641"/>
      <w:bookmarkEnd w:id="642"/>
      <w:bookmarkEnd w:id="643"/>
      <w:bookmarkEnd w:id="644"/>
      <w:bookmarkEnd w:id="645"/>
      <w:bookmarkEnd w:id="646"/>
      <w:bookmarkEnd w:id="647"/>
    </w:p>
    <w:p>
      <w:pPr>
        <w:spacing w:line="336" w:lineRule="auto"/>
        <w:ind w:firstLine="420" w:firstLineChars="200"/>
        <w:rPr>
          <w:color w:val="auto"/>
          <w:highlight w:val="none"/>
        </w:rPr>
      </w:pPr>
      <w:r>
        <w:rPr>
          <w:rFonts w:hint="eastAsia"/>
          <w:color w:val="auto"/>
          <w:highlight w:val="none"/>
        </w:rPr>
        <w:t>评标结果公示期满后，在本章第3.3款规定的投标有效期内，招标人通过“电子交易平台”以书面形式向中标人发出中标通知书，同时将中标结果通知未中标的投标人。</w:t>
      </w:r>
    </w:p>
    <w:p>
      <w:pPr>
        <w:spacing w:line="336" w:lineRule="auto"/>
        <w:ind w:firstLine="420" w:firstLineChars="200"/>
        <w:rPr>
          <w:color w:val="auto"/>
          <w:highlight w:val="none"/>
        </w:rPr>
      </w:pPr>
      <w:r>
        <w:rPr>
          <w:rFonts w:hint="eastAsia"/>
          <w:color w:val="auto"/>
          <w:highlight w:val="none"/>
        </w:rPr>
        <w:t>中标通知书发出的同时，招标人将在投标人须知前附表第6.4款规定的媒介发布中标结果公示。</w:t>
      </w:r>
    </w:p>
    <w:p>
      <w:pPr>
        <w:pStyle w:val="38"/>
        <w:keepNext w:val="0"/>
        <w:keepLines w:val="0"/>
        <w:spacing w:line="336" w:lineRule="auto"/>
        <w:outlineLvl w:val="9"/>
        <w:rPr>
          <w:color w:val="auto"/>
          <w:sz w:val="24"/>
          <w:szCs w:val="24"/>
          <w:highlight w:val="none"/>
        </w:rPr>
      </w:pPr>
      <w:bookmarkStart w:id="648" w:name="_Toc152045569"/>
      <w:bookmarkStart w:id="649" w:name="_Toc179632587"/>
      <w:bookmarkStart w:id="650" w:name="_Toc152042345"/>
      <w:bookmarkStart w:id="651" w:name="_Toc144974537"/>
      <w:bookmarkStart w:id="652" w:name="_Toc16627"/>
      <w:bookmarkStart w:id="653" w:name="_Toc978083176"/>
      <w:bookmarkStart w:id="654" w:name="_Toc25935"/>
      <w:bookmarkStart w:id="655" w:name="_Toc23733"/>
      <w:bookmarkStart w:id="656" w:name="_Toc988"/>
      <w:bookmarkStart w:id="657" w:name="_Toc17965"/>
      <w:bookmarkStart w:id="658" w:name="_Toc9116"/>
      <w:bookmarkStart w:id="659" w:name="_Toc1915399670"/>
      <w:r>
        <w:rPr>
          <w:rFonts w:hint="eastAsia"/>
          <w:color w:val="auto"/>
          <w:sz w:val="24"/>
          <w:szCs w:val="24"/>
          <w:highlight w:val="none"/>
        </w:rPr>
        <w:t>7.3 履约</w:t>
      </w:r>
      <w:bookmarkEnd w:id="648"/>
      <w:bookmarkEnd w:id="649"/>
      <w:bookmarkEnd w:id="650"/>
      <w:bookmarkEnd w:id="651"/>
      <w:r>
        <w:rPr>
          <w:rFonts w:hint="eastAsia"/>
          <w:color w:val="auto"/>
          <w:sz w:val="24"/>
          <w:szCs w:val="24"/>
          <w:highlight w:val="none"/>
        </w:rPr>
        <w:t>保证金</w:t>
      </w:r>
      <w:bookmarkEnd w:id="652"/>
      <w:bookmarkEnd w:id="653"/>
      <w:bookmarkEnd w:id="654"/>
      <w:bookmarkEnd w:id="655"/>
      <w:bookmarkEnd w:id="656"/>
      <w:bookmarkEnd w:id="657"/>
      <w:bookmarkEnd w:id="658"/>
      <w:bookmarkEnd w:id="659"/>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highlight w:val="none"/>
        </w:rPr>
        <w:t>投标人须知</w:t>
      </w:r>
      <w:r>
        <w:rPr>
          <w:rFonts w:hint="eastAsia"/>
          <w:color w:val="auto"/>
          <w:highlight w:val="none"/>
        </w:rPr>
        <w:t>前附表规定提交</w:t>
      </w:r>
      <w:r>
        <w:rPr>
          <w:rFonts w:ascii="宋体" w:hAnsi="宋体" w:cs="宋体"/>
          <w:color w:val="auto"/>
          <w:highlight w:val="none"/>
        </w:rPr>
        <w:t>履约</w:t>
      </w:r>
      <w:r>
        <w:rPr>
          <w:rFonts w:hint="eastAsia" w:ascii="宋体" w:hAnsi="宋体" w:cs="宋体"/>
          <w:color w:val="auto"/>
          <w:highlight w:val="none"/>
        </w:rPr>
        <w:t>保证金的</w:t>
      </w:r>
      <w:r>
        <w:rPr>
          <w:rFonts w:ascii="宋体" w:hAnsi="宋体" w:cs="宋体"/>
          <w:color w:val="auto"/>
          <w:highlight w:val="none"/>
        </w:rPr>
        <w:t>，</w:t>
      </w:r>
      <w:r>
        <w:rPr>
          <w:rFonts w:hint="eastAsia" w:ascii="宋体" w:hAnsi="宋体" w:cs="宋体"/>
          <w:color w:val="auto"/>
          <w:szCs w:val="21"/>
          <w:highlight w:val="none"/>
        </w:rPr>
        <w:t>在签订合同前，中标人应按投标人须知前附表规定的金额、担保形式和招标文件第四章“合同条款及格式”规定的履约保证金格式或者事先经过招标人书面认可的履约保证金格式向招标人提交履约保证金。联合体中标的，其履约保证金由牵头人递交，并应符合投标人须知前附表的规定。</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中标人不能按本章第</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项要求提交履约保证金的，视为放弃中标，</w:t>
      </w:r>
      <w:r>
        <w:rPr>
          <w:rFonts w:hint="eastAsia" w:ascii="宋体" w:hAnsi="宋体" w:cs="宋体"/>
          <w:color w:val="auto"/>
          <w:highlight w:val="none"/>
          <w:u w:val="single"/>
        </w:rPr>
        <w:t>招标人有权根据《关于投标保证金的承诺》，要求投标人足额补交投标保证金，其补交的投标保证金不予退还。</w:t>
      </w:r>
      <w:r>
        <w:rPr>
          <w:rFonts w:hint="eastAsia" w:ascii="宋体" w:hAnsi="宋体" w:cs="宋体"/>
          <w:color w:val="auto"/>
          <w:szCs w:val="21"/>
          <w:highlight w:val="none"/>
        </w:rPr>
        <w:t>给招标人造成的损失超过投标保证金数额的，中标人还应当对超过部分予以赔偿。</w:t>
      </w:r>
    </w:p>
    <w:p>
      <w:pPr>
        <w:pStyle w:val="38"/>
        <w:keepNext w:val="0"/>
        <w:keepLines w:val="0"/>
        <w:spacing w:line="336" w:lineRule="auto"/>
        <w:outlineLvl w:val="9"/>
        <w:rPr>
          <w:color w:val="auto"/>
          <w:sz w:val="24"/>
          <w:szCs w:val="24"/>
          <w:highlight w:val="none"/>
        </w:rPr>
      </w:pPr>
      <w:bookmarkStart w:id="660" w:name="_Toc29415"/>
      <w:bookmarkStart w:id="661" w:name="_Toc9530"/>
      <w:bookmarkStart w:id="662" w:name="_Toc23723"/>
      <w:bookmarkStart w:id="663" w:name="_Toc5242"/>
      <w:bookmarkStart w:id="664" w:name="_Toc1625627162"/>
      <w:bookmarkStart w:id="665" w:name="_Toc14906"/>
      <w:bookmarkStart w:id="666" w:name="_Toc18738"/>
      <w:bookmarkStart w:id="667" w:name="_Toc343551443"/>
      <w:r>
        <w:rPr>
          <w:rFonts w:hint="eastAsia"/>
          <w:color w:val="auto"/>
          <w:sz w:val="24"/>
          <w:szCs w:val="24"/>
          <w:highlight w:val="none"/>
        </w:rPr>
        <w:t>7.4 签订合同</w:t>
      </w:r>
      <w:bookmarkEnd w:id="660"/>
      <w:bookmarkEnd w:id="661"/>
      <w:bookmarkEnd w:id="662"/>
      <w:bookmarkEnd w:id="663"/>
      <w:bookmarkEnd w:id="664"/>
      <w:bookmarkEnd w:id="665"/>
      <w:bookmarkEnd w:id="666"/>
      <w:bookmarkEnd w:id="667"/>
    </w:p>
    <w:p>
      <w:pPr>
        <w:spacing w:line="336" w:lineRule="auto"/>
        <w:ind w:firstLine="420" w:firstLineChars="200"/>
        <w:rPr>
          <w:rFonts w:ascii="宋体" w:hAnsi="宋体" w:cs="宋体"/>
          <w:color w:val="auto"/>
          <w:szCs w:val="21"/>
          <w:highlight w:val="none"/>
        </w:rPr>
      </w:pPr>
      <w:bookmarkStart w:id="668" w:name="_Toc221950219"/>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招标人和中标人应当在投标有效期内并自中标通知书发出之日起</w:t>
      </w:r>
      <w:r>
        <w:rPr>
          <w:rFonts w:hint="eastAsia" w:cs="宋体"/>
          <w:color w:val="auto"/>
          <w:szCs w:val="21"/>
          <w:highlight w:val="none"/>
        </w:rPr>
        <w:t>30</w:t>
      </w:r>
      <w:r>
        <w:rPr>
          <w:rFonts w:hint="eastAsia" w:ascii="宋体" w:hAnsi="宋体" w:cs="宋体"/>
          <w:color w:val="auto"/>
          <w:szCs w:val="21"/>
          <w:highlight w:val="none"/>
        </w:rPr>
        <w:t>日内，根据招标文件和中标人的投标文件订立书面合同。中标人无正当理由拒签合同或在签订合同时向招标人提出附加条件的，招标人取消其中标资格，</w:t>
      </w:r>
      <w:r>
        <w:rPr>
          <w:rFonts w:hint="eastAsia" w:ascii="宋体" w:hAnsi="宋体" w:cs="宋体"/>
          <w:color w:val="auto"/>
          <w:highlight w:val="none"/>
          <w:u w:val="single"/>
        </w:rPr>
        <w:t>招标人有权根据《关于投标保证金的承诺》，要求投标人足额补交投标保证金，其补交的投标保证金不予退还。</w:t>
      </w:r>
      <w:r>
        <w:rPr>
          <w:rFonts w:hint="eastAsia" w:ascii="宋体" w:hAnsi="宋体" w:cs="宋体"/>
          <w:color w:val="auto"/>
          <w:szCs w:val="21"/>
          <w:highlight w:val="none"/>
        </w:rPr>
        <w:t xml:space="preserve">给招标人造成的损失超过投标保证金数额的，中标人还应当对超过部分予以赔偿。 </w:t>
      </w:r>
    </w:p>
    <w:p>
      <w:pPr>
        <w:spacing w:line="336" w:lineRule="auto"/>
        <w:ind w:firstLine="420" w:firstLineChars="200"/>
        <w:rPr>
          <w:rFonts w:ascii="宋体" w:hAnsi="宋体" w:cs="宋体"/>
          <w:strike/>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发出中标通知书后，招标人无正当理由拒签合同的，</w:t>
      </w:r>
      <w:r>
        <w:rPr>
          <w:rFonts w:hint="eastAsia" w:ascii="宋体" w:hAnsi="宋体" w:cs="宋体"/>
          <w:strike/>
          <w:color w:val="auto"/>
          <w:szCs w:val="21"/>
          <w:highlight w:val="none"/>
        </w:rPr>
        <w:t>招标人向中标人退还投标保证金；</w:t>
      </w:r>
      <w:r>
        <w:rPr>
          <w:rFonts w:hint="eastAsia" w:ascii="宋体" w:hAnsi="宋体" w:cs="宋体"/>
          <w:color w:val="auto"/>
          <w:szCs w:val="21"/>
          <w:highlight w:val="none"/>
        </w:rPr>
        <w:t xml:space="preserve">给中标人造成损失的，还应当赔偿损失。 </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签约合同价的确定原则如下：</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开标时投标函中大写投标总价应为签约合同价。按照第三章“评标办法”的规定，如投标报价有算术错误的，修正的价格经投标人书面确认后，以修正后的投标总价为签约合同价。</w:t>
      </w:r>
    </w:p>
    <w:bookmarkEnd w:id="668"/>
    <w:p>
      <w:pPr>
        <w:pStyle w:val="20"/>
        <w:keepNext w:val="0"/>
        <w:keepLines w:val="0"/>
        <w:spacing w:line="336" w:lineRule="auto"/>
        <w:outlineLvl w:val="2"/>
        <w:rPr>
          <w:color w:val="auto"/>
          <w:highlight w:val="none"/>
        </w:rPr>
      </w:pPr>
      <w:bookmarkStart w:id="669" w:name="_Toc168476089"/>
      <w:bookmarkStart w:id="670" w:name="_Toc387753559"/>
      <w:bookmarkStart w:id="671" w:name="_Toc222032657"/>
      <w:bookmarkStart w:id="672" w:name="_Toc168475686"/>
      <w:bookmarkStart w:id="673" w:name="_Toc229305348"/>
      <w:bookmarkStart w:id="674" w:name="_Toc222029488"/>
      <w:bookmarkStart w:id="675" w:name="_Toc144974539"/>
      <w:bookmarkStart w:id="676" w:name="_Toc222033839"/>
      <w:bookmarkStart w:id="677" w:name="_Toc221950220"/>
      <w:bookmarkStart w:id="678" w:name="_Toc222030990"/>
      <w:bookmarkStart w:id="679" w:name="_Toc19056"/>
      <w:bookmarkStart w:id="680" w:name="_Toc20001"/>
      <w:bookmarkStart w:id="681" w:name="_Toc9117"/>
      <w:bookmarkStart w:id="682" w:name="_Toc23295"/>
      <w:bookmarkStart w:id="683" w:name="_Toc1872235174"/>
      <w:bookmarkStart w:id="684" w:name="_Toc3777"/>
      <w:bookmarkStart w:id="685" w:name="_Toc248708915"/>
      <w:bookmarkStart w:id="686" w:name="_Toc1341"/>
      <w:r>
        <w:rPr>
          <w:rFonts w:hint="eastAsia"/>
          <w:color w:val="auto"/>
          <w:highlight w:val="none"/>
        </w:rPr>
        <w:t>8. 重新招标</w:t>
      </w:r>
      <w:bookmarkEnd w:id="669"/>
      <w:bookmarkEnd w:id="670"/>
      <w:bookmarkEnd w:id="671"/>
      <w:bookmarkEnd w:id="672"/>
      <w:bookmarkEnd w:id="673"/>
      <w:bookmarkEnd w:id="674"/>
      <w:bookmarkEnd w:id="675"/>
      <w:bookmarkEnd w:id="676"/>
      <w:bookmarkEnd w:id="677"/>
      <w:bookmarkEnd w:id="678"/>
      <w:r>
        <w:rPr>
          <w:rFonts w:hint="eastAsia"/>
          <w:color w:val="auto"/>
          <w:highlight w:val="none"/>
        </w:rPr>
        <w:t>、不再招标和终止招标</w:t>
      </w:r>
      <w:bookmarkEnd w:id="679"/>
      <w:bookmarkEnd w:id="680"/>
      <w:bookmarkEnd w:id="681"/>
      <w:bookmarkEnd w:id="682"/>
      <w:bookmarkEnd w:id="683"/>
      <w:bookmarkEnd w:id="684"/>
      <w:bookmarkEnd w:id="685"/>
      <w:bookmarkEnd w:id="686"/>
    </w:p>
    <w:p>
      <w:pPr>
        <w:pStyle w:val="38"/>
        <w:keepNext w:val="0"/>
        <w:keepLines w:val="0"/>
        <w:spacing w:line="336" w:lineRule="auto"/>
        <w:outlineLvl w:val="9"/>
        <w:rPr>
          <w:color w:val="auto"/>
          <w:sz w:val="24"/>
          <w:szCs w:val="24"/>
          <w:highlight w:val="none"/>
        </w:rPr>
      </w:pPr>
      <w:bookmarkStart w:id="687" w:name="_Toc619240967"/>
      <w:bookmarkStart w:id="688" w:name="_Toc179632590"/>
      <w:bookmarkStart w:id="689" w:name="_Toc29881"/>
      <w:bookmarkStart w:id="690" w:name="_Toc18577"/>
      <w:bookmarkStart w:id="691" w:name="_Toc144974540"/>
      <w:bookmarkStart w:id="692" w:name="_Toc20199"/>
      <w:bookmarkStart w:id="693" w:name="_Toc26595"/>
      <w:bookmarkStart w:id="694" w:name="_Toc1614643109"/>
      <w:bookmarkStart w:id="695" w:name="_Toc152045572"/>
      <w:bookmarkStart w:id="696" w:name="_Toc13717"/>
      <w:bookmarkStart w:id="697" w:name="_Toc16460"/>
      <w:bookmarkStart w:id="698" w:name="_Toc152042348"/>
      <w:bookmarkStart w:id="699" w:name="_Toc221950225"/>
      <w:r>
        <w:rPr>
          <w:rFonts w:hint="eastAsia"/>
          <w:color w:val="auto"/>
          <w:sz w:val="24"/>
          <w:szCs w:val="24"/>
          <w:highlight w:val="none"/>
        </w:rPr>
        <w:t>8.1 重新招标</w:t>
      </w:r>
      <w:bookmarkEnd w:id="687"/>
      <w:bookmarkEnd w:id="688"/>
      <w:bookmarkEnd w:id="689"/>
      <w:bookmarkEnd w:id="690"/>
      <w:bookmarkEnd w:id="691"/>
      <w:bookmarkEnd w:id="692"/>
      <w:bookmarkEnd w:id="693"/>
      <w:bookmarkEnd w:id="694"/>
      <w:bookmarkEnd w:id="695"/>
      <w:bookmarkEnd w:id="696"/>
      <w:bookmarkEnd w:id="697"/>
      <w:bookmarkEnd w:id="698"/>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）投标截止时间止，投标人少于</w:t>
      </w:r>
      <w:r>
        <w:rPr>
          <w:rFonts w:hint="eastAsia" w:cs="宋体"/>
          <w:color w:val="auto"/>
          <w:szCs w:val="21"/>
          <w:highlight w:val="none"/>
        </w:rPr>
        <w:t>3</w:t>
      </w:r>
      <w:r>
        <w:rPr>
          <w:rFonts w:hint="eastAsia" w:ascii="宋体" w:hAnsi="宋体" w:cs="宋体"/>
          <w:color w:val="auto"/>
          <w:szCs w:val="21"/>
          <w:highlight w:val="none"/>
        </w:rPr>
        <w:t>个的；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）经评标委员会评审后否决所有投标的；</w:t>
      </w:r>
    </w:p>
    <w:p>
      <w:pPr>
        <w:spacing w:line="336"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）第一中标候选人或者所有中标候选人均未与招标人签订合同的；</w:t>
      </w:r>
    </w:p>
    <w:p>
      <w:pPr>
        <w:spacing w:line="336" w:lineRule="auto"/>
        <w:ind w:firstLine="359" w:firstLineChars="171"/>
        <w:rPr>
          <w:color w:val="auto"/>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olor w:val="auto"/>
          <w:highlight w:val="none"/>
        </w:rPr>
        <w:t>法律、法规规定的其他情形。</w:t>
      </w:r>
    </w:p>
    <w:p>
      <w:pPr>
        <w:pStyle w:val="38"/>
        <w:keepNext w:val="0"/>
        <w:keepLines w:val="0"/>
        <w:spacing w:line="336" w:lineRule="auto"/>
        <w:outlineLvl w:val="9"/>
        <w:rPr>
          <w:color w:val="auto"/>
          <w:sz w:val="24"/>
          <w:szCs w:val="24"/>
          <w:highlight w:val="none"/>
        </w:rPr>
      </w:pPr>
      <w:bookmarkStart w:id="700" w:name="_Toc429598458"/>
      <w:bookmarkStart w:id="701" w:name="_Toc30553"/>
      <w:bookmarkStart w:id="702" w:name="_Toc24237"/>
      <w:bookmarkStart w:id="703" w:name="_Toc11567"/>
      <w:bookmarkStart w:id="704" w:name="_Toc1812"/>
      <w:bookmarkStart w:id="705" w:name="_Toc31189"/>
      <w:bookmarkStart w:id="706" w:name="_Toc1649675290"/>
      <w:bookmarkStart w:id="707" w:name="_Toc1846374351"/>
      <w:bookmarkStart w:id="708" w:name="_Toc426495799"/>
      <w:bookmarkStart w:id="709" w:name="_Toc955"/>
      <w:r>
        <w:rPr>
          <w:rFonts w:hint="eastAsia"/>
          <w:color w:val="auto"/>
          <w:sz w:val="24"/>
          <w:szCs w:val="24"/>
          <w:highlight w:val="none"/>
        </w:rPr>
        <w:t>8.2 不再招标</w:t>
      </w:r>
      <w:bookmarkEnd w:id="700"/>
      <w:bookmarkEnd w:id="701"/>
      <w:bookmarkEnd w:id="702"/>
      <w:bookmarkEnd w:id="703"/>
      <w:bookmarkEnd w:id="704"/>
      <w:bookmarkEnd w:id="705"/>
      <w:bookmarkEnd w:id="706"/>
      <w:bookmarkEnd w:id="707"/>
      <w:bookmarkEnd w:id="708"/>
      <w:bookmarkEnd w:id="709"/>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重新招标后投标人仍少于</w:t>
      </w:r>
      <w:r>
        <w:rPr>
          <w:rFonts w:hint="eastAsia" w:cs="宋体"/>
          <w:color w:val="auto"/>
          <w:szCs w:val="21"/>
          <w:highlight w:val="none"/>
        </w:rPr>
        <w:t>3</w:t>
      </w:r>
      <w:r>
        <w:rPr>
          <w:rFonts w:hint="eastAsia" w:ascii="宋体" w:hAnsi="宋体" w:cs="宋体"/>
          <w:color w:val="auto"/>
          <w:szCs w:val="21"/>
          <w:highlight w:val="none"/>
        </w:rPr>
        <w:t>个或者所有投标被否决的，属于必须审批或核准的工程建设项目，经原审批或核准部门批准后不再进行招标。</w:t>
      </w:r>
    </w:p>
    <w:p>
      <w:pPr>
        <w:pStyle w:val="38"/>
        <w:keepNext w:val="0"/>
        <w:keepLines w:val="0"/>
        <w:spacing w:line="336" w:lineRule="auto"/>
        <w:outlineLvl w:val="9"/>
        <w:rPr>
          <w:color w:val="auto"/>
          <w:sz w:val="24"/>
          <w:szCs w:val="24"/>
          <w:highlight w:val="none"/>
        </w:rPr>
      </w:pPr>
      <w:bookmarkStart w:id="710" w:name="_Toc26374"/>
      <w:bookmarkStart w:id="711" w:name="_Toc5717"/>
      <w:bookmarkStart w:id="712" w:name="_Toc1108426983"/>
      <w:bookmarkStart w:id="713" w:name="_Toc3579"/>
      <w:bookmarkStart w:id="714" w:name="_Toc16592"/>
      <w:bookmarkStart w:id="715" w:name="_Toc15142"/>
      <w:bookmarkStart w:id="716" w:name="_Toc1566375055"/>
      <w:bookmarkStart w:id="717" w:name="_Toc7549"/>
      <w:bookmarkStart w:id="718" w:name="_Toc152042349"/>
      <w:bookmarkStart w:id="719" w:name="_Toc179632591"/>
      <w:bookmarkStart w:id="720" w:name="_Toc152045573"/>
      <w:bookmarkStart w:id="721" w:name="_Toc144974541"/>
      <w:r>
        <w:rPr>
          <w:rFonts w:hint="eastAsia"/>
          <w:color w:val="auto"/>
          <w:sz w:val="24"/>
          <w:szCs w:val="24"/>
          <w:highlight w:val="none"/>
        </w:rPr>
        <w:t>8.3 终止招标</w:t>
      </w:r>
      <w:bookmarkEnd w:id="710"/>
      <w:bookmarkEnd w:id="711"/>
      <w:bookmarkEnd w:id="712"/>
      <w:bookmarkEnd w:id="713"/>
      <w:bookmarkEnd w:id="714"/>
      <w:bookmarkEnd w:id="715"/>
      <w:bookmarkEnd w:id="716"/>
      <w:bookmarkEnd w:id="717"/>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因不可抗力等原因，招标人终止招标的，将通过“电子交易平台”及时发布公告，或者以书面形式通知被邀请的或者已经获取招标文件的潜在投标人。</w:t>
      </w:r>
      <w:r>
        <w:rPr>
          <w:rFonts w:hint="eastAsia" w:ascii="宋体" w:hAnsi="宋体" w:cs="宋体"/>
          <w:strike/>
          <w:color w:val="auto"/>
          <w:highlight w:val="none"/>
        </w:rPr>
        <w:t>已经发出招标文件或者已经收取投标保证金的，招标人将及时退还所收取的招标文件的费用，以及所收取的投标保证金及银行同期存款利息。</w:t>
      </w:r>
      <w:bookmarkEnd w:id="699"/>
      <w:bookmarkEnd w:id="718"/>
      <w:bookmarkEnd w:id="719"/>
      <w:bookmarkEnd w:id="720"/>
      <w:bookmarkEnd w:id="721"/>
    </w:p>
    <w:p>
      <w:pPr>
        <w:pStyle w:val="20"/>
        <w:keepNext w:val="0"/>
        <w:keepLines w:val="0"/>
        <w:spacing w:line="336" w:lineRule="auto"/>
        <w:outlineLvl w:val="2"/>
        <w:rPr>
          <w:color w:val="auto"/>
          <w:highlight w:val="none"/>
        </w:rPr>
      </w:pPr>
      <w:bookmarkStart w:id="722" w:name="_Toc25904"/>
      <w:bookmarkStart w:id="723" w:name="_Toc222032658"/>
      <w:bookmarkStart w:id="724" w:name="_Toc26132"/>
      <w:bookmarkStart w:id="725" w:name="_Toc8528"/>
      <w:bookmarkStart w:id="726" w:name="_Toc221950226"/>
      <w:bookmarkStart w:id="727" w:name="_Toc222030991"/>
      <w:bookmarkStart w:id="728" w:name="_Toc14675"/>
      <w:bookmarkStart w:id="729" w:name="_Toc229305349"/>
      <w:bookmarkStart w:id="730" w:name="_Toc387753560"/>
      <w:bookmarkStart w:id="731" w:name="_Toc144974542"/>
      <w:bookmarkStart w:id="732" w:name="_Toc222033840"/>
      <w:bookmarkStart w:id="733" w:name="_Toc168475689"/>
      <w:bookmarkStart w:id="734" w:name="_Toc31909"/>
      <w:bookmarkStart w:id="735" w:name="_Toc222029489"/>
      <w:bookmarkStart w:id="736" w:name="_Toc14202"/>
      <w:bookmarkStart w:id="737" w:name="_Toc1047632975"/>
      <w:bookmarkStart w:id="738" w:name="_Toc290401259"/>
      <w:bookmarkStart w:id="739" w:name="_Toc168476092"/>
      <w:r>
        <w:rPr>
          <w:rFonts w:hint="eastAsia"/>
          <w:color w:val="auto"/>
          <w:highlight w:val="none"/>
        </w:rPr>
        <w:t>9. 纪律和监督</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38"/>
        <w:keepNext w:val="0"/>
        <w:keepLines w:val="0"/>
        <w:spacing w:line="336" w:lineRule="auto"/>
        <w:outlineLvl w:val="9"/>
        <w:rPr>
          <w:color w:val="auto"/>
          <w:sz w:val="24"/>
          <w:szCs w:val="24"/>
          <w:highlight w:val="none"/>
        </w:rPr>
      </w:pPr>
      <w:bookmarkStart w:id="740" w:name="_Toc13790"/>
      <w:bookmarkStart w:id="741" w:name="_Toc30146"/>
      <w:bookmarkStart w:id="742" w:name="_Toc12678"/>
      <w:bookmarkStart w:id="743" w:name="_Toc7611"/>
      <w:bookmarkStart w:id="744" w:name="_Toc735016484"/>
      <w:bookmarkStart w:id="745" w:name="_Toc179632593"/>
      <w:bookmarkStart w:id="746" w:name="_Toc2541"/>
      <w:bookmarkStart w:id="747" w:name="_Toc16814"/>
      <w:bookmarkStart w:id="748" w:name="_Toc152042351"/>
      <w:bookmarkStart w:id="749" w:name="_Toc1776691562"/>
      <w:bookmarkStart w:id="750" w:name="_Toc144974543"/>
      <w:bookmarkStart w:id="751" w:name="_Toc152045575"/>
      <w:r>
        <w:rPr>
          <w:rFonts w:hint="eastAsia"/>
          <w:color w:val="auto"/>
          <w:sz w:val="24"/>
          <w:szCs w:val="24"/>
          <w:highlight w:val="none"/>
        </w:rPr>
        <w:t>9.1 对招标人的纪律要求</w:t>
      </w:r>
      <w:bookmarkEnd w:id="740"/>
      <w:bookmarkEnd w:id="741"/>
      <w:bookmarkEnd w:id="742"/>
      <w:bookmarkEnd w:id="743"/>
      <w:bookmarkEnd w:id="744"/>
      <w:bookmarkEnd w:id="745"/>
      <w:bookmarkEnd w:id="746"/>
      <w:bookmarkEnd w:id="747"/>
      <w:bookmarkEnd w:id="748"/>
      <w:bookmarkEnd w:id="749"/>
      <w:bookmarkEnd w:id="750"/>
      <w:bookmarkEnd w:id="751"/>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pStyle w:val="38"/>
        <w:keepNext w:val="0"/>
        <w:keepLines w:val="0"/>
        <w:spacing w:line="336" w:lineRule="auto"/>
        <w:outlineLvl w:val="9"/>
        <w:rPr>
          <w:color w:val="auto"/>
          <w:sz w:val="24"/>
          <w:szCs w:val="24"/>
          <w:highlight w:val="none"/>
        </w:rPr>
      </w:pPr>
      <w:bookmarkStart w:id="752" w:name="_Toc1964185719"/>
      <w:bookmarkStart w:id="753" w:name="_Toc25851"/>
      <w:bookmarkStart w:id="754" w:name="_Toc10361"/>
      <w:bookmarkStart w:id="755" w:name="_Toc22626"/>
      <w:bookmarkStart w:id="756" w:name="_Toc572344813"/>
      <w:bookmarkStart w:id="757" w:name="_Toc18868"/>
      <w:bookmarkStart w:id="758" w:name="_Toc14740"/>
      <w:bookmarkStart w:id="759" w:name="_Toc25175"/>
      <w:r>
        <w:rPr>
          <w:rFonts w:hint="eastAsia"/>
          <w:color w:val="auto"/>
          <w:sz w:val="24"/>
          <w:szCs w:val="24"/>
          <w:highlight w:val="none"/>
        </w:rPr>
        <w:t>9.2 对投标人的纪律要求</w:t>
      </w:r>
      <w:bookmarkEnd w:id="752"/>
      <w:bookmarkEnd w:id="753"/>
      <w:bookmarkEnd w:id="754"/>
      <w:bookmarkEnd w:id="755"/>
      <w:bookmarkEnd w:id="756"/>
      <w:bookmarkEnd w:id="757"/>
      <w:bookmarkEnd w:id="758"/>
      <w:bookmarkEnd w:id="759"/>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8"/>
        <w:keepNext w:val="0"/>
        <w:keepLines w:val="0"/>
        <w:spacing w:line="336" w:lineRule="auto"/>
        <w:outlineLvl w:val="9"/>
        <w:rPr>
          <w:color w:val="auto"/>
          <w:sz w:val="24"/>
          <w:szCs w:val="24"/>
          <w:highlight w:val="none"/>
        </w:rPr>
      </w:pPr>
      <w:bookmarkStart w:id="760" w:name="_Toc14833"/>
      <w:bookmarkStart w:id="761" w:name="_Toc433"/>
      <w:bookmarkStart w:id="762" w:name="_Toc144974545"/>
      <w:bookmarkStart w:id="763" w:name="_Toc152042353"/>
      <w:bookmarkStart w:id="764" w:name="_Toc179632595"/>
      <w:bookmarkStart w:id="765" w:name="_Toc1071668383"/>
      <w:bookmarkStart w:id="766" w:name="_Toc13189"/>
      <w:bookmarkStart w:id="767" w:name="_Toc28765"/>
      <w:bookmarkStart w:id="768" w:name="_Toc2688"/>
      <w:bookmarkStart w:id="769" w:name="_Toc2070218447"/>
      <w:bookmarkStart w:id="770" w:name="_Toc27138"/>
      <w:bookmarkStart w:id="771" w:name="_Toc152045577"/>
      <w:r>
        <w:rPr>
          <w:rFonts w:hint="eastAsia"/>
          <w:color w:val="auto"/>
          <w:sz w:val="24"/>
          <w:szCs w:val="24"/>
          <w:highlight w:val="none"/>
        </w:rPr>
        <w:t>9.3 对评标委员会成员的纪律要求</w:t>
      </w:r>
      <w:bookmarkEnd w:id="760"/>
      <w:bookmarkEnd w:id="761"/>
      <w:bookmarkEnd w:id="762"/>
      <w:bookmarkEnd w:id="763"/>
      <w:bookmarkEnd w:id="764"/>
      <w:bookmarkEnd w:id="765"/>
      <w:bookmarkEnd w:id="766"/>
      <w:bookmarkEnd w:id="767"/>
      <w:bookmarkEnd w:id="768"/>
      <w:bookmarkEnd w:id="769"/>
      <w:bookmarkEnd w:id="770"/>
      <w:bookmarkEnd w:id="771"/>
    </w:p>
    <w:p>
      <w:pPr>
        <w:spacing w:line="336" w:lineRule="auto"/>
        <w:ind w:firstLine="420" w:firstLineChars="200"/>
        <w:rPr>
          <w:rFonts w:ascii="宋体" w:hAnsi="宋体" w:cs="宋体"/>
          <w:color w:val="auto"/>
          <w:highlight w:val="none"/>
        </w:rPr>
      </w:pPr>
      <w:bookmarkStart w:id="772" w:name="_Toc179632596"/>
      <w:bookmarkStart w:id="773" w:name="_Toc152042354"/>
      <w:bookmarkStart w:id="774" w:name="_Toc152045578"/>
      <w:bookmarkStart w:id="775" w:name="_Toc144974546"/>
      <w:r>
        <w:rPr>
          <w:rFonts w:hint="eastAsia" w:ascii="宋体" w:hAnsi="宋体" w:cs="宋体"/>
          <w:color w:val="auto"/>
          <w:highlight w:val="non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38"/>
        <w:keepNext w:val="0"/>
        <w:keepLines w:val="0"/>
        <w:spacing w:line="336" w:lineRule="auto"/>
        <w:outlineLvl w:val="9"/>
        <w:rPr>
          <w:color w:val="auto"/>
          <w:sz w:val="24"/>
          <w:szCs w:val="24"/>
          <w:highlight w:val="none"/>
        </w:rPr>
      </w:pPr>
      <w:bookmarkStart w:id="776" w:name="_Toc30127"/>
      <w:bookmarkStart w:id="777" w:name="_Toc2098672064"/>
      <w:bookmarkStart w:id="778" w:name="_Toc1833606866"/>
      <w:bookmarkStart w:id="779" w:name="_Toc9372"/>
      <w:bookmarkStart w:id="780" w:name="_Toc22422"/>
      <w:bookmarkStart w:id="781" w:name="_Toc24507"/>
      <w:bookmarkStart w:id="782" w:name="_Toc12870"/>
      <w:bookmarkStart w:id="783" w:name="_Toc26513"/>
      <w:r>
        <w:rPr>
          <w:rFonts w:hint="eastAsia"/>
          <w:color w:val="auto"/>
          <w:sz w:val="24"/>
          <w:szCs w:val="24"/>
          <w:highlight w:val="none"/>
        </w:rPr>
        <w:t>9.4 对与评标活动有关的工作人员的纪律要求</w:t>
      </w:r>
      <w:bookmarkEnd w:id="772"/>
      <w:bookmarkEnd w:id="773"/>
      <w:bookmarkEnd w:id="774"/>
      <w:bookmarkEnd w:id="776"/>
      <w:bookmarkEnd w:id="777"/>
      <w:bookmarkEnd w:id="778"/>
      <w:bookmarkEnd w:id="779"/>
      <w:bookmarkEnd w:id="780"/>
      <w:bookmarkEnd w:id="781"/>
      <w:bookmarkEnd w:id="782"/>
      <w:bookmarkEnd w:id="783"/>
    </w:p>
    <w:p>
      <w:pPr>
        <w:spacing w:line="336" w:lineRule="auto"/>
        <w:ind w:firstLine="420" w:firstLineChars="200"/>
        <w:rPr>
          <w:rFonts w:ascii="宋体" w:hAnsi="宋体" w:cs="宋体"/>
          <w:color w:val="auto"/>
          <w:szCs w:val="21"/>
          <w:highlight w:val="none"/>
        </w:rPr>
      </w:pPr>
      <w:bookmarkStart w:id="784"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84"/>
    </w:p>
    <w:p>
      <w:pPr>
        <w:pStyle w:val="38"/>
        <w:keepNext w:val="0"/>
        <w:keepLines w:val="0"/>
        <w:spacing w:line="336" w:lineRule="auto"/>
        <w:outlineLvl w:val="9"/>
        <w:rPr>
          <w:color w:val="auto"/>
          <w:sz w:val="24"/>
          <w:szCs w:val="24"/>
          <w:highlight w:val="none"/>
        </w:rPr>
      </w:pPr>
      <w:bookmarkStart w:id="785" w:name="_Toc2211"/>
      <w:bookmarkStart w:id="786" w:name="_Toc30125"/>
      <w:bookmarkStart w:id="787" w:name="_Toc14624"/>
      <w:bookmarkStart w:id="788" w:name="_Toc2051206409"/>
      <w:bookmarkStart w:id="789" w:name="_Toc4921"/>
      <w:bookmarkStart w:id="790" w:name="_Toc15180"/>
      <w:bookmarkStart w:id="791" w:name="_Toc152045579"/>
      <w:bookmarkStart w:id="792" w:name="_Toc12740"/>
      <w:bookmarkStart w:id="793" w:name="_Toc152042356"/>
      <w:bookmarkStart w:id="794" w:name="_Toc179632597"/>
      <w:bookmarkStart w:id="795" w:name="_Toc1193264135"/>
      <w:r>
        <w:rPr>
          <w:rFonts w:hint="eastAsia"/>
          <w:color w:val="auto"/>
          <w:sz w:val="24"/>
          <w:szCs w:val="24"/>
          <w:highlight w:val="none"/>
        </w:rPr>
        <w:t>9.5 投诉</w:t>
      </w:r>
      <w:bookmarkEnd w:id="775"/>
      <w:bookmarkEnd w:id="785"/>
      <w:bookmarkEnd w:id="786"/>
      <w:bookmarkEnd w:id="787"/>
      <w:bookmarkEnd w:id="788"/>
      <w:bookmarkEnd w:id="789"/>
      <w:bookmarkEnd w:id="790"/>
      <w:bookmarkEnd w:id="791"/>
      <w:bookmarkEnd w:id="792"/>
      <w:bookmarkEnd w:id="793"/>
      <w:bookmarkEnd w:id="794"/>
      <w:bookmarkEnd w:id="795"/>
    </w:p>
    <w:p>
      <w:pPr>
        <w:spacing w:line="336"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本次招标投标活动及其相关当事人应当接受</w:t>
      </w:r>
      <w:r>
        <w:rPr>
          <w:rFonts w:hint="eastAsia" w:ascii="宋体" w:hAnsi="宋体" w:cs="宋体"/>
          <w:color w:val="auto"/>
          <w:spacing w:val="4"/>
          <w:kern w:val="0"/>
          <w:sz w:val="22"/>
          <w:szCs w:val="22"/>
          <w:highlight w:val="none"/>
        </w:rPr>
        <w:t>有关</w:t>
      </w:r>
      <w:r>
        <w:rPr>
          <w:rFonts w:hint="eastAsia" w:ascii="宋体" w:hAnsi="宋体" w:cs="宋体"/>
          <w:color w:val="auto"/>
          <w:szCs w:val="21"/>
          <w:highlight w:val="none"/>
        </w:rPr>
        <w:t>行政监督部门依法实施的监督。</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投标人和其他利害关系人认为本次招标活动违反法律、法规和规章规定的，有权自知道或者应当知道之日起</w:t>
      </w:r>
      <w:r>
        <w:rPr>
          <w:rFonts w:hint="eastAsia" w:cs="宋体"/>
          <w:color w:val="auto"/>
          <w:highlight w:val="none"/>
        </w:rPr>
        <w:t>10</w:t>
      </w:r>
      <w:r>
        <w:rPr>
          <w:rFonts w:hint="eastAsia" w:ascii="宋体" w:hAnsi="宋体" w:cs="宋体"/>
          <w:color w:val="auto"/>
          <w:highlight w:val="none"/>
        </w:rPr>
        <w:t>日内向有关行政监督部门投诉，其中对招标文件的内容、开标、评标结果进行投诉的，应当按本章第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款、第</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款、第</w:t>
      </w:r>
      <w:r>
        <w:rPr>
          <w:rFonts w:hint="eastAsia" w:cs="宋体"/>
          <w:color w:val="auto"/>
          <w:highlight w:val="none"/>
        </w:rPr>
        <w:t>6</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款的规定先向招标人提出异议后，方可向有关行政监督部门投诉，异议答复期不计算在规定的投诉时效期限内。</w:t>
      </w:r>
    </w:p>
    <w:p>
      <w:pPr>
        <w:spacing w:line="336" w:lineRule="auto"/>
        <w:ind w:firstLine="420" w:firstLineChars="200"/>
        <w:rPr>
          <w:rFonts w:ascii="宋体" w:hAnsi="宋体" w:cs="宋体"/>
          <w:color w:val="auto"/>
          <w:spacing w:val="4"/>
          <w:kern w:val="0"/>
          <w:sz w:val="22"/>
          <w:szCs w:val="22"/>
          <w:highlight w:val="none"/>
        </w:rPr>
      </w:pPr>
      <w:bookmarkStart w:id="796" w:name="_Toc387753561"/>
      <w:r>
        <w:rPr>
          <w:rFonts w:hint="eastAsia" w:ascii="宋体" w:hAnsi="宋体" w:cs="宋体"/>
          <w:color w:val="auto"/>
          <w:highlight w:val="none"/>
        </w:rPr>
        <w:t>投标人和其他利害关系人的</w:t>
      </w:r>
      <w:r>
        <w:rPr>
          <w:rFonts w:hint="eastAsia" w:ascii="宋体" w:hAnsi="宋体" w:cs="宋体"/>
          <w:color w:val="auto"/>
          <w:spacing w:val="4"/>
          <w:kern w:val="0"/>
          <w:sz w:val="22"/>
          <w:szCs w:val="22"/>
          <w:highlight w:val="none"/>
        </w:rPr>
        <w:t>投诉应</w:t>
      </w:r>
      <w:r>
        <w:rPr>
          <w:rFonts w:hint="eastAsia" w:ascii="宋体" w:hAnsi="宋体" w:cs="宋体"/>
          <w:color w:val="auto"/>
          <w:highlight w:val="none"/>
        </w:rPr>
        <w:t>按照《工程建设项目招标投标活动投诉处理办法》等相关规定进行。</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有关行政监督部门的联系方式见投标人须知前附表。</w:t>
      </w:r>
    </w:p>
    <w:p>
      <w:pPr>
        <w:pStyle w:val="20"/>
        <w:keepNext w:val="0"/>
        <w:keepLines w:val="0"/>
        <w:spacing w:line="336" w:lineRule="auto"/>
        <w:outlineLvl w:val="2"/>
        <w:rPr>
          <w:color w:val="auto"/>
          <w:highlight w:val="none"/>
        </w:rPr>
      </w:pPr>
      <w:bookmarkStart w:id="797" w:name="_Toc846743330"/>
      <w:bookmarkStart w:id="798" w:name="_Toc2992"/>
      <w:bookmarkStart w:id="799" w:name="_Toc444105354"/>
      <w:bookmarkStart w:id="800" w:name="_Toc19989"/>
      <w:bookmarkStart w:id="801" w:name="_Toc3685"/>
      <w:bookmarkStart w:id="802" w:name="_Toc28829"/>
      <w:bookmarkStart w:id="803" w:name="_Toc2453"/>
      <w:bookmarkStart w:id="804" w:name="_Toc23553"/>
      <w:r>
        <w:rPr>
          <w:rFonts w:hint="eastAsia"/>
          <w:color w:val="auto"/>
          <w:highlight w:val="none"/>
        </w:rPr>
        <w:t>10. 需要补充的其他内容</w:t>
      </w:r>
      <w:bookmarkEnd w:id="796"/>
      <w:bookmarkEnd w:id="797"/>
      <w:bookmarkEnd w:id="798"/>
      <w:bookmarkEnd w:id="799"/>
      <w:bookmarkEnd w:id="800"/>
      <w:bookmarkEnd w:id="801"/>
      <w:bookmarkEnd w:id="802"/>
      <w:bookmarkEnd w:id="803"/>
      <w:bookmarkEnd w:id="804"/>
    </w:p>
    <w:p>
      <w:pPr>
        <w:pStyle w:val="38"/>
        <w:keepNext w:val="0"/>
        <w:keepLines w:val="0"/>
        <w:spacing w:line="336" w:lineRule="auto"/>
        <w:outlineLvl w:val="9"/>
        <w:rPr>
          <w:color w:val="auto"/>
          <w:sz w:val="24"/>
          <w:szCs w:val="24"/>
          <w:highlight w:val="none"/>
        </w:rPr>
      </w:pPr>
      <w:bookmarkStart w:id="805" w:name="_Toc16004"/>
      <w:bookmarkStart w:id="806" w:name="_Toc24329"/>
      <w:bookmarkStart w:id="807" w:name="_Toc17496"/>
      <w:bookmarkStart w:id="808" w:name="_Toc494315173"/>
      <w:bookmarkStart w:id="809" w:name="_Toc491089701"/>
      <w:bookmarkStart w:id="810" w:name="_Toc19550"/>
      <w:bookmarkStart w:id="811" w:name="_Toc524890086"/>
      <w:bookmarkStart w:id="812" w:name="_Toc16242"/>
      <w:bookmarkStart w:id="813" w:name="_Toc1731692687"/>
      <w:bookmarkStart w:id="814" w:name="_Toc20603"/>
      <w:bookmarkStart w:id="815" w:name="_Toc473758094"/>
      <w:bookmarkStart w:id="816" w:name="_Toc221950256"/>
      <w:bookmarkStart w:id="817" w:name="_Toc168476099"/>
      <w:bookmarkStart w:id="818" w:name="_Toc168475696"/>
      <w:bookmarkStart w:id="819" w:name="_Toc144974548"/>
      <w:r>
        <w:rPr>
          <w:rFonts w:hint="eastAsia"/>
          <w:color w:val="auto"/>
          <w:sz w:val="24"/>
          <w:szCs w:val="24"/>
          <w:highlight w:val="none"/>
        </w:rPr>
        <w:t>10.1 多标段投标</w:t>
      </w:r>
      <w:bookmarkEnd w:id="805"/>
      <w:bookmarkEnd w:id="806"/>
      <w:bookmarkEnd w:id="807"/>
      <w:bookmarkEnd w:id="808"/>
      <w:bookmarkEnd w:id="809"/>
      <w:bookmarkEnd w:id="810"/>
      <w:bookmarkEnd w:id="811"/>
      <w:bookmarkEnd w:id="812"/>
      <w:bookmarkEnd w:id="813"/>
      <w:bookmarkEnd w:id="814"/>
      <w:bookmarkEnd w:id="815"/>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多标段投标规定：见投标人须知前附表。</w:t>
      </w:r>
    </w:p>
    <w:p>
      <w:pPr>
        <w:pStyle w:val="38"/>
        <w:keepNext w:val="0"/>
        <w:keepLines w:val="0"/>
        <w:spacing w:line="336" w:lineRule="auto"/>
        <w:outlineLvl w:val="9"/>
        <w:rPr>
          <w:color w:val="auto"/>
          <w:sz w:val="24"/>
          <w:szCs w:val="24"/>
          <w:highlight w:val="none"/>
        </w:rPr>
      </w:pPr>
      <w:bookmarkStart w:id="820" w:name="_Toc8462"/>
      <w:bookmarkStart w:id="821" w:name="_Toc62377734"/>
      <w:bookmarkStart w:id="822" w:name="_Toc1921405958"/>
      <w:bookmarkStart w:id="823" w:name="_Toc524890087"/>
      <w:bookmarkStart w:id="824" w:name="_Toc15994"/>
      <w:bookmarkStart w:id="825" w:name="_Toc18066"/>
      <w:bookmarkStart w:id="826" w:name="_Toc15732"/>
      <w:bookmarkStart w:id="827" w:name="_Toc387753565"/>
      <w:bookmarkStart w:id="828" w:name="_Toc494315174"/>
      <w:bookmarkStart w:id="829" w:name="_Toc22543"/>
      <w:bookmarkStart w:id="830" w:name="_Toc491089702"/>
      <w:bookmarkStart w:id="831" w:name="_Toc31550"/>
      <w:r>
        <w:rPr>
          <w:rFonts w:hint="eastAsia"/>
          <w:color w:val="auto"/>
          <w:sz w:val="24"/>
          <w:szCs w:val="24"/>
          <w:highlight w:val="none"/>
        </w:rPr>
        <w:t>10.2 中标人的投标文件</w:t>
      </w:r>
      <w:bookmarkEnd w:id="820"/>
      <w:bookmarkEnd w:id="821"/>
      <w:bookmarkEnd w:id="822"/>
      <w:bookmarkEnd w:id="823"/>
      <w:bookmarkEnd w:id="824"/>
      <w:bookmarkEnd w:id="825"/>
      <w:bookmarkEnd w:id="826"/>
      <w:bookmarkEnd w:id="827"/>
      <w:bookmarkEnd w:id="828"/>
      <w:bookmarkEnd w:id="829"/>
      <w:bookmarkEnd w:id="830"/>
      <w:bookmarkEnd w:id="831"/>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中标人在签订合同前须向招标人另行提交的投标文件份数：见投标人须知前附表。</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中标后提交的纸质投标文件内容应与投标时递交的电子投标文件内容保持一致。当纸质投标文件与电子投标文件不一致时，以递交的电子投标文件为准，造成损失或者产生不良影响的，招标人有权追究相应的法律责任并作为不良行为报送有关行政监督部门记录。</w:t>
      </w:r>
    </w:p>
    <w:p>
      <w:pPr>
        <w:pStyle w:val="38"/>
        <w:keepNext w:val="0"/>
        <w:keepLines w:val="0"/>
        <w:spacing w:line="336" w:lineRule="auto"/>
        <w:outlineLvl w:val="9"/>
        <w:rPr>
          <w:color w:val="auto"/>
          <w:sz w:val="24"/>
          <w:szCs w:val="24"/>
          <w:highlight w:val="none"/>
        </w:rPr>
      </w:pPr>
      <w:bookmarkStart w:id="832" w:name="_Toc524890088"/>
      <w:bookmarkStart w:id="833" w:name="_Toc25221"/>
      <w:bookmarkStart w:id="834" w:name="_Toc29217"/>
      <w:bookmarkStart w:id="835" w:name="_Toc8134"/>
      <w:bookmarkStart w:id="836" w:name="_Toc23547"/>
      <w:bookmarkStart w:id="837" w:name="_Toc14635"/>
      <w:bookmarkStart w:id="838" w:name="_Toc27330"/>
      <w:bookmarkStart w:id="839" w:name="_Toc215536530"/>
      <w:bookmarkStart w:id="840" w:name="_Toc1233343029"/>
      <w:r>
        <w:rPr>
          <w:rFonts w:hint="eastAsia"/>
          <w:color w:val="auto"/>
          <w:sz w:val="24"/>
          <w:szCs w:val="24"/>
          <w:highlight w:val="none"/>
        </w:rPr>
        <w:t>10.3</w:t>
      </w:r>
      <w:r>
        <w:rPr>
          <w:color w:val="auto"/>
          <w:sz w:val="24"/>
          <w:szCs w:val="24"/>
          <w:highlight w:val="none"/>
        </w:rPr>
        <w:t>交易平台信息服务费</w:t>
      </w:r>
      <w:bookmarkEnd w:id="832"/>
      <w:bookmarkEnd w:id="833"/>
      <w:bookmarkEnd w:id="834"/>
      <w:bookmarkEnd w:id="835"/>
      <w:bookmarkEnd w:id="836"/>
      <w:bookmarkEnd w:id="837"/>
      <w:bookmarkEnd w:id="838"/>
      <w:bookmarkEnd w:id="839"/>
      <w:bookmarkEnd w:id="840"/>
    </w:p>
    <w:p>
      <w:pPr>
        <w:spacing w:line="336" w:lineRule="auto"/>
        <w:ind w:firstLine="420" w:firstLineChars="200"/>
        <w:rPr>
          <w:rFonts w:ascii="宋体" w:hAnsi="宋体"/>
          <w:color w:val="auto"/>
          <w:szCs w:val="21"/>
          <w:highlight w:val="none"/>
        </w:rPr>
      </w:pPr>
      <w:r>
        <w:rPr>
          <w:rFonts w:ascii="宋体" w:hAnsi="宋体"/>
          <w:color w:val="auto"/>
          <w:szCs w:val="21"/>
          <w:highlight w:val="none"/>
        </w:rPr>
        <w:t>交易平台信息服务费缴费</w:t>
      </w:r>
      <w:r>
        <w:rPr>
          <w:rFonts w:hint="eastAsia" w:ascii="宋体" w:hAnsi="宋体"/>
          <w:color w:val="auto"/>
          <w:szCs w:val="21"/>
          <w:highlight w:val="none"/>
        </w:rPr>
        <w:t>规定：</w:t>
      </w:r>
      <w:r>
        <w:rPr>
          <w:rFonts w:ascii="宋体" w:hAnsi="宋体"/>
          <w:color w:val="auto"/>
          <w:szCs w:val="21"/>
          <w:highlight w:val="none"/>
        </w:rPr>
        <w:t>见投标人须知前附表</w:t>
      </w:r>
      <w:r>
        <w:rPr>
          <w:rFonts w:hint="eastAsia" w:ascii="宋体" w:hAnsi="宋体"/>
          <w:color w:val="auto"/>
          <w:szCs w:val="21"/>
          <w:highlight w:val="none"/>
        </w:rPr>
        <w:t>。</w:t>
      </w:r>
    </w:p>
    <w:p>
      <w:pPr>
        <w:pStyle w:val="38"/>
        <w:keepNext w:val="0"/>
        <w:keepLines w:val="0"/>
        <w:spacing w:line="336" w:lineRule="auto"/>
        <w:outlineLvl w:val="9"/>
        <w:rPr>
          <w:color w:val="auto"/>
          <w:sz w:val="24"/>
          <w:szCs w:val="24"/>
          <w:highlight w:val="none"/>
        </w:rPr>
      </w:pPr>
      <w:bookmarkStart w:id="841" w:name="_Toc24759"/>
      <w:bookmarkStart w:id="842" w:name="_Toc26168"/>
      <w:bookmarkStart w:id="843" w:name="_Toc10035"/>
      <w:bookmarkStart w:id="844" w:name="_Toc102"/>
      <w:bookmarkStart w:id="845" w:name="_Toc12477"/>
      <w:bookmarkStart w:id="846" w:name="_Toc22357"/>
      <w:bookmarkStart w:id="847" w:name="_Toc524890089"/>
      <w:bookmarkStart w:id="848" w:name="_Toc91949520"/>
      <w:bookmarkStart w:id="849" w:name="_Toc825753761"/>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4</w:t>
      </w:r>
      <w:r>
        <w:rPr>
          <w:color w:val="auto"/>
          <w:sz w:val="24"/>
          <w:szCs w:val="24"/>
          <w:highlight w:val="none"/>
        </w:rPr>
        <w:t xml:space="preserve"> 招标代理服务费</w:t>
      </w:r>
      <w:bookmarkEnd w:id="841"/>
      <w:bookmarkEnd w:id="842"/>
      <w:bookmarkEnd w:id="843"/>
      <w:bookmarkEnd w:id="844"/>
      <w:bookmarkEnd w:id="845"/>
      <w:bookmarkEnd w:id="846"/>
      <w:bookmarkEnd w:id="847"/>
      <w:bookmarkEnd w:id="848"/>
      <w:bookmarkEnd w:id="849"/>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招标代理服务费收取约定：见投标人须知前附表。</w:t>
      </w:r>
    </w:p>
    <w:p>
      <w:pPr>
        <w:pStyle w:val="38"/>
        <w:keepNext w:val="0"/>
        <w:keepLines w:val="0"/>
        <w:spacing w:line="336" w:lineRule="auto"/>
        <w:outlineLvl w:val="9"/>
        <w:rPr>
          <w:color w:val="auto"/>
          <w:sz w:val="24"/>
          <w:szCs w:val="24"/>
          <w:highlight w:val="none"/>
        </w:rPr>
      </w:pPr>
      <w:bookmarkStart w:id="850" w:name="_Toc920688718"/>
      <w:bookmarkStart w:id="851" w:name="_Toc426495266"/>
      <w:bookmarkStart w:id="852" w:name="_Toc28531742"/>
      <w:bookmarkStart w:id="853" w:name="_Toc14836"/>
      <w:bookmarkStart w:id="854" w:name="_Toc494315175"/>
      <w:bookmarkStart w:id="855" w:name="_Toc524890090"/>
      <w:bookmarkStart w:id="856" w:name="_Toc32353"/>
      <w:bookmarkStart w:id="857" w:name="_Toc12780"/>
      <w:bookmarkStart w:id="858" w:name="_Toc9639"/>
      <w:bookmarkStart w:id="859" w:name="_Toc491089703"/>
      <w:bookmarkStart w:id="860" w:name="_Toc522540551"/>
      <w:bookmarkStart w:id="861" w:name="_Toc6767"/>
      <w:bookmarkStart w:id="862" w:name="_Toc505"/>
      <w:r>
        <w:rPr>
          <w:rFonts w:hint="eastAsia"/>
          <w:color w:val="auto"/>
          <w:sz w:val="24"/>
          <w:szCs w:val="24"/>
          <w:highlight w:val="none"/>
        </w:rPr>
        <w:t>10.5 知识产权</w:t>
      </w:r>
      <w:bookmarkEnd w:id="850"/>
      <w:bookmarkEnd w:id="851"/>
      <w:bookmarkEnd w:id="852"/>
      <w:bookmarkEnd w:id="853"/>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有关知识产权的规定：见投标人须知前附表。</w:t>
      </w:r>
    </w:p>
    <w:p>
      <w:pPr>
        <w:pStyle w:val="38"/>
        <w:keepNext w:val="0"/>
        <w:keepLines w:val="0"/>
        <w:spacing w:line="336" w:lineRule="auto"/>
        <w:outlineLvl w:val="9"/>
        <w:rPr>
          <w:color w:val="auto"/>
          <w:sz w:val="24"/>
          <w:szCs w:val="24"/>
          <w:highlight w:val="none"/>
        </w:rPr>
      </w:pPr>
      <w:bookmarkStart w:id="863" w:name="_Toc28531743"/>
      <w:bookmarkStart w:id="864" w:name="_Toc8173"/>
      <w:bookmarkStart w:id="865" w:name="_Toc426495267"/>
      <w:bookmarkStart w:id="866" w:name="_Toc624737084"/>
      <w:r>
        <w:rPr>
          <w:rFonts w:hint="eastAsia"/>
          <w:color w:val="auto"/>
          <w:sz w:val="24"/>
          <w:szCs w:val="24"/>
          <w:highlight w:val="none"/>
        </w:rPr>
        <w:t>10.6同义词语</w:t>
      </w:r>
      <w:bookmarkEnd w:id="863"/>
      <w:bookmarkEnd w:id="864"/>
      <w:bookmarkEnd w:id="865"/>
      <w:bookmarkEnd w:id="866"/>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本招标文件的同义词语：见投标人须知前附表。</w:t>
      </w:r>
    </w:p>
    <w:p>
      <w:pPr>
        <w:pStyle w:val="38"/>
        <w:keepNext w:val="0"/>
        <w:keepLines w:val="0"/>
        <w:spacing w:line="336" w:lineRule="auto"/>
        <w:outlineLvl w:val="9"/>
        <w:rPr>
          <w:color w:val="auto"/>
          <w:sz w:val="24"/>
          <w:szCs w:val="24"/>
          <w:highlight w:val="none"/>
        </w:rPr>
      </w:pPr>
      <w:bookmarkStart w:id="867" w:name="_Toc426495268"/>
      <w:bookmarkStart w:id="868" w:name="_Toc2139172237"/>
      <w:bookmarkStart w:id="869" w:name="_Toc28531744"/>
      <w:bookmarkStart w:id="870" w:name="_Toc14055"/>
      <w:r>
        <w:rPr>
          <w:rFonts w:hint="eastAsia"/>
          <w:color w:val="auto"/>
          <w:sz w:val="24"/>
          <w:szCs w:val="24"/>
          <w:highlight w:val="none"/>
        </w:rPr>
        <w:t>10.7 解释权</w:t>
      </w:r>
      <w:bookmarkEnd w:id="867"/>
      <w:bookmarkEnd w:id="868"/>
      <w:bookmarkEnd w:id="869"/>
      <w:bookmarkEnd w:id="870"/>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有关招标文件的解释权：见投标人须知前附表。</w:t>
      </w:r>
    </w:p>
    <w:p>
      <w:pPr>
        <w:pStyle w:val="38"/>
        <w:keepNext w:val="0"/>
        <w:keepLines w:val="0"/>
        <w:spacing w:line="336" w:lineRule="auto"/>
        <w:outlineLvl w:val="9"/>
        <w:rPr>
          <w:color w:val="auto"/>
          <w:sz w:val="24"/>
          <w:szCs w:val="24"/>
          <w:highlight w:val="none"/>
        </w:rPr>
      </w:pPr>
      <w:bookmarkStart w:id="871" w:name="_Toc72495583"/>
      <w:bookmarkStart w:id="872" w:name="_Toc32124"/>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.8招标人补充的其他内容</w:t>
      </w:r>
      <w:bookmarkEnd w:id="854"/>
      <w:bookmarkEnd w:id="855"/>
      <w:bookmarkEnd w:id="856"/>
      <w:bookmarkEnd w:id="857"/>
      <w:bookmarkEnd w:id="858"/>
      <w:bookmarkEnd w:id="859"/>
      <w:bookmarkEnd w:id="860"/>
      <w:bookmarkEnd w:id="861"/>
      <w:bookmarkEnd w:id="862"/>
      <w:bookmarkEnd w:id="871"/>
      <w:bookmarkEnd w:id="872"/>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招标人补充的其他内容：见投标人须知前附表。</w:t>
      </w:r>
    </w:p>
    <w:p>
      <w:pPr>
        <w:spacing w:line="336" w:lineRule="auto"/>
        <w:rPr>
          <w:color w:val="auto"/>
          <w:highlight w:val="none"/>
        </w:rPr>
        <w:sectPr>
          <w:pgSz w:w="11906" w:h="16838"/>
          <w:pgMar w:top="2098" w:right="1446" w:bottom="1984" w:left="1446" w:header="851" w:footer="1446" w:gutter="0"/>
          <w:cols w:space="0" w:num="1"/>
          <w:docGrid w:linePitch="312" w:charSpace="0"/>
        </w:sectPr>
      </w:pPr>
    </w:p>
    <w:p>
      <w:pPr>
        <w:spacing w:line="336" w:lineRule="auto"/>
        <w:rPr>
          <w:rFonts w:ascii="黑体" w:hAnsi="黑体" w:eastAsia="黑体" w:cs="黑体"/>
          <w:bCs/>
          <w:strike/>
          <w:color w:val="auto"/>
          <w:sz w:val="24"/>
          <w:highlight w:val="none"/>
        </w:rPr>
      </w:pPr>
      <w:bookmarkStart w:id="873" w:name="_Toc27235"/>
      <w:bookmarkStart w:id="874" w:name="_Toc1952891012"/>
      <w:bookmarkStart w:id="875" w:name="_Toc5279"/>
      <w:r>
        <w:rPr>
          <w:rFonts w:hint="eastAsia" w:ascii="黑体" w:hAnsi="黑体" w:eastAsia="黑体" w:cs="黑体"/>
          <w:bCs/>
          <w:strike/>
          <w:color w:val="auto"/>
          <w:sz w:val="24"/>
          <w:highlight w:val="none"/>
        </w:rPr>
        <w:t>附表一：投标确认</w:t>
      </w:r>
      <w:bookmarkEnd w:id="873"/>
      <w:r>
        <w:rPr>
          <w:rFonts w:hint="eastAsia" w:ascii="黑体" w:hAnsi="黑体" w:eastAsia="黑体" w:cs="黑体"/>
          <w:bCs/>
          <w:strike/>
          <w:color w:val="auto"/>
          <w:sz w:val="24"/>
          <w:highlight w:val="none"/>
        </w:rPr>
        <w:t>书</w:t>
      </w:r>
      <w:bookmarkEnd w:id="874"/>
      <w:bookmarkEnd w:id="875"/>
    </w:p>
    <w:p>
      <w:pPr>
        <w:spacing w:line="336" w:lineRule="auto"/>
        <w:rPr>
          <w:strike/>
          <w:color w:val="auto"/>
          <w:highlight w:val="none"/>
        </w:rPr>
      </w:pPr>
    </w:p>
    <w:p>
      <w:pPr>
        <w:spacing w:line="336" w:lineRule="auto"/>
        <w:rPr>
          <w:rFonts w:ascii="黑体" w:hAnsi="黑体" w:eastAsia="黑体" w:cs="黑体"/>
          <w:strike/>
          <w:color w:val="auto"/>
          <w:sz w:val="30"/>
          <w:szCs w:val="30"/>
          <w:highlight w:val="none"/>
        </w:rPr>
      </w:pPr>
    </w:p>
    <w:p>
      <w:pPr>
        <w:spacing w:line="336" w:lineRule="auto"/>
        <w:jc w:val="center"/>
        <w:rPr>
          <w:rFonts w:ascii="黑体" w:hAnsi="黑体" w:eastAsia="黑体" w:cs="黑体"/>
          <w:strike/>
          <w:color w:val="auto"/>
          <w:sz w:val="30"/>
          <w:szCs w:val="30"/>
          <w:highlight w:val="none"/>
        </w:rPr>
      </w:pPr>
      <w:r>
        <w:rPr>
          <w:rFonts w:hint="eastAsia" w:ascii="黑体" w:hAnsi="黑体" w:eastAsia="黑体" w:cs="黑体"/>
          <w:strike/>
          <w:color w:val="auto"/>
          <w:sz w:val="30"/>
          <w:szCs w:val="30"/>
          <w:highlight w:val="none"/>
        </w:rPr>
        <w:t>投标确认书</w:t>
      </w: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（招标人名称）：</w:t>
      </w:r>
    </w:p>
    <w:p>
      <w:pPr>
        <w:spacing w:line="336" w:lineRule="auto"/>
        <w:rPr>
          <w:rFonts w:asciiTheme="minorEastAsia" w:hAnsiTheme="minorEastAsia" w:eastAsiaTheme="minorEastAsia" w:cstheme="minorEastAsia"/>
          <w:strike/>
          <w:color w:val="auto"/>
          <w:highlight w:val="none"/>
        </w:rPr>
      </w:pPr>
    </w:p>
    <w:p>
      <w:pPr>
        <w:spacing w:line="336" w:lineRule="auto"/>
        <w:ind w:firstLine="437"/>
        <w:rPr>
          <w:rFonts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strike/>
          <w:color w:val="auto"/>
          <w:highlight w:val="none"/>
        </w:rPr>
        <w:t>我方已收到你方发送的</w:t>
      </w:r>
      <w:r>
        <w:rPr>
          <w:rFonts w:hint="eastAsia" w:asciiTheme="minorEastAsia" w:hAnsiTheme="minorEastAsia" w:eastAsiaTheme="minorEastAsia" w:cstheme="minorEastAsia"/>
          <w:strike/>
          <w:color w:val="auto"/>
          <w:highlight w:val="none"/>
          <w:u w:val="single"/>
        </w:rPr>
        <w:t xml:space="preserve">       投标邀请书 </w:t>
      </w:r>
      <w:r>
        <w:rPr>
          <w:rFonts w:hint="eastAsia" w:asciiTheme="minorEastAsia" w:hAnsiTheme="minorEastAsia" w:eastAsiaTheme="minorEastAsia" w:cstheme="minorEastAsia"/>
          <w:strike/>
          <w:color w:val="auto"/>
          <w:highlight w:val="none"/>
        </w:rPr>
        <w:t>，我方将</w:t>
      </w: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（参加/不参加）</w:t>
      </w: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 xml:space="preserve"> （项目名称）</w:t>
      </w: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（标段名称）施工招标的投标。</w:t>
      </w:r>
    </w:p>
    <w:p>
      <w:pPr>
        <w:spacing w:line="336" w:lineRule="auto"/>
        <w:ind w:firstLine="437"/>
        <w:rPr>
          <w:rFonts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strike/>
          <w:color w:val="auto"/>
          <w:highlight w:val="none"/>
        </w:rPr>
        <w:t>特此确认。</w:t>
      </w: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szCs w:val="21"/>
          <w:highlight w:val="none"/>
        </w:rPr>
      </w:pPr>
      <w:r>
        <w:rPr>
          <w:rFonts w:hint="eastAsia" w:asciiTheme="minorEastAsia" w:hAnsiTheme="minorEastAsia" w:eastAsiaTheme="minorEastAsia" w:cstheme="minorEastAsia"/>
          <w:strike/>
          <w:color w:val="auto"/>
          <w:szCs w:val="21"/>
          <w:highlight w:val="none"/>
        </w:rPr>
        <w:t xml:space="preserve">                                     潜在投标人：（盖单位章）</w:t>
      </w:r>
    </w:p>
    <w:p>
      <w:pPr>
        <w:spacing w:line="336" w:lineRule="auto"/>
        <w:rPr>
          <w:rFonts w:asciiTheme="minorEastAsia" w:hAnsiTheme="minorEastAsia" w:eastAsiaTheme="minorEastAsia" w:cstheme="minorEastAsia"/>
          <w:strike/>
          <w:color w:val="auto"/>
          <w:szCs w:val="21"/>
          <w:highlight w:val="none"/>
        </w:rPr>
      </w:pPr>
      <w:r>
        <w:rPr>
          <w:rFonts w:hint="eastAsia" w:asciiTheme="minorEastAsia" w:hAnsiTheme="minorEastAsia" w:eastAsiaTheme="minorEastAsia" w:cstheme="minorEastAsia"/>
          <w:strike/>
          <w:color w:val="auto"/>
          <w:szCs w:val="21"/>
          <w:highlight w:val="none"/>
        </w:rPr>
        <w:t>　　　　　　　　　　　　　　　　　　　法定代表人：（签字）</w:t>
      </w:r>
    </w:p>
    <w:p>
      <w:pPr>
        <w:spacing w:line="336" w:lineRule="auto"/>
        <w:ind w:firstLine="5040" w:firstLineChars="2400"/>
        <w:rPr>
          <w:rFonts w:asciiTheme="minorEastAsia" w:hAnsiTheme="minorEastAsia" w:eastAsiaTheme="minorEastAsia" w:cstheme="minorEastAsia"/>
          <w:strike/>
          <w:color w:val="auto"/>
          <w:szCs w:val="21"/>
          <w:highlight w:val="none"/>
        </w:rPr>
        <w:sectPr>
          <w:pgSz w:w="11906" w:h="16838"/>
          <w:pgMar w:top="2098" w:right="1446" w:bottom="1984" w:left="1446" w:header="851" w:footer="1446" w:gutter="0"/>
          <w:cols w:space="0" w:num="1"/>
          <w:docGrid w:linePitch="312" w:charSpace="0"/>
        </w:sectPr>
      </w:pPr>
      <w:r>
        <w:rPr>
          <w:rFonts w:hint="eastAsia" w:asciiTheme="minorEastAsia" w:hAnsiTheme="minorEastAsia" w:eastAsiaTheme="minorEastAsia" w:cstheme="minorEastAsia"/>
          <w:strike/>
          <w:color w:val="auto"/>
          <w:szCs w:val="21"/>
          <w:highlight w:val="none"/>
        </w:rPr>
        <w:t>年   月   日</w:t>
      </w:r>
    </w:p>
    <w:p>
      <w:pPr>
        <w:pStyle w:val="4"/>
        <w:keepNext w:val="0"/>
        <w:keepLines w:val="0"/>
        <w:spacing w:line="336" w:lineRule="auto"/>
        <w:rPr>
          <w:rFonts w:ascii="黑体" w:hAnsi="黑体" w:eastAsia="黑体" w:cs="黑体"/>
          <w:b w:val="0"/>
          <w:strike/>
          <w:color w:val="auto"/>
          <w:highlight w:val="none"/>
        </w:rPr>
      </w:pPr>
      <w:bookmarkStart w:id="876" w:name="_Toc387753567"/>
      <w:bookmarkStart w:id="877" w:name="_Toc3321"/>
      <w:bookmarkStart w:id="878" w:name="_Toc5255"/>
      <w:bookmarkStart w:id="879" w:name="_Toc1960072915"/>
      <w:bookmarkStart w:id="880" w:name="_Toc32197"/>
      <w:bookmarkStart w:id="881" w:name="_Toc9792"/>
      <w:bookmarkStart w:id="882" w:name="_Toc14113"/>
      <w:bookmarkStart w:id="883" w:name="_Toc7227"/>
      <w:r>
        <w:rPr>
          <w:rFonts w:hint="eastAsia" w:ascii="黑体" w:hAnsi="黑体" w:eastAsia="黑体" w:cs="黑体"/>
          <w:b w:val="0"/>
          <w:strike/>
          <w:color w:val="auto"/>
          <w:highlight w:val="none"/>
        </w:rPr>
        <w:t>附</w:t>
      </w:r>
      <w:bookmarkEnd w:id="816"/>
      <w:bookmarkEnd w:id="876"/>
      <w:bookmarkStart w:id="884" w:name="_Toc221950257"/>
      <w:r>
        <w:rPr>
          <w:rFonts w:hint="eastAsia" w:ascii="黑体" w:hAnsi="黑体" w:eastAsia="黑体" w:cs="黑体"/>
          <w:b w:val="0"/>
          <w:strike/>
          <w:color w:val="auto"/>
          <w:highlight w:val="none"/>
        </w:rPr>
        <w:t>表二：招标文件澄清</w:t>
      </w:r>
      <w:bookmarkEnd w:id="884"/>
      <w:r>
        <w:rPr>
          <w:rFonts w:hint="eastAsia" w:ascii="黑体" w:hAnsi="黑体" w:eastAsia="黑体" w:cs="黑体"/>
          <w:b w:val="0"/>
          <w:strike/>
          <w:color w:val="auto"/>
          <w:highlight w:val="none"/>
        </w:rPr>
        <w:t>申请函</w:t>
      </w:r>
      <w:bookmarkEnd w:id="877"/>
      <w:bookmarkEnd w:id="878"/>
      <w:bookmarkEnd w:id="879"/>
      <w:bookmarkEnd w:id="880"/>
      <w:bookmarkEnd w:id="881"/>
      <w:bookmarkEnd w:id="882"/>
      <w:bookmarkEnd w:id="883"/>
    </w:p>
    <w:p>
      <w:pPr>
        <w:spacing w:line="336" w:lineRule="auto"/>
        <w:rPr>
          <w:rFonts w:ascii="黑体" w:eastAsia="黑体"/>
          <w:strike/>
          <w:color w:val="auto"/>
          <w:sz w:val="28"/>
          <w:szCs w:val="28"/>
          <w:highlight w:val="none"/>
        </w:rPr>
      </w:pPr>
    </w:p>
    <w:p>
      <w:pPr>
        <w:spacing w:line="336" w:lineRule="auto"/>
        <w:rPr>
          <w:rFonts w:ascii="黑体" w:eastAsia="黑体"/>
          <w:strike/>
          <w:color w:val="auto"/>
          <w:sz w:val="28"/>
          <w:szCs w:val="28"/>
          <w:highlight w:val="none"/>
        </w:rPr>
      </w:pPr>
    </w:p>
    <w:p>
      <w:pPr>
        <w:spacing w:line="336" w:lineRule="auto"/>
        <w:jc w:val="center"/>
        <w:rPr>
          <w:strike/>
          <w:color w:val="auto"/>
          <w:highlight w:val="none"/>
        </w:rPr>
      </w:pPr>
      <w:r>
        <w:rPr>
          <w:rFonts w:hint="eastAsia" w:ascii="黑体" w:eastAsia="黑体"/>
          <w:strike/>
          <w:color w:val="auto"/>
          <w:sz w:val="28"/>
          <w:szCs w:val="28"/>
          <w:highlight w:val="none"/>
        </w:rPr>
        <w:t>招标文件澄清申请函</w:t>
      </w:r>
      <w:r>
        <w:rPr>
          <w:rStyle w:val="31"/>
          <w:rFonts w:hint="eastAsia" w:ascii="黑体" w:eastAsia="黑体"/>
          <w:strike/>
          <w:color w:val="auto"/>
          <w:sz w:val="28"/>
          <w:szCs w:val="28"/>
          <w:highlight w:val="none"/>
        </w:rPr>
        <w:footnoteReference w:id="6"/>
      </w:r>
    </w:p>
    <w:p>
      <w:pPr>
        <w:spacing w:line="336" w:lineRule="auto"/>
        <w:rPr>
          <w:rFonts w:ascii="宋体" w:hAnsi="宋体" w:cs="宋体"/>
          <w:strike/>
          <w:color w:val="auto"/>
          <w:highlight w:val="none"/>
        </w:rPr>
      </w:pPr>
    </w:p>
    <w:p>
      <w:pPr>
        <w:spacing w:line="336" w:lineRule="auto"/>
        <w:ind w:firstLine="420" w:firstLineChars="200"/>
        <w:jc w:val="center"/>
        <w:rPr>
          <w:rFonts w:ascii="宋体" w:hAnsi="宋体" w:cs="宋体"/>
          <w:strike/>
          <w:color w:val="auto"/>
          <w:highlight w:val="none"/>
        </w:rPr>
      </w:pPr>
      <w:bookmarkStart w:id="885" w:name="_Toc221950258"/>
      <w:r>
        <w:rPr>
          <w:rFonts w:hint="eastAsia" w:ascii="宋体" w:hAnsi="宋体" w:cs="宋体"/>
          <w:strike/>
          <w:color w:val="auto"/>
          <w:highlight w:val="none"/>
        </w:rPr>
        <w:t>编号：</w:t>
      </w:r>
    </w:p>
    <w:p>
      <w:pPr>
        <w:spacing w:line="336" w:lineRule="auto"/>
        <w:ind w:firstLine="420" w:firstLineChars="200"/>
        <w:rPr>
          <w:rFonts w:ascii="宋体" w:hAnsi="宋体" w:cs="宋体"/>
          <w:strike/>
          <w:color w:val="auto"/>
          <w:highlight w:val="none"/>
          <w:u w:val="single"/>
        </w:rPr>
      </w:pPr>
      <w:r>
        <w:rPr>
          <w:rFonts w:hint="eastAsia"/>
          <w:strike/>
          <w:color w:val="auto"/>
          <w:highlight w:val="none"/>
          <w:u w:val="single"/>
        </w:rPr>
        <w:t xml:space="preserve">     </w:t>
      </w:r>
      <w:r>
        <w:rPr>
          <w:rFonts w:hint="eastAsia" w:ascii="宋体" w:hAnsi="宋体" w:cs="宋体"/>
          <w:strike/>
          <w:color w:val="auto"/>
          <w:highlight w:val="none"/>
        </w:rPr>
        <w:t>（招标人名称）</w:t>
      </w:r>
      <w:bookmarkEnd w:id="885"/>
      <w:r>
        <w:rPr>
          <w:rFonts w:hint="eastAsia" w:ascii="宋体" w:hAnsi="宋体" w:cs="宋体"/>
          <w:strike/>
          <w:color w:val="auto"/>
          <w:highlight w:val="none"/>
        </w:rPr>
        <w:t>：</w:t>
      </w:r>
    </w:p>
    <w:p>
      <w:pPr>
        <w:spacing w:line="336" w:lineRule="auto"/>
        <w:ind w:firstLine="420" w:firstLineChars="200"/>
        <w:rPr>
          <w:rFonts w:ascii="宋体" w:hAnsi="宋体" w:cs="宋体"/>
          <w:strike/>
          <w:color w:val="auto"/>
          <w:highlight w:val="none"/>
        </w:rPr>
      </w:pPr>
      <w:bookmarkStart w:id="886" w:name="_Toc221950259"/>
      <w:r>
        <w:rPr>
          <w:rFonts w:hint="eastAsia" w:ascii="宋体" w:hAnsi="宋体" w:cs="宋体"/>
          <w:strike/>
          <w:color w:val="auto"/>
          <w:highlight w:val="none"/>
        </w:rPr>
        <w:t>经过仔细阅读</w:t>
      </w:r>
      <w:r>
        <w:rPr>
          <w:rFonts w:hint="eastAsia"/>
          <w:strike/>
          <w:color w:val="auto"/>
          <w:highlight w:val="none"/>
          <w:u w:val="single"/>
        </w:rPr>
        <w:t xml:space="preserve">     </w:t>
      </w:r>
      <w:r>
        <w:rPr>
          <w:rFonts w:hint="eastAsia" w:ascii="宋体" w:hAnsi="宋体" w:cs="宋体"/>
          <w:strike/>
          <w:color w:val="auto"/>
          <w:highlight w:val="none"/>
        </w:rPr>
        <w:t>（项目名称</w:t>
      </w:r>
      <w:r>
        <w:rPr>
          <w:rFonts w:hint="eastAsia" w:ascii="宋体" w:hAnsi="宋体" w:cs="宋体"/>
          <w:strike/>
          <w:color w:val="auto"/>
          <w:highlight w:val="none"/>
          <w:u w:val="single"/>
        </w:rPr>
        <w:t xml:space="preserve">）        </w:t>
      </w:r>
      <w:r>
        <w:rPr>
          <w:rFonts w:hint="eastAsia" w:ascii="宋体" w:hAnsi="宋体" w:cs="宋体"/>
          <w:strike/>
          <w:color w:val="auto"/>
          <w:highlight w:val="none"/>
        </w:rPr>
        <w:t>（标段名称）招标文件后，我方申请对以下问题予以澄清：</w:t>
      </w:r>
      <w:bookmarkEnd w:id="886"/>
    </w:p>
    <w:p>
      <w:pPr>
        <w:spacing w:line="336" w:lineRule="auto"/>
        <w:ind w:firstLine="525" w:firstLineChars="250"/>
        <w:rPr>
          <w:rFonts w:ascii="宋体" w:hAnsi="宋体" w:cs="宋体"/>
          <w:strike/>
          <w:color w:val="auto"/>
          <w:highlight w:val="none"/>
        </w:rPr>
      </w:pPr>
      <w:bookmarkStart w:id="887" w:name="_Toc221950260"/>
      <w:r>
        <w:rPr>
          <w:rFonts w:hint="eastAsia" w:cs="宋体"/>
          <w:strike/>
          <w:color w:val="auto"/>
          <w:highlight w:val="none"/>
        </w:rPr>
        <w:t>1</w:t>
      </w:r>
      <w:r>
        <w:rPr>
          <w:rFonts w:hint="eastAsia" w:ascii="宋体" w:hAnsi="宋体" w:cs="宋体"/>
          <w:strike/>
          <w:color w:val="auto"/>
          <w:highlight w:val="none"/>
        </w:rPr>
        <w:t>、………</w:t>
      </w:r>
      <w:bookmarkEnd w:id="887"/>
    </w:p>
    <w:p>
      <w:pPr>
        <w:spacing w:line="336" w:lineRule="auto"/>
        <w:ind w:firstLine="525" w:firstLineChars="250"/>
        <w:rPr>
          <w:rFonts w:ascii="宋体" w:hAnsi="宋体" w:cs="宋体"/>
          <w:strike/>
          <w:color w:val="auto"/>
          <w:highlight w:val="none"/>
        </w:rPr>
      </w:pPr>
      <w:bookmarkStart w:id="888" w:name="_Toc221950261"/>
      <w:r>
        <w:rPr>
          <w:rFonts w:hint="eastAsia" w:cs="宋体"/>
          <w:strike/>
          <w:color w:val="auto"/>
          <w:highlight w:val="none"/>
        </w:rPr>
        <w:t>2</w:t>
      </w:r>
      <w:r>
        <w:rPr>
          <w:rFonts w:hint="eastAsia" w:ascii="宋体" w:hAnsi="宋体" w:cs="宋体"/>
          <w:strike/>
          <w:color w:val="auto"/>
          <w:highlight w:val="none"/>
        </w:rPr>
        <w:t>、………</w:t>
      </w:r>
      <w:bookmarkEnd w:id="888"/>
    </w:p>
    <w:p>
      <w:pPr>
        <w:spacing w:line="336" w:lineRule="auto"/>
        <w:ind w:firstLine="525" w:firstLineChars="250"/>
        <w:rPr>
          <w:rFonts w:ascii="宋体" w:hAnsi="宋体" w:cs="宋体"/>
          <w:strike/>
          <w:color w:val="auto"/>
          <w:highlight w:val="none"/>
        </w:rPr>
      </w:pPr>
      <w:r>
        <w:rPr>
          <w:rFonts w:hint="eastAsia" w:ascii="宋体" w:hAnsi="宋体" w:cs="宋体"/>
          <w:strike/>
          <w:color w:val="auto"/>
          <w:highlight w:val="none"/>
        </w:rPr>
        <w:t>………</w:t>
      </w: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ind w:left="3360" w:leftChars="1600"/>
        <w:jc w:val="center"/>
        <w:rPr>
          <w:rFonts w:ascii="宋体" w:hAnsi="宋体" w:cs="宋体"/>
          <w:strike/>
          <w:color w:val="auto"/>
          <w:highlight w:val="none"/>
        </w:rPr>
      </w:pPr>
      <w:bookmarkStart w:id="889" w:name="_Toc221950262"/>
      <w:r>
        <w:rPr>
          <w:rFonts w:hint="eastAsia" w:ascii="宋体" w:hAnsi="宋体" w:cs="宋体"/>
          <w:strike/>
          <w:color w:val="auto"/>
          <w:highlight w:val="none"/>
        </w:rPr>
        <w:t>投标人：（盖单位章）</w:t>
      </w:r>
      <w:bookmarkEnd w:id="889"/>
    </w:p>
    <w:p>
      <w:pPr>
        <w:spacing w:line="336" w:lineRule="auto"/>
        <w:ind w:left="3360" w:leftChars="1600"/>
        <w:jc w:val="center"/>
        <w:rPr>
          <w:rFonts w:ascii="宋体" w:hAnsi="宋体" w:cs="宋体"/>
          <w:strike/>
          <w:color w:val="auto"/>
          <w:highlight w:val="none"/>
        </w:rPr>
      </w:pPr>
    </w:p>
    <w:p>
      <w:pPr>
        <w:spacing w:line="336" w:lineRule="auto"/>
        <w:ind w:left="3360" w:leftChars="1600"/>
        <w:jc w:val="center"/>
        <w:rPr>
          <w:rFonts w:ascii="宋体" w:hAnsi="宋体" w:cs="宋体"/>
          <w:strike/>
          <w:color w:val="auto"/>
          <w:highlight w:val="none"/>
        </w:rPr>
      </w:pPr>
      <w:bookmarkStart w:id="890" w:name="_Toc221950263"/>
      <w:r>
        <w:rPr>
          <w:rFonts w:hint="eastAsia" w:ascii="宋体" w:hAnsi="宋体" w:cs="宋体"/>
          <w:strike/>
          <w:color w:val="auto"/>
          <w:highlight w:val="none"/>
        </w:rPr>
        <w:t>年  月  日</w:t>
      </w:r>
      <w:bookmarkEnd w:id="890"/>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sectPr>
          <w:pgSz w:w="11906" w:h="16838"/>
          <w:pgMar w:top="2098" w:right="1446" w:bottom="1984" w:left="1446" w:header="851" w:footer="1446" w:gutter="0"/>
          <w:cols w:space="0" w:num="1"/>
          <w:docGrid w:linePitch="312" w:charSpace="0"/>
        </w:sectPr>
      </w:pPr>
      <w:bookmarkStart w:id="891" w:name="_Toc221950264"/>
      <w:r>
        <w:rPr>
          <w:rFonts w:hint="eastAsia" w:asciiTheme="minorEastAsia" w:hAnsiTheme="minorEastAsia" w:eastAsiaTheme="minorEastAsia" w:cstheme="minorEastAsia"/>
          <w:strike/>
          <w:color w:val="auto"/>
          <w:highlight w:val="none"/>
        </w:rPr>
        <w:t>备注:</w:t>
      </w:r>
      <w:bookmarkEnd w:id="891"/>
      <w:r>
        <w:rPr>
          <w:rFonts w:hint="eastAsia" w:asciiTheme="minorEastAsia" w:hAnsiTheme="minorEastAsia" w:eastAsiaTheme="minorEastAsia" w:cstheme="minorEastAsia"/>
          <w:strike/>
          <w:color w:val="auto"/>
          <w:highlight w:val="none"/>
        </w:rPr>
        <w:t>投标人要求招标人澄清招标文件有关问题时，适用于本格式。</w:t>
      </w:r>
    </w:p>
    <w:p>
      <w:pPr>
        <w:pStyle w:val="4"/>
        <w:keepNext w:val="0"/>
        <w:keepLines w:val="0"/>
        <w:spacing w:line="336" w:lineRule="auto"/>
        <w:rPr>
          <w:rFonts w:ascii="黑体" w:hAnsi="黑体" w:eastAsia="黑体" w:cs="黑体"/>
          <w:b w:val="0"/>
          <w:strike/>
          <w:color w:val="auto"/>
          <w:highlight w:val="none"/>
        </w:rPr>
      </w:pPr>
      <w:bookmarkStart w:id="892" w:name="_Toc221950265"/>
      <w:bookmarkStart w:id="893" w:name="_Toc387753568"/>
      <w:bookmarkStart w:id="894" w:name="_Toc8304"/>
      <w:bookmarkStart w:id="895" w:name="_Toc2102797774"/>
      <w:bookmarkStart w:id="896" w:name="_Toc5114"/>
      <w:bookmarkStart w:id="897" w:name="_Toc8275"/>
      <w:bookmarkStart w:id="898" w:name="_Toc25905"/>
      <w:bookmarkStart w:id="899" w:name="_Toc1847219576"/>
      <w:bookmarkStart w:id="900" w:name="_Toc5081"/>
      <w:bookmarkStart w:id="901" w:name="_Toc13577"/>
      <w:r>
        <w:rPr>
          <w:rFonts w:hint="eastAsia" w:ascii="黑体" w:hAnsi="黑体" w:eastAsia="黑体" w:cs="黑体"/>
          <w:b w:val="0"/>
          <w:strike/>
          <w:color w:val="auto"/>
          <w:highlight w:val="none"/>
        </w:rPr>
        <w:t>附表三：</w:t>
      </w:r>
      <w:bookmarkEnd w:id="892"/>
      <w:bookmarkEnd w:id="893"/>
      <w:bookmarkStart w:id="902" w:name="_Toc221950266"/>
      <w:r>
        <w:rPr>
          <w:rFonts w:hint="eastAsia" w:ascii="黑体" w:hAnsi="黑体" w:eastAsia="黑体" w:cs="黑体"/>
          <w:b w:val="0"/>
          <w:strike/>
          <w:color w:val="auto"/>
          <w:highlight w:val="none"/>
        </w:rPr>
        <w:t>招标文件澄清通知</w:t>
      </w:r>
      <w:bookmarkEnd w:id="894"/>
      <w:bookmarkEnd w:id="895"/>
      <w:bookmarkEnd w:id="896"/>
      <w:bookmarkEnd w:id="897"/>
      <w:bookmarkEnd w:id="898"/>
      <w:bookmarkEnd w:id="899"/>
      <w:bookmarkEnd w:id="900"/>
      <w:bookmarkEnd w:id="901"/>
      <w:bookmarkEnd w:id="902"/>
    </w:p>
    <w:p>
      <w:pPr>
        <w:spacing w:line="336" w:lineRule="auto"/>
        <w:rPr>
          <w:rFonts w:ascii="黑体" w:eastAsia="黑体"/>
          <w:strike/>
          <w:color w:val="auto"/>
          <w:sz w:val="28"/>
          <w:szCs w:val="28"/>
          <w:highlight w:val="none"/>
        </w:rPr>
      </w:pPr>
    </w:p>
    <w:p>
      <w:pPr>
        <w:spacing w:line="336" w:lineRule="auto"/>
        <w:rPr>
          <w:rFonts w:ascii="黑体" w:eastAsia="黑体"/>
          <w:strike/>
          <w:color w:val="auto"/>
          <w:sz w:val="28"/>
          <w:szCs w:val="28"/>
          <w:highlight w:val="none"/>
        </w:rPr>
      </w:pPr>
    </w:p>
    <w:p>
      <w:pPr>
        <w:spacing w:line="336" w:lineRule="auto"/>
        <w:jc w:val="center"/>
        <w:rPr>
          <w:strike/>
          <w:color w:val="auto"/>
          <w:highlight w:val="none"/>
        </w:rPr>
      </w:pPr>
      <w:r>
        <w:rPr>
          <w:rFonts w:hint="eastAsia" w:ascii="黑体" w:eastAsia="黑体"/>
          <w:strike/>
          <w:color w:val="auto"/>
          <w:sz w:val="28"/>
          <w:szCs w:val="28"/>
          <w:highlight w:val="none"/>
        </w:rPr>
        <w:t>招标文件澄清通知</w:t>
      </w:r>
      <w:r>
        <w:rPr>
          <w:rStyle w:val="31"/>
          <w:rFonts w:hint="eastAsia" w:ascii="黑体" w:eastAsia="黑体"/>
          <w:strike/>
          <w:color w:val="auto"/>
          <w:sz w:val="28"/>
          <w:szCs w:val="28"/>
          <w:highlight w:val="none"/>
        </w:rPr>
        <w:footnoteReference w:id="7"/>
      </w:r>
    </w:p>
    <w:p>
      <w:pPr>
        <w:spacing w:line="336" w:lineRule="auto"/>
        <w:rPr>
          <w:rFonts w:asciiTheme="minorEastAsia" w:hAnsiTheme="minorEastAsia" w:eastAsiaTheme="minorEastAsia" w:cstheme="minorEastAsia"/>
          <w:strike/>
          <w:color w:val="auto"/>
          <w:highlight w:val="none"/>
        </w:rPr>
      </w:pPr>
    </w:p>
    <w:p>
      <w:pPr>
        <w:spacing w:line="336" w:lineRule="auto"/>
        <w:ind w:firstLine="3360" w:firstLineChars="1600"/>
        <w:rPr>
          <w:rFonts w:asciiTheme="minorEastAsia" w:hAnsiTheme="minorEastAsia" w:eastAsiaTheme="minorEastAsia" w:cstheme="minorEastAsia"/>
          <w:strike/>
          <w:color w:val="auto"/>
          <w:highlight w:val="none"/>
        </w:rPr>
      </w:pPr>
      <w:bookmarkStart w:id="903" w:name="_Toc221950267"/>
      <w:r>
        <w:rPr>
          <w:rFonts w:hint="eastAsia" w:asciiTheme="minorEastAsia" w:hAnsiTheme="minorEastAsia" w:eastAsiaTheme="minorEastAsia" w:cstheme="minorEastAsia"/>
          <w:strike/>
          <w:color w:val="auto"/>
          <w:highlight w:val="none"/>
        </w:rPr>
        <w:t>编号：</w:t>
      </w:r>
      <w:bookmarkEnd w:id="903"/>
    </w:p>
    <w:p>
      <w:pPr>
        <w:spacing w:line="336" w:lineRule="auto"/>
        <w:rPr>
          <w:rFonts w:asciiTheme="minorEastAsia" w:hAnsiTheme="minorEastAsia" w:eastAsiaTheme="minorEastAsia" w:cstheme="minorEastAsia"/>
          <w:strike/>
          <w:color w:val="auto"/>
          <w:highlight w:val="none"/>
          <w:u w:val="single"/>
        </w:rPr>
      </w:pPr>
      <w:bookmarkStart w:id="904" w:name="_Toc221950268"/>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投标人名称）</w:t>
      </w:r>
      <w:bookmarkEnd w:id="904"/>
      <w:r>
        <w:rPr>
          <w:rFonts w:hint="eastAsia" w:asciiTheme="minorEastAsia" w:hAnsiTheme="minorEastAsia" w:eastAsiaTheme="minorEastAsia" w:cstheme="minorEastAsia"/>
          <w:strike/>
          <w:color w:val="auto"/>
          <w:highlight w:val="none"/>
        </w:rPr>
        <w:t>：</w:t>
      </w:r>
    </w:p>
    <w:p>
      <w:pPr>
        <w:spacing w:line="336" w:lineRule="auto"/>
        <w:ind w:firstLine="525" w:firstLineChars="250"/>
        <w:rPr>
          <w:rFonts w:asciiTheme="minorEastAsia" w:hAnsiTheme="minorEastAsia" w:eastAsiaTheme="minorEastAsia" w:cstheme="minorEastAsia"/>
          <w:strike/>
          <w:color w:val="auto"/>
          <w:highlight w:val="none"/>
        </w:rPr>
      </w:pPr>
      <w:bookmarkStart w:id="905" w:name="_Toc221950269"/>
      <w:r>
        <w:rPr>
          <w:rFonts w:hint="eastAsia" w:asciiTheme="minorEastAsia" w:hAnsiTheme="minorEastAsia" w:eastAsiaTheme="minorEastAsia" w:cstheme="minorEastAsia"/>
          <w:strike/>
          <w:color w:val="auto"/>
          <w:highlight w:val="none"/>
        </w:rPr>
        <w:t xml:space="preserve">经研究，对 </w:t>
      </w: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（项目名称</w:t>
      </w:r>
      <w:r>
        <w:rPr>
          <w:rFonts w:hint="eastAsia" w:asciiTheme="minorEastAsia" w:hAnsiTheme="minorEastAsia" w:eastAsiaTheme="minorEastAsia" w:cstheme="minorEastAsia"/>
          <w:strike/>
          <w:color w:val="auto"/>
          <w:highlight w:val="none"/>
          <w:u w:val="single"/>
        </w:rPr>
        <w:t xml:space="preserve">）         </w:t>
      </w:r>
      <w:r>
        <w:rPr>
          <w:rFonts w:hint="eastAsia" w:asciiTheme="minorEastAsia" w:hAnsiTheme="minorEastAsia" w:eastAsiaTheme="minorEastAsia" w:cstheme="minorEastAsia"/>
          <w:strike/>
          <w:color w:val="auto"/>
          <w:highlight w:val="none"/>
        </w:rPr>
        <w:t>（标段名称）招标文件，作如下澄清：</w:t>
      </w:r>
      <w:bookmarkEnd w:id="905"/>
    </w:p>
    <w:p>
      <w:pPr>
        <w:spacing w:line="336" w:lineRule="auto"/>
        <w:ind w:firstLine="525" w:firstLineChars="250"/>
        <w:rPr>
          <w:rFonts w:asciiTheme="minorEastAsia" w:hAnsiTheme="minorEastAsia" w:eastAsiaTheme="minorEastAsia" w:cstheme="minorEastAsia"/>
          <w:strike/>
          <w:color w:val="auto"/>
          <w:highlight w:val="none"/>
        </w:rPr>
      </w:pPr>
      <w:bookmarkStart w:id="906" w:name="_Toc221950270"/>
      <w:r>
        <w:rPr>
          <w:rFonts w:hint="eastAsia" w:eastAsiaTheme="minorEastAsia" w:cstheme="minorEastAsia"/>
          <w:strike/>
          <w:color w:val="auto"/>
          <w:highlight w:val="none"/>
        </w:rPr>
        <w:t>1</w:t>
      </w:r>
      <w:r>
        <w:rPr>
          <w:rFonts w:hint="eastAsia" w:asciiTheme="minorEastAsia" w:hAnsiTheme="minorEastAsia" w:eastAsiaTheme="minorEastAsia" w:cstheme="minorEastAsia"/>
          <w:strike/>
          <w:color w:val="auto"/>
          <w:highlight w:val="none"/>
        </w:rPr>
        <w:t>、………</w:t>
      </w:r>
      <w:bookmarkEnd w:id="906"/>
    </w:p>
    <w:p>
      <w:pPr>
        <w:spacing w:line="336" w:lineRule="auto"/>
        <w:ind w:firstLine="525" w:firstLineChars="250"/>
        <w:rPr>
          <w:rFonts w:asciiTheme="minorEastAsia" w:hAnsiTheme="minorEastAsia" w:eastAsiaTheme="minorEastAsia" w:cstheme="minorEastAsia"/>
          <w:strike/>
          <w:color w:val="auto"/>
          <w:highlight w:val="none"/>
        </w:rPr>
      </w:pPr>
      <w:bookmarkStart w:id="907" w:name="_Toc221950271"/>
      <w:r>
        <w:rPr>
          <w:rFonts w:hint="eastAsia" w:eastAsiaTheme="minorEastAsia" w:cstheme="minorEastAsia"/>
          <w:strike/>
          <w:color w:val="auto"/>
          <w:highlight w:val="none"/>
        </w:rPr>
        <w:t>2</w:t>
      </w:r>
      <w:r>
        <w:rPr>
          <w:rFonts w:hint="eastAsia" w:asciiTheme="minorEastAsia" w:hAnsiTheme="minorEastAsia" w:eastAsiaTheme="minorEastAsia" w:cstheme="minorEastAsia"/>
          <w:strike/>
          <w:color w:val="auto"/>
          <w:highlight w:val="none"/>
        </w:rPr>
        <w:t>、………</w:t>
      </w:r>
      <w:bookmarkEnd w:id="907"/>
    </w:p>
    <w:p>
      <w:pPr>
        <w:spacing w:line="336" w:lineRule="auto"/>
        <w:ind w:firstLine="525" w:firstLineChars="250"/>
        <w:rPr>
          <w:rFonts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strike/>
          <w:color w:val="auto"/>
          <w:highlight w:val="none"/>
        </w:rPr>
        <w:t>………</w:t>
      </w: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ind w:left="3360" w:leftChars="1600"/>
        <w:jc w:val="center"/>
        <w:rPr>
          <w:rFonts w:asciiTheme="minorEastAsia" w:hAnsiTheme="minorEastAsia" w:eastAsiaTheme="minorEastAsia" w:cstheme="minorEastAsia"/>
          <w:strike/>
          <w:color w:val="auto"/>
          <w:highlight w:val="none"/>
          <w:u w:val="single"/>
        </w:rPr>
      </w:pPr>
      <w:bookmarkStart w:id="908" w:name="_Toc221950273"/>
      <w:r>
        <w:rPr>
          <w:rFonts w:hint="eastAsia" w:asciiTheme="minorEastAsia" w:hAnsiTheme="minorEastAsia" w:eastAsiaTheme="minorEastAsia" w:cstheme="minorEastAsia"/>
          <w:strike/>
          <w:color w:val="auto"/>
          <w:highlight w:val="none"/>
        </w:rPr>
        <w:t>招标人：（盖单位章）</w:t>
      </w:r>
      <w:bookmarkEnd w:id="908"/>
    </w:p>
    <w:p>
      <w:pPr>
        <w:spacing w:line="336" w:lineRule="auto"/>
        <w:ind w:left="3360" w:leftChars="1600"/>
        <w:jc w:val="center"/>
        <w:rPr>
          <w:rFonts w:asciiTheme="minorEastAsia" w:hAnsiTheme="minorEastAsia" w:eastAsiaTheme="minorEastAsia" w:cstheme="minorEastAsia"/>
          <w:strike/>
          <w:color w:val="auto"/>
          <w:highlight w:val="none"/>
        </w:rPr>
      </w:pPr>
    </w:p>
    <w:p>
      <w:pPr>
        <w:spacing w:line="336" w:lineRule="auto"/>
        <w:ind w:left="3360" w:leftChars="1600"/>
        <w:jc w:val="center"/>
        <w:rPr>
          <w:rFonts w:asciiTheme="minorEastAsia" w:hAnsiTheme="minorEastAsia" w:eastAsiaTheme="minorEastAsia" w:cstheme="minorEastAsia"/>
          <w:strike/>
          <w:color w:val="auto"/>
          <w:highlight w:val="none"/>
        </w:rPr>
      </w:pPr>
      <w:bookmarkStart w:id="909" w:name="_Toc221950274"/>
      <w:r>
        <w:rPr>
          <w:rFonts w:hint="eastAsia" w:asciiTheme="minorEastAsia" w:hAnsiTheme="minorEastAsia" w:eastAsiaTheme="minorEastAsia" w:cstheme="minorEastAsia"/>
          <w:strike/>
          <w:color w:val="auto"/>
          <w:highlight w:val="none"/>
        </w:rPr>
        <w:t>年  月  日</w:t>
      </w:r>
      <w:bookmarkEnd w:id="909"/>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Theme="minorEastAsia" w:hAnsiTheme="minorEastAsia" w:eastAsiaTheme="minorEastAsia" w:cstheme="minorEastAsia"/>
          <w:strike/>
          <w:color w:val="auto"/>
          <w:highlight w:val="none"/>
        </w:rPr>
      </w:pPr>
      <w:bookmarkStart w:id="910" w:name="_Toc221950275"/>
    </w:p>
    <w:p>
      <w:pPr>
        <w:spacing w:line="336" w:lineRule="auto"/>
        <w:rPr>
          <w:rFonts w:asciiTheme="minorEastAsia" w:hAnsiTheme="minorEastAsia" w:eastAsiaTheme="minorEastAsia" w:cstheme="minorEastAsia"/>
          <w:strike/>
          <w:color w:val="auto"/>
          <w:highlight w:val="none"/>
        </w:rPr>
      </w:pPr>
    </w:p>
    <w:p>
      <w:pPr>
        <w:spacing w:line="336" w:lineRule="auto"/>
        <w:ind w:left="525" w:hanging="525" w:hangingChars="250"/>
        <w:rPr>
          <w:rFonts w:asciiTheme="minorEastAsia" w:hAnsiTheme="minorEastAsia" w:eastAsiaTheme="minorEastAsia" w:cstheme="minorEastAsia"/>
          <w:strike/>
          <w:color w:val="auto"/>
          <w:highlight w:val="none"/>
        </w:rPr>
        <w:sectPr>
          <w:pgSz w:w="11906" w:h="16838"/>
          <w:pgMar w:top="2098" w:right="1446" w:bottom="1984" w:left="1446" w:header="851" w:footer="1446" w:gutter="0"/>
          <w:cols w:space="0" w:num="1"/>
          <w:docGrid w:linePitch="312" w:charSpace="0"/>
        </w:sectPr>
      </w:pPr>
      <w:r>
        <w:rPr>
          <w:rFonts w:hint="eastAsia" w:asciiTheme="minorEastAsia" w:hAnsiTheme="minorEastAsia" w:eastAsiaTheme="minorEastAsia" w:cstheme="minorEastAsia"/>
          <w:strike/>
          <w:color w:val="auto"/>
          <w:highlight w:val="none"/>
        </w:rPr>
        <w:t>备注:</w:t>
      </w:r>
      <w:bookmarkEnd w:id="910"/>
      <w:r>
        <w:rPr>
          <w:rFonts w:hint="eastAsia" w:asciiTheme="minorEastAsia" w:hAnsiTheme="minorEastAsia" w:eastAsiaTheme="minorEastAsia" w:cstheme="minorEastAsia"/>
          <w:strike/>
          <w:color w:val="auto"/>
          <w:highlight w:val="none"/>
        </w:rPr>
        <w:t>招标人对招标文件有关问题澄清时，适用于本格式。招标人可根据需要将附件三与附件四内容合并发出。</w:t>
      </w:r>
    </w:p>
    <w:p>
      <w:pPr>
        <w:pStyle w:val="4"/>
        <w:keepNext w:val="0"/>
        <w:keepLines w:val="0"/>
        <w:spacing w:line="336" w:lineRule="auto"/>
        <w:rPr>
          <w:rFonts w:ascii="黑体" w:hAnsi="黑体" w:eastAsia="黑体" w:cs="黑体"/>
          <w:b w:val="0"/>
          <w:strike/>
          <w:color w:val="auto"/>
          <w:highlight w:val="none"/>
        </w:rPr>
      </w:pPr>
      <w:bookmarkStart w:id="911" w:name="_Toc221950276"/>
      <w:bookmarkStart w:id="912" w:name="_Toc387753569"/>
      <w:bookmarkStart w:id="913" w:name="_Toc2716"/>
      <w:bookmarkStart w:id="914" w:name="_Toc1748086507"/>
      <w:bookmarkStart w:id="915" w:name="_Toc16618"/>
      <w:bookmarkStart w:id="916" w:name="_Toc622483252"/>
      <w:bookmarkStart w:id="917" w:name="_Toc4049"/>
      <w:bookmarkStart w:id="918" w:name="_Toc601"/>
      <w:bookmarkStart w:id="919" w:name="_Toc30112"/>
      <w:bookmarkStart w:id="920" w:name="_Toc8724"/>
      <w:r>
        <w:rPr>
          <w:rFonts w:hint="eastAsia" w:ascii="黑体" w:hAnsi="黑体" w:eastAsia="黑体" w:cs="黑体"/>
          <w:b w:val="0"/>
          <w:strike/>
          <w:color w:val="auto"/>
          <w:highlight w:val="none"/>
        </w:rPr>
        <w:t>附表四：</w:t>
      </w:r>
      <w:bookmarkEnd w:id="911"/>
      <w:bookmarkEnd w:id="912"/>
      <w:r>
        <w:rPr>
          <w:rFonts w:hint="eastAsia" w:ascii="黑体" w:hAnsi="黑体" w:eastAsia="黑体" w:cs="黑体"/>
          <w:b w:val="0"/>
          <w:strike/>
          <w:color w:val="auto"/>
          <w:highlight w:val="none"/>
        </w:rPr>
        <w:t>招标文件修改通知</w:t>
      </w:r>
      <w:bookmarkEnd w:id="913"/>
      <w:bookmarkEnd w:id="914"/>
      <w:bookmarkEnd w:id="915"/>
      <w:bookmarkEnd w:id="916"/>
      <w:bookmarkEnd w:id="917"/>
      <w:bookmarkEnd w:id="918"/>
      <w:bookmarkEnd w:id="919"/>
      <w:bookmarkEnd w:id="920"/>
    </w:p>
    <w:p>
      <w:pPr>
        <w:spacing w:line="336" w:lineRule="auto"/>
        <w:rPr>
          <w:rFonts w:ascii="黑体" w:eastAsia="黑体"/>
          <w:strike/>
          <w:color w:val="auto"/>
          <w:sz w:val="28"/>
          <w:szCs w:val="28"/>
          <w:highlight w:val="none"/>
        </w:rPr>
      </w:pPr>
    </w:p>
    <w:p>
      <w:pPr>
        <w:spacing w:line="336" w:lineRule="auto"/>
        <w:rPr>
          <w:rFonts w:ascii="黑体" w:eastAsia="黑体"/>
          <w:strike/>
          <w:color w:val="auto"/>
          <w:sz w:val="28"/>
          <w:szCs w:val="28"/>
          <w:highlight w:val="none"/>
        </w:rPr>
      </w:pPr>
    </w:p>
    <w:p>
      <w:pPr>
        <w:spacing w:line="336" w:lineRule="auto"/>
        <w:jc w:val="center"/>
        <w:rPr>
          <w:strike/>
          <w:color w:val="auto"/>
          <w:highlight w:val="none"/>
        </w:rPr>
      </w:pPr>
      <w:r>
        <w:rPr>
          <w:rFonts w:hint="eastAsia" w:ascii="黑体" w:eastAsia="黑体"/>
          <w:strike/>
          <w:color w:val="auto"/>
          <w:sz w:val="28"/>
          <w:szCs w:val="28"/>
          <w:highlight w:val="none"/>
        </w:rPr>
        <w:t>招标文件修改通知</w:t>
      </w:r>
      <w:r>
        <w:rPr>
          <w:rStyle w:val="31"/>
          <w:rFonts w:hint="eastAsia" w:ascii="黑体" w:eastAsia="黑体"/>
          <w:strike/>
          <w:color w:val="auto"/>
          <w:sz w:val="28"/>
          <w:szCs w:val="28"/>
          <w:highlight w:val="none"/>
        </w:rPr>
        <w:footnoteReference w:id="8"/>
      </w:r>
    </w:p>
    <w:p>
      <w:pPr>
        <w:spacing w:line="336" w:lineRule="auto"/>
        <w:rPr>
          <w:rFonts w:ascii="宋体" w:hAnsi="宋体" w:cs="宋体"/>
          <w:strike/>
          <w:color w:val="auto"/>
          <w:highlight w:val="none"/>
        </w:rPr>
      </w:pPr>
    </w:p>
    <w:p>
      <w:pPr>
        <w:spacing w:line="336" w:lineRule="auto"/>
        <w:ind w:firstLine="3360" w:firstLineChars="1600"/>
        <w:rPr>
          <w:rFonts w:ascii="宋体" w:hAnsi="宋体" w:cs="宋体"/>
          <w:strike/>
          <w:color w:val="auto"/>
          <w:highlight w:val="none"/>
        </w:rPr>
      </w:pPr>
      <w:r>
        <w:rPr>
          <w:rFonts w:hint="eastAsia" w:ascii="宋体" w:hAnsi="宋体" w:cs="宋体"/>
          <w:strike/>
          <w:color w:val="auto"/>
          <w:highlight w:val="none"/>
        </w:rPr>
        <w:t>编号：</w:t>
      </w:r>
    </w:p>
    <w:p>
      <w:pPr>
        <w:spacing w:line="336" w:lineRule="auto"/>
        <w:rPr>
          <w:rFonts w:ascii="宋体" w:hAnsi="宋体" w:cs="宋体"/>
          <w:strike/>
          <w:color w:val="auto"/>
          <w:highlight w:val="none"/>
          <w:u w:val="single"/>
        </w:rPr>
      </w:pPr>
      <w:r>
        <w:rPr>
          <w:rFonts w:hint="eastAsia" w:ascii="宋体" w:hAnsi="宋体" w:cs="宋体"/>
          <w:strike/>
          <w:color w:val="auto"/>
          <w:highlight w:val="none"/>
          <w:u w:val="single"/>
        </w:rPr>
        <w:t xml:space="preserve">          （</w:t>
      </w:r>
      <w:r>
        <w:rPr>
          <w:rFonts w:hint="eastAsia" w:ascii="宋体" w:hAnsi="宋体" w:cs="宋体"/>
          <w:strike/>
          <w:color w:val="auto"/>
          <w:highlight w:val="none"/>
        </w:rPr>
        <w:t>投标人名称）：</w:t>
      </w:r>
    </w:p>
    <w:p>
      <w:pPr>
        <w:spacing w:line="336" w:lineRule="auto"/>
        <w:ind w:firstLine="525" w:firstLineChars="250"/>
        <w:rPr>
          <w:rFonts w:ascii="宋体" w:hAnsi="宋体" w:cs="宋体"/>
          <w:strike/>
          <w:color w:val="auto"/>
          <w:highlight w:val="none"/>
        </w:rPr>
      </w:pPr>
      <w:r>
        <w:rPr>
          <w:rFonts w:hint="eastAsia" w:ascii="宋体" w:hAnsi="宋体" w:cs="宋体"/>
          <w:strike/>
          <w:color w:val="auto"/>
          <w:highlight w:val="none"/>
        </w:rPr>
        <w:t xml:space="preserve">经研究，对 </w:t>
      </w:r>
      <w:r>
        <w:rPr>
          <w:rFonts w:hint="eastAsia"/>
          <w:strike/>
          <w:color w:val="auto"/>
          <w:highlight w:val="none"/>
          <w:u w:val="single"/>
        </w:rPr>
        <w:t xml:space="preserve">     </w:t>
      </w:r>
      <w:r>
        <w:rPr>
          <w:rFonts w:hint="eastAsia" w:ascii="宋体" w:hAnsi="宋体" w:cs="宋体"/>
          <w:strike/>
          <w:color w:val="auto"/>
          <w:highlight w:val="none"/>
        </w:rPr>
        <w:t>（项目名称</w:t>
      </w:r>
      <w:r>
        <w:rPr>
          <w:rFonts w:hint="eastAsia" w:ascii="宋体" w:hAnsi="宋体" w:cs="宋体"/>
          <w:strike/>
          <w:color w:val="auto"/>
          <w:highlight w:val="none"/>
          <w:u w:val="single"/>
        </w:rPr>
        <w:t xml:space="preserve">）         </w:t>
      </w:r>
      <w:r>
        <w:rPr>
          <w:rFonts w:hint="eastAsia" w:ascii="宋体" w:hAnsi="宋体" w:cs="宋体"/>
          <w:strike/>
          <w:color w:val="auto"/>
          <w:highlight w:val="none"/>
        </w:rPr>
        <w:t>（标段名称）招标文件，作如下修改：</w:t>
      </w:r>
    </w:p>
    <w:p>
      <w:pPr>
        <w:spacing w:line="336" w:lineRule="auto"/>
        <w:ind w:firstLine="525" w:firstLineChars="250"/>
        <w:rPr>
          <w:rFonts w:ascii="宋体" w:hAnsi="宋体" w:cs="宋体"/>
          <w:strike/>
          <w:color w:val="auto"/>
          <w:highlight w:val="none"/>
        </w:rPr>
      </w:pPr>
      <w:r>
        <w:rPr>
          <w:rFonts w:hint="eastAsia" w:cs="宋体"/>
          <w:strike/>
          <w:color w:val="auto"/>
          <w:highlight w:val="none"/>
        </w:rPr>
        <w:t>1</w:t>
      </w:r>
      <w:r>
        <w:rPr>
          <w:rFonts w:hint="eastAsia" w:ascii="宋体" w:hAnsi="宋体" w:cs="宋体"/>
          <w:strike/>
          <w:color w:val="auto"/>
          <w:highlight w:val="none"/>
        </w:rPr>
        <w:t>、………</w:t>
      </w:r>
    </w:p>
    <w:p>
      <w:pPr>
        <w:spacing w:line="336" w:lineRule="auto"/>
        <w:ind w:firstLine="525" w:firstLineChars="250"/>
        <w:rPr>
          <w:rFonts w:ascii="宋体" w:hAnsi="宋体" w:cs="宋体"/>
          <w:strike/>
          <w:color w:val="auto"/>
          <w:highlight w:val="none"/>
        </w:rPr>
      </w:pPr>
      <w:r>
        <w:rPr>
          <w:rFonts w:hint="eastAsia" w:cs="宋体"/>
          <w:strike/>
          <w:color w:val="auto"/>
          <w:highlight w:val="none"/>
        </w:rPr>
        <w:t>2</w:t>
      </w:r>
      <w:r>
        <w:rPr>
          <w:rFonts w:hint="eastAsia" w:ascii="宋体" w:hAnsi="宋体" w:cs="宋体"/>
          <w:strike/>
          <w:color w:val="auto"/>
          <w:highlight w:val="none"/>
        </w:rPr>
        <w:t>、………</w:t>
      </w:r>
    </w:p>
    <w:p>
      <w:pPr>
        <w:spacing w:line="336" w:lineRule="auto"/>
        <w:ind w:firstLine="525" w:firstLineChars="250"/>
        <w:rPr>
          <w:rFonts w:ascii="宋体" w:hAnsi="宋体" w:cs="宋体"/>
          <w:strike/>
          <w:color w:val="auto"/>
          <w:highlight w:val="none"/>
        </w:rPr>
      </w:pPr>
      <w:r>
        <w:rPr>
          <w:rFonts w:hint="eastAsia" w:ascii="宋体" w:hAnsi="宋体" w:cs="宋体"/>
          <w:strike/>
          <w:color w:val="auto"/>
          <w:highlight w:val="none"/>
        </w:rPr>
        <w:t>………</w:t>
      </w: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ind w:left="3360" w:leftChars="1600"/>
        <w:jc w:val="center"/>
        <w:rPr>
          <w:rFonts w:ascii="宋体" w:hAnsi="宋体" w:cs="宋体"/>
          <w:strike/>
          <w:color w:val="auto"/>
          <w:highlight w:val="none"/>
          <w:u w:val="single"/>
        </w:rPr>
      </w:pPr>
      <w:r>
        <w:rPr>
          <w:rFonts w:hint="eastAsia" w:ascii="宋体" w:hAnsi="宋体" w:cs="宋体"/>
          <w:strike/>
          <w:color w:val="auto"/>
          <w:highlight w:val="none"/>
        </w:rPr>
        <w:t>招标人：（盖单位章）</w:t>
      </w:r>
    </w:p>
    <w:p>
      <w:pPr>
        <w:spacing w:line="336" w:lineRule="auto"/>
        <w:ind w:left="3360" w:leftChars="1600"/>
        <w:jc w:val="center"/>
        <w:rPr>
          <w:rFonts w:ascii="宋体" w:hAnsi="宋体" w:cs="宋体"/>
          <w:strike/>
          <w:color w:val="auto"/>
          <w:highlight w:val="none"/>
        </w:rPr>
      </w:pPr>
    </w:p>
    <w:p>
      <w:pPr>
        <w:spacing w:line="336" w:lineRule="auto"/>
        <w:ind w:left="3360" w:leftChars="1600"/>
        <w:jc w:val="center"/>
        <w:rPr>
          <w:rFonts w:ascii="宋体" w:hAnsi="宋体" w:cs="宋体"/>
          <w:strike/>
          <w:color w:val="auto"/>
          <w:highlight w:val="none"/>
        </w:rPr>
      </w:pPr>
      <w:r>
        <w:rPr>
          <w:rFonts w:hint="eastAsia" w:ascii="宋体" w:hAnsi="宋体" w:cs="宋体"/>
          <w:strike/>
          <w:color w:val="auto"/>
          <w:highlight w:val="none"/>
        </w:rPr>
        <w:t>年  月  日</w:t>
      </w:r>
    </w:p>
    <w:p>
      <w:pPr>
        <w:spacing w:line="336" w:lineRule="auto"/>
        <w:rPr>
          <w:rFonts w:ascii="宋体" w:hAnsi="宋体" w:cs="宋体"/>
          <w:strike/>
          <w:color w:val="auto"/>
          <w:highlight w:val="none"/>
        </w:rPr>
      </w:pPr>
    </w:p>
    <w:p>
      <w:pPr>
        <w:spacing w:line="336" w:lineRule="auto"/>
        <w:rPr>
          <w:rFonts w:ascii="宋体" w:hAnsi="宋体" w:cs="宋体"/>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pPr>
    </w:p>
    <w:p>
      <w:pPr>
        <w:spacing w:line="336" w:lineRule="auto"/>
        <w:rPr>
          <w:rFonts w:asciiTheme="minorEastAsia" w:hAnsiTheme="minorEastAsia" w:eastAsiaTheme="minorEastAsia" w:cstheme="minorEastAsia"/>
          <w:strike/>
          <w:color w:val="auto"/>
          <w:highlight w:val="none"/>
        </w:rPr>
        <w:sectPr>
          <w:pgSz w:w="11906" w:h="16838"/>
          <w:pgMar w:top="2098" w:right="1446" w:bottom="1984" w:left="1446" w:header="851" w:footer="1446" w:gutter="0"/>
          <w:cols w:space="0" w:num="1"/>
          <w:docGrid w:linePitch="312" w:charSpace="0"/>
        </w:sectPr>
      </w:pPr>
      <w:r>
        <w:rPr>
          <w:rFonts w:hint="eastAsia" w:asciiTheme="minorEastAsia" w:hAnsiTheme="minorEastAsia" w:eastAsiaTheme="minorEastAsia" w:cstheme="minorEastAsia"/>
          <w:strike/>
          <w:color w:val="auto"/>
          <w:highlight w:val="none"/>
        </w:rPr>
        <w:t>备注:招标人对招标文件修改时，适用于本格式。</w:t>
      </w:r>
    </w:p>
    <w:p>
      <w:pPr>
        <w:spacing w:line="336" w:lineRule="auto"/>
        <w:rPr>
          <w:rFonts w:ascii="黑体" w:hAnsi="黑体" w:eastAsia="黑体" w:cs="黑体"/>
          <w:bCs/>
          <w:strike/>
          <w:color w:val="auto"/>
          <w:sz w:val="24"/>
          <w:highlight w:val="none"/>
        </w:rPr>
      </w:pPr>
      <w:bookmarkStart w:id="921" w:name="_Toc387753570"/>
      <w:bookmarkStart w:id="922" w:name="_Toc221950298"/>
      <w:bookmarkStart w:id="923" w:name="_Toc7572"/>
      <w:bookmarkStart w:id="924" w:name="_Toc32481"/>
      <w:bookmarkStart w:id="925" w:name="_Toc106533956"/>
      <w:bookmarkStart w:id="926" w:name="_Toc24193"/>
      <w:bookmarkStart w:id="927" w:name="_Toc460820491"/>
      <w:bookmarkStart w:id="928" w:name="_Toc16059"/>
      <w:bookmarkStart w:id="929" w:name="_Toc6876"/>
      <w:bookmarkStart w:id="930" w:name="_Toc17636"/>
      <w:r>
        <w:rPr>
          <w:rFonts w:hint="eastAsia" w:ascii="黑体" w:hAnsi="黑体" w:eastAsia="黑体" w:cs="黑体"/>
          <w:bCs/>
          <w:strike/>
          <w:color w:val="auto"/>
          <w:sz w:val="24"/>
          <w:highlight w:val="none"/>
        </w:rPr>
        <w:t>附表五：</w:t>
      </w:r>
      <w:bookmarkEnd w:id="817"/>
      <w:bookmarkEnd w:id="818"/>
      <w:bookmarkEnd w:id="819"/>
      <w:bookmarkEnd w:id="921"/>
      <w:bookmarkEnd w:id="922"/>
      <w:r>
        <w:rPr>
          <w:rFonts w:hint="eastAsia" w:ascii="黑体" w:hAnsi="黑体" w:eastAsia="黑体" w:cs="黑体"/>
          <w:bCs/>
          <w:strike/>
          <w:color w:val="auto"/>
          <w:sz w:val="24"/>
          <w:highlight w:val="none"/>
        </w:rPr>
        <w:t>投标文件递交签收凭证</w:t>
      </w:r>
      <w:bookmarkEnd w:id="923"/>
      <w:bookmarkEnd w:id="924"/>
      <w:bookmarkEnd w:id="925"/>
      <w:bookmarkEnd w:id="926"/>
      <w:bookmarkEnd w:id="927"/>
      <w:bookmarkEnd w:id="928"/>
      <w:bookmarkEnd w:id="929"/>
      <w:bookmarkEnd w:id="930"/>
    </w:p>
    <w:p>
      <w:pPr>
        <w:spacing w:line="336" w:lineRule="auto"/>
        <w:rPr>
          <w:rFonts w:ascii="黑体" w:hAnsi="黑体" w:eastAsia="黑体" w:cs="黑体"/>
          <w:bCs/>
          <w:strike/>
          <w:color w:val="auto"/>
          <w:sz w:val="24"/>
          <w:highlight w:val="none"/>
        </w:rPr>
      </w:pPr>
    </w:p>
    <w:p>
      <w:pPr>
        <w:spacing w:line="336" w:lineRule="auto"/>
        <w:rPr>
          <w:rFonts w:ascii="黑体" w:hAnsi="黑体" w:eastAsia="黑体" w:cs="黑体"/>
          <w:bCs/>
          <w:strike/>
          <w:color w:val="auto"/>
          <w:sz w:val="24"/>
          <w:highlight w:val="none"/>
        </w:rPr>
      </w:pPr>
    </w:p>
    <w:p>
      <w:pPr>
        <w:spacing w:line="336" w:lineRule="auto"/>
        <w:jc w:val="center"/>
        <w:rPr>
          <w:rFonts w:ascii="黑体" w:eastAsia="黑体"/>
          <w:strike/>
          <w:color w:val="auto"/>
          <w:sz w:val="28"/>
          <w:szCs w:val="28"/>
          <w:highlight w:val="none"/>
        </w:rPr>
      </w:pPr>
      <w:r>
        <w:rPr>
          <w:rFonts w:hint="eastAsia" w:ascii="黑体" w:eastAsia="黑体"/>
          <w:strike/>
          <w:color w:val="auto"/>
          <w:sz w:val="28"/>
          <w:szCs w:val="28"/>
          <w:highlight w:val="none"/>
        </w:rPr>
        <w:t>投标文件递交签收凭证</w:t>
      </w:r>
      <w:r>
        <w:rPr>
          <w:rStyle w:val="31"/>
          <w:rFonts w:hint="eastAsia" w:ascii="黑体" w:eastAsia="黑体"/>
          <w:strike/>
          <w:color w:val="auto"/>
          <w:sz w:val="28"/>
          <w:szCs w:val="28"/>
          <w:highlight w:val="none"/>
        </w:rPr>
        <w:footnoteReference w:id="9"/>
      </w:r>
    </w:p>
    <w:p>
      <w:pPr>
        <w:spacing w:line="336" w:lineRule="auto"/>
        <w:rPr>
          <w:rFonts w:ascii="宋体" w:hAnsi="宋体" w:cs="宋体"/>
          <w:strike/>
          <w:color w:val="auto"/>
          <w:kern w:val="0"/>
          <w:szCs w:val="21"/>
          <w:highlight w:val="none"/>
        </w:rPr>
      </w:pPr>
    </w:p>
    <w:p>
      <w:pPr>
        <w:spacing w:line="336" w:lineRule="auto"/>
        <w:ind w:firstLine="6405" w:firstLineChars="3050"/>
        <w:rPr>
          <w:rFonts w:ascii="宋体" w:hAnsi="宋体"/>
          <w:strike/>
          <w:color w:val="auto"/>
          <w:sz w:val="28"/>
          <w:szCs w:val="28"/>
          <w:highlight w:val="none"/>
        </w:rPr>
      </w:pPr>
      <w:r>
        <w:rPr>
          <w:rFonts w:hint="eastAsia" w:ascii="宋体" w:hAnsi="宋体"/>
          <w:strike/>
          <w:color w:val="auto"/>
          <w:highlight w:val="none"/>
        </w:rPr>
        <w:t>编号：</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工程名称</w:t>
            </w:r>
          </w:p>
        </w:tc>
        <w:tc>
          <w:tcPr>
            <w:tcW w:w="6392" w:type="dxa"/>
            <w:vAlign w:val="center"/>
          </w:tcPr>
          <w:p>
            <w:pPr>
              <w:rPr>
                <w:rFonts w:ascii="宋体" w:hAnsi="宋体"/>
                <w:strike/>
                <w:color w:val="auto"/>
                <w:highlight w:val="none"/>
              </w:rPr>
            </w:pPr>
            <w:r>
              <w:rPr>
                <w:rFonts w:hint="eastAsia" w:ascii="宋体" w:hAnsi="宋体"/>
                <w:strike/>
                <w:color w:val="auto"/>
                <w:highlight w:val="none"/>
              </w:rPr>
              <w:t xml:space="preserve"> （项目名称）</w:t>
            </w:r>
            <w:r>
              <w:rPr>
                <w:rFonts w:hint="eastAsia"/>
                <w:strike/>
                <w:color w:val="auto"/>
                <w:highlight w:val="none"/>
              </w:rPr>
              <w:t>（标段名称）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招标人</w:t>
            </w:r>
          </w:p>
        </w:tc>
        <w:tc>
          <w:tcPr>
            <w:tcW w:w="6392" w:type="dxa"/>
            <w:vAlign w:val="center"/>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招标代理机构</w:t>
            </w:r>
          </w:p>
        </w:tc>
        <w:tc>
          <w:tcPr>
            <w:tcW w:w="6392" w:type="dxa"/>
            <w:vAlign w:val="center"/>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投标人</w:t>
            </w:r>
          </w:p>
        </w:tc>
        <w:tc>
          <w:tcPr>
            <w:tcW w:w="6392" w:type="dxa"/>
            <w:vAlign w:val="center"/>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投标文件递交时间</w:t>
            </w:r>
          </w:p>
        </w:tc>
        <w:tc>
          <w:tcPr>
            <w:tcW w:w="6392" w:type="dxa"/>
            <w:vAlign w:val="center"/>
          </w:tcPr>
          <w:p>
            <w:pPr>
              <w:rPr>
                <w:rFonts w:ascii="宋体" w:hAnsi="宋体"/>
                <w:strike/>
                <w:color w:val="auto"/>
                <w:highlight w:val="none"/>
              </w:rPr>
            </w:pPr>
            <w:r>
              <w:rPr>
                <w:rFonts w:hint="eastAsia" w:ascii="宋体" w:hAnsi="宋体"/>
                <w:strike/>
                <w:color w:val="auto"/>
                <w:highlight w:val="none"/>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vAlign w:val="center"/>
          </w:tcPr>
          <w:p>
            <w:pPr>
              <w:jc w:val="center"/>
              <w:rPr>
                <w:rFonts w:ascii="宋体" w:hAnsi="宋体"/>
                <w:strike/>
                <w:color w:val="auto"/>
                <w:highlight w:val="none"/>
              </w:rPr>
            </w:pPr>
            <w:r>
              <w:rPr>
                <w:rFonts w:hint="eastAsia" w:ascii="宋体" w:hAnsi="宋体"/>
                <w:strike/>
                <w:color w:val="auto"/>
                <w:highlight w:val="none"/>
              </w:rPr>
              <w:t>投标文件是否加密</w:t>
            </w:r>
          </w:p>
        </w:tc>
        <w:tc>
          <w:tcPr>
            <w:tcW w:w="6392" w:type="dxa"/>
            <w:vAlign w:val="center"/>
          </w:tcPr>
          <w:p>
            <w:pPr>
              <w:jc w:val="center"/>
              <w:rPr>
                <w:rFonts w:ascii="宋体" w:hAnsi="宋体"/>
                <w:strike/>
                <w:color w:val="auto"/>
                <w:highlight w:val="none"/>
              </w:rPr>
            </w:pPr>
          </w:p>
        </w:tc>
      </w:tr>
    </w:tbl>
    <w:p>
      <w:pPr>
        <w:spacing w:line="336" w:lineRule="auto"/>
        <w:rPr>
          <w:rFonts w:ascii="宋体" w:hAnsi="宋体" w:cs="宋体"/>
          <w:strike/>
          <w:color w:val="auto"/>
          <w:highlight w:val="none"/>
        </w:rPr>
      </w:pPr>
    </w:p>
    <w:p>
      <w:pPr>
        <w:pStyle w:val="3"/>
        <w:keepNext w:val="0"/>
        <w:keepLines w:val="0"/>
        <w:spacing w:line="336" w:lineRule="auto"/>
        <w:rPr>
          <w:rFonts w:ascii="宋体" w:hAnsi="宋体" w:eastAsia="宋体" w:cs="宋体"/>
          <w:b w:val="0"/>
          <w:bCs w:val="0"/>
          <w:strike/>
          <w:color w:val="auto"/>
          <w:sz w:val="21"/>
          <w:szCs w:val="24"/>
          <w:highlight w:val="none"/>
        </w:rPr>
        <w:sectPr>
          <w:pgSz w:w="11906" w:h="16838"/>
          <w:pgMar w:top="2098" w:right="1446" w:bottom="1984" w:left="1446" w:header="851" w:footer="1446" w:gutter="0"/>
          <w:cols w:space="0" w:num="1"/>
          <w:docGrid w:linePitch="312" w:charSpace="0"/>
        </w:sectPr>
      </w:pPr>
    </w:p>
    <w:p>
      <w:pPr>
        <w:pStyle w:val="4"/>
        <w:keepNext w:val="0"/>
        <w:keepLines w:val="0"/>
        <w:rPr>
          <w:rFonts w:ascii="黑体" w:hAnsi="黑体" w:eastAsia="黑体" w:cs="黑体"/>
          <w:b w:val="0"/>
          <w:color w:val="auto"/>
          <w:highlight w:val="none"/>
        </w:rPr>
      </w:pPr>
      <w:bookmarkStart w:id="931" w:name="_Toc604207934"/>
      <w:bookmarkStart w:id="932" w:name="_Toc7470"/>
      <w:bookmarkStart w:id="933" w:name="_Toc31833"/>
      <w:bookmarkStart w:id="934" w:name="_Toc9848"/>
      <w:bookmarkStart w:id="935" w:name="_Toc28037"/>
      <w:bookmarkStart w:id="936" w:name="_Toc677819105"/>
      <w:bookmarkStart w:id="937" w:name="_Toc23924"/>
      <w:bookmarkStart w:id="938" w:name="_Toc2138"/>
      <w:r>
        <w:rPr>
          <w:rFonts w:hint="eastAsia" w:ascii="黑体" w:hAnsi="黑体" w:eastAsia="黑体" w:cs="黑体"/>
          <w:b w:val="0"/>
          <w:color w:val="auto"/>
          <w:highlight w:val="none"/>
        </w:rPr>
        <w:t>附表六：开标记录表</w:t>
      </w:r>
      <w:bookmarkEnd w:id="931"/>
      <w:bookmarkEnd w:id="932"/>
      <w:bookmarkEnd w:id="933"/>
      <w:bookmarkEnd w:id="934"/>
      <w:bookmarkEnd w:id="935"/>
      <w:bookmarkEnd w:id="936"/>
      <w:bookmarkEnd w:id="937"/>
      <w:bookmarkEnd w:id="938"/>
    </w:p>
    <w:p>
      <w:pPr>
        <w:pStyle w:val="4"/>
        <w:keepNext w:val="0"/>
        <w:keepLines w:val="0"/>
        <w:rPr>
          <w:rFonts w:ascii="黑体" w:hAnsi="黑体" w:eastAsia="黑体" w:cs="黑体"/>
          <w:b w:val="0"/>
          <w:color w:val="auto"/>
          <w:highlight w:val="none"/>
        </w:rPr>
      </w:pPr>
    </w:p>
    <w:p>
      <w:pPr>
        <w:pStyle w:val="4"/>
        <w:keepNext w:val="0"/>
        <w:keepLines w:val="0"/>
        <w:rPr>
          <w:rFonts w:ascii="黑体" w:hAnsi="黑体" w:eastAsia="黑体" w:cs="黑体"/>
          <w:b w:val="0"/>
          <w:color w:val="auto"/>
          <w:highlight w:val="none"/>
        </w:rPr>
      </w:pPr>
    </w:p>
    <w:p>
      <w:pPr>
        <w:spacing w:line="400" w:lineRule="exact"/>
        <w:ind w:right="560"/>
        <w:jc w:val="center"/>
        <w:rPr>
          <w:rFonts w:ascii="黑体" w:eastAsia="黑体"/>
          <w:color w:val="auto"/>
          <w:sz w:val="28"/>
          <w:szCs w:val="28"/>
          <w:highlight w:val="none"/>
        </w:rPr>
      </w:pPr>
      <w:bookmarkStart w:id="939" w:name="_Toc221950299"/>
      <w:bookmarkStart w:id="940" w:name="_Toc221950300"/>
      <w:r>
        <w:rPr>
          <w:rFonts w:hint="eastAsia" w:ascii="黑体" w:eastAsia="黑体"/>
          <w:color w:val="auto"/>
          <w:sz w:val="28"/>
          <w:szCs w:val="28"/>
          <w:highlight w:val="none"/>
        </w:rPr>
        <w:t>（项目名称）（标段名称）</w:t>
      </w:r>
      <w:bookmarkEnd w:id="939"/>
      <w:r>
        <w:rPr>
          <w:rFonts w:hint="eastAsia" w:ascii="黑体" w:eastAsia="黑体"/>
          <w:color w:val="auto"/>
          <w:sz w:val="28"/>
          <w:szCs w:val="28"/>
          <w:highlight w:val="none"/>
        </w:rPr>
        <w:t>施工开标记录表</w:t>
      </w:r>
    </w:p>
    <w:p>
      <w:pPr>
        <w:spacing w:line="400" w:lineRule="exact"/>
        <w:ind w:right="560"/>
        <w:rPr>
          <w:rFonts w:ascii="宋体" w:hAnsi="宋体" w:cs="宋体"/>
          <w:color w:val="auto"/>
          <w:highlight w:val="none"/>
        </w:rPr>
      </w:pPr>
    </w:p>
    <w:p>
      <w:pPr>
        <w:spacing w:line="400" w:lineRule="exact"/>
        <w:ind w:right="560"/>
        <w:rPr>
          <w:rFonts w:ascii="黑体" w:eastAsia="黑体"/>
          <w:color w:val="auto"/>
          <w:sz w:val="28"/>
          <w:szCs w:val="28"/>
          <w:highlight w:val="none"/>
        </w:rPr>
      </w:pPr>
      <w:r>
        <w:rPr>
          <w:rFonts w:hint="eastAsia" w:ascii="宋体" w:hAnsi="宋体" w:cs="宋体"/>
          <w:color w:val="auto"/>
          <w:highlight w:val="none"/>
        </w:rPr>
        <w:t>开标时间：年月日时分</w:t>
      </w:r>
    </w:p>
    <w:tbl>
      <w:tblPr>
        <w:tblStyle w:val="25"/>
        <w:tblW w:w="14850" w:type="dxa"/>
        <w:jc w:val="center"/>
        <w:tblLayout w:type="fixed"/>
        <w:tblCellMar>
          <w:top w:w="0" w:type="dxa"/>
          <w:left w:w="108" w:type="dxa"/>
          <w:bottom w:w="0" w:type="dxa"/>
          <w:right w:w="108" w:type="dxa"/>
        </w:tblCellMar>
      </w:tblPr>
      <w:tblGrid>
        <w:gridCol w:w="788"/>
        <w:gridCol w:w="2439"/>
        <w:gridCol w:w="1134"/>
        <w:gridCol w:w="1842"/>
        <w:gridCol w:w="1418"/>
        <w:gridCol w:w="283"/>
        <w:gridCol w:w="1215"/>
        <w:gridCol w:w="1195"/>
        <w:gridCol w:w="709"/>
        <w:gridCol w:w="1276"/>
        <w:gridCol w:w="1417"/>
        <w:gridCol w:w="1134"/>
      </w:tblGrid>
      <w:tr>
        <w:tblPrEx>
          <w:tblCellMar>
            <w:top w:w="0" w:type="dxa"/>
            <w:left w:w="108" w:type="dxa"/>
            <w:bottom w:w="0" w:type="dxa"/>
            <w:right w:w="108" w:type="dxa"/>
          </w:tblCellMar>
        </w:tblPrEx>
        <w:trPr>
          <w:trHeight w:val="274" w:hRule="atLeast"/>
          <w:jc w:val="center"/>
        </w:trPr>
        <w:tc>
          <w:tcPr>
            <w:tcW w:w="788"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1" w:name="_Toc221950301"/>
            <w:r>
              <w:rPr>
                <w:rFonts w:hint="eastAsia" w:ascii="黑体" w:hAnsi="黑体" w:eastAsia="黑体" w:cs="黑体"/>
                <w:color w:val="auto"/>
                <w:szCs w:val="21"/>
                <w:highlight w:val="none"/>
              </w:rPr>
              <w:t>序号</w:t>
            </w:r>
            <w:bookmarkEnd w:id="941"/>
          </w:p>
        </w:tc>
        <w:tc>
          <w:tcPr>
            <w:tcW w:w="2439"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2" w:name="_Toc221950302"/>
            <w:r>
              <w:rPr>
                <w:rFonts w:hint="eastAsia" w:ascii="黑体" w:hAnsi="黑体" w:eastAsia="黑体" w:cs="黑体"/>
                <w:color w:val="auto"/>
                <w:szCs w:val="21"/>
                <w:highlight w:val="none"/>
              </w:rPr>
              <w:t>投标人</w:t>
            </w:r>
            <w:bookmarkEnd w:id="942"/>
          </w:p>
        </w:tc>
        <w:tc>
          <w:tcPr>
            <w:tcW w:w="1134"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3" w:name="_Toc221950304"/>
            <w:r>
              <w:rPr>
                <w:rFonts w:hint="eastAsia" w:ascii="黑体" w:hAnsi="黑体" w:eastAsia="黑体" w:cs="黑体"/>
                <w:color w:val="auto"/>
                <w:szCs w:val="21"/>
                <w:highlight w:val="none"/>
              </w:rPr>
              <w:t>投标</w:t>
            </w:r>
          </w:p>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保证金</w:t>
            </w:r>
            <w:bookmarkEnd w:id="943"/>
          </w:p>
        </w:tc>
        <w:tc>
          <w:tcPr>
            <w:tcW w:w="1842"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4" w:name="_Toc221950305"/>
            <w:r>
              <w:rPr>
                <w:rFonts w:hint="eastAsia" w:ascii="黑体" w:hAnsi="黑体" w:eastAsia="黑体" w:cs="黑体"/>
                <w:color w:val="auto"/>
                <w:szCs w:val="21"/>
                <w:highlight w:val="none"/>
              </w:rPr>
              <w:t>投标报价</w:t>
            </w:r>
          </w:p>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（元）</w:t>
            </w:r>
            <w:bookmarkEnd w:id="944"/>
          </w:p>
        </w:tc>
        <w:tc>
          <w:tcPr>
            <w:tcW w:w="1701" w:type="dxa"/>
            <w:gridSpan w:val="2"/>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5" w:name="_Toc221950306"/>
            <w:r>
              <w:rPr>
                <w:rFonts w:hint="eastAsia" w:ascii="黑体" w:hAnsi="黑体" w:eastAsia="黑体" w:cs="黑体"/>
                <w:color w:val="auto"/>
                <w:szCs w:val="21"/>
                <w:highlight w:val="none"/>
              </w:rPr>
              <w:t>质量目标</w:t>
            </w:r>
            <w:bookmarkEnd w:id="945"/>
          </w:p>
        </w:tc>
        <w:tc>
          <w:tcPr>
            <w:tcW w:w="1215"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bookmarkStart w:id="946" w:name="_Toc221950307"/>
            <w:r>
              <w:rPr>
                <w:rFonts w:hint="eastAsia" w:ascii="黑体" w:hAnsi="黑体" w:eastAsia="黑体" w:cs="黑体"/>
                <w:color w:val="auto"/>
                <w:szCs w:val="21"/>
                <w:highlight w:val="none"/>
              </w:rPr>
              <w:t>工期</w:t>
            </w:r>
            <w:bookmarkEnd w:id="946"/>
          </w:p>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（日历天）</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项目负责人</w:t>
            </w:r>
          </w:p>
        </w:tc>
        <w:tc>
          <w:tcPr>
            <w:tcW w:w="1417"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投标人代表</w:t>
            </w:r>
          </w:p>
        </w:tc>
        <w:tc>
          <w:tcPr>
            <w:tcW w:w="1134"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联系电话</w:t>
            </w:r>
          </w:p>
        </w:tc>
      </w:tr>
      <w:tr>
        <w:tblPrEx>
          <w:tblCellMar>
            <w:top w:w="0" w:type="dxa"/>
            <w:left w:w="108" w:type="dxa"/>
            <w:bottom w:w="0" w:type="dxa"/>
            <w:right w:w="108" w:type="dxa"/>
          </w:tblCellMar>
        </w:tblPrEx>
        <w:trPr>
          <w:trHeight w:val="274" w:hRule="atLeast"/>
          <w:jc w:val="center"/>
        </w:trPr>
        <w:tc>
          <w:tcPr>
            <w:tcW w:w="788"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2439"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842"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701" w:type="dxa"/>
            <w:gridSpan w:val="2"/>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215"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证书编号</w:t>
            </w:r>
          </w:p>
        </w:tc>
        <w:tc>
          <w:tcPr>
            <w:tcW w:w="1417"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97" w:hRule="atLeast"/>
          <w:jc w:val="center"/>
        </w:trPr>
        <w:tc>
          <w:tcPr>
            <w:tcW w:w="788"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2439"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97" w:hRule="atLeast"/>
          <w:jc w:val="center"/>
        </w:trPr>
        <w:tc>
          <w:tcPr>
            <w:tcW w:w="788"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2439"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97" w:hRule="atLeast"/>
          <w:jc w:val="center"/>
        </w:trPr>
        <w:tc>
          <w:tcPr>
            <w:tcW w:w="788"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2439"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97" w:hRule="atLeast"/>
          <w:jc w:val="center"/>
        </w:trPr>
        <w:tc>
          <w:tcPr>
            <w:tcW w:w="788"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2439"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81" w:hRule="atLeast"/>
          <w:jc w:val="center"/>
        </w:trPr>
        <w:tc>
          <w:tcPr>
            <w:tcW w:w="32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最高投标限价（元）</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评标基准价下浮率</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r>
      <w:tr>
        <w:tblPrEx>
          <w:tblCellMar>
            <w:top w:w="0" w:type="dxa"/>
            <w:left w:w="108" w:type="dxa"/>
            <w:bottom w:w="0" w:type="dxa"/>
            <w:right w:w="108" w:type="dxa"/>
          </w:tblCellMar>
        </w:tblPrEx>
        <w:trPr>
          <w:trHeight w:val="497" w:hRule="atLeast"/>
          <w:jc w:val="center"/>
        </w:trPr>
        <w:tc>
          <w:tcPr>
            <w:tcW w:w="32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开标现场需记录的其他情况</w:t>
            </w:r>
          </w:p>
        </w:tc>
        <w:tc>
          <w:tcPr>
            <w:tcW w:w="1162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cs="黑体"/>
                <w:color w:val="auto"/>
                <w:szCs w:val="21"/>
                <w:highlight w:val="none"/>
              </w:rPr>
            </w:pPr>
          </w:p>
        </w:tc>
      </w:tr>
      <w:bookmarkEnd w:id="940"/>
    </w:tbl>
    <w:p>
      <w:pPr>
        <w:spacing w:line="400" w:lineRule="exact"/>
        <w:ind w:right="560"/>
        <w:jc w:val="center"/>
        <w:rPr>
          <w:rFonts w:ascii="宋体" w:hAnsi="宋体" w:cs="宋体"/>
          <w:color w:val="auto"/>
          <w:szCs w:val="21"/>
          <w:highlight w:val="none"/>
        </w:rPr>
      </w:pPr>
      <w:bookmarkStart w:id="947" w:name="_Toc221950311"/>
      <w:r>
        <w:rPr>
          <w:rFonts w:hint="eastAsia" w:ascii="宋体" w:hAnsi="宋体" w:cs="宋体"/>
          <w:color w:val="auto"/>
          <w:szCs w:val="21"/>
          <w:highlight w:val="none"/>
        </w:rPr>
        <w:t>主持人： ；招标人代表：；监标人：</w:t>
      </w:r>
      <w:bookmarkEnd w:id="947"/>
    </w:p>
    <w:p>
      <w:pPr>
        <w:spacing w:line="620" w:lineRule="exact"/>
        <w:rPr>
          <w:rFonts w:asciiTheme="minorEastAsia" w:hAnsiTheme="minorEastAsia" w:eastAsiaTheme="minorEastAsia" w:cstheme="minorEastAsia"/>
          <w:color w:val="auto"/>
          <w:sz w:val="20"/>
          <w:szCs w:val="20"/>
          <w:highlight w:val="none"/>
        </w:rPr>
      </w:pPr>
    </w:p>
    <w:p>
      <w:pPr>
        <w:spacing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备注：可以根据招标项目的实际需要对本开标记录表进行适当修改，最终以电子交易平台生成版本为准。</w:t>
      </w:r>
    </w:p>
    <w:p>
      <w:pPr>
        <w:spacing w:line="400" w:lineRule="exact"/>
        <w:rPr>
          <w:rFonts w:asciiTheme="minorEastAsia" w:hAnsiTheme="minorEastAsia" w:eastAsiaTheme="minorEastAsia" w:cstheme="minorEastAsia"/>
          <w:color w:val="auto"/>
          <w:highlight w:val="none"/>
        </w:rPr>
        <w:sectPr>
          <w:pgSz w:w="16838" w:h="11906" w:orient="landscape"/>
          <w:pgMar w:top="1797" w:right="1440" w:bottom="1797" w:left="1440" w:header="851" w:footer="992" w:gutter="0"/>
          <w:cols w:space="0" w:num="1"/>
          <w:docGrid w:linePitch="312" w:charSpace="0"/>
        </w:sectPr>
      </w:pPr>
    </w:p>
    <w:p>
      <w:pPr>
        <w:pStyle w:val="4"/>
        <w:keepNext w:val="0"/>
        <w:keepLines w:val="0"/>
        <w:spacing w:line="336" w:lineRule="auto"/>
        <w:rPr>
          <w:rFonts w:ascii="黑体" w:hAnsi="黑体" w:eastAsia="黑体" w:cs="黑体"/>
          <w:b w:val="0"/>
          <w:color w:val="auto"/>
          <w:highlight w:val="none"/>
        </w:rPr>
      </w:pPr>
      <w:bookmarkStart w:id="948" w:name="_Toc403382439"/>
      <w:bookmarkStart w:id="949" w:name="_Toc353544004"/>
      <w:bookmarkStart w:id="950" w:name="_Toc5846"/>
      <w:bookmarkStart w:id="951" w:name="_Toc7432"/>
      <w:bookmarkStart w:id="952" w:name="_Toc2838"/>
      <w:bookmarkStart w:id="953" w:name="_Toc18210"/>
      <w:bookmarkStart w:id="954" w:name="_Toc21650"/>
      <w:bookmarkStart w:id="955" w:name="_Toc100626766"/>
      <w:bookmarkStart w:id="956" w:name="_Toc1071351229"/>
      <w:bookmarkStart w:id="957" w:name="_Toc3270"/>
      <w:r>
        <w:rPr>
          <w:rFonts w:hint="eastAsia" w:ascii="黑体" w:hAnsi="黑体" w:eastAsia="黑体" w:cs="黑体"/>
          <w:b w:val="0"/>
          <w:color w:val="auto"/>
          <w:highlight w:val="none"/>
        </w:rPr>
        <w:t>附表七：</w:t>
      </w:r>
      <w:bookmarkEnd w:id="948"/>
      <w:bookmarkEnd w:id="949"/>
      <w:bookmarkStart w:id="958" w:name="_Toc403382442"/>
      <w:r>
        <w:rPr>
          <w:rFonts w:hint="eastAsia" w:ascii="黑体" w:hAnsi="黑体" w:eastAsia="黑体" w:cs="黑体"/>
          <w:b w:val="0"/>
          <w:color w:val="auto"/>
          <w:highlight w:val="none"/>
        </w:rPr>
        <w:t>投标文件问题澄清通知</w:t>
      </w:r>
      <w:bookmarkEnd w:id="950"/>
      <w:bookmarkEnd w:id="951"/>
      <w:bookmarkEnd w:id="952"/>
      <w:bookmarkEnd w:id="953"/>
      <w:bookmarkEnd w:id="954"/>
      <w:bookmarkEnd w:id="955"/>
      <w:bookmarkEnd w:id="956"/>
      <w:bookmarkEnd w:id="957"/>
      <w:bookmarkEnd w:id="958"/>
    </w:p>
    <w:p>
      <w:pPr>
        <w:spacing w:line="336" w:lineRule="auto"/>
        <w:rPr>
          <w:color w:val="auto"/>
          <w:highlight w:val="none"/>
        </w:rPr>
      </w:pPr>
    </w:p>
    <w:p>
      <w:pPr>
        <w:spacing w:line="336" w:lineRule="auto"/>
        <w:rPr>
          <w:color w:val="auto"/>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pPr>
        <w:spacing w:line="336" w:lineRule="auto"/>
        <w:rPr>
          <w:rFonts w:ascii="黑体" w:eastAsia="黑体"/>
          <w:color w:val="auto"/>
          <w:sz w:val="28"/>
          <w:szCs w:val="28"/>
          <w:highlight w:val="none"/>
        </w:rPr>
      </w:pPr>
    </w:p>
    <w:p>
      <w:pPr>
        <w:spacing w:line="336" w:lineRule="auto"/>
        <w:ind w:firstLine="5355" w:firstLineChars="2550"/>
        <w:rPr>
          <w:color w:val="auto"/>
          <w:highlight w:val="none"/>
          <w:u w:val="single"/>
        </w:rPr>
      </w:pPr>
      <w:r>
        <w:rPr>
          <w:rFonts w:hint="eastAsia"/>
          <w:color w:val="auto"/>
          <w:highlight w:val="none"/>
        </w:rPr>
        <w:t>编号：</w:t>
      </w:r>
    </w:p>
    <w:p>
      <w:pPr>
        <w:spacing w:line="336" w:lineRule="auto"/>
        <w:rPr>
          <w:color w:val="auto"/>
          <w:highlight w:val="none"/>
        </w:rPr>
      </w:pPr>
      <w:r>
        <w:rPr>
          <w:rFonts w:hint="eastAsia"/>
          <w:color w:val="auto"/>
          <w:highlight w:val="none"/>
          <w:u w:val="single"/>
        </w:rPr>
        <w:t xml:space="preserve">     </w:t>
      </w:r>
      <w:r>
        <w:rPr>
          <w:rFonts w:hint="eastAsia"/>
          <w:color w:val="auto"/>
          <w:highlight w:val="none"/>
        </w:rPr>
        <w:t>（投标人名称）：</w:t>
      </w:r>
    </w:p>
    <w:p>
      <w:pPr>
        <w:spacing w:line="336" w:lineRule="auto"/>
        <w:rPr>
          <w:color w:val="auto"/>
          <w:highlight w:val="none"/>
          <w:u w:val="single"/>
        </w:rPr>
      </w:pPr>
    </w:p>
    <w:p>
      <w:pPr>
        <w:spacing w:line="336" w:lineRule="auto"/>
        <w:ind w:firstLine="525" w:firstLineChars="250"/>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标段名称）施工招标的评标委员会，对你方的投标文件进行了仔细的审查，现需你方对下列问题以书面形式予以澄清、说明或者补正，并将投标文件的澄清、说明或者补正于年月日时前，通过“电子交易平台”提交给本评标委员会。</w:t>
      </w:r>
    </w:p>
    <w:p>
      <w:pPr>
        <w:spacing w:line="336" w:lineRule="auto"/>
        <w:ind w:firstLine="420" w:firstLineChars="200"/>
        <w:rPr>
          <w:color w:val="auto"/>
          <w:highlight w:val="none"/>
        </w:rPr>
      </w:pPr>
      <w:r>
        <w:rPr>
          <w:color w:val="auto"/>
          <w:highlight w:val="none"/>
        </w:rPr>
        <w:t>1</w:t>
      </w:r>
      <w:r>
        <w:rPr>
          <w:rFonts w:hint="eastAsia"/>
          <w:color w:val="auto"/>
          <w:highlight w:val="none"/>
        </w:rPr>
        <w:t>、</w:t>
      </w:r>
      <w:r>
        <w:rPr>
          <w:color w:val="auto"/>
          <w:highlight w:val="none"/>
        </w:rPr>
        <w:t xml:space="preserve"> ......</w:t>
      </w:r>
    </w:p>
    <w:p>
      <w:pPr>
        <w:spacing w:line="336" w:lineRule="auto"/>
        <w:rPr>
          <w:color w:val="auto"/>
          <w:highlight w:val="none"/>
        </w:rPr>
      </w:pPr>
      <w:r>
        <w:rPr>
          <w:color w:val="auto"/>
          <w:highlight w:val="none"/>
        </w:rPr>
        <w:t xml:space="preserve">    2</w:t>
      </w:r>
      <w:r>
        <w:rPr>
          <w:rFonts w:hint="eastAsia"/>
          <w:color w:val="auto"/>
          <w:highlight w:val="none"/>
        </w:rPr>
        <w:t>、</w:t>
      </w:r>
      <w:r>
        <w:rPr>
          <w:color w:val="auto"/>
          <w:highlight w:val="none"/>
        </w:rPr>
        <w:t xml:space="preserve"> ......</w:t>
      </w:r>
    </w:p>
    <w:p>
      <w:pPr>
        <w:spacing w:line="336" w:lineRule="auto"/>
        <w:rPr>
          <w:color w:val="auto"/>
          <w:highlight w:val="none"/>
        </w:rPr>
      </w:pPr>
      <w:r>
        <w:rPr>
          <w:color w:val="auto"/>
          <w:highlight w:val="none"/>
        </w:rPr>
        <w:t xml:space="preserve">     ......   </w:t>
      </w:r>
    </w:p>
    <w:p>
      <w:pPr>
        <w:spacing w:line="336" w:lineRule="auto"/>
        <w:ind w:firstLine="2100" w:firstLineChars="1000"/>
        <w:rPr>
          <w:rFonts w:ascii="宋体" w:hAnsi="宋体"/>
          <w:color w:val="auto"/>
          <w:highlight w:val="none"/>
        </w:rPr>
      </w:pPr>
      <w:r>
        <w:rPr>
          <w:rFonts w:hint="eastAsia" w:ascii="宋体" w:hAnsi="宋体"/>
          <w:color w:val="auto"/>
          <w:highlight w:val="none"/>
        </w:rPr>
        <w:t xml:space="preserve"> </w:t>
      </w:r>
      <w:r>
        <w:rPr>
          <w:rFonts w:hint="eastAsia"/>
          <w:color w:val="auto"/>
          <w:highlight w:val="none"/>
          <w:u w:val="single"/>
        </w:rPr>
        <w:t xml:space="preserve">     </w:t>
      </w:r>
      <w:r>
        <w:rPr>
          <w:rFonts w:hint="eastAsia" w:ascii="宋体" w:hAnsi="宋体"/>
          <w:color w:val="auto"/>
          <w:highlight w:val="none"/>
        </w:rPr>
        <w:t>（项目名称）</w:t>
      </w:r>
      <w:r>
        <w:rPr>
          <w:rFonts w:hint="eastAsia"/>
          <w:color w:val="auto"/>
          <w:highlight w:val="none"/>
          <w:u w:val="single"/>
        </w:rPr>
        <w:t xml:space="preserve">     </w:t>
      </w:r>
      <w:r>
        <w:rPr>
          <w:rFonts w:hint="eastAsia"/>
          <w:color w:val="auto"/>
          <w:highlight w:val="none"/>
        </w:rPr>
        <w:t>（标段名称）</w:t>
      </w:r>
      <w:r>
        <w:rPr>
          <w:rFonts w:hint="eastAsia" w:ascii="宋体" w:hAnsi="宋体"/>
          <w:color w:val="auto"/>
          <w:highlight w:val="none"/>
        </w:rPr>
        <w:t>施工招标评标委员会</w:t>
      </w:r>
    </w:p>
    <w:p>
      <w:pPr>
        <w:spacing w:line="336" w:lineRule="auto"/>
        <w:ind w:firstLine="945" w:firstLineChars="450"/>
        <w:rPr>
          <w:color w:val="auto"/>
          <w:highlight w:val="none"/>
        </w:rPr>
      </w:pPr>
      <w:r>
        <w:rPr>
          <w:rFonts w:hint="eastAsia"/>
          <w:color w:val="auto"/>
          <w:highlight w:val="none"/>
        </w:rPr>
        <w:t>（经评标委员会授权的招标人代表签字或招标人盖单位章）：</w:t>
      </w:r>
    </w:p>
    <w:p>
      <w:pPr>
        <w:spacing w:line="336" w:lineRule="auto"/>
        <w:rPr>
          <w:color w:val="auto"/>
          <w:highlight w:val="none"/>
          <w:u w:val="single"/>
        </w:rPr>
      </w:pPr>
    </w:p>
    <w:p>
      <w:pPr>
        <w:spacing w:line="336" w:lineRule="auto"/>
        <w:ind w:firstLine="5565" w:firstLineChars="2650"/>
        <w:rPr>
          <w:color w:val="auto"/>
          <w:highlight w:val="none"/>
        </w:rPr>
        <w:sectPr>
          <w:footerReference r:id="rId10" w:type="first"/>
          <w:footerReference r:id="rId9" w:type="default"/>
          <w:pgSz w:w="11906" w:h="16838"/>
          <w:pgMar w:top="2098" w:right="1446" w:bottom="1984" w:left="1446" w:header="851" w:footer="1446" w:gutter="0"/>
          <w:cols w:space="0" w:num="1"/>
          <w:titlePg/>
          <w:docGrid w:linePitch="312" w:charSpace="0"/>
        </w:sectPr>
      </w:pPr>
      <w:r>
        <w:rPr>
          <w:rFonts w:hint="eastAsia"/>
          <w:color w:val="auto"/>
          <w:highlight w:val="none"/>
        </w:rPr>
        <w:t>年  月  日</w:t>
      </w:r>
    </w:p>
    <w:p>
      <w:pPr>
        <w:spacing w:line="336" w:lineRule="auto"/>
        <w:rPr>
          <w:rFonts w:ascii="黑体" w:hAnsi="黑体" w:eastAsia="黑体" w:cs="黑体"/>
          <w:bCs/>
          <w:color w:val="auto"/>
          <w:sz w:val="24"/>
          <w:highlight w:val="none"/>
        </w:rPr>
      </w:pPr>
      <w:bookmarkStart w:id="959" w:name="_Toc403382443"/>
      <w:bookmarkStart w:id="960" w:name="_Toc29748"/>
      <w:bookmarkStart w:id="961" w:name="_Toc27905"/>
      <w:bookmarkStart w:id="962" w:name="_Toc355242872"/>
      <w:bookmarkStart w:id="963" w:name="_Toc20063"/>
      <w:bookmarkStart w:id="964" w:name="_Toc337034261"/>
      <w:bookmarkStart w:id="965" w:name="_Toc4915"/>
      <w:bookmarkStart w:id="966" w:name="_Toc6516"/>
      <w:bookmarkStart w:id="967" w:name="_Toc28166"/>
      <w:r>
        <w:rPr>
          <w:rFonts w:hint="eastAsia" w:ascii="黑体" w:hAnsi="黑体" w:eastAsia="黑体" w:cs="黑体"/>
          <w:bCs/>
          <w:color w:val="auto"/>
          <w:sz w:val="24"/>
          <w:highlight w:val="none"/>
        </w:rPr>
        <w:t>附表八：投标文件问题的澄清</w:t>
      </w:r>
      <w:bookmarkEnd w:id="959"/>
      <w:r>
        <w:rPr>
          <w:rFonts w:hint="eastAsia" w:ascii="黑体" w:hAnsi="黑体" w:eastAsia="黑体" w:cs="黑体"/>
          <w:bCs/>
          <w:color w:val="auto"/>
          <w:sz w:val="24"/>
          <w:highlight w:val="none"/>
        </w:rPr>
        <w:t>函</w:t>
      </w:r>
      <w:bookmarkEnd w:id="960"/>
      <w:bookmarkEnd w:id="961"/>
      <w:bookmarkEnd w:id="962"/>
      <w:bookmarkEnd w:id="963"/>
      <w:bookmarkEnd w:id="964"/>
      <w:bookmarkEnd w:id="965"/>
      <w:bookmarkEnd w:id="966"/>
      <w:bookmarkEnd w:id="967"/>
    </w:p>
    <w:p>
      <w:pPr>
        <w:spacing w:line="336" w:lineRule="auto"/>
        <w:rPr>
          <w:rFonts w:ascii="黑体" w:eastAsia="黑体"/>
          <w:color w:val="auto"/>
          <w:sz w:val="24"/>
          <w:highlight w:val="none"/>
        </w:rPr>
      </w:pPr>
    </w:p>
    <w:p>
      <w:pPr>
        <w:spacing w:line="336" w:lineRule="auto"/>
        <w:rPr>
          <w:rFonts w:ascii="黑体" w:eastAsia="黑体"/>
          <w:color w:val="auto"/>
          <w:sz w:val="24"/>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投标文件问题的澄清函</w:t>
      </w:r>
    </w:p>
    <w:p>
      <w:pPr>
        <w:spacing w:line="336" w:lineRule="auto"/>
        <w:rPr>
          <w:rFonts w:ascii="黑体" w:eastAsia="黑体"/>
          <w:color w:val="auto"/>
          <w:sz w:val="28"/>
          <w:szCs w:val="28"/>
          <w:highlight w:val="none"/>
        </w:rPr>
      </w:pPr>
    </w:p>
    <w:p>
      <w:pPr>
        <w:spacing w:line="336" w:lineRule="auto"/>
        <w:ind w:firstLine="5355" w:firstLineChars="2550"/>
        <w:rPr>
          <w:color w:val="auto"/>
          <w:highlight w:val="none"/>
          <w:u w:val="single"/>
        </w:rPr>
      </w:pPr>
      <w:r>
        <w:rPr>
          <w:rFonts w:hint="eastAsia"/>
          <w:color w:val="auto"/>
          <w:highlight w:val="none"/>
        </w:rPr>
        <w:t>编号：</w:t>
      </w:r>
    </w:p>
    <w:p>
      <w:pPr>
        <w:spacing w:line="336" w:lineRule="auto"/>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（标段名称）施工招标评标委员会：</w:t>
      </w:r>
    </w:p>
    <w:p>
      <w:pPr>
        <w:spacing w:line="336" w:lineRule="auto"/>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pPr>
        <w:spacing w:line="336" w:lineRule="auto"/>
        <w:ind w:firstLine="420" w:firstLineChars="200"/>
        <w:rPr>
          <w:color w:val="auto"/>
          <w:highlight w:val="none"/>
        </w:rPr>
      </w:pPr>
      <w:r>
        <w:rPr>
          <w:rFonts w:hint="eastAsia"/>
          <w:color w:val="auto"/>
          <w:highlight w:val="none"/>
        </w:rPr>
        <w:t>1.</w:t>
      </w:r>
    </w:p>
    <w:p>
      <w:pPr>
        <w:spacing w:line="336" w:lineRule="auto"/>
        <w:ind w:firstLine="420" w:firstLineChars="200"/>
        <w:rPr>
          <w:color w:val="auto"/>
          <w:highlight w:val="none"/>
        </w:rPr>
      </w:pPr>
      <w:r>
        <w:rPr>
          <w:rFonts w:hint="eastAsia"/>
          <w:color w:val="auto"/>
          <w:highlight w:val="none"/>
        </w:rPr>
        <w:t>2.</w:t>
      </w:r>
    </w:p>
    <w:p>
      <w:pPr>
        <w:spacing w:line="336" w:lineRule="auto"/>
        <w:ind w:firstLine="420" w:firstLineChars="200"/>
        <w:rPr>
          <w:color w:val="auto"/>
          <w:highlight w:val="none"/>
        </w:rPr>
      </w:pPr>
    </w:p>
    <w:p>
      <w:pPr>
        <w:spacing w:line="336" w:lineRule="auto"/>
        <w:ind w:firstLine="420" w:firstLineChars="200"/>
        <w:rPr>
          <w:color w:val="auto"/>
          <w:highlight w:val="none"/>
        </w:rPr>
      </w:pPr>
      <w:r>
        <w:rPr>
          <w:rFonts w:hint="eastAsia"/>
          <w:color w:val="auto"/>
          <w:highlight w:val="none"/>
        </w:rPr>
        <w:t>……</w:t>
      </w: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ind w:firstLine="420" w:firstLineChars="200"/>
        <w:rPr>
          <w:color w:val="auto"/>
          <w:highlight w:val="none"/>
        </w:rPr>
      </w:pPr>
    </w:p>
    <w:p>
      <w:pPr>
        <w:wordWrap w:val="0"/>
        <w:spacing w:line="336" w:lineRule="auto"/>
        <w:ind w:right="105" w:firstLine="420" w:firstLineChars="200"/>
        <w:jc w:val="right"/>
        <w:rPr>
          <w:rFonts w:ascii="宋体" w:hAnsi="宋体"/>
          <w:color w:val="auto"/>
          <w:highlight w:val="none"/>
        </w:rPr>
      </w:pPr>
      <w:r>
        <w:rPr>
          <w:rFonts w:hint="eastAsia" w:ascii="宋体" w:hAnsi="宋体"/>
          <w:color w:val="auto"/>
          <w:highlight w:val="none"/>
        </w:rPr>
        <w:t>投标人：（盖单位章）</w:t>
      </w:r>
    </w:p>
    <w:p>
      <w:pPr>
        <w:wordWrap w:val="0"/>
        <w:spacing w:line="336" w:lineRule="auto"/>
        <w:ind w:right="105"/>
        <w:jc w:val="right"/>
        <w:rPr>
          <w:rFonts w:ascii="宋体" w:hAnsi="宋体"/>
          <w:color w:val="auto"/>
          <w:highlight w:val="none"/>
        </w:rPr>
      </w:pPr>
      <w:r>
        <w:rPr>
          <w:rFonts w:hint="eastAsia" w:ascii="宋体" w:hAnsi="宋体"/>
          <w:color w:val="auto"/>
          <w:highlight w:val="none"/>
        </w:rPr>
        <w:t>法定代表人：（签字）</w:t>
      </w:r>
    </w:p>
    <w:p>
      <w:pPr>
        <w:spacing w:line="336" w:lineRule="auto"/>
        <w:ind w:firstLine="7455" w:firstLineChars="3550"/>
        <w:rPr>
          <w:rFonts w:ascii="宋体" w:hAnsi="宋体"/>
          <w:color w:val="auto"/>
          <w:highlight w:val="none"/>
        </w:rPr>
        <w:sectPr>
          <w:pgSz w:w="11906" w:h="16838"/>
          <w:pgMar w:top="2098" w:right="1446" w:bottom="1984" w:left="1446" w:header="851" w:footer="1446" w:gutter="0"/>
          <w:cols w:space="0" w:num="1"/>
          <w:titlePg/>
          <w:docGrid w:linePitch="312" w:charSpace="0"/>
        </w:sectPr>
      </w:pPr>
      <w:r>
        <w:rPr>
          <w:rFonts w:hint="eastAsia" w:ascii="宋体" w:hAnsi="宋体"/>
          <w:color w:val="auto"/>
          <w:highlight w:val="none"/>
        </w:rPr>
        <w:t>年  月  日</w:t>
      </w:r>
    </w:p>
    <w:p>
      <w:pPr>
        <w:pStyle w:val="4"/>
        <w:keepNext w:val="0"/>
        <w:keepLines w:val="0"/>
        <w:spacing w:line="336" w:lineRule="auto"/>
        <w:rPr>
          <w:rFonts w:ascii="黑体" w:hAnsi="黑体" w:eastAsia="黑体" w:cs="黑体"/>
          <w:b w:val="0"/>
          <w:color w:val="auto"/>
          <w:highlight w:val="none"/>
        </w:rPr>
      </w:pPr>
      <w:bookmarkStart w:id="968" w:name="_Toc221950335"/>
      <w:bookmarkStart w:id="969" w:name="_Toc168475699"/>
      <w:bookmarkStart w:id="970" w:name="_Toc168476102"/>
      <w:bookmarkStart w:id="971" w:name="_Toc387753571"/>
      <w:bookmarkStart w:id="972" w:name="_Toc144974551"/>
      <w:bookmarkStart w:id="973" w:name="_Toc6710"/>
      <w:bookmarkStart w:id="974" w:name="_Toc1124"/>
      <w:bookmarkStart w:id="975" w:name="_Toc1647"/>
      <w:bookmarkStart w:id="976" w:name="_Toc1297060072"/>
      <w:bookmarkStart w:id="977" w:name="_Toc520"/>
      <w:bookmarkStart w:id="978" w:name="_Toc21120"/>
      <w:bookmarkStart w:id="979" w:name="_Toc362692221"/>
      <w:bookmarkStart w:id="980" w:name="_Toc7587"/>
      <w:r>
        <w:rPr>
          <w:rFonts w:hint="eastAsia" w:ascii="黑体" w:hAnsi="黑体" w:eastAsia="黑体" w:cs="黑体"/>
          <w:b w:val="0"/>
          <w:color w:val="auto"/>
          <w:highlight w:val="none"/>
        </w:rPr>
        <w:t>附表九：</w:t>
      </w:r>
      <w:bookmarkEnd w:id="968"/>
      <w:bookmarkEnd w:id="969"/>
      <w:bookmarkEnd w:id="970"/>
      <w:bookmarkEnd w:id="971"/>
      <w:bookmarkEnd w:id="972"/>
      <w:bookmarkStart w:id="981" w:name="_Toc221950336"/>
      <w:r>
        <w:rPr>
          <w:rFonts w:hint="eastAsia" w:ascii="黑体" w:hAnsi="黑体" w:eastAsia="黑体" w:cs="黑体"/>
          <w:b w:val="0"/>
          <w:color w:val="auto"/>
          <w:highlight w:val="none"/>
        </w:rPr>
        <w:t>中标通知书</w:t>
      </w:r>
      <w:bookmarkEnd w:id="973"/>
      <w:bookmarkEnd w:id="974"/>
      <w:bookmarkEnd w:id="975"/>
      <w:bookmarkEnd w:id="976"/>
      <w:bookmarkEnd w:id="977"/>
      <w:bookmarkEnd w:id="978"/>
      <w:bookmarkEnd w:id="979"/>
      <w:bookmarkEnd w:id="980"/>
      <w:bookmarkEnd w:id="981"/>
    </w:p>
    <w:p>
      <w:pPr>
        <w:pStyle w:val="4"/>
        <w:keepNext w:val="0"/>
        <w:keepLines w:val="0"/>
        <w:spacing w:line="336" w:lineRule="auto"/>
        <w:rPr>
          <w:rFonts w:ascii="黑体" w:hAnsi="黑体" w:eastAsia="黑体" w:cs="黑体"/>
          <w:b w:val="0"/>
          <w:color w:val="auto"/>
          <w:highlight w:val="none"/>
        </w:rPr>
      </w:pPr>
    </w:p>
    <w:p>
      <w:pPr>
        <w:pStyle w:val="4"/>
        <w:keepNext w:val="0"/>
        <w:keepLines w:val="0"/>
        <w:spacing w:line="336" w:lineRule="auto"/>
        <w:rPr>
          <w:rFonts w:ascii="黑体" w:hAnsi="黑体" w:eastAsia="黑体" w:cs="黑体"/>
          <w:b w:val="0"/>
          <w:color w:val="auto"/>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中标通知书</w:t>
      </w:r>
    </w:p>
    <w:p>
      <w:pPr>
        <w:spacing w:line="336" w:lineRule="auto"/>
        <w:rPr>
          <w:rFonts w:ascii="黑体" w:eastAsia="黑体"/>
          <w:color w:val="auto"/>
          <w:sz w:val="28"/>
          <w:szCs w:val="28"/>
          <w:highlight w:val="none"/>
        </w:rPr>
      </w:pPr>
    </w:p>
    <w:p>
      <w:pPr>
        <w:spacing w:line="336" w:lineRule="auto"/>
        <w:rPr>
          <w:rFonts w:ascii="宋体" w:hAnsi="宋体"/>
          <w:color w:val="auto"/>
          <w:sz w:val="28"/>
          <w:szCs w:val="28"/>
          <w:highlight w:val="none"/>
        </w:rPr>
      </w:pPr>
      <w:r>
        <w:rPr>
          <w:rFonts w:hint="eastAsia" w:ascii="宋体" w:hAnsi="宋体"/>
          <w:color w:val="auto"/>
          <w:szCs w:val="21"/>
          <w:highlight w:val="none"/>
        </w:rPr>
        <w:t>招标编号：</w:t>
      </w:r>
    </w:p>
    <w:p>
      <w:pPr>
        <w:spacing w:line="336" w:lineRule="auto"/>
        <w:rPr>
          <w:color w:val="auto"/>
          <w:highlight w:val="none"/>
        </w:rPr>
      </w:pPr>
      <w:r>
        <w:rPr>
          <w:rFonts w:hint="eastAsia"/>
          <w:color w:val="auto"/>
          <w:highlight w:val="none"/>
          <w:u w:val="single"/>
        </w:rPr>
        <w:t xml:space="preserve">     </w:t>
      </w:r>
      <w:r>
        <w:rPr>
          <w:rFonts w:hint="eastAsia"/>
          <w:color w:val="auto"/>
          <w:highlight w:val="none"/>
        </w:rPr>
        <w:t>（中标人名称）：</w:t>
      </w:r>
    </w:p>
    <w:p>
      <w:pPr>
        <w:spacing w:line="336" w:lineRule="auto"/>
        <w:rPr>
          <w:color w:val="auto"/>
          <w:highlight w:val="none"/>
        </w:rPr>
      </w:pPr>
    </w:p>
    <w:p>
      <w:pPr>
        <w:spacing w:line="336" w:lineRule="auto"/>
        <w:ind w:firstLine="420" w:firstLineChars="200"/>
        <w:rPr>
          <w:color w:val="auto"/>
          <w:highlight w:val="none"/>
        </w:rPr>
      </w:pPr>
      <w:r>
        <w:rPr>
          <w:rFonts w:hint="eastAsia"/>
          <w:color w:val="auto"/>
          <w:highlight w:val="none"/>
        </w:rPr>
        <w:t>你方于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（标段名称） 施工的投标文件已被我方接受，被确定为中标人。</w:t>
      </w:r>
    </w:p>
    <w:p>
      <w:pPr>
        <w:spacing w:line="336" w:lineRule="auto"/>
        <w:ind w:firstLine="420" w:firstLineChars="200"/>
        <w:rPr>
          <w:color w:val="auto"/>
          <w:highlight w:val="none"/>
        </w:rPr>
      </w:pPr>
      <w:r>
        <w:rPr>
          <w:rFonts w:hint="eastAsia"/>
          <w:color w:val="auto"/>
          <w:highlight w:val="none"/>
        </w:rPr>
        <w:t>中标价：</w:t>
      </w:r>
      <w:r>
        <w:rPr>
          <w:rFonts w:hint="eastAsia"/>
          <w:color w:val="auto"/>
          <w:highlight w:val="none"/>
          <w:u w:val="single"/>
        </w:rPr>
        <w:t xml:space="preserve">     </w:t>
      </w:r>
      <w:r>
        <w:rPr>
          <w:rFonts w:hint="eastAsia"/>
          <w:color w:val="auto"/>
          <w:highlight w:val="none"/>
        </w:rPr>
        <w:t>元。</w:t>
      </w:r>
    </w:p>
    <w:p>
      <w:pPr>
        <w:spacing w:line="336" w:lineRule="auto"/>
        <w:ind w:firstLine="420" w:firstLineChars="200"/>
        <w:rPr>
          <w:color w:val="auto"/>
          <w:highlight w:val="none"/>
        </w:rPr>
      </w:pPr>
      <w:r>
        <w:rPr>
          <w:rFonts w:hint="eastAsia"/>
          <w:color w:val="auto"/>
          <w:highlight w:val="none"/>
        </w:rPr>
        <w:t>工  期：</w:t>
      </w:r>
      <w:r>
        <w:rPr>
          <w:rFonts w:hint="eastAsia"/>
          <w:color w:val="auto"/>
          <w:highlight w:val="none"/>
          <w:u w:val="single"/>
        </w:rPr>
        <w:t xml:space="preserve">     </w:t>
      </w:r>
      <w:r>
        <w:rPr>
          <w:rFonts w:hint="eastAsia"/>
          <w:color w:val="auto"/>
          <w:highlight w:val="none"/>
        </w:rPr>
        <w:t>日历天。</w:t>
      </w:r>
    </w:p>
    <w:p>
      <w:pPr>
        <w:spacing w:line="336" w:lineRule="auto"/>
        <w:ind w:firstLine="420" w:firstLineChars="200"/>
        <w:rPr>
          <w:color w:val="auto"/>
          <w:highlight w:val="none"/>
        </w:rPr>
      </w:pPr>
      <w:r>
        <w:rPr>
          <w:rFonts w:hint="eastAsia"/>
          <w:color w:val="auto"/>
          <w:highlight w:val="none"/>
        </w:rPr>
        <w:t>工程质量：</w:t>
      </w:r>
      <w:r>
        <w:rPr>
          <w:rFonts w:hint="eastAsia"/>
          <w:color w:val="auto"/>
          <w:highlight w:val="none"/>
          <w:u w:val="single"/>
        </w:rPr>
        <w:t xml:space="preserve">     </w:t>
      </w:r>
      <w:r>
        <w:rPr>
          <w:rFonts w:hint="eastAsia"/>
          <w:color w:val="auto"/>
          <w:highlight w:val="none"/>
        </w:rPr>
        <w:t>。</w:t>
      </w:r>
    </w:p>
    <w:p>
      <w:pPr>
        <w:spacing w:line="336" w:lineRule="auto"/>
        <w:ind w:firstLine="420" w:firstLineChars="200"/>
        <w:rPr>
          <w:color w:val="auto"/>
          <w:highlight w:val="none"/>
        </w:rPr>
      </w:pPr>
      <w:r>
        <w:rPr>
          <w:rFonts w:hint="eastAsia"/>
          <w:color w:val="auto"/>
          <w:highlight w:val="none"/>
        </w:rPr>
        <w:t>项目负责人：</w:t>
      </w:r>
      <w:r>
        <w:rPr>
          <w:rFonts w:hint="eastAsia"/>
          <w:color w:val="auto"/>
          <w:highlight w:val="none"/>
          <w:u w:val="single"/>
        </w:rPr>
        <w:t xml:space="preserve">     </w:t>
      </w:r>
      <w:r>
        <w:rPr>
          <w:rFonts w:hint="eastAsia"/>
          <w:color w:val="auto"/>
          <w:highlight w:val="none"/>
        </w:rPr>
        <w:t>（姓名）。</w:t>
      </w:r>
    </w:p>
    <w:p>
      <w:pPr>
        <w:spacing w:line="336" w:lineRule="auto"/>
        <w:ind w:firstLine="420" w:firstLineChars="200"/>
        <w:rPr>
          <w:color w:val="auto"/>
          <w:highlight w:val="none"/>
        </w:rPr>
      </w:pPr>
      <w:r>
        <w:rPr>
          <w:rFonts w:hint="eastAsia"/>
          <w:color w:val="auto"/>
          <w:highlight w:val="none"/>
        </w:rPr>
        <w:t>请你方在接到本通知书后的日内到（指定地点）与我方签订施工承包合同，在此之前按招标文件第二章“投标人须知”</w:t>
      </w:r>
      <w:r>
        <w:rPr>
          <w:rFonts w:hint="eastAsia" w:ascii="宋体" w:hAnsi="宋体" w:cs="宋体"/>
          <w:color w:val="auto"/>
          <w:szCs w:val="21"/>
          <w:highlight w:val="none"/>
        </w:rPr>
        <w:t>第</w:t>
      </w:r>
      <w:r>
        <w:rPr>
          <w:rFonts w:cs="宋体"/>
          <w:color w:val="auto"/>
          <w:szCs w:val="21"/>
          <w:highlight w:val="none"/>
        </w:rPr>
        <w:t>7</w:t>
      </w:r>
      <w:r>
        <w:rPr>
          <w:rFonts w:hint="eastAsia" w:ascii="宋体" w:hAnsi="宋体" w:cs="宋体"/>
          <w:color w:val="auto"/>
          <w:szCs w:val="21"/>
          <w:highlight w:val="none"/>
        </w:rPr>
        <w:t>.</w:t>
      </w:r>
      <w:r>
        <w:rPr>
          <w:rFonts w:cs="宋体"/>
          <w:color w:val="auto"/>
          <w:szCs w:val="21"/>
          <w:highlight w:val="none"/>
        </w:rPr>
        <w:t>3</w:t>
      </w:r>
      <w:r>
        <w:rPr>
          <w:rFonts w:hint="eastAsia" w:ascii="宋体" w:hAnsi="宋体" w:cs="宋体"/>
          <w:color w:val="auto"/>
          <w:szCs w:val="21"/>
          <w:highlight w:val="none"/>
        </w:rPr>
        <w:t>款</w:t>
      </w:r>
      <w:r>
        <w:rPr>
          <w:rFonts w:hint="eastAsia"/>
          <w:color w:val="auto"/>
          <w:highlight w:val="none"/>
        </w:rPr>
        <w:t>的规定向我方提交履约担保。</w:t>
      </w:r>
    </w:p>
    <w:p>
      <w:pPr>
        <w:spacing w:line="336" w:lineRule="auto"/>
        <w:ind w:firstLine="420" w:firstLineChars="200"/>
        <w:rPr>
          <w:color w:val="auto"/>
          <w:highlight w:val="none"/>
        </w:rPr>
      </w:pPr>
      <w:r>
        <w:rPr>
          <w:rFonts w:hint="eastAsia"/>
          <w:color w:val="auto"/>
          <w:highlight w:val="none"/>
        </w:rPr>
        <w:t>随附的投标文件澄清、说明、补正事项纪要（如果有），是本中标通知书的组成部分。</w:t>
      </w:r>
    </w:p>
    <w:p>
      <w:pPr>
        <w:spacing w:line="336" w:lineRule="auto"/>
        <w:ind w:firstLine="420" w:firstLineChars="200"/>
        <w:rPr>
          <w:color w:val="auto"/>
          <w:highlight w:val="none"/>
        </w:rPr>
      </w:pPr>
      <w:r>
        <w:rPr>
          <w:rFonts w:hint="eastAsia"/>
          <w:color w:val="auto"/>
          <w:highlight w:val="none"/>
        </w:rPr>
        <w:t>特此通知。</w:t>
      </w:r>
    </w:p>
    <w:p>
      <w:pPr>
        <w:spacing w:line="336" w:lineRule="auto"/>
        <w:ind w:firstLine="420" w:firstLineChars="200"/>
        <w:rPr>
          <w:color w:val="auto"/>
          <w:highlight w:val="none"/>
        </w:rPr>
      </w:pPr>
      <w:r>
        <w:rPr>
          <w:color w:val="auto"/>
          <w:highlight w:val="none"/>
        </w:rPr>
        <w:t>附：澄清、说明、补正事项纪要</w:t>
      </w:r>
    </w:p>
    <w:p>
      <w:pPr>
        <w:spacing w:line="336" w:lineRule="auto"/>
        <w:ind w:firstLine="420" w:firstLineChars="200"/>
        <w:rPr>
          <w:color w:val="auto"/>
          <w:highlight w:val="none"/>
        </w:rPr>
      </w:pPr>
    </w:p>
    <w:p>
      <w:pPr>
        <w:spacing w:line="336" w:lineRule="auto"/>
        <w:ind w:firstLine="420" w:firstLineChars="200"/>
        <w:rPr>
          <w:color w:val="auto"/>
          <w:highlight w:val="none"/>
        </w:rPr>
      </w:pPr>
    </w:p>
    <w:p>
      <w:pPr>
        <w:wordWrap w:val="0"/>
        <w:spacing w:line="336" w:lineRule="auto"/>
        <w:ind w:firstLine="420" w:firstLineChars="200"/>
        <w:jc w:val="right"/>
        <w:rPr>
          <w:rFonts w:ascii="宋体" w:hAnsi="宋体"/>
          <w:color w:val="auto"/>
          <w:highlight w:val="none"/>
        </w:rPr>
      </w:pPr>
      <w:r>
        <w:rPr>
          <w:rFonts w:hint="eastAsia" w:ascii="宋体" w:hAnsi="宋体"/>
          <w:color w:val="auto"/>
          <w:highlight w:val="none"/>
        </w:rPr>
        <w:t xml:space="preserve">招标人：（盖单位章） </w:t>
      </w:r>
    </w:p>
    <w:p>
      <w:pPr>
        <w:wordWrap w:val="0"/>
        <w:spacing w:line="336" w:lineRule="auto"/>
        <w:jc w:val="right"/>
        <w:rPr>
          <w:color w:val="auto"/>
          <w:highlight w:val="none"/>
        </w:rPr>
      </w:pPr>
      <w:r>
        <w:rPr>
          <w:rFonts w:hint="eastAsia" w:ascii="宋体" w:hAnsi="宋体"/>
          <w:color w:val="auto"/>
          <w:highlight w:val="none"/>
        </w:rPr>
        <w:t>法定代表人：</w:t>
      </w:r>
      <w:r>
        <w:rPr>
          <w:rFonts w:hint="eastAsia"/>
          <w:color w:val="auto"/>
          <w:highlight w:val="none"/>
        </w:rPr>
        <w:t xml:space="preserve">（签字） </w:t>
      </w:r>
    </w:p>
    <w:p>
      <w:pPr>
        <w:wordWrap w:val="0"/>
        <w:spacing w:line="336" w:lineRule="auto"/>
        <w:ind w:firstLine="5145" w:firstLineChars="2450"/>
        <w:jc w:val="right"/>
        <w:rPr>
          <w:color w:val="auto"/>
          <w:highlight w:val="none"/>
        </w:rPr>
      </w:pPr>
      <w:r>
        <w:rPr>
          <w:rFonts w:hint="eastAsia"/>
          <w:color w:val="auto"/>
          <w:highlight w:val="none"/>
        </w:rPr>
        <w:t xml:space="preserve">年月日  </w:t>
      </w:r>
    </w:p>
    <w:p>
      <w:pPr>
        <w:spacing w:line="336" w:lineRule="auto"/>
        <w:ind w:firstLine="5145" w:firstLineChars="2450"/>
        <w:rPr>
          <w:color w:val="auto"/>
          <w:highlight w:val="none"/>
        </w:rPr>
      </w:pPr>
    </w:p>
    <w:p>
      <w:pPr>
        <w:spacing w:line="336" w:lineRule="auto"/>
        <w:rPr>
          <w:rFonts w:asciiTheme="minorEastAsia" w:hAnsiTheme="minorEastAsia" w:eastAsiaTheme="minorEastAsia" w:cstheme="minorEastAsia"/>
          <w:color w:val="auto"/>
          <w:highlight w:val="none"/>
        </w:rPr>
      </w:pPr>
    </w:p>
    <w:p>
      <w:pPr>
        <w:spacing w:line="336" w:lineRule="auto"/>
        <w:rPr>
          <w:rFonts w:asciiTheme="minorEastAsia" w:hAnsiTheme="minorEastAsia" w:eastAsiaTheme="minorEastAsia" w:cstheme="minorEastAsia"/>
          <w:color w:val="auto"/>
          <w:highlight w:val="none"/>
        </w:rPr>
        <w:sectPr>
          <w:pgSz w:w="11906" w:h="16838"/>
          <w:pgMar w:top="2098" w:right="1446" w:bottom="1984" w:left="1446" w:header="851" w:footer="1446" w:gutter="0"/>
          <w:cols w:space="0" w:num="1"/>
          <w:titlePg/>
          <w:docGrid w:linePitch="312" w:charSpace="0"/>
        </w:sectPr>
      </w:pPr>
      <w:r>
        <w:rPr>
          <w:rFonts w:hint="eastAsia" w:asciiTheme="minorEastAsia" w:hAnsiTheme="minorEastAsia" w:eastAsiaTheme="minorEastAsia" w:cstheme="minorEastAsia"/>
          <w:color w:val="auto"/>
          <w:highlight w:val="none"/>
        </w:rPr>
        <w:t>备注：最终以电子交易平台生成版本为准。</w:t>
      </w:r>
    </w:p>
    <w:p>
      <w:pPr>
        <w:spacing w:line="336" w:lineRule="auto"/>
        <w:rPr>
          <w:rFonts w:ascii="黑体" w:hAnsi="黑体" w:eastAsia="黑体" w:cs="黑体"/>
          <w:bCs/>
          <w:color w:val="auto"/>
          <w:sz w:val="24"/>
          <w:highlight w:val="none"/>
        </w:rPr>
      </w:pPr>
      <w:bookmarkStart w:id="982" w:name="_Toc168475700"/>
      <w:bookmarkStart w:id="983" w:name="_Toc387753572"/>
      <w:bookmarkStart w:id="984" w:name="_Toc144974552"/>
      <w:bookmarkStart w:id="985" w:name="_Toc221950348"/>
      <w:bookmarkStart w:id="986" w:name="_Toc168476103"/>
      <w:bookmarkStart w:id="987" w:name="_Toc21658"/>
      <w:bookmarkStart w:id="988" w:name="_Toc1947001118"/>
      <w:bookmarkStart w:id="989" w:name="_Toc1406990118"/>
      <w:bookmarkStart w:id="990" w:name="_Toc24574"/>
      <w:bookmarkStart w:id="991" w:name="_Toc31908"/>
      <w:bookmarkStart w:id="992" w:name="_Toc6256"/>
      <w:bookmarkStart w:id="993" w:name="_Toc21593"/>
      <w:bookmarkStart w:id="994" w:name="_Toc31091"/>
      <w:r>
        <w:rPr>
          <w:rFonts w:hint="eastAsia" w:ascii="黑体" w:hAnsi="黑体" w:eastAsia="黑体" w:cs="黑体"/>
          <w:bCs/>
          <w:color w:val="auto"/>
          <w:sz w:val="24"/>
          <w:highlight w:val="none"/>
        </w:rPr>
        <w:t>附表十：</w:t>
      </w:r>
      <w:bookmarkEnd w:id="982"/>
      <w:bookmarkEnd w:id="983"/>
      <w:bookmarkEnd w:id="984"/>
      <w:bookmarkEnd w:id="985"/>
      <w:bookmarkEnd w:id="986"/>
      <w:bookmarkStart w:id="995" w:name="_Toc221950349"/>
      <w:r>
        <w:rPr>
          <w:rFonts w:hint="eastAsia" w:ascii="黑体" w:hAnsi="黑体" w:eastAsia="黑体" w:cs="黑体"/>
          <w:bCs/>
          <w:color w:val="auto"/>
          <w:sz w:val="24"/>
          <w:highlight w:val="none"/>
        </w:rPr>
        <w:t>中标结果通知书</w:t>
      </w:r>
      <w:bookmarkEnd w:id="987"/>
      <w:bookmarkEnd w:id="988"/>
      <w:bookmarkEnd w:id="989"/>
      <w:bookmarkEnd w:id="990"/>
      <w:bookmarkEnd w:id="991"/>
      <w:bookmarkEnd w:id="992"/>
      <w:bookmarkEnd w:id="993"/>
      <w:bookmarkEnd w:id="994"/>
      <w:bookmarkEnd w:id="995"/>
    </w:p>
    <w:p>
      <w:pPr>
        <w:spacing w:line="336" w:lineRule="auto"/>
        <w:rPr>
          <w:rFonts w:ascii="宋体" w:hAnsi="宋体" w:cs="宋体"/>
          <w:b/>
          <w:color w:val="auto"/>
          <w:sz w:val="28"/>
          <w:szCs w:val="28"/>
          <w:highlight w:val="none"/>
        </w:rPr>
      </w:pPr>
    </w:p>
    <w:p>
      <w:pPr>
        <w:spacing w:line="336" w:lineRule="auto"/>
        <w:rPr>
          <w:rFonts w:ascii="宋体" w:hAnsi="宋体" w:cs="宋体"/>
          <w:b/>
          <w:color w:val="auto"/>
          <w:sz w:val="28"/>
          <w:szCs w:val="28"/>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pPr>
        <w:autoSpaceDE w:val="0"/>
        <w:autoSpaceDN w:val="0"/>
        <w:adjustRightInd w:val="0"/>
        <w:spacing w:line="336" w:lineRule="auto"/>
        <w:jc w:val="left"/>
        <w:rPr>
          <w:rFonts w:ascii="微软雅黑" w:eastAsia="微软雅黑" w:cs="微软雅黑"/>
          <w:color w:val="auto"/>
          <w:kern w:val="0"/>
          <w:sz w:val="20"/>
          <w:szCs w:val="20"/>
          <w:highlight w:val="none"/>
        </w:rPr>
      </w:pPr>
    </w:p>
    <w:p>
      <w:pPr>
        <w:autoSpaceDE w:val="0"/>
        <w:autoSpaceDN w:val="0"/>
        <w:adjustRightInd w:val="0"/>
        <w:spacing w:line="336" w:lineRule="auto"/>
        <w:jc w:val="left"/>
        <w:rPr>
          <w:rFonts w:ascii="微软雅黑" w:eastAsia="微软雅黑" w:cs="微软雅黑"/>
          <w:color w:val="auto"/>
          <w:kern w:val="0"/>
          <w:sz w:val="24"/>
          <w:highlight w:val="none"/>
        </w:rPr>
      </w:pPr>
    </w:p>
    <w:p>
      <w:pPr>
        <w:spacing w:line="336" w:lineRule="auto"/>
        <w:rPr>
          <w:color w:val="auto"/>
          <w:highlight w:val="none"/>
        </w:rPr>
      </w:pPr>
      <w:r>
        <w:rPr>
          <w:color w:val="auto"/>
          <w:highlight w:val="none"/>
          <w:u w:val="single"/>
        </w:rPr>
        <w:tab/>
      </w:r>
      <w:r>
        <w:rPr>
          <w:rFonts w:hint="eastAsia"/>
          <w:color w:val="auto"/>
          <w:highlight w:val="none"/>
        </w:rPr>
        <w:t>（未中标人名称）：</w:t>
      </w:r>
    </w:p>
    <w:p>
      <w:pPr>
        <w:spacing w:line="336" w:lineRule="auto"/>
        <w:ind w:firstLine="420" w:firstLineChars="200"/>
        <w:rPr>
          <w:color w:val="auto"/>
          <w:highlight w:val="none"/>
        </w:rPr>
      </w:pPr>
    </w:p>
    <w:p>
      <w:pPr>
        <w:spacing w:line="336" w:lineRule="auto"/>
        <w:ind w:firstLine="420" w:firstLineChars="200"/>
        <w:rPr>
          <w:color w:val="auto"/>
          <w:highlight w:val="none"/>
        </w:rPr>
      </w:pPr>
      <w:r>
        <w:rPr>
          <w:rFonts w:hint="eastAsia"/>
          <w:color w:val="auto"/>
          <w:highlight w:val="none"/>
        </w:rPr>
        <w:t>我方已接受</w:t>
      </w:r>
      <w:r>
        <w:rPr>
          <w:color w:val="auto"/>
          <w:highlight w:val="none"/>
          <w:u w:val="single"/>
        </w:rPr>
        <w:tab/>
      </w:r>
      <w:r>
        <w:rPr>
          <w:rFonts w:hint="eastAsia"/>
          <w:color w:val="auto"/>
          <w:highlight w:val="none"/>
          <w:u w:val="single"/>
        </w:rPr>
        <w:t xml:space="preserve">     </w:t>
      </w:r>
      <w:r>
        <w:rPr>
          <w:rFonts w:hint="eastAsia"/>
          <w:color w:val="auto"/>
          <w:highlight w:val="none"/>
        </w:rPr>
        <w:t>（中标人名称）于</w:t>
      </w:r>
      <w:r>
        <w:rPr>
          <w:color w:val="auto"/>
          <w:highlight w:val="none"/>
          <w:u w:val="single"/>
        </w:rPr>
        <w:tab/>
      </w:r>
      <w:r>
        <w:rPr>
          <w:rFonts w:hint="eastAsia"/>
          <w:color w:val="auto"/>
          <w:highlight w:val="none"/>
        </w:rPr>
        <w:t>（投标日期）所递交的</w:t>
      </w:r>
      <w:r>
        <w:rPr>
          <w:rFonts w:hint="eastAsia"/>
          <w:color w:val="auto"/>
          <w:highlight w:val="none"/>
          <w:u w:val="single"/>
        </w:rPr>
        <w:t xml:space="preserve">     </w:t>
      </w:r>
      <w:r>
        <w:rPr>
          <w:color w:val="auto"/>
          <w:highlight w:val="none"/>
        </w:rPr>
        <w:t>（项目名称）</w:t>
      </w:r>
      <w:r>
        <w:rPr>
          <w:rFonts w:hint="eastAsia"/>
          <w:color w:val="auto"/>
          <w:highlight w:val="none"/>
          <w:u w:val="single"/>
        </w:rPr>
        <w:t xml:space="preserve">     </w:t>
      </w:r>
      <w:r>
        <w:rPr>
          <w:color w:val="auto"/>
          <w:highlight w:val="none"/>
        </w:rPr>
        <w:t>（标段名称）</w:t>
      </w:r>
      <w:r>
        <w:rPr>
          <w:rFonts w:hint="eastAsia"/>
          <w:color w:val="auto"/>
          <w:highlight w:val="none"/>
        </w:rPr>
        <w:t>施工招标的投标文件，确定</w:t>
      </w:r>
      <w:r>
        <w:rPr>
          <w:color w:val="auto"/>
          <w:highlight w:val="none"/>
          <w:u w:val="single"/>
        </w:rPr>
        <w:tab/>
      </w:r>
      <w:r>
        <w:rPr>
          <w:rFonts w:hint="eastAsia"/>
          <w:color w:val="auto"/>
          <w:highlight w:val="none"/>
        </w:rPr>
        <w:t>（中标人名称）为中标人。</w:t>
      </w:r>
    </w:p>
    <w:p>
      <w:pPr>
        <w:spacing w:line="336" w:lineRule="auto"/>
        <w:ind w:firstLine="420" w:firstLineChars="200"/>
        <w:rPr>
          <w:color w:val="auto"/>
          <w:highlight w:val="none"/>
        </w:rPr>
      </w:pPr>
      <w:r>
        <w:rPr>
          <w:rFonts w:hint="eastAsia"/>
          <w:color w:val="auto"/>
          <w:highlight w:val="none"/>
        </w:rPr>
        <w:t>感谢你单位对招标项目的参与！</w:t>
      </w: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ind w:firstLine="420" w:firstLineChars="200"/>
        <w:rPr>
          <w:color w:val="auto"/>
          <w:highlight w:val="none"/>
        </w:rPr>
      </w:pPr>
    </w:p>
    <w:p>
      <w:pPr>
        <w:spacing w:line="336" w:lineRule="auto"/>
        <w:jc w:val="right"/>
        <w:rPr>
          <w:rFonts w:ascii="宋体" w:hAnsi="宋体" w:cs="宋体"/>
          <w:color w:val="auto"/>
          <w:szCs w:val="21"/>
          <w:highlight w:val="none"/>
        </w:rPr>
      </w:pPr>
      <w:bookmarkStart w:id="996" w:name="_Toc221950353"/>
      <w:r>
        <w:rPr>
          <w:rFonts w:hint="eastAsia" w:ascii="宋体" w:hAnsi="宋体" w:cs="宋体"/>
          <w:color w:val="auto"/>
          <w:szCs w:val="21"/>
          <w:highlight w:val="none"/>
        </w:rPr>
        <w:t>招标人：（盖单位章）</w:t>
      </w:r>
      <w:bookmarkEnd w:id="996"/>
    </w:p>
    <w:p>
      <w:pPr>
        <w:spacing w:line="336" w:lineRule="auto"/>
        <w:jc w:val="right"/>
        <w:rPr>
          <w:rFonts w:ascii="宋体" w:hAnsi="宋体" w:cs="宋体"/>
          <w:color w:val="auto"/>
          <w:szCs w:val="21"/>
          <w:highlight w:val="none"/>
        </w:rPr>
      </w:pPr>
    </w:p>
    <w:p>
      <w:pPr>
        <w:spacing w:line="336" w:lineRule="auto"/>
        <w:jc w:val="right"/>
        <w:rPr>
          <w:rFonts w:ascii="宋体" w:hAnsi="宋体" w:cs="宋体"/>
          <w:color w:val="auto"/>
          <w:szCs w:val="21"/>
          <w:highlight w:val="none"/>
        </w:rPr>
      </w:pPr>
      <w:bookmarkStart w:id="997" w:name="_Toc221950354"/>
      <w:r>
        <w:rPr>
          <w:rFonts w:hint="eastAsia" w:ascii="宋体" w:hAnsi="宋体" w:cs="宋体"/>
          <w:color w:val="auto"/>
          <w:szCs w:val="21"/>
          <w:highlight w:val="none"/>
        </w:rPr>
        <w:t>法定代表人：（签字）</w:t>
      </w:r>
      <w:bookmarkEnd w:id="997"/>
    </w:p>
    <w:p>
      <w:pPr>
        <w:spacing w:line="336" w:lineRule="auto"/>
        <w:jc w:val="right"/>
        <w:rPr>
          <w:rFonts w:ascii="宋体" w:hAnsi="宋体" w:cs="宋体"/>
          <w:color w:val="auto"/>
          <w:szCs w:val="21"/>
          <w:highlight w:val="none"/>
        </w:rPr>
      </w:pPr>
    </w:p>
    <w:p>
      <w:pPr>
        <w:wordWrap w:val="0"/>
        <w:spacing w:line="336" w:lineRule="auto"/>
        <w:jc w:val="right"/>
        <w:rPr>
          <w:rFonts w:ascii="宋体" w:hAnsi="宋体" w:cs="宋体"/>
          <w:color w:val="auto"/>
          <w:szCs w:val="21"/>
          <w:highlight w:val="none"/>
        </w:rPr>
      </w:pPr>
      <w:bookmarkStart w:id="998" w:name="_Toc221950355"/>
      <w:r>
        <w:rPr>
          <w:rFonts w:hint="eastAsia" w:ascii="宋体" w:hAnsi="宋体" w:cs="宋体"/>
          <w:color w:val="auto"/>
          <w:szCs w:val="21"/>
          <w:highlight w:val="none"/>
        </w:rPr>
        <w:t>年  月  日</w:t>
      </w:r>
      <w:bookmarkEnd w:id="998"/>
    </w:p>
    <w:p>
      <w:pPr>
        <w:spacing w:line="336" w:lineRule="auto"/>
        <w:jc w:val="right"/>
        <w:rPr>
          <w:rFonts w:ascii="宋体" w:hAnsi="宋体" w:cs="宋体"/>
          <w:color w:val="auto"/>
          <w:szCs w:val="21"/>
          <w:highlight w:val="none"/>
        </w:rPr>
      </w:pPr>
    </w:p>
    <w:p>
      <w:pPr>
        <w:spacing w:line="336" w:lineRule="auto"/>
        <w:jc w:val="left"/>
        <w:rPr>
          <w:rFonts w:ascii="宋体" w:hAnsi="宋体" w:cs="宋体"/>
          <w:color w:val="auto"/>
          <w:szCs w:val="21"/>
          <w:highlight w:val="none"/>
        </w:rPr>
      </w:pPr>
    </w:p>
    <w:p>
      <w:pPr>
        <w:spacing w:line="336" w:lineRule="auto"/>
        <w:jc w:val="left"/>
        <w:rPr>
          <w:rFonts w:ascii="宋体" w:hAnsi="宋体" w:cs="宋体"/>
          <w:color w:val="auto"/>
          <w:szCs w:val="21"/>
          <w:highlight w:val="none"/>
        </w:rPr>
      </w:pPr>
    </w:p>
    <w:p>
      <w:pPr>
        <w:spacing w:line="336" w:lineRule="auto"/>
        <w:jc w:val="left"/>
        <w:rPr>
          <w:rFonts w:asciiTheme="minorEastAsia" w:hAnsiTheme="minorEastAsia" w:eastAsiaTheme="minorEastAsia" w:cstheme="minorEastAsia"/>
          <w:color w:val="auto"/>
          <w:szCs w:val="21"/>
          <w:highlight w:val="none"/>
        </w:rPr>
      </w:pPr>
    </w:p>
    <w:p>
      <w:pPr>
        <w:spacing w:line="336" w:lineRule="auto"/>
        <w:jc w:val="left"/>
        <w:rPr>
          <w:rFonts w:asciiTheme="minorEastAsia" w:hAnsiTheme="minorEastAsia" w:eastAsiaTheme="minorEastAsia" w:cstheme="minorEastAsia"/>
          <w:color w:val="auto"/>
          <w:szCs w:val="21"/>
          <w:highlight w:val="none"/>
        </w:rPr>
      </w:pPr>
    </w:p>
    <w:p>
      <w:pPr>
        <w:spacing w:line="336" w:lineRule="auto"/>
        <w:rPr>
          <w:rFonts w:asciiTheme="minorEastAsia" w:hAnsiTheme="minorEastAsia" w:eastAsiaTheme="minorEastAsia" w:cstheme="minorEastAsia"/>
          <w:color w:val="auto"/>
          <w:highlight w:val="none"/>
        </w:rPr>
        <w:sectPr>
          <w:pgSz w:w="11906" w:h="16838"/>
          <w:pgMar w:top="2098" w:right="1446" w:bottom="1984" w:left="1446" w:header="851" w:footer="1446" w:gutter="0"/>
          <w:cols w:space="0" w:num="1"/>
          <w:titlePg/>
          <w:docGrid w:linePitch="312" w:charSpace="0"/>
        </w:sectPr>
      </w:pPr>
      <w:r>
        <w:rPr>
          <w:rFonts w:hint="eastAsia" w:asciiTheme="minorEastAsia" w:hAnsiTheme="minorEastAsia" w:eastAsiaTheme="minorEastAsia" w:cstheme="minorEastAsia"/>
          <w:color w:val="auto"/>
          <w:highlight w:val="none"/>
        </w:rPr>
        <w:t>备注：最终以电子交易平台生成版本为准。</w:t>
      </w:r>
    </w:p>
    <w:p>
      <w:pPr>
        <w:pStyle w:val="4"/>
        <w:keepNext w:val="0"/>
        <w:keepLines w:val="0"/>
        <w:spacing w:line="336" w:lineRule="auto"/>
        <w:rPr>
          <w:rFonts w:ascii="黑体" w:hAnsi="黑体" w:eastAsia="黑体" w:cs="黑体"/>
          <w:b w:val="0"/>
          <w:color w:val="auto"/>
          <w:highlight w:val="none"/>
        </w:rPr>
      </w:pPr>
      <w:bookmarkStart w:id="999" w:name="_Toc30320"/>
      <w:bookmarkStart w:id="1000" w:name="_Toc85699764"/>
      <w:bookmarkStart w:id="1001" w:name="_Toc31531"/>
      <w:bookmarkStart w:id="1002" w:name="_Toc14733"/>
      <w:bookmarkStart w:id="1003" w:name="_Toc1921617927"/>
      <w:bookmarkStart w:id="1004" w:name="_Toc403382446"/>
      <w:bookmarkStart w:id="1005" w:name="_Toc6281"/>
      <w:bookmarkStart w:id="1006" w:name="_Toc16684"/>
      <w:bookmarkStart w:id="1007" w:name="_Toc1615"/>
      <w:r>
        <w:rPr>
          <w:rFonts w:hint="eastAsia" w:ascii="黑体" w:hAnsi="黑体" w:eastAsia="黑体" w:cs="黑体"/>
          <w:b w:val="0"/>
          <w:color w:val="auto"/>
          <w:highlight w:val="none"/>
        </w:rPr>
        <w:t>附表十一：异议函</w:t>
      </w:r>
      <w:bookmarkEnd w:id="999"/>
      <w:bookmarkEnd w:id="1000"/>
      <w:bookmarkEnd w:id="1001"/>
      <w:bookmarkEnd w:id="1002"/>
      <w:bookmarkEnd w:id="1003"/>
      <w:bookmarkEnd w:id="1004"/>
      <w:bookmarkEnd w:id="1005"/>
      <w:bookmarkEnd w:id="1006"/>
      <w:bookmarkEnd w:id="1007"/>
    </w:p>
    <w:p>
      <w:pPr>
        <w:spacing w:line="336" w:lineRule="auto"/>
        <w:rPr>
          <w:rFonts w:ascii="仿宋_GB2312" w:eastAsia="仿宋_GB2312"/>
          <w:b/>
          <w:color w:val="auto"/>
          <w:sz w:val="28"/>
          <w:szCs w:val="28"/>
          <w:highlight w:val="none"/>
        </w:rPr>
      </w:pPr>
    </w:p>
    <w:p>
      <w:pPr>
        <w:spacing w:line="336" w:lineRule="auto"/>
        <w:rPr>
          <w:rFonts w:ascii="仿宋_GB2312" w:eastAsia="仿宋_GB2312"/>
          <w:b/>
          <w:color w:val="auto"/>
          <w:sz w:val="28"/>
          <w:szCs w:val="28"/>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异议函</w:t>
      </w:r>
    </w:p>
    <w:p>
      <w:pPr>
        <w:spacing w:line="336" w:lineRule="auto"/>
        <w:rPr>
          <w:rFonts w:ascii="宋体" w:hAnsi="宋体"/>
          <w:color w:val="auto"/>
          <w:szCs w:val="21"/>
          <w:highlight w:val="none"/>
        </w:rPr>
      </w:pPr>
    </w:p>
    <w:p>
      <w:pPr>
        <w:spacing w:line="336" w:lineRule="auto"/>
        <w:ind w:firstLine="420"/>
        <w:rPr>
          <w:rFonts w:ascii="宋体" w:hAnsi="宋体"/>
          <w:color w:val="auto"/>
          <w:szCs w:val="21"/>
          <w:highlight w:val="none"/>
        </w:rPr>
      </w:pPr>
      <w:r>
        <w:rPr>
          <w:rFonts w:hint="eastAsia" w:ascii="宋体" w:hAnsi="宋体"/>
          <w:color w:val="auto"/>
          <w:szCs w:val="21"/>
          <w:highlight w:val="none"/>
        </w:rPr>
        <w:t xml:space="preserve">                                                              编号：</w:t>
      </w:r>
      <w:r>
        <w:rPr>
          <w:rFonts w:hint="eastAsia" w:ascii="宋体" w:hAnsi="宋体"/>
          <w:color w:val="auto"/>
          <w:szCs w:val="21"/>
          <w:highlight w:val="none"/>
          <w:u w:val="single"/>
        </w:rPr>
        <w:t>　        　</w:t>
      </w:r>
    </w:p>
    <w:p>
      <w:pPr>
        <w:spacing w:line="336" w:lineRule="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pPr>
        <w:spacing w:line="336" w:lineRule="auto"/>
        <w:ind w:firstLine="420"/>
        <w:rPr>
          <w:rFonts w:ascii="宋体" w:hAnsi="宋体"/>
          <w:color w:val="auto"/>
          <w:szCs w:val="21"/>
          <w:highlight w:val="none"/>
        </w:rPr>
      </w:pPr>
      <w:r>
        <w:rPr>
          <w:rFonts w:hint="eastAsia" w:ascii="宋体" w:hAnsi="宋体"/>
          <w:color w:val="auto"/>
          <w:szCs w:val="21"/>
          <w:highlight w:val="none"/>
        </w:rPr>
        <w:t>我方已研究（看到）你方发出的</w:t>
      </w:r>
      <w:r>
        <w:rPr>
          <w:rFonts w:ascii="宋体" w:hAnsi="宋体"/>
          <w:color w:val="auto"/>
          <w:szCs w:val="21"/>
          <w:highlight w:val="none"/>
          <w:u w:val="single"/>
        </w:rPr>
        <w:t xml:space="preserve">　  </w:t>
      </w:r>
      <w:r>
        <w:rPr>
          <w:rFonts w:ascii="宋体" w:hAnsi="宋体"/>
          <w:color w:val="auto"/>
          <w:szCs w:val="21"/>
          <w:highlight w:val="none"/>
        </w:rPr>
        <w:t xml:space="preserve"> （项目名称）</w:t>
      </w:r>
      <w:r>
        <w:rPr>
          <w:rFonts w:hint="eastAsia"/>
          <w:color w:val="auto"/>
          <w:highlight w:val="none"/>
          <w:u w:val="single"/>
        </w:rPr>
        <w:t xml:space="preserve">     </w:t>
      </w:r>
      <w:r>
        <w:rPr>
          <w:color w:val="auto"/>
          <w:highlight w:val="none"/>
        </w:rPr>
        <w:t>（标段名称）</w:t>
      </w:r>
      <w:r>
        <w:rPr>
          <w:rFonts w:hint="eastAsia" w:ascii="宋体" w:hAnsi="宋体"/>
          <w:color w:val="auto"/>
          <w:szCs w:val="21"/>
          <w:highlight w:val="none"/>
        </w:rPr>
        <w:t>施工招标文件（或评标结果公示），现对下列问题提出异议，请予以解释：</w:t>
      </w:r>
    </w:p>
    <w:p>
      <w:pPr>
        <w:spacing w:line="336" w:lineRule="auto"/>
        <w:ind w:firstLine="420"/>
        <w:rPr>
          <w:rFonts w:ascii="宋体" w:hAnsi="宋体"/>
          <w:color w:val="auto"/>
          <w:szCs w:val="21"/>
          <w:highlight w:val="none"/>
        </w:rPr>
      </w:pPr>
      <w:r>
        <w:rPr>
          <w:rFonts w:hint="eastAsia" w:ascii="宋体" w:hAnsi="宋体"/>
          <w:color w:val="auto"/>
          <w:szCs w:val="21"/>
          <w:highlight w:val="none"/>
        </w:rPr>
        <w:t>　　</w:t>
      </w:r>
      <w:r>
        <w:rPr>
          <w:rFonts w:hint="eastAsia"/>
          <w:color w:val="auto"/>
          <w:szCs w:val="21"/>
          <w:highlight w:val="none"/>
        </w:rPr>
        <w:t>1</w:t>
      </w:r>
      <w:r>
        <w:rPr>
          <w:rFonts w:hint="eastAsia" w:ascii="宋体" w:hAnsi="宋体"/>
          <w:color w:val="auto"/>
          <w:szCs w:val="21"/>
          <w:highlight w:val="none"/>
        </w:rPr>
        <w:t>.……</w:t>
      </w:r>
    </w:p>
    <w:p>
      <w:pPr>
        <w:spacing w:line="336" w:lineRule="auto"/>
        <w:ind w:firstLine="420"/>
        <w:rPr>
          <w:rFonts w:ascii="宋体" w:hAnsi="宋体"/>
          <w:color w:val="auto"/>
          <w:szCs w:val="21"/>
          <w:highlight w:val="none"/>
        </w:rPr>
      </w:pPr>
      <w:r>
        <w:rPr>
          <w:rFonts w:hint="eastAsia" w:ascii="宋体" w:hAnsi="宋体"/>
          <w:color w:val="auto"/>
          <w:szCs w:val="21"/>
          <w:highlight w:val="none"/>
        </w:rPr>
        <w:t>　　</w:t>
      </w:r>
      <w:r>
        <w:rPr>
          <w:rFonts w:hint="eastAsia"/>
          <w:color w:val="auto"/>
          <w:szCs w:val="21"/>
          <w:highlight w:val="none"/>
        </w:rPr>
        <w:t>2</w:t>
      </w:r>
      <w:r>
        <w:rPr>
          <w:rFonts w:hint="eastAsia" w:ascii="宋体" w:hAnsi="宋体"/>
          <w:color w:val="auto"/>
          <w:szCs w:val="21"/>
          <w:highlight w:val="none"/>
        </w:rPr>
        <w:t>.……</w:t>
      </w:r>
    </w:p>
    <w:p>
      <w:pPr>
        <w:spacing w:line="336" w:lineRule="auto"/>
        <w:ind w:firstLine="420"/>
        <w:rPr>
          <w:rFonts w:ascii="宋体" w:hAnsi="宋体"/>
          <w:color w:val="auto"/>
          <w:szCs w:val="21"/>
          <w:highlight w:val="none"/>
        </w:rPr>
      </w:pPr>
    </w:p>
    <w:p>
      <w:pPr>
        <w:spacing w:line="336" w:lineRule="auto"/>
        <w:ind w:firstLine="420"/>
        <w:rPr>
          <w:rFonts w:ascii="宋体" w:hAnsi="宋体"/>
          <w:color w:val="auto"/>
          <w:szCs w:val="21"/>
          <w:highlight w:val="none"/>
        </w:rPr>
      </w:pPr>
      <w:r>
        <w:rPr>
          <w:rFonts w:hint="eastAsia" w:ascii="宋体" w:hAnsi="宋体"/>
          <w:color w:val="auto"/>
          <w:szCs w:val="21"/>
          <w:highlight w:val="none"/>
        </w:rPr>
        <w:t>　　　　　　　　　　　　　　　投标人或利害关系人：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36" w:lineRule="auto"/>
        <w:ind w:firstLine="420"/>
        <w:rPr>
          <w:rFonts w:ascii="宋体" w:hAnsi="宋体"/>
          <w:color w:val="auto"/>
          <w:szCs w:val="21"/>
          <w:highlight w:val="none"/>
        </w:rPr>
      </w:pPr>
      <w:r>
        <w:rPr>
          <w:rFonts w:hint="eastAsia" w:ascii="宋体" w:hAnsi="宋体"/>
          <w:color w:val="auto"/>
          <w:szCs w:val="21"/>
          <w:highlight w:val="none"/>
        </w:rPr>
        <w:t>　　　　　　　　　　　　　　　法定代表人：</w:t>
      </w:r>
      <w:r>
        <w:rPr>
          <w:rFonts w:hint="eastAsia" w:ascii="宋体" w:hAnsi="宋体"/>
          <w:color w:val="auto"/>
          <w:szCs w:val="21"/>
          <w:highlight w:val="none"/>
          <w:u w:val="single"/>
        </w:rPr>
        <w:t>　　　              　　　　</w:t>
      </w:r>
      <w:r>
        <w:rPr>
          <w:rFonts w:hint="eastAsia" w:ascii="宋体" w:hAnsi="宋体"/>
          <w:color w:val="auto"/>
          <w:szCs w:val="21"/>
          <w:highlight w:val="none"/>
        </w:rPr>
        <w:t>(签字)</w:t>
      </w:r>
    </w:p>
    <w:p>
      <w:pPr>
        <w:spacing w:line="336" w:lineRule="auto"/>
        <w:ind w:firstLine="42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pPr>
        <w:spacing w:line="336" w:lineRule="auto"/>
        <w:rPr>
          <w:color w:val="auto"/>
          <w:szCs w:val="21"/>
          <w:highlight w:val="none"/>
        </w:rPr>
      </w:pPr>
    </w:p>
    <w:p>
      <w:pPr>
        <w:spacing w:line="336" w:lineRule="auto"/>
        <w:rPr>
          <w:color w:val="auto"/>
          <w:szCs w:val="21"/>
          <w:highlight w:val="none"/>
        </w:rPr>
      </w:pPr>
    </w:p>
    <w:p>
      <w:pPr>
        <w:spacing w:line="336" w:lineRule="auto"/>
        <w:ind w:firstLine="420"/>
        <w:jc w:val="right"/>
        <w:rPr>
          <w:rFonts w:ascii="仿宋_GB2312" w:eastAsia="仿宋_GB2312"/>
          <w:color w:val="auto"/>
          <w:szCs w:val="21"/>
          <w:highlight w:val="none"/>
        </w:rPr>
      </w:pPr>
    </w:p>
    <w:p>
      <w:pPr>
        <w:spacing w:line="336" w:lineRule="auto"/>
        <w:ind w:firstLine="420"/>
        <w:jc w:val="right"/>
        <w:rPr>
          <w:rFonts w:ascii="仿宋_GB2312" w:eastAsia="仿宋_GB2312"/>
          <w:color w:val="auto"/>
          <w:szCs w:val="21"/>
          <w:highlight w:val="none"/>
        </w:rPr>
      </w:pPr>
    </w:p>
    <w:p>
      <w:pPr>
        <w:spacing w:line="336" w:lineRule="auto"/>
        <w:ind w:firstLine="420"/>
        <w:jc w:val="right"/>
        <w:rPr>
          <w:rFonts w:asciiTheme="minorEastAsia" w:hAnsiTheme="minorEastAsia" w:eastAsiaTheme="minorEastAsia" w:cstheme="minorEastAsia"/>
          <w:color w:val="auto"/>
          <w:szCs w:val="21"/>
          <w:highlight w:val="none"/>
        </w:rPr>
      </w:pPr>
    </w:p>
    <w:p>
      <w:pPr>
        <w:spacing w:line="336" w:lineRule="auto"/>
        <w:ind w:firstLine="420"/>
        <w:jc w:val="right"/>
        <w:rPr>
          <w:rFonts w:asciiTheme="minorEastAsia" w:hAnsiTheme="minorEastAsia" w:eastAsiaTheme="minorEastAsia" w:cstheme="minorEastAsia"/>
          <w:color w:val="auto"/>
          <w:szCs w:val="21"/>
          <w:highlight w:val="none"/>
        </w:rPr>
      </w:pPr>
    </w:p>
    <w:p>
      <w:pPr>
        <w:spacing w:line="336" w:lineRule="auto"/>
        <w:ind w:left="630" w:hanging="630" w:hangingChars="300"/>
        <w:rPr>
          <w:rFonts w:asciiTheme="minorEastAsia" w:hAnsiTheme="minorEastAsia" w:eastAsiaTheme="minorEastAsia" w:cstheme="minorEastAsia"/>
          <w:color w:val="auto"/>
          <w:spacing w:val="-6"/>
          <w:highlight w:val="none"/>
        </w:rPr>
        <w:sectPr>
          <w:pgSz w:w="11906" w:h="16838"/>
          <w:pgMar w:top="2098" w:right="1446" w:bottom="1984" w:left="1446" w:header="851" w:footer="1446" w:gutter="0"/>
          <w:cols w:space="0" w:num="1"/>
          <w:titlePg/>
          <w:docGrid w:linePitch="312" w:charSpace="0"/>
        </w:sectPr>
      </w:pPr>
      <w:r>
        <w:rPr>
          <w:rFonts w:hint="eastAsia" w:asciiTheme="minorEastAsia" w:hAnsiTheme="minorEastAsia" w:eastAsiaTheme="minorEastAsia" w:cstheme="minorEastAsia"/>
          <w:color w:val="auto"/>
          <w:highlight w:val="none"/>
        </w:rPr>
        <w:t>备注：</w:t>
      </w:r>
      <w:r>
        <w:rPr>
          <w:rFonts w:hint="eastAsia" w:asciiTheme="minorEastAsia" w:hAnsiTheme="minorEastAsia" w:eastAsiaTheme="minorEastAsia" w:cstheme="minorEastAsia"/>
          <w:color w:val="auto"/>
          <w:spacing w:val="-6"/>
          <w:highlight w:val="none"/>
        </w:rPr>
        <w:t>投标人或利害关系人对招标文件的内容或对评标结果有异议，要求招标人解释的，适用本格式。</w:t>
      </w:r>
      <w:bookmarkStart w:id="1008" w:name="_Toc353544011"/>
      <w:bookmarkStart w:id="1009" w:name="_Toc403382447"/>
    </w:p>
    <w:p>
      <w:pPr>
        <w:pStyle w:val="4"/>
        <w:keepNext w:val="0"/>
        <w:keepLines w:val="0"/>
        <w:spacing w:line="336" w:lineRule="auto"/>
        <w:rPr>
          <w:rFonts w:ascii="黑体" w:hAnsi="黑体" w:eastAsia="黑体" w:cs="黑体"/>
          <w:b w:val="0"/>
          <w:color w:val="auto"/>
          <w:highlight w:val="none"/>
        </w:rPr>
      </w:pPr>
      <w:bookmarkStart w:id="1010" w:name="_Toc3019"/>
      <w:bookmarkStart w:id="1011" w:name="_Toc25495"/>
      <w:bookmarkStart w:id="1012" w:name="_Toc14399"/>
      <w:bookmarkStart w:id="1013" w:name="_Toc130608243"/>
      <w:bookmarkStart w:id="1014" w:name="_Toc1129"/>
      <w:bookmarkStart w:id="1015" w:name="_Toc8468"/>
      <w:bookmarkStart w:id="1016" w:name="_Toc197209400"/>
      <w:bookmarkStart w:id="1017" w:name="_Toc2012"/>
      <w:r>
        <w:rPr>
          <w:rFonts w:hint="eastAsia" w:ascii="黑体" w:hAnsi="黑体" w:eastAsia="黑体" w:cs="黑体"/>
          <w:b w:val="0"/>
          <w:color w:val="auto"/>
          <w:highlight w:val="none"/>
        </w:rPr>
        <w:t>附表十二：异议答复函</w:t>
      </w:r>
      <w:bookmarkEnd w:id="1008"/>
      <w:bookmarkEnd w:id="1009"/>
      <w:bookmarkEnd w:id="1010"/>
      <w:bookmarkEnd w:id="1011"/>
      <w:bookmarkEnd w:id="1012"/>
      <w:bookmarkEnd w:id="1013"/>
      <w:bookmarkEnd w:id="1014"/>
      <w:bookmarkEnd w:id="1015"/>
      <w:bookmarkEnd w:id="1016"/>
      <w:bookmarkEnd w:id="1017"/>
    </w:p>
    <w:p>
      <w:pPr>
        <w:spacing w:line="336" w:lineRule="auto"/>
        <w:rPr>
          <w:rFonts w:hAnsi="黑体" w:eastAsia="黑体"/>
          <w:b/>
          <w:color w:val="auto"/>
          <w:sz w:val="28"/>
          <w:szCs w:val="28"/>
          <w:highlight w:val="none"/>
        </w:rPr>
      </w:pPr>
    </w:p>
    <w:p>
      <w:pPr>
        <w:spacing w:line="336" w:lineRule="auto"/>
        <w:rPr>
          <w:rFonts w:hAnsi="黑体" w:eastAsia="黑体"/>
          <w:b/>
          <w:color w:val="auto"/>
          <w:sz w:val="28"/>
          <w:szCs w:val="28"/>
          <w:highlight w:val="none"/>
        </w:rPr>
      </w:pPr>
    </w:p>
    <w:p>
      <w:pPr>
        <w:spacing w:line="336" w:lineRule="auto"/>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pPr>
        <w:spacing w:line="336" w:lineRule="auto"/>
        <w:ind w:firstLine="420"/>
        <w:rPr>
          <w:rFonts w:ascii="宋体" w:hAnsi="宋体"/>
          <w:color w:val="auto"/>
          <w:szCs w:val="21"/>
          <w:highlight w:val="none"/>
        </w:rPr>
      </w:pPr>
    </w:p>
    <w:p>
      <w:pPr>
        <w:spacing w:line="336" w:lineRule="auto"/>
        <w:ind w:firstLine="420"/>
        <w:rPr>
          <w:rFonts w:ascii="宋体" w:hAnsi="宋体"/>
          <w:color w:val="auto"/>
          <w:szCs w:val="21"/>
          <w:highlight w:val="none"/>
        </w:rPr>
      </w:pPr>
      <w:r>
        <w:rPr>
          <w:rFonts w:hint="eastAsia" w:ascii="宋体" w:hAnsi="宋体"/>
          <w:color w:val="auto"/>
          <w:szCs w:val="21"/>
          <w:highlight w:val="none"/>
        </w:rPr>
        <w:t xml:space="preserve">                                                          编号：</w:t>
      </w:r>
      <w:r>
        <w:rPr>
          <w:rFonts w:hint="eastAsia" w:ascii="宋体" w:hAnsi="宋体"/>
          <w:color w:val="auto"/>
          <w:szCs w:val="21"/>
          <w:highlight w:val="none"/>
          <w:u w:val="single"/>
        </w:rPr>
        <w:t>　        　</w:t>
      </w:r>
    </w:p>
    <w:p>
      <w:pPr>
        <w:spacing w:line="336" w:lineRule="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(投标人或利害关系人名称)：</w:t>
      </w:r>
    </w:p>
    <w:p>
      <w:pPr>
        <w:spacing w:line="336" w:lineRule="auto"/>
        <w:ind w:firstLine="420"/>
        <w:rPr>
          <w:rFonts w:ascii="宋体" w:hAnsi="宋体"/>
          <w:color w:val="auto"/>
          <w:szCs w:val="21"/>
          <w:highlight w:val="none"/>
        </w:rPr>
      </w:pPr>
      <w:r>
        <w:rPr>
          <w:rFonts w:hint="eastAsia" w:ascii="宋体" w:hAnsi="宋体"/>
          <w:color w:val="auto"/>
          <w:szCs w:val="21"/>
          <w:highlight w:val="none"/>
        </w:rPr>
        <w:t>你方提出的有关</w:t>
      </w:r>
      <w:r>
        <w:rPr>
          <w:rFonts w:hint="eastAsia" w:ascii="宋体" w:hAnsi="宋体"/>
          <w:color w:val="auto"/>
          <w:szCs w:val="21"/>
          <w:highlight w:val="none"/>
          <w:u w:val="single"/>
        </w:rPr>
        <w:t>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color w:val="auto"/>
          <w:highlight w:val="none"/>
        </w:rPr>
        <w:t>（标段名称）</w:t>
      </w:r>
      <w:r>
        <w:rPr>
          <w:rFonts w:hint="eastAsia" w:ascii="宋体" w:hAnsi="宋体"/>
          <w:color w:val="auto"/>
          <w:szCs w:val="21"/>
          <w:highlight w:val="none"/>
        </w:rPr>
        <w:t>施工招标文件（或评标结果公示）的异议</w:t>
      </w:r>
      <w:r>
        <w:rPr>
          <w:rFonts w:ascii="宋体" w:hAnsi="宋体"/>
          <w:color w:val="auto"/>
          <w:szCs w:val="21"/>
          <w:highlight w:val="none"/>
        </w:rPr>
        <w:t>已收悉</w:t>
      </w:r>
      <w:r>
        <w:rPr>
          <w:rFonts w:hint="eastAsia" w:ascii="宋体" w:hAnsi="宋体"/>
          <w:color w:val="auto"/>
          <w:szCs w:val="21"/>
          <w:highlight w:val="none"/>
        </w:rPr>
        <w:t>，</w:t>
      </w:r>
      <w:r>
        <w:rPr>
          <w:rFonts w:ascii="宋体" w:hAnsi="宋体"/>
          <w:color w:val="auto"/>
          <w:szCs w:val="21"/>
          <w:highlight w:val="none"/>
        </w:rPr>
        <w:t>现</w:t>
      </w:r>
      <w:r>
        <w:rPr>
          <w:rFonts w:hint="eastAsia" w:ascii="宋体" w:hAnsi="宋体"/>
          <w:color w:val="auto"/>
          <w:szCs w:val="21"/>
          <w:highlight w:val="none"/>
        </w:rPr>
        <w:t>答复如下：</w:t>
      </w:r>
    </w:p>
    <w:p>
      <w:pPr>
        <w:spacing w:line="336" w:lineRule="auto"/>
        <w:ind w:firstLine="42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p>
    <w:p>
      <w:pPr>
        <w:spacing w:line="336" w:lineRule="auto"/>
        <w:ind w:firstLine="420"/>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w:t>
      </w:r>
    </w:p>
    <w:p>
      <w:pPr>
        <w:spacing w:line="336" w:lineRule="auto"/>
        <w:ind w:firstLine="420"/>
        <w:rPr>
          <w:rFonts w:ascii="宋体" w:hAnsi="宋体"/>
          <w:color w:val="auto"/>
          <w:szCs w:val="21"/>
          <w:highlight w:val="none"/>
        </w:rPr>
      </w:pPr>
      <w:r>
        <w:rPr>
          <w:rFonts w:hint="eastAsia" w:ascii="宋体" w:hAnsi="宋体"/>
          <w:color w:val="auto"/>
          <w:szCs w:val="21"/>
          <w:highlight w:val="none"/>
        </w:rPr>
        <w:t>……</w:t>
      </w:r>
    </w:p>
    <w:p>
      <w:pPr>
        <w:spacing w:line="336" w:lineRule="auto"/>
        <w:ind w:firstLine="420"/>
        <w:rPr>
          <w:rFonts w:ascii="宋体" w:hAnsi="宋体"/>
          <w:color w:val="auto"/>
          <w:szCs w:val="21"/>
          <w:highlight w:val="none"/>
        </w:rPr>
      </w:pPr>
    </w:p>
    <w:p>
      <w:pPr>
        <w:spacing w:line="336" w:lineRule="auto"/>
        <w:ind w:firstLine="420"/>
        <w:rPr>
          <w:rFonts w:ascii="宋体" w:hAnsi="宋体"/>
          <w:color w:val="auto"/>
          <w:szCs w:val="21"/>
          <w:highlight w:val="none"/>
        </w:rPr>
      </w:pPr>
    </w:p>
    <w:p>
      <w:pPr>
        <w:spacing w:line="336" w:lineRule="auto"/>
        <w:ind w:firstLine="420"/>
        <w:rPr>
          <w:rFonts w:ascii="宋体" w:hAnsi="宋体"/>
          <w:color w:val="auto"/>
          <w:szCs w:val="21"/>
          <w:highlight w:val="none"/>
        </w:rPr>
      </w:pPr>
    </w:p>
    <w:p>
      <w:pPr>
        <w:spacing w:line="336" w:lineRule="auto"/>
        <w:ind w:firstLine="420"/>
        <w:jc w:val="right"/>
        <w:rPr>
          <w:rFonts w:ascii="宋体" w:hAnsi="宋体"/>
          <w:color w:val="auto"/>
          <w:szCs w:val="21"/>
          <w:highlight w:val="none"/>
        </w:rPr>
      </w:pPr>
      <w:r>
        <w:rPr>
          <w:rFonts w:ascii="宋体" w:hAnsi="宋体"/>
          <w:color w:val="auto"/>
          <w:szCs w:val="21"/>
          <w:highlight w:val="none"/>
        </w:rPr>
        <w:t>招标人： （盖单位章）</w:t>
      </w:r>
    </w:p>
    <w:p>
      <w:pPr>
        <w:spacing w:line="336" w:lineRule="auto"/>
        <w:ind w:firstLine="420"/>
        <w:jc w:val="right"/>
        <w:rPr>
          <w:rFonts w:ascii="宋体" w:hAnsi="宋体"/>
          <w:color w:val="auto"/>
          <w:szCs w:val="21"/>
          <w:highlight w:val="none"/>
        </w:rPr>
      </w:pPr>
    </w:p>
    <w:p>
      <w:pPr>
        <w:spacing w:line="336" w:lineRule="auto"/>
        <w:ind w:firstLine="420"/>
        <w:jc w:val="right"/>
        <w:rPr>
          <w:rFonts w:ascii="宋体" w:hAnsi="宋体"/>
          <w:color w:val="auto"/>
          <w:szCs w:val="21"/>
          <w:highlight w:val="none"/>
        </w:rPr>
        <w:sectPr>
          <w:pgSz w:w="11906" w:h="16838"/>
          <w:pgMar w:top="2098" w:right="1446" w:bottom="1984" w:left="1446" w:header="851" w:footer="1446" w:gutter="0"/>
          <w:cols w:space="0" w:num="1"/>
          <w:titlePg/>
          <w:docGrid w:linePitch="312" w:charSpace="0"/>
        </w:sectPr>
      </w:pP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pStyle w:val="4"/>
        <w:keepNext w:val="0"/>
        <w:keepLines w:val="0"/>
        <w:spacing w:line="336" w:lineRule="auto"/>
        <w:rPr>
          <w:rFonts w:ascii="黑体" w:hAnsi="黑体" w:eastAsia="黑体" w:cs="黑体"/>
          <w:b w:val="0"/>
          <w:color w:val="auto"/>
          <w:highlight w:val="none"/>
        </w:rPr>
      </w:pPr>
      <w:bookmarkStart w:id="1018" w:name="_Toc1884"/>
      <w:bookmarkStart w:id="1019" w:name="_Toc28546"/>
      <w:bookmarkStart w:id="1020" w:name="_Toc1750541562"/>
      <w:bookmarkStart w:id="1021" w:name="_Toc11426"/>
      <w:bookmarkStart w:id="1022" w:name="_Toc534533954"/>
      <w:bookmarkStart w:id="1023" w:name="_Toc26121"/>
      <w:bookmarkStart w:id="1024" w:name="_Toc30014"/>
      <w:bookmarkStart w:id="1025" w:name="_Toc754"/>
      <w:r>
        <w:rPr>
          <w:rFonts w:hint="eastAsia" w:ascii="黑体" w:hAnsi="黑体" w:eastAsia="黑体" w:cs="黑体"/>
          <w:b w:val="0"/>
          <w:color w:val="auto"/>
          <w:highlight w:val="none"/>
        </w:rPr>
        <w:t>附表十三：授权委托书</w:t>
      </w:r>
      <w:bookmarkEnd w:id="1018"/>
      <w:bookmarkEnd w:id="1019"/>
      <w:bookmarkEnd w:id="1020"/>
      <w:bookmarkEnd w:id="1021"/>
      <w:bookmarkEnd w:id="1022"/>
      <w:bookmarkEnd w:id="1023"/>
      <w:bookmarkEnd w:id="1024"/>
      <w:bookmarkEnd w:id="1025"/>
    </w:p>
    <w:p>
      <w:pPr>
        <w:pStyle w:val="4"/>
        <w:keepNext w:val="0"/>
        <w:keepLines w:val="0"/>
        <w:spacing w:line="336" w:lineRule="auto"/>
        <w:rPr>
          <w:rFonts w:ascii="黑体" w:hAnsi="黑体" w:eastAsia="黑体" w:cs="黑体"/>
          <w:b w:val="0"/>
          <w:color w:val="auto"/>
          <w:highlight w:val="none"/>
        </w:rPr>
      </w:pPr>
    </w:p>
    <w:p>
      <w:pPr>
        <w:pStyle w:val="4"/>
        <w:keepNext w:val="0"/>
        <w:keepLines w:val="0"/>
        <w:spacing w:line="336" w:lineRule="auto"/>
        <w:rPr>
          <w:rFonts w:ascii="黑体" w:hAnsi="黑体" w:eastAsia="黑体" w:cs="黑体"/>
          <w:b w:val="0"/>
          <w:color w:val="auto"/>
          <w:highlight w:val="none"/>
        </w:rPr>
      </w:pPr>
    </w:p>
    <w:p>
      <w:pPr>
        <w:spacing w:line="336" w:lineRule="auto"/>
        <w:jc w:val="center"/>
        <w:rPr>
          <w:rFonts w:ascii="黑体" w:eastAsia="黑体"/>
          <w:color w:val="auto"/>
          <w:sz w:val="28"/>
          <w:szCs w:val="28"/>
          <w:highlight w:val="none"/>
        </w:rPr>
      </w:pPr>
      <w:bookmarkStart w:id="1026" w:name="_Toc493254945"/>
      <w:r>
        <w:rPr>
          <w:rFonts w:hint="eastAsia" w:ascii="黑体" w:eastAsia="黑体"/>
          <w:color w:val="auto"/>
          <w:sz w:val="28"/>
          <w:szCs w:val="28"/>
          <w:highlight w:val="none"/>
        </w:rPr>
        <w:t>授权委托书</w:t>
      </w:r>
      <w:bookmarkEnd w:id="1026"/>
    </w:p>
    <w:p>
      <w:pPr>
        <w:spacing w:line="336" w:lineRule="auto"/>
        <w:rPr>
          <w:color w:val="auto"/>
          <w:szCs w:val="21"/>
          <w:highlight w:val="none"/>
        </w:rPr>
      </w:pPr>
    </w:p>
    <w:p>
      <w:pPr>
        <w:spacing w:line="336" w:lineRule="auto"/>
        <w:rPr>
          <w:color w:val="auto"/>
          <w:szCs w:val="21"/>
          <w:highlight w:val="none"/>
        </w:rPr>
      </w:pPr>
      <w:r>
        <w:rPr>
          <w:color w:val="auto"/>
          <w:szCs w:val="21"/>
          <w:highlight w:val="none"/>
        </w:rPr>
        <w:t>致：</w:t>
      </w:r>
      <w:r>
        <w:rPr>
          <w:color w:val="auto"/>
          <w:szCs w:val="21"/>
          <w:highlight w:val="none"/>
          <w:u w:val="single"/>
        </w:rPr>
        <w:t xml:space="preserve">  （招标人全称）  </w:t>
      </w:r>
    </w:p>
    <w:p>
      <w:pPr>
        <w:topLinePunct/>
        <w:spacing w:line="336" w:lineRule="auto"/>
        <w:ind w:firstLine="420" w:firstLineChars="200"/>
        <w:rPr>
          <w:color w:val="auto"/>
          <w:szCs w:val="21"/>
          <w:highlight w:val="none"/>
        </w:rPr>
      </w:pPr>
      <w:r>
        <w:rPr>
          <w:color w:val="auto"/>
          <w:szCs w:val="21"/>
          <w:highlight w:val="none"/>
        </w:rPr>
        <w:t>本人</w:t>
      </w:r>
      <w:r>
        <w:rPr>
          <w:rFonts w:hint="eastAsia"/>
          <w:color w:val="auto"/>
          <w:highlight w:val="none"/>
          <w:u w:val="single"/>
        </w:rPr>
        <w:t xml:space="preserve">     </w:t>
      </w:r>
      <w:r>
        <w:rPr>
          <w:color w:val="auto"/>
          <w:szCs w:val="21"/>
          <w:highlight w:val="none"/>
        </w:rPr>
        <w:t>（姓名）系</w:t>
      </w:r>
      <w:r>
        <w:rPr>
          <w:rFonts w:hint="eastAsia"/>
          <w:color w:val="auto"/>
          <w:highlight w:val="none"/>
          <w:u w:val="single"/>
        </w:rPr>
        <w:t xml:space="preserve">     </w:t>
      </w:r>
      <w:r>
        <w:rPr>
          <w:color w:val="auto"/>
          <w:szCs w:val="21"/>
          <w:highlight w:val="none"/>
        </w:rPr>
        <w:t>（投标人名称）的法定代表人，现委托</w:t>
      </w:r>
      <w:r>
        <w:rPr>
          <w:rFonts w:hint="eastAsia"/>
          <w:color w:val="auto"/>
          <w:highlight w:val="none"/>
          <w:u w:val="single"/>
        </w:rPr>
        <w:t xml:space="preserve">     </w:t>
      </w:r>
      <w:r>
        <w:rPr>
          <w:color w:val="auto"/>
          <w:szCs w:val="21"/>
          <w:highlight w:val="none"/>
        </w:rPr>
        <w:t>（姓名）为我方代理人。代理人根据授权，以我方名义</w:t>
      </w:r>
      <w:r>
        <w:rPr>
          <w:rFonts w:hint="eastAsia"/>
          <w:color w:val="auto"/>
          <w:szCs w:val="21"/>
          <w:highlight w:val="none"/>
        </w:rPr>
        <w:t>处理与</w:t>
      </w:r>
      <w:r>
        <w:rPr>
          <w:rFonts w:hint="eastAsia"/>
          <w:color w:val="auto"/>
          <w:highlight w:val="none"/>
          <w:u w:val="single"/>
        </w:rPr>
        <w:t xml:space="preserve">     </w:t>
      </w:r>
      <w:r>
        <w:rPr>
          <w:rFonts w:hint="eastAsia"/>
          <w:color w:val="auto"/>
          <w:szCs w:val="21"/>
          <w:highlight w:val="none"/>
        </w:rPr>
        <w:t>（项目名称）</w:t>
      </w:r>
      <w:r>
        <w:rPr>
          <w:rFonts w:hint="eastAsia"/>
          <w:color w:val="auto"/>
          <w:highlight w:val="none"/>
          <w:u w:val="single"/>
        </w:rPr>
        <w:t xml:space="preserve">     </w:t>
      </w:r>
      <w:r>
        <w:rPr>
          <w:rFonts w:hint="eastAsia"/>
          <w:color w:val="auto"/>
          <w:szCs w:val="21"/>
          <w:highlight w:val="none"/>
        </w:rPr>
        <w:t>（标段名称）招投标相关的事宜：</w:t>
      </w:r>
    </w:p>
    <w:p>
      <w:pPr>
        <w:topLinePunct/>
        <w:spacing w:line="336"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递交、</w:t>
      </w:r>
      <w:r>
        <w:rPr>
          <w:rFonts w:hint="eastAsia"/>
          <w:color w:val="auto"/>
          <w:szCs w:val="21"/>
          <w:highlight w:val="none"/>
        </w:rPr>
        <w:t>澄清、说明、补正、撤回、修改投标文件；</w:t>
      </w:r>
    </w:p>
    <w:p>
      <w:pPr>
        <w:topLinePunct/>
        <w:spacing w:line="336" w:lineRule="auto"/>
        <w:ind w:firstLine="420" w:firstLineChars="200"/>
        <w:rPr>
          <w:color w:val="auto"/>
          <w:szCs w:val="21"/>
          <w:highlight w:val="none"/>
        </w:rPr>
      </w:pPr>
      <w:r>
        <w:rPr>
          <w:rFonts w:hint="eastAsia" w:ascii="宋体" w:hAnsi="宋体"/>
          <w:color w:val="auto"/>
          <w:szCs w:val="21"/>
          <w:highlight w:val="none"/>
        </w:rPr>
        <w:t>□</w:t>
      </w:r>
      <w:r>
        <w:rPr>
          <w:rFonts w:hint="eastAsia"/>
          <w:color w:val="auto"/>
          <w:szCs w:val="21"/>
          <w:highlight w:val="none"/>
        </w:rPr>
        <w:t>作为投标人代表参加开标；</w:t>
      </w:r>
    </w:p>
    <w:p>
      <w:pPr>
        <w:topLinePunct/>
        <w:spacing w:line="336" w:lineRule="auto"/>
        <w:ind w:firstLine="420" w:firstLineChars="200"/>
        <w:rPr>
          <w:color w:val="auto"/>
          <w:szCs w:val="21"/>
          <w:highlight w:val="none"/>
        </w:rPr>
      </w:pPr>
      <w:r>
        <w:rPr>
          <w:rFonts w:hint="eastAsia" w:ascii="宋体" w:hAnsi="宋体"/>
          <w:color w:val="auto"/>
          <w:szCs w:val="21"/>
          <w:highlight w:val="none"/>
        </w:rPr>
        <w:t>□</w:t>
      </w:r>
      <w:r>
        <w:rPr>
          <w:rFonts w:hint="eastAsia"/>
          <w:color w:val="auto"/>
          <w:szCs w:val="21"/>
          <w:highlight w:val="none"/>
        </w:rPr>
        <w:t>按照招标文件规定提出异议；</w:t>
      </w:r>
    </w:p>
    <w:p>
      <w:pPr>
        <w:topLinePunct/>
        <w:spacing w:line="336" w:lineRule="auto"/>
        <w:ind w:firstLine="420" w:firstLineChars="200"/>
        <w:rPr>
          <w:color w:val="auto"/>
          <w:szCs w:val="21"/>
          <w:highlight w:val="none"/>
        </w:rPr>
      </w:pPr>
      <w:r>
        <w:rPr>
          <w:rFonts w:hint="eastAsia" w:ascii="宋体" w:hAnsi="宋体"/>
          <w:color w:val="auto"/>
          <w:szCs w:val="21"/>
          <w:highlight w:val="none"/>
        </w:rPr>
        <w:t>□</w:t>
      </w:r>
      <w:r>
        <w:rPr>
          <w:rFonts w:hint="eastAsia"/>
          <w:color w:val="auto"/>
          <w:szCs w:val="21"/>
          <w:highlight w:val="none"/>
        </w:rPr>
        <w:t>签订合同；</w:t>
      </w:r>
    </w:p>
    <w:p>
      <w:pPr>
        <w:topLinePunct/>
        <w:spacing w:line="336" w:lineRule="auto"/>
        <w:ind w:firstLine="420" w:firstLineChars="200"/>
        <w:rPr>
          <w:color w:val="auto"/>
          <w:szCs w:val="21"/>
          <w:highlight w:val="none"/>
        </w:rPr>
      </w:pPr>
      <w:r>
        <w:rPr>
          <w:rFonts w:hint="eastAsia" w:ascii="宋体" w:hAnsi="宋体"/>
          <w:color w:val="auto"/>
          <w:szCs w:val="21"/>
          <w:highlight w:val="none"/>
        </w:rPr>
        <w:t>□</w:t>
      </w:r>
      <w:r>
        <w:rPr>
          <w:rFonts w:hint="eastAsia"/>
          <w:color w:val="auto"/>
          <w:szCs w:val="21"/>
          <w:highlight w:val="none"/>
        </w:rPr>
        <w:t>处理其他事宜：。</w:t>
      </w:r>
    </w:p>
    <w:p>
      <w:pPr>
        <w:topLinePunct/>
        <w:spacing w:line="336" w:lineRule="auto"/>
        <w:ind w:firstLine="420" w:firstLineChars="200"/>
        <w:rPr>
          <w:color w:val="auto"/>
          <w:szCs w:val="21"/>
          <w:highlight w:val="none"/>
        </w:rPr>
      </w:pPr>
      <w:r>
        <w:rPr>
          <w:rFonts w:hint="eastAsia"/>
          <w:color w:val="auto"/>
          <w:szCs w:val="21"/>
          <w:highlight w:val="none"/>
        </w:rPr>
        <w:t>以上授权</w:t>
      </w:r>
      <w:r>
        <w:rPr>
          <w:color w:val="auto"/>
          <w:szCs w:val="21"/>
          <w:highlight w:val="none"/>
        </w:rPr>
        <w:t>其法律后果由我方承担。</w:t>
      </w:r>
    </w:p>
    <w:p>
      <w:pPr>
        <w:spacing w:line="336" w:lineRule="auto"/>
        <w:ind w:firstLine="435"/>
        <w:rPr>
          <w:color w:val="auto"/>
          <w:szCs w:val="21"/>
          <w:highlight w:val="none"/>
        </w:rPr>
      </w:pPr>
      <w:r>
        <w:rPr>
          <w:color w:val="auto"/>
          <w:szCs w:val="21"/>
          <w:highlight w:val="none"/>
        </w:rPr>
        <w:t>委托期限：</w:t>
      </w:r>
      <w:r>
        <w:rPr>
          <w:rFonts w:hint="eastAsia"/>
          <w:color w:val="auto"/>
          <w:szCs w:val="21"/>
          <w:highlight w:val="none"/>
        </w:rPr>
        <w:t>。</w:t>
      </w:r>
    </w:p>
    <w:p>
      <w:pPr>
        <w:spacing w:line="336" w:lineRule="auto"/>
        <w:ind w:firstLine="435"/>
        <w:rPr>
          <w:color w:val="auto"/>
          <w:szCs w:val="21"/>
          <w:highlight w:val="none"/>
        </w:rPr>
      </w:pPr>
      <w:r>
        <w:rPr>
          <w:rFonts w:hint="eastAsia"/>
          <w:color w:val="auto"/>
          <w:szCs w:val="21"/>
          <w:highlight w:val="none"/>
        </w:rPr>
        <w:t>联系方式：。</w:t>
      </w:r>
    </w:p>
    <w:p>
      <w:pPr>
        <w:spacing w:line="336" w:lineRule="auto"/>
        <w:ind w:firstLine="420" w:firstLineChars="200"/>
        <w:rPr>
          <w:color w:val="auto"/>
          <w:szCs w:val="21"/>
          <w:highlight w:val="none"/>
        </w:rPr>
      </w:pPr>
      <w:r>
        <w:rPr>
          <w:color w:val="auto"/>
          <w:szCs w:val="21"/>
          <w:highlight w:val="none"/>
        </w:rPr>
        <w:t>代理人无转委托权。</w:t>
      </w:r>
    </w:p>
    <w:p>
      <w:pPr>
        <w:spacing w:line="336" w:lineRule="auto"/>
        <w:ind w:firstLine="420" w:firstLineChars="200"/>
        <w:rPr>
          <w:color w:val="auto"/>
          <w:szCs w:val="21"/>
          <w:highlight w:val="none"/>
        </w:rPr>
      </w:pPr>
      <w:r>
        <w:rPr>
          <w:rFonts w:hint="eastAsia"/>
          <w:color w:val="auto"/>
          <w:szCs w:val="21"/>
          <w:highlight w:val="none"/>
        </w:rPr>
        <w:t>附：1</w:t>
      </w:r>
      <w:r>
        <w:rPr>
          <w:rFonts w:hint="eastAsia" w:ascii="宋体" w:hAnsi="宋体"/>
          <w:bCs/>
          <w:color w:val="auto"/>
          <w:szCs w:val="21"/>
          <w:highlight w:val="none"/>
        </w:rPr>
        <w:t>．法定代表人身份证明</w:t>
      </w:r>
    </w:p>
    <w:p>
      <w:pPr>
        <w:spacing w:line="336" w:lineRule="auto"/>
        <w:ind w:firstLine="840" w:firstLineChars="400"/>
        <w:rPr>
          <w:color w:val="auto"/>
          <w:szCs w:val="21"/>
          <w:highlight w:val="none"/>
        </w:rPr>
      </w:pPr>
      <w:r>
        <w:rPr>
          <w:rFonts w:hint="eastAsia"/>
          <w:bCs/>
          <w:color w:val="auto"/>
          <w:szCs w:val="21"/>
          <w:highlight w:val="none"/>
        </w:rPr>
        <w:t>2</w:t>
      </w:r>
      <w:r>
        <w:rPr>
          <w:rFonts w:hint="eastAsia" w:ascii="宋体" w:hAnsi="宋体"/>
          <w:bCs/>
          <w:color w:val="auto"/>
          <w:szCs w:val="21"/>
          <w:highlight w:val="none"/>
        </w:rPr>
        <w:t>．委托代理人身份证复印件</w:t>
      </w:r>
    </w:p>
    <w:p>
      <w:pPr>
        <w:spacing w:line="336" w:lineRule="auto"/>
        <w:rPr>
          <w:color w:val="auto"/>
          <w:szCs w:val="21"/>
          <w:highlight w:val="none"/>
        </w:rPr>
      </w:pPr>
    </w:p>
    <w:p>
      <w:pPr>
        <w:spacing w:line="336" w:lineRule="auto"/>
        <w:ind w:firstLine="3402" w:firstLineChars="1620"/>
        <w:jc w:val="left"/>
        <w:rPr>
          <w:color w:val="auto"/>
          <w:szCs w:val="21"/>
          <w:highlight w:val="none"/>
        </w:rPr>
      </w:pPr>
      <w:r>
        <w:rPr>
          <w:color w:val="auto"/>
          <w:szCs w:val="21"/>
          <w:highlight w:val="none"/>
        </w:rPr>
        <w:t>投标人：（盖单位章）</w:t>
      </w:r>
    </w:p>
    <w:p>
      <w:pPr>
        <w:spacing w:line="336" w:lineRule="auto"/>
        <w:ind w:firstLine="3402" w:firstLineChars="1620"/>
        <w:jc w:val="left"/>
        <w:rPr>
          <w:color w:val="auto"/>
          <w:szCs w:val="21"/>
          <w:highlight w:val="none"/>
        </w:rPr>
      </w:pPr>
      <w:r>
        <w:rPr>
          <w:color w:val="auto"/>
          <w:szCs w:val="21"/>
          <w:highlight w:val="none"/>
        </w:rPr>
        <w:t>法定代表人：（签字）</w:t>
      </w:r>
    </w:p>
    <w:p>
      <w:pPr>
        <w:spacing w:line="336" w:lineRule="auto"/>
        <w:ind w:firstLine="3402" w:firstLineChars="1620"/>
        <w:jc w:val="left"/>
        <w:rPr>
          <w:color w:val="auto"/>
          <w:szCs w:val="21"/>
          <w:highlight w:val="none"/>
        </w:rPr>
      </w:pPr>
      <w:r>
        <w:rPr>
          <w:color w:val="auto"/>
          <w:szCs w:val="21"/>
          <w:highlight w:val="none"/>
        </w:rPr>
        <w:t>身份证号码：</w:t>
      </w:r>
    </w:p>
    <w:p>
      <w:pPr>
        <w:spacing w:line="336" w:lineRule="auto"/>
        <w:ind w:firstLine="3402" w:firstLineChars="1620"/>
        <w:jc w:val="left"/>
        <w:rPr>
          <w:color w:val="auto"/>
          <w:szCs w:val="21"/>
          <w:highlight w:val="none"/>
        </w:rPr>
      </w:pPr>
      <w:r>
        <w:rPr>
          <w:color w:val="auto"/>
          <w:szCs w:val="21"/>
          <w:highlight w:val="none"/>
        </w:rPr>
        <w:t>委托代理人：（签字）</w:t>
      </w:r>
    </w:p>
    <w:p>
      <w:pPr>
        <w:spacing w:line="336" w:lineRule="auto"/>
        <w:ind w:firstLine="3402" w:firstLineChars="1620"/>
        <w:jc w:val="left"/>
        <w:rPr>
          <w:color w:val="auto"/>
          <w:szCs w:val="21"/>
          <w:highlight w:val="none"/>
        </w:rPr>
      </w:pPr>
      <w:r>
        <w:rPr>
          <w:color w:val="auto"/>
          <w:szCs w:val="21"/>
          <w:highlight w:val="none"/>
        </w:rPr>
        <w:t>身份证号码：</w:t>
      </w:r>
    </w:p>
    <w:p>
      <w:pPr>
        <w:spacing w:line="336" w:lineRule="auto"/>
        <w:ind w:firstLine="5985" w:firstLineChars="2850"/>
        <w:rPr>
          <w:color w:val="auto"/>
          <w:szCs w:val="21"/>
          <w:highlight w:val="none"/>
        </w:rPr>
      </w:pP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36" w:lineRule="auto"/>
        <w:ind w:left="630" w:hanging="630" w:hangingChars="300"/>
        <w:rPr>
          <w:rFonts w:asciiTheme="minorEastAsia" w:hAnsiTheme="minorEastAsia" w:eastAsiaTheme="minorEastAsia" w:cstheme="minorEastAsia"/>
          <w:bCs/>
          <w:color w:val="auto"/>
          <w:szCs w:val="21"/>
          <w:highlight w:val="none"/>
        </w:rPr>
      </w:pPr>
    </w:p>
    <w:p>
      <w:pPr>
        <w:spacing w:line="336" w:lineRule="auto"/>
        <w:ind w:left="630" w:hanging="630" w:hangingChars="300"/>
        <w:rPr>
          <w:rFonts w:asciiTheme="minorEastAsia" w:hAnsiTheme="minorEastAsia" w:eastAsiaTheme="minorEastAsia" w:cstheme="minorEastAsia"/>
          <w:bCs/>
          <w:color w:val="auto"/>
          <w:szCs w:val="21"/>
          <w:highlight w:val="none"/>
        </w:rPr>
      </w:pPr>
    </w:p>
    <w:p>
      <w:pPr>
        <w:spacing w:line="336" w:lineRule="auto"/>
        <w:ind w:left="630" w:hanging="630" w:hangingChars="3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w:t>
      </w:r>
      <w:r>
        <w:rPr>
          <w:rFonts w:hint="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rPr>
        <w:t>.本授权委托书适用于根据招标文件相关规定可由委托代理人处理相关事宜时使用，授权处</w:t>
      </w:r>
    </w:p>
    <w:p>
      <w:pPr>
        <w:spacing w:line="336"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理事宜根据具体授权在</w:t>
      </w:r>
      <w:r>
        <w:rPr>
          <w:rFonts w:hint="eastAsia" w:asciiTheme="minorEastAsia" w:hAnsiTheme="minorEastAsia" w:eastAsiaTheme="minorEastAsia" w:cstheme="minorEastAsia"/>
          <w:color w:val="auto"/>
          <w:szCs w:val="21"/>
          <w:highlight w:val="none"/>
        </w:rPr>
        <w:t>方框“□”内打钩“√”；</w:t>
      </w:r>
    </w:p>
    <w:p>
      <w:pPr>
        <w:numPr>
          <w:ilvl w:val="255"/>
          <w:numId w:val="0"/>
        </w:numPr>
        <w:spacing w:line="336" w:lineRule="auto"/>
        <w:ind w:firstLine="630" w:firstLineChars="300"/>
        <w:rPr>
          <w:rFonts w:asciiTheme="minorEastAsia" w:hAnsiTheme="minorEastAsia" w:eastAsiaTheme="minorEastAsia" w:cstheme="minorEastAsia"/>
          <w:color w:val="auto"/>
          <w:szCs w:val="21"/>
          <w:highlight w:val="none"/>
        </w:rPr>
        <w:sectPr>
          <w:pgSz w:w="11906" w:h="16838"/>
          <w:pgMar w:top="2098" w:right="1446" w:bottom="1984" w:left="1446" w:header="851" w:footer="1446" w:gutter="0"/>
          <w:cols w:space="0" w:num="1"/>
          <w:titlePg/>
          <w:docGrid w:linePitch="312" w:charSpace="0"/>
        </w:sectPr>
      </w:pPr>
      <w:r>
        <w:rPr>
          <w:rFonts w:hint="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.被授权委托的代理人必须为投标人单位的人员。</w:t>
      </w:r>
    </w:p>
    <w:p>
      <w:pPr>
        <w:pStyle w:val="4"/>
        <w:keepNext w:val="0"/>
        <w:keepLines w:val="0"/>
        <w:spacing w:line="336" w:lineRule="auto"/>
        <w:rPr>
          <w:rFonts w:ascii="黑体" w:hAnsi="黑体" w:eastAsia="黑体" w:cs="黑体"/>
          <w:b w:val="0"/>
          <w:color w:val="auto"/>
          <w:highlight w:val="none"/>
        </w:rPr>
      </w:pPr>
      <w:bookmarkStart w:id="1027" w:name="_Toc19746"/>
      <w:r>
        <w:rPr>
          <w:rFonts w:hint="eastAsia" w:ascii="黑体" w:hAnsi="黑体" w:eastAsia="黑体" w:cs="黑体"/>
          <w:b w:val="0"/>
          <w:color w:val="auto"/>
          <w:highlight w:val="none"/>
        </w:rPr>
        <w:t>附件十四：抽取评标基准价的下浮率记录表</w:t>
      </w:r>
      <w:bookmarkEnd w:id="1027"/>
    </w:p>
    <w:p>
      <w:pPr>
        <w:spacing w:line="336" w:lineRule="auto"/>
        <w:rPr>
          <w:rFonts w:ascii="宋体" w:hAnsi="宋体"/>
          <w:b/>
          <w:color w:val="auto"/>
          <w:szCs w:val="21"/>
          <w:highlight w:val="none"/>
        </w:rPr>
      </w:pPr>
    </w:p>
    <w:p>
      <w:pPr>
        <w:tabs>
          <w:tab w:val="left" w:pos="720"/>
        </w:tabs>
        <w:snapToGrid w:val="0"/>
        <w:spacing w:line="336" w:lineRule="auto"/>
        <w:rPr>
          <w:rFonts w:ascii="宋体" w:hAnsi="宋体"/>
          <w:b/>
          <w:color w:val="auto"/>
          <w:sz w:val="28"/>
          <w:szCs w:val="28"/>
          <w:highlight w:val="none"/>
        </w:rPr>
      </w:pPr>
    </w:p>
    <w:p>
      <w:pPr>
        <w:tabs>
          <w:tab w:val="left" w:pos="720"/>
        </w:tabs>
        <w:snapToGrid w:val="0"/>
        <w:spacing w:line="336" w:lineRule="auto"/>
        <w:jc w:val="center"/>
        <w:rPr>
          <w:rFonts w:ascii="宋体" w:hAnsi="宋体"/>
          <w:b/>
          <w:color w:val="auto"/>
          <w:sz w:val="28"/>
          <w:szCs w:val="28"/>
          <w:highlight w:val="none"/>
        </w:rPr>
      </w:pPr>
      <w:r>
        <w:rPr>
          <w:rFonts w:hint="eastAsia" w:ascii="宋体" w:hAnsi="宋体"/>
          <w:b/>
          <w:color w:val="auto"/>
          <w:sz w:val="28"/>
          <w:szCs w:val="28"/>
          <w:highlight w:val="none"/>
        </w:rPr>
        <w:t>抽取评标基准价的下浮率记录表</w:t>
      </w:r>
    </w:p>
    <w:p>
      <w:pPr>
        <w:tabs>
          <w:tab w:val="left" w:pos="720"/>
        </w:tabs>
        <w:snapToGrid w:val="0"/>
        <w:spacing w:line="336" w:lineRule="auto"/>
        <w:jc w:val="left"/>
        <w:rPr>
          <w:rFonts w:ascii="宋体" w:hAnsi="宋体"/>
          <w:color w:val="auto"/>
          <w:sz w:val="24"/>
          <w:highlight w:val="none"/>
        </w:rPr>
      </w:pPr>
    </w:p>
    <w:p>
      <w:pPr>
        <w:tabs>
          <w:tab w:val="left" w:pos="720"/>
        </w:tabs>
        <w:snapToGrid w:val="0"/>
        <w:spacing w:line="336" w:lineRule="auto"/>
        <w:jc w:val="left"/>
        <w:rPr>
          <w:rFonts w:ascii="宋体" w:hAnsi="宋体"/>
          <w:color w:val="auto"/>
          <w:sz w:val="24"/>
          <w:highlight w:val="none"/>
        </w:rPr>
      </w:pPr>
      <w:r>
        <w:rPr>
          <w:rFonts w:hint="eastAsia" w:ascii="宋体" w:hAnsi="宋体"/>
          <w:color w:val="auto"/>
          <w:sz w:val="24"/>
          <w:highlight w:val="none"/>
        </w:rPr>
        <w:t>项目名称：</w:t>
      </w:r>
    </w:p>
    <w:p>
      <w:pPr>
        <w:tabs>
          <w:tab w:val="left" w:pos="720"/>
        </w:tabs>
        <w:snapToGrid w:val="0"/>
        <w:spacing w:line="336" w:lineRule="auto"/>
        <w:jc w:val="left"/>
        <w:rPr>
          <w:rFonts w:ascii="宋体" w:hAnsi="宋体"/>
          <w:color w:val="auto"/>
          <w:sz w:val="24"/>
          <w:highlight w:val="none"/>
        </w:rPr>
      </w:pPr>
      <w:r>
        <w:rPr>
          <w:rFonts w:hint="eastAsia" w:ascii="宋体" w:hAnsi="宋体"/>
          <w:color w:val="auto"/>
          <w:sz w:val="24"/>
          <w:highlight w:val="none"/>
        </w:rPr>
        <w:t>标段名称：</w:t>
      </w:r>
    </w:p>
    <w:p>
      <w:pPr>
        <w:tabs>
          <w:tab w:val="left" w:pos="720"/>
        </w:tabs>
        <w:snapToGrid w:val="0"/>
        <w:spacing w:line="336" w:lineRule="auto"/>
        <w:jc w:val="left"/>
        <w:rPr>
          <w:rFonts w:ascii="宋体" w:hAnsi="宋体"/>
          <w:color w:val="auto"/>
          <w:sz w:val="24"/>
          <w:highlight w:val="none"/>
        </w:rPr>
      </w:pPr>
      <w:r>
        <w:rPr>
          <w:rFonts w:hint="eastAsia" w:ascii="宋体" w:hAnsi="宋体"/>
          <w:color w:val="auto"/>
          <w:sz w:val="24"/>
          <w:highlight w:val="none"/>
        </w:rPr>
        <w:t>开标地点：</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8"/>
        <w:gridCol w:w="1534"/>
        <w:gridCol w:w="1619"/>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vAlign w:val="center"/>
          </w:tcPr>
          <w:p>
            <w:pPr>
              <w:tabs>
                <w:tab w:val="left" w:pos="720"/>
              </w:tabs>
              <w:snapToGrid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球号</w:t>
            </w:r>
          </w:p>
        </w:tc>
        <w:tc>
          <w:tcPr>
            <w:tcW w:w="1534" w:type="dxa"/>
            <w:vAlign w:val="center"/>
          </w:tcPr>
          <w:p>
            <w:pPr>
              <w:tabs>
                <w:tab w:val="left" w:pos="720"/>
              </w:tabs>
              <w:snapToGrid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代表下浮率（</w:t>
            </w:r>
            <w:r>
              <w:rPr>
                <w:rFonts w:hint="eastAsia" w:eastAsia="黑体" w:cs="黑体"/>
                <w:color w:val="auto"/>
                <w:sz w:val="24"/>
                <w:highlight w:val="none"/>
              </w:rPr>
              <w:t>%</w:t>
            </w:r>
            <w:r>
              <w:rPr>
                <w:rFonts w:hint="eastAsia" w:ascii="黑体" w:hAnsi="黑体" w:eastAsia="黑体" w:cs="黑体"/>
                <w:color w:val="auto"/>
                <w:sz w:val="24"/>
                <w:highlight w:val="none"/>
              </w:rPr>
              <w:t>）</w:t>
            </w:r>
          </w:p>
        </w:tc>
        <w:tc>
          <w:tcPr>
            <w:tcW w:w="1619" w:type="dxa"/>
            <w:vAlign w:val="center"/>
          </w:tcPr>
          <w:p>
            <w:pPr>
              <w:tabs>
                <w:tab w:val="left" w:pos="720"/>
              </w:tabs>
              <w:snapToGrid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摇出球号</w:t>
            </w:r>
          </w:p>
        </w:tc>
        <w:tc>
          <w:tcPr>
            <w:tcW w:w="4261" w:type="dxa"/>
            <w:vAlign w:val="center"/>
          </w:tcPr>
          <w:p>
            <w:pPr>
              <w:tabs>
                <w:tab w:val="left" w:pos="720"/>
              </w:tabs>
              <w:snapToGrid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随机抽取的评标基准价的下浮率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2</w:t>
            </w:r>
          </w:p>
        </w:tc>
        <w:tc>
          <w:tcPr>
            <w:tcW w:w="1619" w:type="dxa"/>
            <w:vMerge w:val="restart"/>
          </w:tcPr>
          <w:p>
            <w:pPr>
              <w:tabs>
                <w:tab w:val="left" w:pos="720"/>
              </w:tabs>
              <w:snapToGrid w:val="0"/>
              <w:jc w:val="center"/>
              <w:rPr>
                <w:rFonts w:ascii="宋体" w:hAnsi="宋体"/>
                <w:color w:val="auto"/>
                <w:sz w:val="24"/>
                <w:highlight w:val="none"/>
              </w:rPr>
            </w:pPr>
          </w:p>
        </w:tc>
        <w:tc>
          <w:tcPr>
            <w:tcW w:w="4261" w:type="dxa"/>
            <w:vMerge w:val="restart"/>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w:t>
            </w:r>
            <w:r>
              <w:rPr>
                <w:rFonts w:hint="eastAsia"/>
                <w:color w:val="auto"/>
                <w:sz w:val="24"/>
                <w:highlight w:val="none"/>
              </w:rPr>
              <w:t>5</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3</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3</w:t>
            </w:r>
            <w:r>
              <w:rPr>
                <w:rFonts w:hint="eastAsia" w:ascii="宋体" w:hAnsi="宋体"/>
                <w:color w:val="auto"/>
                <w:sz w:val="24"/>
                <w:highlight w:val="none"/>
              </w:rPr>
              <w:t>.</w:t>
            </w:r>
            <w:r>
              <w:rPr>
                <w:rFonts w:hint="eastAsia"/>
                <w:color w:val="auto"/>
                <w:sz w:val="24"/>
                <w:highlight w:val="none"/>
              </w:rPr>
              <w:t>5</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4</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4</w:t>
            </w:r>
            <w:r>
              <w:rPr>
                <w:rFonts w:hint="eastAsia" w:ascii="宋体" w:hAnsi="宋体"/>
                <w:color w:val="auto"/>
                <w:sz w:val="24"/>
                <w:highlight w:val="none"/>
              </w:rPr>
              <w:t>.</w:t>
            </w:r>
            <w:r>
              <w:rPr>
                <w:rFonts w:hint="eastAsia"/>
                <w:color w:val="auto"/>
                <w:sz w:val="24"/>
                <w:highlight w:val="none"/>
              </w:rPr>
              <w:t>5</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tcPr>
          <w:p>
            <w:pPr>
              <w:tabs>
                <w:tab w:val="left" w:pos="720"/>
              </w:tabs>
              <w:snapToGrid w:val="0"/>
              <w:jc w:val="center"/>
              <w:rPr>
                <w:rFonts w:ascii="宋体" w:hAnsi="宋体"/>
                <w:color w:val="auto"/>
                <w:sz w:val="24"/>
                <w:highlight w:val="none"/>
              </w:rPr>
            </w:pPr>
          </w:p>
        </w:tc>
        <w:tc>
          <w:tcPr>
            <w:tcW w:w="1534" w:type="dxa"/>
          </w:tcPr>
          <w:p>
            <w:pPr>
              <w:tabs>
                <w:tab w:val="left" w:pos="720"/>
              </w:tabs>
              <w:snapToGrid w:val="0"/>
              <w:jc w:val="center"/>
              <w:rPr>
                <w:rFonts w:ascii="宋体" w:hAnsi="宋体"/>
                <w:color w:val="auto"/>
                <w:sz w:val="24"/>
                <w:highlight w:val="none"/>
              </w:rPr>
            </w:pPr>
            <w:r>
              <w:rPr>
                <w:rFonts w:hint="eastAsia"/>
                <w:color w:val="auto"/>
                <w:sz w:val="24"/>
                <w:highlight w:val="none"/>
              </w:rPr>
              <w:t>5</w:t>
            </w:r>
          </w:p>
        </w:tc>
        <w:tc>
          <w:tcPr>
            <w:tcW w:w="1619" w:type="dxa"/>
            <w:vMerge w:val="continue"/>
          </w:tcPr>
          <w:p>
            <w:pPr>
              <w:tabs>
                <w:tab w:val="left" w:pos="720"/>
              </w:tabs>
              <w:snapToGrid w:val="0"/>
              <w:jc w:val="center"/>
              <w:rPr>
                <w:rFonts w:ascii="宋体" w:hAnsi="宋体"/>
                <w:color w:val="auto"/>
                <w:sz w:val="24"/>
                <w:highlight w:val="none"/>
              </w:rPr>
            </w:pPr>
          </w:p>
        </w:tc>
        <w:tc>
          <w:tcPr>
            <w:tcW w:w="4261" w:type="dxa"/>
            <w:vMerge w:val="continue"/>
          </w:tcPr>
          <w:p>
            <w:pPr>
              <w:tabs>
                <w:tab w:val="left" w:pos="720"/>
              </w:tabs>
              <w:snapToGrid w:val="0"/>
              <w:jc w:val="center"/>
              <w:rPr>
                <w:rFonts w:ascii="宋体" w:hAnsi="宋体"/>
                <w:color w:val="auto"/>
                <w:sz w:val="24"/>
                <w:highlight w:val="none"/>
              </w:rPr>
            </w:pPr>
          </w:p>
        </w:tc>
      </w:tr>
    </w:tbl>
    <w:p>
      <w:pPr>
        <w:spacing w:line="336" w:lineRule="auto"/>
        <w:rPr>
          <w:rFonts w:ascii="宋体" w:hAnsi="宋体"/>
          <w:b/>
          <w:color w:val="auto"/>
          <w:szCs w:val="21"/>
          <w:highlight w:val="none"/>
        </w:rPr>
      </w:pPr>
      <w:r>
        <w:rPr>
          <w:rFonts w:hint="eastAsia" w:ascii="宋体" w:hAnsi="宋体"/>
          <w:b/>
          <w:color w:val="auto"/>
          <w:szCs w:val="21"/>
          <w:highlight w:val="none"/>
        </w:rPr>
        <w:t>注：</w:t>
      </w:r>
      <w:r>
        <w:rPr>
          <w:rFonts w:hint="eastAsia"/>
          <w:b/>
          <w:color w:val="auto"/>
          <w:szCs w:val="21"/>
          <w:highlight w:val="none"/>
        </w:rPr>
        <w:t>1</w:t>
      </w:r>
      <w:r>
        <w:rPr>
          <w:rFonts w:hint="eastAsia" w:ascii="宋体" w:hAnsi="宋体"/>
          <w:b/>
          <w:color w:val="auto"/>
          <w:szCs w:val="21"/>
          <w:highlight w:val="none"/>
        </w:rPr>
        <w:t>、计算评标基准价的下浮率从</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中随机抽取</w:t>
      </w:r>
    </w:p>
    <w:p>
      <w:pPr>
        <w:spacing w:line="336" w:lineRule="auto"/>
        <w:rPr>
          <w:rFonts w:ascii="宋体" w:hAnsi="宋体"/>
          <w:color w:val="auto"/>
          <w:szCs w:val="21"/>
          <w:highlight w:val="none"/>
        </w:rPr>
      </w:pPr>
      <w:r>
        <w:rPr>
          <w:rFonts w:hint="eastAsia" w:ascii="宋体" w:hAnsi="宋体"/>
          <w:b/>
          <w:color w:val="auto"/>
          <w:szCs w:val="21"/>
          <w:highlight w:val="none"/>
        </w:rPr>
        <w:t xml:space="preserve">    </w:t>
      </w:r>
      <w:r>
        <w:rPr>
          <w:rFonts w:hint="eastAsia"/>
          <w:b/>
          <w:color w:val="auto"/>
          <w:szCs w:val="21"/>
          <w:highlight w:val="none"/>
        </w:rPr>
        <w:t>2</w:t>
      </w:r>
      <w:r>
        <w:rPr>
          <w:rFonts w:hint="eastAsia" w:ascii="宋体" w:hAnsi="宋体"/>
          <w:b/>
          <w:color w:val="auto"/>
          <w:szCs w:val="21"/>
          <w:highlight w:val="none"/>
        </w:rPr>
        <w:t>、球号根据</w:t>
      </w:r>
      <w:r>
        <w:rPr>
          <w:rFonts w:hint="eastAsia" w:ascii="宋体" w:hAnsi="宋体"/>
          <w:b/>
          <w:color w:val="auto"/>
          <w:szCs w:val="21"/>
          <w:highlight w:val="none"/>
          <w:u w:val="single"/>
        </w:rPr>
        <w:t xml:space="preserve">       </w:t>
      </w:r>
      <w:r>
        <w:rPr>
          <w:rFonts w:hint="eastAsia" w:ascii="宋体" w:hAnsi="宋体"/>
          <w:b/>
          <w:color w:val="auto"/>
          <w:szCs w:val="21"/>
          <w:highlight w:val="none"/>
        </w:rPr>
        <w:t>交易平台提供号球填写，如提供的球为</w:t>
      </w:r>
      <w:r>
        <w:rPr>
          <w:rFonts w:hint="eastAsia"/>
          <w:b/>
          <w:color w:val="auto"/>
          <w:szCs w:val="21"/>
          <w:highlight w:val="none"/>
        </w:rPr>
        <w:t>1</w:t>
      </w:r>
      <w:r>
        <w:rPr>
          <w:rFonts w:hint="eastAsia" w:ascii="宋体" w:hAnsi="宋体"/>
          <w:b/>
          <w:color w:val="auto"/>
          <w:szCs w:val="21"/>
          <w:highlight w:val="none"/>
        </w:rPr>
        <w:t>、</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6</w:t>
      </w:r>
      <w:r>
        <w:rPr>
          <w:rFonts w:hint="eastAsia" w:ascii="宋体" w:hAnsi="宋体"/>
          <w:b/>
          <w:color w:val="auto"/>
          <w:szCs w:val="21"/>
          <w:highlight w:val="none"/>
        </w:rPr>
        <w:t>、</w:t>
      </w:r>
      <w:r>
        <w:rPr>
          <w:rFonts w:hint="eastAsia"/>
          <w:b/>
          <w:color w:val="auto"/>
          <w:szCs w:val="21"/>
          <w:highlight w:val="none"/>
        </w:rPr>
        <w:t>7</w:t>
      </w:r>
      <w:r>
        <w:rPr>
          <w:rFonts w:hint="eastAsia" w:ascii="宋体" w:hAnsi="宋体"/>
          <w:b/>
          <w:color w:val="auto"/>
          <w:szCs w:val="21"/>
          <w:highlight w:val="none"/>
        </w:rPr>
        <w:t>，则按从小到大的顺序对应填写</w:t>
      </w:r>
      <w:r>
        <w:rPr>
          <w:rFonts w:hint="eastAsia"/>
          <w:b/>
          <w:color w:val="auto"/>
          <w:szCs w:val="21"/>
          <w:highlight w:val="none"/>
        </w:rPr>
        <w:t>1</w:t>
      </w:r>
      <w:r>
        <w:rPr>
          <w:rFonts w:hint="eastAsia" w:ascii="宋体" w:hAnsi="宋体"/>
          <w:b/>
          <w:color w:val="auto"/>
          <w:szCs w:val="21"/>
          <w:highlight w:val="none"/>
        </w:rPr>
        <w:t>、</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6</w:t>
      </w:r>
      <w:r>
        <w:rPr>
          <w:rFonts w:hint="eastAsia" w:ascii="宋体" w:hAnsi="宋体"/>
          <w:b/>
          <w:color w:val="auto"/>
          <w:szCs w:val="21"/>
          <w:highlight w:val="none"/>
        </w:rPr>
        <w:t>、</w:t>
      </w:r>
      <w:r>
        <w:rPr>
          <w:rFonts w:hint="eastAsia"/>
          <w:b/>
          <w:color w:val="auto"/>
          <w:szCs w:val="21"/>
          <w:highlight w:val="none"/>
        </w:rPr>
        <w:t>7</w:t>
      </w:r>
      <w:r>
        <w:rPr>
          <w:rFonts w:hint="eastAsia" w:ascii="宋体" w:hAnsi="宋体"/>
          <w:b/>
          <w:color w:val="auto"/>
          <w:szCs w:val="21"/>
          <w:highlight w:val="none"/>
        </w:rPr>
        <w:t>；如提供的球号</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，则对应填写</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2</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3</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4</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r>
        <w:rPr>
          <w:rFonts w:hint="eastAsia"/>
          <w:b/>
          <w:color w:val="auto"/>
          <w:szCs w:val="21"/>
          <w:highlight w:val="none"/>
        </w:rPr>
        <w:t>5</w:t>
      </w:r>
      <w:r>
        <w:rPr>
          <w:rFonts w:hint="eastAsia" w:ascii="宋体" w:hAnsi="宋体"/>
          <w:b/>
          <w:color w:val="auto"/>
          <w:szCs w:val="21"/>
          <w:highlight w:val="none"/>
        </w:rPr>
        <w:t>。</w:t>
      </w:r>
    </w:p>
    <w:p>
      <w:pPr>
        <w:spacing w:line="336" w:lineRule="auto"/>
        <w:rPr>
          <w:rFonts w:ascii="宋体" w:hAnsi="宋体"/>
          <w:color w:val="auto"/>
          <w:szCs w:val="21"/>
          <w:highlight w:val="none"/>
        </w:rPr>
      </w:pPr>
    </w:p>
    <w:p>
      <w:pPr>
        <w:spacing w:line="336" w:lineRule="auto"/>
        <w:rPr>
          <w:rFonts w:ascii="宋体" w:hAnsi="宋体"/>
          <w:color w:val="auto"/>
          <w:szCs w:val="21"/>
          <w:highlight w:val="none"/>
        </w:rPr>
      </w:pPr>
      <w:r>
        <w:rPr>
          <w:rFonts w:hint="eastAsia" w:ascii="宋体" w:hAnsi="宋体"/>
          <w:color w:val="auto"/>
          <w:szCs w:val="21"/>
          <w:highlight w:val="none"/>
        </w:rPr>
        <w:t xml:space="preserve">监督人：             </w:t>
      </w:r>
    </w:p>
    <w:p>
      <w:pPr>
        <w:spacing w:line="336" w:lineRule="auto"/>
        <w:rPr>
          <w:rFonts w:ascii="宋体" w:hAnsi="宋体"/>
          <w:color w:val="auto"/>
          <w:szCs w:val="21"/>
          <w:highlight w:val="none"/>
        </w:rPr>
      </w:pPr>
    </w:p>
    <w:p>
      <w:pPr>
        <w:spacing w:line="336" w:lineRule="auto"/>
        <w:rPr>
          <w:rFonts w:ascii="宋体" w:hAnsi="宋体"/>
          <w:color w:val="auto"/>
          <w:szCs w:val="21"/>
          <w:highlight w:val="none"/>
        </w:rPr>
      </w:pPr>
      <w:r>
        <w:rPr>
          <w:rFonts w:hint="eastAsia" w:ascii="宋体" w:hAnsi="宋体"/>
          <w:color w:val="auto"/>
          <w:szCs w:val="21"/>
          <w:highlight w:val="none"/>
        </w:rPr>
        <w:t xml:space="preserve">招标代理记录人：              </w:t>
      </w:r>
    </w:p>
    <w:p>
      <w:pPr>
        <w:spacing w:line="336" w:lineRule="auto"/>
        <w:rPr>
          <w:rFonts w:ascii="宋体" w:hAnsi="宋体"/>
          <w:color w:val="auto"/>
          <w:szCs w:val="21"/>
          <w:highlight w:val="none"/>
        </w:rPr>
      </w:pPr>
    </w:p>
    <w:p>
      <w:pPr>
        <w:spacing w:line="336" w:lineRule="auto"/>
        <w:rPr>
          <w:rFonts w:ascii="宋体" w:hAnsi="宋体"/>
          <w:color w:val="auto"/>
          <w:szCs w:val="21"/>
          <w:highlight w:val="none"/>
        </w:rPr>
      </w:pPr>
      <w:r>
        <w:rPr>
          <w:rFonts w:hint="eastAsia" w:ascii="宋体" w:hAnsi="宋体"/>
          <w:color w:val="auto"/>
          <w:szCs w:val="21"/>
          <w:highlight w:val="none"/>
        </w:rPr>
        <w:t xml:space="preserve">招标代理唱标人:               </w:t>
      </w:r>
    </w:p>
    <w:p>
      <w:pPr>
        <w:spacing w:line="336" w:lineRule="auto"/>
        <w:rPr>
          <w:rFonts w:ascii="宋体" w:hAnsi="宋体"/>
          <w:color w:val="auto"/>
          <w:szCs w:val="21"/>
          <w:highlight w:val="none"/>
        </w:rPr>
      </w:pPr>
    </w:p>
    <w:p>
      <w:pPr>
        <w:spacing w:line="336" w:lineRule="auto"/>
        <w:rPr>
          <w:rFonts w:ascii="宋体" w:hAnsi="宋体"/>
          <w:color w:val="auto"/>
          <w:szCs w:val="21"/>
          <w:highlight w:val="none"/>
        </w:rPr>
      </w:pPr>
      <w:r>
        <w:rPr>
          <w:rFonts w:hint="eastAsia" w:ascii="宋体" w:hAnsi="宋体"/>
          <w:color w:val="auto"/>
          <w:szCs w:val="21"/>
          <w:highlight w:val="none"/>
        </w:rPr>
        <w:t xml:space="preserve">见证人员:              </w:t>
      </w:r>
    </w:p>
    <w:p>
      <w:pPr>
        <w:spacing w:line="336" w:lineRule="auto"/>
        <w:rPr>
          <w:rFonts w:ascii="宋体" w:hAnsi="宋体"/>
          <w:color w:val="auto"/>
          <w:szCs w:val="21"/>
          <w:highlight w:val="none"/>
        </w:rPr>
      </w:pPr>
    </w:p>
    <w:p>
      <w:pPr>
        <w:spacing w:line="336" w:lineRule="auto"/>
        <w:rPr>
          <w:rFonts w:ascii="宋体" w:hAnsi="宋体"/>
          <w:color w:val="auto"/>
          <w:szCs w:val="21"/>
          <w:highlight w:val="none"/>
        </w:rPr>
        <w:sectPr>
          <w:pgSz w:w="11906" w:h="16838"/>
          <w:pgMar w:top="2098" w:right="1446" w:bottom="1984" w:left="1446" w:header="851" w:footer="1446" w:gutter="0"/>
          <w:cols w:space="0" w:num="1"/>
          <w:titlePg/>
          <w:docGrid w:linePitch="312" w:charSpace="0"/>
        </w:sectPr>
      </w:pPr>
      <w:r>
        <w:rPr>
          <w:rFonts w:hint="eastAsia" w:ascii="宋体" w:hAnsi="宋体"/>
          <w:color w:val="auto"/>
          <w:szCs w:val="21"/>
          <w:highlight w:val="none"/>
        </w:rPr>
        <w:t xml:space="preserve"> 日期:     年  月  日</w:t>
      </w:r>
    </w:p>
    <w:p>
      <w:pPr>
        <w:spacing w:line="336" w:lineRule="auto"/>
        <w:rPr>
          <w:color w:val="auto"/>
          <w:sz w:val="2"/>
          <w:szCs w:val="2"/>
          <w:highlight w:val="none"/>
        </w:rPr>
      </w:pPr>
    </w:p>
    <w:p>
      <w:pPr>
        <w:pStyle w:val="37"/>
        <w:keepNext w:val="0"/>
        <w:keepLines w:val="0"/>
        <w:spacing w:line="336" w:lineRule="auto"/>
        <w:outlineLvl w:val="1"/>
        <w:rPr>
          <w:rFonts w:ascii="宋体" w:hAnsi="宋体"/>
          <w:color w:val="auto"/>
          <w:highlight w:val="none"/>
        </w:rPr>
      </w:pPr>
      <w:bookmarkStart w:id="1028" w:name="_Toc222032664"/>
      <w:bookmarkStart w:id="1029" w:name="_Toc168476116"/>
      <w:bookmarkStart w:id="1030" w:name="_Toc221950443"/>
      <w:bookmarkStart w:id="1031" w:name="_Toc8125"/>
      <w:bookmarkStart w:id="1032" w:name="_Toc6939"/>
      <w:bookmarkStart w:id="1033" w:name="_Toc168475713"/>
      <w:bookmarkStart w:id="1034" w:name="_Toc222030997"/>
      <w:bookmarkStart w:id="1035" w:name="_Toc144974565"/>
      <w:bookmarkStart w:id="1036" w:name="_Toc10386"/>
      <w:bookmarkStart w:id="1037" w:name="_Toc16078"/>
      <w:bookmarkStart w:id="1038" w:name="_Toc229305355"/>
      <w:bookmarkStart w:id="1039" w:name="_Toc1738319998"/>
      <w:bookmarkStart w:id="1040" w:name="_Toc1957934938"/>
      <w:bookmarkStart w:id="1041" w:name="_Toc1619"/>
      <w:bookmarkStart w:id="1042" w:name="_Toc7290"/>
      <w:bookmarkStart w:id="1043" w:name="_Toc387753573"/>
      <w:bookmarkStart w:id="1044" w:name="_Toc222029495"/>
      <w:bookmarkStart w:id="1045" w:name="_Toc222033846"/>
      <w:r>
        <w:rPr>
          <w:rFonts w:hint="eastAsia"/>
          <w:color w:val="auto"/>
          <w:highlight w:val="none"/>
        </w:rPr>
        <w:t>第三章 评标办法（综合评分法）</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spacing w:line="336" w:lineRule="auto"/>
        <w:ind w:firstLine="560" w:firstLineChars="200"/>
        <w:jc w:val="center"/>
        <w:outlineLvl w:val="2"/>
        <w:rPr>
          <w:rFonts w:ascii="黑体" w:hAnsi="黑体" w:eastAsia="黑体"/>
          <w:color w:val="auto"/>
          <w:sz w:val="28"/>
          <w:szCs w:val="27"/>
          <w:highlight w:val="none"/>
        </w:rPr>
      </w:pPr>
      <w:bookmarkStart w:id="1046" w:name="_Toc21787687"/>
      <w:bookmarkStart w:id="1047" w:name="_Toc22171"/>
      <w:bookmarkStart w:id="1048" w:name="_Toc387753574"/>
      <w:bookmarkStart w:id="1049" w:name="_Toc28678"/>
      <w:bookmarkStart w:id="1050" w:name="_Toc229305356"/>
      <w:bookmarkStart w:id="1051" w:name="_Toc18854"/>
      <w:bookmarkStart w:id="1052" w:name="_Toc222030998"/>
      <w:bookmarkStart w:id="1053" w:name="_Toc168476117"/>
      <w:bookmarkStart w:id="1054" w:name="_Toc29832"/>
      <w:bookmarkStart w:id="1055" w:name="_Toc222033847"/>
      <w:bookmarkStart w:id="1056" w:name="_Toc221950444"/>
      <w:bookmarkStart w:id="1057" w:name="_Toc119944199"/>
      <w:bookmarkStart w:id="1058" w:name="_Toc31022"/>
      <w:bookmarkStart w:id="1059" w:name="_Toc222032665"/>
      <w:bookmarkStart w:id="1060" w:name="_Toc144974566"/>
      <w:bookmarkStart w:id="1061" w:name="_Toc222029496"/>
      <w:bookmarkStart w:id="1062" w:name="_Toc168475714"/>
      <w:bookmarkStart w:id="1063" w:name="_Toc13388"/>
      <w:bookmarkStart w:id="1064" w:name="_Toc1745251353"/>
      <w:r>
        <w:rPr>
          <w:rFonts w:hint="eastAsia" w:ascii="黑体" w:hAnsi="黑体" w:eastAsia="黑体"/>
          <w:color w:val="auto"/>
          <w:sz w:val="28"/>
          <w:szCs w:val="27"/>
          <w:highlight w:val="none"/>
        </w:rPr>
        <w:t>评标办法修改表</w:t>
      </w:r>
      <w:bookmarkEnd w:id="1046"/>
      <w:bookmarkEnd w:id="1047"/>
    </w:p>
    <w:p>
      <w:pPr>
        <w:pStyle w:val="22"/>
        <w:spacing w:line="33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声明：本评标办法使用本示范文本的评标办法条款，与该条款不同之处，均在本表中列明，并以现文为准，原文不再有效。本示范文本请投标人自行到</w:t>
      </w:r>
      <w:r>
        <w:rPr>
          <w:rFonts w:hint="eastAsia" w:ascii="宋体" w:hAnsi="宋体" w:eastAsia="宋体" w:cs="宋体"/>
          <w:color w:val="auto"/>
          <w:szCs w:val="21"/>
          <w:highlight w:val="none"/>
          <w:u w:val="single"/>
        </w:rPr>
        <w:t>广州市农业农村局</w:t>
      </w:r>
      <w:r>
        <w:rPr>
          <w:rFonts w:hint="eastAsia" w:ascii="宋体" w:hAnsi="宋体" w:eastAsia="宋体" w:cs="宋体"/>
          <w:color w:val="auto"/>
          <w:szCs w:val="21"/>
          <w:highlight w:val="none"/>
        </w:rPr>
        <w:t>网站（网址：</w:t>
      </w:r>
      <w:r>
        <w:rPr>
          <w:rFonts w:hint="eastAsia" w:ascii="宋体" w:hAnsi="宋体" w:eastAsia="宋体" w:cs="宋体"/>
          <w:color w:val="auto"/>
          <w:szCs w:val="21"/>
          <w:highlight w:val="none"/>
          <w:u w:val="single"/>
        </w:rPr>
        <w:t>http://nyncj.gz.gov.cn/</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w:instrText>
      </w:r>
      <w:bookmarkStart w:id="1065" w:name="_Toc359263255"/>
      <w:bookmarkStart w:id="1066" w:name="_Toc247085742"/>
      <w:bookmarkStart w:id="1067" w:name="_Toc332641309"/>
      <w:bookmarkStart w:id="1068" w:name="_Toc152042361"/>
      <w:bookmarkStart w:id="1069" w:name="_Toc179632602"/>
      <w:bookmarkStart w:id="1070" w:name="_Toc152045584"/>
      <w:bookmarkStart w:id="1071" w:name="_Toc246996227"/>
      <w:bookmarkStart w:id="1072" w:name="_Toc246996970"/>
      <w:r>
        <w:rPr>
          <w:rFonts w:hint="eastAsia" w:ascii="宋体" w:hAnsi="宋体" w:eastAsia="宋体" w:cs="宋体"/>
          <w:color w:val="auto"/>
          <w:szCs w:val="21"/>
          <w:highlight w:val="none"/>
        </w:rPr>
        <w:instrText xml:space="preserve">LINK "htt</w:instrText>
      </w:r>
      <w:bookmarkEnd w:id="1065"/>
      <w:bookmarkEnd w:id="1066"/>
      <w:bookmarkEnd w:id="1067"/>
      <w:bookmarkEnd w:id="1068"/>
      <w:bookmarkEnd w:id="1069"/>
      <w:bookmarkEnd w:id="1070"/>
      <w:bookmarkEnd w:id="1071"/>
      <w:bookmarkEnd w:id="1072"/>
      <w:r>
        <w:rPr>
          <w:rFonts w:hint="eastAsia" w:ascii="宋体" w:hAnsi="宋体" w:eastAsia="宋体" w:cs="宋体"/>
          <w:color w:val="auto"/>
          <w:szCs w:val="21"/>
          <w:highlight w:val="none"/>
        </w:rPr>
        <w:instrText xml:space="preserve">p://www.gzwater.gov.cn）下载查阅" </w:instrText>
      </w:r>
      <w:r>
        <w:rPr>
          <w:rFonts w:hint="eastAsia" w:ascii="宋体" w:hAnsi="宋体" w:eastAsia="宋体" w:cs="宋体"/>
          <w:color w:val="auto"/>
          <w:szCs w:val="21"/>
          <w:highlight w:val="none"/>
        </w:rPr>
        <w:fldChar w:fldCharType="separate"/>
      </w:r>
      <w:r>
        <w:rPr>
          <w:rStyle w:val="29"/>
          <w:rFonts w:hint="eastAsia" w:ascii="宋体" w:hAnsi="宋体" w:eastAsia="宋体" w:cs="宋体"/>
          <w:color w:val="auto"/>
          <w:highlight w:val="none"/>
        </w:rPr>
        <w:t>下载查阅</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w:t>
      </w:r>
      <w:bookmarkStart w:id="1073" w:name="_Toc155150493"/>
      <w:bookmarkEnd w:id="1073"/>
      <w:bookmarkStart w:id="1074" w:name="_Toc359263257"/>
      <w:bookmarkEnd w:id="1074"/>
      <w:bookmarkStart w:id="1075" w:name="_Toc262229169"/>
      <w:bookmarkEnd w:id="1075"/>
      <w:r>
        <w:rPr>
          <w:rFonts w:hint="eastAsia" w:ascii="宋体" w:hAnsi="宋体" w:cs="宋体"/>
          <w:color w:val="auto"/>
          <w:szCs w:val="21"/>
          <w:highlight w:val="none"/>
        </w:rPr>
        <w:t xml:space="preserve">    修改类型：增加</w:t>
      </w:r>
    </w:p>
    <w:p>
      <w:pPr>
        <w:pBdr>
          <w:bottom w:val="single" w:color="auto" w:sz="6" w:space="1"/>
        </w:pBd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现文：</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             修改类型：删除</w:t>
      </w:r>
    </w:p>
    <w:p>
      <w:pPr>
        <w:pBdr>
          <w:bottom w:val="single" w:color="auto" w:sz="6" w:space="1"/>
        </w:pBd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原文：</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条款号：             修改类型：修改</w:t>
      </w:r>
    </w:p>
    <w:p>
      <w:pP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原文：</w:t>
      </w:r>
    </w:p>
    <w:p>
      <w:pPr>
        <w:pBdr>
          <w:bottom w:val="single" w:color="auto" w:sz="6" w:space="1"/>
        </w:pBdr>
        <w:spacing w:line="336"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现文：</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注：以上修改，仅限于本范本中有可供选择条</w:t>
      </w:r>
    </w:p>
    <w:p>
      <w:pPr>
        <w:spacing w:line="336" w:lineRule="auto"/>
        <w:rPr>
          <w:color w:val="auto"/>
          <w:sz w:val="24"/>
          <w:highlight w:val="none"/>
        </w:rPr>
        <w:sectPr>
          <w:pgSz w:w="11906" w:h="16838"/>
          <w:pgMar w:top="2098" w:right="1446" w:bottom="1984" w:left="1446" w:header="851" w:footer="1446" w:gutter="0"/>
          <w:cols w:space="0" w:num="1"/>
          <w:titlePg/>
          <w:docGrid w:linePitch="312" w:charSpace="0"/>
        </w:sectPr>
      </w:pPr>
    </w:p>
    <w:p>
      <w:pPr>
        <w:spacing w:line="336" w:lineRule="auto"/>
        <w:rPr>
          <w:color w:val="auto"/>
          <w:sz w:val="2"/>
          <w:szCs w:val="2"/>
          <w:highlight w:val="none"/>
        </w:rPr>
      </w:pPr>
    </w:p>
    <w:p>
      <w:pPr>
        <w:pStyle w:val="4"/>
        <w:keepNext w:val="0"/>
        <w:keepLines w:val="0"/>
        <w:jc w:val="center"/>
        <w:rPr>
          <w:rFonts w:ascii="方正黑体_GBK" w:hAnsi="方正黑体_GBK" w:eastAsia="方正黑体_GBK" w:cs="方正黑体_GBK"/>
          <w:b w:val="0"/>
          <w:bCs w:val="0"/>
          <w:color w:val="auto"/>
          <w:highlight w:val="none"/>
        </w:rPr>
      </w:pPr>
      <w:bookmarkStart w:id="1076" w:name="_Toc8035"/>
      <w:r>
        <w:rPr>
          <w:rFonts w:hint="eastAsia" w:ascii="方正黑体_GBK" w:hAnsi="方正黑体_GBK" w:eastAsia="方正黑体_GBK" w:cs="方正黑体_GBK"/>
          <w:b w:val="0"/>
          <w:bCs w:val="0"/>
          <w:color w:val="auto"/>
          <w:highlight w:val="none"/>
        </w:rPr>
        <w:t>评标办法前附表</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76"/>
    </w:p>
    <w:tbl>
      <w:tblPr>
        <w:tblStyle w:val="2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13"/>
        <w:gridCol w:w="273"/>
        <w:gridCol w:w="903"/>
        <w:gridCol w:w="933"/>
        <w:gridCol w:w="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455" w:type="dxa"/>
            <w:gridSpan w:val="2"/>
            <w:vAlign w:val="center"/>
          </w:tcPr>
          <w:p>
            <w:pPr>
              <w:jc w:val="center"/>
              <w:rPr>
                <w:rFonts w:ascii="黑体" w:hAnsi="黑体" w:eastAsia="黑体" w:cs="黑体"/>
                <w:bCs/>
                <w:color w:val="auto"/>
                <w:szCs w:val="21"/>
                <w:highlight w:val="none"/>
              </w:rPr>
            </w:pPr>
            <w:bookmarkStart w:id="1077" w:name="_Toc221950445"/>
            <w:r>
              <w:rPr>
                <w:rFonts w:hint="eastAsia" w:ascii="黑体" w:hAnsi="黑体" w:eastAsia="黑体" w:cs="黑体"/>
                <w:bCs/>
                <w:color w:val="auto"/>
                <w:szCs w:val="21"/>
                <w:highlight w:val="none"/>
              </w:rPr>
              <w:t>条款号</w:t>
            </w:r>
            <w:bookmarkEnd w:id="1077"/>
          </w:p>
        </w:tc>
        <w:tc>
          <w:tcPr>
            <w:tcW w:w="2119" w:type="dxa"/>
            <w:gridSpan w:val="4"/>
            <w:vAlign w:val="center"/>
          </w:tcPr>
          <w:p>
            <w:pPr>
              <w:jc w:val="center"/>
              <w:rPr>
                <w:rFonts w:ascii="黑体" w:hAnsi="黑体" w:eastAsia="黑体" w:cs="黑体"/>
                <w:bCs/>
                <w:color w:val="auto"/>
                <w:szCs w:val="21"/>
                <w:highlight w:val="none"/>
              </w:rPr>
            </w:pPr>
            <w:bookmarkStart w:id="1078" w:name="_Toc221950446"/>
            <w:r>
              <w:rPr>
                <w:rFonts w:hint="eastAsia" w:ascii="黑体" w:hAnsi="黑体" w:eastAsia="黑体" w:cs="黑体"/>
                <w:bCs/>
                <w:color w:val="auto"/>
                <w:szCs w:val="21"/>
                <w:highlight w:val="none"/>
              </w:rPr>
              <w:t>评审因素</w:t>
            </w:r>
            <w:bookmarkEnd w:id="1078"/>
          </w:p>
        </w:tc>
        <w:tc>
          <w:tcPr>
            <w:tcW w:w="5404" w:type="dxa"/>
            <w:vAlign w:val="center"/>
          </w:tcPr>
          <w:p>
            <w:pPr>
              <w:jc w:val="center"/>
              <w:rPr>
                <w:rFonts w:ascii="黑体" w:hAnsi="黑体" w:eastAsia="黑体" w:cs="黑体"/>
                <w:bCs/>
                <w:color w:val="auto"/>
                <w:szCs w:val="21"/>
                <w:highlight w:val="none"/>
              </w:rPr>
            </w:pPr>
            <w:bookmarkStart w:id="1079" w:name="_Toc221950447"/>
            <w:r>
              <w:rPr>
                <w:rFonts w:hint="eastAsia" w:ascii="黑体" w:hAnsi="黑体" w:eastAsia="黑体" w:cs="黑体"/>
                <w:bCs/>
                <w:color w:val="auto"/>
                <w:szCs w:val="21"/>
                <w:highlight w:val="none"/>
              </w:rPr>
              <w:t>评审标准</w:t>
            </w:r>
            <w:bookmarkEnd w:id="10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restart"/>
            <w:vAlign w:val="center"/>
          </w:tcPr>
          <w:p>
            <w:pPr>
              <w:rPr>
                <w:rFonts w:ascii="宋体" w:hAnsi="宋体" w:cs="宋体"/>
                <w:color w:val="auto"/>
                <w:szCs w:val="21"/>
                <w:highlight w:val="none"/>
              </w:rPr>
            </w:pPr>
            <w:bookmarkStart w:id="1080" w:name="_Toc221950448"/>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bookmarkEnd w:id="1080"/>
          </w:p>
        </w:tc>
        <w:tc>
          <w:tcPr>
            <w:tcW w:w="413" w:type="dxa"/>
            <w:vMerge w:val="restart"/>
            <w:vAlign w:val="center"/>
          </w:tcPr>
          <w:p>
            <w:pPr>
              <w:ind w:firstLine="14" w:firstLineChars="7"/>
              <w:jc w:val="center"/>
              <w:rPr>
                <w:rFonts w:ascii="宋体" w:hAnsi="宋体" w:cs="宋体"/>
                <w:color w:val="auto"/>
                <w:szCs w:val="21"/>
                <w:highlight w:val="none"/>
              </w:rPr>
            </w:pPr>
            <w:bookmarkStart w:id="1081" w:name="_Toc221950449"/>
            <w:r>
              <w:rPr>
                <w:rFonts w:hint="eastAsia" w:ascii="宋体" w:hAnsi="宋体" w:cs="宋体"/>
                <w:color w:val="auto"/>
                <w:szCs w:val="21"/>
                <w:highlight w:val="none"/>
              </w:rPr>
              <w:t>形式评审标准</w:t>
            </w:r>
            <w:bookmarkEnd w:id="1081"/>
          </w:p>
        </w:tc>
        <w:tc>
          <w:tcPr>
            <w:tcW w:w="2119" w:type="dxa"/>
            <w:gridSpan w:val="4"/>
            <w:vAlign w:val="center"/>
          </w:tcPr>
          <w:p>
            <w:pP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5404" w:type="dxa"/>
            <w:vAlign w:val="center"/>
          </w:tcPr>
          <w:p>
            <w:pPr>
              <w:rPr>
                <w:rFonts w:ascii="宋体" w:hAnsi="宋体"/>
                <w:color w:val="auto"/>
                <w:szCs w:val="21"/>
                <w:highlight w:val="none"/>
              </w:rPr>
            </w:pPr>
            <w:r>
              <w:rPr>
                <w:rFonts w:hint="eastAsia" w:ascii="宋体" w:hAnsi="宋体"/>
                <w:color w:val="auto"/>
                <w:szCs w:val="21"/>
                <w:highlight w:val="none"/>
              </w:rPr>
              <w:t>农田建设项目信用承诺书；法定代表人证明书；委托投标的还应提供法人授权委托证明书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ind w:firstLine="14" w:firstLineChars="7"/>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投标人名称</w:t>
            </w:r>
          </w:p>
        </w:tc>
        <w:tc>
          <w:tcPr>
            <w:tcW w:w="540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ind w:firstLine="14" w:firstLineChars="7"/>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投标文件签字盖章</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符合第二章“投标人须知”第</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ind w:firstLine="14" w:firstLineChars="7"/>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投标文件格式</w:t>
            </w:r>
            <w:r>
              <w:rPr>
                <w:rFonts w:ascii="宋体" w:hAnsi="宋体"/>
                <w:color w:val="auto"/>
                <w:szCs w:val="21"/>
                <w:highlight w:val="none"/>
              </w:rPr>
              <w:t>、</w:t>
            </w:r>
            <w:r>
              <w:rPr>
                <w:rFonts w:hint="eastAsia" w:ascii="宋体" w:hAnsi="宋体"/>
                <w:color w:val="auto"/>
                <w:szCs w:val="21"/>
                <w:highlight w:val="none"/>
              </w:rPr>
              <w:t>内容</w:t>
            </w:r>
          </w:p>
        </w:tc>
        <w:tc>
          <w:tcPr>
            <w:tcW w:w="540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符合第八章“投标文件格式”的要求</w:t>
            </w:r>
            <w:r>
              <w:rPr>
                <w:rFonts w:hint="eastAsia" w:ascii="宋体" w:hAnsi="宋体"/>
                <w:color w:val="auto"/>
                <w:szCs w:val="21"/>
                <w:highlight w:val="none"/>
              </w:rPr>
              <w:t>，</w:t>
            </w:r>
            <w:r>
              <w:rPr>
                <w:rFonts w:ascii="宋体" w:hAnsi="宋体"/>
                <w:color w:val="auto"/>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ind w:firstLine="14" w:firstLineChars="7"/>
              <w:jc w:val="center"/>
              <w:rPr>
                <w:rFonts w:ascii="宋体" w:hAnsi="宋体" w:cs="宋体"/>
                <w:color w:val="auto"/>
                <w:szCs w:val="21"/>
                <w:highlight w:val="none"/>
              </w:rPr>
            </w:pPr>
          </w:p>
        </w:tc>
        <w:tc>
          <w:tcPr>
            <w:tcW w:w="2119" w:type="dxa"/>
            <w:gridSpan w:val="4"/>
            <w:vAlign w:val="center"/>
          </w:tcPr>
          <w:p>
            <w:pPr>
              <w:adjustRightInd w:val="0"/>
              <w:spacing w:before="93" w:beforeLines="30"/>
              <w:rPr>
                <w:rFonts w:ascii="宋体" w:hAnsi="宋体"/>
                <w:color w:val="auto"/>
                <w:szCs w:val="21"/>
                <w:highlight w:val="none"/>
                <w:u w:val="single"/>
              </w:rPr>
            </w:pPr>
            <w:r>
              <w:rPr>
                <w:rFonts w:hint="eastAsia" w:ascii="宋体" w:hAnsi="宋体" w:cs="宋体"/>
                <w:strike/>
                <w:color w:val="auto"/>
                <w:szCs w:val="21"/>
                <w:highlight w:val="none"/>
              </w:rPr>
              <w:t>联合体投标人（如有）</w:t>
            </w:r>
          </w:p>
        </w:tc>
        <w:tc>
          <w:tcPr>
            <w:tcW w:w="5404" w:type="dxa"/>
            <w:vAlign w:val="center"/>
          </w:tcPr>
          <w:p>
            <w:pPr>
              <w:adjustRightInd w:val="0"/>
              <w:spacing w:before="93" w:beforeLines="30"/>
              <w:rPr>
                <w:rFonts w:hint="default" w:ascii="宋体" w:hAnsi="宋体"/>
                <w:color w:val="auto"/>
                <w:szCs w:val="21"/>
                <w:highlight w:val="none"/>
                <w:u w:val="single"/>
                <w:lang w:val="en-US" w:eastAsia="zh-CN"/>
              </w:rPr>
            </w:pPr>
            <w:r>
              <w:rPr>
                <w:rFonts w:hint="eastAsia" w:ascii="宋体" w:hAnsi="宋体" w:cs="宋体"/>
                <w:strike/>
                <w:color w:val="auto"/>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ind w:firstLine="14" w:firstLineChars="7"/>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报价唯一</w:t>
            </w:r>
          </w:p>
        </w:tc>
        <w:tc>
          <w:tcPr>
            <w:tcW w:w="540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只能有一个报价</w:t>
            </w:r>
            <w:r>
              <w:rPr>
                <w:rFonts w:hint="eastAsia" w:ascii="宋体" w:hAnsi="宋体"/>
                <w:color w:val="auto"/>
                <w:szCs w:val="21"/>
                <w:highlight w:val="none"/>
              </w:rPr>
              <w:t>（指投标函中的大写报价）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Cs w:val="21"/>
                <w:highlight w:val="none"/>
              </w:rPr>
            </w:pPr>
          </w:p>
        </w:tc>
        <w:tc>
          <w:tcPr>
            <w:tcW w:w="413" w:type="dxa"/>
            <w:vMerge w:val="continue"/>
            <w:vAlign w:val="center"/>
          </w:tcPr>
          <w:p>
            <w:pPr>
              <w:snapToGrid w:val="0"/>
              <w:rPr>
                <w:rFonts w:ascii="宋体" w:hAnsi="宋体" w:cs="宋体"/>
                <w:color w:val="auto"/>
                <w:szCs w:val="21"/>
                <w:highlight w:val="none"/>
              </w:rPr>
            </w:pPr>
          </w:p>
        </w:tc>
        <w:tc>
          <w:tcPr>
            <w:tcW w:w="2119" w:type="dxa"/>
            <w:gridSpan w:val="4"/>
            <w:vAlign w:val="center"/>
          </w:tcPr>
          <w:p>
            <w:pPr>
              <w:rPr>
                <w:rFonts w:ascii="宋体" w:hAnsi="宋体" w:cs="宋体"/>
                <w:strike/>
                <w:dstrike w:val="0"/>
                <w:color w:val="auto"/>
                <w:szCs w:val="21"/>
                <w:highlight w:val="none"/>
              </w:rPr>
            </w:pPr>
            <w:r>
              <w:rPr>
                <w:rFonts w:hint="eastAsia" w:ascii="宋体" w:hAnsi="宋体"/>
                <w:strike/>
                <w:dstrike w:val="0"/>
                <w:color w:val="auto"/>
                <w:szCs w:val="21"/>
                <w:highlight w:val="none"/>
              </w:rPr>
              <w:t>多标段投标</w:t>
            </w:r>
          </w:p>
        </w:tc>
        <w:tc>
          <w:tcPr>
            <w:tcW w:w="5404" w:type="dxa"/>
            <w:vAlign w:val="center"/>
          </w:tcPr>
          <w:p>
            <w:pPr>
              <w:rPr>
                <w:rFonts w:ascii="宋体" w:hAnsi="宋体" w:cs="宋体"/>
                <w:strike/>
                <w:dstrike w:val="0"/>
                <w:color w:val="auto"/>
                <w:szCs w:val="21"/>
                <w:highlight w:val="none"/>
              </w:rPr>
            </w:pPr>
            <w:r>
              <w:rPr>
                <w:rFonts w:hint="eastAsia"/>
                <w:strike/>
                <w:dstrike w:val="0"/>
                <w:color w:val="auto"/>
                <w:szCs w:val="21"/>
                <w:highlight w:val="none"/>
              </w:rPr>
              <w:t>符合第二章</w:t>
            </w:r>
            <w:r>
              <w:rPr>
                <w:strike/>
                <w:dstrike w:val="0"/>
                <w:color w:val="auto"/>
                <w:szCs w:val="21"/>
                <w:highlight w:val="none"/>
              </w:rPr>
              <w:t>“</w:t>
            </w:r>
            <w:r>
              <w:rPr>
                <w:rFonts w:hint="eastAsia"/>
                <w:strike/>
                <w:dstrike w:val="0"/>
                <w:color w:val="auto"/>
                <w:szCs w:val="21"/>
                <w:highlight w:val="none"/>
              </w:rPr>
              <w:t>投标人须知前附表</w:t>
            </w:r>
            <w:r>
              <w:rPr>
                <w:strike/>
                <w:dstrike w:val="0"/>
                <w:color w:val="auto"/>
                <w:szCs w:val="21"/>
                <w:highlight w:val="none"/>
              </w:rPr>
              <w:t>”</w:t>
            </w:r>
            <w:r>
              <w:rPr>
                <w:rFonts w:hint="eastAsia"/>
                <w:strike/>
                <w:dstrike w:val="0"/>
                <w:color w:val="auto"/>
                <w:szCs w:val="21"/>
                <w:highlight w:val="none"/>
              </w:rPr>
              <w:t>第10.1款规定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restart"/>
            <w:vAlign w:val="center"/>
          </w:tcPr>
          <w:p>
            <w:pP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p>
        </w:tc>
        <w:tc>
          <w:tcPr>
            <w:tcW w:w="41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营业执照</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安全生产许可证</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资质等级</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项目负责人</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专职安全员</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信誉</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其他</w:t>
            </w:r>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adjustRightInd w:val="0"/>
              <w:rPr>
                <w:rFonts w:ascii="宋体" w:hAnsi="宋体" w:cs="宋体"/>
                <w:strike/>
                <w:dstrike w:val="0"/>
                <w:color w:val="auto"/>
                <w:szCs w:val="21"/>
                <w:highlight w:val="none"/>
              </w:rPr>
            </w:pPr>
            <w:r>
              <w:rPr>
                <w:rFonts w:hint="eastAsia" w:ascii="宋体" w:hAnsi="宋体" w:cs="宋体"/>
                <w:strike/>
                <w:dstrike w:val="0"/>
                <w:color w:val="auto"/>
                <w:szCs w:val="21"/>
                <w:highlight w:val="none"/>
              </w:rPr>
              <w:t>联合体投标人（如有）</w:t>
            </w:r>
          </w:p>
        </w:tc>
        <w:tc>
          <w:tcPr>
            <w:tcW w:w="5404" w:type="dxa"/>
            <w:vAlign w:val="center"/>
          </w:tcPr>
          <w:p>
            <w:pPr>
              <w:snapToGrid w:val="0"/>
              <w:rPr>
                <w:rFonts w:ascii="宋体" w:hAnsi="宋体" w:cs="宋体"/>
                <w:strike/>
                <w:dstrike w:val="0"/>
                <w:color w:val="auto"/>
                <w:szCs w:val="21"/>
                <w:highlight w:val="none"/>
              </w:rPr>
            </w:pPr>
            <w:r>
              <w:rPr>
                <w:rFonts w:hint="eastAsia" w:ascii="宋体" w:hAnsi="宋体" w:cs="宋体"/>
                <w:strike/>
                <w:dstrike w:val="0"/>
                <w:color w:val="auto"/>
                <w:szCs w:val="21"/>
                <w:highlight w:val="none"/>
              </w:rPr>
              <w:t>符合第二章“投标人须知前附表”第</w:t>
            </w:r>
            <w:r>
              <w:rPr>
                <w:rFonts w:hint="eastAsia" w:cs="宋体"/>
                <w:strike/>
                <w:dstrike w:val="0"/>
                <w:color w:val="auto"/>
                <w:szCs w:val="21"/>
                <w:highlight w:val="none"/>
              </w:rPr>
              <w:t>1</w:t>
            </w:r>
            <w:r>
              <w:rPr>
                <w:rFonts w:hint="eastAsia" w:ascii="宋体" w:hAnsi="宋体" w:cs="宋体"/>
                <w:strike/>
                <w:dstrike w:val="0"/>
                <w:color w:val="auto"/>
                <w:szCs w:val="21"/>
                <w:highlight w:val="none"/>
              </w:rPr>
              <w:t>.</w:t>
            </w:r>
            <w:r>
              <w:rPr>
                <w:rFonts w:hint="eastAsia" w:cs="宋体"/>
                <w:strike/>
                <w:dstrike w:val="0"/>
                <w:color w:val="auto"/>
                <w:szCs w:val="21"/>
                <w:highlight w:val="none"/>
              </w:rPr>
              <w:t>4</w:t>
            </w:r>
            <w:r>
              <w:rPr>
                <w:rFonts w:hint="eastAsia" w:ascii="宋体" w:hAnsi="宋体" w:cs="宋体"/>
                <w:strike/>
                <w:dstrike w:val="0"/>
                <w:color w:val="auto"/>
                <w:szCs w:val="21"/>
                <w:highlight w:val="none"/>
              </w:rPr>
              <w:t>.</w:t>
            </w:r>
            <w:r>
              <w:rPr>
                <w:rFonts w:hint="eastAsia" w:cs="宋体"/>
                <w:strike/>
                <w:dstrike w:val="0"/>
                <w:color w:val="auto"/>
                <w:szCs w:val="21"/>
                <w:highlight w:val="none"/>
              </w:rPr>
              <w:t>2</w:t>
            </w:r>
            <w:r>
              <w:rPr>
                <w:rFonts w:hint="eastAsia" w:ascii="宋体" w:hAnsi="宋体" w:cs="宋体"/>
                <w:strike/>
                <w:dstrike w:val="0"/>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rPr>
                <w:rFonts w:ascii="宋体" w:hAnsi="宋体" w:cs="宋体"/>
                <w:color w:val="auto"/>
                <w:sz w:val="18"/>
                <w:szCs w:val="21"/>
                <w:highlight w:val="none"/>
              </w:rPr>
            </w:pPr>
          </w:p>
        </w:tc>
        <w:tc>
          <w:tcPr>
            <w:tcW w:w="413" w:type="dxa"/>
            <w:vMerge w:val="continue"/>
            <w:vAlign w:val="center"/>
          </w:tcPr>
          <w:p>
            <w:pPr>
              <w:rPr>
                <w:rFonts w:ascii="宋体" w:hAnsi="宋体" w:cs="宋体"/>
                <w:color w:val="auto"/>
                <w:sz w:val="18"/>
                <w:szCs w:val="21"/>
                <w:highlight w:val="none"/>
              </w:rPr>
            </w:pPr>
          </w:p>
        </w:tc>
        <w:tc>
          <w:tcPr>
            <w:tcW w:w="2119" w:type="dxa"/>
            <w:gridSpan w:val="4"/>
            <w:vAlign w:val="center"/>
          </w:tcPr>
          <w:p>
            <w:pPr>
              <w:rPr>
                <w:rFonts w:ascii="宋体" w:hAnsi="宋体"/>
                <w:color w:val="auto"/>
                <w:szCs w:val="21"/>
                <w:highlight w:val="none"/>
              </w:rPr>
            </w:pPr>
            <w:r>
              <w:rPr>
                <w:rFonts w:hint="eastAsia"/>
                <w:color w:val="auto"/>
                <w:highlight w:val="none"/>
              </w:rPr>
              <w:t>不存在禁止投标的情形</w:t>
            </w:r>
          </w:p>
        </w:tc>
        <w:tc>
          <w:tcPr>
            <w:tcW w:w="5404" w:type="dxa"/>
            <w:vAlign w:val="center"/>
          </w:tcPr>
          <w:p>
            <w:pPr>
              <w:rPr>
                <w:rFonts w:ascii="宋体" w:hAnsi="宋体"/>
                <w:color w:val="auto"/>
                <w:szCs w:val="21"/>
                <w:highlight w:val="none"/>
              </w:rPr>
            </w:pPr>
            <w:r>
              <w:rPr>
                <w:rFonts w:hint="eastAsia" w:ascii="宋体" w:hAnsi="宋体"/>
                <w:color w:val="auto"/>
                <w:szCs w:val="21"/>
                <w:highlight w:val="none"/>
              </w:rPr>
              <w:t>不存在第二章“投标人须知”第</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4</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项规定的</w:t>
            </w:r>
            <w:r>
              <w:rPr>
                <w:rFonts w:hint="eastAsia"/>
                <w:color w:val="auto"/>
                <w:highlight w:val="none"/>
              </w:rPr>
              <w:t>任何一种</w:t>
            </w:r>
            <w:r>
              <w:rPr>
                <w:rFonts w:hint="eastAsia" w:ascii="宋体" w:hAnsi="宋体"/>
                <w:color w:val="auto"/>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restart"/>
            <w:vAlign w:val="center"/>
          </w:tcPr>
          <w:p>
            <w:pPr>
              <w:jc w:val="center"/>
              <w:rPr>
                <w:rFonts w:ascii="宋体" w:hAnsi="宋体" w:cs="宋体"/>
                <w:color w:val="auto"/>
                <w:szCs w:val="21"/>
                <w:highlight w:val="none"/>
              </w:rPr>
            </w:pPr>
            <w:bookmarkStart w:id="1082" w:name="_Toc221950452"/>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bookmarkEnd w:id="1082"/>
            <w:r>
              <w:rPr>
                <w:rFonts w:hint="eastAsia" w:ascii="宋体" w:hAnsi="宋体" w:cs="宋体"/>
                <w:color w:val="auto"/>
                <w:szCs w:val="21"/>
                <w:highlight w:val="none"/>
              </w:rPr>
              <w:t>.</w:t>
            </w:r>
            <w:r>
              <w:rPr>
                <w:rFonts w:hint="eastAsia" w:cs="宋体"/>
                <w:color w:val="auto"/>
                <w:szCs w:val="21"/>
                <w:highlight w:val="none"/>
              </w:rPr>
              <w:t>3</w:t>
            </w:r>
          </w:p>
        </w:tc>
        <w:tc>
          <w:tcPr>
            <w:tcW w:w="413" w:type="dxa"/>
            <w:vMerge w:val="restart"/>
            <w:vAlign w:val="center"/>
          </w:tcPr>
          <w:p>
            <w:pPr>
              <w:jc w:val="center"/>
              <w:rPr>
                <w:rFonts w:ascii="宋体" w:hAnsi="宋体" w:cs="宋体"/>
                <w:color w:val="auto"/>
                <w:szCs w:val="21"/>
                <w:highlight w:val="none"/>
              </w:rPr>
            </w:pPr>
            <w:bookmarkStart w:id="1083" w:name="_Toc221950453"/>
            <w:r>
              <w:rPr>
                <w:rFonts w:hint="eastAsia" w:ascii="宋体" w:hAnsi="宋体" w:cs="宋体"/>
                <w:color w:val="auto"/>
                <w:szCs w:val="21"/>
                <w:highlight w:val="none"/>
              </w:rPr>
              <w:t>响应性评审标准</w:t>
            </w:r>
            <w:bookmarkEnd w:id="1083"/>
          </w:p>
        </w:tc>
        <w:tc>
          <w:tcPr>
            <w:tcW w:w="2119" w:type="dxa"/>
            <w:gridSpan w:val="4"/>
            <w:vAlign w:val="center"/>
          </w:tcPr>
          <w:p>
            <w:pPr>
              <w:rPr>
                <w:rFonts w:ascii="宋体" w:hAnsi="宋体" w:cs="宋体"/>
                <w:color w:val="auto"/>
                <w:szCs w:val="21"/>
                <w:highlight w:val="none"/>
              </w:rPr>
            </w:pPr>
            <w:r>
              <w:rPr>
                <w:rFonts w:hint="eastAsia" w:ascii="宋体" w:hAnsi="宋体" w:cs="宋体"/>
                <w:color w:val="auto"/>
                <w:szCs w:val="21"/>
                <w:highlight w:val="none"/>
              </w:rPr>
              <w:t>投标范围</w:t>
            </w:r>
          </w:p>
        </w:tc>
        <w:tc>
          <w:tcPr>
            <w:tcW w:w="5404" w:type="dxa"/>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rPr>
                <w:rFonts w:ascii="宋体" w:hAnsi="宋体" w:cs="宋体"/>
                <w:color w:val="auto"/>
                <w:szCs w:val="21"/>
                <w:highlight w:val="none"/>
              </w:rPr>
            </w:pPr>
            <w:r>
              <w:rPr>
                <w:rFonts w:hint="eastAsia" w:ascii="宋体" w:hAnsi="宋体" w:cs="宋体"/>
                <w:color w:val="auto"/>
                <w:szCs w:val="21"/>
                <w:highlight w:val="none"/>
              </w:rPr>
              <w:t>计划工期</w:t>
            </w:r>
          </w:p>
        </w:tc>
        <w:tc>
          <w:tcPr>
            <w:tcW w:w="5404" w:type="dxa"/>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rPr>
                <w:rFonts w:ascii="宋体" w:hAnsi="宋体" w:cs="宋体"/>
                <w:color w:val="auto"/>
                <w:szCs w:val="21"/>
                <w:highlight w:val="none"/>
              </w:rPr>
            </w:pPr>
            <w:r>
              <w:rPr>
                <w:rFonts w:hint="eastAsia" w:ascii="宋体" w:hAnsi="宋体" w:cs="宋体"/>
                <w:color w:val="auto"/>
                <w:szCs w:val="21"/>
                <w:highlight w:val="none"/>
              </w:rPr>
              <w:t>质量要求</w:t>
            </w:r>
          </w:p>
        </w:tc>
        <w:tc>
          <w:tcPr>
            <w:tcW w:w="5404" w:type="dxa"/>
            <w:vAlign w:val="center"/>
          </w:tcPr>
          <w:p>
            <w:pPr>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投标有效期</w:t>
            </w:r>
          </w:p>
        </w:tc>
        <w:tc>
          <w:tcPr>
            <w:tcW w:w="540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符合第二章“投标人须知前附表”第</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u w:val="single"/>
              </w:rPr>
              <w:t>投标保证金</w:t>
            </w:r>
          </w:p>
        </w:tc>
        <w:tc>
          <w:tcPr>
            <w:tcW w:w="540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u w:val="single"/>
              </w:rPr>
              <w:t>有《关于投标保证金的承诺》的，并按规定的格式及内容要求签署。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权利义务</w:t>
            </w:r>
          </w:p>
        </w:tc>
        <w:tc>
          <w:tcPr>
            <w:tcW w:w="5404" w:type="dxa"/>
            <w:vAlign w:val="center"/>
          </w:tcPr>
          <w:p>
            <w:pPr>
              <w:pStyle w:val="7"/>
              <w:rPr>
                <w:color w:val="auto"/>
                <w:highlight w:val="none"/>
              </w:rPr>
            </w:pPr>
            <w:r>
              <w:rPr>
                <w:rFonts w:hint="eastAsia" w:ascii="宋体" w:hAnsi="宋体"/>
                <w:color w:val="auto"/>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adjustRightInd w:val="0"/>
              <w:rPr>
                <w:rFonts w:ascii="宋体" w:hAnsi="宋体"/>
                <w:color w:val="auto"/>
                <w:szCs w:val="21"/>
                <w:highlight w:val="none"/>
              </w:rPr>
            </w:pPr>
            <w:r>
              <w:rPr>
                <w:rFonts w:hint="eastAsia" w:ascii="宋体" w:hAnsi="宋体"/>
                <w:color w:val="auto"/>
                <w:szCs w:val="21"/>
                <w:highlight w:val="none"/>
              </w:rPr>
              <w:t>算术错误修正（如有）</w:t>
            </w:r>
          </w:p>
        </w:tc>
        <w:tc>
          <w:tcPr>
            <w:tcW w:w="5404" w:type="dxa"/>
            <w:vAlign w:val="center"/>
          </w:tcPr>
          <w:p>
            <w:pPr>
              <w:adjustRightInd w:val="0"/>
              <w:rPr>
                <w:rFonts w:ascii="宋体" w:hAnsi="宋体"/>
                <w:color w:val="auto"/>
                <w:szCs w:val="21"/>
                <w:highlight w:val="none"/>
              </w:rPr>
            </w:pPr>
            <w:r>
              <w:rPr>
                <w:rFonts w:hint="eastAsia" w:ascii="宋体" w:hAnsi="宋体"/>
                <w:color w:val="auto"/>
                <w:szCs w:val="21"/>
                <w:highlight w:val="none"/>
              </w:rPr>
              <w:t>投标人接受算术错误修正后的报价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rPr>
                <w:rFonts w:ascii="宋体" w:hAnsi="宋体"/>
                <w:color w:val="auto"/>
                <w:szCs w:val="21"/>
                <w:highlight w:val="none"/>
              </w:rPr>
            </w:pPr>
            <w:r>
              <w:rPr>
                <w:rFonts w:hint="eastAsia" w:ascii="宋体" w:hAnsi="宋体"/>
                <w:color w:val="auto"/>
                <w:szCs w:val="21"/>
                <w:highlight w:val="none"/>
              </w:rPr>
              <w:t>投标报价</w:t>
            </w:r>
          </w:p>
        </w:tc>
        <w:tc>
          <w:tcPr>
            <w:tcW w:w="5404" w:type="dxa"/>
            <w:vAlign w:val="center"/>
          </w:tcPr>
          <w:p>
            <w:pPr>
              <w:rPr>
                <w:rFonts w:ascii="宋体" w:hAnsi="宋体"/>
                <w:color w:val="auto"/>
                <w:szCs w:val="21"/>
                <w:highlight w:val="none"/>
              </w:rPr>
            </w:pPr>
            <w:r>
              <w:rPr>
                <w:rFonts w:hint="eastAsia"/>
                <w:color w:val="auto"/>
                <w:szCs w:val="21"/>
                <w:highlight w:val="none"/>
              </w:rPr>
              <w:t>1</w:t>
            </w:r>
            <w:r>
              <w:rPr>
                <w:rFonts w:hint="eastAsia" w:ascii="宋体" w:hAnsi="宋体" w:cs="宋体"/>
                <w:color w:val="auto"/>
                <w:highlight w:val="none"/>
              </w:rPr>
              <w:t>．</w:t>
            </w:r>
            <w:r>
              <w:rPr>
                <w:rFonts w:hint="eastAsia" w:ascii="宋体" w:hAnsi="宋体"/>
                <w:color w:val="auto"/>
                <w:szCs w:val="21"/>
                <w:highlight w:val="none"/>
              </w:rPr>
              <w:t>投标函中的大写报价与已标价工程量清单中的投标总价一致</w:t>
            </w:r>
          </w:p>
          <w:p>
            <w:pPr>
              <w:rPr>
                <w:rFonts w:ascii="宋体" w:hAnsi="宋体"/>
                <w:color w:val="auto"/>
                <w:szCs w:val="21"/>
                <w:highlight w:val="none"/>
              </w:rPr>
            </w:pPr>
            <w:r>
              <w:rPr>
                <w:rFonts w:hint="eastAsia"/>
                <w:color w:val="auto"/>
                <w:szCs w:val="21"/>
                <w:highlight w:val="none"/>
              </w:rPr>
              <w:t>2</w:t>
            </w:r>
            <w:r>
              <w:rPr>
                <w:rFonts w:hint="eastAsia" w:ascii="宋体" w:hAnsi="宋体" w:cs="宋体"/>
                <w:color w:val="auto"/>
                <w:highlight w:val="none"/>
              </w:rPr>
              <w:t>．</w:t>
            </w:r>
            <w:r>
              <w:rPr>
                <w:rFonts w:hint="eastAsia" w:ascii="宋体" w:hAnsi="宋体"/>
                <w:color w:val="auto"/>
                <w:szCs w:val="21"/>
                <w:highlight w:val="none"/>
              </w:rPr>
              <w:t>投标函中的大写报价不超过本标段最高投标限价</w:t>
            </w:r>
          </w:p>
          <w:p>
            <w:pPr>
              <w:rPr>
                <w:rFonts w:ascii="宋体" w:hAnsi="宋体"/>
                <w:color w:val="auto"/>
                <w:szCs w:val="21"/>
                <w:highlight w:val="none"/>
              </w:rPr>
            </w:pPr>
            <w:r>
              <w:rPr>
                <w:rFonts w:hint="eastAsia"/>
                <w:color w:val="auto"/>
                <w:szCs w:val="21"/>
                <w:highlight w:val="none"/>
              </w:rPr>
              <w:t>3</w:t>
            </w:r>
            <w:r>
              <w:rPr>
                <w:rFonts w:hint="eastAsia" w:ascii="宋体" w:hAnsi="宋体" w:cs="宋体"/>
                <w:color w:val="auto"/>
                <w:highlight w:val="none"/>
              </w:rPr>
              <w:t>．</w:t>
            </w:r>
            <w:r>
              <w:rPr>
                <w:rFonts w:hint="eastAsia" w:ascii="宋体" w:hAnsi="宋体"/>
                <w:color w:val="auto"/>
                <w:szCs w:val="21"/>
                <w:highlight w:val="none"/>
              </w:rPr>
              <w:t>投标报价（算术错误修正后的报价）不超过本标段最高投标限价</w:t>
            </w:r>
          </w:p>
          <w:p>
            <w:pPr>
              <w:rPr>
                <w:rFonts w:ascii="宋体" w:hAnsi="宋体"/>
                <w:color w:val="auto"/>
                <w:szCs w:val="21"/>
                <w:highlight w:val="none"/>
              </w:rPr>
            </w:pPr>
            <w:r>
              <w:rPr>
                <w:rFonts w:hint="eastAsia"/>
                <w:color w:val="auto"/>
                <w:szCs w:val="21"/>
                <w:highlight w:val="none"/>
              </w:rPr>
              <w:t>4</w:t>
            </w:r>
            <w:r>
              <w:rPr>
                <w:rFonts w:hint="eastAsia" w:ascii="宋体" w:hAnsi="宋体"/>
                <w:color w:val="auto"/>
                <w:szCs w:val="21"/>
                <w:highlight w:val="none"/>
              </w:rPr>
              <w:t>. 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rPr>
                <w:rFonts w:ascii="宋体" w:hAnsi="宋体" w:cs="宋体"/>
                <w:color w:val="auto"/>
                <w:szCs w:val="21"/>
                <w:highlight w:val="none"/>
              </w:rPr>
            </w:pPr>
            <w:r>
              <w:rPr>
                <w:rFonts w:hint="eastAsia" w:ascii="宋体" w:hAnsi="宋体"/>
                <w:color w:val="auto"/>
                <w:szCs w:val="21"/>
                <w:highlight w:val="none"/>
              </w:rPr>
              <w:t>已标价工程量清单</w:t>
            </w:r>
          </w:p>
        </w:tc>
        <w:tc>
          <w:tcPr>
            <w:tcW w:w="5404" w:type="dxa"/>
            <w:vAlign w:val="center"/>
          </w:tcPr>
          <w:p>
            <w:pPr>
              <w:jc w:val="left"/>
              <w:rPr>
                <w:rFonts w:ascii="宋体" w:hAnsi="宋体" w:cs="宋体"/>
                <w:color w:val="auto"/>
                <w:highlight w:val="none"/>
              </w:rPr>
            </w:pPr>
            <w:r>
              <w:rPr>
                <w:rFonts w:hint="eastAsia" w:ascii="宋体" w:hAnsi="宋体"/>
                <w:color w:val="auto"/>
                <w:szCs w:val="21"/>
                <w:highlight w:val="none"/>
              </w:rPr>
              <w:t>已标价工程量清单符合第五章</w:t>
            </w:r>
            <w:r>
              <w:rPr>
                <w:rFonts w:hint="eastAsia" w:ascii="宋体" w:hAnsi="宋体" w:cs="宋体"/>
                <w:color w:val="auto"/>
                <w:szCs w:val="21"/>
                <w:highlight w:val="none"/>
              </w:rPr>
              <w:t>“工程量清单”</w:t>
            </w:r>
            <w:r>
              <w:rPr>
                <w:rFonts w:hint="eastAsia" w:ascii="宋体" w:hAnsi="宋体"/>
                <w:color w:val="auto"/>
                <w:szCs w:val="21"/>
                <w:highlight w:val="none"/>
              </w:rPr>
              <w:t>给出的数</w:t>
            </w:r>
            <w:r>
              <w:rPr>
                <w:rFonts w:hint="eastAsia"/>
                <w:color w:val="auto"/>
                <w:highlight w:val="none"/>
              </w:rPr>
              <w:t>量及范围</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2" w:type="dxa"/>
            <w:vMerge w:val="continue"/>
            <w:vAlign w:val="center"/>
          </w:tcPr>
          <w:p>
            <w:pPr>
              <w:jc w:val="center"/>
              <w:rPr>
                <w:rFonts w:ascii="宋体" w:hAnsi="宋体" w:cs="宋体"/>
                <w:color w:val="auto"/>
                <w:szCs w:val="21"/>
                <w:highlight w:val="none"/>
              </w:rPr>
            </w:pPr>
          </w:p>
        </w:tc>
        <w:tc>
          <w:tcPr>
            <w:tcW w:w="413" w:type="dxa"/>
            <w:vMerge w:val="continue"/>
            <w:vAlign w:val="center"/>
          </w:tcPr>
          <w:p>
            <w:pPr>
              <w:jc w:val="center"/>
              <w:rPr>
                <w:rFonts w:ascii="宋体" w:hAnsi="宋体" w:cs="宋体"/>
                <w:color w:val="auto"/>
                <w:szCs w:val="21"/>
                <w:highlight w:val="none"/>
              </w:rPr>
            </w:pPr>
          </w:p>
        </w:tc>
        <w:tc>
          <w:tcPr>
            <w:tcW w:w="2119" w:type="dxa"/>
            <w:gridSpan w:val="4"/>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404" w:type="dxa"/>
            <w:vAlign w:val="center"/>
          </w:tcPr>
          <w:p>
            <w:pPr>
              <w:snapToGrid w:val="0"/>
              <w:rPr>
                <w:rFonts w:ascii="宋体" w:hAnsi="宋体" w:cs="宋体"/>
                <w:color w:val="auto"/>
                <w:szCs w:val="21"/>
                <w:highlight w:val="none"/>
              </w:rPr>
            </w:pPr>
            <w:r>
              <w:rPr>
                <w:rFonts w:hint="eastAsia" w:ascii="宋体" w:hAnsi="宋体"/>
                <w:color w:val="auto"/>
                <w:szCs w:val="21"/>
                <w:highlight w:val="none"/>
              </w:rPr>
              <w:t>符合</w:t>
            </w:r>
            <w:r>
              <w:rPr>
                <w:rFonts w:hint="eastAsia" w:ascii="宋体" w:hAnsi="宋体"/>
                <w:color w:val="auto"/>
                <w:szCs w:val="21"/>
                <w:highlight w:val="none"/>
              </w:rPr>
              <w:t>第七章</w:t>
            </w:r>
            <w:r>
              <w:rPr>
                <w:rFonts w:hint="eastAsia" w:ascii="宋体" w:hAnsi="宋体"/>
                <w:color w:val="auto"/>
                <w:szCs w:val="21"/>
                <w:highlight w:val="none"/>
              </w:rPr>
              <w:t>“技术标准和要求”规定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5" w:type="dxa"/>
            <w:gridSpan w:val="2"/>
            <w:vAlign w:val="center"/>
          </w:tcPr>
          <w:p>
            <w:pPr>
              <w:jc w:val="center"/>
              <w:rPr>
                <w:rFonts w:ascii="宋体" w:hAnsi="宋体" w:cs="宋体"/>
                <w:color w:val="auto"/>
                <w:szCs w:val="21"/>
                <w:highlight w:val="none"/>
              </w:rPr>
            </w:pPr>
            <w:r>
              <w:rPr>
                <w:rFonts w:hint="eastAsia"/>
                <w:color w:val="auto"/>
                <w:highlight w:val="none"/>
              </w:rPr>
              <w:t>3.1.2</w:t>
            </w:r>
          </w:p>
        </w:tc>
        <w:tc>
          <w:tcPr>
            <w:tcW w:w="7523" w:type="dxa"/>
            <w:gridSpan w:val="5"/>
            <w:vAlign w:val="center"/>
          </w:tcPr>
          <w:p>
            <w:pPr>
              <w:rPr>
                <w:rFonts w:ascii="宋体" w:hAnsi="宋体" w:cs="宋体"/>
                <w:color w:val="auto"/>
                <w:szCs w:val="21"/>
                <w:highlight w:val="none"/>
              </w:rPr>
            </w:pPr>
            <w:r>
              <w:rPr>
                <w:rFonts w:hint="eastAsia" w:ascii="宋体" w:hAnsi="宋体" w:cs="宋体"/>
                <w:color w:val="auto"/>
                <w:szCs w:val="21"/>
                <w:highlight w:val="none"/>
              </w:rPr>
              <w:t>投标人有以下情形之一的，评标委员会应当否决其投标：</w:t>
            </w:r>
          </w:p>
          <w:p>
            <w:pPr>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highlight w:val="none"/>
              </w:rPr>
              <w:t>．</w:t>
            </w:r>
            <w:r>
              <w:rPr>
                <w:rFonts w:hint="eastAsia" w:ascii="宋体" w:hAnsi="宋体" w:cs="宋体"/>
                <w:color w:val="auto"/>
                <w:szCs w:val="21"/>
                <w:highlight w:val="none"/>
              </w:rPr>
              <w:t>不按评标委员会要求澄清、说明或补正的；</w:t>
            </w:r>
          </w:p>
          <w:p>
            <w:pP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highlight w:val="none"/>
              </w:rPr>
              <w:t>．有</w:t>
            </w:r>
            <w:r>
              <w:rPr>
                <w:rFonts w:hint="eastAsia" w:ascii="宋体" w:hAnsi="宋体" w:cs="宋体"/>
                <w:color w:val="auto"/>
                <w:szCs w:val="21"/>
                <w:highlight w:val="none"/>
              </w:rPr>
              <w:t>串通投标、弄虚作假</w:t>
            </w:r>
            <w:r>
              <w:rPr>
                <w:rFonts w:hint="eastAsia"/>
                <w:color w:val="auto"/>
                <w:highlight w:val="none"/>
              </w:rPr>
              <w:t>、行贿</w:t>
            </w:r>
            <w:r>
              <w:rPr>
                <w:rFonts w:hint="eastAsia" w:ascii="宋体" w:hAnsi="宋体" w:cs="宋体"/>
                <w:color w:val="auto"/>
                <w:szCs w:val="21"/>
                <w:highlight w:val="none"/>
              </w:rPr>
              <w:t>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55" w:type="dxa"/>
            <w:gridSpan w:val="2"/>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条款号</w:t>
            </w:r>
          </w:p>
        </w:tc>
        <w:tc>
          <w:tcPr>
            <w:tcW w:w="2119" w:type="dxa"/>
            <w:gridSpan w:val="4"/>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条款内容</w:t>
            </w:r>
          </w:p>
        </w:tc>
        <w:tc>
          <w:tcPr>
            <w:tcW w:w="5404" w:type="dxa"/>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gridSpan w:val="2"/>
            <w:vAlign w:val="center"/>
          </w:tcPr>
          <w:p>
            <w:pPr>
              <w:jc w:val="center"/>
              <w:rPr>
                <w:rFonts w:ascii="宋体" w:hAnsi="宋体" w:cs="宋体"/>
                <w:color w:val="auto"/>
                <w:szCs w:val="21"/>
                <w:highlight w:val="none"/>
              </w:rPr>
            </w:pPr>
            <w:bookmarkStart w:id="1084" w:name="_Toc221950459"/>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bookmarkEnd w:id="1084"/>
          </w:p>
        </w:tc>
        <w:tc>
          <w:tcPr>
            <w:tcW w:w="2119" w:type="dxa"/>
            <w:gridSpan w:val="4"/>
            <w:vAlign w:val="center"/>
          </w:tcPr>
          <w:p>
            <w:pPr>
              <w:snapToGrid w:val="0"/>
              <w:jc w:val="center"/>
              <w:rPr>
                <w:rFonts w:ascii="宋体" w:hAnsi="宋体" w:cs="宋体"/>
                <w:color w:val="auto"/>
                <w:szCs w:val="21"/>
                <w:highlight w:val="none"/>
              </w:rPr>
            </w:pPr>
            <w:bookmarkStart w:id="1085" w:name="_Toc221950460"/>
            <w:r>
              <w:rPr>
                <w:rFonts w:hint="eastAsia" w:ascii="宋体" w:hAnsi="宋体" w:cs="宋体"/>
                <w:color w:val="auto"/>
                <w:szCs w:val="21"/>
                <w:highlight w:val="none"/>
              </w:rPr>
              <w:t>分值构成</w:t>
            </w:r>
            <w:bookmarkEnd w:id="1085"/>
          </w:p>
          <w:p>
            <w:pPr>
              <w:snapToGrid w:val="0"/>
              <w:jc w:val="center"/>
              <w:rPr>
                <w:rFonts w:ascii="宋体" w:hAnsi="宋体" w:cs="宋体"/>
                <w:color w:val="auto"/>
                <w:szCs w:val="21"/>
                <w:highlight w:val="none"/>
              </w:rPr>
            </w:pPr>
            <w:bookmarkStart w:id="1086" w:name="_Toc221950461"/>
            <w:r>
              <w:rPr>
                <w:rFonts w:hint="eastAsia" w:ascii="宋体" w:hAnsi="宋体" w:cs="宋体"/>
                <w:color w:val="auto"/>
                <w:szCs w:val="21"/>
                <w:highlight w:val="none"/>
              </w:rPr>
              <w:t>(总分</w:t>
            </w:r>
            <w:r>
              <w:rPr>
                <w:rFonts w:hint="eastAsia" w:cs="宋体"/>
                <w:color w:val="auto"/>
                <w:szCs w:val="21"/>
                <w:highlight w:val="none"/>
              </w:rPr>
              <w:t>100</w:t>
            </w:r>
            <w:r>
              <w:rPr>
                <w:rFonts w:hint="eastAsia" w:ascii="宋体" w:hAnsi="宋体" w:cs="宋体"/>
                <w:color w:val="auto"/>
                <w:szCs w:val="21"/>
                <w:highlight w:val="none"/>
              </w:rPr>
              <w:t>分)</w:t>
            </w:r>
            <w:bookmarkEnd w:id="1086"/>
          </w:p>
        </w:tc>
        <w:tc>
          <w:tcPr>
            <w:tcW w:w="5404" w:type="dxa"/>
            <w:vAlign w:val="center"/>
          </w:tcPr>
          <w:p>
            <w:pPr>
              <w:snapToGrid w:val="0"/>
              <w:rPr>
                <w:rFonts w:eastAsia="黑体"/>
                <w:color w:val="auto"/>
                <w:highlight w:val="none"/>
              </w:rPr>
            </w:pPr>
            <w:r>
              <w:rPr>
                <w:rFonts w:hint="eastAsia"/>
                <w:color w:val="auto"/>
                <w:highlight w:val="none"/>
              </w:rPr>
              <w:t>投标报价、施工组织设计、项目管理机构、综合信用评价各为100分。其权重</w:t>
            </w:r>
            <w:r>
              <w:rPr>
                <w:rStyle w:val="31"/>
                <w:rFonts w:hint="eastAsia"/>
                <w:color w:val="auto"/>
                <w:highlight w:val="none"/>
              </w:rPr>
              <w:footnoteReference w:id="10"/>
            </w:r>
            <w:r>
              <w:rPr>
                <w:rFonts w:hint="eastAsia"/>
                <w:color w:val="auto"/>
                <w:highlight w:val="none"/>
              </w:rPr>
              <w:t>分别为：</w:t>
            </w:r>
            <w:r>
              <w:rPr>
                <w:rFonts w:hint="eastAsia"/>
                <w:color w:val="auto"/>
                <w:highlight w:val="none"/>
              </w:rPr>
              <w:t>80%，5%，5%，10%</w:t>
            </w:r>
            <w:r>
              <w:rPr>
                <w:rFonts w:hint="eastAsia"/>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55" w:type="dxa"/>
            <w:gridSpan w:val="2"/>
            <w:vAlign w:val="center"/>
          </w:tcPr>
          <w:p>
            <w:pPr>
              <w:jc w:val="center"/>
              <w:rPr>
                <w:rFonts w:ascii="宋体" w:hAnsi="宋体" w:cs="宋体"/>
                <w:color w:val="auto"/>
                <w:szCs w:val="21"/>
                <w:highlight w:val="none"/>
              </w:rPr>
            </w:pPr>
            <w:bookmarkStart w:id="1087" w:name="_Toc221950466"/>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bookmarkEnd w:id="1087"/>
          </w:p>
        </w:tc>
        <w:tc>
          <w:tcPr>
            <w:tcW w:w="2119" w:type="dxa"/>
            <w:gridSpan w:val="4"/>
            <w:vAlign w:val="center"/>
          </w:tcPr>
          <w:p>
            <w:pPr>
              <w:jc w:val="center"/>
              <w:rPr>
                <w:rFonts w:ascii="宋体" w:hAnsi="宋体" w:cs="宋体"/>
                <w:color w:val="auto"/>
                <w:szCs w:val="21"/>
                <w:highlight w:val="none"/>
              </w:rPr>
            </w:pPr>
            <w:bookmarkStart w:id="1088" w:name="_Toc221950467"/>
            <w:r>
              <w:rPr>
                <w:rFonts w:hint="eastAsia" w:ascii="宋体" w:hAnsi="宋体" w:cs="宋体"/>
                <w:color w:val="auto"/>
                <w:szCs w:val="21"/>
                <w:highlight w:val="none"/>
              </w:rPr>
              <w:t>评标基准价计算</w:t>
            </w:r>
            <w:bookmarkEnd w:id="1088"/>
          </w:p>
        </w:tc>
        <w:tc>
          <w:tcPr>
            <w:tcW w:w="5404"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本招标工程采用</w:t>
            </w:r>
            <w:r>
              <w:rPr>
                <w:rFonts w:hint="eastAsia" w:ascii="宋体" w:hAnsi="宋体"/>
                <w:color w:val="auto"/>
                <w:szCs w:val="21"/>
                <w:highlight w:val="none"/>
              </w:rPr>
              <w:t>最高投标限价</w:t>
            </w:r>
            <w:r>
              <w:rPr>
                <w:rFonts w:hint="eastAsia" w:ascii="宋体" w:hAnsi="宋体" w:cs="宋体"/>
                <w:color w:val="auto"/>
                <w:szCs w:val="21"/>
                <w:highlight w:val="none"/>
              </w:rPr>
              <w:t>（</w:t>
            </w:r>
            <w:r>
              <w:rPr>
                <w:rFonts w:hint="eastAsia" w:ascii="宋体" w:hAnsi="宋体"/>
                <w:color w:val="auto"/>
                <w:szCs w:val="21"/>
                <w:highlight w:val="none"/>
              </w:rPr>
              <w:t>最高投标限价</w:t>
            </w:r>
            <w:r>
              <w:rPr>
                <w:rFonts w:hint="eastAsia" w:ascii="宋体" w:hAnsi="宋体" w:cs="宋体"/>
                <w:color w:val="auto"/>
                <w:szCs w:val="21"/>
                <w:highlight w:val="none"/>
              </w:rPr>
              <w:t>已在招标文件中载明或已按规定形式发布），评标基准价的确定方法为：方法</w:t>
            </w:r>
            <w:r>
              <w:rPr>
                <w:rFonts w:hint="eastAsia"/>
                <w:b/>
                <w:color w:val="auto"/>
                <w:szCs w:val="21"/>
                <w:highlight w:val="none"/>
                <w:u w:val="single"/>
              </w:rPr>
              <w:t>采取方式二</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55" w:type="dxa"/>
            <w:gridSpan w:val="2"/>
            <w:vAlign w:val="center"/>
          </w:tcPr>
          <w:p>
            <w:pPr>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p>
        </w:tc>
        <w:tc>
          <w:tcPr>
            <w:tcW w:w="2119"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偏差率计算</w:t>
            </w:r>
          </w:p>
        </w:tc>
        <w:tc>
          <w:tcPr>
            <w:tcW w:w="5404"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（投标报价-评标基准价）/评标基准价×</w:t>
            </w:r>
            <w:r>
              <w:rPr>
                <w:rFonts w:hint="eastAsia"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42" w:type="dxa"/>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条款号</w:t>
            </w:r>
          </w:p>
        </w:tc>
        <w:tc>
          <w:tcPr>
            <w:tcW w:w="1589" w:type="dxa"/>
            <w:gridSpan w:val="3"/>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评分因素</w:t>
            </w:r>
          </w:p>
        </w:tc>
        <w:tc>
          <w:tcPr>
            <w:tcW w:w="943" w:type="dxa"/>
            <w:gridSpan w:val="2"/>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标准</w:t>
            </w:r>
          </w:p>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分值</w:t>
            </w:r>
          </w:p>
        </w:tc>
        <w:tc>
          <w:tcPr>
            <w:tcW w:w="5404" w:type="dxa"/>
            <w:vAlign w:val="center"/>
          </w:tcPr>
          <w:p>
            <w:pPr>
              <w:snapToGrid w:val="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042" w:type="dxa"/>
            <w:vMerge w:val="restart"/>
            <w:vAlign w:val="center"/>
          </w:tcPr>
          <w:p>
            <w:pPr>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w:t>
            </w:r>
            <w:r>
              <w:rPr>
                <w:rFonts w:hint="eastAsia" w:cs="宋体"/>
                <w:color w:val="auto"/>
                <w:szCs w:val="21"/>
                <w:highlight w:val="none"/>
              </w:rPr>
              <w:t>1</w:t>
            </w:r>
            <w:r>
              <w:rPr>
                <w:rFonts w:hint="eastAsia" w:ascii="宋体" w:hAnsi="宋体" w:cs="宋体"/>
                <w:color w:val="auto"/>
                <w:szCs w:val="21"/>
                <w:highlight w:val="none"/>
              </w:rPr>
              <w:t>)</w:t>
            </w:r>
          </w:p>
        </w:tc>
        <w:tc>
          <w:tcPr>
            <w:tcW w:w="1589"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投标报价</w:t>
            </w:r>
          </w:p>
          <w:p>
            <w:pPr>
              <w:jc w:val="center"/>
              <w:rPr>
                <w:rFonts w:ascii="宋体" w:hAnsi="宋体" w:cs="宋体"/>
                <w:color w:val="auto"/>
                <w:szCs w:val="21"/>
                <w:highlight w:val="none"/>
              </w:rPr>
            </w:pPr>
            <w:r>
              <w:rPr>
                <w:rFonts w:hint="eastAsia" w:cs="宋体"/>
                <w:color w:val="auto"/>
                <w:szCs w:val="21"/>
                <w:highlight w:val="none"/>
              </w:rPr>
              <w:t>100</w:t>
            </w:r>
            <w:r>
              <w:rPr>
                <w:rFonts w:hint="eastAsia" w:ascii="宋体" w:hAnsi="宋体" w:cs="宋体"/>
                <w:color w:val="auto"/>
                <w:szCs w:val="21"/>
                <w:highlight w:val="none"/>
              </w:rPr>
              <w:t>分</w:t>
            </w:r>
          </w:p>
        </w:tc>
        <w:tc>
          <w:tcPr>
            <w:tcW w:w="943" w:type="dxa"/>
            <w:gridSpan w:val="2"/>
            <w:vAlign w:val="center"/>
          </w:tcPr>
          <w:p>
            <w:pPr>
              <w:jc w:val="center"/>
              <w:rPr>
                <w:rFonts w:ascii="宋体" w:hAnsi="宋体" w:cs="宋体"/>
                <w:color w:val="auto"/>
                <w:szCs w:val="21"/>
                <w:highlight w:val="none"/>
              </w:rPr>
            </w:pPr>
            <w:r>
              <w:rPr>
                <w:rFonts w:hint="eastAsia" w:cs="宋体"/>
                <w:color w:val="auto"/>
                <w:szCs w:val="21"/>
                <w:highlight w:val="none"/>
              </w:rPr>
              <w:t>100</w:t>
            </w:r>
            <w:r>
              <w:rPr>
                <w:rFonts w:hint="eastAsia" w:ascii="宋体" w:hAnsi="宋体" w:cs="宋体"/>
                <w:color w:val="auto"/>
                <w:szCs w:val="21"/>
                <w:highlight w:val="none"/>
              </w:rPr>
              <w:t>分</w:t>
            </w:r>
          </w:p>
        </w:tc>
        <w:tc>
          <w:tcPr>
            <w:tcW w:w="5404" w:type="dxa"/>
            <w:vAlign w:val="center"/>
          </w:tcPr>
          <w:p>
            <w:pPr>
              <w:rPr>
                <w:color w:val="auto"/>
                <w:highlight w:val="none"/>
              </w:rPr>
            </w:pPr>
            <w:r>
              <w:rPr>
                <w:rFonts w:hint="eastAsia"/>
                <w:color w:val="auto"/>
                <w:highlight w:val="none"/>
              </w:rPr>
              <w:t>投标人的投标报价等于评标基准价的，得100分，</w:t>
            </w:r>
            <w:r>
              <w:rPr>
                <w:rFonts w:hint="eastAsia"/>
                <w:color w:val="auto"/>
                <w:highlight w:val="none"/>
                <w:u w:val="none"/>
              </w:rPr>
              <w:t>投标报价比评标基准价每高1%的</w:t>
            </w:r>
            <w:r>
              <w:rPr>
                <w:rFonts w:hint="eastAsia"/>
                <w:color w:val="auto"/>
                <w:highlight w:val="none"/>
                <w:u w:val="none"/>
              </w:rPr>
              <w:t>，扣0.</w:t>
            </w:r>
            <w:r>
              <w:rPr>
                <w:rFonts w:hint="eastAsia"/>
                <w:color w:val="auto"/>
                <w:highlight w:val="none"/>
                <w:u w:val="none"/>
                <w:lang w:val="en-US" w:eastAsia="zh-CN"/>
              </w:rPr>
              <w:t>3</w:t>
            </w:r>
            <w:r>
              <w:rPr>
                <w:rFonts w:hint="eastAsia"/>
                <w:color w:val="auto"/>
                <w:highlight w:val="none"/>
                <w:u w:val="none"/>
              </w:rPr>
              <w:t>分；每低1%扣0.1分</w:t>
            </w:r>
            <w:r>
              <w:rPr>
                <w:rFonts w:hint="eastAsia"/>
                <w:color w:val="auto"/>
                <w:highlight w:val="none"/>
                <w:u w:val="none"/>
              </w:rPr>
              <w:t>，扣至0分为止</w:t>
            </w:r>
            <w:r>
              <w:rPr>
                <w:rFonts w:hint="eastAsia"/>
                <w:color w:val="auto"/>
                <w:highlight w:val="none"/>
              </w:rPr>
              <w:t>。（注：扣分标准由招标人自行制定）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042" w:type="dxa"/>
            <w:vMerge w:val="restart"/>
            <w:vAlign w:val="center"/>
          </w:tcPr>
          <w:p>
            <w:pPr>
              <w:snapToGrid w:val="0"/>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p>
        </w:tc>
        <w:tc>
          <w:tcPr>
            <w:tcW w:w="686" w:type="dxa"/>
            <w:gridSpan w:val="2"/>
            <w:vMerge w:val="restart"/>
            <w:vAlign w:val="center"/>
          </w:tcPr>
          <w:p>
            <w:pPr>
              <w:jc w:val="center"/>
              <w:rPr>
                <w:rFonts w:ascii="宋体" w:hAnsi="宋体"/>
                <w:color w:val="auto"/>
                <w:szCs w:val="21"/>
                <w:highlight w:val="none"/>
              </w:rPr>
            </w:pPr>
            <w:r>
              <w:rPr>
                <w:rFonts w:hint="eastAsia" w:ascii="宋体" w:hAnsi="宋体" w:cs="宋体"/>
                <w:color w:val="auto"/>
                <w:szCs w:val="21"/>
                <w:highlight w:val="none"/>
              </w:rPr>
              <w:t>施工组织设计</w:t>
            </w:r>
            <w:r>
              <w:rPr>
                <w:rFonts w:hint="eastAsia" w:cs="宋体"/>
                <w:color w:val="auto"/>
                <w:szCs w:val="21"/>
                <w:highlight w:val="none"/>
              </w:rPr>
              <w:t>100</w:t>
            </w:r>
            <w:r>
              <w:rPr>
                <w:rFonts w:hint="eastAsia" w:ascii="宋体" w:hAnsi="宋体" w:cs="宋体"/>
                <w:color w:val="auto"/>
                <w:szCs w:val="21"/>
                <w:highlight w:val="none"/>
              </w:rPr>
              <w:t>分</w:t>
            </w:r>
          </w:p>
        </w:tc>
        <w:tc>
          <w:tcPr>
            <w:tcW w:w="903" w:type="dxa"/>
            <w:vAlign w:val="center"/>
          </w:tcPr>
          <w:p>
            <w:pPr>
              <w:jc w:val="center"/>
              <w:rPr>
                <w:rFonts w:ascii="宋体" w:hAnsi="宋体"/>
                <w:color w:val="auto"/>
                <w:szCs w:val="21"/>
                <w:highlight w:val="none"/>
              </w:rPr>
            </w:pPr>
            <w:r>
              <w:rPr>
                <w:rFonts w:hint="eastAsia" w:ascii="宋体" w:hAnsi="宋体" w:cs="宋体"/>
                <w:color w:val="auto"/>
                <w:szCs w:val="21"/>
                <w:highlight w:val="none"/>
              </w:rPr>
              <w:t>施工组织安全管理整性和编制水平</w:t>
            </w:r>
          </w:p>
        </w:tc>
        <w:tc>
          <w:tcPr>
            <w:tcW w:w="943" w:type="dxa"/>
            <w:gridSpan w:val="2"/>
            <w:vAlign w:val="center"/>
          </w:tcPr>
          <w:p>
            <w:pPr>
              <w:jc w:val="center"/>
              <w:rPr>
                <w:rFonts w:ascii="宋体" w:hAnsi="宋体"/>
                <w:bCs/>
                <w:color w:val="auto"/>
                <w:szCs w:val="21"/>
                <w:highlight w:val="none"/>
              </w:rPr>
            </w:pPr>
            <w:r>
              <w:rPr>
                <w:rFonts w:hint="eastAsia"/>
                <w:bCs/>
                <w:color w:val="auto"/>
                <w:szCs w:val="21"/>
                <w:highlight w:val="none"/>
              </w:rPr>
              <w:t xml:space="preserve">  15</w:t>
            </w:r>
            <w:r>
              <w:rPr>
                <w:rFonts w:hint="eastAsia" w:ascii="宋体" w:hAnsi="宋体"/>
                <w:bCs/>
                <w:color w:val="auto"/>
                <w:szCs w:val="21"/>
                <w:highlight w:val="none"/>
              </w:rPr>
              <w:t>分</w:t>
            </w:r>
          </w:p>
        </w:tc>
        <w:tc>
          <w:tcPr>
            <w:tcW w:w="5404"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优：有项目管理目标、施工部署、工程重点难点分析、施工工艺；满足 4 项；得 15分；</w:t>
            </w:r>
          </w:p>
          <w:p>
            <w:pPr>
              <w:rPr>
                <w:rFonts w:hint="eastAsia"/>
                <w:color w:val="auto"/>
                <w:highlight w:val="none"/>
              </w:rPr>
            </w:pPr>
            <w:r>
              <w:rPr>
                <w:rFonts w:hint="eastAsia"/>
                <w:color w:val="auto"/>
                <w:highlight w:val="none"/>
              </w:rPr>
              <w:t xml:space="preserve">良：有项目管理目标、施工部署、工程重点难点分析、施工工艺；满足其中 3 项；得 </w:t>
            </w:r>
            <w:r>
              <w:rPr>
                <w:rFonts w:hint="eastAsia"/>
                <w:color w:val="auto"/>
                <w:highlight w:val="none"/>
                <w:lang w:val="en-US" w:eastAsia="zh-CN"/>
              </w:rPr>
              <w:t>10</w:t>
            </w:r>
            <w:r>
              <w:rPr>
                <w:rFonts w:hint="eastAsia"/>
                <w:color w:val="auto"/>
                <w:highlight w:val="none"/>
              </w:rPr>
              <w:t xml:space="preserve"> 分</w:t>
            </w:r>
            <w:r>
              <w:rPr>
                <w:rFonts w:hint="eastAsia"/>
                <w:color w:val="auto"/>
                <w:highlight w:val="none"/>
              </w:rPr>
              <w:t>；</w:t>
            </w:r>
          </w:p>
          <w:p>
            <w:pPr>
              <w:rPr>
                <w:rFonts w:hint="eastAsia"/>
                <w:color w:val="auto"/>
                <w:highlight w:val="none"/>
              </w:rPr>
            </w:pPr>
            <w:r>
              <w:rPr>
                <w:rFonts w:hint="eastAsia"/>
                <w:color w:val="auto"/>
                <w:highlight w:val="none"/>
              </w:rPr>
              <w:t xml:space="preserve">中：有项目管理目标、施工部署、工程重点难点分析、施工工艺；满足其中 2 项；得 </w:t>
            </w:r>
            <w:r>
              <w:rPr>
                <w:rFonts w:hint="eastAsia"/>
                <w:color w:val="auto"/>
                <w:highlight w:val="none"/>
                <w:lang w:val="en-US" w:eastAsia="zh-CN"/>
              </w:rPr>
              <w:t>5</w:t>
            </w:r>
            <w:r>
              <w:rPr>
                <w:rFonts w:hint="eastAsia"/>
                <w:color w:val="auto"/>
                <w:highlight w:val="none"/>
              </w:rPr>
              <w:t xml:space="preserve"> 分</w:t>
            </w:r>
            <w:r>
              <w:rPr>
                <w:rFonts w:hint="eastAsia"/>
                <w:color w:val="auto"/>
                <w:highlight w:val="none"/>
              </w:rPr>
              <w:t>；</w:t>
            </w:r>
          </w:p>
          <w:p>
            <w:pPr>
              <w:rPr>
                <w:color w:val="auto"/>
                <w:highlight w:val="none"/>
              </w:rPr>
            </w:pPr>
            <w:r>
              <w:rPr>
                <w:rFonts w:hint="eastAsia"/>
                <w:color w:val="auto"/>
                <w:highlight w:val="none"/>
              </w:rPr>
              <w:t>差：没有相关描述的得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42" w:type="dxa"/>
            <w:vMerge w:val="continue"/>
            <w:vAlign w:val="center"/>
          </w:tcPr>
          <w:p>
            <w:pPr>
              <w:snapToGrid w:val="0"/>
              <w:rPr>
                <w:rFonts w:ascii="宋体" w:hAnsi="宋体" w:cs="宋体"/>
                <w:color w:val="auto"/>
                <w:szCs w:val="21"/>
                <w:highlight w:val="none"/>
              </w:rPr>
            </w:pPr>
          </w:p>
        </w:tc>
        <w:tc>
          <w:tcPr>
            <w:tcW w:w="686" w:type="dxa"/>
            <w:gridSpan w:val="2"/>
            <w:vMerge w:val="continue"/>
            <w:vAlign w:val="center"/>
          </w:tcPr>
          <w:p>
            <w:pPr>
              <w:jc w:val="center"/>
              <w:rPr>
                <w:rFonts w:ascii="宋体" w:hAnsi="宋体"/>
                <w:color w:val="auto"/>
                <w:szCs w:val="44"/>
                <w:highlight w:val="none"/>
              </w:rPr>
            </w:pPr>
          </w:p>
        </w:tc>
        <w:tc>
          <w:tcPr>
            <w:tcW w:w="90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施工质量安全管理体系与质量安全保证措施</w:t>
            </w:r>
          </w:p>
        </w:tc>
        <w:tc>
          <w:tcPr>
            <w:tcW w:w="943" w:type="dxa"/>
            <w:gridSpan w:val="2"/>
            <w:vMerge w:val="restart"/>
            <w:vAlign w:val="center"/>
          </w:tcPr>
          <w:p>
            <w:pPr>
              <w:jc w:val="center"/>
              <w:rPr>
                <w:rFonts w:ascii="宋体" w:hAnsi="宋体"/>
                <w:bCs/>
                <w:color w:val="auto"/>
                <w:szCs w:val="21"/>
                <w:highlight w:val="none"/>
              </w:rPr>
            </w:pPr>
            <w:r>
              <w:rPr>
                <w:rFonts w:hint="eastAsia"/>
                <w:bCs/>
                <w:color w:val="auto"/>
                <w:szCs w:val="21"/>
                <w:highlight w:val="none"/>
              </w:rPr>
              <w:t xml:space="preserve">  20</w:t>
            </w:r>
            <w:r>
              <w:rPr>
                <w:rFonts w:hint="eastAsia" w:ascii="宋体" w:hAnsi="宋体"/>
                <w:bCs/>
                <w:color w:val="auto"/>
                <w:szCs w:val="21"/>
                <w:highlight w:val="none"/>
              </w:rPr>
              <w:t>分</w:t>
            </w:r>
          </w:p>
        </w:tc>
        <w:tc>
          <w:tcPr>
            <w:tcW w:w="5404"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优：有质量管理体系、质量保证措施、安全管理体系、安全保证措施；满足 4 项；得 20 分；</w:t>
            </w:r>
          </w:p>
          <w:p>
            <w:pPr>
              <w:rPr>
                <w:rFonts w:hint="eastAsia" w:ascii="宋体" w:hAnsi="宋体" w:cs="宋体"/>
                <w:color w:val="auto"/>
                <w:szCs w:val="21"/>
                <w:highlight w:val="none"/>
              </w:rPr>
            </w:pPr>
            <w:r>
              <w:rPr>
                <w:rFonts w:hint="eastAsia" w:ascii="宋体" w:hAnsi="宋体" w:cs="宋体"/>
                <w:color w:val="auto"/>
                <w:szCs w:val="21"/>
                <w:highlight w:val="none"/>
              </w:rPr>
              <w:t>良：有质量管理体系、质量保证措施、安全管理体系、安全保证措施；满足其中 3项；</w:t>
            </w:r>
            <w:r>
              <w:rPr>
                <w:rFonts w:hint="eastAsia" w:ascii="宋体" w:hAnsi="宋体" w:cs="宋体"/>
                <w:color w:val="auto"/>
                <w:szCs w:val="21"/>
                <w:highlight w:val="none"/>
              </w:rPr>
              <w:t>得 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中：有质量管理体系、质量保证措施、安全管理体系、安全保证措施；满足其中 2项；</w:t>
            </w:r>
            <w:r>
              <w:rPr>
                <w:rFonts w:hint="eastAsia" w:ascii="宋体" w:hAnsi="宋体" w:cs="宋体"/>
                <w:color w:val="auto"/>
                <w:szCs w:val="21"/>
                <w:highlight w:val="none"/>
              </w:rPr>
              <w:t>得 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szCs w:val="21"/>
                <w:highlight w:val="none"/>
              </w:rPr>
              <w:t>；</w:t>
            </w:r>
          </w:p>
          <w:p>
            <w:pPr>
              <w:rPr>
                <w:bCs/>
                <w:color w:val="auto"/>
                <w:szCs w:val="21"/>
                <w:highlight w:val="none"/>
              </w:rPr>
            </w:pPr>
            <w:r>
              <w:rPr>
                <w:rFonts w:hint="eastAsia" w:ascii="宋体" w:hAnsi="宋体" w:cs="宋体"/>
                <w:color w:val="auto"/>
                <w:szCs w:val="21"/>
                <w:highlight w:val="none"/>
              </w:rPr>
              <w:t>差：没有相关描述的得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042" w:type="dxa"/>
            <w:vMerge w:val="continue"/>
            <w:vAlign w:val="center"/>
          </w:tcPr>
          <w:p>
            <w:pPr>
              <w:snapToGrid w:val="0"/>
              <w:rPr>
                <w:rFonts w:ascii="宋体" w:hAnsi="宋体" w:cs="宋体"/>
                <w:color w:val="auto"/>
                <w:szCs w:val="21"/>
                <w:highlight w:val="none"/>
              </w:rPr>
            </w:pPr>
          </w:p>
        </w:tc>
        <w:tc>
          <w:tcPr>
            <w:tcW w:w="686" w:type="dxa"/>
            <w:gridSpan w:val="2"/>
            <w:vMerge w:val="continue"/>
            <w:vAlign w:val="center"/>
          </w:tcPr>
          <w:p>
            <w:pPr>
              <w:jc w:val="center"/>
              <w:rPr>
                <w:rFonts w:ascii="宋体" w:hAnsi="宋体"/>
                <w:color w:val="auto"/>
                <w:szCs w:val="21"/>
                <w:highlight w:val="none"/>
              </w:rPr>
            </w:pPr>
          </w:p>
        </w:tc>
        <w:tc>
          <w:tcPr>
            <w:tcW w:w="90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施工进度计划</w:t>
            </w:r>
          </w:p>
          <w:p>
            <w:pPr>
              <w:jc w:val="center"/>
              <w:rPr>
                <w:rFonts w:ascii="宋体" w:hAnsi="宋体"/>
                <w:color w:val="auto"/>
                <w:szCs w:val="21"/>
                <w:highlight w:val="none"/>
              </w:rPr>
            </w:pPr>
          </w:p>
        </w:tc>
        <w:tc>
          <w:tcPr>
            <w:tcW w:w="943" w:type="dxa"/>
            <w:gridSpan w:val="2"/>
            <w:vMerge w:val="restart"/>
            <w:vAlign w:val="center"/>
          </w:tcPr>
          <w:p>
            <w:pPr>
              <w:jc w:val="center"/>
              <w:rPr>
                <w:rFonts w:ascii="宋体" w:hAnsi="宋体"/>
                <w:color w:val="auto"/>
                <w:szCs w:val="21"/>
                <w:highlight w:val="none"/>
              </w:rPr>
            </w:pPr>
            <w:r>
              <w:rPr>
                <w:rFonts w:hint="eastAsia"/>
                <w:bCs/>
                <w:color w:val="auto"/>
                <w:szCs w:val="21"/>
                <w:highlight w:val="none"/>
              </w:rPr>
              <w:t xml:space="preserve"> 20</w:t>
            </w:r>
            <w:r>
              <w:rPr>
                <w:rFonts w:hint="eastAsia" w:ascii="宋体" w:hAnsi="宋体"/>
                <w:bCs/>
                <w:color w:val="auto"/>
                <w:szCs w:val="21"/>
                <w:highlight w:val="none"/>
              </w:rPr>
              <w:t>分</w:t>
            </w:r>
          </w:p>
        </w:tc>
        <w:tc>
          <w:tcPr>
            <w:tcW w:w="5404"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优：有施工进度总计划，计划工期与招标文件要求的工期比较，计划工期缩短 5天或以上的；得 20 分；</w:t>
            </w:r>
          </w:p>
          <w:p>
            <w:pPr>
              <w:rPr>
                <w:rFonts w:hint="eastAsia" w:ascii="宋体" w:hAnsi="宋体" w:cs="宋体"/>
                <w:color w:val="auto"/>
                <w:szCs w:val="21"/>
                <w:highlight w:val="none"/>
              </w:rPr>
            </w:pPr>
            <w:r>
              <w:rPr>
                <w:rFonts w:hint="eastAsia" w:ascii="宋体" w:hAnsi="宋体" w:cs="宋体"/>
                <w:color w:val="auto"/>
                <w:szCs w:val="21"/>
                <w:highlight w:val="none"/>
              </w:rPr>
              <w:t>良：有施工进度总计划，计划工期与招标文件要求的工期比较，计划工期缩短 3~4天的；</w:t>
            </w:r>
            <w:r>
              <w:rPr>
                <w:rFonts w:hint="eastAsia" w:ascii="宋体" w:hAnsi="宋体" w:cs="宋体"/>
                <w:color w:val="auto"/>
                <w:szCs w:val="21"/>
                <w:highlight w:val="none"/>
              </w:rPr>
              <w:t xml:space="preserve">得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 分</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中：有施工进度总计划，计划工期与招标文件要求的工期比较，计划工期缩短 1~2天的；</w:t>
            </w:r>
            <w:r>
              <w:rPr>
                <w:rFonts w:hint="eastAsia" w:ascii="宋体" w:hAnsi="宋体" w:cs="宋体"/>
                <w:color w:val="auto"/>
                <w:szCs w:val="21"/>
                <w:highlight w:val="none"/>
              </w:rPr>
              <w:t>得 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 分</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差：有施工进度总计划，计划工期与招标文件要求的工期比较，计划工期没有缩短的；得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042" w:type="dxa"/>
            <w:vMerge w:val="continue"/>
            <w:vAlign w:val="center"/>
          </w:tcPr>
          <w:p>
            <w:pPr>
              <w:snapToGrid w:val="0"/>
              <w:rPr>
                <w:rFonts w:ascii="宋体" w:hAnsi="宋体" w:cs="宋体"/>
                <w:color w:val="auto"/>
                <w:szCs w:val="21"/>
                <w:highlight w:val="none"/>
              </w:rPr>
            </w:pPr>
          </w:p>
        </w:tc>
        <w:tc>
          <w:tcPr>
            <w:tcW w:w="686" w:type="dxa"/>
            <w:gridSpan w:val="2"/>
            <w:vMerge w:val="continue"/>
            <w:vAlign w:val="center"/>
          </w:tcPr>
          <w:p>
            <w:pPr>
              <w:jc w:val="center"/>
              <w:rPr>
                <w:rFonts w:ascii="宋体" w:hAnsi="宋体"/>
                <w:color w:val="auto"/>
                <w:szCs w:val="21"/>
                <w:highlight w:val="none"/>
              </w:rPr>
            </w:pPr>
          </w:p>
        </w:tc>
        <w:tc>
          <w:tcPr>
            <w:tcW w:w="90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劳动力投入计划</w:t>
            </w:r>
          </w:p>
        </w:tc>
        <w:tc>
          <w:tcPr>
            <w:tcW w:w="943" w:type="dxa"/>
            <w:gridSpan w:val="2"/>
            <w:vMerge w:val="restart"/>
            <w:vAlign w:val="center"/>
          </w:tcPr>
          <w:p>
            <w:pPr>
              <w:jc w:val="center"/>
              <w:rPr>
                <w:rFonts w:ascii="宋体" w:hAnsi="宋体"/>
                <w:color w:val="auto"/>
                <w:szCs w:val="21"/>
                <w:highlight w:val="none"/>
              </w:rPr>
            </w:pPr>
            <w:r>
              <w:rPr>
                <w:rFonts w:hint="eastAsia"/>
                <w:bCs/>
                <w:color w:val="auto"/>
                <w:szCs w:val="21"/>
                <w:highlight w:val="none"/>
              </w:rPr>
              <w:t xml:space="preserve">  15</w:t>
            </w:r>
            <w:r>
              <w:rPr>
                <w:rFonts w:hint="eastAsia" w:ascii="宋体" w:hAnsi="宋体"/>
                <w:bCs/>
                <w:color w:val="auto"/>
                <w:szCs w:val="21"/>
                <w:highlight w:val="none"/>
              </w:rPr>
              <w:t>分</w:t>
            </w:r>
          </w:p>
        </w:tc>
        <w:tc>
          <w:tcPr>
            <w:tcW w:w="5404" w:type="dxa"/>
            <w:vAlign w:val="center"/>
          </w:tcPr>
          <w:p>
            <w:pPr>
              <w:rPr>
                <w:rFonts w:hint="eastAsia" w:ascii="宋体" w:hAnsi="宋体" w:cs="宋体"/>
                <w:color w:val="auto"/>
                <w:spacing w:val="-10"/>
                <w:szCs w:val="21"/>
                <w:highlight w:val="none"/>
              </w:rPr>
            </w:pPr>
            <w:r>
              <w:rPr>
                <w:rFonts w:hint="eastAsia" w:ascii="宋体" w:hAnsi="宋体" w:cs="宋体"/>
                <w:color w:val="auto"/>
                <w:spacing w:val="-10"/>
                <w:szCs w:val="21"/>
                <w:highlight w:val="none"/>
              </w:rPr>
              <w:t>优：施工高峰期拟投入的劳动力数量≧80 人，得 15 分。</w:t>
            </w:r>
          </w:p>
          <w:p>
            <w:pPr>
              <w:rPr>
                <w:rFonts w:hint="eastAsia" w:ascii="宋体" w:hAnsi="宋体" w:cs="宋体"/>
                <w:color w:val="auto"/>
                <w:spacing w:val="-10"/>
                <w:szCs w:val="21"/>
                <w:highlight w:val="none"/>
              </w:rPr>
            </w:pPr>
            <w:r>
              <w:rPr>
                <w:rFonts w:hint="eastAsia" w:ascii="宋体" w:hAnsi="宋体" w:cs="宋体"/>
                <w:color w:val="auto"/>
                <w:spacing w:val="-10"/>
                <w:szCs w:val="21"/>
                <w:highlight w:val="none"/>
              </w:rPr>
              <w:t>良：施工高峰期拟投入的劳动力数量为 50~79 人，</w:t>
            </w:r>
            <w:r>
              <w:rPr>
                <w:rFonts w:hint="eastAsia" w:ascii="宋体" w:hAnsi="宋体" w:cs="宋体"/>
                <w:color w:val="auto"/>
                <w:spacing w:val="-10"/>
                <w:szCs w:val="21"/>
                <w:highlight w:val="none"/>
              </w:rPr>
              <w:t>得 1</w:t>
            </w:r>
            <w:r>
              <w:rPr>
                <w:rFonts w:hint="eastAsia" w:ascii="宋体" w:hAnsi="宋体" w:cs="宋体"/>
                <w:color w:val="auto"/>
                <w:spacing w:val="-10"/>
                <w:szCs w:val="21"/>
                <w:highlight w:val="none"/>
                <w:lang w:val="en-US" w:eastAsia="zh-CN"/>
              </w:rPr>
              <w:t>0</w:t>
            </w:r>
            <w:r>
              <w:rPr>
                <w:rFonts w:hint="eastAsia" w:ascii="宋体" w:hAnsi="宋体" w:cs="宋体"/>
                <w:color w:val="auto"/>
                <w:spacing w:val="-10"/>
                <w:szCs w:val="21"/>
                <w:highlight w:val="none"/>
              </w:rPr>
              <w:t xml:space="preserve"> 分</w:t>
            </w:r>
            <w:r>
              <w:rPr>
                <w:rFonts w:hint="eastAsia" w:ascii="宋体" w:hAnsi="宋体" w:cs="宋体"/>
                <w:color w:val="auto"/>
                <w:spacing w:val="-10"/>
                <w:szCs w:val="21"/>
                <w:highlight w:val="none"/>
              </w:rPr>
              <w:t>。</w:t>
            </w:r>
          </w:p>
          <w:p>
            <w:pPr>
              <w:rPr>
                <w:rFonts w:hint="eastAsia" w:ascii="宋体" w:hAnsi="宋体" w:cs="宋体"/>
                <w:color w:val="auto"/>
                <w:spacing w:val="-10"/>
                <w:szCs w:val="21"/>
                <w:highlight w:val="none"/>
              </w:rPr>
            </w:pPr>
            <w:r>
              <w:rPr>
                <w:rFonts w:hint="eastAsia" w:ascii="宋体" w:hAnsi="宋体" w:cs="宋体"/>
                <w:color w:val="auto"/>
                <w:spacing w:val="-10"/>
                <w:szCs w:val="21"/>
                <w:highlight w:val="none"/>
              </w:rPr>
              <w:t>中：施工高峰期拟投入的劳动力数量为 20~49 人，</w:t>
            </w:r>
            <w:r>
              <w:rPr>
                <w:rFonts w:hint="eastAsia" w:ascii="宋体" w:hAnsi="宋体" w:cs="宋体"/>
                <w:color w:val="auto"/>
                <w:spacing w:val="-10"/>
                <w:szCs w:val="21"/>
                <w:highlight w:val="none"/>
              </w:rPr>
              <w:t xml:space="preserve">得 </w:t>
            </w:r>
            <w:r>
              <w:rPr>
                <w:rFonts w:hint="eastAsia" w:ascii="宋体" w:hAnsi="宋体" w:cs="宋体"/>
                <w:color w:val="auto"/>
                <w:spacing w:val="-10"/>
                <w:szCs w:val="21"/>
                <w:highlight w:val="none"/>
                <w:lang w:val="en-US" w:eastAsia="zh-CN"/>
              </w:rPr>
              <w:t>5</w:t>
            </w:r>
            <w:r>
              <w:rPr>
                <w:rFonts w:hint="eastAsia" w:ascii="宋体" w:hAnsi="宋体" w:cs="宋体"/>
                <w:color w:val="auto"/>
                <w:spacing w:val="-10"/>
                <w:szCs w:val="21"/>
                <w:highlight w:val="none"/>
              </w:rPr>
              <w:t>分</w:t>
            </w:r>
            <w:r>
              <w:rPr>
                <w:rFonts w:hint="eastAsia" w:ascii="宋体" w:hAnsi="宋体" w:cs="宋体"/>
                <w:color w:val="auto"/>
                <w:spacing w:val="-10"/>
                <w:szCs w:val="21"/>
                <w:highlight w:val="none"/>
              </w:rPr>
              <w:t>。</w:t>
            </w:r>
          </w:p>
          <w:p>
            <w:pPr>
              <w:rPr>
                <w:rFonts w:ascii="宋体" w:hAnsi="宋体" w:cs="宋体"/>
                <w:color w:val="auto"/>
                <w:spacing w:val="-10"/>
                <w:szCs w:val="21"/>
                <w:highlight w:val="none"/>
              </w:rPr>
            </w:pPr>
            <w:r>
              <w:rPr>
                <w:rFonts w:hint="eastAsia" w:ascii="宋体" w:hAnsi="宋体" w:cs="宋体"/>
                <w:color w:val="auto"/>
                <w:spacing w:val="-10"/>
                <w:szCs w:val="21"/>
                <w:highlight w:val="none"/>
              </w:rPr>
              <w:t>差：劳动力投入计划不能满足施工需要，施工高峰期拟投入的劳动力数量小于 20人，得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042" w:type="dxa"/>
            <w:vMerge w:val="continue"/>
            <w:vAlign w:val="center"/>
          </w:tcPr>
          <w:p>
            <w:pPr>
              <w:snapToGrid w:val="0"/>
              <w:rPr>
                <w:rFonts w:ascii="宋体" w:hAnsi="宋体" w:cs="宋体"/>
                <w:color w:val="auto"/>
                <w:szCs w:val="21"/>
                <w:highlight w:val="none"/>
              </w:rPr>
            </w:pPr>
          </w:p>
        </w:tc>
        <w:tc>
          <w:tcPr>
            <w:tcW w:w="686" w:type="dxa"/>
            <w:gridSpan w:val="2"/>
            <w:vMerge w:val="continue"/>
            <w:vAlign w:val="center"/>
          </w:tcPr>
          <w:p>
            <w:pPr>
              <w:jc w:val="center"/>
              <w:rPr>
                <w:rFonts w:ascii="宋体" w:hAnsi="宋体"/>
                <w:color w:val="auto"/>
                <w:szCs w:val="21"/>
                <w:highlight w:val="none"/>
              </w:rPr>
            </w:pPr>
          </w:p>
        </w:tc>
        <w:tc>
          <w:tcPr>
            <w:tcW w:w="90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施工项目管理机构资源调动能力</w:t>
            </w:r>
          </w:p>
        </w:tc>
        <w:tc>
          <w:tcPr>
            <w:tcW w:w="943" w:type="dxa"/>
            <w:gridSpan w:val="2"/>
            <w:vMerge w:val="restart"/>
            <w:vAlign w:val="center"/>
          </w:tcPr>
          <w:p>
            <w:pPr>
              <w:jc w:val="center"/>
              <w:rPr>
                <w:rFonts w:ascii="宋体" w:hAnsi="宋体"/>
                <w:color w:val="auto"/>
                <w:szCs w:val="21"/>
                <w:highlight w:val="none"/>
              </w:rPr>
            </w:pPr>
            <w:r>
              <w:rPr>
                <w:rFonts w:hint="eastAsia"/>
                <w:bCs/>
                <w:color w:val="auto"/>
                <w:szCs w:val="21"/>
                <w:highlight w:val="none"/>
              </w:rPr>
              <w:t xml:space="preserve">  15</w:t>
            </w:r>
            <w:r>
              <w:rPr>
                <w:rFonts w:hint="eastAsia" w:ascii="宋体" w:hAnsi="宋体"/>
                <w:bCs/>
                <w:color w:val="auto"/>
                <w:szCs w:val="21"/>
                <w:highlight w:val="none"/>
              </w:rPr>
              <w:t>分</w:t>
            </w:r>
          </w:p>
        </w:tc>
        <w:tc>
          <w:tcPr>
            <w:tcW w:w="5404" w:type="dxa"/>
            <w:vAlign w:val="center"/>
          </w:tcPr>
          <w:p>
            <w:pPr>
              <w:rPr>
                <w:bCs/>
                <w:color w:val="auto"/>
                <w:szCs w:val="21"/>
                <w:highlight w:val="none"/>
              </w:rPr>
            </w:pPr>
            <w:r>
              <w:rPr>
                <w:rFonts w:hint="eastAsia" w:ascii="宋体" w:hAnsi="宋体" w:cs="宋体"/>
                <w:color w:val="auto"/>
                <w:szCs w:val="21"/>
                <w:highlight w:val="none"/>
              </w:rPr>
              <w:t>投标人承诺每周至少组织一次工地例会，得 15 分；不满足前述要求者；得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2" w:type="dxa"/>
            <w:vMerge w:val="continue"/>
            <w:vAlign w:val="center"/>
          </w:tcPr>
          <w:p>
            <w:pPr>
              <w:snapToGrid w:val="0"/>
              <w:rPr>
                <w:rFonts w:ascii="宋体" w:hAnsi="宋体" w:cs="宋体"/>
                <w:color w:val="auto"/>
                <w:szCs w:val="21"/>
                <w:highlight w:val="none"/>
              </w:rPr>
            </w:pPr>
          </w:p>
        </w:tc>
        <w:tc>
          <w:tcPr>
            <w:tcW w:w="686" w:type="dxa"/>
            <w:gridSpan w:val="2"/>
            <w:vMerge w:val="continue"/>
            <w:vAlign w:val="center"/>
          </w:tcPr>
          <w:p>
            <w:pPr>
              <w:jc w:val="center"/>
              <w:rPr>
                <w:rFonts w:ascii="宋体" w:hAnsi="宋体"/>
                <w:color w:val="auto"/>
                <w:szCs w:val="21"/>
                <w:highlight w:val="none"/>
              </w:rPr>
            </w:pPr>
          </w:p>
        </w:tc>
        <w:tc>
          <w:tcPr>
            <w:tcW w:w="903" w:type="dxa"/>
            <w:vAlign w:val="center"/>
          </w:tcPr>
          <w:p>
            <w:pPr>
              <w:jc w:val="center"/>
              <w:rPr>
                <w:rFonts w:ascii="宋体" w:hAnsi="宋体"/>
                <w:color w:val="auto"/>
                <w:szCs w:val="21"/>
                <w:highlight w:val="none"/>
              </w:rPr>
            </w:pPr>
            <w:r>
              <w:rPr>
                <w:rFonts w:hint="eastAsia" w:ascii="宋体" w:hAnsi="宋体" w:cs="宋体"/>
                <w:color w:val="auto"/>
                <w:szCs w:val="21"/>
                <w:highlight w:val="none"/>
              </w:rPr>
              <w:t>绿色施工</w:t>
            </w:r>
          </w:p>
        </w:tc>
        <w:tc>
          <w:tcPr>
            <w:tcW w:w="943" w:type="dxa"/>
            <w:gridSpan w:val="2"/>
            <w:vAlign w:val="center"/>
          </w:tcPr>
          <w:p>
            <w:pPr>
              <w:jc w:val="center"/>
              <w:rPr>
                <w:rFonts w:ascii="宋体" w:hAnsi="宋体"/>
                <w:color w:val="auto"/>
                <w:szCs w:val="21"/>
                <w:highlight w:val="none"/>
              </w:rPr>
            </w:pPr>
            <w:r>
              <w:rPr>
                <w:rFonts w:hint="eastAsia"/>
                <w:bCs/>
                <w:color w:val="auto"/>
                <w:szCs w:val="21"/>
                <w:highlight w:val="none"/>
              </w:rPr>
              <w:t xml:space="preserve">  15</w:t>
            </w:r>
            <w:r>
              <w:rPr>
                <w:rFonts w:hint="eastAsia" w:ascii="宋体" w:hAnsi="宋体"/>
                <w:bCs/>
                <w:color w:val="auto"/>
                <w:szCs w:val="21"/>
                <w:highlight w:val="none"/>
              </w:rPr>
              <w:t>分</w:t>
            </w:r>
          </w:p>
        </w:tc>
        <w:tc>
          <w:tcPr>
            <w:tcW w:w="5404" w:type="dxa"/>
            <w:vAlign w:val="center"/>
          </w:tcPr>
          <w:p>
            <w:pPr>
              <w:rPr>
                <w:rFonts w:ascii="宋体" w:hAnsi="宋体"/>
                <w:color w:val="auto"/>
                <w:szCs w:val="21"/>
                <w:highlight w:val="none"/>
              </w:rPr>
            </w:pPr>
            <w:r>
              <w:rPr>
                <w:rFonts w:hint="eastAsia" w:ascii="宋体" w:hAnsi="宋体"/>
                <w:color w:val="auto"/>
                <w:szCs w:val="21"/>
                <w:highlight w:val="none"/>
              </w:rPr>
              <w:t>投标人承诺在施工过程中通过科学管理和先进的技术手段，最大限度地节约资源与减少对环境的负面影响，以达到四节一环保（节能、节地、节水、节材和环境保护）的目标；提供绿色施工组织机构图及《绿色施工承诺函》得 15分；没提供或不满足得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restart"/>
            <w:vAlign w:val="center"/>
          </w:tcPr>
          <w:p>
            <w:pPr>
              <w:adjustRightInd w:val="0"/>
              <w:snapToGrid w:val="0"/>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p>
        </w:tc>
        <w:tc>
          <w:tcPr>
            <w:tcW w:w="686" w:type="dxa"/>
            <w:gridSpan w:val="2"/>
            <w:vMerge w:val="restart"/>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项目管理机构及其他</w:t>
            </w:r>
            <w:r>
              <w:rPr>
                <w:rFonts w:hint="eastAsia" w:cs="宋体"/>
                <w:color w:val="auto"/>
                <w:szCs w:val="21"/>
                <w:highlight w:val="none"/>
              </w:rPr>
              <w:t>100</w:t>
            </w:r>
            <w:r>
              <w:rPr>
                <w:rFonts w:hint="eastAsia" w:ascii="宋体" w:hAnsi="宋体" w:cs="宋体"/>
                <w:color w:val="auto"/>
                <w:szCs w:val="21"/>
                <w:highlight w:val="none"/>
              </w:rPr>
              <w:t>分</w:t>
            </w:r>
          </w:p>
        </w:tc>
        <w:tc>
          <w:tcPr>
            <w:tcW w:w="903" w:type="dxa"/>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技术负责人</w:t>
            </w:r>
          </w:p>
        </w:tc>
        <w:tc>
          <w:tcPr>
            <w:tcW w:w="933" w:type="dxa"/>
            <w:vAlign w:val="center"/>
          </w:tcPr>
          <w:p>
            <w:pPr>
              <w:adjustRightInd w:val="0"/>
              <w:snapToGrid w:val="0"/>
              <w:jc w:val="center"/>
              <w:rPr>
                <w:rFonts w:ascii="宋体" w:hAnsi="宋体" w:cs="宋体"/>
                <w:color w:val="auto"/>
                <w:szCs w:val="21"/>
                <w:highlight w:val="none"/>
              </w:rPr>
            </w:pPr>
            <w:r>
              <w:rPr>
                <w:rFonts w:hint="eastAsia" w:cs="宋体"/>
                <w:color w:val="auto"/>
                <w:szCs w:val="21"/>
                <w:highlight w:val="none"/>
              </w:rPr>
              <w:t xml:space="preserve">  14</w:t>
            </w:r>
            <w:r>
              <w:rPr>
                <w:rFonts w:hint="eastAsia" w:ascii="宋体" w:hAnsi="宋体" w:cs="宋体"/>
                <w:color w:val="auto"/>
                <w:szCs w:val="21"/>
                <w:highlight w:val="none"/>
              </w:rPr>
              <w:t>分</w:t>
            </w:r>
          </w:p>
        </w:tc>
        <w:tc>
          <w:tcPr>
            <w:tcW w:w="5414" w:type="dxa"/>
            <w:gridSpan w:val="2"/>
            <w:vAlign w:val="center"/>
          </w:tcPr>
          <w:p>
            <w:pPr>
              <w:widowControl/>
              <w:jc w:val="left"/>
              <w:rPr>
                <w:rFonts w:ascii="宋体" w:hAnsi="宋体" w:cs="宋体"/>
                <w:b/>
                <w:bCs/>
                <w:color w:val="auto"/>
                <w:szCs w:val="21"/>
                <w:highlight w:val="none"/>
              </w:rPr>
            </w:pPr>
            <w:r>
              <w:rPr>
                <w:rFonts w:hint="eastAsia" w:ascii="宋体" w:hAnsi="宋体" w:cs="宋体"/>
                <w:b/>
                <w:bCs/>
                <w:color w:val="auto"/>
                <w:szCs w:val="21"/>
                <w:highlight w:val="none"/>
              </w:rPr>
              <w:t>技术负责人（14分）：</w:t>
            </w:r>
          </w:p>
          <w:p>
            <w:pPr>
              <w:numPr>
                <w:ilvl w:val="0"/>
                <w:numId w:val="2"/>
              </w:numPr>
              <w:rPr>
                <w:rFonts w:ascii="宋体" w:hAnsi="宋体" w:cs="宋体"/>
                <w:color w:val="auto"/>
                <w:szCs w:val="21"/>
                <w:highlight w:val="none"/>
              </w:rPr>
            </w:pPr>
            <w:r>
              <w:rPr>
                <w:rFonts w:hint="eastAsia" w:ascii="宋体" w:hAnsi="宋体" w:cs="宋体"/>
                <w:color w:val="auto"/>
                <w:szCs w:val="21"/>
                <w:highlight w:val="none"/>
              </w:rPr>
              <w:t>委派的技术负责人具有水利水电类相关专业中级或以上工程师职称的，得1分；</w:t>
            </w:r>
          </w:p>
          <w:p>
            <w:pPr>
              <w:numPr>
                <w:ilvl w:val="0"/>
                <w:numId w:val="2"/>
              </w:numPr>
              <w:rPr>
                <w:rFonts w:ascii="宋体" w:hAnsi="宋体" w:cs="宋体"/>
                <w:color w:val="auto"/>
                <w:szCs w:val="21"/>
                <w:highlight w:val="none"/>
              </w:rPr>
            </w:pPr>
            <w:r>
              <w:rPr>
                <w:rFonts w:hint="eastAsia" w:ascii="宋体" w:hAnsi="宋体" w:cs="宋体"/>
                <w:color w:val="auto"/>
                <w:szCs w:val="21"/>
                <w:highlight w:val="none"/>
              </w:rPr>
              <w:t>委派的技术负责人取得水行政主管部门颁发的安全生产考核合格证书（A类）的，得1分；</w:t>
            </w:r>
          </w:p>
          <w:p>
            <w:pPr>
              <w:rPr>
                <w:rFonts w:ascii="宋体" w:hAnsi="宋体" w:cs="宋体"/>
                <w:color w:val="auto"/>
                <w:szCs w:val="21"/>
                <w:highlight w:val="none"/>
              </w:rPr>
            </w:pPr>
            <w:r>
              <w:rPr>
                <w:rFonts w:hint="eastAsia" w:ascii="宋体" w:hAnsi="宋体" w:cs="宋体"/>
                <w:color w:val="auto"/>
                <w:szCs w:val="21"/>
                <w:highlight w:val="none"/>
              </w:rPr>
              <w:t>3.自2020年1月1日至投标截止日止，作为主要完成人获得省级或以上水利水电类工法证书的，得6分；</w:t>
            </w:r>
          </w:p>
          <w:p>
            <w:pPr>
              <w:rPr>
                <w:rFonts w:ascii="宋体" w:hAnsi="宋体" w:cs="宋体"/>
                <w:color w:val="auto"/>
                <w:szCs w:val="21"/>
                <w:highlight w:val="none"/>
              </w:rPr>
            </w:pPr>
            <w:r>
              <w:rPr>
                <w:rFonts w:hint="eastAsia" w:ascii="宋体" w:hAnsi="宋体" w:cs="宋体"/>
                <w:color w:val="auto"/>
                <w:szCs w:val="21"/>
                <w:highlight w:val="none"/>
              </w:rPr>
              <w:t>4.自2020年1月1日至投标截止日止，</w:t>
            </w:r>
            <w:r>
              <w:rPr>
                <w:rFonts w:hint="eastAsia" w:ascii="宋体" w:hAnsi="宋体" w:cs="宋体"/>
                <w:color w:val="auto"/>
                <w:szCs w:val="21"/>
                <w:highlight w:val="none"/>
                <w:lang w:val="en-US" w:eastAsia="zh-CN"/>
              </w:rPr>
              <w:t>参与</w:t>
            </w:r>
            <w:r>
              <w:rPr>
                <w:rFonts w:hint="eastAsia" w:ascii="宋体" w:hAnsi="宋体" w:cs="宋体"/>
                <w:color w:val="auto"/>
                <w:szCs w:val="21"/>
                <w:highlight w:val="none"/>
              </w:rPr>
              <w:t>完成过质量合格且中标金额</w:t>
            </w:r>
            <w:r>
              <w:rPr>
                <w:rFonts w:hint="eastAsia" w:ascii="宋体" w:hAnsi="宋体" w:cs="宋体"/>
                <w:color w:val="auto"/>
                <w:szCs w:val="21"/>
                <w:highlight w:val="none"/>
              </w:rPr>
              <w:t>280万元（含280万）</w:t>
            </w:r>
            <w:r>
              <w:rPr>
                <w:rFonts w:hint="eastAsia" w:ascii="宋体" w:hAnsi="宋体" w:cs="宋体"/>
                <w:color w:val="auto"/>
                <w:szCs w:val="21"/>
                <w:highlight w:val="none"/>
              </w:rPr>
              <w:t>或以上的</w:t>
            </w:r>
            <w:r>
              <w:rPr>
                <w:rFonts w:hint="eastAsia" w:ascii="宋体" w:hAnsi="宋体" w:cs="宋体"/>
                <w:color w:val="auto"/>
                <w:szCs w:val="21"/>
                <w:highlight w:val="none"/>
              </w:rPr>
              <w:t>类似</w:t>
            </w:r>
            <w:r>
              <w:rPr>
                <w:rFonts w:hint="eastAsia" w:ascii="宋体" w:hAnsi="宋体" w:cs="宋体"/>
                <w:color w:val="auto"/>
                <w:szCs w:val="21"/>
                <w:highlight w:val="none"/>
              </w:rPr>
              <w:t>工程业绩的，每项得3分，最高得6分；</w:t>
            </w:r>
          </w:p>
          <w:p>
            <w:pPr>
              <w:adjustRightInd w:val="0"/>
              <w:snapToGrid w:val="0"/>
              <w:ind w:firstLine="315" w:firstLineChars="150"/>
              <w:rPr>
                <w:rFonts w:ascii="宋体" w:hAnsi="宋体" w:cs="宋体"/>
                <w:color w:val="auto"/>
                <w:szCs w:val="21"/>
                <w:highlight w:val="none"/>
              </w:rPr>
            </w:pPr>
            <w:r>
              <w:rPr>
                <w:rFonts w:hint="eastAsia" w:ascii="宋体" w:hAnsi="宋体" w:cs="宋体"/>
                <w:color w:val="auto"/>
                <w:szCs w:val="21"/>
                <w:highlight w:val="none"/>
              </w:rPr>
              <w:t>注：本项最高得14分。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adjustRightInd w:val="0"/>
              <w:snapToGrid w:val="0"/>
              <w:jc w:val="center"/>
              <w:rPr>
                <w:rFonts w:ascii="宋体" w:hAnsi="宋体" w:cs="宋体"/>
                <w:color w:val="auto"/>
                <w:szCs w:val="21"/>
                <w:highlight w:val="none"/>
              </w:rPr>
            </w:pPr>
          </w:p>
        </w:tc>
        <w:tc>
          <w:tcPr>
            <w:tcW w:w="90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项目管理机构能力及主要管理人员</w:t>
            </w:r>
          </w:p>
        </w:tc>
        <w:tc>
          <w:tcPr>
            <w:tcW w:w="933" w:type="dxa"/>
            <w:vAlign w:val="center"/>
          </w:tcPr>
          <w:p>
            <w:pPr>
              <w:adjustRightInd w:val="0"/>
              <w:snapToGrid w:val="0"/>
              <w:jc w:val="center"/>
              <w:rPr>
                <w:rFonts w:cs="宋体"/>
                <w:color w:val="auto"/>
                <w:szCs w:val="21"/>
                <w:highlight w:val="none"/>
              </w:rPr>
            </w:pPr>
            <w:r>
              <w:rPr>
                <w:rFonts w:hint="eastAsia" w:cs="宋体"/>
                <w:color w:val="auto"/>
                <w:szCs w:val="21"/>
                <w:highlight w:val="none"/>
              </w:rPr>
              <w:t xml:space="preserve">  50</w:t>
            </w:r>
            <w:r>
              <w:rPr>
                <w:rFonts w:hint="eastAsia" w:ascii="宋体" w:hAnsi="宋体" w:cs="宋体"/>
                <w:color w:val="auto"/>
                <w:szCs w:val="21"/>
                <w:highlight w:val="none"/>
              </w:rPr>
              <w:t>分</w:t>
            </w:r>
          </w:p>
        </w:tc>
        <w:tc>
          <w:tcPr>
            <w:tcW w:w="5414" w:type="dxa"/>
            <w:gridSpan w:val="2"/>
            <w:vAlign w:val="center"/>
          </w:tcPr>
          <w:p>
            <w:pPr>
              <w:pStyle w:val="13"/>
              <w:rPr>
                <w:rFonts w:hAnsi="宋体" w:eastAsia="宋体" w:cs="宋体"/>
                <w:color w:val="auto"/>
                <w:kern w:val="2"/>
                <w:sz w:val="21"/>
                <w:szCs w:val="21"/>
                <w:highlight w:val="none"/>
              </w:rPr>
            </w:pPr>
            <w:r>
              <w:rPr>
                <w:rFonts w:hint="eastAsia" w:hAnsi="宋体" w:eastAsia="宋体" w:cs="宋体"/>
                <w:b/>
                <w:bCs/>
                <w:color w:val="auto"/>
                <w:kern w:val="2"/>
                <w:sz w:val="21"/>
                <w:szCs w:val="21"/>
                <w:highlight w:val="none"/>
              </w:rPr>
              <w:t>一、安全负责</w:t>
            </w:r>
            <w:r>
              <w:rPr>
                <w:rFonts w:hint="eastAsia" w:hAnsi="宋体" w:eastAsia="宋体" w:cs="宋体"/>
                <w:b/>
                <w:bCs/>
                <w:color w:val="auto"/>
                <w:sz w:val="21"/>
                <w:szCs w:val="21"/>
                <w:highlight w:val="none"/>
              </w:rPr>
              <w:t>人（18分）</w:t>
            </w:r>
            <w:r>
              <w:rPr>
                <w:rFonts w:hint="eastAsia" w:hAnsi="宋体" w:eastAsia="宋体" w:cs="宋体"/>
                <w:b/>
                <w:bCs/>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1.委派的安全负责人具有水行政主管部门颁发的安全生产考核合格证书（C 类）的，得1分；</w:t>
            </w:r>
          </w:p>
          <w:p>
            <w:pPr>
              <w:rPr>
                <w:rFonts w:ascii="宋体" w:hAnsi="宋体" w:cs="宋体"/>
                <w:color w:val="auto"/>
                <w:szCs w:val="21"/>
                <w:highlight w:val="none"/>
              </w:rPr>
            </w:pPr>
            <w:r>
              <w:rPr>
                <w:rFonts w:hint="eastAsia" w:ascii="宋体" w:hAnsi="宋体" w:cs="宋体"/>
                <w:color w:val="auto"/>
                <w:szCs w:val="21"/>
                <w:highlight w:val="none"/>
              </w:rPr>
              <w:t>2.委派的安全负责人</w:t>
            </w:r>
            <w:r>
              <w:rPr>
                <w:rFonts w:hint="eastAsia" w:ascii="宋体" w:hAnsi="宋体" w:cs="宋体"/>
                <w:color w:val="auto"/>
                <w:szCs w:val="21"/>
                <w:highlight w:val="none"/>
                <w:lang w:val="zh-CN"/>
              </w:rPr>
              <w:t>具有安全评价师</w:t>
            </w:r>
            <w:r>
              <w:rPr>
                <w:rFonts w:hint="eastAsia" w:ascii="宋体" w:hAnsi="宋体" w:cs="宋体"/>
                <w:color w:val="auto"/>
                <w:szCs w:val="21"/>
                <w:highlight w:val="none"/>
              </w:rPr>
              <w:t>的，得5分；</w:t>
            </w:r>
          </w:p>
          <w:p>
            <w:pPr>
              <w:rPr>
                <w:rFonts w:ascii="宋体" w:hAnsi="宋体" w:cs="宋体"/>
                <w:color w:val="auto"/>
                <w:szCs w:val="21"/>
                <w:highlight w:val="none"/>
              </w:rPr>
            </w:pPr>
            <w:r>
              <w:rPr>
                <w:rFonts w:hint="eastAsia" w:ascii="宋体" w:hAnsi="宋体" w:cs="宋体"/>
                <w:color w:val="auto"/>
                <w:szCs w:val="21"/>
                <w:highlight w:val="none"/>
              </w:rPr>
              <w:t>3.自2020年1月1日至投标截止日止，</w:t>
            </w:r>
            <w:r>
              <w:rPr>
                <w:rFonts w:hint="eastAsia" w:ascii="宋体" w:hAnsi="宋体" w:cs="宋体"/>
                <w:color w:val="auto"/>
                <w:szCs w:val="21"/>
                <w:highlight w:val="none"/>
              </w:rPr>
              <w:t>作为主要完成人获得省级或以上水利水电类工法证书的，得6分；</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4.自2020年1月1日至投标截止日止，</w:t>
            </w:r>
            <w:r>
              <w:rPr>
                <w:rFonts w:hint="eastAsia" w:ascii="宋体" w:hAnsi="宋体" w:cs="宋体"/>
                <w:color w:val="auto"/>
                <w:szCs w:val="21"/>
                <w:highlight w:val="none"/>
                <w:lang w:val="en-US" w:eastAsia="zh-CN"/>
              </w:rPr>
              <w:t>参与</w:t>
            </w:r>
            <w:r>
              <w:rPr>
                <w:rFonts w:hint="eastAsia" w:ascii="宋体" w:hAnsi="宋体" w:cs="宋体"/>
                <w:color w:val="auto"/>
                <w:szCs w:val="21"/>
                <w:highlight w:val="none"/>
              </w:rPr>
              <w:t>完成过质量合格且中标金额</w:t>
            </w:r>
            <w:r>
              <w:rPr>
                <w:rFonts w:hint="eastAsia" w:ascii="宋体" w:hAnsi="宋体" w:cs="宋体"/>
                <w:color w:val="auto"/>
                <w:szCs w:val="21"/>
                <w:highlight w:val="none"/>
              </w:rPr>
              <w:t>280万元（含280万</w:t>
            </w:r>
            <w:r>
              <w:rPr>
                <w:rFonts w:hint="eastAsia" w:ascii="宋体" w:hAnsi="宋体" w:cs="宋体"/>
                <w:color w:val="auto"/>
                <w:szCs w:val="21"/>
                <w:highlight w:val="none"/>
              </w:rPr>
              <w:t>）或以上的类似工程业绩的，每项得3分，最高得6分；</w:t>
            </w:r>
          </w:p>
          <w:p>
            <w:pPr>
              <w:rPr>
                <w:rFonts w:ascii="宋体" w:hAnsi="宋体" w:cs="宋体"/>
                <w:b/>
                <w:bCs/>
                <w:color w:val="auto"/>
                <w:szCs w:val="21"/>
                <w:highlight w:val="none"/>
              </w:rPr>
            </w:pPr>
            <w:r>
              <w:rPr>
                <w:rFonts w:hint="eastAsia" w:ascii="宋体" w:hAnsi="宋体" w:cs="宋体"/>
                <w:color w:val="auto"/>
                <w:szCs w:val="21"/>
                <w:highlight w:val="none"/>
              </w:rPr>
              <w:t>注：本项最高得18分。</w:t>
            </w:r>
          </w:p>
          <w:p>
            <w:pPr>
              <w:widowControl/>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二、质量负责人</w:t>
            </w:r>
            <w:r>
              <w:rPr>
                <w:rFonts w:hint="eastAsia" w:ascii="宋体" w:hAnsi="宋体" w:cs="宋体"/>
                <w:b/>
                <w:bCs/>
                <w:color w:val="auto"/>
                <w:kern w:val="0"/>
                <w:szCs w:val="21"/>
                <w:highlight w:val="none"/>
              </w:rPr>
              <w:t>（18分）</w:t>
            </w:r>
            <w:r>
              <w:rPr>
                <w:rFonts w:hint="eastAsia" w:ascii="宋体" w:hAnsi="宋体" w:cs="宋体"/>
                <w:b/>
                <w:bCs/>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1.委派的质量负责人具有</w:t>
            </w:r>
            <w:r>
              <w:rPr>
                <w:rFonts w:hint="eastAsia" w:ascii="宋体" w:hAnsi="宋体" w:cs="宋体"/>
                <w:color w:val="auto"/>
                <w:szCs w:val="21"/>
                <w:highlight w:val="none"/>
                <w:lang w:val="zh-CN"/>
              </w:rPr>
              <w:t>工程类相关专业中级或以上工程师职称</w:t>
            </w:r>
            <w:r>
              <w:rPr>
                <w:rFonts w:hint="eastAsia" w:ascii="宋体" w:hAnsi="宋体" w:cs="宋体"/>
                <w:color w:val="auto"/>
                <w:szCs w:val="21"/>
                <w:highlight w:val="none"/>
              </w:rPr>
              <w:t>的，得1分；</w:t>
            </w:r>
          </w:p>
          <w:p>
            <w:pPr>
              <w:rPr>
                <w:rFonts w:ascii="宋体" w:hAnsi="宋体" w:cs="宋体"/>
                <w:color w:val="auto"/>
                <w:szCs w:val="21"/>
                <w:highlight w:val="none"/>
              </w:rPr>
            </w:pPr>
            <w:r>
              <w:rPr>
                <w:rFonts w:hint="eastAsia" w:ascii="宋体" w:hAnsi="宋体" w:cs="宋体"/>
                <w:color w:val="auto"/>
                <w:szCs w:val="21"/>
                <w:highlight w:val="none"/>
              </w:rPr>
              <w:t>2.委派的质量负责人具有水利工程施工质量评定人员岗位证书的，得5分；</w:t>
            </w:r>
          </w:p>
          <w:p>
            <w:pPr>
              <w:rPr>
                <w:rFonts w:ascii="宋体" w:hAnsi="宋体" w:cs="宋体"/>
                <w:color w:val="auto"/>
                <w:szCs w:val="21"/>
                <w:highlight w:val="none"/>
              </w:rPr>
            </w:pPr>
            <w:r>
              <w:rPr>
                <w:rFonts w:hint="eastAsia" w:ascii="宋体" w:hAnsi="宋体" w:cs="宋体"/>
                <w:color w:val="auto"/>
                <w:szCs w:val="21"/>
                <w:highlight w:val="none"/>
              </w:rPr>
              <w:t>3.自2020年1月1日至投标截止日止，作为主要完成人获得省级或以上水利水电类工法证书的，得6分；</w:t>
            </w:r>
          </w:p>
          <w:p>
            <w:pPr>
              <w:rPr>
                <w:rFonts w:ascii="宋体" w:hAnsi="宋体" w:cs="宋体"/>
                <w:color w:val="auto"/>
                <w:szCs w:val="21"/>
                <w:highlight w:val="none"/>
              </w:rPr>
            </w:pPr>
            <w:r>
              <w:rPr>
                <w:rFonts w:hint="eastAsia" w:ascii="宋体" w:hAnsi="宋体" w:cs="宋体"/>
                <w:color w:val="auto"/>
                <w:szCs w:val="21"/>
                <w:highlight w:val="none"/>
              </w:rPr>
              <w:t>4.自2020年1月1日至投标截止日止，</w:t>
            </w:r>
            <w:r>
              <w:rPr>
                <w:rFonts w:hint="eastAsia" w:ascii="宋体" w:hAnsi="宋体" w:cs="宋体"/>
                <w:color w:val="auto"/>
                <w:szCs w:val="21"/>
                <w:highlight w:val="none"/>
                <w:lang w:val="en-US" w:eastAsia="zh-CN"/>
              </w:rPr>
              <w:t>参与</w:t>
            </w:r>
            <w:r>
              <w:rPr>
                <w:rFonts w:hint="eastAsia" w:ascii="宋体" w:hAnsi="宋体" w:cs="宋体"/>
                <w:color w:val="auto"/>
                <w:szCs w:val="21"/>
                <w:highlight w:val="none"/>
              </w:rPr>
              <w:t>完成过质量合格且中标金额</w:t>
            </w:r>
            <w:r>
              <w:rPr>
                <w:rFonts w:hint="eastAsia" w:ascii="宋体" w:hAnsi="宋体" w:cs="宋体"/>
                <w:color w:val="auto"/>
                <w:szCs w:val="21"/>
                <w:highlight w:val="none"/>
              </w:rPr>
              <w:t>280万元（含280万）</w:t>
            </w:r>
            <w:r>
              <w:rPr>
                <w:rFonts w:hint="eastAsia" w:ascii="宋体" w:hAnsi="宋体" w:cs="宋体"/>
                <w:color w:val="auto"/>
                <w:szCs w:val="21"/>
                <w:highlight w:val="none"/>
              </w:rPr>
              <w:t>或以上的类似工程业绩的，每项得3分，最高得6分；</w:t>
            </w:r>
          </w:p>
          <w:p>
            <w:pPr>
              <w:rPr>
                <w:rFonts w:ascii="宋体" w:hAnsi="宋体" w:cs="宋体"/>
                <w:color w:val="auto"/>
                <w:szCs w:val="21"/>
                <w:highlight w:val="none"/>
              </w:rPr>
            </w:pPr>
            <w:r>
              <w:rPr>
                <w:rFonts w:hint="eastAsia" w:ascii="宋体" w:hAnsi="宋体" w:cs="宋体"/>
                <w:color w:val="auto"/>
                <w:szCs w:val="21"/>
                <w:highlight w:val="none"/>
              </w:rPr>
              <w:t>注：本项最高得18分。</w:t>
            </w:r>
          </w:p>
          <w:p>
            <w:pPr>
              <w:widowControl/>
              <w:spacing w:line="320" w:lineRule="exact"/>
              <w:jc w:val="left"/>
              <w:rPr>
                <w:rFonts w:ascii="宋体" w:hAnsi="宋体" w:cs="宋体"/>
                <w:color w:val="auto"/>
                <w:szCs w:val="21"/>
                <w:highlight w:val="none"/>
              </w:rPr>
            </w:pPr>
            <w:r>
              <w:rPr>
                <w:rFonts w:hint="eastAsia" w:ascii="宋体" w:hAnsi="宋体" w:cs="宋体"/>
                <w:b/>
                <w:bCs/>
                <w:color w:val="auto"/>
                <w:szCs w:val="21"/>
                <w:highlight w:val="none"/>
              </w:rPr>
              <w:t>三、造价负责人</w:t>
            </w:r>
            <w:r>
              <w:rPr>
                <w:rFonts w:hint="eastAsia" w:ascii="宋体" w:hAnsi="宋体" w:cs="宋体"/>
                <w:b/>
                <w:bCs/>
                <w:color w:val="auto"/>
                <w:kern w:val="0"/>
                <w:szCs w:val="21"/>
                <w:highlight w:val="none"/>
              </w:rPr>
              <w:t>（9分）</w:t>
            </w:r>
            <w:r>
              <w:rPr>
                <w:rFonts w:hint="eastAsia" w:ascii="宋体" w:hAnsi="宋体" w:cs="宋体"/>
                <w:b/>
                <w:bCs/>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1.委派的造价负责人具有水利水电类相关专业中级或以上工程师职称的，得1分；</w:t>
            </w:r>
          </w:p>
          <w:p>
            <w:pPr>
              <w:spacing w:line="320" w:lineRule="exact"/>
              <w:rPr>
                <w:color w:val="auto"/>
                <w:highlight w:val="none"/>
              </w:rPr>
            </w:pPr>
            <w:r>
              <w:rPr>
                <w:rFonts w:hint="eastAsia" w:ascii="宋体" w:hAnsi="宋体" w:cs="宋体"/>
                <w:color w:val="auto"/>
                <w:szCs w:val="21"/>
                <w:highlight w:val="none"/>
              </w:rPr>
              <w:t>2.委派的造价负责人具有中华人民共和国水利部颁发的一级造价工程师注册证书（水利工程专业）的，得2分；</w:t>
            </w:r>
            <w:r>
              <w:rPr>
                <w:rFonts w:hint="eastAsia"/>
                <w:color w:val="auto"/>
                <w:highlight w:val="none"/>
              </w:rPr>
              <w:t>具有省水利厅颁发的二级造价工程师注册证书</w:t>
            </w:r>
            <w:r>
              <w:rPr>
                <w:rFonts w:hint="eastAsia" w:ascii="宋体" w:hAnsi="宋体" w:cs="宋体"/>
                <w:color w:val="auto"/>
                <w:szCs w:val="21"/>
                <w:highlight w:val="none"/>
              </w:rPr>
              <w:t>（水利工程专业）</w:t>
            </w:r>
            <w:r>
              <w:rPr>
                <w:rFonts w:hint="eastAsia"/>
                <w:color w:val="auto"/>
                <w:highlight w:val="none"/>
              </w:rPr>
              <w:t>的，得1分；</w:t>
            </w:r>
          </w:p>
          <w:p>
            <w:pPr>
              <w:rPr>
                <w:rFonts w:ascii="宋体" w:hAnsi="宋体" w:cs="宋体"/>
                <w:color w:val="auto"/>
                <w:szCs w:val="21"/>
                <w:highlight w:val="none"/>
              </w:rPr>
            </w:pPr>
            <w:r>
              <w:rPr>
                <w:rFonts w:hint="eastAsia" w:ascii="宋体" w:hAnsi="宋体" w:cs="宋体"/>
                <w:color w:val="auto"/>
                <w:szCs w:val="21"/>
                <w:highlight w:val="none"/>
              </w:rPr>
              <w:t>3.自2020年1月1日至投标截止日止，</w:t>
            </w:r>
            <w:r>
              <w:rPr>
                <w:rFonts w:hint="eastAsia" w:ascii="宋体" w:hAnsi="宋体" w:cs="宋体"/>
                <w:color w:val="auto"/>
                <w:szCs w:val="21"/>
                <w:highlight w:val="none"/>
                <w:lang w:val="en-US" w:eastAsia="zh-CN"/>
              </w:rPr>
              <w:t>参与</w:t>
            </w:r>
            <w:r>
              <w:rPr>
                <w:rFonts w:hint="eastAsia" w:ascii="宋体" w:hAnsi="宋体" w:cs="宋体"/>
                <w:color w:val="auto"/>
                <w:szCs w:val="21"/>
                <w:highlight w:val="none"/>
              </w:rPr>
              <w:t>完成过质量合格且中标金额</w:t>
            </w:r>
            <w:r>
              <w:rPr>
                <w:rFonts w:hint="eastAsia" w:ascii="宋体" w:hAnsi="宋体" w:cs="宋体"/>
                <w:color w:val="auto"/>
                <w:szCs w:val="21"/>
                <w:highlight w:val="none"/>
              </w:rPr>
              <w:t>280万元（含280万）</w:t>
            </w:r>
            <w:r>
              <w:rPr>
                <w:rFonts w:hint="eastAsia" w:ascii="宋体" w:hAnsi="宋体" w:cs="宋体"/>
                <w:color w:val="auto"/>
                <w:szCs w:val="21"/>
                <w:highlight w:val="none"/>
              </w:rPr>
              <w:t>或以上的类似工程业绩的，每项得3分，最高得6分；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注：本项最高得9分。</w:t>
            </w:r>
          </w:p>
          <w:p>
            <w:pPr>
              <w:pStyle w:val="35"/>
              <w:numPr>
                <w:ilvl w:val="0"/>
                <w:numId w:val="3"/>
              </w:numPr>
              <w:rPr>
                <w:rFonts w:hAnsi="宋体" w:cs="宋体"/>
                <w:b/>
                <w:bCs/>
                <w:color w:val="auto"/>
                <w:kern w:val="2"/>
                <w:sz w:val="21"/>
                <w:szCs w:val="21"/>
                <w:highlight w:val="none"/>
              </w:rPr>
            </w:pPr>
            <w:r>
              <w:rPr>
                <w:rFonts w:hint="eastAsia" w:hAnsi="宋体" w:cs="宋体"/>
                <w:b/>
                <w:bCs/>
                <w:color w:val="auto"/>
                <w:kern w:val="2"/>
                <w:sz w:val="21"/>
                <w:szCs w:val="21"/>
                <w:highlight w:val="none"/>
              </w:rPr>
              <w:t>其他人员配备（5分）：</w:t>
            </w:r>
          </w:p>
          <w:p>
            <w:pPr>
              <w:numPr>
                <w:ilvl w:val="0"/>
                <w:numId w:val="4"/>
              </w:numPr>
              <w:spacing w:line="320" w:lineRule="exact"/>
              <w:rPr>
                <w:rFonts w:ascii="宋体" w:hAnsi="宋体" w:cs="宋体"/>
                <w:color w:val="auto"/>
                <w:szCs w:val="21"/>
                <w:highlight w:val="none"/>
              </w:rPr>
            </w:pPr>
            <w:r>
              <w:rPr>
                <w:rFonts w:hint="eastAsia" w:ascii="宋体" w:hAnsi="宋体" w:cs="宋体"/>
                <w:color w:val="auto"/>
                <w:szCs w:val="21"/>
                <w:highlight w:val="none"/>
              </w:rPr>
              <w:t>除项目负责人、技术负责人、安全负责人、质量负责人、造价负责人外，拟投入本项目的其他人员配备完善合理，其中：水利水电工程施工员、质检员、安全员、材料员、资料员各1名，以上人员不得兼任，全部满足得5分，少1人扣1分，直至扣完为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adjustRightInd w:val="0"/>
              <w:snapToGrid w:val="0"/>
              <w:jc w:val="center"/>
              <w:rPr>
                <w:rFonts w:ascii="宋体" w:hAnsi="宋体" w:cs="宋体"/>
                <w:color w:val="auto"/>
                <w:szCs w:val="21"/>
                <w:highlight w:val="none"/>
              </w:rPr>
            </w:pPr>
          </w:p>
        </w:tc>
        <w:tc>
          <w:tcPr>
            <w:tcW w:w="90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企业业绩</w:t>
            </w:r>
          </w:p>
        </w:tc>
        <w:tc>
          <w:tcPr>
            <w:tcW w:w="933" w:type="dxa"/>
            <w:vAlign w:val="center"/>
          </w:tcPr>
          <w:p>
            <w:pPr>
              <w:jc w:val="center"/>
              <w:rPr>
                <w:rFonts w:ascii="宋体" w:hAnsi="宋体" w:cs="宋体"/>
                <w:color w:val="auto"/>
                <w:szCs w:val="21"/>
                <w:highlight w:val="none"/>
              </w:rPr>
            </w:pPr>
            <w:r>
              <w:rPr>
                <w:rFonts w:hint="eastAsia" w:cs="宋体"/>
                <w:color w:val="auto"/>
                <w:szCs w:val="21"/>
                <w:highlight w:val="none"/>
              </w:rPr>
              <w:t xml:space="preserve"> 5 </w:t>
            </w:r>
            <w:r>
              <w:rPr>
                <w:rFonts w:hint="eastAsia" w:ascii="宋体" w:hAnsi="宋体" w:cs="宋体"/>
                <w:color w:val="auto"/>
                <w:szCs w:val="21"/>
                <w:highlight w:val="none"/>
              </w:rPr>
              <w:t>分</w:t>
            </w:r>
          </w:p>
        </w:tc>
        <w:tc>
          <w:tcPr>
            <w:tcW w:w="5414" w:type="dxa"/>
            <w:gridSpan w:val="2"/>
            <w:vAlign w:val="center"/>
          </w:tcPr>
          <w:p>
            <w:pPr>
              <w:rPr>
                <w:rFonts w:ascii="宋体" w:hAnsi="宋体" w:cs="宋体"/>
                <w:color w:val="auto"/>
                <w:szCs w:val="21"/>
                <w:highlight w:val="none"/>
              </w:rPr>
            </w:pPr>
            <w:r>
              <w:rPr>
                <w:rFonts w:hint="eastAsia" w:ascii="宋体" w:hAnsi="宋体" w:cs="宋体"/>
                <w:color w:val="auto"/>
                <w:szCs w:val="21"/>
                <w:highlight w:val="none"/>
              </w:rPr>
              <w:t>投标人自2020年1月1日至投标截止日止，完成过质量合格且中标金额</w:t>
            </w:r>
            <w:r>
              <w:rPr>
                <w:rFonts w:hint="eastAsia" w:ascii="宋体" w:hAnsi="宋体" w:cs="宋体"/>
                <w:color w:val="auto"/>
                <w:szCs w:val="21"/>
                <w:highlight w:val="none"/>
              </w:rPr>
              <w:t>280万元（含280万）</w:t>
            </w:r>
            <w:r>
              <w:rPr>
                <w:rFonts w:hint="eastAsia" w:ascii="宋体" w:hAnsi="宋体" w:cs="宋体"/>
                <w:color w:val="auto"/>
                <w:szCs w:val="21"/>
                <w:highlight w:val="none"/>
              </w:rPr>
              <w:t>或以上的</w:t>
            </w:r>
            <w:r>
              <w:rPr>
                <w:rFonts w:hint="eastAsia" w:ascii="宋体" w:hAnsi="宋体" w:cs="宋体"/>
                <w:color w:val="auto"/>
                <w:szCs w:val="21"/>
                <w:highlight w:val="none"/>
                <w:lang w:val="en-US" w:eastAsia="zh-CN"/>
              </w:rPr>
              <w:t>类似</w:t>
            </w:r>
            <w:r>
              <w:rPr>
                <w:rFonts w:hint="eastAsia" w:ascii="宋体" w:hAnsi="宋体" w:cs="宋体"/>
                <w:color w:val="auto"/>
                <w:szCs w:val="21"/>
                <w:highlight w:val="none"/>
              </w:rPr>
              <w:t>工程的施工业绩，每项得1分；最高得5分。</w:t>
            </w:r>
          </w:p>
          <w:p>
            <w:pPr>
              <w:jc w:val="left"/>
              <w:rPr>
                <w:rFonts w:ascii="宋体" w:hAnsi="宋体" w:cs="宋体"/>
                <w:color w:val="auto"/>
                <w:szCs w:val="21"/>
                <w:highlight w:val="none"/>
              </w:rPr>
            </w:pPr>
            <w:r>
              <w:rPr>
                <w:rFonts w:hint="eastAsia" w:ascii="宋体" w:hAnsi="宋体" w:cs="宋体"/>
                <w:color w:val="auto"/>
                <w:szCs w:val="21"/>
                <w:highlight w:val="none"/>
              </w:rPr>
              <w:t>注：本项最高得5分。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jc w:val="center"/>
              <w:rPr>
                <w:rFonts w:ascii="宋体" w:hAnsi="宋体" w:cs="宋体"/>
                <w:color w:val="auto"/>
                <w:szCs w:val="21"/>
                <w:highlight w:val="none"/>
              </w:rPr>
            </w:pPr>
          </w:p>
        </w:tc>
        <w:tc>
          <w:tcPr>
            <w:tcW w:w="903"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工程奖项</w:t>
            </w:r>
          </w:p>
          <w:p>
            <w:pPr>
              <w:jc w:val="center"/>
              <w:rPr>
                <w:color w:val="auto"/>
                <w:highlight w:val="none"/>
              </w:rPr>
            </w:pPr>
          </w:p>
        </w:tc>
        <w:tc>
          <w:tcPr>
            <w:tcW w:w="93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414" w:type="dxa"/>
            <w:gridSpan w:val="2"/>
            <w:vAlign w:val="center"/>
          </w:tcPr>
          <w:p>
            <w:pPr>
              <w:spacing w:line="320" w:lineRule="exact"/>
              <w:rPr>
                <w:rFonts w:ascii="Calibri" w:hAnsi="宋体" w:cs="宋体"/>
                <w:color w:val="auto"/>
                <w:szCs w:val="21"/>
                <w:highlight w:val="none"/>
                <w:lang w:val="zh-CN"/>
              </w:rPr>
            </w:pPr>
            <w:r>
              <w:rPr>
                <w:rFonts w:hint="eastAsia" w:ascii="Calibri" w:hAnsi="宋体" w:cs="宋体"/>
                <w:color w:val="auto"/>
                <w:szCs w:val="21"/>
                <w:highlight w:val="none"/>
                <w:lang w:val="zh-CN"/>
              </w:rPr>
              <w:t>投标人自20</w:t>
            </w:r>
            <w:r>
              <w:rPr>
                <w:rFonts w:hint="eastAsia" w:ascii="Calibri" w:hAnsi="宋体" w:cs="宋体"/>
                <w:color w:val="auto"/>
                <w:szCs w:val="21"/>
                <w:highlight w:val="none"/>
              </w:rPr>
              <w:t>20</w:t>
            </w:r>
            <w:r>
              <w:rPr>
                <w:rFonts w:hint="eastAsia" w:ascii="Calibri" w:hAnsi="宋体" w:cs="宋体"/>
                <w:color w:val="auto"/>
                <w:szCs w:val="21"/>
                <w:highlight w:val="none"/>
                <w:lang w:val="zh-CN"/>
              </w:rPr>
              <w:t>年1月1日至投标截止日止承建的项目获得</w:t>
            </w:r>
            <w:r>
              <w:rPr>
                <w:rFonts w:hint="eastAsia" w:ascii="宋体" w:hAnsi="宋体" w:cs="宋体"/>
                <w:color w:val="auto"/>
                <w:sz w:val="21"/>
                <w:szCs w:val="21"/>
                <w:highlight w:val="none"/>
                <w:lang w:val="en-US" w:eastAsia="zh-CN"/>
              </w:rPr>
              <w:t>国家</w:t>
            </w:r>
            <w:r>
              <w:rPr>
                <w:rFonts w:hint="eastAsia" w:ascii="宋体" w:hAnsi="宋体" w:cs="宋体"/>
                <w:color w:val="auto"/>
                <w:sz w:val="21"/>
                <w:szCs w:val="21"/>
                <w:highlight w:val="none"/>
              </w:rPr>
              <w:t>级</w:t>
            </w:r>
            <w:r>
              <w:rPr>
                <w:rFonts w:hint="eastAsia" w:ascii="宋体" w:hAnsi="宋体" w:cs="宋体"/>
                <w:color w:val="auto"/>
                <w:szCs w:val="21"/>
                <w:highlight w:val="none"/>
              </w:rPr>
              <w:t>质量</w:t>
            </w:r>
            <w:r>
              <w:rPr>
                <w:rFonts w:hint="eastAsia" w:ascii="宋体" w:hAnsi="宋体" w:cs="宋体"/>
                <w:color w:val="auto"/>
                <w:sz w:val="21"/>
                <w:szCs w:val="21"/>
                <w:highlight w:val="none"/>
              </w:rPr>
              <w:t>奖项的，每项得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分；获得省级（含副省级）</w:t>
            </w:r>
            <w:r>
              <w:rPr>
                <w:rFonts w:hint="eastAsia" w:ascii="宋体" w:hAnsi="宋体" w:cs="宋体"/>
                <w:color w:val="auto"/>
                <w:szCs w:val="21"/>
                <w:highlight w:val="none"/>
              </w:rPr>
              <w:t>工程质量</w:t>
            </w:r>
            <w:r>
              <w:rPr>
                <w:rFonts w:hint="eastAsia" w:ascii="宋体" w:hAnsi="宋体" w:cs="宋体"/>
                <w:color w:val="auto"/>
                <w:sz w:val="21"/>
                <w:szCs w:val="21"/>
                <w:highlight w:val="none"/>
              </w:rPr>
              <w:t>奖项的，每项得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分；获得市级</w:t>
            </w:r>
            <w:r>
              <w:rPr>
                <w:rFonts w:hint="eastAsia" w:ascii="宋体" w:hAnsi="宋体" w:cs="宋体"/>
                <w:color w:val="auto"/>
                <w:szCs w:val="21"/>
                <w:highlight w:val="none"/>
              </w:rPr>
              <w:t>工程质量</w:t>
            </w:r>
            <w:r>
              <w:rPr>
                <w:rFonts w:hint="eastAsia" w:ascii="宋体" w:hAnsi="宋体" w:cs="宋体"/>
                <w:color w:val="auto"/>
                <w:sz w:val="21"/>
                <w:szCs w:val="21"/>
                <w:highlight w:val="none"/>
              </w:rPr>
              <w:t>奖项的，每项得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w:t>
            </w:r>
            <w:r>
              <w:rPr>
                <w:rFonts w:hint="eastAsia" w:ascii="Calibri" w:hAnsi="宋体" w:cs="宋体"/>
                <w:color w:val="auto"/>
                <w:szCs w:val="21"/>
                <w:highlight w:val="none"/>
                <w:lang w:val="zh-CN"/>
              </w:rPr>
              <w:t>；</w:t>
            </w:r>
            <w:r>
              <w:rPr>
                <w:rFonts w:hint="eastAsia" w:ascii="Calibri" w:hAnsi="宋体" w:cs="宋体"/>
                <w:color w:val="auto"/>
                <w:szCs w:val="21"/>
                <w:highlight w:val="none"/>
                <w:lang w:val="zh-CN"/>
              </w:rPr>
              <w:t>最高得</w:t>
            </w:r>
            <w:r>
              <w:rPr>
                <w:rFonts w:hint="eastAsia" w:ascii="Calibri" w:hAnsi="宋体" w:cs="宋体"/>
                <w:color w:val="auto"/>
                <w:szCs w:val="21"/>
                <w:highlight w:val="none"/>
                <w:lang w:val="en-US" w:eastAsia="zh-CN"/>
              </w:rPr>
              <w:t>6</w:t>
            </w:r>
            <w:r>
              <w:rPr>
                <w:rFonts w:hint="eastAsia" w:ascii="Calibri" w:hAnsi="宋体" w:cs="宋体"/>
                <w:color w:val="auto"/>
                <w:szCs w:val="21"/>
                <w:highlight w:val="none"/>
                <w:lang w:val="zh-CN"/>
              </w:rPr>
              <w:t>分。</w:t>
            </w:r>
          </w:p>
          <w:p>
            <w:pPr>
              <w:ind w:firstLine="315" w:firstLineChars="150"/>
              <w:jc w:val="left"/>
              <w:rPr>
                <w:rFonts w:ascii="宋体" w:hAnsi="宋体" w:cs="宋体"/>
                <w:color w:val="auto"/>
                <w:szCs w:val="21"/>
                <w:highlight w:val="none"/>
              </w:rPr>
            </w:pPr>
            <w:r>
              <w:rPr>
                <w:rFonts w:hint="eastAsia" w:ascii="Calibri" w:hAnsi="宋体" w:cs="宋体"/>
                <w:color w:val="auto"/>
                <w:szCs w:val="21"/>
                <w:highlight w:val="none"/>
              </w:rPr>
              <w:t>注：本项最高得</w:t>
            </w:r>
            <w:r>
              <w:rPr>
                <w:rFonts w:hint="eastAsia" w:ascii="Calibri" w:hAnsi="宋体" w:cs="宋体"/>
                <w:color w:val="auto"/>
                <w:szCs w:val="21"/>
                <w:highlight w:val="none"/>
                <w:lang w:val="en-US" w:eastAsia="zh-CN"/>
              </w:rPr>
              <w:t>6</w:t>
            </w:r>
            <w:r>
              <w:rPr>
                <w:rFonts w:hint="eastAsia" w:ascii="Calibri"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jc w:val="center"/>
              <w:rPr>
                <w:rFonts w:ascii="宋体" w:hAnsi="宋体" w:cs="宋体"/>
                <w:color w:val="auto"/>
                <w:szCs w:val="21"/>
                <w:highlight w:val="none"/>
              </w:rPr>
            </w:pPr>
          </w:p>
        </w:tc>
        <w:tc>
          <w:tcPr>
            <w:tcW w:w="903" w:type="dxa"/>
            <w:vAlign w:val="center"/>
          </w:tcPr>
          <w:p>
            <w:pPr>
              <w:jc w:val="center"/>
              <w:rPr>
                <w:color w:val="auto"/>
                <w:highlight w:val="none"/>
              </w:rPr>
            </w:pPr>
            <w:r>
              <w:rPr>
                <w:rFonts w:hint="eastAsia"/>
                <w:color w:val="auto"/>
                <w:highlight w:val="none"/>
                <w:lang w:val="en-US" w:eastAsia="zh-CN"/>
              </w:rPr>
              <w:t>第三方评价</w:t>
            </w:r>
          </w:p>
        </w:tc>
        <w:tc>
          <w:tcPr>
            <w:tcW w:w="933" w:type="dxa"/>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5414" w:type="dxa"/>
            <w:gridSpan w:val="2"/>
            <w:vAlign w:val="center"/>
          </w:tcPr>
          <w:p>
            <w:pPr>
              <w:jc w:val="left"/>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rPr>
              <w:t>投标人</w:t>
            </w:r>
            <w:r>
              <w:rPr>
                <w:rFonts w:hint="eastAsia" w:ascii="宋体" w:hAnsi="宋体" w:cs="宋体"/>
                <w:color w:val="auto"/>
                <w:sz w:val="20"/>
                <w:szCs w:val="20"/>
                <w:highlight w:val="none"/>
                <w:lang w:eastAsia="zh-CN"/>
              </w:rPr>
              <w:t>具有有效期内的质量管理体系认证证书、环境管理体系认证证书、职业健康安全管理体系认证证书、企业诚信管理体系认证证书、工程施工质量评价认证证书，获得所有</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lang w:eastAsia="zh-CN"/>
              </w:rPr>
              <w:t>项证书的得</w:t>
            </w:r>
            <w:r>
              <w:rPr>
                <w:rFonts w:hint="eastAsia" w:ascii="宋体" w:hAnsi="宋体" w:cs="宋体"/>
                <w:color w:val="auto"/>
                <w:sz w:val="20"/>
                <w:szCs w:val="20"/>
                <w:highlight w:val="none"/>
                <w:lang w:val="en-US" w:eastAsia="zh-CN"/>
              </w:rPr>
              <w:t>6</w:t>
            </w:r>
            <w:r>
              <w:rPr>
                <w:rFonts w:hint="eastAsia" w:ascii="宋体" w:hAnsi="宋体" w:cs="宋体"/>
                <w:color w:val="auto"/>
                <w:sz w:val="20"/>
                <w:szCs w:val="20"/>
                <w:highlight w:val="none"/>
                <w:lang w:eastAsia="zh-CN"/>
              </w:rPr>
              <w:t>分；</w:t>
            </w:r>
            <w:r>
              <w:rPr>
                <w:rFonts w:hint="eastAsia" w:ascii="宋体" w:hAnsi="宋体" w:cs="宋体"/>
                <w:color w:val="auto"/>
                <w:sz w:val="20"/>
                <w:szCs w:val="20"/>
                <w:highlight w:val="none"/>
                <w:lang w:val="en-US" w:eastAsia="zh-CN"/>
              </w:rPr>
              <w:t>少一项扣1.2</w:t>
            </w:r>
            <w:r>
              <w:rPr>
                <w:rFonts w:hint="eastAsia" w:ascii="宋体" w:hAnsi="宋体" w:cs="宋体"/>
                <w:color w:val="auto"/>
                <w:sz w:val="20"/>
                <w:szCs w:val="20"/>
                <w:highlight w:val="none"/>
                <w:lang w:eastAsia="zh-CN"/>
              </w:rPr>
              <w:t>分；</w:t>
            </w:r>
          </w:p>
          <w:p>
            <w:pPr>
              <w:ind w:firstLine="210" w:firstLineChars="100"/>
              <w:jc w:val="left"/>
              <w:rPr>
                <w:rFonts w:hint="eastAsia" w:ascii="Calibri" w:hAnsi="宋体" w:cs="宋体"/>
                <w:color w:val="auto"/>
                <w:szCs w:val="21"/>
                <w:highlight w:val="none"/>
              </w:rPr>
            </w:pPr>
            <w:r>
              <w:rPr>
                <w:rFonts w:hint="eastAsia" w:ascii="Calibri" w:hAnsi="宋体" w:cs="宋体"/>
                <w:color w:val="auto"/>
                <w:szCs w:val="21"/>
                <w:highlight w:val="none"/>
              </w:rPr>
              <w:t>注：本项最高得</w:t>
            </w:r>
            <w:r>
              <w:rPr>
                <w:rFonts w:hint="eastAsia" w:ascii="Calibri" w:hAnsi="宋体" w:cs="宋体"/>
                <w:color w:val="auto"/>
                <w:szCs w:val="21"/>
                <w:highlight w:val="none"/>
                <w:lang w:val="en-US" w:eastAsia="zh-CN"/>
              </w:rPr>
              <w:t>6</w:t>
            </w:r>
            <w:r>
              <w:rPr>
                <w:rFonts w:hint="eastAsia" w:ascii="Calibri"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jc w:val="center"/>
              <w:rPr>
                <w:rFonts w:ascii="宋体" w:hAnsi="宋体" w:cs="宋体"/>
                <w:color w:val="auto"/>
                <w:szCs w:val="21"/>
                <w:highlight w:val="none"/>
              </w:rPr>
            </w:pPr>
          </w:p>
        </w:tc>
        <w:tc>
          <w:tcPr>
            <w:tcW w:w="90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工程研发</w:t>
            </w:r>
          </w:p>
          <w:p>
            <w:pPr>
              <w:spacing w:line="360" w:lineRule="auto"/>
              <w:jc w:val="center"/>
              <w:rPr>
                <w:color w:val="auto"/>
                <w:szCs w:val="21"/>
                <w:highlight w:val="none"/>
              </w:rPr>
            </w:pPr>
            <w:r>
              <w:rPr>
                <w:rFonts w:hint="eastAsia" w:ascii="宋体" w:hAnsi="宋体" w:cs="宋体"/>
                <w:bCs/>
                <w:color w:val="auto"/>
                <w:highlight w:val="none"/>
              </w:rPr>
              <w:t>能力</w:t>
            </w:r>
          </w:p>
          <w:p>
            <w:pPr>
              <w:jc w:val="center"/>
              <w:rPr>
                <w:color w:val="auto"/>
                <w:highlight w:val="none"/>
              </w:rPr>
            </w:pPr>
          </w:p>
        </w:tc>
        <w:tc>
          <w:tcPr>
            <w:tcW w:w="93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414" w:type="dxa"/>
            <w:gridSpan w:val="2"/>
            <w:vAlign w:val="center"/>
          </w:tcPr>
          <w:p>
            <w:pPr>
              <w:spacing w:line="320" w:lineRule="exact"/>
              <w:rPr>
                <w:color w:val="auto"/>
                <w:highlight w:val="none"/>
              </w:rPr>
            </w:pPr>
            <w:r>
              <w:rPr>
                <w:rFonts w:hint="eastAsia" w:ascii="宋体" w:hAnsi="宋体" w:cs="宋体"/>
                <w:color w:val="auto"/>
                <w:spacing w:val="1"/>
                <w:kern w:val="0"/>
                <w:szCs w:val="21"/>
                <w:highlight w:val="none"/>
              </w:rPr>
              <w:t>投标人自</w:t>
            </w:r>
            <w:r>
              <w:rPr>
                <w:rFonts w:hint="eastAsia" w:ascii="宋体" w:hAnsi="宋体" w:cs="宋体"/>
                <w:color w:val="auto"/>
                <w:szCs w:val="21"/>
                <w:highlight w:val="none"/>
              </w:rPr>
              <w:t>2020年1月1</w:t>
            </w:r>
            <w:r>
              <w:rPr>
                <w:rFonts w:hint="eastAsia" w:ascii="宋体" w:hAnsi="宋体" w:cs="宋体"/>
                <w:color w:val="auto"/>
                <w:spacing w:val="1"/>
                <w:kern w:val="0"/>
                <w:szCs w:val="21"/>
                <w:highlight w:val="none"/>
              </w:rPr>
              <w:t>日至</w:t>
            </w:r>
            <w:r>
              <w:rPr>
                <w:rFonts w:hint="eastAsia" w:ascii="宋体" w:hAnsi="宋体" w:cs="宋体"/>
                <w:color w:val="auto"/>
                <w:szCs w:val="21"/>
                <w:highlight w:val="none"/>
              </w:rPr>
              <w:t>投标截止日止，</w:t>
            </w:r>
            <w:r>
              <w:rPr>
                <w:rFonts w:hint="eastAsia" w:ascii="宋体" w:hAnsi="宋体" w:cs="宋体"/>
                <w:color w:val="auto"/>
                <w:spacing w:val="1"/>
                <w:kern w:val="0"/>
                <w:szCs w:val="21"/>
                <w:highlight w:val="none"/>
              </w:rPr>
              <w:t>获得省级或以上水利水电类工法证书的，</w:t>
            </w:r>
            <w:r>
              <w:rPr>
                <w:rFonts w:hint="eastAsia" w:ascii="宋体" w:hAnsi="宋体" w:cs="宋体"/>
                <w:color w:val="auto"/>
                <w:szCs w:val="21"/>
                <w:highlight w:val="none"/>
              </w:rPr>
              <w:t>每项得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val="zh-CN"/>
              </w:rPr>
              <w:t>本小项最高得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p>
            <w:pPr>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注：本项最高得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Merge w:val="continue"/>
            <w:vAlign w:val="center"/>
          </w:tcPr>
          <w:p>
            <w:pPr>
              <w:adjustRightInd w:val="0"/>
              <w:snapToGrid w:val="0"/>
              <w:jc w:val="center"/>
              <w:rPr>
                <w:rFonts w:ascii="宋体" w:hAnsi="宋体" w:cs="宋体"/>
                <w:color w:val="auto"/>
                <w:szCs w:val="21"/>
                <w:highlight w:val="none"/>
              </w:rPr>
            </w:pPr>
          </w:p>
        </w:tc>
        <w:tc>
          <w:tcPr>
            <w:tcW w:w="686" w:type="dxa"/>
            <w:gridSpan w:val="2"/>
            <w:vMerge w:val="continue"/>
            <w:vAlign w:val="center"/>
          </w:tcPr>
          <w:p>
            <w:pPr>
              <w:jc w:val="center"/>
              <w:rPr>
                <w:rFonts w:ascii="宋体" w:hAnsi="宋体" w:cs="宋体"/>
                <w:color w:val="auto"/>
                <w:szCs w:val="21"/>
                <w:highlight w:val="none"/>
              </w:rPr>
            </w:pPr>
          </w:p>
        </w:tc>
        <w:tc>
          <w:tcPr>
            <w:tcW w:w="903" w:type="dxa"/>
            <w:vAlign w:val="center"/>
          </w:tcPr>
          <w:p>
            <w:pPr>
              <w:spacing w:line="360" w:lineRule="auto"/>
              <w:jc w:val="center"/>
              <w:rPr>
                <w:color w:val="auto"/>
                <w:highlight w:val="none"/>
              </w:rPr>
            </w:pPr>
            <w:r>
              <w:rPr>
                <w:rFonts w:hint="eastAsia" w:ascii="宋体" w:hAnsi="宋体" w:cs="宋体"/>
                <w:color w:val="auto"/>
                <w:highlight w:val="none"/>
              </w:rPr>
              <w:t>财务指标</w:t>
            </w:r>
          </w:p>
          <w:p>
            <w:pPr>
              <w:jc w:val="center"/>
              <w:rPr>
                <w:color w:val="auto"/>
                <w:highlight w:val="none"/>
              </w:rPr>
            </w:pPr>
          </w:p>
        </w:tc>
        <w:tc>
          <w:tcPr>
            <w:tcW w:w="93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414" w:type="dxa"/>
            <w:gridSpan w:val="2"/>
            <w:vAlign w:val="center"/>
          </w:tcPr>
          <w:p>
            <w:pPr>
              <w:spacing w:line="312" w:lineRule="auto"/>
              <w:rPr>
                <w:rFonts w:ascii="宋体" w:hAnsi="宋体" w:cs="宋体"/>
                <w:color w:val="auto"/>
                <w:szCs w:val="21"/>
                <w:highlight w:val="none"/>
              </w:rPr>
            </w:pPr>
            <w:r>
              <w:rPr>
                <w:rFonts w:hint="eastAsia" w:ascii="宋体" w:hAnsi="宋体" w:cs="宋体"/>
                <w:color w:val="auto"/>
                <w:szCs w:val="21"/>
                <w:highlight w:val="none"/>
              </w:rPr>
              <w:t>（1）投标人连续三年(2020-2022)</w:t>
            </w:r>
            <w:r>
              <w:rPr>
                <w:rFonts w:hint="eastAsia" w:ascii="宋体" w:hAnsi="宋体" w:cs="宋体"/>
                <w:color w:val="auto"/>
                <w:szCs w:val="21"/>
                <w:highlight w:val="none"/>
                <w:lang w:val="en-US" w:eastAsia="zh-CN"/>
              </w:rPr>
              <w:t>每年均</w:t>
            </w:r>
            <w:r>
              <w:rPr>
                <w:rFonts w:hint="eastAsia" w:ascii="宋体" w:hAnsi="宋体" w:cs="宋体"/>
                <w:color w:val="auto"/>
                <w:szCs w:val="21"/>
                <w:highlight w:val="none"/>
              </w:rPr>
              <w:t>盈利且平均资产负债率（三个年度年平均）横向对比，第1名得1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12" w:lineRule="auto"/>
              <w:rPr>
                <w:rFonts w:ascii="宋体" w:hAnsi="宋体" w:cs="宋体"/>
                <w:color w:val="auto"/>
                <w:szCs w:val="21"/>
                <w:highlight w:val="none"/>
              </w:rPr>
            </w:pPr>
            <w:r>
              <w:rPr>
                <w:rFonts w:hint="eastAsia" w:ascii="宋体" w:hAnsi="宋体" w:cs="宋体"/>
                <w:color w:val="auto"/>
                <w:szCs w:val="21"/>
                <w:highlight w:val="none"/>
              </w:rPr>
              <w:t>（2）投标人连续三年(2020-2022)</w:t>
            </w:r>
            <w:r>
              <w:rPr>
                <w:rFonts w:hint="eastAsia" w:ascii="宋体" w:hAnsi="宋体" w:cs="宋体"/>
                <w:color w:val="auto"/>
                <w:szCs w:val="21"/>
                <w:highlight w:val="none"/>
                <w:lang w:val="en-US" w:eastAsia="zh-CN"/>
              </w:rPr>
              <w:t>每年均</w:t>
            </w:r>
            <w:r>
              <w:rPr>
                <w:rFonts w:hint="eastAsia" w:ascii="宋体" w:hAnsi="宋体" w:cs="宋体"/>
                <w:color w:val="auto"/>
                <w:szCs w:val="21"/>
                <w:highlight w:val="none"/>
              </w:rPr>
              <w:t>盈利且平均资产负债率（三个年度年平均）横向对比，第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（3）投标人连续三年(2020-2022)</w:t>
            </w:r>
            <w:r>
              <w:rPr>
                <w:rFonts w:hint="eastAsia" w:ascii="宋体" w:hAnsi="宋体" w:cs="宋体"/>
                <w:color w:val="auto"/>
                <w:szCs w:val="21"/>
                <w:highlight w:val="none"/>
                <w:lang w:val="en-US" w:eastAsia="zh-CN"/>
              </w:rPr>
              <w:t>每年均</w:t>
            </w:r>
            <w:r>
              <w:rPr>
                <w:rFonts w:hint="eastAsia" w:ascii="宋体" w:hAnsi="宋体" w:cs="宋体"/>
                <w:color w:val="auto"/>
                <w:szCs w:val="21"/>
                <w:highlight w:val="none"/>
              </w:rPr>
              <w:t>盈利且平均资产负债率（三个年度年平均）横向对比，第</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12" w:lineRule="auto"/>
              <w:rPr>
                <w:rFonts w:ascii="宋体" w:hAnsi="宋体" w:cs="宋体"/>
                <w:color w:val="auto"/>
                <w:szCs w:val="21"/>
                <w:highlight w:val="none"/>
              </w:rPr>
            </w:pPr>
            <w:r>
              <w:rPr>
                <w:rFonts w:hint="eastAsia" w:ascii="宋体" w:hAnsi="宋体" w:cs="宋体"/>
                <w:color w:val="auto"/>
                <w:szCs w:val="21"/>
                <w:highlight w:val="none"/>
              </w:rPr>
              <w:t>其余不得分。</w:t>
            </w:r>
          </w:p>
          <w:p>
            <w:pPr>
              <w:ind w:firstLine="315" w:firstLineChars="150"/>
              <w:jc w:val="left"/>
              <w:rPr>
                <w:color w:val="auto"/>
                <w:highlight w:val="none"/>
              </w:rPr>
            </w:pPr>
            <w:r>
              <w:rPr>
                <w:rFonts w:hint="eastAsia" w:ascii="宋体" w:hAnsi="宋体" w:cs="宋体"/>
                <w:color w:val="auto"/>
                <w:szCs w:val="21"/>
                <w:highlight w:val="none"/>
              </w:rPr>
              <w:t>注：本项最高得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042" w:type="dxa"/>
            <w:vAlign w:val="center"/>
          </w:tcPr>
          <w:p>
            <w:pPr>
              <w:adjustRightInd w:val="0"/>
              <w:snapToGrid w:val="0"/>
              <w:jc w:val="center"/>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p>
        </w:tc>
        <w:tc>
          <w:tcPr>
            <w:tcW w:w="686"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综合信用评价</w:t>
            </w:r>
          </w:p>
        </w:tc>
        <w:tc>
          <w:tcPr>
            <w:tcW w:w="903"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信用分值</w:t>
            </w:r>
          </w:p>
        </w:tc>
        <w:tc>
          <w:tcPr>
            <w:tcW w:w="933" w:type="dxa"/>
            <w:vAlign w:val="center"/>
          </w:tcPr>
          <w:p>
            <w:pPr>
              <w:adjustRightInd w:val="0"/>
              <w:snapToGrid w:val="0"/>
              <w:jc w:val="center"/>
              <w:rPr>
                <w:rFonts w:ascii="宋体" w:hAnsi="宋体" w:cs="宋体"/>
                <w:color w:val="auto"/>
                <w:szCs w:val="21"/>
                <w:highlight w:val="none"/>
              </w:rPr>
            </w:pPr>
            <w:r>
              <w:rPr>
                <w:rFonts w:hint="eastAsia" w:cs="宋体"/>
                <w:color w:val="auto"/>
                <w:highlight w:val="none"/>
              </w:rPr>
              <w:t>100</w:t>
            </w:r>
            <w:r>
              <w:rPr>
                <w:rFonts w:hint="eastAsia" w:ascii="宋体" w:hAnsi="宋体" w:cs="宋体"/>
                <w:color w:val="auto"/>
                <w:highlight w:val="none"/>
              </w:rPr>
              <w:t>分</w:t>
            </w:r>
          </w:p>
        </w:tc>
        <w:tc>
          <w:tcPr>
            <w:tcW w:w="5414" w:type="dxa"/>
            <w:gridSpan w:val="2"/>
            <w:vAlign w:val="center"/>
          </w:tcPr>
          <w:p>
            <w:pPr>
              <w:rPr>
                <w:rFonts w:ascii="宋体" w:hAnsi="宋体"/>
                <w:color w:val="auto"/>
                <w:highlight w:val="none"/>
              </w:rPr>
            </w:pPr>
            <w:r>
              <w:rPr>
                <w:rFonts w:hint="eastAsia" w:ascii="宋体" w:hAnsi="宋体"/>
                <w:color w:val="auto"/>
                <w:highlight w:val="none"/>
              </w:rPr>
              <w:t>本项目的企业诚信综合评价得分，以开标当天广州公共资源交易网站公布的信用评价</w:t>
            </w:r>
            <w:r>
              <w:rPr>
                <w:rFonts w:hint="eastAsia"/>
                <w:color w:val="auto"/>
                <w:highlight w:val="none"/>
              </w:rPr>
              <w:t>2</w:t>
            </w:r>
            <w:r>
              <w:rPr>
                <w:rFonts w:hint="eastAsia" w:ascii="宋体" w:hAnsi="宋体"/>
                <w:color w:val="auto"/>
                <w:highlight w:val="none"/>
              </w:rPr>
              <w:t>.</w:t>
            </w:r>
            <w:r>
              <w:rPr>
                <w:rFonts w:hint="eastAsia"/>
                <w:color w:val="auto"/>
                <w:highlight w:val="none"/>
              </w:rPr>
              <w:t>0</w:t>
            </w:r>
            <w:r>
              <w:rPr>
                <w:rFonts w:hint="eastAsia" w:ascii="宋体" w:hAnsi="宋体"/>
                <w:b/>
                <w:bCs/>
                <w:color w:val="auto"/>
                <w:highlight w:val="none"/>
                <w:u w:val="single"/>
              </w:rPr>
              <w:t>（施工-水利）</w:t>
            </w:r>
            <w:r>
              <w:rPr>
                <w:rFonts w:hint="eastAsia" w:ascii="宋体" w:hAnsi="宋体"/>
                <w:color w:val="auto"/>
                <w:highlight w:val="none"/>
              </w:rPr>
              <w:t>得分为准：</w:t>
            </w:r>
          </w:p>
          <w:p>
            <w:pPr>
              <w:rPr>
                <w:rFonts w:ascii="宋体" w:hAnsi="宋体"/>
                <w:color w:val="auto"/>
                <w:highlight w:val="none"/>
              </w:rPr>
            </w:pPr>
          </w:p>
          <w:p>
            <w:pPr>
              <w:rPr>
                <w:rFonts w:ascii="宋体" w:hAnsi="宋体"/>
                <w:strike/>
                <w:dstrike w:val="0"/>
                <w:color w:val="auto"/>
                <w:highlight w:val="none"/>
              </w:rPr>
            </w:pPr>
            <w:r>
              <w:rPr>
                <w:rFonts w:hint="eastAsia" w:ascii="宋体" w:hAnsi="宋体"/>
                <w:strike/>
                <w:dstrike w:val="0"/>
                <w:color w:val="auto"/>
                <w:highlight w:val="none"/>
              </w:rPr>
              <w:t>①同一专业组成联合体的投标人，其企业诚信综合评价排名得分以组成联合体各成员的企业诚信综合评价得分的算术平均值计算。</w:t>
            </w:r>
          </w:p>
          <w:p>
            <w:pPr>
              <w:rPr>
                <w:rFonts w:ascii="宋体" w:hAnsi="宋体"/>
                <w:color w:val="auto"/>
                <w:highlight w:val="none"/>
              </w:rPr>
            </w:pPr>
            <w:r>
              <w:rPr>
                <w:rFonts w:hint="eastAsia" w:ascii="宋体" w:hAnsi="宋体"/>
                <w:strike/>
                <w:dstrike w:val="0"/>
                <w:color w:val="auto"/>
                <w:highlight w:val="none"/>
              </w:rPr>
              <w:t>②不同专业组成联合体的投标人，各投标人诚信综合评价分以最高投标限价中各专业工程的占比作为权重，将其各专业诚信综合评价分加权平均计算。</w:t>
            </w:r>
          </w:p>
          <w:p>
            <w:pPr>
              <w:adjustRightInd w:val="0"/>
              <w:snapToGrid w:val="0"/>
              <w:rPr>
                <w:color w:val="auto"/>
                <w:highlight w:val="none"/>
              </w:rPr>
            </w:pPr>
            <w:r>
              <w:rPr>
                <w:rFonts w:hint="eastAsia" w:ascii="宋体" w:hAnsi="宋体"/>
                <w:color w:val="auto"/>
                <w:highlight w:val="none"/>
              </w:rPr>
              <w:t>③已在广州公共资源交易平台办理企业信息登记的投标人，如未获广州公共资源交易信用评价</w:t>
            </w:r>
            <w:r>
              <w:rPr>
                <w:rFonts w:hint="eastAsia"/>
                <w:color w:val="auto"/>
                <w:highlight w:val="none"/>
              </w:rPr>
              <w:t>2</w:t>
            </w:r>
            <w:r>
              <w:rPr>
                <w:rFonts w:hint="eastAsia" w:ascii="宋体" w:hAnsi="宋体"/>
                <w:color w:val="auto"/>
                <w:highlight w:val="none"/>
              </w:rPr>
              <w:t>.</w:t>
            </w:r>
            <w:r>
              <w:rPr>
                <w:rFonts w:hint="eastAsia"/>
                <w:color w:val="auto"/>
                <w:highlight w:val="none"/>
              </w:rPr>
              <w:t>0</w:t>
            </w:r>
            <w:r>
              <w:rPr>
                <w:rFonts w:hint="eastAsia" w:ascii="宋体" w:hAnsi="宋体"/>
                <w:color w:val="auto"/>
                <w:highlight w:val="none"/>
              </w:rPr>
              <w:t>得分的，则该投标人得分为基准分，基准分值以广州公共资源信用评价相关规定为准。</w:t>
            </w:r>
          </w:p>
        </w:tc>
      </w:tr>
    </w:tbl>
    <w:p>
      <w:pPr>
        <w:pStyle w:val="22"/>
        <w:rPr>
          <w:rFonts w:ascii="宋体" w:hAnsi="宋体" w:eastAsia="宋体" w:cs="宋体"/>
          <w:color w:val="auto"/>
          <w:sz w:val="18"/>
          <w:szCs w:val="18"/>
          <w:highlight w:val="none"/>
        </w:rPr>
      </w:pPr>
      <w:bookmarkStart w:id="1089" w:name="_Toc6501"/>
      <w:bookmarkStart w:id="1090" w:name="_Toc5045"/>
      <w:bookmarkStart w:id="1091" w:name="_Toc485722370"/>
      <w:bookmarkStart w:id="1092" w:name="_Toc10999"/>
      <w:bookmarkStart w:id="1093" w:name="_Toc1252733204"/>
      <w:bookmarkStart w:id="1094" w:name="_Toc28980"/>
      <w:bookmarkStart w:id="1095" w:name="_Toc28584"/>
      <w:r>
        <w:rPr>
          <w:rFonts w:hint="eastAsia" w:ascii="宋体" w:hAnsi="宋体" w:eastAsia="宋体" w:cs="宋体"/>
          <w:color w:val="auto"/>
          <w:sz w:val="18"/>
          <w:szCs w:val="18"/>
          <w:highlight w:val="none"/>
        </w:rPr>
        <w:t>注：一、项目管理机构人员：技术负责人、安全负责人、质量负责人、造价负责人需提供相关证书、身份证扫描件和近1个月</w:t>
      </w:r>
      <w:r>
        <w:rPr>
          <w:rFonts w:hint="eastAsia" w:ascii="宋体" w:hAnsi="宋体" w:eastAsia="宋体" w:cs="宋体"/>
          <w:color w:val="auto"/>
          <w:sz w:val="18"/>
          <w:szCs w:val="18"/>
          <w:highlight w:val="none"/>
        </w:rPr>
        <w:t>（即2024年2月）</w:t>
      </w:r>
      <w:r>
        <w:rPr>
          <w:rFonts w:hint="eastAsia" w:ascii="宋体" w:hAnsi="宋体" w:eastAsia="宋体" w:cs="宋体"/>
          <w:color w:val="auto"/>
          <w:sz w:val="18"/>
          <w:szCs w:val="18"/>
          <w:highlight w:val="none"/>
        </w:rPr>
        <w:t>社保证明；造价负责人如为一级造价工程师的需提供（https://spjc.mwr.gov.cn/水利部政府服务平台一级造价工程师（水利工程）注册信息查询网页截图，且在注册有效期内才计分）；作为主要完成人获得的工法证书需提供证书扫描件及网页截图，时间以证书颁发时间为准；项目管理机构人员完成的工程业绩是指中标金额大于等于</w:t>
      </w:r>
      <w:r>
        <w:rPr>
          <w:rFonts w:hint="eastAsia" w:ascii="宋体" w:hAnsi="宋体" w:eastAsia="宋体" w:cs="宋体"/>
          <w:color w:val="auto"/>
          <w:sz w:val="18"/>
          <w:szCs w:val="18"/>
          <w:highlight w:val="none"/>
        </w:rPr>
        <w:t>280万元</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rPr>
        <w:t>类似</w:t>
      </w:r>
      <w:r>
        <w:rPr>
          <w:rFonts w:hint="eastAsia" w:ascii="宋体" w:hAnsi="宋体" w:eastAsia="宋体" w:cs="宋体"/>
          <w:color w:val="auto"/>
          <w:sz w:val="18"/>
          <w:szCs w:val="18"/>
          <w:highlight w:val="none"/>
        </w:rPr>
        <w:t>工程业绩(只计算承建单位，不含参建单位)，金额以中标通知书为准，需提供中标通知书、施工合同、竣工验收报告或单位工程验收鉴定证书或合同工程完工验收鉴定书扫描件（相关人员姓名</w:t>
      </w:r>
      <w:r>
        <w:rPr>
          <w:rFonts w:hint="eastAsia" w:ascii="宋体" w:hAnsi="宋体" w:eastAsia="宋体" w:cs="宋体"/>
          <w:strike w:val="0"/>
          <w:dstrike w:val="0"/>
          <w:color w:val="auto"/>
          <w:sz w:val="18"/>
          <w:szCs w:val="18"/>
          <w:highlight w:val="none"/>
        </w:rPr>
        <w:t>需</w:t>
      </w:r>
      <w:r>
        <w:rPr>
          <w:rFonts w:hint="eastAsia" w:ascii="宋体" w:hAnsi="宋体" w:eastAsia="宋体" w:cs="宋体"/>
          <w:color w:val="auto"/>
          <w:sz w:val="18"/>
          <w:szCs w:val="18"/>
          <w:highlight w:val="none"/>
        </w:rPr>
        <w:t>在施工合同或竣工验收报告或单位工程验收鉴定证书或合同工程完工验收鉴定书中体现才计分），时间以验收时间为准；不满足上述情况的或未按要求提供证明材料的不得分。</w:t>
      </w:r>
    </w:p>
    <w:p>
      <w:pPr>
        <w:pStyle w:val="49"/>
        <w:ind w:firstLine="360" w:firstLineChars="200"/>
        <w:jc w:val="left"/>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二、企业业绩：完成的工程业绩是指中标金额大于等于</w:t>
      </w:r>
      <w:r>
        <w:rPr>
          <w:rFonts w:hint="eastAsia" w:ascii="宋体" w:hAnsi="宋体" w:cs="宋体"/>
          <w:b w:val="0"/>
          <w:color w:val="auto"/>
          <w:kern w:val="0"/>
          <w:sz w:val="18"/>
          <w:szCs w:val="18"/>
          <w:highlight w:val="none"/>
          <w:lang w:val="en-US" w:eastAsia="zh-CN"/>
        </w:rPr>
        <w:t>280</w:t>
      </w:r>
      <w:r>
        <w:rPr>
          <w:rFonts w:hint="eastAsia" w:ascii="宋体" w:hAnsi="宋体" w:cs="宋体"/>
          <w:b w:val="0"/>
          <w:color w:val="auto"/>
          <w:kern w:val="0"/>
          <w:sz w:val="18"/>
          <w:szCs w:val="18"/>
          <w:highlight w:val="none"/>
        </w:rPr>
        <w:t>万元</w:t>
      </w:r>
      <w:r>
        <w:rPr>
          <w:rFonts w:hint="eastAsia" w:ascii="宋体" w:hAnsi="宋体" w:cs="宋体"/>
          <w:b w:val="0"/>
          <w:color w:val="auto"/>
          <w:kern w:val="0"/>
          <w:sz w:val="18"/>
          <w:szCs w:val="18"/>
          <w:highlight w:val="none"/>
        </w:rPr>
        <w:t>的</w:t>
      </w:r>
      <w:r>
        <w:rPr>
          <w:rFonts w:hint="eastAsia" w:ascii="宋体" w:hAnsi="宋体" w:cs="宋体"/>
          <w:b w:val="0"/>
          <w:color w:val="auto"/>
          <w:kern w:val="0"/>
          <w:sz w:val="18"/>
          <w:szCs w:val="18"/>
          <w:highlight w:val="none"/>
        </w:rPr>
        <w:t>类似</w:t>
      </w:r>
      <w:r>
        <w:rPr>
          <w:rFonts w:hint="eastAsia" w:ascii="宋体" w:hAnsi="宋体" w:cs="宋体"/>
          <w:b w:val="0"/>
          <w:color w:val="auto"/>
          <w:kern w:val="0"/>
          <w:sz w:val="18"/>
          <w:szCs w:val="18"/>
          <w:highlight w:val="none"/>
        </w:rPr>
        <w:t>工程业绩(只计算承建单位，不含参建单位)，金额以中标通知书为准，需提供中标通知书、施工合同、竣工验收报告或单位工程验收鉴定证书或合同工程完工验收鉴定书扫描件，时间以竣工验收报告或单位工程验收鉴定证书或合同工程完工验收鉴定书的日期为准；不满足上述情况的或未按要求提供证明材料的不得分。</w:t>
      </w:r>
    </w:p>
    <w:p>
      <w:pPr>
        <w:ind w:firstLine="360" w:firstLineChars="20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三、</w:t>
      </w:r>
      <w:r>
        <w:rPr>
          <w:rFonts w:hint="eastAsia" w:ascii="宋体" w:hAnsi="宋体" w:cs="宋体"/>
          <w:color w:val="auto"/>
          <w:kern w:val="0"/>
          <w:sz w:val="18"/>
          <w:szCs w:val="18"/>
          <w:highlight w:val="none"/>
        </w:rPr>
        <w:t>工程奖项：</w:t>
      </w:r>
      <w:r>
        <w:rPr>
          <w:rFonts w:hint="eastAsia" w:ascii="宋体" w:hAnsi="宋体" w:cs="宋体"/>
          <w:color w:val="auto"/>
          <w:kern w:val="0"/>
          <w:sz w:val="18"/>
          <w:szCs w:val="18"/>
          <w:highlight w:val="none"/>
        </w:rPr>
        <w:t>须提供</w:t>
      </w:r>
      <w:r>
        <w:rPr>
          <w:rFonts w:hint="eastAsia" w:ascii="宋体" w:hAnsi="宋体" w:cs="宋体"/>
          <w:color w:val="auto"/>
          <w:kern w:val="0"/>
          <w:sz w:val="18"/>
          <w:szCs w:val="18"/>
          <w:highlight w:val="none"/>
          <w:lang w:val="en-US" w:eastAsia="zh-CN"/>
        </w:rPr>
        <w:t>建设工程类行业</w:t>
      </w:r>
      <w:r>
        <w:rPr>
          <w:rFonts w:hint="eastAsia" w:ascii="宋体" w:hAnsi="宋体" w:eastAsia="宋体" w:cs="宋体"/>
          <w:color w:val="auto"/>
          <w:kern w:val="0"/>
          <w:sz w:val="18"/>
          <w:szCs w:val="18"/>
          <w:highlight w:val="none"/>
        </w:rPr>
        <w:t>协会</w:t>
      </w:r>
      <w:r>
        <w:rPr>
          <w:rFonts w:hint="eastAsia" w:ascii="宋体" w:hAnsi="宋体" w:cs="宋体"/>
          <w:color w:val="auto"/>
          <w:kern w:val="0"/>
          <w:sz w:val="18"/>
          <w:szCs w:val="18"/>
          <w:highlight w:val="none"/>
          <w:lang w:val="en-US" w:eastAsia="zh-CN"/>
        </w:rPr>
        <w:t>或机构颁发的</w:t>
      </w:r>
      <w:r>
        <w:rPr>
          <w:rFonts w:hint="eastAsia" w:ascii="宋体" w:hAnsi="宋体" w:cs="宋体"/>
          <w:color w:val="auto"/>
          <w:kern w:val="0"/>
          <w:sz w:val="18"/>
          <w:szCs w:val="18"/>
          <w:highlight w:val="none"/>
        </w:rPr>
        <w:t>获奖证书扫描件（同一项目只计分一次，不包含安全文明奖项及 QC类奖项），</w:t>
      </w:r>
      <w:r>
        <w:rPr>
          <w:rFonts w:hint="eastAsia" w:ascii="宋体" w:hAnsi="宋体" w:eastAsia="宋体" w:cs="宋体"/>
          <w:color w:val="auto"/>
          <w:kern w:val="0"/>
          <w:sz w:val="18"/>
          <w:szCs w:val="18"/>
          <w:highlight w:val="none"/>
        </w:rPr>
        <w:t>国家级质量奖项包括但不限于：中国建设工程鲁班奖（国家优质工程）、国家优质工程金质奖、国家优质工程奖（原国家优质工程银质奖）、中国土木工程詹天佑奖；省市级工程奖包括但不限于：相关行业协会颁发的省市工程优质工程奖、省市政优良样板工程、省市建设工程结构优质奖、省市工程质量奖、省建设工程金匠奖、土木工程詹天佑故乡杯；</w:t>
      </w:r>
      <w:r>
        <w:rPr>
          <w:rFonts w:hint="eastAsia" w:ascii="宋体" w:hAnsi="宋体" w:cs="宋体"/>
          <w:color w:val="auto"/>
          <w:kern w:val="0"/>
          <w:sz w:val="18"/>
          <w:szCs w:val="18"/>
          <w:highlight w:val="none"/>
          <w:lang w:val="en-US" w:eastAsia="zh-CN"/>
        </w:rPr>
        <w:t>如</w:t>
      </w:r>
      <w:r>
        <w:rPr>
          <w:rFonts w:hint="eastAsia" w:ascii="宋体" w:hAnsi="宋体" w:cs="宋体"/>
          <w:color w:val="auto"/>
          <w:kern w:val="0"/>
          <w:sz w:val="18"/>
          <w:szCs w:val="18"/>
          <w:highlight w:val="none"/>
        </w:rPr>
        <w:t>证书发证机构</w:t>
      </w:r>
      <w:r>
        <w:rPr>
          <w:rFonts w:hint="eastAsia" w:ascii="宋体" w:hAnsi="宋体" w:cs="宋体"/>
          <w:color w:val="auto"/>
          <w:kern w:val="0"/>
          <w:sz w:val="18"/>
          <w:szCs w:val="18"/>
          <w:highlight w:val="none"/>
          <w:lang w:val="en-US" w:eastAsia="zh-CN"/>
        </w:rPr>
        <w:t>为协会的</w:t>
      </w:r>
      <w:r>
        <w:rPr>
          <w:rFonts w:hint="eastAsia" w:ascii="宋体" w:hAnsi="宋体" w:cs="宋体"/>
          <w:color w:val="auto"/>
          <w:kern w:val="0"/>
          <w:sz w:val="18"/>
          <w:szCs w:val="18"/>
          <w:highlight w:val="none"/>
        </w:rPr>
        <w:t>必须是在中国社会组织公共服务平台查询到的组织方为有效（附网页截图：网址 https://chinanpo.mca.gov.cn/）</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获奖只计算承建单位，不含参建单位；时间以证书颁发时间为准；不满足上述情况的或未按要求提供证明材料的不得分。</w:t>
      </w:r>
    </w:p>
    <w:p>
      <w:pPr>
        <w:ind w:firstLine="360" w:firstLineChars="200"/>
        <w:rPr>
          <w:rFonts w:hint="eastAsia" w:ascii="宋体" w:hAnsi="宋体" w:cs="宋体"/>
          <w:color w:val="auto"/>
          <w:sz w:val="18"/>
          <w:szCs w:val="18"/>
          <w:highlight w:val="none"/>
        </w:rPr>
      </w:pPr>
      <w:r>
        <w:rPr>
          <w:rFonts w:hint="eastAsia" w:ascii="宋体" w:hAnsi="宋体" w:eastAsia="宋体" w:cs="宋体"/>
          <w:color w:val="auto"/>
          <w:kern w:val="0"/>
          <w:sz w:val="18"/>
          <w:szCs w:val="18"/>
          <w:highlight w:val="none"/>
          <w:lang w:val="en-US" w:eastAsia="zh-CN"/>
        </w:rPr>
        <w:t>四、</w:t>
      </w:r>
      <w:r>
        <w:rPr>
          <w:rFonts w:hint="eastAsia" w:ascii="宋体" w:hAnsi="宋体" w:eastAsia="宋体" w:cs="宋体"/>
          <w:color w:val="auto"/>
          <w:kern w:val="0"/>
          <w:sz w:val="18"/>
          <w:szCs w:val="18"/>
          <w:highlight w:val="none"/>
          <w:lang w:val="en-US" w:eastAsia="zh-CN"/>
        </w:rPr>
        <w:t>第三方评价</w:t>
      </w:r>
      <w:r>
        <w:rPr>
          <w:rFonts w:hint="eastAsia" w:ascii="宋体" w:hAnsi="宋体" w:cs="宋体"/>
          <w:color w:val="auto"/>
          <w:kern w:val="0"/>
          <w:sz w:val="18"/>
          <w:szCs w:val="18"/>
          <w:highlight w:val="none"/>
          <w:lang w:val="en-US" w:eastAsia="zh-CN"/>
        </w:rPr>
        <w:t>：证书需同时提供证书扫描件、“全国认证认可信息公告服务平台”此网址（http://cx.cnca.cn/CertECloud/index/index/page）查询截图，</w:t>
      </w:r>
      <w:r>
        <w:rPr>
          <w:rFonts w:hint="eastAsia" w:ascii="宋体" w:hAnsi="宋体" w:eastAsia="宋体" w:cs="宋体"/>
          <w:color w:val="auto"/>
          <w:kern w:val="0"/>
          <w:sz w:val="18"/>
          <w:szCs w:val="18"/>
          <w:highlight w:val="none"/>
        </w:rPr>
        <w:t>。</w:t>
      </w:r>
      <w:r>
        <w:rPr>
          <w:rFonts w:hint="eastAsia" w:ascii="宋体" w:hAnsi="宋体" w:cs="宋体"/>
          <w:color w:val="auto"/>
          <w:kern w:val="0"/>
          <w:sz w:val="18"/>
          <w:szCs w:val="18"/>
          <w:highlight w:val="none"/>
        </w:rPr>
        <w:t>不满足上述情况的或未按要求提供证明材料的不得分。</w:t>
      </w:r>
    </w:p>
    <w:p>
      <w:pPr>
        <w:ind w:firstLine="360" w:firstLineChars="200"/>
        <w:rPr>
          <w:color w:val="auto"/>
          <w:highlight w:val="none"/>
          <w:lang w:val="zh-CN"/>
        </w:rPr>
      </w:pPr>
      <w:r>
        <w:rPr>
          <w:rFonts w:hint="eastAsia" w:ascii="宋体" w:hAnsi="宋体" w:cs="宋体"/>
          <w:color w:val="auto"/>
          <w:sz w:val="18"/>
          <w:szCs w:val="18"/>
          <w:highlight w:val="none"/>
          <w:lang w:val="en-US" w:eastAsia="zh-CN"/>
        </w:rPr>
        <w:t>五</w:t>
      </w:r>
      <w:r>
        <w:rPr>
          <w:rFonts w:hint="eastAsia" w:ascii="宋体" w:hAnsi="宋体" w:cs="宋体"/>
          <w:color w:val="auto"/>
          <w:sz w:val="18"/>
          <w:szCs w:val="18"/>
          <w:highlight w:val="none"/>
        </w:rPr>
        <w:t>、工程研发能力：（1）提供相关工法证书扫描件、科学技术成果鉴定报告复印件及网页截图，时间以证书颁发时间为准；不满足上述情况的或未按要求提供证明材料的不得分。不满足上述情况的或未按要求提供证明材料的不得分。</w:t>
      </w:r>
    </w:p>
    <w:p>
      <w:pPr>
        <w:rPr>
          <w:rFonts w:ascii="宋体" w:hAnsi="宋体" w:cs="宋体"/>
          <w:color w:val="auto"/>
          <w:sz w:val="18"/>
          <w:szCs w:val="18"/>
          <w:highlight w:val="none"/>
        </w:rPr>
      </w:pPr>
      <w:r>
        <w:rPr>
          <w:rFonts w:hint="eastAsia"/>
          <w:color w:val="auto"/>
          <w:szCs w:val="21"/>
          <w:highlight w:val="none"/>
        </w:rPr>
        <w:t xml:space="preserve">   </w:t>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六</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财务指标：负债率（三个年度年平均）横向对比方法为：负债率越低，排名越靠前，若排名相同则占用下一名次(如：第一名的投标人有N个，则该N个投标人并列为第一名，下一名按第N+1名计算，依此类推)。</w:t>
      </w:r>
      <w:r>
        <w:rPr>
          <w:rFonts w:hint="eastAsia" w:ascii="宋体" w:hAnsi="宋体" w:cs="宋体"/>
          <w:color w:val="auto"/>
          <w:sz w:val="18"/>
          <w:szCs w:val="18"/>
          <w:highlight w:val="none"/>
          <w:lang w:val="zh-CN"/>
        </w:rPr>
        <w:t>依据根据提供完整的近三年（20</w:t>
      </w:r>
      <w:r>
        <w:rPr>
          <w:rFonts w:hint="eastAsia" w:ascii="宋体" w:hAnsi="宋体" w:cs="宋体"/>
          <w:color w:val="auto"/>
          <w:sz w:val="18"/>
          <w:szCs w:val="18"/>
          <w:highlight w:val="none"/>
        </w:rPr>
        <w:t>20</w:t>
      </w:r>
      <w:r>
        <w:rPr>
          <w:rFonts w:hint="eastAsia" w:ascii="宋体" w:hAnsi="宋体" w:cs="宋体"/>
          <w:color w:val="auto"/>
          <w:sz w:val="18"/>
          <w:szCs w:val="18"/>
          <w:highlight w:val="none"/>
          <w:lang w:val="zh-CN"/>
        </w:rPr>
        <w:t>至202</w:t>
      </w:r>
      <w:r>
        <w:rPr>
          <w:rFonts w:hint="eastAsia" w:ascii="宋体" w:hAnsi="宋体" w:cs="宋体"/>
          <w:color w:val="auto"/>
          <w:sz w:val="18"/>
          <w:szCs w:val="18"/>
          <w:highlight w:val="none"/>
        </w:rPr>
        <w:t>2</w:t>
      </w:r>
      <w:r>
        <w:rPr>
          <w:rFonts w:hint="eastAsia" w:ascii="宋体" w:hAnsi="宋体" w:cs="宋体"/>
          <w:color w:val="auto"/>
          <w:sz w:val="18"/>
          <w:szCs w:val="18"/>
          <w:highlight w:val="none"/>
          <w:lang w:val="zh-CN"/>
        </w:rPr>
        <w:t>年）经会计事务所审计的审计报告及附表（包括资产负债表、利润表、现金流量表、财务报表附注）扫描件。如年度审计报告未经会计事务所审计或不符合上述情况的，则以0分计；资产负债率计算公式：资产负债率X=期（年）末负债总额/期（年）末资产总额×100%，</w:t>
      </w:r>
      <w:r>
        <w:rPr>
          <w:rFonts w:hint="eastAsia" w:ascii="宋体" w:hAnsi="宋体" w:cs="宋体"/>
          <w:color w:val="auto"/>
          <w:sz w:val="18"/>
          <w:szCs w:val="18"/>
          <w:highlight w:val="none"/>
        </w:rPr>
        <w:t>平均资产负债率=2020、2021、2022年度资产负债率总和/计算年数</w:t>
      </w:r>
      <w:r>
        <w:rPr>
          <w:rFonts w:hint="eastAsia" w:ascii="宋体" w:hAnsi="宋体" w:cs="宋体"/>
          <w:b/>
          <w:bCs/>
          <w:color w:val="auto"/>
          <w:sz w:val="18"/>
          <w:szCs w:val="18"/>
          <w:highlight w:val="none"/>
        </w:rPr>
        <w:t>（</w:t>
      </w:r>
      <w:r>
        <w:rPr>
          <w:rFonts w:hint="eastAsia" w:ascii="宋体" w:hAnsi="宋体" w:cs="宋体"/>
          <w:b/>
          <w:bCs/>
          <w:color w:val="auto"/>
          <w:sz w:val="18"/>
          <w:szCs w:val="18"/>
          <w:highlight w:val="none"/>
          <w:lang w:val="zh-TW"/>
        </w:rPr>
        <w:t>投标人成立不足三年按其所有年度平均计算）。</w:t>
      </w:r>
      <w:r>
        <w:rPr>
          <w:rFonts w:hint="eastAsia" w:ascii="宋体" w:hAnsi="宋体" w:cs="宋体"/>
          <w:b/>
          <w:bCs/>
          <w:color w:val="auto"/>
          <w:sz w:val="18"/>
          <w:szCs w:val="18"/>
          <w:highlight w:val="none"/>
        </w:rPr>
        <w:t>负债率保留小数点后2位有效数字。</w:t>
      </w:r>
      <w:r>
        <w:rPr>
          <w:rFonts w:hint="eastAsia" w:ascii="宋体" w:hAnsi="宋体" w:cs="宋体"/>
          <w:color w:val="auto"/>
          <w:sz w:val="18"/>
          <w:szCs w:val="18"/>
          <w:highlight w:val="none"/>
        </w:rPr>
        <w:t>不满足上述情况的或未按要求提供证明材料的不得分</w:t>
      </w:r>
      <w:r>
        <w:rPr>
          <w:rFonts w:hint="eastAsia" w:ascii="宋体" w:hAnsi="宋体" w:cs="宋体"/>
          <w:color w:val="auto"/>
          <w:sz w:val="18"/>
          <w:szCs w:val="18"/>
          <w:highlight w:val="none"/>
          <w:lang w:val="zh-CN"/>
        </w:rPr>
        <w:t>。</w:t>
      </w:r>
    </w:p>
    <w:p>
      <w:pPr>
        <w:rPr>
          <w:color w:val="auto"/>
          <w:sz w:val="28"/>
          <w:szCs w:val="28"/>
          <w:highlight w:val="none"/>
        </w:rPr>
        <w:sectPr>
          <w:pgSz w:w="11906" w:h="16838"/>
          <w:pgMar w:top="2098" w:right="1446" w:bottom="1984" w:left="1446" w:header="851" w:footer="1446" w:gutter="0"/>
          <w:cols w:space="0" w:num="1"/>
          <w:titlePg/>
          <w:docGrid w:linePitch="312" w:charSpace="0"/>
        </w:sectPr>
      </w:pPr>
    </w:p>
    <w:p>
      <w:pPr>
        <w:spacing w:line="336" w:lineRule="auto"/>
        <w:rPr>
          <w:color w:val="auto"/>
          <w:sz w:val="28"/>
          <w:szCs w:val="28"/>
          <w:highlight w:val="none"/>
        </w:rPr>
      </w:pPr>
      <w:bookmarkStart w:id="1096" w:name="_Toc20631"/>
      <w:r>
        <w:rPr>
          <w:rFonts w:hint="eastAsia"/>
          <w:color w:val="auto"/>
          <w:sz w:val="28"/>
          <w:szCs w:val="28"/>
          <w:highlight w:val="none"/>
        </w:rPr>
        <w:t>1. 评标方法</w:t>
      </w:r>
      <w:bookmarkEnd w:id="1089"/>
      <w:bookmarkEnd w:id="1090"/>
      <w:bookmarkEnd w:id="1091"/>
      <w:bookmarkEnd w:id="1092"/>
      <w:bookmarkEnd w:id="1093"/>
      <w:bookmarkEnd w:id="1094"/>
      <w:bookmarkEnd w:id="1095"/>
      <w:bookmarkEnd w:id="1096"/>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本次评标采用综合评分法。评标委员会对满足招标文件实质性要求的投标文件，按照本章第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款规定的评分标准进行打分，并按得分由高到低顺序推荐中标候选人，或根据招标人授权直接确定中标人，但投标报价低于其成本的除外。综合评分相等时，以投标报价低的优先；投标报价也相等的，以综合信用评价分数较高的排前；总得分、报价与综合信用评价分数均相同的投标文件，以施工组织设计分数较高的排前；如仍存在相同情况，则对具有相同情况的投标人，由评委通过记名投票表决（不得弃权），以“少数服从多数”的原则确定排序。</w:t>
      </w:r>
    </w:p>
    <w:p>
      <w:pPr>
        <w:pStyle w:val="4"/>
        <w:keepNext w:val="0"/>
        <w:keepLines w:val="0"/>
        <w:spacing w:line="336" w:lineRule="auto"/>
        <w:rPr>
          <w:b w:val="0"/>
          <w:bCs w:val="0"/>
          <w:color w:val="auto"/>
          <w:sz w:val="28"/>
          <w:szCs w:val="28"/>
          <w:highlight w:val="none"/>
        </w:rPr>
      </w:pPr>
      <w:bookmarkStart w:id="1097" w:name="_Toc18975"/>
      <w:bookmarkStart w:id="1098" w:name="_Toc12943"/>
      <w:bookmarkStart w:id="1099" w:name="_Toc1168"/>
      <w:bookmarkStart w:id="1100" w:name="_Toc32119"/>
      <w:bookmarkStart w:id="1101" w:name="_Toc1642042760"/>
      <w:bookmarkStart w:id="1102" w:name="_Toc26262"/>
      <w:bookmarkStart w:id="1103" w:name="_Toc24389"/>
      <w:bookmarkStart w:id="1104" w:name="_Toc918878273"/>
      <w:r>
        <w:rPr>
          <w:rFonts w:hint="eastAsia" w:ascii="Times New Roman" w:hAnsi="Times New Roman"/>
          <w:b w:val="0"/>
          <w:bCs w:val="0"/>
          <w:color w:val="auto"/>
          <w:sz w:val="28"/>
          <w:szCs w:val="28"/>
          <w:highlight w:val="none"/>
        </w:rPr>
        <w:t>2</w:t>
      </w:r>
      <w:r>
        <w:rPr>
          <w:rFonts w:hint="eastAsia"/>
          <w:b w:val="0"/>
          <w:bCs w:val="0"/>
          <w:color w:val="auto"/>
          <w:sz w:val="28"/>
          <w:szCs w:val="28"/>
          <w:highlight w:val="none"/>
        </w:rPr>
        <w:t>. 评审标准</w:t>
      </w:r>
      <w:bookmarkEnd w:id="1097"/>
      <w:bookmarkEnd w:id="1098"/>
      <w:bookmarkEnd w:id="1099"/>
      <w:bookmarkEnd w:id="1100"/>
      <w:bookmarkEnd w:id="1101"/>
      <w:bookmarkEnd w:id="1102"/>
      <w:bookmarkEnd w:id="1103"/>
      <w:bookmarkEnd w:id="1104"/>
    </w:p>
    <w:p>
      <w:pPr>
        <w:pStyle w:val="38"/>
        <w:keepNext w:val="0"/>
        <w:keepLines w:val="0"/>
        <w:spacing w:line="336" w:lineRule="auto"/>
        <w:outlineLvl w:val="9"/>
        <w:rPr>
          <w:color w:val="auto"/>
          <w:sz w:val="24"/>
          <w:szCs w:val="24"/>
          <w:highlight w:val="none"/>
        </w:rPr>
      </w:pPr>
      <w:bookmarkStart w:id="1105" w:name="_Toc959480464"/>
      <w:bookmarkStart w:id="1106" w:name="_Toc15755"/>
      <w:bookmarkStart w:id="1107" w:name="_Toc109149847"/>
      <w:bookmarkStart w:id="1108" w:name="_Toc22764"/>
      <w:bookmarkStart w:id="1109" w:name="_Toc31443"/>
      <w:bookmarkStart w:id="1110" w:name="_Toc25065"/>
      <w:bookmarkStart w:id="1111" w:name="_Toc881941118"/>
      <w:bookmarkStart w:id="1112" w:name="_Toc11043"/>
      <w:bookmarkStart w:id="1113" w:name="_Toc20127"/>
      <w:r>
        <w:rPr>
          <w:rFonts w:hint="eastAsia"/>
          <w:color w:val="auto"/>
          <w:sz w:val="24"/>
          <w:szCs w:val="24"/>
          <w:highlight w:val="none"/>
        </w:rPr>
        <w:t>2.2 分值构成与评分标准</w:t>
      </w:r>
      <w:bookmarkEnd w:id="1105"/>
      <w:bookmarkEnd w:id="1106"/>
      <w:bookmarkEnd w:id="1107"/>
      <w:bookmarkEnd w:id="1108"/>
      <w:bookmarkEnd w:id="1109"/>
      <w:bookmarkEnd w:id="1110"/>
      <w:bookmarkEnd w:id="1111"/>
      <w:bookmarkEnd w:id="1112"/>
      <w:bookmarkEnd w:id="1113"/>
    </w:p>
    <w:p>
      <w:pPr>
        <w:spacing w:line="336" w:lineRule="auto"/>
        <w:ind w:firstLine="525" w:firstLineChars="25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 xml:space="preserve"> 分值构成</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）投标报价：</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通过初步评审且不高于最高投标限价的投标报价为有效投标报价。非竞争性费用需与招标人发布的金额一致，不一致的投标报价无效。投标报价不得低于成本价，否则投标报价为无效投标报价。成本警示价见第二章投标人须知前附表第</w:t>
      </w: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项。对低于该成本警示价的投标报价，投标人必须提供详细的施工组织设计、单价、措施性费用、单价分析表、主要材料价格表、投标人成本分析供评标委员会评审，由评标委员会判定其是否低于企业自身成本，投标人未在投标文件中提供相关材料或者不能合理说明的，由评标委员会认定该投标人以低于成本报价竞标，应当否决其投标；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）施工组织设计：见评标办法前附表；</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）项目管理机构及其他：见评标办法前附表。</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）综合信用评价：见评标办法前附表。</w:t>
      </w:r>
    </w:p>
    <w:p>
      <w:pPr>
        <w:spacing w:line="336" w:lineRule="auto"/>
        <w:ind w:firstLine="525" w:firstLineChars="25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评标基准价计算：</w:t>
      </w:r>
    </w:p>
    <w:p>
      <w:pPr>
        <w:spacing w:line="336" w:lineRule="auto"/>
        <w:ind w:firstLine="525" w:firstLineChars="250"/>
        <w:rPr>
          <w:rFonts w:ascii="宋体" w:hAnsi="宋体" w:cs="宋体"/>
          <w:color w:val="auto"/>
          <w:highlight w:val="none"/>
        </w:rPr>
      </w:pPr>
      <w:r>
        <w:rPr>
          <w:rFonts w:hint="eastAsia" w:ascii="宋体" w:hAnsi="宋体" w:cs="宋体"/>
          <w:color w:val="auto"/>
          <w:highlight w:val="none"/>
        </w:rPr>
        <w:t>评标基准价可按以下方式确定：（注：招标人自行选择，两选一）</w:t>
      </w:r>
    </w:p>
    <w:p>
      <w:pPr>
        <w:spacing w:line="336" w:lineRule="auto"/>
        <w:ind w:firstLine="525" w:firstLineChars="250"/>
        <w:rPr>
          <w:rFonts w:ascii="宋体" w:hAnsi="宋体" w:cs="宋体"/>
          <w:color w:val="auto"/>
          <w:highlight w:val="none"/>
        </w:rPr>
      </w:pPr>
      <w:r>
        <w:rPr>
          <w:rFonts w:hint="eastAsia" w:ascii="宋体" w:hAnsi="宋体" w:cs="宋体"/>
          <w:color w:val="auto"/>
          <w:highlight w:val="none"/>
        </w:rPr>
        <w:t>可选方式一：以全部或随机抽取的有效投标报价的算术平均值按随机抽取的评标基准价下浮率（</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0</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一个级别）下浮作为评标基准价。具体确定方法如下：</w:t>
      </w:r>
    </w:p>
    <w:p>
      <w:pPr>
        <w:spacing w:line="336" w:lineRule="auto"/>
        <w:ind w:firstLine="525" w:firstLineChars="250"/>
        <w:rPr>
          <w:rFonts w:ascii="宋体" w:hAnsi="宋体" w:cs="宋体"/>
          <w:color w:val="auto"/>
          <w:highlight w:val="none"/>
        </w:rPr>
      </w:pPr>
      <w:r>
        <w:rPr>
          <w:rFonts w:hint="eastAsia" w:cs="宋体"/>
          <w:color w:val="auto"/>
          <w:highlight w:val="none"/>
        </w:rPr>
        <w:t>a</w:t>
      </w:r>
      <w:r>
        <w:rPr>
          <w:rFonts w:hint="eastAsia" w:ascii="宋体" w:hAnsi="宋体" w:cs="宋体"/>
          <w:color w:val="auto"/>
          <w:highlight w:val="none"/>
        </w:rPr>
        <w:t>、当有效投标报价的投标人少于或等于</w:t>
      </w:r>
      <w:r>
        <w:rPr>
          <w:rFonts w:hint="eastAsia" w:cs="宋体"/>
          <w:color w:val="auto"/>
          <w:highlight w:val="none"/>
        </w:rPr>
        <w:t>5</w:t>
      </w:r>
      <w:r>
        <w:rPr>
          <w:rFonts w:hint="eastAsia" w:ascii="宋体" w:hAnsi="宋体" w:cs="宋体"/>
          <w:color w:val="auto"/>
          <w:highlight w:val="none"/>
        </w:rPr>
        <w:t>个时，取全部有效投标报价的算术平均按随机抽取的评标基准价下浮率（</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0</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一个级别）下浮作为评标基准价。</w:t>
      </w:r>
    </w:p>
    <w:p>
      <w:pPr>
        <w:spacing w:line="336" w:lineRule="auto"/>
        <w:ind w:firstLine="525" w:firstLineChars="250"/>
        <w:rPr>
          <w:rFonts w:ascii="宋体" w:hAnsi="宋体" w:cs="宋体"/>
          <w:color w:val="auto"/>
          <w:highlight w:val="none"/>
        </w:rPr>
      </w:pPr>
      <w:r>
        <w:rPr>
          <w:rFonts w:hint="eastAsia" w:cs="宋体"/>
          <w:color w:val="auto"/>
          <w:highlight w:val="none"/>
        </w:rPr>
        <w:t>b</w:t>
      </w:r>
      <w:r>
        <w:rPr>
          <w:rFonts w:hint="eastAsia" w:ascii="宋体" w:hAnsi="宋体" w:cs="宋体"/>
          <w:color w:val="auto"/>
          <w:highlight w:val="none"/>
        </w:rPr>
        <w:t>、当有效投标报价的投标人为</w:t>
      </w:r>
      <w:r>
        <w:rPr>
          <w:rFonts w:hint="eastAsia" w:cs="宋体"/>
          <w:color w:val="auto"/>
          <w:highlight w:val="none"/>
        </w:rPr>
        <w:t>6</w:t>
      </w:r>
      <w:r>
        <w:rPr>
          <w:rFonts w:hint="eastAsia" w:ascii="宋体" w:hAnsi="宋体" w:cs="宋体"/>
          <w:color w:val="auto"/>
          <w:highlight w:val="none"/>
        </w:rPr>
        <w:t>至</w:t>
      </w:r>
      <w:r>
        <w:rPr>
          <w:rFonts w:hint="eastAsia" w:cs="宋体"/>
          <w:color w:val="auto"/>
          <w:highlight w:val="none"/>
        </w:rPr>
        <w:t>10</w:t>
      </w:r>
      <w:r>
        <w:rPr>
          <w:rFonts w:hint="eastAsia" w:ascii="宋体" w:hAnsi="宋体" w:cs="宋体"/>
          <w:color w:val="auto"/>
          <w:highlight w:val="none"/>
        </w:rPr>
        <w:t>个时，从全部有效投标报价中去掉一个最大值和最小值，其他有效投标报价的算术平均值按随机抽取的评标基准价下浮率（</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0</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一个级别）下浮作为评标基准价。</w:t>
      </w:r>
    </w:p>
    <w:p>
      <w:pPr>
        <w:spacing w:line="336" w:lineRule="auto"/>
        <w:ind w:firstLine="525" w:firstLineChars="250"/>
        <w:rPr>
          <w:rFonts w:ascii="宋体" w:hAnsi="宋体" w:cs="宋体"/>
          <w:color w:val="auto"/>
          <w:highlight w:val="none"/>
        </w:rPr>
      </w:pPr>
      <w:r>
        <w:rPr>
          <w:rFonts w:hint="eastAsia" w:cs="宋体"/>
          <w:color w:val="auto"/>
          <w:highlight w:val="none"/>
        </w:rPr>
        <w:t>c</w:t>
      </w:r>
      <w:r>
        <w:rPr>
          <w:rFonts w:hint="eastAsia" w:ascii="宋体" w:hAnsi="宋体" w:cs="宋体"/>
          <w:color w:val="auto"/>
          <w:highlight w:val="none"/>
        </w:rPr>
        <w:t>、当有效投标报价的投标人大于</w:t>
      </w:r>
      <w:r>
        <w:rPr>
          <w:rFonts w:hint="eastAsia" w:cs="宋体"/>
          <w:color w:val="auto"/>
          <w:highlight w:val="none"/>
        </w:rPr>
        <w:t>10</w:t>
      </w:r>
      <w:r>
        <w:rPr>
          <w:rFonts w:hint="eastAsia" w:ascii="宋体" w:hAnsi="宋体" w:cs="宋体"/>
          <w:color w:val="auto"/>
          <w:highlight w:val="none"/>
        </w:rPr>
        <w:t>个时，随机抽取</w:t>
      </w:r>
      <w:r>
        <w:rPr>
          <w:rFonts w:hint="eastAsia" w:cs="宋体"/>
          <w:color w:val="auto"/>
          <w:highlight w:val="none"/>
        </w:rPr>
        <w:t>10</w:t>
      </w:r>
      <w:r>
        <w:rPr>
          <w:rFonts w:hint="eastAsia" w:ascii="宋体" w:hAnsi="宋体" w:cs="宋体"/>
          <w:color w:val="auto"/>
          <w:highlight w:val="none"/>
        </w:rPr>
        <w:t>个有效投标报价并从中去掉一个最大值和最小值后计算算术平均值，该平均值按随机抽取的评标基准价下浮率（</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0</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一个级别）下浮作为评标基准价。</w:t>
      </w:r>
    </w:p>
    <w:p>
      <w:pPr>
        <w:spacing w:line="336" w:lineRule="auto"/>
        <w:ind w:firstLine="525" w:firstLineChars="250"/>
        <w:rPr>
          <w:rFonts w:ascii="宋体" w:hAnsi="宋体" w:cs="宋体"/>
          <w:color w:val="auto"/>
          <w:highlight w:val="none"/>
        </w:rPr>
      </w:pPr>
      <w:r>
        <w:rPr>
          <w:rFonts w:hint="eastAsia" w:ascii="宋体" w:hAnsi="宋体" w:cs="宋体"/>
          <w:color w:val="auto"/>
          <w:highlight w:val="none"/>
        </w:rPr>
        <w:t>在首次评标过程中，投标人未被发现存在串通投标、弄虚作假、行贿等情形的，无论是否重评，经确定的评标基准价不变。</w:t>
      </w:r>
    </w:p>
    <w:p>
      <w:pPr>
        <w:spacing w:line="336" w:lineRule="auto"/>
        <w:ind w:firstLine="525" w:firstLineChars="250"/>
        <w:rPr>
          <w:rFonts w:ascii="宋体" w:hAnsi="宋体" w:cs="宋体"/>
          <w:color w:val="auto"/>
          <w:highlight w:val="none"/>
        </w:rPr>
      </w:pPr>
      <w:r>
        <w:rPr>
          <w:rFonts w:hint="eastAsia" w:ascii="宋体" w:hAnsi="宋体" w:cs="宋体"/>
          <w:color w:val="auto"/>
          <w:highlight w:val="none"/>
        </w:rPr>
        <w:t>可选方式二：以有效投标报价的算术平均值按随机抽取的评标基准价下浮率（</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0</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一个级别）下浮作为评标基准价。</w:t>
      </w:r>
    </w:p>
    <w:p>
      <w:pPr>
        <w:spacing w:line="336" w:lineRule="auto"/>
        <w:ind w:firstLine="525" w:firstLineChars="250"/>
        <w:rPr>
          <w:rFonts w:ascii="宋体" w:hAnsi="宋体" w:cs="宋体"/>
          <w:color w:val="auto"/>
          <w:highlight w:val="none"/>
        </w:rPr>
      </w:pPr>
      <w:r>
        <w:rPr>
          <w:rFonts w:hint="eastAsia" w:ascii="宋体" w:hAnsi="宋体" w:cs="宋体"/>
          <w:color w:val="auto"/>
          <w:highlight w:val="none"/>
        </w:rPr>
        <w:t>在首次评标过程中，投标人未被发现存在串通投标、弄虚作假、行贿等情形的，无论是否重评，经确定的评标基准价不变。</w:t>
      </w:r>
    </w:p>
    <w:p>
      <w:pPr>
        <w:spacing w:line="336" w:lineRule="auto"/>
        <w:ind w:firstLine="525" w:firstLineChars="25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投标报价的偏差率计算方法：见评标办法前附表。</w:t>
      </w:r>
    </w:p>
    <w:p>
      <w:pPr>
        <w:spacing w:line="336" w:lineRule="auto"/>
        <w:ind w:firstLine="525" w:firstLineChars="250"/>
        <w:rPr>
          <w:rFonts w:ascii="宋体" w:hAnsi="宋体" w:cs="宋体"/>
          <w:color w:val="auto"/>
          <w:highlight w:val="none"/>
        </w:rPr>
      </w:pP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评分标准</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）投标报价：见评标办法前附表；</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）施工组织设计：见评标办法前附表；</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）项目管理机构及其他：见评标办法前附表。</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）综合信用评价：见评标办法前附表。</w:t>
      </w:r>
    </w:p>
    <w:p>
      <w:pPr>
        <w:pStyle w:val="4"/>
        <w:keepNext w:val="0"/>
        <w:keepLines w:val="0"/>
        <w:spacing w:line="336" w:lineRule="auto"/>
        <w:rPr>
          <w:b w:val="0"/>
          <w:bCs w:val="0"/>
          <w:color w:val="auto"/>
          <w:sz w:val="28"/>
          <w:szCs w:val="28"/>
          <w:highlight w:val="none"/>
        </w:rPr>
      </w:pPr>
      <w:bookmarkStart w:id="1114" w:name="_Toc14088"/>
      <w:bookmarkStart w:id="1115" w:name="_Toc1491223086"/>
      <w:bookmarkStart w:id="1116" w:name="_Toc4674"/>
      <w:bookmarkStart w:id="1117" w:name="_Toc28729"/>
      <w:bookmarkStart w:id="1118" w:name="_Toc17726"/>
      <w:bookmarkStart w:id="1119" w:name="_Toc1415965070"/>
      <w:bookmarkStart w:id="1120" w:name="_Toc21219"/>
      <w:bookmarkStart w:id="1121" w:name="_Toc9094"/>
      <w:r>
        <w:rPr>
          <w:rFonts w:hint="eastAsia" w:ascii="Times New Roman" w:hAnsi="Times New Roman"/>
          <w:b w:val="0"/>
          <w:bCs w:val="0"/>
          <w:color w:val="auto"/>
          <w:sz w:val="28"/>
          <w:szCs w:val="28"/>
          <w:highlight w:val="none"/>
        </w:rPr>
        <w:t>3</w:t>
      </w:r>
      <w:r>
        <w:rPr>
          <w:rFonts w:hint="eastAsia"/>
          <w:b w:val="0"/>
          <w:bCs w:val="0"/>
          <w:color w:val="auto"/>
          <w:sz w:val="28"/>
          <w:szCs w:val="28"/>
          <w:highlight w:val="none"/>
        </w:rPr>
        <w:t>. 评标程序</w:t>
      </w:r>
      <w:bookmarkEnd w:id="1114"/>
      <w:bookmarkEnd w:id="1115"/>
      <w:bookmarkEnd w:id="1116"/>
      <w:bookmarkEnd w:id="1117"/>
      <w:bookmarkEnd w:id="1118"/>
      <w:bookmarkEnd w:id="1119"/>
      <w:bookmarkEnd w:id="1120"/>
      <w:bookmarkEnd w:id="1121"/>
    </w:p>
    <w:p>
      <w:pPr>
        <w:pStyle w:val="38"/>
        <w:keepNext w:val="0"/>
        <w:keepLines w:val="0"/>
        <w:spacing w:line="336" w:lineRule="auto"/>
        <w:outlineLvl w:val="9"/>
        <w:rPr>
          <w:color w:val="auto"/>
          <w:sz w:val="24"/>
          <w:szCs w:val="24"/>
          <w:highlight w:val="none"/>
        </w:rPr>
      </w:pPr>
      <w:bookmarkStart w:id="1122" w:name="_Toc30719"/>
      <w:bookmarkStart w:id="1123" w:name="_Toc27234"/>
      <w:bookmarkStart w:id="1124" w:name="_Toc28262"/>
      <w:bookmarkStart w:id="1125" w:name="_Toc24806"/>
      <w:bookmarkStart w:id="1126" w:name="_Toc14870"/>
      <w:bookmarkStart w:id="1127" w:name="_Toc959837347"/>
      <w:bookmarkStart w:id="1128" w:name="_Toc1343540152"/>
      <w:bookmarkStart w:id="1129" w:name="_Toc28772"/>
      <w:bookmarkStart w:id="1130" w:name="_Toc109149849"/>
      <w:r>
        <w:rPr>
          <w:rFonts w:hint="eastAsia"/>
          <w:color w:val="auto"/>
          <w:sz w:val="24"/>
          <w:szCs w:val="24"/>
          <w:highlight w:val="none"/>
        </w:rPr>
        <w:t>3.1 初步评审</w:t>
      </w:r>
      <w:bookmarkEnd w:id="1122"/>
      <w:bookmarkEnd w:id="1123"/>
      <w:bookmarkEnd w:id="1124"/>
      <w:bookmarkEnd w:id="1125"/>
      <w:bookmarkEnd w:id="1126"/>
      <w:bookmarkEnd w:id="1127"/>
      <w:bookmarkEnd w:id="1128"/>
      <w:bookmarkEnd w:id="1129"/>
      <w:bookmarkEnd w:id="1130"/>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 xml:space="preserve"> 评标委员会可以要求投标人提交第二章“投标人须知”第</w:t>
      </w: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项规定的有关证明和证件的原件，以便核验。评标委员会依据本章第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款规定的标准对投标文件进行初步评审。有一项不符合评审标准的，其投标被否决。</w:t>
      </w:r>
    </w:p>
    <w:p>
      <w:pPr>
        <w:spacing w:line="336" w:lineRule="auto"/>
        <w:ind w:firstLine="420" w:firstLineChars="200"/>
        <w:rPr>
          <w:color w:val="auto"/>
          <w:highlight w:val="none"/>
        </w:rPr>
      </w:pPr>
      <w:r>
        <w:rPr>
          <w:rFonts w:hint="eastAsia"/>
          <w:color w:val="auto"/>
          <w:highlight w:val="none"/>
        </w:rPr>
        <w:t>3.1.2 投标人有以下情形之一的，评标委员会应当否决其投标：</w:t>
      </w:r>
    </w:p>
    <w:p>
      <w:pPr>
        <w:spacing w:line="336" w:lineRule="auto"/>
        <w:ind w:firstLine="718" w:firstLineChars="342"/>
        <w:rPr>
          <w:color w:val="auto"/>
          <w:highlight w:val="none"/>
        </w:rPr>
      </w:pPr>
      <w:r>
        <w:rPr>
          <w:rFonts w:hint="eastAsia"/>
          <w:color w:val="auto"/>
          <w:highlight w:val="none"/>
        </w:rPr>
        <w:t>（1）不按评标委员会要求澄清、说明或补正的；</w:t>
      </w:r>
    </w:p>
    <w:p>
      <w:pPr>
        <w:spacing w:line="336" w:lineRule="auto"/>
        <w:ind w:firstLine="718" w:firstLineChars="342"/>
        <w:rPr>
          <w:color w:val="auto"/>
          <w:highlight w:val="none"/>
        </w:rPr>
      </w:pPr>
      <w:r>
        <w:rPr>
          <w:rFonts w:hint="eastAsia"/>
          <w:color w:val="auto"/>
          <w:highlight w:val="none"/>
        </w:rPr>
        <w:t>（2）有串通投标、弄虚作假、行贿或有其他违法行为的。</w:t>
      </w:r>
    </w:p>
    <w:p>
      <w:pPr>
        <w:spacing w:line="336" w:lineRule="auto"/>
        <w:ind w:firstLine="945" w:firstLineChars="450"/>
        <w:rPr>
          <w:color w:val="auto"/>
          <w:highlight w:val="none"/>
        </w:rPr>
      </w:pPr>
      <w:r>
        <w:rPr>
          <w:rFonts w:hint="eastAsia"/>
          <w:color w:val="auto"/>
          <w:highlight w:val="none"/>
        </w:rPr>
        <w:t>1）有下列情形之一的，视为投标人相互串通投标：</w:t>
      </w:r>
    </w:p>
    <w:p>
      <w:pPr>
        <w:spacing w:line="336" w:lineRule="auto"/>
        <w:ind w:firstLine="1003" w:firstLineChars="478"/>
        <w:rPr>
          <w:color w:val="auto"/>
          <w:highlight w:val="none"/>
        </w:rPr>
      </w:pPr>
      <w:r>
        <w:rPr>
          <w:rFonts w:hint="eastAsia"/>
          <w:color w:val="auto"/>
          <w:highlight w:val="none"/>
        </w:rPr>
        <w:t>① 不同投标人的投标文件由同一单位或者个人编制；</w:t>
      </w:r>
    </w:p>
    <w:p>
      <w:pPr>
        <w:spacing w:line="336" w:lineRule="auto"/>
        <w:ind w:firstLine="1003" w:firstLineChars="478"/>
        <w:rPr>
          <w:color w:val="auto"/>
          <w:highlight w:val="none"/>
        </w:rPr>
      </w:pPr>
      <w:r>
        <w:rPr>
          <w:rFonts w:hint="eastAsia"/>
          <w:color w:val="auto"/>
          <w:highlight w:val="none"/>
        </w:rPr>
        <w:t>② 不同投标人委托同一单位或者个人办理投标事宜；</w:t>
      </w:r>
    </w:p>
    <w:p>
      <w:pPr>
        <w:spacing w:line="336" w:lineRule="auto"/>
        <w:ind w:firstLine="1003" w:firstLineChars="478"/>
        <w:rPr>
          <w:color w:val="auto"/>
          <w:highlight w:val="none"/>
        </w:rPr>
      </w:pPr>
      <w:r>
        <w:rPr>
          <w:rFonts w:hint="eastAsia"/>
          <w:color w:val="auto"/>
          <w:highlight w:val="none"/>
        </w:rPr>
        <w:t>③ 不同投标人的投标文件载明的项目管理成员为同一人；</w:t>
      </w:r>
    </w:p>
    <w:p>
      <w:pPr>
        <w:spacing w:line="336" w:lineRule="auto"/>
        <w:ind w:firstLine="1003" w:firstLineChars="478"/>
        <w:rPr>
          <w:color w:val="auto"/>
          <w:highlight w:val="none"/>
        </w:rPr>
      </w:pPr>
      <w:r>
        <w:rPr>
          <w:rFonts w:hint="eastAsia"/>
          <w:color w:val="auto"/>
          <w:highlight w:val="none"/>
        </w:rPr>
        <w:t>④ 不同投标人的投标文件异常一致或者投标报价呈规律性差异；</w:t>
      </w:r>
    </w:p>
    <w:p>
      <w:pPr>
        <w:spacing w:line="336" w:lineRule="auto"/>
        <w:ind w:firstLine="1003" w:firstLineChars="478"/>
        <w:rPr>
          <w:color w:val="auto"/>
          <w:highlight w:val="none"/>
        </w:rPr>
      </w:pPr>
      <w:r>
        <w:rPr>
          <w:rFonts w:hint="eastAsia"/>
          <w:color w:val="auto"/>
          <w:highlight w:val="none"/>
        </w:rPr>
        <w:t>⑤ 不同投标人的投标文件相互混装；</w:t>
      </w:r>
    </w:p>
    <w:p>
      <w:pPr>
        <w:spacing w:line="336" w:lineRule="auto"/>
        <w:ind w:firstLine="1003" w:firstLineChars="478"/>
        <w:rPr>
          <w:color w:val="auto"/>
          <w:highlight w:val="none"/>
        </w:rPr>
      </w:pPr>
      <w:r>
        <w:rPr>
          <w:rFonts w:hint="eastAsia"/>
          <w:color w:val="auto"/>
          <w:highlight w:val="none"/>
        </w:rPr>
        <w:t>⑥ 不同投标人的投标保证金从同一单位或者个人的账户转出；</w:t>
      </w:r>
    </w:p>
    <w:p>
      <w:pPr>
        <w:spacing w:line="336" w:lineRule="auto"/>
        <w:ind w:firstLine="1003" w:firstLineChars="478"/>
        <w:rPr>
          <w:color w:val="auto"/>
          <w:highlight w:val="none"/>
        </w:rPr>
      </w:pPr>
      <w:r>
        <w:rPr>
          <w:color w:val="auto"/>
          <w:highlight w:val="none"/>
        </w:rPr>
        <w:fldChar w:fldCharType="begin"/>
      </w:r>
      <w:r>
        <w:rPr>
          <w:rFonts w:hint="eastAsia"/>
          <w:color w:val="auto"/>
          <w:highlight w:val="none"/>
        </w:rPr>
        <w:instrText xml:space="preserve">= 7 \* GB3</w:instrText>
      </w:r>
      <w:r>
        <w:rPr>
          <w:color w:val="auto"/>
          <w:highlight w:val="none"/>
        </w:rPr>
        <w:fldChar w:fldCharType="separate"/>
      </w:r>
      <w:r>
        <w:rPr>
          <w:rFonts w:hint="eastAsia"/>
          <w:color w:val="auto"/>
          <w:highlight w:val="none"/>
        </w:rPr>
        <w:t>⑦</w:t>
      </w:r>
      <w:r>
        <w:rPr>
          <w:color w:val="auto"/>
          <w:highlight w:val="none"/>
        </w:rPr>
        <w:fldChar w:fldCharType="end"/>
      </w:r>
      <w:r>
        <w:rPr>
          <w:rFonts w:hint="eastAsia"/>
          <w:color w:val="auto"/>
          <w:highlight w:val="none"/>
        </w:rPr>
        <w:t>不同投标人的投标文件存在“机器特征码”一致等情形。</w:t>
      </w:r>
    </w:p>
    <w:p>
      <w:pPr>
        <w:spacing w:line="336" w:lineRule="auto"/>
        <w:rPr>
          <w:color w:val="auto"/>
          <w:highlight w:val="none"/>
        </w:rPr>
      </w:pPr>
      <w:r>
        <w:rPr>
          <w:rFonts w:hint="eastAsia"/>
          <w:color w:val="auto"/>
          <w:highlight w:val="none"/>
        </w:rPr>
        <w:t xml:space="preserve">         2）有下列情形之一的，属于弄虚作假行为：</w:t>
      </w:r>
    </w:p>
    <w:p>
      <w:pPr>
        <w:spacing w:line="336" w:lineRule="auto"/>
        <w:ind w:firstLine="1003" w:firstLineChars="478"/>
        <w:rPr>
          <w:color w:val="auto"/>
          <w:highlight w:val="none"/>
        </w:rPr>
      </w:pPr>
      <w:r>
        <w:rPr>
          <w:rFonts w:hint="eastAsia"/>
          <w:color w:val="auto"/>
          <w:highlight w:val="none"/>
        </w:rPr>
        <w:t>① 使用通过受让或者租借等方式获取的资格、资质证书投标的，即以他人名义投标的。</w:t>
      </w:r>
    </w:p>
    <w:p>
      <w:pPr>
        <w:spacing w:line="336" w:lineRule="auto"/>
        <w:ind w:firstLine="1003" w:firstLineChars="478"/>
        <w:rPr>
          <w:color w:val="auto"/>
          <w:highlight w:val="none"/>
        </w:rPr>
      </w:pPr>
      <w:r>
        <w:rPr>
          <w:rFonts w:hint="eastAsia"/>
          <w:color w:val="auto"/>
          <w:highlight w:val="none"/>
        </w:rPr>
        <w:t>② 使用伪造、变造的许可证件；</w:t>
      </w:r>
    </w:p>
    <w:p>
      <w:pPr>
        <w:spacing w:line="336" w:lineRule="auto"/>
        <w:ind w:firstLine="1003" w:firstLineChars="478"/>
        <w:rPr>
          <w:color w:val="auto"/>
          <w:highlight w:val="none"/>
        </w:rPr>
      </w:pPr>
      <w:r>
        <w:rPr>
          <w:rFonts w:hint="eastAsia"/>
          <w:color w:val="auto"/>
          <w:highlight w:val="none"/>
        </w:rPr>
        <w:t>③ 提供虚假的财务状况或者业绩；</w:t>
      </w:r>
    </w:p>
    <w:p>
      <w:pPr>
        <w:spacing w:line="336" w:lineRule="auto"/>
        <w:ind w:firstLine="1003" w:firstLineChars="478"/>
        <w:rPr>
          <w:color w:val="auto"/>
          <w:highlight w:val="none"/>
        </w:rPr>
      </w:pPr>
      <w:r>
        <w:rPr>
          <w:rFonts w:hint="eastAsia"/>
          <w:color w:val="auto"/>
          <w:highlight w:val="none"/>
        </w:rPr>
        <w:t>④ 提供虚假的项目负责人或者主要技术人员简历、劳动关系证明；</w:t>
      </w:r>
    </w:p>
    <w:p>
      <w:pPr>
        <w:spacing w:line="336" w:lineRule="auto"/>
        <w:ind w:firstLine="1003" w:firstLineChars="478"/>
        <w:rPr>
          <w:color w:val="auto"/>
          <w:highlight w:val="none"/>
        </w:rPr>
      </w:pPr>
      <w:r>
        <w:rPr>
          <w:rFonts w:hint="eastAsia"/>
          <w:color w:val="auto"/>
          <w:highlight w:val="none"/>
        </w:rPr>
        <w:t>⑤ 提供虚假的信用状况；</w:t>
      </w:r>
    </w:p>
    <w:p>
      <w:pPr>
        <w:spacing w:line="336" w:lineRule="auto"/>
        <w:ind w:firstLine="1003" w:firstLineChars="478"/>
        <w:rPr>
          <w:color w:val="auto"/>
          <w:highlight w:val="none"/>
        </w:rPr>
      </w:pPr>
      <w:r>
        <w:rPr>
          <w:rFonts w:hint="eastAsia"/>
          <w:color w:val="auto"/>
          <w:highlight w:val="none"/>
        </w:rPr>
        <w:t>⑥ 其他弄虚作假的行为。</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投标报价有算术错误的，评标委员会按以下原则对投标报价进行修正，修正的价格经投标人书面确认后具有约束力。投标人不接受修正价格的，其投标将被否决。</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）投标文件中的大写金额与小写金额不一致的，以大写金额为准；</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）总价金额与依据单价计算出的结果不一致的，以单价金额为准修正总价，但单价金额小数点有明显错误的除外。</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被否决。</w:t>
      </w:r>
    </w:p>
    <w:p>
      <w:pPr>
        <w:spacing w:line="336" w:lineRule="auto"/>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pPr>
        <w:pStyle w:val="38"/>
        <w:keepNext w:val="0"/>
        <w:keepLines w:val="0"/>
        <w:spacing w:line="336" w:lineRule="auto"/>
        <w:outlineLvl w:val="9"/>
        <w:rPr>
          <w:color w:val="auto"/>
          <w:sz w:val="24"/>
          <w:szCs w:val="24"/>
          <w:highlight w:val="none"/>
        </w:rPr>
      </w:pPr>
      <w:bookmarkStart w:id="1131" w:name="_Toc30347"/>
      <w:bookmarkStart w:id="1132" w:name="_Toc6360"/>
      <w:bookmarkStart w:id="1133" w:name="_Toc31912"/>
      <w:bookmarkStart w:id="1134" w:name="_Toc568064337"/>
      <w:bookmarkStart w:id="1135" w:name="_Toc23753"/>
      <w:bookmarkStart w:id="1136" w:name="_Toc9961"/>
      <w:bookmarkStart w:id="1137" w:name="_Toc17126"/>
      <w:bookmarkStart w:id="1138" w:name="_Toc109149850"/>
      <w:bookmarkStart w:id="1139" w:name="_Toc213946876"/>
      <w:r>
        <w:rPr>
          <w:rFonts w:hint="eastAsia"/>
          <w:color w:val="auto"/>
          <w:sz w:val="24"/>
          <w:szCs w:val="24"/>
          <w:highlight w:val="none"/>
        </w:rPr>
        <w:t>3.2 详细评审</w:t>
      </w:r>
      <w:bookmarkEnd w:id="1131"/>
      <w:bookmarkEnd w:id="1132"/>
      <w:bookmarkEnd w:id="1133"/>
      <w:bookmarkEnd w:id="1134"/>
      <w:bookmarkEnd w:id="1135"/>
      <w:bookmarkEnd w:id="1136"/>
      <w:bookmarkEnd w:id="1137"/>
      <w:bookmarkEnd w:id="1138"/>
      <w:bookmarkEnd w:id="1139"/>
    </w:p>
    <w:p>
      <w:pPr>
        <w:spacing w:line="336" w:lineRule="auto"/>
        <w:ind w:firstLine="420" w:firstLineChars="200"/>
        <w:rPr>
          <w:color w:val="auto"/>
          <w:highlight w:val="none"/>
        </w:rPr>
      </w:pPr>
      <w:r>
        <w:rPr>
          <w:rFonts w:hint="eastAsia"/>
          <w:color w:val="auto"/>
          <w:highlight w:val="none"/>
        </w:rPr>
        <w:t>3.2.1 评标委员会对通过了初步评审的投标文件进行详细评审，评标办法前附表另有规定的除外。</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 xml:space="preserve"> 评标委员会按本章第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款规定的量化因素和分值进行打分，并计算出综合评分得分。</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）目规定的评审因素和分值对投标报价计算出得分</w:t>
      </w:r>
      <w:r>
        <w:rPr>
          <w:rFonts w:hint="eastAsia" w:cs="宋体"/>
          <w:color w:val="auto"/>
          <w:highlight w:val="none"/>
        </w:rPr>
        <w:t>A</w:t>
      </w:r>
      <w:r>
        <w:rPr>
          <w:rFonts w:hint="eastAsia" w:ascii="宋体" w:hAnsi="宋体" w:cs="宋体"/>
          <w:color w:val="auto"/>
          <w:highlight w:val="none"/>
        </w:rPr>
        <w:t xml:space="preserve">； </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）目规定的评审因素和分值对施工组织设计计算出得分后，去掉一个最高分和一个最低分之后的算术平均值，得出得分</w:t>
      </w:r>
      <w:r>
        <w:rPr>
          <w:rFonts w:hint="eastAsia" w:cs="宋体"/>
          <w:color w:val="auto"/>
          <w:highlight w:val="none"/>
        </w:rPr>
        <w:t>B</w:t>
      </w:r>
      <w:r>
        <w:rPr>
          <w:rFonts w:hint="eastAsia" w:ascii="宋体" w:hAnsi="宋体" w:cs="宋体"/>
          <w:color w:val="auto"/>
          <w:highlight w:val="none"/>
        </w:rPr>
        <w:t>；</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）目规定的评审因素和分值对项目管理机构及其他计算出得分后，去掉一个最高分和一个最低分之后的算术平均值，得出得分</w:t>
      </w:r>
      <w:r>
        <w:rPr>
          <w:rFonts w:hint="eastAsia" w:cs="宋体"/>
          <w:color w:val="auto"/>
          <w:highlight w:val="none"/>
        </w:rPr>
        <w:t>C</w:t>
      </w:r>
      <w:r>
        <w:rPr>
          <w:rFonts w:hint="eastAsia" w:ascii="宋体" w:hAnsi="宋体" w:cs="宋体"/>
          <w:color w:val="auto"/>
          <w:highlight w:val="none"/>
        </w:rPr>
        <w:t>；</w:t>
      </w:r>
    </w:p>
    <w:p>
      <w:pPr>
        <w:spacing w:line="336" w:lineRule="auto"/>
        <w:ind w:firstLine="718" w:firstLineChars="342"/>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）按本章第</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）目规定的评审因素和分值对综合信用评价计算出得分</w:t>
      </w:r>
      <w:r>
        <w:rPr>
          <w:rFonts w:hint="eastAsia" w:cs="宋体"/>
          <w:color w:val="auto"/>
          <w:highlight w:val="none"/>
        </w:rPr>
        <w:t>D</w:t>
      </w:r>
      <w:r>
        <w:rPr>
          <w:rFonts w:hint="eastAsia" w:ascii="宋体" w:hAnsi="宋体" w:cs="宋体"/>
          <w:color w:val="auto"/>
          <w:highlight w:val="none"/>
        </w:rPr>
        <w:t>；</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评分分值计算保留小数点后两位，小数点后第三位“四舍五入”。</w:t>
      </w:r>
    </w:p>
    <w:p>
      <w:pPr>
        <w:spacing w:line="336" w:lineRule="auto"/>
        <w:ind w:firstLine="420" w:firstLineChars="200"/>
        <w:rPr>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cs="宋体"/>
          <w:color w:val="auto"/>
          <w:highlight w:val="none"/>
        </w:rPr>
        <w:t>4</w:t>
      </w:r>
      <w:r>
        <w:rPr>
          <w:rFonts w:hint="eastAsia" w:ascii="宋体" w:hAnsi="宋体"/>
          <w:color w:val="auto"/>
          <w:highlight w:val="none"/>
        </w:rPr>
        <w:t>评标委员会成员</w:t>
      </w:r>
      <w:r>
        <w:rPr>
          <w:rFonts w:ascii="宋体" w:hAnsi="宋体"/>
          <w:color w:val="auto"/>
          <w:highlight w:val="none"/>
        </w:rPr>
        <w:t>对各投标人的综合评分为其各分项得分之和</w:t>
      </w:r>
      <w:r>
        <w:rPr>
          <w:rFonts w:hint="eastAsia" w:ascii="宋体" w:hAnsi="宋体"/>
          <w:color w:val="auto"/>
          <w:highlight w:val="none"/>
        </w:rPr>
        <w:t>，即</w:t>
      </w:r>
      <w:r>
        <w:rPr>
          <w:rFonts w:hint="eastAsia"/>
          <w:color w:val="auto"/>
          <w:highlight w:val="none"/>
        </w:rPr>
        <w:t>投标人得分=A</w:t>
      </w:r>
      <w:r>
        <w:rPr>
          <w:rFonts w:hint="eastAsia" w:ascii="宋体" w:hAnsi="宋体" w:cs="宋体"/>
          <w:color w:val="auto"/>
          <w:szCs w:val="21"/>
          <w:highlight w:val="none"/>
        </w:rPr>
        <w:t>×投标报价权重</w:t>
      </w:r>
      <w:r>
        <w:rPr>
          <w:rFonts w:hint="eastAsia"/>
          <w:color w:val="auto"/>
          <w:highlight w:val="none"/>
        </w:rPr>
        <w:t>+B</w:t>
      </w:r>
      <w:r>
        <w:rPr>
          <w:rFonts w:hint="eastAsia" w:ascii="宋体" w:hAnsi="宋体" w:cs="宋体"/>
          <w:color w:val="auto"/>
          <w:szCs w:val="21"/>
          <w:highlight w:val="none"/>
        </w:rPr>
        <w:t>×施工组织设计权重</w:t>
      </w:r>
      <w:r>
        <w:rPr>
          <w:rFonts w:hint="eastAsia"/>
          <w:color w:val="auto"/>
          <w:highlight w:val="none"/>
        </w:rPr>
        <w:t>+C</w:t>
      </w:r>
      <w:r>
        <w:rPr>
          <w:rFonts w:hint="eastAsia" w:ascii="宋体" w:hAnsi="宋体" w:cs="宋体"/>
          <w:color w:val="auto"/>
          <w:szCs w:val="21"/>
          <w:highlight w:val="none"/>
        </w:rPr>
        <w:t>×项目管理机构及其他权重+</w:t>
      </w:r>
      <w:r>
        <w:rPr>
          <w:rFonts w:hint="eastAsia" w:cs="宋体"/>
          <w:color w:val="auto"/>
          <w:szCs w:val="21"/>
          <w:highlight w:val="none"/>
        </w:rPr>
        <w:t>D</w:t>
      </w:r>
      <w:r>
        <w:rPr>
          <w:rFonts w:hint="eastAsia" w:ascii="宋体" w:hAnsi="宋体" w:cs="宋体"/>
          <w:color w:val="auto"/>
          <w:szCs w:val="21"/>
          <w:highlight w:val="none"/>
        </w:rPr>
        <w:t>×综合信用评价权重</w:t>
      </w:r>
      <w:r>
        <w:rPr>
          <w:rFonts w:hint="eastAsia"/>
          <w:color w:val="auto"/>
          <w:highlight w:val="none"/>
        </w:rPr>
        <w:t>。</w:t>
      </w:r>
    </w:p>
    <w:p>
      <w:pPr>
        <w:pStyle w:val="38"/>
        <w:keepNext w:val="0"/>
        <w:keepLines w:val="0"/>
        <w:spacing w:line="336" w:lineRule="auto"/>
        <w:outlineLvl w:val="9"/>
        <w:rPr>
          <w:color w:val="auto"/>
          <w:sz w:val="24"/>
          <w:szCs w:val="24"/>
          <w:highlight w:val="none"/>
        </w:rPr>
      </w:pPr>
      <w:bookmarkStart w:id="1140" w:name="_Toc20721"/>
      <w:bookmarkStart w:id="1141" w:name="_Toc23027"/>
      <w:bookmarkStart w:id="1142" w:name="_Toc11888"/>
      <w:bookmarkStart w:id="1143" w:name="_Toc23832"/>
      <w:bookmarkStart w:id="1144" w:name="_Toc537003574"/>
      <w:bookmarkStart w:id="1145" w:name="_Toc109149851"/>
      <w:bookmarkStart w:id="1146" w:name="_Toc9761"/>
      <w:bookmarkStart w:id="1147" w:name="_Toc26257"/>
      <w:bookmarkStart w:id="1148" w:name="_Toc1875715569"/>
      <w:r>
        <w:rPr>
          <w:rFonts w:hint="eastAsia"/>
          <w:color w:val="auto"/>
          <w:sz w:val="24"/>
          <w:szCs w:val="24"/>
          <w:highlight w:val="none"/>
        </w:rPr>
        <w:t>3.3 投标文件的澄清和补正</w:t>
      </w:r>
      <w:bookmarkEnd w:id="1140"/>
      <w:bookmarkEnd w:id="1141"/>
      <w:bookmarkEnd w:id="1142"/>
      <w:bookmarkEnd w:id="1143"/>
      <w:bookmarkEnd w:id="1144"/>
      <w:bookmarkEnd w:id="1145"/>
      <w:bookmarkEnd w:id="1146"/>
      <w:bookmarkEnd w:id="1147"/>
      <w:bookmarkEnd w:id="1148"/>
    </w:p>
    <w:p>
      <w:pPr>
        <w:spacing w:line="336" w:lineRule="auto"/>
        <w:ind w:firstLine="420" w:firstLineChars="200"/>
        <w:rPr>
          <w:color w:val="auto"/>
          <w:highlight w:val="none"/>
        </w:rPr>
      </w:pPr>
      <w:r>
        <w:rPr>
          <w:rFonts w:hint="eastAsia"/>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36" w:lineRule="auto"/>
        <w:ind w:firstLine="420" w:firstLineChars="200"/>
        <w:rPr>
          <w:color w:val="auto"/>
          <w:highlight w:val="none"/>
        </w:rPr>
      </w:pPr>
      <w:r>
        <w:rPr>
          <w:rFonts w:hint="eastAsia"/>
          <w:color w:val="auto"/>
          <w:highlight w:val="none"/>
        </w:rPr>
        <w:t>3.3.2 澄清、说明和补正不得超出投标文件的范围且不得改变投标文件的实质性内容（算术错误修正的除外）。投标人的书面澄清、说明和补正属于投标文件的组成部分。</w:t>
      </w:r>
    </w:p>
    <w:p>
      <w:pPr>
        <w:spacing w:line="336" w:lineRule="auto"/>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pPr>
        <w:spacing w:line="336" w:lineRule="auto"/>
        <w:ind w:firstLine="420" w:firstLineChars="200"/>
        <w:rPr>
          <w:color w:val="auto"/>
          <w:highlight w:val="none"/>
        </w:rPr>
      </w:pPr>
      <w:r>
        <w:rPr>
          <w:rFonts w:hint="eastAsia"/>
          <w:color w:val="auto"/>
          <w:highlight w:val="none"/>
        </w:rPr>
        <w:t>3.3.4评标委员会要求投标人对投标文件问题澄清的通知，以及投标人对投标文件的澄清通过“电子交易平台”进行。</w:t>
      </w:r>
    </w:p>
    <w:p>
      <w:pPr>
        <w:pStyle w:val="38"/>
        <w:keepNext w:val="0"/>
        <w:keepLines w:val="0"/>
        <w:spacing w:line="336" w:lineRule="auto"/>
        <w:outlineLvl w:val="9"/>
        <w:rPr>
          <w:color w:val="auto"/>
          <w:sz w:val="24"/>
          <w:szCs w:val="24"/>
          <w:highlight w:val="none"/>
        </w:rPr>
      </w:pPr>
      <w:bookmarkStart w:id="1149" w:name="_Toc1559076682"/>
      <w:bookmarkStart w:id="1150" w:name="_Toc2325"/>
      <w:bookmarkStart w:id="1151" w:name="_Toc12699"/>
      <w:bookmarkStart w:id="1152" w:name="_Toc1806580677"/>
      <w:bookmarkStart w:id="1153" w:name="_Toc2517"/>
      <w:bookmarkStart w:id="1154" w:name="_Toc8880"/>
      <w:bookmarkStart w:id="1155" w:name="_Toc109149852"/>
      <w:bookmarkStart w:id="1156" w:name="_Toc7923"/>
      <w:bookmarkStart w:id="1157" w:name="_Toc20295"/>
      <w:r>
        <w:rPr>
          <w:rFonts w:hint="eastAsia"/>
          <w:color w:val="auto"/>
          <w:sz w:val="24"/>
          <w:szCs w:val="24"/>
          <w:highlight w:val="none"/>
        </w:rPr>
        <w:t>3.4 评标结果</w:t>
      </w:r>
      <w:bookmarkEnd w:id="1149"/>
      <w:bookmarkEnd w:id="1150"/>
      <w:bookmarkEnd w:id="1151"/>
      <w:bookmarkEnd w:id="1152"/>
      <w:bookmarkEnd w:id="1153"/>
      <w:bookmarkEnd w:id="1154"/>
      <w:bookmarkEnd w:id="1155"/>
      <w:bookmarkEnd w:id="1156"/>
      <w:bookmarkEnd w:id="1157"/>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 xml:space="preserve"> 评标委员会</w:t>
      </w:r>
      <w:r>
        <w:rPr>
          <w:rFonts w:hint="eastAsia" w:ascii="宋体" w:hAnsi="宋体"/>
          <w:color w:val="auto"/>
          <w:highlight w:val="none"/>
        </w:rPr>
        <w:t>按照</w:t>
      </w:r>
      <w:r>
        <w:rPr>
          <w:rFonts w:ascii="宋体" w:hAnsi="宋体"/>
          <w:color w:val="auto"/>
          <w:highlight w:val="none"/>
        </w:rPr>
        <w:t>投标人的最终</w:t>
      </w:r>
      <w:r>
        <w:rPr>
          <w:rFonts w:hint="eastAsia"/>
          <w:color w:val="auto"/>
          <w:highlight w:val="none"/>
        </w:rPr>
        <w:t>得分</w:t>
      </w:r>
      <w:r>
        <w:rPr>
          <w:rFonts w:hint="eastAsia" w:ascii="宋体" w:hAnsi="宋体" w:cs="宋体"/>
          <w:color w:val="auto"/>
          <w:highlight w:val="none"/>
        </w:rPr>
        <w:t>由高到低的顺序推荐不超过</w:t>
      </w:r>
      <w:r>
        <w:rPr>
          <w:rFonts w:hint="eastAsia" w:cs="宋体"/>
          <w:color w:val="auto"/>
          <w:highlight w:val="none"/>
        </w:rPr>
        <w:t>3</w:t>
      </w:r>
      <w:r>
        <w:rPr>
          <w:rFonts w:hint="eastAsia" w:ascii="宋体" w:hAnsi="宋体" w:cs="宋体"/>
          <w:color w:val="auto"/>
          <w:highlight w:val="none"/>
        </w:rPr>
        <w:t>名中标候选人，并标明推荐顺序。或根据招标人授权直接确定中标人，但投标报价低于其成本的除外。</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 xml:space="preserve"> 评标委员会完成评标后，应当向招标人提交书面评标报告。</w:t>
      </w:r>
      <w:r>
        <w:rPr>
          <w:rFonts w:hint="eastAsia" w:ascii="宋体" w:hAnsi="宋体"/>
          <w:color w:val="auto"/>
          <w:szCs w:val="21"/>
          <w:highlight w:val="none"/>
        </w:rPr>
        <w:t>评标报告应当由全体评标委</w:t>
      </w:r>
      <w:r>
        <w:rPr>
          <w:rFonts w:hint="eastAsia" w:ascii="宋体" w:hAnsi="宋体" w:cs="宋体"/>
          <w:color w:val="auto"/>
          <w:highlight w:val="none"/>
        </w:rPr>
        <w:t>员会成员签字。评标报告应当包括以下内容：</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）基本情况；</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）评标委员会成员名单；</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）开标记录；</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）符合要求的投标一览表；</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）被否决投标的情况说明；</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6</w:t>
      </w:r>
      <w:r>
        <w:rPr>
          <w:rFonts w:hint="eastAsia" w:ascii="宋体" w:hAnsi="宋体" w:cs="宋体"/>
          <w:color w:val="auto"/>
          <w:highlight w:val="none"/>
        </w:rPr>
        <w:t>）评标标准、评标方法或者评标因素一览表；</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7</w:t>
      </w:r>
      <w:r>
        <w:rPr>
          <w:rFonts w:hint="eastAsia" w:ascii="宋体" w:hAnsi="宋体" w:cs="宋体"/>
          <w:color w:val="auto"/>
          <w:highlight w:val="none"/>
        </w:rPr>
        <w:t>）经评审的价格一览表(包括评标委员会在评标过程中所形成的所有记载评标结果、结论的表格、说明、记录等文件)；</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8</w:t>
      </w:r>
      <w:r>
        <w:rPr>
          <w:rFonts w:hint="eastAsia" w:ascii="宋体" w:hAnsi="宋体" w:cs="宋体"/>
          <w:color w:val="auto"/>
          <w:highlight w:val="none"/>
        </w:rPr>
        <w:t>）经评审的投标人排序；</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9</w:t>
      </w:r>
      <w:r>
        <w:rPr>
          <w:rFonts w:hint="eastAsia" w:ascii="宋体" w:hAnsi="宋体" w:cs="宋体"/>
          <w:color w:val="auto"/>
          <w:highlight w:val="none"/>
        </w:rPr>
        <w:t>）推荐的中标候选人名单(如果第二章“投标人须知”前附表授权评标委员会直接确定中标人，则为“确定的中标人”)与签订合同前要处理的事宜；</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10</w:t>
      </w:r>
      <w:r>
        <w:rPr>
          <w:rFonts w:hint="eastAsia" w:ascii="宋体" w:hAnsi="宋体" w:cs="宋体"/>
          <w:color w:val="auto"/>
          <w:highlight w:val="none"/>
        </w:rPr>
        <w:t>）澄清、说明、补正事项纪要。</w:t>
      </w:r>
    </w:p>
    <w:p>
      <w:pPr>
        <w:pStyle w:val="38"/>
        <w:keepNext w:val="0"/>
        <w:keepLines w:val="0"/>
        <w:spacing w:line="336" w:lineRule="auto"/>
        <w:outlineLvl w:val="9"/>
        <w:rPr>
          <w:color w:val="auto"/>
          <w:sz w:val="24"/>
          <w:szCs w:val="24"/>
          <w:highlight w:val="none"/>
        </w:rPr>
      </w:pPr>
      <w:bookmarkStart w:id="1158" w:name="_Toc109149853"/>
      <w:bookmarkStart w:id="1159" w:name="_Toc1039700637"/>
      <w:bookmarkStart w:id="1160" w:name="_Toc23659"/>
      <w:bookmarkStart w:id="1161" w:name="_Toc29947"/>
      <w:bookmarkStart w:id="1162" w:name="_Toc17153"/>
      <w:bookmarkStart w:id="1163" w:name="_Toc16300"/>
      <w:bookmarkStart w:id="1164" w:name="_Toc959965981"/>
      <w:bookmarkStart w:id="1165" w:name="_Toc7214"/>
      <w:bookmarkStart w:id="1166" w:name="_Toc26954"/>
      <w:r>
        <w:rPr>
          <w:rFonts w:hint="eastAsia"/>
          <w:color w:val="auto"/>
          <w:sz w:val="24"/>
          <w:szCs w:val="24"/>
          <w:highlight w:val="none"/>
        </w:rPr>
        <w:t>3.5 评标的有关规定</w:t>
      </w:r>
      <w:bookmarkEnd w:id="1158"/>
      <w:bookmarkEnd w:id="1159"/>
      <w:bookmarkEnd w:id="1160"/>
      <w:bookmarkEnd w:id="1161"/>
      <w:bookmarkEnd w:id="1162"/>
      <w:bookmarkEnd w:id="1163"/>
      <w:bookmarkEnd w:id="1164"/>
      <w:bookmarkEnd w:id="1165"/>
      <w:bookmarkEnd w:id="1166"/>
    </w:p>
    <w:p>
      <w:pPr>
        <w:adjustRightInd w:val="0"/>
        <w:snapToGrid w:val="0"/>
        <w:spacing w:line="336" w:lineRule="auto"/>
        <w:ind w:firstLine="420" w:firstLineChars="200"/>
        <w:rPr>
          <w:rFonts w:ascii="宋体" w:hAnsi="宋体"/>
          <w:color w:val="auto"/>
          <w:szCs w:val="21"/>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评</w:t>
      </w:r>
      <w:r>
        <w:rPr>
          <w:rFonts w:hint="eastAsia" w:ascii="宋体" w:hAnsi="宋体"/>
          <w:color w:val="auto"/>
          <w:szCs w:val="21"/>
          <w:highlight w:val="none"/>
        </w:rPr>
        <w:t>标委员会应当执行连续评标的原则，按评标办法中规定的程序、内容、方法、标准完成全部评标工作。只有发生不可抗力导致评标工作无法继续时，评标活动方可暂停。</w:t>
      </w:r>
    </w:p>
    <w:p>
      <w:pPr>
        <w:adjustRightInd w:val="0"/>
        <w:snapToGrid w:val="0"/>
        <w:spacing w:line="336" w:lineRule="auto"/>
        <w:ind w:firstLine="525" w:firstLineChars="250"/>
        <w:rPr>
          <w:rFonts w:ascii="宋体" w:hAnsi="宋体"/>
          <w:color w:val="auto"/>
          <w:szCs w:val="21"/>
          <w:highlight w:val="none"/>
        </w:rPr>
      </w:pPr>
      <w:r>
        <w:rPr>
          <w:rFonts w:hint="eastAsia" w:ascii="宋体" w:hAnsi="宋体"/>
          <w:color w:val="auto"/>
          <w:szCs w:val="21"/>
          <w:highlight w:val="none"/>
        </w:rPr>
        <w:t>发生评标暂停情况时，评标委员会应当封存全部投标文件和评标记录，待不可抗力的影响结束且具备继续评标的条件时，由原评标委员会继续评标。</w:t>
      </w:r>
    </w:p>
    <w:p>
      <w:pPr>
        <w:adjustRightInd w:val="0"/>
        <w:snapToGrid w:val="0"/>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 xml:space="preserve"> 除非发生下列情况之一，评标委员会成员不得在评标中途更换：</w:t>
      </w:r>
    </w:p>
    <w:p>
      <w:pPr>
        <w:adjustRightInd w:val="0"/>
        <w:snapToGrid w:val="0"/>
        <w:spacing w:line="336" w:lineRule="auto"/>
        <w:ind w:firstLine="420" w:firstLineChars="200"/>
        <w:rPr>
          <w:rFonts w:ascii="宋体" w:hAnsi="宋体"/>
          <w:color w:val="auto"/>
          <w:szCs w:val="21"/>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w:t>
      </w:r>
      <w:r>
        <w:rPr>
          <w:rFonts w:hint="eastAsia" w:ascii="宋体" w:hAnsi="宋体"/>
          <w:color w:val="auto"/>
          <w:szCs w:val="21"/>
          <w:highlight w:val="none"/>
        </w:rPr>
        <w:t>因不可抗拒的客观原因，不能到场或需在评标中途退出评标活动。</w:t>
      </w:r>
    </w:p>
    <w:p>
      <w:pPr>
        <w:adjustRightInd w:val="0"/>
        <w:snapToGrid w:val="0"/>
        <w:spacing w:line="336" w:lineRule="auto"/>
        <w:ind w:firstLine="420" w:firstLineChars="200"/>
        <w:rPr>
          <w:rFonts w:ascii="宋体" w:hAnsi="宋体"/>
          <w:color w:val="auto"/>
          <w:szCs w:val="21"/>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ascii="宋体" w:hAnsi="宋体"/>
          <w:color w:val="auto"/>
          <w:szCs w:val="21"/>
          <w:highlight w:val="none"/>
        </w:rPr>
        <w:t>根据法律法规规定，某个或某几个评标委员会成员需要回避。</w:t>
      </w:r>
    </w:p>
    <w:p>
      <w:pPr>
        <w:adjustRightInd w:val="0"/>
        <w:snapToGrid w:val="0"/>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退出评标的评标委员会成员，其已完成的评标行为无效。由招标人根据本招标文件规定的评标委员会成员生产方式另行确定替代者进行评标。</w:t>
      </w:r>
    </w:p>
    <w:p>
      <w:pPr>
        <w:adjustRightInd w:val="0"/>
        <w:snapToGrid w:val="0"/>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 xml:space="preserve"> 评标争议处理</w:t>
      </w:r>
    </w:p>
    <w:p>
      <w:pPr>
        <w:spacing w:line="336" w:lineRule="auto"/>
        <w:ind w:firstLine="420" w:firstLineChars="200"/>
        <w:rPr>
          <w:rFonts w:ascii="宋体" w:hAnsi="宋体"/>
          <w:color w:val="auto"/>
          <w:szCs w:val="21"/>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w:t>
      </w:r>
      <w:r>
        <w:rPr>
          <w:rFonts w:hint="eastAsia" w:ascii="宋体" w:hAnsi="宋体"/>
          <w:color w:val="auto"/>
          <w:szCs w:val="21"/>
          <w:highlight w:val="none"/>
        </w:rPr>
        <w:t>评标委员会全体成员应独立评审，对所提出的评审意见承担个人责任。</w:t>
      </w:r>
    </w:p>
    <w:p>
      <w:pPr>
        <w:spacing w:line="336" w:lineRule="auto"/>
        <w:ind w:firstLine="420" w:firstLineChars="200"/>
        <w:rPr>
          <w:rFonts w:ascii="宋体" w:hAnsi="宋体"/>
          <w:color w:val="auto"/>
          <w:szCs w:val="21"/>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w:t>
      </w:r>
      <w:r>
        <w:rPr>
          <w:rFonts w:hint="eastAsia" w:ascii="宋体" w:hAnsi="宋体"/>
          <w:color w:val="auto"/>
          <w:szCs w:val="21"/>
          <w:highlight w:val="none"/>
        </w:rPr>
        <w:t>在任何评标环节中，需评标委员会就某项定性的评审结论做出表决的，由评标委员会全体成员按照少数服从多数的原则，以记名投票方式表决。表决不得违背法律、法规、规章和招标文件的规定。</w:t>
      </w:r>
    </w:p>
    <w:p>
      <w:pPr>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pPr>
        <w:spacing w:line="336" w:lineRule="auto"/>
        <w:rPr>
          <w:rFonts w:ascii="宋体" w:hAnsi="宋体" w:cs="宋体"/>
          <w:color w:val="auto"/>
          <w:szCs w:val="21"/>
          <w:highlight w:val="none"/>
        </w:rPr>
        <w:sectPr>
          <w:pgSz w:w="11906" w:h="16838"/>
          <w:pgMar w:top="2098" w:right="1446" w:bottom="1984" w:left="1446" w:header="851" w:footer="1446" w:gutter="0"/>
          <w:cols w:space="0" w:num="1"/>
          <w:titlePg/>
          <w:docGrid w:linePitch="312" w:charSpace="0"/>
        </w:sectPr>
      </w:pPr>
    </w:p>
    <w:p>
      <w:pPr>
        <w:spacing w:line="336" w:lineRule="auto"/>
        <w:jc w:val="center"/>
        <w:rPr>
          <w:rFonts w:ascii="黑体" w:hAnsi="黑体" w:eastAsia="黑体"/>
          <w:color w:val="auto"/>
          <w:sz w:val="32"/>
          <w:highlight w:val="none"/>
        </w:rPr>
      </w:pPr>
      <w:bookmarkStart w:id="1167" w:name="_Toc222029500"/>
      <w:bookmarkStart w:id="1168" w:name="_Toc25727"/>
      <w:bookmarkStart w:id="1169" w:name="_Toc222031002"/>
      <w:bookmarkStart w:id="1170" w:name="_Toc27350"/>
      <w:bookmarkStart w:id="1171" w:name="_Toc168475724"/>
      <w:bookmarkStart w:id="1172" w:name="_Toc12978"/>
      <w:bookmarkStart w:id="1173" w:name="_Toc221950660"/>
      <w:bookmarkStart w:id="1174" w:name="_Toc222032669"/>
      <w:bookmarkStart w:id="1175" w:name="_Toc331794508"/>
      <w:bookmarkStart w:id="1176" w:name="_Toc249338456"/>
      <w:bookmarkStart w:id="1177" w:name="_Toc144974577"/>
      <w:bookmarkStart w:id="1178" w:name="_Toc26575"/>
      <w:bookmarkStart w:id="1179" w:name="_Toc25811"/>
      <w:bookmarkStart w:id="1180" w:name="_Toc13243"/>
      <w:bookmarkStart w:id="1181" w:name="_Toc168476127"/>
      <w:bookmarkStart w:id="1182" w:name="_Toc229305360"/>
      <w:bookmarkStart w:id="1183" w:name="_Toc222033851"/>
      <w:bookmarkStart w:id="1184" w:name="_Toc387753581"/>
      <w:bookmarkStart w:id="1185" w:name="_Toc168475890"/>
      <w:bookmarkStart w:id="1186" w:name="_Toc144974834"/>
      <w:bookmarkStart w:id="1187" w:name="_Toc168476293"/>
      <w:r>
        <w:rPr>
          <w:rFonts w:hint="eastAsia" w:ascii="黑体" w:hAnsi="黑体" w:eastAsia="黑体"/>
          <w:color w:val="auto"/>
          <w:sz w:val="32"/>
          <w:highlight w:val="none"/>
        </w:rPr>
        <w:t>第四章 合同条款及格式</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spacing w:line="336" w:lineRule="auto"/>
        <w:rPr>
          <w:rFonts w:ascii="宋体" w:hAnsi="宋体" w:cs="宋体"/>
          <w:color w:val="auto"/>
          <w:highlight w:val="none"/>
        </w:rPr>
      </w:pPr>
    </w:p>
    <w:p>
      <w:pPr>
        <w:pStyle w:val="4"/>
        <w:keepNext w:val="0"/>
        <w:keepLines w:val="0"/>
        <w:spacing w:line="336" w:lineRule="auto"/>
        <w:jc w:val="center"/>
        <w:rPr>
          <w:b w:val="0"/>
          <w:bCs w:val="0"/>
          <w:color w:val="auto"/>
          <w:sz w:val="30"/>
          <w:szCs w:val="30"/>
          <w:highlight w:val="none"/>
        </w:rPr>
      </w:pPr>
      <w:bookmarkStart w:id="1188" w:name="_Toc12651"/>
      <w:bookmarkStart w:id="1189" w:name="_Toc11108"/>
      <w:bookmarkStart w:id="1190" w:name="_Toc17919"/>
      <w:bookmarkStart w:id="1191" w:name="_Toc4750"/>
      <w:bookmarkStart w:id="1192" w:name="_Toc2093183256"/>
      <w:bookmarkStart w:id="1193" w:name="_Toc1515"/>
      <w:bookmarkStart w:id="1194" w:name="_Toc376009894"/>
      <w:bookmarkStart w:id="1195" w:name="_Toc4870"/>
      <w:bookmarkStart w:id="1196" w:name="_Toc221948339"/>
      <w:bookmarkStart w:id="1197" w:name="_Toc222033852"/>
      <w:bookmarkStart w:id="1198" w:name="_Toc222032670"/>
      <w:bookmarkStart w:id="1199" w:name="_Toc229305361"/>
      <w:bookmarkStart w:id="1200" w:name="_Toc221950661"/>
      <w:bookmarkStart w:id="1201" w:name="_Toc222029501"/>
      <w:bookmarkStart w:id="1202" w:name="_Toc222031003"/>
      <w:bookmarkStart w:id="1203" w:name="_Toc387753582"/>
      <w:r>
        <w:rPr>
          <w:rFonts w:hint="eastAsia"/>
          <w:b w:val="0"/>
          <w:bCs w:val="0"/>
          <w:color w:val="auto"/>
          <w:sz w:val="30"/>
          <w:szCs w:val="30"/>
          <w:highlight w:val="none"/>
        </w:rPr>
        <w:t>第一部分 合同协议书</w:t>
      </w:r>
      <w:bookmarkEnd w:id="1188"/>
      <w:bookmarkEnd w:id="1189"/>
      <w:bookmarkEnd w:id="1190"/>
      <w:bookmarkEnd w:id="1191"/>
      <w:bookmarkEnd w:id="1192"/>
      <w:bookmarkEnd w:id="1193"/>
      <w:bookmarkEnd w:id="1194"/>
      <w:bookmarkEnd w:id="1195"/>
    </w:p>
    <w:p>
      <w:pPr>
        <w:spacing w:line="336" w:lineRule="auto"/>
        <w:rPr>
          <w:rFonts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        </w:t>
      </w:r>
    </w:p>
    <w:p>
      <w:pPr>
        <w:spacing w:line="336" w:lineRule="auto"/>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      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根据《中华人民共和国民法典》及有关法律规定，遵循平等、自愿、公平和诚实信用的原则，双方就工程施工及有关事项协商一致，共同达成如下协议：</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4" w:name="_Toc351203481"/>
      <w:r>
        <w:rPr>
          <w:rFonts w:hint="eastAsia" w:ascii="Times New Roman" w:hAnsi="Times New Roman" w:cs="宋体"/>
          <w:b w:val="0"/>
          <w:bCs w:val="0"/>
          <w:color w:val="auto"/>
          <w:sz w:val="24"/>
          <w:szCs w:val="20"/>
          <w:highlight w:val="none"/>
        </w:rPr>
        <w:t>一、工程概况</w:t>
      </w:r>
      <w:bookmarkEnd w:id="1204"/>
    </w:p>
    <w:p>
      <w:pPr>
        <w:spacing w:line="336" w:lineRule="auto"/>
        <w:ind w:firstLine="411" w:firstLineChars="196"/>
        <w:rPr>
          <w:rFonts w:ascii="宋体" w:hAnsi="宋体" w:cs="宋体"/>
          <w:color w:val="auto"/>
          <w:szCs w:val="21"/>
          <w:highlight w:val="none"/>
          <w:u w:val="single"/>
        </w:rPr>
      </w:pPr>
      <w:r>
        <w:rPr>
          <w:rFonts w:hint="eastAsia" w:cs="宋体"/>
          <w:bCs/>
          <w:color w:val="auto"/>
          <w:szCs w:val="21"/>
          <w:highlight w:val="none"/>
        </w:rPr>
        <w:t>1</w:t>
      </w:r>
      <w:r>
        <w:rPr>
          <w:rFonts w:hint="eastAsia" w:ascii="宋体" w:hAnsi="宋体" w:cs="宋体"/>
          <w:bCs/>
          <w:color w:val="auto"/>
          <w:szCs w:val="21"/>
          <w:highlight w:val="none"/>
        </w:rPr>
        <w:t>.工程名称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36" w:lineRule="auto"/>
        <w:ind w:firstLine="411" w:firstLineChars="196"/>
        <w:rPr>
          <w:rFonts w:ascii="宋体" w:hAnsi="宋体" w:cs="宋体"/>
          <w:bCs/>
          <w:color w:val="auto"/>
          <w:szCs w:val="21"/>
          <w:highlight w:val="none"/>
        </w:rPr>
      </w:pPr>
      <w:r>
        <w:rPr>
          <w:rFonts w:hint="eastAsia" w:cs="宋体"/>
          <w:bCs/>
          <w:color w:val="auto"/>
          <w:szCs w:val="21"/>
          <w:highlight w:val="none"/>
        </w:rPr>
        <w:t>2</w:t>
      </w:r>
      <w:r>
        <w:rPr>
          <w:rFonts w:hint="eastAsia" w:ascii="宋体" w:hAnsi="宋体" w:cs="宋体"/>
          <w:bCs/>
          <w:color w:val="auto"/>
          <w:szCs w:val="21"/>
          <w:highlight w:val="none"/>
        </w:rPr>
        <w:t>.工程地点：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36" w:lineRule="auto"/>
        <w:ind w:firstLine="411" w:firstLineChars="196"/>
        <w:rPr>
          <w:rFonts w:ascii="宋体" w:hAnsi="宋体" w:cs="宋体"/>
          <w:bCs/>
          <w:color w:val="auto"/>
          <w:szCs w:val="21"/>
          <w:highlight w:val="none"/>
        </w:rPr>
      </w:pPr>
      <w:r>
        <w:rPr>
          <w:rFonts w:hint="eastAsia" w:cs="宋体"/>
          <w:bCs/>
          <w:color w:val="auto"/>
          <w:szCs w:val="21"/>
          <w:highlight w:val="none"/>
        </w:rPr>
        <w:t>3</w:t>
      </w:r>
      <w:r>
        <w:rPr>
          <w:rFonts w:hint="eastAsia" w:ascii="宋体" w:hAnsi="宋体" w:cs="宋体"/>
          <w:bCs/>
          <w:color w:val="auto"/>
          <w:szCs w:val="21"/>
          <w:highlight w:val="none"/>
        </w:rPr>
        <w:t>.工程立项批准文号：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36" w:lineRule="auto"/>
        <w:ind w:firstLine="411" w:firstLineChars="196"/>
        <w:rPr>
          <w:rFonts w:ascii="宋体" w:hAnsi="宋体" w:cs="宋体"/>
          <w:bCs/>
          <w:color w:val="auto"/>
          <w:szCs w:val="21"/>
          <w:highlight w:val="none"/>
        </w:rPr>
      </w:pPr>
      <w:r>
        <w:rPr>
          <w:rFonts w:hint="eastAsia" w:cs="宋体"/>
          <w:bCs/>
          <w:color w:val="auto"/>
          <w:szCs w:val="21"/>
          <w:highlight w:val="none"/>
        </w:rPr>
        <w:t>4</w:t>
      </w:r>
      <w:r>
        <w:rPr>
          <w:rFonts w:hint="eastAsia" w:ascii="宋体" w:hAnsi="宋体" w:cs="宋体"/>
          <w:bCs/>
          <w:color w:val="auto"/>
          <w:szCs w:val="21"/>
          <w:highlight w:val="none"/>
        </w:rPr>
        <w:t>.资金来源：</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36" w:lineRule="auto"/>
        <w:ind w:firstLine="411" w:firstLineChars="196"/>
        <w:rPr>
          <w:rFonts w:ascii="宋体" w:hAnsi="宋体" w:cs="宋体"/>
          <w:bCs/>
          <w:color w:val="auto"/>
          <w:szCs w:val="21"/>
          <w:highlight w:val="none"/>
        </w:rPr>
      </w:pPr>
      <w:r>
        <w:rPr>
          <w:rFonts w:hint="eastAsia" w:cs="宋体"/>
          <w:bCs/>
          <w:color w:val="auto"/>
          <w:szCs w:val="21"/>
          <w:highlight w:val="none"/>
        </w:rPr>
        <w:t>5</w:t>
      </w:r>
      <w:r>
        <w:rPr>
          <w:rFonts w:hint="eastAsia" w:ascii="宋体" w:hAnsi="宋体" w:cs="宋体"/>
          <w:bCs/>
          <w:color w:val="auto"/>
          <w:szCs w:val="21"/>
          <w:highlight w:val="none"/>
        </w:rPr>
        <w:t>.工程内容：</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36" w:lineRule="auto"/>
        <w:ind w:firstLine="411" w:firstLineChars="196"/>
        <w:rPr>
          <w:rFonts w:ascii="宋体" w:hAnsi="宋体" w:cs="宋体"/>
          <w:bCs/>
          <w:color w:val="auto"/>
          <w:szCs w:val="21"/>
          <w:highlight w:val="none"/>
        </w:rPr>
      </w:pPr>
      <w:r>
        <w:rPr>
          <w:rFonts w:hint="eastAsia" w:cs="宋体"/>
          <w:bCs/>
          <w:color w:val="auto"/>
          <w:szCs w:val="21"/>
          <w:highlight w:val="none"/>
        </w:rPr>
        <w:t>6</w:t>
      </w:r>
      <w:r>
        <w:rPr>
          <w:rFonts w:hint="eastAsia" w:ascii="宋体" w:hAnsi="宋体" w:cs="宋体"/>
          <w:bCs/>
          <w:color w:val="auto"/>
          <w:szCs w:val="21"/>
          <w:highlight w:val="none"/>
        </w:rPr>
        <w:t>.工程承包范围：</w:t>
      </w:r>
    </w:p>
    <w:p>
      <w:pPr>
        <w:spacing w:line="336" w:lineRule="auto"/>
        <w:ind w:firstLine="405" w:firstLineChars="193"/>
        <w:rPr>
          <w:rFonts w:ascii="宋体" w:hAnsi="宋体" w:cs="宋体"/>
          <w:color w:val="auto"/>
          <w:szCs w:val="21"/>
          <w:highlight w:val="none"/>
        </w:rPr>
      </w:pPr>
      <w:r>
        <w:rPr>
          <w:rFonts w:hint="eastAsia" w:ascii="宋体" w:hAnsi="宋体" w:cs="宋体"/>
          <w:color w:val="auto"/>
          <w:szCs w:val="21"/>
          <w:highlight w:val="none"/>
          <w:u w:val="single"/>
        </w:rPr>
        <w:t>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5" w:name="_Toc351203482"/>
      <w:r>
        <w:rPr>
          <w:rFonts w:hint="eastAsia" w:ascii="Times New Roman" w:hAnsi="Times New Roman" w:cs="宋体"/>
          <w:b w:val="0"/>
          <w:bCs w:val="0"/>
          <w:color w:val="auto"/>
          <w:sz w:val="24"/>
          <w:szCs w:val="20"/>
          <w:highlight w:val="none"/>
        </w:rPr>
        <w:t>二、合同工期</w:t>
      </w:r>
      <w:bookmarkEnd w:id="1205"/>
    </w:p>
    <w:p>
      <w:pPr>
        <w:spacing w:line="336"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36" w:lineRule="auto"/>
        <w:ind w:firstLine="459"/>
        <w:rPr>
          <w:rFonts w:ascii="宋体" w:hAnsi="宋体" w:cs="宋体"/>
          <w:color w:val="auto"/>
          <w:szCs w:val="21"/>
          <w:highlight w:val="none"/>
        </w:rPr>
      </w:pPr>
      <w:r>
        <w:rPr>
          <w:rFonts w:hint="eastAsia" w:ascii="宋体" w:hAnsi="宋体" w:cs="宋体"/>
          <w:color w:val="auto"/>
          <w:szCs w:val="21"/>
          <w:highlight w:val="none"/>
        </w:rPr>
        <w:t>计划完工日期：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36" w:lineRule="auto"/>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6" w:name="_Toc351203483"/>
      <w:r>
        <w:rPr>
          <w:rFonts w:hint="eastAsia" w:ascii="Times New Roman" w:hAnsi="Times New Roman" w:cs="宋体"/>
          <w:b w:val="0"/>
          <w:bCs w:val="0"/>
          <w:color w:val="auto"/>
          <w:sz w:val="24"/>
          <w:szCs w:val="20"/>
          <w:highlight w:val="none"/>
        </w:rPr>
        <w:t>三、质量标准</w:t>
      </w:r>
      <w:bookmarkEnd w:id="1206"/>
    </w:p>
    <w:p>
      <w:pPr>
        <w:spacing w:line="336"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w:t>
      </w:r>
      <w:r>
        <w:rPr>
          <w:rFonts w:hint="eastAsia" w:ascii="宋体" w:hAnsi="宋体" w:cs="宋体"/>
          <w:color w:val="auto"/>
          <w:szCs w:val="21"/>
          <w:highlight w:val="none"/>
        </w:rPr>
        <w:t>标准。</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7" w:name="_Toc351203484"/>
      <w:r>
        <w:rPr>
          <w:rFonts w:hint="eastAsia" w:ascii="Times New Roman" w:hAnsi="Times New Roman" w:cs="宋体"/>
          <w:b w:val="0"/>
          <w:bCs w:val="0"/>
          <w:color w:val="auto"/>
          <w:sz w:val="24"/>
          <w:szCs w:val="20"/>
          <w:highlight w:val="none"/>
        </w:rPr>
        <w:t>四、签约合同价与合同价格形式</w:t>
      </w:r>
      <w:bookmarkEnd w:id="1207"/>
      <w:r>
        <w:rPr>
          <w:rFonts w:hint="eastAsia" w:ascii="Times New Roman" w:hAnsi="Times New Roman" w:cs="宋体"/>
          <w:b w:val="0"/>
          <w:bCs w:val="0"/>
          <w:color w:val="auto"/>
          <w:sz w:val="24"/>
          <w:szCs w:val="20"/>
          <w:highlight w:val="none"/>
        </w:rPr>
        <w:tab/>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.签约合同价为：</w:t>
      </w:r>
    </w:p>
    <w:p>
      <w:pPr>
        <w:spacing w:line="336"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人民币（大写）(¥元)；</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）安全文明施工费：</w:t>
      </w:r>
    </w:p>
    <w:p>
      <w:pPr>
        <w:spacing w:line="336"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）材料和工程设备暂估价金额：</w:t>
      </w:r>
    </w:p>
    <w:p>
      <w:pPr>
        <w:spacing w:line="336"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）专业工程暂估价金额：</w:t>
      </w:r>
    </w:p>
    <w:p>
      <w:pPr>
        <w:spacing w:line="336"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）暂列金额：</w:t>
      </w:r>
    </w:p>
    <w:p>
      <w:pPr>
        <w:spacing w:line="336"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.合同价格形式：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8" w:name="_Toc351203485"/>
      <w:r>
        <w:rPr>
          <w:rFonts w:hint="eastAsia" w:ascii="Times New Roman" w:hAnsi="Times New Roman" w:cs="宋体"/>
          <w:b w:val="0"/>
          <w:bCs w:val="0"/>
          <w:color w:val="auto"/>
          <w:sz w:val="24"/>
          <w:szCs w:val="20"/>
          <w:highlight w:val="none"/>
        </w:rPr>
        <w:t>五、</w:t>
      </w:r>
      <w:bookmarkEnd w:id="1208"/>
      <w:r>
        <w:rPr>
          <w:rFonts w:hint="eastAsia" w:ascii="Times New Roman" w:hAnsi="Times New Roman" w:cs="宋体"/>
          <w:b w:val="0"/>
          <w:bCs w:val="0"/>
          <w:color w:val="auto"/>
          <w:sz w:val="24"/>
          <w:szCs w:val="20"/>
          <w:highlight w:val="none"/>
        </w:rPr>
        <w:t>项目负责人</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承包人项目负责人</w:t>
      </w:r>
      <w:r>
        <w:rPr>
          <w:rFonts w:ascii="宋体" w:hAnsi="宋体" w:cs="宋体"/>
          <w:color w:val="auto"/>
          <w:szCs w:val="21"/>
          <w:highlight w:val="none"/>
        </w:rPr>
        <w:t>姓名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kern w:val="0"/>
          <w:szCs w:val="21"/>
          <w:highlight w:val="none"/>
        </w:rPr>
        <w:t>注册执业证书编号</w:t>
      </w:r>
      <w:r>
        <w:rPr>
          <w:rFonts w:ascii="宋体" w:hAnsi="宋体" w:cs="宋体"/>
          <w:color w:val="auto"/>
          <w:kern w:val="0"/>
          <w:szCs w:val="21"/>
          <w:highlight w:val="none"/>
        </w:rPr>
        <w:t>：</w:t>
      </w:r>
      <w:r>
        <w:rPr>
          <w:rFonts w:hint="eastAsia"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kern w:val="0"/>
          <w:szCs w:val="21"/>
          <w:highlight w:val="none"/>
        </w:rPr>
        <w:t>联系方式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09" w:name="_Toc351203486"/>
      <w:r>
        <w:rPr>
          <w:rFonts w:hint="eastAsia" w:ascii="Times New Roman" w:hAnsi="Times New Roman" w:cs="宋体"/>
          <w:b w:val="0"/>
          <w:bCs w:val="0"/>
          <w:color w:val="auto"/>
          <w:sz w:val="24"/>
          <w:szCs w:val="20"/>
          <w:highlight w:val="none"/>
        </w:rPr>
        <w:t>六、合同文件构成</w:t>
      </w:r>
      <w:bookmarkEnd w:id="1209"/>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）中标通知书；</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）投标函及其附录； </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）专用合同条款及其附件；</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）通用合同条款；</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）技术标准和要求；</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）图纸；</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）已标价工程量清单；</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）其他合同文件。</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5"/>
        <w:keepNext w:val="0"/>
        <w:keepLines w:val="0"/>
        <w:spacing w:line="336" w:lineRule="auto"/>
        <w:ind w:firstLine="480" w:firstLineChars="200"/>
        <w:rPr>
          <w:rFonts w:ascii="Times New Roman" w:hAnsi="Times New Roman" w:cs="宋体"/>
          <w:b w:val="0"/>
          <w:bCs w:val="0"/>
          <w:color w:val="auto"/>
          <w:sz w:val="24"/>
          <w:szCs w:val="20"/>
          <w:highlight w:val="none"/>
        </w:rPr>
      </w:pPr>
      <w:bookmarkStart w:id="1210" w:name="_Toc351203487"/>
      <w:r>
        <w:rPr>
          <w:rFonts w:hint="eastAsia" w:ascii="Times New Roman" w:hAnsi="Times New Roman" w:cs="宋体"/>
          <w:b w:val="0"/>
          <w:bCs w:val="0"/>
          <w:color w:val="auto"/>
          <w:sz w:val="24"/>
          <w:szCs w:val="20"/>
          <w:highlight w:val="none"/>
        </w:rPr>
        <w:t>七、承诺</w:t>
      </w:r>
      <w:bookmarkEnd w:id="1210"/>
    </w:p>
    <w:p>
      <w:pPr>
        <w:spacing w:line="336" w:lineRule="auto"/>
        <w:ind w:firstLine="420" w:firstLineChars="200"/>
        <w:rPr>
          <w:rFonts w:ascii="宋体" w:hAnsi="宋体" w:cs="宋体"/>
          <w:bCs/>
          <w:color w:val="auto"/>
          <w:szCs w:val="21"/>
          <w:highlight w:val="none"/>
        </w:rPr>
      </w:pPr>
      <w:r>
        <w:rPr>
          <w:rFonts w:hint="eastAsia" w:cs="宋体"/>
          <w:bCs/>
          <w:color w:val="auto"/>
          <w:szCs w:val="21"/>
          <w:highlight w:val="none"/>
        </w:rPr>
        <w:t>1</w:t>
      </w:r>
      <w:r>
        <w:rPr>
          <w:rFonts w:hint="eastAsia" w:ascii="宋体" w:hAnsi="宋体" w:cs="宋体"/>
          <w:bCs/>
          <w:color w:val="auto"/>
          <w:szCs w:val="21"/>
          <w:highlight w:val="none"/>
        </w:rPr>
        <w:t>.发包人承诺按照法律规定履行项目审批手续、筹集工程建设资金并按照合同约定的期限和方式支付合同价款。</w:t>
      </w:r>
    </w:p>
    <w:p>
      <w:pPr>
        <w:spacing w:line="336" w:lineRule="auto"/>
        <w:ind w:firstLine="420" w:firstLineChars="200"/>
        <w:rPr>
          <w:rFonts w:ascii="宋体" w:hAnsi="宋体" w:cs="宋体"/>
          <w:bCs/>
          <w:color w:val="auto"/>
          <w:szCs w:val="21"/>
          <w:highlight w:val="none"/>
        </w:rPr>
      </w:pPr>
      <w:r>
        <w:rPr>
          <w:rFonts w:hint="eastAsia" w:cs="宋体"/>
          <w:bCs/>
          <w:color w:val="auto"/>
          <w:szCs w:val="21"/>
          <w:highlight w:val="none"/>
        </w:rPr>
        <w:t>2</w:t>
      </w:r>
      <w:r>
        <w:rPr>
          <w:rFonts w:hint="eastAsia" w:ascii="宋体" w:hAnsi="宋体" w:cs="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36" w:lineRule="auto"/>
        <w:ind w:firstLine="420" w:firstLineChars="200"/>
        <w:rPr>
          <w:rFonts w:ascii="宋体" w:hAnsi="宋体" w:cs="宋体"/>
          <w:bCs/>
          <w:color w:val="auto"/>
          <w:szCs w:val="21"/>
          <w:highlight w:val="none"/>
        </w:rPr>
      </w:pPr>
      <w:r>
        <w:rPr>
          <w:rFonts w:hint="eastAsia" w:cs="宋体"/>
          <w:bCs/>
          <w:color w:val="auto"/>
          <w:szCs w:val="21"/>
          <w:highlight w:val="none"/>
        </w:rPr>
        <w:t>3</w:t>
      </w:r>
      <w:r>
        <w:rPr>
          <w:rFonts w:hint="eastAsia" w:ascii="宋体" w:hAnsi="宋体" w:cs="宋体"/>
          <w:bCs/>
          <w:color w:val="auto"/>
          <w:szCs w:val="21"/>
          <w:highlight w:val="none"/>
        </w:rPr>
        <w:t>.发包人和承包人通过招投标形式签订合同的，双方理解并承诺不再就同一工程另行签订与合同实质性内容相背离的协议。</w:t>
      </w:r>
    </w:p>
    <w:p>
      <w:pPr>
        <w:pStyle w:val="5"/>
        <w:keepNext w:val="0"/>
        <w:keepLines w:val="0"/>
        <w:spacing w:line="336" w:lineRule="auto"/>
        <w:ind w:firstLine="482" w:firstLineChars="200"/>
        <w:rPr>
          <w:rFonts w:ascii="Times New Roman" w:hAnsi="Times New Roman" w:cs="宋体"/>
          <w:color w:val="auto"/>
          <w:sz w:val="24"/>
          <w:szCs w:val="20"/>
          <w:highlight w:val="none"/>
        </w:rPr>
      </w:pPr>
      <w:bookmarkStart w:id="1211" w:name="_Toc351203488"/>
      <w:r>
        <w:rPr>
          <w:rFonts w:hint="eastAsia" w:ascii="Times New Roman" w:hAnsi="Times New Roman" w:cs="宋体"/>
          <w:color w:val="auto"/>
          <w:sz w:val="24"/>
          <w:szCs w:val="20"/>
          <w:highlight w:val="none"/>
        </w:rPr>
        <w:t>八、词语含义</w:t>
      </w:r>
      <w:bookmarkEnd w:id="1211"/>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5"/>
        <w:keepNext w:val="0"/>
        <w:keepLines w:val="0"/>
        <w:spacing w:line="336" w:lineRule="auto"/>
        <w:ind w:firstLine="480" w:firstLineChars="200"/>
        <w:rPr>
          <w:rFonts w:ascii="Times New Roman" w:hAnsi="Times New Roman"/>
          <w:bCs w:val="0"/>
          <w:color w:val="auto"/>
          <w:sz w:val="32"/>
          <w:szCs w:val="32"/>
          <w:highlight w:val="none"/>
        </w:rPr>
      </w:pPr>
      <w:bookmarkStart w:id="1212" w:name="_Toc351203489"/>
      <w:r>
        <w:rPr>
          <w:rFonts w:hint="eastAsia" w:ascii="Times New Roman" w:hAnsi="Times New Roman" w:cs="宋体"/>
          <w:b w:val="0"/>
          <w:bCs w:val="0"/>
          <w:color w:val="auto"/>
          <w:sz w:val="24"/>
          <w:szCs w:val="20"/>
          <w:highlight w:val="none"/>
        </w:rPr>
        <w:t>九、签订时间</w:t>
      </w:r>
      <w:bookmarkEnd w:id="1212"/>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本合同于年月日签订。</w:t>
      </w:r>
    </w:p>
    <w:p>
      <w:pPr>
        <w:pStyle w:val="5"/>
        <w:keepNext w:val="0"/>
        <w:keepLines w:val="0"/>
        <w:spacing w:line="336" w:lineRule="auto"/>
        <w:ind w:firstLine="480" w:firstLineChars="200"/>
        <w:rPr>
          <w:rFonts w:ascii="Times New Roman" w:hAnsi="Times New Roman"/>
          <w:bCs w:val="0"/>
          <w:color w:val="auto"/>
          <w:sz w:val="32"/>
          <w:szCs w:val="32"/>
          <w:highlight w:val="none"/>
        </w:rPr>
      </w:pPr>
      <w:bookmarkStart w:id="1213" w:name="_Toc351203490"/>
      <w:r>
        <w:rPr>
          <w:rFonts w:hint="eastAsia" w:ascii="Times New Roman" w:hAnsi="Times New Roman" w:cs="宋体"/>
          <w:b w:val="0"/>
          <w:bCs w:val="0"/>
          <w:color w:val="auto"/>
          <w:sz w:val="24"/>
          <w:szCs w:val="20"/>
          <w:highlight w:val="none"/>
        </w:rPr>
        <w:t>十、签订地点</w:t>
      </w:r>
      <w:bookmarkEnd w:id="1213"/>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本合同在签订。</w:t>
      </w:r>
    </w:p>
    <w:p>
      <w:pPr>
        <w:pStyle w:val="5"/>
        <w:keepNext w:val="0"/>
        <w:keepLines w:val="0"/>
        <w:spacing w:line="336" w:lineRule="auto"/>
        <w:ind w:firstLine="480" w:firstLineChars="200"/>
        <w:rPr>
          <w:rFonts w:ascii="Times New Roman" w:hAnsi="Times New Roman"/>
          <w:bCs w:val="0"/>
          <w:color w:val="auto"/>
          <w:sz w:val="32"/>
          <w:szCs w:val="32"/>
          <w:highlight w:val="none"/>
        </w:rPr>
      </w:pPr>
      <w:bookmarkStart w:id="1214" w:name="_Toc351203491"/>
      <w:r>
        <w:rPr>
          <w:rFonts w:hint="eastAsia" w:ascii="Times New Roman" w:hAnsi="Times New Roman" w:cs="宋体"/>
          <w:b w:val="0"/>
          <w:bCs w:val="0"/>
          <w:color w:val="auto"/>
          <w:sz w:val="24"/>
          <w:szCs w:val="20"/>
          <w:highlight w:val="none"/>
        </w:rPr>
        <w:t>十一、补充协议</w:t>
      </w:r>
      <w:bookmarkEnd w:id="1214"/>
    </w:p>
    <w:p>
      <w:pPr>
        <w:spacing w:line="336" w:lineRule="auto"/>
        <w:ind w:firstLine="420" w:firstLineChars="200"/>
        <w:rPr>
          <w:rFonts w:eastAsia="仿宋_GB2312"/>
          <w:b/>
          <w:bCs/>
          <w:color w:val="auto"/>
          <w:sz w:val="30"/>
          <w:szCs w:val="30"/>
          <w:highlight w:val="none"/>
        </w:rPr>
      </w:pPr>
      <w:r>
        <w:rPr>
          <w:rFonts w:hint="eastAsia" w:ascii="宋体" w:hAnsi="宋体" w:cs="宋体"/>
          <w:bCs/>
          <w:color w:val="auto"/>
          <w:szCs w:val="21"/>
          <w:highlight w:val="none"/>
        </w:rPr>
        <w:t>合同未尽事宜，合同当事人另行签订补充协议，补充协议是合同的组成部分。</w:t>
      </w:r>
    </w:p>
    <w:p>
      <w:pPr>
        <w:pStyle w:val="5"/>
        <w:keepNext w:val="0"/>
        <w:keepLines w:val="0"/>
        <w:spacing w:line="336" w:lineRule="auto"/>
        <w:ind w:firstLine="480" w:firstLineChars="200"/>
        <w:rPr>
          <w:rFonts w:ascii="Times New Roman" w:hAnsi="Times New Roman"/>
          <w:bCs w:val="0"/>
          <w:color w:val="auto"/>
          <w:sz w:val="32"/>
          <w:szCs w:val="32"/>
          <w:highlight w:val="none"/>
        </w:rPr>
      </w:pPr>
      <w:bookmarkStart w:id="1215" w:name="_Toc351203492"/>
      <w:r>
        <w:rPr>
          <w:rFonts w:hint="eastAsia" w:ascii="Times New Roman" w:hAnsi="Calibri" w:cs="宋体"/>
          <w:b w:val="0"/>
          <w:bCs w:val="0"/>
          <w:color w:val="auto"/>
          <w:sz w:val="24"/>
          <w:szCs w:val="20"/>
          <w:highlight w:val="none"/>
        </w:rPr>
        <w:t>十二、合同生效</w:t>
      </w:r>
      <w:bookmarkEnd w:id="1215"/>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本合同自生效。</w:t>
      </w:r>
    </w:p>
    <w:p>
      <w:pPr>
        <w:pStyle w:val="5"/>
        <w:keepNext w:val="0"/>
        <w:keepLines w:val="0"/>
        <w:spacing w:line="336" w:lineRule="auto"/>
        <w:ind w:firstLine="480" w:firstLineChars="200"/>
        <w:rPr>
          <w:rFonts w:ascii="Times New Roman" w:hAnsi="Times New Roman"/>
          <w:bCs w:val="0"/>
          <w:color w:val="auto"/>
          <w:sz w:val="32"/>
          <w:szCs w:val="32"/>
          <w:highlight w:val="none"/>
        </w:rPr>
      </w:pPr>
      <w:bookmarkStart w:id="1216" w:name="_Toc351203493"/>
      <w:r>
        <w:rPr>
          <w:rFonts w:hint="eastAsia" w:ascii="Times New Roman" w:hAnsi="Calibri" w:cs="宋体"/>
          <w:b w:val="0"/>
          <w:bCs w:val="0"/>
          <w:color w:val="auto"/>
          <w:sz w:val="24"/>
          <w:szCs w:val="20"/>
          <w:highlight w:val="none"/>
        </w:rPr>
        <w:t>十三、合同份数</w:t>
      </w:r>
      <w:bookmarkEnd w:id="1216"/>
    </w:p>
    <w:p>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本合同一式份，均具有同等法律效力，发包人执份，承包人执份。</w:t>
      </w:r>
    </w:p>
    <w:p>
      <w:pPr>
        <w:spacing w:line="336" w:lineRule="auto"/>
        <w:ind w:firstLine="420" w:firstLineChars="200"/>
        <w:rPr>
          <w:rFonts w:ascii="宋体" w:hAnsi="宋体" w:cs="宋体"/>
          <w:bCs/>
          <w:color w:val="auto"/>
          <w:szCs w:val="21"/>
          <w:highlight w:val="none"/>
        </w:rPr>
      </w:pP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336" w:lineRule="auto"/>
        <w:jc w:val="left"/>
        <w:rPr>
          <w:rFonts w:ascii="宋体" w:hAnsi="宋体" w:cs="宋体"/>
          <w:color w:val="auto"/>
          <w:szCs w:val="21"/>
          <w:highlight w:val="none"/>
          <w:u w:val="single"/>
        </w:rPr>
      </w:pP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（签字）                    （签字）</w:t>
      </w:r>
    </w:p>
    <w:p>
      <w:pPr>
        <w:spacing w:line="336" w:lineRule="auto"/>
        <w:jc w:val="left"/>
        <w:rPr>
          <w:rFonts w:ascii="宋体" w:hAnsi="宋体" w:cs="宋体"/>
          <w:color w:val="auto"/>
          <w:szCs w:val="21"/>
          <w:highlight w:val="none"/>
          <w:u w:val="single"/>
        </w:rPr>
      </w:pPr>
    </w:p>
    <w:p>
      <w:pPr>
        <w:tabs>
          <w:tab w:val="left" w:pos="4410"/>
        </w:tabs>
        <w:spacing w:line="336" w:lineRule="auto"/>
        <w:jc w:val="left"/>
        <w:rPr>
          <w:rFonts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  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pPr>
        <w:spacing w:line="336" w:lineRule="auto"/>
        <w:jc w:val="left"/>
        <w:rPr>
          <w:rFonts w:ascii="宋体" w:hAnsi="宋体" w:cs="宋体"/>
          <w:color w:val="auto"/>
          <w:szCs w:val="21"/>
          <w:highlight w:val="none"/>
          <w:u w:val="single"/>
        </w:rPr>
        <w:sectPr>
          <w:pgSz w:w="11906" w:h="16838"/>
          <w:pgMar w:top="2098" w:right="1446" w:bottom="1984" w:left="1446" w:header="851" w:footer="1446" w:gutter="0"/>
          <w:cols w:space="0" w:num="1"/>
          <w:titlePg/>
          <w:docGrid w:linePitch="312" w:charSpace="0"/>
        </w:sect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pPr>
        <w:pStyle w:val="4"/>
        <w:keepNext w:val="0"/>
        <w:keepLines w:val="0"/>
        <w:spacing w:line="336" w:lineRule="auto"/>
        <w:jc w:val="center"/>
        <w:rPr>
          <w:rStyle w:val="40"/>
          <w:color w:val="auto"/>
          <w:sz w:val="30"/>
          <w:szCs w:val="30"/>
          <w:highlight w:val="none"/>
        </w:rPr>
      </w:pPr>
      <w:bookmarkStart w:id="1217" w:name="_Toc6369"/>
      <w:bookmarkStart w:id="1218" w:name="_Toc319614901"/>
      <w:bookmarkStart w:id="1219" w:name="_Toc351203494"/>
      <w:bookmarkStart w:id="1220" w:name="_Toc3913"/>
      <w:bookmarkStart w:id="1221" w:name="_Toc4643"/>
      <w:bookmarkStart w:id="1222" w:name="_Toc7311"/>
      <w:bookmarkStart w:id="1223" w:name="_Toc1056468649"/>
      <w:bookmarkStart w:id="1224" w:name="_Toc22415"/>
      <w:bookmarkStart w:id="1225" w:name="_Toc24273"/>
      <w:r>
        <w:rPr>
          <w:rFonts w:hint="eastAsia"/>
          <w:b w:val="0"/>
          <w:bCs w:val="0"/>
          <w:color w:val="auto"/>
          <w:sz w:val="30"/>
          <w:szCs w:val="30"/>
          <w:highlight w:val="none"/>
        </w:rPr>
        <w:t>第二部分 通用合同条款</w:t>
      </w:r>
      <w:bookmarkEnd w:id="1217"/>
      <w:bookmarkEnd w:id="1218"/>
      <w:bookmarkEnd w:id="1219"/>
      <w:bookmarkEnd w:id="1220"/>
      <w:bookmarkEnd w:id="1221"/>
      <w:bookmarkEnd w:id="1222"/>
      <w:bookmarkEnd w:id="1223"/>
      <w:bookmarkEnd w:id="1224"/>
      <w:bookmarkEnd w:id="1225"/>
      <w:bookmarkStart w:id="1226" w:name="_Toc337558727"/>
    </w:p>
    <w:p>
      <w:pPr>
        <w:pStyle w:val="5"/>
        <w:keepNext w:val="0"/>
        <w:keepLines w:val="0"/>
        <w:spacing w:line="336" w:lineRule="auto"/>
        <w:rPr>
          <w:rFonts w:ascii="宋体" w:hAnsi="宋体" w:eastAsia="宋体" w:cs="宋体"/>
          <w:color w:val="auto"/>
          <w:sz w:val="24"/>
          <w:szCs w:val="24"/>
          <w:highlight w:val="none"/>
        </w:rPr>
      </w:pPr>
      <w:bookmarkStart w:id="1227" w:name="_Toc351203495"/>
      <w:r>
        <w:rPr>
          <w:rFonts w:hint="eastAsia" w:ascii="Times New Roman" w:hAnsi="Times New Roman" w:eastAsia="宋体" w:cs="宋体"/>
          <w:color w:val="auto"/>
          <w:sz w:val="24"/>
          <w:szCs w:val="24"/>
          <w:highlight w:val="none"/>
        </w:rPr>
        <w:t>1</w:t>
      </w:r>
      <w:r>
        <w:rPr>
          <w:rFonts w:hint="eastAsia" w:ascii="宋体" w:hAnsi="宋体" w:eastAsia="宋体" w:cs="宋体"/>
          <w:color w:val="auto"/>
          <w:sz w:val="24"/>
          <w:szCs w:val="24"/>
          <w:highlight w:val="none"/>
        </w:rPr>
        <w:t>.</w:t>
      </w:r>
      <w:bookmarkStart w:id="1228" w:name="_Toc303538973"/>
      <w:bookmarkEnd w:id="1228"/>
      <w:bookmarkStart w:id="1229" w:name="_Toc303538975"/>
      <w:bookmarkEnd w:id="1229"/>
      <w:bookmarkStart w:id="1230" w:name="_Toc303538972"/>
      <w:bookmarkEnd w:id="1230"/>
      <w:bookmarkStart w:id="1231" w:name="_Toc303538976"/>
      <w:bookmarkEnd w:id="1231"/>
      <w:bookmarkStart w:id="1232" w:name="_Toc303538974"/>
      <w:bookmarkEnd w:id="1232"/>
      <w:bookmarkStart w:id="1233" w:name="_Toc296346528"/>
      <w:bookmarkStart w:id="1234" w:name="_Toc296503027"/>
      <w:r>
        <w:rPr>
          <w:rFonts w:hint="eastAsia" w:ascii="宋体" w:hAnsi="宋体" w:eastAsia="宋体" w:cs="宋体"/>
          <w:color w:val="auto"/>
          <w:sz w:val="24"/>
          <w:szCs w:val="24"/>
          <w:highlight w:val="none"/>
        </w:rPr>
        <w:t xml:space="preserve"> 一般约定</w:t>
      </w:r>
      <w:bookmarkEnd w:id="1226"/>
      <w:bookmarkEnd w:id="1227"/>
      <w:bookmarkEnd w:id="1233"/>
      <w:bookmarkEnd w:id="1234"/>
    </w:p>
    <w:p>
      <w:pPr>
        <w:spacing w:line="336" w:lineRule="auto"/>
        <w:ind w:firstLine="422" w:firstLineChars="200"/>
        <w:outlineLvl w:val="4"/>
        <w:rPr>
          <w:rFonts w:ascii="宋体" w:hAnsi="宋体" w:cs="宋体"/>
          <w:b/>
          <w:bCs/>
          <w:color w:val="auto"/>
          <w:szCs w:val="21"/>
          <w:highlight w:val="none"/>
        </w:rPr>
      </w:pPr>
      <w:bookmarkStart w:id="1235" w:name="_Toc337558728"/>
      <w:bookmarkStart w:id="1236" w:name="_Toc296503028"/>
      <w:bookmarkStart w:id="1237" w:name="_Toc296346529"/>
      <w:bookmarkStart w:id="1238" w:name="_Toc351203496"/>
      <w:r>
        <w:rPr>
          <w:rFonts w:hint="eastAsia" w:cs="宋体"/>
          <w:b/>
          <w:bCs/>
          <w:color w:val="auto"/>
          <w:szCs w:val="21"/>
          <w:highlight w:val="none"/>
        </w:rPr>
        <w:t>1</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词语定义</w:t>
      </w:r>
      <w:bookmarkEnd w:id="1235"/>
      <w:bookmarkEnd w:id="1236"/>
      <w:bookmarkEnd w:id="1237"/>
      <w:r>
        <w:rPr>
          <w:rFonts w:hint="eastAsia" w:ascii="宋体" w:hAnsi="宋体" w:cs="宋体"/>
          <w:b/>
          <w:bCs/>
          <w:color w:val="auto"/>
          <w:szCs w:val="21"/>
          <w:highlight w:val="none"/>
        </w:rPr>
        <w:t>与解释</w:t>
      </w:r>
      <w:bookmarkEnd w:id="1238"/>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pPr>
        <w:autoSpaceDE w:val="0"/>
        <w:autoSpaceDN w:val="0"/>
        <w:adjustRightInd w:val="0"/>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合同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、通用合同条款、技术标准和要求、图纸、已标价工程量清单或预算书以及其他合同文件。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合同协议书：是指构成合同的由发包人和承包人共同签署的称为“合同协议书”的书面文件。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中标通知书：是指构成合同的由发包人通知承包人中标的书面文件。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投标函：是指构成合同的由承包人填写并签署的用于投标的称为“投标函”的文件。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投标函附录：是指构成合同的附在投标函后的称为“投标函附录”的文件。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技术标准和要求：是指构成合同的施工应当遵守的或指导施工的国家、行业或地方的技术标准和要求，以及合同约定的技术标准和要求。</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36" w:lineRule="auto"/>
        <w:ind w:firstLine="409" w:firstLineChars="195"/>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 xml:space="preserve"> 已标价工程量清单：是指构成合同的由承包人按照规定的格式和要求填写并标明价格的工程量清单，包括说明和表格。</w:t>
      </w:r>
    </w:p>
    <w:p>
      <w:pPr>
        <w:autoSpaceDE w:val="0"/>
        <w:autoSpaceDN w:val="0"/>
        <w:adjustRightInd w:val="0"/>
        <w:spacing w:line="336" w:lineRule="auto"/>
        <w:ind w:firstLine="409" w:firstLineChars="195"/>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 xml:space="preserve"> 预算书：是指构成合同的由承包人按照发包人规定的格式和要求编制的工程预算文件。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 xml:space="preserve"> 其他合同文件：是指经合同当事人约定的与工程施工有关的具有合同约束力的文件或书面协议。合同当事人可以在专用合同条款中进行约定。</w:t>
      </w:r>
    </w:p>
    <w:p>
      <w:pPr>
        <w:autoSpaceDE w:val="0"/>
        <w:autoSpaceDN w:val="0"/>
        <w:adjustRightInd w:val="0"/>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合同当事人及其他相关方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合同当事人：是指发包人和（或）承包人。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发包人：是指与承包人签订合同协议书的当事人及取得该当事人资格的合法继承人。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承包人：是指与发包人签订合同协议书的，具有相应工程施工承包资质的当事人及取得该当事人资格的合法继承人。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监理人：是指在专用合同条款中指明的，受发包人委托按照法律规定进行工程监督管理的法人或其他组织。</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设计人：是指在专用合同条款中指明的，受发包人委托负责工程设计并具备相应工程设计资质的法人或其他组织。</w:t>
      </w:r>
    </w:p>
    <w:p>
      <w:pPr>
        <w:spacing w:line="336" w:lineRule="auto"/>
        <w:ind w:firstLine="409" w:firstLineChars="195"/>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分包人：</w:t>
      </w:r>
      <w:bookmarkStart w:id="1239" w:name="#go5"/>
      <w:bookmarkEnd w:id="1239"/>
      <w:r>
        <w:rPr>
          <w:rFonts w:hint="eastAsia" w:ascii="宋体" w:hAnsi="宋体" w:cs="宋体"/>
          <w:color w:val="auto"/>
          <w:kern w:val="0"/>
          <w:szCs w:val="21"/>
          <w:highlight w:val="none"/>
        </w:rPr>
        <w:t>是指按照法律规定和合同约定，分包部分工程或工作，并与承包人签订分包合同的具有相应资质的法人。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发包人代表：是指由发包人任命并派驻施工现场在发包人授权范围内行使发包人权利的人。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 xml:space="preserve"> 项目负责人：是指由承包人任命并派驻施工现场，在承包人授权范围内负责合同履行，且按照法律规定具有相应资格的项目负责人。</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 xml:space="preserve"> 总监理工程师：是指由监理人任命并派驻施工现场进行工程监理的总负责人。</w:t>
      </w:r>
    </w:p>
    <w:p>
      <w:pPr>
        <w:pStyle w:val="36"/>
        <w:spacing w:line="336" w:lineRule="auto"/>
        <w:ind w:firstLine="420" w:firstLineChars="200"/>
        <w:outlineLvl w:val="9"/>
        <w:rPr>
          <w:rFonts w:ascii="宋体" w:hAnsi="宋体" w:eastAsia="宋体" w:cs="宋体"/>
          <w:color w:val="auto"/>
          <w:kern w:val="0"/>
          <w:sz w:val="21"/>
          <w:szCs w:val="21"/>
          <w:highlight w:val="none"/>
        </w:rPr>
      </w:pPr>
      <w:bookmarkStart w:id="1240" w:name="_Toc28620"/>
      <w:r>
        <w:rPr>
          <w:rFonts w:hint="eastAsia"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none"/>
        </w:rPr>
        <w:t>.</w:t>
      </w:r>
      <w:r>
        <w:rPr>
          <w:rFonts w:hint="eastAsia"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none"/>
        </w:rPr>
        <w:t>.</w:t>
      </w:r>
      <w:r>
        <w:rPr>
          <w:rFonts w:hint="eastAsia"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none"/>
        </w:rPr>
        <w:t>.</w:t>
      </w:r>
      <w:r>
        <w:rPr>
          <w:rFonts w:hint="eastAsia" w:eastAsia="宋体" w:cs="宋体"/>
          <w:color w:val="auto"/>
          <w:kern w:val="0"/>
          <w:sz w:val="21"/>
          <w:szCs w:val="21"/>
          <w:highlight w:val="none"/>
          <w:u w:val="none"/>
        </w:rPr>
        <w:t>10</w:t>
      </w:r>
      <w:r>
        <w:rPr>
          <w:rFonts w:hint="eastAsia" w:ascii="宋体" w:hAnsi="宋体" w:eastAsia="宋体" w:cs="宋体"/>
          <w:color w:val="auto"/>
          <w:kern w:val="0"/>
          <w:sz w:val="21"/>
          <w:szCs w:val="21"/>
          <w:highlight w:val="none"/>
        </w:rPr>
        <w:t>承包人</w:t>
      </w:r>
      <w:r>
        <w:rPr>
          <w:rFonts w:hint="eastAsia" w:ascii="宋体" w:hAnsi="宋体" w:eastAsia="宋体" w:cs="宋体"/>
          <w:color w:val="auto"/>
          <w:kern w:val="0"/>
          <w:sz w:val="21"/>
          <w:szCs w:val="21"/>
          <w:highlight w:val="none"/>
          <w:u w:val="none"/>
        </w:rPr>
        <w:t>其他主要</w:t>
      </w:r>
      <w:r>
        <w:rPr>
          <w:rFonts w:hint="eastAsia" w:ascii="宋体" w:hAnsi="宋体" w:eastAsia="宋体" w:cs="宋体"/>
          <w:color w:val="auto"/>
          <w:kern w:val="0"/>
          <w:sz w:val="21"/>
          <w:szCs w:val="21"/>
          <w:highlight w:val="none"/>
        </w:rPr>
        <w:t>施工管理人员</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rPr>
        <w:t>包括</w:t>
      </w:r>
      <w:r>
        <w:rPr>
          <w:rFonts w:hint="eastAsia" w:ascii="宋体" w:hAnsi="宋体" w:eastAsia="宋体" w:cs="宋体"/>
          <w:color w:val="auto"/>
          <w:kern w:val="0"/>
          <w:sz w:val="21"/>
          <w:szCs w:val="21"/>
          <w:highlight w:val="none"/>
          <w:u w:val="none"/>
        </w:rPr>
        <w:t>技术负责人、</w:t>
      </w:r>
      <w:r>
        <w:rPr>
          <w:rFonts w:hint="eastAsia" w:ascii="宋体" w:hAnsi="宋体" w:eastAsia="宋体" w:cs="宋体"/>
          <w:color w:val="auto"/>
          <w:kern w:val="0"/>
          <w:sz w:val="21"/>
          <w:szCs w:val="21"/>
          <w:highlight w:val="none"/>
        </w:rPr>
        <w:t>施工员、质量员、安全员、材料员、资料员等</w:t>
      </w:r>
      <w:r>
        <w:rPr>
          <w:rFonts w:hint="eastAsia" w:ascii="宋体" w:hAnsi="宋体" w:eastAsia="宋体" w:cs="宋体"/>
          <w:color w:val="auto"/>
          <w:kern w:val="0"/>
          <w:sz w:val="21"/>
          <w:szCs w:val="21"/>
          <w:highlight w:val="none"/>
          <w:u w:val="none"/>
        </w:rPr>
        <w:t>。</w:t>
      </w:r>
      <w:bookmarkEnd w:id="1240"/>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工程和设备</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工程：是指与合同协议书中工程承包范围对应的永久工程和（或）临时工程。</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永久工程：是指按合同约定建造并移交给发包人的工程，包括工程设备。</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临时工程：是指为完成合同约定的永久工程所修建的各类临时性工程，不包括施工设备。</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单位工程：是指在合同协议书中指明的，具备独立施工条件并能形成独立使用功能的永久工程。</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工程设备：是指构成永久工程的机电设备、金属结构设备、仪器及其他类似的设备和装置。</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施工设备：是指为完成合同约定的各项工作所需的设备、器具和其他物品，但不包括工程设备、临时工程和材料。</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施工现场：是指用于工程施工的场所，以及在专用合同条款中指明作为施工场所组成部分的其他场所，包括永久占地和临时占地。</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临时设施：是指为完成合同约定的各项工作所服务的临时性生产和生活设施。</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 xml:space="preserve"> 永久占地：是指专用合同条款中指明为实施工程需永久占用的土地。</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 xml:space="preserve"> 临时占地：是指专用合同条款中指明为实施工程需要临时占用的土地。</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日期和期限</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开工日期：包括计划开工日期和实际开工日期。计划开工日期是指合同协议书约定的开工日期；实际开工日期是指监理人按照第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项〔开工通知〕约定发出的符合法律规定的开工通知中载明的开工日期。</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完工日期：包括计划完工日期和实际完工日期。计划完工日期是指合同协议书约定的完工日期；实际完工日期按照第</w:t>
      </w: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项〔完工日期〕的约定确定。 </w:t>
      </w:r>
    </w:p>
    <w:p>
      <w:pPr>
        <w:spacing w:line="336" w:lineRule="auto"/>
        <w:ind w:firstLine="426" w:firstLineChars="203"/>
        <w:rPr>
          <w:rFonts w:ascii="宋体" w:hAnsi="宋体" w:cs="宋体"/>
          <w:color w:val="auto"/>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工期：是指在合同协议书约定的承包人完成工程所需的期限，包括按照合同约定所作的期限变更。</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缺陷责任期：是指承包人按照合同约定承担缺陷修复义务，且发包人预留质量保证金（已缴纳履约保证金的除外）的期限，自工程实际完工日期起计算。</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保修期：是指承包人按照合同约定对工程承担保修责任的期限，从工程竣工验收合格之日起计算。</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基准日期：招标发包的工程以投标截止日前</w:t>
      </w:r>
      <w:r>
        <w:rPr>
          <w:rFonts w:hint="eastAsia" w:cs="宋体"/>
          <w:color w:val="auto"/>
          <w:kern w:val="0"/>
          <w:szCs w:val="21"/>
          <w:highlight w:val="none"/>
        </w:rPr>
        <w:t>28</w:t>
      </w:r>
      <w:r>
        <w:rPr>
          <w:rFonts w:hint="eastAsia" w:ascii="宋体" w:hAnsi="宋体" w:cs="宋体"/>
          <w:color w:val="auto"/>
          <w:kern w:val="0"/>
          <w:szCs w:val="21"/>
          <w:highlight w:val="none"/>
        </w:rPr>
        <w:t>天的日期为基准日期，直接发包的工程以合同签订日前</w:t>
      </w:r>
      <w:r>
        <w:rPr>
          <w:rFonts w:hint="eastAsia" w:cs="宋体"/>
          <w:color w:val="auto"/>
          <w:kern w:val="0"/>
          <w:szCs w:val="21"/>
          <w:highlight w:val="none"/>
        </w:rPr>
        <w:t>28</w:t>
      </w:r>
      <w:r>
        <w:rPr>
          <w:rFonts w:hint="eastAsia" w:ascii="宋体" w:hAnsi="宋体" w:cs="宋体"/>
          <w:color w:val="auto"/>
          <w:kern w:val="0"/>
          <w:szCs w:val="21"/>
          <w:highlight w:val="none"/>
        </w:rPr>
        <w:t>天的日期为基准日期。</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天：除特别指明外，均指日历天。合同中按天计算时间的，开始当天不计入，从次日开始计算，期限最后一天的截止时间为当天</w:t>
      </w:r>
      <w:r>
        <w:rPr>
          <w:rFonts w:hint="eastAsia" w:cs="宋体"/>
          <w:color w:val="auto"/>
          <w:kern w:val="0"/>
          <w:szCs w:val="21"/>
          <w:highlight w:val="none"/>
        </w:rPr>
        <w:t>24</w:t>
      </w:r>
      <w:r>
        <w:rPr>
          <w:rFonts w:hint="eastAsia" w:ascii="宋体" w:hAnsi="宋体" w:cs="宋体"/>
          <w:color w:val="auto"/>
          <w:kern w:val="0"/>
          <w:szCs w:val="21"/>
          <w:highlight w:val="none"/>
        </w:rPr>
        <w:t>:</w:t>
      </w:r>
      <w:r>
        <w:rPr>
          <w:rFonts w:hint="eastAsia" w:cs="宋体"/>
          <w:color w:val="auto"/>
          <w:kern w:val="0"/>
          <w:szCs w:val="21"/>
          <w:highlight w:val="none"/>
        </w:rPr>
        <w:t>00</w:t>
      </w:r>
      <w:r>
        <w:rPr>
          <w:rFonts w:hint="eastAsia" w:ascii="宋体" w:hAnsi="宋体" w:cs="宋体"/>
          <w:color w:val="auto"/>
          <w:kern w:val="0"/>
          <w:szCs w:val="21"/>
          <w:highlight w:val="none"/>
        </w:rPr>
        <w:t>时。</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合同价格和费用</w:t>
      </w:r>
    </w:p>
    <w:p>
      <w:pPr>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签约合同价：是指</w:t>
      </w:r>
      <w:r>
        <w:rPr>
          <w:rFonts w:hint="eastAsia" w:ascii="宋体" w:hAnsi="宋体" w:cs="宋体"/>
          <w:color w:val="auto"/>
          <w:szCs w:val="21"/>
          <w:highlight w:val="none"/>
        </w:rPr>
        <w:t>发包人和承包人在合同协议书中确定的总金额，包括安全文明施工费、暂估价及暂列金额（如有）等。</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合同价格：是指发包人用于支付承包人按照合同约定完成承包范围内全部工作的金额，包括合同履行过程中按合同约定发生的价格变化。</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费用：是指为履行合同所发生的或将要发生的所有必需的开支，包括管理费和应分摊的其他费用，但不包括利润。</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暂估价：是指发包人在工程量清单或预算书中提供的用于支付必然发生但暂时不能确定价格的材料、工程设备的单价、专业工程以及服务工作的金额。</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计日工：是指合同履行过程中，承包人完成发包人提出的零星工作或需要采用计日工计价的变更工作时，按合同中约定的单价计价的一种方式。</w:t>
      </w:r>
    </w:p>
    <w:p>
      <w:pPr>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质量保证金</w:t>
      </w:r>
      <w:bookmarkStart w:id="1241" w:name="#go2"/>
      <w:bookmarkEnd w:id="1241"/>
      <w:r>
        <w:rPr>
          <w:rFonts w:hint="eastAsia" w:ascii="宋体" w:hAnsi="宋体" w:cs="宋体"/>
          <w:color w:val="auto"/>
          <w:kern w:val="0"/>
          <w:szCs w:val="21"/>
          <w:highlight w:val="none"/>
        </w:rPr>
        <w:t>：是指按照第</w:t>
      </w: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款〔质量保证金〕约定承包人用于保证其在缺陷责任期内履行缺陷修补义务的担保</w:t>
      </w:r>
      <w:r>
        <w:rPr>
          <w:rFonts w:hint="eastAsia" w:ascii="宋体" w:hAnsi="宋体" w:cs="宋体"/>
          <w:color w:val="auto"/>
          <w:szCs w:val="21"/>
          <w:highlight w:val="none"/>
        </w:rPr>
        <w:t>。</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 xml:space="preserve"> 总价项目：是指在现行国家、行业以及地方的计量规则中无工程量计算规则，在已标价工程量清单或预算书中以总价或以费率形式计算的项目。</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其他</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书面形式：是指合同文件、信函、电报、传真等可以有形地表现所载内容的形式。</w:t>
      </w:r>
    </w:p>
    <w:p>
      <w:pPr>
        <w:spacing w:line="336" w:lineRule="auto"/>
        <w:ind w:firstLine="422" w:firstLineChars="200"/>
        <w:outlineLvl w:val="4"/>
        <w:rPr>
          <w:rFonts w:ascii="宋体" w:hAnsi="宋体" w:cs="宋体"/>
          <w:b/>
          <w:bCs/>
          <w:color w:val="auto"/>
          <w:szCs w:val="21"/>
          <w:highlight w:val="none"/>
        </w:rPr>
      </w:pPr>
      <w:bookmarkStart w:id="1242" w:name="_Toc337558729"/>
      <w:bookmarkStart w:id="1243" w:name="_Toc296503029"/>
      <w:bookmarkStart w:id="1244" w:name="_Toc351203497"/>
      <w:bookmarkStart w:id="1245" w:name="_Toc296346530"/>
      <w:r>
        <w:rPr>
          <w:rFonts w:hint="eastAsia" w:cs="宋体"/>
          <w:b/>
          <w:bCs/>
          <w:color w:val="auto"/>
          <w:szCs w:val="21"/>
          <w:highlight w:val="none"/>
        </w:rPr>
        <w:t>1</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语言文字</w:t>
      </w:r>
      <w:bookmarkEnd w:id="1242"/>
      <w:bookmarkEnd w:id="1243"/>
      <w:bookmarkEnd w:id="1244"/>
      <w:bookmarkEnd w:id="1245"/>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pPr>
        <w:spacing w:line="336" w:lineRule="auto"/>
        <w:ind w:firstLine="422" w:firstLineChars="200"/>
        <w:outlineLvl w:val="4"/>
        <w:rPr>
          <w:rFonts w:ascii="宋体" w:hAnsi="宋体" w:cs="宋体"/>
          <w:b/>
          <w:bCs/>
          <w:color w:val="auto"/>
          <w:szCs w:val="21"/>
          <w:highlight w:val="none"/>
        </w:rPr>
      </w:pPr>
      <w:bookmarkStart w:id="1246" w:name="_Toc337558730"/>
      <w:bookmarkStart w:id="1247" w:name="_Toc296346531"/>
      <w:bookmarkStart w:id="1248" w:name="_Toc351203498"/>
      <w:bookmarkStart w:id="1249" w:name="_Toc296503030"/>
      <w:r>
        <w:rPr>
          <w:rFonts w:hint="eastAsia" w:cs="宋体"/>
          <w:b/>
          <w:bCs/>
          <w:color w:val="auto"/>
          <w:szCs w:val="21"/>
          <w:highlight w:val="none"/>
        </w:rPr>
        <w:t>1</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法律</w:t>
      </w:r>
      <w:bookmarkEnd w:id="1246"/>
      <w:bookmarkEnd w:id="1247"/>
      <w:bookmarkEnd w:id="1248"/>
      <w:bookmarkEnd w:id="1249"/>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pPr>
        <w:spacing w:line="336" w:lineRule="auto"/>
        <w:ind w:firstLine="422" w:firstLineChars="200"/>
        <w:outlineLvl w:val="4"/>
        <w:rPr>
          <w:rFonts w:ascii="宋体" w:hAnsi="宋体" w:cs="宋体"/>
          <w:b/>
          <w:bCs/>
          <w:color w:val="auto"/>
          <w:szCs w:val="21"/>
          <w:highlight w:val="none"/>
        </w:rPr>
      </w:pPr>
      <w:bookmarkStart w:id="1250" w:name="_Toc351203499"/>
      <w:r>
        <w:rPr>
          <w:rFonts w:hint="eastAsia" w:cs="宋体"/>
          <w:b/>
          <w:bCs/>
          <w:color w:val="auto"/>
          <w:szCs w:val="21"/>
          <w:highlight w:val="none"/>
        </w:rPr>
        <w:t>1</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标准和规范</w:t>
      </w:r>
      <w:bookmarkEnd w:id="1250"/>
    </w:p>
    <w:p>
      <w:pPr>
        <w:autoSpaceDE w:val="0"/>
        <w:autoSpaceDN w:val="0"/>
        <w:adjustRightInd w:val="0"/>
        <w:spacing w:line="336" w:lineRule="auto"/>
        <w:ind w:firstLine="64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适用于工程的国家标准、行业标准、工程所在地的地方性标准，以及相应的规范、规程等，合同当事人有特别要求的，应在专用合同条款中约定。</w:t>
      </w:r>
    </w:p>
    <w:p>
      <w:pPr>
        <w:autoSpaceDE w:val="0"/>
        <w:autoSpaceDN w:val="0"/>
        <w:adjustRightInd w:val="0"/>
        <w:spacing w:line="336" w:lineRule="auto"/>
        <w:ind w:firstLine="64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36" w:lineRule="auto"/>
        <w:ind w:firstLine="422" w:firstLineChars="200"/>
        <w:outlineLvl w:val="4"/>
        <w:rPr>
          <w:rFonts w:ascii="宋体" w:hAnsi="宋体" w:cs="宋体"/>
          <w:b/>
          <w:bCs/>
          <w:color w:val="auto"/>
          <w:szCs w:val="21"/>
          <w:highlight w:val="none"/>
        </w:rPr>
      </w:pPr>
      <w:bookmarkStart w:id="1251" w:name="_Toc351203500"/>
      <w:r>
        <w:rPr>
          <w:rFonts w:hint="eastAsia" w:cs="宋体"/>
          <w:b/>
          <w:bCs/>
          <w:color w:val="auto"/>
          <w:szCs w:val="21"/>
          <w:highlight w:val="none"/>
        </w:rPr>
        <w:t>1</w:t>
      </w:r>
      <w:bookmarkStart w:id="1252" w:name="_Toc296503031"/>
      <w:bookmarkStart w:id="1253" w:name="_Toc337558731"/>
      <w:bookmarkStart w:id="1254" w:name="_Toc296346532"/>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合同文件的优先顺序</w:t>
      </w:r>
      <w:bookmarkEnd w:id="1251"/>
    </w:p>
    <w:bookmarkEnd w:id="1252"/>
    <w:bookmarkEnd w:id="1253"/>
    <w:bookmarkEnd w:id="125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）合同协议书；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）中标通知书（如果有）；</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）投标函及其附录（如果有）；</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）通用合同条款；</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）技术标准和要求；</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）图纸；</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）已标价工程量清单或预算书；</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）其他合同文件。</w:t>
      </w:r>
    </w:p>
    <w:p>
      <w:pPr>
        <w:spacing w:line="336" w:lineRule="auto"/>
        <w:ind w:firstLine="447" w:firstLineChars="213"/>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spacing w:line="336" w:lineRule="auto"/>
        <w:ind w:firstLine="447" w:firstLineChars="213"/>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pPr>
        <w:pStyle w:val="6"/>
        <w:keepNext w:val="0"/>
        <w:keepLines w:val="0"/>
        <w:spacing w:line="336" w:lineRule="auto"/>
        <w:ind w:firstLine="422" w:firstLineChars="200"/>
        <w:rPr>
          <w:rFonts w:ascii="宋体" w:hAnsi="宋体" w:cs="宋体"/>
          <w:color w:val="auto"/>
          <w:sz w:val="21"/>
          <w:szCs w:val="21"/>
          <w:highlight w:val="none"/>
        </w:rPr>
      </w:pPr>
      <w:bookmarkStart w:id="1255" w:name="_Toc351203501"/>
      <w:r>
        <w:rPr>
          <w:rFonts w:hint="eastAsia" w:cs="宋体"/>
          <w:color w:val="auto"/>
          <w:sz w:val="21"/>
          <w:szCs w:val="21"/>
          <w:highlight w:val="none"/>
        </w:rPr>
        <w:t>1</w:t>
      </w:r>
      <w:bookmarkStart w:id="1256" w:name="_Toc296503032"/>
      <w:bookmarkStart w:id="1257" w:name="_Toc296346533"/>
      <w:bookmarkStart w:id="1258" w:name="_Toc337558732"/>
      <w:r>
        <w:rPr>
          <w:rFonts w:hint="eastAsia" w:ascii="宋体" w:hAnsi="宋体" w:cs="宋体"/>
          <w:color w:val="auto"/>
          <w:sz w:val="21"/>
          <w:szCs w:val="21"/>
          <w:highlight w:val="none"/>
        </w:rPr>
        <w:t>.</w:t>
      </w:r>
      <w:r>
        <w:rPr>
          <w:rFonts w:hint="eastAsia" w:cs="宋体"/>
          <w:color w:val="auto"/>
          <w:sz w:val="21"/>
          <w:szCs w:val="21"/>
          <w:highlight w:val="none"/>
        </w:rPr>
        <w:t>6</w:t>
      </w:r>
      <w:r>
        <w:rPr>
          <w:rFonts w:hint="eastAsia" w:ascii="宋体" w:hAnsi="宋体" w:cs="宋体"/>
          <w:color w:val="auto"/>
          <w:sz w:val="21"/>
          <w:szCs w:val="21"/>
          <w:highlight w:val="none"/>
        </w:rPr>
        <w:t>图纸和承包人文件</w:t>
      </w:r>
      <w:bookmarkEnd w:id="1255"/>
    </w:p>
    <w:bookmarkEnd w:id="1256"/>
    <w:bookmarkEnd w:id="1257"/>
    <w:bookmarkEnd w:id="1258"/>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图纸的提供和交底</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项〔开工通知〕载明的开工日期前</w:t>
      </w:r>
      <w:r>
        <w:rPr>
          <w:rFonts w:hint="eastAsia" w:cs="宋体"/>
          <w:color w:val="auto"/>
          <w:kern w:val="0"/>
          <w:szCs w:val="21"/>
          <w:highlight w:val="none"/>
        </w:rPr>
        <w:t>14</w:t>
      </w:r>
      <w:r>
        <w:rPr>
          <w:rFonts w:hint="eastAsia" w:ascii="宋体" w:hAnsi="宋体" w:cs="宋体"/>
          <w:color w:val="auto"/>
          <w:kern w:val="0"/>
          <w:szCs w:val="21"/>
          <w:highlight w:val="none"/>
        </w:rPr>
        <w:t>天向承包人提供图纸。</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项〔因发包人原因导致工期延误〕约定办理。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图纸的错误</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图纸的修改和补充</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承包人文件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w:t>
      </w:r>
      <w:r>
        <w:rPr>
          <w:rFonts w:hint="eastAsia" w:cs="宋体"/>
          <w:color w:val="auto"/>
          <w:kern w:val="0"/>
          <w:szCs w:val="21"/>
          <w:highlight w:val="none"/>
        </w:rPr>
        <w:t>7</w:t>
      </w:r>
      <w:r>
        <w:rPr>
          <w:rFonts w:hint="eastAsia" w:ascii="宋体" w:hAnsi="宋体" w:cs="宋体"/>
          <w:color w:val="auto"/>
          <w:kern w:val="0"/>
          <w:szCs w:val="21"/>
          <w:highlight w:val="none"/>
        </w:rPr>
        <w:t>天内审查完毕，监理人对承包人文件有异议的，承包人应予以修改，并重新报送监理人。监理人的审查并不减轻或免除承包人根据合同约定应当承担的责任。</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图纸和承包人文件的保管</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6"/>
        <w:keepNext w:val="0"/>
        <w:keepLines w:val="0"/>
        <w:spacing w:line="336" w:lineRule="auto"/>
        <w:ind w:firstLine="422" w:firstLineChars="200"/>
        <w:rPr>
          <w:rFonts w:ascii="宋体" w:hAnsi="宋体" w:cs="宋体"/>
          <w:color w:val="auto"/>
          <w:sz w:val="21"/>
          <w:szCs w:val="21"/>
          <w:highlight w:val="none"/>
        </w:rPr>
      </w:pPr>
      <w:bookmarkStart w:id="1259" w:name="_Toc351203502"/>
      <w:r>
        <w:rPr>
          <w:rFonts w:hint="eastAsia" w:cs="宋体"/>
          <w:color w:val="auto"/>
          <w:sz w:val="21"/>
          <w:szCs w:val="21"/>
          <w:highlight w:val="none"/>
        </w:rPr>
        <w:t>1</w:t>
      </w:r>
      <w:bookmarkStart w:id="1260" w:name="_Toc296346534"/>
      <w:bookmarkStart w:id="1261" w:name="_Toc296503033"/>
      <w:bookmarkStart w:id="1262" w:name="_Toc337558733"/>
      <w:r>
        <w:rPr>
          <w:rFonts w:hint="eastAsia" w:ascii="宋体" w:hAnsi="宋体" w:cs="宋体"/>
          <w:color w:val="auto"/>
          <w:sz w:val="21"/>
          <w:szCs w:val="21"/>
          <w:highlight w:val="none"/>
        </w:rPr>
        <w:t>.</w:t>
      </w:r>
      <w:r>
        <w:rPr>
          <w:rFonts w:hint="eastAsia" w:cs="宋体"/>
          <w:color w:val="auto"/>
          <w:sz w:val="21"/>
          <w:szCs w:val="21"/>
          <w:highlight w:val="none"/>
        </w:rPr>
        <w:t>7</w:t>
      </w:r>
      <w:r>
        <w:rPr>
          <w:rFonts w:hint="eastAsia" w:ascii="宋体" w:hAnsi="宋体" w:cs="宋体"/>
          <w:color w:val="auto"/>
          <w:sz w:val="21"/>
          <w:szCs w:val="21"/>
          <w:highlight w:val="none"/>
        </w:rPr>
        <w:t>联络</w:t>
      </w:r>
      <w:bookmarkEnd w:id="1259"/>
    </w:p>
    <w:bookmarkEnd w:id="1260"/>
    <w:bookmarkEnd w:id="1261"/>
    <w:bookmarkEnd w:id="1262"/>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与合同有关的通知、批准、证明、证书、指示、指令、要求、请求、同意、意见、确定和决定等，均应采用书面形式，并应在合同约定的期限内送达接收人和送达地点。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发包人和承包人应在专用合同条款中约定各自的送达接收人和送达地点。任何一方合同当事人指定的接收人或送达地点发生变动的，应提前</w:t>
      </w:r>
      <w:r>
        <w:rPr>
          <w:rFonts w:hint="eastAsia" w:cs="宋体"/>
          <w:color w:val="auto"/>
          <w:kern w:val="0"/>
          <w:szCs w:val="21"/>
          <w:highlight w:val="none"/>
        </w:rPr>
        <w:t>3</w:t>
      </w:r>
      <w:r>
        <w:rPr>
          <w:rFonts w:hint="eastAsia" w:ascii="宋体" w:hAnsi="宋体" w:cs="宋体"/>
          <w:color w:val="auto"/>
          <w:kern w:val="0"/>
          <w:szCs w:val="21"/>
          <w:highlight w:val="none"/>
        </w:rPr>
        <w:t>天以书面形式通知对方。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发包人和承包人应当及时签收另一方送达至送达地点和指定接收人的来往信函。拒不签收的，由此增加的费用和（或）延误的工期由拒绝接收一方承担。</w:t>
      </w:r>
    </w:p>
    <w:p>
      <w:pPr>
        <w:pStyle w:val="6"/>
        <w:keepNext w:val="0"/>
        <w:keepLines w:val="0"/>
        <w:spacing w:line="336" w:lineRule="auto"/>
        <w:ind w:firstLine="422" w:firstLineChars="200"/>
        <w:rPr>
          <w:rFonts w:ascii="宋体" w:hAnsi="宋体" w:cs="宋体"/>
          <w:color w:val="auto"/>
          <w:sz w:val="21"/>
          <w:szCs w:val="21"/>
          <w:highlight w:val="none"/>
        </w:rPr>
      </w:pPr>
      <w:bookmarkStart w:id="1263" w:name="_Toc351203503"/>
      <w:r>
        <w:rPr>
          <w:rFonts w:hint="eastAsia" w:cs="宋体"/>
          <w:color w:val="auto"/>
          <w:sz w:val="21"/>
          <w:szCs w:val="21"/>
          <w:highlight w:val="none"/>
        </w:rPr>
        <w:t>1</w:t>
      </w:r>
      <w:bookmarkStart w:id="1264" w:name="_Toc296346536"/>
      <w:bookmarkStart w:id="1265" w:name="_Toc337558734"/>
      <w:bookmarkStart w:id="1266" w:name="_Toc296503035"/>
      <w:r>
        <w:rPr>
          <w:rFonts w:hint="eastAsia" w:ascii="宋体" w:hAnsi="宋体" w:cs="宋体"/>
          <w:color w:val="auto"/>
          <w:sz w:val="21"/>
          <w:szCs w:val="21"/>
          <w:highlight w:val="none"/>
        </w:rPr>
        <w:t>.</w:t>
      </w:r>
      <w:r>
        <w:rPr>
          <w:rFonts w:hint="eastAsia" w:cs="宋体"/>
          <w:color w:val="auto"/>
          <w:sz w:val="21"/>
          <w:szCs w:val="21"/>
          <w:highlight w:val="none"/>
        </w:rPr>
        <w:t>8</w:t>
      </w:r>
      <w:r>
        <w:rPr>
          <w:rFonts w:hint="eastAsia" w:ascii="宋体" w:hAnsi="宋体" w:cs="宋体"/>
          <w:color w:val="auto"/>
          <w:sz w:val="21"/>
          <w:szCs w:val="21"/>
          <w:highlight w:val="none"/>
        </w:rPr>
        <w:t>严禁贿赂</w:t>
      </w:r>
      <w:bookmarkEnd w:id="1263"/>
    </w:p>
    <w:bookmarkEnd w:id="1264"/>
    <w:bookmarkEnd w:id="1265"/>
    <w:bookmarkEnd w:id="1266"/>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keepNext w:val="0"/>
        <w:keepLines w:val="0"/>
        <w:spacing w:line="336" w:lineRule="auto"/>
        <w:ind w:firstLine="422" w:firstLineChars="200"/>
        <w:rPr>
          <w:rFonts w:ascii="宋体" w:hAnsi="宋体" w:cs="宋体"/>
          <w:color w:val="auto"/>
          <w:sz w:val="21"/>
          <w:szCs w:val="21"/>
          <w:highlight w:val="none"/>
        </w:rPr>
      </w:pPr>
      <w:bookmarkStart w:id="1267" w:name="_Toc351203504"/>
      <w:r>
        <w:rPr>
          <w:rFonts w:hint="eastAsia" w:cs="宋体"/>
          <w:color w:val="auto"/>
          <w:sz w:val="21"/>
          <w:szCs w:val="21"/>
          <w:highlight w:val="none"/>
        </w:rPr>
        <w:t>1</w:t>
      </w:r>
      <w:bookmarkStart w:id="1268" w:name="_Toc337558735"/>
      <w:bookmarkStart w:id="1269" w:name="_Toc296346537"/>
      <w:bookmarkStart w:id="1270" w:name="_Toc296503036"/>
      <w:r>
        <w:rPr>
          <w:rFonts w:hint="eastAsia" w:ascii="宋体" w:hAnsi="宋体" w:cs="宋体"/>
          <w:color w:val="auto"/>
          <w:sz w:val="21"/>
          <w:szCs w:val="21"/>
          <w:highlight w:val="none"/>
        </w:rPr>
        <w:t>.</w:t>
      </w:r>
      <w:r>
        <w:rPr>
          <w:rFonts w:hint="eastAsia" w:cs="宋体"/>
          <w:color w:val="auto"/>
          <w:sz w:val="21"/>
          <w:szCs w:val="21"/>
          <w:highlight w:val="none"/>
        </w:rPr>
        <w:t>9</w:t>
      </w:r>
      <w:r>
        <w:rPr>
          <w:rFonts w:hint="eastAsia" w:ascii="宋体" w:hAnsi="宋体" w:cs="宋体"/>
          <w:color w:val="auto"/>
          <w:sz w:val="21"/>
          <w:szCs w:val="21"/>
          <w:highlight w:val="none"/>
        </w:rPr>
        <w:t>化石、文物</w:t>
      </w:r>
      <w:bookmarkEnd w:id="1267"/>
    </w:p>
    <w:bookmarkEnd w:id="1268"/>
    <w:bookmarkEnd w:id="1269"/>
    <w:bookmarkEnd w:id="127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承包人发现文物后不及时报告或隐瞒不报，致使文物丢失或损坏的，应赔偿损失，并承担相应的法律责任。</w:t>
      </w:r>
    </w:p>
    <w:p>
      <w:pPr>
        <w:pStyle w:val="6"/>
        <w:keepNext w:val="0"/>
        <w:keepLines w:val="0"/>
        <w:spacing w:line="336" w:lineRule="auto"/>
        <w:ind w:firstLine="422" w:firstLineChars="200"/>
        <w:rPr>
          <w:rFonts w:ascii="宋体" w:hAnsi="宋体" w:cs="宋体"/>
          <w:color w:val="auto"/>
          <w:sz w:val="21"/>
          <w:szCs w:val="21"/>
          <w:highlight w:val="none"/>
        </w:rPr>
      </w:pPr>
      <w:bookmarkStart w:id="1271" w:name="_Toc351203505"/>
      <w:r>
        <w:rPr>
          <w:rFonts w:hint="eastAsia" w:cs="宋体"/>
          <w:color w:val="auto"/>
          <w:sz w:val="21"/>
          <w:szCs w:val="21"/>
          <w:highlight w:val="none"/>
        </w:rPr>
        <w:t>1</w:t>
      </w:r>
      <w:bookmarkStart w:id="1272" w:name="_Toc337558736"/>
      <w:r>
        <w:rPr>
          <w:rFonts w:hint="eastAsia" w:ascii="宋体" w:hAnsi="宋体" w:cs="宋体"/>
          <w:color w:val="auto"/>
          <w:sz w:val="21"/>
          <w:szCs w:val="21"/>
          <w:highlight w:val="none"/>
        </w:rPr>
        <w:t>.</w:t>
      </w:r>
      <w:r>
        <w:rPr>
          <w:rFonts w:hint="eastAsia" w:cs="宋体"/>
          <w:color w:val="auto"/>
          <w:sz w:val="21"/>
          <w:szCs w:val="21"/>
          <w:highlight w:val="none"/>
        </w:rPr>
        <w:t>10</w:t>
      </w:r>
      <w:r>
        <w:rPr>
          <w:rFonts w:hint="eastAsia" w:ascii="宋体" w:hAnsi="宋体" w:cs="宋体"/>
          <w:color w:val="auto"/>
          <w:sz w:val="21"/>
          <w:szCs w:val="21"/>
          <w:highlight w:val="none"/>
        </w:rPr>
        <w:t>交通运输</w:t>
      </w:r>
      <w:bookmarkEnd w:id="1271"/>
    </w:p>
    <w:bookmarkEnd w:id="1272"/>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出入现场的权利</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场外交通</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场内交通</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场外交通和场内交通的边界由合同当事人在专用合同条款中约定。</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超大件和超重件的运输</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道路和桥梁的损坏责任</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水路和航空运输</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6"/>
        <w:keepNext w:val="0"/>
        <w:keepLines w:val="0"/>
        <w:spacing w:line="336" w:lineRule="auto"/>
        <w:ind w:firstLine="422" w:firstLineChars="200"/>
        <w:rPr>
          <w:rFonts w:ascii="宋体" w:hAnsi="宋体" w:cs="宋体"/>
          <w:color w:val="auto"/>
          <w:sz w:val="21"/>
          <w:szCs w:val="21"/>
          <w:highlight w:val="none"/>
        </w:rPr>
      </w:pPr>
      <w:bookmarkStart w:id="1273" w:name="_Toc351203506"/>
      <w:r>
        <w:rPr>
          <w:rFonts w:hint="eastAsia" w:cs="宋体"/>
          <w:color w:val="auto"/>
          <w:sz w:val="21"/>
          <w:szCs w:val="21"/>
          <w:highlight w:val="none"/>
        </w:rPr>
        <w:t>1</w:t>
      </w:r>
      <w:bookmarkStart w:id="1274" w:name="_Toc337558737"/>
      <w:bookmarkStart w:id="1275" w:name="_Toc296346538"/>
      <w:bookmarkStart w:id="1276" w:name="_Toc296503037"/>
      <w:r>
        <w:rPr>
          <w:rFonts w:hint="eastAsia" w:ascii="宋体" w:hAnsi="宋体" w:cs="宋体"/>
          <w:color w:val="auto"/>
          <w:sz w:val="21"/>
          <w:szCs w:val="21"/>
          <w:highlight w:val="none"/>
        </w:rPr>
        <w:t>.</w:t>
      </w:r>
      <w:r>
        <w:rPr>
          <w:rFonts w:hint="eastAsia" w:cs="宋体"/>
          <w:color w:val="auto"/>
          <w:sz w:val="21"/>
          <w:szCs w:val="21"/>
          <w:highlight w:val="none"/>
        </w:rPr>
        <w:t>11</w:t>
      </w:r>
      <w:r>
        <w:rPr>
          <w:rFonts w:hint="eastAsia" w:ascii="宋体" w:hAnsi="宋体" w:cs="宋体"/>
          <w:color w:val="auto"/>
          <w:sz w:val="21"/>
          <w:szCs w:val="21"/>
          <w:highlight w:val="none"/>
        </w:rPr>
        <w:t>知识产权</w:t>
      </w:r>
      <w:bookmarkEnd w:id="1273"/>
      <w:bookmarkEnd w:id="1274"/>
    </w:p>
    <w:bookmarkEnd w:id="1275"/>
    <w:bookmarkEnd w:id="1276"/>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36" w:lineRule="auto"/>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除专用合同条款另有约定外，承包人在合同签订前和签订时已确定采用的专利、专有技术、技术秘密的使用费已包含在签约合同价中。</w:t>
      </w:r>
    </w:p>
    <w:p>
      <w:pPr>
        <w:pStyle w:val="6"/>
        <w:keepNext w:val="0"/>
        <w:keepLines w:val="0"/>
        <w:spacing w:line="336" w:lineRule="auto"/>
        <w:ind w:firstLine="422" w:firstLineChars="200"/>
        <w:rPr>
          <w:rFonts w:ascii="宋体" w:hAnsi="宋体" w:cs="宋体"/>
          <w:color w:val="auto"/>
          <w:sz w:val="21"/>
          <w:szCs w:val="21"/>
          <w:highlight w:val="none"/>
        </w:rPr>
      </w:pPr>
      <w:bookmarkStart w:id="1277" w:name="_Toc351203507"/>
      <w:r>
        <w:rPr>
          <w:rFonts w:hint="eastAsia" w:cs="宋体"/>
          <w:color w:val="auto"/>
          <w:sz w:val="21"/>
          <w:szCs w:val="21"/>
          <w:highlight w:val="none"/>
        </w:rPr>
        <w:t>1</w:t>
      </w:r>
      <w:bookmarkStart w:id="1278" w:name="_Toc337558738"/>
      <w:r>
        <w:rPr>
          <w:rFonts w:hint="eastAsia" w:ascii="宋体" w:hAnsi="宋体" w:cs="宋体"/>
          <w:color w:val="auto"/>
          <w:sz w:val="21"/>
          <w:szCs w:val="21"/>
          <w:highlight w:val="none"/>
        </w:rPr>
        <w:t>.</w:t>
      </w:r>
      <w:r>
        <w:rPr>
          <w:rFonts w:hint="eastAsia" w:cs="宋体"/>
          <w:color w:val="auto"/>
          <w:sz w:val="21"/>
          <w:szCs w:val="21"/>
          <w:highlight w:val="none"/>
        </w:rPr>
        <w:t>12</w:t>
      </w:r>
      <w:r>
        <w:rPr>
          <w:rFonts w:hint="eastAsia" w:ascii="宋体" w:hAnsi="宋体" w:cs="宋体"/>
          <w:color w:val="auto"/>
          <w:sz w:val="21"/>
          <w:szCs w:val="21"/>
          <w:highlight w:val="none"/>
        </w:rPr>
        <w:t>保密</w:t>
      </w:r>
      <w:bookmarkEnd w:id="1277"/>
    </w:p>
    <w:bookmarkEnd w:id="127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6"/>
        <w:keepNext w:val="0"/>
        <w:keepLines w:val="0"/>
        <w:spacing w:line="336" w:lineRule="auto"/>
        <w:ind w:firstLine="422" w:firstLineChars="200"/>
        <w:rPr>
          <w:rFonts w:ascii="宋体" w:hAnsi="宋体" w:cs="宋体"/>
          <w:color w:val="auto"/>
          <w:sz w:val="21"/>
          <w:szCs w:val="21"/>
          <w:highlight w:val="none"/>
        </w:rPr>
      </w:pPr>
      <w:bookmarkStart w:id="1279" w:name="_Toc351203508"/>
      <w:r>
        <w:rPr>
          <w:rFonts w:hint="eastAsia" w:cs="宋体"/>
          <w:color w:val="auto"/>
          <w:sz w:val="21"/>
          <w:szCs w:val="21"/>
          <w:highlight w:val="none"/>
        </w:rPr>
        <w:t>1</w:t>
      </w:r>
      <w:r>
        <w:rPr>
          <w:rFonts w:hint="eastAsia" w:ascii="宋体" w:hAnsi="宋体" w:cs="宋体"/>
          <w:color w:val="auto"/>
          <w:sz w:val="21"/>
          <w:szCs w:val="21"/>
          <w:highlight w:val="none"/>
        </w:rPr>
        <w:t>.</w:t>
      </w:r>
      <w:r>
        <w:rPr>
          <w:rFonts w:hint="eastAsia" w:cs="宋体"/>
          <w:color w:val="auto"/>
          <w:sz w:val="21"/>
          <w:szCs w:val="21"/>
          <w:highlight w:val="none"/>
        </w:rPr>
        <w:t>13</w:t>
      </w:r>
      <w:r>
        <w:rPr>
          <w:rFonts w:hint="eastAsia" w:ascii="宋体" w:hAnsi="宋体" w:cs="宋体"/>
          <w:color w:val="auto"/>
          <w:sz w:val="21"/>
          <w:szCs w:val="21"/>
          <w:highlight w:val="none"/>
        </w:rPr>
        <w:t>工程量清单错误的修正</w:t>
      </w:r>
      <w:bookmarkEnd w:id="1279"/>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）工程量清单存在缺项、漏项的；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）工程量清单偏差超出专用合同条款约定的工程量偏差范围的；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）未按照国家现行计量规范强制性规定计量的。</w:t>
      </w:r>
    </w:p>
    <w:p>
      <w:pPr>
        <w:pStyle w:val="5"/>
        <w:keepNext w:val="0"/>
        <w:keepLines w:val="0"/>
        <w:spacing w:line="336" w:lineRule="auto"/>
        <w:rPr>
          <w:rFonts w:ascii="宋体" w:hAnsi="宋体" w:eastAsia="宋体" w:cs="宋体"/>
          <w:color w:val="auto"/>
          <w:sz w:val="24"/>
          <w:szCs w:val="24"/>
          <w:highlight w:val="none"/>
        </w:rPr>
      </w:pPr>
      <w:bookmarkStart w:id="1280" w:name="_Toc351203509"/>
      <w:r>
        <w:rPr>
          <w:rFonts w:hint="eastAsia" w:ascii="Times New Roman" w:hAnsi="Times New Roman" w:eastAsia="宋体" w:cs="宋体"/>
          <w:color w:val="auto"/>
          <w:sz w:val="24"/>
          <w:szCs w:val="24"/>
          <w:highlight w:val="none"/>
        </w:rPr>
        <w:t>2</w:t>
      </w:r>
      <w:bookmarkStart w:id="1281" w:name="_Toc337558739"/>
      <w:bookmarkStart w:id="1282" w:name="_Toc296346539"/>
      <w:bookmarkStart w:id="1283" w:name="_Toc296503038"/>
      <w:bookmarkStart w:id="1284" w:name="OLE_LINK2"/>
      <w:bookmarkStart w:id="1285" w:name="OLE_LINK1"/>
      <w:r>
        <w:rPr>
          <w:rFonts w:hint="eastAsia" w:ascii="宋体" w:hAnsi="宋体" w:eastAsia="宋体" w:cs="宋体"/>
          <w:color w:val="auto"/>
          <w:sz w:val="24"/>
          <w:szCs w:val="24"/>
          <w:highlight w:val="none"/>
        </w:rPr>
        <w:t>. 发包人</w:t>
      </w:r>
      <w:bookmarkEnd w:id="1280"/>
    </w:p>
    <w:bookmarkEnd w:id="1281"/>
    <w:bookmarkEnd w:id="1282"/>
    <w:bookmarkEnd w:id="1283"/>
    <w:p>
      <w:pPr>
        <w:pStyle w:val="6"/>
        <w:keepNext w:val="0"/>
        <w:keepLines w:val="0"/>
        <w:spacing w:line="336" w:lineRule="auto"/>
        <w:ind w:firstLine="422" w:firstLineChars="200"/>
        <w:rPr>
          <w:rFonts w:ascii="宋体" w:hAnsi="宋体" w:cs="宋体"/>
          <w:color w:val="auto"/>
          <w:sz w:val="21"/>
          <w:szCs w:val="21"/>
          <w:highlight w:val="none"/>
        </w:rPr>
      </w:pPr>
      <w:bookmarkStart w:id="1286" w:name="_Toc351203510"/>
      <w:r>
        <w:rPr>
          <w:rFonts w:hint="eastAsia" w:cs="宋体"/>
          <w:color w:val="auto"/>
          <w:sz w:val="21"/>
          <w:szCs w:val="21"/>
          <w:highlight w:val="none"/>
        </w:rPr>
        <w:t>2</w:t>
      </w:r>
      <w:bookmarkStart w:id="1287" w:name="_Toc296346540"/>
      <w:bookmarkStart w:id="1288" w:name="_Toc337558740"/>
      <w:bookmarkStart w:id="1289" w:name="_Toc296503039"/>
      <w:r>
        <w:rPr>
          <w:rFonts w:hint="eastAsia" w:ascii="宋体" w:hAnsi="宋体" w:cs="宋体"/>
          <w:color w:val="auto"/>
          <w:sz w:val="21"/>
          <w:szCs w:val="21"/>
          <w:highlight w:val="none"/>
        </w:rPr>
        <w:t>.</w:t>
      </w:r>
      <w:r>
        <w:rPr>
          <w:rFonts w:hint="eastAsia" w:cs="宋体"/>
          <w:color w:val="auto"/>
          <w:sz w:val="21"/>
          <w:szCs w:val="21"/>
          <w:highlight w:val="none"/>
        </w:rPr>
        <w:t>1</w:t>
      </w:r>
      <w:r>
        <w:rPr>
          <w:rFonts w:hint="eastAsia" w:ascii="宋体" w:hAnsi="宋体" w:cs="宋体"/>
          <w:color w:val="auto"/>
          <w:sz w:val="21"/>
          <w:szCs w:val="21"/>
          <w:highlight w:val="none"/>
        </w:rPr>
        <w:t xml:space="preserve"> 许可或批准</w:t>
      </w:r>
      <w:bookmarkEnd w:id="1286"/>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因发包人原因未能及时办理完毕前述许可、批准或备案，由发包人承担由此增加的费用和（或）延误的工期，并支付承包人合理的利润。</w:t>
      </w:r>
    </w:p>
    <w:p>
      <w:pPr>
        <w:pStyle w:val="6"/>
        <w:keepNext w:val="0"/>
        <w:keepLines w:val="0"/>
        <w:spacing w:line="336" w:lineRule="auto"/>
        <w:ind w:firstLine="422" w:firstLineChars="200"/>
        <w:rPr>
          <w:rFonts w:ascii="宋体" w:hAnsi="宋体" w:cs="宋体"/>
          <w:color w:val="auto"/>
          <w:sz w:val="21"/>
          <w:szCs w:val="21"/>
          <w:highlight w:val="none"/>
        </w:rPr>
      </w:pPr>
      <w:bookmarkStart w:id="1290" w:name="_Toc351203511"/>
      <w:r>
        <w:rPr>
          <w:rFonts w:hint="eastAsia" w:cs="宋体"/>
          <w:color w:val="auto"/>
          <w:sz w:val="21"/>
          <w:szCs w:val="21"/>
          <w:highlight w:val="none"/>
        </w:rPr>
        <w:t>2</w:t>
      </w:r>
      <w:r>
        <w:rPr>
          <w:rFonts w:hint="eastAsia" w:ascii="宋体" w:hAnsi="宋体" w:cs="宋体"/>
          <w:color w:val="auto"/>
          <w:sz w:val="21"/>
          <w:szCs w:val="21"/>
          <w:highlight w:val="none"/>
        </w:rPr>
        <w:t>.</w:t>
      </w:r>
      <w:r>
        <w:rPr>
          <w:rFonts w:hint="eastAsia" w:cs="宋体"/>
          <w:color w:val="auto"/>
          <w:sz w:val="21"/>
          <w:szCs w:val="21"/>
          <w:highlight w:val="none"/>
        </w:rPr>
        <w:t>2</w:t>
      </w:r>
      <w:r>
        <w:rPr>
          <w:rFonts w:hint="eastAsia" w:ascii="宋体" w:hAnsi="宋体" w:cs="宋体"/>
          <w:color w:val="auto"/>
          <w:sz w:val="21"/>
          <w:szCs w:val="21"/>
          <w:highlight w:val="none"/>
        </w:rPr>
        <w:t xml:space="preserve"> 发包人代表</w:t>
      </w:r>
      <w:bookmarkEnd w:id="1290"/>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hint="eastAsia" w:cs="宋体"/>
          <w:color w:val="auto"/>
          <w:kern w:val="0"/>
          <w:szCs w:val="21"/>
          <w:highlight w:val="none"/>
        </w:rPr>
        <w:t>7</w:t>
      </w:r>
      <w:r>
        <w:rPr>
          <w:rFonts w:hint="eastAsia" w:ascii="宋体" w:hAnsi="宋体" w:cs="宋体"/>
          <w:color w:val="auto"/>
          <w:kern w:val="0"/>
          <w:szCs w:val="21"/>
          <w:highlight w:val="none"/>
        </w:rPr>
        <w:t>天书面通知承包人。</w:t>
      </w:r>
    </w:p>
    <w:p>
      <w:pPr>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发包人代表不能按照合同约定履行其职责及义务，并导致合同无法继续正常履行的，承包人可以要求发包人撤换发包人代表。</w:t>
      </w:r>
    </w:p>
    <w:p>
      <w:pPr>
        <w:pStyle w:val="6"/>
        <w:keepNext w:val="0"/>
        <w:keepLines w:val="0"/>
        <w:spacing w:line="336" w:lineRule="auto"/>
        <w:ind w:firstLine="422" w:firstLineChars="200"/>
        <w:rPr>
          <w:rFonts w:ascii="宋体" w:hAnsi="宋体" w:cs="宋体"/>
          <w:color w:val="auto"/>
          <w:sz w:val="21"/>
          <w:szCs w:val="21"/>
          <w:highlight w:val="none"/>
        </w:rPr>
      </w:pPr>
      <w:bookmarkStart w:id="1291" w:name="_Toc351203512"/>
      <w:r>
        <w:rPr>
          <w:rFonts w:hint="eastAsia" w:cs="宋体"/>
          <w:color w:val="auto"/>
          <w:sz w:val="21"/>
          <w:szCs w:val="21"/>
          <w:highlight w:val="none"/>
        </w:rPr>
        <w:t>2</w:t>
      </w:r>
      <w:r>
        <w:rPr>
          <w:rFonts w:hint="eastAsia" w:ascii="宋体" w:hAnsi="宋体" w:cs="宋体"/>
          <w:color w:val="auto"/>
          <w:sz w:val="21"/>
          <w:szCs w:val="21"/>
          <w:highlight w:val="none"/>
        </w:rPr>
        <w:t>.</w:t>
      </w:r>
      <w:r>
        <w:rPr>
          <w:rFonts w:hint="eastAsia" w:cs="宋体"/>
          <w:color w:val="auto"/>
          <w:sz w:val="21"/>
          <w:szCs w:val="21"/>
          <w:highlight w:val="none"/>
        </w:rPr>
        <w:t>3</w:t>
      </w:r>
      <w:r>
        <w:rPr>
          <w:rFonts w:hint="eastAsia" w:ascii="宋体" w:hAnsi="宋体" w:cs="宋体"/>
          <w:color w:val="auto"/>
          <w:sz w:val="21"/>
          <w:szCs w:val="21"/>
          <w:highlight w:val="none"/>
        </w:rPr>
        <w:t xml:space="preserve"> 发包人人员</w:t>
      </w:r>
      <w:bookmarkEnd w:id="129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36" w:lineRule="auto"/>
        <w:ind w:firstLine="640"/>
        <w:jc w:val="left"/>
        <w:rPr>
          <w:rFonts w:ascii="宋体" w:hAnsi="宋体" w:cs="宋体"/>
          <w:color w:val="auto"/>
          <w:kern w:val="0"/>
          <w:szCs w:val="21"/>
          <w:highlight w:val="none"/>
        </w:rPr>
      </w:pPr>
      <w:r>
        <w:rPr>
          <w:rFonts w:hint="eastAsia" w:ascii="宋体" w:hAnsi="宋体" w:cs="宋体"/>
          <w:color w:val="auto"/>
          <w:kern w:val="0"/>
          <w:szCs w:val="21"/>
          <w:highlight w:val="none"/>
        </w:rPr>
        <w:t>发包人人员包括发包人代表及其他由发包人派驻施工现场的人员。</w:t>
      </w:r>
      <w:bookmarkEnd w:id="1287"/>
      <w:bookmarkEnd w:id="1288"/>
      <w:bookmarkEnd w:id="1289"/>
    </w:p>
    <w:p>
      <w:pPr>
        <w:pStyle w:val="6"/>
        <w:keepNext w:val="0"/>
        <w:keepLines w:val="0"/>
        <w:spacing w:line="336" w:lineRule="auto"/>
        <w:ind w:firstLine="422" w:firstLineChars="200"/>
        <w:rPr>
          <w:rFonts w:ascii="宋体" w:hAnsi="宋体" w:cs="宋体"/>
          <w:color w:val="auto"/>
          <w:sz w:val="21"/>
          <w:szCs w:val="21"/>
          <w:highlight w:val="none"/>
        </w:rPr>
      </w:pPr>
      <w:bookmarkStart w:id="1292" w:name="_Toc351203513"/>
      <w:r>
        <w:rPr>
          <w:rFonts w:hint="eastAsia" w:cs="宋体"/>
          <w:color w:val="auto"/>
          <w:sz w:val="21"/>
          <w:szCs w:val="21"/>
          <w:highlight w:val="none"/>
        </w:rPr>
        <w:t>2</w:t>
      </w:r>
      <w:bookmarkStart w:id="1293" w:name="_Toc296503040"/>
      <w:bookmarkStart w:id="1294" w:name="_Toc296346541"/>
      <w:bookmarkStart w:id="1295" w:name="_Toc337558741"/>
      <w:r>
        <w:rPr>
          <w:rFonts w:hint="eastAsia" w:ascii="宋体" w:hAnsi="宋体" w:cs="宋体"/>
          <w:color w:val="auto"/>
          <w:sz w:val="21"/>
          <w:szCs w:val="21"/>
          <w:highlight w:val="none"/>
        </w:rPr>
        <w:t>.</w:t>
      </w:r>
      <w:r>
        <w:rPr>
          <w:rFonts w:hint="eastAsia" w:cs="宋体"/>
          <w:color w:val="auto"/>
          <w:sz w:val="21"/>
          <w:szCs w:val="21"/>
          <w:highlight w:val="none"/>
        </w:rPr>
        <w:t>4</w:t>
      </w:r>
      <w:r>
        <w:rPr>
          <w:rFonts w:hint="eastAsia" w:ascii="宋体" w:hAnsi="宋体" w:cs="宋体"/>
          <w:color w:val="auto"/>
          <w:sz w:val="21"/>
          <w:szCs w:val="21"/>
          <w:highlight w:val="none"/>
        </w:rPr>
        <w:t xml:space="preserve"> 施工现场、施工条件和基础资料的提供</w:t>
      </w:r>
      <w:bookmarkEnd w:id="1292"/>
      <w:bookmarkEnd w:id="1293"/>
      <w:bookmarkEnd w:id="1294"/>
      <w:bookmarkEnd w:id="1295"/>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提供施工现场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w:t>
      </w:r>
      <w:bookmarkEnd w:id="1284"/>
      <w:bookmarkEnd w:id="1285"/>
      <w:r>
        <w:rPr>
          <w:rFonts w:hint="eastAsia" w:ascii="宋体" w:hAnsi="宋体" w:cs="宋体"/>
          <w:color w:val="auto"/>
          <w:kern w:val="0"/>
          <w:szCs w:val="21"/>
          <w:highlight w:val="none"/>
        </w:rPr>
        <w:t>专用合同条款另有约定外，发包人应最迟于开工日期</w:t>
      </w:r>
      <w:r>
        <w:rPr>
          <w:rFonts w:hint="eastAsia" w:cs="宋体"/>
          <w:color w:val="auto"/>
          <w:kern w:val="0"/>
          <w:szCs w:val="21"/>
          <w:highlight w:val="none"/>
        </w:rPr>
        <w:t>7</w:t>
      </w:r>
      <w:r>
        <w:rPr>
          <w:rFonts w:hint="eastAsia" w:ascii="宋体" w:hAnsi="宋体" w:cs="宋体"/>
          <w:color w:val="auto"/>
          <w:kern w:val="0"/>
          <w:szCs w:val="21"/>
          <w:highlight w:val="none"/>
        </w:rPr>
        <w:t>天前向承包人移交施工现场。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提供施工条件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除专用合同条款另有约定外，发包人应负责提供施工所需要的条件，包括：</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）将施工用水、电力、通讯线路等施工所必需的条件接至施工现场内；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）保证向承包人提供正常施工所需要的进入施工现场的交通条件；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）协调处理施工现场周围地下管线和邻近建筑物、构筑物、古树名木的保护工作，并承担相关费用；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）按照专用合同条款约定应提供的其他设施和条件。</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提供基础资料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逾期提供的责任</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因发包人原因未能按合同约定及时向承包人提供施工现场、施工条件、基础资料的，由发包人承担由此增加的费用和（或）延误的工期。</w:t>
      </w:r>
    </w:p>
    <w:p>
      <w:pPr>
        <w:pStyle w:val="6"/>
        <w:keepNext w:val="0"/>
        <w:keepLines w:val="0"/>
        <w:spacing w:line="336" w:lineRule="auto"/>
        <w:ind w:firstLine="422" w:firstLineChars="200"/>
        <w:rPr>
          <w:rFonts w:ascii="宋体" w:hAnsi="宋体" w:cs="宋体"/>
          <w:color w:val="auto"/>
          <w:sz w:val="21"/>
          <w:szCs w:val="21"/>
          <w:highlight w:val="none"/>
        </w:rPr>
      </w:pPr>
      <w:bookmarkStart w:id="1296" w:name="_Toc351203514"/>
      <w:r>
        <w:rPr>
          <w:rFonts w:hint="eastAsia" w:cs="宋体"/>
          <w:color w:val="auto"/>
          <w:sz w:val="21"/>
          <w:szCs w:val="21"/>
          <w:highlight w:val="none"/>
        </w:rPr>
        <w:t>2</w:t>
      </w:r>
      <w:bookmarkStart w:id="1297" w:name="_Toc337558745"/>
      <w:bookmarkStart w:id="1298" w:name="_Toc296503042"/>
      <w:bookmarkStart w:id="1299" w:name="_Toc296346543"/>
      <w:r>
        <w:rPr>
          <w:rFonts w:hint="eastAsia" w:ascii="宋体" w:hAnsi="宋体" w:cs="宋体"/>
          <w:color w:val="auto"/>
          <w:sz w:val="21"/>
          <w:szCs w:val="21"/>
          <w:highlight w:val="none"/>
        </w:rPr>
        <w:t>.</w:t>
      </w:r>
      <w:r>
        <w:rPr>
          <w:rFonts w:hint="eastAsia" w:cs="宋体"/>
          <w:color w:val="auto"/>
          <w:sz w:val="21"/>
          <w:szCs w:val="21"/>
          <w:highlight w:val="none"/>
        </w:rPr>
        <w:t>5</w:t>
      </w:r>
      <w:r>
        <w:rPr>
          <w:rFonts w:hint="eastAsia" w:ascii="宋体" w:hAnsi="宋体" w:cs="宋体"/>
          <w:color w:val="auto"/>
          <w:sz w:val="21"/>
          <w:szCs w:val="21"/>
          <w:highlight w:val="none"/>
        </w:rPr>
        <w:t xml:space="preserve"> 资</w:t>
      </w:r>
      <w:bookmarkEnd w:id="1297"/>
      <w:bookmarkEnd w:id="1298"/>
      <w:bookmarkEnd w:id="1299"/>
      <w:r>
        <w:rPr>
          <w:rFonts w:hint="eastAsia" w:ascii="宋体" w:hAnsi="宋体" w:cs="宋体"/>
          <w:color w:val="auto"/>
          <w:sz w:val="21"/>
          <w:szCs w:val="21"/>
          <w:highlight w:val="none"/>
        </w:rPr>
        <w:t>金来源证明及支付担保</w:t>
      </w:r>
      <w:bookmarkEnd w:id="1296"/>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除专用合同条款另有约定外，发包人应在收到承包人要求提供资金来源证明的书面通知后</w:t>
      </w:r>
      <w:r>
        <w:rPr>
          <w:rFonts w:hint="eastAsia" w:cs="宋体"/>
          <w:color w:val="auto"/>
          <w:kern w:val="0"/>
          <w:szCs w:val="21"/>
          <w:highlight w:val="none"/>
        </w:rPr>
        <w:t>28</w:t>
      </w:r>
      <w:r>
        <w:rPr>
          <w:rFonts w:hint="eastAsia" w:ascii="宋体" w:hAnsi="宋体" w:cs="宋体"/>
          <w:color w:val="auto"/>
          <w:kern w:val="0"/>
          <w:szCs w:val="21"/>
          <w:highlight w:val="none"/>
        </w:rPr>
        <w:t>天内，向承包人提供能够按照合同约定支付合同价款的相应资金来源证明。</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keepNext w:val="0"/>
        <w:keepLines w:val="0"/>
        <w:spacing w:line="336" w:lineRule="auto"/>
        <w:ind w:firstLine="422" w:firstLineChars="200"/>
        <w:rPr>
          <w:rFonts w:ascii="宋体" w:hAnsi="宋体" w:cs="宋体"/>
          <w:color w:val="auto"/>
          <w:sz w:val="21"/>
          <w:szCs w:val="21"/>
          <w:highlight w:val="none"/>
        </w:rPr>
      </w:pPr>
      <w:bookmarkStart w:id="1300" w:name="_Toc351203515"/>
      <w:r>
        <w:rPr>
          <w:rFonts w:hint="eastAsia" w:cs="宋体"/>
          <w:color w:val="auto"/>
          <w:sz w:val="21"/>
          <w:szCs w:val="21"/>
          <w:highlight w:val="none"/>
        </w:rPr>
        <w:t>2</w:t>
      </w:r>
      <w:r>
        <w:rPr>
          <w:rFonts w:hint="eastAsia" w:ascii="宋体" w:hAnsi="宋体" w:cs="宋体"/>
          <w:color w:val="auto"/>
          <w:sz w:val="21"/>
          <w:szCs w:val="21"/>
          <w:highlight w:val="none"/>
        </w:rPr>
        <w:t>.</w:t>
      </w:r>
      <w:r>
        <w:rPr>
          <w:rFonts w:hint="eastAsia" w:cs="宋体"/>
          <w:color w:val="auto"/>
          <w:sz w:val="21"/>
          <w:szCs w:val="21"/>
          <w:highlight w:val="none"/>
        </w:rPr>
        <w:t>6</w:t>
      </w:r>
      <w:r>
        <w:rPr>
          <w:rFonts w:hint="eastAsia" w:ascii="宋体" w:hAnsi="宋体" w:cs="宋体"/>
          <w:color w:val="auto"/>
          <w:sz w:val="21"/>
          <w:szCs w:val="21"/>
          <w:highlight w:val="none"/>
        </w:rPr>
        <w:t xml:space="preserve"> 支付合同价款</w:t>
      </w:r>
      <w:bookmarkEnd w:id="1300"/>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发包人应按合同约定向承包人及时支付合同价款。</w:t>
      </w:r>
    </w:p>
    <w:p>
      <w:pPr>
        <w:pStyle w:val="6"/>
        <w:keepNext w:val="0"/>
        <w:keepLines w:val="0"/>
        <w:spacing w:line="336" w:lineRule="auto"/>
        <w:ind w:firstLine="422" w:firstLineChars="200"/>
        <w:rPr>
          <w:rFonts w:ascii="宋体" w:hAnsi="宋体" w:cs="宋体"/>
          <w:color w:val="auto"/>
          <w:sz w:val="21"/>
          <w:szCs w:val="21"/>
          <w:highlight w:val="none"/>
        </w:rPr>
      </w:pPr>
      <w:bookmarkStart w:id="1301" w:name="_Toc351203516"/>
      <w:r>
        <w:rPr>
          <w:rFonts w:hint="eastAsia" w:cs="宋体"/>
          <w:color w:val="auto"/>
          <w:sz w:val="21"/>
          <w:szCs w:val="21"/>
          <w:highlight w:val="none"/>
        </w:rPr>
        <w:t>2</w:t>
      </w:r>
      <w:r>
        <w:rPr>
          <w:rFonts w:hint="eastAsia" w:ascii="宋体" w:hAnsi="宋体" w:cs="宋体"/>
          <w:color w:val="auto"/>
          <w:sz w:val="21"/>
          <w:szCs w:val="21"/>
          <w:highlight w:val="none"/>
        </w:rPr>
        <w:t>.</w:t>
      </w:r>
      <w:r>
        <w:rPr>
          <w:rFonts w:hint="eastAsia" w:cs="宋体"/>
          <w:color w:val="auto"/>
          <w:sz w:val="21"/>
          <w:szCs w:val="21"/>
          <w:highlight w:val="none"/>
        </w:rPr>
        <w:t>7</w:t>
      </w:r>
      <w:r>
        <w:rPr>
          <w:rFonts w:hint="eastAsia" w:ascii="宋体" w:hAnsi="宋体" w:cs="宋体"/>
          <w:color w:val="auto"/>
          <w:sz w:val="21"/>
          <w:szCs w:val="21"/>
          <w:highlight w:val="none"/>
        </w:rPr>
        <w:t xml:space="preserve"> 组织竣工验收</w:t>
      </w:r>
      <w:bookmarkEnd w:id="130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发包人应按合同约定及时组织竣工验收。</w:t>
      </w:r>
    </w:p>
    <w:p>
      <w:pPr>
        <w:pStyle w:val="6"/>
        <w:keepNext w:val="0"/>
        <w:keepLines w:val="0"/>
        <w:spacing w:line="336" w:lineRule="auto"/>
        <w:ind w:firstLine="422" w:firstLineChars="200"/>
        <w:rPr>
          <w:rFonts w:ascii="宋体" w:hAnsi="宋体" w:cs="宋体"/>
          <w:color w:val="auto"/>
          <w:sz w:val="21"/>
          <w:szCs w:val="21"/>
          <w:highlight w:val="none"/>
        </w:rPr>
      </w:pPr>
      <w:bookmarkStart w:id="1302" w:name="_Toc351203517"/>
      <w:r>
        <w:rPr>
          <w:rFonts w:hint="eastAsia" w:cs="宋体"/>
          <w:color w:val="auto"/>
          <w:sz w:val="21"/>
          <w:szCs w:val="21"/>
          <w:highlight w:val="none"/>
        </w:rPr>
        <w:t>2</w:t>
      </w:r>
      <w:r>
        <w:rPr>
          <w:rFonts w:hint="eastAsia" w:ascii="宋体" w:hAnsi="宋体" w:cs="宋体"/>
          <w:color w:val="auto"/>
          <w:sz w:val="21"/>
          <w:szCs w:val="21"/>
          <w:highlight w:val="none"/>
        </w:rPr>
        <w:t>.</w:t>
      </w:r>
      <w:r>
        <w:rPr>
          <w:rFonts w:hint="eastAsia" w:cs="宋体"/>
          <w:color w:val="auto"/>
          <w:sz w:val="21"/>
          <w:szCs w:val="21"/>
          <w:highlight w:val="none"/>
        </w:rPr>
        <w:t>8</w:t>
      </w:r>
      <w:r>
        <w:rPr>
          <w:rFonts w:hint="eastAsia" w:ascii="宋体" w:hAnsi="宋体" w:cs="宋体"/>
          <w:color w:val="auto"/>
          <w:sz w:val="21"/>
          <w:szCs w:val="21"/>
          <w:highlight w:val="none"/>
        </w:rPr>
        <w:t xml:space="preserve"> 现场统一管理协议</w:t>
      </w:r>
      <w:bookmarkEnd w:id="1302"/>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5"/>
        <w:keepNext w:val="0"/>
        <w:keepLines w:val="0"/>
        <w:spacing w:line="336" w:lineRule="auto"/>
        <w:rPr>
          <w:rFonts w:ascii="宋体" w:hAnsi="宋体" w:eastAsia="宋体" w:cs="宋体"/>
          <w:color w:val="auto"/>
          <w:sz w:val="24"/>
          <w:szCs w:val="24"/>
          <w:highlight w:val="none"/>
        </w:rPr>
      </w:pPr>
      <w:bookmarkStart w:id="1303" w:name="_Toc351203518"/>
      <w:r>
        <w:rPr>
          <w:rFonts w:hint="eastAsia" w:ascii="Times New Roman" w:hAnsi="Times New Roman" w:eastAsia="宋体" w:cs="宋体"/>
          <w:color w:val="auto"/>
          <w:sz w:val="24"/>
          <w:szCs w:val="24"/>
          <w:highlight w:val="none"/>
        </w:rPr>
        <w:t>3</w:t>
      </w:r>
      <w:bookmarkStart w:id="1304" w:name="_Toc296503045"/>
      <w:bookmarkStart w:id="1305" w:name="_Toc296346546"/>
      <w:bookmarkStart w:id="1306" w:name="_Toc337558746"/>
      <w:r>
        <w:rPr>
          <w:rFonts w:hint="eastAsia" w:ascii="宋体" w:hAnsi="宋体" w:eastAsia="宋体" w:cs="宋体"/>
          <w:color w:val="auto"/>
          <w:sz w:val="24"/>
          <w:szCs w:val="24"/>
          <w:highlight w:val="none"/>
        </w:rPr>
        <w:t>. 承包人</w:t>
      </w:r>
      <w:bookmarkEnd w:id="1303"/>
    </w:p>
    <w:bookmarkEnd w:id="1304"/>
    <w:bookmarkEnd w:id="1305"/>
    <w:bookmarkEnd w:id="1306"/>
    <w:p>
      <w:pPr>
        <w:pStyle w:val="6"/>
        <w:keepNext w:val="0"/>
        <w:keepLines w:val="0"/>
        <w:spacing w:line="336" w:lineRule="auto"/>
        <w:ind w:firstLine="422" w:firstLineChars="200"/>
        <w:rPr>
          <w:rFonts w:ascii="宋体" w:hAnsi="宋体" w:cs="宋体"/>
          <w:color w:val="auto"/>
          <w:sz w:val="21"/>
          <w:szCs w:val="21"/>
          <w:highlight w:val="none"/>
        </w:rPr>
      </w:pPr>
      <w:bookmarkStart w:id="1307" w:name="_Toc351203519"/>
      <w:r>
        <w:rPr>
          <w:rFonts w:hint="eastAsia" w:cs="宋体"/>
          <w:color w:val="auto"/>
          <w:sz w:val="21"/>
          <w:szCs w:val="21"/>
          <w:highlight w:val="none"/>
        </w:rPr>
        <w:t>3</w:t>
      </w:r>
      <w:bookmarkStart w:id="1308" w:name="_Toc337558747"/>
      <w:bookmarkStart w:id="1309" w:name="_Toc296503046"/>
      <w:bookmarkStart w:id="1310" w:name="_Toc296346547"/>
      <w:r>
        <w:rPr>
          <w:rFonts w:hint="eastAsia" w:ascii="宋体" w:hAnsi="宋体" w:cs="宋体"/>
          <w:color w:val="auto"/>
          <w:sz w:val="21"/>
          <w:szCs w:val="21"/>
          <w:highlight w:val="none"/>
        </w:rPr>
        <w:t>.</w:t>
      </w:r>
      <w:r>
        <w:rPr>
          <w:rFonts w:hint="eastAsia" w:cs="宋体"/>
          <w:color w:val="auto"/>
          <w:sz w:val="21"/>
          <w:szCs w:val="21"/>
          <w:highlight w:val="none"/>
        </w:rPr>
        <w:t>1</w:t>
      </w:r>
      <w:r>
        <w:rPr>
          <w:rFonts w:hint="eastAsia" w:ascii="宋体" w:hAnsi="宋体" w:cs="宋体"/>
          <w:color w:val="auto"/>
          <w:sz w:val="21"/>
          <w:szCs w:val="21"/>
          <w:highlight w:val="none"/>
        </w:rPr>
        <w:t xml:space="preserve"> 承包人的一般义务</w:t>
      </w:r>
      <w:bookmarkEnd w:id="1307"/>
    </w:p>
    <w:bookmarkEnd w:id="1308"/>
    <w:bookmarkEnd w:id="1309"/>
    <w:bookmarkEnd w:id="131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承包人在履行合同过程中应遵守法律和工程建设标准规范，并履行以下义务：</w:t>
      </w:r>
    </w:p>
    <w:p>
      <w:pPr>
        <w:numPr>
          <w:ilvl w:val="0"/>
          <w:numId w:val="5"/>
        </w:num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办理法律规定应由承包人办理的许可和批准，并将办理结果书面报送发包人留存；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）按法律规定和合同约定完成工程，并在保修期内承担保修义务；</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）按法律规定和合同约定采取施工安全和环境保护措施，办理工伤保险，确保工程及人员、材料、设备和设施的安全；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）按合同约定的工作内容和施工进度要求，编制施工组织设计和施工措施计划，并对所有施工作业和施工方法的完备性和安全可靠性负责；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）按照第</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款〔环境保护〕约定负责施工场地及其周边环境与生态的保护工作；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）按第</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款〔安全文明施工〕约定采取施工安全措施，确保工程及其人员、材料、设备和设施的安全，防止因工程施工造成的人身伤害和财产损失；</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）将发包人按合同约定支付的各项价款专用于合同工程，且应及时支付其雇用人员工资，并及时向分包人支付合同价款；</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）按照法律规定和合同约定编制竣工资料，完成竣工资料立卷及归档，并按专用合同条款约定的竣工资料的套数、内容、时间等要求移交发包人；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）应履行的其他义务。</w:t>
      </w:r>
    </w:p>
    <w:p>
      <w:pPr>
        <w:pStyle w:val="6"/>
        <w:keepNext w:val="0"/>
        <w:keepLines w:val="0"/>
        <w:spacing w:line="336" w:lineRule="auto"/>
        <w:ind w:firstLine="422" w:firstLineChars="200"/>
        <w:rPr>
          <w:rFonts w:ascii="宋体" w:hAnsi="宋体" w:cs="宋体"/>
          <w:color w:val="auto"/>
          <w:sz w:val="21"/>
          <w:szCs w:val="21"/>
          <w:highlight w:val="none"/>
        </w:rPr>
      </w:pPr>
      <w:bookmarkStart w:id="1311" w:name="_Toc351203520"/>
      <w:r>
        <w:rPr>
          <w:rFonts w:hint="eastAsia" w:cs="宋体"/>
          <w:color w:val="auto"/>
          <w:sz w:val="21"/>
          <w:szCs w:val="21"/>
          <w:highlight w:val="none"/>
        </w:rPr>
        <w:t>3</w:t>
      </w:r>
      <w:bookmarkStart w:id="1312" w:name="_Toc337558748"/>
      <w:bookmarkStart w:id="1313" w:name="_Toc296346548"/>
      <w:bookmarkStart w:id="1314" w:name="_Toc296503047"/>
      <w:r>
        <w:rPr>
          <w:rFonts w:hint="eastAsia" w:ascii="宋体" w:hAnsi="宋体" w:cs="宋体"/>
          <w:color w:val="auto"/>
          <w:sz w:val="21"/>
          <w:szCs w:val="21"/>
          <w:highlight w:val="none"/>
        </w:rPr>
        <w:t>.</w:t>
      </w:r>
      <w:r>
        <w:rPr>
          <w:rFonts w:hint="eastAsia" w:cs="宋体"/>
          <w:color w:val="auto"/>
          <w:sz w:val="21"/>
          <w:szCs w:val="21"/>
          <w:highlight w:val="none"/>
        </w:rPr>
        <w:t>2</w:t>
      </w:r>
      <w:r>
        <w:rPr>
          <w:rFonts w:hint="eastAsia" w:ascii="宋体" w:hAnsi="宋体" w:cs="宋体"/>
          <w:color w:val="auto"/>
          <w:sz w:val="21"/>
          <w:szCs w:val="21"/>
          <w:highlight w:val="none"/>
        </w:rPr>
        <w:t xml:space="preserve"> </w:t>
      </w:r>
      <w:bookmarkEnd w:id="1311"/>
      <w:r>
        <w:rPr>
          <w:rFonts w:hint="eastAsia" w:ascii="宋体" w:hAnsi="宋体" w:cs="宋体"/>
          <w:color w:val="auto"/>
          <w:sz w:val="21"/>
          <w:szCs w:val="21"/>
          <w:highlight w:val="none"/>
        </w:rPr>
        <w:t>项目负责人</w:t>
      </w:r>
    </w:p>
    <w:bookmarkEnd w:id="1312"/>
    <w:bookmarkEnd w:id="1313"/>
    <w:bookmarkEnd w:id="131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项目负责人应为投标文件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应常驻施工现场，且每月在施工现场时间不得少于专用合同条款约定的天数。项目负责人不得同时担任其他项目的项目负责人。项目负责人确需离开施工现场时，应取得监理人和发包人的书面同意。项目负责人的通知中应当载明临时代行其职责的人员的注册执业资格、管理经验等资料，该人员应具备履行相应职责的能力。</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承包人违反上述约定的，应按照专用合同条款的约定，承担违约责任。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项目负责人按合同约定组织工程实施。在紧急情况下为确保施工安全和人员安全，在无法与发包人代表和总监理工程师及时取得联系时，项目负责人有权采取必要的措施保证与工程有关的人身、财产和工程的安全，但应在</w:t>
      </w:r>
      <w:r>
        <w:rPr>
          <w:rFonts w:hint="eastAsia" w:cs="宋体"/>
          <w:color w:val="auto"/>
          <w:kern w:val="0"/>
          <w:szCs w:val="21"/>
          <w:highlight w:val="none"/>
        </w:rPr>
        <w:t>48</w:t>
      </w:r>
      <w:r>
        <w:rPr>
          <w:rFonts w:hint="eastAsia" w:ascii="宋体" w:hAnsi="宋体" w:cs="宋体"/>
          <w:color w:val="auto"/>
          <w:kern w:val="0"/>
          <w:szCs w:val="21"/>
          <w:highlight w:val="none"/>
        </w:rPr>
        <w:t>小时内向发包人代表和总监理工程师提交书面报告。</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承包人需要更换项目负责人的，应提前</w:t>
      </w:r>
      <w:r>
        <w:rPr>
          <w:rFonts w:hint="eastAsia" w:cs="宋体"/>
          <w:color w:val="auto"/>
          <w:kern w:val="0"/>
          <w:szCs w:val="21"/>
          <w:highlight w:val="none"/>
        </w:rPr>
        <w:t>14</w:t>
      </w:r>
      <w:r>
        <w:rPr>
          <w:rFonts w:hint="eastAsia" w:ascii="宋体" w:hAnsi="宋体" w:cs="宋体"/>
          <w:color w:val="auto"/>
          <w:kern w:val="0"/>
          <w:szCs w:val="21"/>
          <w:highlight w:val="none"/>
        </w:rPr>
        <w:t>天书面通知发包人和监理人，并征得发包人书面同意。通知中应当载明继任项目负责人的注册执业资格、管理经验等资料，继任项目负责人继续履行第</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项约定的职责。未经发包人书面同意，承包人不得擅自更换项目负责人。承包人擅自更换项目负责人的，应按照专用合同条款的约定承担违约责任。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发包人有权书面通知承包人更换其认为不称职的项目负责人，通知中应当载明要求更换的理由。承包人应在接到更换通知后</w:t>
      </w:r>
      <w:r>
        <w:rPr>
          <w:rFonts w:hint="eastAsia" w:cs="宋体"/>
          <w:color w:val="auto"/>
          <w:kern w:val="0"/>
          <w:szCs w:val="21"/>
          <w:highlight w:val="none"/>
        </w:rPr>
        <w:t>14</w:t>
      </w:r>
      <w:r>
        <w:rPr>
          <w:rFonts w:hint="eastAsia" w:ascii="宋体" w:hAnsi="宋体" w:cs="宋体"/>
          <w:color w:val="auto"/>
          <w:kern w:val="0"/>
          <w:szCs w:val="21"/>
          <w:highlight w:val="none"/>
        </w:rPr>
        <w:t>天内向发包人提出书面的改进报告。发包人收到改进报告后仍要求更换的，承包人应在接到第二次更换通知的</w:t>
      </w:r>
      <w:r>
        <w:rPr>
          <w:rFonts w:hint="eastAsia" w:cs="宋体"/>
          <w:color w:val="auto"/>
          <w:kern w:val="0"/>
          <w:szCs w:val="21"/>
          <w:highlight w:val="none"/>
        </w:rPr>
        <w:t>28</w:t>
      </w:r>
      <w:r>
        <w:rPr>
          <w:rFonts w:hint="eastAsia" w:ascii="宋体" w:hAnsi="宋体" w:cs="宋体"/>
          <w:color w:val="auto"/>
          <w:kern w:val="0"/>
          <w:szCs w:val="21"/>
          <w:highlight w:val="none"/>
        </w:rPr>
        <w:t>天内进行更换，并将新任命的项目负责人的注册执业资格、管理经验等资料书面通知发包人。继任项目负责人继续履行第</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项约定的职责。承包人无正当理由拒绝更换项目负责人的，应按照专用合同条款的约定承担违约责任。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项目负责人因特殊情况授权其下属人员履行其某项工作职责的，该下属人员应具备履行相应职责的能力，并应提前</w:t>
      </w:r>
      <w:r>
        <w:rPr>
          <w:rFonts w:hint="eastAsia" w:cs="宋体"/>
          <w:color w:val="auto"/>
          <w:kern w:val="0"/>
          <w:szCs w:val="21"/>
          <w:highlight w:val="none"/>
        </w:rPr>
        <w:t>7</w:t>
      </w:r>
      <w:r>
        <w:rPr>
          <w:rFonts w:hint="eastAsia" w:ascii="宋体" w:hAnsi="宋体" w:cs="宋体"/>
          <w:color w:val="auto"/>
          <w:kern w:val="0"/>
          <w:szCs w:val="21"/>
          <w:highlight w:val="none"/>
        </w:rPr>
        <w:t>天将上述人员的姓名和授权范围书面通知监理人，并征得发包人书面同意。</w:t>
      </w:r>
    </w:p>
    <w:p>
      <w:pPr>
        <w:pStyle w:val="6"/>
        <w:keepNext w:val="0"/>
        <w:keepLines w:val="0"/>
        <w:spacing w:line="336" w:lineRule="auto"/>
        <w:ind w:firstLine="422" w:firstLineChars="200"/>
        <w:rPr>
          <w:rFonts w:ascii="宋体" w:hAnsi="宋体" w:cs="宋体"/>
          <w:color w:val="auto"/>
          <w:sz w:val="21"/>
          <w:szCs w:val="21"/>
          <w:highlight w:val="none"/>
        </w:rPr>
      </w:pPr>
      <w:bookmarkStart w:id="1315" w:name="_Toc351203521"/>
      <w:r>
        <w:rPr>
          <w:rFonts w:hint="eastAsia" w:cs="宋体"/>
          <w:color w:val="auto"/>
          <w:sz w:val="21"/>
          <w:szCs w:val="21"/>
          <w:highlight w:val="none"/>
        </w:rPr>
        <w:t>3</w:t>
      </w:r>
      <w:bookmarkStart w:id="1316" w:name="_Toc296503048"/>
      <w:bookmarkStart w:id="1317" w:name="_Toc296346549"/>
      <w:bookmarkStart w:id="1318" w:name="_Toc337558749"/>
      <w:r>
        <w:rPr>
          <w:rFonts w:hint="eastAsia" w:ascii="宋体" w:hAnsi="宋体" w:cs="宋体"/>
          <w:color w:val="auto"/>
          <w:sz w:val="21"/>
          <w:szCs w:val="21"/>
          <w:highlight w:val="none"/>
        </w:rPr>
        <w:t>.</w:t>
      </w:r>
      <w:r>
        <w:rPr>
          <w:rFonts w:hint="eastAsia" w:cs="宋体"/>
          <w:color w:val="auto"/>
          <w:sz w:val="21"/>
          <w:szCs w:val="21"/>
          <w:highlight w:val="none"/>
        </w:rPr>
        <w:t>3</w:t>
      </w:r>
      <w:r>
        <w:rPr>
          <w:rFonts w:hint="eastAsia" w:ascii="宋体" w:hAnsi="宋体" w:cs="宋体"/>
          <w:color w:val="auto"/>
          <w:sz w:val="21"/>
          <w:szCs w:val="21"/>
          <w:highlight w:val="none"/>
        </w:rPr>
        <w:t xml:space="preserve"> </w:t>
      </w:r>
      <w:bookmarkEnd w:id="1316"/>
      <w:bookmarkEnd w:id="1317"/>
      <w:r>
        <w:rPr>
          <w:rFonts w:hint="eastAsia" w:ascii="宋体" w:hAnsi="宋体" w:cs="宋体"/>
          <w:color w:val="auto"/>
          <w:sz w:val="21"/>
          <w:szCs w:val="21"/>
          <w:highlight w:val="none"/>
        </w:rPr>
        <w:t>承包人人员</w:t>
      </w:r>
      <w:bookmarkEnd w:id="1315"/>
    </w:p>
    <w:bookmarkEnd w:id="131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除专用合同条款另有约定外，承包人应在接到开工通知后</w:t>
      </w:r>
      <w:r>
        <w:rPr>
          <w:rFonts w:hint="eastAsia" w:cs="宋体"/>
          <w:color w:val="auto"/>
          <w:kern w:val="0"/>
          <w:szCs w:val="21"/>
          <w:highlight w:val="none"/>
        </w:rPr>
        <w:t>7</w:t>
      </w:r>
      <w:r>
        <w:rPr>
          <w:rFonts w:hint="eastAsia" w:ascii="宋体" w:hAnsi="宋体" w:cs="宋体"/>
          <w:color w:val="auto"/>
          <w:kern w:val="0"/>
          <w:szCs w:val="21"/>
          <w:highlight w:val="none"/>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其他主要施工管理人员与承包人之间的劳动关系证明和缴纳社会保险的有效证明。</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承包人其他主要管理人员应为投标文件所确认的人选，合同期内应相对稳定。施工过程中如有变动，承包人应及时向监理人提交施工现场人员变动情况的报告。承包人更换其他主要施工管理人员时，应提前</w:t>
      </w:r>
      <w:r>
        <w:rPr>
          <w:rFonts w:hint="eastAsia" w:cs="宋体"/>
          <w:color w:val="auto"/>
          <w:kern w:val="0"/>
          <w:szCs w:val="21"/>
          <w:highlight w:val="none"/>
        </w:rPr>
        <w:t>7</w:t>
      </w:r>
      <w:r>
        <w:rPr>
          <w:rFonts w:hint="eastAsia" w:ascii="宋体" w:hAnsi="宋体" w:cs="宋体"/>
          <w:color w:val="auto"/>
          <w:kern w:val="0"/>
          <w:szCs w:val="21"/>
          <w:highlight w:val="none"/>
        </w:rPr>
        <w:t>天书面通知监理人，并征得发包人书面同意。通知中应当载明继任人员的注册执业资格、管理经验等资料。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特殊工种作业人员均应持有相应的资格证明，监理人可以随时检查。</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除专用合同条款另有约定外，承包人的主要施工管理人员离开施工现场每月累计不超过</w:t>
      </w:r>
      <w:r>
        <w:rPr>
          <w:rFonts w:hint="eastAsia" w:cs="宋体"/>
          <w:color w:val="auto"/>
          <w:kern w:val="0"/>
          <w:szCs w:val="21"/>
          <w:highlight w:val="none"/>
        </w:rPr>
        <w:t>5</w:t>
      </w:r>
      <w:r>
        <w:rPr>
          <w:rFonts w:hint="eastAsia" w:ascii="宋体" w:hAnsi="宋体" w:cs="宋体"/>
          <w:color w:val="auto"/>
          <w:kern w:val="0"/>
          <w:szCs w:val="21"/>
          <w:highlight w:val="none"/>
        </w:rPr>
        <w:t>天的，应报监理人同意；离开施工现场每月累计超过</w:t>
      </w:r>
      <w:r>
        <w:rPr>
          <w:rFonts w:hint="eastAsia" w:cs="宋体"/>
          <w:color w:val="auto"/>
          <w:kern w:val="0"/>
          <w:szCs w:val="21"/>
          <w:highlight w:val="none"/>
        </w:rPr>
        <w:t>5</w:t>
      </w:r>
      <w:r>
        <w:rPr>
          <w:rFonts w:hint="eastAsia" w:ascii="宋体" w:hAnsi="宋体" w:cs="宋体"/>
          <w:color w:val="auto"/>
          <w:kern w:val="0"/>
          <w:szCs w:val="21"/>
          <w:highlight w:val="none"/>
        </w:rPr>
        <w:t>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承包人擅自更换主要施工管理人员，或前述人员未经监理人或发包人同意擅自离开施工现场的，应按照专用合同条款约定承担违约责任。</w:t>
      </w:r>
    </w:p>
    <w:p>
      <w:pPr>
        <w:pStyle w:val="6"/>
        <w:keepNext w:val="0"/>
        <w:keepLines w:val="0"/>
        <w:spacing w:line="336" w:lineRule="auto"/>
        <w:ind w:firstLine="422" w:firstLineChars="200"/>
        <w:rPr>
          <w:rFonts w:ascii="宋体" w:hAnsi="宋体" w:cs="宋体"/>
          <w:color w:val="auto"/>
          <w:sz w:val="21"/>
          <w:szCs w:val="21"/>
          <w:highlight w:val="none"/>
        </w:rPr>
      </w:pPr>
      <w:bookmarkStart w:id="1319" w:name="_Toc351203522"/>
      <w:r>
        <w:rPr>
          <w:rFonts w:hint="eastAsia" w:cs="宋体"/>
          <w:color w:val="auto"/>
          <w:sz w:val="21"/>
          <w:szCs w:val="21"/>
          <w:highlight w:val="none"/>
        </w:rPr>
        <w:t>3</w:t>
      </w:r>
      <w:bookmarkStart w:id="1320" w:name="_Toc296503050"/>
      <w:bookmarkStart w:id="1321" w:name="_Toc296346551"/>
      <w:bookmarkStart w:id="1322" w:name="_Toc337558750"/>
      <w:r>
        <w:rPr>
          <w:rFonts w:hint="eastAsia" w:ascii="宋体" w:hAnsi="宋体" w:cs="宋体"/>
          <w:color w:val="auto"/>
          <w:sz w:val="21"/>
          <w:szCs w:val="21"/>
          <w:highlight w:val="none"/>
        </w:rPr>
        <w:t>.</w:t>
      </w:r>
      <w:r>
        <w:rPr>
          <w:rFonts w:hint="eastAsia" w:cs="宋体"/>
          <w:color w:val="auto"/>
          <w:sz w:val="21"/>
          <w:szCs w:val="21"/>
          <w:highlight w:val="none"/>
        </w:rPr>
        <w:t>4</w:t>
      </w:r>
      <w:r>
        <w:rPr>
          <w:rFonts w:hint="eastAsia" w:ascii="宋体" w:hAnsi="宋体" w:cs="宋体"/>
          <w:color w:val="auto"/>
          <w:sz w:val="21"/>
          <w:szCs w:val="21"/>
          <w:highlight w:val="none"/>
        </w:rPr>
        <w:t xml:space="preserve"> 承包人现场查勘</w:t>
      </w:r>
      <w:bookmarkEnd w:id="1319"/>
    </w:p>
    <w:bookmarkEnd w:id="1320"/>
    <w:bookmarkEnd w:id="1321"/>
    <w:bookmarkEnd w:id="1322"/>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承包人应对基于发包人按照第</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项〔提供基础资料〕提交的基础资料所做出的解释和推断负责，但因基础资料存在错误、遗漏导致承包人解释或推断失实的，由发包人承担责任。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keepNext w:val="0"/>
        <w:keepLines w:val="0"/>
        <w:spacing w:line="336" w:lineRule="auto"/>
        <w:ind w:firstLine="422" w:firstLineChars="200"/>
        <w:rPr>
          <w:rFonts w:ascii="宋体" w:hAnsi="宋体" w:cs="宋体"/>
          <w:color w:val="auto"/>
          <w:sz w:val="21"/>
          <w:szCs w:val="21"/>
          <w:highlight w:val="none"/>
        </w:rPr>
      </w:pPr>
      <w:bookmarkStart w:id="1323" w:name="_Toc351203523"/>
      <w:r>
        <w:rPr>
          <w:rFonts w:hint="eastAsia" w:cs="宋体"/>
          <w:color w:val="auto"/>
          <w:sz w:val="21"/>
          <w:szCs w:val="21"/>
          <w:highlight w:val="none"/>
        </w:rPr>
        <w:t>3</w:t>
      </w:r>
      <w:bookmarkStart w:id="1324" w:name="_Toc337558751"/>
      <w:bookmarkStart w:id="1325" w:name="_Toc296503051"/>
      <w:bookmarkStart w:id="1326" w:name="_Toc296346552"/>
      <w:r>
        <w:rPr>
          <w:rFonts w:hint="eastAsia" w:ascii="宋体" w:hAnsi="宋体" w:cs="宋体"/>
          <w:color w:val="auto"/>
          <w:sz w:val="21"/>
          <w:szCs w:val="21"/>
          <w:highlight w:val="none"/>
        </w:rPr>
        <w:t>.</w:t>
      </w:r>
      <w:r>
        <w:rPr>
          <w:rFonts w:hint="eastAsia" w:cs="宋体"/>
          <w:color w:val="auto"/>
          <w:sz w:val="21"/>
          <w:szCs w:val="21"/>
          <w:highlight w:val="none"/>
        </w:rPr>
        <w:t>5</w:t>
      </w:r>
      <w:r>
        <w:rPr>
          <w:rFonts w:hint="eastAsia" w:ascii="宋体" w:hAnsi="宋体" w:cs="宋体"/>
          <w:color w:val="auto"/>
          <w:sz w:val="21"/>
          <w:szCs w:val="21"/>
          <w:highlight w:val="none"/>
        </w:rPr>
        <w:t xml:space="preserve"> 分包</w:t>
      </w:r>
      <w:bookmarkEnd w:id="1323"/>
    </w:p>
    <w:bookmarkEnd w:id="1324"/>
    <w:bookmarkEnd w:id="1325"/>
    <w:bookmarkEnd w:id="1326"/>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分包的一般约定</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承包人不得以劳务分包的名义转包或违法分包工程。</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分包的确定</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承包人应按专用合同条款的约定进行分包，确定分包人。已标价工程量清单或预算书中给定暂估价的专业工程，按照第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hint="eastAsia" w:cs="宋体"/>
          <w:color w:val="auto"/>
          <w:kern w:val="0"/>
          <w:szCs w:val="21"/>
          <w:highlight w:val="none"/>
        </w:rPr>
        <w:t>7</w:t>
      </w:r>
      <w:r>
        <w:rPr>
          <w:rFonts w:hint="eastAsia" w:ascii="宋体" w:hAnsi="宋体" w:cs="宋体"/>
          <w:color w:val="auto"/>
          <w:kern w:val="0"/>
          <w:szCs w:val="21"/>
          <w:highlight w:val="none"/>
        </w:rPr>
        <w:t>天内向发包人和监理人提交分包合同副本。</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分包管理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分包合同价款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）除本项第（</w:t>
      </w:r>
      <w:r>
        <w:rPr>
          <w:rFonts w:hint="eastAsia" w:cs="宋体"/>
          <w:color w:val="auto"/>
          <w:kern w:val="0"/>
          <w:szCs w:val="21"/>
          <w:highlight w:val="none"/>
        </w:rPr>
        <w:t>2</w:t>
      </w:r>
      <w:r>
        <w:rPr>
          <w:rFonts w:hint="eastAsia" w:ascii="宋体" w:hAnsi="宋体" w:cs="宋体"/>
          <w:color w:val="auto"/>
          <w:kern w:val="0"/>
          <w:szCs w:val="21"/>
          <w:highlight w:val="none"/>
        </w:rPr>
        <w:t>）目约定的情况或专用合同条款另有约定外，分包合同价款由承包人与分包人结算，未经承包人同意，发包人不得向分包人支付分包工程价款；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）生效法律文书要求发包人向分包人支付分包合同价款的，发包人有权从应付承包人工程款中扣除该部分款项。</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分包合同权益的转让</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27" w:name="_Toc351203524"/>
    </w:p>
    <w:p>
      <w:pPr>
        <w:pStyle w:val="6"/>
        <w:keepNext w:val="0"/>
        <w:keepLines w:val="0"/>
        <w:spacing w:line="336" w:lineRule="auto"/>
        <w:ind w:firstLine="422" w:firstLineChars="200"/>
        <w:rPr>
          <w:rFonts w:ascii="宋体" w:hAnsi="宋体" w:cs="宋体"/>
          <w:color w:val="auto"/>
          <w:sz w:val="21"/>
          <w:szCs w:val="21"/>
          <w:highlight w:val="none"/>
        </w:rPr>
      </w:pPr>
      <w:r>
        <w:rPr>
          <w:rFonts w:hint="eastAsia" w:cs="宋体"/>
          <w:color w:val="auto"/>
          <w:sz w:val="21"/>
          <w:szCs w:val="21"/>
          <w:highlight w:val="none"/>
        </w:rPr>
        <w:t>3</w:t>
      </w:r>
      <w:r>
        <w:rPr>
          <w:rFonts w:hint="eastAsia" w:ascii="宋体" w:hAnsi="宋体" w:cs="宋体"/>
          <w:color w:val="auto"/>
          <w:sz w:val="21"/>
          <w:szCs w:val="21"/>
          <w:highlight w:val="none"/>
        </w:rPr>
        <w:t>.</w:t>
      </w:r>
      <w:r>
        <w:rPr>
          <w:rFonts w:hint="eastAsia" w:cs="宋体"/>
          <w:color w:val="auto"/>
          <w:sz w:val="21"/>
          <w:szCs w:val="21"/>
          <w:highlight w:val="none"/>
        </w:rPr>
        <w:t>6</w:t>
      </w:r>
      <w:r>
        <w:rPr>
          <w:rFonts w:hint="eastAsia" w:ascii="宋体" w:hAnsi="宋体" w:cs="宋体"/>
          <w:color w:val="auto"/>
          <w:sz w:val="21"/>
          <w:szCs w:val="21"/>
          <w:highlight w:val="none"/>
        </w:rPr>
        <w:t xml:space="preserve"> 工程照管与成品、半成品保护</w:t>
      </w:r>
      <w:bookmarkEnd w:id="1327"/>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）除专用合同条款另有约定外，自发包人向承包人移交施工现场之日起，承包人应负责照管工程及工程相关的材料、工程设备，直到颁发工程接收证书之日止。</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）在承包人负责照管期间，因承包人原因造成工程、材料、工程设备损坏的，由承包人负责修复或更换，并承担由此增加的费用和（或）延误的工期。</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keepNext w:val="0"/>
        <w:keepLines w:val="0"/>
        <w:spacing w:line="336" w:lineRule="auto"/>
        <w:ind w:firstLine="422" w:firstLineChars="200"/>
        <w:rPr>
          <w:rFonts w:ascii="宋体" w:hAnsi="宋体" w:cs="宋体"/>
          <w:color w:val="auto"/>
          <w:sz w:val="21"/>
          <w:szCs w:val="21"/>
          <w:highlight w:val="none"/>
        </w:rPr>
      </w:pPr>
      <w:bookmarkStart w:id="1328" w:name="_Toc351203525"/>
      <w:r>
        <w:rPr>
          <w:rFonts w:hint="eastAsia" w:cs="宋体"/>
          <w:color w:val="auto"/>
          <w:sz w:val="21"/>
          <w:szCs w:val="21"/>
          <w:highlight w:val="none"/>
        </w:rPr>
        <w:t>3</w:t>
      </w:r>
      <w:bookmarkStart w:id="1329" w:name="_Toc296503052"/>
      <w:bookmarkStart w:id="1330" w:name="_Toc337558752"/>
      <w:bookmarkStart w:id="1331" w:name="_Toc296346553"/>
      <w:r>
        <w:rPr>
          <w:rFonts w:hint="eastAsia" w:ascii="宋体" w:hAnsi="宋体" w:cs="宋体"/>
          <w:color w:val="auto"/>
          <w:sz w:val="21"/>
          <w:szCs w:val="21"/>
          <w:highlight w:val="none"/>
        </w:rPr>
        <w:t>.</w:t>
      </w:r>
      <w:r>
        <w:rPr>
          <w:rFonts w:hint="eastAsia" w:cs="宋体"/>
          <w:color w:val="auto"/>
          <w:sz w:val="21"/>
          <w:szCs w:val="21"/>
          <w:highlight w:val="none"/>
        </w:rPr>
        <w:t>7</w:t>
      </w:r>
      <w:r>
        <w:rPr>
          <w:rFonts w:hint="eastAsia" w:ascii="宋体" w:hAnsi="宋体" w:cs="宋体"/>
          <w:color w:val="auto"/>
          <w:sz w:val="21"/>
          <w:szCs w:val="21"/>
          <w:highlight w:val="none"/>
        </w:rPr>
        <w:t xml:space="preserve"> 履约担保</w:t>
      </w:r>
      <w:bookmarkEnd w:id="1328"/>
    </w:p>
    <w:bookmarkEnd w:id="1329"/>
    <w:bookmarkEnd w:id="1330"/>
    <w:bookmarkEnd w:id="133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6"/>
        <w:keepNext w:val="0"/>
        <w:keepLines w:val="0"/>
        <w:spacing w:line="336" w:lineRule="auto"/>
        <w:ind w:firstLine="422" w:firstLineChars="200"/>
        <w:rPr>
          <w:rFonts w:ascii="宋体" w:hAnsi="宋体" w:cs="宋体"/>
          <w:strike/>
          <w:dstrike w:val="0"/>
          <w:color w:val="auto"/>
          <w:sz w:val="21"/>
          <w:szCs w:val="21"/>
          <w:highlight w:val="none"/>
        </w:rPr>
      </w:pPr>
      <w:bookmarkStart w:id="1332" w:name="_Toc351203526"/>
      <w:r>
        <w:rPr>
          <w:rFonts w:hint="eastAsia" w:cs="宋体"/>
          <w:strike/>
          <w:dstrike w:val="0"/>
          <w:color w:val="auto"/>
          <w:sz w:val="21"/>
          <w:szCs w:val="21"/>
          <w:highlight w:val="none"/>
        </w:rPr>
        <w:t>3</w:t>
      </w:r>
      <w:r>
        <w:rPr>
          <w:rFonts w:hint="eastAsia" w:ascii="宋体" w:hAnsi="宋体" w:cs="宋体"/>
          <w:strike/>
          <w:dstrike w:val="0"/>
          <w:color w:val="auto"/>
          <w:sz w:val="21"/>
          <w:szCs w:val="21"/>
          <w:highlight w:val="none"/>
        </w:rPr>
        <w:t>.</w:t>
      </w:r>
      <w:r>
        <w:rPr>
          <w:rFonts w:hint="eastAsia" w:cs="宋体"/>
          <w:strike/>
          <w:dstrike w:val="0"/>
          <w:color w:val="auto"/>
          <w:sz w:val="21"/>
          <w:szCs w:val="21"/>
          <w:highlight w:val="none"/>
        </w:rPr>
        <w:t>8</w:t>
      </w:r>
      <w:r>
        <w:rPr>
          <w:rFonts w:hint="eastAsia" w:ascii="宋体" w:hAnsi="宋体" w:cs="宋体"/>
          <w:strike/>
          <w:dstrike w:val="0"/>
          <w:color w:val="auto"/>
          <w:sz w:val="21"/>
          <w:szCs w:val="21"/>
          <w:highlight w:val="none"/>
        </w:rPr>
        <w:t xml:space="preserve"> 联合体</w:t>
      </w:r>
      <w:bookmarkEnd w:id="1332"/>
    </w:p>
    <w:p>
      <w:pPr>
        <w:autoSpaceDE w:val="0"/>
        <w:autoSpaceDN w:val="0"/>
        <w:adjustRightInd w:val="0"/>
        <w:spacing w:line="336" w:lineRule="auto"/>
        <w:ind w:firstLine="420" w:firstLineChars="200"/>
        <w:jc w:val="left"/>
        <w:rPr>
          <w:rFonts w:ascii="宋体" w:hAnsi="宋体" w:cs="宋体"/>
          <w:strike/>
          <w:dstrike w:val="0"/>
          <w:color w:val="auto"/>
          <w:kern w:val="0"/>
          <w:szCs w:val="21"/>
          <w:highlight w:val="none"/>
        </w:rPr>
      </w:pPr>
      <w:r>
        <w:rPr>
          <w:rFonts w:hint="eastAsia" w:cs="宋体"/>
          <w:strike/>
          <w:dstrike w:val="0"/>
          <w:color w:val="auto"/>
          <w:kern w:val="0"/>
          <w:szCs w:val="21"/>
          <w:highlight w:val="none"/>
        </w:rPr>
        <w:t>3</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8</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1</w:t>
      </w:r>
      <w:r>
        <w:rPr>
          <w:rFonts w:hint="eastAsia" w:ascii="宋体" w:hAnsi="宋体" w:cs="宋体"/>
          <w:strike/>
          <w:dstrike w:val="0"/>
          <w:color w:val="auto"/>
          <w:kern w:val="0"/>
          <w:szCs w:val="21"/>
          <w:highlight w:val="none"/>
        </w:rPr>
        <w:t xml:space="preserve"> 联合体各方应共同与发包人签订合同协议书。联合体各方应为履行合同向发包人承担连带责任。</w:t>
      </w:r>
    </w:p>
    <w:p>
      <w:pPr>
        <w:autoSpaceDE w:val="0"/>
        <w:autoSpaceDN w:val="0"/>
        <w:adjustRightInd w:val="0"/>
        <w:spacing w:line="336" w:lineRule="auto"/>
        <w:ind w:firstLine="420" w:firstLineChars="200"/>
        <w:jc w:val="left"/>
        <w:rPr>
          <w:rFonts w:ascii="宋体" w:hAnsi="宋体" w:cs="宋体"/>
          <w:strike/>
          <w:dstrike w:val="0"/>
          <w:color w:val="auto"/>
          <w:kern w:val="0"/>
          <w:szCs w:val="21"/>
          <w:highlight w:val="none"/>
        </w:rPr>
      </w:pPr>
      <w:r>
        <w:rPr>
          <w:rFonts w:hint="eastAsia" w:cs="宋体"/>
          <w:strike/>
          <w:dstrike w:val="0"/>
          <w:color w:val="auto"/>
          <w:kern w:val="0"/>
          <w:szCs w:val="21"/>
          <w:highlight w:val="none"/>
        </w:rPr>
        <w:t>3</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8</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2</w:t>
      </w:r>
      <w:r>
        <w:rPr>
          <w:rFonts w:hint="eastAsia" w:ascii="宋体" w:hAnsi="宋体" w:cs="宋体"/>
          <w:strike/>
          <w:dstrike w:val="0"/>
          <w:color w:val="auto"/>
          <w:kern w:val="0"/>
          <w:szCs w:val="21"/>
          <w:highlight w:val="none"/>
        </w:rPr>
        <w:t xml:space="preserve"> 联合体协议经发包人确认后作为合同附件。在履行合同过程中，未经发包人同意，不得修改联合体协议。</w:t>
      </w:r>
    </w:p>
    <w:p>
      <w:pPr>
        <w:autoSpaceDE w:val="0"/>
        <w:autoSpaceDN w:val="0"/>
        <w:adjustRightInd w:val="0"/>
        <w:spacing w:line="336" w:lineRule="auto"/>
        <w:ind w:firstLine="420" w:firstLineChars="200"/>
        <w:jc w:val="left"/>
        <w:rPr>
          <w:rFonts w:ascii="宋体" w:hAnsi="宋体" w:cs="宋体"/>
          <w:strike/>
          <w:dstrike w:val="0"/>
          <w:color w:val="auto"/>
          <w:kern w:val="0"/>
          <w:szCs w:val="21"/>
          <w:highlight w:val="none"/>
        </w:rPr>
      </w:pPr>
      <w:r>
        <w:rPr>
          <w:rFonts w:hint="eastAsia" w:cs="宋体"/>
          <w:strike/>
          <w:dstrike w:val="0"/>
          <w:color w:val="auto"/>
          <w:kern w:val="0"/>
          <w:szCs w:val="21"/>
          <w:highlight w:val="none"/>
        </w:rPr>
        <w:t>3</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8</w:t>
      </w:r>
      <w:r>
        <w:rPr>
          <w:rFonts w:hint="eastAsia" w:ascii="宋体" w:hAnsi="宋体" w:cs="宋体"/>
          <w:strike/>
          <w:dstrike w:val="0"/>
          <w:color w:val="auto"/>
          <w:kern w:val="0"/>
          <w:szCs w:val="21"/>
          <w:highlight w:val="none"/>
        </w:rPr>
        <w:t>.</w:t>
      </w:r>
      <w:r>
        <w:rPr>
          <w:rFonts w:hint="eastAsia" w:cs="宋体"/>
          <w:strike/>
          <w:dstrike w:val="0"/>
          <w:color w:val="auto"/>
          <w:kern w:val="0"/>
          <w:szCs w:val="21"/>
          <w:highlight w:val="none"/>
        </w:rPr>
        <w:t>3</w:t>
      </w:r>
      <w:r>
        <w:rPr>
          <w:rFonts w:hint="eastAsia" w:ascii="宋体" w:hAnsi="宋体" w:cs="宋体"/>
          <w:strike/>
          <w:dstrike w:val="0"/>
          <w:color w:val="auto"/>
          <w:kern w:val="0"/>
          <w:szCs w:val="21"/>
          <w:highlight w:val="none"/>
        </w:rPr>
        <w:t xml:space="preserve"> 联合体牵头人负责与发包人和监理人联系，并接受指示，负责组织联合体各成员全面履行合同。</w:t>
      </w:r>
    </w:p>
    <w:p>
      <w:pPr>
        <w:pStyle w:val="5"/>
        <w:keepNext w:val="0"/>
        <w:keepLines w:val="0"/>
        <w:spacing w:line="336" w:lineRule="auto"/>
        <w:rPr>
          <w:rFonts w:ascii="宋体" w:hAnsi="宋体" w:eastAsia="宋体" w:cs="宋体"/>
          <w:color w:val="auto"/>
          <w:sz w:val="24"/>
          <w:szCs w:val="24"/>
          <w:highlight w:val="none"/>
        </w:rPr>
      </w:pPr>
      <w:bookmarkStart w:id="1333" w:name="_Toc351203527"/>
      <w:r>
        <w:rPr>
          <w:rFonts w:hint="eastAsia" w:ascii="Times New Roman" w:hAnsi="Times New Roman" w:eastAsia="宋体" w:cs="宋体"/>
          <w:color w:val="auto"/>
          <w:sz w:val="24"/>
          <w:szCs w:val="24"/>
          <w:highlight w:val="none"/>
        </w:rPr>
        <w:t>4</w:t>
      </w:r>
      <w:bookmarkStart w:id="1334" w:name="_Toc296346554"/>
      <w:bookmarkStart w:id="1335" w:name="_Toc296503053"/>
      <w:bookmarkStart w:id="1336" w:name="_Toc337558753"/>
      <w:r>
        <w:rPr>
          <w:rFonts w:hint="eastAsia" w:ascii="宋体" w:hAnsi="宋体" w:eastAsia="宋体" w:cs="宋体"/>
          <w:color w:val="auto"/>
          <w:sz w:val="24"/>
          <w:szCs w:val="24"/>
          <w:highlight w:val="none"/>
        </w:rPr>
        <w:t>. 监</w:t>
      </w:r>
      <w:bookmarkEnd w:id="1334"/>
      <w:bookmarkEnd w:id="1335"/>
      <w:r>
        <w:rPr>
          <w:rFonts w:hint="eastAsia" w:ascii="宋体" w:hAnsi="宋体" w:eastAsia="宋体" w:cs="宋体"/>
          <w:color w:val="auto"/>
          <w:sz w:val="24"/>
          <w:szCs w:val="24"/>
          <w:highlight w:val="none"/>
        </w:rPr>
        <w:t>理人</w:t>
      </w:r>
      <w:bookmarkEnd w:id="1333"/>
    </w:p>
    <w:bookmarkEnd w:id="1336"/>
    <w:p>
      <w:pPr>
        <w:spacing w:line="336" w:lineRule="auto"/>
        <w:ind w:firstLine="422" w:firstLineChars="200"/>
        <w:outlineLvl w:val="4"/>
        <w:rPr>
          <w:rFonts w:ascii="宋体" w:hAnsi="宋体" w:cs="宋体"/>
          <w:b/>
          <w:bCs/>
          <w:color w:val="auto"/>
          <w:szCs w:val="21"/>
          <w:highlight w:val="none"/>
        </w:rPr>
      </w:pPr>
      <w:bookmarkStart w:id="1337" w:name="_Toc351203528"/>
      <w:r>
        <w:rPr>
          <w:rFonts w:hint="eastAsia" w:cs="宋体"/>
          <w:b/>
          <w:bCs/>
          <w:color w:val="auto"/>
          <w:szCs w:val="21"/>
          <w:highlight w:val="none"/>
        </w:rPr>
        <w:t>4</w:t>
      </w:r>
      <w:bookmarkStart w:id="1338" w:name="_Toc337558754"/>
      <w:bookmarkStart w:id="1339" w:name="_Toc296503054"/>
      <w:bookmarkStart w:id="1340" w:name="_Toc296346555"/>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监理人的一般规定</w:t>
      </w:r>
      <w:bookmarkEnd w:id="1337"/>
    </w:p>
    <w:bookmarkEnd w:id="1338"/>
    <w:bookmarkEnd w:id="1339"/>
    <w:bookmarkEnd w:id="134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除专用合同条款另有约定外，监理人在施工现场的办公场所、生活场所由承包人提供，所发生的费用由发包人承担。</w:t>
      </w:r>
    </w:p>
    <w:p>
      <w:pPr>
        <w:spacing w:line="336" w:lineRule="auto"/>
        <w:ind w:firstLine="422" w:firstLineChars="200"/>
        <w:outlineLvl w:val="4"/>
        <w:rPr>
          <w:rFonts w:ascii="宋体" w:hAnsi="宋体" w:cs="宋体"/>
          <w:b/>
          <w:bCs/>
          <w:color w:val="auto"/>
          <w:szCs w:val="21"/>
          <w:highlight w:val="none"/>
        </w:rPr>
      </w:pPr>
      <w:bookmarkStart w:id="1341" w:name="_Toc351203529"/>
      <w:r>
        <w:rPr>
          <w:rFonts w:hint="eastAsia" w:cs="宋体"/>
          <w:b/>
          <w:bCs/>
          <w:color w:val="auto"/>
          <w:szCs w:val="21"/>
          <w:highlight w:val="none"/>
        </w:rPr>
        <w:t>4</w:t>
      </w:r>
      <w:bookmarkStart w:id="1342" w:name="_Toc337558755"/>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监理人员</w:t>
      </w:r>
      <w:bookmarkEnd w:id="1341"/>
    </w:p>
    <w:bookmarkEnd w:id="1342"/>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hint="eastAsia" w:cs="宋体"/>
          <w:color w:val="auto"/>
          <w:kern w:val="0"/>
          <w:szCs w:val="21"/>
          <w:highlight w:val="none"/>
        </w:rPr>
        <w:t>7</w:t>
      </w:r>
      <w:r>
        <w:rPr>
          <w:rFonts w:hint="eastAsia" w:ascii="宋体" w:hAnsi="宋体" w:cs="宋体"/>
          <w:color w:val="auto"/>
          <w:kern w:val="0"/>
          <w:szCs w:val="21"/>
          <w:highlight w:val="none"/>
        </w:rPr>
        <w:t>天书面通知承包人；更换其他监理人员，监理人应提前</w:t>
      </w:r>
      <w:r>
        <w:rPr>
          <w:rFonts w:hint="eastAsia" w:cs="宋体"/>
          <w:color w:val="auto"/>
          <w:kern w:val="0"/>
          <w:szCs w:val="21"/>
          <w:highlight w:val="none"/>
        </w:rPr>
        <w:t>48</w:t>
      </w:r>
      <w:r>
        <w:rPr>
          <w:rFonts w:hint="eastAsia" w:ascii="宋体" w:hAnsi="宋体" w:cs="宋体"/>
          <w:color w:val="auto"/>
          <w:kern w:val="0"/>
          <w:szCs w:val="21"/>
          <w:highlight w:val="none"/>
        </w:rPr>
        <w:t>小时书面通知承包人。</w:t>
      </w:r>
    </w:p>
    <w:p>
      <w:pPr>
        <w:spacing w:line="336" w:lineRule="auto"/>
        <w:ind w:firstLine="422" w:firstLineChars="200"/>
        <w:outlineLvl w:val="4"/>
        <w:rPr>
          <w:rFonts w:ascii="宋体" w:hAnsi="宋体" w:cs="宋体"/>
          <w:b/>
          <w:bCs/>
          <w:color w:val="auto"/>
          <w:szCs w:val="21"/>
          <w:highlight w:val="none"/>
        </w:rPr>
      </w:pPr>
      <w:bookmarkStart w:id="1343" w:name="_Toc351203530"/>
      <w:r>
        <w:rPr>
          <w:rFonts w:hint="eastAsia" w:cs="宋体"/>
          <w:b/>
          <w:bCs/>
          <w:color w:val="auto"/>
          <w:szCs w:val="21"/>
          <w:highlight w:val="none"/>
        </w:rPr>
        <w:t>4</w:t>
      </w:r>
      <w:bookmarkStart w:id="1344" w:name="_Toc296503055"/>
      <w:bookmarkStart w:id="1345" w:name="_Toc296346556"/>
      <w:bookmarkStart w:id="1346" w:name="_Toc337558756"/>
      <w:r>
        <w:rPr>
          <w:rFonts w:hint="eastAsia" w:ascii="宋体" w:hAnsi="宋体" w:cs="宋体"/>
          <w:b/>
          <w:bCs/>
          <w:color w:val="auto"/>
          <w:szCs w:val="21"/>
          <w:highlight w:val="none"/>
        </w:rPr>
        <w:t>.</w:t>
      </w:r>
      <w:r>
        <w:rPr>
          <w:rFonts w:hint="eastAsia" w:cs="宋体"/>
          <w:b/>
          <w:bCs/>
          <w:color w:val="auto"/>
          <w:szCs w:val="21"/>
          <w:highlight w:val="none"/>
        </w:rPr>
        <w:t>3</w:t>
      </w:r>
      <w:bookmarkEnd w:id="1344"/>
      <w:bookmarkEnd w:id="1345"/>
      <w:r>
        <w:rPr>
          <w:rFonts w:hint="eastAsia" w:ascii="宋体" w:hAnsi="宋体" w:cs="宋体"/>
          <w:b/>
          <w:bCs/>
          <w:color w:val="auto"/>
          <w:szCs w:val="21"/>
          <w:highlight w:val="none"/>
        </w:rPr>
        <w:t>监理人的指</w:t>
      </w:r>
      <w:bookmarkEnd w:id="1346"/>
      <w:r>
        <w:rPr>
          <w:rFonts w:hint="eastAsia" w:ascii="宋体" w:hAnsi="宋体" w:cs="宋体"/>
          <w:b/>
          <w:bCs/>
          <w:color w:val="auto"/>
          <w:szCs w:val="21"/>
          <w:highlight w:val="none"/>
        </w:rPr>
        <w:t>示</w:t>
      </w:r>
      <w:bookmarkEnd w:id="1343"/>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hint="eastAsia" w:cs="宋体"/>
          <w:color w:val="auto"/>
          <w:kern w:val="0"/>
          <w:szCs w:val="21"/>
          <w:highlight w:val="none"/>
        </w:rPr>
        <w:t>24</w:t>
      </w:r>
      <w:r>
        <w:rPr>
          <w:rFonts w:hint="eastAsia" w:ascii="宋体" w:hAnsi="宋体" w:cs="宋体"/>
          <w:color w:val="auto"/>
          <w:kern w:val="0"/>
          <w:szCs w:val="21"/>
          <w:highlight w:val="none"/>
        </w:rPr>
        <w:t>小时内补发书面监理指示，补发的书面监理指示应与口头指示一致。</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款〔商定或确定〕约定应由总监理工程师作出确定的权力授权或委托给其他监理人员。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承包人对监理人发出的指示有疑问的，应向监理人提出书面异议，监理人应在</w:t>
      </w:r>
      <w:r>
        <w:rPr>
          <w:rFonts w:hint="eastAsia" w:cs="宋体"/>
          <w:color w:val="auto"/>
          <w:kern w:val="0"/>
          <w:szCs w:val="21"/>
          <w:highlight w:val="none"/>
        </w:rPr>
        <w:t>48</w:t>
      </w:r>
      <w:r>
        <w:rPr>
          <w:rFonts w:hint="eastAsia" w:ascii="宋体" w:hAnsi="宋体" w:cs="宋体"/>
          <w:color w:val="auto"/>
          <w:kern w:val="0"/>
          <w:szCs w:val="21"/>
          <w:highlight w:val="none"/>
        </w:rPr>
        <w:t>小时内对该指示予以确认、更改或撤销，监理人逾期未回复的，承包人有权拒绝执行上述指示。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line="336" w:lineRule="auto"/>
        <w:ind w:firstLine="422" w:firstLineChars="200"/>
        <w:outlineLvl w:val="4"/>
        <w:rPr>
          <w:rFonts w:ascii="宋体" w:hAnsi="宋体" w:cs="宋体"/>
          <w:b/>
          <w:bCs/>
          <w:color w:val="auto"/>
          <w:szCs w:val="21"/>
          <w:highlight w:val="none"/>
        </w:rPr>
      </w:pPr>
      <w:bookmarkStart w:id="1347" w:name="_Toc351203531"/>
      <w:r>
        <w:rPr>
          <w:rFonts w:hint="eastAsia" w:cs="宋体"/>
          <w:b/>
          <w:bCs/>
          <w:color w:val="auto"/>
          <w:szCs w:val="21"/>
          <w:highlight w:val="none"/>
        </w:rPr>
        <w:t>4</w:t>
      </w:r>
      <w:bookmarkStart w:id="1348" w:name="_Toc296346558"/>
      <w:bookmarkStart w:id="1349" w:name="_Toc337558757"/>
      <w:bookmarkStart w:id="1350" w:name="_Toc296503057"/>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商定或确定</w:t>
      </w:r>
      <w:bookmarkEnd w:id="1347"/>
    </w:p>
    <w:bookmarkEnd w:id="1348"/>
    <w:bookmarkEnd w:id="1349"/>
    <w:bookmarkEnd w:id="135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条〔争议解决〕约定处理。争议解决前，合同当事人暂按总监理工程师的确定执行；争议解决后，争议解决的结果与总监理工程师的确定不一致的，按照争议解决的结果执行，由此造成的损失由责任人承担。</w:t>
      </w:r>
    </w:p>
    <w:p>
      <w:pPr>
        <w:pStyle w:val="5"/>
        <w:keepNext w:val="0"/>
        <w:keepLines w:val="0"/>
        <w:spacing w:line="336" w:lineRule="auto"/>
        <w:rPr>
          <w:rFonts w:ascii="宋体" w:hAnsi="宋体" w:eastAsia="宋体" w:cs="宋体"/>
          <w:color w:val="auto"/>
          <w:sz w:val="24"/>
          <w:szCs w:val="24"/>
          <w:highlight w:val="none"/>
        </w:rPr>
      </w:pPr>
      <w:bookmarkStart w:id="1351" w:name="_Toc351203532"/>
      <w:r>
        <w:rPr>
          <w:rFonts w:hint="eastAsia" w:ascii="Times New Roman" w:hAnsi="Times New Roman" w:eastAsia="宋体" w:cs="宋体"/>
          <w:color w:val="auto"/>
          <w:sz w:val="24"/>
          <w:szCs w:val="24"/>
          <w:highlight w:val="none"/>
        </w:rPr>
        <w:t>5</w:t>
      </w:r>
      <w:bookmarkStart w:id="1352" w:name="_Toc337558758"/>
      <w:r>
        <w:rPr>
          <w:rFonts w:hint="eastAsia" w:ascii="宋体" w:hAnsi="宋体" w:eastAsia="宋体" w:cs="宋体"/>
          <w:color w:val="auto"/>
          <w:sz w:val="24"/>
          <w:szCs w:val="24"/>
          <w:highlight w:val="none"/>
        </w:rPr>
        <w:t>. 工程质量</w:t>
      </w:r>
      <w:bookmarkEnd w:id="1351"/>
    </w:p>
    <w:bookmarkEnd w:id="1352"/>
    <w:p>
      <w:pPr>
        <w:spacing w:line="336" w:lineRule="auto"/>
        <w:ind w:firstLine="422" w:firstLineChars="200"/>
        <w:outlineLvl w:val="4"/>
        <w:rPr>
          <w:rFonts w:ascii="宋体" w:hAnsi="宋体" w:cs="宋体"/>
          <w:b/>
          <w:bCs/>
          <w:color w:val="auto"/>
          <w:szCs w:val="21"/>
          <w:highlight w:val="none"/>
        </w:rPr>
      </w:pPr>
      <w:bookmarkStart w:id="1353" w:name="_Toc351203533"/>
      <w:r>
        <w:rPr>
          <w:rFonts w:hint="eastAsia" w:cs="宋体"/>
          <w:b/>
          <w:bCs/>
          <w:color w:val="auto"/>
          <w:szCs w:val="21"/>
          <w:highlight w:val="none"/>
        </w:rPr>
        <w:t>5</w:t>
      </w:r>
      <w:bookmarkStart w:id="1354" w:name="_Toc337558759"/>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质量要求</w:t>
      </w:r>
      <w:bookmarkEnd w:id="1353"/>
    </w:p>
    <w:bookmarkEnd w:id="135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工程质量标准必须符合现行国家有关工程施工质量验收规范和标准的要求。有关工程质量的特殊标准或要求由合同当事人在专用合同条款中约定。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因发包人原因造成工程质量未达到合同约定标准的，由发包人承担由此增加的费用和（或）延误的工期，并支付承包人合理的利润。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因承包人原因造成工程质量未达到合同约定标准的，发包人有权要求承包人返工直至工程质量达到合同约定的标准为止，并由承包人承担由此增加的费用和（或）延误的工期。</w:t>
      </w:r>
    </w:p>
    <w:p>
      <w:pPr>
        <w:spacing w:line="336" w:lineRule="auto"/>
        <w:ind w:firstLine="422" w:firstLineChars="200"/>
        <w:outlineLvl w:val="4"/>
        <w:rPr>
          <w:rFonts w:ascii="宋体" w:hAnsi="宋体" w:cs="宋体"/>
          <w:b/>
          <w:bCs/>
          <w:color w:val="auto"/>
          <w:szCs w:val="21"/>
          <w:highlight w:val="none"/>
        </w:rPr>
      </w:pPr>
      <w:bookmarkStart w:id="1355" w:name="_Toc351203534"/>
      <w:r>
        <w:rPr>
          <w:rFonts w:hint="eastAsia" w:cs="宋体"/>
          <w:b/>
          <w:bCs/>
          <w:color w:val="auto"/>
          <w:szCs w:val="21"/>
          <w:highlight w:val="none"/>
        </w:rPr>
        <w:t>5</w:t>
      </w:r>
      <w:bookmarkStart w:id="1356" w:name="_Toc337558760"/>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质量保证措施</w:t>
      </w:r>
      <w:bookmarkEnd w:id="1355"/>
    </w:p>
    <w:bookmarkEnd w:id="1356"/>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357" w:name="_Toc10920"/>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发包人的质量管理</w:t>
      </w:r>
      <w:bookmarkEnd w:id="1357"/>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发包人应按照法律规定及合同约定完成与工程质量有关的各项工作。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承包人的质量管理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承包人应对施工人员进行质量教育和技术培训，定期考核施工人员的劳动技能，严格执行施工规范和操作规程。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358" w:name="_Toc16750"/>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监理人的质量检查和检验</w:t>
      </w:r>
      <w:bookmarkEnd w:id="1358"/>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36" w:lineRule="auto"/>
        <w:ind w:firstLine="422" w:firstLineChars="200"/>
        <w:outlineLvl w:val="4"/>
        <w:rPr>
          <w:rFonts w:ascii="宋体" w:hAnsi="宋体" w:cs="宋体"/>
          <w:b/>
          <w:bCs/>
          <w:color w:val="auto"/>
          <w:szCs w:val="21"/>
          <w:highlight w:val="none"/>
        </w:rPr>
      </w:pPr>
      <w:bookmarkStart w:id="1359" w:name="_Toc351203535"/>
      <w:r>
        <w:rPr>
          <w:rFonts w:hint="eastAsia" w:cs="宋体"/>
          <w:b/>
          <w:bCs/>
          <w:color w:val="auto"/>
          <w:szCs w:val="21"/>
          <w:highlight w:val="none"/>
        </w:rPr>
        <w:t>5</w:t>
      </w:r>
      <w:bookmarkStart w:id="1360" w:name="_Toc337558761"/>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隐蔽工程检查</w:t>
      </w:r>
      <w:bookmarkEnd w:id="1359"/>
    </w:p>
    <w:bookmarkEnd w:id="1360"/>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承包人自检</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承包人应当对工程隐蔽部位进行自检，并经自检确认是否具备覆盖条件。</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检查程序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除专用合同条款另有约定外，工程隐蔽部位经承包人自检确认具备覆盖条件的，承包人应在共同检查前</w:t>
      </w:r>
      <w:r>
        <w:rPr>
          <w:rFonts w:hint="eastAsia" w:cs="宋体"/>
          <w:color w:val="auto"/>
          <w:kern w:val="0"/>
          <w:szCs w:val="21"/>
          <w:highlight w:val="none"/>
        </w:rPr>
        <w:t>48</w:t>
      </w:r>
      <w:r>
        <w:rPr>
          <w:rFonts w:hint="eastAsia" w:ascii="宋体" w:hAnsi="宋体" w:cs="宋体"/>
          <w:color w:val="auto"/>
          <w:kern w:val="0"/>
          <w:szCs w:val="21"/>
          <w:highlight w:val="none"/>
        </w:rPr>
        <w:t>小时书面通知发包人、设计人、监理人检查验收，通知中应载明隐蔽检查的内容、时间和地点，并应附有自检记录和必要的检查资料。</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设计人、监理人应按时到场并对隐蔽工程及其施工工艺、材料和工程设备进行检查。经发包人、设计人、监理人检查确认质量符合隐蔽要求，并在验收记录上签字后，承包人才能进行覆盖。经检查质量不合格的，承包人应在监理人指示的时间内完成修复，并由发包人、设计人、监理人重新检查，由此增加的费用和（或）延误的工期由承包人承担。</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除专用合同条款另有约定外，发包人、设计人、监理人不能按时进行检查的，应在检查前</w:t>
      </w:r>
      <w:r>
        <w:rPr>
          <w:rFonts w:hint="eastAsia" w:cs="宋体"/>
          <w:color w:val="auto"/>
          <w:kern w:val="0"/>
          <w:szCs w:val="21"/>
          <w:highlight w:val="none"/>
        </w:rPr>
        <w:t>24</w:t>
      </w:r>
      <w:r>
        <w:rPr>
          <w:rFonts w:hint="eastAsia" w:ascii="宋体" w:hAnsi="宋体" w:cs="宋体"/>
          <w:color w:val="auto"/>
          <w:kern w:val="0"/>
          <w:szCs w:val="21"/>
          <w:highlight w:val="none"/>
        </w:rPr>
        <w:t>小时向承包人提交书面延期要求，但延期不能超过</w:t>
      </w:r>
      <w:r>
        <w:rPr>
          <w:rFonts w:hint="eastAsia" w:cs="宋体"/>
          <w:color w:val="auto"/>
          <w:kern w:val="0"/>
          <w:szCs w:val="21"/>
          <w:highlight w:val="none"/>
        </w:rPr>
        <w:t>48</w:t>
      </w:r>
      <w:r>
        <w:rPr>
          <w:rFonts w:hint="eastAsia" w:ascii="宋体" w:hAnsi="宋体" w:cs="宋体"/>
          <w:color w:val="auto"/>
          <w:kern w:val="0"/>
          <w:szCs w:val="21"/>
          <w:highlight w:val="none"/>
        </w:rPr>
        <w:t>小时，由此导致工期延误的，工期应予以顺延。发包人、设计人、监理人未按时进行检查，也未提出延期要求的，视为隐蔽工程检查合格，承包人可自行完成覆盖工作，并作相应记录报送监理人，监理人应签字确认。监理人事后对检查记录有疑问的，可按第</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项〔重新检查〕的约定重新检查。</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重新检查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承包人私自覆盖</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承包人未通知发包人、设计人、监理人到场检查，私自将工程隐蔽部位覆盖的，隐蔽工程价款不予计量。</w:t>
      </w:r>
    </w:p>
    <w:p>
      <w:pPr>
        <w:spacing w:line="336" w:lineRule="auto"/>
        <w:ind w:firstLine="422" w:firstLineChars="200"/>
        <w:outlineLvl w:val="4"/>
        <w:rPr>
          <w:rFonts w:ascii="宋体" w:hAnsi="宋体" w:cs="宋体"/>
          <w:b/>
          <w:bCs/>
          <w:color w:val="auto"/>
          <w:szCs w:val="21"/>
          <w:highlight w:val="none"/>
        </w:rPr>
      </w:pPr>
      <w:bookmarkStart w:id="1361" w:name="_Toc351203536"/>
      <w:r>
        <w:rPr>
          <w:rFonts w:hint="eastAsia" w:cs="宋体"/>
          <w:b/>
          <w:bCs/>
          <w:color w:val="auto"/>
          <w:szCs w:val="21"/>
          <w:highlight w:val="none"/>
        </w:rPr>
        <w:t>5</w:t>
      </w:r>
      <w:bookmarkStart w:id="1362" w:name="_Toc337558762"/>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不合格工程的处理</w:t>
      </w:r>
      <w:bookmarkEnd w:id="1361"/>
    </w:p>
    <w:bookmarkEnd w:id="1362"/>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因承包人原因造成工程不合格的，发包人有权随时要求承包人采取补救措施，直至达到合同要求的质量标准，由此增加的费用和（或）延误的工期由承包人承担。无法补救的，按照第</w:t>
      </w: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项〔拒绝接收全部或部分工程〕约定执行。 </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因发包人原因造成工程不合格的，由此增加的费用和（或）延误的工期由发包人承担，并支付承包人合理的利润。</w:t>
      </w:r>
    </w:p>
    <w:p>
      <w:pPr>
        <w:spacing w:line="336" w:lineRule="auto"/>
        <w:ind w:firstLine="422" w:firstLineChars="200"/>
        <w:outlineLvl w:val="4"/>
        <w:rPr>
          <w:rFonts w:ascii="宋体" w:hAnsi="宋体" w:cs="宋体"/>
          <w:b/>
          <w:bCs/>
          <w:color w:val="auto"/>
          <w:szCs w:val="21"/>
          <w:highlight w:val="none"/>
        </w:rPr>
      </w:pPr>
      <w:bookmarkStart w:id="1363" w:name="_Toc351203537"/>
      <w:r>
        <w:rPr>
          <w:rFonts w:hint="eastAsia" w:cs="宋体"/>
          <w:b/>
          <w:bCs/>
          <w:color w:val="auto"/>
          <w:szCs w:val="21"/>
          <w:highlight w:val="none"/>
        </w:rPr>
        <w:t>5</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质量争议检测</w:t>
      </w:r>
      <w:bookmarkEnd w:id="1363"/>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adjustRightInd w:val="0"/>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合同当事人均有责任的，由双方根据其责任分别承担。合同当事人无法达成一致的，按照第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款〔商定或确定〕执行。</w:t>
      </w:r>
    </w:p>
    <w:p>
      <w:pPr>
        <w:pStyle w:val="5"/>
        <w:keepNext w:val="0"/>
        <w:keepLines w:val="0"/>
        <w:spacing w:line="336" w:lineRule="auto"/>
        <w:rPr>
          <w:rFonts w:ascii="宋体" w:hAnsi="宋体" w:eastAsia="宋体" w:cs="宋体"/>
          <w:color w:val="auto"/>
          <w:sz w:val="24"/>
          <w:szCs w:val="24"/>
          <w:highlight w:val="none"/>
        </w:rPr>
      </w:pPr>
      <w:bookmarkStart w:id="1364" w:name="_Toc351203538"/>
      <w:r>
        <w:rPr>
          <w:rFonts w:hint="eastAsia" w:ascii="Times New Roman" w:hAnsi="Times New Roman" w:eastAsia="宋体" w:cs="宋体"/>
          <w:color w:val="auto"/>
          <w:sz w:val="24"/>
          <w:szCs w:val="24"/>
          <w:highlight w:val="none"/>
        </w:rPr>
        <w:t>6</w:t>
      </w:r>
      <w:bookmarkStart w:id="1365" w:name="_Toc337558763"/>
      <w:r>
        <w:rPr>
          <w:rFonts w:hint="eastAsia" w:ascii="宋体" w:hAnsi="宋体" w:eastAsia="宋体" w:cs="宋体"/>
          <w:color w:val="auto"/>
          <w:sz w:val="24"/>
          <w:szCs w:val="24"/>
          <w:highlight w:val="none"/>
        </w:rPr>
        <w:t>. 安全文明施工与环境保护</w:t>
      </w:r>
      <w:bookmarkEnd w:id="1364"/>
    </w:p>
    <w:bookmarkEnd w:id="1365"/>
    <w:p>
      <w:pPr>
        <w:spacing w:line="336" w:lineRule="auto"/>
        <w:ind w:firstLine="422" w:firstLineChars="200"/>
        <w:outlineLvl w:val="4"/>
        <w:rPr>
          <w:rFonts w:ascii="宋体" w:hAnsi="宋体" w:cs="宋体"/>
          <w:b/>
          <w:bCs/>
          <w:color w:val="auto"/>
          <w:szCs w:val="21"/>
          <w:highlight w:val="none"/>
        </w:rPr>
      </w:pPr>
      <w:bookmarkStart w:id="1366" w:name="_Toc351203539"/>
      <w:r>
        <w:rPr>
          <w:rFonts w:hint="eastAsia" w:cs="宋体"/>
          <w:b/>
          <w:bCs/>
          <w:color w:val="auto"/>
          <w:szCs w:val="21"/>
          <w:highlight w:val="none"/>
        </w:rPr>
        <w:t>6</w:t>
      </w:r>
      <w:bookmarkStart w:id="1367" w:name="_Toc337558764"/>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安全文明施工</w:t>
      </w:r>
      <w:bookmarkEnd w:id="1366"/>
    </w:p>
    <w:bookmarkEnd w:id="1367"/>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安全生产要求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Cs w:val="21"/>
          <w:highlight w:val="none"/>
        </w:rPr>
        <w:t>政府有关行政管理部门</w:t>
      </w:r>
      <w:r>
        <w:rPr>
          <w:rFonts w:hint="eastAsia" w:ascii="宋体" w:hAnsi="宋体" w:cs="宋体"/>
          <w:color w:val="auto"/>
          <w:szCs w:val="21"/>
          <w:highlight w:val="none"/>
        </w:rPr>
        <w:t>采取应急措施。</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因安全生产需要暂停施工的，按照第</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款〔暂停施工〕的约定执行。</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安全生产保证措施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承包人应当按照有关</w:t>
      </w:r>
      <w:r>
        <w:rPr>
          <w:rFonts w:hint="eastAsia" w:ascii="宋体" w:hAnsi="宋体" w:cs="宋体"/>
          <w:color w:val="auto"/>
          <w:kern w:val="0"/>
          <w:szCs w:val="21"/>
          <w:highlight w:val="none"/>
        </w:rPr>
        <w:t>规定编制安全技术措施或者专项施工方案，</w:t>
      </w:r>
      <w:r>
        <w:rPr>
          <w:rFonts w:hint="eastAsia" w:ascii="宋体" w:hAnsi="宋体" w:cs="宋体"/>
          <w:color w:val="auto"/>
          <w:szCs w:val="21"/>
          <w:highlight w:val="none"/>
        </w:rPr>
        <w:t>建立安全生产责任制度、治安保卫制度及安全生产教育培训制度，并</w:t>
      </w:r>
      <w:r>
        <w:rPr>
          <w:rFonts w:hint="eastAsia" w:ascii="宋体" w:hAnsi="宋体" w:cs="宋体"/>
          <w:color w:val="auto"/>
          <w:kern w:val="0"/>
          <w:szCs w:val="21"/>
          <w:highlight w:val="none"/>
        </w:rPr>
        <w:t>按安全生产法律规定及合同约定履行安全职责，如实</w:t>
      </w:r>
      <w:r>
        <w:rPr>
          <w:rFonts w:hint="eastAsia" w:ascii="宋体" w:hAnsi="宋体" w:cs="宋体"/>
          <w:color w:val="auto"/>
          <w:szCs w:val="21"/>
          <w:highlight w:val="none"/>
        </w:rPr>
        <w:t>编制工程安全生产的有关记录，</w:t>
      </w:r>
      <w:r>
        <w:rPr>
          <w:rFonts w:hint="eastAsia" w:ascii="宋体" w:hAnsi="宋体" w:cs="宋体"/>
          <w:color w:val="auto"/>
          <w:kern w:val="0"/>
          <w:szCs w:val="21"/>
          <w:highlight w:val="none"/>
        </w:rPr>
        <w:t>接受发包人、监理人及政府安全监督部门的检查与监督。</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特别安全生产事项</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实施爆破作业，在放射、毒害性环境中施工（含储存、运输、使用）及使用毒害性、腐蚀性物品施工时，承包人应在施工前</w:t>
      </w:r>
      <w:r>
        <w:rPr>
          <w:rFonts w:hint="eastAsia" w:cs="宋体"/>
          <w:color w:val="auto"/>
          <w:szCs w:val="21"/>
          <w:highlight w:val="none"/>
        </w:rPr>
        <w:t>7</w:t>
      </w:r>
      <w:r>
        <w:rPr>
          <w:rFonts w:hint="eastAsia" w:ascii="宋体" w:hAnsi="宋体" w:cs="宋体"/>
          <w:color w:val="auto"/>
          <w:szCs w:val="21"/>
          <w:highlight w:val="none"/>
        </w:rPr>
        <w:t>天以书面通知发包人和监理人，并报送相应的安全防护措施，经发包人认可后实施。</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治安保卫</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发包人和承包人除应协助现场治安管理机构或联防组织维护施工场地的社会治安外，还应做好包括生活区在内的各自管辖区的治安保卫工作。</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除专用合同条款另有约定外，发包人和承包人应在工程开工后</w:t>
      </w:r>
      <w:r>
        <w:rPr>
          <w:rFonts w:hint="eastAsia" w:cs="宋体"/>
          <w:color w:val="auto"/>
          <w:szCs w:val="21"/>
          <w:highlight w:val="none"/>
        </w:rPr>
        <w:t>7</w:t>
      </w:r>
      <w:r>
        <w:rPr>
          <w:rFonts w:hint="eastAsia" w:ascii="宋体" w:hAnsi="宋体" w:cs="宋体"/>
          <w:color w:val="auto"/>
          <w:szCs w:val="21"/>
          <w:highlight w:val="none"/>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36" w:lineRule="auto"/>
        <w:ind w:firstLine="420" w:firstLineChars="200"/>
        <w:rPr>
          <w:rFonts w:ascii="宋体" w:hAnsi="宋体" w:cs="宋体"/>
          <w:color w:val="auto"/>
          <w:kern w:val="0"/>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文明施工</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安全文明施工费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除专用合同条款另有约定外，发包人应在开工后</w:t>
      </w:r>
      <w:r>
        <w:rPr>
          <w:rFonts w:hint="eastAsia" w:cs="宋体"/>
          <w:color w:val="auto"/>
          <w:kern w:val="0"/>
          <w:szCs w:val="21"/>
          <w:highlight w:val="none"/>
        </w:rPr>
        <w:t>28</w:t>
      </w:r>
      <w:r>
        <w:rPr>
          <w:rFonts w:hint="eastAsia" w:ascii="宋体" w:hAnsi="宋体" w:cs="宋体"/>
          <w:color w:val="auto"/>
          <w:kern w:val="0"/>
          <w:szCs w:val="21"/>
          <w:highlight w:val="none"/>
        </w:rPr>
        <w:t>天内预付安全文明施工费总额的</w:t>
      </w:r>
      <w:r>
        <w:rPr>
          <w:rFonts w:hint="eastAsia" w:cs="宋体"/>
          <w:color w:val="auto"/>
          <w:kern w:val="0"/>
          <w:szCs w:val="21"/>
          <w:highlight w:val="none"/>
        </w:rPr>
        <w:t>50%</w:t>
      </w:r>
      <w:r>
        <w:rPr>
          <w:rFonts w:hint="eastAsia" w:ascii="宋体" w:hAnsi="宋体" w:cs="宋体"/>
          <w:color w:val="auto"/>
          <w:kern w:val="0"/>
          <w:szCs w:val="21"/>
          <w:highlight w:val="none"/>
        </w:rPr>
        <w:t>，其余部分与进度款同期支付。发包人逾期支付安全文明施工费超过</w:t>
      </w:r>
      <w:r>
        <w:rPr>
          <w:rFonts w:hint="eastAsia" w:cs="宋体"/>
          <w:color w:val="auto"/>
          <w:kern w:val="0"/>
          <w:szCs w:val="21"/>
          <w:highlight w:val="none"/>
        </w:rPr>
        <w:t>7</w:t>
      </w:r>
      <w:r>
        <w:rPr>
          <w:rFonts w:hint="eastAsia" w:ascii="宋体" w:hAnsi="宋体" w:cs="宋体"/>
          <w:color w:val="auto"/>
          <w:kern w:val="0"/>
          <w:szCs w:val="21"/>
          <w:highlight w:val="none"/>
        </w:rPr>
        <w:t>天的，承包人有权向发包人发出要求预付的催告通知，发包人收到通知后</w:t>
      </w:r>
      <w:r>
        <w:rPr>
          <w:rFonts w:hint="eastAsia" w:cs="宋体"/>
          <w:color w:val="auto"/>
          <w:kern w:val="0"/>
          <w:szCs w:val="21"/>
          <w:highlight w:val="none"/>
        </w:rPr>
        <w:t>7</w:t>
      </w:r>
      <w:r>
        <w:rPr>
          <w:rFonts w:hint="eastAsia" w:ascii="宋体" w:hAnsi="宋体" w:cs="宋体"/>
          <w:color w:val="auto"/>
          <w:kern w:val="0"/>
          <w:szCs w:val="21"/>
          <w:highlight w:val="none"/>
        </w:rPr>
        <w:t>天内仍未支付的，承包人有权暂停施工，并按第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项〔发包人违约的情形〕执行。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紧急情况处理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 xml:space="preserve"> 事故处理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 xml:space="preserve"> 安全生产责任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发包人的安全责任</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发包人应负责赔偿以下各种情况造成的损失：</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）工程或工程的任何部分对土地的占用所造成的第三者财产损失；</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）由于发包人原因在施工场地及其毗邻地带造成的第三者人身伤亡和财产损失；</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）由于发包人原因对承包人、监理人造成的人员人身伤亡和财产损失；</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）由于发包人原因造成的发包人自身人员的人身伤害以及财产损失。</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承包人的安全责任</w:t>
      </w:r>
    </w:p>
    <w:p>
      <w:pPr>
        <w:spacing w:line="336"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由于承包人原因在施工场地内及其毗邻地带造成的发包人、监理人以及第三者人员伤亡和财产损失，由承包人负责赔偿。</w:t>
      </w:r>
    </w:p>
    <w:p>
      <w:pPr>
        <w:spacing w:line="336" w:lineRule="auto"/>
        <w:ind w:firstLine="422" w:firstLineChars="200"/>
        <w:outlineLvl w:val="4"/>
        <w:rPr>
          <w:rFonts w:ascii="宋体" w:hAnsi="宋体" w:cs="宋体"/>
          <w:b/>
          <w:bCs/>
          <w:color w:val="auto"/>
          <w:szCs w:val="21"/>
          <w:highlight w:val="none"/>
        </w:rPr>
      </w:pPr>
      <w:bookmarkStart w:id="1368" w:name="_Toc351203540"/>
      <w:r>
        <w:rPr>
          <w:rFonts w:hint="eastAsia" w:cs="宋体"/>
          <w:b/>
          <w:bCs/>
          <w:color w:val="auto"/>
          <w:szCs w:val="21"/>
          <w:highlight w:val="none"/>
        </w:rPr>
        <w:t>6</w:t>
      </w:r>
      <w:bookmarkStart w:id="1369" w:name="_Toc337558765"/>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职业健康</w:t>
      </w:r>
      <w:bookmarkEnd w:id="1368"/>
    </w:p>
    <w:bookmarkEnd w:id="1369"/>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劳动保护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生活条件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36" w:lineRule="auto"/>
        <w:ind w:firstLine="422" w:firstLineChars="200"/>
        <w:outlineLvl w:val="4"/>
        <w:rPr>
          <w:rFonts w:ascii="宋体" w:hAnsi="宋体" w:cs="宋体"/>
          <w:b/>
          <w:bCs/>
          <w:color w:val="auto"/>
          <w:szCs w:val="21"/>
          <w:highlight w:val="none"/>
        </w:rPr>
      </w:pPr>
      <w:bookmarkStart w:id="1370" w:name="_Toc351203541"/>
      <w:r>
        <w:rPr>
          <w:rFonts w:hint="eastAsia" w:cs="宋体"/>
          <w:b/>
          <w:bCs/>
          <w:color w:val="auto"/>
          <w:szCs w:val="21"/>
          <w:highlight w:val="none"/>
        </w:rPr>
        <w:t>6</w:t>
      </w:r>
      <w:bookmarkStart w:id="1371" w:name="_Toc337558766"/>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环境保护</w:t>
      </w:r>
      <w:bookmarkEnd w:id="1370"/>
    </w:p>
    <w:bookmarkEnd w:id="137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5"/>
        <w:keepNext w:val="0"/>
        <w:keepLines w:val="0"/>
        <w:spacing w:line="336" w:lineRule="auto"/>
        <w:rPr>
          <w:rFonts w:ascii="宋体" w:hAnsi="宋体" w:eastAsia="宋体" w:cs="宋体"/>
          <w:color w:val="auto"/>
          <w:sz w:val="24"/>
          <w:szCs w:val="24"/>
          <w:highlight w:val="none"/>
        </w:rPr>
      </w:pPr>
      <w:bookmarkStart w:id="1372" w:name="_Toc351203542"/>
      <w:r>
        <w:rPr>
          <w:rFonts w:hint="eastAsia" w:ascii="Times New Roman" w:hAnsi="Times New Roman" w:eastAsia="宋体" w:cs="宋体"/>
          <w:color w:val="auto"/>
          <w:sz w:val="24"/>
          <w:szCs w:val="24"/>
          <w:highlight w:val="none"/>
        </w:rPr>
        <w:t>7</w:t>
      </w:r>
      <w:bookmarkStart w:id="1373" w:name="_Toc337558767"/>
      <w:r>
        <w:rPr>
          <w:rFonts w:hint="eastAsia" w:ascii="宋体" w:hAnsi="宋体" w:eastAsia="宋体" w:cs="宋体"/>
          <w:color w:val="auto"/>
          <w:sz w:val="24"/>
          <w:szCs w:val="24"/>
          <w:highlight w:val="none"/>
        </w:rPr>
        <w:t>. 工期和进度</w:t>
      </w:r>
      <w:bookmarkEnd w:id="1372"/>
    </w:p>
    <w:bookmarkEnd w:id="1373"/>
    <w:p>
      <w:pPr>
        <w:spacing w:line="336" w:lineRule="auto"/>
        <w:ind w:firstLine="422" w:firstLineChars="200"/>
        <w:outlineLvl w:val="4"/>
        <w:rPr>
          <w:rFonts w:ascii="宋体" w:hAnsi="宋体" w:cs="宋体"/>
          <w:b/>
          <w:bCs/>
          <w:color w:val="auto"/>
          <w:szCs w:val="21"/>
          <w:highlight w:val="none"/>
        </w:rPr>
      </w:pPr>
      <w:bookmarkStart w:id="1374" w:name="_Toc351203543"/>
      <w:r>
        <w:rPr>
          <w:rFonts w:hint="eastAsia" w:cs="宋体"/>
          <w:b/>
          <w:bCs/>
          <w:color w:val="auto"/>
          <w:szCs w:val="21"/>
          <w:highlight w:val="none"/>
        </w:rPr>
        <w:t>7</w:t>
      </w:r>
      <w:bookmarkStart w:id="1375" w:name="_Toc337558768"/>
      <w:bookmarkStart w:id="1376" w:name="_Toc296346567"/>
      <w:bookmarkStart w:id="1377" w:name="_Toc296503066"/>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施工组织设计</w:t>
      </w:r>
      <w:bookmarkEnd w:id="1374"/>
    </w:p>
    <w:bookmarkEnd w:id="1375"/>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施工组织设计的内容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施工组织设计应包含以下内容：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）施工方案；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）施工现场平面布置图；</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）施工进度计划和保证措施；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）劳动力及材料供应计划；</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）施工机械设备的选用；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）质量保证体系及措施；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）安全生产、文明施工措施；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）环境保护、成本控制措施；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）合同当事人约定的其他内容。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施工组织设计的提交和修改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除专用合同条款另有约定外，承包人应在合同签订后</w:t>
      </w:r>
      <w:r>
        <w:rPr>
          <w:rFonts w:hint="eastAsia" w:cs="宋体"/>
          <w:color w:val="auto"/>
          <w:kern w:val="0"/>
          <w:szCs w:val="21"/>
          <w:highlight w:val="none"/>
        </w:rPr>
        <w:t>14</w:t>
      </w:r>
      <w:r>
        <w:rPr>
          <w:rFonts w:hint="eastAsia" w:ascii="宋体" w:hAnsi="宋体" w:cs="宋体"/>
          <w:color w:val="auto"/>
          <w:kern w:val="0"/>
          <w:szCs w:val="21"/>
          <w:highlight w:val="none"/>
        </w:rPr>
        <w:t>天内，但至迟不得晚于第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项〔开工通知〕载明的开工日期前</w:t>
      </w:r>
      <w:r>
        <w:rPr>
          <w:rFonts w:hint="eastAsia" w:cs="宋体"/>
          <w:color w:val="auto"/>
          <w:kern w:val="0"/>
          <w:szCs w:val="21"/>
          <w:highlight w:val="none"/>
        </w:rPr>
        <w:t>7</w:t>
      </w:r>
      <w:r>
        <w:rPr>
          <w:rFonts w:hint="eastAsia" w:ascii="宋体" w:hAnsi="宋体" w:cs="宋体"/>
          <w:color w:val="auto"/>
          <w:kern w:val="0"/>
          <w:szCs w:val="21"/>
          <w:highlight w:val="none"/>
        </w:rPr>
        <w:t>天，向监理人提交详细的施工组织设计，并由监理人报送发包人。除专用合同条款另有约定外，发包人和监理人应在监理人收到施工组织设计后</w:t>
      </w:r>
      <w:r>
        <w:rPr>
          <w:rFonts w:hint="eastAsia" w:cs="宋体"/>
          <w:color w:val="auto"/>
          <w:kern w:val="0"/>
          <w:szCs w:val="21"/>
          <w:highlight w:val="none"/>
        </w:rPr>
        <w:t>7</w:t>
      </w:r>
      <w:r>
        <w:rPr>
          <w:rFonts w:hint="eastAsia" w:ascii="宋体" w:hAnsi="宋体" w:cs="宋体"/>
          <w:color w:val="auto"/>
          <w:kern w:val="0"/>
          <w:szCs w:val="21"/>
          <w:highlight w:val="none"/>
        </w:rPr>
        <w:t>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施工进度计划的编制和修改按照第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款〔施工进度计划〕执行。</w:t>
      </w:r>
    </w:p>
    <w:p>
      <w:pPr>
        <w:spacing w:line="336" w:lineRule="auto"/>
        <w:ind w:firstLine="422" w:firstLineChars="200"/>
        <w:outlineLvl w:val="4"/>
        <w:rPr>
          <w:rFonts w:ascii="宋体" w:hAnsi="宋体" w:cs="宋体"/>
          <w:b/>
          <w:bCs/>
          <w:color w:val="auto"/>
          <w:szCs w:val="21"/>
          <w:highlight w:val="none"/>
        </w:rPr>
      </w:pPr>
      <w:bookmarkStart w:id="1378" w:name="_Toc351203544"/>
      <w:r>
        <w:rPr>
          <w:rFonts w:hint="eastAsia" w:cs="宋体"/>
          <w:b/>
          <w:bCs/>
          <w:color w:val="auto"/>
          <w:szCs w:val="21"/>
          <w:highlight w:val="none"/>
        </w:rPr>
        <w:t>7</w:t>
      </w:r>
      <w:bookmarkStart w:id="1379" w:name="_Toc337558769"/>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施工进度计划</w:t>
      </w:r>
      <w:bookmarkEnd w:id="1378"/>
    </w:p>
    <w:bookmarkEnd w:id="1379"/>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施工进度计划的编制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施工进度计划的修订</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hint="eastAsia" w:cs="宋体"/>
          <w:color w:val="auto"/>
          <w:kern w:val="0"/>
          <w:szCs w:val="21"/>
          <w:highlight w:val="none"/>
        </w:rPr>
        <w:t>7</w:t>
      </w:r>
      <w:r>
        <w:rPr>
          <w:rFonts w:hint="eastAsia" w:ascii="宋体" w:hAnsi="宋体" w:cs="宋体"/>
          <w:color w:val="auto"/>
          <w:kern w:val="0"/>
          <w:szCs w:val="21"/>
          <w:highlight w:val="none"/>
        </w:rPr>
        <w:t>天内完成审核和批准或提出修改意见。发包人和监理人对承包人提交的施工进度计划的确认，不能减轻或免除承包人根据法律规定和合同约定应承担的任何责任或义务。</w:t>
      </w:r>
    </w:p>
    <w:p>
      <w:pPr>
        <w:spacing w:line="336" w:lineRule="auto"/>
        <w:ind w:firstLine="422" w:firstLineChars="200"/>
        <w:outlineLvl w:val="4"/>
        <w:rPr>
          <w:rFonts w:ascii="宋体" w:hAnsi="宋体" w:cs="宋体"/>
          <w:b/>
          <w:bCs/>
          <w:color w:val="auto"/>
          <w:szCs w:val="21"/>
          <w:highlight w:val="none"/>
        </w:rPr>
      </w:pPr>
      <w:bookmarkStart w:id="1380" w:name="_Toc351203545"/>
      <w:r>
        <w:rPr>
          <w:rFonts w:hint="eastAsia" w:cs="宋体"/>
          <w:b/>
          <w:bCs/>
          <w:color w:val="auto"/>
          <w:szCs w:val="21"/>
          <w:highlight w:val="none"/>
        </w:rPr>
        <w:t>7</w:t>
      </w:r>
      <w:bookmarkStart w:id="1381" w:name="_Toc337558770"/>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开工</w:t>
      </w:r>
      <w:bookmarkEnd w:id="1380"/>
    </w:p>
    <w:p>
      <w:pPr>
        <w:spacing w:line="336" w:lineRule="auto"/>
        <w:ind w:firstLine="420" w:firstLineChars="200"/>
        <w:rPr>
          <w:rFonts w:ascii="宋体" w:hAnsi="宋体" w:cs="宋体"/>
          <w:color w:val="auto"/>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开工准备</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除专用合同条款另有约定外，合同当事人应按约定完成开工准备工作。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开工通知</w:t>
      </w:r>
    </w:p>
    <w:bookmarkEnd w:id="138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发包人应按照法律规定获得工程施工所需的许可。经发包人同意后，监理人发出的开工通知应符合法律规定。监理人应在计划开工日期</w:t>
      </w:r>
      <w:r>
        <w:rPr>
          <w:rFonts w:hint="eastAsia" w:cs="宋体"/>
          <w:color w:val="auto"/>
          <w:kern w:val="0"/>
          <w:szCs w:val="21"/>
          <w:highlight w:val="none"/>
        </w:rPr>
        <w:t>7</w:t>
      </w:r>
      <w:r>
        <w:rPr>
          <w:rFonts w:hint="eastAsia" w:ascii="宋体" w:hAnsi="宋体" w:cs="宋体"/>
          <w:color w:val="auto"/>
          <w:kern w:val="0"/>
          <w:szCs w:val="21"/>
          <w:highlight w:val="none"/>
        </w:rPr>
        <w:t>天前向承包人发出开工通知，工期自开工通知中载明的开工日期起算。</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除专用合同条款另有约定外，因发包人原因造成监理人未能在计划开工日期之日起</w:t>
      </w:r>
      <w:r>
        <w:rPr>
          <w:rFonts w:hint="eastAsia" w:cs="宋体"/>
          <w:color w:val="auto"/>
          <w:kern w:val="0"/>
          <w:szCs w:val="21"/>
          <w:highlight w:val="none"/>
        </w:rPr>
        <w:t>90</w:t>
      </w:r>
      <w:r>
        <w:rPr>
          <w:rFonts w:hint="eastAsia" w:ascii="宋体" w:hAnsi="宋体" w:cs="宋体"/>
          <w:color w:val="auto"/>
          <w:kern w:val="0"/>
          <w:szCs w:val="21"/>
          <w:highlight w:val="none"/>
        </w:rPr>
        <w:t>天内发出开工通知的，承包人有权提出价格调整要求，或者解除合同。发包人应当承担由此增加的费用和（或）延误的工期，并向承包人支付合理利润。</w:t>
      </w:r>
    </w:p>
    <w:p>
      <w:pPr>
        <w:spacing w:line="336" w:lineRule="auto"/>
        <w:ind w:firstLine="422" w:firstLineChars="200"/>
        <w:outlineLvl w:val="4"/>
        <w:rPr>
          <w:rFonts w:ascii="宋体" w:hAnsi="宋体" w:cs="宋体"/>
          <w:b/>
          <w:bCs/>
          <w:color w:val="auto"/>
          <w:szCs w:val="21"/>
          <w:highlight w:val="none"/>
        </w:rPr>
      </w:pPr>
      <w:bookmarkStart w:id="1382" w:name="_Toc351203546"/>
      <w:r>
        <w:rPr>
          <w:rFonts w:hint="eastAsia" w:cs="宋体"/>
          <w:b/>
          <w:bCs/>
          <w:color w:val="auto"/>
          <w:szCs w:val="21"/>
          <w:highlight w:val="none"/>
        </w:rPr>
        <w:t>7</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测量放线</w:t>
      </w:r>
      <w:bookmarkEnd w:id="1382"/>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除专用合同条款另有约定外，发包人应在至迟不得晚于第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项〔开工通知〕载明的开工日期前</w:t>
      </w:r>
      <w:r>
        <w:rPr>
          <w:rFonts w:hint="eastAsia" w:cs="宋体"/>
          <w:color w:val="auto"/>
          <w:kern w:val="0"/>
          <w:szCs w:val="21"/>
          <w:highlight w:val="none"/>
        </w:rPr>
        <w:t>7</w:t>
      </w:r>
      <w:r>
        <w:rPr>
          <w:rFonts w:hint="eastAsia" w:ascii="宋体" w:hAnsi="宋体" w:cs="宋体"/>
          <w:color w:val="auto"/>
          <w:kern w:val="0"/>
          <w:szCs w:val="21"/>
          <w:highlight w:val="none"/>
        </w:rPr>
        <w:t>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施工过程中对施工现场内水准点等测量标志物的保护工作由承包人负责。</w:t>
      </w:r>
      <w:bookmarkStart w:id="1383" w:name="_Toc351203547"/>
    </w:p>
    <w:p>
      <w:pPr>
        <w:spacing w:line="336" w:lineRule="auto"/>
        <w:ind w:firstLine="422" w:firstLineChars="200"/>
        <w:outlineLvl w:val="4"/>
        <w:rPr>
          <w:rFonts w:ascii="宋体" w:hAnsi="宋体" w:cs="宋体"/>
          <w:b/>
          <w:bCs/>
          <w:color w:val="auto"/>
          <w:szCs w:val="21"/>
          <w:highlight w:val="none"/>
        </w:rPr>
      </w:pPr>
      <w:r>
        <w:rPr>
          <w:rFonts w:hint="eastAsia" w:cs="宋体"/>
          <w:b/>
          <w:bCs/>
          <w:color w:val="auto"/>
          <w:szCs w:val="21"/>
          <w:highlight w:val="none"/>
        </w:rPr>
        <w:t>7</w:t>
      </w:r>
      <w:bookmarkEnd w:id="1376"/>
      <w:bookmarkEnd w:id="1377"/>
      <w:bookmarkStart w:id="1384" w:name="_Toc296346574"/>
      <w:bookmarkStart w:id="1385" w:name="_Toc337558772"/>
      <w:bookmarkStart w:id="1386" w:name="_Toc296503073"/>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工期延误</w:t>
      </w:r>
      <w:bookmarkEnd w:id="1383"/>
    </w:p>
    <w:bookmarkEnd w:id="1384"/>
    <w:bookmarkEnd w:id="1385"/>
    <w:bookmarkEnd w:id="1386"/>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因发包人原因导致工期延误</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）发包人未能按合同约定提供图纸或所提供图纸不符合合同约定的；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）发包人未能按合同约定提供施工现场、施工条件、基础资料、许可、批准等开工条件的；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）发包人提供的测量基准点、基准线和水准点及其书面资料存在错误或疏漏的；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）发包人未能在计划开工日期之日起</w:t>
      </w:r>
      <w:r>
        <w:rPr>
          <w:rFonts w:hint="eastAsia" w:cs="宋体"/>
          <w:color w:val="auto"/>
          <w:kern w:val="0"/>
          <w:szCs w:val="21"/>
          <w:highlight w:val="none"/>
        </w:rPr>
        <w:t>7</w:t>
      </w:r>
      <w:r>
        <w:rPr>
          <w:rFonts w:hint="eastAsia" w:ascii="宋体" w:hAnsi="宋体" w:cs="宋体"/>
          <w:color w:val="auto"/>
          <w:kern w:val="0"/>
          <w:szCs w:val="21"/>
          <w:highlight w:val="none"/>
        </w:rPr>
        <w:t>天内同意下达开工通知的；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）发包人未能按合同约定日期支付工程预付款、进度款或竣工结算款的；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）监理人未按合同约定发出指示、批准等文件的；</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）专用合同条款中约定的其他情形。</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项〔施工进度计划的修订〕执行。</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因承包人原因导致工期延误</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387" w:name="_Toc296346577"/>
      <w:bookmarkStart w:id="1388" w:name="_Toc296503076"/>
      <w:r>
        <w:rPr>
          <w:rFonts w:hint="eastAsia" w:ascii="宋体" w:hAnsi="宋体" w:cs="宋体"/>
          <w:color w:val="auto"/>
          <w:kern w:val="0"/>
          <w:szCs w:val="21"/>
          <w:highlight w:val="none"/>
        </w:rPr>
        <w:t>因</w:t>
      </w:r>
      <w:bookmarkEnd w:id="1387"/>
      <w:bookmarkEnd w:id="1388"/>
      <w:r>
        <w:rPr>
          <w:rFonts w:hint="eastAsia" w:ascii="宋体" w:hAnsi="宋体" w:cs="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36" w:lineRule="auto"/>
        <w:ind w:firstLine="422" w:firstLineChars="200"/>
        <w:outlineLvl w:val="4"/>
        <w:rPr>
          <w:rFonts w:ascii="宋体" w:hAnsi="宋体" w:cs="宋体"/>
          <w:b/>
          <w:bCs/>
          <w:color w:val="auto"/>
          <w:szCs w:val="21"/>
          <w:highlight w:val="none"/>
        </w:rPr>
      </w:pPr>
      <w:bookmarkStart w:id="1389" w:name="_Toc351203548"/>
      <w:r>
        <w:rPr>
          <w:rFonts w:hint="eastAsia" w:cs="宋体"/>
          <w:b/>
          <w:bCs/>
          <w:color w:val="auto"/>
          <w:szCs w:val="21"/>
          <w:highlight w:val="none"/>
        </w:rPr>
        <w:t>7</w:t>
      </w:r>
      <w:bookmarkStart w:id="1390" w:name="_Toc337558773"/>
      <w:bookmarkStart w:id="1391" w:name="_Toc296346575"/>
      <w:bookmarkStart w:id="1392" w:name="_Toc296503074"/>
      <w:bookmarkStart w:id="1393" w:name="_Toc296503077"/>
      <w:bookmarkStart w:id="1394" w:name="_Toc296346578"/>
      <w:r>
        <w:rPr>
          <w:rFonts w:hint="eastAsia" w:ascii="宋体" w:hAnsi="宋体" w:cs="宋体"/>
          <w:b/>
          <w:bCs/>
          <w:color w:val="auto"/>
          <w:szCs w:val="21"/>
          <w:highlight w:val="none"/>
        </w:rPr>
        <w:t>.</w:t>
      </w:r>
      <w:r>
        <w:rPr>
          <w:rFonts w:hint="eastAsia" w:cs="宋体"/>
          <w:b/>
          <w:bCs/>
          <w:color w:val="auto"/>
          <w:szCs w:val="21"/>
          <w:highlight w:val="none"/>
        </w:rPr>
        <w:t>6</w:t>
      </w:r>
      <w:r>
        <w:rPr>
          <w:rFonts w:hint="eastAsia" w:ascii="宋体" w:hAnsi="宋体" w:cs="宋体"/>
          <w:b/>
          <w:bCs/>
          <w:color w:val="auto"/>
          <w:szCs w:val="21"/>
          <w:highlight w:val="none"/>
        </w:rPr>
        <w:t xml:space="preserve"> 不利物质条件</w:t>
      </w:r>
      <w:bookmarkEnd w:id="1389"/>
    </w:p>
    <w:bookmarkEnd w:id="1390"/>
    <w:bookmarkEnd w:id="1391"/>
    <w:bookmarkEnd w:id="1392"/>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hint="eastAsia" w:cs="宋体"/>
          <w:color w:val="auto"/>
          <w:kern w:val="0"/>
          <w:szCs w:val="21"/>
          <w:highlight w:val="none"/>
        </w:rPr>
        <w:t>10</w:t>
      </w:r>
      <w:r>
        <w:rPr>
          <w:rFonts w:hint="eastAsia" w:ascii="宋体" w:hAnsi="宋体" w:cs="宋体"/>
          <w:color w:val="auto"/>
          <w:kern w:val="0"/>
          <w:szCs w:val="21"/>
          <w:highlight w:val="none"/>
        </w:rPr>
        <w:t>条〔变更〕约定执行。承包人因采取合理措施而增加的费用和（或）延误的工期由发包人承担。</w:t>
      </w:r>
    </w:p>
    <w:p>
      <w:pPr>
        <w:spacing w:line="336" w:lineRule="auto"/>
        <w:ind w:firstLine="422" w:firstLineChars="200"/>
        <w:outlineLvl w:val="4"/>
        <w:rPr>
          <w:rFonts w:ascii="宋体" w:hAnsi="宋体" w:cs="宋体"/>
          <w:b/>
          <w:bCs/>
          <w:color w:val="auto"/>
          <w:szCs w:val="21"/>
          <w:highlight w:val="none"/>
        </w:rPr>
      </w:pPr>
      <w:bookmarkStart w:id="1395" w:name="_Toc351203549"/>
      <w:r>
        <w:rPr>
          <w:rFonts w:hint="eastAsia" w:cs="宋体"/>
          <w:b/>
          <w:bCs/>
          <w:color w:val="auto"/>
          <w:szCs w:val="21"/>
          <w:highlight w:val="none"/>
        </w:rPr>
        <w:t>7</w:t>
      </w:r>
      <w:bookmarkStart w:id="1396" w:name="_Toc296346576"/>
      <w:bookmarkStart w:id="1397" w:name="_Toc296503075"/>
      <w:bookmarkStart w:id="1398" w:name="_Toc337558774"/>
      <w:r>
        <w:rPr>
          <w:rFonts w:hint="eastAsia" w:ascii="宋体" w:hAnsi="宋体" w:cs="宋体"/>
          <w:b/>
          <w:bCs/>
          <w:color w:val="auto"/>
          <w:szCs w:val="21"/>
          <w:highlight w:val="none"/>
        </w:rPr>
        <w:t>.</w:t>
      </w:r>
      <w:r>
        <w:rPr>
          <w:rFonts w:hint="eastAsia" w:cs="宋体"/>
          <w:b/>
          <w:bCs/>
          <w:color w:val="auto"/>
          <w:szCs w:val="21"/>
          <w:highlight w:val="none"/>
        </w:rPr>
        <w:t>7</w:t>
      </w:r>
      <w:r>
        <w:rPr>
          <w:rFonts w:hint="eastAsia" w:ascii="宋体" w:hAnsi="宋体" w:cs="宋体"/>
          <w:b/>
          <w:bCs/>
          <w:color w:val="auto"/>
          <w:szCs w:val="21"/>
          <w:highlight w:val="none"/>
        </w:rPr>
        <w:t xml:space="preserve"> 异常恶劣的气候条件</w:t>
      </w:r>
      <w:bookmarkEnd w:id="1395"/>
    </w:p>
    <w:bookmarkEnd w:id="1396"/>
    <w:bookmarkEnd w:id="1397"/>
    <w:bookmarkEnd w:id="139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承包人应采取克服异常恶劣的气候条件的合理措施继续施工，并及时通知发包人和监理人。监理人经发包人同意后应当及时发出指示，指示构成变更的，按第</w:t>
      </w:r>
      <w:r>
        <w:rPr>
          <w:rFonts w:hint="eastAsia" w:cs="宋体"/>
          <w:color w:val="auto"/>
          <w:kern w:val="0"/>
          <w:szCs w:val="21"/>
          <w:highlight w:val="none"/>
        </w:rPr>
        <w:t>10</w:t>
      </w:r>
      <w:r>
        <w:rPr>
          <w:rFonts w:hint="eastAsia" w:ascii="宋体" w:hAnsi="宋体" w:cs="宋体"/>
          <w:color w:val="auto"/>
          <w:kern w:val="0"/>
          <w:szCs w:val="21"/>
          <w:highlight w:val="none"/>
        </w:rPr>
        <w:t>条〔变更〕约定办理。承包人因采取合理措施而增加的费用和（或）延误的工期由发包人承担。</w:t>
      </w:r>
      <w:bookmarkStart w:id="1399" w:name="_Toc351203550"/>
    </w:p>
    <w:p>
      <w:pPr>
        <w:spacing w:line="336" w:lineRule="auto"/>
        <w:ind w:firstLine="422" w:firstLineChars="200"/>
        <w:outlineLvl w:val="4"/>
        <w:rPr>
          <w:rFonts w:ascii="宋体" w:hAnsi="宋体" w:cs="宋体"/>
          <w:b/>
          <w:bCs/>
          <w:color w:val="auto"/>
          <w:szCs w:val="21"/>
          <w:highlight w:val="none"/>
        </w:rPr>
      </w:pPr>
      <w:bookmarkStart w:id="1400" w:name="_Toc5788"/>
      <w:r>
        <w:rPr>
          <w:rFonts w:hint="eastAsia" w:cs="宋体"/>
          <w:b/>
          <w:bCs/>
          <w:color w:val="auto"/>
          <w:szCs w:val="21"/>
          <w:highlight w:val="none"/>
        </w:rPr>
        <w:t>7</w:t>
      </w:r>
      <w:bookmarkStart w:id="1401" w:name="_Toc337558775"/>
      <w:r>
        <w:rPr>
          <w:rFonts w:hint="eastAsia" w:ascii="宋体" w:hAnsi="宋体" w:cs="宋体"/>
          <w:b/>
          <w:bCs/>
          <w:color w:val="auto"/>
          <w:szCs w:val="21"/>
          <w:highlight w:val="none"/>
        </w:rPr>
        <w:t>.</w:t>
      </w:r>
      <w:r>
        <w:rPr>
          <w:rFonts w:hint="eastAsia" w:cs="宋体"/>
          <w:b/>
          <w:bCs/>
          <w:color w:val="auto"/>
          <w:szCs w:val="21"/>
          <w:highlight w:val="none"/>
        </w:rPr>
        <w:t>8</w:t>
      </w:r>
      <w:r>
        <w:rPr>
          <w:rFonts w:hint="eastAsia" w:ascii="宋体" w:hAnsi="宋体" w:cs="宋体"/>
          <w:b/>
          <w:bCs/>
          <w:color w:val="auto"/>
          <w:szCs w:val="21"/>
          <w:highlight w:val="none"/>
        </w:rPr>
        <w:t xml:space="preserve"> 暂停施工</w:t>
      </w:r>
      <w:bookmarkEnd w:id="1399"/>
      <w:bookmarkEnd w:id="1400"/>
    </w:p>
    <w:bookmarkEnd w:id="1393"/>
    <w:bookmarkEnd w:id="1394"/>
    <w:bookmarkEnd w:id="1401"/>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发包人原因引起的暂停施工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因发包人原因引起暂停施工的，监理人经发包人同意后，应及时下达暂停施工指示。情况紧急且监理人未及时下达暂停施工指示的，按照第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项〔紧急情况下的暂停施工〕执行。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因发包人原因引起的暂停施工，发包人应承担由此增加的费用和（或）延误的工期，并支付承包人合理的利润。</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承包人原因引起的暂停施工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因承包人原因引起的暂停施工，承包人应承担由此增加的费用和（或）延误的工期，且承包人在收到监理人复工指示后</w:t>
      </w:r>
      <w:r>
        <w:rPr>
          <w:rFonts w:hint="eastAsia" w:cs="宋体"/>
          <w:color w:val="auto"/>
          <w:kern w:val="0"/>
          <w:szCs w:val="21"/>
          <w:highlight w:val="none"/>
        </w:rPr>
        <w:t>84</w:t>
      </w:r>
      <w:r>
        <w:rPr>
          <w:rFonts w:hint="eastAsia" w:ascii="宋体" w:hAnsi="宋体" w:cs="宋体"/>
          <w:color w:val="auto"/>
          <w:kern w:val="0"/>
          <w:szCs w:val="21"/>
          <w:highlight w:val="none"/>
        </w:rPr>
        <w:t>天内仍未复工的，视为第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项〔承包人违约的情形〕第（</w:t>
      </w:r>
      <w:r>
        <w:rPr>
          <w:rFonts w:hint="eastAsia" w:cs="宋体"/>
          <w:color w:val="auto"/>
          <w:kern w:val="0"/>
          <w:szCs w:val="21"/>
          <w:highlight w:val="none"/>
        </w:rPr>
        <w:t>7</w:t>
      </w:r>
      <w:r>
        <w:rPr>
          <w:rFonts w:hint="eastAsia" w:ascii="宋体" w:hAnsi="宋体" w:cs="宋体"/>
          <w:color w:val="auto"/>
          <w:kern w:val="0"/>
          <w:szCs w:val="21"/>
          <w:highlight w:val="none"/>
        </w:rPr>
        <w:t>）目约定的承包人无法继续履行合同的情形。</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指示暂停施工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监理人认为有必要时，并经发包人批准后，可向承包人作出暂停施工的指示，承包人应按监理人指示暂停施工。</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紧急情况下的暂停施工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因紧急情况需暂停施工，且监理人未及时下达暂停施工指示的，承包人可先暂停施工，并及时通知监理人。监理人应在接到通知后</w:t>
      </w:r>
      <w:r>
        <w:rPr>
          <w:rFonts w:hint="eastAsia" w:cs="宋体"/>
          <w:color w:val="auto"/>
          <w:kern w:val="0"/>
          <w:szCs w:val="21"/>
          <w:highlight w:val="none"/>
        </w:rPr>
        <w:t>24</w:t>
      </w:r>
      <w:r>
        <w:rPr>
          <w:rFonts w:hint="eastAsia" w:ascii="宋体" w:hAnsi="宋体" w:cs="宋体"/>
          <w:color w:val="auto"/>
          <w:kern w:val="0"/>
          <w:szCs w:val="21"/>
          <w:highlight w:val="none"/>
        </w:rPr>
        <w:t>小时内发出指示，逾期未发出指示，视为同意承包人暂停施工。监理人不同意承包人暂停施工的，应说明理由，承包人对监理人的答复有异议，按照第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条〔争议解决〕约定处理。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暂停施工后的复工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承包人无故拖延和拒绝复工的，承包人承担由此增加的费用和（或）延误的工期；因发包人原因无法按时复工的，按照第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项〔因发包人原因导致工期延误〕约定办理。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暂停施工持续</w:t>
      </w:r>
      <w:r>
        <w:rPr>
          <w:rFonts w:hint="eastAsia" w:cs="宋体"/>
          <w:color w:val="auto"/>
          <w:kern w:val="0"/>
          <w:szCs w:val="21"/>
          <w:highlight w:val="none"/>
        </w:rPr>
        <w:t>56</w:t>
      </w:r>
      <w:r>
        <w:rPr>
          <w:rFonts w:hint="eastAsia" w:ascii="宋体" w:hAnsi="宋体" w:cs="宋体"/>
          <w:color w:val="auto"/>
          <w:kern w:val="0"/>
          <w:szCs w:val="21"/>
          <w:highlight w:val="none"/>
        </w:rPr>
        <w:t>天以上</w:t>
      </w:r>
    </w:p>
    <w:p>
      <w:pPr>
        <w:spacing w:line="336" w:lineRule="auto"/>
        <w:ind w:firstLine="409" w:firstLineChars="195"/>
        <w:jc w:val="left"/>
        <w:rPr>
          <w:rFonts w:ascii="宋体" w:hAnsi="宋体" w:cs="宋体"/>
          <w:color w:val="auto"/>
          <w:kern w:val="0"/>
          <w:szCs w:val="21"/>
          <w:highlight w:val="none"/>
        </w:rPr>
      </w:pPr>
      <w:r>
        <w:rPr>
          <w:rFonts w:hint="eastAsia" w:ascii="宋体" w:hAnsi="宋体" w:cs="宋体"/>
          <w:color w:val="auto"/>
          <w:kern w:val="0"/>
          <w:szCs w:val="21"/>
          <w:highlight w:val="none"/>
        </w:rPr>
        <w:t>监理人发出暂停施工指示后</w:t>
      </w:r>
      <w:r>
        <w:rPr>
          <w:rFonts w:hint="eastAsia" w:cs="宋体"/>
          <w:color w:val="auto"/>
          <w:kern w:val="0"/>
          <w:szCs w:val="21"/>
          <w:highlight w:val="none"/>
        </w:rPr>
        <w:t>56</w:t>
      </w:r>
      <w:r>
        <w:rPr>
          <w:rFonts w:hint="eastAsia" w:ascii="宋体" w:hAnsi="宋体" w:cs="宋体"/>
          <w:color w:val="auto"/>
          <w:kern w:val="0"/>
          <w:szCs w:val="21"/>
          <w:highlight w:val="none"/>
        </w:rPr>
        <w:t>天内未向承包人发出复工通知，除该项停工属于第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项〔承包人原因引起的暂停施工〕及第</w:t>
      </w:r>
      <w:r>
        <w:rPr>
          <w:rFonts w:hint="eastAsia" w:cs="宋体"/>
          <w:color w:val="auto"/>
          <w:kern w:val="0"/>
          <w:szCs w:val="21"/>
          <w:highlight w:val="none"/>
        </w:rPr>
        <w:t>17</w:t>
      </w:r>
      <w:r>
        <w:rPr>
          <w:rFonts w:hint="eastAsia" w:ascii="宋体" w:hAnsi="宋体" w:cs="宋体"/>
          <w:color w:val="auto"/>
          <w:kern w:val="0"/>
          <w:szCs w:val="21"/>
          <w:highlight w:val="none"/>
        </w:rPr>
        <w:t>条〔不可抗力〕约定的情形外，承包人可向发包人提交书面通知，要求发包人在收到书面通知后</w:t>
      </w:r>
      <w:r>
        <w:rPr>
          <w:rFonts w:hint="eastAsia" w:cs="宋体"/>
          <w:color w:val="auto"/>
          <w:kern w:val="0"/>
          <w:szCs w:val="21"/>
          <w:highlight w:val="none"/>
        </w:rPr>
        <w:t>28</w:t>
      </w:r>
      <w:r>
        <w:rPr>
          <w:rFonts w:hint="eastAsia" w:ascii="宋体" w:hAnsi="宋体" w:cs="宋体"/>
          <w:color w:val="auto"/>
          <w:kern w:val="0"/>
          <w:szCs w:val="21"/>
          <w:highlight w:val="none"/>
        </w:rPr>
        <w:t>天内准许已暂停施工的部分或全部工程继续施工。发包人逾期不予批准的，则承包人可以通知发包人，将工程受影响的部分视为按第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款〔变更的范围〕第（</w:t>
      </w:r>
      <w:r>
        <w:rPr>
          <w:rFonts w:hint="eastAsia" w:cs="宋体"/>
          <w:color w:val="auto"/>
          <w:kern w:val="0"/>
          <w:szCs w:val="21"/>
          <w:highlight w:val="none"/>
        </w:rPr>
        <w:t>2</w:t>
      </w:r>
      <w:r>
        <w:rPr>
          <w:rFonts w:hint="eastAsia" w:ascii="宋体" w:hAnsi="宋体" w:cs="宋体"/>
          <w:color w:val="auto"/>
          <w:kern w:val="0"/>
          <w:szCs w:val="21"/>
          <w:highlight w:val="none"/>
        </w:rPr>
        <w:t>）项的可取消工作。</w:t>
      </w:r>
    </w:p>
    <w:p>
      <w:pPr>
        <w:spacing w:line="336" w:lineRule="auto"/>
        <w:ind w:firstLine="409" w:firstLineChars="195"/>
        <w:jc w:val="left"/>
        <w:rPr>
          <w:rFonts w:ascii="宋体" w:hAnsi="宋体" w:cs="宋体"/>
          <w:color w:val="auto"/>
          <w:kern w:val="0"/>
          <w:szCs w:val="21"/>
          <w:highlight w:val="none"/>
        </w:rPr>
      </w:pPr>
      <w:r>
        <w:rPr>
          <w:rFonts w:hint="eastAsia" w:ascii="宋体" w:hAnsi="宋体" w:cs="宋体"/>
          <w:color w:val="auto"/>
          <w:kern w:val="0"/>
          <w:szCs w:val="21"/>
          <w:highlight w:val="none"/>
        </w:rPr>
        <w:t>暂停施工持续</w:t>
      </w:r>
      <w:r>
        <w:rPr>
          <w:rFonts w:hint="eastAsia" w:cs="宋体"/>
          <w:color w:val="auto"/>
          <w:kern w:val="0"/>
          <w:szCs w:val="21"/>
          <w:highlight w:val="none"/>
        </w:rPr>
        <w:t>84</w:t>
      </w:r>
      <w:r>
        <w:rPr>
          <w:rFonts w:hint="eastAsia" w:ascii="宋体" w:hAnsi="宋体" w:cs="宋体"/>
          <w:color w:val="auto"/>
          <w:kern w:val="0"/>
          <w:szCs w:val="21"/>
          <w:highlight w:val="none"/>
        </w:rPr>
        <w:t>天以上不复工的，且不属于第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项〔承包人原因引起的暂停施工〕及第</w:t>
      </w:r>
      <w:r>
        <w:rPr>
          <w:rFonts w:hint="eastAsia" w:cs="宋体"/>
          <w:color w:val="auto"/>
          <w:kern w:val="0"/>
          <w:szCs w:val="21"/>
          <w:highlight w:val="none"/>
        </w:rPr>
        <w:t>17</w:t>
      </w:r>
      <w:r>
        <w:rPr>
          <w:rFonts w:hint="eastAsia" w:ascii="宋体" w:hAnsi="宋体" w:cs="宋体"/>
          <w:color w:val="auto"/>
          <w:kern w:val="0"/>
          <w:szCs w:val="21"/>
          <w:highlight w:val="none"/>
        </w:rPr>
        <w:t>条〔不可抗力〕约定的情形，并影响到整个工程以及合同目的实现的，承包人有权提出价格调整要求，或者解除合同。解除合同的，按照第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项〔因发包人违约解除合同〕执行。</w:t>
      </w:r>
    </w:p>
    <w:p>
      <w:pPr>
        <w:spacing w:line="336" w:lineRule="auto"/>
        <w:ind w:left="16" w:firstLine="409" w:firstLineChars="195"/>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 xml:space="preserve"> 暂停施工期间的工程照管</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暂停施工期间，承包人应负责妥善照管工程并提供安全保障，由此增加的费用由责任方承担。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 xml:space="preserve"> 暂停施工的措施</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暂停施工期间，发包人和承包人均应采取必要的措施确保工程质量及安全，防止因暂停施工扩大损失。</w:t>
      </w:r>
    </w:p>
    <w:p>
      <w:pPr>
        <w:spacing w:line="336" w:lineRule="auto"/>
        <w:ind w:firstLine="422" w:firstLineChars="200"/>
        <w:outlineLvl w:val="4"/>
        <w:rPr>
          <w:rFonts w:ascii="宋体" w:hAnsi="宋体" w:cs="宋体"/>
          <w:b/>
          <w:bCs/>
          <w:color w:val="auto"/>
          <w:szCs w:val="21"/>
          <w:highlight w:val="none"/>
        </w:rPr>
      </w:pPr>
      <w:bookmarkStart w:id="1402" w:name="_Toc351203551"/>
      <w:r>
        <w:rPr>
          <w:rFonts w:hint="eastAsia" w:cs="宋体"/>
          <w:b/>
          <w:bCs/>
          <w:color w:val="auto"/>
          <w:szCs w:val="21"/>
          <w:highlight w:val="none"/>
        </w:rPr>
        <w:t>7</w:t>
      </w:r>
      <w:r>
        <w:rPr>
          <w:rFonts w:hint="eastAsia" w:ascii="宋体" w:hAnsi="宋体" w:cs="宋体"/>
          <w:b/>
          <w:bCs/>
          <w:color w:val="auto"/>
          <w:szCs w:val="21"/>
          <w:highlight w:val="none"/>
        </w:rPr>
        <w:t>.</w:t>
      </w:r>
      <w:r>
        <w:rPr>
          <w:rFonts w:hint="eastAsia" w:cs="宋体"/>
          <w:b/>
          <w:bCs/>
          <w:color w:val="auto"/>
          <w:szCs w:val="21"/>
          <w:highlight w:val="none"/>
        </w:rPr>
        <w:t>9</w:t>
      </w:r>
      <w:r>
        <w:rPr>
          <w:rFonts w:hint="eastAsia" w:ascii="宋体" w:hAnsi="宋体" w:cs="宋体"/>
          <w:b/>
          <w:bCs/>
          <w:color w:val="auto"/>
          <w:szCs w:val="21"/>
          <w:highlight w:val="none"/>
        </w:rPr>
        <w:t>提前</w:t>
      </w:r>
      <w:bookmarkEnd w:id="1402"/>
      <w:r>
        <w:rPr>
          <w:rFonts w:hint="eastAsia" w:ascii="宋体" w:hAnsi="宋体" w:cs="宋体"/>
          <w:b/>
          <w:bCs/>
          <w:color w:val="auto"/>
          <w:szCs w:val="21"/>
          <w:highlight w:val="none"/>
        </w:rPr>
        <w:t>完工</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要求承包人提前完工的，发包人应通过监理人向承包人下达提前完工指示，承包人应向发包人和监理人提交提前完工建议书，提前完工建议书应包括实施的方案、缩短的时间、增加的合同价格等内容。发包人接受该提前完工建议书的，监理人应与发包人和承包人协商采取加快工程进度的措施，并修订施工进度计划，由此增加的费用由发包人承担。承包人认为提前完工指示无法执行的，应向监理人和发包人提出书面异议，发包人和监理人应在收到异议后</w:t>
      </w:r>
      <w:r>
        <w:rPr>
          <w:rFonts w:hint="eastAsia" w:cs="宋体"/>
          <w:color w:val="auto"/>
          <w:kern w:val="0"/>
          <w:szCs w:val="21"/>
          <w:highlight w:val="none"/>
        </w:rPr>
        <w:t>7</w:t>
      </w:r>
      <w:r>
        <w:rPr>
          <w:rFonts w:hint="eastAsia" w:ascii="宋体" w:hAnsi="宋体" w:cs="宋体"/>
          <w:color w:val="auto"/>
          <w:kern w:val="0"/>
          <w:szCs w:val="21"/>
          <w:highlight w:val="none"/>
        </w:rPr>
        <w:t>天内予以答复。任何情况下，发包人不得压缩合理工期。</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发包人要求承包人提前完工，或承包人提出提前完工的建议能够给发包人带来效益的，合同当事人可以在专用合同条款中约定提前竣工的奖励。</w:t>
      </w:r>
    </w:p>
    <w:p>
      <w:pPr>
        <w:pStyle w:val="5"/>
        <w:keepNext w:val="0"/>
        <w:keepLines w:val="0"/>
        <w:spacing w:line="336" w:lineRule="auto"/>
        <w:rPr>
          <w:rFonts w:ascii="宋体" w:hAnsi="宋体" w:eastAsia="宋体" w:cs="宋体"/>
          <w:color w:val="auto"/>
          <w:sz w:val="24"/>
          <w:szCs w:val="24"/>
          <w:highlight w:val="none"/>
        </w:rPr>
      </w:pPr>
      <w:bookmarkStart w:id="1403" w:name="_Toc351203552"/>
      <w:r>
        <w:rPr>
          <w:rFonts w:hint="eastAsia" w:ascii="Times New Roman" w:hAnsi="Times New Roman" w:eastAsia="宋体" w:cs="宋体"/>
          <w:color w:val="auto"/>
          <w:sz w:val="24"/>
          <w:szCs w:val="24"/>
          <w:highlight w:val="none"/>
        </w:rPr>
        <w:t>8</w:t>
      </w:r>
      <w:bookmarkStart w:id="1404" w:name="_Toc296346559"/>
      <w:bookmarkStart w:id="1405" w:name="_Toc337558776"/>
      <w:bookmarkStart w:id="1406" w:name="_Toc296503058"/>
      <w:r>
        <w:rPr>
          <w:rFonts w:hint="eastAsia" w:ascii="宋体" w:hAnsi="宋体" w:eastAsia="宋体" w:cs="宋体"/>
          <w:color w:val="auto"/>
          <w:sz w:val="24"/>
          <w:szCs w:val="24"/>
          <w:highlight w:val="none"/>
        </w:rPr>
        <w:t>. 材料与设备</w:t>
      </w:r>
      <w:bookmarkEnd w:id="1403"/>
    </w:p>
    <w:bookmarkEnd w:id="1404"/>
    <w:bookmarkEnd w:id="1405"/>
    <w:bookmarkEnd w:id="1406"/>
    <w:p>
      <w:pPr>
        <w:spacing w:line="336" w:lineRule="auto"/>
        <w:ind w:firstLine="422" w:firstLineChars="200"/>
        <w:outlineLvl w:val="4"/>
        <w:rPr>
          <w:rFonts w:ascii="宋体" w:hAnsi="宋体" w:cs="宋体"/>
          <w:b/>
          <w:bCs/>
          <w:color w:val="auto"/>
          <w:szCs w:val="21"/>
          <w:highlight w:val="none"/>
        </w:rPr>
      </w:pPr>
      <w:bookmarkStart w:id="1407" w:name="_Toc351203553"/>
      <w:r>
        <w:rPr>
          <w:rFonts w:hint="eastAsia" w:cs="宋体"/>
          <w:b/>
          <w:bCs/>
          <w:color w:val="auto"/>
          <w:szCs w:val="21"/>
          <w:highlight w:val="none"/>
        </w:rPr>
        <w:t>8</w:t>
      </w:r>
      <w:bookmarkStart w:id="1408" w:name="_Toc337558777"/>
      <w:bookmarkStart w:id="1409" w:name="_Toc296346560"/>
      <w:bookmarkStart w:id="1410" w:name="_Toc296503059"/>
      <w:bookmarkStart w:id="1411" w:name="_Toc468936960"/>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发包人供应材料与工程设备</w:t>
      </w:r>
      <w:bookmarkEnd w:id="1407"/>
    </w:p>
    <w:bookmarkEnd w:id="1408"/>
    <w:bookmarkEnd w:id="1409"/>
    <w:bookmarkEnd w:id="141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承包人应提前</w:t>
      </w:r>
      <w:r>
        <w:rPr>
          <w:rFonts w:hint="eastAsia" w:cs="宋体"/>
          <w:color w:val="auto"/>
          <w:kern w:val="0"/>
          <w:szCs w:val="21"/>
          <w:highlight w:val="none"/>
        </w:rPr>
        <w:t>30</w:t>
      </w:r>
      <w:r>
        <w:rPr>
          <w:rFonts w:hint="eastAsia" w:ascii="宋体" w:hAnsi="宋体" w:cs="宋体"/>
          <w:color w:val="auto"/>
          <w:kern w:val="0"/>
          <w:szCs w:val="21"/>
          <w:highlight w:val="none"/>
        </w:rPr>
        <w:t>天通过监理人以书面形式通知发包人供应材料与工程设备进场。承包人按照第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项〔施工进度计划的修订〕约定修订施工进度计划时，需同时提交经修订后的发包人供应材料与工程设备的进场计划。</w:t>
      </w:r>
    </w:p>
    <w:p>
      <w:pPr>
        <w:spacing w:line="336" w:lineRule="auto"/>
        <w:ind w:firstLine="422" w:firstLineChars="200"/>
        <w:outlineLvl w:val="4"/>
        <w:rPr>
          <w:rFonts w:ascii="宋体" w:hAnsi="宋体" w:cs="宋体"/>
          <w:b/>
          <w:bCs/>
          <w:color w:val="auto"/>
          <w:szCs w:val="21"/>
          <w:highlight w:val="none"/>
        </w:rPr>
      </w:pPr>
      <w:bookmarkStart w:id="1412" w:name="_Toc351203554"/>
      <w:r>
        <w:rPr>
          <w:rFonts w:hint="eastAsia" w:cs="宋体"/>
          <w:b/>
          <w:bCs/>
          <w:color w:val="auto"/>
          <w:szCs w:val="21"/>
          <w:highlight w:val="none"/>
        </w:rPr>
        <w:t>8</w:t>
      </w:r>
      <w:bookmarkStart w:id="1413" w:name="_Toc296503060"/>
      <w:bookmarkStart w:id="1414" w:name="_Toc296346561"/>
      <w:bookmarkStart w:id="1415" w:name="_Toc337558778"/>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承包人采购材料与工程设备</w:t>
      </w:r>
      <w:bookmarkEnd w:id="1412"/>
    </w:p>
    <w:bookmarkEnd w:id="1413"/>
    <w:bookmarkEnd w:id="1414"/>
    <w:bookmarkEnd w:id="1415"/>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36" w:lineRule="auto"/>
        <w:ind w:firstLine="422" w:firstLineChars="200"/>
        <w:outlineLvl w:val="4"/>
        <w:rPr>
          <w:rFonts w:ascii="宋体" w:hAnsi="宋体" w:cs="宋体"/>
          <w:b/>
          <w:bCs/>
          <w:color w:val="auto"/>
          <w:szCs w:val="21"/>
          <w:highlight w:val="none"/>
        </w:rPr>
      </w:pPr>
      <w:bookmarkStart w:id="1416" w:name="_Toc351203555"/>
      <w:r>
        <w:rPr>
          <w:rFonts w:hint="eastAsia" w:cs="宋体"/>
          <w:b/>
          <w:bCs/>
          <w:color w:val="auto"/>
          <w:szCs w:val="21"/>
          <w:highlight w:val="none"/>
        </w:rPr>
        <w:t>8</w:t>
      </w:r>
      <w:bookmarkStart w:id="1417" w:name="_Toc296346562"/>
      <w:bookmarkStart w:id="1418" w:name="_Toc296503061"/>
      <w:bookmarkStart w:id="1419" w:name="_Toc337558779"/>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材料与工程设备的接收与拒收</w:t>
      </w:r>
      <w:bookmarkEnd w:id="1416"/>
    </w:p>
    <w:bookmarkEnd w:id="1417"/>
    <w:bookmarkEnd w:id="1418"/>
    <w:bookmarkEnd w:id="1419"/>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发包人应按《发包人供应材料设备一览表》约定的内容提供材料和工程设备，并向承包人提供产品合格证明及出厂证明，对其质量负责。发包人应提前</w:t>
      </w:r>
      <w:r>
        <w:rPr>
          <w:rFonts w:hint="eastAsia" w:cs="宋体"/>
          <w:color w:val="auto"/>
          <w:kern w:val="0"/>
          <w:szCs w:val="21"/>
          <w:highlight w:val="none"/>
        </w:rPr>
        <w:t>24</w:t>
      </w:r>
      <w:r>
        <w:rPr>
          <w:rFonts w:hint="eastAsia" w:ascii="宋体" w:hAnsi="宋体" w:cs="宋体"/>
          <w:color w:val="auto"/>
          <w:kern w:val="0"/>
          <w:szCs w:val="21"/>
          <w:highlight w:val="none"/>
        </w:rPr>
        <w:t>小时以书面形式通知承包人、监理人材料和工程设备到货时间，承包人负责材料和工程设备的清点、检验和接收。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发包人提供的材料和工程设备的规格、数量或质量不符合合同约定的，或因发包人原因导致交货日期延误或交货地点变更等情况的，按照第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款〔发包人违约〕约定办理。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承包人采购的材料和工程设备，应保证产品质量合格，承包人应在材料和工程设备到货前</w:t>
      </w:r>
      <w:r>
        <w:rPr>
          <w:rFonts w:hint="eastAsia" w:cs="宋体"/>
          <w:color w:val="auto"/>
          <w:kern w:val="0"/>
          <w:szCs w:val="21"/>
          <w:highlight w:val="none"/>
        </w:rPr>
        <w:t>24</w:t>
      </w:r>
      <w:r>
        <w:rPr>
          <w:rFonts w:hint="eastAsia" w:ascii="宋体" w:hAnsi="宋体" w:cs="宋体"/>
          <w:color w:val="auto"/>
          <w:kern w:val="0"/>
          <w:szCs w:val="21"/>
          <w:highlight w:val="none"/>
        </w:rPr>
        <w:t>小时通知监理人检验。承</w:t>
      </w:r>
      <w:bookmarkStart w:id="1420" w:name="_Toc250655469"/>
      <w:r>
        <w:rPr>
          <w:rFonts w:hint="eastAsia" w:ascii="宋体" w:hAnsi="宋体" w:cs="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1420"/>
    <w:p>
      <w:pPr>
        <w:autoSpaceDE w:val="0"/>
        <w:autoSpaceDN w:val="0"/>
        <w:adjustRightInd w:val="0"/>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36" w:lineRule="auto"/>
        <w:ind w:firstLine="422" w:firstLineChars="200"/>
        <w:outlineLvl w:val="4"/>
        <w:rPr>
          <w:rFonts w:ascii="宋体" w:hAnsi="宋体" w:cs="宋体"/>
          <w:b/>
          <w:bCs/>
          <w:color w:val="auto"/>
          <w:szCs w:val="21"/>
          <w:highlight w:val="none"/>
        </w:rPr>
      </w:pPr>
      <w:bookmarkStart w:id="1421" w:name="_Toc351203556"/>
      <w:r>
        <w:rPr>
          <w:rFonts w:hint="eastAsia" w:cs="宋体"/>
          <w:b/>
          <w:bCs/>
          <w:color w:val="auto"/>
          <w:szCs w:val="21"/>
          <w:highlight w:val="none"/>
        </w:rPr>
        <w:t>8</w:t>
      </w:r>
      <w:bookmarkStart w:id="1422" w:name="_Toc296346563"/>
      <w:bookmarkStart w:id="1423" w:name="_Toc296503062"/>
      <w:bookmarkStart w:id="1424" w:name="_Toc337558780"/>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材料与工程设备的保管与使用</w:t>
      </w:r>
      <w:bookmarkEnd w:id="1421"/>
    </w:p>
    <w:bookmarkEnd w:id="1422"/>
    <w:bookmarkEnd w:id="1423"/>
    <w:bookmarkEnd w:id="1424"/>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425" w:name="_Toc109149869"/>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发包人供应</w:t>
      </w:r>
      <w:r>
        <w:rPr>
          <w:rFonts w:hint="eastAsia" w:ascii="宋体" w:hAnsi="宋体" w:cs="宋体"/>
          <w:color w:val="auto"/>
          <w:szCs w:val="21"/>
          <w:highlight w:val="none"/>
        </w:rPr>
        <w:t>材料与</w:t>
      </w:r>
      <w:r>
        <w:rPr>
          <w:rFonts w:hint="eastAsia" w:ascii="宋体" w:hAnsi="宋体" w:cs="宋体"/>
          <w:color w:val="auto"/>
          <w:kern w:val="0"/>
          <w:szCs w:val="21"/>
          <w:highlight w:val="none"/>
        </w:rPr>
        <w:t>工程</w:t>
      </w:r>
      <w:r>
        <w:rPr>
          <w:rFonts w:hint="eastAsia" w:ascii="宋体" w:hAnsi="宋体" w:cs="宋体"/>
          <w:color w:val="auto"/>
          <w:szCs w:val="21"/>
          <w:highlight w:val="none"/>
        </w:rPr>
        <w:t>设备的保管与使用</w:t>
      </w:r>
      <w:bookmarkEnd w:id="1425"/>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发包人供应的材料和工程设备使用前，由承包人负责检验，检验费用由发包人承担，不合格的不得使用。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426" w:name="_Toc109149870"/>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承包人采购</w:t>
      </w:r>
      <w:r>
        <w:rPr>
          <w:rFonts w:hint="eastAsia" w:ascii="宋体" w:hAnsi="宋体" w:cs="宋体"/>
          <w:color w:val="auto"/>
          <w:szCs w:val="21"/>
          <w:highlight w:val="none"/>
        </w:rPr>
        <w:t>材料与</w:t>
      </w:r>
      <w:r>
        <w:rPr>
          <w:rFonts w:hint="eastAsia" w:ascii="宋体" w:hAnsi="宋体" w:cs="宋体"/>
          <w:color w:val="auto"/>
          <w:kern w:val="0"/>
          <w:szCs w:val="21"/>
          <w:highlight w:val="none"/>
        </w:rPr>
        <w:t>工程</w:t>
      </w:r>
      <w:r>
        <w:rPr>
          <w:rFonts w:hint="eastAsia" w:ascii="宋体" w:hAnsi="宋体" w:cs="宋体"/>
          <w:color w:val="auto"/>
          <w:szCs w:val="21"/>
          <w:highlight w:val="none"/>
        </w:rPr>
        <w:t>设备的保管与使用</w:t>
      </w:r>
      <w:bookmarkEnd w:id="1426"/>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spacing w:line="336" w:lineRule="auto"/>
        <w:ind w:firstLine="422" w:firstLineChars="200"/>
        <w:outlineLvl w:val="4"/>
        <w:rPr>
          <w:rFonts w:ascii="宋体" w:hAnsi="宋体" w:cs="宋体"/>
          <w:b/>
          <w:bCs/>
          <w:color w:val="auto"/>
          <w:szCs w:val="21"/>
          <w:highlight w:val="none"/>
        </w:rPr>
      </w:pPr>
      <w:bookmarkStart w:id="1427" w:name="_Toc351203557"/>
      <w:r>
        <w:rPr>
          <w:rFonts w:hint="eastAsia" w:cs="宋体"/>
          <w:b/>
          <w:bCs/>
          <w:color w:val="auto"/>
          <w:szCs w:val="21"/>
          <w:highlight w:val="none"/>
        </w:rPr>
        <w:t>8</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禁止使用不合格的材料和工程设备</w:t>
      </w:r>
      <w:bookmarkEnd w:id="1427"/>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监理人发现承包人使用了不合格的材料和工程设备，承包人应按照监理人的指示立即改正，并禁止在工程中继续使用不合格的材料和工程设备。</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发包人提供的材料或工程设备不符合合同要求的，承包人有权拒绝，并可要求发包人更换，由此增加的费用和（或）延误的工期由发包人承担，并支付承包人合理的利润。</w:t>
      </w:r>
    </w:p>
    <w:p>
      <w:pPr>
        <w:spacing w:line="336" w:lineRule="auto"/>
        <w:ind w:firstLine="422" w:firstLineChars="200"/>
        <w:outlineLvl w:val="4"/>
        <w:rPr>
          <w:rFonts w:ascii="宋体" w:hAnsi="宋体" w:cs="宋体"/>
          <w:b/>
          <w:bCs/>
          <w:color w:val="auto"/>
          <w:szCs w:val="21"/>
          <w:highlight w:val="none"/>
        </w:rPr>
      </w:pPr>
      <w:bookmarkStart w:id="1428" w:name="_Toc351203558"/>
      <w:r>
        <w:rPr>
          <w:rFonts w:hint="eastAsia" w:cs="宋体"/>
          <w:b/>
          <w:bCs/>
          <w:color w:val="auto"/>
          <w:szCs w:val="21"/>
          <w:highlight w:val="none"/>
        </w:rPr>
        <w:t>8</w:t>
      </w:r>
      <w:r>
        <w:rPr>
          <w:rFonts w:hint="eastAsia" w:ascii="宋体" w:hAnsi="宋体" w:cs="宋体"/>
          <w:b/>
          <w:bCs/>
          <w:color w:val="auto"/>
          <w:szCs w:val="21"/>
          <w:highlight w:val="none"/>
        </w:rPr>
        <w:t>.</w:t>
      </w:r>
      <w:r>
        <w:rPr>
          <w:rFonts w:hint="eastAsia" w:cs="宋体"/>
          <w:b/>
          <w:bCs/>
          <w:color w:val="auto"/>
          <w:szCs w:val="21"/>
          <w:highlight w:val="none"/>
        </w:rPr>
        <w:t>6</w:t>
      </w:r>
      <w:r>
        <w:rPr>
          <w:rFonts w:hint="eastAsia" w:ascii="宋体" w:hAnsi="宋体" w:cs="宋体"/>
          <w:b/>
          <w:bCs/>
          <w:color w:val="auto"/>
          <w:szCs w:val="21"/>
          <w:highlight w:val="none"/>
        </w:rPr>
        <w:t xml:space="preserve"> 样品</w:t>
      </w:r>
      <w:bookmarkEnd w:id="1428"/>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）承包人应在计划采购前</w:t>
      </w:r>
      <w:r>
        <w:rPr>
          <w:rFonts w:hint="eastAsia" w:cs="宋体"/>
          <w:color w:val="auto"/>
          <w:kern w:val="0"/>
          <w:szCs w:val="21"/>
          <w:highlight w:val="none"/>
        </w:rPr>
        <w:t>28</w:t>
      </w:r>
      <w:r>
        <w:rPr>
          <w:rFonts w:hint="eastAsia" w:ascii="宋体" w:hAnsi="宋体" w:cs="宋体"/>
          <w:color w:val="auto"/>
          <w:kern w:val="0"/>
          <w:szCs w:val="21"/>
          <w:highlight w:val="none"/>
        </w:rPr>
        <w:t>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）承包人每次报送样品时应随附申报单，申报单应载明报送样品的相关数据和资料，并标明每件样品对应的图纸号，预留监理人批复意见栏。监理人应在收到承包人报送的样品后</w:t>
      </w:r>
      <w:r>
        <w:rPr>
          <w:rFonts w:hint="eastAsia" w:cs="宋体"/>
          <w:color w:val="auto"/>
          <w:kern w:val="0"/>
          <w:szCs w:val="21"/>
          <w:highlight w:val="none"/>
        </w:rPr>
        <w:t>7</w:t>
      </w:r>
      <w:r>
        <w:rPr>
          <w:rFonts w:hint="eastAsia" w:ascii="宋体" w:hAnsi="宋体" w:cs="宋体"/>
          <w:color w:val="auto"/>
          <w:kern w:val="0"/>
          <w:szCs w:val="21"/>
          <w:highlight w:val="none"/>
        </w:rPr>
        <w:t>天向承包人回复经发包人签认的样品审批意见。</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样品的保管</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经批准的样品应由监理人负责封存于现场，承包人应在现场为保存样品提供适当和固定的场所并保持适当和良好的存储环境条件。</w:t>
      </w:r>
    </w:p>
    <w:p>
      <w:pPr>
        <w:spacing w:line="336" w:lineRule="auto"/>
        <w:ind w:firstLine="422" w:firstLineChars="200"/>
        <w:outlineLvl w:val="4"/>
        <w:rPr>
          <w:rFonts w:ascii="宋体" w:hAnsi="宋体" w:cs="宋体"/>
          <w:b/>
          <w:bCs/>
          <w:color w:val="auto"/>
          <w:szCs w:val="21"/>
          <w:highlight w:val="none"/>
        </w:rPr>
      </w:pPr>
      <w:bookmarkStart w:id="1429" w:name="_Toc351203559"/>
      <w:r>
        <w:rPr>
          <w:rFonts w:hint="eastAsia" w:cs="宋体"/>
          <w:b/>
          <w:bCs/>
          <w:color w:val="auto"/>
          <w:szCs w:val="21"/>
          <w:highlight w:val="none"/>
        </w:rPr>
        <w:t>8</w:t>
      </w:r>
      <w:r>
        <w:rPr>
          <w:rFonts w:hint="eastAsia" w:ascii="宋体" w:hAnsi="宋体" w:cs="宋体"/>
          <w:b/>
          <w:bCs/>
          <w:color w:val="auto"/>
          <w:szCs w:val="21"/>
          <w:highlight w:val="none"/>
        </w:rPr>
        <w:t>.</w:t>
      </w:r>
      <w:r>
        <w:rPr>
          <w:rFonts w:hint="eastAsia" w:cs="宋体"/>
          <w:b/>
          <w:bCs/>
          <w:color w:val="auto"/>
          <w:szCs w:val="21"/>
          <w:highlight w:val="none"/>
        </w:rPr>
        <w:t>7</w:t>
      </w:r>
      <w:r>
        <w:rPr>
          <w:rFonts w:hint="eastAsia" w:ascii="宋体" w:hAnsi="宋体" w:cs="宋体"/>
          <w:b/>
          <w:bCs/>
          <w:color w:val="auto"/>
          <w:szCs w:val="21"/>
          <w:highlight w:val="none"/>
        </w:rPr>
        <w:t>材料与工程设备的替代</w:t>
      </w:r>
      <w:bookmarkEnd w:id="1429"/>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出现下列情况需要使用替代材料和工程设备的，承包人应按照第</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项约定的程序执行：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）基准日期后生效的法律规定禁止使用的；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）发包人要求使用替代品的；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）因其他原因必须使用替代品的。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承包人应在使用替代材料和工程设备</w:t>
      </w:r>
      <w:r>
        <w:rPr>
          <w:rFonts w:hint="eastAsia" w:cs="宋体"/>
          <w:color w:val="auto"/>
          <w:kern w:val="0"/>
          <w:szCs w:val="21"/>
          <w:highlight w:val="none"/>
        </w:rPr>
        <w:t>28</w:t>
      </w:r>
      <w:r>
        <w:rPr>
          <w:rFonts w:hint="eastAsia" w:ascii="宋体" w:hAnsi="宋体" w:cs="宋体"/>
          <w:color w:val="auto"/>
          <w:kern w:val="0"/>
          <w:szCs w:val="21"/>
          <w:highlight w:val="none"/>
        </w:rPr>
        <w:t>天前书面通知监理人，并附下列文件：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）被替代的材料和工程设备的名称、数量、规格、型号、品牌、性能、价格及其他相关资料；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）替代品的名称、数量、规格、型号、品牌、性能、价格及其他相关资料；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）替代品与被替代产品之间的差异以及使用替代品可能对工程产生的影响；</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）替代品与被替代产品的价格差异；</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）使用替代品的理由和原因说明；</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）监理人要求的其他文件。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监理人应在收到通知后</w:t>
      </w:r>
      <w:r>
        <w:rPr>
          <w:rFonts w:hint="eastAsia" w:cs="宋体"/>
          <w:color w:val="auto"/>
          <w:kern w:val="0"/>
          <w:szCs w:val="21"/>
          <w:highlight w:val="none"/>
        </w:rPr>
        <w:t>14</w:t>
      </w:r>
      <w:r>
        <w:rPr>
          <w:rFonts w:hint="eastAsia" w:ascii="宋体" w:hAnsi="宋体" w:cs="宋体"/>
          <w:color w:val="auto"/>
          <w:kern w:val="0"/>
          <w:szCs w:val="21"/>
          <w:highlight w:val="none"/>
        </w:rPr>
        <w:t>天内向承包人发出经发包人签认的书面指示；监理人逾期发出书面指示的，视为发包人和监理人同意使用替代品。</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款〔商定或确定〕确定价格。</w:t>
      </w:r>
    </w:p>
    <w:p>
      <w:pPr>
        <w:spacing w:line="336" w:lineRule="auto"/>
        <w:ind w:firstLine="422" w:firstLineChars="200"/>
        <w:outlineLvl w:val="4"/>
        <w:rPr>
          <w:rFonts w:ascii="宋体" w:hAnsi="宋体" w:cs="宋体"/>
          <w:b/>
          <w:bCs/>
          <w:color w:val="auto"/>
          <w:szCs w:val="21"/>
          <w:highlight w:val="none"/>
        </w:rPr>
      </w:pPr>
      <w:bookmarkStart w:id="1430" w:name="_Toc351203560"/>
      <w:r>
        <w:rPr>
          <w:rFonts w:hint="eastAsia" w:cs="宋体"/>
          <w:b/>
          <w:bCs/>
          <w:color w:val="auto"/>
          <w:szCs w:val="21"/>
          <w:highlight w:val="none"/>
        </w:rPr>
        <w:t>8</w:t>
      </w:r>
      <w:r>
        <w:rPr>
          <w:rFonts w:hint="eastAsia" w:ascii="宋体" w:hAnsi="宋体" w:cs="宋体"/>
          <w:b/>
          <w:bCs/>
          <w:color w:val="auto"/>
          <w:szCs w:val="21"/>
          <w:highlight w:val="none"/>
        </w:rPr>
        <w:t>.</w:t>
      </w:r>
      <w:r>
        <w:rPr>
          <w:rFonts w:hint="eastAsia" w:cs="宋体"/>
          <w:b/>
          <w:bCs/>
          <w:color w:val="auto"/>
          <w:szCs w:val="21"/>
          <w:highlight w:val="none"/>
        </w:rPr>
        <w:t>8</w:t>
      </w:r>
      <w:r>
        <w:rPr>
          <w:rFonts w:hint="eastAsia" w:ascii="宋体" w:hAnsi="宋体" w:cs="宋体"/>
          <w:b/>
          <w:bCs/>
          <w:color w:val="auto"/>
          <w:szCs w:val="21"/>
          <w:highlight w:val="none"/>
        </w:rPr>
        <w:t>施工设备和临时设施</w:t>
      </w:r>
      <w:bookmarkEnd w:id="1430"/>
    </w:p>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431" w:name="_Toc109149871"/>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承包人提供的施工设备和临时设施</w:t>
      </w:r>
      <w:bookmarkEnd w:id="143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发包人提供的施工设备和临时设施</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发包人提供的施工设备或临时设施在专用合同条款中约定。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要求承包人增加或更换施工设备</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line="336" w:lineRule="auto"/>
        <w:ind w:firstLine="422" w:firstLineChars="200"/>
        <w:outlineLvl w:val="4"/>
        <w:rPr>
          <w:rFonts w:ascii="宋体" w:hAnsi="宋体" w:cs="宋体"/>
          <w:b/>
          <w:bCs/>
          <w:color w:val="auto"/>
          <w:szCs w:val="21"/>
          <w:highlight w:val="none"/>
        </w:rPr>
      </w:pPr>
      <w:bookmarkStart w:id="1432" w:name="_Toc351203561"/>
      <w:r>
        <w:rPr>
          <w:rFonts w:hint="eastAsia" w:cs="宋体"/>
          <w:b/>
          <w:bCs/>
          <w:color w:val="auto"/>
          <w:szCs w:val="21"/>
          <w:highlight w:val="none"/>
        </w:rPr>
        <w:t>8</w:t>
      </w:r>
      <w:bookmarkStart w:id="1433" w:name="_Toc296346564"/>
      <w:bookmarkStart w:id="1434" w:name="_Toc296503063"/>
      <w:bookmarkStart w:id="1435" w:name="_Toc337558781"/>
      <w:r>
        <w:rPr>
          <w:rFonts w:hint="eastAsia" w:ascii="宋体" w:hAnsi="宋体" w:cs="宋体"/>
          <w:b/>
          <w:bCs/>
          <w:color w:val="auto"/>
          <w:szCs w:val="21"/>
          <w:highlight w:val="none"/>
        </w:rPr>
        <w:t>.</w:t>
      </w:r>
      <w:r>
        <w:rPr>
          <w:rFonts w:hint="eastAsia" w:cs="宋体"/>
          <w:b/>
          <w:bCs/>
          <w:color w:val="auto"/>
          <w:szCs w:val="21"/>
          <w:highlight w:val="none"/>
        </w:rPr>
        <w:t>9</w:t>
      </w:r>
      <w:r>
        <w:rPr>
          <w:rFonts w:hint="eastAsia" w:ascii="宋体" w:hAnsi="宋体" w:cs="宋体"/>
          <w:b/>
          <w:bCs/>
          <w:color w:val="auto"/>
          <w:szCs w:val="21"/>
          <w:highlight w:val="none"/>
        </w:rPr>
        <w:t>材料与设备专用</w:t>
      </w:r>
      <w:bookmarkEnd w:id="1432"/>
      <w:r>
        <w:rPr>
          <w:rFonts w:hint="eastAsia" w:ascii="宋体" w:hAnsi="宋体" w:cs="宋体"/>
          <w:b/>
          <w:bCs/>
          <w:color w:val="auto"/>
          <w:szCs w:val="21"/>
          <w:highlight w:val="none"/>
        </w:rPr>
        <w:t>要求</w:t>
      </w:r>
    </w:p>
    <w:bookmarkEnd w:id="1433"/>
    <w:bookmarkEnd w:id="1434"/>
    <w:bookmarkEnd w:id="1435"/>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1411"/>
      <w:r>
        <w:rPr>
          <w:rFonts w:hint="eastAsia" w:ascii="宋体" w:hAnsi="宋体" w:cs="宋体"/>
          <w:color w:val="auto"/>
          <w:kern w:val="0"/>
          <w:szCs w:val="21"/>
          <w:highlight w:val="none"/>
        </w:rPr>
        <w:t>经发包人批准，承包人可以根据施工进度计划撤走闲置的施工设备和其他物品。</w:t>
      </w:r>
    </w:p>
    <w:p>
      <w:pPr>
        <w:pStyle w:val="5"/>
        <w:keepNext w:val="0"/>
        <w:keepLines w:val="0"/>
        <w:spacing w:line="336" w:lineRule="auto"/>
        <w:rPr>
          <w:rFonts w:ascii="宋体" w:hAnsi="宋体" w:eastAsia="宋体" w:cs="宋体"/>
          <w:color w:val="auto"/>
          <w:sz w:val="24"/>
          <w:szCs w:val="24"/>
          <w:highlight w:val="none"/>
        </w:rPr>
      </w:pPr>
      <w:bookmarkStart w:id="1436" w:name="_Toc351203562"/>
      <w:r>
        <w:rPr>
          <w:rFonts w:hint="eastAsia" w:ascii="Times New Roman" w:hAnsi="Times New Roman" w:eastAsia="宋体" w:cs="宋体"/>
          <w:color w:val="auto"/>
          <w:sz w:val="24"/>
          <w:szCs w:val="24"/>
          <w:highlight w:val="none"/>
        </w:rPr>
        <w:t>9</w:t>
      </w:r>
      <w:bookmarkStart w:id="1437" w:name="_Toc337558782"/>
      <w:bookmarkStart w:id="1438" w:name="_Toc296346584"/>
      <w:bookmarkStart w:id="1439" w:name="_Toc296503083"/>
      <w:r>
        <w:rPr>
          <w:rFonts w:hint="eastAsia" w:ascii="宋体" w:hAnsi="宋体" w:eastAsia="宋体" w:cs="宋体"/>
          <w:color w:val="auto"/>
          <w:sz w:val="24"/>
          <w:szCs w:val="24"/>
          <w:highlight w:val="none"/>
        </w:rPr>
        <w:t>. 试验与检验</w:t>
      </w:r>
      <w:bookmarkEnd w:id="1436"/>
    </w:p>
    <w:bookmarkEnd w:id="1437"/>
    <w:p>
      <w:pPr>
        <w:spacing w:line="336" w:lineRule="auto"/>
        <w:ind w:firstLine="422" w:firstLineChars="200"/>
        <w:outlineLvl w:val="4"/>
        <w:rPr>
          <w:rFonts w:ascii="宋体" w:hAnsi="宋体" w:cs="宋体"/>
          <w:b/>
          <w:bCs/>
          <w:color w:val="auto"/>
          <w:szCs w:val="21"/>
          <w:highlight w:val="none"/>
        </w:rPr>
      </w:pPr>
      <w:bookmarkStart w:id="1440" w:name="_Toc351203563"/>
      <w:r>
        <w:rPr>
          <w:rFonts w:hint="eastAsia" w:cs="宋体"/>
          <w:b/>
          <w:bCs/>
          <w:color w:val="auto"/>
          <w:szCs w:val="21"/>
          <w:highlight w:val="none"/>
        </w:rPr>
        <w:t>9</w:t>
      </w:r>
      <w:bookmarkStart w:id="1441" w:name="_Toc337558783"/>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试验设备与试验人员</w:t>
      </w:r>
      <w:bookmarkEnd w:id="1440"/>
    </w:p>
    <w:bookmarkEnd w:id="1441"/>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承包人应按专用合同条款的约定提供试验设备、取样装置、试验场所和试验条件，并向监理人提交相应进场计划表。</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承包人应向监理人提交试验人员的名单及其岗位、资格等证明资料，试验人员必须能够熟练进行相应的检测试验，承包人对试验人员的试验程序和试验结果的正确性负责。</w:t>
      </w:r>
    </w:p>
    <w:p>
      <w:pPr>
        <w:spacing w:line="336" w:lineRule="auto"/>
        <w:ind w:firstLine="422" w:firstLineChars="200"/>
        <w:outlineLvl w:val="4"/>
        <w:rPr>
          <w:rFonts w:ascii="宋体" w:hAnsi="宋体" w:cs="宋体"/>
          <w:b/>
          <w:bCs/>
          <w:color w:val="auto"/>
          <w:szCs w:val="21"/>
          <w:highlight w:val="none"/>
        </w:rPr>
      </w:pPr>
      <w:bookmarkStart w:id="1442" w:name="_Toc351203564"/>
      <w:r>
        <w:rPr>
          <w:rFonts w:hint="eastAsia" w:cs="宋体"/>
          <w:b/>
          <w:bCs/>
          <w:color w:val="auto"/>
          <w:szCs w:val="21"/>
          <w:highlight w:val="none"/>
        </w:rPr>
        <w:t>9</w:t>
      </w:r>
      <w:bookmarkStart w:id="1443" w:name="_Toc337558784"/>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取样</w:t>
      </w:r>
      <w:bookmarkEnd w:id="1442"/>
    </w:p>
    <w:bookmarkEnd w:id="1443"/>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试验属于自检性质的，承包人可以单独取样。试验属于监理人抽检性质的，可由监理人取样，也可由承包人的试验人员在监理人的监督下取样。</w:t>
      </w:r>
    </w:p>
    <w:p>
      <w:pPr>
        <w:spacing w:line="336" w:lineRule="auto"/>
        <w:ind w:firstLine="422" w:firstLineChars="200"/>
        <w:outlineLvl w:val="4"/>
        <w:rPr>
          <w:rFonts w:ascii="宋体" w:hAnsi="宋体" w:cs="宋体"/>
          <w:b/>
          <w:bCs/>
          <w:color w:val="auto"/>
          <w:szCs w:val="21"/>
          <w:highlight w:val="none"/>
        </w:rPr>
      </w:pPr>
      <w:bookmarkStart w:id="1444" w:name="_Toc351203565"/>
      <w:r>
        <w:rPr>
          <w:rFonts w:hint="eastAsia" w:cs="宋体"/>
          <w:b/>
          <w:bCs/>
          <w:color w:val="auto"/>
          <w:szCs w:val="21"/>
          <w:highlight w:val="none"/>
        </w:rPr>
        <w:t>9</w:t>
      </w:r>
      <w:bookmarkStart w:id="1445" w:name="_Toc337558785"/>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材料、工程设备和工程的试验和检验</w:t>
      </w:r>
      <w:bookmarkEnd w:id="1444"/>
    </w:p>
    <w:bookmarkEnd w:id="1445"/>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36" w:lineRule="auto"/>
        <w:ind w:firstLine="422" w:firstLineChars="200"/>
        <w:outlineLvl w:val="4"/>
        <w:rPr>
          <w:rFonts w:ascii="宋体" w:hAnsi="宋体" w:cs="宋体"/>
          <w:b/>
          <w:bCs/>
          <w:color w:val="auto"/>
          <w:szCs w:val="21"/>
          <w:highlight w:val="none"/>
        </w:rPr>
      </w:pPr>
      <w:bookmarkStart w:id="1446" w:name="_Toc351203566"/>
      <w:r>
        <w:rPr>
          <w:rFonts w:hint="eastAsia" w:cs="宋体"/>
          <w:b/>
          <w:bCs/>
          <w:color w:val="auto"/>
          <w:szCs w:val="21"/>
          <w:highlight w:val="none"/>
        </w:rPr>
        <w:t>9</w:t>
      </w:r>
      <w:bookmarkStart w:id="1447" w:name="_Toc337558786"/>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现场工艺试验</w:t>
      </w:r>
      <w:bookmarkEnd w:id="1446"/>
    </w:p>
    <w:bookmarkEnd w:id="1447"/>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5"/>
        <w:keepNext w:val="0"/>
        <w:keepLines w:val="0"/>
        <w:spacing w:line="336" w:lineRule="auto"/>
        <w:rPr>
          <w:rFonts w:ascii="宋体" w:hAnsi="宋体" w:eastAsia="宋体" w:cs="宋体"/>
          <w:color w:val="auto"/>
          <w:sz w:val="24"/>
          <w:szCs w:val="24"/>
          <w:highlight w:val="none"/>
        </w:rPr>
      </w:pPr>
      <w:bookmarkStart w:id="1448" w:name="_Toc351203567"/>
      <w:r>
        <w:rPr>
          <w:rFonts w:hint="eastAsia" w:ascii="Times New Roman" w:hAnsi="Times New Roman" w:eastAsia="宋体" w:cs="宋体"/>
          <w:color w:val="auto"/>
          <w:sz w:val="24"/>
          <w:szCs w:val="24"/>
          <w:highlight w:val="none"/>
        </w:rPr>
        <w:t>1</w:t>
      </w:r>
      <w:bookmarkStart w:id="1449" w:name="_Toc337558787"/>
      <w:r>
        <w:rPr>
          <w:rFonts w:hint="eastAsia" w:ascii="Times New Roman" w:hAnsi="Times New Roman" w:eastAsia="宋体" w:cs="宋体"/>
          <w:color w:val="auto"/>
          <w:sz w:val="24"/>
          <w:szCs w:val="24"/>
          <w:highlight w:val="none"/>
        </w:rPr>
        <w:t>0</w:t>
      </w:r>
      <w:r>
        <w:rPr>
          <w:rFonts w:hint="eastAsia" w:ascii="宋体" w:hAnsi="宋体" w:eastAsia="宋体" w:cs="宋体"/>
          <w:color w:val="auto"/>
          <w:sz w:val="24"/>
          <w:szCs w:val="24"/>
          <w:highlight w:val="none"/>
        </w:rPr>
        <w:t>. 变更</w:t>
      </w:r>
      <w:bookmarkEnd w:id="1438"/>
      <w:bookmarkEnd w:id="1439"/>
      <w:bookmarkEnd w:id="1448"/>
    </w:p>
    <w:bookmarkEnd w:id="1449"/>
    <w:p>
      <w:pPr>
        <w:spacing w:line="336" w:lineRule="auto"/>
        <w:ind w:firstLine="422" w:firstLineChars="200"/>
        <w:outlineLvl w:val="4"/>
        <w:rPr>
          <w:rFonts w:ascii="宋体" w:hAnsi="宋体" w:cs="宋体"/>
          <w:b/>
          <w:bCs/>
          <w:color w:val="auto"/>
          <w:szCs w:val="21"/>
          <w:highlight w:val="none"/>
        </w:rPr>
      </w:pPr>
      <w:bookmarkStart w:id="1450" w:name="_Toc351203568"/>
      <w:r>
        <w:rPr>
          <w:rFonts w:hint="eastAsia" w:cs="宋体"/>
          <w:b/>
          <w:bCs/>
          <w:color w:val="auto"/>
          <w:szCs w:val="21"/>
          <w:highlight w:val="none"/>
        </w:rPr>
        <w:t>1</w:t>
      </w:r>
      <w:bookmarkStart w:id="1451" w:name="_Toc296346585"/>
      <w:bookmarkStart w:id="1452" w:name="_Toc337558788"/>
      <w:bookmarkStart w:id="1453" w:name="_Toc296503084"/>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变更的范围</w:t>
      </w:r>
      <w:bookmarkEnd w:id="1450"/>
    </w:p>
    <w:bookmarkEnd w:id="1451"/>
    <w:bookmarkEnd w:id="1452"/>
    <w:bookmarkEnd w:id="1453"/>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除专用合同条款另有约定外，合同履行过程中发生以下情形的，应按照本条约定进行变更：</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）增加或减少合同中任何工作，或追加额外的工作；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）取消合同中任何工作，但转由他人实施的工作除外；</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）改变合同中任何工作的质量标准或其他特性；</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）改变工程的基线、标高、位置和尺寸；</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）改变工程的时间安排或实施顺序。</w:t>
      </w:r>
    </w:p>
    <w:p>
      <w:pPr>
        <w:spacing w:line="336" w:lineRule="auto"/>
        <w:ind w:firstLine="422" w:firstLineChars="200"/>
        <w:outlineLvl w:val="4"/>
        <w:rPr>
          <w:rFonts w:ascii="宋体" w:hAnsi="宋体" w:cs="宋体"/>
          <w:b/>
          <w:bCs/>
          <w:color w:val="auto"/>
          <w:szCs w:val="21"/>
          <w:highlight w:val="none"/>
        </w:rPr>
      </w:pPr>
      <w:bookmarkStart w:id="1454" w:name="_Toc351203569"/>
      <w:r>
        <w:rPr>
          <w:rFonts w:hint="eastAsia" w:cs="宋体"/>
          <w:b/>
          <w:bCs/>
          <w:color w:val="auto"/>
          <w:szCs w:val="21"/>
          <w:highlight w:val="none"/>
        </w:rPr>
        <w:t>1</w:t>
      </w:r>
      <w:bookmarkStart w:id="1455" w:name="_Toc296346586"/>
      <w:bookmarkStart w:id="1456" w:name="_Toc296503085"/>
      <w:bookmarkStart w:id="1457" w:name="_Toc337558789"/>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变更权</w:t>
      </w:r>
      <w:bookmarkEnd w:id="1454"/>
    </w:p>
    <w:bookmarkEnd w:id="1455"/>
    <w:bookmarkEnd w:id="1456"/>
    <w:bookmarkEnd w:id="1457"/>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涉及设计变更的，应由设计人提供变更后的图纸和说明。如变更超过原设计标准或批准的建设规模时，发包人应及时办理规划、设计变更等审批手续。</w:t>
      </w:r>
    </w:p>
    <w:p>
      <w:pPr>
        <w:spacing w:line="336" w:lineRule="auto"/>
        <w:ind w:firstLine="422" w:firstLineChars="200"/>
        <w:outlineLvl w:val="4"/>
        <w:rPr>
          <w:rFonts w:ascii="宋体" w:hAnsi="宋体" w:cs="宋体"/>
          <w:b/>
          <w:bCs/>
          <w:color w:val="auto"/>
          <w:szCs w:val="21"/>
          <w:highlight w:val="none"/>
        </w:rPr>
      </w:pPr>
      <w:bookmarkStart w:id="1458" w:name="_Toc351203570"/>
      <w:r>
        <w:rPr>
          <w:rFonts w:hint="eastAsia" w:cs="宋体"/>
          <w:b/>
          <w:bCs/>
          <w:color w:val="auto"/>
          <w:szCs w:val="21"/>
          <w:highlight w:val="none"/>
        </w:rPr>
        <w:t>1</w:t>
      </w:r>
      <w:bookmarkStart w:id="1459" w:name="_Toc296346587"/>
      <w:bookmarkStart w:id="1460" w:name="_Toc337558790"/>
      <w:bookmarkStart w:id="1461" w:name="_Toc296503086"/>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变更程序</w:t>
      </w:r>
      <w:bookmarkEnd w:id="1458"/>
    </w:p>
    <w:bookmarkEnd w:id="1459"/>
    <w:bookmarkEnd w:id="1460"/>
    <w:bookmarkEnd w:id="146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发包人提出变更</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发包人提出变更的，应通过监理人向承包人发出变更指示，变更指示应说明计划变更的工程范围和变更的内容。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监理人提出变更建议</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变更执行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款〔变更估价〕约定确定变更估价。</w:t>
      </w:r>
    </w:p>
    <w:p>
      <w:pPr>
        <w:spacing w:line="336" w:lineRule="auto"/>
        <w:ind w:firstLine="422" w:firstLineChars="200"/>
        <w:rPr>
          <w:rFonts w:ascii="宋体" w:hAnsi="宋体" w:cs="宋体"/>
          <w:color w:val="auto"/>
          <w:szCs w:val="21"/>
          <w:highlight w:val="none"/>
        </w:rPr>
      </w:pPr>
      <w:bookmarkStart w:id="1462" w:name="_Toc351203571"/>
      <w:r>
        <w:rPr>
          <w:rFonts w:hint="eastAsia" w:cs="宋体"/>
          <w:b/>
          <w:bCs/>
          <w:color w:val="auto"/>
          <w:szCs w:val="21"/>
          <w:highlight w:val="none"/>
        </w:rPr>
        <w:t>1</w:t>
      </w:r>
      <w:bookmarkStart w:id="1463" w:name="_Toc296346588"/>
      <w:bookmarkStart w:id="1464" w:name="_Toc337558791"/>
      <w:bookmarkStart w:id="1465" w:name="_Toc296503087"/>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变更估价</w:t>
      </w:r>
      <w:bookmarkEnd w:id="1462"/>
    </w:p>
    <w:bookmarkEnd w:id="1463"/>
    <w:bookmarkEnd w:id="1464"/>
    <w:bookmarkEnd w:id="1465"/>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变更估价原则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除专用合同条款另有约定外，变更估价按照本款约定处理：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）已标价工程量清单或预算书有相同项目的，按照相同项目单价认定；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）已标价工程量清单或预算书中无相同项目，但有类似项目的，参照类似项目的单价认定；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）变更导致实际完成的变更工程量与已标价工程量清单或预算书中列明的该项目工程量的变化幅度超过</w:t>
      </w:r>
      <w:r>
        <w:rPr>
          <w:rFonts w:hint="eastAsia" w:cs="宋体"/>
          <w:color w:val="auto"/>
          <w:kern w:val="0"/>
          <w:szCs w:val="21"/>
          <w:highlight w:val="none"/>
        </w:rPr>
        <w:t>15%</w:t>
      </w:r>
      <w:r>
        <w:rPr>
          <w:rFonts w:hint="eastAsia" w:ascii="宋体" w:hAnsi="宋体" w:cs="宋体"/>
          <w:color w:val="auto"/>
          <w:kern w:val="0"/>
          <w:szCs w:val="21"/>
          <w:highlight w:val="none"/>
        </w:rPr>
        <w:t>的，或已标价工程量清单或预算书中无相同项目及类似项目单价的，按照合理的成本与利润构成的原则，由合同当事人按照第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款〔商定或确定〕确定变更工作的单价。</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变更估价程序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承包人应在收到变更指示后</w:t>
      </w:r>
      <w:r>
        <w:rPr>
          <w:rFonts w:hint="eastAsia" w:cs="宋体"/>
          <w:color w:val="auto"/>
          <w:kern w:val="0"/>
          <w:szCs w:val="21"/>
          <w:highlight w:val="none"/>
        </w:rPr>
        <w:t>14</w:t>
      </w:r>
      <w:r>
        <w:rPr>
          <w:rFonts w:hint="eastAsia" w:ascii="宋体" w:hAnsi="宋体" w:cs="宋体"/>
          <w:color w:val="auto"/>
          <w:kern w:val="0"/>
          <w:szCs w:val="21"/>
          <w:highlight w:val="none"/>
        </w:rPr>
        <w:t>天内，向监理人提交变更估价申请。监理人应在收到承包人提交的变更估价申请后</w:t>
      </w:r>
      <w:r>
        <w:rPr>
          <w:rFonts w:hint="eastAsia" w:cs="宋体"/>
          <w:color w:val="auto"/>
          <w:kern w:val="0"/>
          <w:szCs w:val="21"/>
          <w:highlight w:val="none"/>
        </w:rPr>
        <w:t>7</w:t>
      </w:r>
      <w:r>
        <w:rPr>
          <w:rFonts w:hint="eastAsia" w:ascii="宋体" w:hAnsi="宋体" w:cs="宋体"/>
          <w:color w:val="auto"/>
          <w:kern w:val="0"/>
          <w:szCs w:val="21"/>
          <w:highlight w:val="none"/>
        </w:rPr>
        <w:t>天内审查完毕并报送发包人，监理人对变更估价申请有异议，通知承包人修改后重新提交。发包人应在承包人提交变更估价申请后</w:t>
      </w:r>
      <w:r>
        <w:rPr>
          <w:rFonts w:hint="eastAsia" w:cs="宋体"/>
          <w:color w:val="auto"/>
          <w:kern w:val="0"/>
          <w:szCs w:val="21"/>
          <w:highlight w:val="none"/>
        </w:rPr>
        <w:t>14</w:t>
      </w:r>
      <w:r>
        <w:rPr>
          <w:rFonts w:hint="eastAsia" w:ascii="宋体" w:hAnsi="宋体" w:cs="宋体"/>
          <w:color w:val="auto"/>
          <w:kern w:val="0"/>
          <w:szCs w:val="21"/>
          <w:highlight w:val="none"/>
        </w:rPr>
        <w:t>天内审批完毕。发包人逾期未完成审批或未提出异议的，视为认可承包人提交的变更估价申请。</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因变更引起的价格调整应计入最近一期的进度款中支付。</w:t>
      </w:r>
    </w:p>
    <w:p>
      <w:pPr>
        <w:spacing w:line="336" w:lineRule="auto"/>
        <w:ind w:firstLine="422" w:firstLineChars="200"/>
        <w:outlineLvl w:val="4"/>
        <w:rPr>
          <w:rFonts w:ascii="宋体" w:hAnsi="宋体" w:cs="宋体"/>
          <w:b/>
          <w:bCs/>
          <w:color w:val="auto"/>
          <w:szCs w:val="21"/>
          <w:highlight w:val="none"/>
        </w:rPr>
      </w:pPr>
      <w:bookmarkStart w:id="1466" w:name="_Toc351203572"/>
      <w:r>
        <w:rPr>
          <w:rFonts w:hint="eastAsia" w:cs="宋体"/>
          <w:b/>
          <w:bCs/>
          <w:color w:val="auto"/>
          <w:szCs w:val="21"/>
          <w:highlight w:val="none"/>
        </w:rPr>
        <w:t>1</w:t>
      </w:r>
      <w:bookmarkStart w:id="1467" w:name="_Toc296503094"/>
      <w:bookmarkStart w:id="1468" w:name="_Toc296346595"/>
      <w:bookmarkStart w:id="1469" w:name="_Toc337558792"/>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承包人的合理化建议</w:t>
      </w:r>
      <w:bookmarkEnd w:id="1466"/>
    </w:p>
    <w:bookmarkEnd w:id="1467"/>
    <w:bookmarkEnd w:id="1468"/>
    <w:bookmarkEnd w:id="1469"/>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除专用合同条款另有约定外，监理人应在收到承包人提交的合理化建议后</w:t>
      </w:r>
      <w:r>
        <w:rPr>
          <w:rFonts w:hint="eastAsia" w:cs="宋体"/>
          <w:color w:val="auto"/>
          <w:kern w:val="0"/>
          <w:szCs w:val="21"/>
          <w:highlight w:val="none"/>
        </w:rPr>
        <w:t>7</w:t>
      </w:r>
      <w:r>
        <w:rPr>
          <w:rFonts w:hint="eastAsia" w:ascii="宋体" w:hAnsi="宋体" w:cs="宋体"/>
          <w:color w:val="auto"/>
          <w:kern w:val="0"/>
          <w:szCs w:val="21"/>
          <w:highlight w:val="none"/>
        </w:rPr>
        <w:t>天内审查完毕并报送发包人，发现其中存在技术上的缺陷，应通知承包人修改。发包人应在收到监理人报送的合理化建议后</w:t>
      </w:r>
      <w:r>
        <w:rPr>
          <w:rFonts w:hint="eastAsia" w:cs="宋体"/>
          <w:color w:val="auto"/>
          <w:kern w:val="0"/>
          <w:szCs w:val="21"/>
          <w:highlight w:val="none"/>
        </w:rPr>
        <w:t>7</w:t>
      </w:r>
      <w:r>
        <w:rPr>
          <w:rFonts w:hint="eastAsia" w:ascii="宋体" w:hAnsi="宋体" w:cs="宋体"/>
          <w:color w:val="auto"/>
          <w:kern w:val="0"/>
          <w:szCs w:val="21"/>
          <w:highlight w:val="none"/>
        </w:rPr>
        <w:t>天内审批完毕。合理化建议经发包人批准的，监理人应及时发出变更指示，由此引起的合同价格调整按照第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款〔变更估价〕约定执行。发包人不同意变更的，监理人应书面通知承包人。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合理化建议降低了合同价格或者提高了工程经济效益的，发包人可对承包人给予奖励，奖励的方法和金额在专用合同条款中约定。</w:t>
      </w:r>
    </w:p>
    <w:p>
      <w:pPr>
        <w:spacing w:line="336" w:lineRule="auto"/>
        <w:ind w:firstLine="422" w:firstLineChars="200"/>
        <w:outlineLvl w:val="4"/>
        <w:rPr>
          <w:rFonts w:ascii="宋体" w:hAnsi="宋体" w:cs="宋体"/>
          <w:b/>
          <w:bCs/>
          <w:color w:val="auto"/>
          <w:szCs w:val="21"/>
          <w:highlight w:val="none"/>
        </w:rPr>
      </w:pPr>
      <w:bookmarkStart w:id="1470" w:name="_Toc351203573"/>
      <w:r>
        <w:rPr>
          <w:rFonts w:hint="eastAsia" w:cs="宋体"/>
          <w:b/>
          <w:bCs/>
          <w:color w:val="auto"/>
          <w:szCs w:val="21"/>
          <w:highlight w:val="none"/>
        </w:rPr>
        <w:t>1</w:t>
      </w:r>
      <w:bookmarkStart w:id="1471" w:name="_Toc337558793"/>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6</w:t>
      </w:r>
      <w:r>
        <w:rPr>
          <w:rFonts w:hint="eastAsia" w:ascii="宋体" w:hAnsi="宋体" w:cs="宋体"/>
          <w:b/>
          <w:bCs/>
          <w:color w:val="auto"/>
          <w:szCs w:val="21"/>
          <w:highlight w:val="none"/>
        </w:rPr>
        <w:t>变更引起的工期调整</w:t>
      </w:r>
      <w:bookmarkEnd w:id="1470"/>
      <w:bookmarkEnd w:id="147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因变更引起工期变化的，合同当事人均可要求调整合同工期，由合同当事人按照第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款〔商定或确定〕并参考工程所在地的工期定额标准确定增减工期天数。</w:t>
      </w:r>
    </w:p>
    <w:p>
      <w:pPr>
        <w:spacing w:line="336" w:lineRule="auto"/>
        <w:ind w:firstLine="422" w:firstLineChars="200"/>
        <w:outlineLvl w:val="4"/>
        <w:rPr>
          <w:rFonts w:ascii="宋体" w:hAnsi="宋体" w:cs="宋体"/>
          <w:b/>
          <w:bCs/>
          <w:color w:val="auto"/>
          <w:szCs w:val="21"/>
          <w:highlight w:val="none"/>
        </w:rPr>
      </w:pPr>
      <w:bookmarkStart w:id="1472" w:name="_Toc351203574"/>
      <w:r>
        <w:rPr>
          <w:rFonts w:hint="eastAsia" w:cs="宋体"/>
          <w:b/>
          <w:bCs/>
          <w:color w:val="auto"/>
          <w:szCs w:val="21"/>
          <w:highlight w:val="none"/>
        </w:rPr>
        <w:t>10</w:t>
      </w:r>
      <w:r>
        <w:rPr>
          <w:rFonts w:hint="eastAsia" w:ascii="宋体" w:hAnsi="宋体" w:cs="宋体"/>
          <w:b/>
          <w:bCs/>
          <w:color w:val="auto"/>
          <w:szCs w:val="21"/>
          <w:highlight w:val="none"/>
        </w:rPr>
        <w:t>.</w:t>
      </w:r>
      <w:r>
        <w:rPr>
          <w:rFonts w:hint="eastAsia" w:cs="宋体"/>
          <w:b/>
          <w:bCs/>
          <w:color w:val="auto"/>
          <w:szCs w:val="21"/>
          <w:highlight w:val="none"/>
        </w:rPr>
        <w:t>7</w:t>
      </w:r>
      <w:r>
        <w:rPr>
          <w:rFonts w:hint="eastAsia" w:ascii="宋体" w:hAnsi="宋体" w:cs="宋体"/>
          <w:b/>
          <w:bCs/>
          <w:color w:val="auto"/>
          <w:szCs w:val="21"/>
          <w:highlight w:val="none"/>
        </w:rPr>
        <w:t>暂估价</w:t>
      </w:r>
      <w:bookmarkEnd w:id="1472"/>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暂估价专业分包工程、服务、材料和工程设备的明细由合同当事人在专用合同条款中约定。</w:t>
      </w:r>
    </w:p>
    <w:p>
      <w:pPr>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kern w:val="0"/>
          <w:szCs w:val="21"/>
          <w:highlight w:val="none"/>
        </w:rPr>
        <w:t xml:space="preserve"> 依法必须招标的暂估价项目</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对于依法必须招标的暂估价项目，采取以下第</w:t>
      </w:r>
      <w:r>
        <w:rPr>
          <w:rFonts w:hint="eastAsia" w:cs="宋体"/>
          <w:color w:val="auto"/>
          <w:kern w:val="0"/>
          <w:szCs w:val="21"/>
          <w:highlight w:val="none"/>
        </w:rPr>
        <w:t>1</w:t>
      </w:r>
      <w:r>
        <w:rPr>
          <w:rFonts w:hint="eastAsia" w:ascii="宋体" w:hAnsi="宋体" w:cs="宋体"/>
          <w:color w:val="auto"/>
          <w:kern w:val="0"/>
          <w:szCs w:val="21"/>
          <w:highlight w:val="none"/>
        </w:rPr>
        <w:t>种方式确定。合同当事人也可以在专用合同条款中选择其他招标方式。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cs="宋体"/>
          <w:color w:val="auto"/>
          <w:kern w:val="0"/>
          <w:szCs w:val="21"/>
          <w:highlight w:val="none"/>
        </w:rPr>
        <w:t>1</w:t>
      </w:r>
      <w:r>
        <w:rPr>
          <w:rFonts w:hint="eastAsia" w:ascii="宋体" w:hAnsi="宋体" w:cs="宋体"/>
          <w:color w:val="auto"/>
          <w:kern w:val="0"/>
          <w:szCs w:val="21"/>
          <w:highlight w:val="none"/>
        </w:rPr>
        <w:t>种方式：对于依法必须招标的暂估价项目，由承包人招标，对该暂估价项目的确认和批准按照以下约定执行：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）承包人应当根据施工进度计划，在招标工作启动前</w:t>
      </w:r>
      <w:r>
        <w:rPr>
          <w:rFonts w:hint="eastAsia" w:cs="宋体"/>
          <w:color w:val="auto"/>
          <w:kern w:val="0"/>
          <w:szCs w:val="21"/>
          <w:highlight w:val="none"/>
        </w:rPr>
        <w:t>14</w:t>
      </w:r>
      <w:r>
        <w:rPr>
          <w:rFonts w:hint="eastAsia" w:ascii="宋体" w:hAnsi="宋体" w:cs="宋体"/>
          <w:color w:val="auto"/>
          <w:kern w:val="0"/>
          <w:szCs w:val="21"/>
          <w:highlight w:val="none"/>
        </w:rPr>
        <w:t>天将招标方案通过监理人报送发包人审查，发包人应当在收到承包人报送的招标方案后</w:t>
      </w:r>
      <w:r>
        <w:rPr>
          <w:rFonts w:hint="eastAsia" w:cs="宋体"/>
          <w:color w:val="auto"/>
          <w:kern w:val="0"/>
          <w:szCs w:val="21"/>
          <w:highlight w:val="none"/>
        </w:rPr>
        <w:t>7</w:t>
      </w:r>
      <w:r>
        <w:rPr>
          <w:rFonts w:hint="eastAsia" w:ascii="宋体" w:hAnsi="宋体" w:cs="宋体"/>
          <w:color w:val="auto"/>
          <w:kern w:val="0"/>
          <w:szCs w:val="21"/>
          <w:highlight w:val="none"/>
        </w:rPr>
        <w:t>天内批准或提出修改意见。承包人应当按照经过发包人批准的招标方案开展招标工作；</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）承包人应当根据施工进度计划，提前</w:t>
      </w:r>
      <w:r>
        <w:rPr>
          <w:rFonts w:hint="eastAsia" w:cs="宋体"/>
          <w:color w:val="auto"/>
          <w:kern w:val="0"/>
          <w:szCs w:val="21"/>
          <w:highlight w:val="none"/>
        </w:rPr>
        <w:t>14</w:t>
      </w:r>
      <w:r>
        <w:rPr>
          <w:rFonts w:hint="eastAsia" w:ascii="宋体" w:hAnsi="宋体" w:cs="宋体"/>
          <w:color w:val="auto"/>
          <w:kern w:val="0"/>
          <w:szCs w:val="21"/>
          <w:highlight w:val="none"/>
        </w:rPr>
        <w:t>天将招标文件通过监理人报送发包人审批，发包人应当在收到承包人报送的相关文件后</w:t>
      </w:r>
      <w:r>
        <w:rPr>
          <w:rFonts w:hint="eastAsia" w:cs="宋体"/>
          <w:color w:val="auto"/>
          <w:kern w:val="0"/>
          <w:szCs w:val="21"/>
          <w:highlight w:val="none"/>
        </w:rPr>
        <w:t>7</w:t>
      </w:r>
      <w:r>
        <w:rPr>
          <w:rFonts w:hint="eastAsia" w:ascii="宋体" w:hAnsi="宋体" w:cs="宋体"/>
          <w:color w:val="auto"/>
          <w:kern w:val="0"/>
          <w:szCs w:val="21"/>
          <w:highlight w:val="none"/>
        </w:rPr>
        <w:t>天内完成审批或提出修改意见；发包人有权确定招标控制价并按照法律规定参加评标；</w:t>
      </w:r>
    </w:p>
    <w:p>
      <w:p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s="宋体"/>
          <w:color w:val="auto"/>
          <w:kern w:val="0"/>
          <w:szCs w:val="21"/>
          <w:highlight w:val="none"/>
        </w:rPr>
        <w:t>3</w:t>
      </w:r>
      <w:r>
        <w:rPr>
          <w:rFonts w:hint="eastAsia" w:ascii="宋体" w:hAnsi="宋体" w:cs="宋体"/>
          <w:color w:val="auto"/>
          <w:kern w:val="0"/>
          <w:szCs w:val="21"/>
          <w:highlight w:val="none"/>
        </w:rPr>
        <w:t>）承包人与供应商、分包人在签订暂估价合同前，应当提前</w:t>
      </w:r>
      <w:r>
        <w:rPr>
          <w:rFonts w:hint="eastAsia" w:cs="宋体"/>
          <w:color w:val="auto"/>
          <w:kern w:val="0"/>
          <w:szCs w:val="21"/>
          <w:highlight w:val="none"/>
        </w:rPr>
        <w:t>7</w:t>
      </w:r>
      <w:r>
        <w:rPr>
          <w:rFonts w:hint="eastAsia" w:ascii="宋体" w:hAnsi="宋体" w:cs="宋体"/>
          <w:color w:val="auto"/>
          <w:kern w:val="0"/>
          <w:szCs w:val="21"/>
          <w:highlight w:val="none"/>
        </w:rPr>
        <w:t>天将确定的中标候选供应商或中标候选分包人的资料报送发包人，发包人应在收到资料后</w:t>
      </w:r>
      <w:r>
        <w:rPr>
          <w:rFonts w:hint="eastAsia" w:cs="宋体"/>
          <w:color w:val="auto"/>
          <w:kern w:val="0"/>
          <w:szCs w:val="21"/>
          <w:highlight w:val="none"/>
        </w:rPr>
        <w:t>3</w:t>
      </w:r>
      <w:r>
        <w:rPr>
          <w:rFonts w:hint="eastAsia" w:ascii="宋体" w:hAnsi="宋体" w:cs="宋体"/>
          <w:color w:val="auto"/>
          <w:kern w:val="0"/>
          <w:szCs w:val="21"/>
          <w:highlight w:val="none"/>
        </w:rPr>
        <w:t>天内与承包人共同确定中标人；承包人应当在签订合同后</w:t>
      </w:r>
      <w:r>
        <w:rPr>
          <w:rFonts w:hint="eastAsia" w:cs="宋体"/>
          <w:color w:val="auto"/>
          <w:kern w:val="0"/>
          <w:szCs w:val="21"/>
          <w:highlight w:val="none"/>
        </w:rPr>
        <w:t>7</w:t>
      </w:r>
      <w:r>
        <w:rPr>
          <w:rFonts w:hint="eastAsia" w:ascii="宋体" w:hAnsi="宋体" w:cs="宋体"/>
          <w:color w:val="auto"/>
          <w:kern w:val="0"/>
          <w:szCs w:val="21"/>
          <w:highlight w:val="none"/>
        </w:rPr>
        <w:t>天内，将暂估价合同副本报送发包人留存。</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cs="宋体"/>
          <w:color w:val="auto"/>
          <w:kern w:val="0"/>
          <w:szCs w:val="21"/>
          <w:highlight w:val="none"/>
        </w:rPr>
        <w:t>2</w:t>
      </w:r>
      <w:r>
        <w:rPr>
          <w:rFonts w:hint="eastAsia" w:ascii="宋体" w:hAnsi="宋体" w:cs="宋体"/>
          <w:color w:val="auto"/>
          <w:kern w:val="0"/>
          <w:szCs w:val="21"/>
          <w:highlight w:val="none"/>
        </w:rPr>
        <w:t>种方式：对于依法必须招标的暂估价项目，由发包人和承包人共同招标确定暂估价供应商或分包人的，承包人应按照施工进度计划，在招标工作启动前</w:t>
      </w:r>
      <w:r>
        <w:rPr>
          <w:rFonts w:hint="eastAsia" w:cs="宋体"/>
          <w:color w:val="auto"/>
          <w:kern w:val="0"/>
          <w:szCs w:val="21"/>
          <w:highlight w:val="none"/>
        </w:rPr>
        <w:t>14</w:t>
      </w:r>
      <w:r>
        <w:rPr>
          <w:rFonts w:hint="eastAsia" w:ascii="宋体" w:hAnsi="宋体" w:cs="宋体"/>
          <w:color w:val="auto"/>
          <w:kern w:val="0"/>
          <w:szCs w:val="21"/>
          <w:highlight w:val="none"/>
        </w:rPr>
        <w:t>天通知发包人，并提交暂估价招标方案和工作分工。发包人应在收到后</w:t>
      </w:r>
      <w:r>
        <w:rPr>
          <w:rFonts w:hint="eastAsia" w:cs="宋体"/>
          <w:color w:val="auto"/>
          <w:kern w:val="0"/>
          <w:szCs w:val="21"/>
          <w:highlight w:val="none"/>
        </w:rPr>
        <w:t>7</w:t>
      </w:r>
      <w:r>
        <w:rPr>
          <w:rFonts w:hint="eastAsia" w:ascii="宋体" w:hAnsi="宋体" w:cs="宋体"/>
          <w:color w:val="auto"/>
          <w:kern w:val="0"/>
          <w:szCs w:val="21"/>
          <w:highlight w:val="none"/>
        </w:rPr>
        <w:t>天内确认。确定中标人后，由发包人、承包人与中标人共同签订暂估价合同。</w:t>
      </w:r>
    </w:p>
    <w:p>
      <w:pPr>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kern w:val="0"/>
          <w:szCs w:val="21"/>
          <w:highlight w:val="none"/>
        </w:rPr>
        <w:t>不属于依法必须招标的暂估价项目</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除专用合同条款另有约定外，对于不属于依法必须招标的暂估价项目，采取以下第</w:t>
      </w:r>
      <w:r>
        <w:rPr>
          <w:rFonts w:hint="eastAsia" w:cs="宋体"/>
          <w:color w:val="auto"/>
          <w:kern w:val="0"/>
          <w:szCs w:val="21"/>
          <w:highlight w:val="none"/>
        </w:rPr>
        <w:t>1</w:t>
      </w:r>
      <w:r>
        <w:rPr>
          <w:rFonts w:hint="eastAsia" w:ascii="宋体" w:hAnsi="宋体" w:cs="宋体"/>
          <w:color w:val="auto"/>
          <w:kern w:val="0"/>
          <w:szCs w:val="21"/>
          <w:highlight w:val="none"/>
        </w:rPr>
        <w:t xml:space="preserve">种方式确定： </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cs="宋体"/>
          <w:color w:val="auto"/>
          <w:kern w:val="0"/>
          <w:szCs w:val="21"/>
          <w:highlight w:val="none"/>
        </w:rPr>
        <w:t>1</w:t>
      </w:r>
      <w:r>
        <w:rPr>
          <w:rFonts w:hint="eastAsia" w:ascii="宋体" w:hAnsi="宋体" w:cs="宋体"/>
          <w:color w:val="auto"/>
          <w:kern w:val="0"/>
          <w:szCs w:val="21"/>
          <w:highlight w:val="none"/>
        </w:rPr>
        <w:t>种方式：对于不属于依法必须招标的暂估价项目，按本项约定确认和批准：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）承包人应根据施工进度计划，在签订暂估价项目的采购合同、分包合同前</w:t>
      </w:r>
      <w:r>
        <w:rPr>
          <w:rFonts w:hint="eastAsia" w:cs="宋体"/>
          <w:color w:val="auto"/>
          <w:kern w:val="0"/>
          <w:szCs w:val="21"/>
          <w:highlight w:val="none"/>
        </w:rPr>
        <w:t>28</w:t>
      </w:r>
      <w:r>
        <w:rPr>
          <w:rFonts w:hint="eastAsia" w:ascii="宋体" w:hAnsi="宋体" w:cs="宋体"/>
          <w:color w:val="auto"/>
          <w:kern w:val="0"/>
          <w:szCs w:val="21"/>
          <w:highlight w:val="none"/>
        </w:rPr>
        <w:t>天向监理人提出书面申请。监理人应当在收到申请后</w:t>
      </w:r>
      <w:r>
        <w:rPr>
          <w:rFonts w:hint="eastAsia" w:cs="宋体"/>
          <w:color w:val="auto"/>
          <w:kern w:val="0"/>
          <w:szCs w:val="21"/>
          <w:highlight w:val="none"/>
        </w:rPr>
        <w:t>3</w:t>
      </w:r>
      <w:r>
        <w:rPr>
          <w:rFonts w:hint="eastAsia" w:ascii="宋体" w:hAnsi="宋体" w:cs="宋体"/>
          <w:color w:val="auto"/>
          <w:kern w:val="0"/>
          <w:szCs w:val="21"/>
          <w:highlight w:val="none"/>
        </w:rPr>
        <w:t>天内报送发包人，发包人应当在收到申请后</w:t>
      </w:r>
      <w:r>
        <w:rPr>
          <w:rFonts w:hint="eastAsia" w:cs="宋体"/>
          <w:color w:val="auto"/>
          <w:kern w:val="0"/>
          <w:szCs w:val="21"/>
          <w:highlight w:val="none"/>
        </w:rPr>
        <w:t>14</w:t>
      </w:r>
      <w:r>
        <w:rPr>
          <w:rFonts w:hint="eastAsia" w:ascii="宋体" w:hAnsi="宋体" w:cs="宋体"/>
          <w:color w:val="auto"/>
          <w:kern w:val="0"/>
          <w:szCs w:val="21"/>
          <w:highlight w:val="none"/>
        </w:rPr>
        <w:t>天内给予批准或提出修改意见，发包人逾期未予批准或提出修改意见的，视为该书面申请已获得同意；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）发包人认为承包人确定的供应商、分包人无法满足工程质量或合同要求的，发包人可以要求承包人重新确定暂估价项目的供应商、分包人;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）承包人应当在签订暂估价合同后</w:t>
      </w:r>
      <w:r>
        <w:rPr>
          <w:rFonts w:hint="eastAsia" w:cs="宋体"/>
          <w:color w:val="auto"/>
          <w:kern w:val="0"/>
          <w:szCs w:val="21"/>
          <w:highlight w:val="none"/>
        </w:rPr>
        <w:t>7</w:t>
      </w:r>
      <w:r>
        <w:rPr>
          <w:rFonts w:hint="eastAsia" w:ascii="宋体" w:hAnsi="宋体" w:cs="宋体"/>
          <w:color w:val="auto"/>
          <w:kern w:val="0"/>
          <w:szCs w:val="21"/>
          <w:highlight w:val="none"/>
        </w:rPr>
        <w:t>天内，将暂估价合同副本报送发包人留存。</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cs="宋体"/>
          <w:color w:val="auto"/>
          <w:kern w:val="0"/>
          <w:szCs w:val="21"/>
          <w:highlight w:val="none"/>
        </w:rPr>
        <w:t>2</w:t>
      </w:r>
      <w:r>
        <w:rPr>
          <w:rFonts w:hint="eastAsia" w:ascii="宋体" w:hAnsi="宋体" w:cs="宋体"/>
          <w:color w:val="auto"/>
          <w:kern w:val="0"/>
          <w:szCs w:val="21"/>
          <w:highlight w:val="none"/>
        </w:rPr>
        <w:t>种方式：承包人按照第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项〔依法必须招标的暂估价项目〕约定的第</w:t>
      </w:r>
      <w:r>
        <w:rPr>
          <w:rFonts w:hint="eastAsia" w:cs="宋体"/>
          <w:color w:val="auto"/>
          <w:kern w:val="0"/>
          <w:szCs w:val="21"/>
          <w:highlight w:val="none"/>
        </w:rPr>
        <w:t>1</w:t>
      </w:r>
      <w:r>
        <w:rPr>
          <w:rFonts w:hint="eastAsia" w:ascii="宋体" w:hAnsi="宋体" w:cs="宋体"/>
          <w:color w:val="auto"/>
          <w:kern w:val="0"/>
          <w:szCs w:val="21"/>
          <w:highlight w:val="none"/>
        </w:rPr>
        <w:t>种方式确定暂估价项目。</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w:t>
      </w:r>
      <w:r>
        <w:rPr>
          <w:rFonts w:hint="eastAsia"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kern w:val="0"/>
          <w:szCs w:val="21"/>
          <w:highlight w:val="none"/>
        </w:rPr>
        <w:t>承包人直接实施的暂估价项目</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36" w:lineRule="auto"/>
        <w:ind w:firstLine="422" w:firstLineChars="200"/>
        <w:outlineLvl w:val="4"/>
        <w:rPr>
          <w:rFonts w:ascii="宋体" w:hAnsi="宋体" w:cs="宋体"/>
          <w:b/>
          <w:bCs/>
          <w:color w:val="auto"/>
          <w:szCs w:val="21"/>
          <w:highlight w:val="none"/>
        </w:rPr>
      </w:pPr>
      <w:bookmarkStart w:id="1473" w:name="_Toc351203575"/>
      <w:r>
        <w:rPr>
          <w:rFonts w:hint="eastAsia" w:cs="宋体"/>
          <w:b/>
          <w:bCs/>
          <w:color w:val="auto"/>
          <w:szCs w:val="21"/>
          <w:highlight w:val="none"/>
        </w:rPr>
        <w:t>1</w:t>
      </w:r>
      <w:bookmarkStart w:id="1474" w:name="_Toc337558794"/>
      <w:bookmarkStart w:id="1475" w:name="_Toc296346591"/>
      <w:bookmarkStart w:id="1476" w:name="_Toc296503090"/>
      <w:bookmarkStart w:id="1477" w:name="_Toc322522561"/>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8</w:t>
      </w:r>
      <w:r>
        <w:rPr>
          <w:rFonts w:hint="eastAsia" w:ascii="宋体" w:hAnsi="宋体" w:cs="宋体"/>
          <w:b/>
          <w:bCs/>
          <w:color w:val="auto"/>
          <w:szCs w:val="21"/>
          <w:highlight w:val="none"/>
        </w:rPr>
        <w:t>暂列金额</w:t>
      </w:r>
      <w:bookmarkEnd w:id="1473"/>
    </w:p>
    <w:bookmarkEnd w:id="147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暂列金额应按照发包人的要求使用，发包人的要求应通过监理人发出。合同当事人可以在专用合同条款中协商确定有关事项。</w:t>
      </w:r>
    </w:p>
    <w:bookmarkEnd w:id="1475"/>
    <w:bookmarkEnd w:id="1476"/>
    <w:bookmarkEnd w:id="1477"/>
    <w:p>
      <w:pPr>
        <w:spacing w:line="336" w:lineRule="auto"/>
        <w:ind w:firstLine="422" w:firstLineChars="200"/>
        <w:outlineLvl w:val="4"/>
        <w:rPr>
          <w:rFonts w:ascii="宋体" w:hAnsi="宋体" w:cs="宋体"/>
          <w:b/>
          <w:bCs/>
          <w:color w:val="auto"/>
          <w:szCs w:val="21"/>
          <w:highlight w:val="none"/>
        </w:rPr>
      </w:pPr>
      <w:bookmarkStart w:id="1478" w:name="_Toc351203576"/>
      <w:r>
        <w:rPr>
          <w:rFonts w:hint="eastAsia" w:cs="宋体"/>
          <w:b/>
          <w:bCs/>
          <w:color w:val="auto"/>
          <w:szCs w:val="21"/>
          <w:highlight w:val="none"/>
        </w:rPr>
        <w:t>1</w:t>
      </w:r>
      <w:bookmarkStart w:id="1479" w:name="_Toc337558796"/>
      <w:bookmarkStart w:id="1480" w:name="_Toc296346592"/>
      <w:bookmarkStart w:id="1481" w:name="_Toc296503091"/>
      <w:r>
        <w:rPr>
          <w:rFonts w:hint="eastAsia" w:cs="宋体"/>
          <w:b/>
          <w:bCs/>
          <w:color w:val="auto"/>
          <w:szCs w:val="21"/>
          <w:highlight w:val="none"/>
        </w:rPr>
        <w:t>0</w:t>
      </w:r>
      <w:r>
        <w:rPr>
          <w:rFonts w:hint="eastAsia" w:ascii="宋体" w:hAnsi="宋体" w:cs="宋体"/>
          <w:b/>
          <w:bCs/>
          <w:color w:val="auto"/>
          <w:szCs w:val="21"/>
          <w:highlight w:val="none"/>
        </w:rPr>
        <w:t>.</w:t>
      </w:r>
      <w:r>
        <w:rPr>
          <w:rFonts w:hint="eastAsia" w:cs="宋体"/>
          <w:b/>
          <w:bCs/>
          <w:color w:val="auto"/>
          <w:szCs w:val="21"/>
          <w:highlight w:val="none"/>
        </w:rPr>
        <w:t>9</w:t>
      </w:r>
      <w:r>
        <w:rPr>
          <w:rFonts w:hint="eastAsia" w:ascii="宋体" w:hAnsi="宋体" w:cs="宋体"/>
          <w:b/>
          <w:bCs/>
          <w:color w:val="auto"/>
          <w:szCs w:val="21"/>
          <w:highlight w:val="none"/>
        </w:rPr>
        <w:t>计日工</w:t>
      </w:r>
      <w:bookmarkEnd w:id="1478"/>
      <w:bookmarkEnd w:id="1479"/>
      <w:bookmarkEnd w:id="1480"/>
      <w:bookmarkEnd w:id="148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款〔商定或确定〕确定计日工的单价。</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采用计日工计价的任何一项工作，承包人应在该项工作实施过程中，每天提交以下报表和有关凭证报送监理人审查：</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）工作名称、内容和数量；</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）投入该工作的所有人员的姓名、专业、工种、级别和耗用工时；</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）投入该工作的材料类别和数量；</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）投入该工作的施工设备型号、台数和耗用台时；</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）其他有关资料和凭证。</w:t>
      </w:r>
    </w:p>
    <w:p>
      <w:pPr>
        <w:spacing w:line="336"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计日工由承包人汇总后，列入最近一期进度付款申请单，由监理人审查并经发包人批准后列入进度付款。</w:t>
      </w:r>
    </w:p>
    <w:p>
      <w:pPr>
        <w:pStyle w:val="5"/>
        <w:keepNext w:val="0"/>
        <w:keepLines w:val="0"/>
        <w:spacing w:line="336" w:lineRule="auto"/>
        <w:rPr>
          <w:rFonts w:ascii="宋体" w:hAnsi="宋体" w:eastAsia="宋体" w:cs="宋体"/>
          <w:color w:val="auto"/>
          <w:sz w:val="24"/>
          <w:szCs w:val="24"/>
          <w:highlight w:val="none"/>
        </w:rPr>
      </w:pPr>
      <w:bookmarkStart w:id="1482" w:name="_Toc351203577"/>
      <w:r>
        <w:rPr>
          <w:rFonts w:hint="eastAsia" w:ascii="Times New Roman" w:hAnsi="Times New Roman" w:eastAsia="宋体" w:cs="宋体"/>
          <w:color w:val="auto"/>
          <w:sz w:val="24"/>
          <w:szCs w:val="24"/>
          <w:highlight w:val="none"/>
        </w:rPr>
        <w:t>11</w:t>
      </w:r>
      <w:r>
        <w:rPr>
          <w:rFonts w:hint="eastAsia" w:ascii="宋体" w:hAnsi="宋体" w:eastAsia="宋体" w:cs="宋体"/>
          <w:color w:val="auto"/>
          <w:sz w:val="24"/>
          <w:szCs w:val="24"/>
          <w:highlight w:val="none"/>
        </w:rPr>
        <w:t>. 价格调整</w:t>
      </w:r>
      <w:bookmarkEnd w:id="1482"/>
    </w:p>
    <w:p>
      <w:pPr>
        <w:spacing w:line="336" w:lineRule="auto"/>
        <w:ind w:firstLine="422" w:firstLineChars="200"/>
        <w:outlineLvl w:val="4"/>
        <w:rPr>
          <w:rFonts w:ascii="宋体" w:hAnsi="宋体" w:cs="宋体"/>
          <w:b/>
          <w:bCs/>
          <w:color w:val="auto"/>
          <w:szCs w:val="21"/>
          <w:highlight w:val="none"/>
        </w:rPr>
      </w:pPr>
      <w:bookmarkStart w:id="1483" w:name="_Toc351203578"/>
      <w:bookmarkStart w:id="1484" w:name="_Toc337558797"/>
      <w:bookmarkStart w:id="1485" w:name="_Toc296346593"/>
      <w:bookmarkStart w:id="1486" w:name="_Toc296503092"/>
      <w:r>
        <w:rPr>
          <w:rFonts w:hint="eastAsia" w:cs="宋体"/>
          <w:b/>
          <w:bCs/>
          <w:color w:val="auto"/>
          <w:szCs w:val="21"/>
          <w:highlight w:val="none"/>
        </w:rPr>
        <w:t>11</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市场价格波动引起的调整</w:t>
      </w:r>
      <w:bookmarkEnd w:id="1483"/>
    </w:p>
    <w:bookmarkEnd w:id="1484"/>
    <w:bookmarkEnd w:id="1485"/>
    <w:bookmarkEnd w:id="1486"/>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w:t>
      </w:r>
      <w:r>
        <w:rPr>
          <w:rFonts w:hint="eastAsia" w:cs="宋体"/>
          <w:color w:val="auto"/>
          <w:szCs w:val="21"/>
          <w:highlight w:val="none"/>
        </w:rPr>
        <w:t>1</w:t>
      </w:r>
      <w:r>
        <w:rPr>
          <w:rFonts w:hint="eastAsia" w:ascii="宋体" w:hAnsi="宋体" w:cs="宋体"/>
          <w:color w:val="auto"/>
          <w:szCs w:val="21"/>
          <w:highlight w:val="none"/>
        </w:rPr>
        <w:t>种方式：采用价格指数进行价格调整。</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）价格调整公式</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7.8pt;width:387.0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tabs>
          <w:tab w:val="left" w:pos="0"/>
          <w:tab w:val="left" w:pos="360"/>
          <w:tab w:val="left" w:pos="540"/>
        </w:tabs>
        <w:spacing w:line="336" w:lineRule="auto"/>
        <w:ind w:firstLine="640"/>
        <w:rPr>
          <w:rFonts w:ascii="宋体" w:hAnsi="宋体" w:cs="宋体"/>
          <w:color w:val="auto"/>
          <w:szCs w:val="21"/>
          <w:highlight w:val="none"/>
        </w:rPr>
      </w:pPr>
      <w:r>
        <w:rPr>
          <w:rFonts w:hint="eastAsia" w:ascii="宋体" w:hAnsi="宋体" w:cs="宋体"/>
          <w:color w:val="auto"/>
          <w:szCs w:val="21"/>
          <w:highlight w:val="none"/>
        </w:rPr>
        <w:t>公式中：</w:t>
      </w:r>
      <w:r>
        <w:rPr>
          <w:rFonts w:hint="eastAsia" w:cs="宋体"/>
          <w:color w:val="auto"/>
          <w:szCs w:val="21"/>
          <w:highlight w:val="none"/>
        </w:rPr>
        <w:t>ΔP</w:t>
      </w:r>
      <w:r>
        <w:rPr>
          <w:rFonts w:hint="eastAsia" w:ascii="宋体" w:hAnsi="宋体" w:cs="宋体"/>
          <w:color w:val="auto"/>
          <w:szCs w:val="21"/>
          <w:highlight w:val="none"/>
        </w:rPr>
        <w:t>——需调整的价格差额；</w:t>
      </w:r>
    </w:p>
    <w:p>
      <w:pPr>
        <w:tabs>
          <w:tab w:val="left" w:pos="0"/>
          <w:tab w:val="left" w:pos="360"/>
          <w:tab w:val="left" w:pos="540"/>
        </w:tabs>
        <w:spacing w:line="336" w:lineRule="auto"/>
        <w:ind w:firstLine="1260" w:firstLineChars="600"/>
        <w:rPr>
          <w:rFonts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5pt;width:17.8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cs="宋体"/>
          <w:color w:val="auto"/>
          <w:szCs w:val="21"/>
          <w:highlight w:val="none"/>
        </w:rPr>
        <w:t>A</w:t>
      </w:r>
      <w:r>
        <w:rPr>
          <w:rFonts w:hint="eastAsia" w:ascii="宋体" w:hAnsi="宋体" w:cs="宋体"/>
          <w:color w:val="auto"/>
          <w:szCs w:val="21"/>
          <w:highlight w:val="none"/>
        </w:rPr>
        <w:t>——定值权重（即不调部分的权重）；</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1.3pt;width:101.4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0.15pt;width:101.9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宋体" w:hAnsi="宋体" w:cs="宋体"/>
          <w:color w:val="auto"/>
          <w:szCs w:val="21"/>
          <w:highlight w:val="none"/>
        </w:rPr>
        <w:t>——各可调因子的现行价格指数，指约定的付款证书相关周期最后一天的前</w:t>
      </w:r>
      <w:r>
        <w:rPr>
          <w:rFonts w:hint="eastAsia" w:cs="宋体"/>
          <w:color w:val="auto"/>
          <w:szCs w:val="21"/>
          <w:highlight w:val="none"/>
        </w:rPr>
        <w:t>42</w:t>
      </w:r>
      <w:r>
        <w:rPr>
          <w:rFonts w:hint="eastAsia" w:ascii="宋体" w:hAnsi="宋体" w:cs="宋体"/>
          <w:color w:val="auto"/>
          <w:szCs w:val="21"/>
          <w:highlight w:val="none"/>
        </w:rPr>
        <w:t>天的各可调因子的价格指数；</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0.15pt;width:107.7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s="宋体"/>
          <w:color w:val="auto"/>
          <w:szCs w:val="21"/>
          <w:highlight w:val="none"/>
        </w:rPr>
        <w:t>——各可调因子的基本价格指数，指基准日期的各可调因子的价格指数。</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）暂时确定调整差额</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）权重的调整</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因变更导致合同约定的权重不合理时，按照第</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款〔商定或确定〕执行。</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）因承包人原因工期延误后的价格调整</w:t>
      </w:r>
    </w:p>
    <w:p>
      <w:pPr>
        <w:tabs>
          <w:tab w:val="left" w:pos="0"/>
          <w:tab w:val="left" w:pos="360"/>
          <w:tab w:val="left" w:pos="540"/>
        </w:tabs>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w:t>
      </w:r>
      <w:r>
        <w:rPr>
          <w:rFonts w:hint="eastAsia" w:cs="宋体"/>
          <w:color w:val="auto"/>
          <w:szCs w:val="21"/>
          <w:highlight w:val="none"/>
        </w:rPr>
        <w:t>2</w:t>
      </w:r>
      <w:r>
        <w:rPr>
          <w:rFonts w:hint="eastAsia" w:ascii="宋体" w:hAnsi="宋体" w:cs="宋体"/>
          <w:color w:val="auto"/>
          <w:szCs w:val="21"/>
          <w:highlight w:val="none"/>
        </w:rPr>
        <w:t>种方式：采用造价信息进行价格调整。</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）材料、工程设备价格变化的价款调整按照发包人提供的基准价格，按以下风险范围规定执行:</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w:t>
      </w:r>
      <w:r>
        <w:rPr>
          <w:rFonts w:hint="eastAsia" w:cs="宋体"/>
          <w:color w:val="auto"/>
          <w:szCs w:val="21"/>
          <w:highlight w:val="none"/>
        </w:rPr>
        <w:t>5%</w:t>
      </w:r>
      <w:r>
        <w:rPr>
          <w:rFonts w:hint="eastAsia" w:ascii="宋体" w:hAnsi="宋体" w:cs="宋体"/>
          <w:color w:val="auto"/>
          <w:szCs w:val="21"/>
          <w:highlight w:val="none"/>
        </w:rPr>
        <w:t>时，或材料单价跌幅以在已标价工程量清单或预算书中载明材料单价为基础超过</w:t>
      </w:r>
      <w:r>
        <w:rPr>
          <w:rFonts w:hint="eastAsia" w:cs="宋体"/>
          <w:color w:val="auto"/>
          <w:szCs w:val="21"/>
          <w:highlight w:val="none"/>
        </w:rPr>
        <w:t>5%</w:t>
      </w:r>
      <w:r>
        <w:rPr>
          <w:rFonts w:hint="eastAsia" w:ascii="宋体" w:hAnsi="宋体" w:cs="宋体"/>
          <w:color w:val="auto"/>
          <w:szCs w:val="21"/>
          <w:highlight w:val="none"/>
        </w:rPr>
        <w:t>时，其超过部分据实调整。</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w:t>
      </w:r>
      <w:r>
        <w:rPr>
          <w:rFonts w:hint="eastAsia" w:cs="宋体"/>
          <w:color w:val="auto"/>
          <w:szCs w:val="21"/>
          <w:highlight w:val="none"/>
        </w:rPr>
        <w:t>5%</w:t>
      </w:r>
      <w:r>
        <w:rPr>
          <w:rFonts w:hint="eastAsia" w:ascii="宋体" w:hAnsi="宋体" w:cs="宋体"/>
          <w:color w:val="auto"/>
          <w:szCs w:val="21"/>
          <w:highlight w:val="none"/>
        </w:rPr>
        <w:t>时，材料单价涨幅以在已标价工程量清单或预算书中载明材料单价为基础超过</w:t>
      </w:r>
      <w:r>
        <w:rPr>
          <w:rFonts w:hint="eastAsia" w:cs="宋体"/>
          <w:color w:val="auto"/>
          <w:szCs w:val="21"/>
          <w:highlight w:val="none"/>
        </w:rPr>
        <w:t>5%</w:t>
      </w:r>
      <w:r>
        <w:rPr>
          <w:rFonts w:hint="eastAsia" w:ascii="宋体" w:hAnsi="宋体" w:cs="宋体"/>
          <w:color w:val="auto"/>
          <w:szCs w:val="21"/>
          <w:highlight w:val="none"/>
        </w:rPr>
        <w:t>时，其超过部分据实调整。</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w:t>
      </w:r>
      <w:r>
        <w:rPr>
          <w:rFonts w:hint="eastAsia" w:cs="宋体"/>
          <w:color w:val="auto"/>
          <w:szCs w:val="21"/>
          <w:highlight w:val="none"/>
        </w:rPr>
        <w:t>5%</w:t>
      </w:r>
      <w:r>
        <w:rPr>
          <w:rFonts w:hint="eastAsia" w:ascii="宋体" w:hAnsi="宋体" w:cs="宋体"/>
          <w:color w:val="auto"/>
          <w:szCs w:val="21"/>
          <w:highlight w:val="none"/>
        </w:rPr>
        <w:t>时，其超过部分据实调整。</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w:t>
      </w:r>
      <w:r>
        <w:rPr>
          <w:rFonts w:hint="eastAsia" w:cs="宋体"/>
          <w:color w:val="auto"/>
          <w:szCs w:val="21"/>
          <w:highlight w:val="none"/>
        </w:rPr>
        <w:t>5</w:t>
      </w:r>
      <w:r>
        <w:rPr>
          <w:rFonts w:hint="eastAsia" w:ascii="宋体" w:hAnsi="宋体" w:cs="宋体"/>
          <w:color w:val="auto"/>
          <w:szCs w:val="21"/>
          <w:highlight w:val="none"/>
        </w:rPr>
        <w:t>天内不予答复的视为认可，作为调整合同价格的依据。未经发包人事先核对，承包人自行采购材料的，发包人有权不予调整合同价格。发包人同意的，可以调整合同价格。</w:t>
      </w:r>
    </w:p>
    <w:p>
      <w:pPr>
        <w:spacing w:line="336" w:lineRule="auto"/>
        <w:ind w:firstLine="420" w:firstLineChars="200"/>
        <w:rPr>
          <w:rFonts w:ascii="宋体" w:hAnsi="宋体" w:cs="宋体"/>
          <w:color w:val="auto"/>
          <w:szCs w:val="21"/>
          <w:highlight w:val="none"/>
        </w:rPr>
      </w:pPr>
      <w:bookmarkStart w:id="1487" w:name="OLE_LINK3"/>
      <w:r>
        <w:rPr>
          <w:rFonts w:hint="eastAsia" w:ascii="宋体" w:hAnsi="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）施工机械台班单价或施工机械使用费发生变化超过省级或行业建设主管部门或其授权的工程造价管理机构规定的范围时，按规定调整合同价格。</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w:t>
      </w:r>
      <w:r>
        <w:rPr>
          <w:rFonts w:hint="eastAsia" w:cs="宋体"/>
          <w:color w:val="auto"/>
          <w:szCs w:val="21"/>
          <w:highlight w:val="none"/>
        </w:rPr>
        <w:t>3</w:t>
      </w:r>
      <w:r>
        <w:rPr>
          <w:rFonts w:hint="eastAsia" w:ascii="宋体" w:hAnsi="宋体" w:cs="宋体"/>
          <w:color w:val="auto"/>
          <w:szCs w:val="21"/>
          <w:highlight w:val="none"/>
        </w:rPr>
        <w:t>种方式：专用合同条款约定的其他方式。</w:t>
      </w:r>
    </w:p>
    <w:p>
      <w:pPr>
        <w:spacing w:line="336" w:lineRule="auto"/>
        <w:ind w:firstLine="422" w:firstLineChars="200"/>
        <w:outlineLvl w:val="4"/>
        <w:rPr>
          <w:rFonts w:ascii="宋体" w:hAnsi="宋体" w:cs="宋体"/>
          <w:b/>
          <w:bCs/>
          <w:color w:val="auto"/>
          <w:szCs w:val="21"/>
          <w:highlight w:val="none"/>
        </w:rPr>
      </w:pPr>
      <w:bookmarkStart w:id="1488" w:name="_Toc351203579"/>
      <w:bookmarkStart w:id="1489" w:name="_Toc296346594"/>
      <w:bookmarkStart w:id="1490" w:name="_Toc337558798"/>
      <w:bookmarkStart w:id="1491" w:name="_Toc296503093"/>
      <w:r>
        <w:rPr>
          <w:rFonts w:hint="eastAsia" w:cs="宋体"/>
          <w:b/>
          <w:bCs/>
          <w:color w:val="auto"/>
          <w:szCs w:val="21"/>
          <w:highlight w:val="none"/>
        </w:rPr>
        <w:t>11</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法律变化引起的调整</w:t>
      </w:r>
      <w:bookmarkEnd w:id="1488"/>
    </w:p>
    <w:bookmarkEnd w:id="1489"/>
    <w:bookmarkEnd w:id="1490"/>
    <w:bookmarkEnd w:id="1491"/>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基准日期后，法律变化导致承包人在合同履行过程中所需要的费用发生除第</w:t>
      </w:r>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款〔市场价格波动引起的调整〕约定以外的增加时，由发包人承担由此增加的费用；减少时，应从合同价格中予以扣减。基准日期后，因法律变化造成工期延误时，工期应予以顺延。</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因法律变化引起的合同价格和工期调整，合同当事人无法达成一致的，由总监理工程师按第</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款〔商定或确定〕的约定处理。</w:t>
      </w:r>
    </w:p>
    <w:p>
      <w:pPr>
        <w:spacing w:line="336"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因承包人原因造成工期延误，在工期延误期间出现法律变化的，由此增加的费用和（或）延误的工期由承包人承担。</w:t>
      </w:r>
    </w:p>
    <w:p>
      <w:pPr>
        <w:pStyle w:val="5"/>
        <w:keepNext w:val="0"/>
        <w:keepLines w:val="0"/>
        <w:spacing w:line="336" w:lineRule="auto"/>
        <w:rPr>
          <w:rFonts w:ascii="宋体" w:hAnsi="宋体" w:eastAsia="宋体" w:cs="宋体"/>
          <w:color w:val="auto"/>
          <w:sz w:val="24"/>
          <w:szCs w:val="24"/>
          <w:highlight w:val="none"/>
        </w:rPr>
      </w:pPr>
      <w:bookmarkStart w:id="1492" w:name="_Toc351203580"/>
      <w:bookmarkStart w:id="1493" w:name="_Toc337558799"/>
      <w:bookmarkStart w:id="1494" w:name="_Toc296346597"/>
      <w:bookmarkStart w:id="1495" w:name="_Toc296503096"/>
      <w:r>
        <w:rPr>
          <w:rFonts w:hint="eastAsia" w:ascii="Times New Roman" w:hAnsi="Times New Roman" w:eastAsia="宋体" w:cs="宋体"/>
          <w:color w:val="auto"/>
          <w:sz w:val="24"/>
          <w:szCs w:val="24"/>
          <w:highlight w:val="none"/>
        </w:rPr>
        <w:t>12</w:t>
      </w:r>
      <w:r>
        <w:rPr>
          <w:rFonts w:hint="eastAsia" w:ascii="宋体" w:hAnsi="宋体" w:eastAsia="宋体" w:cs="宋体"/>
          <w:color w:val="auto"/>
          <w:sz w:val="24"/>
          <w:szCs w:val="24"/>
          <w:highlight w:val="none"/>
        </w:rPr>
        <w:t>. 合同价格、计量与支付</w:t>
      </w:r>
      <w:bookmarkEnd w:id="1492"/>
    </w:p>
    <w:bookmarkEnd w:id="1493"/>
    <w:p>
      <w:pPr>
        <w:spacing w:line="336" w:lineRule="auto"/>
        <w:ind w:firstLine="422" w:firstLineChars="200"/>
        <w:outlineLvl w:val="4"/>
        <w:rPr>
          <w:rFonts w:ascii="宋体" w:hAnsi="宋体" w:cs="宋体"/>
          <w:b/>
          <w:bCs/>
          <w:color w:val="auto"/>
          <w:szCs w:val="21"/>
          <w:highlight w:val="none"/>
        </w:rPr>
      </w:pPr>
      <w:bookmarkStart w:id="1496" w:name="_Toc351203581"/>
      <w:bookmarkStart w:id="1497" w:name="_Toc337558800"/>
      <w:r>
        <w:rPr>
          <w:rFonts w:hint="eastAsia" w:cs="宋体"/>
          <w:b/>
          <w:bCs/>
          <w:color w:val="auto"/>
          <w:szCs w:val="21"/>
          <w:highlight w:val="none"/>
        </w:rPr>
        <w:t>12</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合同价</w:t>
      </w:r>
      <w:bookmarkEnd w:id="1494"/>
      <w:bookmarkEnd w:id="1495"/>
      <w:r>
        <w:rPr>
          <w:rFonts w:hint="eastAsia" w:ascii="宋体" w:hAnsi="宋体" w:cs="宋体"/>
          <w:b/>
          <w:bCs/>
          <w:color w:val="auto"/>
          <w:szCs w:val="21"/>
          <w:highlight w:val="none"/>
        </w:rPr>
        <w:t>格形式</w:t>
      </w:r>
      <w:bookmarkEnd w:id="1496"/>
    </w:p>
    <w:bookmarkEnd w:id="1497"/>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发包人和承包人应在合同协议书中选择下列一种合同价格形式：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.单价合同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单价合同是指合同当事人约定以工程量清单及其综合单价进行合同价格计算、调整和确认的建设工程施工合同，</w:t>
      </w:r>
      <w:r>
        <w:rPr>
          <w:rFonts w:hint="eastAsia" w:ascii="宋体" w:hAnsi="宋体" w:cs="宋体"/>
          <w:color w:val="auto"/>
          <w:szCs w:val="21"/>
          <w:highlight w:val="none"/>
        </w:rPr>
        <w:t>在约定的范围内合同单价不作调整</w:t>
      </w:r>
      <w:r>
        <w:rPr>
          <w:rFonts w:hint="eastAsia" w:ascii="宋体" w:hAnsi="宋体" w:cs="宋体"/>
          <w:color w:val="auto"/>
          <w:kern w:val="0"/>
          <w:szCs w:val="21"/>
          <w:highlight w:val="none"/>
        </w:rPr>
        <w:t>。合同当事人应在专用合同条款中约定综合单价包含的风险范围和风险费用的计算方法</w:t>
      </w:r>
      <w:r>
        <w:rPr>
          <w:rFonts w:hint="eastAsia" w:ascii="宋体" w:hAnsi="宋体" w:cs="宋体"/>
          <w:color w:val="auto"/>
          <w:szCs w:val="21"/>
          <w:highlight w:val="none"/>
        </w:rPr>
        <w:t>，</w:t>
      </w:r>
      <w:r>
        <w:rPr>
          <w:rFonts w:hint="eastAsia" w:ascii="宋体" w:hAnsi="宋体" w:cs="宋体"/>
          <w:color w:val="auto"/>
          <w:kern w:val="0"/>
          <w:szCs w:val="21"/>
          <w:highlight w:val="none"/>
        </w:rPr>
        <w:t>并约定风险范围以外的合同价格的调整方法，其中因市场价格波动引起的调整按第</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款〔市场价格波动引起的调整〕约定执行。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.总价合同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Cs w:val="21"/>
          <w:highlight w:val="none"/>
        </w:rPr>
        <w:t>在约定的范围内合同总价不作调整</w:t>
      </w:r>
      <w:r>
        <w:rPr>
          <w:rFonts w:hint="eastAsia" w:ascii="宋体" w:hAnsi="宋体" w:cs="宋体"/>
          <w:color w:val="auto"/>
          <w:kern w:val="0"/>
          <w:szCs w:val="21"/>
          <w:highlight w:val="none"/>
        </w:rPr>
        <w:t>。合同当事人应在专用合同条款中约定总价包含的风险范围和风险费用的计算方法，并约定风险范围以外的合同价格的调整方法，其中因市场价格波动引起的调整按第</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款〔市场价格波动引起的调整〕、因法律变化引起的调整按第</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款〔法律变化引起的调整〕约定执行。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.其它价格形式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合同当事人可在专用合同条款中约定其他合同价格形式。</w:t>
      </w:r>
    </w:p>
    <w:p>
      <w:pPr>
        <w:spacing w:line="336" w:lineRule="auto"/>
        <w:ind w:firstLine="422" w:firstLineChars="200"/>
        <w:outlineLvl w:val="4"/>
        <w:rPr>
          <w:rFonts w:ascii="宋体" w:hAnsi="宋体" w:cs="宋体"/>
          <w:b/>
          <w:bCs/>
          <w:color w:val="auto"/>
          <w:szCs w:val="21"/>
          <w:highlight w:val="none"/>
        </w:rPr>
      </w:pPr>
      <w:bookmarkStart w:id="1498" w:name="_Toc296346598"/>
      <w:bookmarkStart w:id="1499" w:name="_Toc296503097"/>
      <w:bookmarkStart w:id="1500" w:name="_Toc351203582"/>
      <w:bookmarkStart w:id="1501" w:name="_Toc337558801"/>
      <w:r>
        <w:rPr>
          <w:rFonts w:hint="eastAsia" w:cs="宋体"/>
          <w:b/>
          <w:bCs/>
          <w:color w:val="auto"/>
          <w:szCs w:val="21"/>
          <w:highlight w:val="none"/>
        </w:rPr>
        <w:t>12</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预</w:t>
      </w:r>
      <w:bookmarkEnd w:id="1498"/>
      <w:bookmarkEnd w:id="1499"/>
      <w:bookmarkStart w:id="1502" w:name="_Toc296503100"/>
      <w:bookmarkStart w:id="1503" w:name="_Toc296346601"/>
      <w:r>
        <w:rPr>
          <w:rFonts w:hint="eastAsia" w:ascii="宋体" w:hAnsi="宋体" w:cs="宋体"/>
          <w:b/>
          <w:bCs/>
          <w:color w:val="auto"/>
          <w:szCs w:val="21"/>
          <w:highlight w:val="none"/>
        </w:rPr>
        <w:t>付款</w:t>
      </w:r>
      <w:bookmarkEnd w:id="1500"/>
    </w:p>
    <w:bookmarkEnd w:id="1501"/>
    <w:bookmarkEnd w:id="1502"/>
    <w:bookmarkEnd w:id="1503"/>
    <w:p>
      <w:pPr>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预付款的支付</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预付款的支付按照专用合同条款约定执行，但至迟应在开工通知载明的开工日期</w:t>
      </w:r>
      <w:r>
        <w:rPr>
          <w:rFonts w:hint="eastAsia" w:cs="宋体"/>
          <w:color w:val="auto"/>
          <w:kern w:val="0"/>
          <w:szCs w:val="21"/>
          <w:highlight w:val="none"/>
        </w:rPr>
        <w:t>7</w:t>
      </w:r>
      <w:r>
        <w:rPr>
          <w:rFonts w:hint="eastAsia" w:ascii="宋体" w:hAnsi="宋体" w:cs="宋体"/>
          <w:color w:val="auto"/>
          <w:kern w:val="0"/>
          <w:szCs w:val="21"/>
          <w:highlight w:val="none"/>
        </w:rPr>
        <w:t>天前支付。预付款应当用于材料、工程设备、施工设备的采购及修建临时工程、组织施工队伍进场等。</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除专用合同条款另有约定外，预付款在进度付款中同比例扣回。</w:t>
      </w:r>
      <w:bookmarkEnd w:id="1487"/>
      <w:r>
        <w:rPr>
          <w:rFonts w:hint="eastAsia" w:ascii="宋体" w:hAnsi="宋体" w:cs="宋体"/>
          <w:color w:val="auto"/>
          <w:kern w:val="0"/>
          <w:szCs w:val="21"/>
          <w:highlight w:val="none"/>
        </w:rPr>
        <w:t>在颁发工程接收证书前，提前解除合同的，尚未扣完的预付款应与合同价款一并结算。</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发包人逾期支付预付款超过</w:t>
      </w:r>
      <w:r>
        <w:rPr>
          <w:rFonts w:hint="eastAsia" w:cs="宋体"/>
          <w:color w:val="auto"/>
          <w:kern w:val="0"/>
          <w:szCs w:val="21"/>
          <w:highlight w:val="none"/>
        </w:rPr>
        <w:t>7</w:t>
      </w:r>
      <w:r>
        <w:rPr>
          <w:rFonts w:hint="eastAsia" w:ascii="宋体" w:hAnsi="宋体" w:cs="宋体"/>
          <w:color w:val="auto"/>
          <w:kern w:val="0"/>
          <w:szCs w:val="21"/>
          <w:highlight w:val="none"/>
        </w:rPr>
        <w:t>天的，承包人有权向发包人发出要求预付的催告通知，发包人收到通知后</w:t>
      </w:r>
      <w:r>
        <w:rPr>
          <w:rFonts w:hint="eastAsia" w:cs="宋体"/>
          <w:color w:val="auto"/>
          <w:kern w:val="0"/>
          <w:szCs w:val="21"/>
          <w:highlight w:val="none"/>
        </w:rPr>
        <w:t>7</w:t>
      </w:r>
      <w:r>
        <w:rPr>
          <w:rFonts w:hint="eastAsia" w:ascii="宋体" w:hAnsi="宋体" w:cs="宋体"/>
          <w:color w:val="auto"/>
          <w:kern w:val="0"/>
          <w:szCs w:val="21"/>
          <w:highlight w:val="none"/>
        </w:rPr>
        <w:t>天内仍未支付的，承包人有权暂停施工，并按第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项〔发包人违约的情形〕执行。</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预付款担保</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发包人要求承包人提供预付款担保的，承包人应在发包人支付预付款</w:t>
      </w:r>
      <w:r>
        <w:rPr>
          <w:rFonts w:hint="eastAsia" w:cs="宋体"/>
          <w:color w:val="auto"/>
          <w:kern w:val="0"/>
          <w:szCs w:val="21"/>
          <w:highlight w:val="none"/>
        </w:rPr>
        <w:t>7</w:t>
      </w:r>
      <w:r>
        <w:rPr>
          <w:rFonts w:hint="eastAsia" w:ascii="宋体" w:hAnsi="宋体" w:cs="宋体"/>
          <w:color w:val="auto"/>
          <w:kern w:val="0"/>
          <w:szCs w:val="21"/>
          <w:highlight w:val="none"/>
        </w:rPr>
        <w:t>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发包人在工程款中逐期扣回预付款后，预付款担保额度应相应减少，但剩余的预付款担保金额不得低于未被扣回的预付款金额。</w:t>
      </w:r>
    </w:p>
    <w:p>
      <w:pPr>
        <w:spacing w:line="336" w:lineRule="auto"/>
        <w:ind w:firstLine="422" w:firstLineChars="200"/>
        <w:outlineLvl w:val="4"/>
        <w:rPr>
          <w:rFonts w:ascii="宋体" w:hAnsi="宋体" w:cs="宋体"/>
          <w:b/>
          <w:bCs/>
          <w:color w:val="auto"/>
          <w:szCs w:val="21"/>
          <w:highlight w:val="none"/>
        </w:rPr>
      </w:pPr>
      <w:bookmarkStart w:id="1504" w:name="_Toc351203583"/>
      <w:bookmarkStart w:id="1505" w:name="_Toc337558802"/>
      <w:r>
        <w:rPr>
          <w:rFonts w:hint="eastAsia" w:cs="宋体"/>
          <w:b/>
          <w:bCs/>
          <w:color w:val="auto"/>
          <w:szCs w:val="21"/>
          <w:highlight w:val="none"/>
        </w:rPr>
        <w:t>12</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计量</w:t>
      </w:r>
      <w:bookmarkEnd w:id="1504"/>
    </w:p>
    <w:bookmarkEnd w:id="1505"/>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计量原则</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计量周期</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除专用合同条款另有约定外，工程量的计量按月进行。</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单价合同的计量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除专用合同条款另有约定外，单价合同的计量按照本项约定执行：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）承包人应于每月</w:t>
      </w:r>
      <w:r>
        <w:rPr>
          <w:rFonts w:hint="eastAsia" w:cs="宋体"/>
          <w:color w:val="auto"/>
          <w:kern w:val="0"/>
          <w:szCs w:val="21"/>
          <w:highlight w:val="none"/>
        </w:rPr>
        <w:t>25</w:t>
      </w:r>
      <w:r>
        <w:rPr>
          <w:rFonts w:hint="eastAsia" w:ascii="宋体" w:hAnsi="宋体" w:cs="宋体"/>
          <w:color w:val="auto"/>
          <w:kern w:val="0"/>
          <w:szCs w:val="21"/>
          <w:highlight w:val="none"/>
        </w:rPr>
        <w:t>日向监理人报送上月</w:t>
      </w:r>
      <w:r>
        <w:rPr>
          <w:rFonts w:hint="eastAsia" w:cs="宋体"/>
          <w:color w:val="auto"/>
          <w:kern w:val="0"/>
          <w:szCs w:val="21"/>
          <w:highlight w:val="none"/>
        </w:rPr>
        <w:t>20</w:t>
      </w:r>
      <w:r>
        <w:rPr>
          <w:rFonts w:hint="eastAsia" w:ascii="宋体" w:hAnsi="宋体" w:cs="宋体"/>
          <w:color w:val="auto"/>
          <w:kern w:val="0"/>
          <w:szCs w:val="21"/>
          <w:highlight w:val="none"/>
        </w:rPr>
        <w:t>日至当月</w:t>
      </w:r>
      <w:r>
        <w:rPr>
          <w:rFonts w:hint="eastAsia" w:cs="宋体"/>
          <w:color w:val="auto"/>
          <w:kern w:val="0"/>
          <w:szCs w:val="21"/>
          <w:highlight w:val="none"/>
        </w:rPr>
        <w:t>19</w:t>
      </w:r>
      <w:r>
        <w:rPr>
          <w:rFonts w:hint="eastAsia" w:ascii="宋体" w:hAnsi="宋体" w:cs="宋体"/>
          <w:color w:val="auto"/>
          <w:kern w:val="0"/>
          <w:szCs w:val="21"/>
          <w:highlight w:val="none"/>
        </w:rPr>
        <w:t>日已完成的工程量报告，并附具进度付款申请单、已完成工程量报表和有关资料。</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）监理人应在收到承包人提交的工程量报告后</w:t>
      </w:r>
      <w:r>
        <w:rPr>
          <w:rFonts w:hint="eastAsia" w:cs="宋体"/>
          <w:color w:val="auto"/>
          <w:kern w:val="0"/>
          <w:szCs w:val="21"/>
          <w:highlight w:val="none"/>
        </w:rPr>
        <w:t>7</w:t>
      </w:r>
      <w:r>
        <w:rPr>
          <w:rFonts w:hint="eastAsia" w:ascii="宋体" w:hAnsi="宋体" w:cs="宋体"/>
          <w:color w:val="auto"/>
          <w:kern w:val="0"/>
          <w:szCs w:val="21"/>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36"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cs="宋体"/>
          <w:b/>
          <w:bCs/>
          <w:color w:val="auto"/>
          <w:kern w:val="0"/>
          <w:szCs w:val="21"/>
          <w:highlight w:val="none"/>
        </w:rPr>
        <w:t>3</w:t>
      </w:r>
      <w:r>
        <w:rPr>
          <w:rFonts w:ascii="宋体" w:hAnsi="宋体" w:cs="宋体"/>
          <w:b/>
          <w:bCs/>
          <w:color w:val="auto"/>
          <w:kern w:val="0"/>
          <w:szCs w:val="21"/>
          <w:highlight w:val="none"/>
        </w:rPr>
        <w:t>）</w:t>
      </w:r>
      <w:r>
        <w:rPr>
          <w:rFonts w:hint="eastAsia" w:ascii="宋体" w:hAnsi="宋体" w:cs="宋体"/>
          <w:color w:val="auto"/>
          <w:kern w:val="0"/>
          <w:szCs w:val="21"/>
          <w:highlight w:val="none"/>
        </w:rPr>
        <w:t>隐蔽工程未经验收或验收不合格，擅自进入下一道施工工序的，该隐蔽工程的工程量不予记入工程价款。</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总价合同的计量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除专用合同条款另有约定外，按月计量支付的总价合同，按照本项约定执行：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）承包人应于每月</w:t>
      </w:r>
      <w:r>
        <w:rPr>
          <w:rFonts w:hint="eastAsia" w:cs="宋体"/>
          <w:color w:val="auto"/>
          <w:kern w:val="0"/>
          <w:szCs w:val="21"/>
          <w:highlight w:val="none"/>
        </w:rPr>
        <w:t>25</w:t>
      </w:r>
      <w:r>
        <w:rPr>
          <w:rFonts w:hint="eastAsia" w:ascii="宋体" w:hAnsi="宋体" w:cs="宋体"/>
          <w:color w:val="auto"/>
          <w:kern w:val="0"/>
          <w:szCs w:val="21"/>
          <w:highlight w:val="none"/>
        </w:rPr>
        <w:t>日向监理人报送上月</w:t>
      </w:r>
      <w:r>
        <w:rPr>
          <w:rFonts w:hint="eastAsia" w:cs="宋体"/>
          <w:color w:val="auto"/>
          <w:kern w:val="0"/>
          <w:szCs w:val="21"/>
          <w:highlight w:val="none"/>
        </w:rPr>
        <w:t>20</w:t>
      </w:r>
      <w:r>
        <w:rPr>
          <w:rFonts w:hint="eastAsia" w:ascii="宋体" w:hAnsi="宋体" w:cs="宋体"/>
          <w:color w:val="auto"/>
          <w:kern w:val="0"/>
          <w:szCs w:val="21"/>
          <w:highlight w:val="none"/>
        </w:rPr>
        <w:t>日至当月</w:t>
      </w:r>
      <w:r>
        <w:rPr>
          <w:rFonts w:hint="eastAsia" w:cs="宋体"/>
          <w:color w:val="auto"/>
          <w:kern w:val="0"/>
          <w:szCs w:val="21"/>
          <w:highlight w:val="none"/>
        </w:rPr>
        <w:t>19</w:t>
      </w:r>
      <w:r>
        <w:rPr>
          <w:rFonts w:hint="eastAsia" w:ascii="宋体" w:hAnsi="宋体" w:cs="宋体"/>
          <w:color w:val="auto"/>
          <w:kern w:val="0"/>
          <w:szCs w:val="21"/>
          <w:highlight w:val="none"/>
        </w:rPr>
        <w:t>日已完成的工程量报告，并附具进度付款申请单、已完成工程量报表和有关资料。</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）监理人应在收到承包人提交的工程量报告后</w:t>
      </w:r>
      <w:r>
        <w:rPr>
          <w:rFonts w:hint="eastAsia" w:cs="宋体"/>
          <w:color w:val="auto"/>
          <w:kern w:val="0"/>
          <w:szCs w:val="21"/>
          <w:highlight w:val="none"/>
        </w:rPr>
        <w:t>7</w:t>
      </w:r>
      <w:r>
        <w:rPr>
          <w:rFonts w:hint="eastAsia" w:ascii="宋体" w:hAnsi="宋体" w:cs="宋体"/>
          <w:color w:val="auto"/>
          <w:kern w:val="0"/>
          <w:szCs w:val="21"/>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）监理人未在收到承包人提交的工程量报表后的</w:t>
      </w:r>
      <w:r>
        <w:rPr>
          <w:rFonts w:hint="eastAsia" w:cs="宋体"/>
          <w:color w:val="auto"/>
          <w:kern w:val="0"/>
          <w:szCs w:val="21"/>
          <w:highlight w:val="none"/>
        </w:rPr>
        <w:t>7</w:t>
      </w:r>
      <w:r>
        <w:rPr>
          <w:rFonts w:hint="eastAsia" w:ascii="宋体" w:hAnsi="宋体" w:cs="宋体"/>
          <w:color w:val="auto"/>
          <w:kern w:val="0"/>
          <w:szCs w:val="21"/>
          <w:highlight w:val="none"/>
        </w:rPr>
        <w:t>天内完成复核的，承包人提交的工程量报告中的工程量视为承包人实际完成的工程量。</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总价合同采用支付分解表计量支付的，可以按照第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项〔总价合同的计量〕约定进行计量，但合同价款按照支付分解表进行支付。</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其他价格形式合同的计量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合同当事人可在专用合同条款中约定其他价格形式合同的计量方式和程序。</w:t>
      </w:r>
    </w:p>
    <w:p>
      <w:pPr>
        <w:spacing w:line="336" w:lineRule="auto"/>
        <w:ind w:firstLine="422" w:firstLineChars="200"/>
        <w:outlineLvl w:val="4"/>
        <w:rPr>
          <w:rFonts w:ascii="宋体" w:hAnsi="宋体" w:cs="宋体"/>
          <w:b/>
          <w:bCs/>
          <w:color w:val="auto"/>
          <w:szCs w:val="21"/>
          <w:highlight w:val="none"/>
        </w:rPr>
      </w:pPr>
      <w:bookmarkStart w:id="1506" w:name="_Toc296346602"/>
      <w:bookmarkStart w:id="1507" w:name="_Toc296503101"/>
      <w:bookmarkStart w:id="1508" w:name="_Toc351203584"/>
      <w:bookmarkStart w:id="1509" w:name="_Toc337558803"/>
      <w:r>
        <w:rPr>
          <w:rFonts w:hint="eastAsia" w:cs="宋体"/>
          <w:b/>
          <w:bCs/>
          <w:color w:val="auto"/>
          <w:szCs w:val="21"/>
          <w:highlight w:val="none"/>
        </w:rPr>
        <w:t>12</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工程进度款支</w:t>
      </w:r>
      <w:bookmarkEnd w:id="1506"/>
      <w:bookmarkEnd w:id="1507"/>
      <w:r>
        <w:rPr>
          <w:rFonts w:hint="eastAsia" w:ascii="宋体" w:hAnsi="宋体" w:cs="宋体"/>
          <w:b/>
          <w:bCs/>
          <w:color w:val="auto"/>
          <w:szCs w:val="21"/>
          <w:highlight w:val="none"/>
        </w:rPr>
        <w:t>付</w:t>
      </w:r>
      <w:bookmarkEnd w:id="1508"/>
    </w:p>
    <w:bookmarkEnd w:id="1509"/>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510" w:name="_Toc29821"/>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付款周期</w:t>
      </w:r>
      <w:bookmarkEnd w:id="1510"/>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除专用合同条款另有约定外，付款周期应按照第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项〔计量周期〕的约定与计量周期保持一致。</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进度付款申请单的编制</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除专用合同条款另有约定外，进度付款申请单应包括下列内容：</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）截至本次付款周期已完成工作对应的金额；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）根据第</w:t>
      </w:r>
      <w:r>
        <w:rPr>
          <w:rFonts w:hint="eastAsia" w:cs="宋体"/>
          <w:color w:val="auto"/>
          <w:kern w:val="0"/>
          <w:szCs w:val="21"/>
          <w:highlight w:val="none"/>
        </w:rPr>
        <w:t>10</w:t>
      </w:r>
      <w:r>
        <w:rPr>
          <w:rFonts w:hint="eastAsia" w:ascii="宋体" w:hAnsi="宋体" w:cs="宋体"/>
          <w:color w:val="auto"/>
          <w:kern w:val="0"/>
          <w:szCs w:val="21"/>
          <w:highlight w:val="none"/>
        </w:rPr>
        <w:t>条〔变更〕应增加和扣减的变更金额；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）根据第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款〔预付款〕约定应支付的预付款和扣减的返还预付款；</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）根据第</w:t>
      </w: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款〔质量保证金〕约定应扣减的质量保证金；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）根据第</w:t>
      </w:r>
      <w:r>
        <w:rPr>
          <w:rFonts w:hint="eastAsia" w:cs="宋体"/>
          <w:color w:val="auto"/>
          <w:kern w:val="0"/>
          <w:szCs w:val="21"/>
          <w:highlight w:val="none"/>
        </w:rPr>
        <w:t>19</w:t>
      </w:r>
      <w:r>
        <w:rPr>
          <w:rFonts w:hint="eastAsia" w:ascii="宋体" w:hAnsi="宋体" w:cs="宋体"/>
          <w:color w:val="auto"/>
          <w:kern w:val="0"/>
          <w:szCs w:val="21"/>
          <w:highlight w:val="none"/>
        </w:rPr>
        <w:t>条〔索赔〕应增加和扣减的索赔金额；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）对已签发的进度款支付证书中出现错误的修正，应在本次进度付款中支付或扣除的金额；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）根据合同约定应增加和扣减的其他金额。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bookmarkStart w:id="1511" w:name="_Toc1226"/>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进度付款申请单的提交</w:t>
      </w:r>
      <w:bookmarkEnd w:id="1511"/>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）单价合同进度付款申请单的提交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单价合同的进度付款申请单，按照第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）总价合同进度付款申请单的提交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总价合同按月计量支付的，承包人按照第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项〔总价合同的计量〕约定的时间按月向监理人提交进度付款申请单，并附上已完成工程量报表和有关资料。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总价合同按支付分解表支付的，承包人应按照第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项〔支付分解表〕及第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项〔进度付款申请单的编制〕的约定向监理人提交进度付款申请单。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）其他价格形式合同的进度付款申请单的提交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合同当事人可在专用合同条款中约定其他价格形式合同的进度付款申请单的编制和提交程序。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进度款审核和支付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）除专用合同条款另有约定外，监理人应在收到承包人进度付款申请单以及相关资料后</w:t>
      </w:r>
      <w:r>
        <w:rPr>
          <w:rFonts w:hint="eastAsia" w:cs="宋体"/>
          <w:color w:val="auto"/>
          <w:kern w:val="0"/>
          <w:szCs w:val="21"/>
          <w:highlight w:val="none"/>
        </w:rPr>
        <w:t>7</w:t>
      </w:r>
      <w:r>
        <w:rPr>
          <w:rFonts w:hint="eastAsia" w:ascii="宋体" w:hAnsi="宋体" w:cs="宋体"/>
          <w:color w:val="auto"/>
          <w:kern w:val="0"/>
          <w:szCs w:val="21"/>
          <w:highlight w:val="none"/>
        </w:rPr>
        <w:t>天内完成审查并报送发包人，发包人应在收到后</w:t>
      </w:r>
      <w:r>
        <w:rPr>
          <w:rFonts w:hint="eastAsia" w:cs="宋体"/>
          <w:color w:val="auto"/>
          <w:kern w:val="0"/>
          <w:szCs w:val="21"/>
          <w:highlight w:val="none"/>
        </w:rPr>
        <w:t>7</w:t>
      </w:r>
      <w:r>
        <w:rPr>
          <w:rFonts w:hint="eastAsia" w:ascii="宋体" w:hAnsi="宋体" w:cs="宋体"/>
          <w:color w:val="auto"/>
          <w:kern w:val="0"/>
          <w:szCs w:val="21"/>
          <w:highlight w:val="none"/>
        </w:rPr>
        <w:t>天内完成审批并签发进度款支付证书。发包人逾期未完成审批且未提出异议的，视为已签发进度款支付证书。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hint="eastAsia" w:cs="宋体"/>
          <w:color w:val="auto"/>
          <w:kern w:val="0"/>
          <w:szCs w:val="21"/>
          <w:highlight w:val="none"/>
        </w:rPr>
        <w:t>7</w:t>
      </w:r>
      <w:r>
        <w:rPr>
          <w:rFonts w:hint="eastAsia" w:ascii="宋体" w:hAnsi="宋体" w:cs="宋体"/>
          <w:color w:val="auto"/>
          <w:kern w:val="0"/>
          <w:szCs w:val="21"/>
          <w:highlight w:val="none"/>
        </w:rPr>
        <w:t>天内完成审查并报送发包人，发包人应在收到监理人报送的进度付款申请单及相关资料后</w:t>
      </w:r>
      <w:r>
        <w:rPr>
          <w:rFonts w:hint="eastAsia" w:cs="宋体"/>
          <w:color w:val="auto"/>
          <w:kern w:val="0"/>
          <w:szCs w:val="21"/>
          <w:highlight w:val="none"/>
        </w:rPr>
        <w:t>7</w:t>
      </w:r>
      <w:r>
        <w:rPr>
          <w:rFonts w:hint="eastAsia" w:ascii="宋体" w:hAnsi="宋体" w:cs="宋体"/>
          <w:color w:val="auto"/>
          <w:kern w:val="0"/>
          <w:szCs w:val="21"/>
          <w:highlight w:val="none"/>
        </w:rPr>
        <w:t>天内，向承包人签发无异议部分的临时进度款支付证书。存在争议的部分，按照第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条〔争议解决〕的约定处理。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）除专用合同条款另有约定外，发包人应在进度款支付证书或临时进度款支付证书签发后</w:t>
      </w:r>
      <w:r>
        <w:rPr>
          <w:rFonts w:hint="eastAsia" w:cs="宋体"/>
          <w:color w:val="auto"/>
          <w:kern w:val="0"/>
          <w:szCs w:val="21"/>
          <w:highlight w:val="none"/>
        </w:rPr>
        <w:t>14</w:t>
      </w:r>
      <w:r>
        <w:rPr>
          <w:rFonts w:hint="eastAsia" w:ascii="宋体" w:hAnsi="宋体" w:cs="宋体"/>
          <w:color w:val="auto"/>
          <w:kern w:val="0"/>
          <w:szCs w:val="21"/>
          <w:highlight w:val="none"/>
        </w:rPr>
        <w:t>天内完成支付，发包人逾期支付进度款的，应按照中国人民银行发布的同期同类贷款基准利率支付违约金。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）发包人签发进度款支付证书或临时进度款支付证书，不表明发包人已同意、批准或接受了承包人完成的相应部分的工作。</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进度付款的修正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 xml:space="preserve"> 支付分解表</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.支付分解表的编制要求</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）支付分解表中所列的每期付款金额，应为第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项〔进度付款申请单的编制〕第（</w:t>
      </w:r>
      <w:r>
        <w:rPr>
          <w:rFonts w:hint="eastAsia" w:cs="宋体"/>
          <w:color w:val="auto"/>
          <w:kern w:val="0"/>
          <w:szCs w:val="21"/>
          <w:highlight w:val="none"/>
        </w:rPr>
        <w:t>1</w:t>
      </w:r>
      <w:r>
        <w:rPr>
          <w:rFonts w:hint="eastAsia" w:ascii="宋体" w:hAnsi="宋体" w:cs="宋体"/>
          <w:color w:val="auto"/>
          <w:kern w:val="0"/>
          <w:szCs w:val="21"/>
          <w:highlight w:val="none"/>
        </w:rPr>
        <w:t>）目的估算金额；</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）实际进度与施工进度计划不一致的，合同当事人可按照第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款〔商定或确定〕修改支付分解表；</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）不采用支付分解表的，承包人应向发包人和监理人提交按季度编制的支付估算分解表，用于支付参考。</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w:t>
      </w:r>
      <w:r>
        <w:rPr>
          <w:rFonts w:hint="eastAsia" w:ascii="宋体" w:hAnsi="宋体" w:cs="宋体"/>
          <w:color w:val="auto"/>
          <w:kern w:val="0"/>
          <w:szCs w:val="21"/>
          <w:highlight w:val="none"/>
        </w:rPr>
        <w:t>.总价合同支付分解表的编制与审批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）除专用合同条款另有约定外，承包人应根据第</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款〔施工进度计划〕约定的施工进度计划、签约合同价和工程量等因素对总价合同按月进行分解，编制支付分解表。承包人应当在收到监理人和发包人批准的施工进度计划后</w:t>
      </w:r>
      <w:r>
        <w:rPr>
          <w:rFonts w:hint="eastAsia" w:cs="宋体"/>
          <w:color w:val="auto"/>
          <w:kern w:val="0"/>
          <w:szCs w:val="21"/>
          <w:highlight w:val="none"/>
        </w:rPr>
        <w:t>7</w:t>
      </w:r>
      <w:r>
        <w:rPr>
          <w:rFonts w:hint="eastAsia" w:ascii="宋体" w:hAnsi="宋体" w:cs="宋体"/>
          <w:color w:val="auto"/>
          <w:kern w:val="0"/>
          <w:szCs w:val="21"/>
          <w:highlight w:val="none"/>
        </w:rPr>
        <w:t>天内，将支付分解表及编制支付分解表的支持性资料报送监理人。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）监理人应在收到支付分解表后</w:t>
      </w:r>
      <w:r>
        <w:rPr>
          <w:rFonts w:hint="eastAsia" w:cs="宋体"/>
          <w:color w:val="auto"/>
          <w:kern w:val="0"/>
          <w:szCs w:val="21"/>
          <w:highlight w:val="none"/>
        </w:rPr>
        <w:t>7</w:t>
      </w:r>
      <w:r>
        <w:rPr>
          <w:rFonts w:hint="eastAsia" w:ascii="宋体" w:hAnsi="宋体" w:cs="宋体"/>
          <w:color w:val="auto"/>
          <w:kern w:val="0"/>
          <w:szCs w:val="21"/>
          <w:highlight w:val="none"/>
        </w:rPr>
        <w:t>天内完成审核并报送发包人。发包人应在收到经监理人审核的支付分解表后</w:t>
      </w:r>
      <w:r>
        <w:rPr>
          <w:rFonts w:hint="eastAsia" w:cs="宋体"/>
          <w:color w:val="auto"/>
          <w:kern w:val="0"/>
          <w:szCs w:val="21"/>
          <w:highlight w:val="none"/>
        </w:rPr>
        <w:t>7</w:t>
      </w:r>
      <w:r>
        <w:rPr>
          <w:rFonts w:hint="eastAsia" w:ascii="宋体" w:hAnsi="宋体" w:cs="宋体"/>
          <w:color w:val="auto"/>
          <w:kern w:val="0"/>
          <w:szCs w:val="21"/>
          <w:highlight w:val="none"/>
        </w:rPr>
        <w:t>天内完成审批，经发包人批准的支付分解表为有约束力的支付分解表。</w:t>
      </w:r>
    </w:p>
    <w:p>
      <w:p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s="宋体"/>
          <w:color w:val="auto"/>
          <w:kern w:val="0"/>
          <w:szCs w:val="21"/>
          <w:highlight w:val="none"/>
        </w:rPr>
        <w:t>3</w:t>
      </w:r>
      <w:r>
        <w:rPr>
          <w:rFonts w:hint="eastAsia" w:ascii="宋体" w:hAnsi="宋体" w:cs="宋体"/>
          <w:color w:val="auto"/>
          <w:kern w:val="0"/>
          <w:szCs w:val="21"/>
          <w:highlight w:val="none"/>
        </w:rPr>
        <w:t>）发包人逾期未完成支付分解表审批的，也未及时要求承包人进行修正和提供补充资料的，则承包人提交的支付分解表视为已经获得发包人批准。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.单价合同的总价项目支付分解表的编制与审批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36" w:lineRule="auto"/>
        <w:ind w:firstLine="422" w:firstLineChars="200"/>
        <w:outlineLvl w:val="4"/>
        <w:rPr>
          <w:rFonts w:ascii="宋体" w:hAnsi="宋体" w:cs="宋体"/>
          <w:b/>
          <w:bCs/>
          <w:color w:val="auto"/>
          <w:szCs w:val="21"/>
          <w:highlight w:val="none"/>
        </w:rPr>
      </w:pPr>
      <w:bookmarkStart w:id="1512" w:name="_Toc351203585"/>
      <w:r>
        <w:rPr>
          <w:rFonts w:hint="eastAsia" w:cs="宋体"/>
          <w:b/>
          <w:bCs/>
          <w:color w:val="auto"/>
          <w:szCs w:val="21"/>
          <w:highlight w:val="none"/>
        </w:rPr>
        <w:t>12</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支付账户</w:t>
      </w:r>
      <w:bookmarkEnd w:id="1512"/>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发包人应将合同价款支付至合同协议书中约定的承包人账户。</w:t>
      </w:r>
    </w:p>
    <w:p>
      <w:pPr>
        <w:pStyle w:val="5"/>
        <w:keepNext w:val="0"/>
        <w:keepLines w:val="0"/>
        <w:spacing w:line="336" w:lineRule="auto"/>
        <w:rPr>
          <w:rFonts w:ascii="宋体" w:hAnsi="宋体" w:eastAsia="宋体" w:cs="宋体"/>
          <w:color w:val="auto"/>
          <w:sz w:val="24"/>
          <w:szCs w:val="24"/>
          <w:highlight w:val="none"/>
        </w:rPr>
      </w:pPr>
      <w:bookmarkStart w:id="1513" w:name="_Toc351203586"/>
      <w:bookmarkStart w:id="1514" w:name="_Toc337558804"/>
      <w:bookmarkStart w:id="1515" w:name="_Toc322522574"/>
      <w:bookmarkStart w:id="1516" w:name="_Toc296346607"/>
      <w:bookmarkStart w:id="1517" w:name="_Toc296503106"/>
      <w:r>
        <w:rPr>
          <w:rFonts w:hint="eastAsia" w:ascii="Times New Roman" w:hAnsi="Times New Roman" w:eastAsia="宋体" w:cs="宋体"/>
          <w:color w:val="auto"/>
          <w:sz w:val="24"/>
          <w:szCs w:val="24"/>
          <w:highlight w:val="none"/>
        </w:rPr>
        <w:t>13</w:t>
      </w:r>
      <w:r>
        <w:rPr>
          <w:rFonts w:hint="eastAsia" w:ascii="宋体" w:hAnsi="宋体" w:eastAsia="宋体" w:cs="宋体"/>
          <w:color w:val="auto"/>
          <w:sz w:val="24"/>
          <w:szCs w:val="24"/>
          <w:highlight w:val="none"/>
        </w:rPr>
        <w:t>. 验收和工程试车</w:t>
      </w:r>
      <w:bookmarkEnd w:id="1513"/>
    </w:p>
    <w:bookmarkEnd w:id="1514"/>
    <w:bookmarkEnd w:id="1515"/>
    <w:bookmarkEnd w:id="1516"/>
    <w:bookmarkEnd w:id="1517"/>
    <w:p>
      <w:pPr>
        <w:spacing w:line="336" w:lineRule="auto"/>
        <w:ind w:firstLine="422" w:firstLineChars="200"/>
        <w:outlineLvl w:val="4"/>
        <w:rPr>
          <w:rFonts w:ascii="宋体" w:hAnsi="宋体" w:cs="宋体"/>
          <w:b/>
          <w:bCs/>
          <w:color w:val="auto"/>
          <w:szCs w:val="21"/>
          <w:highlight w:val="none"/>
        </w:rPr>
      </w:pPr>
      <w:bookmarkStart w:id="1518" w:name="_Toc351203587"/>
      <w:bookmarkStart w:id="1519" w:name="_Toc337558805"/>
      <w:bookmarkStart w:id="1520" w:name="_Toc296346611"/>
      <w:bookmarkStart w:id="1521" w:name="_Toc296503110"/>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分部分项工程验收</w:t>
      </w:r>
      <w:bookmarkEnd w:id="1518"/>
    </w:p>
    <w:bookmarkEnd w:id="1519"/>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分部分项工程质量应符合国家有关工程施工验收规范、标准及合同约定，承包人应按照施工组织设计的要求完成分部分项工程施工。</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除专用合同条款另有约定外，分部分项工程经承包人自检合格并具备验收条件的，承包人应提前</w:t>
      </w:r>
      <w:r>
        <w:rPr>
          <w:rFonts w:hint="eastAsia" w:cs="宋体"/>
          <w:color w:val="auto"/>
          <w:szCs w:val="21"/>
          <w:highlight w:val="none"/>
        </w:rPr>
        <w:t>48</w:t>
      </w:r>
      <w:r>
        <w:rPr>
          <w:rFonts w:hint="eastAsia" w:ascii="宋体" w:hAnsi="宋体" w:cs="宋体"/>
          <w:color w:val="auto"/>
          <w:szCs w:val="21"/>
          <w:highlight w:val="none"/>
        </w:rPr>
        <w:t>小时通知监理人进行验收。</w:t>
      </w:r>
      <w:r>
        <w:rPr>
          <w:rFonts w:hint="eastAsia" w:ascii="宋体" w:hAnsi="宋体" w:cs="宋体"/>
          <w:color w:val="auto"/>
          <w:kern w:val="0"/>
          <w:szCs w:val="21"/>
          <w:highlight w:val="none"/>
        </w:rPr>
        <w:t>监理人不能按时进行验收的，应在验收前</w:t>
      </w:r>
      <w:r>
        <w:rPr>
          <w:rFonts w:hint="eastAsia" w:cs="宋体"/>
          <w:color w:val="auto"/>
          <w:kern w:val="0"/>
          <w:szCs w:val="21"/>
          <w:highlight w:val="none"/>
        </w:rPr>
        <w:t>24</w:t>
      </w:r>
      <w:r>
        <w:rPr>
          <w:rFonts w:hint="eastAsia" w:ascii="宋体" w:hAnsi="宋体" w:cs="宋体"/>
          <w:color w:val="auto"/>
          <w:kern w:val="0"/>
          <w:szCs w:val="21"/>
          <w:highlight w:val="none"/>
        </w:rPr>
        <w:t>小时向承包人提交书面延期要求，但延期不能超过</w:t>
      </w:r>
      <w:r>
        <w:rPr>
          <w:rFonts w:hint="eastAsia" w:cs="宋体"/>
          <w:color w:val="auto"/>
          <w:kern w:val="0"/>
          <w:szCs w:val="21"/>
          <w:highlight w:val="none"/>
        </w:rPr>
        <w:t>48</w:t>
      </w:r>
      <w:r>
        <w:rPr>
          <w:rFonts w:hint="eastAsia" w:ascii="宋体" w:hAnsi="宋体" w:cs="宋体"/>
          <w:color w:val="auto"/>
          <w:kern w:val="0"/>
          <w:szCs w:val="21"/>
          <w:highlight w:val="none"/>
        </w:rPr>
        <w:t>小时。监理人未按时进行验收，也未提出延期要求的，承包人有权自行验收，监理人应认可验收结果。</w:t>
      </w:r>
      <w:r>
        <w:rPr>
          <w:rFonts w:hint="eastAsia" w:ascii="宋体" w:hAnsi="宋体" w:cs="宋体"/>
          <w:color w:val="auto"/>
          <w:szCs w:val="21"/>
          <w:highlight w:val="none"/>
        </w:rPr>
        <w:t>分部分项工程未经验收的，不得进入下一道工序施工。</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分部分项工程的验收资料应当作为竣工资料的组成部分。</w:t>
      </w:r>
    </w:p>
    <w:p>
      <w:pPr>
        <w:spacing w:line="336" w:lineRule="auto"/>
        <w:ind w:firstLine="422" w:firstLineChars="200"/>
        <w:outlineLvl w:val="4"/>
        <w:rPr>
          <w:rFonts w:ascii="宋体" w:hAnsi="宋体" w:cs="宋体"/>
          <w:b/>
          <w:bCs/>
          <w:color w:val="auto"/>
          <w:szCs w:val="21"/>
          <w:highlight w:val="none"/>
        </w:rPr>
      </w:pPr>
      <w:bookmarkStart w:id="1522" w:name="_Toc351203588"/>
      <w:bookmarkStart w:id="1523" w:name="_Toc337558806"/>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竣工验收</w:t>
      </w:r>
      <w:bookmarkEnd w:id="1522"/>
    </w:p>
    <w:bookmarkEnd w:id="1520"/>
    <w:bookmarkEnd w:id="1521"/>
    <w:bookmarkEnd w:id="1523"/>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竣工验收条件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工程具备以下条件的，承包人可以申请竣工验收：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）除发包人同意的甩项工作和缺陷修补工作外，合同范围内的全部工程以及有关工作，包括合同要求的试验、试运行以及检验均已完成，并符合合同要求；</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）已按合同约定编制了甩项工作和缺陷修补工作清单以及相应的施工计划；</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）已按合同约定的内容和份数备齐竣工资料。</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竣工验收程序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除专用合同条款另有约定外，承包人申请竣工验收的，应当按照以下程序进行：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）承包人向监理人报送竣工验收申请报告，监理人应在收到竣工验收申请报告后</w:t>
      </w:r>
      <w:r>
        <w:rPr>
          <w:rFonts w:hint="eastAsia" w:cs="宋体"/>
          <w:color w:val="auto"/>
          <w:kern w:val="0"/>
          <w:szCs w:val="21"/>
          <w:highlight w:val="none"/>
        </w:rPr>
        <w:t>14</w:t>
      </w:r>
      <w:r>
        <w:rPr>
          <w:rFonts w:hint="eastAsia" w:ascii="宋体" w:hAnsi="宋体" w:cs="宋体"/>
          <w:color w:val="auto"/>
          <w:kern w:val="0"/>
          <w:szCs w:val="21"/>
          <w:highlight w:val="none"/>
        </w:rPr>
        <w:t>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）监理人审查后认为已具备竣工验收条件的，应将竣工验收申请报告提交发包人，发包人应在收到经监理人审核的竣工验收申请报告后</w:t>
      </w:r>
      <w:r>
        <w:rPr>
          <w:rFonts w:hint="eastAsia" w:cs="宋体"/>
          <w:color w:val="auto"/>
          <w:kern w:val="0"/>
          <w:szCs w:val="21"/>
          <w:highlight w:val="none"/>
        </w:rPr>
        <w:t>28</w:t>
      </w:r>
      <w:r>
        <w:rPr>
          <w:rFonts w:hint="eastAsia" w:ascii="宋体" w:hAnsi="宋体" w:cs="宋体"/>
          <w:color w:val="auto"/>
          <w:kern w:val="0"/>
          <w:szCs w:val="21"/>
          <w:highlight w:val="none"/>
        </w:rPr>
        <w:t>天内审批完毕并组织监理人、承包人、设计人等相关单位完成竣工验收。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）竣工验收合格的，发包人应在验收合格后</w:t>
      </w:r>
      <w:r>
        <w:rPr>
          <w:rFonts w:hint="eastAsia" w:cs="宋体"/>
          <w:color w:val="auto"/>
          <w:kern w:val="0"/>
          <w:szCs w:val="21"/>
          <w:highlight w:val="none"/>
        </w:rPr>
        <w:t>14</w:t>
      </w:r>
      <w:r>
        <w:rPr>
          <w:rFonts w:hint="eastAsia" w:ascii="宋体" w:hAnsi="宋体" w:cs="宋体"/>
          <w:color w:val="auto"/>
          <w:kern w:val="0"/>
          <w:szCs w:val="21"/>
          <w:highlight w:val="none"/>
        </w:rPr>
        <w:t>天内向承包人签发工程接收证书。发包人无正当理由逾期不颁发工程接收证书的，自验收合格后第</w:t>
      </w:r>
      <w:r>
        <w:rPr>
          <w:rFonts w:hint="eastAsia" w:cs="宋体"/>
          <w:color w:val="auto"/>
          <w:kern w:val="0"/>
          <w:szCs w:val="21"/>
          <w:highlight w:val="none"/>
        </w:rPr>
        <w:t>15</w:t>
      </w:r>
      <w:r>
        <w:rPr>
          <w:rFonts w:hint="eastAsia" w:ascii="宋体" w:hAnsi="宋体" w:cs="宋体"/>
          <w:color w:val="auto"/>
          <w:kern w:val="0"/>
          <w:szCs w:val="21"/>
          <w:highlight w:val="none"/>
        </w:rPr>
        <w:t>天起视为已颁发工程接收证书。</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）工程未经验收或验收不合格，发包人擅自使用的，应在转移占有工程后</w:t>
      </w:r>
      <w:r>
        <w:rPr>
          <w:rFonts w:hint="eastAsia" w:cs="宋体"/>
          <w:color w:val="auto"/>
          <w:kern w:val="0"/>
          <w:szCs w:val="21"/>
          <w:highlight w:val="none"/>
        </w:rPr>
        <w:t>7</w:t>
      </w:r>
      <w:r>
        <w:rPr>
          <w:rFonts w:hint="eastAsia" w:ascii="宋体" w:hAnsi="宋体" w:cs="宋体"/>
          <w:color w:val="auto"/>
          <w:kern w:val="0"/>
          <w:szCs w:val="21"/>
          <w:highlight w:val="none"/>
        </w:rPr>
        <w:t>天内向承包人颁发工程接收证书；发包人无正当理由逾期不颁发工程接收证书的，自转移占有后第</w:t>
      </w:r>
      <w:r>
        <w:rPr>
          <w:rFonts w:hint="eastAsia" w:cs="宋体"/>
          <w:color w:val="auto"/>
          <w:kern w:val="0"/>
          <w:szCs w:val="21"/>
          <w:highlight w:val="none"/>
        </w:rPr>
        <w:t>15</w:t>
      </w:r>
      <w:r>
        <w:rPr>
          <w:rFonts w:hint="eastAsia" w:ascii="宋体" w:hAnsi="宋体" w:cs="宋体"/>
          <w:color w:val="auto"/>
          <w:kern w:val="0"/>
          <w:szCs w:val="21"/>
          <w:highlight w:val="none"/>
        </w:rPr>
        <w:t>天起视为已颁发工程接收证书。</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竣工日期</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w:t>
      </w:r>
      <w:r>
        <w:rPr>
          <w:rFonts w:hint="eastAsia" w:cs="宋体"/>
          <w:color w:val="auto"/>
          <w:kern w:val="0"/>
          <w:szCs w:val="21"/>
          <w:highlight w:val="none"/>
        </w:rPr>
        <w:t>42</w:t>
      </w:r>
      <w:r>
        <w:rPr>
          <w:rFonts w:hint="eastAsia" w:ascii="宋体" w:hAnsi="宋体" w:cs="宋体"/>
          <w:color w:val="auto"/>
          <w:kern w:val="0"/>
          <w:szCs w:val="21"/>
          <w:highlight w:val="none"/>
        </w:rPr>
        <w:t>天内完成竣工验收，或完成竣工验收不予签发工程接收证书的，以提交竣工验</w:t>
      </w:r>
      <w:bookmarkStart w:id="1524" w:name="#go14"/>
      <w:bookmarkEnd w:id="1524"/>
      <w:r>
        <w:rPr>
          <w:rFonts w:hint="eastAsia" w:ascii="宋体" w:hAnsi="宋体" w:cs="宋体"/>
          <w:color w:val="auto"/>
          <w:kern w:val="0"/>
          <w:szCs w:val="21"/>
          <w:highlight w:val="none"/>
        </w:rPr>
        <w:t>收申请报告的日期为实际竣工日期；工程未经竣工验收，发包人擅自使用的，以转移占有工程之日为实际竣工日期。</w:t>
      </w:r>
    </w:p>
    <w:p>
      <w:pPr>
        <w:spacing w:line="336" w:lineRule="auto"/>
        <w:ind w:firstLine="420" w:firstLineChars="200"/>
        <w:jc w:val="left"/>
        <w:rPr>
          <w:rFonts w:ascii="宋体" w:hAnsi="宋体" w:cs="宋体"/>
          <w:color w:val="auto"/>
          <w:kern w:val="0"/>
          <w:szCs w:val="21"/>
          <w:highlight w:val="none"/>
        </w:rPr>
      </w:pPr>
      <w:bookmarkStart w:id="1525" w:name="_Toc20358"/>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拒绝接收全部或部分工程</w:t>
      </w:r>
      <w:bookmarkEnd w:id="1525"/>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移交、接收全部与部分工程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除专用合同条款另有约定外，合同当事人应当在颁发工程接收证书后</w:t>
      </w:r>
      <w:r>
        <w:rPr>
          <w:rFonts w:hint="eastAsia" w:cs="宋体"/>
          <w:color w:val="auto"/>
          <w:kern w:val="0"/>
          <w:szCs w:val="21"/>
          <w:highlight w:val="none"/>
        </w:rPr>
        <w:t>7</w:t>
      </w:r>
      <w:r>
        <w:rPr>
          <w:rFonts w:hint="eastAsia" w:ascii="宋体" w:hAnsi="宋体" w:cs="宋体"/>
          <w:color w:val="auto"/>
          <w:kern w:val="0"/>
          <w:szCs w:val="21"/>
          <w:highlight w:val="none"/>
        </w:rPr>
        <w:t>天内完成工程的移交。</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spacing w:line="336" w:lineRule="auto"/>
        <w:ind w:firstLine="422" w:firstLineChars="200"/>
        <w:outlineLvl w:val="4"/>
        <w:rPr>
          <w:rFonts w:ascii="宋体" w:hAnsi="宋体" w:cs="宋体"/>
          <w:b/>
          <w:bCs/>
          <w:color w:val="auto"/>
          <w:szCs w:val="21"/>
          <w:highlight w:val="none"/>
        </w:rPr>
      </w:pPr>
      <w:bookmarkStart w:id="1526" w:name="_Toc351203589"/>
      <w:bookmarkStart w:id="1527" w:name="_Toc337558807"/>
      <w:bookmarkStart w:id="1528" w:name="_Toc296503111"/>
      <w:bookmarkStart w:id="1529" w:name="_Toc296346612"/>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工程试车</w:t>
      </w:r>
      <w:bookmarkEnd w:id="1526"/>
    </w:p>
    <w:bookmarkEnd w:id="1527"/>
    <w:bookmarkEnd w:id="1528"/>
    <w:bookmarkEnd w:id="1529"/>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试车程序</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工程需要试车的，除专用合同条款另有约定外，试车内容应与承包人承包范围相一致，试车费用由承包人承担。工程试车应按如下程序进行：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）具备单机无负荷试车条件，承包人组织试车，并在试车前</w:t>
      </w:r>
      <w:r>
        <w:rPr>
          <w:rFonts w:hint="eastAsia" w:cs="宋体"/>
          <w:color w:val="auto"/>
          <w:kern w:val="0"/>
          <w:szCs w:val="21"/>
          <w:highlight w:val="none"/>
        </w:rPr>
        <w:t>48</w:t>
      </w:r>
      <w:r>
        <w:rPr>
          <w:rFonts w:hint="eastAsia" w:ascii="宋体" w:hAnsi="宋体" w:cs="宋体"/>
          <w:color w:val="auto"/>
          <w:kern w:val="0"/>
          <w:szCs w:val="21"/>
          <w:highlight w:val="none"/>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hint="eastAsia" w:cs="宋体"/>
          <w:color w:val="auto"/>
          <w:kern w:val="0"/>
          <w:szCs w:val="21"/>
          <w:highlight w:val="none"/>
        </w:rPr>
        <w:t>24</w:t>
      </w:r>
      <w:r>
        <w:rPr>
          <w:rFonts w:hint="eastAsia" w:ascii="宋体" w:hAnsi="宋体" w:cs="宋体"/>
          <w:color w:val="auto"/>
          <w:kern w:val="0"/>
          <w:szCs w:val="21"/>
          <w:highlight w:val="none"/>
        </w:rPr>
        <w:t>小时后视为监理人已经认可试车记录，承包人可继续施工或办理竣工验收手续。</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监理人不能按时参加试车，应在试车前</w:t>
      </w:r>
      <w:r>
        <w:rPr>
          <w:rFonts w:hint="eastAsia" w:cs="宋体"/>
          <w:color w:val="auto"/>
          <w:kern w:val="0"/>
          <w:szCs w:val="21"/>
          <w:highlight w:val="none"/>
        </w:rPr>
        <w:t>24</w:t>
      </w:r>
      <w:r>
        <w:rPr>
          <w:rFonts w:hint="eastAsia" w:ascii="宋体" w:hAnsi="宋体" w:cs="宋体"/>
          <w:color w:val="auto"/>
          <w:kern w:val="0"/>
          <w:szCs w:val="21"/>
          <w:highlight w:val="none"/>
        </w:rPr>
        <w:t>小时以书面形式向承包人提出延期要求，但延期不能超过</w:t>
      </w:r>
      <w:r>
        <w:rPr>
          <w:rFonts w:hint="eastAsia" w:cs="宋体"/>
          <w:color w:val="auto"/>
          <w:kern w:val="0"/>
          <w:szCs w:val="21"/>
          <w:highlight w:val="none"/>
        </w:rPr>
        <w:t>48</w:t>
      </w:r>
      <w:r>
        <w:rPr>
          <w:rFonts w:hint="eastAsia" w:ascii="宋体" w:hAnsi="宋体" w:cs="宋体"/>
          <w:color w:val="auto"/>
          <w:kern w:val="0"/>
          <w:szCs w:val="21"/>
          <w:highlight w:val="none"/>
        </w:rPr>
        <w:t>小时，由此导致工期延误的，工期应予以顺延。监理人未能在前述期限内提出延期要求，又不参加试车的，视为认可试车记录。</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）具备无负荷联动试车条件，发包人组织试车，并在试车前</w:t>
      </w:r>
      <w:r>
        <w:rPr>
          <w:rFonts w:hint="eastAsia" w:cs="宋体"/>
          <w:color w:val="auto"/>
          <w:kern w:val="0"/>
          <w:szCs w:val="21"/>
          <w:highlight w:val="none"/>
        </w:rPr>
        <w:t>48</w:t>
      </w:r>
      <w:r>
        <w:rPr>
          <w:rFonts w:hint="eastAsia" w:ascii="宋体" w:hAnsi="宋体" w:cs="宋体"/>
          <w:color w:val="auto"/>
          <w:kern w:val="0"/>
          <w:szCs w:val="21"/>
          <w:highlight w:val="none"/>
        </w:rPr>
        <w:t>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试车中的责任</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投料试车</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36" w:lineRule="auto"/>
        <w:ind w:firstLine="422" w:firstLineChars="200"/>
        <w:outlineLvl w:val="4"/>
        <w:rPr>
          <w:rFonts w:ascii="宋体" w:hAnsi="宋体" w:cs="宋体"/>
          <w:b/>
          <w:bCs/>
          <w:color w:val="auto"/>
          <w:szCs w:val="21"/>
          <w:highlight w:val="none"/>
        </w:rPr>
      </w:pPr>
      <w:bookmarkStart w:id="1530" w:name="_Toc351203590"/>
      <w:bookmarkStart w:id="1531" w:name="_Toc337558808"/>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提前交付单位工程的验收</w:t>
      </w:r>
      <w:bookmarkEnd w:id="1530"/>
    </w:p>
    <w:bookmarkEnd w:id="1531"/>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发包人需要在工程竣工前使用单位工程的，或承包人提出提前交付已经竣工的单位工程且经发包人同意的，可进行单位工程验收，验收的程序按照第</w:t>
      </w: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款〔竣工验收〕的约定进行。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发包人要求在工程竣工前交付单位工程，由此导致承包人费用增加和（或）工期延误的，由发包人承担由此增加的费用和（或）延误的工期，并支付承包人合理的利润。</w:t>
      </w:r>
    </w:p>
    <w:p>
      <w:pPr>
        <w:spacing w:line="336" w:lineRule="auto"/>
        <w:ind w:firstLine="422" w:firstLineChars="200"/>
        <w:outlineLvl w:val="4"/>
        <w:rPr>
          <w:rFonts w:ascii="宋体" w:hAnsi="宋体" w:cs="宋体"/>
          <w:b/>
          <w:bCs/>
          <w:color w:val="auto"/>
          <w:szCs w:val="21"/>
          <w:highlight w:val="none"/>
        </w:rPr>
      </w:pPr>
      <w:bookmarkStart w:id="1532" w:name="_Toc351203591"/>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施工期运行</w:t>
      </w:r>
      <w:bookmarkEnd w:id="1532"/>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施工期运行是指合同工程尚未全部竣工，其中某项或某几项单位工程或工程设备安装已竣工，根据专用合同条款约定，需要投入施工期运行的，经发包人按第</w:t>
      </w: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款〔提前交付单位工程的验收〕的约定验收合格，证明能确保安全后，才能在施工期投入运行。</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在施工期运行中发现工程或工程设备损坏或存在缺陷的，由承包人按第</w:t>
      </w: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款〔缺陷责任期〕约定进行修复。</w:t>
      </w:r>
    </w:p>
    <w:p>
      <w:pPr>
        <w:spacing w:line="336" w:lineRule="auto"/>
        <w:ind w:firstLine="422" w:firstLineChars="200"/>
        <w:outlineLvl w:val="4"/>
        <w:rPr>
          <w:rFonts w:ascii="宋体" w:hAnsi="宋体" w:cs="宋体"/>
          <w:b/>
          <w:bCs/>
          <w:color w:val="auto"/>
          <w:szCs w:val="21"/>
          <w:highlight w:val="none"/>
        </w:rPr>
      </w:pPr>
      <w:bookmarkStart w:id="1533" w:name="_Toc296346613"/>
      <w:bookmarkStart w:id="1534" w:name="_Toc296503112"/>
      <w:bookmarkStart w:id="1535" w:name="_Toc351203592"/>
      <w:bookmarkStart w:id="1536" w:name="_Toc337558809"/>
      <w:r>
        <w:rPr>
          <w:rFonts w:hint="eastAsia" w:cs="宋体"/>
          <w:b/>
          <w:bCs/>
          <w:color w:val="auto"/>
          <w:szCs w:val="21"/>
          <w:highlight w:val="none"/>
        </w:rPr>
        <w:t>13</w:t>
      </w:r>
      <w:r>
        <w:rPr>
          <w:rFonts w:hint="eastAsia" w:ascii="宋体" w:hAnsi="宋体" w:cs="宋体"/>
          <w:b/>
          <w:bCs/>
          <w:color w:val="auto"/>
          <w:szCs w:val="21"/>
          <w:highlight w:val="none"/>
        </w:rPr>
        <w:t>.</w:t>
      </w:r>
      <w:r>
        <w:rPr>
          <w:rFonts w:hint="eastAsia" w:cs="宋体"/>
          <w:b/>
          <w:bCs/>
          <w:color w:val="auto"/>
          <w:szCs w:val="21"/>
          <w:highlight w:val="none"/>
        </w:rPr>
        <w:t>6</w:t>
      </w:r>
      <w:r>
        <w:rPr>
          <w:rFonts w:hint="eastAsia" w:ascii="宋体" w:hAnsi="宋体" w:cs="宋体"/>
          <w:b/>
          <w:bCs/>
          <w:color w:val="auto"/>
          <w:szCs w:val="21"/>
          <w:highlight w:val="none"/>
        </w:rPr>
        <w:t xml:space="preserve"> 完工退</w:t>
      </w:r>
      <w:bookmarkEnd w:id="1533"/>
      <w:bookmarkEnd w:id="1534"/>
      <w:r>
        <w:rPr>
          <w:rFonts w:hint="eastAsia" w:ascii="宋体" w:hAnsi="宋体" w:cs="宋体"/>
          <w:b/>
          <w:bCs/>
          <w:color w:val="auto"/>
          <w:szCs w:val="21"/>
          <w:highlight w:val="none"/>
        </w:rPr>
        <w:t>场</w:t>
      </w:r>
      <w:bookmarkEnd w:id="1535"/>
    </w:p>
    <w:bookmarkEnd w:id="1536"/>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完工退场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颁发工程接收证书后，承包人应按以下要求对施工现场进行清理：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）施工现场内残留的垃圾已全部清除出场；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）临时工程已拆除，场地已进行清理、平整或复原；</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）按合同约定应撤离的人员、承包人施工设备和剩余的材料，包括废弃的施工设备和材料，已按计划撤离施工现场；</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）施工现场周边及其附近道路、河道的施工堆积物，已全部清理；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）施工现场其他场地清理工作已全部完成。</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的完工退场费用由承包人承担。承包人应在专用合同条款约定的期限内完成完工退场，逾期未完成的，发包人有权出售或另行处理承包人遗留的物品，由此支出的费用由承包人承担，发包人出售承包人遗留物品所得款项在扣除必要费用后应返还承包人。</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地表还原</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keepNext w:val="0"/>
        <w:keepLines w:val="0"/>
        <w:spacing w:line="336" w:lineRule="auto"/>
        <w:rPr>
          <w:rFonts w:ascii="宋体" w:hAnsi="宋体" w:eastAsia="宋体" w:cs="宋体"/>
          <w:color w:val="auto"/>
          <w:sz w:val="24"/>
          <w:szCs w:val="24"/>
          <w:highlight w:val="none"/>
        </w:rPr>
      </w:pPr>
      <w:bookmarkStart w:id="1537" w:name="_Toc351203593"/>
      <w:bookmarkStart w:id="1538" w:name="_Toc337558810"/>
      <w:bookmarkStart w:id="1539" w:name="_Toc296346614"/>
      <w:bookmarkStart w:id="1540" w:name="_Toc296503113"/>
      <w:r>
        <w:rPr>
          <w:rFonts w:hint="eastAsia" w:ascii="Times New Roman" w:hAnsi="Times New Roman" w:eastAsia="宋体" w:cs="宋体"/>
          <w:color w:val="auto"/>
          <w:sz w:val="24"/>
          <w:szCs w:val="24"/>
          <w:highlight w:val="none"/>
        </w:rPr>
        <w:t>14</w:t>
      </w:r>
      <w:r>
        <w:rPr>
          <w:rFonts w:hint="eastAsia" w:ascii="宋体" w:hAnsi="宋体" w:eastAsia="宋体" w:cs="宋体"/>
          <w:color w:val="auto"/>
          <w:sz w:val="24"/>
          <w:szCs w:val="24"/>
          <w:highlight w:val="none"/>
        </w:rPr>
        <w:t>. 完工结算</w:t>
      </w:r>
      <w:bookmarkEnd w:id="1537"/>
    </w:p>
    <w:bookmarkEnd w:id="1538"/>
    <w:p>
      <w:pPr>
        <w:spacing w:line="336" w:lineRule="auto"/>
        <w:ind w:firstLine="422" w:firstLineChars="200"/>
        <w:outlineLvl w:val="4"/>
        <w:rPr>
          <w:rFonts w:ascii="宋体" w:hAnsi="宋体" w:cs="宋体"/>
          <w:b/>
          <w:bCs/>
          <w:color w:val="auto"/>
          <w:szCs w:val="21"/>
          <w:highlight w:val="none"/>
        </w:rPr>
      </w:pPr>
      <w:bookmarkStart w:id="1541" w:name="_Toc351203594"/>
      <w:bookmarkStart w:id="1542" w:name="_Toc337558811"/>
      <w:r>
        <w:rPr>
          <w:rFonts w:hint="eastAsia" w:cs="宋体"/>
          <w:b/>
          <w:bCs/>
          <w:color w:val="auto"/>
          <w:szCs w:val="21"/>
          <w:highlight w:val="none"/>
        </w:rPr>
        <w:t>14</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完工结算申请</w:t>
      </w:r>
      <w:bookmarkEnd w:id="1541"/>
    </w:p>
    <w:bookmarkEnd w:id="1542"/>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除专用合同条款另有约定外，</w:t>
      </w:r>
      <w:r>
        <w:rPr>
          <w:rFonts w:hint="eastAsia" w:ascii="宋体" w:hAnsi="宋体" w:cs="宋体"/>
          <w:color w:val="auto"/>
          <w:szCs w:val="21"/>
          <w:highlight w:val="none"/>
        </w:rPr>
        <w:t>承包人应在区农业农村局组织的初步验收合格后</w:t>
      </w:r>
      <w:r>
        <w:rPr>
          <w:rFonts w:hint="eastAsia" w:cs="宋体"/>
          <w:color w:val="auto"/>
          <w:szCs w:val="21"/>
          <w:highlight w:val="none"/>
        </w:rPr>
        <w:t>28</w:t>
      </w:r>
      <w:r>
        <w:rPr>
          <w:rFonts w:hint="eastAsia" w:ascii="宋体" w:hAnsi="宋体" w:cs="宋体"/>
          <w:color w:val="auto"/>
          <w:szCs w:val="21"/>
          <w:highlight w:val="none"/>
        </w:rPr>
        <w:t>天内向发包人和监理人提交完工结算申请单，并提交完整的结算资料，有关完工结算申请单的资料清单和份数等要求由合同当事人在专用合同条款中约定。</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除专用合同条款另有约定外，完工结算申请单应包括以下内容：</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）完工结算合同价格；</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）发包人已支付承包人的款项；</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）应扣留的质量保证金。已缴纳履约保证金的或提供其他工程质量担保方式的除外； </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）发包人应支付承包人的合同价款。</w:t>
      </w:r>
    </w:p>
    <w:p>
      <w:pPr>
        <w:spacing w:line="336" w:lineRule="auto"/>
        <w:ind w:firstLine="422" w:firstLineChars="200"/>
        <w:outlineLvl w:val="4"/>
        <w:rPr>
          <w:rFonts w:ascii="宋体" w:hAnsi="宋体" w:cs="宋体"/>
          <w:b/>
          <w:bCs/>
          <w:color w:val="auto"/>
          <w:szCs w:val="21"/>
          <w:highlight w:val="none"/>
        </w:rPr>
      </w:pPr>
      <w:bookmarkStart w:id="1543" w:name="_Toc351203595"/>
      <w:bookmarkStart w:id="1544" w:name="_Toc337558812"/>
      <w:r>
        <w:rPr>
          <w:rFonts w:hint="eastAsia" w:cs="宋体"/>
          <w:b/>
          <w:bCs/>
          <w:color w:val="auto"/>
          <w:szCs w:val="21"/>
          <w:highlight w:val="none"/>
        </w:rPr>
        <w:t>14</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完工结算审核</w:t>
      </w:r>
      <w:bookmarkEnd w:id="1543"/>
    </w:p>
    <w:bookmarkEnd w:id="154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）除专用合同条款另有约定外，监理人应在收到完工结算申请单后</w:t>
      </w:r>
      <w:r>
        <w:rPr>
          <w:rFonts w:hint="eastAsia" w:cs="宋体"/>
          <w:color w:val="auto"/>
          <w:kern w:val="0"/>
          <w:szCs w:val="21"/>
          <w:highlight w:val="none"/>
        </w:rPr>
        <w:t>14</w:t>
      </w:r>
      <w:r>
        <w:rPr>
          <w:rFonts w:hint="eastAsia" w:ascii="宋体" w:hAnsi="宋体" w:cs="宋体"/>
          <w:color w:val="auto"/>
          <w:kern w:val="0"/>
          <w:szCs w:val="21"/>
          <w:highlight w:val="none"/>
        </w:rPr>
        <w:t>天内完成核查并报送发包人。发包人应在收到监理人提交的经审核的完工结算申请单后</w:t>
      </w:r>
      <w:r>
        <w:rPr>
          <w:rFonts w:hint="eastAsia" w:cs="宋体"/>
          <w:color w:val="auto"/>
          <w:kern w:val="0"/>
          <w:szCs w:val="21"/>
          <w:highlight w:val="none"/>
        </w:rPr>
        <w:t>14</w:t>
      </w:r>
      <w:r>
        <w:rPr>
          <w:rFonts w:hint="eastAsia" w:ascii="宋体" w:hAnsi="宋体" w:cs="宋体"/>
          <w:color w:val="auto"/>
          <w:kern w:val="0"/>
          <w:szCs w:val="21"/>
          <w:highlight w:val="none"/>
        </w:rPr>
        <w:t>天内完成审批，并由监理人向承包人签发经发包人签认的完工付款证书。监理人或</w:t>
      </w:r>
      <w:r>
        <w:rPr>
          <w:rFonts w:hint="eastAsia" w:ascii="宋体" w:hAnsi="宋体" w:cs="宋体"/>
          <w:color w:val="auto"/>
          <w:szCs w:val="21"/>
          <w:highlight w:val="none"/>
        </w:rPr>
        <w:t>发包人对完工</w:t>
      </w:r>
      <w:r>
        <w:rPr>
          <w:rFonts w:hint="eastAsia" w:ascii="宋体" w:hAnsi="宋体" w:cs="宋体"/>
          <w:color w:val="auto"/>
          <w:kern w:val="0"/>
          <w:szCs w:val="21"/>
          <w:highlight w:val="none"/>
        </w:rPr>
        <w:t>结算</w:t>
      </w:r>
      <w:r>
        <w:rPr>
          <w:rFonts w:hint="eastAsia" w:ascii="宋体" w:hAnsi="宋体" w:cs="宋体"/>
          <w:color w:val="auto"/>
          <w:szCs w:val="21"/>
          <w:highlight w:val="none"/>
        </w:rPr>
        <w:t>申请单有异议的，有权要求承包人进行修正和提供补充资料，承包人应提交修正后的竣工</w:t>
      </w:r>
      <w:r>
        <w:rPr>
          <w:rFonts w:hint="eastAsia" w:ascii="宋体" w:hAnsi="宋体" w:cs="宋体"/>
          <w:color w:val="auto"/>
          <w:kern w:val="0"/>
          <w:szCs w:val="21"/>
          <w:highlight w:val="none"/>
        </w:rPr>
        <w:t>结算</w:t>
      </w:r>
      <w:r>
        <w:rPr>
          <w:rFonts w:hint="eastAsia" w:ascii="宋体" w:hAnsi="宋体" w:cs="宋体"/>
          <w:color w:val="auto"/>
          <w:szCs w:val="21"/>
          <w:highlight w:val="none"/>
        </w:rPr>
        <w:t>申请单。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发包人在收到承包人提交完工结算申请书后</w:t>
      </w:r>
      <w:r>
        <w:rPr>
          <w:rFonts w:hint="eastAsia" w:cs="宋体"/>
          <w:color w:val="auto"/>
          <w:kern w:val="0"/>
          <w:szCs w:val="21"/>
          <w:highlight w:val="none"/>
        </w:rPr>
        <w:t>28</w:t>
      </w:r>
      <w:r>
        <w:rPr>
          <w:rFonts w:hint="eastAsia" w:ascii="宋体" w:hAnsi="宋体" w:cs="宋体"/>
          <w:color w:val="auto"/>
          <w:kern w:val="0"/>
          <w:szCs w:val="21"/>
          <w:highlight w:val="none"/>
        </w:rPr>
        <w:t>天内未完成审批且未提出异议的，视为发包人认可承包人提交的完工结算申请单，并自发包人收到承包人提交的完工结算申请单后第</w:t>
      </w:r>
      <w:r>
        <w:rPr>
          <w:rFonts w:hint="eastAsia" w:cs="宋体"/>
          <w:color w:val="auto"/>
          <w:kern w:val="0"/>
          <w:szCs w:val="21"/>
          <w:highlight w:val="none"/>
        </w:rPr>
        <w:t>29</w:t>
      </w:r>
      <w:r>
        <w:rPr>
          <w:rFonts w:hint="eastAsia" w:ascii="宋体" w:hAnsi="宋体" w:cs="宋体"/>
          <w:color w:val="auto"/>
          <w:kern w:val="0"/>
          <w:szCs w:val="21"/>
          <w:highlight w:val="none"/>
        </w:rPr>
        <w:t>天起视为已签发完工付款证书。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）除专用合同条款另有约定外，发包人应在签发完工付款证书后的</w:t>
      </w:r>
      <w:r>
        <w:rPr>
          <w:rFonts w:hint="eastAsia" w:cs="宋体"/>
          <w:color w:val="auto"/>
          <w:kern w:val="0"/>
          <w:szCs w:val="21"/>
          <w:highlight w:val="none"/>
        </w:rPr>
        <w:t>14</w:t>
      </w:r>
      <w:r>
        <w:rPr>
          <w:rFonts w:hint="eastAsia" w:ascii="宋体" w:hAnsi="宋体" w:cs="宋体"/>
          <w:color w:val="auto"/>
          <w:kern w:val="0"/>
          <w:szCs w:val="21"/>
          <w:highlight w:val="none"/>
        </w:rPr>
        <w:t xml:space="preserve"> 天内，完成对承包人的完工付款。发包人逾期支付的，按照中国人民银行发布的同期同类贷款基准利率支付违约金；逾期支付超过</w:t>
      </w:r>
      <w:r>
        <w:rPr>
          <w:rFonts w:hint="eastAsia" w:cs="宋体"/>
          <w:color w:val="auto"/>
          <w:kern w:val="0"/>
          <w:szCs w:val="21"/>
          <w:highlight w:val="none"/>
        </w:rPr>
        <w:t>56</w:t>
      </w:r>
      <w:r>
        <w:rPr>
          <w:rFonts w:hint="eastAsia" w:ascii="宋体" w:hAnsi="宋体" w:cs="宋体"/>
          <w:color w:val="auto"/>
          <w:kern w:val="0"/>
          <w:szCs w:val="21"/>
          <w:highlight w:val="none"/>
        </w:rPr>
        <w:t>天的，按照中国人民银行发布的同期同类贷款基准利率的两倍支付违约金。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）承包人对发包人签认的完工付款证书有异议的，对于有异议部分应在收到发包人签认的完工付款证书后</w:t>
      </w:r>
      <w:r>
        <w:rPr>
          <w:rFonts w:hint="eastAsia" w:cs="宋体"/>
          <w:color w:val="auto"/>
          <w:kern w:val="0"/>
          <w:szCs w:val="21"/>
          <w:highlight w:val="none"/>
        </w:rPr>
        <w:t>7</w:t>
      </w:r>
      <w:r>
        <w:rPr>
          <w:rFonts w:hint="eastAsia" w:ascii="宋体" w:hAnsi="宋体" w:cs="宋体"/>
          <w:color w:val="auto"/>
          <w:kern w:val="0"/>
          <w:szCs w:val="21"/>
          <w:highlight w:val="none"/>
        </w:rPr>
        <w:t>天内提出异议，并由合同当事人按照专用合同条款约定的方式和程序进行复核，或按照第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条〔争议解决〕约定处理。对于无异议部分，发包人应签发临时完工付款证书，并按本款第（</w:t>
      </w:r>
      <w:r>
        <w:rPr>
          <w:rFonts w:hint="eastAsia" w:cs="宋体"/>
          <w:color w:val="auto"/>
          <w:kern w:val="0"/>
          <w:szCs w:val="21"/>
          <w:highlight w:val="none"/>
        </w:rPr>
        <w:t>2</w:t>
      </w:r>
      <w:r>
        <w:rPr>
          <w:rFonts w:hint="eastAsia" w:ascii="宋体" w:hAnsi="宋体" w:cs="宋体"/>
          <w:color w:val="auto"/>
          <w:kern w:val="0"/>
          <w:szCs w:val="21"/>
          <w:highlight w:val="none"/>
        </w:rPr>
        <w:t>）项完成付款。承包人逾期未提出异议的，视为认可发包人的审批结果。</w:t>
      </w:r>
    </w:p>
    <w:p>
      <w:pPr>
        <w:spacing w:line="336" w:lineRule="auto"/>
        <w:ind w:firstLine="422" w:firstLineChars="200"/>
        <w:outlineLvl w:val="4"/>
        <w:rPr>
          <w:rFonts w:ascii="宋体" w:hAnsi="宋体" w:cs="宋体"/>
          <w:b/>
          <w:bCs/>
          <w:color w:val="auto"/>
          <w:szCs w:val="21"/>
          <w:highlight w:val="none"/>
        </w:rPr>
      </w:pPr>
      <w:bookmarkStart w:id="1545" w:name="_Toc351203596"/>
      <w:bookmarkStart w:id="1546" w:name="_Toc337558813"/>
      <w:r>
        <w:rPr>
          <w:rFonts w:hint="eastAsia" w:cs="宋体"/>
          <w:b/>
          <w:bCs/>
          <w:color w:val="auto"/>
          <w:szCs w:val="21"/>
          <w:highlight w:val="none"/>
        </w:rPr>
        <w:t>14</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甩项竣工协议</w:t>
      </w:r>
      <w:bookmarkEnd w:id="1545"/>
    </w:p>
    <w:bookmarkEnd w:id="1546"/>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发包人要求甩项竣工的，合同当事人应签订甩项竣工协议。在甩项竣工协议中应明确，合同当事人按照第</w:t>
      </w: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款〔竣工结算申请〕及</w:t>
      </w: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款〔竣工结算审核〕的约定，对已完合格工程进行结算，并支付相应合同价款。</w:t>
      </w:r>
    </w:p>
    <w:p>
      <w:pPr>
        <w:spacing w:line="336" w:lineRule="auto"/>
        <w:ind w:firstLine="422" w:firstLineChars="200"/>
        <w:outlineLvl w:val="4"/>
        <w:rPr>
          <w:rFonts w:ascii="宋体" w:hAnsi="宋体" w:cs="宋体"/>
          <w:b/>
          <w:bCs/>
          <w:color w:val="auto"/>
          <w:szCs w:val="21"/>
          <w:highlight w:val="none"/>
        </w:rPr>
      </w:pPr>
      <w:bookmarkStart w:id="1547" w:name="_Toc351203597"/>
      <w:bookmarkStart w:id="1548" w:name="_Toc337558814"/>
      <w:r>
        <w:rPr>
          <w:rFonts w:hint="eastAsia" w:cs="宋体"/>
          <w:b/>
          <w:bCs/>
          <w:color w:val="auto"/>
          <w:szCs w:val="21"/>
          <w:highlight w:val="none"/>
        </w:rPr>
        <w:t>14</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最终结清</w:t>
      </w:r>
      <w:bookmarkEnd w:id="1547"/>
    </w:p>
    <w:bookmarkEnd w:id="154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最终结清申请单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）除专用合同条款另有约定外，承包人应在缺陷责任期终止证书颁发后</w:t>
      </w:r>
      <w:r>
        <w:rPr>
          <w:rFonts w:hint="eastAsia" w:cs="宋体"/>
          <w:color w:val="auto"/>
          <w:kern w:val="0"/>
          <w:szCs w:val="21"/>
          <w:highlight w:val="none"/>
        </w:rPr>
        <w:t>7</w:t>
      </w:r>
      <w:r>
        <w:rPr>
          <w:rFonts w:hint="eastAsia" w:ascii="宋体" w:hAnsi="宋体" w:cs="宋体"/>
          <w:color w:val="auto"/>
          <w:kern w:val="0"/>
          <w:szCs w:val="21"/>
          <w:highlight w:val="none"/>
        </w:rPr>
        <w:t>天内，按专用合同条款约定的份数向发包人提交最终结清申请单，并提供相关证明材料。</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w:t>
      </w:r>
      <w:r>
        <w:rPr>
          <w:rFonts w:hint="eastAsia" w:ascii="宋体" w:hAnsi="宋体" w:cs="宋体"/>
          <w:color w:val="auto"/>
          <w:kern w:val="0"/>
          <w:szCs w:val="21"/>
          <w:highlight w:val="none"/>
        </w:rPr>
        <w:t>最终结清申请单</w:t>
      </w:r>
      <w:r>
        <w:rPr>
          <w:rFonts w:hint="eastAsia" w:ascii="宋体" w:hAnsi="宋体" w:cs="宋体"/>
          <w:color w:val="auto"/>
          <w:szCs w:val="21"/>
          <w:highlight w:val="none"/>
        </w:rPr>
        <w:t>应列明质量保证金、应扣除的质量保证金、缺陷责任期内发生的增减费用。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）发包人对最终结清申请单内容有异议的，有权要求承包人进行修正和提供补充资料，承包人应向发包人提交修正后的最终结清申请单。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最终结清证书和支付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）除专用合同条款另有约定外，发包人应在收到承包人提交的最终结清申请单后</w:t>
      </w:r>
      <w:r>
        <w:rPr>
          <w:rFonts w:hint="eastAsia" w:cs="宋体"/>
          <w:color w:val="auto"/>
          <w:kern w:val="0"/>
          <w:szCs w:val="21"/>
          <w:highlight w:val="none"/>
        </w:rPr>
        <w:t>14</w:t>
      </w:r>
      <w:r>
        <w:rPr>
          <w:rFonts w:hint="eastAsia" w:ascii="宋体" w:hAnsi="宋体" w:cs="宋体"/>
          <w:color w:val="auto"/>
          <w:kern w:val="0"/>
          <w:szCs w:val="21"/>
          <w:highlight w:val="none"/>
        </w:rPr>
        <w:t>天内完成审批并向承包人颁发最终结清证书。发包人逾期未完成审批，又未提出修改意见的，视为发包人同意承包人提交的最终结清申请单，且自发包人收到承包人提交的最终结清申请单后</w:t>
      </w:r>
      <w:r>
        <w:rPr>
          <w:rFonts w:hint="eastAsia" w:cs="宋体"/>
          <w:color w:val="auto"/>
          <w:kern w:val="0"/>
          <w:szCs w:val="21"/>
          <w:highlight w:val="none"/>
        </w:rPr>
        <w:t>15</w:t>
      </w:r>
      <w:r>
        <w:rPr>
          <w:rFonts w:hint="eastAsia" w:ascii="宋体" w:hAnsi="宋体" w:cs="宋体"/>
          <w:color w:val="auto"/>
          <w:kern w:val="0"/>
          <w:szCs w:val="21"/>
          <w:highlight w:val="none"/>
        </w:rPr>
        <w:t>天起视为已颁发最终结清证书。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）除专用合同条款另有约定外，发包人应在颁发最终结清证书后</w:t>
      </w:r>
      <w:r>
        <w:rPr>
          <w:rFonts w:hint="eastAsia" w:cs="宋体"/>
          <w:color w:val="auto"/>
          <w:kern w:val="0"/>
          <w:szCs w:val="21"/>
          <w:highlight w:val="none"/>
        </w:rPr>
        <w:t>7</w:t>
      </w:r>
      <w:r>
        <w:rPr>
          <w:rFonts w:hint="eastAsia" w:ascii="宋体" w:hAnsi="宋体" w:cs="宋体"/>
          <w:color w:val="auto"/>
          <w:kern w:val="0"/>
          <w:szCs w:val="21"/>
          <w:highlight w:val="none"/>
        </w:rPr>
        <w:t>天内完成支付。发包人逾期支付的，按照中国人民银行发布的同期同类贷款基准利率支付违约金；逾期支付超过</w:t>
      </w:r>
      <w:r>
        <w:rPr>
          <w:rFonts w:hint="eastAsia" w:cs="宋体"/>
          <w:color w:val="auto"/>
          <w:kern w:val="0"/>
          <w:szCs w:val="21"/>
          <w:highlight w:val="none"/>
        </w:rPr>
        <w:t>56</w:t>
      </w:r>
      <w:r>
        <w:rPr>
          <w:rFonts w:hint="eastAsia" w:ascii="宋体" w:hAnsi="宋体" w:cs="宋体"/>
          <w:color w:val="auto"/>
          <w:kern w:val="0"/>
          <w:szCs w:val="21"/>
          <w:highlight w:val="none"/>
        </w:rPr>
        <w:t>天的，按照中国人民银行发布的同期同类贷款基准利率的两倍支付违约金。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）承包人对发包人颁发的最终结清证书有异议的，按第</w:t>
      </w:r>
      <w:r>
        <w:rPr>
          <w:rFonts w:hint="eastAsia" w:cs="宋体"/>
          <w:color w:val="auto"/>
          <w:kern w:val="0"/>
          <w:szCs w:val="21"/>
          <w:highlight w:val="none"/>
        </w:rPr>
        <w:t>20</w:t>
      </w:r>
      <w:r>
        <w:rPr>
          <w:rFonts w:hint="eastAsia" w:ascii="宋体" w:hAnsi="宋体" w:cs="宋体"/>
          <w:color w:val="auto"/>
          <w:kern w:val="0"/>
          <w:szCs w:val="21"/>
          <w:highlight w:val="none"/>
        </w:rPr>
        <w:t>条〔争议解决〕的约定办理。</w:t>
      </w:r>
    </w:p>
    <w:p>
      <w:pPr>
        <w:pStyle w:val="5"/>
        <w:keepNext w:val="0"/>
        <w:keepLines w:val="0"/>
        <w:spacing w:line="336" w:lineRule="auto"/>
        <w:rPr>
          <w:rFonts w:ascii="宋体" w:hAnsi="宋体" w:eastAsia="宋体" w:cs="宋体"/>
          <w:color w:val="auto"/>
          <w:sz w:val="24"/>
          <w:szCs w:val="24"/>
          <w:highlight w:val="none"/>
        </w:rPr>
      </w:pPr>
      <w:bookmarkStart w:id="1549" w:name="_Toc351203598"/>
      <w:bookmarkStart w:id="1550" w:name="_Toc337558815"/>
      <w:r>
        <w:rPr>
          <w:rFonts w:hint="eastAsia" w:ascii="Times New Roman" w:hAnsi="Times New Roman" w:eastAsia="宋体" w:cs="宋体"/>
          <w:color w:val="auto"/>
          <w:sz w:val="24"/>
          <w:szCs w:val="24"/>
          <w:highlight w:val="none"/>
        </w:rPr>
        <w:t>15</w:t>
      </w:r>
      <w:r>
        <w:rPr>
          <w:rFonts w:hint="eastAsia" w:ascii="宋体" w:hAnsi="宋体" w:eastAsia="宋体" w:cs="宋体"/>
          <w:color w:val="auto"/>
          <w:sz w:val="24"/>
          <w:szCs w:val="24"/>
          <w:highlight w:val="none"/>
        </w:rPr>
        <w:t>. 缺陷责任与保修</w:t>
      </w:r>
      <w:bookmarkEnd w:id="1549"/>
    </w:p>
    <w:bookmarkEnd w:id="1539"/>
    <w:bookmarkEnd w:id="1540"/>
    <w:bookmarkEnd w:id="1550"/>
    <w:p>
      <w:pPr>
        <w:spacing w:line="336" w:lineRule="auto"/>
        <w:ind w:firstLine="422" w:firstLineChars="200"/>
        <w:outlineLvl w:val="4"/>
        <w:rPr>
          <w:rFonts w:ascii="宋体" w:hAnsi="宋体" w:cs="宋体"/>
          <w:b/>
          <w:bCs/>
          <w:color w:val="auto"/>
          <w:szCs w:val="21"/>
          <w:highlight w:val="none"/>
        </w:rPr>
      </w:pPr>
      <w:bookmarkStart w:id="1551" w:name="_Toc351203599"/>
      <w:bookmarkStart w:id="1552" w:name="_Toc337558816"/>
      <w:bookmarkStart w:id="1553" w:name="_Toc296346615"/>
      <w:bookmarkStart w:id="1554" w:name="_Toc296503114"/>
      <w:r>
        <w:rPr>
          <w:rFonts w:hint="eastAsia" w:cs="宋体"/>
          <w:b/>
          <w:bCs/>
          <w:color w:val="auto"/>
          <w:szCs w:val="21"/>
          <w:highlight w:val="none"/>
        </w:rPr>
        <w:t>15</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工程保修的原则</w:t>
      </w:r>
      <w:bookmarkEnd w:id="1551"/>
    </w:p>
    <w:bookmarkEnd w:id="1552"/>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spacing w:line="336" w:lineRule="auto"/>
        <w:ind w:firstLine="422" w:firstLineChars="200"/>
        <w:outlineLvl w:val="4"/>
        <w:rPr>
          <w:rFonts w:ascii="宋体" w:hAnsi="宋体" w:cs="宋体"/>
          <w:b/>
          <w:bCs/>
          <w:color w:val="auto"/>
          <w:szCs w:val="21"/>
          <w:highlight w:val="none"/>
        </w:rPr>
      </w:pPr>
      <w:bookmarkStart w:id="1555" w:name="_Toc351203600"/>
      <w:bookmarkStart w:id="1556" w:name="_Toc337558817"/>
      <w:r>
        <w:rPr>
          <w:rFonts w:hint="eastAsia" w:cs="宋体"/>
          <w:b/>
          <w:bCs/>
          <w:color w:val="auto"/>
          <w:szCs w:val="21"/>
          <w:highlight w:val="none"/>
        </w:rPr>
        <w:t>15</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缺陷责任期</w:t>
      </w:r>
      <w:bookmarkEnd w:id="1553"/>
      <w:bookmarkEnd w:id="1554"/>
      <w:bookmarkEnd w:id="1555"/>
    </w:p>
    <w:bookmarkEnd w:id="1556"/>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缺陷责任期从工程通过竣工验收之日起计算，合同当事人应在专用合同条款约定缺陷责任期的具体期限，但该期限最长不超过</w:t>
      </w:r>
      <w:r>
        <w:rPr>
          <w:rFonts w:hint="eastAsia" w:cs="宋体"/>
          <w:color w:val="auto"/>
          <w:kern w:val="0"/>
          <w:szCs w:val="21"/>
          <w:highlight w:val="none"/>
        </w:rPr>
        <w:t>24</w:t>
      </w:r>
      <w:r>
        <w:rPr>
          <w:rFonts w:hint="eastAsia" w:ascii="宋体" w:hAnsi="宋体" w:cs="宋体"/>
          <w:color w:val="auto"/>
          <w:kern w:val="0"/>
          <w:szCs w:val="21"/>
          <w:highlight w:val="none"/>
        </w:rPr>
        <w:t>个月。</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hint="eastAsia" w:cs="宋体"/>
          <w:color w:val="auto"/>
          <w:kern w:val="0"/>
          <w:szCs w:val="21"/>
          <w:highlight w:val="none"/>
        </w:rPr>
        <w:t>90</w:t>
      </w:r>
      <w:r>
        <w:rPr>
          <w:rFonts w:hint="eastAsia" w:ascii="宋体" w:hAnsi="宋体" w:cs="宋体"/>
          <w:color w:val="auto"/>
          <w:kern w:val="0"/>
          <w:szCs w:val="21"/>
          <w:highlight w:val="none"/>
        </w:rPr>
        <w:t>天后，工程自动进入缺陷责任期；发包人未经竣工验收擅自使用工程的，缺陷责任期自工程转移占有之日起开始计算。</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auto"/>
          <w:szCs w:val="21"/>
          <w:highlight w:val="none"/>
        </w:rPr>
        <w:t>包人延长缺陷责任期，</w:t>
      </w:r>
      <w:r>
        <w:rPr>
          <w:rFonts w:hint="eastAsia" w:ascii="宋体" w:hAnsi="宋体" w:cs="宋体"/>
          <w:color w:val="auto"/>
          <w:kern w:val="0"/>
          <w:szCs w:val="21"/>
          <w:highlight w:val="none"/>
        </w:rPr>
        <w:t>并应在原缺陷责任期届满前发出延长通知。</w:t>
      </w:r>
      <w:r>
        <w:rPr>
          <w:rFonts w:hint="eastAsia" w:ascii="宋体" w:hAnsi="宋体" w:cs="宋体"/>
          <w:bCs/>
          <w:color w:val="auto"/>
          <w:szCs w:val="21"/>
          <w:highlight w:val="none"/>
        </w:rPr>
        <w:t>但缺陷责任期（含延长部分）最长</w:t>
      </w:r>
      <w:r>
        <w:rPr>
          <w:rFonts w:hint="eastAsia" w:ascii="宋体" w:hAnsi="宋体" w:cs="宋体"/>
          <w:color w:val="auto"/>
          <w:kern w:val="0"/>
          <w:szCs w:val="21"/>
          <w:highlight w:val="none"/>
        </w:rPr>
        <w:t>不能超过</w:t>
      </w:r>
      <w:r>
        <w:rPr>
          <w:rFonts w:hint="eastAsia" w:cs="宋体"/>
          <w:color w:val="auto"/>
          <w:kern w:val="0"/>
          <w:szCs w:val="21"/>
          <w:highlight w:val="none"/>
        </w:rPr>
        <w:t>24</w:t>
      </w:r>
      <w:r>
        <w:rPr>
          <w:rFonts w:hint="eastAsia" w:ascii="宋体" w:hAnsi="宋体" w:cs="宋体"/>
          <w:color w:val="auto"/>
          <w:kern w:val="0"/>
          <w:szCs w:val="21"/>
          <w:highlight w:val="none"/>
        </w:rPr>
        <w:t>个月。</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由他人原因造成的缺陷，发包人负责组织维修，承包人不承担费用，且发包人不得从保证金中扣除费用。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除专用合同条款另有约定外，承包人应于缺陷责任期届满后</w:t>
      </w:r>
      <w:r>
        <w:rPr>
          <w:rFonts w:hint="eastAsia" w:cs="宋体"/>
          <w:color w:val="auto"/>
          <w:kern w:val="0"/>
          <w:szCs w:val="21"/>
          <w:highlight w:val="none"/>
        </w:rPr>
        <w:t>7</w:t>
      </w:r>
      <w:r>
        <w:rPr>
          <w:rFonts w:hint="eastAsia" w:ascii="宋体" w:hAnsi="宋体" w:cs="宋体"/>
          <w:color w:val="auto"/>
          <w:kern w:val="0"/>
          <w:szCs w:val="21"/>
          <w:highlight w:val="none"/>
        </w:rPr>
        <w:t>天内向发包人发出缺陷责任期届满通知，发包人应在收到缺陷责任期满通知后</w:t>
      </w:r>
      <w:r>
        <w:rPr>
          <w:rFonts w:hint="eastAsia" w:cs="宋体"/>
          <w:color w:val="auto"/>
          <w:kern w:val="0"/>
          <w:szCs w:val="21"/>
          <w:highlight w:val="none"/>
        </w:rPr>
        <w:t>14</w:t>
      </w:r>
      <w:r>
        <w:rPr>
          <w:rFonts w:hint="eastAsia" w:ascii="宋体" w:hAnsi="宋体" w:cs="宋体"/>
          <w:color w:val="auto"/>
          <w:kern w:val="0"/>
          <w:szCs w:val="21"/>
          <w:highlight w:val="none"/>
        </w:rPr>
        <w:t>天内核实承包人是否履行缺陷修复义务，承包人未能履行缺陷修复义务的，发包人有权扣除相应金额的维修费用。发包人应在收到缺陷责任期届满通知后</w:t>
      </w:r>
      <w:r>
        <w:rPr>
          <w:rFonts w:hint="eastAsia" w:cs="宋体"/>
          <w:color w:val="auto"/>
          <w:kern w:val="0"/>
          <w:szCs w:val="21"/>
          <w:highlight w:val="none"/>
        </w:rPr>
        <w:t>14</w:t>
      </w:r>
      <w:r>
        <w:rPr>
          <w:rFonts w:hint="eastAsia" w:ascii="宋体" w:hAnsi="宋体" w:cs="宋体"/>
          <w:color w:val="auto"/>
          <w:kern w:val="0"/>
          <w:szCs w:val="21"/>
          <w:highlight w:val="none"/>
        </w:rPr>
        <w:t>天内，向承包人颁发缺陷责任期终止证书。</w:t>
      </w:r>
    </w:p>
    <w:p>
      <w:pPr>
        <w:spacing w:line="336" w:lineRule="auto"/>
        <w:ind w:firstLine="422" w:firstLineChars="200"/>
        <w:outlineLvl w:val="4"/>
        <w:rPr>
          <w:rFonts w:ascii="宋体" w:hAnsi="宋体" w:cs="宋体"/>
          <w:b/>
          <w:bCs/>
          <w:color w:val="auto"/>
          <w:szCs w:val="21"/>
          <w:highlight w:val="none"/>
        </w:rPr>
      </w:pPr>
      <w:bookmarkStart w:id="1557" w:name="_Toc351203601"/>
      <w:bookmarkStart w:id="1558" w:name="_Toc337558818"/>
      <w:bookmarkStart w:id="1559" w:name="_Toc296503115"/>
      <w:bookmarkStart w:id="1560" w:name="_Toc296346616"/>
      <w:r>
        <w:rPr>
          <w:rFonts w:hint="eastAsia" w:cs="宋体"/>
          <w:b/>
          <w:bCs/>
          <w:color w:val="auto"/>
          <w:szCs w:val="21"/>
          <w:highlight w:val="none"/>
        </w:rPr>
        <w:t>15</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质量保证金</w:t>
      </w:r>
      <w:bookmarkEnd w:id="1557"/>
    </w:p>
    <w:bookmarkEnd w:id="155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经合同当事人协商一致扣留质量保证金的，应在专用合同条款中予以明确。</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在工程项目竣工前，承包人已经提供履约担保的，发包人不得同时预留工程质量保证金。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承包人提供质量保证金的方式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承包人提供质量保证金有以下三种方式：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）质量保证金保函；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）相应比例的工程款；</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）双方约定的其他方式。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除专用合同条款另有约定外，质量保证金原则上采用上述第（</w:t>
      </w:r>
      <w:r>
        <w:rPr>
          <w:rFonts w:hint="eastAsia" w:cs="宋体"/>
          <w:color w:val="auto"/>
          <w:kern w:val="0"/>
          <w:szCs w:val="21"/>
          <w:highlight w:val="none"/>
        </w:rPr>
        <w:t>1</w:t>
      </w:r>
      <w:r>
        <w:rPr>
          <w:rFonts w:hint="eastAsia" w:ascii="宋体" w:hAnsi="宋体" w:cs="宋体"/>
          <w:color w:val="auto"/>
          <w:kern w:val="0"/>
          <w:szCs w:val="21"/>
          <w:highlight w:val="none"/>
        </w:rPr>
        <w:t>）种方式。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质量保证金的扣留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质量保证金的扣留有以下三种方式：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）在支付工程进度款时逐次扣留，在此情形下，质量保证金的计算基数不包括预付款的支付、扣回以及价格调整的金额；</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）工</w:t>
      </w:r>
      <w:bookmarkStart w:id="1561" w:name="#go6"/>
      <w:bookmarkEnd w:id="1561"/>
      <w:r>
        <w:rPr>
          <w:rFonts w:hint="eastAsia" w:ascii="宋体" w:hAnsi="宋体" w:cs="宋体"/>
          <w:color w:val="auto"/>
          <w:kern w:val="0"/>
          <w:szCs w:val="21"/>
          <w:highlight w:val="none"/>
        </w:rPr>
        <w:t>程竣工结算时一次性扣留质量保证金；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）双方约定的其他扣留方式。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除专用合同条款另有约定外，质量保证金的扣留原则上采用上述第（</w:t>
      </w:r>
      <w:r>
        <w:rPr>
          <w:rFonts w:hint="eastAsia" w:cs="宋体"/>
          <w:color w:val="auto"/>
          <w:kern w:val="0"/>
          <w:szCs w:val="21"/>
          <w:highlight w:val="none"/>
        </w:rPr>
        <w:t>1</w:t>
      </w:r>
      <w:r>
        <w:rPr>
          <w:rFonts w:hint="eastAsia" w:ascii="宋体" w:hAnsi="宋体" w:cs="宋体"/>
          <w:color w:val="auto"/>
          <w:kern w:val="0"/>
          <w:szCs w:val="21"/>
          <w:highlight w:val="none"/>
        </w:rPr>
        <w:t>）种方式。</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w:t>
      </w:r>
      <w:bookmarkStart w:id="1562" w:name="#go4"/>
      <w:bookmarkEnd w:id="1562"/>
      <w:r>
        <w:rPr>
          <w:rFonts w:hint="eastAsia" w:ascii="宋体" w:hAnsi="宋体" w:cs="宋体"/>
          <w:color w:val="auto"/>
          <w:kern w:val="0"/>
          <w:szCs w:val="21"/>
          <w:highlight w:val="none"/>
        </w:rPr>
        <w:t>包人累计扣留的质量保证金不得超过工程价款结算总额的</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。如承包人在发包人签发竣工付款证书后</w:t>
      </w:r>
      <w:r>
        <w:rPr>
          <w:rFonts w:hint="eastAsia" w:cs="宋体"/>
          <w:color w:val="auto"/>
          <w:kern w:val="0"/>
          <w:szCs w:val="21"/>
          <w:highlight w:val="none"/>
        </w:rPr>
        <w:t>28</w:t>
      </w:r>
      <w:r>
        <w:rPr>
          <w:rFonts w:hint="eastAsia" w:ascii="宋体" w:hAnsi="宋体" w:cs="宋体"/>
          <w:color w:val="auto"/>
          <w:kern w:val="0"/>
          <w:szCs w:val="21"/>
          <w:highlight w:val="none"/>
        </w:rPr>
        <w:t>天内提交质量保证金保函，发包人应同时退还扣留的作为质量保证金的工程价款；保函金额不得超过工程价款结算总额的</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发包人在退还质量保证金的同时按照中国人民银行发布的同期同类贷款基准利率支付利息。</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质量保证金</w:t>
      </w:r>
      <w:r>
        <w:rPr>
          <w:rFonts w:hint="eastAsia" w:ascii="宋体" w:hAnsi="宋体" w:cs="宋体"/>
          <w:color w:val="auto"/>
          <w:kern w:val="0"/>
          <w:szCs w:val="21"/>
          <w:highlight w:val="none"/>
        </w:rPr>
        <w:t>的退还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缺陷责任期内，承包人认真履行合同约定的责任，到期后，承包人可向发包人申请返还保证金。</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发包人在接到承包人返还保证金申请后，应于</w:t>
      </w:r>
      <w:r>
        <w:rPr>
          <w:rFonts w:hint="eastAsia" w:cs="宋体"/>
          <w:color w:val="auto"/>
          <w:kern w:val="0"/>
          <w:szCs w:val="21"/>
          <w:highlight w:val="none"/>
        </w:rPr>
        <w:t>14</w:t>
      </w:r>
      <w:r>
        <w:rPr>
          <w:rFonts w:hint="eastAsia" w:ascii="宋体" w:hAnsi="宋体" w:cs="宋体"/>
          <w:color w:val="auto"/>
          <w:kern w:val="0"/>
          <w:szCs w:val="21"/>
          <w:highlight w:val="none"/>
        </w:rPr>
        <w:t>天内会同承包人按照合同约定的内容进行核实。如无异议，发包人应当按照约定将保证金返还给承包人。对返还期限没有约定或者约定不明确的，发包人应当在核实后</w:t>
      </w:r>
      <w:r>
        <w:rPr>
          <w:rFonts w:hint="eastAsia" w:cs="宋体"/>
          <w:color w:val="auto"/>
          <w:kern w:val="0"/>
          <w:szCs w:val="21"/>
          <w:highlight w:val="none"/>
        </w:rPr>
        <w:t>14</w:t>
      </w:r>
      <w:r>
        <w:rPr>
          <w:rFonts w:hint="eastAsia" w:ascii="宋体" w:hAnsi="宋体" w:cs="宋体"/>
          <w:color w:val="auto"/>
          <w:kern w:val="0"/>
          <w:szCs w:val="21"/>
          <w:highlight w:val="none"/>
        </w:rPr>
        <w:t>天内将保证金返还承包人，逾期未返还的，依法承担违约责任。发包人在接到承包人返还保证金申请后</w:t>
      </w:r>
      <w:r>
        <w:rPr>
          <w:rFonts w:hint="eastAsia" w:cs="宋体"/>
          <w:color w:val="auto"/>
          <w:kern w:val="0"/>
          <w:szCs w:val="21"/>
          <w:highlight w:val="none"/>
        </w:rPr>
        <w:t>14</w:t>
      </w:r>
      <w:r>
        <w:rPr>
          <w:rFonts w:hint="eastAsia" w:ascii="宋体" w:hAnsi="宋体" w:cs="宋体"/>
          <w:color w:val="auto"/>
          <w:kern w:val="0"/>
          <w:szCs w:val="21"/>
          <w:highlight w:val="none"/>
        </w:rPr>
        <w:t>天内不予答复，经催告后</w:t>
      </w:r>
      <w:r>
        <w:rPr>
          <w:rFonts w:hint="eastAsia" w:cs="宋体"/>
          <w:color w:val="auto"/>
          <w:kern w:val="0"/>
          <w:szCs w:val="21"/>
          <w:highlight w:val="none"/>
        </w:rPr>
        <w:t>14</w:t>
      </w:r>
      <w:r>
        <w:rPr>
          <w:rFonts w:hint="eastAsia" w:ascii="宋体" w:hAnsi="宋体" w:cs="宋体"/>
          <w:color w:val="auto"/>
          <w:kern w:val="0"/>
          <w:szCs w:val="21"/>
          <w:highlight w:val="none"/>
        </w:rPr>
        <w:t>天内仍不予答复，视同认可承包人的返还保证金申请。</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发包人和承包人对保证金预留、返还以及工程维修质量、费用有争议的，按本合同第</w:t>
      </w:r>
      <w:r>
        <w:rPr>
          <w:rFonts w:hint="eastAsia" w:cs="宋体"/>
          <w:color w:val="auto"/>
          <w:kern w:val="0"/>
          <w:szCs w:val="21"/>
          <w:highlight w:val="none"/>
        </w:rPr>
        <w:t>20</w:t>
      </w:r>
      <w:r>
        <w:rPr>
          <w:rFonts w:hint="eastAsia" w:ascii="宋体" w:hAnsi="宋体" w:cs="宋体"/>
          <w:color w:val="auto"/>
          <w:kern w:val="0"/>
          <w:szCs w:val="21"/>
          <w:highlight w:val="none"/>
        </w:rPr>
        <w:t>条约定的争议和纠纷解决程序处理。</w:t>
      </w:r>
    </w:p>
    <w:p>
      <w:pPr>
        <w:spacing w:line="336" w:lineRule="auto"/>
        <w:ind w:firstLine="422" w:firstLineChars="200"/>
        <w:outlineLvl w:val="4"/>
        <w:rPr>
          <w:rFonts w:ascii="宋体" w:hAnsi="宋体" w:cs="宋体"/>
          <w:b/>
          <w:bCs/>
          <w:color w:val="auto"/>
          <w:szCs w:val="21"/>
          <w:highlight w:val="none"/>
        </w:rPr>
      </w:pPr>
      <w:bookmarkStart w:id="1563" w:name="_Toc351203602"/>
      <w:bookmarkStart w:id="1564" w:name="_Toc337558819"/>
      <w:r>
        <w:rPr>
          <w:rFonts w:hint="eastAsia" w:cs="宋体"/>
          <w:b/>
          <w:bCs/>
          <w:color w:val="auto"/>
          <w:szCs w:val="21"/>
          <w:highlight w:val="none"/>
        </w:rPr>
        <w:t>15</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保修</w:t>
      </w:r>
      <w:bookmarkEnd w:id="1563"/>
    </w:p>
    <w:bookmarkEnd w:id="1559"/>
    <w:bookmarkEnd w:id="1560"/>
    <w:bookmarkEnd w:id="1564"/>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保修责任</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发包人未经竣工验收擅自使用工程的，保修期自</w:t>
      </w:r>
      <w:r>
        <w:rPr>
          <w:rFonts w:hint="eastAsia" w:ascii="宋体" w:hAnsi="宋体" w:cs="宋体"/>
          <w:color w:val="auto"/>
          <w:kern w:val="0"/>
          <w:szCs w:val="21"/>
          <w:highlight w:val="none"/>
        </w:rPr>
        <w:t>转移占有之日起算</w:t>
      </w:r>
      <w:r>
        <w:rPr>
          <w:rFonts w:hint="eastAsia" w:ascii="宋体" w:hAnsi="宋体" w:cs="宋体"/>
          <w:color w:val="auto"/>
          <w:szCs w:val="21"/>
          <w:highlight w:val="none"/>
        </w:rPr>
        <w:t>。</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修复费用</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保修期内，修复的费用按照以下约定处理：</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）保修期内，因承包人原因造成工程的缺陷、损坏，承包人应负责修复，并承担修复的费用以及因工程的缺陷、损坏造成的人身伤害和财产损失；</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）保修期内，因发包人使用不当造成工程的缺陷、损坏，可以委托承包人修复，但发包人应承担修复的费用，并支付承包人合理利润；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）因其他原因造成工程的缺陷、损坏，可以委托承包人修复，发包人应承担修复的费用，并支付承包人合理的利润，因工程的缺陷、损坏造成的人身伤害和财产损失由责任方承担。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修复通知</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w:t>
      </w:r>
      <w:r>
        <w:rPr>
          <w:rFonts w:hint="eastAsia" w:cs="宋体"/>
          <w:color w:val="auto"/>
          <w:kern w:val="0"/>
          <w:szCs w:val="21"/>
          <w:highlight w:val="none"/>
        </w:rPr>
        <w:t>48</w:t>
      </w:r>
      <w:r>
        <w:rPr>
          <w:rFonts w:hint="eastAsia" w:ascii="宋体" w:hAnsi="宋体" w:cs="宋体"/>
          <w:color w:val="auto"/>
          <w:kern w:val="0"/>
          <w:szCs w:val="21"/>
          <w:highlight w:val="none"/>
        </w:rPr>
        <w:t>小时内书面确认，承包人应在专用合同条款约定的合理期限内到达工程现场并修复缺陷或损坏。</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未能修复</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15</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 xml:space="preserve"> 承包人出入权</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在保修期内，为了修复缺陷或损坏，承包人有权出入工程现场，除情况紧急必须立即修复缺陷或损坏外，承包人应提前</w:t>
      </w:r>
      <w:r>
        <w:rPr>
          <w:rFonts w:hint="eastAsia" w:cs="宋体"/>
          <w:color w:val="auto"/>
          <w:kern w:val="0"/>
          <w:szCs w:val="21"/>
          <w:highlight w:val="none"/>
        </w:rPr>
        <w:t>24</w:t>
      </w:r>
      <w:r>
        <w:rPr>
          <w:rFonts w:hint="eastAsia" w:ascii="宋体" w:hAnsi="宋体" w:cs="宋体"/>
          <w:color w:val="auto"/>
          <w:kern w:val="0"/>
          <w:szCs w:val="21"/>
          <w:highlight w:val="none"/>
        </w:rPr>
        <w:t>小时通知发包人进场修复的时间。承包人进入工程现场前应获得发包人同意，且不应影响发包人正常的生产经营，并应遵守发包人有关保安和保密等规定。</w:t>
      </w:r>
    </w:p>
    <w:p>
      <w:pPr>
        <w:pStyle w:val="5"/>
        <w:keepNext w:val="0"/>
        <w:keepLines w:val="0"/>
        <w:spacing w:line="336" w:lineRule="auto"/>
        <w:rPr>
          <w:rFonts w:ascii="宋体" w:hAnsi="宋体" w:eastAsia="宋体" w:cs="宋体"/>
          <w:color w:val="auto"/>
          <w:sz w:val="24"/>
          <w:szCs w:val="24"/>
          <w:highlight w:val="none"/>
        </w:rPr>
      </w:pPr>
      <w:bookmarkStart w:id="1565" w:name="_Toc351203603"/>
      <w:bookmarkStart w:id="1566" w:name="_Toc337558820"/>
      <w:r>
        <w:rPr>
          <w:rFonts w:hint="eastAsia" w:ascii="Times New Roman" w:hAnsi="Times New Roman" w:eastAsia="宋体" w:cs="宋体"/>
          <w:color w:val="auto"/>
          <w:sz w:val="24"/>
          <w:szCs w:val="24"/>
          <w:highlight w:val="none"/>
        </w:rPr>
        <w:t>16</w:t>
      </w:r>
      <w:r>
        <w:rPr>
          <w:rFonts w:hint="eastAsia" w:ascii="宋体" w:hAnsi="宋体" w:eastAsia="宋体" w:cs="宋体"/>
          <w:color w:val="auto"/>
          <w:sz w:val="24"/>
          <w:szCs w:val="24"/>
          <w:highlight w:val="none"/>
        </w:rPr>
        <w:t>. 违约</w:t>
      </w:r>
      <w:bookmarkEnd w:id="1565"/>
    </w:p>
    <w:bookmarkEnd w:id="1566"/>
    <w:p>
      <w:pPr>
        <w:spacing w:line="336" w:lineRule="auto"/>
        <w:ind w:firstLine="422" w:firstLineChars="200"/>
        <w:outlineLvl w:val="4"/>
        <w:rPr>
          <w:rFonts w:ascii="宋体" w:hAnsi="宋体" w:cs="宋体"/>
          <w:b/>
          <w:bCs/>
          <w:color w:val="auto"/>
          <w:szCs w:val="21"/>
          <w:highlight w:val="none"/>
        </w:rPr>
      </w:pPr>
      <w:bookmarkStart w:id="1567" w:name="_Toc296346630"/>
      <w:bookmarkStart w:id="1568" w:name="_Toc296503129"/>
      <w:bookmarkStart w:id="1569" w:name="_Toc351203604"/>
      <w:bookmarkStart w:id="1570" w:name="_Toc337558821"/>
      <w:r>
        <w:rPr>
          <w:rFonts w:hint="eastAsia" w:cs="宋体"/>
          <w:b/>
          <w:bCs/>
          <w:color w:val="auto"/>
          <w:szCs w:val="21"/>
          <w:highlight w:val="none"/>
        </w:rPr>
        <w:t>16</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发</w:t>
      </w:r>
      <w:bookmarkEnd w:id="1567"/>
      <w:bookmarkEnd w:id="1568"/>
      <w:r>
        <w:rPr>
          <w:rFonts w:hint="eastAsia" w:ascii="宋体" w:hAnsi="宋体" w:cs="宋体"/>
          <w:b/>
          <w:bCs/>
          <w:color w:val="auto"/>
          <w:szCs w:val="21"/>
          <w:highlight w:val="none"/>
        </w:rPr>
        <w:t>包人违约</w:t>
      </w:r>
      <w:bookmarkEnd w:id="1569"/>
    </w:p>
    <w:bookmarkEnd w:id="157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发包人违约的情形</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在合同履行过程中发生的下列情形，属于发包人违约：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）因发包人原因未能在计划开工日期前</w:t>
      </w:r>
      <w:r>
        <w:rPr>
          <w:rFonts w:hint="eastAsia" w:cs="宋体"/>
          <w:color w:val="auto"/>
          <w:kern w:val="0"/>
          <w:szCs w:val="21"/>
          <w:highlight w:val="none"/>
        </w:rPr>
        <w:t>7</w:t>
      </w:r>
      <w:r>
        <w:rPr>
          <w:rFonts w:hint="eastAsia" w:ascii="宋体" w:hAnsi="宋体" w:cs="宋体"/>
          <w:color w:val="auto"/>
          <w:kern w:val="0"/>
          <w:szCs w:val="21"/>
          <w:highlight w:val="none"/>
        </w:rPr>
        <w:t>天内下达开工通知的；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）因发包人原因未能按合同约定支付合同价款的；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）发包人违反第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款〔变更的范围〕第（</w:t>
      </w:r>
      <w:r>
        <w:rPr>
          <w:rFonts w:hint="eastAsia" w:cs="宋体"/>
          <w:color w:val="auto"/>
          <w:kern w:val="0"/>
          <w:szCs w:val="21"/>
          <w:highlight w:val="none"/>
        </w:rPr>
        <w:t>2</w:t>
      </w:r>
      <w:r>
        <w:rPr>
          <w:rFonts w:hint="eastAsia" w:ascii="宋体" w:hAnsi="宋体" w:cs="宋体"/>
          <w:color w:val="auto"/>
          <w:kern w:val="0"/>
          <w:szCs w:val="21"/>
          <w:highlight w:val="none"/>
        </w:rPr>
        <w:t>）项约定，自行实施被取消的工作或转由他人实施的；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）发包人提供的材料、工程设备的规格、数量或质量不符合合同约定，或因发包人原因导致交货日期延误或交货地点变更等情况的；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）因发包人违反合同约定造成暂停施工的；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）发包人无正当理由没有在约定期限内发出复工指示，导致承包人无法复工的；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）发包人明确表示或者以其行为表明不履行合同主要义务的；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）发包人未能按照合同约定履行其他义务的。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发包人发生除本项第（</w:t>
      </w:r>
      <w:r>
        <w:rPr>
          <w:rFonts w:hint="eastAsia" w:cs="宋体"/>
          <w:color w:val="auto"/>
          <w:kern w:val="0"/>
          <w:szCs w:val="21"/>
          <w:highlight w:val="none"/>
        </w:rPr>
        <w:t>7</w:t>
      </w:r>
      <w:r>
        <w:rPr>
          <w:rFonts w:hint="eastAsia" w:ascii="宋体" w:hAnsi="宋体" w:cs="宋体"/>
          <w:color w:val="auto"/>
          <w:kern w:val="0"/>
          <w:szCs w:val="21"/>
          <w:highlight w:val="none"/>
        </w:rPr>
        <w:t>）目以外的违约情况时，承包人可向发包人发出通知，要求发包人采取有效措施纠正违约行为。发包人收到承包人通知后</w:t>
      </w:r>
      <w:r>
        <w:rPr>
          <w:rFonts w:hint="eastAsia" w:cs="宋体"/>
          <w:color w:val="auto"/>
          <w:kern w:val="0"/>
          <w:szCs w:val="21"/>
          <w:highlight w:val="none"/>
        </w:rPr>
        <w:t>28</w:t>
      </w:r>
      <w:r>
        <w:rPr>
          <w:rFonts w:hint="eastAsia" w:ascii="宋体" w:hAnsi="宋体" w:cs="宋体"/>
          <w:color w:val="auto"/>
          <w:kern w:val="0"/>
          <w:szCs w:val="21"/>
          <w:highlight w:val="none"/>
        </w:rPr>
        <w:t>天内仍不纠正违约行为的，承包人有权暂停相应部位工程施工，并通知监理人。</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发包人违约的责任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因发包人违约解除合同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除专用合同条款另有约定外，承包人按第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项〔发包人违约的情形〕约定暂停施工满</w:t>
      </w:r>
      <w:r>
        <w:rPr>
          <w:rFonts w:hint="eastAsia" w:cs="宋体"/>
          <w:color w:val="auto"/>
          <w:kern w:val="0"/>
          <w:szCs w:val="21"/>
          <w:highlight w:val="none"/>
        </w:rPr>
        <w:t>28</w:t>
      </w:r>
      <w:r>
        <w:rPr>
          <w:rFonts w:hint="eastAsia" w:ascii="宋体" w:hAnsi="宋体" w:cs="宋体"/>
          <w:color w:val="auto"/>
          <w:kern w:val="0"/>
          <w:szCs w:val="21"/>
          <w:highlight w:val="none"/>
        </w:rPr>
        <w:t>天后，发包人仍不纠正其违约行为并致使合同目的不能实现的，或出现第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项〔发包人违约的情形〕第（</w:t>
      </w:r>
      <w:r>
        <w:rPr>
          <w:rFonts w:hint="eastAsia" w:cs="宋体"/>
          <w:color w:val="auto"/>
          <w:kern w:val="0"/>
          <w:szCs w:val="21"/>
          <w:highlight w:val="none"/>
        </w:rPr>
        <w:t>7</w:t>
      </w:r>
      <w:r>
        <w:rPr>
          <w:rFonts w:hint="eastAsia" w:ascii="宋体" w:hAnsi="宋体" w:cs="宋体"/>
          <w:color w:val="auto"/>
          <w:kern w:val="0"/>
          <w:szCs w:val="21"/>
          <w:highlight w:val="none"/>
        </w:rPr>
        <w:t>）目约定的违约情况，承包人有权解除合同，发包人应承担由此增加的费用，并支付承包人合理的利润。</w:t>
      </w:r>
    </w:p>
    <w:p>
      <w:pPr>
        <w:autoSpaceDE w:val="0"/>
        <w:autoSpaceDN w:val="0"/>
        <w:adjustRightInd w:val="0"/>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因发包人违约解除合同后的付款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承包人按照本款约定解除合同的，发包人应在解除合同后</w:t>
      </w:r>
      <w:r>
        <w:rPr>
          <w:rFonts w:hint="eastAsia" w:cs="宋体"/>
          <w:color w:val="auto"/>
          <w:kern w:val="0"/>
          <w:szCs w:val="21"/>
          <w:highlight w:val="none"/>
        </w:rPr>
        <w:t>28</w:t>
      </w:r>
      <w:r>
        <w:rPr>
          <w:rFonts w:hint="eastAsia" w:ascii="宋体" w:hAnsi="宋体" w:cs="宋体"/>
          <w:color w:val="auto"/>
          <w:kern w:val="0"/>
          <w:szCs w:val="21"/>
          <w:highlight w:val="none"/>
        </w:rPr>
        <w:t>天内支付下列款项，并解除履约担保：</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）合同解除前所完成工作的价款；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）承包人为工程施工订购并已付款的材料、工程设备和其他物品的价款；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）承包人撤离施工现场以及遣散承包人人员的款项；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）按照合同约定在合同解除前应支付的违约金；</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）按照合同约定应当支付给承包人的其他款项；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）按照合同约定应退还的质量保证金；</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）因解除合同给承包人造成的损失。</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合同当事人未能就解除合同后的结清达成一致的，按照第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条〔争议解决〕的约定处理。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spacing w:line="336" w:lineRule="auto"/>
        <w:ind w:firstLine="422" w:firstLineChars="200"/>
        <w:outlineLvl w:val="4"/>
        <w:rPr>
          <w:rFonts w:ascii="宋体" w:hAnsi="宋体" w:cs="宋体"/>
          <w:b/>
          <w:bCs/>
          <w:color w:val="auto"/>
          <w:szCs w:val="21"/>
          <w:highlight w:val="none"/>
        </w:rPr>
      </w:pPr>
      <w:bookmarkStart w:id="1571" w:name="_Toc351203605"/>
      <w:bookmarkStart w:id="1572" w:name="_Toc296346632"/>
      <w:bookmarkStart w:id="1573" w:name="_Toc296503131"/>
      <w:bookmarkStart w:id="1574" w:name="_Toc337558822"/>
      <w:r>
        <w:rPr>
          <w:rFonts w:hint="eastAsia" w:cs="宋体"/>
          <w:b/>
          <w:bCs/>
          <w:color w:val="auto"/>
          <w:szCs w:val="21"/>
          <w:highlight w:val="none"/>
        </w:rPr>
        <w:t>16</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承包人违约</w:t>
      </w:r>
      <w:bookmarkEnd w:id="1571"/>
    </w:p>
    <w:bookmarkEnd w:id="1572"/>
    <w:bookmarkEnd w:id="1573"/>
    <w:bookmarkEnd w:id="1574"/>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承包人违约的情形</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在合同履行过程中发生的下列情形，属于承包人违约：</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）承包人违反合同约定进行转包或违法分包的；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）承包人违反合同约定采购和使用不合格的材料和工程设备的；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）因承包人原因导致工程质量不符合合同要求的；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）承包人违反第</w:t>
      </w: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款〔材料与设备专用要求〕的约定，未经批准，私自将已按照合同约定进入施工现场的材料或设备撤离施工现场的；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）承包人未能按施工进度计划及时完成合同约定的工作，造成工期延误的；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）承包人在缺陷责任期及保修期内，未能在合理期限对工程缺陷进行修复，或拒绝按发包人要求进行修复的；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）承包人明确表示或者以其行为表明不履行合同主要义务的；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8</w:t>
      </w:r>
      <w:r>
        <w:rPr>
          <w:rFonts w:hint="eastAsia" w:ascii="宋体" w:hAnsi="宋体" w:cs="宋体"/>
          <w:color w:val="auto"/>
          <w:kern w:val="0"/>
          <w:szCs w:val="21"/>
          <w:highlight w:val="none"/>
        </w:rPr>
        <w:t>）承包人未能按照合同约定履行其他义务的。</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承包人发生除本项第（</w:t>
      </w:r>
      <w:r>
        <w:rPr>
          <w:rFonts w:hint="eastAsia" w:cs="宋体"/>
          <w:color w:val="auto"/>
          <w:kern w:val="0"/>
          <w:szCs w:val="21"/>
          <w:highlight w:val="none"/>
        </w:rPr>
        <w:t>7</w:t>
      </w:r>
      <w:r>
        <w:rPr>
          <w:rFonts w:hint="eastAsia" w:ascii="宋体" w:hAnsi="宋体" w:cs="宋体"/>
          <w:color w:val="auto"/>
          <w:kern w:val="0"/>
          <w:szCs w:val="21"/>
          <w:highlight w:val="none"/>
        </w:rPr>
        <w:t>）目约定以外的其他违约情况时，监理人可向承包人发出整改通知，要求其在指定的期限内改正。</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承包人违约的责任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因承包人违约解除合同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除专用合同条款另有约定外，出现第</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项〔承包人违约的情形〕第（</w:t>
      </w:r>
      <w:r>
        <w:rPr>
          <w:rFonts w:hint="eastAsia" w:cs="宋体"/>
          <w:color w:val="auto"/>
          <w:kern w:val="0"/>
          <w:szCs w:val="21"/>
          <w:highlight w:val="none"/>
        </w:rPr>
        <w:t>7</w:t>
      </w:r>
      <w:r>
        <w:rPr>
          <w:rFonts w:hint="eastAsia" w:ascii="宋体" w:hAnsi="宋体" w:cs="宋体"/>
          <w:color w:val="auto"/>
          <w:kern w:val="0"/>
          <w:szCs w:val="21"/>
          <w:highlight w:val="none"/>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因承包人违约解除合同后的处理</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因承包人原因导致合同解除的，则合同当事人应在合同解除后</w:t>
      </w:r>
      <w:r>
        <w:rPr>
          <w:rFonts w:hint="eastAsia" w:cs="宋体"/>
          <w:color w:val="auto"/>
          <w:kern w:val="0"/>
          <w:szCs w:val="21"/>
          <w:highlight w:val="none"/>
        </w:rPr>
        <w:t>28</w:t>
      </w:r>
      <w:r>
        <w:rPr>
          <w:rFonts w:hint="eastAsia" w:ascii="宋体" w:hAnsi="宋体" w:cs="宋体"/>
          <w:color w:val="auto"/>
          <w:kern w:val="0"/>
          <w:szCs w:val="21"/>
          <w:highlight w:val="none"/>
        </w:rPr>
        <w:t>天内完成估价、付款和清算，并按以下约定执行：</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）合同解除后，按第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款〔商定或确定〕商定或确定承包人实际完成工作对应的合同价款，以及承包人已提供的材料、工程设备、施工设备和临时工程等的价值；</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）合同解除后，承包人应支付的违约金；</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）合同解除后，因解除合同给发包人造成的损失；</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）合同解除后，承包人应按照发包人要求和监理人的指示完成现场的清理和撤离；</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）发包人和承包人应在合同解除后进行清算，出具最终结清付款证书，结清全部款项。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条〔争议解决〕的约定处理。</w:t>
      </w:r>
    </w:p>
    <w:p>
      <w:pPr>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采购合同权益转让</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因承包人违约解除合同的，发包人有权要求承包人将其为实施合同而签订的材料和设备的采购合同的权益转让给发包人，承包人应在收到解除合同通知后</w:t>
      </w:r>
      <w:r>
        <w:rPr>
          <w:rFonts w:hint="eastAsia" w:cs="宋体"/>
          <w:color w:val="auto"/>
          <w:kern w:val="0"/>
          <w:szCs w:val="21"/>
          <w:highlight w:val="none"/>
        </w:rPr>
        <w:t>14</w:t>
      </w:r>
      <w:r>
        <w:rPr>
          <w:rFonts w:hint="eastAsia" w:ascii="宋体" w:hAnsi="宋体" w:cs="宋体"/>
          <w:color w:val="auto"/>
          <w:kern w:val="0"/>
          <w:szCs w:val="21"/>
          <w:highlight w:val="none"/>
        </w:rPr>
        <w:t>天内，协助发包人与采购合同的供应商达成相关的转让协议。</w:t>
      </w:r>
    </w:p>
    <w:p>
      <w:pPr>
        <w:spacing w:line="336" w:lineRule="auto"/>
        <w:ind w:firstLine="422" w:firstLineChars="200"/>
        <w:outlineLvl w:val="4"/>
        <w:rPr>
          <w:rFonts w:ascii="宋体" w:hAnsi="宋体" w:cs="宋体"/>
          <w:b/>
          <w:bCs/>
          <w:color w:val="auto"/>
          <w:szCs w:val="21"/>
          <w:highlight w:val="none"/>
        </w:rPr>
      </w:pPr>
      <w:bookmarkStart w:id="1575" w:name="_Toc351203606"/>
      <w:r>
        <w:rPr>
          <w:rFonts w:hint="eastAsia" w:cs="宋体"/>
          <w:b/>
          <w:bCs/>
          <w:color w:val="auto"/>
          <w:szCs w:val="21"/>
          <w:highlight w:val="none"/>
        </w:rPr>
        <w:t>16</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第三人造成的违约</w:t>
      </w:r>
      <w:bookmarkEnd w:id="1575"/>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5"/>
        <w:keepNext w:val="0"/>
        <w:keepLines w:val="0"/>
        <w:spacing w:line="336" w:lineRule="auto"/>
        <w:rPr>
          <w:rFonts w:ascii="宋体" w:hAnsi="宋体" w:eastAsia="宋体" w:cs="宋体"/>
          <w:color w:val="auto"/>
          <w:sz w:val="24"/>
          <w:szCs w:val="24"/>
          <w:highlight w:val="none"/>
        </w:rPr>
      </w:pPr>
      <w:bookmarkStart w:id="1576" w:name="_Toc296503116"/>
      <w:bookmarkStart w:id="1577" w:name="_Toc351203607"/>
      <w:bookmarkStart w:id="1578" w:name="_Toc296346617"/>
      <w:bookmarkStart w:id="1579" w:name="_Toc337558823"/>
      <w:r>
        <w:rPr>
          <w:rFonts w:hint="eastAsia" w:ascii="Times New Roman" w:hAnsi="Times New Roman" w:eastAsia="宋体" w:cs="宋体"/>
          <w:color w:val="auto"/>
          <w:sz w:val="24"/>
          <w:szCs w:val="24"/>
          <w:highlight w:val="none"/>
        </w:rPr>
        <w:t>17</w:t>
      </w:r>
      <w:r>
        <w:rPr>
          <w:rFonts w:hint="eastAsia" w:ascii="宋体" w:hAnsi="宋体" w:eastAsia="宋体" w:cs="宋体"/>
          <w:color w:val="auto"/>
          <w:sz w:val="24"/>
          <w:szCs w:val="24"/>
          <w:highlight w:val="none"/>
        </w:rPr>
        <w:t>. 不可抗力</w:t>
      </w:r>
      <w:bookmarkEnd w:id="1576"/>
      <w:bookmarkEnd w:id="1577"/>
      <w:bookmarkEnd w:id="1578"/>
      <w:bookmarkEnd w:id="1579"/>
    </w:p>
    <w:p>
      <w:pPr>
        <w:spacing w:line="336" w:lineRule="auto"/>
        <w:ind w:firstLine="422" w:firstLineChars="200"/>
        <w:outlineLvl w:val="4"/>
        <w:rPr>
          <w:rFonts w:ascii="宋体" w:hAnsi="宋体" w:cs="宋体"/>
          <w:b/>
          <w:bCs/>
          <w:color w:val="auto"/>
          <w:szCs w:val="21"/>
          <w:highlight w:val="none"/>
        </w:rPr>
      </w:pPr>
      <w:bookmarkStart w:id="1580" w:name="_Toc351203608"/>
      <w:bookmarkStart w:id="1581" w:name="_Toc337558824"/>
      <w:bookmarkStart w:id="1582" w:name="_Toc296346618"/>
      <w:bookmarkStart w:id="1583" w:name="_Toc296503117"/>
      <w:r>
        <w:rPr>
          <w:rFonts w:hint="eastAsia" w:cs="宋体"/>
          <w:b/>
          <w:bCs/>
          <w:color w:val="auto"/>
          <w:szCs w:val="21"/>
          <w:highlight w:val="none"/>
        </w:rPr>
        <w:t>17</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不可抗力的确认</w:t>
      </w:r>
      <w:bookmarkEnd w:id="1580"/>
    </w:p>
    <w:bookmarkEnd w:id="1581"/>
    <w:bookmarkEnd w:id="1582"/>
    <w:bookmarkEnd w:id="1583"/>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款〔商定或确定〕的约定处理。发生争议时，按第</w:t>
      </w:r>
      <w:r>
        <w:rPr>
          <w:rFonts w:hint="eastAsia" w:cs="宋体"/>
          <w:color w:val="auto"/>
          <w:kern w:val="0"/>
          <w:szCs w:val="21"/>
          <w:highlight w:val="none"/>
        </w:rPr>
        <w:t>20</w:t>
      </w:r>
      <w:r>
        <w:rPr>
          <w:rFonts w:hint="eastAsia" w:ascii="宋体" w:hAnsi="宋体" w:cs="宋体"/>
          <w:color w:val="auto"/>
          <w:kern w:val="0"/>
          <w:szCs w:val="21"/>
          <w:highlight w:val="none"/>
        </w:rPr>
        <w:t>条〔争议解决〕的约定处理。</w:t>
      </w:r>
    </w:p>
    <w:p>
      <w:pPr>
        <w:spacing w:line="336" w:lineRule="auto"/>
        <w:ind w:firstLine="422" w:firstLineChars="200"/>
        <w:outlineLvl w:val="4"/>
        <w:rPr>
          <w:rFonts w:ascii="宋体" w:hAnsi="宋体" w:cs="宋体"/>
          <w:b/>
          <w:bCs/>
          <w:color w:val="auto"/>
          <w:szCs w:val="21"/>
          <w:highlight w:val="none"/>
        </w:rPr>
      </w:pPr>
      <w:bookmarkStart w:id="1584" w:name="_Toc351203609"/>
      <w:bookmarkStart w:id="1585" w:name="_Toc337558825"/>
      <w:bookmarkStart w:id="1586" w:name="_Toc296346619"/>
      <w:bookmarkStart w:id="1587" w:name="_Toc296503118"/>
      <w:r>
        <w:rPr>
          <w:rFonts w:hint="eastAsia" w:cs="宋体"/>
          <w:b/>
          <w:bCs/>
          <w:color w:val="auto"/>
          <w:szCs w:val="21"/>
          <w:highlight w:val="none"/>
        </w:rPr>
        <w:t>17</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不可抗力的通知</w:t>
      </w:r>
      <w:bookmarkEnd w:id="1584"/>
    </w:p>
    <w:bookmarkEnd w:id="1585"/>
    <w:bookmarkEnd w:id="1586"/>
    <w:bookmarkEnd w:id="1587"/>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不可抗力持续发生的，合同一方当事人应及时向合同另一方当事人和监理人提交中间报告，说明不可抗力和履行合同受阻的情况，并于不可抗力事件结束后</w:t>
      </w:r>
      <w:r>
        <w:rPr>
          <w:rFonts w:hint="eastAsia" w:cs="宋体"/>
          <w:color w:val="auto"/>
          <w:kern w:val="0"/>
          <w:szCs w:val="21"/>
          <w:highlight w:val="none"/>
        </w:rPr>
        <w:t>28</w:t>
      </w:r>
      <w:r>
        <w:rPr>
          <w:rFonts w:hint="eastAsia" w:ascii="宋体" w:hAnsi="宋体" w:cs="宋体"/>
          <w:color w:val="auto"/>
          <w:kern w:val="0"/>
          <w:szCs w:val="21"/>
          <w:highlight w:val="none"/>
        </w:rPr>
        <w:t>天内提交最终报告及有关资料。</w:t>
      </w:r>
    </w:p>
    <w:p>
      <w:pPr>
        <w:spacing w:line="336" w:lineRule="auto"/>
        <w:ind w:firstLine="422" w:firstLineChars="200"/>
        <w:outlineLvl w:val="4"/>
        <w:rPr>
          <w:rFonts w:ascii="宋体" w:hAnsi="宋体" w:cs="宋体"/>
          <w:b/>
          <w:bCs/>
          <w:color w:val="auto"/>
          <w:szCs w:val="21"/>
          <w:highlight w:val="none"/>
        </w:rPr>
      </w:pPr>
      <w:bookmarkStart w:id="1588" w:name="_Toc351203610"/>
      <w:bookmarkStart w:id="1589" w:name="_Toc296503119"/>
      <w:bookmarkStart w:id="1590" w:name="_Toc337558826"/>
      <w:bookmarkStart w:id="1591" w:name="_Toc296346620"/>
      <w:r>
        <w:rPr>
          <w:rFonts w:hint="eastAsia" w:cs="宋体"/>
          <w:b/>
          <w:bCs/>
          <w:color w:val="auto"/>
          <w:szCs w:val="21"/>
          <w:highlight w:val="none"/>
        </w:rPr>
        <w:t>17</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 xml:space="preserve"> 不可抗力后果的承担</w:t>
      </w:r>
      <w:bookmarkEnd w:id="1588"/>
    </w:p>
    <w:bookmarkEnd w:id="1589"/>
    <w:bookmarkEnd w:id="1590"/>
    <w:bookmarkEnd w:id="159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17</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不可抗力导致的人员伤亡、财产损失、费用增加和（或）工期延误等后果，由合同当事人按以下原则承担：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）永久工程、已运至施工现场的材料和工程设备的损坏，以及因工程损坏造成的第三人人员伤亡和财产损失由发包人承担；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）承包人施工设备的损坏由承包人承担；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）发包人和承包人承担各自人员伤亡和财产的损失；</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）因不可抗力引起或将引起工期延误，发包人要求赶工的，由此增加的赶工费用由发包人承担；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）承包人在停工期间按照发包人要求照管、清理和修复工程的费用由发包人承担。</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因合同一方迟延履行合同义务，在迟延履行期间遭遇不可抗力的，不免除其违约责任。</w:t>
      </w:r>
    </w:p>
    <w:p>
      <w:pPr>
        <w:spacing w:line="336" w:lineRule="auto"/>
        <w:ind w:firstLine="422" w:firstLineChars="200"/>
        <w:outlineLvl w:val="4"/>
        <w:rPr>
          <w:rFonts w:ascii="宋体" w:hAnsi="宋体" w:cs="宋体"/>
          <w:b/>
          <w:bCs/>
          <w:color w:val="auto"/>
          <w:szCs w:val="21"/>
          <w:highlight w:val="none"/>
        </w:rPr>
      </w:pPr>
      <w:bookmarkStart w:id="1592" w:name="_Toc351203611"/>
      <w:bookmarkStart w:id="1593" w:name="_Toc337558827"/>
      <w:r>
        <w:rPr>
          <w:rFonts w:hint="eastAsia" w:cs="宋体"/>
          <w:b/>
          <w:bCs/>
          <w:color w:val="auto"/>
          <w:szCs w:val="21"/>
          <w:highlight w:val="none"/>
        </w:rPr>
        <w:t>17</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因不可抗力解除合同</w:t>
      </w:r>
      <w:bookmarkEnd w:id="1592"/>
    </w:p>
    <w:bookmarkEnd w:id="1593"/>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因不可抗力导致合同无法履行连续超过</w:t>
      </w:r>
      <w:r>
        <w:rPr>
          <w:rFonts w:hint="eastAsia" w:cs="宋体"/>
          <w:color w:val="auto"/>
          <w:kern w:val="0"/>
          <w:szCs w:val="21"/>
          <w:highlight w:val="none"/>
        </w:rPr>
        <w:t>84</w:t>
      </w:r>
      <w:r>
        <w:rPr>
          <w:rFonts w:hint="eastAsia" w:ascii="宋体" w:hAnsi="宋体" w:cs="宋体"/>
          <w:color w:val="auto"/>
          <w:kern w:val="0"/>
          <w:szCs w:val="21"/>
          <w:highlight w:val="none"/>
        </w:rPr>
        <w:t>天或累计超过</w:t>
      </w:r>
      <w:r>
        <w:rPr>
          <w:rFonts w:hint="eastAsia" w:cs="宋体"/>
          <w:color w:val="auto"/>
          <w:kern w:val="0"/>
          <w:szCs w:val="21"/>
          <w:highlight w:val="none"/>
        </w:rPr>
        <w:t>140</w:t>
      </w:r>
      <w:r>
        <w:rPr>
          <w:rFonts w:hint="eastAsia" w:ascii="宋体" w:hAnsi="宋体" w:cs="宋体"/>
          <w:color w:val="auto"/>
          <w:kern w:val="0"/>
          <w:szCs w:val="21"/>
          <w:highlight w:val="none"/>
        </w:rPr>
        <w:t>天的，发包人和承包人均有权解除合同。合同解除后，由双方当事人按照第</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款〔商定或确定〕商定或确定发包人应支付的款项，该款项包括：</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）合同解除前承包人已完成工作的价款；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）承包人为工程订购的并已交付给承包人，或承包人有责任接受交付的材料、工程设备和其他物品的价款；</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）发包人要求承包人退货或解除订货合同而产生的费用，或因不能退货或解除合同而产生的损失；</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）承包人撤离施工现场以及遣散承包人人员的费用；</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）按照合同约定在合同解除前应支付给承包人的其他款项；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）扣减承包人按照合同约定应向发包人支付的款项；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）双方商定或确定的其他款项。</w:t>
      </w:r>
    </w:p>
    <w:p>
      <w:pPr>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除专用合同条款另有约定外，合同解除后，发包人应在商定或确定上述款项后</w:t>
      </w:r>
      <w:r>
        <w:rPr>
          <w:rFonts w:hint="eastAsia" w:cs="宋体"/>
          <w:color w:val="auto"/>
          <w:kern w:val="0"/>
          <w:szCs w:val="21"/>
          <w:highlight w:val="none"/>
        </w:rPr>
        <w:t>28</w:t>
      </w:r>
      <w:r>
        <w:rPr>
          <w:rFonts w:hint="eastAsia" w:ascii="宋体" w:hAnsi="宋体" w:cs="宋体"/>
          <w:color w:val="auto"/>
          <w:kern w:val="0"/>
          <w:szCs w:val="21"/>
          <w:highlight w:val="none"/>
        </w:rPr>
        <w:t>天内完成上述款项的支付。</w:t>
      </w:r>
    </w:p>
    <w:p>
      <w:pPr>
        <w:pStyle w:val="5"/>
        <w:keepNext w:val="0"/>
        <w:keepLines w:val="0"/>
        <w:spacing w:line="336" w:lineRule="auto"/>
        <w:rPr>
          <w:rFonts w:ascii="宋体" w:hAnsi="宋体" w:eastAsia="宋体" w:cs="宋体"/>
          <w:color w:val="auto"/>
          <w:sz w:val="24"/>
          <w:szCs w:val="24"/>
          <w:highlight w:val="none"/>
        </w:rPr>
      </w:pPr>
      <w:bookmarkStart w:id="1594" w:name="_Toc351203612"/>
      <w:bookmarkStart w:id="1595" w:name="_Toc337558828"/>
      <w:bookmarkStart w:id="1596" w:name="_Toc296503120"/>
      <w:bookmarkStart w:id="1597" w:name="_Toc296346621"/>
      <w:r>
        <w:rPr>
          <w:rFonts w:hint="eastAsia" w:ascii="Times New Roman" w:hAnsi="Times New Roman" w:eastAsia="宋体" w:cs="宋体"/>
          <w:color w:val="auto"/>
          <w:sz w:val="24"/>
          <w:szCs w:val="24"/>
          <w:highlight w:val="none"/>
        </w:rPr>
        <w:t>18</w:t>
      </w:r>
      <w:r>
        <w:rPr>
          <w:rFonts w:hint="eastAsia" w:ascii="宋体" w:hAnsi="宋体" w:eastAsia="宋体" w:cs="宋体"/>
          <w:color w:val="auto"/>
          <w:sz w:val="24"/>
          <w:szCs w:val="24"/>
          <w:highlight w:val="none"/>
        </w:rPr>
        <w:t>. 保险</w:t>
      </w:r>
      <w:bookmarkEnd w:id="1594"/>
    </w:p>
    <w:bookmarkEnd w:id="1595"/>
    <w:bookmarkEnd w:id="1596"/>
    <w:bookmarkEnd w:id="1597"/>
    <w:p>
      <w:pPr>
        <w:spacing w:line="336" w:lineRule="auto"/>
        <w:ind w:firstLine="422" w:firstLineChars="200"/>
        <w:outlineLvl w:val="4"/>
        <w:rPr>
          <w:rFonts w:ascii="宋体" w:hAnsi="宋体" w:cs="宋体"/>
          <w:b/>
          <w:bCs/>
          <w:color w:val="auto"/>
          <w:szCs w:val="21"/>
          <w:highlight w:val="none"/>
        </w:rPr>
      </w:pPr>
      <w:bookmarkStart w:id="1598" w:name="_Toc351203613"/>
      <w:bookmarkStart w:id="1599" w:name="_Toc296503121"/>
      <w:bookmarkStart w:id="1600" w:name="_Toc337558829"/>
      <w:bookmarkStart w:id="1601" w:name="_Toc296346622"/>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 xml:space="preserve"> 工程保险</w:t>
      </w:r>
      <w:bookmarkEnd w:id="1598"/>
    </w:p>
    <w:bookmarkEnd w:id="1599"/>
    <w:bookmarkEnd w:id="1600"/>
    <w:bookmarkEnd w:id="160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spacing w:line="336" w:lineRule="auto"/>
        <w:ind w:firstLine="422" w:firstLineChars="200"/>
        <w:outlineLvl w:val="4"/>
        <w:rPr>
          <w:rFonts w:ascii="宋体" w:hAnsi="宋体" w:cs="宋体"/>
          <w:b/>
          <w:bCs/>
          <w:color w:val="auto"/>
          <w:szCs w:val="21"/>
          <w:highlight w:val="none"/>
        </w:rPr>
      </w:pPr>
      <w:bookmarkStart w:id="1602" w:name="_Toc351203614"/>
      <w:bookmarkStart w:id="1603" w:name="_Toc296346623"/>
      <w:bookmarkStart w:id="1604" w:name="_Toc337558830"/>
      <w:bookmarkStart w:id="1605" w:name="_Toc296503122"/>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工伤保险</w:t>
      </w:r>
      <w:bookmarkEnd w:id="1602"/>
    </w:p>
    <w:bookmarkEnd w:id="1603"/>
    <w:bookmarkEnd w:id="1604"/>
    <w:bookmarkEnd w:id="1605"/>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18</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承包人应依照法律规定参加工伤保险，并为其履行合同的全部员工办理工伤保险，缴纳工伤保险费，并要求分包人及由承包人为履行合同聘请的第三方依法参加工伤保险。</w:t>
      </w:r>
    </w:p>
    <w:p>
      <w:pPr>
        <w:spacing w:line="336" w:lineRule="auto"/>
        <w:ind w:firstLine="422" w:firstLineChars="200"/>
        <w:outlineLvl w:val="4"/>
        <w:rPr>
          <w:rFonts w:ascii="宋体" w:hAnsi="宋体" w:cs="宋体"/>
          <w:b/>
          <w:bCs/>
          <w:color w:val="auto"/>
          <w:szCs w:val="21"/>
          <w:highlight w:val="none"/>
        </w:rPr>
      </w:pPr>
      <w:bookmarkStart w:id="1606" w:name="_Toc351203615"/>
      <w:bookmarkStart w:id="1607" w:name="_Toc296503125"/>
      <w:bookmarkStart w:id="1608" w:name="_Toc337558831"/>
      <w:bookmarkStart w:id="1609" w:name="_Toc296346626"/>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其他保险</w:t>
      </w:r>
      <w:bookmarkEnd w:id="1606"/>
    </w:p>
    <w:bookmarkEnd w:id="1607"/>
    <w:bookmarkEnd w:id="1608"/>
    <w:bookmarkEnd w:id="1609"/>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除专用合同条款另有约定外，承包人应为其施工设备等办理财产保险。</w:t>
      </w:r>
    </w:p>
    <w:p>
      <w:pPr>
        <w:spacing w:line="336" w:lineRule="auto"/>
        <w:ind w:firstLine="422" w:firstLineChars="200"/>
        <w:outlineLvl w:val="4"/>
        <w:rPr>
          <w:rFonts w:ascii="宋体" w:hAnsi="宋体" w:cs="宋体"/>
          <w:b/>
          <w:bCs/>
          <w:color w:val="auto"/>
          <w:szCs w:val="21"/>
          <w:highlight w:val="none"/>
        </w:rPr>
      </w:pPr>
      <w:bookmarkStart w:id="1610" w:name="_Toc351203616"/>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持续保险</w:t>
      </w:r>
      <w:bookmarkEnd w:id="1610"/>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合同当事人应与保险人保持联系，使保险人能够随时了解工程实施中的变动，并确保按保险合同条款要求持续保险。</w:t>
      </w:r>
    </w:p>
    <w:p>
      <w:pPr>
        <w:spacing w:line="336" w:lineRule="auto"/>
        <w:ind w:firstLine="422" w:firstLineChars="200"/>
        <w:outlineLvl w:val="4"/>
        <w:rPr>
          <w:rFonts w:ascii="宋体" w:hAnsi="宋体" w:cs="宋体"/>
          <w:b/>
          <w:bCs/>
          <w:color w:val="auto"/>
          <w:szCs w:val="21"/>
          <w:highlight w:val="none"/>
        </w:rPr>
      </w:pPr>
      <w:bookmarkStart w:id="1611" w:name="_Toc351203617"/>
      <w:bookmarkStart w:id="1612" w:name="_Toc296346627"/>
      <w:bookmarkStart w:id="1613" w:name="_Toc337558832"/>
      <w:bookmarkStart w:id="1614" w:name="_Toc296503126"/>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保险凭证</w:t>
      </w:r>
      <w:bookmarkEnd w:id="1611"/>
    </w:p>
    <w:bookmarkEnd w:id="1612"/>
    <w:bookmarkEnd w:id="1613"/>
    <w:bookmarkEnd w:id="1614"/>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合同当事人应及时向另一方当事人提交其已投保的各项保险的凭证和保险单复印件。</w:t>
      </w:r>
    </w:p>
    <w:p>
      <w:pPr>
        <w:spacing w:line="336" w:lineRule="auto"/>
        <w:ind w:firstLine="422" w:firstLineChars="200"/>
        <w:outlineLvl w:val="4"/>
        <w:rPr>
          <w:rFonts w:ascii="宋体" w:hAnsi="宋体" w:cs="宋体"/>
          <w:b/>
          <w:bCs/>
          <w:color w:val="auto"/>
          <w:szCs w:val="21"/>
          <w:highlight w:val="none"/>
        </w:rPr>
      </w:pPr>
      <w:bookmarkStart w:id="1615" w:name="_Toc351203618"/>
      <w:bookmarkStart w:id="1616" w:name="_Toc296346628"/>
      <w:bookmarkStart w:id="1617" w:name="_Toc337558833"/>
      <w:bookmarkStart w:id="1618" w:name="_Toc296503127"/>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6</w:t>
      </w:r>
      <w:r>
        <w:rPr>
          <w:rFonts w:hint="eastAsia" w:ascii="宋体" w:hAnsi="宋体" w:cs="宋体"/>
          <w:b/>
          <w:bCs/>
          <w:color w:val="auto"/>
          <w:szCs w:val="21"/>
          <w:highlight w:val="none"/>
        </w:rPr>
        <w:t xml:space="preserve"> 未按约定投保的补救</w:t>
      </w:r>
      <w:bookmarkEnd w:id="1615"/>
    </w:p>
    <w:bookmarkEnd w:id="1616"/>
    <w:bookmarkEnd w:id="1617"/>
    <w:bookmarkEnd w:id="1618"/>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18</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发包人未按合同约定办理保险，或未能使保险持续有效的，则承包人可代为办理，所需费用由发包人承担。发包人未按合同约定办理保险，导致未能得到足额赔偿的，由发包人负责补足。</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18</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承包人未按合同约定办理保险，或未能使保险持续有效的，则发包人可代为办理，所需费用由承包人承担。承包人未按合同约定办理保险，导致未能得到足额赔偿的，由承包人负责补足。</w:t>
      </w:r>
    </w:p>
    <w:p>
      <w:pPr>
        <w:spacing w:line="336" w:lineRule="auto"/>
        <w:ind w:firstLine="422" w:firstLineChars="200"/>
        <w:outlineLvl w:val="4"/>
        <w:rPr>
          <w:rFonts w:ascii="宋体" w:hAnsi="宋体" w:cs="宋体"/>
          <w:b/>
          <w:bCs/>
          <w:color w:val="auto"/>
          <w:szCs w:val="21"/>
          <w:highlight w:val="none"/>
        </w:rPr>
      </w:pPr>
      <w:bookmarkStart w:id="1619" w:name="_Toc351203619"/>
      <w:bookmarkStart w:id="1620" w:name="_Toc337558834"/>
      <w:r>
        <w:rPr>
          <w:rFonts w:hint="eastAsia" w:cs="宋体"/>
          <w:b/>
          <w:bCs/>
          <w:color w:val="auto"/>
          <w:szCs w:val="21"/>
          <w:highlight w:val="none"/>
        </w:rPr>
        <w:t>18</w:t>
      </w:r>
      <w:r>
        <w:rPr>
          <w:rFonts w:hint="eastAsia" w:ascii="宋体" w:hAnsi="宋体" w:cs="宋体"/>
          <w:b/>
          <w:bCs/>
          <w:color w:val="auto"/>
          <w:szCs w:val="21"/>
          <w:highlight w:val="none"/>
        </w:rPr>
        <w:t>.</w:t>
      </w:r>
      <w:r>
        <w:rPr>
          <w:rFonts w:hint="eastAsia" w:cs="宋体"/>
          <w:b/>
          <w:bCs/>
          <w:color w:val="auto"/>
          <w:szCs w:val="21"/>
          <w:highlight w:val="none"/>
        </w:rPr>
        <w:t>7</w:t>
      </w:r>
      <w:r>
        <w:rPr>
          <w:rFonts w:hint="eastAsia" w:ascii="宋体" w:hAnsi="宋体" w:cs="宋体"/>
          <w:b/>
          <w:bCs/>
          <w:color w:val="auto"/>
          <w:szCs w:val="21"/>
          <w:highlight w:val="none"/>
        </w:rPr>
        <w:t xml:space="preserve"> 通知义务</w:t>
      </w:r>
      <w:bookmarkEnd w:id="1619"/>
    </w:p>
    <w:bookmarkEnd w:id="1620"/>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保险事故发生时，投保人应按照保险合同规定的条件和期限及时向保险人报告。发包人和承包人应当在知道保险事故发生后及时通知对方。</w:t>
      </w:r>
    </w:p>
    <w:p>
      <w:pPr>
        <w:pStyle w:val="5"/>
        <w:keepNext w:val="0"/>
        <w:keepLines w:val="0"/>
        <w:spacing w:line="336" w:lineRule="auto"/>
        <w:rPr>
          <w:rFonts w:ascii="宋体" w:hAnsi="宋体" w:eastAsia="宋体" w:cs="宋体"/>
          <w:color w:val="auto"/>
          <w:sz w:val="24"/>
          <w:szCs w:val="24"/>
          <w:highlight w:val="none"/>
        </w:rPr>
      </w:pPr>
      <w:bookmarkStart w:id="1621" w:name="_Toc351203620"/>
      <w:bookmarkStart w:id="1622" w:name="_Toc296346641"/>
      <w:bookmarkStart w:id="1623" w:name="_Toc296503140"/>
      <w:bookmarkStart w:id="1624" w:name="_Toc337558835"/>
      <w:r>
        <w:rPr>
          <w:rFonts w:hint="eastAsia" w:ascii="Times New Roman" w:hAnsi="Times New Roman" w:eastAsia="宋体" w:cs="宋体"/>
          <w:color w:val="auto"/>
          <w:sz w:val="24"/>
          <w:szCs w:val="24"/>
          <w:highlight w:val="none"/>
        </w:rPr>
        <w:t>19</w:t>
      </w:r>
      <w:r>
        <w:rPr>
          <w:rFonts w:hint="eastAsia" w:ascii="宋体" w:hAnsi="宋体" w:eastAsia="宋体" w:cs="宋体"/>
          <w:color w:val="auto"/>
          <w:sz w:val="24"/>
          <w:szCs w:val="24"/>
          <w:highlight w:val="none"/>
        </w:rPr>
        <w:t>. 索赔</w:t>
      </w:r>
      <w:bookmarkEnd w:id="1621"/>
    </w:p>
    <w:bookmarkEnd w:id="1622"/>
    <w:bookmarkEnd w:id="1623"/>
    <w:bookmarkEnd w:id="1624"/>
    <w:p>
      <w:pPr>
        <w:spacing w:line="336" w:lineRule="auto"/>
        <w:ind w:firstLine="422" w:firstLineChars="200"/>
        <w:outlineLvl w:val="4"/>
        <w:rPr>
          <w:rFonts w:ascii="宋体" w:hAnsi="宋体" w:cs="宋体"/>
          <w:b/>
          <w:bCs/>
          <w:color w:val="auto"/>
          <w:szCs w:val="21"/>
          <w:highlight w:val="none"/>
        </w:rPr>
      </w:pPr>
      <w:bookmarkStart w:id="1625" w:name="_Toc351203621"/>
      <w:bookmarkStart w:id="1626" w:name="_Toc337558836"/>
      <w:bookmarkStart w:id="1627" w:name="_Toc296346642"/>
      <w:bookmarkStart w:id="1628" w:name="_Toc296503141"/>
      <w:r>
        <w:rPr>
          <w:rFonts w:hint="eastAsia" w:cs="宋体"/>
          <w:b/>
          <w:bCs/>
          <w:color w:val="auto"/>
          <w:szCs w:val="21"/>
          <w:highlight w:val="none"/>
        </w:rPr>
        <w:t>19</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承包人的索赔</w:t>
      </w:r>
      <w:bookmarkEnd w:id="1625"/>
    </w:p>
    <w:bookmarkEnd w:id="1626"/>
    <w:bookmarkEnd w:id="1627"/>
    <w:bookmarkEnd w:id="1628"/>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根据合同约定，承包人认为有权得到追加付款和（或）延长工期的，应按以下程序向发包人提出索赔：</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）承包人应在知道或应当知道索赔事件发生后</w:t>
      </w:r>
      <w:r>
        <w:rPr>
          <w:rFonts w:hint="eastAsia" w:cs="宋体"/>
          <w:color w:val="auto"/>
          <w:kern w:val="0"/>
          <w:szCs w:val="21"/>
          <w:highlight w:val="none"/>
        </w:rPr>
        <w:t>28</w:t>
      </w:r>
      <w:r>
        <w:rPr>
          <w:rFonts w:hint="eastAsia" w:ascii="宋体" w:hAnsi="宋体" w:cs="宋体"/>
          <w:color w:val="auto"/>
          <w:kern w:val="0"/>
          <w:szCs w:val="21"/>
          <w:highlight w:val="none"/>
        </w:rPr>
        <w:t>天内，向监理人递交索赔意向通知书，并说明发生索赔事件的事由；承包人未在前述</w:t>
      </w:r>
      <w:r>
        <w:rPr>
          <w:rFonts w:hint="eastAsia" w:cs="宋体"/>
          <w:color w:val="auto"/>
          <w:kern w:val="0"/>
          <w:szCs w:val="21"/>
          <w:highlight w:val="none"/>
        </w:rPr>
        <w:t>28</w:t>
      </w:r>
      <w:r>
        <w:rPr>
          <w:rFonts w:hint="eastAsia" w:ascii="宋体" w:hAnsi="宋体" w:cs="宋体"/>
          <w:color w:val="auto"/>
          <w:kern w:val="0"/>
          <w:szCs w:val="21"/>
          <w:highlight w:val="none"/>
        </w:rPr>
        <w:t>天内发出索赔意向通知书的，丧失要求追加付款和（或）延长工期的权利；</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）承包人应在发出索赔意向通知书后</w:t>
      </w:r>
      <w:r>
        <w:rPr>
          <w:rFonts w:hint="eastAsia" w:cs="宋体"/>
          <w:color w:val="auto"/>
          <w:kern w:val="0"/>
          <w:szCs w:val="21"/>
          <w:highlight w:val="none"/>
        </w:rPr>
        <w:t>28</w:t>
      </w:r>
      <w:r>
        <w:rPr>
          <w:rFonts w:hint="eastAsia" w:ascii="宋体" w:hAnsi="宋体" w:cs="宋体"/>
          <w:color w:val="auto"/>
          <w:kern w:val="0"/>
          <w:szCs w:val="21"/>
          <w:highlight w:val="none"/>
        </w:rPr>
        <w:t>天内，向监理人正式递交索赔报告；索赔报告应详细说明索赔理由以及要求追加的付款金额和（或）延长的工期，并附必要的记录和证明材料；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）在索赔事件影响结束后</w:t>
      </w:r>
      <w:r>
        <w:rPr>
          <w:rFonts w:hint="eastAsia" w:cs="宋体"/>
          <w:color w:val="auto"/>
          <w:kern w:val="0"/>
          <w:szCs w:val="21"/>
          <w:highlight w:val="none"/>
        </w:rPr>
        <w:t>28</w:t>
      </w:r>
      <w:r>
        <w:rPr>
          <w:rFonts w:hint="eastAsia" w:ascii="宋体" w:hAnsi="宋体" w:cs="宋体"/>
          <w:color w:val="auto"/>
          <w:kern w:val="0"/>
          <w:szCs w:val="21"/>
          <w:highlight w:val="none"/>
        </w:rPr>
        <w:t>天内，承包人应向监理人递交最终索赔报告，说明最终要求索赔的追加付款金额和（或）延长的工期，并附必要的记录和证明材料。</w:t>
      </w:r>
    </w:p>
    <w:p>
      <w:pPr>
        <w:spacing w:line="336" w:lineRule="auto"/>
        <w:ind w:firstLine="422" w:firstLineChars="200"/>
        <w:outlineLvl w:val="4"/>
        <w:rPr>
          <w:rFonts w:ascii="宋体" w:hAnsi="宋体" w:cs="宋体"/>
          <w:b/>
          <w:bCs/>
          <w:color w:val="auto"/>
          <w:szCs w:val="21"/>
          <w:highlight w:val="none"/>
        </w:rPr>
      </w:pPr>
      <w:bookmarkStart w:id="1629" w:name="_Toc351203622"/>
      <w:bookmarkStart w:id="1630" w:name="_Toc337558837"/>
      <w:bookmarkStart w:id="1631" w:name="_Toc296346643"/>
      <w:bookmarkStart w:id="1632" w:name="_Toc296503142"/>
      <w:r>
        <w:rPr>
          <w:rFonts w:hint="eastAsia" w:cs="宋体"/>
          <w:b/>
          <w:bCs/>
          <w:color w:val="auto"/>
          <w:szCs w:val="21"/>
          <w:highlight w:val="none"/>
        </w:rPr>
        <w:t>19</w:t>
      </w:r>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 xml:space="preserve"> 对承包人索赔的处理</w:t>
      </w:r>
      <w:bookmarkEnd w:id="1629"/>
    </w:p>
    <w:bookmarkEnd w:id="1630"/>
    <w:bookmarkEnd w:id="1631"/>
    <w:bookmarkEnd w:id="1632"/>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对承包人索赔的处理如下：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）监理人应在收到索赔报告后</w:t>
      </w:r>
      <w:r>
        <w:rPr>
          <w:rFonts w:hint="eastAsia" w:cs="宋体"/>
          <w:color w:val="auto"/>
          <w:kern w:val="0"/>
          <w:szCs w:val="21"/>
          <w:highlight w:val="none"/>
        </w:rPr>
        <w:t>14</w:t>
      </w:r>
      <w:r>
        <w:rPr>
          <w:rFonts w:hint="eastAsia" w:ascii="宋体" w:hAnsi="宋体" w:cs="宋体"/>
          <w:color w:val="auto"/>
          <w:kern w:val="0"/>
          <w:szCs w:val="21"/>
          <w:highlight w:val="none"/>
        </w:rPr>
        <w:t>天内完成审查并报送发包人。监理人对索赔报告存在异议的，有权要求承包人提交全部原始记录副本；</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）发包人应在监理人收到索赔报告或有关索赔的进一步证明材料后的</w:t>
      </w:r>
      <w:r>
        <w:rPr>
          <w:rFonts w:hint="eastAsia" w:cs="宋体"/>
          <w:color w:val="auto"/>
          <w:kern w:val="0"/>
          <w:szCs w:val="21"/>
          <w:highlight w:val="none"/>
        </w:rPr>
        <w:t>28</w:t>
      </w:r>
      <w:r>
        <w:rPr>
          <w:rFonts w:hint="eastAsia" w:ascii="宋体" w:hAnsi="宋体" w:cs="宋体"/>
          <w:color w:val="auto"/>
          <w:kern w:val="0"/>
          <w:szCs w:val="21"/>
          <w:highlight w:val="none"/>
        </w:rPr>
        <w:t>天内，由监理人向承包人出具经发包人签认的索赔处理结果。发包人逾期答复的，则视为认可承包人的索赔要求；</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）承包人接受索赔处理结果的，索赔款项在当期进度款中进行支付；承包人不接受索赔处理结果的，按照第</w:t>
      </w:r>
      <w:r>
        <w:rPr>
          <w:rFonts w:hint="eastAsia" w:cs="宋体"/>
          <w:color w:val="auto"/>
          <w:kern w:val="0"/>
          <w:szCs w:val="21"/>
          <w:highlight w:val="none"/>
        </w:rPr>
        <w:t>20</w:t>
      </w:r>
      <w:r>
        <w:rPr>
          <w:rFonts w:hint="eastAsia" w:ascii="宋体" w:hAnsi="宋体" w:cs="宋体"/>
          <w:color w:val="auto"/>
          <w:kern w:val="0"/>
          <w:szCs w:val="21"/>
          <w:highlight w:val="none"/>
        </w:rPr>
        <w:t>条〔争议解决〕约定处理。</w:t>
      </w:r>
    </w:p>
    <w:p>
      <w:pPr>
        <w:spacing w:line="336" w:lineRule="auto"/>
        <w:ind w:firstLine="422" w:firstLineChars="200"/>
        <w:outlineLvl w:val="4"/>
        <w:rPr>
          <w:rFonts w:ascii="宋体" w:hAnsi="宋体" w:cs="宋体"/>
          <w:b/>
          <w:bCs/>
          <w:color w:val="auto"/>
          <w:szCs w:val="21"/>
          <w:highlight w:val="none"/>
        </w:rPr>
      </w:pPr>
      <w:bookmarkStart w:id="1633" w:name="_Toc351203623"/>
      <w:bookmarkStart w:id="1634" w:name="_Toc337558838"/>
      <w:bookmarkStart w:id="1635" w:name="_Toc296346644"/>
      <w:bookmarkStart w:id="1636" w:name="_Toc296503143"/>
      <w:r>
        <w:rPr>
          <w:rFonts w:hint="eastAsia" w:cs="宋体"/>
          <w:b/>
          <w:bCs/>
          <w:color w:val="auto"/>
          <w:szCs w:val="21"/>
          <w:highlight w:val="none"/>
        </w:rPr>
        <w:t>19</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发包人的索赔</w:t>
      </w:r>
      <w:bookmarkEnd w:id="1633"/>
    </w:p>
    <w:bookmarkEnd w:id="1634"/>
    <w:bookmarkEnd w:id="1635"/>
    <w:bookmarkEnd w:id="1636"/>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根据合同约定，发包人认为有权得到赔付金额和（或）延长缺陷责任期的，监理人应向承包人发出通知并附有详细的证明。</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发包人应在知道或应当知道索赔事件发生后</w:t>
      </w:r>
      <w:r>
        <w:rPr>
          <w:rFonts w:hint="eastAsia" w:cs="宋体"/>
          <w:color w:val="auto"/>
          <w:kern w:val="0"/>
          <w:szCs w:val="21"/>
          <w:highlight w:val="none"/>
        </w:rPr>
        <w:t>28</w:t>
      </w:r>
      <w:r>
        <w:rPr>
          <w:rFonts w:hint="eastAsia" w:ascii="宋体" w:hAnsi="宋体" w:cs="宋体"/>
          <w:color w:val="auto"/>
          <w:kern w:val="0"/>
          <w:szCs w:val="21"/>
          <w:highlight w:val="none"/>
        </w:rPr>
        <w:t>天内通过监理人向承包人提出索赔意向通知书，发包人未在前述</w:t>
      </w:r>
      <w:r>
        <w:rPr>
          <w:rFonts w:hint="eastAsia" w:cs="宋体"/>
          <w:color w:val="auto"/>
          <w:kern w:val="0"/>
          <w:szCs w:val="21"/>
          <w:highlight w:val="none"/>
        </w:rPr>
        <w:t>28</w:t>
      </w:r>
      <w:r>
        <w:rPr>
          <w:rFonts w:hint="eastAsia" w:ascii="宋体" w:hAnsi="宋体" w:cs="宋体"/>
          <w:color w:val="auto"/>
          <w:kern w:val="0"/>
          <w:szCs w:val="21"/>
          <w:highlight w:val="none"/>
        </w:rPr>
        <w:t>天内发出索赔意向通知书的，丧失要求赔付金额和（或）延长缺陷责任期的权利。发包人应在发出索赔意向通知书后</w:t>
      </w:r>
      <w:r>
        <w:rPr>
          <w:rFonts w:hint="eastAsia" w:cs="宋体"/>
          <w:color w:val="auto"/>
          <w:kern w:val="0"/>
          <w:szCs w:val="21"/>
          <w:highlight w:val="none"/>
        </w:rPr>
        <w:t>28</w:t>
      </w:r>
      <w:r>
        <w:rPr>
          <w:rFonts w:hint="eastAsia" w:ascii="宋体" w:hAnsi="宋体" w:cs="宋体"/>
          <w:color w:val="auto"/>
          <w:kern w:val="0"/>
          <w:szCs w:val="21"/>
          <w:highlight w:val="none"/>
        </w:rPr>
        <w:t>天内，通过监理人向承包人正式递交索赔报告。</w:t>
      </w:r>
    </w:p>
    <w:p>
      <w:pPr>
        <w:spacing w:line="336" w:lineRule="auto"/>
        <w:ind w:firstLine="422" w:firstLineChars="200"/>
        <w:outlineLvl w:val="4"/>
        <w:rPr>
          <w:rFonts w:ascii="宋体" w:hAnsi="宋体" w:cs="宋体"/>
          <w:b/>
          <w:bCs/>
          <w:color w:val="auto"/>
          <w:szCs w:val="21"/>
          <w:highlight w:val="none"/>
        </w:rPr>
      </w:pPr>
      <w:bookmarkStart w:id="1637" w:name="_Toc351203624"/>
      <w:bookmarkStart w:id="1638" w:name="_Toc296503144"/>
      <w:bookmarkStart w:id="1639" w:name="_Toc337558839"/>
      <w:bookmarkStart w:id="1640" w:name="_Toc296346645"/>
      <w:r>
        <w:rPr>
          <w:rFonts w:hint="eastAsia" w:cs="宋体"/>
          <w:b/>
          <w:bCs/>
          <w:color w:val="auto"/>
          <w:szCs w:val="21"/>
          <w:highlight w:val="none"/>
        </w:rPr>
        <w:t>19</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 xml:space="preserve"> 对发包人索赔的处理</w:t>
      </w:r>
      <w:bookmarkEnd w:id="1637"/>
    </w:p>
    <w:bookmarkEnd w:id="1638"/>
    <w:bookmarkEnd w:id="1639"/>
    <w:bookmarkEnd w:id="1640"/>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对发包人索赔的处理如下：</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）承包人收到发包人提交的索赔报告后，应及时审查索赔报告的内容、查验发包人证明材料；</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）承包人应在收到索赔报告或有关索赔的进一步证明材料后</w:t>
      </w:r>
      <w:r>
        <w:rPr>
          <w:rFonts w:hint="eastAsia" w:cs="宋体"/>
          <w:color w:val="auto"/>
          <w:kern w:val="0"/>
          <w:szCs w:val="21"/>
          <w:highlight w:val="none"/>
        </w:rPr>
        <w:t>28</w:t>
      </w:r>
      <w:r>
        <w:rPr>
          <w:rFonts w:hint="eastAsia" w:ascii="宋体" w:hAnsi="宋体" w:cs="宋体"/>
          <w:color w:val="auto"/>
          <w:kern w:val="0"/>
          <w:szCs w:val="21"/>
          <w:highlight w:val="none"/>
        </w:rPr>
        <w:t>天内，将索赔处理结果答复发包人。如果承包人未在上述期限内作出答复的，则视为对发包人索赔要求的认可；</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）承包人接受索赔处理结果的，发包人可从应支付给承包人的合同价款中扣除赔付的金额或延长缺陷责任期；发包人不接受索赔处理结果的，按第</w:t>
      </w:r>
      <w:r>
        <w:rPr>
          <w:rFonts w:hint="eastAsia" w:cs="宋体"/>
          <w:color w:val="auto"/>
          <w:kern w:val="0"/>
          <w:szCs w:val="21"/>
          <w:highlight w:val="none"/>
        </w:rPr>
        <w:t>20</w:t>
      </w:r>
      <w:r>
        <w:rPr>
          <w:rFonts w:hint="eastAsia" w:ascii="宋体" w:hAnsi="宋体" w:cs="宋体"/>
          <w:color w:val="auto"/>
          <w:kern w:val="0"/>
          <w:szCs w:val="21"/>
          <w:highlight w:val="none"/>
        </w:rPr>
        <w:t>条〔争议解决〕约定处理。</w:t>
      </w:r>
    </w:p>
    <w:p>
      <w:pPr>
        <w:spacing w:line="336" w:lineRule="auto"/>
        <w:ind w:firstLine="422" w:firstLineChars="200"/>
        <w:outlineLvl w:val="4"/>
        <w:rPr>
          <w:rFonts w:ascii="宋体" w:hAnsi="宋体" w:cs="宋体"/>
          <w:b/>
          <w:bCs/>
          <w:color w:val="auto"/>
          <w:szCs w:val="21"/>
          <w:highlight w:val="none"/>
        </w:rPr>
      </w:pPr>
      <w:bookmarkStart w:id="1641" w:name="_Toc351203625"/>
      <w:r>
        <w:rPr>
          <w:rFonts w:hint="eastAsia" w:cs="宋体"/>
          <w:b/>
          <w:bCs/>
          <w:color w:val="auto"/>
          <w:szCs w:val="21"/>
          <w:highlight w:val="none"/>
        </w:rPr>
        <w:t>19</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 xml:space="preserve"> 提出索赔的期限</w:t>
      </w:r>
      <w:bookmarkEnd w:id="1641"/>
    </w:p>
    <w:p>
      <w:pPr>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）承包人按第</w:t>
      </w: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款〔竣工结算审核〕约定接收竣工付款证书后，应被视为已无权再提出在工程接收证书颁发前所发生的任何索赔。</w:t>
      </w:r>
    </w:p>
    <w:p>
      <w:pPr>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）承包人按第</w:t>
      </w: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款〔最终结清〕提交的最终结清申请单中，只限于提出工程接收证书颁发后发生的索赔。提出索赔的期限自接受最终结清证书时终止。</w:t>
      </w:r>
    </w:p>
    <w:p>
      <w:pPr>
        <w:pStyle w:val="5"/>
        <w:keepNext w:val="0"/>
        <w:keepLines w:val="0"/>
        <w:spacing w:line="336" w:lineRule="auto"/>
        <w:rPr>
          <w:rFonts w:ascii="宋体" w:hAnsi="宋体" w:eastAsia="宋体" w:cs="宋体"/>
          <w:color w:val="auto"/>
          <w:sz w:val="24"/>
          <w:szCs w:val="24"/>
          <w:highlight w:val="none"/>
        </w:rPr>
      </w:pPr>
      <w:bookmarkStart w:id="1642" w:name="_Toc351203626"/>
      <w:r>
        <w:rPr>
          <w:rFonts w:hint="eastAsia" w:ascii="Times New Roman" w:hAnsi="Times New Roman" w:eastAsia="宋体" w:cs="宋体"/>
          <w:color w:val="auto"/>
          <w:sz w:val="24"/>
          <w:szCs w:val="24"/>
          <w:highlight w:val="none"/>
        </w:rPr>
        <w:t>20</w:t>
      </w:r>
      <w:bookmarkStart w:id="1643" w:name="_Toc296346647"/>
      <w:bookmarkStart w:id="1644" w:name="_Toc337558840"/>
      <w:bookmarkStart w:id="1645" w:name="_Toc296503146"/>
      <w:r>
        <w:rPr>
          <w:rFonts w:hint="eastAsia" w:ascii="宋体" w:hAnsi="宋体" w:eastAsia="宋体" w:cs="宋体"/>
          <w:color w:val="auto"/>
          <w:sz w:val="24"/>
          <w:szCs w:val="24"/>
          <w:highlight w:val="none"/>
        </w:rPr>
        <w:t>. 争议解决</w:t>
      </w:r>
      <w:bookmarkEnd w:id="1642"/>
    </w:p>
    <w:bookmarkEnd w:id="1643"/>
    <w:bookmarkEnd w:id="1644"/>
    <w:bookmarkEnd w:id="1645"/>
    <w:p>
      <w:pPr>
        <w:spacing w:line="336" w:lineRule="auto"/>
        <w:ind w:firstLine="422" w:firstLineChars="200"/>
        <w:outlineLvl w:val="4"/>
        <w:rPr>
          <w:rFonts w:ascii="宋体" w:hAnsi="宋体" w:cs="宋体"/>
          <w:b/>
          <w:bCs/>
          <w:color w:val="auto"/>
          <w:szCs w:val="21"/>
          <w:highlight w:val="none"/>
        </w:rPr>
      </w:pPr>
      <w:bookmarkStart w:id="1646" w:name="_Toc351203627"/>
      <w:bookmarkStart w:id="1647" w:name="_Toc337558841"/>
      <w:bookmarkStart w:id="1648" w:name="_Toc296346648"/>
      <w:bookmarkStart w:id="1649" w:name="_Toc296503147"/>
      <w:r>
        <w:rPr>
          <w:rFonts w:hint="eastAsia" w:cs="宋体"/>
          <w:b/>
          <w:bCs/>
          <w:color w:val="auto"/>
          <w:szCs w:val="21"/>
          <w:highlight w:val="none"/>
        </w:rPr>
        <w:t>20</w:t>
      </w:r>
      <w:r>
        <w:rPr>
          <w:rFonts w:hint="eastAsia" w:ascii="宋体" w:hAnsi="宋体" w:cs="宋体"/>
          <w:b/>
          <w:bCs/>
          <w:color w:val="auto"/>
          <w:szCs w:val="21"/>
          <w:highlight w:val="none"/>
        </w:rPr>
        <w:t>.</w:t>
      </w:r>
      <w:r>
        <w:rPr>
          <w:rFonts w:hint="eastAsia" w:cs="宋体"/>
          <w:b/>
          <w:bCs/>
          <w:color w:val="auto"/>
          <w:szCs w:val="21"/>
          <w:highlight w:val="none"/>
        </w:rPr>
        <w:t>1</w:t>
      </w:r>
      <w:r>
        <w:rPr>
          <w:rFonts w:hint="eastAsia" w:ascii="宋体" w:hAnsi="宋体" w:cs="宋体"/>
          <w:b/>
          <w:bCs/>
          <w:color w:val="auto"/>
          <w:szCs w:val="21"/>
          <w:highlight w:val="none"/>
        </w:rPr>
        <w:t>和解</w:t>
      </w:r>
      <w:bookmarkEnd w:id="1646"/>
    </w:p>
    <w:bookmarkEnd w:id="1647"/>
    <w:bookmarkEnd w:id="1648"/>
    <w:bookmarkEnd w:id="1649"/>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合同当事人可以就争议自行和解，自行和解达成协议的经双方签字并盖章后作为合同补充文件，双方均应遵照执行。</w:t>
      </w:r>
    </w:p>
    <w:p>
      <w:pPr>
        <w:spacing w:line="336" w:lineRule="auto"/>
        <w:ind w:firstLine="422" w:firstLineChars="200"/>
        <w:outlineLvl w:val="4"/>
        <w:rPr>
          <w:rFonts w:ascii="宋体" w:hAnsi="宋体" w:cs="宋体"/>
          <w:b/>
          <w:bCs/>
          <w:color w:val="auto"/>
          <w:szCs w:val="21"/>
          <w:highlight w:val="none"/>
        </w:rPr>
      </w:pPr>
      <w:bookmarkStart w:id="1650" w:name="_Toc351203628"/>
      <w:r>
        <w:rPr>
          <w:rFonts w:hint="eastAsia" w:cs="宋体"/>
          <w:b/>
          <w:bCs/>
          <w:color w:val="auto"/>
          <w:szCs w:val="21"/>
          <w:highlight w:val="none"/>
        </w:rPr>
        <w:t>20</w:t>
      </w:r>
      <w:bookmarkStart w:id="1651" w:name="_Toc296503148"/>
      <w:bookmarkStart w:id="1652" w:name="_Toc337558842"/>
      <w:bookmarkStart w:id="1653" w:name="_Toc296346649"/>
      <w:r>
        <w:rPr>
          <w:rFonts w:hint="eastAsia" w:ascii="宋体" w:hAnsi="宋体" w:cs="宋体"/>
          <w:b/>
          <w:bCs/>
          <w:color w:val="auto"/>
          <w:szCs w:val="21"/>
          <w:highlight w:val="none"/>
        </w:rPr>
        <w:t>.</w:t>
      </w:r>
      <w:r>
        <w:rPr>
          <w:rFonts w:hint="eastAsia" w:cs="宋体"/>
          <w:b/>
          <w:bCs/>
          <w:color w:val="auto"/>
          <w:szCs w:val="21"/>
          <w:highlight w:val="none"/>
        </w:rPr>
        <w:t>2</w:t>
      </w:r>
      <w:r>
        <w:rPr>
          <w:rFonts w:hint="eastAsia" w:ascii="宋体" w:hAnsi="宋体" w:cs="宋体"/>
          <w:b/>
          <w:bCs/>
          <w:color w:val="auto"/>
          <w:szCs w:val="21"/>
          <w:highlight w:val="none"/>
        </w:rPr>
        <w:t>调解</w:t>
      </w:r>
      <w:bookmarkEnd w:id="1650"/>
    </w:p>
    <w:bookmarkEnd w:id="1651"/>
    <w:bookmarkEnd w:id="1652"/>
    <w:bookmarkEnd w:id="1653"/>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合同当事人可以就争议请求建设行政主管部门、行业协会或其他第三方进行调解，调解达成协议的，经双方签字并盖章后作为合同补充文件，双方均应遵照执行。</w:t>
      </w:r>
    </w:p>
    <w:p>
      <w:pPr>
        <w:spacing w:line="336" w:lineRule="auto"/>
        <w:ind w:firstLine="422" w:firstLineChars="200"/>
        <w:outlineLvl w:val="4"/>
        <w:rPr>
          <w:rFonts w:ascii="宋体" w:hAnsi="宋体" w:cs="宋体"/>
          <w:b/>
          <w:bCs/>
          <w:color w:val="auto"/>
          <w:szCs w:val="21"/>
          <w:highlight w:val="none"/>
        </w:rPr>
      </w:pPr>
      <w:bookmarkStart w:id="1654" w:name="_Toc351203629"/>
      <w:bookmarkStart w:id="1655" w:name="_Toc296346650"/>
      <w:bookmarkStart w:id="1656" w:name="_Toc296503149"/>
      <w:bookmarkStart w:id="1657" w:name="_Toc337558843"/>
      <w:r>
        <w:rPr>
          <w:rFonts w:hint="eastAsia" w:cs="宋体"/>
          <w:b/>
          <w:bCs/>
          <w:color w:val="auto"/>
          <w:szCs w:val="21"/>
          <w:highlight w:val="none"/>
        </w:rPr>
        <w:t>20</w:t>
      </w:r>
      <w:r>
        <w:rPr>
          <w:rFonts w:hint="eastAsia" w:ascii="宋体" w:hAnsi="宋体" w:cs="宋体"/>
          <w:b/>
          <w:bCs/>
          <w:color w:val="auto"/>
          <w:szCs w:val="21"/>
          <w:highlight w:val="none"/>
        </w:rPr>
        <w:t>.</w:t>
      </w:r>
      <w:r>
        <w:rPr>
          <w:rFonts w:hint="eastAsia" w:cs="宋体"/>
          <w:b/>
          <w:bCs/>
          <w:color w:val="auto"/>
          <w:szCs w:val="21"/>
          <w:highlight w:val="none"/>
        </w:rPr>
        <w:t>3</w:t>
      </w:r>
      <w:r>
        <w:rPr>
          <w:rFonts w:hint="eastAsia" w:ascii="宋体" w:hAnsi="宋体" w:cs="宋体"/>
          <w:b/>
          <w:bCs/>
          <w:color w:val="auto"/>
          <w:szCs w:val="21"/>
          <w:highlight w:val="none"/>
        </w:rPr>
        <w:t>争议评审</w:t>
      </w:r>
      <w:bookmarkEnd w:id="1654"/>
    </w:p>
    <w:bookmarkEnd w:id="1655"/>
    <w:bookmarkEnd w:id="1656"/>
    <w:bookmarkEnd w:id="1657"/>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合同当事人在专用合同条款中约定采取争议评审方式解决争议以及评审规则，并按下列约定执行：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争议评审小组的确定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合同当事人可以共同选择一名或三名争议评审员，组成争议评审小组。除专用合同条款另有约定外，合同当事人应当自合同签订后</w:t>
      </w:r>
      <w:r>
        <w:rPr>
          <w:rFonts w:hint="eastAsia" w:cs="宋体"/>
          <w:color w:val="auto"/>
          <w:kern w:val="0"/>
          <w:szCs w:val="21"/>
          <w:highlight w:val="none"/>
        </w:rPr>
        <w:t>28</w:t>
      </w:r>
      <w:r>
        <w:rPr>
          <w:rFonts w:hint="eastAsia" w:ascii="宋体" w:hAnsi="宋体" w:cs="宋体"/>
          <w:color w:val="auto"/>
          <w:kern w:val="0"/>
          <w:szCs w:val="21"/>
          <w:highlight w:val="none"/>
        </w:rPr>
        <w:t>天内，或者争议发生后</w:t>
      </w:r>
      <w:r>
        <w:rPr>
          <w:rFonts w:hint="eastAsia" w:cs="宋体"/>
          <w:color w:val="auto"/>
          <w:kern w:val="0"/>
          <w:szCs w:val="21"/>
          <w:highlight w:val="none"/>
        </w:rPr>
        <w:t>14</w:t>
      </w:r>
      <w:r>
        <w:rPr>
          <w:rFonts w:hint="eastAsia" w:ascii="宋体" w:hAnsi="宋体" w:cs="宋体"/>
          <w:color w:val="auto"/>
          <w:kern w:val="0"/>
          <w:szCs w:val="21"/>
          <w:highlight w:val="none"/>
        </w:rPr>
        <w:t>天内，选定争议评审员。</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除专用合同条款另有约定外，评审员报酬由发包人和承包人各承担一半。</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争议评审小组的决定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hint="eastAsia" w:cs="宋体"/>
          <w:color w:val="auto"/>
          <w:kern w:val="0"/>
          <w:szCs w:val="21"/>
          <w:highlight w:val="none"/>
        </w:rPr>
        <w:t>14</w:t>
      </w:r>
      <w:r>
        <w:rPr>
          <w:rFonts w:hint="eastAsia" w:ascii="宋体" w:hAnsi="宋体" w:cs="宋体"/>
          <w:color w:val="auto"/>
          <w:kern w:val="0"/>
          <w:szCs w:val="21"/>
          <w:highlight w:val="none"/>
        </w:rPr>
        <w:t>天内作出书面决定，并说明理由。合同当事人可以在专用合同条款中对本项事项另行约定。</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20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争议评审小组决定的效力</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争议评审小组作出的书面决定经合同当事人签字确认后，对双方具有约束力，双方应遵照执行。</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任何一方当事人不接受争议评审小组决定或不履行争议评审小组决定的，双方可选择采用其他争议解决方式。</w:t>
      </w:r>
    </w:p>
    <w:p>
      <w:pPr>
        <w:spacing w:line="336" w:lineRule="auto"/>
        <w:ind w:firstLine="422" w:firstLineChars="200"/>
        <w:outlineLvl w:val="4"/>
        <w:rPr>
          <w:rFonts w:ascii="宋体" w:hAnsi="宋体" w:cs="宋体"/>
          <w:b/>
          <w:bCs/>
          <w:color w:val="auto"/>
          <w:szCs w:val="21"/>
          <w:highlight w:val="none"/>
        </w:rPr>
      </w:pPr>
      <w:bookmarkStart w:id="1658" w:name="_Toc351203630"/>
      <w:bookmarkStart w:id="1659" w:name="_Toc296346651"/>
      <w:bookmarkStart w:id="1660" w:name="_Toc337558844"/>
      <w:bookmarkStart w:id="1661" w:name="_Toc296503150"/>
      <w:r>
        <w:rPr>
          <w:rFonts w:hint="eastAsia" w:cs="宋体"/>
          <w:b/>
          <w:bCs/>
          <w:color w:val="auto"/>
          <w:szCs w:val="21"/>
          <w:highlight w:val="none"/>
        </w:rPr>
        <w:t>20</w:t>
      </w:r>
      <w:r>
        <w:rPr>
          <w:rFonts w:hint="eastAsia" w:ascii="宋体" w:hAnsi="宋体" w:cs="宋体"/>
          <w:b/>
          <w:bCs/>
          <w:color w:val="auto"/>
          <w:szCs w:val="21"/>
          <w:highlight w:val="none"/>
        </w:rPr>
        <w:t>.</w:t>
      </w:r>
      <w:r>
        <w:rPr>
          <w:rFonts w:hint="eastAsia" w:cs="宋体"/>
          <w:b/>
          <w:bCs/>
          <w:color w:val="auto"/>
          <w:szCs w:val="21"/>
          <w:highlight w:val="none"/>
        </w:rPr>
        <w:t>4</w:t>
      </w:r>
      <w:r>
        <w:rPr>
          <w:rFonts w:hint="eastAsia" w:ascii="宋体" w:hAnsi="宋体" w:cs="宋体"/>
          <w:b/>
          <w:bCs/>
          <w:color w:val="auto"/>
          <w:szCs w:val="21"/>
          <w:highlight w:val="none"/>
        </w:rPr>
        <w:t>仲裁或诉讼</w:t>
      </w:r>
      <w:bookmarkEnd w:id="1658"/>
    </w:p>
    <w:bookmarkEnd w:id="1659"/>
    <w:bookmarkEnd w:id="1660"/>
    <w:bookmarkEnd w:id="1661"/>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因合同及合同有关事项产生的争议，合同当事人可以在专用合同条款中约定以下一种方式解决争议：</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）向约定的仲裁委员会申请仲裁；</w:t>
      </w:r>
    </w:p>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）向有管辖权的人民法院起诉。</w:t>
      </w:r>
    </w:p>
    <w:p>
      <w:pPr>
        <w:spacing w:line="336" w:lineRule="auto"/>
        <w:ind w:firstLine="422" w:firstLineChars="200"/>
        <w:outlineLvl w:val="4"/>
        <w:rPr>
          <w:rFonts w:ascii="宋体" w:hAnsi="宋体" w:cs="宋体"/>
          <w:b/>
          <w:bCs/>
          <w:color w:val="auto"/>
          <w:szCs w:val="21"/>
          <w:highlight w:val="none"/>
        </w:rPr>
      </w:pPr>
      <w:bookmarkStart w:id="1662" w:name="_Toc351203631"/>
      <w:bookmarkStart w:id="1663" w:name="_Toc296503152"/>
      <w:bookmarkStart w:id="1664" w:name="_Toc296346653"/>
      <w:bookmarkStart w:id="1665" w:name="_Toc337558845"/>
      <w:r>
        <w:rPr>
          <w:rFonts w:hint="eastAsia" w:cs="宋体"/>
          <w:b/>
          <w:bCs/>
          <w:color w:val="auto"/>
          <w:szCs w:val="21"/>
          <w:highlight w:val="none"/>
        </w:rPr>
        <w:t>20</w:t>
      </w:r>
      <w:r>
        <w:rPr>
          <w:rFonts w:hint="eastAsia" w:ascii="宋体" w:hAnsi="宋体" w:cs="宋体"/>
          <w:b/>
          <w:bCs/>
          <w:color w:val="auto"/>
          <w:szCs w:val="21"/>
          <w:highlight w:val="none"/>
        </w:rPr>
        <w:t>.</w:t>
      </w:r>
      <w:r>
        <w:rPr>
          <w:rFonts w:hint="eastAsia" w:cs="宋体"/>
          <w:b/>
          <w:bCs/>
          <w:color w:val="auto"/>
          <w:szCs w:val="21"/>
          <w:highlight w:val="none"/>
        </w:rPr>
        <w:t>5</w:t>
      </w:r>
      <w:r>
        <w:rPr>
          <w:rFonts w:hint="eastAsia" w:ascii="宋体" w:hAnsi="宋体" w:cs="宋体"/>
          <w:b/>
          <w:bCs/>
          <w:color w:val="auto"/>
          <w:szCs w:val="21"/>
          <w:highlight w:val="none"/>
        </w:rPr>
        <w:t>争议解决条款效力</w:t>
      </w:r>
      <w:bookmarkEnd w:id="1662"/>
    </w:p>
    <w:bookmarkEnd w:id="1663"/>
    <w:bookmarkEnd w:id="1664"/>
    <w:bookmarkEnd w:id="1665"/>
    <w:p>
      <w:pPr>
        <w:autoSpaceDE w:val="0"/>
        <w:autoSpaceDN w:val="0"/>
        <w:adjustRightIn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合同有关争议解决的条款独立存在，合同的变更、解除、终止、无效或者被撤销均不影响其效力。 </w:t>
      </w:r>
    </w:p>
    <w:p>
      <w:pPr>
        <w:rPr>
          <w:color w:val="auto"/>
          <w:highlight w:val="none"/>
        </w:rPr>
        <w:sectPr>
          <w:pgSz w:w="11906" w:h="16838"/>
          <w:pgMar w:top="2098" w:right="1446" w:bottom="1984" w:left="1446" w:header="851" w:footer="1446" w:gutter="0"/>
          <w:cols w:space="0" w:num="1"/>
          <w:titlePg/>
          <w:docGrid w:linePitch="312" w:charSpace="0"/>
        </w:sectPr>
      </w:pPr>
    </w:p>
    <w:p>
      <w:pPr>
        <w:pStyle w:val="20"/>
        <w:keepNext w:val="0"/>
        <w:keepLines w:val="0"/>
        <w:spacing w:line="336" w:lineRule="auto"/>
        <w:jc w:val="center"/>
        <w:outlineLvl w:val="2"/>
        <w:rPr>
          <w:rFonts w:hAnsi="宋体"/>
          <w:color w:val="auto"/>
          <w:sz w:val="30"/>
          <w:szCs w:val="30"/>
          <w:highlight w:val="none"/>
        </w:rPr>
      </w:pPr>
      <w:bookmarkStart w:id="1666" w:name="_Toc10206"/>
      <w:bookmarkStart w:id="1667" w:name="_Toc16621"/>
      <w:bookmarkStart w:id="1668" w:name="_Toc18398"/>
      <w:bookmarkStart w:id="1669" w:name="_Toc20509"/>
      <w:bookmarkStart w:id="1670" w:name="_Toc6337"/>
      <w:bookmarkStart w:id="1671" w:name="_Toc131311978"/>
      <w:bookmarkStart w:id="1672" w:name="_Toc20490"/>
      <w:bookmarkStart w:id="1673" w:name="_Toc1656328575"/>
      <w:bookmarkStart w:id="1674" w:name="_Toc351203632"/>
      <w:r>
        <w:rPr>
          <w:rStyle w:val="41"/>
          <w:rFonts w:hint="eastAsia"/>
          <w:b w:val="0"/>
          <w:bCs w:val="0"/>
          <w:color w:val="auto"/>
          <w:sz w:val="30"/>
          <w:szCs w:val="30"/>
          <w:highlight w:val="none"/>
        </w:rPr>
        <w:t>第三部分 专用合同条款</w:t>
      </w:r>
      <w:bookmarkEnd w:id="1666"/>
      <w:bookmarkEnd w:id="1667"/>
      <w:bookmarkEnd w:id="1668"/>
      <w:bookmarkEnd w:id="1669"/>
      <w:bookmarkEnd w:id="1670"/>
      <w:bookmarkEnd w:id="1671"/>
      <w:bookmarkEnd w:id="1672"/>
      <w:bookmarkEnd w:id="1673"/>
      <w:bookmarkEnd w:id="1674"/>
    </w:p>
    <w:p>
      <w:pPr>
        <w:pStyle w:val="5"/>
        <w:keepNext w:val="0"/>
        <w:keepLines w:val="0"/>
        <w:snapToGrid w:val="0"/>
        <w:spacing w:line="336" w:lineRule="auto"/>
        <w:jc w:val="left"/>
        <w:rPr>
          <w:rFonts w:ascii="宋体" w:hAnsi="宋体" w:eastAsia="宋体" w:cs="宋体"/>
          <w:color w:val="auto"/>
          <w:sz w:val="24"/>
          <w:szCs w:val="24"/>
          <w:highlight w:val="none"/>
        </w:rPr>
      </w:pPr>
      <w:bookmarkStart w:id="1675" w:name="_Toc351203633"/>
      <w:r>
        <w:rPr>
          <w:rFonts w:hint="eastAsia" w:ascii="Times New Roman" w:hAnsi="Times New Roman" w:eastAsia="宋体" w:cs="宋体"/>
          <w:color w:val="auto"/>
          <w:sz w:val="24"/>
          <w:szCs w:val="24"/>
          <w:highlight w:val="none"/>
        </w:rPr>
        <w:t>1</w:t>
      </w:r>
      <w:bookmarkStart w:id="1676" w:name="_Toc292559361"/>
      <w:bookmarkStart w:id="1677" w:name="_Toc296503156"/>
      <w:bookmarkStart w:id="1678" w:name="_Toc292559866"/>
      <w:bookmarkStart w:id="1679" w:name="_Toc297048342"/>
      <w:bookmarkStart w:id="1680" w:name="_Toc296890984"/>
      <w:bookmarkStart w:id="1681" w:name="_Toc296891196"/>
      <w:bookmarkStart w:id="1682" w:name="_Toc297120456"/>
      <w:bookmarkStart w:id="1683" w:name="_Toc296347155"/>
      <w:bookmarkStart w:id="1684" w:name="_Toc296346657"/>
      <w:bookmarkStart w:id="1685" w:name="_Toc296944495"/>
      <w:r>
        <w:rPr>
          <w:rFonts w:hint="eastAsia" w:ascii="宋体" w:hAnsi="宋体" w:eastAsia="宋体" w:cs="宋体"/>
          <w:color w:val="auto"/>
          <w:sz w:val="24"/>
          <w:szCs w:val="24"/>
          <w:highlight w:val="none"/>
        </w:rPr>
        <w:t>. 一般约定</w:t>
      </w:r>
      <w:bookmarkEnd w:id="1675"/>
    </w:p>
    <w:bookmarkEnd w:id="1676"/>
    <w:bookmarkEnd w:id="1677"/>
    <w:bookmarkEnd w:id="1678"/>
    <w:bookmarkEnd w:id="1679"/>
    <w:bookmarkEnd w:id="1680"/>
    <w:bookmarkEnd w:id="1681"/>
    <w:bookmarkEnd w:id="1682"/>
    <w:bookmarkEnd w:id="1683"/>
    <w:bookmarkEnd w:id="1684"/>
    <w:bookmarkEnd w:id="1685"/>
    <w:p>
      <w:pPr>
        <w:snapToGrid w:val="0"/>
        <w:spacing w:line="336" w:lineRule="auto"/>
        <w:ind w:firstLine="420" w:firstLineChars="200"/>
        <w:jc w:val="left"/>
        <w:rPr>
          <w:rFonts w:ascii="宋体" w:hAnsi="宋体" w:cs="宋体"/>
          <w:color w:val="auto"/>
          <w:szCs w:val="21"/>
          <w:highlight w:val="none"/>
        </w:rPr>
      </w:pPr>
      <w:bookmarkStart w:id="1686" w:name="_Toc28898"/>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词语定义</w:t>
      </w:r>
      <w:bookmarkEnd w:id="1686"/>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合同</w:t>
      </w:r>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其他合同文件包括：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合同当事人及其他相关方</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监理人：</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设计人：</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工程和设备</w:t>
      </w:r>
    </w:p>
    <w:p>
      <w:pPr>
        <w:snapToGrid w:val="0"/>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 作为施工现场组成部分的其他场所包括：</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36" w:lineRule="auto"/>
        <w:ind w:firstLine="420" w:firstLineChars="200"/>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 xml:space="preserve"> 永久占地包括：</w:t>
      </w:r>
      <w:r>
        <w:rPr>
          <w:rFonts w:hint="eastAsia" w:ascii="宋体" w:hAnsi="宋体" w:cs="宋体"/>
          <w:color w:val="auto"/>
          <w:szCs w:val="21"/>
          <w:highlight w:val="none"/>
          <w:u w:val="single"/>
        </w:rPr>
        <w:t xml:space="preserve">                         </w:t>
      </w:r>
      <w:r>
        <w:rPr>
          <w:rFonts w:hint="eastAsia" w:ascii="宋体" w:hAnsi="宋体" w:cs="宋体"/>
          <w:color w:val="auto"/>
          <w:kern w:val="0"/>
          <w:szCs w:val="21"/>
          <w:highlight w:val="none"/>
        </w:rPr>
        <w:t>。</w:t>
      </w:r>
    </w:p>
    <w:p>
      <w:pPr>
        <w:snapToGrid w:val="0"/>
        <w:spacing w:line="336" w:lineRule="auto"/>
        <w:ind w:firstLine="420" w:firstLineChars="200"/>
        <w:rPr>
          <w:rFonts w:ascii="宋体" w:hAnsi="宋体" w:cs="宋体"/>
          <w:color w:val="auto"/>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 xml:space="preserve">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pPr>
        <w:snapToGrid w:val="0"/>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法律</w:t>
      </w:r>
    </w:p>
    <w:p>
      <w:pPr>
        <w:autoSpaceDE w:val="0"/>
        <w:autoSpaceDN w:val="0"/>
        <w:adjustRightInd w:val="0"/>
        <w:snapToGrid w:val="0"/>
        <w:spacing w:line="336" w:lineRule="auto"/>
        <w:ind w:left="806" w:leftChars="284" w:hanging="210" w:hangingChars="100"/>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标准和规范</w:t>
      </w:r>
    </w:p>
    <w:p>
      <w:pPr>
        <w:snapToGrid w:val="0"/>
        <w:spacing w:line="336" w:lineRule="auto"/>
        <w:ind w:firstLine="420" w:firstLineChars="200"/>
        <w:rPr>
          <w:rFonts w:ascii="宋体" w:hAnsi="宋体" w:cs="宋体"/>
          <w:color w:val="auto"/>
          <w:szCs w:val="21"/>
          <w:highlight w:val="none"/>
          <w:u w:val="singl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适用于工程的标准规范包括：</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见第7章 技术标准和要求（合同技术条款）</w:t>
      </w:r>
      <w:r>
        <w:rPr>
          <w:rFonts w:hint="eastAsia" w:ascii="宋体" w:hAnsi="宋体" w:cs="宋体"/>
          <w:color w:val="auto"/>
          <w:szCs w:val="21"/>
          <w:highlight w:val="none"/>
        </w:rPr>
        <w:t>。</w:t>
      </w:r>
    </w:p>
    <w:p>
      <w:pPr>
        <w:snapToGrid w:val="0"/>
        <w:spacing w:line="336" w:lineRule="auto"/>
        <w:ind w:firstLine="420" w:firstLineChars="200"/>
        <w:rPr>
          <w:rFonts w:ascii="宋体" w:hAnsi="宋体" w:cs="宋体"/>
          <w:color w:val="auto"/>
          <w:kern w:val="0"/>
          <w:szCs w:val="21"/>
          <w:highlight w:val="none"/>
        </w:rPr>
      </w:pPr>
      <w:bookmarkStart w:id="1687" w:name="_Toc6179"/>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发包人提供国外标准、规范的名称：</w:t>
      </w:r>
      <w:bookmarkEnd w:id="1687"/>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发包人对工程的技术标准和功能要求的特殊要求：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688" w:name="_Toc29215"/>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合同文件的优先顺序</w:t>
      </w:r>
      <w:bookmarkEnd w:id="1688"/>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1</w:t>
      </w:r>
      <w:r>
        <w:rPr>
          <w:rFonts w:ascii="宋体" w:hAnsi="宋体"/>
          <w:color w:val="auto"/>
          <w:szCs w:val="21"/>
          <w:highlight w:val="none"/>
          <w:u w:val="single"/>
        </w:rPr>
        <w:t>.</w:t>
      </w:r>
      <w:r>
        <w:rPr>
          <w:rFonts w:hint="eastAsia" w:ascii="宋体" w:hAnsi="宋体"/>
          <w:color w:val="auto"/>
          <w:szCs w:val="21"/>
          <w:highlight w:val="none"/>
          <w:u w:val="single"/>
        </w:rPr>
        <w:t>合同协议书；</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2</w:t>
      </w:r>
      <w:r>
        <w:rPr>
          <w:rFonts w:ascii="宋体" w:hAnsi="宋体"/>
          <w:color w:val="auto"/>
          <w:szCs w:val="21"/>
          <w:highlight w:val="none"/>
          <w:u w:val="single"/>
        </w:rPr>
        <w:t>.</w:t>
      </w:r>
      <w:r>
        <w:rPr>
          <w:rFonts w:hint="eastAsia" w:ascii="宋体" w:hAnsi="宋体"/>
          <w:color w:val="auto"/>
          <w:szCs w:val="21"/>
          <w:highlight w:val="none"/>
          <w:u w:val="single"/>
        </w:rPr>
        <w:t>中标通知书；</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3</w:t>
      </w:r>
      <w:r>
        <w:rPr>
          <w:rFonts w:ascii="宋体" w:hAnsi="宋体"/>
          <w:color w:val="auto"/>
          <w:szCs w:val="21"/>
          <w:highlight w:val="none"/>
          <w:u w:val="single"/>
        </w:rPr>
        <w:t>.</w:t>
      </w:r>
      <w:r>
        <w:rPr>
          <w:rFonts w:hint="eastAsia" w:ascii="宋体" w:hAnsi="宋体"/>
          <w:color w:val="auto"/>
          <w:szCs w:val="21"/>
          <w:highlight w:val="none"/>
          <w:u w:val="single"/>
        </w:rPr>
        <w:t>投标函及投标函附录；</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4</w:t>
      </w:r>
      <w:r>
        <w:rPr>
          <w:rFonts w:ascii="宋体" w:hAnsi="宋体"/>
          <w:color w:val="auto"/>
          <w:szCs w:val="21"/>
          <w:highlight w:val="none"/>
          <w:u w:val="single"/>
        </w:rPr>
        <w:t>.</w:t>
      </w:r>
      <w:r>
        <w:rPr>
          <w:rFonts w:hint="eastAsia" w:ascii="宋体" w:hAnsi="宋体"/>
          <w:color w:val="auto"/>
          <w:szCs w:val="21"/>
          <w:highlight w:val="none"/>
          <w:u w:val="single"/>
        </w:rPr>
        <w:t>专用合同条款</w:t>
      </w:r>
      <w:r>
        <w:rPr>
          <w:rFonts w:hint="eastAsia" w:ascii="宋体" w:hAnsi="宋体" w:cs="宋体"/>
          <w:color w:val="auto"/>
          <w:szCs w:val="21"/>
          <w:highlight w:val="none"/>
          <w:u w:val="single"/>
        </w:rPr>
        <w:t>其附件</w:t>
      </w:r>
      <w:r>
        <w:rPr>
          <w:rFonts w:hint="eastAsia" w:ascii="宋体" w:hAnsi="宋体"/>
          <w:color w:val="auto"/>
          <w:szCs w:val="21"/>
          <w:highlight w:val="none"/>
          <w:u w:val="single"/>
        </w:rPr>
        <w:t>；</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5</w:t>
      </w:r>
      <w:r>
        <w:rPr>
          <w:rFonts w:ascii="宋体" w:hAnsi="宋体"/>
          <w:color w:val="auto"/>
          <w:szCs w:val="21"/>
          <w:highlight w:val="none"/>
          <w:u w:val="single"/>
        </w:rPr>
        <w:t>.</w:t>
      </w:r>
      <w:r>
        <w:rPr>
          <w:rFonts w:hint="eastAsia" w:ascii="宋体" w:hAnsi="宋体"/>
          <w:color w:val="auto"/>
          <w:szCs w:val="21"/>
          <w:highlight w:val="none"/>
          <w:u w:val="single"/>
        </w:rPr>
        <w:t>通用合同条款；</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6</w:t>
      </w:r>
      <w:r>
        <w:rPr>
          <w:rFonts w:ascii="宋体" w:hAnsi="宋体"/>
          <w:color w:val="auto"/>
          <w:szCs w:val="21"/>
          <w:highlight w:val="none"/>
          <w:u w:val="single"/>
        </w:rPr>
        <w:t>.</w:t>
      </w:r>
      <w:r>
        <w:rPr>
          <w:rFonts w:hint="eastAsia" w:ascii="宋体" w:hAnsi="宋体"/>
          <w:color w:val="auto"/>
          <w:szCs w:val="21"/>
          <w:highlight w:val="none"/>
          <w:u w:val="single"/>
        </w:rPr>
        <w:t>技术标准和要求；</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7</w:t>
      </w:r>
      <w:r>
        <w:rPr>
          <w:rFonts w:ascii="宋体" w:hAnsi="宋体"/>
          <w:color w:val="auto"/>
          <w:szCs w:val="21"/>
          <w:highlight w:val="none"/>
          <w:u w:val="single"/>
        </w:rPr>
        <w:t>.</w:t>
      </w:r>
      <w:r>
        <w:rPr>
          <w:rFonts w:hint="eastAsia" w:ascii="宋体" w:hAnsi="宋体"/>
          <w:color w:val="auto"/>
          <w:szCs w:val="21"/>
          <w:highlight w:val="none"/>
          <w:u w:val="single"/>
        </w:rPr>
        <w:t>图纸；</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8</w:t>
      </w:r>
      <w:r>
        <w:rPr>
          <w:rFonts w:ascii="宋体" w:hAnsi="宋体"/>
          <w:color w:val="auto"/>
          <w:szCs w:val="21"/>
          <w:highlight w:val="none"/>
          <w:u w:val="single"/>
        </w:rPr>
        <w:t>.</w:t>
      </w:r>
      <w:r>
        <w:rPr>
          <w:rFonts w:hint="eastAsia" w:ascii="宋体" w:hAnsi="宋体"/>
          <w:color w:val="auto"/>
          <w:szCs w:val="21"/>
          <w:highlight w:val="none"/>
          <w:u w:val="single"/>
        </w:rPr>
        <w:t>已标价工程量清单；</w:t>
      </w:r>
    </w:p>
    <w:p>
      <w:pPr>
        <w:snapToGrid w:val="0"/>
        <w:spacing w:line="336" w:lineRule="auto"/>
        <w:ind w:left="420"/>
        <w:jc w:val="left"/>
        <w:rPr>
          <w:rFonts w:ascii="宋体" w:hAnsi="宋体"/>
          <w:color w:val="auto"/>
          <w:szCs w:val="21"/>
          <w:highlight w:val="none"/>
          <w:u w:val="single"/>
        </w:rPr>
      </w:pPr>
      <w:r>
        <w:rPr>
          <w:rFonts w:hint="eastAsia"/>
          <w:color w:val="auto"/>
          <w:szCs w:val="21"/>
          <w:highlight w:val="none"/>
          <w:u w:val="single"/>
        </w:rPr>
        <w:t>9</w:t>
      </w:r>
      <w:r>
        <w:rPr>
          <w:rFonts w:ascii="宋体" w:hAnsi="宋体"/>
          <w:color w:val="auto"/>
          <w:szCs w:val="21"/>
          <w:highlight w:val="none"/>
          <w:u w:val="single"/>
        </w:rPr>
        <w:t>.</w:t>
      </w:r>
      <w:r>
        <w:rPr>
          <w:rFonts w:hint="eastAsia" w:ascii="宋体" w:hAnsi="宋体"/>
          <w:color w:val="auto"/>
          <w:szCs w:val="21"/>
          <w:highlight w:val="none"/>
          <w:u w:val="single"/>
        </w:rPr>
        <w:t>其他合同文件。</w:t>
      </w:r>
    </w:p>
    <w:p>
      <w:pPr>
        <w:spacing w:line="336" w:lineRule="auto"/>
        <w:rPr>
          <w:color w:val="auto"/>
          <w:highlight w:val="none"/>
        </w:rPr>
      </w:pPr>
    </w:p>
    <w:p>
      <w:pPr>
        <w:snapToGrid w:val="0"/>
        <w:spacing w:line="336" w:lineRule="auto"/>
        <w:ind w:firstLine="420" w:firstLineChars="200"/>
        <w:jc w:val="left"/>
        <w:rPr>
          <w:rFonts w:ascii="宋体" w:hAnsi="宋体" w:cs="宋体"/>
          <w:color w:val="auto"/>
          <w:szCs w:val="21"/>
          <w:highlight w:val="none"/>
        </w:rPr>
      </w:pPr>
      <w:bookmarkStart w:id="1689" w:name="_Toc28576"/>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图纸和承包人文件</w:t>
      </w:r>
      <w:bookmarkEnd w:id="1689"/>
      <w:r>
        <w:rPr>
          <w:rFonts w:hint="eastAsia" w:ascii="宋体" w:hAnsi="宋体" w:cs="宋体"/>
          <w:color w:val="auto"/>
          <w:szCs w:val="21"/>
          <w:highlight w:val="none"/>
        </w:rPr>
        <w:tab/>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图纸的提供</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承包人文件</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现场图纸准备</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690" w:name="_Toc9395"/>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 联络</w:t>
      </w:r>
      <w:bookmarkEnd w:id="1690"/>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发包人和承包人应当在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691" w:name="_Toc19686"/>
      <w:bookmarkStart w:id="1692" w:name="_Toc109149873"/>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 xml:space="preserve"> 交通运输</w:t>
      </w:r>
      <w:bookmarkEnd w:id="1691"/>
      <w:bookmarkEnd w:id="1692"/>
    </w:p>
    <w:p>
      <w:pPr>
        <w:snapToGrid w:val="0"/>
        <w:spacing w:line="336" w:lineRule="auto"/>
        <w:ind w:firstLine="420" w:firstLineChars="200"/>
        <w:jc w:val="left"/>
        <w:rPr>
          <w:rFonts w:ascii="宋体" w:hAnsi="宋体" w:cs="宋体"/>
          <w:color w:val="auto"/>
          <w:szCs w:val="21"/>
          <w:highlight w:val="none"/>
        </w:rPr>
      </w:pPr>
      <w:bookmarkStart w:id="1693" w:name="_Toc19830"/>
      <w:r>
        <w:rPr>
          <w:rFonts w:hint="eastAsia" w:cs="宋体"/>
          <w:color w:val="auto"/>
          <w:szCs w:val="21"/>
          <w:highlight w:val="none"/>
        </w:rPr>
        <w:t>1</w:t>
      </w:r>
      <w:bookmarkStart w:id="1694" w:name="_Toc303539100"/>
      <w:bookmarkStart w:id="1695" w:name="_Toc304295521"/>
      <w:bookmarkStart w:id="1696" w:name="_Toc300934943"/>
      <w:bookmarkStart w:id="1697" w:name="_Toc318581155"/>
      <w:bookmarkStart w:id="1698" w:name="_Toc312677986"/>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出入现场的权利</w:t>
      </w:r>
      <w:bookmarkEnd w:id="1693"/>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关于出入现场的权利的约定：</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bookmarkEnd w:id="1694"/>
    <w:bookmarkEnd w:id="1695"/>
    <w:bookmarkEnd w:id="1696"/>
    <w:bookmarkEnd w:id="1697"/>
    <w:bookmarkEnd w:id="1698"/>
    <w:p>
      <w:pPr>
        <w:snapToGrid w:val="0"/>
        <w:spacing w:line="336" w:lineRule="auto"/>
        <w:ind w:firstLine="420" w:firstLineChars="200"/>
        <w:jc w:val="left"/>
        <w:rPr>
          <w:rFonts w:ascii="宋体" w:hAnsi="宋体" w:cs="宋体"/>
          <w:color w:val="auto"/>
          <w:szCs w:val="21"/>
          <w:highlight w:val="none"/>
        </w:rPr>
      </w:pPr>
      <w:bookmarkStart w:id="1699" w:name="_Toc12797"/>
      <w:r>
        <w:rPr>
          <w:rFonts w:hint="eastAsia" w:cs="宋体"/>
          <w:color w:val="auto"/>
          <w:szCs w:val="21"/>
          <w:highlight w:val="none"/>
        </w:rPr>
        <w:t>1</w:t>
      </w:r>
      <w:bookmarkStart w:id="1700" w:name="_Toc312677987"/>
      <w:bookmarkStart w:id="1701" w:name="_Toc304295522"/>
      <w:bookmarkStart w:id="1702" w:name="_Toc300934944"/>
      <w:bookmarkStart w:id="1703" w:name="_Toc303539101"/>
      <w:bookmarkStart w:id="1704" w:name="_Toc318581156"/>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场内交通</w:t>
      </w:r>
      <w:bookmarkEnd w:id="1699"/>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                    </w:t>
      </w:r>
      <w:r>
        <w:rPr>
          <w:rFonts w:hint="eastAsia" w:ascii="宋体" w:hAnsi="宋体" w:cs="宋体"/>
          <w:color w:val="auto"/>
          <w:szCs w:val="21"/>
          <w:highlight w:val="none"/>
        </w:rPr>
        <w:t>。</w:t>
      </w:r>
      <w:bookmarkEnd w:id="1700"/>
      <w:bookmarkEnd w:id="1701"/>
      <w:bookmarkEnd w:id="1702"/>
      <w:bookmarkEnd w:id="1703"/>
      <w:bookmarkEnd w:id="1704"/>
      <w:bookmarkStart w:id="1705" w:name="_Toc318581157"/>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超大件和超重件的运输</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运输超大件或超重件所需的道路和桥梁临时加固改造费用和其他有关费用由承担。</w:t>
      </w:r>
    </w:p>
    <w:bookmarkEnd w:id="1705"/>
    <w:p>
      <w:pPr>
        <w:snapToGrid w:val="0"/>
        <w:spacing w:line="336" w:lineRule="auto"/>
        <w:ind w:firstLine="420" w:firstLineChars="200"/>
        <w:jc w:val="left"/>
        <w:rPr>
          <w:rFonts w:ascii="宋体" w:hAnsi="宋体" w:cs="宋体"/>
          <w:color w:val="auto"/>
          <w:szCs w:val="21"/>
          <w:highlight w:val="none"/>
        </w:rPr>
      </w:pPr>
      <w:bookmarkStart w:id="1706" w:name="_Toc109149874"/>
      <w:bookmarkStart w:id="1707" w:name="_Toc7350"/>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 xml:space="preserve"> 知识产权</w:t>
      </w:r>
      <w:bookmarkEnd w:id="1706"/>
      <w:bookmarkEnd w:id="1707"/>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关于发包人提供给承包人的图纸、发包人为实施工程自行编制或委托编制的技术规范以及反映发包人关于合同要求或其他类似性质的文件的著作权的归属：</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708" w:name="_Toc29391"/>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关于承包人为实施工程所编制文件的著作权的归属：</w:t>
      </w:r>
      <w:bookmarkEnd w:id="1708"/>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709" w:name="_Toc20516"/>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承包人在施工过程中所采用的专利、专有技术、技术秘密的使用费的承担方式：</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bookmarkEnd w:id="1709"/>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13</w:t>
      </w:r>
      <w:r>
        <w:rPr>
          <w:rFonts w:hint="eastAsia" w:ascii="宋体" w:hAnsi="宋体" w:cs="宋体"/>
          <w:color w:val="auto"/>
          <w:szCs w:val="21"/>
          <w:highlight w:val="none"/>
        </w:rPr>
        <w:t>工程量清单错误的修正</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710" w:name="_Toc351203634"/>
      <w:r>
        <w:rPr>
          <w:rFonts w:hint="eastAsia" w:ascii="Times New Roman" w:hAnsi="Times New Roman" w:eastAsia="宋体" w:cs="宋体"/>
          <w:color w:val="auto"/>
          <w:sz w:val="24"/>
          <w:szCs w:val="24"/>
          <w:highlight w:val="none"/>
        </w:rPr>
        <w:t>2</w:t>
      </w:r>
      <w:bookmarkStart w:id="1711" w:name="_Toc296890985"/>
      <w:bookmarkStart w:id="1712" w:name="_Toc296347156"/>
      <w:bookmarkStart w:id="1713" w:name="_Toc292559867"/>
      <w:bookmarkStart w:id="1714" w:name="_Toc296891197"/>
      <w:bookmarkStart w:id="1715" w:name="_Toc297120457"/>
      <w:bookmarkStart w:id="1716" w:name="_Toc296503157"/>
      <w:bookmarkStart w:id="1717" w:name="_Toc296944496"/>
      <w:bookmarkStart w:id="1718" w:name="_Toc297048343"/>
      <w:bookmarkStart w:id="1719" w:name="_Toc296346658"/>
      <w:bookmarkStart w:id="1720" w:name="_Toc292559362"/>
      <w:r>
        <w:rPr>
          <w:rFonts w:hint="eastAsia" w:ascii="宋体" w:hAnsi="宋体" w:eastAsia="宋体" w:cs="宋体"/>
          <w:color w:val="auto"/>
          <w:sz w:val="24"/>
          <w:szCs w:val="24"/>
          <w:highlight w:val="none"/>
        </w:rPr>
        <w:t>. 发包人</w:t>
      </w:r>
      <w:bookmarkEnd w:id="1710"/>
    </w:p>
    <w:bookmarkEnd w:id="1711"/>
    <w:bookmarkEnd w:id="1712"/>
    <w:bookmarkEnd w:id="1713"/>
    <w:bookmarkEnd w:id="1714"/>
    <w:bookmarkEnd w:id="1715"/>
    <w:bookmarkEnd w:id="1716"/>
    <w:bookmarkEnd w:id="1717"/>
    <w:bookmarkEnd w:id="1718"/>
    <w:bookmarkEnd w:id="1719"/>
    <w:bookmarkEnd w:id="1720"/>
    <w:p>
      <w:pPr>
        <w:snapToGrid w:val="0"/>
        <w:spacing w:line="336" w:lineRule="auto"/>
        <w:ind w:firstLine="420" w:firstLineChars="200"/>
        <w:jc w:val="left"/>
        <w:rPr>
          <w:rFonts w:ascii="宋体" w:hAnsi="宋体" w:cs="宋体"/>
          <w:color w:val="auto"/>
          <w:szCs w:val="21"/>
          <w:highlight w:val="none"/>
        </w:rPr>
      </w:pPr>
      <w:bookmarkStart w:id="1721" w:name="_Toc29179"/>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发包人代表</w:t>
      </w:r>
      <w:bookmarkEnd w:id="1721"/>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发包人代表：</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p>
    <w:p>
      <w:pPr>
        <w:snapToGrid w:val="0"/>
        <w:spacing w:line="336"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722" w:name="_Toc5351"/>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施工现场、施工条件和基础资料的提供</w:t>
      </w:r>
      <w:bookmarkEnd w:id="1722"/>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提供施工现场</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提供施工条件</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723" w:name="_Toc12539"/>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资金来源证明及支付担保</w:t>
      </w:r>
      <w:bookmarkEnd w:id="1723"/>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724" w:name="_Toc351203635"/>
      <w:r>
        <w:rPr>
          <w:rFonts w:hint="eastAsia" w:ascii="Times New Roman" w:hAnsi="Times New Roman" w:eastAsia="宋体" w:cs="宋体"/>
          <w:color w:val="auto"/>
          <w:sz w:val="24"/>
          <w:szCs w:val="24"/>
          <w:highlight w:val="none"/>
        </w:rPr>
        <w:t>3</w:t>
      </w:r>
      <w:bookmarkStart w:id="1725" w:name="_Toc292559868"/>
      <w:bookmarkStart w:id="1726" w:name="_Toc296891198"/>
      <w:bookmarkStart w:id="1727" w:name="_Toc296346659"/>
      <w:bookmarkStart w:id="1728" w:name="_Toc296347157"/>
      <w:bookmarkStart w:id="1729" w:name="_Toc292559363"/>
      <w:bookmarkStart w:id="1730" w:name="_Toc297120458"/>
      <w:bookmarkStart w:id="1731" w:name="_Toc296944497"/>
      <w:bookmarkStart w:id="1732" w:name="_Toc296890986"/>
      <w:bookmarkStart w:id="1733" w:name="_Toc296503158"/>
      <w:bookmarkStart w:id="1734" w:name="_Toc297048344"/>
      <w:r>
        <w:rPr>
          <w:rFonts w:hint="eastAsia" w:ascii="宋体" w:hAnsi="宋体" w:eastAsia="宋体" w:cs="宋体"/>
          <w:color w:val="auto"/>
          <w:sz w:val="24"/>
          <w:szCs w:val="24"/>
          <w:highlight w:val="none"/>
        </w:rPr>
        <w:t>. 承包人</w:t>
      </w:r>
      <w:bookmarkEnd w:id="1724"/>
    </w:p>
    <w:bookmarkEnd w:id="1725"/>
    <w:bookmarkEnd w:id="1726"/>
    <w:bookmarkEnd w:id="1727"/>
    <w:bookmarkEnd w:id="1728"/>
    <w:bookmarkEnd w:id="1729"/>
    <w:bookmarkEnd w:id="1730"/>
    <w:bookmarkEnd w:id="1731"/>
    <w:bookmarkEnd w:id="1732"/>
    <w:bookmarkEnd w:id="1733"/>
    <w:bookmarkEnd w:id="1734"/>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承包人的一般义务</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w:t>
      </w:r>
      <w:r>
        <w:rPr>
          <w:rFonts w:hint="eastAsia" w:cs="宋体"/>
          <w:color w:val="auto"/>
          <w:kern w:val="0"/>
          <w:szCs w:val="21"/>
          <w:highlight w:val="none"/>
        </w:rPr>
        <w:t>9</w:t>
      </w:r>
      <w:r>
        <w:rPr>
          <w:rFonts w:hint="eastAsia" w:ascii="宋体" w:hAnsi="宋体" w:cs="宋体"/>
          <w:color w:val="auto"/>
          <w:kern w:val="0"/>
          <w:szCs w:val="21"/>
          <w:highlight w:val="none"/>
        </w:rPr>
        <w:t>）</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10</w:t>
      </w:r>
      <w:r>
        <w:rPr>
          <w:rFonts w:hint="eastAsia" w:ascii="宋体" w:hAnsi="宋体" w:cs="宋体"/>
          <w:color w:val="auto"/>
          <w:kern w:val="0"/>
          <w:szCs w:val="21"/>
          <w:highlight w:val="none"/>
        </w:rPr>
        <w:t>）承包人应履行的其他义务：</w:t>
      </w:r>
    </w:p>
    <w:p>
      <w:pPr>
        <w:snapToGrid w:val="0"/>
        <w:spacing w:line="336" w:lineRule="auto"/>
        <w:ind w:firstLine="735" w:firstLineChars="350"/>
        <w:jc w:val="left"/>
        <w:rPr>
          <w:rFonts w:ascii="宋体" w:hAnsi="宋体" w:cs="宋体"/>
          <w:color w:val="auto"/>
          <w:szCs w:val="21"/>
          <w:highlight w:val="none"/>
          <w:u w:val="single"/>
        </w:rPr>
      </w:pPr>
      <w:r>
        <w:rPr>
          <w:rFonts w:ascii="宋体" w:hAnsi="宋体" w:cs="宋体"/>
          <w:color w:val="auto"/>
          <w:szCs w:val="21"/>
          <w:highlight w:val="none"/>
          <w:u w:val="single"/>
        </w:rPr>
        <w:t>①采取有效措施确保安全文明施工，保质保量如期完成工程；</w:t>
      </w:r>
    </w:p>
    <w:p>
      <w:pPr>
        <w:snapToGrid w:val="0"/>
        <w:spacing w:line="336" w:lineRule="auto"/>
        <w:ind w:firstLine="735" w:firstLineChars="350"/>
        <w:jc w:val="left"/>
        <w:rPr>
          <w:rFonts w:ascii="宋体" w:hAnsi="宋体" w:cs="宋体"/>
          <w:color w:val="auto"/>
          <w:szCs w:val="21"/>
          <w:highlight w:val="none"/>
          <w:u w:val="single"/>
        </w:rPr>
      </w:pPr>
      <w:r>
        <w:rPr>
          <w:rFonts w:ascii="宋体" w:hAnsi="宋体" w:cs="宋体"/>
          <w:color w:val="auto"/>
          <w:szCs w:val="21"/>
          <w:highlight w:val="none"/>
          <w:u w:val="single"/>
        </w:rPr>
        <w:t>②妥善协调工程周边关系。</w:t>
      </w:r>
    </w:p>
    <w:p>
      <w:pPr>
        <w:snapToGrid w:val="0"/>
        <w:spacing w:line="336" w:lineRule="auto"/>
        <w:ind w:firstLine="735" w:firstLineChars="350"/>
        <w:jc w:val="left"/>
        <w:rPr>
          <w:rFonts w:ascii="宋体" w:hAnsi="宋体" w:cs="宋体"/>
          <w:color w:val="auto"/>
          <w:szCs w:val="21"/>
          <w:highlight w:val="none"/>
          <w:u w:val="single"/>
        </w:rPr>
      </w:pPr>
      <w:r>
        <w:rPr>
          <w:rFonts w:ascii="宋体" w:hAnsi="宋体" w:cs="宋体"/>
          <w:color w:val="auto"/>
          <w:szCs w:val="21"/>
          <w:highlight w:val="none"/>
          <w:u w:val="single"/>
        </w:rPr>
        <w:t>③不拖欠农民工工资。</w:t>
      </w:r>
    </w:p>
    <w:p>
      <w:pPr>
        <w:snapToGrid w:val="0"/>
        <w:spacing w:line="336" w:lineRule="auto"/>
        <w:ind w:firstLine="735" w:firstLineChars="350"/>
        <w:jc w:val="left"/>
        <w:rPr>
          <w:rFonts w:ascii="宋体" w:hAnsi="宋体" w:cs="宋体"/>
          <w:color w:val="auto"/>
          <w:szCs w:val="21"/>
          <w:highlight w:val="none"/>
        </w:rPr>
      </w:pPr>
      <w:r>
        <w:rPr>
          <w:rFonts w:ascii="宋体" w:hAnsi="宋体" w:cs="宋体"/>
          <w:color w:val="auto"/>
          <w:szCs w:val="21"/>
          <w:highlight w:val="none"/>
          <w:u w:val="single"/>
        </w:rPr>
        <w:t>④严格执行招投标文件约定，</w:t>
      </w:r>
      <w:r>
        <w:rPr>
          <w:color w:val="auto"/>
          <w:highlight w:val="none"/>
          <w:u w:val="single"/>
        </w:rPr>
        <w:t>不转包、不违法分包</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项目负责人</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项目负责人：</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36"/>
        <w:spacing w:line="336" w:lineRule="auto"/>
        <w:outlineLvl w:val="9"/>
        <w:rPr>
          <w:color w:val="auto"/>
          <w:highlight w:val="none"/>
        </w:rPr>
      </w:pP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承包人对项目负责人的授权范围如下：</w:t>
      </w:r>
    </w:p>
    <w:p>
      <w:pPr>
        <w:spacing w:line="336" w:lineRule="auto"/>
        <w:ind w:firstLine="420" w:firstLineChars="200"/>
        <w:rPr>
          <w:color w:val="auto"/>
          <w:highlight w:val="none"/>
        </w:rPr>
      </w:pPr>
      <w:r>
        <w:rPr>
          <w:color w:val="auto"/>
          <w:highlight w:val="none"/>
          <w:u w:val="single"/>
        </w:rPr>
        <w:t xml:space="preserve"> </w:t>
      </w:r>
      <w:r>
        <w:rPr>
          <w:color w:val="auto"/>
          <w:highlight w:val="none"/>
        </w:rPr>
        <w:t>。</w:t>
      </w:r>
    </w:p>
    <w:p>
      <w:pPr>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关于项目负责人每月在施工现场的时间要求及违约责任：</w:t>
      </w:r>
    </w:p>
    <w:p>
      <w:pPr>
        <w:spacing w:line="336"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项目负责人</w:t>
      </w:r>
      <w:r>
        <w:rPr>
          <w:rFonts w:hint="eastAsia" w:ascii="宋体" w:hAnsi="宋体"/>
          <w:color w:val="auto"/>
          <w:szCs w:val="21"/>
          <w:highlight w:val="none"/>
          <w:u w:val="single"/>
        </w:rPr>
        <w:t>驻场时间每月不少于</w:t>
      </w:r>
      <w:r>
        <w:rPr>
          <w:rFonts w:hint="eastAsia"/>
          <w:color w:val="auto"/>
          <w:szCs w:val="21"/>
          <w:highlight w:val="none"/>
          <w:u w:val="single"/>
        </w:rPr>
        <w:t>20</w:t>
      </w:r>
      <w:r>
        <w:rPr>
          <w:rFonts w:hint="eastAsia" w:ascii="宋体" w:hAnsi="宋体"/>
          <w:color w:val="auto"/>
          <w:szCs w:val="21"/>
          <w:highlight w:val="none"/>
          <w:u w:val="single"/>
        </w:rPr>
        <w:t>天。每发现</w:t>
      </w:r>
      <w:r>
        <w:rPr>
          <w:rFonts w:hint="eastAsia"/>
          <w:color w:val="auto"/>
          <w:szCs w:val="21"/>
          <w:highlight w:val="none"/>
          <w:u w:val="single"/>
        </w:rPr>
        <w:t>1</w:t>
      </w:r>
      <w:r>
        <w:rPr>
          <w:rFonts w:hint="eastAsia" w:ascii="宋体" w:hAnsi="宋体"/>
          <w:color w:val="auto"/>
          <w:szCs w:val="21"/>
          <w:highlight w:val="none"/>
          <w:u w:val="single"/>
        </w:rPr>
        <w:t>次未驻场且未按【通用合同条款】第</w:t>
      </w:r>
      <w:r>
        <w:rPr>
          <w:rFonts w:hint="eastAsia"/>
          <w:color w:val="auto"/>
          <w:szCs w:val="21"/>
          <w:highlight w:val="none"/>
          <w:u w:val="single"/>
        </w:rPr>
        <w:t>3</w:t>
      </w:r>
      <w:r>
        <w:rPr>
          <w:rFonts w:hint="eastAsia" w:ascii="宋体" w:hAnsi="宋体"/>
          <w:color w:val="auto"/>
          <w:szCs w:val="21"/>
          <w:highlight w:val="none"/>
          <w:u w:val="single"/>
        </w:rPr>
        <w:t>.</w:t>
      </w:r>
      <w:r>
        <w:rPr>
          <w:rFonts w:hint="eastAsia"/>
          <w:color w:val="auto"/>
          <w:szCs w:val="21"/>
          <w:highlight w:val="none"/>
          <w:u w:val="single"/>
        </w:rPr>
        <w:t>2</w:t>
      </w:r>
      <w:r>
        <w:rPr>
          <w:rFonts w:hint="eastAsia" w:ascii="宋体" w:hAnsi="宋体"/>
          <w:color w:val="auto"/>
          <w:szCs w:val="21"/>
          <w:highlight w:val="none"/>
          <w:u w:val="single"/>
        </w:rPr>
        <w:t>.</w:t>
      </w:r>
      <w:r>
        <w:rPr>
          <w:rFonts w:hint="eastAsia"/>
          <w:color w:val="auto"/>
          <w:szCs w:val="21"/>
          <w:highlight w:val="none"/>
          <w:u w:val="single"/>
        </w:rPr>
        <w:t>1</w:t>
      </w:r>
      <w:r>
        <w:rPr>
          <w:rFonts w:hint="eastAsia" w:ascii="宋体" w:hAnsi="宋体"/>
          <w:color w:val="auto"/>
          <w:szCs w:val="21"/>
          <w:highlight w:val="none"/>
          <w:u w:val="single"/>
        </w:rPr>
        <w:t>款履行请假手续的，承包人按</w:t>
      </w:r>
      <w:r>
        <w:rPr>
          <w:rFonts w:hint="eastAsia"/>
          <w:color w:val="auto"/>
          <w:szCs w:val="21"/>
          <w:highlight w:val="none"/>
          <w:u w:val="single"/>
        </w:rPr>
        <w:t>20000</w:t>
      </w:r>
      <w:r>
        <w:rPr>
          <w:rFonts w:hint="eastAsia" w:ascii="宋体" w:hAnsi="宋体"/>
          <w:color w:val="auto"/>
          <w:szCs w:val="21"/>
          <w:highlight w:val="none"/>
          <w:u w:val="single"/>
        </w:rPr>
        <w:t>元/次 支付违约金</w:t>
      </w:r>
      <w:r>
        <w:rPr>
          <w:rFonts w:hint="eastAsia" w:ascii="宋体" w:hAnsi="宋体"/>
          <w:color w:val="auto"/>
          <w:szCs w:val="21"/>
          <w:highlight w:val="none"/>
        </w:rPr>
        <w:t>。</w:t>
      </w:r>
    </w:p>
    <w:p>
      <w:pPr>
        <w:pStyle w:val="36"/>
        <w:spacing w:line="336" w:lineRule="auto"/>
        <w:ind w:firstLine="420" w:firstLineChars="200"/>
        <w:outlineLvl w:val="9"/>
        <w:rPr>
          <w:rFonts w:ascii="宋体" w:hAnsi="宋体" w:eastAsia="宋体" w:cs="宋体"/>
          <w:color w:val="auto"/>
          <w:sz w:val="21"/>
          <w:szCs w:val="21"/>
          <w:highlight w:val="none"/>
        </w:rPr>
      </w:pPr>
      <w:bookmarkStart w:id="1735" w:name="_Toc14409"/>
      <w:r>
        <w:rPr>
          <w:rFonts w:hint="eastAsia" w:ascii="宋体" w:hAnsi="宋体" w:eastAsia="宋体" w:cs="宋体"/>
          <w:color w:val="auto"/>
          <w:sz w:val="21"/>
          <w:szCs w:val="21"/>
          <w:highlight w:val="none"/>
        </w:rPr>
        <w:t>承包人未提交项目负责人劳动合同，以及没有为项目负责人缴纳社会保险证明的视作擅自更换项目负责人。</w:t>
      </w:r>
      <w:bookmarkEnd w:id="1735"/>
    </w:p>
    <w:p>
      <w:pPr>
        <w:spacing w:line="336" w:lineRule="auto"/>
        <w:ind w:left="420" w:left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承包人擅自更换项目负责人的违约责任：</w:t>
      </w:r>
    </w:p>
    <w:p>
      <w:pPr>
        <w:spacing w:line="336" w:lineRule="auto"/>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 xml:space="preserve">未经发包人同意擅自更换项目负责人的， </w:t>
      </w:r>
      <w:r>
        <w:rPr>
          <w:rFonts w:ascii="宋体" w:hAnsi="宋体"/>
          <w:color w:val="auto"/>
          <w:szCs w:val="21"/>
          <w:highlight w:val="none"/>
          <w:u w:val="single"/>
        </w:rPr>
        <w:t>承包人按</w:t>
      </w:r>
      <w:r>
        <w:rPr>
          <w:rFonts w:hint="eastAsia"/>
          <w:color w:val="auto"/>
          <w:szCs w:val="21"/>
          <w:highlight w:val="none"/>
          <w:u w:val="single"/>
        </w:rPr>
        <w:t>100000</w:t>
      </w:r>
      <w:r>
        <w:rPr>
          <w:rFonts w:hint="eastAsia" w:ascii="宋体" w:hAnsi="宋体"/>
          <w:color w:val="auto"/>
          <w:szCs w:val="21"/>
          <w:highlight w:val="none"/>
          <w:u w:val="single"/>
        </w:rPr>
        <w:t>元/人•次向发包人支付违约金</w:t>
      </w:r>
      <w:r>
        <w:rPr>
          <w:rFonts w:hint="eastAsia" w:ascii="宋体" w:hAnsi="宋体"/>
          <w:color w:val="auto"/>
          <w:szCs w:val="21"/>
          <w:highlight w:val="none"/>
        </w:rPr>
        <w:t>。</w:t>
      </w:r>
      <w:bookmarkStart w:id="1736" w:name="_Toc13216"/>
    </w:p>
    <w:p>
      <w:pPr>
        <w:spacing w:line="336" w:lineRule="auto"/>
        <w:ind w:left="420" w:left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承包人无正当理由拒绝更换项目负责人的违约责任：</w:t>
      </w:r>
    </w:p>
    <w:bookmarkEnd w:id="1736"/>
    <w:p>
      <w:pPr>
        <w:spacing w:line="336" w:lineRule="auto"/>
        <w:ind w:firstLine="420" w:firstLineChars="200"/>
        <w:rPr>
          <w:color w:val="auto"/>
          <w:highlight w:val="none"/>
        </w:rPr>
      </w:pPr>
      <w:r>
        <w:rPr>
          <w:rFonts w:hint="eastAsia"/>
          <w:color w:val="auto"/>
          <w:highlight w:val="none"/>
          <w:u w:val="single"/>
        </w:rPr>
        <w:t>承包人按</w:t>
      </w:r>
      <w:r>
        <w:rPr>
          <w:rFonts w:hint="eastAsia"/>
          <w:color w:val="auto"/>
          <w:szCs w:val="21"/>
          <w:highlight w:val="none"/>
          <w:u w:val="single"/>
        </w:rPr>
        <w:t>100000</w:t>
      </w:r>
      <w:r>
        <w:rPr>
          <w:rFonts w:hint="eastAsia" w:ascii="宋体" w:hAnsi="宋体"/>
          <w:color w:val="auto"/>
          <w:szCs w:val="21"/>
          <w:highlight w:val="none"/>
          <w:u w:val="single"/>
        </w:rPr>
        <w:t>元/人•次向发包人支付违约金</w:t>
      </w:r>
      <w:r>
        <w:rPr>
          <w:color w:val="auto"/>
          <w:highlight w:val="none"/>
          <w:u w:val="single"/>
        </w:rPr>
        <w:t xml:space="preserve"> </w:t>
      </w:r>
      <w:r>
        <w:rPr>
          <w:color w:val="auto"/>
          <w:highlight w:val="none"/>
        </w:rPr>
        <w:t>。</w:t>
      </w:r>
    </w:p>
    <w:p>
      <w:pPr>
        <w:snapToGrid w:val="0"/>
        <w:spacing w:line="336" w:lineRule="auto"/>
        <w:ind w:firstLine="420" w:firstLineChars="200"/>
        <w:jc w:val="left"/>
        <w:rPr>
          <w:rFonts w:ascii="宋体" w:hAnsi="宋体" w:cs="宋体"/>
          <w:color w:val="auto"/>
          <w:szCs w:val="21"/>
          <w:highlight w:val="none"/>
        </w:rPr>
      </w:pP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承包人人员</w:t>
      </w:r>
    </w:p>
    <w:p>
      <w:pPr>
        <w:snapToGrid w:val="0"/>
        <w:spacing w:line="336" w:lineRule="auto"/>
        <w:ind w:firstLine="420" w:firstLineChars="200"/>
        <w:jc w:val="left"/>
        <w:rPr>
          <w:rFonts w:ascii="宋体" w:hAnsi="宋体" w:cs="宋体"/>
          <w:color w:val="auto"/>
          <w:szCs w:val="21"/>
          <w:highlight w:val="none"/>
        </w:rPr>
      </w:pPr>
      <w:bookmarkStart w:id="1737" w:name="_Toc109149875"/>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承包人提交项目管理机构及施工现场管理人员安排报告的期限：</w:t>
      </w:r>
      <w:bookmarkEnd w:id="1737"/>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本合同签订后</w:t>
      </w:r>
      <w:r>
        <w:rPr>
          <w:rFonts w:hint="eastAsia" w:cs="宋体"/>
          <w:color w:val="auto"/>
          <w:szCs w:val="21"/>
          <w:highlight w:val="none"/>
          <w:u w:val="single"/>
        </w:rPr>
        <w:t>20</w:t>
      </w:r>
      <w:r>
        <w:rPr>
          <w:rFonts w:hint="eastAsia" w:ascii="宋体" w:hAnsi="宋体" w:cs="宋体"/>
          <w:color w:val="auto"/>
          <w:szCs w:val="21"/>
          <w:highlight w:val="none"/>
          <w:u w:val="single"/>
        </w:rPr>
        <w:t xml:space="preserve">天内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738" w:name="_Toc109149876"/>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承包人无正当理由拒绝撤换其他主要施工管理人员的违约责任：</w:t>
      </w:r>
      <w:bookmarkEnd w:id="1738"/>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color w:val="auto"/>
          <w:highlight w:val="none"/>
          <w:u w:val="single"/>
        </w:rPr>
        <w:t>承包人按</w:t>
      </w:r>
      <w:r>
        <w:rPr>
          <w:rFonts w:hint="eastAsia"/>
          <w:color w:val="auto"/>
          <w:szCs w:val="21"/>
          <w:highlight w:val="none"/>
          <w:u w:val="single"/>
        </w:rPr>
        <w:t>50000</w:t>
      </w:r>
      <w:r>
        <w:rPr>
          <w:rFonts w:hint="eastAsia" w:ascii="宋体" w:hAnsi="宋体"/>
          <w:color w:val="auto"/>
          <w:szCs w:val="21"/>
          <w:highlight w:val="none"/>
          <w:u w:val="single"/>
        </w:rPr>
        <w:t xml:space="preserve"> 元/人•次向发包人支付违约金</w:t>
      </w:r>
      <w:r>
        <w:rPr>
          <w:color w:val="auto"/>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autoSpaceDE w:val="0"/>
        <w:autoSpaceDN w:val="0"/>
        <w:adjustRightInd w:val="0"/>
        <w:spacing w:line="336" w:lineRule="auto"/>
        <w:ind w:firstLine="420" w:firstLineChars="200"/>
        <w:jc w:val="left"/>
        <w:rPr>
          <w:rFonts w:ascii="宋体" w:hAnsi="宋体" w:cs="宋体"/>
          <w:color w:val="auto"/>
          <w:szCs w:val="21"/>
          <w:highlight w:val="none"/>
        </w:rPr>
      </w:pPr>
      <w:bookmarkStart w:id="1739" w:name="_Toc109149877"/>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承包人其他主要施工管理人员离开施工现场的批准要求：  </w:t>
      </w:r>
    </w:p>
    <w:p>
      <w:pPr>
        <w:autoSpaceDE w:val="0"/>
        <w:autoSpaceDN w:val="0"/>
        <w:adjustRightIn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技术负责人离开施工现场的应当经发监理人、包人书面同意。承包人其他主要施工管理人员每月离开施工现场</w:t>
      </w:r>
      <w:r>
        <w:rPr>
          <w:rFonts w:hint="eastAsia" w:cs="宋体"/>
          <w:color w:val="auto"/>
          <w:szCs w:val="21"/>
          <w:highlight w:val="none"/>
          <w:u w:val="single"/>
        </w:rPr>
        <w:t>5</w:t>
      </w:r>
      <w:r>
        <w:rPr>
          <w:rFonts w:hint="eastAsia" w:ascii="宋体" w:hAnsi="宋体" w:cs="宋体"/>
          <w:color w:val="auto"/>
          <w:szCs w:val="21"/>
          <w:highlight w:val="none"/>
          <w:u w:val="single"/>
        </w:rPr>
        <w:t>天以下（含）的应当经监理人书面同意，离开</w:t>
      </w:r>
      <w:r>
        <w:rPr>
          <w:rFonts w:hint="eastAsia" w:cs="宋体"/>
          <w:color w:val="auto"/>
          <w:szCs w:val="21"/>
          <w:highlight w:val="none"/>
          <w:u w:val="single"/>
        </w:rPr>
        <w:t>5</w:t>
      </w:r>
      <w:r>
        <w:rPr>
          <w:rFonts w:hint="eastAsia" w:ascii="宋体" w:hAnsi="宋体" w:cs="宋体"/>
          <w:color w:val="auto"/>
          <w:szCs w:val="21"/>
          <w:highlight w:val="none"/>
          <w:u w:val="single"/>
        </w:rPr>
        <w:t>天以上的应当经监理人、发包人书面同意</w:t>
      </w:r>
      <w:r>
        <w:rPr>
          <w:rFonts w:hint="eastAsia" w:ascii="宋体" w:hAnsi="宋体" w:cs="宋体"/>
          <w:color w:val="auto"/>
          <w:kern w:val="0"/>
          <w:szCs w:val="21"/>
          <w:highlight w:val="none"/>
          <w:u w:val="single"/>
        </w:rPr>
        <w:t>。</w:t>
      </w:r>
      <w:bookmarkEnd w:id="1739"/>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承包人擅自更换其他主要施工管理人员的违约责任：</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olor w:val="auto"/>
          <w:szCs w:val="21"/>
          <w:highlight w:val="none"/>
          <w:u w:val="single"/>
        </w:rPr>
        <w:t>如</w:t>
      </w:r>
      <w:r>
        <w:rPr>
          <w:rFonts w:ascii="宋体" w:hAnsi="宋体"/>
          <w:color w:val="auto"/>
          <w:szCs w:val="21"/>
          <w:highlight w:val="none"/>
          <w:u w:val="single"/>
        </w:rPr>
        <w:t>发现</w:t>
      </w:r>
      <w:r>
        <w:rPr>
          <w:rFonts w:hint="eastAsia" w:ascii="宋体" w:hAnsi="宋体"/>
          <w:color w:val="auto"/>
          <w:szCs w:val="21"/>
          <w:highlight w:val="none"/>
          <w:u w:val="single"/>
        </w:rPr>
        <w:t>未经发包人同意擅自更换其他主要</w:t>
      </w:r>
      <w:r>
        <w:rPr>
          <w:rFonts w:ascii="宋体" w:hAnsi="宋体"/>
          <w:color w:val="auto"/>
          <w:szCs w:val="21"/>
          <w:highlight w:val="none"/>
          <w:u w:val="single"/>
        </w:rPr>
        <w:t>施工管理人员</w:t>
      </w:r>
      <w:r>
        <w:rPr>
          <w:rFonts w:hint="eastAsia" w:ascii="宋体" w:hAnsi="宋体"/>
          <w:color w:val="auto"/>
          <w:szCs w:val="21"/>
          <w:highlight w:val="none"/>
          <w:u w:val="single"/>
        </w:rPr>
        <w:t xml:space="preserve">的， </w:t>
      </w:r>
      <w:r>
        <w:rPr>
          <w:rFonts w:ascii="宋体" w:hAnsi="宋体"/>
          <w:color w:val="auto"/>
          <w:szCs w:val="21"/>
          <w:highlight w:val="none"/>
          <w:u w:val="single"/>
        </w:rPr>
        <w:t>承包人按</w:t>
      </w:r>
      <w:r>
        <w:rPr>
          <w:rFonts w:hint="eastAsia"/>
          <w:color w:val="auto"/>
          <w:szCs w:val="21"/>
          <w:highlight w:val="none"/>
          <w:u w:val="single"/>
        </w:rPr>
        <w:t>50000</w:t>
      </w:r>
      <w:r>
        <w:rPr>
          <w:rFonts w:hint="eastAsia" w:ascii="宋体" w:hAnsi="宋体"/>
          <w:color w:val="auto"/>
          <w:szCs w:val="21"/>
          <w:highlight w:val="none"/>
          <w:u w:val="single"/>
        </w:rPr>
        <w:t>元/人•次支付违约金</w:t>
      </w:r>
      <w:r>
        <w:rPr>
          <w:rFonts w:ascii="宋体" w:hAnsi="宋体"/>
          <w:color w:val="auto"/>
          <w:szCs w:val="21"/>
          <w:highlight w:val="none"/>
          <w:u w:val="singl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承包人其他主要施工管理人员擅自离开施工现场的违约责任：</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承包人其他主要施工管理人员未</w:t>
      </w:r>
      <w:r>
        <w:rPr>
          <w:rFonts w:hint="eastAsia" w:ascii="宋体" w:hAnsi="宋体"/>
          <w:color w:val="auto"/>
          <w:szCs w:val="21"/>
          <w:highlight w:val="none"/>
          <w:u w:val="single"/>
        </w:rPr>
        <w:t>按照【通用合同条款】第</w:t>
      </w:r>
      <w:r>
        <w:rPr>
          <w:rFonts w:hint="eastAsia"/>
          <w:color w:val="auto"/>
          <w:szCs w:val="21"/>
          <w:highlight w:val="none"/>
          <w:u w:val="single"/>
        </w:rPr>
        <w:t>3</w:t>
      </w:r>
      <w:r>
        <w:rPr>
          <w:rFonts w:hint="eastAsia" w:ascii="宋体" w:hAnsi="宋体"/>
          <w:color w:val="auto"/>
          <w:szCs w:val="21"/>
          <w:highlight w:val="none"/>
          <w:u w:val="single"/>
        </w:rPr>
        <w:t>.</w:t>
      </w:r>
      <w:r>
        <w:rPr>
          <w:rFonts w:hint="eastAsia"/>
          <w:color w:val="auto"/>
          <w:szCs w:val="21"/>
          <w:highlight w:val="none"/>
          <w:u w:val="single"/>
        </w:rPr>
        <w:t>3</w:t>
      </w:r>
      <w:r>
        <w:rPr>
          <w:rFonts w:hint="eastAsia" w:ascii="宋体" w:hAnsi="宋体"/>
          <w:color w:val="auto"/>
          <w:szCs w:val="21"/>
          <w:highlight w:val="none"/>
          <w:u w:val="single"/>
        </w:rPr>
        <w:t>.</w:t>
      </w:r>
      <w:r>
        <w:rPr>
          <w:rFonts w:hint="eastAsia"/>
          <w:color w:val="auto"/>
          <w:szCs w:val="21"/>
          <w:highlight w:val="none"/>
          <w:u w:val="single"/>
        </w:rPr>
        <w:t>4</w:t>
      </w:r>
      <w:r>
        <w:rPr>
          <w:rFonts w:hint="eastAsia" w:ascii="宋体" w:hAnsi="宋体"/>
          <w:color w:val="auto"/>
          <w:szCs w:val="21"/>
          <w:highlight w:val="none"/>
          <w:u w:val="single"/>
        </w:rPr>
        <w:t>款驻场且未履行请假手续的，承包人按</w:t>
      </w:r>
      <w:r>
        <w:rPr>
          <w:rFonts w:hint="eastAsia"/>
          <w:color w:val="auto"/>
          <w:szCs w:val="21"/>
          <w:highlight w:val="none"/>
          <w:u w:val="single"/>
        </w:rPr>
        <w:t>10000</w:t>
      </w:r>
      <w:r>
        <w:rPr>
          <w:rFonts w:hint="eastAsia" w:ascii="宋体" w:hAnsi="宋体"/>
          <w:color w:val="auto"/>
          <w:szCs w:val="21"/>
          <w:highlight w:val="none"/>
          <w:u w:val="single"/>
        </w:rPr>
        <w:t>元/人</w:t>
      </w:r>
      <w:r>
        <w:rPr>
          <w:rFonts w:hint="eastAsia" w:ascii="汉仪大黑简" w:hAnsi="汉仪大黑简" w:eastAsia="汉仪大黑简" w:cs="汉仪大黑简"/>
          <w:color w:val="auto"/>
          <w:szCs w:val="21"/>
          <w:highlight w:val="none"/>
          <w:u w:val="single"/>
        </w:rPr>
        <w:t>·</w:t>
      </w:r>
      <w:r>
        <w:rPr>
          <w:rFonts w:hint="eastAsia" w:ascii="宋体" w:hAnsi="宋体"/>
          <w:color w:val="auto"/>
          <w:szCs w:val="21"/>
          <w:highlight w:val="none"/>
          <w:u w:val="single"/>
        </w:rPr>
        <w:t>次向发包人支付违约金</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bookmarkStart w:id="1740" w:name="_Toc297216151"/>
      <w:bookmarkStart w:id="1741" w:name="_Toc304295523"/>
      <w:bookmarkStart w:id="1742" w:name="_Toc292559364"/>
      <w:bookmarkStart w:id="1743" w:name="_Toc292559869"/>
      <w:bookmarkStart w:id="1744" w:name="_Toc296346660"/>
      <w:bookmarkStart w:id="1745" w:name="_Toc297120459"/>
      <w:bookmarkStart w:id="1746" w:name="_Toc296891199"/>
      <w:bookmarkStart w:id="1747" w:name="_Toc300934945"/>
      <w:bookmarkStart w:id="1748" w:name="_Toc296944498"/>
      <w:bookmarkStart w:id="1749" w:name="_Toc297048345"/>
      <w:bookmarkStart w:id="1750" w:name="_Toc297123492"/>
      <w:bookmarkStart w:id="1751" w:name="_Toc303539102"/>
      <w:bookmarkStart w:id="1752" w:name="_Toc296347158"/>
      <w:bookmarkStart w:id="1753" w:name="_Toc296890987"/>
      <w:bookmarkStart w:id="1754" w:name="_Toc312677988"/>
      <w:bookmarkStart w:id="1755" w:name="_Toc296503159"/>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分包</w:t>
      </w:r>
    </w:p>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bookmarkStart w:id="1756" w:name="_Toc296944499"/>
      <w:bookmarkStart w:id="1757" w:name="_Toc296890988"/>
      <w:bookmarkStart w:id="1758" w:name="_Toc300934946"/>
      <w:bookmarkStart w:id="1759" w:name="_Toc292559365"/>
      <w:bookmarkStart w:id="1760" w:name="_Toc297216152"/>
      <w:bookmarkStart w:id="1761" w:name="_Toc304295524"/>
      <w:bookmarkStart w:id="1762" w:name="_Toc297048346"/>
      <w:bookmarkStart w:id="1763" w:name="_Toc296503160"/>
      <w:bookmarkStart w:id="1764" w:name="_Toc297120460"/>
      <w:bookmarkStart w:id="1765" w:name="_Toc296891200"/>
      <w:bookmarkStart w:id="1766" w:name="_Toc303539103"/>
      <w:bookmarkStart w:id="1767" w:name="_Toc296346661"/>
      <w:bookmarkStart w:id="1768" w:name="_Toc296347159"/>
      <w:bookmarkStart w:id="1769" w:name="_Toc292559870"/>
      <w:bookmarkStart w:id="1770" w:name="_Toc297123493"/>
      <w:bookmarkStart w:id="1771" w:name="_Toc318581158"/>
      <w:bookmarkStart w:id="1772" w:name="_Toc312677989"/>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分包的一般约定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Start w:id="1773" w:name="_Toc304295525"/>
      <w:bookmarkStart w:id="1774" w:name="_Toc297120461"/>
      <w:bookmarkStart w:id="1775" w:name="_Toc296944500"/>
      <w:bookmarkStart w:id="1776" w:name="_Toc297216153"/>
      <w:bookmarkStart w:id="1777" w:name="_Toc296346662"/>
      <w:bookmarkStart w:id="1778" w:name="_Toc297123494"/>
      <w:bookmarkStart w:id="1779" w:name="_Toc297048347"/>
      <w:bookmarkStart w:id="1780" w:name="_Toc296503161"/>
      <w:bookmarkStart w:id="1781" w:name="_Toc303539104"/>
      <w:bookmarkStart w:id="1782" w:name="_Toc296890989"/>
      <w:bookmarkStart w:id="1783" w:name="_Toc296891201"/>
      <w:bookmarkStart w:id="1784" w:name="_Toc300934947"/>
      <w:bookmarkStart w:id="1785" w:name="_Toc296347160"/>
    </w:p>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Pr>
        <w:snapToGrid w:val="0"/>
        <w:spacing w:line="336"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cs="宋体"/>
          <w:color w:val="auto"/>
          <w:szCs w:val="21"/>
          <w:highlight w:val="none"/>
        </w:rPr>
        <w:t>3</w:t>
      </w:r>
      <w:bookmarkStart w:id="1786" w:name="_Toc318581159"/>
      <w:bookmarkStart w:id="1787" w:name="_Toc312677990"/>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分包的确定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允许分包的专业工程包括：</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其他关于分包的约定：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分包合同价款</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786"/>
    <w:bookmarkEnd w:id="1787"/>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工程照管与成品、半成品保护</w:t>
      </w:r>
    </w:p>
    <w:p>
      <w:pPr>
        <w:spacing w:line="336" w:lineRule="auto"/>
        <w:ind w:firstLine="420" w:firstLineChars="200"/>
        <w:rPr>
          <w:color w:val="auto"/>
          <w:highlight w:val="none"/>
        </w:rPr>
      </w:pPr>
      <w:r>
        <w:rPr>
          <w:color w:val="auto"/>
          <w:highlight w:val="none"/>
        </w:rPr>
        <w:t>承包人负责照管工程及工程相关的材料、工程设备的起始时间：</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 履约担保</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788" w:name="_Toc351203636"/>
      <w:r>
        <w:rPr>
          <w:rFonts w:hint="eastAsia" w:ascii="Times New Roman" w:hAnsi="Times New Roman" w:eastAsia="宋体" w:cs="宋体"/>
          <w:color w:val="auto"/>
          <w:sz w:val="24"/>
          <w:szCs w:val="24"/>
          <w:highlight w:val="none"/>
        </w:rPr>
        <w:t>4</w:t>
      </w:r>
      <w:bookmarkStart w:id="1789" w:name="_Toc296944501"/>
      <w:bookmarkStart w:id="1790" w:name="_Toc292559871"/>
      <w:bookmarkStart w:id="1791" w:name="_Toc296346663"/>
      <w:bookmarkStart w:id="1792" w:name="_Toc267251413"/>
      <w:bookmarkStart w:id="1793" w:name="_Toc297120462"/>
      <w:bookmarkStart w:id="1794" w:name="_Toc296891202"/>
      <w:bookmarkStart w:id="1795" w:name="_Toc292559366"/>
      <w:bookmarkStart w:id="1796" w:name="_Toc296890990"/>
      <w:bookmarkStart w:id="1797" w:name="_Toc296503162"/>
      <w:bookmarkStart w:id="1798" w:name="_Toc296347161"/>
      <w:bookmarkStart w:id="1799" w:name="_Toc297048348"/>
      <w:r>
        <w:rPr>
          <w:rFonts w:hint="eastAsia" w:ascii="宋体" w:hAnsi="宋体" w:eastAsia="宋体" w:cs="宋体"/>
          <w:color w:val="auto"/>
          <w:sz w:val="24"/>
          <w:szCs w:val="24"/>
          <w:highlight w:val="none"/>
        </w:rPr>
        <w:t>. 监</w:t>
      </w:r>
      <w:bookmarkEnd w:id="1789"/>
      <w:bookmarkEnd w:id="1790"/>
      <w:bookmarkEnd w:id="1791"/>
      <w:bookmarkEnd w:id="1792"/>
      <w:bookmarkEnd w:id="1793"/>
      <w:bookmarkEnd w:id="1794"/>
      <w:bookmarkEnd w:id="1795"/>
      <w:bookmarkEnd w:id="1796"/>
      <w:bookmarkEnd w:id="1797"/>
      <w:bookmarkEnd w:id="1798"/>
      <w:bookmarkEnd w:id="1799"/>
      <w:r>
        <w:rPr>
          <w:rFonts w:hint="eastAsia" w:ascii="宋体" w:hAnsi="宋体" w:eastAsia="宋体" w:cs="宋体"/>
          <w:color w:val="auto"/>
          <w:sz w:val="24"/>
          <w:szCs w:val="24"/>
          <w:highlight w:val="none"/>
        </w:rPr>
        <w:t>理人</w:t>
      </w:r>
      <w:bookmarkEnd w:id="1788"/>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监理人的一般规定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监理人员</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总监理工程师：</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商定或确定</w:t>
      </w:r>
    </w:p>
    <w:p>
      <w:pPr>
        <w:snapToGrid w:val="0"/>
        <w:spacing w:line="336" w:lineRule="auto"/>
        <w:ind w:firstLine="420" w:firstLineChars="200"/>
        <w:jc w:val="left"/>
        <w:rPr>
          <w:rFonts w:ascii="宋体" w:hAnsi="宋体" w:cs="宋体"/>
          <w:color w:val="auto"/>
          <w:szCs w:val="21"/>
          <w:highlight w:val="none"/>
        </w:rPr>
      </w:pPr>
      <w:bookmarkStart w:id="1800"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801" w:name="_Toc351203637"/>
      <w:r>
        <w:rPr>
          <w:rFonts w:hint="eastAsia" w:ascii="Times New Roman" w:hAnsi="Times New Roman" w:eastAsia="宋体" w:cs="宋体"/>
          <w:color w:val="auto"/>
          <w:sz w:val="24"/>
          <w:szCs w:val="24"/>
          <w:highlight w:val="none"/>
        </w:rPr>
        <w:t>5</w:t>
      </w:r>
      <w:bookmarkEnd w:id="1800"/>
      <w:bookmarkStart w:id="1802" w:name="_Toc296944502"/>
      <w:bookmarkStart w:id="1803" w:name="_Toc292559872"/>
      <w:bookmarkStart w:id="1804" w:name="_Toc296347162"/>
      <w:bookmarkStart w:id="1805" w:name="_Toc296891203"/>
      <w:bookmarkStart w:id="1806" w:name="_Toc297048349"/>
      <w:bookmarkStart w:id="1807" w:name="_Toc296890991"/>
      <w:bookmarkStart w:id="1808" w:name="_Toc296346664"/>
      <w:bookmarkStart w:id="1809" w:name="_Toc297120463"/>
      <w:bookmarkStart w:id="1810" w:name="_Toc296503163"/>
      <w:bookmarkStart w:id="1811" w:name="_Toc292559367"/>
      <w:r>
        <w:rPr>
          <w:rFonts w:hint="eastAsia" w:ascii="宋体" w:hAnsi="宋体" w:eastAsia="宋体" w:cs="宋体"/>
          <w:color w:val="auto"/>
          <w:sz w:val="24"/>
          <w:szCs w:val="24"/>
          <w:highlight w:val="none"/>
        </w:rPr>
        <w:t>. 工程质量</w:t>
      </w:r>
      <w:bookmarkEnd w:id="1801"/>
    </w:p>
    <w:p>
      <w:pPr>
        <w:snapToGrid w:val="0"/>
        <w:spacing w:line="336" w:lineRule="auto"/>
        <w:ind w:firstLine="420" w:firstLineChars="200"/>
        <w:jc w:val="left"/>
        <w:rPr>
          <w:rFonts w:ascii="宋体" w:hAnsi="宋体" w:cs="宋体"/>
          <w:color w:val="auto"/>
          <w:szCs w:val="21"/>
          <w:highlight w:val="none"/>
        </w:rPr>
      </w:pPr>
      <w:bookmarkStart w:id="1812" w:name="_Toc14019"/>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质量要求</w:t>
      </w:r>
      <w:bookmarkEnd w:id="1812"/>
    </w:p>
    <w:p>
      <w:pPr>
        <w:snapToGrid w:val="0"/>
        <w:spacing w:line="336" w:lineRule="auto"/>
        <w:ind w:right="248" w:firstLine="420"/>
        <w:jc w:val="left"/>
        <w:rPr>
          <w:rFonts w:cs="宋体"/>
          <w:color w:val="auto"/>
          <w:szCs w:val="21"/>
          <w:highlight w:val="none"/>
          <w:u w:val="single"/>
        </w:rPr>
      </w:pPr>
      <w:r>
        <w:rPr>
          <w:rFonts w:hint="eastAsia" w:cs="宋体"/>
          <w:color w:val="auto"/>
          <w:szCs w:val="21"/>
          <w:highlight w:val="none"/>
        </w:rPr>
        <w:t>5</w:t>
      </w:r>
      <w:bookmarkStart w:id="1813" w:name="_Toc300934949"/>
      <w:bookmarkStart w:id="1814" w:name="_Toc297216155"/>
      <w:bookmarkStart w:id="1815" w:name="_Toc318581164"/>
      <w:bookmarkStart w:id="1816" w:name="_Toc303539106"/>
      <w:bookmarkStart w:id="1817" w:name="_Toc304295527"/>
      <w:bookmarkStart w:id="1818" w:name="_Toc312677997"/>
      <w:bookmarkStart w:id="1819" w:name="_Toc297123496"/>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特殊质量标准和要求：</w:t>
      </w:r>
      <w:r>
        <w:rPr>
          <w:rFonts w:hint="eastAsia" w:ascii="宋体" w:hAnsi="宋体" w:cs="宋体"/>
          <w:color w:val="auto"/>
          <w:highlight w:val="none"/>
          <w:u w:val="single"/>
        </w:rPr>
        <w:t>工程质量按《高标准农田建设通则</w:t>
      </w:r>
      <w:r>
        <w:rPr>
          <w:rFonts w:hint="eastAsia" w:ascii="宋体" w:hAnsi="宋体" w:cs="宋体"/>
          <w:color w:val="auto"/>
          <w:szCs w:val="21"/>
          <w:highlight w:val="none"/>
          <w:u w:val="single"/>
        </w:rPr>
        <w:t>》（</w:t>
      </w:r>
      <w:r>
        <w:rPr>
          <w:rFonts w:hint="eastAsia" w:cs="宋体"/>
          <w:color w:val="auto"/>
          <w:szCs w:val="21"/>
          <w:highlight w:val="none"/>
          <w:u w:val="single"/>
        </w:rPr>
        <w:t>GB</w:t>
      </w:r>
      <w:r>
        <w:rPr>
          <w:rFonts w:hint="eastAsia" w:ascii="宋体" w:hAnsi="宋体" w:cs="宋体"/>
          <w:color w:val="auto"/>
          <w:szCs w:val="21"/>
          <w:highlight w:val="none"/>
          <w:u w:val="single"/>
        </w:rPr>
        <w:t>/</w:t>
      </w:r>
      <w:r>
        <w:rPr>
          <w:rFonts w:hint="eastAsia" w:cs="宋体"/>
          <w:color w:val="auto"/>
          <w:szCs w:val="21"/>
          <w:highlight w:val="none"/>
          <w:u w:val="single"/>
        </w:rPr>
        <w:t>T30600</w:t>
      </w:r>
      <w:r>
        <w:rPr>
          <w:rFonts w:hint="eastAsia" w:ascii="宋体" w:hAnsi="宋体" w:cs="宋体"/>
          <w:color w:val="auto"/>
          <w:szCs w:val="21"/>
          <w:highlight w:val="none"/>
          <w:u w:val="single"/>
        </w:rPr>
        <w:t>-</w:t>
      </w:r>
      <w:r>
        <w:rPr>
          <w:rFonts w:hint="eastAsia" w:cs="宋体"/>
          <w:color w:val="auto"/>
          <w:szCs w:val="21"/>
          <w:highlight w:val="none"/>
          <w:u w:val="single"/>
        </w:rPr>
        <w:t>2022）</w:t>
      </w:r>
      <w:r>
        <w:rPr>
          <w:rFonts w:hint="eastAsia" w:ascii="宋体" w:hAnsi="宋体" w:cs="宋体"/>
          <w:color w:val="auto"/>
          <w:szCs w:val="21"/>
          <w:highlight w:val="none"/>
          <w:u w:val="single"/>
        </w:rPr>
        <w:t>、</w:t>
      </w:r>
      <w:r>
        <w:rPr>
          <w:rFonts w:hint="eastAsia" w:ascii="宋体" w:hAnsi="宋体" w:cs="宋体"/>
          <w:color w:val="auto"/>
          <w:highlight w:val="none"/>
          <w:u w:val="single"/>
        </w:rPr>
        <w:t>《广东省高标准农田建设项目初步设计文件编制技术规程(试行)》（粤农农办〔</w:t>
      </w:r>
      <w:r>
        <w:rPr>
          <w:rFonts w:hint="eastAsia" w:cs="宋体"/>
          <w:color w:val="auto"/>
          <w:highlight w:val="none"/>
          <w:u w:val="single"/>
        </w:rPr>
        <w:t>2022</w:t>
      </w:r>
      <w:r>
        <w:rPr>
          <w:rFonts w:hint="eastAsia" w:ascii="宋体" w:hAnsi="宋体" w:cs="宋体"/>
          <w:color w:val="auto"/>
          <w:highlight w:val="none"/>
          <w:u w:val="single"/>
        </w:rPr>
        <w:t>〕</w:t>
      </w:r>
      <w:r>
        <w:rPr>
          <w:rFonts w:hint="eastAsia" w:cs="宋体"/>
          <w:color w:val="auto"/>
          <w:highlight w:val="none"/>
          <w:u w:val="single"/>
        </w:rPr>
        <w:t>150</w:t>
      </w:r>
      <w:r>
        <w:rPr>
          <w:rFonts w:hint="eastAsia" w:ascii="宋体" w:hAnsi="宋体" w:cs="宋体"/>
          <w:color w:val="auto"/>
          <w:highlight w:val="none"/>
          <w:u w:val="single"/>
        </w:rPr>
        <w:t xml:space="preserve"> 号）、《土地整治工程质量检验与评定规程》（</w:t>
      </w:r>
      <w:r>
        <w:rPr>
          <w:rFonts w:hint="eastAsia" w:cs="宋体"/>
          <w:color w:val="auto"/>
          <w:highlight w:val="none"/>
          <w:u w:val="single"/>
        </w:rPr>
        <w:t>TD</w:t>
      </w:r>
      <w:r>
        <w:rPr>
          <w:rFonts w:hint="eastAsia" w:ascii="宋体" w:hAnsi="宋体" w:cs="宋体"/>
          <w:color w:val="auto"/>
          <w:highlight w:val="none"/>
          <w:u w:val="single"/>
        </w:rPr>
        <w:t>/</w:t>
      </w:r>
      <w:r>
        <w:rPr>
          <w:rFonts w:hint="eastAsia" w:cs="宋体"/>
          <w:color w:val="auto"/>
          <w:highlight w:val="none"/>
          <w:u w:val="single"/>
        </w:rPr>
        <w:t>T</w:t>
      </w:r>
      <w:r>
        <w:rPr>
          <w:rFonts w:hint="eastAsia" w:ascii="宋体" w:hAnsi="宋体" w:cs="宋体"/>
          <w:color w:val="auto"/>
          <w:highlight w:val="none"/>
          <w:u w:val="single"/>
        </w:rPr>
        <w:t xml:space="preserve"> </w:t>
      </w:r>
      <w:r>
        <w:rPr>
          <w:rFonts w:hint="eastAsia" w:cs="宋体"/>
          <w:color w:val="auto"/>
          <w:highlight w:val="none"/>
          <w:u w:val="single"/>
        </w:rPr>
        <w:t>1041</w:t>
      </w:r>
      <w:r>
        <w:rPr>
          <w:rFonts w:hint="eastAsia" w:ascii="宋体" w:hAnsi="宋体" w:cs="宋体"/>
          <w:color w:val="auto"/>
          <w:highlight w:val="none"/>
          <w:u w:val="single"/>
        </w:rPr>
        <w:t>-</w:t>
      </w:r>
      <w:r>
        <w:rPr>
          <w:rFonts w:hint="eastAsia" w:cs="宋体"/>
          <w:color w:val="auto"/>
          <w:highlight w:val="none"/>
          <w:u w:val="single"/>
        </w:rPr>
        <w:t>2022</w:t>
      </w:r>
      <w:r>
        <w:rPr>
          <w:rFonts w:hint="eastAsia" w:ascii="宋体" w:hAnsi="宋体" w:cs="宋体"/>
          <w:color w:val="auto"/>
          <w:highlight w:val="none"/>
          <w:u w:val="single"/>
        </w:rPr>
        <w:t>）、《水利水电工程施工质量检验与评定规程》（</w:t>
      </w:r>
      <w:r>
        <w:rPr>
          <w:rFonts w:hint="eastAsia" w:cs="宋体"/>
          <w:color w:val="auto"/>
          <w:highlight w:val="none"/>
          <w:u w:val="single"/>
        </w:rPr>
        <w:t>SL</w:t>
      </w:r>
      <w:r>
        <w:rPr>
          <w:rFonts w:hint="eastAsia" w:ascii="宋体" w:hAnsi="宋体" w:cs="宋体"/>
          <w:color w:val="auto"/>
          <w:highlight w:val="none"/>
          <w:u w:val="single"/>
        </w:rPr>
        <w:t xml:space="preserve"> </w:t>
      </w:r>
      <w:r>
        <w:rPr>
          <w:rFonts w:hint="eastAsia" w:cs="宋体"/>
          <w:color w:val="auto"/>
          <w:highlight w:val="none"/>
          <w:u w:val="single"/>
        </w:rPr>
        <w:t>176</w:t>
      </w:r>
      <w:r>
        <w:rPr>
          <w:rFonts w:hint="eastAsia" w:ascii="宋体" w:hAnsi="宋体" w:cs="宋体"/>
          <w:color w:val="auto"/>
          <w:highlight w:val="none"/>
          <w:u w:val="single"/>
        </w:rPr>
        <w:t>-</w:t>
      </w:r>
      <w:r>
        <w:rPr>
          <w:rFonts w:hint="eastAsia" w:cs="宋体"/>
          <w:color w:val="auto"/>
          <w:highlight w:val="none"/>
          <w:u w:val="single"/>
        </w:rPr>
        <w:t>2019</w:t>
      </w:r>
      <w:r>
        <w:rPr>
          <w:rFonts w:hint="eastAsia" w:ascii="宋体" w:hAnsi="宋体" w:cs="宋体"/>
          <w:color w:val="auto"/>
          <w:highlight w:val="none"/>
          <w:u w:val="single"/>
        </w:rPr>
        <w:t>）</w:t>
      </w:r>
      <w:r>
        <w:rPr>
          <w:rFonts w:hint="eastAsia" w:ascii="宋体" w:hAnsi="宋体" w:cs="宋体"/>
          <w:color w:val="auto"/>
          <w:szCs w:val="21"/>
          <w:highlight w:val="none"/>
          <w:u w:val="single"/>
        </w:rPr>
        <w:t>以及其引用的技术规范、</w:t>
      </w:r>
      <w:r>
        <w:rPr>
          <w:rFonts w:hint="eastAsia" w:cs="宋体"/>
          <w:color w:val="auto"/>
          <w:szCs w:val="21"/>
          <w:highlight w:val="none"/>
          <w:u w:val="single"/>
        </w:rPr>
        <w:t>标准执行。</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bookmarkStart w:id="1820" w:name="_Toc7451"/>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隐蔽工程检查</w:t>
      </w:r>
      <w:bookmarkEnd w:id="1820"/>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承包人提前通知发包人、设计人、监理人隐蔽工程检查的期限的约定：</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发包人、设计人、监理人不能按时进行检查时，应提前小时提交书面延期要求。</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821" w:name="_Toc351203638"/>
      <w:r>
        <w:rPr>
          <w:rFonts w:hint="eastAsia" w:ascii="Times New Roman" w:hAnsi="Times New Roman" w:eastAsia="宋体" w:cs="宋体"/>
          <w:color w:val="auto"/>
          <w:sz w:val="24"/>
          <w:szCs w:val="24"/>
          <w:highlight w:val="none"/>
        </w:rPr>
        <w:t>6</w:t>
      </w:r>
      <w:r>
        <w:rPr>
          <w:rFonts w:hint="eastAsia" w:ascii="宋体" w:hAnsi="宋体" w:eastAsia="宋体" w:cs="宋体"/>
          <w:color w:val="auto"/>
          <w:sz w:val="24"/>
          <w:szCs w:val="24"/>
          <w:highlight w:val="none"/>
        </w:rPr>
        <w:t>. 安全文明施工与环境保护</w:t>
      </w:r>
      <w:bookmarkEnd w:id="1821"/>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安全文明施工</w:t>
      </w:r>
    </w:p>
    <w:p>
      <w:pPr>
        <w:overflowPunct w:val="0"/>
        <w:autoSpaceDE w:val="0"/>
        <w:autoSpaceDN w:val="0"/>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项目安全生产的达标目标及相应事项的约定：。</w:t>
      </w:r>
    </w:p>
    <w:p>
      <w:pPr>
        <w:overflowPunct w:val="0"/>
        <w:autoSpaceDE w:val="0"/>
        <w:autoSpaceDN w:val="0"/>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关于治安保卫的特别约定：。</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文明施工</w:t>
      </w:r>
    </w:p>
    <w:p>
      <w:pPr>
        <w:overflowPunct w:val="0"/>
        <w:autoSpaceDE w:val="0"/>
        <w:autoSpaceDN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合同当事人对文明施工的要求：。</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关于安全文明施工费支付比例和支付期限的约定：。</w:t>
      </w:r>
    </w:p>
    <w:bookmarkEnd w:id="1813"/>
    <w:bookmarkEnd w:id="1814"/>
    <w:bookmarkEnd w:id="1815"/>
    <w:bookmarkEnd w:id="1816"/>
    <w:bookmarkEnd w:id="1817"/>
    <w:bookmarkEnd w:id="1818"/>
    <w:bookmarkEnd w:id="1819"/>
    <w:p>
      <w:pPr>
        <w:pStyle w:val="5"/>
        <w:keepNext w:val="0"/>
        <w:keepLines w:val="0"/>
        <w:snapToGrid w:val="0"/>
        <w:spacing w:line="336" w:lineRule="auto"/>
        <w:jc w:val="left"/>
        <w:rPr>
          <w:rFonts w:ascii="宋体" w:hAnsi="宋体" w:eastAsia="宋体" w:cs="宋体"/>
          <w:color w:val="auto"/>
          <w:sz w:val="24"/>
          <w:szCs w:val="24"/>
          <w:highlight w:val="none"/>
        </w:rPr>
      </w:pPr>
      <w:bookmarkStart w:id="1822" w:name="_Toc351203639"/>
      <w:r>
        <w:rPr>
          <w:rFonts w:hint="eastAsia" w:ascii="Times New Roman" w:hAnsi="Times New Roman" w:eastAsia="宋体" w:cs="宋体"/>
          <w:color w:val="auto"/>
          <w:sz w:val="24"/>
          <w:szCs w:val="24"/>
          <w:highlight w:val="none"/>
        </w:rPr>
        <w:t>7</w:t>
      </w:r>
      <w:r>
        <w:rPr>
          <w:rFonts w:hint="eastAsia" w:ascii="宋体" w:hAnsi="宋体" w:eastAsia="宋体" w:cs="宋体"/>
          <w:color w:val="auto"/>
          <w:sz w:val="24"/>
          <w:szCs w:val="24"/>
          <w:highlight w:val="none"/>
        </w:rPr>
        <w:t>. 工期和进度</w:t>
      </w:r>
      <w:bookmarkEnd w:id="1822"/>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施工组织设计</w:t>
      </w:r>
    </w:p>
    <w:p>
      <w:pPr>
        <w:overflowPunct w:val="0"/>
        <w:autoSpaceDE w:val="0"/>
        <w:autoSpaceDN w:val="0"/>
        <w:adjustRightInd w:val="0"/>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rPr>
        <w:t>。</w:t>
      </w:r>
    </w:p>
    <w:p>
      <w:pPr>
        <w:overflowPunct w:val="0"/>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施工组织设计的提交和修改</w:t>
      </w:r>
    </w:p>
    <w:p>
      <w:pPr>
        <w:overflowPunct w:val="0"/>
        <w:autoSpaceDE w:val="0"/>
        <w:autoSpaceDN w:val="0"/>
        <w:adjustRightInd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rPr>
        <w:t>。</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bookmarkStart w:id="1823" w:name="_Toc303539123"/>
      <w:bookmarkStart w:id="1824" w:name="_Toc297216173"/>
      <w:bookmarkStart w:id="1825" w:name="_Toc300934966"/>
      <w:bookmarkStart w:id="1826" w:name="_Toc312678005"/>
      <w:bookmarkStart w:id="1827" w:name="_Toc304295541"/>
      <w:bookmarkStart w:id="1828" w:name="_Toc297123514"/>
      <w:bookmarkStart w:id="1829" w:name="_Toc312677479"/>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施工进度计划</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施工进度计划的修订</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开工</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开工准备</w:t>
      </w:r>
    </w:p>
    <w:p>
      <w:pPr>
        <w:overflowPunct w:val="0"/>
        <w:autoSpaceDE w:val="0"/>
        <w:autoSpaceDN w:val="0"/>
        <w:snapToGrid w:val="0"/>
        <w:spacing w:line="336"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rPr>
        <w:t>。</w:t>
      </w:r>
    </w:p>
    <w:p>
      <w:pPr>
        <w:overflowPunct w:val="0"/>
        <w:autoSpaceDE w:val="0"/>
        <w:autoSpaceDN w:val="0"/>
        <w:snapToGrid w:val="0"/>
        <w:spacing w:line="336"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p>
    <w:p>
      <w:pPr>
        <w:overflowPunct w:val="0"/>
        <w:autoSpaceDE w:val="0"/>
        <w:autoSpaceDN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p>
    <w:p>
      <w:pPr>
        <w:overflowPunct w:val="0"/>
        <w:autoSpaceDE w:val="0"/>
        <w:autoSpaceDN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开工通知</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因发包人原因造成监理人未能在计划开工日期之日起天内发出开工通知的，承包人有权提出价格调整要求，或者解除合同。</w:t>
      </w:r>
    </w:p>
    <w:bookmarkEnd w:id="1823"/>
    <w:bookmarkEnd w:id="1824"/>
    <w:bookmarkEnd w:id="1825"/>
    <w:bookmarkEnd w:id="1826"/>
    <w:bookmarkEnd w:id="1827"/>
    <w:bookmarkEnd w:id="1828"/>
    <w:bookmarkEnd w:id="1829"/>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测量放线</w:t>
      </w:r>
    </w:p>
    <w:p>
      <w:pPr>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发包人通过监理人向承包人提供测量基准点、基准线和水准点及其书面资料的期限：。</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bookmarkStart w:id="1830" w:name="_Toc312677484"/>
      <w:bookmarkStart w:id="1831" w:name="_Toc304295546"/>
      <w:bookmarkStart w:id="1832" w:name="_Toc297123516"/>
      <w:bookmarkStart w:id="1833" w:name="_Toc300934968"/>
      <w:bookmarkStart w:id="1834" w:name="_Toc297216175"/>
      <w:bookmarkStart w:id="1835" w:name="_Toc312678010"/>
      <w:bookmarkStart w:id="1836" w:name="_Toc303539125"/>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 xml:space="preserve"> 工期延误</w:t>
      </w:r>
    </w:p>
    <w:bookmarkEnd w:id="1830"/>
    <w:bookmarkEnd w:id="1831"/>
    <w:bookmarkEnd w:id="1832"/>
    <w:bookmarkEnd w:id="1833"/>
    <w:bookmarkEnd w:id="1834"/>
    <w:bookmarkEnd w:id="1835"/>
    <w:bookmarkEnd w:id="1836"/>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因发包人原因导致工期延误</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）因发包人原因导致工期延误的其他情形：。</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bookmarkStart w:id="1837" w:name="_Toc318581169"/>
      <w:bookmarkStart w:id="1838" w:name="_Toc312678012"/>
      <w:bookmarkStart w:id="1839" w:name="_Toc312677486"/>
      <w:bookmarkStart w:id="1840" w:name="_Toc304295548"/>
      <w:bookmarkStart w:id="1841" w:name="_Toc297123518"/>
      <w:bookmarkStart w:id="1842" w:name="_Toc300934970"/>
      <w:bookmarkStart w:id="1843" w:name="_Toc303539127"/>
      <w:bookmarkStart w:id="1844" w:name="_Toc297216177"/>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因承包人原因导致工期延误</w:t>
      </w:r>
    </w:p>
    <w:bookmarkEnd w:id="1837"/>
    <w:bookmarkEnd w:id="1838"/>
    <w:bookmarkEnd w:id="1839"/>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1845" w:name="_Toc312677487"/>
      <w:bookmarkStart w:id="1846" w:name="_Toc312678013"/>
      <w:bookmarkStart w:id="1847" w:name="_Toc318581170"/>
      <w:r>
        <w:rPr>
          <w:rFonts w:hint="eastAsia" w:ascii="宋体" w:hAnsi="宋体" w:cs="宋体"/>
          <w:color w:val="auto"/>
          <w:szCs w:val="21"/>
          <w:highlight w:val="none"/>
        </w:rPr>
        <w:t>承包人原因造成工期延误，逾期竣工违约金的计算方法为：。</w:t>
      </w:r>
      <w:bookmarkEnd w:id="1840"/>
      <w:bookmarkEnd w:id="1841"/>
      <w:bookmarkEnd w:id="1842"/>
      <w:bookmarkEnd w:id="1843"/>
      <w:bookmarkEnd w:id="1844"/>
      <w:bookmarkEnd w:id="1845"/>
      <w:bookmarkEnd w:id="1846"/>
    </w:p>
    <w:bookmarkEnd w:id="1847"/>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1848" w:name="_Toc318581171"/>
      <w:bookmarkStart w:id="1849" w:name="_Toc312678014"/>
      <w:r>
        <w:rPr>
          <w:rFonts w:hint="eastAsia" w:ascii="宋体" w:hAnsi="宋体" w:cs="宋体"/>
          <w:color w:val="auto"/>
          <w:szCs w:val="21"/>
          <w:highlight w:val="none"/>
        </w:rPr>
        <w:t>期竣工违约金的上限：。</w:t>
      </w:r>
    </w:p>
    <w:bookmarkEnd w:id="1848"/>
    <w:bookmarkEnd w:id="1849"/>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bookmarkStart w:id="1850" w:name="_Toc297216178"/>
      <w:bookmarkStart w:id="1851" w:name="_Toc297123519"/>
      <w:bookmarkStart w:id="1852" w:name="_Toc303539128"/>
      <w:bookmarkStart w:id="1853" w:name="_Toc300934971"/>
      <w:bookmarkStart w:id="1854" w:name="_Toc312678015"/>
      <w:bookmarkStart w:id="1855" w:name="_Toc304295549"/>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不</w:t>
      </w:r>
      <w:bookmarkEnd w:id="1850"/>
      <w:bookmarkEnd w:id="1851"/>
      <w:bookmarkEnd w:id="1852"/>
      <w:bookmarkEnd w:id="1853"/>
      <w:bookmarkEnd w:id="1854"/>
      <w:bookmarkEnd w:id="1855"/>
      <w:r>
        <w:rPr>
          <w:rFonts w:hint="eastAsia" w:ascii="宋体" w:hAnsi="宋体" w:cs="宋体"/>
          <w:color w:val="auto"/>
          <w:szCs w:val="21"/>
          <w:highlight w:val="none"/>
        </w:rPr>
        <w:t>利物质条件</w:t>
      </w:r>
    </w:p>
    <w:p>
      <w:pPr>
        <w:snapToGrid w:val="0"/>
        <w:spacing w:line="336" w:lineRule="auto"/>
        <w:ind w:firstLine="420" w:firstLineChars="200"/>
        <w:jc w:val="left"/>
        <w:rPr>
          <w:rFonts w:ascii="宋体" w:hAnsi="宋体" w:cs="宋体"/>
          <w:color w:val="auto"/>
          <w:szCs w:val="21"/>
          <w:highlight w:val="none"/>
          <w:u w:val="single"/>
        </w:rPr>
      </w:pPr>
      <w:bookmarkStart w:id="1856" w:name="_Toc304295550"/>
      <w:bookmarkStart w:id="1857" w:name="_Toc303539129"/>
      <w:bookmarkStart w:id="1858" w:name="_Toc300934972"/>
      <w:bookmarkStart w:id="1859" w:name="_Toc312678016"/>
      <w:bookmarkStart w:id="1860" w:name="_Toc297123520"/>
      <w:bookmarkStart w:id="1861" w:name="_Toc297216179"/>
      <w:bookmarkStart w:id="1862" w:name="_Toc318581172"/>
      <w:r>
        <w:rPr>
          <w:rFonts w:hint="eastAsia" w:ascii="宋体" w:hAnsi="宋体" w:cs="宋体"/>
          <w:color w:val="auto"/>
          <w:szCs w:val="21"/>
          <w:highlight w:val="none"/>
        </w:rPr>
        <w:t>不利物质条件的其他情形和有关约定：。</w:t>
      </w:r>
    </w:p>
    <w:bookmarkEnd w:id="1856"/>
    <w:bookmarkEnd w:id="1857"/>
    <w:bookmarkEnd w:id="1858"/>
    <w:bookmarkEnd w:id="1859"/>
    <w:bookmarkEnd w:id="1860"/>
    <w:bookmarkEnd w:id="1861"/>
    <w:bookmarkEnd w:id="1862"/>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bookmarkStart w:id="1863" w:name="_Toc312678017"/>
      <w:bookmarkStart w:id="1864" w:name="_Toc304295551"/>
      <w:bookmarkStart w:id="1865" w:name="_Toc300934973"/>
      <w:bookmarkStart w:id="1866" w:name="_Toc297216180"/>
      <w:bookmarkStart w:id="1867" w:name="_Toc303539130"/>
      <w:bookmarkStart w:id="1868" w:name="_Toc297123521"/>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异常恶劣的气候条件</w:t>
      </w:r>
    </w:p>
    <w:bookmarkEnd w:id="1863"/>
    <w:bookmarkEnd w:id="1864"/>
    <w:bookmarkEnd w:id="1865"/>
    <w:bookmarkEnd w:id="1866"/>
    <w:bookmarkEnd w:id="1867"/>
    <w:bookmarkEnd w:id="1868"/>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869" w:name="_Toc10237"/>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 xml:space="preserve"> 提前竣工的奖励</w:t>
      </w:r>
      <w:bookmarkEnd w:id="1869"/>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提前竣工的奖励：。</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1870" w:name="_Toc351203640"/>
      <w:r>
        <w:rPr>
          <w:rFonts w:hint="eastAsia" w:ascii="Times New Roman" w:hAnsi="Times New Roman" w:eastAsia="宋体" w:cs="宋体"/>
          <w:color w:val="auto"/>
          <w:sz w:val="24"/>
          <w:szCs w:val="24"/>
          <w:highlight w:val="none"/>
        </w:rPr>
        <w:t>8</w:t>
      </w:r>
      <w:r>
        <w:rPr>
          <w:rFonts w:hint="eastAsia" w:ascii="宋体" w:hAnsi="宋体" w:eastAsia="宋体" w:cs="宋体"/>
          <w:color w:val="auto"/>
          <w:sz w:val="24"/>
          <w:szCs w:val="24"/>
          <w:highlight w:val="none"/>
        </w:rPr>
        <w:t>. 材料与设备</w:t>
      </w:r>
      <w:bookmarkEnd w:id="1870"/>
    </w:p>
    <w:bookmarkEnd w:id="1802"/>
    <w:bookmarkEnd w:id="1803"/>
    <w:bookmarkEnd w:id="1804"/>
    <w:bookmarkEnd w:id="1805"/>
    <w:bookmarkEnd w:id="1806"/>
    <w:bookmarkEnd w:id="1807"/>
    <w:bookmarkEnd w:id="1808"/>
    <w:bookmarkEnd w:id="1809"/>
    <w:bookmarkEnd w:id="1810"/>
    <w:bookmarkEnd w:id="1811"/>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8</w:t>
      </w:r>
      <w:bookmarkStart w:id="1871" w:name="_Toc296346668"/>
      <w:bookmarkStart w:id="1872" w:name="_Toc292559372"/>
      <w:bookmarkStart w:id="1873" w:name="_Toc312677493"/>
      <w:bookmarkStart w:id="1874" w:name="_Toc292559877"/>
      <w:bookmarkStart w:id="1875" w:name="_Toc312678019"/>
      <w:bookmarkStart w:id="1876" w:name="_Toc280868654"/>
      <w:bookmarkStart w:id="1877" w:name="_Toc296944506"/>
      <w:bookmarkStart w:id="1878" w:name="_Toc297048353"/>
      <w:bookmarkStart w:id="1879" w:name="_Toc304295556"/>
      <w:bookmarkStart w:id="1880" w:name="_Toc296890995"/>
      <w:bookmarkStart w:id="1881" w:name="_Toc297123527"/>
      <w:bookmarkStart w:id="1882" w:name="_Toc296891207"/>
      <w:bookmarkStart w:id="1883" w:name="_Toc297120467"/>
      <w:bookmarkStart w:id="1884" w:name="_Toc296347166"/>
      <w:bookmarkStart w:id="1885" w:name="_Toc303539136"/>
      <w:bookmarkStart w:id="1886" w:name="_Toc297216186"/>
      <w:bookmarkStart w:id="1887" w:name="_Toc300934979"/>
      <w:bookmarkStart w:id="1888" w:name="_Toc296503167"/>
      <w:bookmarkStart w:id="1889" w:name="_Toc280868656"/>
      <w:bookmarkStart w:id="1890" w:name="_Toc280868655"/>
      <w:bookmarkStart w:id="1891" w:name="_Toc267251424"/>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材料与工程设备的保管与使用</w:t>
      </w:r>
    </w:p>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Pr>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8</w:t>
      </w:r>
      <w:bookmarkStart w:id="1892" w:name="_Toc292559373"/>
      <w:bookmarkStart w:id="1893" w:name="_Toc292559878"/>
      <w:bookmarkStart w:id="1894" w:name="_Toc297120468"/>
      <w:bookmarkStart w:id="1895" w:name="_Toc297216187"/>
      <w:bookmarkStart w:id="1896" w:name="_Toc296890996"/>
      <w:bookmarkStart w:id="1897" w:name="_Toc303539137"/>
      <w:bookmarkStart w:id="1898" w:name="_Toc300934980"/>
      <w:bookmarkStart w:id="1899" w:name="_Toc318581173"/>
      <w:bookmarkStart w:id="1900" w:name="_Toc297048354"/>
      <w:bookmarkStart w:id="1901" w:name="_Toc296346669"/>
      <w:bookmarkStart w:id="1902" w:name="_Toc312677494"/>
      <w:bookmarkStart w:id="1903" w:name="_Toc296347167"/>
      <w:bookmarkStart w:id="1904" w:name="_Toc297123528"/>
      <w:bookmarkStart w:id="1905" w:name="_Toc296891208"/>
      <w:bookmarkStart w:id="1906" w:name="_Toc304295557"/>
      <w:bookmarkStart w:id="1907" w:name="_Toc296944507"/>
      <w:bookmarkStart w:id="1908" w:name="_Toc312678020"/>
      <w:bookmarkStart w:id="1909" w:name="_Toc296503168"/>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发包人供应的材料设备的保管费用的承担：。</w:t>
      </w:r>
      <w:bookmarkEnd w:id="1892"/>
      <w:bookmarkEnd w:id="1893"/>
    </w:p>
    <w:p>
      <w:pPr>
        <w:snapToGrid w:val="0"/>
        <w:spacing w:line="336" w:lineRule="auto"/>
        <w:ind w:firstLine="420" w:firstLineChars="200"/>
        <w:jc w:val="left"/>
        <w:rPr>
          <w:rFonts w:ascii="宋体" w:hAnsi="宋体" w:cs="宋体"/>
          <w:color w:val="auto"/>
          <w:szCs w:val="21"/>
          <w:highlight w:val="none"/>
        </w:rPr>
      </w:pPr>
      <w:bookmarkStart w:id="1910" w:name="_Toc26117"/>
      <w:r>
        <w:rPr>
          <w:rFonts w:hint="eastAsia" w:cs="宋体"/>
          <w:color w:val="auto"/>
          <w:szCs w:val="21"/>
          <w:highlight w:val="none"/>
        </w:rPr>
        <w:t>8</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样品</w:t>
      </w:r>
      <w:bookmarkEnd w:id="1910"/>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autoSpaceDE w:val="0"/>
        <w:autoSpaceDN w:val="0"/>
        <w:adjustRightInd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911" w:name="_Toc1684"/>
      <w:r>
        <w:rPr>
          <w:rFonts w:hint="eastAsia" w:cs="宋体"/>
          <w:color w:val="auto"/>
          <w:szCs w:val="21"/>
          <w:highlight w:val="none"/>
        </w:rPr>
        <w:t>8</w:t>
      </w: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 xml:space="preserve"> 施工设备和临时设施</w:t>
      </w:r>
      <w:bookmarkEnd w:id="1911"/>
    </w:p>
    <w:p>
      <w:pPr>
        <w:autoSpaceDE w:val="0"/>
        <w:autoSpaceDN w:val="0"/>
        <w:adjustRightInd w:val="0"/>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8</w:t>
      </w: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承包人提供的施工设备和临时设施</w:t>
      </w:r>
    </w:p>
    <w:p>
      <w:pPr>
        <w:autoSpaceDE w:val="0"/>
        <w:autoSpaceDN w:val="0"/>
        <w:adjustRightInd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关于修建临时设施费用承担的约定：。</w:t>
      </w:r>
    </w:p>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Pr>
        <w:pStyle w:val="5"/>
        <w:keepNext w:val="0"/>
        <w:keepLines w:val="0"/>
        <w:snapToGrid w:val="0"/>
        <w:spacing w:line="336" w:lineRule="auto"/>
        <w:jc w:val="left"/>
        <w:rPr>
          <w:rFonts w:ascii="宋体" w:hAnsi="宋体" w:eastAsia="宋体" w:cs="宋体"/>
          <w:color w:val="auto"/>
          <w:sz w:val="24"/>
          <w:szCs w:val="24"/>
          <w:highlight w:val="none"/>
        </w:rPr>
      </w:pPr>
      <w:bookmarkStart w:id="1912" w:name="_Toc351203641"/>
      <w:r>
        <w:rPr>
          <w:rFonts w:hint="eastAsia" w:ascii="Times New Roman" w:hAnsi="Times New Roman" w:eastAsia="宋体" w:cs="宋体"/>
          <w:color w:val="auto"/>
          <w:sz w:val="24"/>
          <w:szCs w:val="24"/>
          <w:highlight w:val="none"/>
        </w:rPr>
        <w:t>9</w:t>
      </w:r>
      <w:bookmarkEnd w:id="1889"/>
      <w:bookmarkEnd w:id="1890"/>
      <w:bookmarkEnd w:id="1891"/>
      <w:bookmarkStart w:id="1913" w:name="_Toc300934982"/>
      <w:bookmarkStart w:id="1914" w:name="_Toc312678021"/>
      <w:bookmarkStart w:id="1915" w:name="_Toc312677495"/>
      <w:bookmarkStart w:id="1916" w:name="_Toc303539139"/>
      <w:bookmarkStart w:id="1917" w:name="_Toc297123533"/>
      <w:bookmarkStart w:id="1918" w:name="_Toc304295559"/>
      <w:bookmarkStart w:id="1919" w:name="_Toc297216192"/>
      <w:bookmarkStart w:id="1920" w:name="_Toc267251427"/>
      <w:bookmarkStart w:id="1921" w:name="_Toc297048359"/>
      <w:bookmarkStart w:id="1922" w:name="_Toc296891001"/>
      <w:bookmarkStart w:id="1923" w:name="_Toc296503173"/>
      <w:bookmarkStart w:id="1924" w:name="_Toc296347172"/>
      <w:bookmarkStart w:id="1925" w:name="_Toc296944512"/>
      <w:bookmarkStart w:id="1926" w:name="_Toc267251428"/>
      <w:bookmarkStart w:id="1927" w:name="_Toc296891213"/>
      <w:bookmarkStart w:id="1928" w:name="_Toc296346674"/>
      <w:bookmarkStart w:id="1929" w:name="_Toc292559883"/>
      <w:bookmarkStart w:id="1930" w:name="_Toc297120473"/>
      <w:bookmarkStart w:id="1931" w:name="_Toc292559378"/>
      <w:r>
        <w:rPr>
          <w:rFonts w:hint="eastAsia" w:ascii="宋体" w:hAnsi="宋体" w:eastAsia="宋体" w:cs="宋体"/>
          <w:color w:val="auto"/>
          <w:sz w:val="24"/>
          <w:szCs w:val="24"/>
          <w:highlight w:val="none"/>
        </w:rPr>
        <w:t>. 试验与检验</w:t>
      </w:r>
      <w:bookmarkEnd w:id="1912"/>
    </w:p>
    <w:bookmarkEnd w:id="1913"/>
    <w:bookmarkEnd w:id="1914"/>
    <w:bookmarkEnd w:id="1915"/>
    <w:bookmarkEnd w:id="1916"/>
    <w:bookmarkEnd w:id="1917"/>
    <w:bookmarkEnd w:id="1918"/>
    <w:bookmarkEnd w:id="1919"/>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9</w:t>
      </w:r>
      <w:bookmarkStart w:id="1932" w:name="_Toc312678022"/>
      <w:bookmarkStart w:id="1933" w:name="_Toc312677496"/>
      <w:bookmarkStart w:id="1934" w:name="_Toc304295560"/>
      <w:bookmarkStart w:id="1935" w:name="_Toc297216193"/>
      <w:bookmarkStart w:id="1936" w:name="_Toc300934983"/>
      <w:bookmarkStart w:id="1937" w:name="_Toc297123534"/>
      <w:bookmarkStart w:id="1938" w:name="_Toc303539140"/>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试验设备与试验人员</w:t>
      </w:r>
    </w:p>
    <w:bookmarkEnd w:id="1932"/>
    <w:bookmarkEnd w:id="1933"/>
    <w:bookmarkEnd w:id="1934"/>
    <w:bookmarkEnd w:id="1935"/>
    <w:bookmarkEnd w:id="1936"/>
    <w:bookmarkEnd w:id="1937"/>
    <w:bookmarkEnd w:id="1938"/>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9</w:t>
      </w:r>
      <w:bookmarkStart w:id="1939" w:name="_Toc297123535"/>
      <w:bookmarkStart w:id="1940" w:name="_Toc312677497"/>
      <w:bookmarkStart w:id="1941" w:name="_Toc303539141"/>
      <w:bookmarkStart w:id="1942" w:name="_Toc297216194"/>
      <w:bookmarkStart w:id="1943" w:name="_Toc300934984"/>
      <w:bookmarkStart w:id="1944" w:name="_Toc312678023"/>
      <w:bookmarkStart w:id="1945" w:name="_Toc304295561"/>
      <w:bookmarkStart w:id="1946" w:name="_Toc318581174"/>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试验设备</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1939"/>
      <w:bookmarkEnd w:id="1940"/>
      <w:bookmarkEnd w:id="1941"/>
      <w:bookmarkEnd w:id="1942"/>
      <w:bookmarkEnd w:id="1943"/>
      <w:bookmarkEnd w:id="1944"/>
      <w:bookmarkEnd w:id="1945"/>
      <w:bookmarkStart w:id="1947" w:name="_Toc297216195"/>
      <w:bookmarkStart w:id="1948" w:name="_Toc303539142"/>
      <w:bookmarkStart w:id="1949" w:name="_Toc304295562"/>
      <w:bookmarkStart w:id="1950" w:name="_Toc312677498"/>
      <w:bookmarkStart w:id="1951" w:name="_Toc312678024"/>
      <w:bookmarkStart w:id="1952" w:name="_Toc297123536"/>
      <w:bookmarkStart w:id="1953" w:name="_Toc30093498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954" w:name="_Toc28899"/>
      <w:r>
        <w:rPr>
          <w:rFonts w:hint="eastAsia" w:cs="宋体"/>
          <w:color w:val="auto"/>
          <w:szCs w:val="21"/>
          <w:highlight w:val="none"/>
        </w:rPr>
        <w:t>9</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现场工艺试验</w:t>
      </w:r>
      <w:bookmarkEnd w:id="1954"/>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946"/>
    <w:bookmarkEnd w:id="1947"/>
    <w:bookmarkEnd w:id="1948"/>
    <w:bookmarkEnd w:id="1949"/>
    <w:bookmarkEnd w:id="1950"/>
    <w:bookmarkEnd w:id="1951"/>
    <w:bookmarkEnd w:id="1952"/>
    <w:bookmarkEnd w:id="1953"/>
    <w:p>
      <w:pPr>
        <w:pStyle w:val="5"/>
        <w:keepNext w:val="0"/>
        <w:keepLines w:val="0"/>
        <w:snapToGrid w:val="0"/>
        <w:spacing w:line="336" w:lineRule="auto"/>
        <w:jc w:val="left"/>
        <w:rPr>
          <w:rFonts w:ascii="宋体" w:hAnsi="宋体" w:eastAsia="宋体" w:cs="宋体"/>
          <w:color w:val="auto"/>
          <w:sz w:val="24"/>
          <w:szCs w:val="24"/>
          <w:highlight w:val="none"/>
        </w:rPr>
      </w:pPr>
      <w:bookmarkStart w:id="1955" w:name="_Toc351203642"/>
      <w:r>
        <w:rPr>
          <w:rFonts w:hint="eastAsia" w:ascii="Times New Roman" w:hAnsi="Times New Roman" w:eastAsia="宋体" w:cs="宋体"/>
          <w:color w:val="auto"/>
          <w:sz w:val="24"/>
          <w:szCs w:val="24"/>
          <w:highlight w:val="none"/>
        </w:rPr>
        <w:t>1</w:t>
      </w:r>
      <w:bookmarkEnd w:id="1920"/>
      <w:bookmarkEnd w:id="1921"/>
      <w:bookmarkEnd w:id="1922"/>
      <w:bookmarkEnd w:id="1923"/>
      <w:bookmarkEnd w:id="1924"/>
      <w:bookmarkEnd w:id="1925"/>
      <w:bookmarkEnd w:id="1926"/>
      <w:bookmarkEnd w:id="1927"/>
      <w:bookmarkEnd w:id="1928"/>
      <w:bookmarkEnd w:id="1929"/>
      <w:bookmarkEnd w:id="1930"/>
      <w:bookmarkEnd w:id="1931"/>
      <w:bookmarkStart w:id="1956" w:name="_Toc296891233"/>
      <w:bookmarkStart w:id="1957" w:name="_Toc297216199"/>
      <w:bookmarkStart w:id="1958" w:name="_Toc292559903"/>
      <w:bookmarkStart w:id="1959" w:name="_Toc300934989"/>
      <w:bookmarkStart w:id="1960" w:name="_Toc292559398"/>
      <w:bookmarkStart w:id="1961" w:name="_Toc297120493"/>
      <w:bookmarkStart w:id="1962" w:name="_Toc304295566"/>
      <w:bookmarkStart w:id="1963" w:name="_Toc297048379"/>
      <w:bookmarkStart w:id="1964" w:name="_Toc297123540"/>
      <w:bookmarkStart w:id="1965" w:name="_Toc296503193"/>
      <w:bookmarkStart w:id="1966" w:name="_Toc303539146"/>
      <w:bookmarkStart w:id="1967" w:name="_Toc296346694"/>
      <w:bookmarkStart w:id="1968" w:name="_Toc296891021"/>
      <w:bookmarkStart w:id="1969" w:name="_Toc296944532"/>
      <w:bookmarkStart w:id="1970" w:name="_Toc296347192"/>
      <w:bookmarkStart w:id="1971" w:name="_Toc312677499"/>
      <w:bookmarkStart w:id="1972" w:name="_Toc312678025"/>
      <w:bookmarkStart w:id="1973" w:name="_Toc267251435"/>
      <w:bookmarkStart w:id="1974" w:name="_Toc267251437"/>
      <w:bookmarkStart w:id="1975" w:name="_Toc267251441"/>
      <w:bookmarkStart w:id="1976" w:name="_Toc267251440"/>
      <w:bookmarkStart w:id="1977" w:name="_Toc267251439"/>
      <w:bookmarkStart w:id="1978" w:name="_Toc267251433"/>
      <w:bookmarkStart w:id="1979" w:name="_Toc267251442"/>
      <w:r>
        <w:rPr>
          <w:rFonts w:hint="eastAsia" w:ascii="Times New Roman" w:hAnsi="Times New Roman" w:eastAsia="宋体" w:cs="宋体"/>
          <w:color w:val="auto"/>
          <w:sz w:val="24"/>
          <w:szCs w:val="24"/>
          <w:highlight w:val="none"/>
        </w:rPr>
        <w:t>0</w:t>
      </w:r>
      <w:r>
        <w:rPr>
          <w:rFonts w:hint="eastAsia" w:ascii="宋体" w:hAnsi="宋体" w:eastAsia="宋体" w:cs="宋体"/>
          <w:color w:val="auto"/>
          <w:sz w:val="24"/>
          <w:szCs w:val="24"/>
          <w:highlight w:val="none"/>
        </w:rPr>
        <w:t>. 变更</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bookmarkEnd w:id="1971"/>
    <w:bookmarkEnd w:id="1972"/>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bookmarkStart w:id="1980" w:name="_Toc312678026"/>
      <w:bookmarkStart w:id="1981" w:name="_Toc297120494"/>
      <w:bookmarkStart w:id="1982" w:name="_Toc312677500"/>
      <w:bookmarkStart w:id="1983" w:name="_Toc296891234"/>
      <w:bookmarkStart w:id="1984" w:name="_Toc296346695"/>
      <w:bookmarkStart w:id="1985" w:name="_Toc296944533"/>
      <w:bookmarkStart w:id="1986" w:name="_Toc304295567"/>
      <w:bookmarkStart w:id="1987" w:name="_Toc297048380"/>
      <w:bookmarkStart w:id="1988" w:name="_Toc296347193"/>
      <w:bookmarkStart w:id="1989" w:name="_Toc300934990"/>
      <w:bookmarkStart w:id="1990" w:name="_Toc297216200"/>
      <w:bookmarkStart w:id="1991" w:name="_Toc292559904"/>
      <w:bookmarkStart w:id="1992" w:name="_Toc296891022"/>
      <w:bookmarkStart w:id="1993" w:name="_Toc303539147"/>
      <w:bookmarkStart w:id="1994" w:name="_Toc296503194"/>
      <w:bookmarkStart w:id="1995" w:name="_Toc292559399"/>
      <w:bookmarkStart w:id="1996" w:name="_Toc297123541"/>
      <w:r>
        <w:rPr>
          <w:rFonts w:hint="eastAsia" w:cs="宋体"/>
          <w:color w:val="auto"/>
          <w:szCs w:val="21"/>
          <w:highlight w:val="none"/>
        </w:rPr>
        <w:t>0</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变更的范围</w:t>
      </w:r>
    </w:p>
    <w:p>
      <w:pPr>
        <w:snapToGrid w:val="0"/>
        <w:spacing w:line="336" w:lineRule="auto"/>
        <w:ind w:firstLine="6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p>
    <w:p>
      <w:pPr>
        <w:snapToGrid w:val="0"/>
        <w:spacing w:line="336" w:lineRule="auto"/>
        <w:ind w:firstLine="600"/>
        <w:jc w:val="left"/>
        <w:rPr>
          <w:rFonts w:ascii="宋体" w:hAnsi="宋体" w:cs="宋体"/>
          <w:color w:val="auto"/>
          <w:szCs w:val="21"/>
          <w:highlight w:val="none"/>
          <w:u w:val="single"/>
        </w:rPr>
      </w:pPr>
      <w:r>
        <w:rPr>
          <w:rFonts w:hint="eastAsia" w:ascii="宋体" w:hAnsi="宋体" w:cs="宋体"/>
          <w:color w:val="auto"/>
          <w:szCs w:val="21"/>
          <w:highlight w:val="none"/>
          <w:u w:val="single"/>
        </w:rPr>
        <w:t>按照《广东省农业农村厅关于规范农田建设项目调整和终止有关事项的通知》（粤农农函〔</w:t>
      </w:r>
      <w:r>
        <w:rPr>
          <w:rFonts w:hint="eastAsia" w:cs="宋体"/>
          <w:color w:val="auto"/>
          <w:szCs w:val="21"/>
          <w:highlight w:val="none"/>
          <w:u w:val="single"/>
        </w:rPr>
        <w:t>2020</w:t>
      </w:r>
      <w:r>
        <w:rPr>
          <w:rFonts w:hint="eastAsia" w:ascii="宋体" w:hAnsi="宋体" w:cs="宋体"/>
          <w:color w:val="auto"/>
          <w:szCs w:val="21"/>
          <w:highlight w:val="none"/>
          <w:u w:val="single"/>
        </w:rPr>
        <w:t>〕</w:t>
      </w:r>
      <w:r>
        <w:rPr>
          <w:rFonts w:hint="eastAsia" w:cs="宋体"/>
          <w:color w:val="auto"/>
          <w:szCs w:val="21"/>
          <w:highlight w:val="none"/>
          <w:u w:val="single"/>
        </w:rPr>
        <w:t>79</w:t>
      </w:r>
      <w:r>
        <w:rPr>
          <w:rFonts w:hint="eastAsia" w:ascii="宋体" w:hAnsi="宋体" w:cs="宋体"/>
          <w:color w:val="auto"/>
          <w:szCs w:val="21"/>
          <w:highlight w:val="none"/>
          <w:u w:val="single"/>
        </w:rPr>
        <w:t>号）、《广州市高标准农田建设项目调整规程》执行</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1997" w:name="_Toc31278"/>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变更估价</w:t>
      </w:r>
      <w:bookmarkEnd w:id="1997"/>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变更估价原则</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Start w:id="1998" w:name="_Toc303539150"/>
      <w:bookmarkStart w:id="1999" w:name="_Toc292559402"/>
      <w:bookmarkStart w:id="2000" w:name="_Toc296944536"/>
      <w:bookmarkStart w:id="2001" w:name="_Toc296891237"/>
      <w:bookmarkStart w:id="2002" w:name="_Toc297120497"/>
      <w:bookmarkStart w:id="2003" w:name="_Toc296347196"/>
      <w:bookmarkStart w:id="2004" w:name="_Toc300934993"/>
      <w:bookmarkStart w:id="2005" w:name="_Toc297123544"/>
      <w:bookmarkStart w:id="2006" w:name="_Toc297216203"/>
      <w:bookmarkStart w:id="2007" w:name="_Toc296891025"/>
      <w:bookmarkStart w:id="2008" w:name="_Toc296503197"/>
      <w:bookmarkStart w:id="2009" w:name="_Toc297048383"/>
      <w:bookmarkStart w:id="2010" w:name="_Toc296346698"/>
      <w:bookmarkStart w:id="2011" w:name="_Toc292559907"/>
      <w:bookmarkStart w:id="2012" w:name="_Toc312678029"/>
      <w:bookmarkStart w:id="2013" w:name="_Toc312677503"/>
      <w:bookmarkStart w:id="2014" w:name="_Toc304295570"/>
      <w:r>
        <w:rPr>
          <w:rFonts w:hint="eastAsia" w:cs="宋体"/>
          <w:color w:val="auto"/>
          <w:szCs w:val="21"/>
          <w:highlight w:val="none"/>
        </w:rPr>
        <w:t>0</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承</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Start w:id="2015" w:name="_Toc303539151"/>
      <w:bookmarkStart w:id="2016" w:name="_Toc297216204"/>
      <w:bookmarkStart w:id="2017" w:name="_Toc296944542"/>
      <w:bookmarkStart w:id="2018" w:name="_Toc292559408"/>
      <w:bookmarkStart w:id="2019" w:name="_Toc297123545"/>
      <w:bookmarkStart w:id="2020" w:name="_Toc300934994"/>
      <w:bookmarkStart w:id="2021" w:name="_Toc296891031"/>
      <w:bookmarkStart w:id="2022" w:name="_Toc292559913"/>
      <w:bookmarkStart w:id="2023" w:name="_Toc297048389"/>
      <w:bookmarkStart w:id="2024" w:name="_Toc297120503"/>
      <w:bookmarkStart w:id="2025" w:name="_Toc296347202"/>
      <w:bookmarkStart w:id="2026" w:name="_Toc296346704"/>
      <w:bookmarkStart w:id="2027" w:name="_Toc296503203"/>
      <w:bookmarkStart w:id="2028" w:name="_Toc296891243"/>
      <w:r>
        <w:rPr>
          <w:rFonts w:hint="eastAsia" w:ascii="宋体" w:hAnsi="宋体" w:cs="宋体"/>
          <w:color w:val="auto"/>
          <w:szCs w:val="21"/>
          <w:highlight w:val="none"/>
        </w:rPr>
        <w:t>包人的合理化建议</w:t>
      </w:r>
    </w:p>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2029" w:name="_Toc296347203"/>
      <w:bookmarkStart w:id="2030" w:name="_Toc296891244"/>
      <w:bookmarkStart w:id="2031" w:name="_Toc297120504"/>
      <w:bookmarkStart w:id="2032" w:name="_Toc292559409"/>
      <w:bookmarkStart w:id="2033" w:name="_Toc312677504"/>
      <w:bookmarkStart w:id="2034" w:name="_Toc303539152"/>
      <w:bookmarkStart w:id="2035" w:name="_Toc304295571"/>
      <w:bookmarkStart w:id="2036" w:name="_Toc297216205"/>
      <w:bookmarkStart w:id="2037" w:name="_Toc292559914"/>
      <w:bookmarkStart w:id="2038" w:name="_Toc300934995"/>
      <w:bookmarkStart w:id="2039" w:name="_Toc296503204"/>
      <w:bookmarkStart w:id="2040" w:name="_Toc296346705"/>
      <w:bookmarkStart w:id="2041" w:name="_Toc296891032"/>
      <w:bookmarkStart w:id="2042" w:name="_Toc296944543"/>
      <w:bookmarkStart w:id="2043" w:name="_Toc318581175"/>
      <w:bookmarkStart w:id="2044" w:name="_Toc312678030"/>
      <w:bookmarkStart w:id="2045" w:name="_Toc297048390"/>
      <w:bookmarkStart w:id="2046" w:name="_Toc297123546"/>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Pr>
        <w:snapToGrid w:val="0"/>
        <w:spacing w:line="336" w:lineRule="auto"/>
        <w:ind w:firstLine="420" w:firstLineChars="200"/>
        <w:jc w:val="left"/>
        <w:rPr>
          <w:rFonts w:ascii="宋体" w:hAnsi="宋体" w:cs="宋体"/>
          <w:color w:val="auto"/>
          <w:szCs w:val="21"/>
          <w:highlight w:val="none"/>
        </w:rPr>
      </w:pPr>
      <w:bookmarkStart w:id="2047" w:name="_Toc16661"/>
      <w:r>
        <w:rPr>
          <w:rFonts w:hint="eastAsia" w:cs="宋体"/>
          <w:color w:val="auto"/>
          <w:szCs w:val="21"/>
          <w:highlight w:val="none"/>
        </w:rPr>
        <w:t>1</w:t>
      </w:r>
      <w:bookmarkStart w:id="2048" w:name="_Toc296346700"/>
      <w:bookmarkStart w:id="2049" w:name="_Toc312678033"/>
      <w:bookmarkStart w:id="2050" w:name="_Toc297048385"/>
      <w:bookmarkStart w:id="2051" w:name="_Toc297123548"/>
      <w:bookmarkStart w:id="2052" w:name="_Toc296503199"/>
      <w:bookmarkStart w:id="2053" w:name="_Toc312677507"/>
      <w:bookmarkStart w:id="2054" w:name="_Toc296891239"/>
      <w:bookmarkStart w:id="2055" w:name="_Toc296944538"/>
      <w:bookmarkStart w:id="2056" w:name="_Toc304295574"/>
      <w:bookmarkStart w:id="2057" w:name="_Toc292559404"/>
      <w:bookmarkStart w:id="2058" w:name="_Toc297216207"/>
      <w:bookmarkStart w:id="2059" w:name="_Toc296347198"/>
      <w:bookmarkStart w:id="2060" w:name="_Toc297120499"/>
      <w:bookmarkStart w:id="2061" w:name="_Toc296891027"/>
      <w:bookmarkStart w:id="2062" w:name="_Toc300934997"/>
      <w:bookmarkStart w:id="2063" w:name="_Toc303539154"/>
      <w:bookmarkStart w:id="2064" w:name="_Toc292559909"/>
      <w:r>
        <w:rPr>
          <w:rFonts w:hint="eastAsia" w:cs="宋体"/>
          <w:color w:val="auto"/>
          <w:szCs w:val="21"/>
          <w:highlight w:val="none"/>
        </w:rPr>
        <w:t>0</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 暂估价</w:t>
      </w:r>
      <w:bookmarkEnd w:id="2047"/>
    </w:p>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2065" w:name="_Toc312678034"/>
      <w:bookmarkStart w:id="2066" w:name="_Toc312677508"/>
      <w:bookmarkStart w:id="2067" w:name="_Toc318581176"/>
      <w:r>
        <w:rPr>
          <w:rFonts w:hint="eastAsia" w:ascii="宋体" w:hAnsi="宋体" w:cs="宋体"/>
          <w:color w:val="auto"/>
          <w:kern w:val="0"/>
          <w:szCs w:val="21"/>
          <w:highlight w:val="none"/>
        </w:rPr>
        <w:t>估价材料和工程设备的明细详见附件</w:t>
      </w:r>
      <w:r>
        <w:rPr>
          <w:rFonts w:hint="eastAsia" w:cs="宋体"/>
          <w:color w:val="auto"/>
          <w:kern w:val="0"/>
          <w:szCs w:val="21"/>
          <w:highlight w:val="none"/>
        </w:rPr>
        <w:t>11</w:t>
      </w:r>
      <w:r>
        <w:rPr>
          <w:rFonts w:hint="eastAsia" w:ascii="宋体" w:hAnsi="宋体" w:cs="宋体"/>
          <w:color w:val="auto"/>
          <w:kern w:val="0"/>
          <w:szCs w:val="21"/>
          <w:highlight w:val="none"/>
        </w:rPr>
        <w:t>：《</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2065"/>
    <w:bookmarkEnd w:id="2066"/>
    <w:bookmarkEnd w:id="2067"/>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bookmarkStart w:id="2068" w:name="_Toc318581177"/>
      <w:bookmarkStart w:id="2069" w:name="_Toc312678035"/>
      <w:bookmarkStart w:id="2070" w:name="_Toc312677509"/>
      <w:r>
        <w:rPr>
          <w:rFonts w:hint="eastAsia" w:cs="宋体"/>
          <w:color w:val="auto"/>
          <w:szCs w:val="21"/>
          <w:highlight w:val="none"/>
        </w:rPr>
        <w:t>0</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依法必须招标的暂估价项目</w:t>
      </w:r>
    </w:p>
    <w:bookmarkEnd w:id="2068"/>
    <w:bookmarkEnd w:id="2069"/>
    <w:bookmarkEnd w:id="2070"/>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对于依法必须招标的暂估价项目的确认和批准采取第种方式确定。</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不属于依法必须招标的暂估价项目</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 种方式确定。</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w:t>
      </w:r>
      <w:r>
        <w:rPr>
          <w:rFonts w:hint="eastAsia"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kern w:val="0"/>
          <w:szCs w:val="21"/>
          <w:highlight w:val="none"/>
        </w:rPr>
        <w:t>承包人直接实施的暂估价项目</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承包人直接实施的暂估价项目的约定：。</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w:t>
      </w:r>
      <w:r>
        <w:rPr>
          <w:rFonts w:hint="eastAsia" w:cs="宋体"/>
          <w:color w:val="auto"/>
          <w:szCs w:val="21"/>
          <w:highlight w:val="none"/>
        </w:rPr>
        <w:t>8</w:t>
      </w:r>
      <w:r>
        <w:rPr>
          <w:rFonts w:hint="eastAsia" w:ascii="宋体" w:hAnsi="宋体" w:cs="宋体"/>
          <w:color w:val="auto"/>
          <w:szCs w:val="21"/>
          <w:highlight w:val="none"/>
        </w:rPr>
        <w:t xml:space="preserve"> 暂列金额</w:t>
      </w:r>
    </w:p>
    <w:p>
      <w:pPr>
        <w:autoSpaceDE w:val="0"/>
        <w:autoSpaceDN w:val="0"/>
        <w:adjustRightInd w:val="0"/>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2071" w:name="_Toc351203643"/>
      <w:r>
        <w:rPr>
          <w:rFonts w:hint="eastAsia" w:ascii="Times New Roman" w:hAnsi="Times New Roman" w:eastAsia="宋体" w:cs="宋体"/>
          <w:color w:val="auto"/>
          <w:sz w:val="24"/>
          <w:szCs w:val="24"/>
          <w:highlight w:val="none"/>
        </w:rPr>
        <w:t>11</w:t>
      </w:r>
      <w:r>
        <w:rPr>
          <w:rFonts w:hint="eastAsia" w:ascii="宋体" w:hAnsi="宋体" w:eastAsia="宋体" w:cs="宋体"/>
          <w:color w:val="auto"/>
          <w:sz w:val="24"/>
          <w:szCs w:val="24"/>
          <w:highlight w:val="none"/>
        </w:rPr>
        <w:t>. 价格调整</w:t>
      </w:r>
      <w:bookmarkEnd w:id="2071"/>
    </w:p>
    <w:p>
      <w:pPr>
        <w:snapToGrid w:val="0"/>
        <w:spacing w:line="336" w:lineRule="auto"/>
        <w:ind w:firstLine="420" w:firstLineChars="200"/>
        <w:jc w:val="left"/>
        <w:rPr>
          <w:rFonts w:ascii="宋体" w:hAnsi="宋体" w:cs="宋体"/>
          <w:color w:val="auto"/>
          <w:szCs w:val="21"/>
          <w:highlight w:val="none"/>
        </w:rPr>
      </w:pPr>
      <w:bookmarkStart w:id="2072" w:name="_Toc304295577"/>
      <w:bookmarkStart w:id="2073" w:name="_Toc296944540"/>
      <w:bookmarkStart w:id="2074" w:name="_Toc303539157"/>
      <w:bookmarkStart w:id="2075" w:name="_Toc297216209"/>
      <w:bookmarkStart w:id="2076" w:name="_Toc297120501"/>
      <w:bookmarkStart w:id="2077" w:name="_Toc300935000"/>
      <w:bookmarkStart w:id="2078" w:name="_Toc312678039"/>
      <w:bookmarkStart w:id="2079" w:name="_Toc296346702"/>
      <w:bookmarkStart w:id="2080" w:name="_Toc297048387"/>
      <w:bookmarkStart w:id="2081" w:name="_Toc297123550"/>
      <w:bookmarkStart w:id="2082" w:name="_Toc292559911"/>
      <w:bookmarkStart w:id="2083" w:name="_Toc292559406"/>
      <w:bookmarkStart w:id="2084" w:name="_Toc296503201"/>
      <w:bookmarkStart w:id="2085" w:name="_Toc296347200"/>
      <w:bookmarkStart w:id="2086" w:name="_Toc296891029"/>
      <w:bookmarkStart w:id="2087" w:name="_Toc296891241"/>
      <w:r>
        <w:rPr>
          <w:rFonts w:hint="eastAsia" w:cs="宋体"/>
          <w:color w:val="auto"/>
          <w:szCs w:val="21"/>
          <w:highlight w:val="none"/>
        </w:rPr>
        <w:t>11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市场价格波动引起的调整</w:t>
      </w:r>
    </w:p>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cs="宋体"/>
          <w:color w:val="auto"/>
          <w:szCs w:val="21"/>
          <w:highlight w:val="none"/>
        </w:rPr>
        <w:t>1</w:t>
      </w:r>
      <w:r>
        <w:rPr>
          <w:rFonts w:hint="eastAsia" w:ascii="宋体" w:hAnsi="宋体" w:cs="宋体"/>
          <w:color w:val="auto"/>
          <w:szCs w:val="21"/>
          <w:highlight w:val="none"/>
        </w:rPr>
        <w:t>种方式：采用价格指数进行价格调整。</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关于各可调因子、定值和变值权重，以及基本价格指数及其来源的约定：；  </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cs="宋体"/>
          <w:color w:val="auto"/>
          <w:szCs w:val="21"/>
          <w:highlight w:val="none"/>
        </w:rPr>
        <w:t>2</w:t>
      </w:r>
      <w:r>
        <w:rPr>
          <w:rFonts w:hint="eastAsia" w:ascii="宋体" w:hAnsi="宋体" w:cs="宋体"/>
          <w:color w:val="auto"/>
          <w:szCs w:val="21"/>
          <w:highlight w:val="none"/>
        </w:rPr>
        <w:t>种方式：采用造价信息进行价格调整。</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）关于基准价格的约定：</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cs="宋体"/>
          <w:color w:val="auto"/>
          <w:szCs w:val="21"/>
          <w:highlight w:val="none"/>
        </w:rPr>
        <w:t>%</w:t>
      </w:r>
      <w:r>
        <w:rPr>
          <w:rFonts w:hint="eastAsia" w:ascii="宋体" w:hAnsi="宋体" w:cs="宋体"/>
          <w:color w:val="auto"/>
          <w:szCs w:val="21"/>
          <w:highlight w:val="none"/>
        </w:rPr>
        <w:t>时，或材料单价跌幅以已标价工程量清单或预算书中载明材料单价为基础超过</w:t>
      </w:r>
      <w:r>
        <w:rPr>
          <w:rFonts w:hint="eastAsia" w:cs="宋体"/>
          <w:color w:val="auto"/>
          <w:szCs w:val="21"/>
          <w:highlight w:val="none"/>
        </w:rPr>
        <w:t>%</w:t>
      </w:r>
      <w:r>
        <w:rPr>
          <w:rFonts w:hint="eastAsia" w:ascii="宋体" w:hAnsi="宋体" w:cs="宋体"/>
          <w:color w:val="auto"/>
          <w:szCs w:val="21"/>
          <w:highlight w:val="none"/>
        </w:rPr>
        <w:t>时，其超过部分据实调整。</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cs="宋体"/>
          <w:color w:val="auto"/>
          <w:szCs w:val="21"/>
          <w:highlight w:val="none"/>
        </w:rPr>
        <w:t>%</w:t>
      </w:r>
      <w:r>
        <w:rPr>
          <w:rFonts w:hint="eastAsia" w:ascii="宋体" w:hAnsi="宋体" w:cs="宋体"/>
          <w:color w:val="auto"/>
          <w:szCs w:val="21"/>
          <w:highlight w:val="none"/>
        </w:rPr>
        <w:t>时，材料单价涨幅以已标价工程量清单或预算书中载明材料单价为基础超过</w:t>
      </w:r>
      <w:r>
        <w:rPr>
          <w:rFonts w:hint="eastAsia" w:cs="宋体"/>
          <w:color w:val="auto"/>
          <w:szCs w:val="21"/>
          <w:highlight w:val="none"/>
        </w:rPr>
        <w:t>%</w:t>
      </w:r>
      <w:r>
        <w:rPr>
          <w:rFonts w:hint="eastAsia" w:ascii="宋体" w:hAnsi="宋体" w:cs="宋体"/>
          <w:color w:val="auto"/>
          <w:szCs w:val="21"/>
          <w:highlight w:val="none"/>
        </w:rPr>
        <w:t>时，其超过部分据实调整。</w:t>
      </w:r>
    </w:p>
    <w:p>
      <w:pPr>
        <w:snapToGrid w:val="0"/>
        <w:spacing w:line="336" w:lineRule="auto"/>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cs="宋体"/>
          <w:color w:val="auto"/>
          <w:szCs w:val="21"/>
          <w:highlight w:val="none"/>
        </w:rPr>
        <w:t>%</w:t>
      </w:r>
      <w:r>
        <w:rPr>
          <w:rFonts w:hint="eastAsia" w:ascii="宋体" w:hAnsi="宋体" w:cs="宋体"/>
          <w:color w:val="auto"/>
          <w:szCs w:val="21"/>
          <w:highlight w:val="none"/>
        </w:rPr>
        <w:t>时，其超过部分据实调整。</w:t>
      </w:r>
    </w:p>
    <w:p>
      <w:pPr>
        <w:snapToGrid w:val="0"/>
        <w:spacing w:line="336"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cs="宋体"/>
          <w:color w:val="auto"/>
          <w:szCs w:val="21"/>
          <w:highlight w:val="none"/>
        </w:rPr>
        <w:t>3</w:t>
      </w:r>
      <w:r>
        <w:rPr>
          <w:rFonts w:hint="eastAsia" w:ascii="宋体" w:hAnsi="宋体" w:cs="宋体"/>
          <w:color w:val="auto"/>
          <w:szCs w:val="21"/>
          <w:highlight w:val="none"/>
        </w:rPr>
        <w:t>种方式：其他价格调整方式：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973"/>
    <w:bookmarkEnd w:id="1974"/>
    <w:bookmarkEnd w:id="1975"/>
    <w:bookmarkEnd w:id="1976"/>
    <w:bookmarkEnd w:id="1977"/>
    <w:bookmarkEnd w:id="1978"/>
    <w:p>
      <w:pPr>
        <w:pStyle w:val="5"/>
        <w:keepNext w:val="0"/>
        <w:keepLines w:val="0"/>
        <w:snapToGrid w:val="0"/>
        <w:spacing w:line="336" w:lineRule="auto"/>
        <w:jc w:val="left"/>
        <w:rPr>
          <w:rFonts w:ascii="宋体" w:hAnsi="宋体" w:eastAsia="宋体" w:cs="宋体"/>
          <w:color w:val="auto"/>
          <w:sz w:val="24"/>
          <w:szCs w:val="24"/>
          <w:highlight w:val="none"/>
        </w:rPr>
      </w:pPr>
      <w:bookmarkStart w:id="2088" w:name="_Toc296891245"/>
      <w:bookmarkStart w:id="2089" w:name="_Toc296944544"/>
      <w:bookmarkStart w:id="2090" w:name="_Toc297120505"/>
      <w:bookmarkStart w:id="2091" w:name="_Toc297048391"/>
      <w:bookmarkStart w:id="2092" w:name="_Toc296891033"/>
      <w:bookmarkStart w:id="2093" w:name="_Toc296503205"/>
      <w:bookmarkStart w:id="2094" w:name="_Toc292559410"/>
      <w:bookmarkStart w:id="2095" w:name="_Toc296346706"/>
      <w:bookmarkStart w:id="2096" w:name="_Toc296347204"/>
      <w:bookmarkStart w:id="2097" w:name="_Toc292559915"/>
      <w:bookmarkStart w:id="2098" w:name="_Toc351203644"/>
      <w:bookmarkStart w:id="2099" w:name="_Toc304295579"/>
      <w:bookmarkStart w:id="2100" w:name="_Toc312678040"/>
      <w:bookmarkStart w:id="2101" w:name="_Toc297123552"/>
      <w:bookmarkStart w:id="2102" w:name="_Toc300935002"/>
      <w:bookmarkStart w:id="2103" w:name="_Toc303539159"/>
      <w:bookmarkStart w:id="2104" w:name="_Toc297216211"/>
      <w:r>
        <w:rPr>
          <w:rFonts w:hint="eastAsia" w:ascii="Times New Roman" w:hAnsi="Times New Roman" w:eastAsia="宋体" w:cs="宋体"/>
          <w:color w:val="auto"/>
          <w:sz w:val="24"/>
          <w:szCs w:val="24"/>
          <w:highlight w:val="none"/>
        </w:rPr>
        <w:t>12</w:t>
      </w:r>
      <w:r>
        <w:rPr>
          <w:rFonts w:hint="eastAsia" w:ascii="宋体" w:hAnsi="宋体" w:eastAsia="宋体" w:cs="宋体"/>
          <w:color w:val="auto"/>
          <w:sz w:val="24"/>
          <w:szCs w:val="24"/>
          <w:highlight w:val="none"/>
        </w:rPr>
        <w:t xml:space="preserve">. </w:t>
      </w:r>
      <w:bookmarkEnd w:id="2088"/>
      <w:bookmarkEnd w:id="2089"/>
      <w:bookmarkEnd w:id="2090"/>
      <w:bookmarkEnd w:id="2091"/>
      <w:bookmarkEnd w:id="2092"/>
      <w:bookmarkEnd w:id="2093"/>
      <w:bookmarkEnd w:id="2094"/>
      <w:bookmarkEnd w:id="2095"/>
      <w:bookmarkEnd w:id="2096"/>
      <w:bookmarkEnd w:id="2097"/>
      <w:r>
        <w:rPr>
          <w:rFonts w:hint="eastAsia" w:ascii="宋体" w:hAnsi="宋体" w:eastAsia="宋体" w:cs="宋体"/>
          <w:color w:val="auto"/>
          <w:sz w:val="24"/>
          <w:szCs w:val="24"/>
          <w:highlight w:val="none"/>
        </w:rPr>
        <w:t>合同价格、计量与支付</w:t>
      </w:r>
      <w:bookmarkEnd w:id="2098"/>
    </w:p>
    <w:bookmarkEnd w:id="2099"/>
    <w:bookmarkEnd w:id="2100"/>
    <w:bookmarkEnd w:id="2101"/>
    <w:bookmarkEnd w:id="2102"/>
    <w:bookmarkEnd w:id="2103"/>
    <w:bookmarkEnd w:id="2104"/>
    <w:p>
      <w:pPr>
        <w:snapToGrid w:val="0"/>
        <w:spacing w:line="336" w:lineRule="auto"/>
        <w:ind w:firstLine="420" w:firstLineChars="200"/>
        <w:jc w:val="left"/>
        <w:rPr>
          <w:rFonts w:ascii="宋体" w:hAnsi="宋体" w:cs="宋体"/>
          <w:color w:val="auto"/>
          <w:szCs w:val="21"/>
          <w:highlight w:val="none"/>
        </w:rPr>
      </w:pPr>
      <w:bookmarkStart w:id="2105" w:name="_Toc292559916"/>
      <w:bookmarkStart w:id="2106" w:name="_Toc292559411"/>
      <w:bookmarkStart w:id="2107" w:name="_Toc267251461"/>
      <w:bookmarkStart w:id="2108" w:name="_Toc296347205"/>
      <w:bookmarkStart w:id="2109" w:name="_Toc297120506"/>
      <w:bookmarkStart w:id="2110" w:name="_Toc296891034"/>
      <w:bookmarkStart w:id="2111" w:name="_Toc296891246"/>
      <w:bookmarkStart w:id="2112" w:name="_Toc296503206"/>
      <w:bookmarkStart w:id="2113" w:name="_Toc296346707"/>
      <w:bookmarkStart w:id="2114" w:name="_Toc297048392"/>
      <w:bookmarkStart w:id="2115" w:name="_Toc296944545"/>
      <w:bookmarkStart w:id="2116" w:name="_Toc300935003"/>
      <w:bookmarkStart w:id="2117" w:name="_Toc303539160"/>
      <w:bookmarkStart w:id="2118" w:name="_Toc297123553"/>
      <w:bookmarkStart w:id="2119" w:name="_Toc312678041"/>
      <w:bookmarkStart w:id="2120" w:name="_Toc297216212"/>
      <w:bookmarkStart w:id="2121" w:name="_Toc304295580"/>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合</w:t>
      </w:r>
      <w:bookmarkEnd w:id="2105"/>
      <w:bookmarkEnd w:id="2106"/>
      <w:bookmarkEnd w:id="2107"/>
      <w:r>
        <w:rPr>
          <w:rFonts w:hint="eastAsia" w:ascii="宋体" w:hAnsi="宋体" w:cs="宋体"/>
          <w:color w:val="auto"/>
          <w:szCs w:val="21"/>
          <w:highlight w:val="none"/>
        </w:rPr>
        <w:t>同价</w:t>
      </w:r>
      <w:bookmarkEnd w:id="2108"/>
      <w:bookmarkEnd w:id="2109"/>
      <w:bookmarkEnd w:id="2110"/>
      <w:bookmarkEnd w:id="2111"/>
      <w:bookmarkEnd w:id="2112"/>
      <w:bookmarkEnd w:id="2113"/>
      <w:bookmarkEnd w:id="2114"/>
      <w:bookmarkEnd w:id="2115"/>
      <w:r>
        <w:rPr>
          <w:rFonts w:hint="eastAsia" w:ascii="宋体" w:hAnsi="宋体" w:cs="宋体"/>
          <w:color w:val="auto"/>
          <w:szCs w:val="21"/>
          <w:highlight w:val="none"/>
        </w:rPr>
        <w:t>格形式</w:t>
      </w:r>
    </w:p>
    <w:bookmarkEnd w:id="2116"/>
    <w:bookmarkEnd w:id="2117"/>
    <w:bookmarkEnd w:id="2118"/>
    <w:bookmarkEnd w:id="2119"/>
    <w:bookmarkEnd w:id="2120"/>
    <w:bookmarkEnd w:id="2121"/>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、单价合同。</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、总价合同。</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3</w:t>
      </w:r>
      <w:r>
        <w:rPr>
          <w:rFonts w:hint="eastAsia" w:ascii="宋体" w:hAnsi="宋体" w:cs="宋体"/>
          <w:color w:val="auto"/>
          <w:szCs w:val="21"/>
          <w:highlight w:val="none"/>
        </w:rPr>
        <w:t>、其他价格方式：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122" w:name="_Toc300935004"/>
      <w:bookmarkStart w:id="2123" w:name="_Toc304295581"/>
      <w:bookmarkStart w:id="2124" w:name="_Toc297123554"/>
      <w:bookmarkStart w:id="2125" w:name="_Toc297216213"/>
      <w:bookmarkStart w:id="2126" w:name="_Toc312678042"/>
      <w:bookmarkStart w:id="2127" w:name="_Toc303539161"/>
      <w:bookmarkStart w:id="2128" w:name="_Toc296944546"/>
      <w:bookmarkStart w:id="2129" w:name="_Toc297048393"/>
      <w:bookmarkStart w:id="2130" w:name="_Toc296891035"/>
      <w:bookmarkStart w:id="2131" w:name="_Toc292559917"/>
      <w:bookmarkStart w:id="2132" w:name="_Toc296346708"/>
      <w:bookmarkStart w:id="2133" w:name="_Toc296503207"/>
      <w:bookmarkStart w:id="2134" w:name="_Toc292559412"/>
      <w:bookmarkStart w:id="2135" w:name="_Toc297120507"/>
      <w:bookmarkStart w:id="2136" w:name="_Toc296347206"/>
      <w:bookmarkStart w:id="2137" w:name="_Toc296891247"/>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预付款</w:t>
      </w:r>
    </w:p>
    <w:bookmarkEnd w:id="2122"/>
    <w:bookmarkEnd w:id="2123"/>
    <w:bookmarkEnd w:id="2124"/>
    <w:bookmarkEnd w:id="2125"/>
    <w:bookmarkEnd w:id="2126"/>
    <w:bookmarkEnd w:id="2127"/>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预付款的支付</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预付款担保</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128"/>
    <w:bookmarkEnd w:id="2129"/>
    <w:bookmarkEnd w:id="2130"/>
    <w:bookmarkEnd w:id="2131"/>
    <w:bookmarkEnd w:id="2132"/>
    <w:bookmarkEnd w:id="2133"/>
    <w:bookmarkEnd w:id="2134"/>
    <w:bookmarkEnd w:id="2135"/>
    <w:bookmarkEnd w:id="2136"/>
    <w:bookmarkEnd w:id="2137"/>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计量</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计量原则</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计量周期</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单价合同的计量</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总价合同的计量</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总价合同采用支付分解表计量支付的，是否适用第</w:t>
      </w:r>
      <w:r>
        <w:rPr>
          <w:rFonts w:hint="eastAsia" w:cs="宋体"/>
          <w:color w:val="auto"/>
          <w:kern w:val="0"/>
          <w:szCs w:val="21"/>
          <w:highlight w:val="none"/>
        </w:rPr>
        <w:t>12</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其他价格形式合同的计量</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工程进度款支付</w:t>
      </w:r>
    </w:p>
    <w:p>
      <w:pPr>
        <w:snapToGrid w:val="0"/>
        <w:spacing w:line="336" w:lineRule="auto"/>
        <w:ind w:firstLine="420" w:firstLineChars="200"/>
        <w:jc w:val="left"/>
        <w:rPr>
          <w:rFonts w:ascii="宋体" w:hAnsi="宋体" w:cs="宋体"/>
          <w:color w:val="auto"/>
          <w:szCs w:val="21"/>
          <w:highlight w:val="none"/>
        </w:rPr>
      </w:pPr>
      <w:bookmarkStart w:id="2138" w:name="_Toc296347210"/>
      <w:bookmarkStart w:id="2139" w:name="_Toc297123556"/>
      <w:bookmarkStart w:id="2140" w:name="_Toc296346712"/>
      <w:bookmarkStart w:id="2141" w:name="_Toc297216215"/>
      <w:bookmarkStart w:id="2142" w:name="_Toc303539163"/>
      <w:bookmarkStart w:id="2143" w:name="_Toc292559416"/>
      <w:bookmarkStart w:id="2144" w:name="_Toc300935006"/>
      <w:bookmarkStart w:id="2145" w:name="_Toc292559921"/>
      <w:bookmarkStart w:id="2146" w:name="_Toc297120511"/>
      <w:bookmarkStart w:id="2147" w:name="_Toc296503211"/>
      <w:bookmarkStart w:id="2148" w:name="_Toc296891251"/>
      <w:bookmarkStart w:id="2149" w:name="_Toc296944550"/>
      <w:bookmarkStart w:id="2150" w:name="_Toc296891039"/>
      <w:bookmarkStart w:id="2151" w:name="_Toc297048397"/>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付款周期</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进度付款申请单的编制</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进度付款申请单的提交</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）单价合同进度付款申请单提交的约定：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进度款审核和支付</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）监理人审查并报送发包人的期限：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525" w:firstLineChars="250"/>
        <w:jc w:val="left"/>
        <w:rPr>
          <w:rFonts w:ascii="宋体" w:hAnsi="宋体" w:cs="宋体"/>
          <w:color w:val="auto"/>
          <w:szCs w:val="21"/>
          <w:highlight w:val="none"/>
        </w:rPr>
      </w:pPr>
      <w:r>
        <w:rPr>
          <w:rFonts w:hint="eastAsia" w:cs="宋体"/>
          <w:color w:val="auto"/>
          <w:szCs w:val="21"/>
          <w:highlight w:val="none"/>
        </w:rPr>
        <w:t>12</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支付分解表的编制</w:t>
      </w:r>
    </w:p>
    <w:p>
      <w:pPr>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2</w:t>
      </w:r>
      <w:r>
        <w:rPr>
          <w:rFonts w:hint="eastAsia" w:ascii="宋体" w:hAnsi="宋体" w:cs="宋体"/>
          <w:color w:val="auto"/>
          <w:szCs w:val="21"/>
          <w:highlight w:val="none"/>
        </w:rPr>
        <w:t>、总价合同支付分解表的编制与审批：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cs="宋体"/>
          <w:color w:val="auto"/>
          <w:szCs w:val="21"/>
          <w:highlight w:val="none"/>
        </w:rPr>
        <w:t>3</w:t>
      </w:r>
      <w:r>
        <w:rPr>
          <w:rFonts w:hint="eastAsia" w:ascii="宋体" w:hAnsi="宋体" w:cs="宋体"/>
          <w:color w:val="auto"/>
          <w:szCs w:val="21"/>
          <w:highlight w:val="none"/>
        </w:rPr>
        <w:t>、单价合同的总价项目支付分解表的编制与审批：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979"/>
    <w:p>
      <w:pPr>
        <w:pStyle w:val="5"/>
        <w:keepNext w:val="0"/>
        <w:keepLines w:val="0"/>
        <w:snapToGrid w:val="0"/>
        <w:spacing w:line="336" w:lineRule="auto"/>
        <w:jc w:val="left"/>
        <w:rPr>
          <w:rFonts w:ascii="宋体" w:hAnsi="宋体" w:eastAsia="宋体" w:cs="宋体"/>
          <w:color w:val="auto"/>
          <w:sz w:val="24"/>
          <w:szCs w:val="24"/>
          <w:highlight w:val="none"/>
        </w:rPr>
      </w:pPr>
      <w:bookmarkStart w:id="2152" w:name="_Toc351203645"/>
      <w:bookmarkStart w:id="2153" w:name="_Toc297048405"/>
      <w:bookmarkStart w:id="2154" w:name="_Toc296347218"/>
      <w:bookmarkStart w:id="2155" w:name="_Toc296503219"/>
      <w:bookmarkStart w:id="2156" w:name="_Toc296346720"/>
      <w:bookmarkStart w:id="2157" w:name="_Toc304295593"/>
      <w:bookmarkStart w:id="2158" w:name="_Toc296891047"/>
      <w:bookmarkStart w:id="2159" w:name="_Toc303539172"/>
      <w:bookmarkStart w:id="2160" w:name="_Toc292559424"/>
      <w:bookmarkStart w:id="2161" w:name="_Toc296891259"/>
      <w:bookmarkStart w:id="2162" w:name="_Toc300935015"/>
      <w:bookmarkStart w:id="2163" w:name="_Toc312678053"/>
      <w:bookmarkStart w:id="2164" w:name="_Toc292559929"/>
      <w:bookmarkStart w:id="2165" w:name="_Toc297123564"/>
      <w:bookmarkStart w:id="2166" w:name="_Toc297120519"/>
      <w:bookmarkStart w:id="2167" w:name="_Toc297216223"/>
      <w:bookmarkStart w:id="2168" w:name="_Toc296944558"/>
      <w:r>
        <w:rPr>
          <w:rFonts w:hint="eastAsia" w:ascii="Times New Roman" w:hAnsi="Times New Roman" w:eastAsia="宋体" w:cs="宋体"/>
          <w:color w:val="auto"/>
          <w:sz w:val="24"/>
          <w:szCs w:val="24"/>
          <w:highlight w:val="none"/>
        </w:rPr>
        <w:t>13</w:t>
      </w:r>
      <w:r>
        <w:rPr>
          <w:rFonts w:hint="eastAsia" w:ascii="宋体" w:hAnsi="宋体" w:eastAsia="宋体" w:cs="宋体"/>
          <w:color w:val="auto"/>
          <w:sz w:val="24"/>
          <w:szCs w:val="24"/>
          <w:highlight w:val="none"/>
        </w:rPr>
        <w:t>. 验收和工程试车</w:t>
      </w:r>
      <w:bookmarkEnd w:id="2152"/>
    </w:p>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隐蔽工程验收</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pPr>
        <w:snapToGrid w:val="0"/>
        <w:spacing w:line="336"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pPr>
        <w:snapToGrid w:val="0"/>
        <w:spacing w:line="336" w:lineRule="auto"/>
        <w:ind w:firstLine="420" w:firstLineChars="200"/>
        <w:jc w:val="left"/>
        <w:rPr>
          <w:rFonts w:ascii="宋体" w:hAnsi="宋体" w:cs="宋体"/>
          <w:color w:val="auto"/>
          <w:szCs w:val="21"/>
          <w:highlight w:val="none"/>
        </w:rPr>
      </w:pPr>
      <w:bookmarkStart w:id="2169" w:name="_Toc296944562"/>
      <w:bookmarkStart w:id="2170" w:name="_Toc296891051"/>
      <w:bookmarkStart w:id="2171" w:name="_Toc297120523"/>
      <w:bookmarkStart w:id="2172" w:name="_Toc304295596"/>
      <w:bookmarkStart w:id="2173" w:name="_Toc296347222"/>
      <w:bookmarkStart w:id="2174" w:name="_Toc296503223"/>
      <w:bookmarkStart w:id="2175" w:name="_Toc297216224"/>
      <w:bookmarkStart w:id="2176" w:name="_Toc297048409"/>
      <w:bookmarkStart w:id="2177" w:name="_Toc297123565"/>
      <w:bookmarkStart w:id="2178" w:name="_Toc296891263"/>
      <w:bookmarkStart w:id="2179" w:name="_Toc296346724"/>
      <w:bookmarkStart w:id="2180" w:name="_Toc312678056"/>
      <w:bookmarkStart w:id="2181" w:name="_Toc300935016"/>
      <w:bookmarkStart w:id="2182" w:name="_Toc292559933"/>
      <w:bookmarkStart w:id="2183" w:name="_Toc303539173"/>
      <w:bookmarkStart w:id="2184" w:name="_Toc292559428"/>
      <w:bookmarkStart w:id="2185" w:name="_Toc267251476"/>
      <w:bookmarkStart w:id="2186" w:name="_Toc267251473"/>
      <w:bookmarkStart w:id="2187" w:name="_Toc267251470"/>
      <w:bookmarkStart w:id="2188" w:name="_Toc267251471"/>
      <w:bookmarkStart w:id="2189" w:name="_Toc267251475"/>
      <w:bookmarkStart w:id="2190" w:name="_Toc267251474"/>
      <w:bookmarkStart w:id="2191" w:name="_Toc267251472"/>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竣工验收</w:t>
      </w:r>
    </w:p>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pPr>
        <w:snapToGrid w:val="0"/>
        <w:spacing w:line="336" w:lineRule="auto"/>
        <w:ind w:firstLine="420" w:firstLineChars="200"/>
        <w:jc w:val="left"/>
        <w:rPr>
          <w:rFonts w:ascii="宋体" w:hAnsi="宋体" w:cs="宋体"/>
          <w:color w:val="auto"/>
          <w:szCs w:val="21"/>
          <w:highlight w:val="none"/>
        </w:rPr>
      </w:pPr>
      <w:bookmarkStart w:id="2192" w:name="_Toc280868704"/>
      <w:bookmarkStart w:id="2193" w:name="_Toc280868705"/>
      <w:bookmarkStart w:id="2194" w:name="_Toc280868706"/>
      <w:bookmarkStart w:id="2195" w:name="_Toc280868707"/>
      <w:bookmarkStart w:id="2196" w:name="_Toc280868708"/>
      <w:bookmarkStart w:id="2197" w:name="_Toc280868709"/>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竣工验收程序</w:t>
      </w:r>
    </w:p>
    <w:bookmarkEnd w:id="2192"/>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关于竣工验收程序的约定：</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highlight w:val="none"/>
          <w:u w:val="single"/>
        </w:rPr>
        <w:t>本工程验收工作按主持单位分为单项工程验收、初步验收和竣工验收。单项工程验收由建设单位主持或委托监理人主持，初步验收由县级人民政府农业农村主管部门组织，竣工验收由项目初步设计审批部门组织。承包人应完成全部验收的配合工作，所需费用应含在已标价工程量清单中。</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发包人不按照本项约定组织单项工程验收的违约金的计算方法：</w:t>
      </w:r>
      <w:r>
        <w:rPr>
          <w:rFonts w:hint="eastAsia" w:ascii="宋体" w:hAnsi="宋体" w:cs="宋体"/>
          <w:color w:val="auto"/>
          <w:szCs w:val="21"/>
          <w:highlight w:val="none"/>
        </w:rPr>
        <w:t>。</w:t>
      </w:r>
    </w:p>
    <w:bookmarkEnd w:id="2193"/>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5</w:t>
      </w:r>
      <w:r>
        <w:rPr>
          <w:rFonts w:hint="eastAsia" w:ascii="宋体" w:hAnsi="宋体" w:cs="宋体"/>
          <w:color w:val="auto"/>
          <w:szCs w:val="21"/>
          <w:highlight w:val="none"/>
        </w:rPr>
        <w:t>移交、接收全部与部分工程</w:t>
      </w:r>
    </w:p>
    <w:bookmarkEnd w:id="2194"/>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承包人向发包人移交工程的期限：承包人应当在项目通过竣工验收后，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个月内移交发包人使用</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195"/>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工程试车</w:t>
      </w:r>
    </w:p>
    <w:bookmarkEnd w:id="2196"/>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试车程序</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）单机无负荷试车费用由承担；</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）无负荷联动试车费用由承担。</w:t>
      </w:r>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 xml:space="preserve"> 投料试车</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198" w:name="_Toc109149878"/>
      <w:bookmarkStart w:id="2199" w:name="_Toc20921"/>
      <w:r>
        <w:rPr>
          <w:rFonts w:hint="eastAsia" w:cs="宋体"/>
          <w:color w:val="auto"/>
          <w:szCs w:val="21"/>
          <w:highlight w:val="none"/>
        </w:rPr>
        <w:t>13</w:t>
      </w:r>
      <w:r>
        <w:rPr>
          <w:rFonts w:hint="eastAsia" w:ascii="宋体" w:hAnsi="宋体" w:cs="宋体"/>
          <w:color w:val="auto"/>
          <w:szCs w:val="21"/>
          <w:highlight w:val="none"/>
        </w:rPr>
        <w:t>.</w:t>
      </w:r>
      <w:r>
        <w:rPr>
          <w:rFonts w:hint="eastAsia" w:cs="宋体"/>
          <w:color w:val="auto"/>
          <w:szCs w:val="21"/>
          <w:highlight w:val="none"/>
        </w:rPr>
        <w:t>6</w:t>
      </w:r>
      <w:r>
        <w:rPr>
          <w:rFonts w:hint="eastAsia" w:ascii="宋体" w:hAnsi="宋体" w:cs="宋体"/>
          <w:color w:val="auto"/>
          <w:szCs w:val="21"/>
          <w:highlight w:val="none"/>
        </w:rPr>
        <w:t xml:space="preserve"> 竣工退场</w:t>
      </w:r>
      <w:bookmarkEnd w:id="2198"/>
      <w:bookmarkEnd w:id="2199"/>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13</w:t>
      </w: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竣工退场</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2200" w:name="_Toc351203646"/>
      <w:r>
        <w:rPr>
          <w:rFonts w:hint="eastAsia" w:ascii="Times New Roman" w:hAnsi="Times New Roman" w:eastAsia="宋体" w:cs="宋体"/>
          <w:color w:val="auto"/>
          <w:sz w:val="24"/>
          <w:szCs w:val="24"/>
          <w:highlight w:val="none"/>
        </w:rPr>
        <w:t>14</w:t>
      </w:r>
      <w:r>
        <w:rPr>
          <w:rFonts w:hint="eastAsia" w:ascii="宋体" w:hAnsi="宋体" w:eastAsia="宋体" w:cs="宋体"/>
          <w:color w:val="auto"/>
          <w:sz w:val="24"/>
          <w:szCs w:val="24"/>
          <w:highlight w:val="none"/>
        </w:rPr>
        <w:t>. 工程结算</w:t>
      </w:r>
      <w:bookmarkEnd w:id="2200"/>
    </w:p>
    <w:p>
      <w:pPr>
        <w:snapToGrid w:val="0"/>
        <w:spacing w:line="336" w:lineRule="auto"/>
        <w:ind w:firstLine="420" w:firstLineChars="200"/>
        <w:jc w:val="left"/>
        <w:rPr>
          <w:rFonts w:ascii="宋体" w:hAnsi="宋体" w:cs="宋体"/>
          <w:color w:val="auto"/>
          <w:szCs w:val="21"/>
          <w:highlight w:val="none"/>
        </w:rPr>
      </w:pPr>
      <w:bookmarkStart w:id="2201" w:name="_Toc109149879"/>
      <w:r>
        <w:rPr>
          <w:rFonts w:hint="eastAsia" w:cs="宋体"/>
          <w:color w:val="auto"/>
          <w:szCs w:val="21"/>
          <w:highlight w:val="none"/>
        </w:rPr>
        <w:t>14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工程结算申请</w:t>
      </w:r>
      <w:bookmarkEnd w:id="2201"/>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承包人提交完工结算申请单的期限：承包人应当在通过区级初步验收，取得初步验收意见后的</w:t>
      </w:r>
      <w:r>
        <w:rPr>
          <w:rFonts w:hint="eastAsia" w:cs="宋体"/>
          <w:color w:val="auto"/>
          <w:szCs w:val="21"/>
          <w:highlight w:val="none"/>
        </w:rPr>
        <w:t>20</w:t>
      </w:r>
      <w:r>
        <w:rPr>
          <w:rFonts w:hint="eastAsia" w:ascii="宋体" w:hAnsi="宋体" w:cs="宋体"/>
          <w:color w:val="auto"/>
          <w:szCs w:val="21"/>
          <w:highlight w:val="none"/>
        </w:rPr>
        <w:t>天内，向发包人和监理人提交完工结算申请单，并提交完整的结算资料。</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完工结算申请单应包括的内容：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202" w:name="_Toc1715"/>
      <w:r>
        <w:rPr>
          <w:rFonts w:hint="eastAsia" w:cs="宋体"/>
          <w:color w:val="auto"/>
          <w:szCs w:val="21"/>
          <w:highlight w:val="none"/>
        </w:rPr>
        <w:t>14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完工结算审核</w:t>
      </w:r>
      <w:bookmarkEnd w:id="2202"/>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工程结算审核执行《建设工程价款结算暂行办法》（财建[</w:t>
      </w:r>
      <w:r>
        <w:rPr>
          <w:rFonts w:hint="eastAsia" w:cs="宋体"/>
          <w:color w:val="auto"/>
          <w:szCs w:val="21"/>
          <w:highlight w:val="none"/>
        </w:rPr>
        <w:t>2004</w:t>
      </w:r>
      <w:r>
        <w:rPr>
          <w:rFonts w:hint="eastAsia" w:ascii="宋体" w:hAnsi="宋体" w:cs="宋体"/>
          <w:color w:val="auto"/>
          <w:szCs w:val="21"/>
          <w:highlight w:val="none"/>
        </w:rPr>
        <w:t>]</w:t>
      </w:r>
      <w:r>
        <w:rPr>
          <w:rFonts w:hint="eastAsia" w:cs="宋体"/>
          <w:color w:val="auto"/>
          <w:szCs w:val="21"/>
          <w:highlight w:val="none"/>
        </w:rPr>
        <w:t>369</w:t>
      </w:r>
      <w:r>
        <w:rPr>
          <w:rFonts w:hint="eastAsia" w:ascii="宋体" w:hAnsi="宋体" w:cs="宋体"/>
          <w:color w:val="auto"/>
          <w:szCs w:val="21"/>
          <w:highlight w:val="none"/>
        </w:rPr>
        <w:t>号）文。</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发包人完成完工付款的期限：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关于完工付款证书异议部分复核的方式和程序：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最终结清</w:t>
      </w:r>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14</w:t>
      </w: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最终结清申请单</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14</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最终结清证书和支付</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）发包人完成最终结清申请单的审批并颁发最终结清证书的期限：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185"/>
    <w:bookmarkEnd w:id="2186"/>
    <w:bookmarkEnd w:id="2187"/>
    <w:bookmarkEnd w:id="2188"/>
    <w:bookmarkEnd w:id="2189"/>
    <w:bookmarkEnd w:id="2190"/>
    <w:bookmarkEnd w:id="2191"/>
    <w:bookmarkEnd w:id="2197"/>
    <w:p>
      <w:pPr>
        <w:pStyle w:val="5"/>
        <w:keepNext w:val="0"/>
        <w:keepLines w:val="0"/>
        <w:snapToGrid w:val="0"/>
        <w:spacing w:line="336" w:lineRule="auto"/>
        <w:jc w:val="left"/>
        <w:rPr>
          <w:rFonts w:ascii="宋体" w:hAnsi="宋体" w:eastAsia="宋体" w:cs="宋体"/>
          <w:color w:val="auto"/>
          <w:sz w:val="24"/>
          <w:szCs w:val="24"/>
          <w:highlight w:val="none"/>
        </w:rPr>
      </w:pPr>
      <w:bookmarkStart w:id="2203" w:name="_Toc351203647"/>
      <w:bookmarkStart w:id="2204" w:name="_Toc267251483"/>
      <w:bookmarkStart w:id="2205" w:name="_Toc267251482"/>
      <w:bookmarkStart w:id="2206" w:name="_Toc267251484"/>
      <w:bookmarkStart w:id="2207" w:name="_Toc267251485"/>
      <w:bookmarkStart w:id="2208" w:name="_Toc267251486"/>
      <w:bookmarkStart w:id="2209" w:name="_Toc267251490"/>
      <w:bookmarkStart w:id="2210" w:name="_Toc267251489"/>
      <w:bookmarkStart w:id="2211" w:name="_Toc267251488"/>
      <w:bookmarkStart w:id="2212" w:name="_Toc267251503"/>
      <w:bookmarkStart w:id="2213" w:name="_Toc267251502"/>
      <w:bookmarkStart w:id="2214" w:name="_Toc267251496"/>
      <w:bookmarkStart w:id="2215" w:name="_Toc267251493"/>
      <w:bookmarkStart w:id="2216" w:name="_Toc267251494"/>
      <w:bookmarkStart w:id="2217" w:name="_Toc267251495"/>
      <w:bookmarkStart w:id="2218" w:name="_Toc267251491"/>
      <w:bookmarkStart w:id="2219" w:name="_Toc267251498"/>
      <w:bookmarkStart w:id="2220" w:name="_Toc267251497"/>
      <w:bookmarkStart w:id="2221" w:name="_Toc267251501"/>
      <w:bookmarkStart w:id="2222" w:name="_Toc267251499"/>
      <w:bookmarkStart w:id="2223" w:name="_Toc267251492"/>
      <w:bookmarkStart w:id="2224" w:name="_Toc267251504"/>
      <w:bookmarkStart w:id="2225" w:name="_Toc267251506"/>
      <w:bookmarkStart w:id="2226" w:name="_Toc267251507"/>
      <w:bookmarkStart w:id="2227" w:name="_Toc267251508"/>
      <w:bookmarkStart w:id="2228" w:name="_Toc267251509"/>
      <w:bookmarkStart w:id="2229" w:name="_Toc267251510"/>
      <w:bookmarkStart w:id="2230" w:name="_Toc267251511"/>
      <w:bookmarkStart w:id="2231" w:name="_Toc267251515"/>
      <w:bookmarkStart w:id="2232" w:name="_Toc267251514"/>
      <w:bookmarkStart w:id="2233" w:name="_Toc267251513"/>
      <w:r>
        <w:rPr>
          <w:rFonts w:hint="eastAsia" w:ascii="Times New Roman" w:hAnsi="Times New Roman" w:eastAsia="宋体" w:cs="宋体"/>
          <w:color w:val="auto"/>
          <w:sz w:val="24"/>
          <w:szCs w:val="24"/>
          <w:highlight w:val="none"/>
        </w:rPr>
        <w:t>15</w:t>
      </w:r>
      <w:r>
        <w:rPr>
          <w:rFonts w:hint="eastAsia" w:ascii="宋体" w:hAnsi="宋体" w:eastAsia="宋体" w:cs="宋体"/>
          <w:color w:val="auto"/>
          <w:sz w:val="24"/>
          <w:szCs w:val="24"/>
          <w:highlight w:val="none"/>
        </w:rPr>
        <w:t>. 缺陷责任期与保修</w:t>
      </w:r>
      <w:bookmarkEnd w:id="2203"/>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缺陷责任期</w:t>
      </w:r>
      <w:bookmarkEnd w:id="2204"/>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234" w:name="_Toc11844"/>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质量保证金</w:t>
      </w:r>
      <w:bookmarkEnd w:id="2234"/>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在工程项目竣工前，承包人按专用合同条款第</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条提供履约担保的，发包人不得同时预留工程质量保证金。</w:t>
      </w:r>
    </w:p>
    <w:p>
      <w:pPr>
        <w:snapToGrid w:val="0"/>
        <w:spacing w:line="336" w:lineRule="auto"/>
        <w:ind w:firstLine="420" w:firstLineChars="200"/>
        <w:jc w:val="left"/>
        <w:rPr>
          <w:rFonts w:ascii="宋体" w:hAnsi="宋体" w:cs="宋体"/>
          <w:color w:val="auto"/>
          <w:szCs w:val="21"/>
          <w:highlight w:val="none"/>
        </w:rPr>
      </w:pPr>
      <w:bookmarkStart w:id="2235" w:name="_Toc12926"/>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承包人提供质量保证金的方式</w:t>
      </w:r>
      <w:bookmarkEnd w:id="2235"/>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质量保证金采用以下第种方式：</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w:t>
      </w:r>
      <w:r>
        <w:rPr>
          <w:rFonts w:hint="eastAsia" w:cs="宋体"/>
          <w:color w:val="auto"/>
          <w:kern w:val="0"/>
          <w:szCs w:val="21"/>
          <w:highlight w:val="none"/>
        </w:rPr>
        <w:t>%</w:t>
      </w:r>
      <w:r>
        <w:rPr>
          <w:rFonts w:hint="eastAsia" w:ascii="宋体" w:hAnsi="宋体" w:cs="宋体"/>
          <w:color w:val="auto"/>
          <w:kern w:val="0"/>
          <w:szCs w:val="21"/>
          <w:highlight w:val="none"/>
        </w:rPr>
        <w:t>的工程款；</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）其他方式:          。</w:t>
      </w:r>
    </w:p>
    <w:p>
      <w:pPr>
        <w:snapToGrid w:val="0"/>
        <w:spacing w:line="336" w:lineRule="auto"/>
        <w:ind w:firstLine="420" w:firstLineChars="200"/>
        <w:jc w:val="left"/>
        <w:rPr>
          <w:rFonts w:ascii="宋体" w:hAnsi="宋体" w:cs="宋体"/>
          <w:color w:val="auto"/>
          <w:szCs w:val="21"/>
          <w:highlight w:val="none"/>
        </w:rPr>
      </w:pPr>
      <w:bookmarkStart w:id="2236" w:name="_Toc2488"/>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质量保证金的扣留</w:t>
      </w:r>
      <w:bookmarkEnd w:id="2236"/>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质量保证金的扣留采取以下第种方式：</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）在支付工程进度款时逐次扣留，在此情形下，质量保证金的计算基数不包括预付款的支付、扣回以及价格调整的金额；</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bookmarkStart w:id="2237" w:name="_Toc6724"/>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）工程完工结算时一次性扣留质量保证金；</w:t>
      </w:r>
      <w:bookmarkEnd w:id="2237"/>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）其他扣留方式:。</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bookmarkEnd w:id="2205"/>
    <w:bookmarkEnd w:id="2206"/>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保修</w:t>
      </w:r>
    </w:p>
    <w:bookmarkEnd w:id="2207"/>
    <w:p>
      <w:pPr>
        <w:snapToGrid w:val="0"/>
        <w:spacing w:line="336" w:lineRule="auto"/>
        <w:ind w:firstLine="409" w:firstLineChars="195"/>
        <w:jc w:val="left"/>
        <w:rPr>
          <w:rFonts w:ascii="宋体" w:hAnsi="宋体" w:cs="宋体"/>
          <w:color w:val="auto"/>
          <w:szCs w:val="21"/>
          <w:highlight w:val="none"/>
        </w:rPr>
      </w:pPr>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保修责任</w:t>
      </w:r>
    </w:p>
    <w:p>
      <w:pPr>
        <w:snapToGrid w:val="0"/>
        <w:spacing w:line="336" w:lineRule="auto"/>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09" w:firstLineChars="195"/>
        <w:jc w:val="left"/>
        <w:rPr>
          <w:rFonts w:ascii="宋体" w:hAnsi="宋体" w:cs="宋体"/>
          <w:color w:val="auto"/>
          <w:szCs w:val="21"/>
          <w:highlight w:val="none"/>
        </w:rPr>
      </w:pPr>
      <w:r>
        <w:rPr>
          <w:rFonts w:hint="eastAsia" w:cs="宋体"/>
          <w:color w:val="auto"/>
          <w:szCs w:val="21"/>
          <w:highlight w:val="none"/>
        </w:rPr>
        <w:t>15</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修复通知</w:t>
      </w:r>
    </w:p>
    <w:p>
      <w:pPr>
        <w:snapToGrid w:val="0"/>
        <w:spacing w:line="336" w:lineRule="auto"/>
        <w:ind w:firstLine="409" w:firstLineChars="195"/>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bookmarkEnd w:id="2208"/>
    <w:bookmarkEnd w:id="2209"/>
    <w:bookmarkEnd w:id="2210"/>
    <w:bookmarkEnd w:id="2211"/>
    <w:p>
      <w:pPr>
        <w:pStyle w:val="5"/>
        <w:keepNext w:val="0"/>
        <w:keepLines w:val="0"/>
        <w:snapToGrid w:val="0"/>
        <w:spacing w:line="336" w:lineRule="auto"/>
        <w:jc w:val="left"/>
        <w:rPr>
          <w:rFonts w:ascii="宋体" w:hAnsi="宋体" w:eastAsia="宋体" w:cs="宋体"/>
          <w:color w:val="auto"/>
          <w:sz w:val="24"/>
          <w:szCs w:val="24"/>
          <w:highlight w:val="none"/>
        </w:rPr>
      </w:pPr>
      <w:bookmarkStart w:id="2238" w:name="_Toc351203648"/>
      <w:bookmarkStart w:id="2239" w:name="_Toc280868717"/>
      <w:bookmarkStart w:id="2240" w:name="_Toc280868718"/>
      <w:r>
        <w:rPr>
          <w:rFonts w:hint="eastAsia" w:ascii="Times New Roman" w:hAnsi="Times New Roman" w:eastAsia="宋体" w:cs="宋体"/>
          <w:color w:val="auto"/>
          <w:sz w:val="24"/>
          <w:szCs w:val="24"/>
          <w:highlight w:val="none"/>
        </w:rPr>
        <w:t>16</w:t>
      </w:r>
      <w:r>
        <w:rPr>
          <w:rFonts w:hint="eastAsia" w:ascii="宋体" w:hAnsi="宋体" w:eastAsia="宋体" w:cs="宋体"/>
          <w:color w:val="auto"/>
          <w:sz w:val="24"/>
          <w:szCs w:val="24"/>
          <w:highlight w:val="none"/>
        </w:rPr>
        <w:t>. 违约</w:t>
      </w:r>
      <w:bookmarkEnd w:id="2238"/>
    </w:p>
    <w:p>
      <w:pPr>
        <w:snapToGrid w:val="0"/>
        <w:spacing w:line="336" w:lineRule="auto"/>
        <w:ind w:firstLine="420" w:firstLineChars="200"/>
        <w:jc w:val="left"/>
        <w:rPr>
          <w:rFonts w:ascii="宋体" w:hAnsi="宋体" w:cs="宋体"/>
          <w:color w:val="auto"/>
          <w:szCs w:val="21"/>
          <w:highlight w:val="none"/>
        </w:rPr>
      </w:pPr>
      <w:bookmarkStart w:id="2241" w:name="_Toc8231"/>
      <w:bookmarkStart w:id="2242" w:name="_Toc109149880"/>
      <w:r>
        <w:rPr>
          <w:rFonts w:hint="eastAsia" w:cs="宋体"/>
          <w:color w:val="auto"/>
          <w:szCs w:val="21"/>
          <w:highlight w:val="none"/>
        </w:rPr>
        <w:t>16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发包人违约</w:t>
      </w:r>
      <w:bookmarkEnd w:id="2241"/>
      <w:bookmarkEnd w:id="2242"/>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发包人违约的情形</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发包人违约的责任</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）因发包人原因未能在计划开工日期前</w:t>
      </w:r>
      <w:r>
        <w:rPr>
          <w:rFonts w:hint="eastAsia" w:cs="宋体"/>
          <w:color w:val="auto"/>
          <w:kern w:val="0"/>
          <w:szCs w:val="21"/>
          <w:highlight w:val="none"/>
        </w:rPr>
        <w:t>7</w:t>
      </w:r>
      <w:r>
        <w:rPr>
          <w:rFonts w:hint="eastAsia" w:ascii="宋体" w:hAnsi="宋体" w:cs="宋体"/>
          <w:color w:val="auto"/>
          <w:kern w:val="0"/>
          <w:szCs w:val="21"/>
          <w:highlight w:val="none"/>
        </w:rPr>
        <w:t>天内下达开工通知的违约责任：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）因发包人原因未能按合同约定支付合同价款的违约责任：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）发包人违反第</w:t>
      </w:r>
      <w:r>
        <w:rPr>
          <w:rFonts w:hint="eastAsia" w:cs="宋体"/>
          <w:color w:val="auto"/>
          <w:kern w:val="0"/>
          <w:szCs w:val="21"/>
          <w:highlight w:val="none"/>
        </w:rPr>
        <w:t>10</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款〔变更的范围〕第（</w:t>
      </w:r>
      <w:r>
        <w:rPr>
          <w:rFonts w:hint="eastAsia" w:cs="宋体"/>
          <w:color w:val="auto"/>
          <w:kern w:val="0"/>
          <w:szCs w:val="21"/>
          <w:highlight w:val="none"/>
        </w:rPr>
        <w:t>2</w:t>
      </w:r>
      <w:r>
        <w:rPr>
          <w:rFonts w:hint="eastAsia" w:ascii="宋体" w:hAnsi="宋体" w:cs="宋体"/>
          <w:color w:val="auto"/>
          <w:kern w:val="0"/>
          <w:szCs w:val="21"/>
          <w:highlight w:val="none"/>
        </w:rPr>
        <w:t>）项约定，自行实施被取消的工作或转由他人实施的违约责任：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4</w:t>
      </w:r>
      <w:r>
        <w:rPr>
          <w:rFonts w:hint="eastAsia" w:ascii="宋体" w:hAnsi="宋体" w:cs="宋体"/>
          <w:color w:val="auto"/>
          <w:kern w:val="0"/>
          <w:szCs w:val="21"/>
          <w:highlight w:val="none"/>
        </w:rPr>
        <w:t>）发包人提供的材料、工程设备的规格、数量或质量不符合合同约定，或因发包人原因导致交货日期延误或交货地点变更等情况的违约责任：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w:t>
      </w:r>
      <w:r>
        <w:rPr>
          <w:rFonts w:hint="eastAsia" w:cs="宋体"/>
          <w:color w:val="auto"/>
          <w:kern w:val="0"/>
          <w:szCs w:val="21"/>
          <w:highlight w:val="none"/>
        </w:rPr>
        <w:t>5</w:t>
      </w:r>
      <w:r>
        <w:rPr>
          <w:rFonts w:hint="eastAsia" w:ascii="宋体" w:hAnsi="宋体" w:cs="宋体"/>
          <w:color w:val="auto"/>
          <w:kern w:val="0"/>
          <w:szCs w:val="21"/>
          <w:highlight w:val="none"/>
        </w:rPr>
        <w:t>）因发包人违反合同约定造成暂停施工的违约责任：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6</w:t>
      </w:r>
      <w:r>
        <w:rPr>
          <w:rFonts w:hint="eastAsia" w:ascii="宋体" w:hAnsi="宋体" w:cs="宋体"/>
          <w:color w:val="auto"/>
          <w:kern w:val="0"/>
          <w:szCs w:val="21"/>
          <w:highlight w:val="none"/>
        </w:rPr>
        <w:t>）发包人无正当理由没有在约定期限内发出复工指示，导致承包人无法复工的违约责任：</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7</w:t>
      </w:r>
      <w:r>
        <w:rPr>
          <w:rFonts w:hint="eastAsia" w:ascii="宋体" w:hAnsi="宋体" w:cs="宋体"/>
          <w:color w:val="auto"/>
          <w:kern w:val="0"/>
          <w:szCs w:val="21"/>
          <w:highlight w:val="none"/>
        </w:rPr>
        <w:t>）其他：</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16</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因发包人违约解除合同</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w:t>
      </w: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项〔发包人违约的情形〕约定暂停施工满天后发包人仍不纠正其违约行为并致使合同目的不能实现的，承包人有权解除合同。</w:t>
      </w:r>
    </w:p>
    <w:p>
      <w:pPr>
        <w:snapToGrid w:val="0"/>
        <w:spacing w:line="336" w:lineRule="auto"/>
        <w:ind w:firstLine="420" w:firstLineChars="200"/>
        <w:jc w:val="left"/>
        <w:rPr>
          <w:rFonts w:ascii="宋体" w:hAnsi="宋体" w:cs="宋体"/>
          <w:color w:val="auto"/>
          <w:szCs w:val="21"/>
          <w:highlight w:val="none"/>
        </w:rPr>
      </w:pPr>
      <w:bookmarkStart w:id="2243" w:name="_Toc14685"/>
      <w:bookmarkStart w:id="2244" w:name="_Toc109149881"/>
      <w:r>
        <w:rPr>
          <w:rFonts w:hint="eastAsia" w:cs="宋体"/>
          <w:color w:val="auto"/>
          <w:szCs w:val="21"/>
          <w:highlight w:val="none"/>
        </w:rPr>
        <w:t>16</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承包人违约</w:t>
      </w:r>
      <w:bookmarkEnd w:id="2243"/>
      <w:bookmarkEnd w:id="2244"/>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1</w:t>
      </w:r>
      <w:r>
        <w:rPr>
          <w:rFonts w:hint="eastAsia" w:ascii="宋体" w:hAnsi="宋体" w:cs="宋体"/>
          <w:color w:val="auto"/>
          <w:kern w:val="0"/>
          <w:szCs w:val="21"/>
          <w:highlight w:val="none"/>
        </w:rPr>
        <w:t xml:space="preserve"> 承包人违约的情形</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1</w:t>
      </w:r>
      <w:r>
        <w:rPr>
          <w:rFonts w:hint="eastAsia" w:ascii="宋体" w:hAnsi="宋体" w:cs="宋体"/>
          <w:color w:val="auto"/>
          <w:kern w:val="0"/>
          <w:szCs w:val="21"/>
          <w:highlight w:val="none"/>
          <w:u w:val="single"/>
        </w:rPr>
        <w:t>）未按照投标文件与合同约定投入施工机械。</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2</w:t>
      </w:r>
      <w:r>
        <w:rPr>
          <w:rFonts w:hint="eastAsia" w:ascii="宋体" w:hAnsi="宋体" w:cs="宋体"/>
          <w:color w:val="auto"/>
          <w:kern w:val="0"/>
          <w:szCs w:val="21"/>
          <w:highlight w:val="none"/>
          <w:u w:val="single"/>
        </w:rPr>
        <w:t>）未按照合同约定日期完成施工任务。</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3</w:t>
      </w:r>
      <w:r>
        <w:rPr>
          <w:rFonts w:hint="eastAsia" w:ascii="宋体" w:hAnsi="宋体" w:cs="宋体"/>
          <w:color w:val="auto"/>
          <w:kern w:val="0"/>
          <w:szCs w:val="21"/>
          <w:highlight w:val="none"/>
          <w:u w:val="single"/>
        </w:rPr>
        <w:t>）未按照合同约定日期完成完工结算申请。</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4</w:t>
      </w:r>
      <w:r>
        <w:rPr>
          <w:rFonts w:hint="eastAsia" w:ascii="宋体" w:hAnsi="宋体" w:cs="宋体"/>
          <w:color w:val="auto"/>
          <w:kern w:val="0"/>
          <w:szCs w:val="21"/>
          <w:highlight w:val="none"/>
          <w:u w:val="single"/>
        </w:rPr>
        <w:t>）未按照工程设计图纸和施工技术标准施工，擅自修改、变更项目设计文件。</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5</w:t>
      </w:r>
      <w:r>
        <w:rPr>
          <w:rFonts w:hint="eastAsia" w:ascii="宋体" w:hAnsi="宋体" w:cs="宋体"/>
          <w:color w:val="auto"/>
          <w:kern w:val="0"/>
          <w:szCs w:val="21"/>
          <w:highlight w:val="none"/>
          <w:u w:val="single"/>
        </w:rPr>
        <w:t>）未对原材料和中间材料取样和送检，擅自投入使用未经检验或经检验不合格的原材料和中间材料。</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6</w:t>
      </w:r>
      <w:r>
        <w:rPr>
          <w:rFonts w:hint="eastAsia" w:ascii="宋体" w:hAnsi="宋体" w:cs="宋体"/>
          <w:color w:val="auto"/>
          <w:kern w:val="0"/>
          <w:szCs w:val="21"/>
          <w:highlight w:val="none"/>
          <w:u w:val="single"/>
        </w:rPr>
        <w:t>）未经验收或质量检验评定不合格，擅自进行下一个工种、下一道工序施工。</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7</w:t>
      </w:r>
      <w:r>
        <w:rPr>
          <w:rFonts w:hint="eastAsia" w:ascii="宋体" w:hAnsi="宋体" w:cs="宋体"/>
          <w:color w:val="auto"/>
          <w:kern w:val="0"/>
          <w:szCs w:val="21"/>
          <w:highlight w:val="none"/>
          <w:u w:val="single"/>
        </w:rPr>
        <w:t>）未建立健全安全生产责任制度和安全生产教育培训制度，未对所承担的建设工程进行定期和专项安全检查、做好安全检查记录。</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r>
        <w:rPr>
          <w:rFonts w:hint="eastAsia" w:cs="宋体"/>
          <w:color w:val="auto"/>
          <w:kern w:val="0"/>
          <w:szCs w:val="21"/>
          <w:highlight w:val="none"/>
          <w:u w:val="single"/>
        </w:rPr>
        <w:t>8</w:t>
      </w:r>
      <w:r>
        <w:rPr>
          <w:rFonts w:hint="eastAsia" w:ascii="宋体" w:hAnsi="宋体" w:cs="宋体"/>
          <w:color w:val="auto"/>
          <w:kern w:val="0"/>
          <w:szCs w:val="21"/>
          <w:highlight w:val="none"/>
          <w:u w:val="single"/>
        </w:rPr>
        <w:t>）未实行农民工劳动用工实名制管理，与招用的农民工未书面约定工资支付标准、支付时间、支付方式等内容。未按照与农民工书面约定的工资支付周期和具体支付日期足额支付工资。未按照工资支付周期编制书面工资支付台账。</w:t>
      </w:r>
    </w:p>
    <w:p>
      <w:pPr>
        <w:snapToGrid w:val="0"/>
        <w:spacing w:line="336" w:lineRule="auto"/>
        <w:ind w:firstLine="420" w:firstLineChars="200"/>
        <w:jc w:val="left"/>
        <w:rPr>
          <w:rFonts w:ascii="宋体" w:hAnsi="宋体" w:cs="宋体"/>
          <w:color w:val="auto"/>
          <w:kern w:val="0"/>
          <w:szCs w:val="21"/>
          <w:highlight w:val="none"/>
        </w:rPr>
      </w:pPr>
      <w:r>
        <w:rPr>
          <w:rFonts w:hint="eastAsia" w:cs="宋体"/>
          <w:color w:val="auto"/>
          <w:kern w:val="0"/>
          <w:szCs w:val="21"/>
          <w:highlight w:val="none"/>
        </w:rPr>
        <w:t>16</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承包人违约的责任</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s="宋体"/>
          <w:color w:val="auto"/>
          <w:kern w:val="0"/>
          <w:szCs w:val="21"/>
          <w:highlight w:val="none"/>
          <w:u w:val="single"/>
        </w:rPr>
        <w:t>承包人存在</w:t>
      </w:r>
      <w:r>
        <w:rPr>
          <w:rFonts w:hint="eastAsia" w:cs="宋体"/>
          <w:color w:val="auto"/>
          <w:kern w:val="0"/>
          <w:szCs w:val="21"/>
          <w:highlight w:val="none"/>
          <w:u w:val="single"/>
        </w:rPr>
        <w:t>16</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1</w:t>
      </w:r>
      <w:r>
        <w:rPr>
          <w:rFonts w:hint="eastAsia" w:ascii="宋体" w:hAnsi="宋体" w:cs="宋体"/>
          <w:color w:val="auto"/>
          <w:kern w:val="0"/>
          <w:szCs w:val="21"/>
          <w:highlight w:val="none"/>
          <w:u w:val="single"/>
        </w:rPr>
        <w:t>第（</w:t>
      </w:r>
      <w:r>
        <w:rPr>
          <w:rFonts w:hint="eastAsia" w:cs="宋体"/>
          <w:color w:val="auto"/>
          <w:kern w:val="0"/>
          <w:szCs w:val="21"/>
          <w:highlight w:val="none"/>
          <w:u w:val="single"/>
        </w:rPr>
        <w:t>1</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4</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5</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6</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7</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8</w:t>
      </w:r>
      <w:r>
        <w:rPr>
          <w:rFonts w:hint="eastAsia" w:ascii="宋体" w:hAnsi="宋体" w:cs="宋体"/>
          <w:color w:val="auto"/>
          <w:kern w:val="0"/>
          <w:szCs w:val="21"/>
          <w:highlight w:val="none"/>
          <w:u w:val="single"/>
        </w:rPr>
        <w:t>）违约情形，经发包人、监理人或行政主管部门书面文件指出，拒绝整改或未在限期内完成整改的，</w:t>
      </w:r>
      <w:r>
        <w:rPr>
          <w:rFonts w:hint="eastAsia"/>
          <w:color w:val="auto"/>
          <w:highlight w:val="none"/>
          <w:u w:val="single"/>
        </w:rPr>
        <w:t>承包人按</w:t>
      </w:r>
      <w:r>
        <w:rPr>
          <w:rFonts w:hint="eastAsia"/>
          <w:color w:val="auto"/>
          <w:szCs w:val="21"/>
          <w:highlight w:val="none"/>
          <w:u w:val="single"/>
        </w:rPr>
        <w:t>200000</w:t>
      </w:r>
      <w:r>
        <w:rPr>
          <w:rFonts w:hint="eastAsia" w:ascii="宋体" w:hAnsi="宋体"/>
          <w:color w:val="auto"/>
          <w:szCs w:val="21"/>
          <w:highlight w:val="none"/>
          <w:u w:val="single"/>
        </w:rPr>
        <w:t xml:space="preserve"> 元/次向发包人支付违约金（按照发送书面文件的次数）</w:t>
      </w:r>
      <w:r>
        <w:rPr>
          <w:rFonts w:hint="eastAsia" w:ascii="宋体" w:hAnsi="宋体" w:cs="宋体"/>
          <w:color w:val="auto"/>
          <w:kern w:val="0"/>
          <w:szCs w:val="21"/>
          <w:highlight w:val="none"/>
          <w:u w:val="single"/>
        </w:rPr>
        <w:t>。</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承包人存在</w:t>
      </w:r>
      <w:r>
        <w:rPr>
          <w:rFonts w:hint="eastAsia" w:cs="宋体"/>
          <w:color w:val="auto"/>
          <w:kern w:val="0"/>
          <w:szCs w:val="21"/>
          <w:highlight w:val="none"/>
          <w:u w:val="single"/>
        </w:rPr>
        <w:t>16</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1</w:t>
      </w:r>
      <w:r>
        <w:rPr>
          <w:rFonts w:hint="eastAsia" w:ascii="宋体" w:hAnsi="宋体" w:cs="宋体"/>
          <w:color w:val="auto"/>
          <w:kern w:val="0"/>
          <w:szCs w:val="21"/>
          <w:highlight w:val="none"/>
          <w:u w:val="single"/>
        </w:rPr>
        <w:t>第（</w:t>
      </w:r>
      <w:r>
        <w:rPr>
          <w:rFonts w:hint="eastAsia"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cs="宋体"/>
          <w:color w:val="auto"/>
          <w:kern w:val="0"/>
          <w:szCs w:val="21"/>
          <w:highlight w:val="none"/>
          <w:u w:val="single"/>
        </w:rPr>
        <w:t>3</w:t>
      </w:r>
      <w:r>
        <w:rPr>
          <w:rFonts w:hint="eastAsia" w:ascii="宋体" w:hAnsi="宋体" w:cs="宋体"/>
          <w:color w:val="auto"/>
          <w:kern w:val="0"/>
          <w:szCs w:val="21"/>
          <w:highlight w:val="none"/>
          <w:u w:val="single"/>
        </w:rPr>
        <w:t>）违约情形的，从逾期之日起每日按本合同总价的</w:t>
      </w:r>
      <w:r>
        <w:rPr>
          <w:rFonts w:hint="eastAsia" w:cs="宋体"/>
          <w:color w:val="auto"/>
          <w:kern w:val="0"/>
          <w:szCs w:val="21"/>
          <w:highlight w:val="none"/>
          <w:u w:val="single"/>
        </w:rPr>
        <w:t>3</w:t>
      </w:r>
      <w:r>
        <w:rPr>
          <w:rFonts w:hint="eastAsia" w:ascii="宋体" w:hAnsi="宋体" w:cs="宋体"/>
          <w:color w:val="auto"/>
          <w:kern w:val="0"/>
          <w:szCs w:val="21"/>
          <w:highlight w:val="none"/>
          <w:u w:val="single"/>
        </w:rPr>
        <w:t>‰的数额向发包人支付违约金；逾期半个月以上的，发包人有权终止合同，由此造成的发包人经济损失由承包人承担。</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16</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因承包人违约解除合同</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2245" w:name="_Toc351203649"/>
      <w:r>
        <w:rPr>
          <w:rFonts w:hint="eastAsia" w:ascii="Times New Roman" w:hAnsi="Times New Roman" w:eastAsia="宋体" w:cs="宋体"/>
          <w:color w:val="auto"/>
          <w:sz w:val="24"/>
          <w:szCs w:val="24"/>
          <w:highlight w:val="none"/>
        </w:rPr>
        <w:t>17</w:t>
      </w:r>
      <w:r>
        <w:rPr>
          <w:rFonts w:hint="eastAsia" w:ascii="宋体" w:hAnsi="宋体" w:eastAsia="宋体" w:cs="宋体"/>
          <w:color w:val="auto"/>
          <w:sz w:val="24"/>
          <w:szCs w:val="24"/>
          <w:highlight w:val="none"/>
        </w:rPr>
        <w:t>. 不可抗力</w:t>
      </w:r>
      <w:bookmarkEnd w:id="2239"/>
      <w:bookmarkEnd w:id="2245"/>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17</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不可抗力的确认</w:t>
      </w:r>
    </w:p>
    <w:p>
      <w:pPr>
        <w:snapToGrid w:val="0"/>
        <w:spacing w:line="33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246" w:name="_Toc14541"/>
      <w:bookmarkStart w:id="2247" w:name="_Toc109149882"/>
      <w:r>
        <w:rPr>
          <w:rFonts w:hint="eastAsia" w:cs="宋体"/>
          <w:color w:val="auto"/>
          <w:szCs w:val="21"/>
          <w:highlight w:val="none"/>
        </w:rPr>
        <w:t>17</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 xml:space="preserve"> 因不可抗力解除合同</w:t>
      </w:r>
      <w:bookmarkEnd w:id="2246"/>
      <w:bookmarkEnd w:id="2247"/>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合同解除后，发包人应在商定或确定发包人应支付款项后天内完成款项的支付。</w:t>
      </w:r>
    </w:p>
    <w:p>
      <w:pPr>
        <w:pStyle w:val="5"/>
        <w:keepNext w:val="0"/>
        <w:keepLines w:val="0"/>
        <w:snapToGrid w:val="0"/>
        <w:spacing w:line="336" w:lineRule="auto"/>
        <w:jc w:val="left"/>
        <w:rPr>
          <w:rFonts w:ascii="宋体" w:hAnsi="宋体" w:eastAsia="宋体" w:cs="宋体"/>
          <w:color w:val="auto"/>
          <w:sz w:val="24"/>
          <w:szCs w:val="24"/>
          <w:highlight w:val="none"/>
        </w:rPr>
      </w:pPr>
      <w:bookmarkStart w:id="2248" w:name="_Toc351203650"/>
      <w:r>
        <w:rPr>
          <w:rFonts w:hint="eastAsia" w:ascii="Times New Roman" w:hAnsi="Times New Roman" w:eastAsia="宋体" w:cs="宋体"/>
          <w:color w:val="auto"/>
          <w:sz w:val="24"/>
          <w:szCs w:val="24"/>
          <w:highlight w:val="none"/>
        </w:rPr>
        <w:t>18</w:t>
      </w:r>
      <w:r>
        <w:rPr>
          <w:rFonts w:hint="eastAsia" w:ascii="宋体" w:hAnsi="宋体" w:eastAsia="宋体" w:cs="宋体"/>
          <w:color w:val="auto"/>
          <w:sz w:val="24"/>
          <w:szCs w:val="24"/>
          <w:highlight w:val="none"/>
        </w:rPr>
        <w:t>. 保险</w:t>
      </w:r>
      <w:bookmarkEnd w:id="2248"/>
    </w:p>
    <w:bookmarkEnd w:id="2240"/>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18</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工程保险</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249" w:name="_Toc13878"/>
      <w:bookmarkStart w:id="2250" w:name="_Toc109149883"/>
      <w:r>
        <w:rPr>
          <w:rFonts w:hint="eastAsia" w:cs="宋体"/>
          <w:color w:val="auto"/>
          <w:szCs w:val="21"/>
          <w:highlight w:val="none"/>
        </w:rPr>
        <w:t>18</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其他保险</w:t>
      </w:r>
      <w:bookmarkEnd w:id="2249"/>
      <w:bookmarkEnd w:id="2250"/>
    </w:p>
    <w:p>
      <w:pPr>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18</w:t>
      </w:r>
      <w:r>
        <w:rPr>
          <w:rFonts w:hint="eastAsia" w:ascii="宋体" w:hAnsi="宋体" w:cs="宋体"/>
          <w:color w:val="auto"/>
          <w:szCs w:val="21"/>
          <w:highlight w:val="none"/>
        </w:rPr>
        <w:t>.</w:t>
      </w:r>
      <w:r>
        <w:rPr>
          <w:rFonts w:hint="eastAsia" w:cs="宋体"/>
          <w:color w:val="auto"/>
          <w:szCs w:val="21"/>
          <w:highlight w:val="none"/>
        </w:rPr>
        <w:t>7</w:t>
      </w:r>
      <w:r>
        <w:rPr>
          <w:rFonts w:hint="eastAsia" w:ascii="宋体" w:hAnsi="宋体" w:cs="宋体"/>
          <w:color w:val="auto"/>
          <w:szCs w:val="21"/>
          <w:highlight w:val="none"/>
        </w:rPr>
        <w:t xml:space="preserve"> 通知义务</w:t>
      </w:r>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212"/>
    <w:bookmarkEnd w:id="2213"/>
    <w:bookmarkEnd w:id="2214"/>
    <w:bookmarkEnd w:id="2215"/>
    <w:bookmarkEnd w:id="2216"/>
    <w:bookmarkEnd w:id="2217"/>
    <w:bookmarkEnd w:id="2218"/>
    <w:bookmarkEnd w:id="2219"/>
    <w:bookmarkEnd w:id="2220"/>
    <w:bookmarkEnd w:id="2221"/>
    <w:bookmarkEnd w:id="2222"/>
    <w:bookmarkEnd w:id="2223"/>
    <w:p>
      <w:pPr>
        <w:pStyle w:val="5"/>
        <w:keepNext w:val="0"/>
        <w:keepLines w:val="0"/>
        <w:snapToGrid w:val="0"/>
        <w:spacing w:line="336" w:lineRule="auto"/>
        <w:jc w:val="left"/>
        <w:rPr>
          <w:rFonts w:ascii="宋体" w:hAnsi="宋体" w:eastAsia="宋体" w:cs="宋体"/>
          <w:color w:val="auto"/>
          <w:sz w:val="24"/>
          <w:szCs w:val="24"/>
          <w:highlight w:val="none"/>
        </w:rPr>
      </w:pPr>
      <w:bookmarkStart w:id="2251" w:name="_Toc351203651"/>
      <w:r>
        <w:rPr>
          <w:rFonts w:hint="eastAsia" w:ascii="Times New Roman" w:hAnsi="Times New Roman" w:eastAsia="宋体" w:cs="宋体"/>
          <w:color w:val="auto"/>
          <w:sz w:val="24"/>
          <w:szCs w:val="24"/>
          <w:highlight w:val="none"/>
        </w:rPr>
        <w:t>20</w:t>
      </w:r>
      <w:r>
        <w:rPr>
          <w:rFonts w:hint="eastAsia" w:ascii="宋体" w:hAnsi="宋体" w:eastAsia="宋体" w:cs="宋体"/>
          <w:color w:val="auto"/>
          <w:sz w:val="24"/>
          <w:szCs w:val="24"/>
          <w:highlight w:val="none"/>
        </w:rPr>
        <w:t>. 争议解决</w:t>
      </w:r>
      <w:bookmarkEnd w:id="2251"/>
    </w:p>
    <w:bookmarkEnd w:id="2224"/>
    <w:bookmarkEnd w:id="2225"/>
    <w:p>
      <w:pPr>
        <w:snapToGrid w:val="0"/>
        <w:spacing w:line="336" w:lineRule="auto"/>
        <w:ind w:firstLine="420" w:firstLineChars="200"/>
        <w:jc w:val="left"/>
        <w:rPr>
          <w:rFonts w:ascii="宋体" w:hAnsi="宋体" w:cs="宋体"/>
          <w:color w:val="auto"/>
          <w:szCs w:val="21"/>
          <w:highlight w:val="none"/>
        </w:rPr>
      </w:pPr>
      <w:bookmarkStart w:id="2252" w:name="_Toc109149884"/>
      <w:bookmarkStart w:id="2253" w:name="_Toc29696"/>
      <w:r>
        <w:rPr>
          <w:rFonts w:hint="eastAsia" w:cs="宋体"/>
          <w:color w:val="auto"/>
          <w:szCs w:val="21"/>
          <w:highlight w:val="none"/>
        </w:rPr>
        <w:t>20</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 xml:space="preserve"> 争</w:t>
      </w:r>
      <w:bookmarkEnd w:id="2226"/>
      <w:r>
        <w:rPr>
          <w:rFonts w:hint="eastAsia" w:ascii="宋体" w:hAnsi="宋体" w:cs="宋体"/>
          <w:color w:val="auto"/>
          <w:szCs w:val="21"/>
          <w:highlight w:val="none"/>
        </w:rPr>
        <w:t>议评审</w:t>
      </w:r>
      <w:bookmarkEnd w:id="2252"/>
      <w:bookmarkEnd w:id="2253"/>
    </w:p>
    <w:p>
      <w:pPr>
        <w:snapToGrid w:val="0"/>
        <w:spacing w:line="336" w:lineRule="auto"/>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36" w:lineRule="auto"/>
        <w:ind w:firstLine="420" w:firstLineChars="200"/>
        <w:jc w:val="left"/>
        <w:rPr>
          <w:rFonts w:ascii="宋体" w:hAnsi="宋体" w:cs="宋体"/>
          <w:color w:val="auto"/>
          <w:szCs w:val="21"/>
          <w:highlight w:val="none"/>
        </w:rPr>
      </w:pPr>
      <w:bookmarkStart w:id="2254" w:name="_Toc109149885"/>
      <w:bookmarkStart w:id="2255" w:name="_Toc23809"/>
      <w:r>
        <w:rPr>
          <w:rFonts w:hint="eastAsia" w:cs="宋体"/>
          <w:color w:val="auto"/>
          <w:szCs w:val="21"/>
          <w:highlight w:val="none"/>
        </w:rPr>
        <w:t>20</w:t>
      </w:r>
      <w:r>
        <w:rPr>
          <w:rFonts w:hint="eastAsia" w:ascii="宋体" w:hAnsi="宋体" w:cs="宋体"/>
          <w:color w:val="auto"/>
          <w:szCs w:val="21"/>
          <w:highlight w:val="none"/>
        </w:rPr>
        <w:t>.</w:t>
      </w:r>
      <w:r>
        <w:rPr>
          <w:rFonts w:hint="eastAsia" w:cs="宋体"/>
          <w:color w:val="auto"/>
          <w:szCs w:val="21"/>
          <w:highlight w:val="none"/>
        </w:rPr>
        <w:t>3</w:t>
      </w: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 xml:space="preserve"> 争议评审小组的确定</w:t>
      </w:r>
      <w:bookmarkEnd w:id="2254"/>
      <w:bookmarkEnd w:id="2255"/>
    </w:p>
    <w:p>
      <w:pPr>
        <w:snapToGrid w:val="0"/>
        <w:spacing w:line="336"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adjustRightInd w:val="0"/>
        <w:snapToGrid w:val="0"/>
        <w:spacing w:line="336" w:lineRule="auto"/>
        <w:ind w:firstLine="420" w:firstLineChars="200"/>
        <w:jc w:val="left"/>
        <w:rPr>
          <w:rFonts w:ascii="宋体" w:hAnsi="宋体" w:cs="宋体"/>
          <w:color w:val="auto"/>
          <w:kern w:val="0"/>
          <w:szCs w:val="21"/>
          <w:highlight w:val="none"/>
        </w:rPr>
      </w:pPr>
      <w:bookmarkStart w:id="2256" w:name="_Toc11670"/>
      <w:bookmarkStart w:id="2257" w:name="_Toc109149886"/>
      <w:r>
        <w:rPr>
          <w:rFonts w:hint="eastAsia" w:cs="宋体"/>
          <w:color w:val="auto"/>
          <w:kern w:val="0"/>
          <w:szCs w:val="21"/>
          <w:highlight w:val="none"/>
        </w:rPr>
        <w:t>20</w:t>
      </w:r>
      <w:r>
        <w:rPr>
          <w:rFonts w:hint="eastAsia" w:ascii="宋体" w:hAnsi="宋体" w:cs="宋体"/>
          <w:color w:val="auto"/>
          <w:kern w:val="0"/>
          <w:szCs w:val="21"/>
          <w:highlight w:val="none"/>
        </w:rPr>
        <w:t>.</w:t>
      </w:r>
      <w:r>
        <w:rPr>
          <w:rFonts w:hint="eastAsia" w:cs="宋体"/>
          <w:color w:val="auto"/>
          <w:kern w:val="0"/>
          <w:szCs w:val="21"/>
          <w:highlight w:val="none"/>
        </w:rPr>
        <w:t>3</w:t>
      </w:r>
      <w:r>
        <w:rPr>
          <w:rFonts w:hint="eastAsia" w:ascii="宋体" w:hAnsi="宋体" w:cs="宋体"/>
          <w:color w:val="auto"/>
          <w:kern w:val="0"/>
          <w:szCs w:val="21"/>
          <w:highlight w:val="none"/>
        </w:rPr>
        <w:t>.</w:t>
      </w:r>
      <w:r>
        <w:rPr>
          <w:rFonts w:hint="eastAsia" w:cs="宋体"/>
          <w:color w:val="auto"/>
          <w:kern w:val="0"/>
          <w:szCs w:val="21"/>
          <w:highlight w:val="none"/>
        </w:rPr>
        <w:t>2</w:t>
      </w:r>
      <w:r>
        <w:rPr>
          <w:rFonts w:hint="eastAsia" w:ascii="宋体" w:hAnsi="宋体" w:cs="宋体"/>
          <w:color w:val="auto"/>
          <w:kern w:val="0"/>
          <w:szCs w:val="21"/>
          <w:highlight w:val="none"/>
        </w:rPr>
        <w:t xml:space="preserve"> 争议评审小组的决定</w:t>
      </w:r>
      <w:bookmarkEnd w:id="2256"/>
      <w:bookmarkEnd w:id="2257"/>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36" w:lineRule="auto"/>
        <w:ind w:firstLine="420" w:firstLineChars="200"/>
        <w:jc w:val="left"/>
        <w:rPr>
          <w:rFonts w:ascii="宋体" w:hAnsi="宋体" w:cs="宋体"/>
          <w:color w:val="auto"/>
          <w:szCs w:val="21"/>
          <w:highlight w:val="none"/>
        </w:rPr>
      </w:pPr>
      <w:bookmarkStart w:id="2258" w:name="_Toc250"/>
      <w:r>
        <w:rPr>
          <w:rFonts w:hint="eastAsia" w:cs="宋体"/>
          <w:color w:val="auto"/>
          <w:szCs w:val="21"/>
          <w:highlight w:val="none"/>
        </w:rPr>
        <w:t>20</w:t>
      </w:r>
      <w:r>
        <w:rPr>
          <w:rFonts w:hint="eastAsia" w:ascii="宋体" w:hAnsi="宋体" w:cs="宋体"/>
          <w:color w:val="auto"/>
          <w:szCs w:val="21"/>
          <w:highlight w:val="none"/>
        </w:rPr>
        <w:t>.</w:t>
      </w:r>
      <w:r>
        <w:rPr>
          <w:rFonts w:hint="eastAsia" w:cs="宋体"/>
          <w:color w:val="auto"/>
          <w:szCs w:val="21"/>
          <w:highlight w:val="none"/>
        </w:rPr>
        <w:t>4</w:t>
      </w:r>
      <w:r>
        <w:rPr>
          <w:rFonts w:hint="eastAsia" w:ascii="宋体" w:hAnsi="宋体" w:cs="宋体"/>
          <w:color w:val="auto"/>
          <w:szCs w:val="21"/>
          <w:highlight w:val="none"/>
        </w:rPr>
        <w:t>仲裁或诉讼</w:t>
      </w:r>
      <w:bookmarkEnd w:id="2227"/>
      <w:bookmarkEnd w:id="2258"/>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因合同及合同有关事项发生的争议，按下列第种方式解决：</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）向仲裁委员会申请仲裁；</w:t>
      </w:r>
    </w:p>
    <w:p>
      <w:pPr>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）向人民法院起诉。</w:t>
      </w:r>
      <w:bookmarkEnd w:id="2228"/>
      <w:bookmarkEnd w:id="2229"/>
      <w:bookmarkEnd w:id="2230"/>
      <w:bookmarkEnd w:id="2231"/>
      <w:bookmarkEnd w:id="2232"/>
      <w:bookmarkEnd w:id="2233"/>
    </w:p>
    <w:p>
      <w:pPr>
        <w:snapToGrid w:val="0"/>
        <w:spacing w:line="336" w:lineRule="auto"/>
        <w:jc w:val="left"/>
        <w:rPr>
          <w:rFonts w:ascii="宋体" w:hAnsi="宋体" w:cs="宋体"/>
          <w:b/>
          <w:bCs/>
          <w:color w:val="auto"/>
          <w:szCs w:val="21"/>
          <w:highlight w:val="none"/>
        </w:rPr>
        <w:sectPr>
          <w:pgSz w:w="11906" w:h="16838"/>
          <w:pgMar w:top="2098" w:right="1446" w:bottom="1984" w:left="1446" w:header="851" w:footer="1446" w:gutter="0"/>
          <w:cols w:space="0" w:num="1"/>
          <w:titlePg/>
          <w:docGrid w:linePitch="312" w:charSpace="0"/>
        </w:sectPr>
      </w:pPr>
      <w:bookmarkStart w:id="2259" w:name="_Toc351203652"/>
    </w:p>
    <w:p>
      <w:pPr>
        <w:pStyle w:val="5"/>
        <w:keepNext w:val="0"/>
        <w:keepLines w:val="0"/>
        <w:snapToGrid w:val="0"/>
        <w:spacing w:line="336"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2259"/>
      <w:r>
        <w:rPr>
          <w:rFonts w:hint="eastAsia" w:ascii="宋体" w:hAnsi="宋体" w:eastAsia="宋体" w:cs="宋体"/>
          <w:color w:val="auto"/>
          <w:sz w:val="24"/>
          <w:szCs w:val="24"/>
          <w:highlight w:val="none"/>
        </w:rPr>
        <w:t>（根据项目需要选用）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协议书附件：</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1</w:t>
      </w:r>
      <w:r>
        <w:rPr>
          <w:rFonts w:hint="eastAsia" w:ascii="宋体" w:hAnsi="宋体" w:cs="宋体"/>
          <w:color w:val="auto"/>
          <w:szCs w:val="21"/>
          <w:highlight w:val="none"/>
        </w:rPr>
        <w:t>：承包人承揽工程项目一览表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专用合同条款附件：</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2</w:t>
      </w:r>
      <w:r>
        <w:rPr>
          <w:rFonts w:hint="eastAsia" w:ascii="宋体" w:hAnsi="宋体" w:cs="宋体"/>
          <w:color w:val="auto"/>
          <w:szCs w:val="21"/>
          <w:highlight w:val="none"/>
        </w:rPr>
        <w:t>：发包人供应材料设备一览表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3</w:t>
      </w:r>
      <w:r>
        <w:rPr>
          <w:rFonts w:hint="eastAsia" w:ascii="宋体" w:hAnsi="宋体" w:cs="宋体"/>
          <w:color w:val="auto"/>
          <w:szCs w:val="21"/>
          <w:highlight w:val="none"/>
        </w:rPr>
        <w:t>：工程质量保修书</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4</w:t>
      </w:r>
      <w:r>
        <w:rPr>
          <w:rFonts w:hint="eastAsia" w:ascii="宋体" w:hAnsi="宋体" w:cs="宋体"/>
          <w:color w:val="auto"/>
          <w:szCs w:val="21"/>
          <w:highlight w:val="none"/>
        </w:rPr>
        <w:t>：主要建设工程文件目录</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5</w:t>
      </w:r>
      <w:r>
        <w:rPr>
          <w:rFonts w:hint="eastAsia" w:ascii="宋体" w:hAnsi="宋体" w:cs="宋体"/>
          <w:color w:val="auto"/>
          <w:szCs w:val="21"/>
          <w:highlight w:val="none"/>
        </w:rPr>
        <w:t>：承包人用于本工程施工的机械设备表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6</w:t>
      </w:r>
      <w:r>
        <w:rPr>
          <w:rFonts w:hint="eastAsia" w:ascii="宋体" w:hAnsi="宋体" w:cs="宋体"/>
          <w:color w:val="auto"/>
          <w:szCs w:val="21"/>
          <w:highlight w:val="none"/>
        </w:rPr>
        <w:t>：承包人主要施工管理人员表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7</w:t>
      </w:r>
      <w:r>
        <w:rPr>
          <w:rFonts w:hint="eastAsia" w:ascii="宋体" w:hAnsi="宋体" w:cs="宋体"/>
          <w:color w:val="auto"/>
          <w:szCs w:val="21"/>
          <w:highlight w:val="none"/>
        </w:rPr>
        <w:t>：分包人主要施工管理人员表</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8</w:t>
      </w:r>
      <w:r>
        <w:rPr>
          <w:rFonts w:hint="eastAsia" w:ascii="宋体" w:hAnsi="宋体" w:cs="宋体"/>
          <w:color w:val="auto"/>
          <w:szCs w:val="21"/>
          <w:highlight w:val="none"/>
        </w:rPr>
        <w:t>：履约担保格式</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9</w:t>
      </w:r>
      <w:r>
        <w:rPr>
          <w:rFonts w:hint="eastAsia" w:ascii="宋体" w:hAnsi="宋体" w:cs="宋体"/>
          <w:color w:val="auto"/>
          <w:szCs w:val="21"/>
          <w:highlight w:val="none"/>
        </w:rPr>
        <w:t>：预付款担保格式</w:t>
      </w: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hint="eastAsia" w:cs="宋体"/>
          <w:color w:val="auto"/>
          <w:szCs w:val="21"/>
          <w:highlight w:val="none"/>
        </w:rPr>
        <w:t>10</w:t>
      </w:r>
      <w:r>
        <w:rPr>
          <w:rFonts w:hint="eastAsia" w:ascii="宋体" w:hAnsi="宋体" w:cs="宋体"/>
          <w:color w:val="auto"/>
          <w:szCs w:val="21"/>
          <w:highlight w:val="none"/>
        </w:rPr>
        <w:t>：支付担保格式</w:t>
      </w:r>
    </w:p>
    <w:p>
      <w:pPr>
        <w:spacing w:line="336" w:lineRule="auto"/>
        <w:jc w:val="left"/>
        <w:rPr>
          <w:rFonts w:ascii="宋体" w:hAnsi="宋体" w:cs="宋体"/>
          <w:color w:val="auto"/>
          <w:szCs w:val="21"/>
          <w:highlight w:val="none"/>
        </w:rPr>
        <w:sectPr>
          <w:pgSz w:w="11906" w:h="16838"/>
          <w:pgMar w:top="2098" w:right="1446" w:bottom="1984" w:left="1446" w:header="851" w:footer="1446" w:gutter="0"/>
          <w:cols w:space="0" w:num="1"/>
          <w:titlePg/>
          <w:docGrid w:linePitch="312" w:charSpace="0"/>
        </w:sectPr>
      </w:pPr>
      <w:r>
        <w:rPr>
          <w:rFonts w:hint="eastAsia" w:ascii="宋体" w:hAnsi="宋体" w:cs="宋体"/>
          <w:color w:val="auto"/>
          <w:szCs w:val="21"/>
          <w:highlight w:val="none"/>
        </w:rPr>
        <w:t>附件</w:t>
      </w:r>
      <w:r>
        <w:rPr>
          <w:rFonts w:hint="eastAsia" w:cs="宋体"/>
          <w:color w:val="auto"/>
          <w:szCs w:val="21"/>
          <w:highlight w:val="none"/>
        </w:rPr>
        <w:t>11</w:t>
      </w:r>
      <w:r>
        <w:rPr>
          <w:rFonts w:hint="eastAsia" w:ascii="宋体" w:hAnsi="宋体" w:cs="宋体"/>
          <w:color w:val="auto"/>
          <w:szCs w:val="21"/>
          <w:highlight w:val="none"/>
        </w:rPr>
        <w:t>：暂估价一览表</w:t>
      </w:r>
    </w:p>
    <w:p>
      <w:pPr>
        <w:jc w:val="left"/>
        <w:rPr>
          <w:rFonts w:ascii="宋体" w:hAnsi="宋体" w:cs="宋体"/>
          <w:color w:val="auto"/>
          <w:szCs w:val="21"/>
          <w:highlight w:val="none"/>
        </w:rPr>
      </w:pPr>
      <w:r>
        <w:rPr>
          <w:rFonts w:hint="eastAsia" w:ascii="黑体" w:hAnsi="黑体" w:eastAsia="黑体" w:cs="黑体"/>
          <w:color w:val="auto"/>
          <w:sz w:val="28"/>
          <w:szCs w:val="28"/>
          <w:highlight w:val="none"/>
        </w:rPr>
        <w:t>附件</w:t>
      </w:r>
      <w:r>
        <w:rPr>
          <w:rFonts w:hint="eastAsia" w:eastAsia="黑体" w:cs="黑体"/>
          <w:color w:val="auto"/>
          <w:sz w:val="28"/>
          <w:szCs w:val="28"/>
          <w:highlight w:val="none"/>
        </w:rPr>
        <w:t>1</w:t>
      </w:r>
    </w:p>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承包人承揽工程项目一览表</w:t>
      </w:r>
    </w:p>
    <w:tbl>
      <w:tblPr>
        <w:tblStyle w:val="25"/>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1843"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1417"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2410"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850"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1560"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2126"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1417"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851"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c>
          <w:tcPr>
            <w:tcW w:w="850" w:type="dxa"/>
            <w:tcBorders>
              <w:top w:val="single" w:color="auto" w:sz="12" w:space="0"/>
              <w:bottom w:val="double" w:color="auto" w:sz="6" w:space="0"/>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1843"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1417"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2410"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850"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1560"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2126"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1417"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851" w:type="dxa"/>
            <w:tcBorders>
              <w:top w:val="double" w:color="auto" w:sz="6" w:space="0"/>
              <w:bottom w:val="single" w:color="auto" w:sz="6" w:space="0"/>
            </w:tcBorders>
            <w:vAlign w:val="center"/>
          </w:tcPr>
          <w:p>
            <w:pPr>
              <w:pStyle w:val="9"/>
              <w:rPr>
                <w:rFonts w:ascii="宋体" w:hAnsi="宋体" w:cs="宋体"/>
                <w:color w:val="auto"/>
                <w:szCs w:val="21"/>
                <w:highlight w:val="none"/>
              </w:rPr>
            </w:pPr>
          </w:p>
        </w:tc>
        <w:tc>
          <w:tcPr>
            <w:tcW w:w="850" w:type="dxa"/>
            <w:tcBorders>
              <w:top w:val="double" w:color="auto" w:sz="6" w:space="0"/>
              <w:bottom w:val="single" w:color="auto" w:sz="6" w:space="0"/>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9"/>
              <w:rPr>
                <w:rFonts w:ascii="宋体" w:hAnsi="宋体" w:cs="宋体"/>
                <w:color w:val="auto"/>
                <w:szCs w:val="21"/>
                <w:highlight w:val="none"/>
              </w:rPr>
            </w:pPr>
          </w:p>
        </w:tc>
        <w:tc>
          <w:tcPr>
            <w:tcW w:w="1843"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2410"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c>
          <w:tcPr>
            <w:tcW w:w="1560" w:type="dxa"/>
            <w:vAlign w:val="center"/>
          </w:tcPr>
          <w:p>
            <w:pPr>
              <w:pStyle w:val="9"/>
              <w:rPr>
                <w:rFonts w:ascii="宋体" w:hAnsi="宋体" w:cs="宋体"/>
                <w:color w:val="auto"/>
                <w:szCs w:val="21"/>
                <w:highlight w:val="none"/>
              </w:rPr>
            </w:pPr>
          </w:p>
        </w:tc>
        <w:tc>
          <w:tcPr>
            <w:tcW w:w="2126"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851"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9"/>
              <w:rPr>
                <w:rFonts w:ascii="宋体" w:hAnsi="宋体" w:cs="宋体"/>
                <w:color w:val="auto"/>
                <w:szCs w:val="21"/>
                <w:highlight w:val="none"/>
              </w:rPr>
            </w:pPr>
          </w:p>
        </w:tc>
        <w:tc>
          <w:tcPr>
            <w:tcW w:w="1843"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2410"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c>
          <w:tcPr>
            <w:tcW w:w="1560" w:type="dxa"/>
            <w:vAlign w:val="center"/>
          </w:tcPr>
          <w:p>
            <w:pPr>
              <w:pStyle w:val="9"/>
              <w:rPr>
                <w:rFonts w:ascii="宋体" w:hAnsi="宋体" w:cs="宋体"/>
                <w:color w:val="auto"/>
                <w:szCs w:val="21"/>
                <w:highlight w:val="none"/>
              </w:rPr>
            </w:pPr>
          </w:p>
        </w:tc>
        <w:tc>
          <w:tcPr>
            <w:tcW w:w="2126"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851"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9"/>
              <w:rPr>
                <w:rFonts w:ascii="宋体" w:hAnsi="宋体" w:cs="宋体"/>
                <w:color w:val="auto"/>
                <w:szCs w:val="21"/>
                <w:highlight w:val="none"/>
              </w:rPr>
            </w:pPr>
          </w:p>
        </w:tc>
        <w:tc>
          <w:tcPr>
            <w:tcW w:w="1843"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2410"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c>
          <w:tcPr>
            <w:tcW w:w="1560" w:type="dxa"/>
            <w:vAlign w:val="center"/>
          </w:tcPr>
          <w:p>
            <w:pPr>
              <w:pStyle w:val="9"/>
              <w:rPr>
                <w:rFonts w:ascii="宋体" w:hAnsi="宋体" w:cs="宋体"/>
                <w:color w:val="auto"/>
                <w:szCs w:val="21"/>
                <w:highlight w:val="none"/>
              </w:rPr>
            </w:pPr>
          </w:p>
        </w:tc>
        <w:tc>
          <w:tcPr>
            <w:tcW w:w="2126"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851"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9"/>
              <w:rPr>
                <w:rFonts w:ascii="宋体" w:hAnsi="宋体" w:cs="宋体"/>
                <w:color w:val="auto"/>
                <w:szCs w:val="21"/>
                <w:highlight w:val="none"/>
              </w:rPr>
            </w:pPr>
          </w:p>
        </w:tc>
        <w:tc>
          <w:tcPr>
            <w:tcW w:w="1843"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2410"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c>
          <w:tcPr>
            <w:tcW w:w="1560" w:type="dxa"/>
            <w:tcBorders>
              <w:top w:val="nil"/>
            </w:tcBorders>
            <w:vAlign w:val="center"/>
          </w:tcPr>
          <w:p>
            <w:pPr>
              <w:pStyle w:val="9"/>
              <w:rPr>
                <w:rFonts w:ascii="宋体" w:hAnsi="宋体" w:cs="宋体"/>
                <w:color w:val="auto"/>
                <w:szCs w:val="21"/>
                <w:highlight w:val="none"/>
              </w:rPr>
            </w:pPr>
          </w:p>
        </w:tc>
        <w:tc>
          <w:tcPr>
            <w:tcW w:w="2126" w:type="dxa"/>
            <w:tcBorders>
              <w:top w:val="nil"/>
            </w:tcBorders>
            <w:vAlign w:val="center"/>
          </w:tcPr>
          <w:p>
            <w:pPr>
              <w:pStyle w:val="9"/>
              <w:rPr>
                <w:rFonts w:ascii="宋体" w:hAnsi="宋体" w:cs="宋体"/>
                <w:color w:val="auto"/>
                <w:szCs w:val="21"/>
                <w:highlight w:val="none"/>
              </w:rPr>
            </w:pPr>
          </w:p>
        </w:tc>
        <w:tc>
          <w:tcPr>
            <w:tcW w:w="1417" w:type="dxa"/>
            <w:tcBorders>
              <w:top w:val="nil"/>
            </w:tcBorders>
            <w:vAlign w:val="center"/>
          </w:tcPr>
          <w:p>
            <w:pPr>
              <w:pStyle w:val="9"/>
              <w:rPr>
                <w:rFonts w:ascii="宋体" w:hAnsi="宋体" w:cs="宋体"/>
                <w:color w:val="auto"/>
                <w:szCs w:val="21"/>
                <w:highlight w:val="none"/>
              </w:rPr>
            </w:pPr>
          </w:p>
        </w:tc>
        <w:tc>
          <w:tcPr>
            <w:tcW w:w="851" w:type="dxa"/>
            <w:tcBorders>
              <w:top w:val="nil"/>
            </w:tcBorders>
            <w:vAlign w:val="center"/>
          </w:tcPr>
          <w:p>
            <w:pPr>
              <w:pStyle w:val="9"/>
              <w:rPr>
                <w:rFonts w:ascii="宋体" w:hAnsi="宋体" w:cs="宋体"/>
                <w:color w:val="auto"/>
                <w:szCs w:val="21"/>
                <w:highlight w:val="none"/>
              </w:rPr>
            </w:pPr>
          </w:p>
        </w:tc>
        <w:tc>
          <w:tcPr>
            <w:tcW w:w="850" w:type="dxa"/>
            <w:tcBorders>
              <w:top w:val="nil"/>
            </w:tcBorders>
            <w:vAlign w:val="center"/>
          </w:tcPr>
          <w:p>
            <w:pPr>
              <w:pStyle w:val="9"/>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9"/>
              <w:rPr>
                <w:rFonts w:ascii="宋体" w:hAnsi="宋体" w:cs="宋体"/>
                <w:color w:val="auto"/>
                <w:szCs w:val="21"/>
                <w:highlight w:val="none"/>
              </w:rPr>
            </w:pPr>
          </w:p>
        </w:tc>
        <w:tc>
          <w:tcPr>
            <w:tcW w:w="1843"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2410"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c>
          <w:tcPr>
            <w:tcW w:w="1560" w:type="dxa"/>
            <w:vAlign w:val="center"/>
          </w:tcPr>
          <w:p>
            <w:pPr>
              <w:pStyle w:val="9"/>
              <w:rPr>
                <w:rFonts w:ascii="宋体" w:hAnsi="宋体" w:cs="宋体"/>
                <w:color w:val="auto"/>
                <w:szCs w:val="21"/>
                <w:highlight w:val="none"/>
              </w:rPr>
            </w:pPr>
          </w:p>
        </w:tc>
        <w:tc>
          <w:tcPr>
            <w:tcW w:w="2126" w:type="dxa"/>
            <w:vAlign w:val="center"/>
          </w:tcPr>
          <w:p>
            <w:pPr>
              <w:pStyle w:val="9"/>
              <w:rPr>
                <w:rFonts w:ascii="宋体" w:hAnsi="宋体" w:cs="宋体"/>
                <w:color w:val="auto"/>
                <w:szCs w:val="21"/>
                <w:highlight w:val="none"/>
              </w:rPr>
            </w:pPr>
          </w:p>
        </w:tc>
        <w:tc>
          <w:tcPr>
            <w:tcW w:w="1417" w:type="dxa"/>
            <w:vAlign w:val="center"/>
          </w:tcPr>
          <w:p>
            <w:pPr>
              <w:pStyle w:val="9"/>
              <w:rPr>
                <w:rFonts w:ascii="宋体" w:hAnsi="宋体" w:cs="宋体"/>
                <w:color w:val="auto"/>
                <w:szCs w:val="21"/>
                <w:highlight w:val="none"/>
              </w:rPr>
            </w:pPr>
          </w:p>
        </w:tc>
        <w:tc>
          <w:tcPr>
            <w:tcW w:w="851" w:type="dxa"/>
            <w:vAlign w:val="center"/>
          </w:tcPr>
          <w:p>
            <w:pPr>
              <w:pStyle w:val="9"/>
              <w:rPr>
                <w:rFonts w:ascii="宋体" w:hAnsi="宋体" w:cs="宋体"/>
                <w:color w:val="auto"/>
                <w:szCs w:val="21"/>
                <w:highlight w:val="none"/>
              </w:rPr>
            </w:pPr>
          </w:p>
        </w:tc>
        <w:tc>
          <w:tcPr>
            <w:tcW w:w="850" w:type="dxa"/>
            <w:vAlign w:val="center"/>
          </w:tcPr>
          <w:p>
            <w:pPr>
              <w:pStyle w:val="9"/>
              <w:rPr>
                <w:rFonts w:ascii="宋体" w:hAnsi="宋体" w:cs="宋体"/>
                <w:color w:val="auto"/>
                <w:szCs w:val="21"/>
                <w:highlight w:val="none"/>
              </w:rPr>
            </w:pPr>
          </w:p>
        </w:tc>
      </w:tr>
    </w:tbl>
    <w:p>
      <w:pPr>
        <w:spacing w:line="440" w:lineRule="exact"/>
        <w:rPr>
          <w:rFonts w:ascii="宋体" w:hAnsi="宋体" w:cs="宋体"/>
          <w:b/>
          <w:color w:val="auto"/>
          <w:szCs w:val="21"/>
          <w:highlight w:val="none"/>
        </w:rPr>
        <w:sectPr>
          <w:pgSz w:w="16838" w:h="11906" w:orient="landscape"/>
          <w:pgMar w:top="1553" w:right="1418" w:bottom="1531" w:left="1418" w:header="851" w:footer="992" w:gutter="0"/>
          <w:cols w:space="0" w:num="1"/>
          <w:titlePg/>
          <w:docGrid w:linePitch="312" w:charSpace="0"/>
        </w:sectPr>
      </w:pP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附</w:t>
      </w:r>
      <w:bookmarkStart w:id="2260" w:name="_Toc296347224"/>
      <w:bookmarkStart w:id="2261" w:name="_Toc267261692"/>
      <w:bookmarkStart w:id="2262" w:name="_Toc296503225"/>
      <w:bookmarkStart w:id="2263" w:name="_Toc296891265"/>
      <w:bookmarkStart w:id="2264" w:name="_Toc296944564"/>
      <w:bookmarkStart w:id="2265" w:name="_Toc296891053"/>
      <w:bookmarkStart w:id="2266" w:name="_Toc296346726"/>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2</w:t>
      </w:r>
    </w:p>
    <w:bookmarkEnd w:id="2260"/>
    <w:bookmarkEnd w:id="2261"/>
    <w:bookmarkEnd w:id="2262"/>
    <w:bookmarkEnd w:id="2263"/>
    <w:bookmarkEnd w:id="2264"/>
    <w:bookmarkEnd w:id="2265"/>
    <w:bookmarkEnd w:id="2266"/>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发包人供应材料设备一览表</w:t>
      </w:r>
    </w:p>
    <w:tbl>
      <w:tblPr>
        <w:tblStyle w:val="25"/>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序号</w:t>
            </w:r>
          </w:p>
        </w:tc>
        <w:tc>
          <w:tcPr>
            <w:tcW w:w="1276"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材料、</w:t>
            </w:r>
          </w:p>
          <w:p>
            <w:pPr>
              <w:pStyle w:val="9"/>
              <w:ind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设备品种</w:t>
            </w:r>
          </w:p>
        </w:tc>
        <w:tc>
          <w:tcPr>
            <w:tcW w:w="1418"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规格型号</w:t>
            </w:r>
          </w:p>
        </w:tc>
        <w:tc>
          <w:tcPr>
            <w:tcW w:w="940"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单位</w:t>
            </w:r>
          </w:p>
        </w:tc>
        <w:tc>
          <w:tcPr>
            <w:tcW w:w="851"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数量</w:t>
            </w:r>
          </w:p>
        </w:tc>
        <w:tc>
          <w:tcPr>
            <w:tcW w:w="1044"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单价（元）</w:t>
            </w:r>
          </w:p>
        </w:tc>
        <w:tc>
          <w:tcPr>
            <w:tcW w:w="992"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质量等级</w:t>
            </w:r>
          </w:p>
        </w:tc>
        <w:tc>
          <w:tcPr>
            <w:tcW w:w="851"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供应时间</w:t>
            </w:r>
          </w:p>
        </w:tc>
        <w:tc>
          <w:tcPr>
            <w:tcW w:w="1487"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送达地点</w:t>
            </w:r>
          </w:p>
        </w:tc>
        <w:tc>
          <w:tcPr>
            <w:tcW w:w="992"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1276"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1418"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940"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851"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1044"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992"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851"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1487"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c>
          <w:tcPr>
            <w:tcW w:w="992" w:type="dxa"/>
            <w:tcBorders>
              <w:top w:val="double" w:color="auto" w:sz="6" w:space="0"/>
              <w:bottom w:val="single" w:color="auto" w:sz="6" w:space="0"/>
            </w:tcBorders>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9"/>
              <w:ind w:left="63" w:right="63"/>
              <w:rPr>
                <w:rFonts w:ascii="黑体" w:hAnsi="黑体" w:eastAsia="黑体" w:cs="黑体"/>
                <w:color w:val="auto"/>
                <w:sz w:val="20"/>
                <w:szCs w:val="20"/>
                <w:highlight w:val="none"/>
              </w:rPr>
            </w:pPr>
          </w:p>
        </w:tc>
        <w:tc>
          <w:tcPr>
            <w:tcW w:w="1276" w:type="dxa"/>
            <w:tcBorders>
              <w:top w:val="nil"/>
            </w:tcBorders>
            <w:vAlign w:val="center"/>
          </w:tcPr>
          <w:p>
            <w:pPr>
              <w:pStyle w:val="9"/>
              <w:ind w:left="63" w:right="63"/>
              <w:rPr>
                <w:rFonts w:ascii="黑体" w:hAnsi="黑体" w:eastAsia="黑体" w:cs="黑体"/>
                <w:color w:val="auto"/>
                <w:sz w:val="20"/>
                <w:szCs w:val="20"/>
                <w:highlight w:val="none"/>
              </w:rPr>
            </w:pPr>
          </w:p>
        </w:tc>
        <w:tc>
          <w:tcPr>
            <w:tcW w:w="1418" w:type="dxa"/>
            <w:tcBorders>
              <w:top w:val="nil"/>
            </w:tcBorders>
            <w:vAlign w:val="center"/>
          </w:tcPr>
          <w:p>
            <w:pPr>
              <w:pStyle w:val="9"/>
              <w:ind w:left="63" w:right="63"/>
              <w:rPr>
                <w:rFonts w:ascii="黑体" w:hAnsi="黑体" w:eastAsia="黑体" w:cs="黑体"/>
                <w:color w:val="auto"/>
                <w:sz w:val="20"/>
                <w:szCs w:val="20"/>
                <w:highlight w:val="none"/>
              </w:rPr>
            </w:pPr>
          </w:p>
        </w:tc>
        <w:tc>
          <w:tcPr>
            <w:tcW w:w="940" w:type="dxa"/>
            <w:tcBorders>
              <w:top w:val="nil"/>
            </w:tcBorders>
            <w:vAlign w:val="center"/>
          </w:tcPr>
          <w:p>
            <w:pPr>
              <w:pStyle w:val="9"/>
              <w:ind w:left="63" w:right="63"/>
              <w:rPr>
                <w:rFonts w:ascii="黑体" w:hAnsi="黑体" w:eastAsia="黑体" w:cs="黑体"/>
                <w:color w:val="auto"/>
                <w:sz w:val="20"/>
                <w:szCs w:val="20"/>
                <w:highlight w:val="none"/>
              </w:rPr>
            </w:pPr>
          </w:p>
        </w:tc>
        <w:tc>
          <w:tcPr>
            <w:tcW w:w="851" w:type="dxa"/>
            <w:tcBorders>
              <w:top w:val="nil"/>
            </w:tcBorders>
            <w:vAlign w:val="center"/>
          </w:tcPr>
          <w:p>
            <w:pPr>
              <w:pStyle w:val="9"/>
              <w:ind w:left="63" w:right="63"/>
              <w:rPr>
                <w:rFonts w:ascii="黑体" w:hAnsi="黑体" w:eastAsia="黑体" w:cs="黑体"/>
                <w:color w:val="auto"/>
                <w:sz w:val="20"/>
                <w:szCs w:val="20"/>
                <w:highlight w:val="none"/>
              </w:rPr>
            </w:pPr>
          </w:p>
        </w:tc>
        <w:tc>
          <w:tcPr>
            <w:tcW w:w="1044" w:type="dxa"/>
            <w:tcBorders>
              <w:top w:val="nil"/>
            </w:tcBorders>
            <w:vAlign w:val="center"/>
          </w:tcPr>
          <w:p>
            <w:pPr>
              <w:pStyle w:val="9"/>
              <w:ind w:left="63" w:right="63"/>
              <w:rPr>
                <w:rFonts w:ascii="黑体" w:hAnsi="黑体" w:eastAsia="黑体" w:cs="黑体"/>
                <w:color w:val="auto"/>
                <w:sz w:val="20"/>
                <w:szCs w:val="20"/>
                <w:highlight w:val="none"/>
              </w:rPr>
            </w:pPr>
          </w:p>
        </w:tc>
        <w:tc>
          <w:tcPr>
            <w:tcW w:w="992" w:type="dxa"/>
            <w:tcBorders>
              <w:top w:val="nil"/>
            </w:tcBorders>
            <w:vAlign w:val="center"/>
          </w:tcPr>
          <w:p>
            <w:pPr>
              <w:pStyle w:val="9"/>
              <w:ind w:left="63" w:right="63"/>
              <w:rPr>
                <w:rFonts w:ascii="黑体" w:hAnsi="黑体" w:eastAsia="黑体" w:cs="黑体"/>
                <w:color w:val="auto"/>
                <w:sz w:val="20"/>
                <w:szCs w:val="20"/>
                <w:highlight w:val="none"/>
              </w:rPr>
            </w:pPr>
          </w:p>
        </w:tc>
        <w:tc>
          <w:tcPr>
            <w:tcW w:w="851" w:type="dxa"/>
            <w:tcBorders>
              <w:top w:val="nil"/>
            </w:tcBorders>
            <w:vAlign w:val="center"/>
          </w:tcPr>
          <w:p>
            <w:pPr>
              <w:pStyle w:val="9"/>
              <w:ind w:left="63" w:right="63"/>
              <w:rPr>
                <w:rFonts w:ascii="黑体" w:hAnsi="黑体" w:eastAsia="黑体" w:cs="黑体"/>
                <w:color w:val="auto"/>
                <w:sz w:val="20"/>
                <w:szCs w:val="20"/>
                <w:highlight w:val="none"/>
              </w:rPr>
            </w:pPr>
          </w:p>
        </w:tc>
        <w:tc>
          <w:tcPr>
            <w:tcW w:w="1487" w:type="dxa"/>
            <w:tcBorders>
              <w:top w:val="nil"/>
            </w:tcBorders>
            <w:vAlign w:val="center"/>
          </w:tcPr>
          <w:p>
            <w:pPr>
              <w:pStyle w:val="9"/>
              <w:ind w:left="63" w:right="63"/>
              <w:rPr>
                <w:rFonts w:ascii="黑体" w:hAnsi="黑体" w:eastAsia="黑体" w:cs="黑体"/>
                <w:color w:val="auto"/>
                <w:sz w:val="20"/>
                <w:szCs w:val="20"/>
                <w:highlight w:val="none"/>
              </w:rPr>
            </w:pPr>
          </w:p>
        </w:tc>
        <w:tc>
          <w:tcPr>
            <w:tcW w:w="992" w:type="dxa"/>
            <w:tcBorders>
              <w:top w:val="nil"/>
            </w:tcBorders>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ind w:left="63" w:right="63"/>
              <w:rPr>
                <w:rFonts w:ascii="黑体" w:hAnsi="黑体" w:eastAsia="黑体" w:cs="黑体"/>
                <w:color w:val="auto"/>
                <w:sz w:val="20"/>
                <w:szCs w:val="20"/>
                <w:highlight w:val="none"/>
              </w:rPr>
            </w:pPr>
          </w:p>
        </w:tc>
        <w:tc>
          <w:tcPr>
            <w:tcW w:w="1276" w:type="dxa"/>
            <w:vAlign w:val="center"/>
          </w:tcPr>
          <w:p>
            <w:pPr>
              <w:pStyle w:val="9"/>
              <w:ind w:left="63" w:right="63"/>
              <w:rPr>
                <w:rFonts w:ascii="黑体" w:hAnsi="黑体" w:eastAsia="黑体" w:cs="黑体"/>
                <w:color w:val="auto"/>
                <w:sz w:val="20"/>
                <w:szCs w:val="20"/>
                <w:highlight w:val="none"/>
              </w:rPr>
            </w:pPr>
          </w:p>
        </w:tc>
        <w:tc>
          <w:tcPr>
            <w:tcW w:w="1418" w:type="dxa"/>
            <w:vAlign w:val="center"/>
          </w:tcPr>
          <w:p>
            <w:pPr>
              <w:pStyle w:val="9"/>
              <w:ind w:left="63" w:right="63"/>
              <w:rPr>
                <w:rFonts w:ascii="黑体" w:hAnsi="黑体" w:eastAsia="黑体" w:cs="黑体"/>
                <w:color w:val="auto"/>
                <w:sz w:val="20"/>
                <w:szCs w:val="20"/>
                <w:highlight w:val="none"/>
              </w:rPr>
            </w:pPr>
          </w:p>
        </w:tc>
        <w:tc>
          <w:tcPr>
            <w:tcW w:w="940"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044"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c>
          <w:tcPr>
            <w:tcW w:w="851" w:type="dxa"/>
            <w:vAlign w:val="center"/>
          </w:tcPr>
          <w:p>
            <w:pPr>
              <w:pStyle w:val="9"/>
              <w:ind w:left="63" w:right="63"/>
              <w:rPr>
                <w:rFonts w:ascii="黑体" w:hAnsi="黑体" w:eastAsia="黑体" w:cs="黑体"/>
                <w:color w:val="auto"/>
                <w:sz w:val="20"/>
                <w:szCs w:val="20"/>
                <w:highlight w:val="none"/>
              </w:rPr>
            </w:pPr>
          </w:p>
        </w:tc>
        <w:tc>
          <w:tcPr>
            <w:tcW w:w="1487" w:type="dxa"/>
            <w:vAlign w:val="center"/>
          </w:tcPr>
          <w:p>
            <w:pPr>
              <w:pStyle w:val="9"/>
              <w:ind w:left="63" w:right="63"/>
              <w:rPr>
                <w:rFonts w:ascii="黑体" w:hAnsi="黑体" w:eastAsia="黑体" w:cs="黑体"/>
                <w:color w:val="auto"/>
                <w:sz w:val="20"/>
                <w:szCs w:val="20"/>
                <w:highlight w:val="none"/>
              </w:rPr>
            </w:pPr>
          </w:p>
        </w:tc>
        <w:tc>
          <w:tcPr>
            <w:tcW w:w="992" w:type="dxa"/>
            <w:vAlign w:val="center"/>
          </w:tcPr>
          <w:p>
            <w:pPr>
              <w:pStyle w:val="9"/>
              <w:ind w:left="63" w:right="63"/>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黑体" w:hAnsi="黑体" w:eastAsia="黑体" w:cs="黑体"/>
                <w:color w:val="auto"/>
                <w:sz w:val="20"/>
                <w:szCs w:val="20"/>
                <w:highlight w:val="none"/>
              </w:rPr>
            </w:pPr>
          </w:p>
        </w:tc>
        <w:tc>
          <w:tcPr>
            <w:tcW w:w="1276" w:type="dxa"/>
            <w:vAlign w:val="center"/>
          </w:tcPr>
          <w:p>
            <w:pPr>
              <w:jc w:val="center"/>
              <w:rPr>
                <w:rFonts w:ascii="黑体" w:hAnsi="黑体" w:eastAsia="黑体" w:cs="黑体"/>
                <w:color w:val="auto"/>
                <w:sz w:val="20"/>
                <w:szCs w:val="20"/>
                <w:highlight w:val="none"/>
              </w:rPr>
            </w:pPr>
          </w:p>
        </w:tc>
        <w:tc>
          <w:tcPr>
            <w:tcW w:w="1418" w:type="dxa"/>
            <w:vAlign w:val="center"/>
          </w:tcPr>
          <w:p>
            <w:pPr>
              <w:jc w:val="center"/>
              <w:rPr>
                <w:rFonts w:ascii="黑体" w:hAnsi="黑体" w:eastAsia="黑体" w:cs="黑体"/>
                <w:color w:val="auto"/>
                <w:sz w:val="20"/>
                <w:szCs w:val="20"/>
                <w:highlight w:val="none"/>
              </w:rPr>
            </w:pPr>
          </w:p>
        </w:tc>
        <w:tc>
          <w:tcPr>
            <w:tcW w:w="940"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044"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c>
          <w:tcPr>
            <w:tcW w:w="851" w:type="dxa"/>
            <w:vAlign w:val="center"/>
          </w:tcPr>
          <w:p>
            <w:pPr>
              <w:jc w:val="center"/>
              <w:rPr>
                <w:rFonts w:ascii="黑体" w:hAnsi="黑体" w:eastAsia="黑体" w:cs="黑体"/>
                <w:color w:val="auto"/>
                <w:sz w:val="20"/>
                <w:szCs w:val="20"/>
                <w:highlight w:val="none"/>
              </w:rPr>
            </w:pPr>
          </w:p>
        </w:tc>
        <w:tc>
          <w:tcPr>
            <w:tcW w:w="1487" w:type="dxa"/>
            <w:vAlign w:val="center"/>
          </w:tcPr>
          <w:p>
            <w:pPr>
              <w:jc w:val="center"/>
              <w:rPr>
                <w:rFonts w:ascii="黑体" w:hAnsi="黑体" w:eastAsia="黑体" w:cs="黑体"/>
                <w:color w:val="auto"/>
                <w:sz w:val="20"/>
                <w:szCs w:val="20"/>
                <w:highlight w:val="none"/>
              </w:rPr>
            </w:pPr>
          </w:p>
        </w:tc>
        <w:tc>
          <w:tcPr>
            <w:tcW w:w="992" w:type="dxa"/>
            <w:vAlign w:val="center"/>
          </w:tcPr>
          <w:p>
            <w:pPr>
              <w:jc w:val="center"/>
              <w:rPr>
                <w:rFonts w:ascii="黑体" w:hAnsi="黑体" w:eastAsia="黑体" w:cs="黑体"/>
                <w:color w:val="auto"/>
                <w:sz w:val="20"/>
                <w:szCs w:val="20"/>
                <w:highlight w:val="none"/>
              </w:rPr>
            </w:pPr>
          </w:p>
        </w:tc>
      </w:tr>
    </w:tbl>
    <w:p>
      <w:pPr>
        <w:spacing w:line="440" w:lineRule="exact"/>
        <w:rPr>
          <w:rFonts w:ascii="宋体" w:hAnsi="宋体" w:cs="宋体"/>
          <w:color w:val="auto"/>
          <w:szCs w:val="21"/>
          <w:highlight w:val="none"/>
        </w:rPr>
        <w:sectPr>
          <w:footerReference r:id="rId11" w:type="default"/>
          <w:footerReference r:id="rId12" w:type="even"/>
          <w:pgSz w:w="11906" w:h="16838"/>
          <w:pgMar w:top="2098" w:right="1446" w:bottom="1984" w:left="1446" w:header="851" w:footer="1446" w:gutter="0"/>
          <w:cols w:space="0" w:num="1"/>
          <w:docGrid w:linePitch="312" w:charSpace="0"/>
        </w:sectPr>
      </w:pPr>
    </w:p>
    <w:p>
      <w:pPr>
        <w:rPr>
          <w:rFonts w:ascii="宋体" w:hAnsi="宋体" w:cs="宋体"/>
          <w:color w:val="auto"/>
          <w:szCs w:val="21"/>
          <w:highlight w:val="none"/>
        </w:rPr>
      </w:pPr>
      <w:r>
        <w:rPr>
          <w:rFonts w:hint="eastAsia" w:ascii="黑体" w:hAnsi="黑体" w:eastAsia="黑体" w:cs="黑体"/>
          <w:color w:val="auto"/>
          <w:sz w:val="28"/>
          <w:szCs w:val="28"/>
          <w:highlight w:val="none"/>
        </w:rPr>
        <w:t>附</w:t>
      </w:r>
      <w:bookmarkStart w:id="2267" w:name="_Toc296944565"/>
      <w:bookmarkStart w:id="2268" w:name="_Toc267261693"/>
      <w:bookmarkStart w:id="2269" w:name="_Toc296891054"/>
      <w:bookmarkStart w:id="2270" w:name="_Toc296346727"/>
      <w:bookmarkStart w:id="2271" w:name="_Toc296503226"/>
      <w:bookmarkStart w:id="2272" w:name="_Toc296891266"/>
      <w:bookmarkStart w:id="2273" w:name="_Toc296347225"/>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3</w:t>
      </w:r>
      <w:bookmarkEnd w:id="2267"/>
      <w:bookmarkEnd w:id="2268"/>
      <w:bookmarkEnd w:id="2269"/>
      <w:bookmarkEnd w:id="2270"/>
      <w:bookmarkEnd w:id="2271"/>
      <w:bookmarkEnd w:id="2272"/>
      <w:bookmarkEnd w:id="2273"/>
    </w:p>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高标准农田建设工程质量保修书</w:t>
      </w:r>
    </w:p>
    <w:p>
      <w:pPr>
        <w:spacing w:line="336" w:lineRule="auto"/>
        <w:rPr>
          <w:rFonts w:ascii="黑体" w:hAnsi="宋体" w:eastAsia="黑体"/>
          <w:color w:val="auto"/>
          <w:sz w:val="24"/>
          <w:highlight w:val="none"/>
        </w:rPr>
      </w:pP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发包人：</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承包人：</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发包人、承包人根据《建设工程质量管理条例》和</w:t>
      </w:r>
      <w:r>
        <w:rPr>
          <w:rFonts w:hint="eastAsia"/>
          <w:color w:val="auto"/>
          <w:szCs w:val="21"/>
          <w:highlight w:val="none"/>
        </w:rPr>
        <w:t>《高标准农田建设通则》</w:t>
      </w:r>
      <w:r>
        <w:rPr>
          <w:rFonts w:hint="eastAsia" w:ascii="宋体" w:hAnsi="宋体"/>
          <w:color w:val="auto"/>
          <w:szCs w:val="21"/>
          <w:highlight w:val="none"/>
        </w:rPr>
        <w:t>，经协商一致，对(工程名称)_______项目签订保修书。</w:t>
      </w:r>
    </w:p>
    <w:p>
      <w:pPr>
        <w:spacing w:line="336" w:lineRule="auto"/>
        <w:ind w:firstLine="420" w:firstLineChars="200"/>
        <w:rPr>
          <w:rFonts w:ascii="宋体" w:hAnsi="宋体" w:cs="宋体"/>
          <w:color w:val="auto"/>
          <w:highlight w:val="none"/>
        </w:rPr>
      </w:pPr>
      <w:bookmarkStart w:id="2274" w:name="_Toc432082972"/>
      <w:bookmarkStart w:id="2275" w:name="_Toc519361723"/>
      <w:bookmarkStart w:id="2276" w:name="_Toc16274"/>
      <w:bookmarkStart w:id="2277" w:name="_Toc432378421"/>
      <w:bookmarkStart w:id="2278" w:name="_Toc469492608"/>
      <w:bookmarkStart w:id="2279" w:name="_Toc524949129"/>
      <w:bookmarkStart w:id="2280" w:name="_Toc456647829"/>
      <w:bookmarkStart w:id="2281" w:name="_Toc109149887"/>
      <w:bookmarkStart w:id="2282" w:name="_Toc433399487"/>
      <w:r>
        <w:rPr>
          <w:rFonts w:hint="eastAsia" w:ascii="宋体" w:hAnsi="宋体" w:cs="宋体"/>
          <w:color w:val="auto"/>
          <w:highlight w:val="none"/>
        </w:rPr>
        <w:t>一、工程保修范围和内容</w:t>
      </w:r>
      <w:bookmarkEnd w:id="2274"/>
      <w:bookmarkEnd w:id="2275"/>
      <w:bookmarkEnd w:id="2276"/>
      <w:bookmarkEnd w:id="2277"/>
      <w:bookmarkEnd w:id="2278"/>
      <w:bookmarkEnd w:id="2279"/>
      <w:bookmarkEnd w:id="2280"/>
      <w:bookmarkEnd w:id="2281"/>
      <w:bookmarkEnd w:id="2282"/>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承包人在保修期内，按照有关法律、法规、规章的管理规定和双方约定，承担本工程保修责任。</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保修责任范围包括（承包人名称）承建</w:t>
      </w:r>
      <w:r>
        <w:rPr>
          <w:rFonts w:ascii="宋体" w:hAnsi="宋体"/>
          <w:color w:val="auto"/>
          <w:szCs w:val="21"/>
          <w:highlight w:val="none"/>
        </w:rPr>
        <w:t>的</w:t>
      </w:r>
      <w:r>
        <w:rPr>
          <w:rFonts w:hint="eastAsia" w:ascii="宋体" w:hAnsi="宋体" w:cs="宋体"/>
          <w:color w:val="auto"/>
          <w:szCs w:val="21"/>
          <w:highlight w:val="none"/>
        </w:rPr>
        <w:t>高标准农田建设工程体系中的永久性建筑物、构筑物，含有：水源工程、输水工程、微喷灌工程、排水工程、渠系建筑物工程、泵站工程、田间道路工程、农田林网工程、岸坡防护工程、沟道治理工程、坡面防护工程、农田输配电工程</w:t>
      </w:r>
      <w:r>
        <w:rPr>
          <w:rFonts w:hint="eastAsia" w:ascii="宋体" w:hAnsi="宋体"/>
          <w:color w:val="auto"/>
          <w:szCs w:val="21"/>
          <w:highlight w:val="none"/>
        </w:rPr>
        <w:t>等以及双方约定的其他项目。具体保修的内容，双方约定如下：。</w:t>
      </w:r>
    </w:p>
    <w:p>
      <w:pPr>
        <w:spacing w:line="336" w:lineRule="auto"/>
        <w:ind w:firstLine="420" w:firstLineChars="200"/>
        <w:rPr>
          <w:rFonts w:ascii="宋体" w:hAnsi="宋体" w:cs="宋体"/>
          <w:color w:val="auto"/>
          <w:highlight w:val="none"/>
        </w:rPr>
      </w:pPr>
      <w:bookmarkStart w:id="2283" w:name="_Toc433399488"/>
      <w:bookmarkStart w:id="2284" w:name="_Toc519361724"/>
      <w:bookmarkStart w:id="2285" w:name="_Toc432378422"/>
      <w:bookmarkStart w:id="2286" w:name="_Toc456647830"/>
      <w:bookmarkStart w:id="2287" w:name="_Toc109149888"/>
      <w:bookmarkStart w:id="2288" w:name="_Toc469492609"/>
      <w:bookmarkStart w:id="2289" w:name="_Toc524949130"/>
      <w:bookmarkStart w:id="2290" w:name="_Toc241"/>
      <w:bookmarkStart w:id="2291" w:name="_Toc432082973"/>
      <w:r>
        <w:rPr>
          <w:rFonts w:hint="eastAsia" w:ascii="宋体" w:hAnsi="宋体" w:cs="宋体"/>
          <w:color w:val="auto"/>
          <w:highlight w:val="none"/>
        </w:rPr>
        <w:t>二、保修期</w:t>
      </w:r>
      <w:bookmarkEnd w:id="2283"/>
      <w:bookmarkEnd w:id="2284"/>
      <w:bookmarkEnd w:id="2285"/>
      <w:bookmarkEnd w:id="2286"/>
      <w:bookmarkEnd w:id="2287"/>
      <w:bookmarkEnd w:id="2288"/>
      <w:bookmarkEnd w:id="2289"/>
      <w:bookmarkEnd w:id="2290"/>
      <w:bookmarkEnd w:id="2291"/>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双方根据合同及有关规定，约定本工程的保修期如下：</w:t>
      </w:r>
    </w:p>
    <w:p>
      <w:pPr>
        <w:spacing w:line="336"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            以通过竣工验收之日起起算，从   年   月    日至    年   月    日。     </w:t>
      </w:r>
      <w:bookmarkStart w:id="2292" w:name="_Toc519361725"/>
      <w:bookmarkStart w:id="2293" w:name="_Toc3856"/>
      <w:bookmarkStart w:id="2294" w:name="_Toc469492610"/>
      <w:bookmarkStart w:id="2295" w:name="_Toc456647831"/>
      <w:bookmarkStart w:id="2296" w:name="_Toc432082974"/>
      <w:bookmarkStart w:id="2297" w:name="_Toc432378423"/>
      <w:bookmarkStart w:id="2298" w:name="_Toc524949131"/>
      <w:bookmarkStart w:id="2299" w:name="_Toc433399489"/>
      <w:bookmarkStart w:id="2300" w:name="_Toc109149889"/>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三、保修责任</w:t>
      </w:r>
      <w:bookmarkEnd w:id="2292"/>
      <w:bookmarkEnd w:id="2293"/>
      <w:bookmarkEnd w:id="2294"/>
      <w:bookmarkEnd w:id="2295"/>
      <w:bookmarkEnd w:id="2296"/>
      <w:bookmarkEnd w:id="2297"/>
      <w:bookmarkEnd w:id="2298"/>
      <w:bookmarkEnd w:id="2299"/>
      <w:bookmarkEnd w:id="2300"/>
    </w:p>
    <w:p>
      <w:pPr>
        <w:spacing w:line="336"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、属于责任范围、内容的项目，承包人应当在接到保修通知之日起</w:t>
      </w:r>
      <w:r>
        <w:rPr>
          <w:rFonts w:hint="eastAsia"/>
          <w:color w:val="auto"/>
          <w:szCs w:val="21"/>
          <w:highlight w:val="none"/>
        </w:rPr>
        <w:t>7</w:t>
      </w:r>
      <w:r>
        <w:rPr>
          <w:rFonts w:hint="eastAsia" w:ascii="宋体" w:hAnsi="宋体"/>
          <w:color w:val="auto"/>
          <w:szCs w:val="21"/>
          <w:highlight w:val="none"/>
        </w:rPr>
        <w:t>天内派人保修。承包人不在约定期限内派人保修的，发包人可以委托他人修理。</w:t>
      </w:r>
    </w:p>
    <w:p>
      <w:pPr>
        <w:spacing w:line="336" w:lineRule="auto"/>
        <w:ind w:firstLine="420" w:firstLineChars="200"/>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、发生紧急抢修事故的，承包人在接到事故通知后，应当立即到达事故现场抢修。</w:t>
      </w:r>
    </w:p>
    <w:p>
      <w:pPr>
        <w:spacing w:line="336" w:lineRule="auto"/>
        <w:ind w:firstLine="420" w:firstLineChars="200"/>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、对于涉及结构安全的质量问题，应当按照有关的规定，立即向当地有关行政主管部门报告，采取安全防范措施；由原设计人或者具有相应资质等级的设计人提出保修方案，承包人实施保修。</w:t>
      </w:r>
    </w:p>
    <w:p>
      <w:pPr>
        <w:spacing w:line="336" w:lineRule="auto"/>
        <w:ind w:firstLine="420" w:firstLineChars="200"/>
        <w:rPr>
          <w:rFonts w:ascii="宋体" w:hAnsi="宋体"/>
          <w:color w:val="auto"/>
          <w:szCs w:val="21"/>
          <w:highlight w:val="none"/>
        </w:rPr>
      </w:pPr>
      <w:r>
        <w:rPr>
          <w:rFonts w:hint="eastAsia"/>
          <w:color w:val="auto"/>
          <w:szCs w:val="21"/>
          <w:highlight w:val="none"/>
        </w:rPr>
        <w:t>4</w:t>
      </w:r>
      <w:r>
        <w:rPr>
          <w:rFonts w:hint="eastAsia" w:ascii="宋体" w:hAnsi="宋体"/>
          <w:color w:val="auto"/>
          <w:szCs w:val="21"/>
          <w:highlight w:val="none"/>
        </w:rPr>
        <w:t>、质量保修完成后，由发包人组织验收。</w:t>
      </w:r>
    </w:p>
    <w:p>
      <w:pPr>
        <w:spacing w:line="336" w:lineRule="auto"/>
        <w:ind w:firstLine="420" w:firstLineChars="200"/>
        <w:rPr>
          <w:rFonts w:ascii="宋体" w:hAnsi="宋体" w:cs="宋体"/>
          <w:color w:val="auto"/>
          <w:highlight w:val="none"/>
        </w:rPr>
      </w:pPr>
      <w:bookmarkStart w:id="2301" w:name="_Toc20719"/>
      <w:bookmarkStart w:id="2302" w:name="_Toc432378424"/>
      <w:bookmarkStart w:id="2303" w:name="_Toc524949132"/>
      <w:bookmarkStart w:id="2304" w:name="_Toc432082975"/>
      <w:bookmarkStart w:id="2305" w:name="_Toc456647832"/>
      <w:bookmarkStart w:id="2306" w:name="_Toc519361726"/>
      <w:bookmarkStart w:id="2307" w:name="_Toc433399490"/>
      <w:bookmarkStart w:id="2308" w:name="_Toc109149890"/>
      <w:bookmarkStart w:id="2309" w:name="_Toc469492611"/>
      <w:r>
        <w:rPr>
          <w:rFonts w:hint="eastAsia" w:ascii="宋体" w:hAnsi="宋体" w:cs="宋体"/>
          <w:color w:val="auto"/>
          <w:highlight w:val="none"/>
        </w:rPr>
        <w:t>四、保修费用</w:t>
      </w:r>
      <w:bookmarkEnd w:id="2301"/>
      <w:bookmarkEnd w:id="2302"/>
      <w:bookmarkEnd w:id="2303"/>
      <w:bookmarkEnd w:id="2304"/>
      <w:bookmarkEnd w:id="2305"/>
      <w:bookmarkEnd w:id="2306"/>
      <w:bookmarkEnd w:id="2307"/>
      <w:bookmarkEnd w:id="2308"/>
      <w:bookmarkEnd w:id="2309"/>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保修费用由造成质量缺陷的责任方承担。</w:t>
      </w:r>
    </w:p>
    <w:p>
      <w:pPr>
        <w:spacing w:line="336" w:lineRule="auto"/>
        <w:ind w:firstLine="420" w:firstLineChars="200"/>
        <w:rPr>
          <w:rFonts w:ascii="宋体" w:hAnsi="宋体" w:cs="宋体"/>
          <w:color w:val="auto"/>
          <w:highlight w:val="none"/>
        </w:rPr>
      </w:pPr>
      <w:bookmarkStart w:id="2310" w:name="_Toc432082976"/>
      <w:bookmarkStart w:id="2311" w:name="_Toc109149891"/>
      <w:bookmarkStart w:id="2312" w:name="_Toc432378425"/>
      <w:bookmarkStart w:id="2313" w:name="_Toc433399491"/>
      <w:bookmarkStart w:id="2314" w:name="_Toc469492612"/>
      <w:bookmarkStart w:id="2315" w:name="_Toc24013"/>
      <w:bookmarkStart w:id="2316" w:name="_Toc456647833"/>
      <w:bookmarkStart w:id="2317" w:name="_Toc519361727"/>
      <w:bookmarkStart w:id="2318" w:name="_Toc524949133"/>
      <w:r>
        <w:rPr>
          <w:rFonts w:hint="eastAsia" w:ascii="宋体" w:hAnsi="宋体" w:cs="宋体"/>
          <w:color w:val="auto"/>
          <w:highlight w:val="none"/>
        </w:rPr>
        <w:t>五、其他</w:t>
      </w:r>
      <w:bookmarkEnd w:id="2310"/>
      <w:bookmarkEnd w:id="2311"/>
      <w:bookmarkEnd w:id="2312"/>
      <w:bookmarkEnd w:id="2313"/>
      <w:bookmarkEnd w:id="2314"/>
      <w:bookmarkEnd w:id="2315"/>
      <w:bookmarkEnd w:id="2316"/>
      <w:bookmarkEnd w:id="2317"/>
      <w:bookmarkEnd w:id="2318"/>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双方约定的其他工程保修责任事项：。</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本工程保修书，由施工合同发包人、承包人双方在竣工验收前共同签署，作为施工合同附件，其有效期限至保修期满。</w:t>
      </w:r>
    </w:p>
    <w:p>
      <w:pPr>
        <w:spacing w:line="336" w:lineRule="auto"/>
        <w:ind w:firstLine="420" w:firstLineChars="200"/>
        <w:rPr>
          <w:rFonts w:ascii="宋体" w:hAnsi="宋体"/>
          <w:color w:val="auto"/>
          <w:szCs w:val="21"/>
          <w:highlight w:val="none"/>
        </w:rPr>
      </w:pP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发包人：(公章)    承包人： (公章)</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法定地址：          法定地址：</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委托代理人：(签字)    委托代理人： (签字)</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传真：          传真：</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电子邮箱：          电子邮箱：</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开户银行：          开户银行：</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帐号：          帐号：</w:t>
      </w:r>
    </w:p>
    <w:p>
      <w:pPr>
        <w:spacing w:line="336"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          邮政编码：</w:t>
      </w:r>
    </w:p>
    <w:p>
      <w:pPr>
        <w:spacing w:line="336" w:lineRule="auto"/>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rPr>
          <w:rFonts w:ascii="宋体" w:hAnsi="宋体" w:cs="宋体"/>
          <w:color w:val="auto"/>
          <w:szCs w:val="21"/>
          <w:highlight w:val="none"/>
        </w:rPr>
      </w:pPr>
      <w:r>
        <w:rPr>
          <w:rFonts w:hint="eastAsia" w:ascii="黑体" w:hAnsi="黑体" w:eastAsia="黑体" w:cs="黑体"/>
          <w:color w:val="auto"/>
          <w:sz w:val="28"/>
          <w:szCs w:val="28"/>
          <w:highlight w:val="none"/>
        </w:rPr>
        <w:t>附件</w:t>
      </w:r>
      <w:r>
        <w:rPr>
          <w:rFonts w:hint="eastAsia" w:eastAsia="黑体" w:cs="黑体"/>
          <w:color w:val="auto"/>
          <w:sz w:val="28"/>
          <w:szCs w:val="28"/>
          <w:highlight w:val="none"/>
        </w:rPr>
        <w:t>4</w:t>
      </w:r>
    </w:p>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主要建设工程文件目录</w:t>
      </w:r>
    </w:p>
    <w:tbl>
      <w:tblPr>
        <w:tblStyle w:val="25"/>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Cs w:val="21"/>
                <w:highlight w:val="none"/>
              </w:rPr>
            </w:pPr>
            <w:r>
              <w:rPr>
                <w:rFonts w:hint="eastAsia" w:ascii="黑体" w:hAnsi="黑体" w:eastAsia="黑体" w:cs="黑体"/>
                <w:color w:val="auto"/>
                <w:szCs w:val="21"/>
                <w:highlight w:val="none"/>
              </w:rPr>
              <w:t>文件名称</w:t>
            </w:r>
          </w:p>
        </w:tc>
        <w:tc>
          <w:tcPr>
            <w:tcW w:w="1276"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Cs w:val="21"/>
                <w:highlight w:val="none"/>
              </w:rPr>
            </w:pPr>
            <w:r>
              <w:rPr>
                <w:rFonts w:hint="eastAsia" w:ascii="黑体" w:hAnsi="黑体" w:eastAsia="黑体" w:cs="黑体"/>
                <w:color w:val="auto"/>
                <w:szCs w:val="21"/>
                <w:highlight w:val="none"/>
              </w:rPr>
              <w:t>套数</w:t>
            </w:r>
          </w:p>
        </w:tc>
        <w:tc>
          <w:tcPr>
            <w:tcW w:w="1450"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Cs w:val="21"/>
                <w:highlight w:val="none"/>
              </w:rPr>
            </w:pPr>
            <w:r>
              <w:rPr>
                <w:rFonts w:hint="eastAsia" w:ascii="黑体" w:hAnsi="黑体" w:eastAsia="黑体" w:cs="黑体"/>
                <w:color w:val="auto"/>
                <w:szCs w:val="21"/>
                <w:highlight w:val="none"/>
              </w:rPr>
              <w:t>费用（元）</w:t>
            </w:r>
          </w:p>
        </w:tc>
        <w:tc>
          <w:tcPr>
            <w:tcW w:w="1243" w:type="dxa"/>
            <w:tcBorders>
              <w:top w:val="single" w:color="auto" w:sz="12" w:space="0"/>
              <w:bottom w:val="double" w:color="auto" w:sz="6" w:space="0"/>
            </w:tcBorders>
            <w:vAlign w:val="center"/>
          </w:tcPr>
          <w:p>
            <w:pPr>
              <w:pStyle w:val="9"/>
              <w:ind w:left="63" w:right="63"/>
              <w:jc w:val="center"/>
              <w:rPr>
                <w:rFonts w:ascii="黑体" w:hAnsi="黑体" w:eastAsia="黑体" w:cs="黑体"/>
                <w:color w:val="auto"/>
                <w:szCs w:val="21"/>
                <w:highlight w:val="none"/>
              </w:rPr>
            </w:pPr>
            <w:r>
              <w:rPr>
                <w:rFonts w:hint="eastAsia" w:ascii="黑体" w:hAnsi="黑体" w:eastAsia="黑体" w:cs="黑体"/>
                <w:color w:val="auto"/>
                <w:szCs w:val="21"/>
                <w:highlight w:val="none"/>
              </w:rPr>
              <w:t>质量</w:t>
            </w:r>
          </w:p>
        </w:tc>
        <w:tc>
          <w:tcPr>
            <w:tcW w:w="1450" w:type="dxa"/>
            <w:tcBorders>
              <w:top w:val="single" w:color="auto" w:sz="12" w:space="0"/>
              <w:bottom w:val="double" w:color="auto" w:sz="6" w:space="0"/>
            </w:tcBorders>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移交时间</w:t>
            </w:r>
          </w:p>
        </w:tc>
        <w:tc>
          <w:tcPr>
            <w:tcW w:w="1667" w:type="dxa"/>
            <w:tcBorders>
              <w:top w:val="single" w:color="auto" w:sz="12" w:space="0"/>
              <w:bottom w:val="double" w:color="auto" w:sz="6" w:space="0"/>
            </w:tcBorders>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c>
          <w:tcPr>
            <w:tcW w:w="1276"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c>
          <w:tcPr>
            <w:tcW w:w="1450"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c>
          <w:tcPr>
            <w:tcW w:w="1243"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c>
          <w:tcPr>
            <w:tcW w:w="1450"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c>
          <w:tcPr>
            <w:tcW w:w="1667" w:type="dxa"/>
            <w:tcBorders>
              <w:top w:val="double" w:color="auto" w:sz="6" w:space="0"/>
              <w:bottom w:val="single" w:color="auto" w:sz="6" w:space="0"/>
            </w:tcBorders>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Borders>
              <w:top w:val="nil"/>
            </w:tcBorders>
            <w:vAlign w:val="center"/>
          </w:tcPr>
          <w:p>
            <w:pPr>
              <w:pStyle w:val="9"/>
              <w:ind w:left="63" w:right="63"/>
              <w:rPr>
                <w:rFonts w:ascii="黑体" w:hAnsi="黑体" w:eastAsia="黑体" w:cs="黑体"/>
                <w:color w:val="auto"/>
                <w:szCs w:val="21"/>
                <w:highlight w:val="none"/>
              </w:rPr>
            </w:pPr>
          </w:p>
        </w:tc>
        <w:tc>
          <w:tcPr>
            <w:tcW w:w="1276" w:type="dxa"/>
            <w:tcBorders>
              <w:top w:val="nil"/>
            </w:tcBorders>
            <w:vAlign w:val="center"/>
          </w:tcPr>
          <w:p>
            <w:pPr>
              <w:pStyle w:val="9"/>
              <w:ind w:left="63" w:right="63"/>
              <w:rPr>
                <w:rFonts w:ascii="黑体" w:hAnsi="黑体" w:eastAsia="黑体" w:cs="黑体"/>
                <w:color w:val="auto"/>
                <w:szCs w:val="21"/>
                <w:highlight w:val="none"/>
              </w:rPr>
            </w:pPr>
          </w:p>
        </w:tc>
        <w:tc>
          <w:tcPr>
            <w:tcW w:w="1450" w:type="dxa"/>
            <w:tcBorders>
              <w:top w:val="nil"/>
            </w:tcBorders>
            <w:vAlign w:val="center"/>
          </w:tcPr>
          <w:p>
            <w:pPr>
              <w:pStyle w:val="9"/>
              <w:ind w:left="63" w:right="63"/>
              <w:rPr>
                <w:rFonts w:ascii="黑体" w:hAnsi="黑体" w:eastAsia="黑体" w:cs="黑体"/>
                <w:color w:val="auto"/>
                <w:szCs w:val="21"/>
                <w:highlight w:val="none"/>
              </w:rPr>
            </w:pPr>
          </w:p>
        </w:tc>
        <w:tc>
          <w:tcPr>
            <w:tcW w:w="1243" w:type="dxa"/>
            <w:tcBorders>
              <w:top w:val="nil"/>
            </w:tcBorders>
            <w:vAlign w:val="center"/>
          </w:tcPr>
          <w:p>
            <w:pPr>
              <w:pStyle w:val="9"/>
              <w:ind w:left="63" w:right="63"/>
              <w:rPr>
                <w:rFonts w:ascii="黑体" w:hAnsi="黑体" w:eastAsia="黑体" w:cs="黑体"/>
                <w:color w:val="auto"/>
                <w:szCs w:val="21"/>
                <w:highlight w:val="none"/>
              </w:rPr>
            </w:pPr>
          </w:p>
        </w:tc>
        <w:tc>
          <w:tcPr>
            <w:tcW w:w="1450" w:type="dxa"/>
            <w:tcBorders>
              <w:top w:val="nil"/>
            </w:tcBorders>
            <w:vAlign w:val="center"/>
          </w:tcPr>
          <w:p>
            <w:pPr>
              <w:pStyle w:val="9"/>
              <w:ind w:left="63" w:right="63"/>
              <w:rPr>
                <w:rFonts w:ascii="黑体" w:hAnsi="黑体" w:eastAsia="黑体" w:cs="黑体"/>
                <w:color w:val="auto"/>
                <w:szCs w:val="21"/>
                <w:highlight w:val="none"/>
              </w:rPr>
            </w:pPr>
          </w:p>
        </w:tc>
        <w:tc>
          <w:tcPr>
            <w:tcW w:w="1667" w:type="dxa"/>
            <w:tcBorders>
              <w:top w:val="nil"/>
            </w:tcBorders>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vAlign w:val="center"/>
          </w:tcPr>
          <w:p>
            <w:pPr>
              <w:pStyle w:val="9"/>
              <w:ind w:left="63" w:right="63"/>
              <w:rPr>
                <w:rFonts w:ascii="黑体" w:hAnsi="黑体" w:eastAsia="黑体" w:cs="黑体"/>
                <w:color w:val="auto"/>
                <w:szCs w:val="21"/>
                <w:highlight w:val="none"/>
              </w:rPr>
            </w:pPr>
          </w:p>
        </w:tc>
        <w:tc>
          <w:tcPr>
            <w:tcW w:w="1276"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243" w:type="dxa"/>
            <w:vAlign w:val="center"/>
          </w:tcPr>
          <w:p>
            <w:pPr>
              <w:pStyle w:val="9"/>
              <w:ind w:left="63" w:right="63"/>
              <w:rPr>
                <w:rFonts w:ascii="黑体" w:hAnsi="黑体" w:eastAsia="黑体" w:cs="黑体"/>
                <w:color w:val="auto"/>
                <w:szCs w:val="21"/>
                <w:highlight w:val="none"/>
              </w:rPr>
            </w:pPr>
          </w:p>
        </w:tc>
        <w:tc>
          <w:tcPr>
            <w:tcW w:w="1450" w:type="dxa"/>
            <w:vAlign w:val="center"/>
          </w:tcPr>
          <w:p>
            <w:pPr>
              <w:pStyle w:val="9"/>
              <w:ind w:left="63" w:right="63"/>
              <w:rPr>
                <w:rFonts w:ascii="黑体" w:hAnsi="黑体" w:eastAsia="黑体" w:cs="黑体"/>
                <w:color w:val="auto"/>
                <w:szCs w:val="21"/>
                <w:highlight w:val="none"/>
              </w:rPr>
            </w:pPr>
          </w:p>
        </w:tc>
        <w:tc>
          <w:tcPr>
            <w:tcW w:w="1667" w:type="dxa"/>
            <w:vAlign w:val="center"/>
          </w:tcPr>
          <w:p>
            <w:pPr>
              <w:pStyle w:val="9"/>
              <w:ind w:left="63" w:right="63"/>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953" w:type="dxa"/>
          </w:tcPr>
          <w:p>
            <w:pPr>
              <w:rPr>
                <w:rFonts w:ascii="黑体" w:hAnsi="黑体" w:eastAsia="黑体" w:cs="黑体"/>
                <w:color w:val="auto"/>
                <w:szCs w:val="21"/>
                <w:highlight w:val="none"/>
              </w:rPr>
            </w:pPr>
          </w:p>
        </w:tc>
        <w:tc>
          <w:tcPr>
            <w:tcW w:w="1276"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243" w:type="dxa"/>
          </w:tcPr>
          <w:p>
            <w:pPr>
              <w:rPr>
                <w:rFonts w:ascii="黑体" w:hAnsi="黑体" w:eastAsia="黑体" w:cs="黑体"/>
                <w:color w:val="auto"/>
                <w:szCs w:val="21"/>
                <w:highlight w:val="none"/>
              </w:rPr>
            </w:pPr>
          </w:p>
        </w:tc>
        <w:tc>
          <w:tcPr>
            <w:tcW w:w="1450" w:type="dxa"/>
          </w:tcPr>
          <w:p>
            <w:pPr>
              <w:rPr>
                <w:rFonts w:ascii="黑体" w:hAnsi="黑体" w:eastAsia="黑体" w:cs="黑体"/>
                <w:color w:val="auto"/>
                <w:szCs w:val="21"/>
                <w:highlight w:val="none"/>
              </w:rPr>
            </w:pPr>
          </w:p>
        </w:tc>
        <w:tc>
          <w:tcPr>
            <w:tcW w:w="1667" w:type="dxa"/>
          </w:tcPr>
          <w:p>
            <w:pPr>
              <w:rPr>
                <w:rFonts w:ascii="黑体" w:hAnsi="黑体" w:eastAsia="黑体" w:cs="黑体"/>
                <w:color w:val="auto"/>
                <w:szCs w:val="21"/>
                <w:highlight w:val="none"/>
              </w:rPr>
            </w:pPr>
          </w:p>
        </w:tc>
      </w:tr>
    </w:tbl>
    <w:p>
      <w:pPr>
        <w:spacing w:line="440" w:lineRule="exact"/>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rPr>
          <w:rFonts w:ascii="宋体" w:hAnsi="宋体" w:cs="宋体"/>
          <w:color w:val="auto"/>
          <w:szCs w:val="21"/>
          <w:highlight w:val="none"/>
        </w:rPr>
      </w:pPr>
      <w:r>
        <w:rPr>
          <w:rFonts w:hint="eastAsia" w:ascii="黑体" w:hAnsi="黑体" w:eastAsia="黑体" w:cs="黑体"/>
          <w:color w:val="auto"/>
          <w:sz w:val="28"/>
          <w:szCs w:val="28"/>
          <w:highlight w:val="none"/>
        </w:rPr>
        <w:t>附</w:t>
      </w:r>
      <w:bookmarkStart w:id="2319" w:name="_Toc267261698"/>
      <w:bookmarkStart w:id="2320" w:name="_Toc296503227"/>
      <w:bookmarkStart w:id="2321" w:name="_Toc296891055"/>
      <w:bookmarkStart w:id="2322" w:name="_Toc296891267"/>
      <w:bookmarkStart w:id="2323" w:name="_Toc296346728"/>
      <w:bookmarkStart w:id="2324" w:name="_Toc296347226"/>
      <w:bookmarkStart w:id="2325" w:name="_Toc296944566"/>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5</w:t>
      </w:r>
    </w:p>
    <w:bookmarkEnd w:id="2319"/>
    <w:bookmarkEnd w:id="2320"/>
    <w:bookmarkEnd w:id="2321"/>
    <w:bookmarkEnd w:id="2322"/>
    <w:bookmarkEnd w:id="2323"/>
    <w:bookmarkEnd w:id="2324"/>
    <w:bookmarkEnd w:id="2325"/>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承包人用于本工程施工的机械设备表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3"/>
        <w:gridCol w:w="1797"/>
        <w:gridCol w:w="1053"/>
        <w:gridCol w:w="855"/>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序号</w:t>
            </w:r>
          </w:p>
        </w:tc>
        <w:tc>
          <w:tcPr>
            <w:tcW w:w="1797"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机械或设备名称</w:t>
            </w:r>
          </w:p>
        </w:tc>
        <w:tc>
          <w:tcPr>
            <w:tcW w:w="1053"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规格型号</w:t>
            </w:r>
          </w:p>
        </w:tc>
        <w:tc>
          <w:tcPr>
            <w:tcW w:w="855"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数量</w:t>
            </w:r>
          </w:p>
        </w:tc>
        <w:tc>
          <w:tcPr>
            <w:tcW w:w="880"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产地</w:t>
            </w:r>
          </w:p>
        </w:tc>
        <w:tc>
          <w:tcPr>
            <w:tcW w:w="1020"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制造年份</w:t>
            </w:r>
          </w:p>
        </w:tc>
        <w:tc>
          <w:tcPr>
            <w:tcW w:w="1480"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额定功率(</w:t>
            </w:r>
            <w:r>
              <w:rPr>
                <w:rFonts w:hint="eastAsia" w:eastAsia="黑体" w:cs="黑体"/>
                <w:color w:val="auto"/>
                <w:sz w:val="20"/>
                <w:szCs w:val="20"/>
                <w:highlight w:val="none"/>
              </w:rPr>
              <w:t>kW</w:t>
            </w:r>
            <w:r>
              <w:rPr>
                <w:rFonts w:hint="eastAsia" w:ascii="黑体" w:hAnsi="黑体" w:eastAsia="黑体" w:cs="黑体"/>
                <w:color w:val="auto"/>
                <w:sz w:val="20"/>
                <w:szCs w:val="20"/>
                <w:highlight w:val="none"/>
              </w:rPr>
              <w:t>)</w:t>
            </w:r>
          </w:p>
        </w:tc>
        <w:tc>
          <w:tcPr>
            <w:tcW w:w="1020"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生产能力</w:t>
            </w:r>
          </w:p>
        </w:tc>
        <w:tc>
          <w:tcPr>
            <w:tcW w:w="921" w:type="dxa"/>
            <w:tcBorders>
              <w:top w:val="single" w:color="auto" w:sz="12" w:space="0"/>
              <w:bottom w:val="double" w:color="auto" w:sz="6" w:space="0"/>
            </w:tcBorders>
            <w:vAlign w:val="center"/>
          </w:tcPr>
          <w:p>
            <w:pPr>
              <w:pStyle w:val="9"/>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1797"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1053"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855"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880"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1020"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1480"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1020"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c>
          <w:tcPr>
            <w:tcW w:w="921" w:type="dxa"/>
            <w:tcBorders>
              <w:top w:val="double" w:color="auto" w:sz="6" w:space="0"/>
              <w:bottom w:val="single" w:color="auto" w:sz="6" w:space="0"/>
            </w:tcBorders>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Borders>
              <w:top w:val="nil"/>
            </w:tcBorders>
            <w:vAlign w:val="center"/>
          </w:tcPr>
          <w:p>
            <w:pPr>
              <w:pStyle w:val="9"/>
              <w:rPr>
                <w:rFonts w:ascii="宋体" w:hAnsi="宋体" w:cs="宋体"/>
                <w:color w:val="auto"/>
                <w:sz w:val="20"/>
                <w:szCs w:val="20"/>
                <w:highlight w:val="none"/>
              </w:rPr>
            </w:pPr>
          </w:p>
        </w:tc>
        <w:tc>
          <w:tcPr>
            <w:tcW w:w="1797" w:type="dxa"/>
            <w:tcBorders>
              <w:top w:val="nil"/>
            </w:tcBorders>
            <w:vAlign w:val="center"/>
          </w:tcPr>
          <w:p>
            <w:pPr>
              <w:pStyle w:val="9"/>
              <w:rPr>
                <w:rFonts w:ascii="宋体" w:hAnsi="宋体" w:cs="宋体"/>
                <w:color w:val="auto"/>
                <w:sz w:val="20"/>
                <w:szCs w:val="20"/>
                <w:highlight w:val="none"/>
              </w:rPr>
            </w:pPr>
          </w:p>
        </w:tc>
        <w:tc>
          <w:tcPr>
            <w:tcW w:w="1053" w:type="dxa"/>
            <w:tcBorders>
              <w:top w:val="nil"/>
            </w:tcBorders>
            <w:vAlign w:val="center"/>
          </w:tcPr>
          <w:p>
            <w:pPr>
              <w:pStyle w:val="9"/>
              <w:rPr>
                <w:rFonts w:ascii="宋体" w:hAnsi="宋体" w:cs="宋体"/>
                <w:color w:val="auto"/>
                <w:sz w:val="20"/>
                <w:szCs w:val="20"/>
                <w:highlight w:val="none"/>
              </w:rPr>
            </w:pPr>
          </w:p>
        </w:tc>
        <w:tc>
          <w:tcPr>
            <w:tcW w:w="855" w:type="dxa"/>
            <w:tcBorders>
              <w:top w:val="nil"/>
            </w:tcBorders>
            <w:vAlign w:val="center"/>
          </w:tcPr>
          <w:p>
            <w:pPr>
              <w:pStyle w:val="9"/>
              <w:rPr>
                <w:rFonts w:ascii="宋体" w:hAnsi="宋体" w:cs="宋体"/>
                <w:color w:val="auto"/>
                <w:sz w:val="20"/>
                <w:szCs w:val="20"/>
                <w:highlight w:val="none"/>
              </w:rPr>
            </w:pPr>
          </w:p>
        </w:tc>
        <w:tc>
          <w:tcPr>
            <w:tcW w:w="880" w:type="dxa"/>
            <w:tcBorders>
              <w:top w:val="nil"/>
            </w:tcBorders>
            <w:vAlign w:val="center"/>
          </w:tcPr>
          <w:p>
            <w:pPr>
              <w:pStyle w:val="9"/>
              <w:rPr>
                <w:rFonts w:ascii="宋体" w:hAnsi="宋体" w:cs="宋体"/>
                <w:color w:val="auto"/>
                <w:sz w:val="20"/>
                <w:szCs w:val="20"/>
                <w:highlight w:val="none"/>
              </w:rPr>
            </w:pPr>
          </w:p>
        </w:tc>
        <w:tc>
          <w:tcPr>
            <w:tcW w:w="1020" w:type="dxa"/>
            <w:tcBorders>
              <w:top w:val="nil"/>
            </w:tcBorders>
            <w:vAlign w:val="center"/>
          </w:tcPr>
          <w:p>
            <w:pPr>
              <w:pStyle w:val="9"/>
              <w:rPr>
                <w:rFonts w:ascii="宋体" w:hAnsi="宋体" w:cs="宋体"/>
                <w:color w:val="auto"/>
                <w:sz w:val="20"/>
                <w:szCs w:val="20"/>
                <w:highlight w:val="none"/>
              </w:rPr>
            </w:pPr>
          </w:p>
        </w:tc>
        <w:tc>
          <w:tcPr>
            <w:tcW w:w="1480" w:type="dxa"/>
            <w:tcBorders>
              <w:top w:val="nil"/>
            </w:tcBorders>
            <w:vAlign w:val="center"/>
          </w:tcPr>
          <w:p>
            <w:pPr>
              <w:pStyle w:val="9"/>
              <w:rPr>
                <w:rFonts w:ascii="宋体" w:hAnsi="宋体" w:cs="宋体"/>
                <w:color w:val="auto"/>
                <w:sz w:val="20"/>
                <w:szCs w:val="20"/>
                <w:highlight w:val="none"/>
              </w:rPr>
            </w:pPr>
          </w:p>
        </w:tc>
        <w:tc>
          <w:tcPr>
            <w:tcW w:w="1020" w:type="dxa"/>
            <w:tcBorders>
              <w:top w:val="nil"/>
            </w:tcBorders>
            <w:vAlign w:val="center"/>
          </w:tcPr>
          <w:p>
            <w:pPr>
              <w:pStyle w:val="9"/>
              <w:rPr>
                <w:rFonts w:ascii="宋体" w:hAnsi="宋体" w:cs="宋体"/>
                <w:color w:val="auto"/>
                <w:sz w:val="20"/>
                <w:szCs w:val="20"/>
                <w:highlight w:val="none"/>
              </w:rPr>
            </w:pPr>
          </w:p>
        </w:tc>
        <w:tc>
          <w:tcPr>
            <w:tcW w:w="921" w:type="dxa"/>
            <w:tcBorders>
              <w:top w:val="nil"/>
            </w:tcBorders>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vAlign w:val="center"/>
          </w:tcPr>
          <w:p>
            <w:pPr>
              <w:pStyle w:val="9"/>
              <w:rPr>
                <w:rFonts w:ascii="宋体" w:hAnsi="宋体" w:cs="宋体"/>
                <w:color w:val="auto"/>
                <w:sz w:val="20"/>
                <w:szCs w:val="20"/>
                <w:highlight w:val="none"/>
              </w:rPr>
            </w:pPr>
          </w:p>
        </w:tc>
        <w:tc>
          <w:tcPr>
            <w:tcW w:w="1797" w:type="dxa"/>
            <w:vAlign w:val="center"/>
          </w:tcPr>
          <w:p>
            <w:pPr>
              <w:pStyle w:val="9"/>
              <w:rPr>
                <w:rFonts w:ascii="宋体" w:hAnsi="宋体" w:cs="宋体"/>
                <w:color w:val="auto"/>
                <w:sz w:val="20"/>
                <w:szCs w:val="20"/>
                <w:highlight w:val="none"/>
              </w:rPr>
            </w:pPr>
          </w:p>
        </w:tc>
        <w:tc>
          <w:tcPr>
            <w:tcW w:w="1053" w:type="dxa"/>
            <w:vAlign w:val="center"/>
          </w:tcPr>
          <w:p>
            <w:pPr>
              <w:pStyle w:val="9"/>
              <w:rPr>
                <w:rFonts w:ascii="宋体" w:hAnsi="宋体" w:cs="宋体"/>
                <w:color w:val="auto"/>
                <w:sz w:val="20"/>
                <w:szCs w:val="20"/>
                <w:highlight w:val="none"/>
              </w:rPr>
            </w:pPr>
          </w:p>
        </w:tc>
        <w:tc>
          <w:tcPr>
            <w:tcW w:w="855" w:type="dxa"/>
            <w:vAlign w:val="center"/>
          </w:tcPr>
          <w:p>
            <w:pPr>
              <w:pStyle w:val="9"/>
              <w:rPr>
                <w:rFonts w:ascii="宋体" w:hAnsi="宋体" w:cs="宋体"/>
                <w:color w:val="auto"/>
                <w:sz w:val="20"/>
                <w:szCs w:val="20"/>
                <w:highlight w:val="none"/>
              </w:rPr>
            </w:pPr>
          </w:p>
        </w:tc>
        <w:tc>
          <w:tcPr>
            <w:tcW w:w="8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1480" w:type="dxa"/>
            <w:vAlign w:val="center"/>
          </w:tcPr>
          <w:p>
            <w:pPr>
              <w:pStyle w:val="9"/>
              <w:rPr>
                <w:rFonts w:ascii="宋体" w:hAnsi="宋体" w:cs="宋体"/>
                <w:color w:val="auto"/>
                <w:sz w:val="20"/>
                <w:szCs w:val="20"/>
                <w:highlight w:val="none"/>
              </w:rPr>
            </w:pPr>
          </w:p>
        </w:tc>
        <w:tc>
          <w:tcPr>
            <w:tcW w:w="1020" w:type="dxa"/>
            <w:vAlign w:val="center"/>
          </w:tcPr>
          <w:p>
            <w:pPr>
              <w:pStyle w:val="9"/>
              <w:rPr>
                <w:rFonts w:ascii="宋体" w:hAnsi="宋体" w:cs="宋体"/>
                <w:color w:val="auto"/>
                <w:sz w:val="20"/>
                <w:szCs w:val="20"/>
                <w:highlight w:val="none"/>
              </w:rPr>
            </w:pPr>
          </w:p>
        </w:tc>
        <w:tc>
          <w:tcPr>
            <w:tcW w:w="921" w:type="dxa"/>
            <w:vAlign w:val="center"/>
          </w:tcPr>
          <w:p>
            <w:pPr>
              <w:pStyle w:val="9"/>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3" w:type="dxa"/>
          </w:tcPr>
          <w:p>
            <w:pPr>
              <w:rPr>
                <w:rFonts w:ascii="宋体" w:hAnsi="宋体" w:cs="宋体"/>
                <w:color w:val="auto"/>
                <w:sz w:val="20"/>
                <w:szCs w:val="20"/>
                <w:highlight w:val="none"/>
              </w:rPr>
            </w:pPr>
          </w:p>
        </w:tc>
        <w:tc>
          <w:tcPr>
            <w:tcW w:w="1797" w:type="dxa"/>
          </w:tcPr>
          <w:p>
            <w:pPr>
              <w:rPr>
                <w:rFonts w:ascii="宋体" w:hAnsi="宋体" w:cs="宋体"/>
                <w:color w:val="auto"/>
                <w:sz w:val="20"/>
                <w:szCs w:val="20"/>
                <w:highlight w:val="none"/>
              </w:rPr>
            </w:pPr>
          </w:p>
        </w:tc>
        <w:tc>
          <w:tcPr>
            <w:tcW w:w="1053" w:type="dxa"/>
          </w:tcPr>
          <w:p>
            <w:pPr>
              <w:rPr>
                <w:rFonts w:ascii="宋体" w:hAnsi="宋体" w:cs="宋体"/>
                <w:color w:val="auto"/>
                <w:sz w:val="20"/>
                <w:szCs w:val="20"/>
                <w:highlight w:val="none"/>
              </w:rPr>
            </w:pPr>
          </w:p>
        </w:tc>
        <w:tc>
          <w:tcPr>
            <w:tcW w:w="855" w:type="dxa"/>
          </w:tcPr>
          <w:p>
            <w:pPr>
              <w:rPr>
                <w:rFonts w:ascii="宋体" w:hAnsi="宋体" w:cs="宋体"/>
                <w:color w:val="auto"/>
                <w:sz w:val="20"/>
                <w:szCs w:val="20"/>
                <w:highlight w:val="none"/>
              </w:rPr>
            </w:pPr>
          </w:p>
        </w:tc>
        <w:tc>
          <w:tcPr>
            <w:tcW w:w="8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1480" w:type="dxa"/>
          </w:tcPr>
          <w:p>
            <w:pPr>
              <w:rPr>
                <w:rFonts w:ascii="宋体" w:hAnsi="宋体" w:cs="宋体"/>
                <w:color w:val="auto"/>
                <w:sz w:val="20"/>
                <w:szCs w:val="20"/>
                <w:highlight w:val="none"/>
              </w:rPr>
            </w:pPr>
          </w:p>
        </w:tc>
        <w:tc>
          <w:tcPr>
            <w:tcW w:w="1020" w:type="dxa"/>
          </w:tcPr>
          <w:p>
            <w:pPr>
              <w:rPr>
                <w:rFonts w:ascii="宋体" w:hAnsi="宋体" w:cs="宋体"/>
                <w:color w:val="auto"/>
                <w:sz w:val="20"/>
                <w:szCs w:val="20"/>
                <w:highlight w:val="none"/>
              </w:rPr>
            </w:pPr>
          </w:p>
        </w:tc>
        <w:tc>
          <w:tcPr>
            <w:tcW w:w="921" w:type="dxa"/>
          </w:tcPr>
          <w:p>
            <w:pPr>
              <w:rPr>
                <w:rFonts w:ascii="宋体" w:hAnsi="宋体" w:cs="宋体"/>
                <w:color w:val="auto"/>
                <w:sz w:val="20"/>
                <w:szCs w:val="20"/>
                <w:highlight w:val="none"/>
              </w:rPr>
            </w:pPr>
          </w:p>
        </w:tc>
      </w:tr>
    </w:tbl>
    <w:p>
      <w:pPr>
        <w:spacing w:line="440" w:lineRule="exact"/>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rPr>
          <w:rFonts w:ascii="宋体" w:hAnsi="宋体" w:cs="宋体"/>
          <w:color w:val="auto"/>
          <w:szCs w:val="21"/>
          <w:highlight w:val="none"/>
        </w:rPr>
      </w:pPr>
      <w:r>
        <w:rPr>
          <w:rFonts w:hint="eastAsia" w:ascii="黑体" w:hAnsi="黑体" w:eastAsia="黑体" w:cs="黑体"/>
          <w:color w:val="auto"/>
          <w:sz w:val="28"/>
          <w:szCs w:val="28"/>
          <w:highlight w:val="none"/>
        </w:rPr>
        <w:t>附</w:t>
      </w:r>
      <w:bookmarkStart w:id="2326" w:name="_Toc296346729"/>
      <w:bookmarkStart w:id="2327" w:name="_Toc296891056"/>
      <w:bookmarkStart w:id="2328" w:name="_Toc267261699"/>
      <w:bookmarkStart w:id="2329" w:name="_Toc296503228"/>
      <w:bookmarkStart w:id="2330" w:name="_Toc296347227"/>
      <w:bookmarkStart w:id="2331" w:name="_Toc296891268"/>
      <w:bookmarkStart w:id="2332" w:name="_Toc296944567"/>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6</w:t>
      </w:r>
    </w:p>
    <w:bookmarkEnd w:id="2326"/>
    <w:bookmarkEnd w:id="2327"/>
    <w:bookmarkEnd w:id="2328"/>
    <w:bookmarkEnd w:id="2329"/>
    <w:bookmarkEnd w:id="2330"/>
    <w:bookmarkEnd w:id="2331"/>
    <w:bookmarkEnd w:id="2332"/>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承包人主要施工管理人员表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名    称</w:t>
            </w:r>
          </w:p>
        </w:tc>
        <w:tc>
          <w:tcPr>
            <w:tcW w:w="1418"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1134"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职务</w:t>
            </w:r>
          </w:p>
        </w:tc>
        <w:tc>
          <w:tcPr>
            <w:tcW w:w="1134"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4252"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项目主管</w:t>
            </w:r>
          </w:p>
        </w:tc>
        <w:tc>
          <w:tcPr>
            <w:tcW w:w="1418" w:type="dxa"/>
            <w:tcBorders>
              <w:top w:val="nil"/>
            </w:tcBorders>
            <w:vAlign w:val="center"/>
          </w:tcPr>
          <w:p>
            <w:pPr>
              <w:pStyle w:val="9"/>
              <w:spacing w:line="400" w:lineRule="exact"/>
              <w:rPr>
                <w:rFonts w:ascii="宋体" w:hAnsi="宋体" w:cs="宋体"/>
                <w:color w:val="auto"/>
                <w:szCs w:val="21"/>
                <w:highlight w:val="none"/>
              </w:rPr>
            </w:pPr>
          </w:p>
        </w:tc>
        <w:tc>
          <w:tcPr>
            <w:tcW w:w="1134" w:type="dxa"/>
            <w:tcBorders>
              <w:top w:val="nil"/>
            </w:tcBorders>
            <w:vAlign w:val="center"/>
          </w:tcPr>
          <w:p>
            <w:pPr>
              <w:pStyle w:val="9"/>
              <w:spacing w:line="400" w:lineRule="exact"/>
              <w:rPr>
                <w:rFonts w:ascii="宋体" w:hAnsi="宋体" w:cs="宋体"/>
                <w:color w:val="auto"/>
                <w:szCs w:val="21"/>
                <w:highlight w:val="none"/>
              </w:rPr>
            </w:pPr>
          </w:p>
        </w:tc>
        <w:tc>
          <w:tcPr>
            <w:tcW w:w="1134" w:type="dxa"/>
            <w:tcBorders>
              <w:top w:val="nil"/>
            </w:tcBorders>
            <w:vAlign w:val="center"/>
          </w:tcPr>
          <w:p>
            <w:pPr>
              <w:pStyle w:val="9"/>
              <w:spacing w:line="400" w:lineRule="exact"/>
              <w:rPr>
                <w:rFonts w:ascii="宋体" w:hAnsi="宋体" w:cs="宋体"/>
                <w:color w:val="auto"/>
                <w:szCs w:val="21"/>
                <w:highlight w:val="none"/>
              </w:rPr>
            </w:pPr>
          </w:p>
        </w:tc>
        <w:tc>
          <w:tcPr>
            <w:tcW w:w="4252" w:type="dxa"/>
            <w:tcBorders>
              <w:top w:val="nil"/>
            </w:tcBorders>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其他人员</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项目负责人</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项目副经理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技术负责人</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施工</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质量管理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安全</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材料</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资料</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其他人员</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tcBorders>
              <w:bottom w:val="nil"/>
            </w:tcBorders>
            <w:vAlign w:val="center"/>
          </w:tcPr>
          <w:p>
            <w:pPr>
              <w:pStyle w:val="9"/>
              <w:spacing w:line="400" w:lineRule="exact"/>
              <w:rPr>
                <w:rFonts w:ascii="宋体" w:hAnsi="宋体" w:cs="宋体"/>
                <w:color w:val="auto"/>
                <w:szCs w:val="21"/>
                <w:highlight w:val="none"/>
              </w:rPr>
            </w:pPr>
          </w:p>
        </w:tc>
        <w:tc>
          <w:tcPr>
            <w:tcW w:w="1134" w:type="dxa"/>
            <w:tcBorders>
              <w:bottom w:val="nil"/>
            </w:tcBorders>
            <w:vAlign w:val="center"/>
          </w:tcPr>
          <w:p>
            <w:pPr>
              <w:pStyle w:val="9"/>
              <w:spacing w:line="400" w:lineRule="exact"/>
              <w:rPr>
                <w:rFonts w:ascii="宋体" w:hAnsi="宋体" w:cs="宋体"/>
                <w:color w:val="auto"/>
                <w:szCs w:val="21"/>
                <w:highlight w:val="none"/>
              </w:rPr>
            </w:pPr>
          </w:p>
        </w:tc>
        <w:tc>
          <w:tcPr>
            <w:tcW w:w="1134" w:type="dxa"/>
            <w:tcBorders>
              <w:bottom w:val="nil"/>
            </w:tcBorders>
            <w:vAlign w:val="center"/>
          </w:tcPr>
          <w:p>
            <w:pPr>
              <w:pStyle w:val="9"/>
              <w:spacing w:line="400" w:lineRule="exact"/>
              <w:rPr>
                <w:rFonts w:ascii="宋体" w:hAnsi="宋体" w:cs="宋体"/>
                <w:color w:val="auto"/>
                <w:szCs w:val="21"/>
                <w:highlight w:val="none"/>
              </w:rPr>
            </w:pPr>
          </w:p>
        </w:tc>
        <w:tc>
          <w:tcPr>
            <w:tcW w:w="4252" w:type="dxa"/>
            <w:tcBorders>
              <w:bottom w:val="nil"/>
            </w:tcBorders>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418"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134"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134"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4252" w:type="dxa"/>
            <w:tcBorders>
              <w:bottom w:val="single" w:color="auto" w:sz="12" w:space="0"/>
            </w:tcBorders>
            <w:vAlign w:val="center"/>
          </w:tcPr>
          <w:p>
            <w:pPr>
              <w:pStyle w:val="9"/>
              <w:spacing w:line="400" w:lineRule="exact"/>
              <w:rPr>
                <w:rFonts w:ascii="宋体" w:hAnsi="宋体" w:cs="宋体"/>
                <w:color w:val="auto"/>
                <w:szCs w:val="21"/>
                <w:highlight w:val="none"/>
              </w:rPr>
            </w:pPr>
          </w:p>
        </w:tc>
      </w:tr>
    </w:tbl>
    <w:p>
      <w:pPr>
        <w:spacing w:line="440" w:lineRule="exact"/>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spacing w:line="440" w:lineRule="exact"/>
        <w:rPr>
          <w:rFonts w:ascii="宋体" w:hAnsi="宋体" w:cs="宋体"/>
          <w:color w:val="auto"/>
          <w:szCs w:val="21"/>
          <w:highlight w:val="none"/>
        </w:rPr>
      </w:pPr>
      <w:r>
        <w:rPr>
          <w:rFonts w:hint="eastAsia" w:ascii="黑体" w:hAnsi="黑体" w:eastAsia="黑体" w:cs="黑体"/>
          <w:color w:val="auto"/>
          <w:sz w:val="28"/>
          <w:szCs w:val="28"/>
          <w:highlight w:val="none"/>
        </w:rPr>
        <w:t>附</w:t>
      </w:r>
      <w:bookmarkStart w:id="2333" w:name="_Toc296503229"/>
      <w:bookmarkStart w:id="2334" w:name="_Toc296891269"/>
      <w:bookmarkStart w:id="2335" w:name="_Toc296891057"/>
      <w:bookmarkStart w:id="2336" w:name="_Toc296347228"/>
      <w:bookmarkStart w:id="2337" w:name="_Toc296346730"/>
      <w:bookmarkStart w:id="2338" w:name="_Toc296944568"/>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7</w:t>
      </w:r>
    </w:p>
    <w:bookmarkEnd w:id="2333"/>
    <w:bookmarkEnd w:id="2334"/>
    <w:bookmarkEnd w:id="2335"/>
    <w:bookmarkEnd w:id="2336"/>
    <w:bookmarkEnd w:id="2337"/>
    <w:bookmarkEnd w:id="2338"/>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分包人主要施工管理人员表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名    称</w:t>
            </w:r>
          </w:p>
        </w:tc>
        <w:tc>
          <w:tcPr>
            <w:tcW w:w="1418"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1134"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职务</w:t>
            </w:r>
          </w:p>
        </w:tc>
        <w:tc>
          <w:tcPr>
            <w:tcW w:w="1134"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4252" w:type="dxa"/>
            <w:tcBorders>
              <w:top w:val="single" w:color="auto" w:sz="12" w:space="0"/>
              <w:bottom w:val="double" w:color="auto" w:sz="6" w:space="0"/>
            </w:tcBorders>
            <w:vAlign w:val="center"/>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项目主管</w:t>
            </w:r>
          </w:p>
        </w:tc>
        <w:tc>
          <w:tcPr>
            <w:tcW w:w="1418" w:type="dxa"/>
            <w:tcBorders>
              <w:top w:val="nil"/>
            </w:tcBorders>
            <w:vAlign w:val="center"/>
          </w:tcPr>
          <w:p>
            <w:pPr>
              <w:pStyle w:val="9"/>
              <w:spacing w:line="400" w:lineRule="exact"/>
              <w:rPr>
                <w:rFonts w:ascii="宋体" w:hAnsi="宋体" w:cs="宋体"/>
                <w:color w:val="auto"/>
                <w:szCs w:val="21"/>
                <w:highlight w:val="none"/>
              </w:rPr>
            </w:pPr>
          </w:p>
        </w:tc>
        <w:tc>
          <w:tcPr>
            <w:tcW w:w="1134" w:type="dxa"/>
            <w:tcBorders>
              <w:top w:val="nil"/>
            </w:tcBorders>
            <w:vAlign w:val="center"/>
          </w:tcPr>
          <w:p>
            <w:pPr>
              <w:pStyle w:val="9"/>
              <w:spacing w:line="400" w:lineRule="exact"/>
              <w:rPr>
                <w:rFonts w:ascii="宋体" w:hAnsi="宋体" w:cs="宋体"/>
                <w:color w:val="auto"/>
                <w:szCs w:val="21"/>
                <w:highlight w:val="none"/>
              </w:rPr>
            </w:pPr>
          </w:p>
        </w:tc>
        <w:tc>
          <w:tcPr>
            <w:tcW w:w="1134" w:type="dxa"/>
            <w:tcBorders>
              <w:top w:val="nil"/>
            </w:tcBorders>
            <w:vAlign w:val="center"/>
          </w:tcPr>
          <w:p>
            <w:pPr>
              <w:pStyle w:val="9"/>
              <w:spacing w:line="400" w:lineRule="exact"/>
              <w:rPr>
                <w:rFonts w:ascii="宋体" w:hAnsi="宋体" w:cs="宋体"/>
                <w:color w:val="auto"/>
                <w:szCs w:val="21"/>
                <w:highlight w:val="none"/>
              </w:rPr>
            </w:pPr>
          </w:p>
        </w:tc>
        <w:tc>
          <w:tcPr>
            <w:tcW w:w="4252" w:type="dxa"/>
            <w:tcBorders>
              <w:top w:val="nil"/>
            </w:tcBorders>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其他人员</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项目负责人</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项目副经理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技术负责人</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施工</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质量管理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安全</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材料</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spacing w:line="400" w:lineRule="exact"/>
              <w:rPr>
                <w:rFonts w:ascii="宋体" w:hAnsi="宋体" w:cs="宋体"/>
                <w:color w:val="auto"/>
                <w:szCs w:val="21"/>
                <w:highlight w:val="none"/>
              </w:rPr>
            </w:pPr>
            <w:r>
              <w:rPr>
                <w:rFonts w:ascii="宋体" w:hAnsi="宋体" w:cs="宋体"/>
                <w:color w:val="auto"/>
                <w:szCs w:val="21"/>
                <w:highlight w:val="none"/>
              </w:rPr>
              <w:t>资料</w:t>
            </w:r>
            <w:r>
              <w:rPr>
                <w:rFonts w:hint="eastAsia" w:ascii="宋体" w:hAnsi="宋体" w:cs="宋体"/>
                <w:color w:val="auto"/>
                <w:szCs w:val="21"/>
                <w:highlight w:val="none"/>
              </w:rPr>
              <w:t>管理</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其他人员</w:t>
            </w: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tcBorders>
              <w:bottom w:val="nil"/>
            </w:tcBorders>
            <w:vAlign w:val="center"/>
          </w:tcPr>
          <w:p>
            <w:pPr>
              <w:pStyle w:val="9"/>
              <w:spacing w:line="400" w:lineRule="exact"/>
              <w:rPr>
                <w:rFonts w:ascii="宋体" w:hAnsi="宋体" w:cs="宋体"/>
                <w:color w:val="auto"/>
                <w:szCs w:val="21"/>
                <w:highlight w:val="none"/>
              </w:rPr>
            </w:pPr>
          </w:p>
        </w:tc>
        <w:tc>
          <w:tcPr>
            <w:tcW w:w="1134" w:type="dxa"/>
            <w:tcBorders>
              <w:bottom w:val="nil"/>
            </w:tcBorders>
            <w:vAlign w:val="center"/>
          </w:tcPr>
          <w:p>
            <w:pPr>
              <w:pStyle w:val="9"/>
              <w:spacing w:line="400" w:lineRule="exact"/>
              <w:rPr>
                <w:rFonts w:ascii="宋体" w:hAnsi="宋体" w:cs="宋体"/>
                <w:color w:val="auto"/>
                <w:szCs w:val="21"/>
                <w:highlight w:val="none"/>
              </w:rPr>
            </w:pPr>
          </w:p>
        </w:tc>
        <w:tc>
          <w:tcPr>
            <w:tcW w:w="1134" w:type="dxa"/>
            <w:tcBorders>
              <w:bottom w:val="nil"/>
            </w:tcBorders>
            <w:vAlign w:val="center"/>
          </w:tcPr>
          <w:p>
            <w:pPr>
              <w:pStyle w:val="9"/>
              <w:spacing w:line="400" w:lineRule="exact"/>
              <w:rPr>
                <w:rFonts w:ascii="宋体" w:hAnsi="宋体" w:cs="宋体"/>
                <w:color w:val="auto"/>
                <w:szCs w:val="21"/>
                <w:highlight w:val="none"/>
              </w:rPr>
            </w:pPr>
          </w:p>
        </w:tc>
        <w:tc>
          <w:tcPr>
            <w:tcW w:w="4252" w:type="dxa"/>
            <w:tcBorders>
              <w:bottom w:val="nil"/>
            </w:tcBorders>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spacing w:line="400" w:lineRule="exact"/>
              <w:rPr>
                <w:rFonts w:ascii="宋体" w:hAnsi="宋体" w:cs="宋体"/>
                <w:color w:val="auto"/>
                <w:szCs w:val="21"/>
                <w:highlight w:val="none"/>
              </w:rPr>
            </w:pPr>
          </w:p>
        </w:tc>
        <w:tc>
          <w:tcPr>
            <w:tcW w:w="1418"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1134" w:type="dxa"/>
            <w:vAlign w:val="center"/>
          </w:tcPr>
          <w:p>
            <w:pPr>
              <w:pStyle w:val="9"/>
              <w:spacing w:line="400" w:lineRule="exact"/>
              <w:rPr>
                <w:rFonts w:ascii="宋体" w:hAnsi="宋体" w:cs="宋体"/>
                <w:color w:val="auto"/>
                <w:szCs w:val="21"/>
                <w:highlight w:val="none"/>
              </w:rPr>
            </w:pPr>
          </w:p>
        </w:tc>
        <w:tc>
          <w:tcPr>
            <w:tcW w:w="4252" w:type="dxa"/>
            <w:vAlign w:val="center"/>
          </w:tcPr>
          <w:p>
            <w:pPr>
              <w:pStyle w:val="9"/>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418"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134"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1134" w:type="dxa"/>
            <w:tcBorders>
              <w:bottom w:val="single" w:color="auto" w:sz="12" w:space="0"/>
            </w:tcBorders>
            <w:vAlign w:val="center"/>
          </w:tcPr>
          <w:p>
            <w:pPr>
              <w:pStyle w:val="9"/>
              <w:spacing w:line="400" w:lineRule="exact"/>
              <w:rPr>
                <w:rFonts w:ascii="宋体" w:hAnsi="宋体" w:cs="宋体"/>
                <w:color w:val="auto"/>
                <w:szCs w:val="21"/>
                <w:highlight w:val="none"/>
              </w:rPr>
            </w:pPr>
          </w:p>
        </w:tc>
        <w:tc>
          <w:tcPr>
            <w:tcW w:w="4252" w:type="dxa"/>
            <w:tcBorders>
              <w:bottom w:val="single" w:color="auto" w:sz="12" w:space="0"/>
            </w:tcBorders>
            <w:vAlign w:val="center"/>
          </w:tcPr>
          <w:p>
            <w:pPr>
              <w:pStyle w:val="9"/>
              <w:spacing w:line="400" w:lineRule="exact"/>
              <w:rPr>
                <w:rFonts w:ascii="宋体" w:hAnsi="宋体" w:cs="宋体"/>
                <w:color w:val="auto"/>
                <w:szCs w:val="21"/>
                <w:highlight w:val="none"/>
              </w:rPr>
            </w:pPr>
          </w:p>
        </w:tc>
      </w:tr>
    </w:tbl>
    <w:p>
      <w:pPr>
        <w:spacing w:line="440" w:lineRule="exact"/>
        <w:rPr>
          <w:rFonts w:ascii="宋体" w:hAnsi="宋体" w:cs="宋体"/>
          <w:color w:val="auto"/>
          <w:szCs w:val="21"/>
          <w:highlight w:val="none"/>
        </w:rPr>
      </w:pPr>
      <w:r>
        <w:rPr>
          <w:rFonts w:hint="eastAsia" w:ascii="宋体" w:hAnsi="宋体" w:cs="宋体"/>
          <w:color w:val="auto"/>
          <w:szCs w:val="21"/>
          <w:highlight w:val="none"/>
        </w:rPr>
        <w:br w:type="page"/>
      </w:r>
      <w:bookmarkStart w:id="2339" w:name="_Toc267261701"/>
      <w:r>
        <w:rPr>
          <w:rFonts w:hint="eastAsia" w:ascii="黑体" w:hAnsi="黑体" w:eastAsia="黑体" w:cs="黑体"/>
          <w:color w:val="auto"/>
          <w:sz w:val="28"/>
          <w:szCs w:val="28"/>
          <w:highlight w:val="none"/>
        </w:rPr>
        <w:t>附</w:t>
      </w:r>
      <w:bookmarkStart w:id="2340" w:name="_Toc296346732"/>
      <w:bookmarkStart w:id="2341" w:name="_Toc296503231"/>
      <w:bookmarkStart w:id="2342" w:name="_Toc296891271"/>
      <w:bookmarkStart w:id="2343" w:name="_Toc296944570"/>
      <w:bookmarkStart w:id="2344" w:name="_Toc296347230"/>
      <w:bookmarkStart w:id="2345" w:name="_Toc296891059"/>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8</w:t>
      </w:r>
    </w:p>
    <w:bookmarkEnd w:id="2339"/>
    <w:bookmarkEnd w:id="2340"/>
    <w:bookmarkEnd w:id="2341"/>
    <w:bookmarkEnd w:id="2342"/>
    <w:bookmarkEnd w:id="2343"/>
    <w:bookmarkEnd w:id="2344"/>
    <w:bookmarkEnd w:id="2345"/>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履约担保</w:t>
      </w:r>
    </w:p>
    <w:p>
      <w:pPr>
        <w:spacing w:line="336" w:lineRule="auto"/>
        <w:rPr>
          <w:rFonts w:ascii="宋体" w:hAnsi="宋体" w:cs="宋体"/>
          <w:color w:val="auto"/>
          <w:szCs w:val="21"/>
          <w:highlight w:val="none"/>
          <w:u w:val="single"/>
        </w:rPr>
      </w:pPr>
    </w:p>
    <w:p>
      <w:pPr>
        <w:spacing w:line="336" w:lineRule="auto"/>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spacing w:line="336" w:lineRule="auto"/>
        <w:rPr>
          <w:rFonts w:ascii="宋体" w:hAnsi="宋体" w:cs="宋体"/>
          <w:color w:val="auto"/>
          <w:szCs w:val="21"/>
          <w:highlight w:val="none"/>
        </w:rPr>
      </w:pP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鉴于（发包人名称，以下简称“发包人”）与（承包人名称）（以下称“承包人”）于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日就（工程名称）施工及有关事项协商一致共同签订《建设工程施工合同》。我方愿意无条件地、不可撤销地就承包人履行与你方签订的合同，向你方提供连带责任担保。 </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担保金额人民币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担保有效期自你方与承包人签订的合同生效之日起至你方签发或应签发工程接收证书之日止。</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在本担保有效期内，因承包人违反合同约定的义务给你方造成经济损失时，我方在收到你方以书面形式提出的在担保金额内的赔偿要求后，在</w:t>
      </w:r>
      <w:r>
        <w:rPr>
          <w:rFonts w:hint="eastAsia" w:cs="宋体"/>
          <w:color w:val="auto"/>
          <w:szCs w:val="21"/>
          <w:highlight w:val="none"/>
        </w:rPr>
        <w:t>7</w:t>
      </w:r>
      <w:r>
        <w:rPr>
          <w:rFonts w:hint="eastAsia" w:ascii="宋体" w:hAnsi="宋体" w:cs="宋体"/>
          <w:color w:val="auto"/>
          <w:szCs w:val="21"/>
          <w:highlight w:val="none"/>
        </w:rPr>
        <w:t>天内无条件支付。</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 你方和承包人按合同约定变更合同时，我方承担本担保规定的义务不变。</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5</w:t>
      </w:r>
      <w:r>
        <w:rPr>
          <w:rFonts w:hint="eastAsia" w:ascii="宋体" w:hAnsi="宋体" w:cs="宋体"/>
          <w:color w:val="auto"/>
          <w:szCs w:val="21"/>
          <w:highlight w:val="none"/>
        </w:rPr>
        <w:t>. 因本保函发生的纠纷，可由双方协商解决，协商不成的，任何一方均可提请仲裁委员会仲裁。</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 本保函自我方法定代表人（或其授权代理人）签字并加盖公章之日起生效。</w:t>
      </w:r>
    </w:p>
    <w:p>
      <w:pPr>
        <w:spacing w:line="336" w:lineRule="auto"/>
        <w:rPr>
          <w:rFonts w:ascii="宋体" w:hAnsi="宋体" w:cs="宋体"/>
          <w:color w:val="auto"/>
          <w:szCs w:val="21"/>
          <w:highlight w:val="none"/>
        </w:rPr>
      </w:pPr>
    </w:p>
    <w:p>
      <w:pPr>
        <w:spacing w:line="336" w:lineRule="auto"/>
        <w:rPr>
          <w:rFonts w:ascii="宋体" w:hAnsi="宋体" w:cs="宋体"/>
          <w:color w:val="auto"/>
          <w:szCs w:val="21"/>
          <w:highlight w:val="none"/>
        </w:rPr>
      </w:pPr>
      <w:r>
        <w:rPr>
          <w:rFonts w:hint="eastAsia" w:ascii="宋体" w:hAnsi="宋体" w:cs="宋体"/>
          <w:color w:val="auto"/>
          <w:szCs w:val="21"/>
          <w:highlight w:val="none"/>
        </w:rPr>
        <w:t>担 保 人：（盖单位章）</w:t>
      </w:r>
    </w:p>
    <w:p>
      <w:pPr>
        <w:spacing w:line="336"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地    址：</w:t>
      </w:r>
    </w:p>
    <w:p>
      <w:pPr>
        <w:spacing w:line="336" w:lineRule="auto"/>
        <w:rPr>
          <w:rFonts w:ascii="宋体" w:hAnsi="宋体" w:cs="宋体"/>
          <w:color w:val="auto"/>
          <w:szCs w:val="21"/>
          <w:highlight w:val="none"/>
        </w:rPr>
      </w:pPr>
      <w:r>
        <w:rPr>
          <w:rFonts w:hint="eastAsia" w:ascii="宋体" w:hAnsi="宋体" w:cs="宋体"/>
          <w:color w:val="auto"/>
          <w:szCs w:val="21"/>
          <w:highlight w:val="none"/>
        </w:rPr>
        <w:t>邮政编码：</w:t>
      </w:r>
    </w:p>
    <w:p>
      <w:pPr>
        <w:spacing w:line="336" w:lineRule="auto"/>
        <w:rPr>
          <w:rFonts w:ascii="宋体" w:hAnsi="宋体" w:cs="宋体"/>
          <w:color w:val="auto"/>
          <w:szCs w:val="21"/>
          <w:highlight w:val="none"/>
          <w:u w:val="single"/>
        </w:rPr>
      </w:pPr>
      <w:r>
        <w:rPr>
          <w:rFonts w:hint="eastAsia" w:ascii="宋体" w:hAnsi="宋体" w:cs="宋体"/>
          <w:color w:val="auto"/>
          <w:szCs w:val="21"/>
          <w:highlight w:val="none"/>
        </w:rPr>
        <w:t>电    话：</w:t>
      </w:r>
    </w:p>
    <w:p>
      <w:pPr>
        <w:spacing w:line="336" w:lineRule="auto"/>
        <w:rPr>
          <w:rFonts w:ascii="宋体" w:hAnsi="宋体" w:cs="宋体"/>
          <w:color w:val="auto"/>
          <w:szCs w:val="21"/>
          <w:highlight w:val="none"/>
        </w:rPr>
      </w:pPr>
      <w:r>
        <w:rPr>
          <w:rFonts w:hint="eastAsia" w:ascii="宋体" w:hAnsi="宋体" w:cs="宋体"/>
          <w:color w:val="auto"/>
          <w:szCs w:val="21"/>
          <w:highlight w:val="none"/>
        </w:rPr>
        <w:t>传    真：</w:t>
      </w:r>
    </w:p>
    <w:p>
      <w:pPr>
        <w:spacing w:line="336" w:lineRule="auto"/>
        <w:jc w:val="left"/>
        <w:rPr>
          <w:rFonts w:ascii="宋体" w:hAnsi="宋体" w:cs="宋体"/>
          <w:color w:val="auto"/>
          <w:szCs w:val="21"/>
          <w:highlight w:val="none"/>
          <w:u w:val="single"/>
        </w:rPr>
      </w:pPr>
    </w:p>
    <w:p>
      <w:pPr>
        <w:spacing w:line="336" w:lineRule="auto"/>
        <w:ind w:left="1329" w:hanging="1329" w:hangingChars="633"/>
        <w:rPr>
          <w:rFonts w:ascii="宋体" w:hAnsi="宋体" w:cs="宋体"/>
          <w:color w:val="auto"/>
          <w:szCs w:val="21"/>
          <w:highlight w:val="none"/>
        </w:rPr>
      </w:pPr>
      <w:r>
        <w:rPr>
          <w:rFonts w:hint="eastAsia" w:ascii="宋体" w:hAnsi="宋体" w:cs="宋体"/>
          <w:color w:val="auto"/>
          <w:szCs w:val="21"/>
          <w:highlight w:val="none"/>
        </w:rPr>
        <w:t>年月日</w:t>
      </w:r>
    </w:p>
    <w:p>
      <w:pPr>
        <w:spacing w:line="336" w:lineRule="auto"/>
        <w:ind w:left="1329" w:hanging="1329" w:hangingChars="633"/>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spacing w:line="360" w:lineRule="auto"/>
        <w:rPr>
          <w:rFonts w:ascii="宋体" w:hAnsi="宋体" w:cs="宋体"/>
          <w:color w:val="auto"/>
          <w:szCs w:val="21"/>
          <w:highlight w:val="none"/>
        </w:rPr>
      </w:pPr>
      <w:r>
        <w:rPr>
          <w:rFonts w:hint="eastAsia" w:ascii="黑体" w:hAnsi="黑体" w:eastAsia="黑体" w:cs="黑体"/>
          <w:color w:val="auto"/>
          <w:sz w:val="28"/>
          <w:szCs w:val="28"/>
          <w:highlight w:val="none"/>
        </w:rPr>
        <w:t>附</w:t>
      </w:r>
      <w:bookmarkStart w:id="2346" w:name="_Toc296346733"/>
      <w:bookmarkStart w:id="2347" w:name="_Toc267261702"/>
      <w:bookmarkStart w:id="2348" w:name="_Toc296944571"/>
      <w:bookmarkStart w:id="2349" w:name="_Toc296891060"/>
      <w:bookmarkStart w:id="2350" w:name="_Toc296347231"/>
      <w:bookmarkStart w:id="2351" w:name="_Toc296891272"/>
      <w:bookmarkStart w:id="2352" w:name="_Toc296503232"/>
      <w:r>
        <w:rPr>
          <w:rFonts w:hint="eastAsia" w:ascii="黑体" w:hAnsi="黑体" w:eastAsia="黑体" w:cs="黑体"/>
          <w:color w:val="auto"/>
          <w:sz w:val="28"/>
          <w:szCs w:val="28"/>
          <w:highlight w:val="none"/>
        </w:rPr>
        <w:t>件</w:t>
      </w:r>
      <w:r>
        <w:rPr>
          <w:rFonts w:hint="eastAsia" w:eastAsia="黑体" w:cs="黑体"/>
          <w:color w:val="auto"/>
          <w:sz w:val="28"/>
          <w:szCs w:val="28"/>
          <w:highlight w:val="none"/>
        </w:rPr>
        <w:t>9</w:t>
      </w:r>
    </w:p>
    <w:bookmarkEnd w:id="2346"/>
    <w:bookmarkEnd w:id="2347"/>
    <w:bookmarkEnd w:id="2348"/>
    <w:bookmarkEnd w:id="2349"/>
    <w:bookmarkEnd w:id="2350"/>
    <w:bookmarkEnd w:id="2351"/>
    <w:bookmarkEnd w:id="2352"/>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预付款担保</w:t>
      </w:r>
    </w:p>
    <w:p>
      <w:pPr>
        <w:spacing w:line="336" w:lineRule="auto"/>
        <w:rPr>
          <w:color w:val="auto"/>
          <w:highlight w:val="none"/>
        </w:rPr>
      </w:pPr>
    </w:p>
    <w:p>
      <w:pPr>
        <w:spacing w:line="336" w:lineRule="auto"/>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（发包人名称）：</w:t>
      </w:r>
    </w:p>
    <w:p>
      <w:pPr>
        <w:spacing w:line="336" w:lineRule="auto"/>
        <w:rPr>
          <w:rFonts w:ascii="宋体" w:hAnsi="宋体" w:cs="宋体"/>
          <w:color w:val="auto"/>
          <w:szCs w:val="21"/>
          <w:highlight w:val="none"/>
        </w:rPr>
      </w:pP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根据（承包人名称）（以下称“承包人”）与</w:t>
      </w:r>
      <w:bookmarkStart w:id="2353" w:name="_Toc14896"/>
      <w:r>
        <w:rPr>
          <w:rFonts w:hint="eastAsia" w:ascii="宋体" w:hAnsi="宋体" w:cs="宋体"/>
          <w:color w:val="auto"/>
          <w:szCs w:val="21"/>
          <w:highlight w:val="none"/>
        </w:rPr>
        <w:t>（发包人名称）（以下简称“发包人”）</w:t>
      </w:r>
      <w:bookmarkEnd w:id="2353"/>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担保金额人民币（大写）元（¥）。</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担保有效期自预付款支付给承包人起生效，至你方签发的进度款支付证书说明已完全扣清止。</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在本保函有效期内，因承包人违反合同约定的义务而要求收回预付款时，我方在收到你方的书面通知后，在</w:t>
      </w:r>
      <w:r>
        <w:rPr>
          <w:rFonts w:hint="eastAsia" w:cs="宋体"/>
          <w:color w:val="auto"/>
          <w:szCs w:val="21"/>
          <w:highlight w:val="none"/>
        </w:rPr>
        <w:t>７</w:t>
      </w:r>
      <w:r>
        <w:rPr>
          <w:rFonts w:hint="eastAsia" w:ascii="宋体" w:hAnsi="宋体" w:cs="宋体"/>
          <w:color w:val="auto"/>
          <w:szCs w:val="21"/>
          <w:highlight w:val="none"/>
        </w:rPr>
        <w:t>天内无条件支付。但本保函的担保金额，在任何时候不应超过预付款金额减去你方按合同约定在向承包人签发的进度款支付证书中扣除的金额。</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 你方和承包人按合同约定变更合同时，我方承担本保函规定的义务不变。</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5</w:t>
      </w:r>
      <w:r>
        <w:rPr>
          <w:rFonts w:hint="eastAsia" w:ascii="宋体" w:hAnsi="宋体" w:cs="宋体"/>
          <w:color w:val="auto"/>
          <w:szCs w:val="21"/>
          <w:highlight w:val="none"/>
        </w:rPr>
        <w:t>. 因本保函发生的纠纷，可由双方协商解决，协商不成的，任何一方均可提请仲裁委员会仲裁。</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 本保函自我方法定代表人（或其授权代理人）签字并加盖公章之日起生效。</w:t>
      </w:r>
    </w:p>
    <w:p>
      <w:pPr>
        <w:spacing w:line="336" w:lineRule="auto"/>
        <w:rPr>
          <w:rFonts w:ascii="宋体" w:hAnsi="宋体" w:cs="宋体"/>
          <w:color w:val="auto"/>
          <w:szCs w:val="21"/>
          <w:highlight w:val="none"/>
        </w:rPr>
      </w:pPr>
    </w:p>
    <w:p>
      <w:pPr>
        <w:spacing w:line="336" w:lineRule="auto"/>
        <w:rPr>
          <w:rFonts w:ascii="宋体" w:hAnsi="宋体" w:cs="宋体"/>
          <w:color w:val="auto"/>
          <w:szCs w:val="21"/>
          <w:highlight w:val="none"/>
        </w:rPr>
      </w:pPr>
      <w:r>
        <w:rPr>
          <w:rFonts w:hint="eastAsia" w:ascii="宋体" w:hAnsi="宋体" w:cs="宋体"/>
          <w:color w:val="auto"/>
          <w:szCs w:val="21"/>
          <w:highlight w:val="none"/>
        </w:rPr>
        <w:t>担保人：（盖单位章）</w:t>
      </w:r>
    </w:p>
    <w:p>
      <w:pPr>
        <w:spacing w:line="336"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36" w:lineRule="auto"/>
        <w:rPr>
          <w:rFonts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36"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36" w:lineRule="auto"/>
        <w:rPr>
          <w:rFonts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36" w:lineRule="auto"/>
        <w:rPr>
          <w:rFonts w:ascii="宋体" w:hAnsi="宋体" w:cs="宋体"/>
          <w:color w:val="auto"/>
          <w:szCs w:val="21"/>
          <w:highlight w:val="none"/>
        </w:rPr>
      </w:pPr>
    </w:p>
    <w:p>
      <w:pPr>
        <w:spacing w:line="336" w:lineRule="auto"/>
        <w:rPr>
          <w:rFonts w:ascii="宋体" w:hAnsi="宋体" w:cs="宋体"/>
          <w:color w:val="auto"/>
          <w:szCs w:val="21"/>
          <w:highlight w:val="none"/>
          <w:u w:val="single"/>
        </w:rPr>
      </w:pPr>
    </w:p>
    <w:p>
      <w:pPr>
        <w:spacing w:line="336" w:lineRule="auto"/>
        <w:rPr>
          <w:rFonts w:ascii="宋体" w:hAnsi="宋体" w:cs="宋体"/>
          <w:color w:val="auto"/>
          <w:szCs w:val="21"/>
          <w:highlight w:val="none"/>
        </w:rPr>
      </w:pPr>
      <w:r>
        <w:rPr>
          <w:rFonts w:hint="eastAsia" w:ascii="宋体" w:hAnsi="宋体" w:cs="宋体"/>
          <w:color w:val="auto"/>
          <w:szCs w:val="21"/>
          <w:highlight w:val="none"/>
        </w:rPr>
        <w:t>年月日</w:t>
      </w:r>
    </w:p>
    <w:p>
      <w:pPr>
        <w:spacing w:line="336" w:lineRule="auto"/>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spacing w:line="440" w:lineRule="exact"/>
        <w:rPr>
          <w:rFonts w:ascii="宋体" w:hAnsi="宋体" w:cs="宋体"/>
          <w:color w:val="auto"/>
          <w:szCs w:val="21"/>
          <w:highlight w:val="none"/>
        </w:rPr>
      </w:pPr>
      <w:r>
        <w:rPr>
          <w:rFonts w:hint="eastAsia" w:ascii="黑体" w:hAnsi="黑体" w:eastAsia="黑体" w:cs="黑体"/>
          <w:color w:val="auto"/>
          <w:sz w:val="28"/>
          <w:szCs w:val="28"/>
          <w:highlight w:val="none"/>
        </w:rPr>
        <w:t>附件</w:t>
      </w:r>
      <w:bookmarkStart w:id="2354" w:name="_Toc296891061"/>
      <w:bookmarkStart w:id="2355" w:name="_Toc296347232"/>
      <w:bookmarkStart w:id="2356" w:name="_Toc296891273"/>
      <w:bookmarkStart w:id="2357" w:name="_Toc296503233"/>
      <w:bookmarkStart w:id="2358" w:name="_Toc296346734"/>
      <w:bookmarkStart w:id="2359" w:name="_Toc296944572"/>
      <w:r>
        <w:rPr>
          <w:rFonts w:hint="eastAsia" w:eastAsia="黑体" w:cs="黑体"/>
          <w:color w:val="auto"/>
          <w:sz w:val="28"/>
          <w:szCs w:val="28"/>
          <w:highlight w:val="none"/>
        </w:rPr>
        <w:t>10</w:t>
      </w:r>
    </w:p>
    <w:bookmarkEnd w:id="2354"/>
    <w:bookmarkEnd w:id="2355"/>
    <w:bookmarkEnd w:id="2356"/>
    <w:bookmarkEnd w:id="2357"/>
    <w:bookmarkEnd w:id="2358"/>
    <w:bookmarkEnd w:id="2359"/>
    <w:p>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支付担保</w:t>
      </w:r>
    </w:p>
    <w:p>
      <w:pPr>
        <w:spacing w:line="336" w:lineRule="auto"/>
        <w:jc w:val="left"/>
        <w:rPr>
          <w:rFonts w:ascii="宋体" w:hAnsi="宋体" w:cs="宋体"/>
          <w:color w:val="auto"/>
          <w:szCs w:val="21"/>
          <w:highlight w:val="none"/>
        </w:rPr>
      </w:pPr>
    </w:p>
    <w:p>
      <w:pPr>
        <w:spacing w:line="336" w:lineRule="auto"/>
        <w:jc w:val="left"/>
        <w:rPr>
          <w:rFonts w:ascii="宋体" w:hAnsi="宋体" w:cs="宋体"/>
          <w:color w:val="auto"/>
          <w:szCs w:val="21"/>
          <w:highlight w:val="none"/>
        </w:rPr>
      </w:pPr>
      <w:r>
        <w:rPr>
          <w:rFonts w:hint="eastAsia" w:ascii="宋体" w:hAnsi="宋体" w:cs="宋体"/>
          <w:color w:val="auto"/>
          <w:szCs w:val="21"/>
          <w:highlight w:val="none"/>
        </w:rPr>
        <w:t>（承包人）：</w:t>
      </w:r>
    </w:p>
    <w:p>
      <w:pPr>
        <w:spacing w:line="336" w:lineRule="auto"/>
        <w:jc w:val="left"/>
        <w:rPr>
          <w:rFonts w:ascii="宋体" w:hAnsi="宋体" w:cs="宋体"/>
          <w:color w:val="auto"/>
          <w:szCs w:val="21"/>
          <w:highlight w:val="none"/>
        </w:rPr>
      </w:pP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36" w:lineRule="auto"/>
        <w:ind w:firstLine="420" w:firstLineChars="200"/>
        <w:jc w:val="left"/>
        <w:rPr>
          <w:rFonts w:ascii="宋体" w:hAnsi="宋体" w:cs="宋体"/>
          <w:color w:val="auto"/>
          <w:szCs w:val="21"/>
          <w:highlight w:val="none"/>
        </w:rPr>
      </w:pPr>
      <w:bookmarkStart w:id="2360" w:name="_Toc27842"/>
      <w:bookmarkStart w:id="2361" w:name="_Toc109149892"/>
      <w:r>
        <w:rPr>
          <w:rFonts w:hint="eastAsia" w:ascii="宋体" w:hAnsi="宋体" w:cs="宋体"/>
          <w:color w:val="auto"/>
          <w:szCs w:val="21"/>
          <w:highlight w:val="none"/>
        </w:rPr>
        <w:t>一、保证的范围及保证金额</w:t>
      </w:r>
      <w:bookmarkEnd w:id="2360"/>
      <w:bookmarkEnd w:id="2361"/>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我方的保证范围是主合同约定的工程款。</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本保函所称主合同约定的工程款是指主合同约定的除工程质量保证金以外的合同价款。</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我方保证的金额是主合同约定的工程款的</w:t>
      </w:r>
      <w:r>
        <w:rPr>
          <w:rFonts w:hint="eastAsia" w:cs="宋体"/>
          <w:color w:val="auto"/>
          <w:szCs w:val="21"/>
          <w:highlight w:val="none"/>
        </w:rPr>
        <w:t>%</w:t>
      </w:r>
      <w:r>
        <w:rPr>
          <w:rFonts w:hint="eastAsia" w:ascii="宋体" w:hAnsi="宋体" w:cs="宋体"/>
          <w:color w:val="auto"/>
          <w:szCs w:val="21"/>
          <w:highlight w:val="none"/>
        </w:rPr>
        <w:t>，数额最高不超过人民币元（大写：）。</w:t>
      </w:r>
    </w:p>
    <w:p>
      <w:pPr>
        <w:spacing w:line="336" w:lineRule="auto"/>
        <w:ind w:firstLine="420" w:firstLineChars="200"/>
        <w:jc w:val="left"/>
        <w:rPr>
          <w:rFonts w:ascii="宋体" w:hAnsi="宋体" w:cs="宋体"/>
          <w:color w:val="auto"/>
          <w:szCs w:val="21"/>
          <w:highlight w:val="none"/>
        </w:rPr>
      </w:pPr>
      <w:bookmarkStart w:id="2362" w:name="_Toc19403"/>
      <w:bookmarkStart w:id="2363" w:name="_Toc109149893"/>
      <w:r>
        <w:rPr>
          <w:rFonts w:hint="eastAsia" w:ascii="宋体" w:hAnsi="宋体" w:cs="宋体"/>
          <w:color w:val="auto"/>
          <w:szCs w:val="21"/>
          <w:highlight w:val="none"/>
        </w:rPr>
        <w:t>二、保证的方式及保证期间</w:t>
      </w:r>
      <w:bookmarkEnd w:id="2362"/>
      <w:bookmarkEnd w:id="2363"/>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我方保证的方式为：连带责任保证。</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我方保证的期间为：自本合同生效之日起至主合同约定的工程款支付完毕之日后日内。</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你方与发包人协议变更工程款支付日期的，经我方书面同意后，保证期间按照变更后的支付日期做相应调整。</w:t>
      </w:r>
    </w:p>
    <w:p>
      <w:pPr>
        <w:spacing w:line="336" w:lineRule="auto"/>
        <w:ind w:firstLine="420" w:firstLineChars="200"/>
        <w:jc w:val="left"/>
        <w:rPr>
          <w:rFonts w:ascii="宋体" w:hAnsi="宋体" w:cs="宋体"/>
          <w:color w:val="auto"/>
          <w:szCs w:val="21"/>
          <w:highlight w:val="none"/>
        </w:rPr>
      </w:pPr>
      <w:bookmarkStart w:id="2364" w:name="_Toc8352"/>
      <w:bookmarkStart w:id="2365" w:name="_Toc109149894"/>
      <w:r>
        <w:rPr>
          <w:rFonts w:hint="eastAsia" w:ascii="宋体" w:hAnsi="宋体" w:cs="宋体"/>
          <w:color w:val="auto"/>
          <w:szCs w:val="21"/>
          <w:highlight w:val="none"/>
        </w:rPr>
        <w:t>三、承担保证责任的形式</w:t>
      </w:r>
      <w:bookmarkEnd w:id="2364"/>
      <w:bookmarkEnd w:id="2365"/>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pPr>
        <w:spacing w:line="336" w:lineRule="auto"/>
        <w:ind w:firstLine="420" w:firstLineChars="200"/>
        <w:jc w:val="left"/>
        <w:rPr>
          <w:rFonts w:ascii="宋体" w:hAnsi="宋体" w:cs="宋体"/>
          <w:color w:val="auto"/>
          <w:szCs w:val="21"/>
          <w:highlight w:val="none"/>
        </w:rPr>
      </w:pPr>
      <w:bookmarkStart w:id="2366" w:name="_Toc2495"/>
      <w:bookmarkStart w:id="2367" w:name="_Toc109149895"/>
      <w:r>
        <w:rPr>
          <w:rFonts w:hint="eastAsia" w:ascii="宋体" w:hAnsi="宋体" w:cs="宋体"/>
          <w:color w:val="auto"/>
          <w:szCs w:val="21"/>
          <w:highlight w:val="none"/>
        </w:rPr>
        <w:t>四、代偿的安排</w:t>
      </w:r>
      <w:bookmarkEnd w:id="2366"/>
      <w:bookmarkEnd w:id="2367"/>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你方要求我方承担保证责任的，应向我方发出书面索赔通知及发包人未支付主合同约定工程款的证明材料。索赔通知应写明要求索赔的金额，支付款项应到达的账号。</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在出现你方与发包人因工程质量发生争议，发包人拒绝向你方支付工程款的情形时，你方要求我方履行保证责任代为支付的，需提供符合相应条件要求的工程质量检测机构出具的质量说明材料。</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我方收到你方的书面索赔通知及相应的证明材料后</w:t>
      </w:r>
      <w:r>
        <w:rPr>
          <w:rFonts w:hint="eastAsia" w:cs="宋体"/>
          <w:color w:val="auto"/>
          <w:szCs w:val="21"/>
          <w:highlight w:val="none"/>
        </w:rPr>
        <w:t>７</w:t>
      </w:r>
      <w:r>
        <w:rPr>
          <w:rFonts w:hint="eastAsia" w:ascii="宋体" w:hAnsi="宋体" w:cs="宋体"/>
          <w:color w:val="auto"/>
          <w:szCs w:val="21"/>
          <w:highlight w:val="none"/>
        </w:rPr>
        <w:t>天内无条件支付。</w:t>
      </w:r>
    </w:p>
    <w:p>
      <w:pPr>
        <w:spacing w:line="336" w:lineRule="auto"/>
        <w:ind w:firstLine="420" w:firstLineChars="200"/>
        <w:jc w:val="left"/>
        <w:rPr>
          <w:rFonts w:ascii="宋体" w:hAnsi="宋体" w:cs="宋体"/>
          <w:color w:val="auto"/>
          <w:szCs w:val="21"/>
          <w:highlight w:val="none"/>
        </w:rPr>
      </w:pPr>
      <w:bookmarkStart w:id="2368" w:name="_Toc109149896"/>
      <w:bookmarkStart w:id="2369" w:name="_Toc7992"/>
      <w:r>
        <w:rPr>
          <w:rFonts w:hint="eastAsia" w:ascii="宋体" w:hAnsi="宋体" w:cs="宋体"/>
          <w:color w:val="auto"/>
          <w:szCs w:val="21"/>
          <w:highlight w:val="none"/>
        </w:rPr>
        <w:t>五、保证责任的解除</w:t>
      </w:r>
      <w:bookmarkEnd w:id="2368"/>
      <w:bookmarkEnd w:id="2369"/>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在本保函承诺的保证期间内，你方未书面向我方主张保证责任的，自保证期间届满次日起，我方保证责任解除。</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发包人按主合同约定履行了工程款的全部支付义务的，自本保函承诺的保证期间届满次日起，我方保证责任解除。</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我方按照本保函向你方履行保证责任所支付金额达到本保函保证金额时，自我方向你方支付（支付款项从我方账户划出）之日起，保证责任即解除。</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 按照法律法规的规定或出现应解除我方保证责任的其他情形的，我方在本保函项下的保证责任亦解除。</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5</w:t>
      </w:r>
      <w:r>
        <w:rPr>
          <w:rFonts w:hint="eastAsia" w:ascii="宋体" w:hAnsi="宋体" w:cs="宋体"/>
          <w:color w:val="auto"/>
          <w:szCs w:val="21"/>
          <w:highlight w:val="none"/>
        </w:rPr>
        <w:t>. 我方解除保证责任后，你方应自我方保证责任解除之日起个工作日内，将本保函原件返还我方。</w:t>
      </w:r>
    </w:p>
    <w:p>
      <w:pPr>
        <w:spacing w:line="336" w:lineRule="auto"/>
        <w:ind w:firstLine="420" w:firstLineChars="200"/>
        <w:jc w:val="left"/>
        <w:rPr>
          <w:rFonts w:ascii="宋体" w:hAnsi="宋体" w:cs="宋体"/>
          <w:color w:val="auto"/>
          <w:szCs w:val="21"/>
          <w:highlight w:val="none"/>
        </w:rPr>
      </w:pPr>
      <w:bookmarkStart w:id="2370" w:name="_Toc109149897"/>
      <w:bookmarkStart w:id="2371" w:name="_Toc5437"/>
      <w:r>
        <w:rPr>
          <w:rFonts w:hint="eastAsia" w:ascii="宋体" w:hAnsi="宋体" w:cs="宋体"/>
          <w:color w:val="auto"/>
          <w:szCs w:val="21"/>
          <w:highlight w:val="none"/>
        </w:rPr>
        <w:t>六、免责条款</w:t>
      </w:r>
      <w:bookmarkEnd w:id="2370"/>
      <w:bookmarkEnd w:id="2371"/>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因你方违约致使发包人不能履行义务的，我方不承担保证责任。</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依照法律法规的规定或你方与发包人的另行约定，免除发包人部分或全部义务的，我方亦免除其相应的保证责任。</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 你方与发包人协议变更主合同的，如加重发包人责任致使我方保证责任加重的，需征得我方书面同意，否则我方不再承担因此而加重部分的保证责任，但主合同第</w:t>
      </w:r>
      <w:r>
        <w:rPr>
          <w:rFonts w:hint="eastAsia" w:cs="宋体"/>
          <w:color w:val="auto"/>
          <w:szCs w:val="21"/>
          <w:highlight w:val="none"/>
        </w:rPr>
        <w:t>10</w:t>
      </w:r>
      <w:r>
        <w:rPr>
          <w:rFonts w:hint="eastAsia" w:ascii="宋体" w:hAnsi="宋体" w:cs="宋体"/>
          <w:color w:val="auto"/>
          <w:szCs w:val="21"/>
          <w:highlight w:val="none"/>
        </w:rPr>
        <w:t>条〔变更〕约定的变更不受本款限制。</w:t>
      </w:r>
    </w:p>
    <w:p>
      <w:pPr>
        <w:spacing w:line="336" w:lineRule="auto"/>
        <w:ind w:firstLine="420" w:firstLineChars="200"/>
        <w:jc w:val="left"/>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 因不可抗力造成发包人不能履行义务的，我方不承担保证责任。</w:t>
      </w:r>
    </w:p>
    <w:p>
      <w:pPr>
        <w:spacing w:line="336" w:lineRule="auto"/>
        <w:ind w:firstLine="420" w:firstLineChars="200"/>
        <w:jc w:val="left"/>
        <w:rPr>
          <w:rFonts w:ascii="宋体" w:hAnsi="宋体" w:cs="宋体"/>
          <w:color w:val="auto"/>
          <w:szCs w:val="21"/>
          <w:highlight w:val="none"/>
        </w:rPr>
      </w:pPr>
      <w:bookmarkStart w:id="2372" w:name="_Toc21776"/>
      <w:bookmarkStart w:id="2373" w:name="_Toc109149898"/>
      <w:r>
        <w:rPr>
          <w:rFonts w:hint="eastAsia" w:ascii="宋体" w:hAnsi="宋体" w:cs="宋体"/>
          <w:color w:val="auto"/>
          <w:szCs w:val="21"/>
          <w:highlight w:val="none"/>
        </w:rPr>
        <w:t>七、争议解决</w:t>
      </w:r>
      <w:bookmarkEnd w:id="2372"/>
      <w:bookmarkEnd w:id="2373"/>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因本保函或本保函相关事项发生的纠纷，可由双方协商解决，协商不成的，按下列第种方式解决：</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1</w:t>
      </w:r>
      <w:r>
        <w:rPr>
          <w:rFonts w:hint="eastAsia" w:ascii="宋体" w:hAnsi="宋体" w:cs="宋体"/>
          <w:color w:val="auto"/>
          <w:szCs w:val="21"/>
          <w:highlight w:val="none"/>
        </w:rPr>
        <w:t>）向仲裁委员会申请仲裁；</w:t>
      </w:r>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）向人民法院起诉。</w:t>
      </w:r>
    </w:p>
    <w:p>
      <w:pPr>
        <w:spacing w:line="336" w:lineRule="auto"/>
        <w:ind w:firstLine="420" w:firstLineChars="200"/>
        <w:jc w:val="left"/>
        <w:rPr>
          <w:rFonts w:ascii="宋体" w:hAnsi="宋体" w:cs="宋体"/>
          <w:color w:val="auto"/>
          <w:szCs w:val="21"/>
          <w:highlight w:val="none"/>
        </w:rPr>
      </w:pPr>
      <w:bookmarkStart w:id="2374" w:name="_Toc109149899"/>
      <w:bookmarkStart w:id="2375" w:name="_Toc8292"/>
      <w:r>
        <w:rPr>
          <w:rFonts w:hint="eastAsia" w:ascii="宋体" w:hAnsi="宋体" w:cs="宋体"/>
          <w:color w:val="auto"/>
          <w:szCs w:val="21"/>
          <w:highlight w:val="none"/>
        </w:rPr>
        <w:t>八、保函的生效</w:t>
      </w:r>
      <w:bookmarkEnd w:id="2374"/>
      <w:bookmarkEnd w:id="2375"/>
    </w:p>
    <w:p>
      <w:pP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pPr>
        <w:spacing w:line="336" w:lineRule="auto"/>
        <w:ind w:right="600"/>
        <w:jc w:val="left"/>
        <w:rPr>
          <w:rFonts w:ascii="宋体" w:hAnsi="宋体" w:cs="宋体"/>
          <w:color w:val="auto"/>
          <w:szCs w:val="21"/>
          <w:highlight w:val="none"/>
        </w:rPr>
      </w:pPr>
    </w:p>
    <w:p>
      <w:pPr>
        <w:spacing w:line="336" w:lineRule="auto"/>
        <w:ind w:right="600" w:firstLine="1995" w:firstLineChars="950"/>
        <w:jc w:val="left"/>
        <w:rPr>
          <w:rFonts w:ascii="宋体" w:hAnsi="宋体" w:cs="宋体"/>
          <w:color w:val="auto"/>
          <w:szCs w:val="21"/>
          <w:highlight w:val="none"/>
        </w:rPr>
      </w:pPr>
      <w:r>
        <w:rPr>
          <w:rFonts w:hint="eastAsia" w:ascii="宋体" w:hAnsi="宋体" w:cs="宋体"/>
          <w:color w:val="auto"/>
          <w:szCs w:val="21"/>
          <w:highlight w:val="none"/>
        </w:rPr>
        <w:t>担保人：（盖章）</w:t>
      </w:r>
    </w:p>
    <w:p>
      <w:pPr>
        <w:spacing w:line="336" w:lineRule="auto"/>
        <w:ind w:right="1200" w:firstLine="1995" w:firstLineChars="950"/>
        <w:rPr>
          <w:rFonts w:ascii="宋体" w:hAnsi="宋体" w:cs="宋体"/>
          <w:color w:val="auto"/>
          <w:szCs w:val="21"/>
          <w:highlight w:val="none"/>
        </w:rPr>
      </w:pPr>
      <w:r>
        <w:rPr>
          <w:rFonts w:hint="eastAsia" w:ascii="宋体" w:hAnsi="宋体" w:cs="宋体"/>
          <w:color w:val="auto"/>
          <w:szCs w:val="21"/>
          <w:highlight w:val="none"/>
        </w:rPr>
        <w:t>法定代表人或委托代理人：（签字）</w:t>
      </w:r>
    </w:p>
    <w:p>
      <w:pPr>
        <w:spacing w:line="336" w:lineRule="auto"/>
        <w:ind w:firstLine="1995" w:firstLineChars="950"/>
        <w:jc w:val="left"/>
        <w:rPr>
          <w:rFonts w:ascii="宋体" w:hAnsi="宋体" w:cs="宋体"/>
          <w:color w:val="auto"/>
          <w:szCs w:val="21"/>
          <w:highlight w:val="none"/>
        </w:rPr>
      </w:pPr>
      <w:r>
        <w:rPr>
          <w:rFonts w:hint="eastAsia" w:ascii="宋体" w:hAnsi="宋体" w:cs="宋体"/>
          <w:color w:val="auto"/>
          <w:szCs w:val="21"/>
          <w:highlight w:val="none"/>
        </w:rPr>
        <w:t>地    址：</w:t>
      </w:r>
    </w:p>
    <w:p>
      <w:pPr>
        <w:spacing w:line="336" w:lineRule="auto"/>
        <w:ind w:firstLine="1995" w:firstLineChars="950"/>
        <w:jc w:val="left"/>
        <w:rPr>
          <w:rFonts w:ascii="宋体" w:hAnsi="宋体" w:cs="宋体"/>
          <w:color w:val="auto"/>
          <w:szCs w:val="21"/>
          <w:highlight w:val="none"/>
        </w:rPr>
      </w:pPr>
      <w:r>
        <w:rPr>
          <w:rFonts w:hint="eastAsia" w:ascii="宋体" w:hAnsi="宋体" w:cs="宋体"/>
          <w:color w:val="auto"/>
          <w:szCs w:val="21"/>
          <w:highlight w:val="none"/>
        </w:rPr>
        <w:t>邮政编码：</w:t>
      </w:r>
    </w:p>
    <w:p>
      <w:pPr>
        <w:spacing w:line="336" w:lineRule="auto"/>
        <w:ind w:firstLine="1995" w:firstLineChars="950"/>
        <w:jc w:val="left"/>
        <w:rPr>
          <w:rFonts w:ascii="宋体" w:hAnsi="宋体" w:cs="宋体"/>
          <w:color w:val="auto"/>
          <w:szCs w:val="21"/>
          <w:highlight w:val="none"/>
        </w:rPr>
      </w:pPr>
      <w:r>
        <w:rPr>
          <w:rFonts w:hint="eastAsia" w:ascii="宋体" w:hAnsi="宋体" w:cs="宋体"/>
          <w:color w:val="auto"/>
          <w:szCs w:val="21"/>
          <w:highlight w:val="none"/>
        </w:rPr>
        <w:t>传    真：</w:t>
      </w:r>
    </w:p>
    <w:p>
      <w:pPr>
        <w:spacing w:line="336" w:lineRule="auto"/>
        <w:ind w:right="150" w:firstLine="420" w:firstLineChars="200"/>
        <w:jc w:val="left"/>
        <w:rPr>
          <w:rFonts w:ascii="宋体" w:hAnsi="宋体" w:cs="宋体"/>
          <w:color w:val="auto"/>
          <w:szCs w:val="21"/>
          <w:highlight w:val="none"/>
          <w:u w:val="single"/>
        </w:rPr>
      </w:pPr>
    </w:p>
    <w:p>
      <w:pPr>
        <w:spacing w:line="336" w:lineRule="auto"/>
        <w:ind w:right="150"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年月日</w:t>
      </w:r>
    </w:p>
    <w:p>
      <w:pPr>
        <w:spacing w:line="336"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黑体" w:hAnsi="黑体" w:eastAsia="黑体" w:cs="黑体"/>
          <w:color w:val="auto"/>
          <w:sz w:val="28"/>
          <w:szCs w:val="28"/>
          <w:highlight w:val="none"/>
        </w:rPr>
        <w:t>附件</w:t>
      </w:r>
      <w:r>
        <w:rPr>
          <w:rFonts w:hint="eastAsia" w:eastAsia="黑体" w:cs="黑体"/>
          <w:color w:val="auto"/>
          <w:sz w:val="28"/>
          <w:szCs w:val="28"/>
          <w:highlight w:val="none"/>
        </w:rPr>
        <w:t>11</w:t>
      </w:r>
    </w:p>
    <w:p>
      <w:pPr>
        <w:jc w:val="center"/>
        <w:rPr>
          <w:rFonts w:ascii="方正小标宋简体" w:hAnsi="方正小标宋简体" w:eastAsia="方正小标宋简体" w:cs="方正小标宋简体"/>
          <w:color w:val="auto"/>
          <w:sz w:val="32"/>
          <w:szCs w:val="32"/>
          <w:highlight w:val="none"/>
        </w:rPr>
      </w:pPr>
      <w:bookmarkStart w:id="2376" w:name="_Toc3251"/>
      <w:bookmarkStart w:id="2377" w:name="_Toc109149900"/>
      <w:r>
        <w:rPr>
          <w:rFonts w:hint="eastAsia" w:eastAsia="方正小标宋简体" w:cs="方正小标宋简体"/>
          <w:color w:val="auto"/>
          <w:sz w:val="32"/>
          <w:szCs w:val="32"/>
          <w:highlight w:val="none"/>
        </w:rPr>
        <w:t>11</w:t>
      </w:r>
      <w:r>
        <w:rPr>
          <w:rFonts w:hint="eastAsia" w:ascii="方正小标宋简体" w:hAnsi="方正小标宋简体" w:eastAsia="方正小标宋简体" w:cs="方正小标宋简体"/>
          <w:color w:val="auto"/>
          <w:sz w:val="32"/>
          <w:szCs w:val="32"/>
          <w:highlight w:val="none"/>
        </w:rPr>
        <w:t>-</w:t>
      </w:r>
      <w:r>
        <w:rPr>
          <w:rFonts w:hint="eastAsia" w:eastAsia="方正小标宋简体" w:cs="方正小标宋简体"/>
          <w:color w:val="auto"/>
          <w:sz w:val="32"/>
          <w:szCs w:val="32"/>
          <w:highlight w:val="none"/>
        </w:rPr>
        <w:t>1</w:t>
      </w:r>
      <w:r>
        <w:rPr>
          <w:rFonts w:hint="eastAsia" w:ascii="方正小标宋简体" w:hAnsi="方正小标宋简体" w:eastAsia="方正小标宋简体" w:cs="方正小标宋简体"/>
          <w:color w:val="auto"/>
          <w:sz w:val="32"/>
          <w:szCs w:val="32"/>
          <w:highlight w:val="none"/>
        </w:rPr>
        <w:t>：材料暂估价表</w:t>
      </w:r>
      <w:bookmarkEnd w:id="2376"/>
      <w:bookmarkEnd w:id="2377"/>
    </w:p>
    <w:tbl>
      <w:tblPr>
        <w:tblStyle w:val="2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984"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名称</w:t>
            </w:r>
          </w:p>
        </w:tc>
        <w:tc>
          <w:tcPr>
            <w:tcW w:w="851"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774"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352"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单价（元）</w:t>
            </w:r>
          </w:p>
        </w:tc>
        <w:tc>
          <w:tcPr>
            <w:tcW w:w="1418"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合价（元）</w:t>
            </w:r>
          </w:p>
        </w:tc>
        <w:tc>
          <w:tcPr>
            <w:tcW w:w="1701"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984"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851"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774"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352"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418"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701"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9"/>
              <w:spacing w:line="400" w:lineRule="exact"/>
              <w:rPr>
                <w:rFonts w:ascii="黑体" w:hAnsi="黑体" w:eastAsia="黑体" w:cs="黑体"/>
                <w:color w:val="auto"/>
                <w:szCs w:val="21"/>
                <w:highlight w:val="none"/>
              </w:rPr>
            </w:pPr>
          </w:p>
        </w:tc>
        <w:tc>
          <w:tcPr>
            <w:tcW w:w="1984" w:type="dxa"/>
            <w:tcBorders>
              <w:top w:val="nil"/>
            </w:tcBorders>
          </w:tcPr>
          <w:p>
            <w:pPr>
              <w:pStyle w:val="9"/>
              <w:spacing w:line="400" w:lineRule="exact"/>
              <w:rPr>
                <w:rFonts w:ascii="黑体" w:hAnsi="黑体" w:eastAsia="黑体" w:cs="黑体"/>
                <w:color w:val="auto"/>
                <w:szCs w:val="21"/>
                <w:highlight w:val="none"/>
              </w:rPr>
            </w:pPr>
          </w:p>
        </w:tc>
        <w:tc>
          <w:tcPr>
            <w:tcW w:w="851" w:type="dxa"/>
            <w:tcBorders>
              <w:top w:val="nil"/>
            </w:tcBorders>
          </w:tcPr>
          <w:p>
            <w:pPr>
              <w:pStyle w:val="9"/>
              <w:spacing w:line="400" w:lineRule="exact"/>
              <w:rPr>
                <w:rFonts w:ascii="黑体" w:hAnsi="黑体" w:eastAsia="黑体" w:cs="黑体"/>
                <w:color w:val="auto"/>
                <w:szCs w:val="21"/>
                <w:highlight w:val="none"/>
              </w:rPr>
            </w:pPr>
          </w:p>
        </w:tc>
        <w:tc>
          <w:tcPr>
            <w:tcW w:w="774" w:type="dxa"/>
            <w:tcBorders>
              <w:top w:val="nil"/>
            </w:tcBorders>
          </w:tcPr>
          <w:p>
            <w:pPr>
              <w:pStyle w:val="9"/>
              <w:spacing w:line="400" w:lineRule="exact"/>
              <w:rPr>
                <w:rFonts w:ascii="黑体" w:hAnsi="黑体" w:eastAsia="黑体" w:cs="黑体"/>
                <w:color w:val="auto"/>
                <w:szCs w:val="21"/>
                <w:highlight w:val="none"/>
              </w:rPr>
            </w:pPr>
          </w:p>
        </w:tc>
        <w:tc>
          <w:tcPr>
            <w:tcW w:w="1352" w:type="dxa"/>
            <w:tcBorders>
              <w:top w:val="nil"/>
            </w:tcBorders>
          </w:tcPr>
          <w:p>
            <w:pPr>
              <w:pStyle w:val="9"/>
              <w:spacing w:line="400" w:lineRule="exact"/>
              <w:rPr>
                <w:rFonts w:ascii="黑体" w:hAnsi="黑体" w:eastAsia="黑体" w:cs="黑体"/>
                <w:color w:val="auto"/>
                <w:szCs w:val="21"/>
                <w:highlight w:val="none"/>
              </w:rPr>
            </w:pPr>
          </w:p>
        </w:tc>
        <w:tc>
          <w:tcPr>
            <w:tcW w:w="1418" w:type="dxa"/>
            <w:tcBorders>
              <w:top w:val="nil"/>
            </w:tcBorders>
          </w:tcPr>
          <w:p>
            <w:pPr>
              <w:pStyle w:val="9"/>
              <w:spacing w:line="400" w:lineRule="exact"/>
              <w:rPr>
                <w:rFonts w:ascii="黑体" w:hAnsi="黑体" w:eastAsia="黑体" w:cs="黑体"/>
                <w:color w:val="auto"/>
                <w:szCs w:val="21"/>
                <w:highlight w:val="none"/>
              </w:rPr>
            </w:pPr>
          </w:p>
        </w:tc>
        <w:tc>
          <w:tcPr>
            <w:tcW w:w="1701" w:type="dxa"/>
            <w:tcBorders>
              <w:top w:val="nil"/>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bl>
    <w:p>
      <w:pPr>
        <w:spacing w:line="440" w:lineRule="exact"/>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jc w:val="center"/>
        <w:rPr>
          <w:rFonts w:ascii="方正小标宋简体" w:hAnsi="方正小标宋简体" w:eastAsia="方正小标宋简体" w:cs="方正小标宋简体"/>
          <w:color w:val="auto"/>
          <w:sz w:val="32"/>
          <w:szCs w:val="32"/>
          <w:highlight w:val="none"/>
        </w:rPr>
      </w:pPr>
      <w:r>
        <w:rPr>
          <w:rFonts w:hint="eastAsia" w:eastAsia="方正小标宋简体" w:cs="方正小标宋简体"/>
          <w:color w:val="auto"/>
          <w:sz w:val="32"/>
          <w:szCs w:val="32"/>
          <w:highlight w:val="none"/>
        </w:rPr>
        <w:t>11</w:t>
      </w:r>
      <w:r>
        <w:rPr>
          <w:rFonts w:hint="eastAsia" w:ascii="方正小标宋简体" w:hAnsi="方正小标宋简体" w:eastAsia="方正小标宋简体" w:cs="方正小标宋简体"/>
          <w:color w:val="auto"/>
          <w:sz w:val="32"/>
          <w:szCs w:val="32"/>
          <w:highlight w:val="none"/>
        </w:rPr>
        <w:t>-</w:t>
      </w:r>
      <w:r>
        <w:rPr>
          <w:rFonts w:hint="eastAsia" w:eastAsia="方正小标宋简体" w:cs="方正小标宋简体"/>
          <w:color w:val="auto"/>
          <w:sz w:val="32"/>
          <w:szCs w:val="32"/>
          <w:highlight w:val="none"/>
        </w:rPr>
        <w:t>2</w:t>
      </w:r>
      <w:r>
        <w:rPr>
          <w:rFonts w:hint="eastAsia" w:ascii="方正小标宋简体" w:hAnsi="方正小标宋简体" w:eastAsia="方正小标宋简体" w:cs="方正小标宋简体"/>
          <w:color w:val="auto"/>
          <w:sz w:val="32"/>
          <w:szCs w:val="32"/>
          <w:highlight w:val="none"/>
        </w:rPr>
        <w:t>：工程设备暂估价表</w:t>
      </w:r>
    </w:p>
    <w:tbl>
      <w:tblPr>
        <w:tblStyle w:val="2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984"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名称</w:t>
            </w:r>
          </w:p>
        </w:tc>
        <w:tc>
          <w:tcPr>
            <w:tcW w:w="851"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774"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352"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单价（元）</w:t>
            </w:r>
          </w:p>
        </w:tc>
        <w:tc>
          <w:tcPr>
            <w:tcW w:w="1418"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合价（元）</w:t>
            </w:r>
          </w:p>
        </w:tc>
        <w:tc>
          <w:tcPr>
            <w:tcW w:w="1701"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984"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851"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774"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352"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418"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701"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9"/>
              <w:spacing w:line="400" w:lineRule="exact"/>
              <w:rPr>
                <w:rFonts w:ascii="黑体" w:hAnsi="黑体" w:eastAsia="黑体" w:cs="黑体"/>
                <w:color w:val="auto"/>
                <w:szCs w:val="21"/>
                <w:highlight w:val="none"/>
              </w:rPr>
            </w:pPr>
          </w:p>
        </w:tc>
        <w:tc>
          <w:tcPr>
            <w:tcW w:w="1984" w:type="dxa"/>
            <w:tcBorders>
              <w:top w:val="nil"/>
            </w:tcBorders>
          </w:tcPr>
          <w:p>
            <w:pPr>
              <w:pStyle w:val="9"/>
              <w:spacing w:line="400" w:lineRule="exact"/>
              <w:rPr>
                <w:rFonts w:ascii="黑体" w:hAnsi="黑体" w:eastAsia="黑体" w:cs="黑体"/>
                <w:color w:val="auto"/>
                <w:szCs w:val="21"/>
                <w:highlight w:val="none"/>
              </w:rPr>
            </w:pPr>
          </w:p>
        </w:tc>
        <w:tc>
          <w:tcPr>
            <w:tcW w:w="851" w:type="dxa"/>
            <w:tcBorders>
              <w:top w:val="nil"/>
            </w:tcBorders>
          </w:tcPr>
          <w:p>
            <w:pPr>
              <w:pStyle w:val="9"/>
              <w:spacing w:line="400" w:lineRule="exact"/>
              <w:rPr>
                <w:rFonts w:ascii="黑体" w:hAnsi="黑体" w:eastAsia="黑体" w:cs="黑体"/>
                <w:color w:val="auto"/>
                <w:szCs w:val="21"/>
                <w:highlight w:val="none"/>
              </w:rPr>
            </w:pPr>
          </w:p>
        </w:tc>
        <w:tc>
          <w:tcPr>
            <w:tcW w:w="774" w:type="dxa"/>
            <w:tcBorders>
              <w:top w:val="nil"/>
            </w:tcBorders>
          </w:tcPr>
          <w:p>
            <w:pPr>
              <w:pStyle w:val="9"/>
              <w:spacing w:line="400" w:lineRule="exact"/>
              <w:rPr>
                <w:rFonts w:ascii="黑体" w:hAnsi="黑体" w:eastAsia="黑体" w:cs="黑体"/>
                <w:color w:val="auto"/>
                <w:szCs w:val="21"/>
                <w:highlight w:val="none"/>
              </w:rPr>
            </w:pPr>
          </w:p>
        </w:tc>
        <w:tc>
          <w:tcPr>
            <w:tcW w:w="1352" w:type="dxa"/>
            <w:tcBorders>
              <w:top w:val="nil"/>
            </w:tcBorders>
          </w:tcPr>
          <w:p>
            <w:pPr>
              <w:pStyle w:val="9"/>
              <w:spacing w:line="400" w:lineRule="exact"/>
              <w:rPr>
                <w:rFonts w:ascii="黑体" w:hAnsi="黑体" w:eastAsia="黑体" w:cs="黑体"/>
                <w:color w:val="auto"/>
                <w:szCs w:val="21"/>
                <w:highlight w:val="none"/>
              </w:rPr>
            </w:pPr>
          </w:p>
        </w:tc>
        <w:tc>
          <w:tcPr>
            <w:tcW w:w="1418" w:type="dxa"/>
            <w:tcBorders>
              <w:top w:val="nil"/>
            </w:tcBorders>
          </w:tcPr>
          <w:p>
            <w:pPr>
              <w:pStyle w:val="9"/>
              <w:spacing w:line="400" w:lineRule="exact"/>
              <w:rPr>
                <w:rFonts w:ascii="黑体" w:hAnsi="黑体" w:eastAsia="黑体" w:cs="黑体"/>
                <w:color w:val="auto"/>
                <w:szCs w:val="21"/>
                <w:highlight w:val="none"/>
              </w:rPr>
            </w:pPr>
          </w:p>
        </w:tc>
        <w:tc>
          <w:tcPr>
            <w:tcW w:w="1701" w:type="dxa"/>
            <w:tcBorders>
              <w:top w:val="nil"/>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851" w:type="dxa"/>
          </w:tcPr>
          <w:p>
            <w:pPr>
              <w:pStyle w:val="9"/>
              <w:spacing w:line="400" w:lineRule="exact"/>
              <w:rPr>
                <w:rFonts w:ascii="黑体" w:hAnsi="黑体" w:eastAsia="黑体" w:cs="黑体"/>
                <w:color w:val="auto"/>
                <w:szCs w:val="21"/>
                <w:highlight w:val="none"/>
              </w:rPr>
            </w:pPr>
          </w:p>
        </w:tc>
        <w:tc>
          <w:tcPr>
            <w:tcW w:w="774" w:type="dxa"/>
          </w:tcPr>
          <w:p>
            <w:pPr>
              <w:pStyle w:val="9"/>
              <w:spacing w:line="400" w:lineRule="exact"/>
              <w:rPr>
                <w:rFonts w:ascii="黑体" w:hAnsi="黑体" w:eastAsia="黑体" w:cs="黑体"/>
                <w:color w:val="auto"/>
                <w:szCs w:val="21"/>
                <w:highlight w:val="none"/>
              </w:rPr>
            </w:pPr>
          </w:p>
        </w:tc>
        <w:tc>
          <w:tcPr>
            <w:tcW w:w="1352" w:type="dxa"/>
          </w:tcPr>
          <w:p>
            <w:pPr>
              <w:pStyle w:val="9"/>
              <w:spacing w:line="400" w:lineRule="exact"/>
              <w:rPr>
                <w:rFonts w:ascii="黑体" w:hAnsi="黑体" w:eastAsia="黑体" w:cs="黑体"/>
                <w:color w:val="auto"/>
                <w:szCs w:val="21"/>
                <w:highlight w:val="none"/>
              </w:rPr>
            </w:pPr>
          </w:p>
        </w:tc>
        <w:tc>
          <w:tcPr>
            <w:tcW w:w="1418" w:type="dxa"/>
          </w:tcPr>
          <w:p>
            <w:pPr>
              <w:pStyle w:val="9"/>
              <w:spacing w:line="400" w:lineRule="exact"/>
              <w:rPr>
                <w:rFonts w:ascii="黑体" w:hAnsi="黑体" w:eastAsia="黑体" w:cs="黑体"/>
                <w:color w:val="auto"/>
                <w:szCs w:val="21"/>
                <w:highlight w:val="none"/>
              </w:rPr>
            </w:pPr>
          </w:p>
        </w:tc>
        <w:tc>
          <w:tcPr>
            <w:tcW w:w="1701" w:type="dxa"/>
          </w:tcPr>
          <w:p>
            <w:pPr>
              <w:pStyle w:val="9"/>
              <w:spacing w:line="400" w:lineRule="exact"/>
              <w:rPr>
                <w:rFonts w:ascii="黑体" w:hAnsi="黑体" w:eastAsia="黑体" w:cs="黑体"/>
                <w:color w:val="auto"/>
                <w:szCs w:val="21"/>
                <w:highlight w:val="none"/>
              </w:rPr>
            </w:pPr>
          </w:p>
        </w:tc>
      </w:tr>
    </w:tbl>
    <w:p>
      <w:pPr>
        <w:spacing w:line="440" w:lineRule="exact"/>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jc w:val="center"/>
        <w:rPr>
          <w:rFonts w:ascii="方正小标宋简体" w:hAnsi="方正小标宋简体" w:eastAsia="方正小标宋简体" w:cs="方正小标宋简体"/>
          <w:color w:val="auto"/>
          <w:sz w:val="32"/>
          <w:szCs w:val="32"/>
          <w:highlight w:val="none"/>
        </w:rPr>
      </w:pPr>
      <w:r>
        <w:rPr>
          <w:rFonts w:hint="eastAsia" w:eastAsia="方正小标宋简体" w:cs="方正小标宋简体"/>
          <w:color w:val="auto"/>
          <w:sz w:val="32"/>
          <w:szCs w:val="32"/>
          <w:highlight w:val="none"/>
        </w:rPr>
        <w:t>11</w:t>
      </w:r>
      <w:r>
        <w:rPr>
          <w:rFonts w:hint="eastAsia" w:ascii="方正小标宋简体" w:hAnsi="方正小标宋简体" w:eastAsia="方正小标宋简体" w:cs="方正小标宋简体"/>
          <w:color w:val="auto"/>
          <w:sz w:val="32"/>
          <w:szCs w:val="32"/>
          <w:highlight w:val="none"/>
        </w:rPr>
        <w:t>-</w:t>
      </w:r>
      <w:r>
        <w:rPr>
          <w:rFonts w:hint="eastAsia" w:eastAsia="方正小标宋简体" w:cs="方正小标宋简体"/>
          <w:color w:val="auto"/>
          <w:sz w:val="32"/>
          <w:szCs w:val="32"/>
          <w:highlight w:val="none"/>
        </w:rPr>
        <w:t>3</w:t>
      </w:r>
      <w:r>
        <w:rPr>
          <w:rFonts w:hint="eastAsia" w:ascii="方正小标宋简体" w:hAnsi="方正小标宋简体" w:eastAsia="方正小标宋简体" w:cs="方正小标宋简体"/>
          <w:color w:val="auto"/>
          <w:sz w:val="32"/>
          <w:szCs w:val="32"/>
          <w:highlight w:val="none"/>
        </w:rPr>
        <w:t>：专业工程暂估价表</w:t>
      </w:r>
    </w:p>
    <w:tbl>
      <w:tblPr>
        <w:tblStyle w:val="25"/>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984"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专业工程名称</w:t>
            </w:r>
          </w:p>
        </w:tc>
        <w:tc>
          <w:tcPr>
            <w:tcW w:w="4678"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工程内容</w:t>
            </w:r>
          </w:p>
        </w:tc>
        <w:tc>
          <w:tcPr>
            <w:tcW w:w="1276" w:type="dxa"/>
            <w:tcBorders>
              <w:top w:val="single" w:color="auto" w:sz="12" w:space="0"/>
              <w:bottom w:val="double" w:color="auto" w:sz="6" w:space="0"/>
            </w:tcBorders>
          </w:tcPr>
          <w:p>
            <w:pPr>
              <w:pStyle w:val="9"/>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984"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4678"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c>
          <w:tcPr>
            <w:tcW w:w="1276" w:type="dxa"/>
            <w:tcBorders>
              <w:top w:val="double" w:color="auto" w:sz="6" w:space="0"/>
              <w:bottom w:val="single" w:color="auto" w:sz="6" w:space="0"/>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9"/>
              <w:spacing w:line="400" w:lineRule="exact"/>
              <w:rPr>
                <w:rFonts w:ascii="黑体" w:hAnsi="黑体" w:eastAsia="黑体" w:cs="黑体"/>
                <w:color w:val="auto"/>
                <w:szCs w:val="21"/>
                <w:highlight w:val="none"/>
              </w:rPr>
            </w:pPr>
          </w:p>
        </w:tc>
        <w:tc>
          <w:tcPr>
            <w:tcW w:w="1984" w:type="dxa"/>
            <w:tcBorders>
              <w:top w:val="nil"/>
            </w:tcBorders>
          </w:tcPr>
          <w:p>
            <w:pPr>
              <w:pStyle w:val="9"/>
              <w:spacing w:line="400" w:lineRule="exact"/>
              <w:rPr>
                <w:rFonts w:ascii="黑体" w:hAnsi="黑体" w:eastAsia="黑体" w:cs="黑体"/>
                <w:color w:val="auto"/>
                <w:szCs w:val="21"/>
                <w:highlight w:val="none"/>
              </w:rPr>
            </w:pPr>
          </w:p>
        </w:tc>
        <w:tc>
          <w:tcPr>
            <w:tcW w:w="4678" w:type="dxa"/>
            <w:tcBorders>
              <w:top w:val="nil"/>
            </w:tcBorders>
          </w:tcPr>
          <w:p>
            <w:pPr>
              <w:pStyle w:val="9"/>
              <w:spacing w:line="400" w:lineRule="exact"/>
              <w:rPr>
                <w:rFonts w:ascii="黑体" w:hAnsi="黑体" w:eastAsia="黑体" w:cs="黑体"/>
                <w:color w:val="auto"/>
                <w:szCs w:val="21"/>
                <w:highlight w:val="none"/>
              </w:rPr>
            </w:pPr>
          </w:p>
        </w:tc>
        <w:tc>
          <w:tcPr>
            <w:tcW w:w="1276" w:type="dxa"/>
            <w:tcBorders>
              <w:top w:val="nil"/>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9"/>
              <w:spacing w:line="400" w:lineRule="exact"/>
              <w:rPr>
                <w:rFonts w:ascii="黑体" w:hAnsi="黑体" w:eastAsia="黑体" w:cs="黑体"/>
                <w:color w:val="auto"/>
                <w:szCs w:val="21"/>
                <w:highlight w:val="none"/>
              </w:rPr>
            </w:pPr>
          </w:p>
        </w:tc>
        <w:tc>
          <w:tcPr>
            <w:tcW w:w="1984" w:type="dxa"/>
            <w:tcBorders>
              <w:top w:val="nil"/>
            </w:tcBorders>
          </w:tcPr>
          <w:p>
            <w:pPr>
              <w:pStyle w:val="9"/>
              <w:spacing w:line="400" w:lineRule="exact"/>
              <w:rPr>
                <w:rFonts w:ascii="黑体" w:hAnsi="黑体" w:eastAsia="黑体" w:cs="黑体"/>
                <w:color w:val="auto"/>
                <w:szCs w:val="21"/>
                <w:highlight w:val="none"/>
              </w:rPr>
            </w:pPr>
          </w:p>
        </w:tc>
        <w:tc>
          <w:tcPr>
            <w:tcW w:w="4678" w:type="dxa"/>
            <w:tcBorders>
              <w:top w:val="nil"/>
            </w:tcBorders>
          </w:tcPr>
          <w:p>
            <w:pPr>
              <w:pStyle w:val="9"/>
              <w:spacing w:line="400" w:lineRule="exact"/>
              <w:rPr>
                <w:rFonts w:ascii="黑体" w:hAnsi="黑体" w:eastAsia="黑体" w:cs="黑体"/>
                <w:color w:val="auto"/>
                <w:szCs w:val="21"/>
                <w:highlight w:val="none"/>
              </w:rPr>
            </w:pPr>
          </w:p>
        </w:tc>
        <w:tc>
          <w:tcPr>
            <w:tcW w:w="1276" w:type="dxa"/>
            <w:tcBorders>
              <w:top w:val="nil"/>
            </w:tcBorders>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9"/>
              <w:spacing w:line="400" w:lineRule="exact"/>
              <w:rPr>
                <w:rFonts w:ascii="黑体" w:hAnsi="黑体" w:eastAsia="黑体" w:cs="黑体"/>
                <w:color w:val="auto"/>
                <w:szCs w:val="21"/>
                <w:highlight w:val="none"/>
              </w:rPr>
            </w:pPr>
          </w:p>
        </w:tc>
        <w:tc>
          <w:tcPr>
            <w:tcW w:w="1984" w:type="dxa"/>
          </w:tcPr>
          <w:p>
            <w:pPr>
              <w:pStyle w:val="9"/>
              <w:spacing w:line="400" w:lineRule="exact"/>
              <w:rPr>
                <w:rFonts w:ascii="黑体" w:hAnsi="黑体" w:eastAsia="黑体" w:cs="黑体"/>
                <w:color w:val="auto"/>
                <w:szCs w:val="21"/>
                <w:highlight w:val="none"/>
              </w:rPr>
            </w:pPr>
          </w:p>
        </w:tc>
        <w:tc>
          <w:tcPr>
            <w:tcW w:w="4678" w:type="dxa"/>
          </w:tcPr>
          <w:p>
            <w:pPr>
              <w:pStyle w:val="9"/>
              <w:spacing w:line="400" w:lineRule="exact"/>
              <w:rPr>
                <w:rFonts w:ascii="黑体" w:hAnsi="黑体" w:eastAsia="黑体" w:cs="黑体"/>
                <w:color w:val="auto"/>
                <w:szCs w:val="21"/>
                <w:highlight w:val="none"/>
              </w:rPr>
            </w:pPr>
          </w:p>
        </w:tc>
        <w:tc>
          <w:tcPr>
            <w:tcW w:w="1276" w:type="dxa"/>
          </w:tcPr>
          <w:p>
            <w:pPr>
              <w:pStyle w:val="9"/>
              <w:spacing w:line="400" w:lineRule="exact"/>
              <w:rPr>
                <w:rFonts w:ascii="黑体" w:hAnsi="黑体" w:eastAsia="黑体" w:cs="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pPr>
              <w:pStyle w:val="9"/>
              <w:spacing w:line="400" w:lineRule="exact"/>
              <w:rPr>
                <w:rFonts w:ascii="黑体" w:hAnsi="黑体" w:eastAsia="黑体" w:cs="黑体"/>
                <w:color w:val="auto"/>
                <w:szCs w:val="21"/>
                <w:highlight w:val="none"/>
              </w:rPr>
            </w:pPr>
            <w:r>
              <w:rPr>
                <w:rFonts w:hint="eastAsia" w:ascii="黑体" w:hAnsi="黑体" w:eastAsia="黑体" w:cs="黑体"/>
                <w:color w:val="auto"/>
                <w:szCs w:val="21"/>
                <w:highlight w:val="none"/>
              </w:rPr>
              <w:t>小计：</w:t>
            </w:r>
          </w:p>
        </w:tc>
      </w:tr>
    </w:tbl>
    <w:p>
      <w:pPr>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bookmarkEnd w:id="1196"/>
    <w:bookmarkEnd w:id="1197"/>
    <w:bookmarkEnd w:id="1198"/>
    <w:bookmarkEnd w:id="1199"/>
    <w:bookmarkEnd w:id="1200"/>
    <w:bookmarkEnd w:id="1201"/>
    <w:bookmarkEnd w:id="1202"/>
    <w:bookmarkEnd w:id="1203"/>
    <w:p>
      <w:pPr>
        <w:pStyle w:val="3"/>
        <w:keepNext w:val="0"/>
        <w:keepLines w:val="0"/>
        <w:spacing w:line="400" w:lineRule="exact"/>
        <w:jc w:val="center"/>
        <w:rPr>
          <w:rFonts w:ascii="黑体" w:hAnsi="黑体"/>
          <w:b w:val="0"/>
          <w:bCs w:val="0"/>
          <w:color w:val="auto"/>
          <w:highlight w:val="none"/>
        </w:rPr>
      </w:pPr>
      <w:bookmarkStart w:id="2378" w:name="_Toc5760"/>
      <w:bookmarkStart w:id="2379" w:name="_Toc29838"/>
      <w:bookmarkStart w:id="2380" w:name="_Toc222031046"/>
      <w:bookmarkStart w:id="2381" w:name="_Toc222032713"/>
      <w:bookmarkStart w:id="2382" w:name="_Toc20689"/>
      <w:bookmarkStart w:id="2383" w:name="_Toc221951336"/>
      <w:bookmarkStart w:id="2384" w:name="_Toc222033895"/>
      <w:bookmarkStart w:id="2385" w:name="_Toc18732"/>
      <w:bookmarkStart w:id="2386" w:name="_Toc222029544"/>
      <w:bookmarkStart w:id="2387" w:name="_Toc3285"/>
      <w:bookmarkStart w:id="2388" w:name="_Toc150144173"/>
      <w:bookmarkStart w:id="2389" w:name="_Toc229305403"/>
      <w:bookmarkStart w:id="2390" w:name="_Toc5229"/>
      <w:bookmarkStart w:id="2391" w:name="_Toc387753612"/>
      <w:bookmarkStart w:id="2392" w:name="_Toc31399372"/>
      <w:r>
        <w:rPr>
          <w:rFonts w:hint="eastAsia" w:ascii="黑体" w:hAnsi="黑体"/>
          <w:b w:val="0"/>
          <w:bCs w:val="0"/>
          <w:color w:val="auto"/>
          <w:highlight w:val="none"/>
        </w:rPr>
        <w:t>第五章  工程量清单</w:t>
      </w:r>
      <w:bookmarkEnd w:id="1185"/>
      <w:bookmarkEnd w:id="1186"/>
      <w:bookmarkEnd w:id="118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pPr>
        <w:rPr>
          <w:color w:val="auto"/>
          <w:highlight w:val="none"/>
        </w:rPr>
      </w:pPr>
    </w:p>
    <w:p>
      <w:pPr>
        <w:rPr>
          <w:rFonts w:ascii="宋体" w:hAnsi="宋体" w:cs="宋体"/>
          <w:b/>
          <w:bCs/>
          <w:color w:val="auto"/>
          <w:sz w:val="32"/>
          <w:highlight w:val="none"/>
        </w:rPr>
      </w:pPr>
      <w:bookmarkStart w:id="2393" w:name="_Toc222029558"/>
      <w:bookmarkStart w:id="2394" w:name="_Toc222031060"/>
      <w:bookmarkStart w:id="2395" w:name="_Toc229305417"/>
      <w:bookmarkStart w:id="2396" w:name="_Toc168475913"/>
      <w:bookmarkStart w:id="2397" w:name="_Toc222032727"/>
      <w:bookmarkStart w:id="2398" w:name="_Toc222033909"/>
      <w:bookmarkStart w:id="2399" w:name="_Toc144974855"/>
      <w:bookmarkStart w:id="2400" w:name="_Toc221951909"/>
      <w:bookmarkStart w:id="2401" w:name="_Toc168476316"/>
    </w:p>
    <w:p>
      <w:pPr>
        <w:rPr>
          <w:rFonts w:ascii="宋体" w:hAnsi="宋体" w:cs="宋体"/>
          <w:b/>
          <w:bCs/>
          <w:color w:val="auto"/>
          <w:sz w:val="24"/>
          <w:szCs w:val="21"/>
          <w:highlight w:val="none"/>
        </w:rPr>
        <w:sectPr>
          <w:pgSz w:w="11906" w:h="16838"/>
          <w:pgMar w:top="2098" w:right="1446" w:bottom="1984" w:left="1446" w:header="851" w:footer="1446" w:gutter="0"/>
          <w:cols w:space="0" w:num="1"/>
          <w:docGrid w:linePitch="312" w:charSpace="0"/>
        </w:sectPr>
      </w:pPr>
      <w:r>
        <w:rPr>
          <w:rFonts w:hint="eastAsia" w:ascii="宋体" w:hAnsi="宋体" w:cs="宋体"/>
          <w:b/>
          <w:bCs/>
          <w:color w:val="auto"/>
          <w:sz w:val="24"/>
          <w:szCs w:val="21"/>
          <w:highlight w:val="none"/>
        </w:rPr>
        <w:t>注：本章由招标人自行制定。</w:t>
      </w:r>
      <w:r>
        <w:rPr>
          <w:rFonts w:hint="eastAsia" w:ascii="宋体" w:hAnsi="宋体" w:cs="宋体"/>
          <w:b/>
          <w:bCs/>
          <w:color w:val="auto"/>
          <w:sz w:val="24"/>
          <w:szCs w:val="21"/>
          <w:highlight w:val="none"/>
        </w:rPr>
        <w:t>（另册）</w:t>
      </w:r>
    </w:p>
    <w:p>
      <w:pPr>
        <w:pStyle w:val="2"/>
        <w:keepNext w:val="0"/>
        <w:keepLines w:val="0"/>
        <w:spacing w:line="400" w:lineRule="exact"/>
        <w:rPr>
          <w:rFonts w:ascii="黑体" w:hAnsi="黑体" w:eastAsia="黑体" w:cs="宋体"/>
          <w:b w:val="0"/>
          <w:bCs w:val="0"/>
          <w:color w:val="auto"/>
          <w:sz w:val="32"/>
          <w:highlight w:val="none"/>
        </w:rPr>
        <w:sectPr>
          <w:pgSz w:w="11906" w:h="16838"/>
          <w:pgMar w:top="2098" w:right="1446" w:bottom="1984" w:left="1446" w:header="851" w:footer="1446" w:gutter="0"/>
          <w:cols w:space="0" w:num="1"/>
          <w:docGrid w:linePitch="312" w:charSpace="0"/>
        </w:sectPr>
      </w:pPr>
      <w:bookmarkStart w:id="2402" w:name="_Toc712044873"/>
      <w:bookmarkStart w:id="2403" w:name="_Toc22665"/>
      <w:bookmarkStart w:id="2404" w:name="_Toc387753618"/>
      <w:bookmarkStart w:id="2405" w:name="_Toc22433"/>
      <w:bookmarkStart w:id="2406" w:name="_Toc19156"/>
      <w:bookmarkStart w:id="2407" w:name="_Toc12357"/>
      <w:bookmarkStart w:id="2408" w:name="_Toc11955"/>
      <w:bookmarkStart w:id="2409" w:name="_Toc2083643462"/>
      <w:bookmarkStart w:id="2410" w:name="_Toc21416"/>
      <w:r>
        <w:rPr>
          <w:rFonts w:hint="eastAsia" w:ascii="黑体" w:hAnsi="黑体" w:eastAsia="黑体" w:cs="宋体"/>
          <w:b w:val="0"/>
          <w:bCs w:val="0"/>
          <w:color w:val="auto"/>
          <w:sz w:val="32"/>
          <w:highlight w:val="none"/>
        </w:rPr>
        <w:t>第  二  卷</w:t>
      </w:r>
      <w:bookmarkEnd w:id="2402"/>
      <w:bookmarkEnd w:id="2403"/>
      <w:bookmarkEnd w:id="2404"/>
      <w:bookmarkEnd w:id="2405"/>
      <w:bookmarkEnd w:id="2406"/>
      <w:bookmarkEnd w:id="2407"/>
      <w:bookmarkEnd w:id="2408"/>
      <w:bookmarkEnd w:id="2409"/>
      <w:bookmarkEnd w:id="2410"/>
    </w:p>
    <w:p>
      <w:pPr>
        <w:jc w:val="center"/>
        <w:rPr>
          <w:rFonts w:ascii="宋体" w:hAnsi="宋体" w:cs="宋体"/>
          <w:color w:val="auto"/>
          <w:szCs w:val="21"/>
          <w:highlight w:val="none"/>
        </w:rPr>
      </w:pPr>
      <w:bookmarkStart w:id="2411" w:name="_Toc222033927"/>
      <w:bookmarkStart w:id="2412" w:name="_Toc221948392"/>
      <w:bookmarkStart w:id="2413" w:name="_Toc27544"/>
      <w:bookmarkStart w:id="2414" w:name="_Toc222031078"/>
      <w:bookmarkStart w:id="2415" w:name="_Toc18109"/>
      <w:bookmarkStart w:id="2416" w:name="_Toc30661"/>
      <w:bookmarkStart w:id="2417" w:name="_Toc287"/>
      <w:bookmarkStart w:id="2418" w:name="_Toc1246577164"/>
      <w:bookmarkStart w:id="2419" w:name="_Toc32543"/>
      <w:bookmarkStart w:id="2420" w:name="_Toc387753619"/>
      <w:bookmarkStart w:id="2421" w:name="_Toc1577422271"/>
      <w:bookmarkStart w:id="2422" w:name="_Toc222032745"/>
      <w:bookmarkStart w:id="2423" w:name="_Toc222029576"/>
      <w:bookmarkStart w:id="2424" w:name="_Toc221952224"/>
      <w:bookmarkStart w:id="2425" w:name="_Toc229305436"/>
      <w:bookmarkStart w:id="2426" w:name="_Toc24055"/>
      <w:r>
        <w:rPr>
          <w:rFonts w:hint="eastAsia" w:ascii="黑体" w:hAnsi="黑体" w:eastAsia="黑体"/>
          <w:color w:val="auto"/>
          <w:sz w:val="30"/>
          <w:szCs w:val="30"/>
          <w:highlight w:val="none"/>
        </w:rPr>
        <w:t>第六章 图纸（招标图纸）</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Start w:id="2427" w:name="_Toc221952236"/>
    </w:p>
    <w:p>
      <w:pPr>
        <w:spacing w:line="360" w:lineRule="auto"/>
        <w:rPr>
          <w:rFonts w:ascii="宋体" w:hAnsi="宋体" w:cs="宋体"/>
          <w:color w:val="auto"/>
          <w:szCs w:val="21"/>
          <w:highlight w:val="none"/>
        </w:rPr>
      </w:pPr>
    </w:p>
    <w:bookmarkEnd w:id="2427"/>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sectPr>
          <w:pgSz w:w="11906" w:h="16838"/>
          <w:pgMar w:top="2098" w:right="1446" w:bottom="1984" w:left="1446" w:header="851" w:footer="1446" w:gutter="0"/>
          <w:cols w:space="0" w:num="1"/>
          <w:docGrid w:linePitch="312" w:charSpace="0"/>
        </w:sectPr>
      </w:pPr>
      <w:r>
        <w:rPr>
          <w:rFonts w:hint="eastAsia" w:ascii="宋体" w:hAnsi="宋体" w:cs="宋体"/>
          <w:b/>
          <w:color w:val="auto"/>
          <w:sz w:val="28"/>
          <w:szCs w:val="28"/>
          <w:highlight w:val="none"/>
        </w:rPr>
        <w:t>注：本章由招标人自行制定。</w:t>
      </w:r>
      <w:r>
        <w:rPr>
          <w:rFonts w:hint="eastAsia" w:ascii="宋体" w:hAnsi="宋体" w:cs="宋体"/>
          <w:b/>
          <w:color w:val="auto"/>
          <w:sz w:val="28"/>
          <w:szCs w:val="28"/>
          <w:highlight w:val="none"/>
        </w:rPr>
        <w:t>（另册）</w:t>
      </w:r>
    </w:p>
    <w:p>
      <w:pPr>
        <w:pStyle w:val="2"/>
        <w:keepNext w:val="0"/>
        <w:keepLines w:val="0"/>
        <w:spacing w:line="400" w:lineRule="exact"/>
        <w:rPr>
          <w:rFonts w:ascii="黑体" w:hAnsi="黑体" w:eastAsia="黑体" w:cs="宋体"/>
          <w:b w:val="0"/>
          <w:bCs w:val="0"/>
          <w:color w:val="auto"/>
          <w:sz w:val="32"/>
          <w:highlight w:val="none"/>
        </w:rPr>
        <w:sectPr>
          <w:pgSz w:w="11906" w:h="16838"/>
          <w:pgMar w:top="2098" w:right="1446" w:bottom="1984" w:left="1446" w:header="851" w:footer="1446" w:gutter="0"/>
          <w:cols w:space="0" w:num="1"/>
          <w:docGrid w:linePitch="312" w:charSpace="0"/>
        </w:sectPr>
      </w:pPr>
      <w:bookmarkStart w:id="2428" w:name="_Toc1909216779"/>
      <w:bookmarkStart w:id="2429" w:name="_Toc20556"/>
      <w:bookmarkStart w:id="2430" w:name="_Toc1814641501"/>
      <w:bookmarkStart w:id="2431" w:name="_Toc2146"/>
      <w:bookmarkStart w:id="2432" w:name="_Toc24436"/>
      <w:bookmarkStart w:id="2433" w:name="_Toc28908"/>
      <w:bookmarkStart w:id="2434" w:name="_Toc10492"/>
      <w:bookmarkStart w:id="2435" w:name="_Toc229408535"/>
      <w:bookmarkStart w:id="2436" w:name="_Toc387753622"/>
      <w:bookmarkStart w:id="2437" w:name="_Toc11586"/>
      <w:r>
        <w:rPr>
          <w:rFonts w:hint="eastAsia" w:ascii="黑体" w:hAnsi="黑体" w:eastAsia="黑体" w:cs="宋体"/>
          <w:b w:val="0"/>
          <w:bCs w:val="0"/>
          <w:color w:val="auto"/>
          <w:sz w:val="32"/>
          <w:highlight w:val="none"/>
        </w:rPr>
        <w:t>第 三 卷</w:t>
      </w:r>
      <w:bookmarkEnd w:id="2428"/>
      <w:bookmarkEnd w:id="2429"/>
      <w:bookmarkEnd w:id="2430"/>
      <w:bookmarkEnd w:id="2431"/>
      <w:bookmarkEnd w:id="2432"/>
      <w:bookmarkEnd w:id="2433"/>
      <w:bookmarkEnd w:id="2434"/>
      <w:bookmarkEnd w:id="2435"/>
      <w:bookmarkEnd w:id="2436"/>
      <w:bookmarkEnd w:id="2437"/>
    </w:p>
    <w:p>
      <w:pPr>
        <w:jc w:val="center"/>
        <w:rPr>
          <w:color w:val="auto"/>
          <w:sz w:val="28"/>
          <w:szCs w:val="28"/>
          <w:highlight w:val="none"/>
        </w:rPr>
      </w:pPr>
      <w:bookmarkStart w:id="2438" w:name="_Toc641471948"/>
      <w:bookmarkStart w:id="2439" w:name="_Toc26303"/>
      <w:bookmarkStart w:id="2440" w:name="_Toc1001487143"/>
      <w:bookmarkStart w:id="2441" w:name="_Toc31225"/>
      <w:bookmarkStart w:id="2442" w:name="_Toc9336"/>
      <w:bookmarkStart w:id="2443" w:name="_Toc29949"/>
      <w:bookmarkStart w:id="2444" w:name="_Toc32720"/>
      <w:bookmarkStart w:id="2445" w:name="_Toc387753623"/>
      <w:bookmarkStart w:id="2446" w:name="_Toc2259"/>
      <w:r>
        <w:rPr>
          <w:rFonts w:hint="eastAsia" w:ascii="黑体" w:hAnsi="黑体"/>
          <w:color w:val="auto"/>
          <w:sz w:val="32"/>
          <w:highlight w:val="none"/>
        </w:rPr>
        <w:t>第七章</w:t>
      </w:r>
      <w:r>
        <w:rPr>
          <w:rFonts w:hint="eastAsia" w:ascii="黑体" w:hAnsi="黑体" w:eastAsia="黑体"/>
          <w:color w:val="auto"/>
          <w:sz w:val="32"/>
          <w:highlight w:val="none"/>
        </w:rPr>
        <w:t xml:space="preserve"> 技术标准和要求（合同技术条款）</w:t>
      </w:r>
      <w:bookmarkEnd w:id="2438"/>
      <w:bookmarkEnd w:id="2439"/>
      <w:bookmarkEnd w:id="2440"/>
      <w:bookmarkEnd w:id="2441"/>
      <w:bookmarkEnd w:id="2442"/>
      <w:bookmarkEnd w:id="2443"/>
      <w:bookmarkEnd w:id="2444"/>
      <w:bookmarkEnd w:id="2445"/>
      <w:bookmarkEnd w:id="2446"/>
      <w:bookmarkStart w:id="2447" w:name="_Toc31046"/>
      <w:bookmarkStart w:id="2448" w:name="_Toc16097"/>
      <w:bookmarkStart w:id="2449" w:name="_Toc28754"/>
      <w:bookmarkStart w:id="2450" w:name="_Toc1527922099"/>
      <w:bookmarkStart w:id="2451" w:name="_Toc396306660"/>
      <w:bookmarkStart w:id="2452" w:name="_Toc5523"/>
      <w:bookmarkStart w:id="2453" w:name="_Toc555094191"/>
      <w:bookmarkStart w:id="2454" w:name="_Toc8795"/>
    </w:p>
    <w:p>
      <w:pPr>
        <w:pStyle w:val="3"/>
        <w:rPr>
          <w:b w:val="0"/>
          <w:bCs w:val="0"/>
          <w:color w:val="auto"/>
          <w:sz w:val="28"/>
          <w:szCs w:val="28"/>
          <w:highlight w:val="none"/>
        </w:rPr>
      </w:pPr>
      <w:bookmarkStart w:id="2455" w:name="_Toc109149931"/>
      <w:r>
        <w:rPr>
          <w:rFonts w:hint="eastAsia"/>
          <w:b w:val="0"/>
          <w:bCs w:val="0"/>
          <w:color w:val="auto"/>
          <w:sz w:val="28"/>
          <w:szCs w:val="28"/>
          <w:highlight w:val="none"/>
        </w:rPr>
        <w:t>1.工程说明</w:t>
      </w:r>
      <w:bookmarkEnd w:id="2455"/>
    </w:p>
    <w:p>
      <w:pPr>
        <w:pStyle w:val="38"/>
        <w:outlineLvl w:val="0"/>
        <w:rPr>
          <w:b w:val="0"/>
          <w:color w:val="auto"/>
          <w:sz w:val="24"/>
          <w:szCs w:val="24"/>
          <w:highlight w:val="none"/>
        </w:rPr>
      </w:pPr>
      <w:bookmarkStart w:id="2456" w:name="_Toc5311"/>
      <w:bookmarkStart w:id="2457" w:name="_Toc109149932"/>
      <w:bookmarkStart w:id="2458" w:name="_Toc2040528757"/>
      <w:r>
        <w:rPr>
          <w:rFonts w:hint="eastAsia"/>
          <w:b w:val="0"/>
          <w:color w:val="auto"/>
          <w:sz w:val="24"/>
          <w:szCs w:val="24"/>
          <w:highlight w:val="none"/>
        </w:rPr>
        <w:t>1.1 工程概况</w:t>
      </w:r>
      <w:bookmarkEnd w:id="2456"/>
      <w:bookmarkEnd w:id="2457"/>
      <w:bookmarkEnd w:id="2458"/>
    </w:p>
    <w:p>
      <w:pPr>
        <w:spacing w:line="400" w:lineRule="exact"/>
        <w:ind w:firstLine="420"/>
        <w:rPr>
          <w:rFonts w:ascii="宋体" w:hAnsi="宋体"/>
          <w:color w:val="auto"/>
          <w:szCs w:val="21"/>
          <w:highlight w:val="none"/>
        </w:rPr>
      </w:pPr>
      <w:r>
        <w:rPr>
          <w:rFonts w:hint="eastAsia" w:ascii="宋体" w:hAnsi="宋体"/>
          <w:color w:val="auto"/>
          <w:szCs w:val="21"/>
          <w:highlight w:val="none"/>
        </w:rPr>
        <w:t>l.</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 xml:space="preserve">  本工程基本情况如下：</w:t>
      </w:r>
      <w:r>
        <w:rPr>
          <w:rFonts w:hint="eastAsia" w:ascii="宋体" w:hAnsi="宋体"/>
          <w:color w:val="auto"/>
          <w:szCs w:val="21"/>
          <w:highlight w:val="none"/>
          <w:u w:val="single"/>
        </w:rPr>
        <w:t>详见施工图纸及相关技术资料 。</w:t>
      </w:r>
    </w:p>
    <w:p>
      <w:pPr>
        <w:spacing w:line="400" w:lineRule="exact"/>
        <w:ind w:firstLine="42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 xml:space="preserve">  本工程施工场地(现场)具体地理位置如下：</w:t>
      </w:r>
      <w:r>
        <w:rPr>
          <w:rFonts w:hint="eastAsia" w:ascii="宋体" w:hAnsi="宋体"/>
          <w:color w:val="auto"/>
          <w:szCs w:val="21"/>
          <w:highlight w:val="none"/>
          <w:u w:val="single"/>
        </w:rPr>
        <w:t>详见施工图纸。</w:t>
      </w:r>
    </w:p>
    <w:p>
      <w:pPr>
        <w:pStyle w:val="38"/>
        <w:outlineLvl w:val="0"/>
        <w:rPr>
          <w:b w:val="0"/>
          <w:color w:val="auto"/>
          <w:sz w:val="24"/>
          <w:szCs w:val="24"/>
          <w:highlight w:val="none"/>
        </w:rPr>
      </w:pPr>
      <w:bookmarkStart w:id="2459" w:name="_Toc1151631316"/>
      <w:bookmarkStart w:id="2460" w:name="_Toc31288"/>
      <w:bookmarkStart w:id="2461" w:name="_Toc109149933"/>
      <w:r>
        <w:rPr>
          <w:rFonts w:hint="eastAsia"/>
          <w:b w:val="0"/>
          <w:color w:val="auto"/>
          <w:sz w:val="24"/>
          <w:szCs w:val="24"/>
          <w:highlight w:val="none"/>
        </w:rPr>
        <w:t>1.2 现场条件和周围环境</w:t>
      </w:r>
      <w:bookmarkEnd w:id="2459"/>
      <w:bookmarkEnd w:id="2460"/>
      <w:bookmarkEnd w:id="2461"/>
    </w:p>
    <w:p>
      <w:pPr>
        <w:spacing w:line="400" w:lineRule="exact"/>
        <w:ind w:firstLine="42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 xml:space="preserve">  现场条件和周围环境的其他资料和信息数据如下：</w:t>
      </w:r>
      <w:r>
        <w:rPr>
          <w:rFonts w:hint="eastAsia" w:ascii="宋体" w:hAnsi="宋体"/>
          <w:color w:val="auto"/>
          <w:szCs w:val="21"/>
          <w:highlight w:val="none"/>
          <w:u w:val="single"/>
        </w:rPr>
        <w:t xml:space="preserve">详见施工相关技术资料。 </w:t>
      </w:r>
    </w:p>
    <w:p>
      <w:pPr>
        <w:spacing w:line="400" w:lineRule="exact"/>
        <w:ind w:firstLine="420"/>
        <w:outlineLvl w:val="0"/>
        <w:rPr>
          <w:rFonts w:ascii="宋体" w:hAnsi="宋体"/>
          <w:color w:val="auto"/>
          <w:szCs w:val="21"/>
          <w:highlight w:val="none"/>
        </w:rPr>
      </w:pPr>
      <w:bookmarkStart w:id="2462" w:name="_Toc109149934"/>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4</w:t>
      </w:r>
      <w:r>
        <w:rPr>
          <w:rFonts w:hint="eastAsia" w:ascii="宋体" w:hAnsi="宋体"/>
          <w:color w:val="auto"/>
          <w:szCs w:val="21"/>
          <w:highlight w:val="none"/>
        </w:rPr>
        <w:t xml:space="preserve">  施工单位被认为已在本工程投标阶段踏勘现场时充分了解本工程现场条件和周围</w:t>
      </w:r>
      <w:bookmarkEnd w:id="2462"/>
    </w:p>
    <w:p>
      <w:pPr>
        <w:spacing w:line="400" w:lineRule="exact"/>
        <w:ind w:firstLine="420"/>
        <w:rPr>
          <w:rFonts w:ascii="宋体" w:hAnsi="宋体"/>
          <w:color w:val="auto"/>
          <w:szCs w:val="21"/>
          <w:highlight w:val="none"/>
        </w:rPr>
      </w:pPr>
      <w:r>
        <w:rPr>
          <w:rFonts w:hint="eastAsia" w:ascii="宋体" w:hAnsi="宋体"/>
          <w:color w:val="auto"/>
          <w:szCs w:val="21"/>
          <w:highlight w:val="none"/>
        </w:rPr>
        <w:t>环境，并已在其投标时就此给予了充分的考虑。</w:t>
      </w:r>
    </w:p>
    <w:p>
      <w:pPr>
        <w:pStyle w:val="38"/>
        <w:outlineLvl w:val="0"/>
        <w:rPr>
          <w:b w:val="0"/>
          <w:color w:val="auto"/>
          <w:sz w:val="24"/>
          <w:szCs w:val="24"/>
          <w:highlight w:val="none"/>
        </w:rPr>
      </w:pPr>
      <w:bookmarkStart w:id="2463" w:name="_Toc109149935"/>
      <w:bookmarkStart w:id="2464" w:name="_Toc20864"/>
      <w:bookmarkStart w:id="2465" w:name="_Toc634116501"/>
      <w:r>
        <w:rPr>
          <w:rFonts w:hint="eastAsia"/>
          <w:b w:val="0"/>
          <w:color w:val="auto"/>
          <w:sz w:val="24"/>
          <w:szCs w:val="24"/>
          <w:highlight w:val="none"/>
        </w:rPr>
        <w:t>1.3 地质及水文资料</w:t>
      </w:r>
      <w:bookmarkEnd w:id="2463"/>
      <w:bookmarkEnd w:id="2464"/>
      <w:bookmarkEnd w:id="2465"/>
    </w:p>
    <w:p>
      <w:pPr>
        <w:spacing w:line="400" w:lineRule="exact"/>
        <w:ind w:firstLine="42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 xml:space="preserve">  现场地质及水文资料和信息数据如下： </w:t>
      </w:r>
      <w:r>
        <w:rPr>
          <w:rFonts w:hint="eastAsia" w:ascii="宋体" w:hAnsi="宋体"/>
          <w:color w:val="auto"/>
          <w:szCs w:val="21"/>
          <w:highlight w:val="none"/>
          <w:u w:val="single"/>
        </w:rPr>
        <w:t>详见施工相关技术资料。</w:t>
      </w:r>
    </w:p>
    <w:p>
      <w:pPr>
        <w:pStyle w:val="38"/>
        <w:outlineLvl w:val="0"/>
        <w:rPr>
          <w:b w:val="0"/>
          <w:color w:val="auto"/>
          <w:sz w:val="24"/>
          <w:szCs w:val="24"/>
          <w:highlight w:val="none"/>
        </w:rPr>
      </w:pPr>
      <w:bookmarkStart w:id="2466" w:name="_Toc109149936"/>
      <w:bookmarkStart w:id="2467" w:name="_Toc558891041"/>
      <w:bookmarkStart w:id="2468" w:name="_Toc29889"/>
      <w:r>
        <w:rPr>
          <w:rFonts w:hint="eastAsia"/>
          <w:b w:val="0"/>
          <w:color w:val="auto"/>
          <w:sz w:val="24"/>
          <w:szCs w:val="24"/>
          <w:highlight w:val="none"/>
        </w:rPr>
        <w:t>1.4 资料和信息的使用</w:t>
      </w:r>
      <w:bookmarkEnd w:id="2466"/>
      <w:bookmarkEnd w:id="2467"/>
      <w:bookmarkEnd w:id="2468"/>
    </w:p>
    <w:p>
      <w:pPr>
        <w:spacing w:line="400" w:lineRule="exact"/>
        <w:ind w:firstLine="420"/>
        <w:rPr>
          <w:rFonts w:ascii="宋体" w:hAnsi="宋体" w:cs="宋体"/>
          <w:bCs/>
          <w:color w:val="auto"/>
          <w:szCs w:val="21"/>
          <w:highlight w:val="none"/>
        </w:rPr>
      </w:pPr>
      <w:r>
        <w:rPr>
          <w:rFonts w:hint="eastAsia" w:ascii="宋体" w:hAnsi="宋体"/>
          <w:color w:val="auto"/>
          <w:szCs w:val="21"/>
          <w:highlight w:val="none"/>
        </w:rPr>
        <w:t>合同文件中载明的涉及本工程现场条件、周围环境、地质及水文等情况的资料和信息数据，是项目承担单位现有的和客观的，项目承担单位保证有关资料和信息数据的真实、准确。但</w:t>
      </w:r>
      <w:r>
        <w:rPr>
          <w:rFonts w:hint="eastAsia" w:ascii="宋体" w:hAnsi="宋体" w:cs="宋体"/>
          <w:bCs/>
          <w:color w:val="auto"/>
          <w:szCs w:val="21"/>
          <w:highlight w:val="none"/>
        </w:rPr>
        <w:t>施工单位</w:t>
      </w:r>
      <w:r>
        <w:rPr>
          <w:rFonts w:hint="eastAsia" w:ascii="宋体" w:hAnsi="宋体"/>
          <w:color w:val="auto"/>
          <w:szCs w:val="21"/>
          <w:highlight w:val="none"/>
        </w:rPr>
        <w:t>据此作出的推论、判断和决策，由</w:t>
      </w:r>
      <w:r>
        <w:rPr>
          <w:rFonts w:hint="eastAsia" w:ascii="宋体" w:hAnsi="宋体" w:cs="宋体"/>
          <w:bCs/>
          <w:color w:val="auto"/>
          <w:szCs w:val="21"/>
          <w:highlight w:val="none"/>
        </w:rPr>
        <w:t>施工单位</w:t>
      </w:r>
      <w:r>
        <w:rPr>
          <w:rFonts w:hint="eastAsia" w:ascii="宋体" w:hAnsi="宋体"/>
          <w:color w:val="auto"/>
          <w:szCs w:val="21"/>
          <w:highlight w:val="none"/>
        </w:rPr>
        <w:t>自行负责。</w:t>
      </w:r>
      <w:r>
        <w:rPr>
          <w:rFonts w:hint="eastAsia" w:ascii="宋体" w:hAnsi="宋体" w:cs="宋体"/>
          <w:bCs/>
          <w:color w:val="auto"/>
          <w:szCs w:val="21"/>
          <w:highlight w:val="none"/>
        </w:rPr>
        <w:t xml:space="preserve">                                                                        </w:t>
      </w:r>
    </w:p>
    <w:p>
      <w:pPr>
        <w:pStyle w:val="3"/>
        <w:rPr>
          <w:b w:val="0"/>
          <w:bCs w:val="0"/>
          <w:color w:val="auto"/>
          <w:sz w:val="28"/>
          <w:szCs w:val="28"/>
          <w:highlight w:val="none"/>
        </w:rPr>
      </w:pPr>
      <w:bookmarkStart w:id="2469" w:name="_Toc12517"/>
      <w:bookmarkStart w:id="2470" w:name="_Toc109149937"/>
      <w:bookmarkStart w:id="2471" w:name="_Toc396306663"/>
      <w:bookmarkStart w:id="2472" w:name="_Toc11018"/>
      <w:bookmarkStart w:id="2473" w:name="_Toc892611839"/>
      <w:bookmarkStart w:id="2474" w:name="_Toc3873"/>
      <w:bookmarkStart w:id="2475" w:name="_Toc23731"/>
      <w:bookmarkStart w:id="2476" w:name="_Toc15912"/>
      <w:bookmarkStart w:id="2477" w:name="_Toc627123834"/>
      <w:r>
        <w:rPr>
          <w:rFonts w:hint="eastAsia"/>
          <w:b w:val="0"/>
          <w:bCs w:val="0"/>
          <w:color w:val="auto"/>
          <w:sz w:val="28"/>
          <w:szCs w:val="28"/>
          <w:highlight w:val="none"/>
        </w:rPr>
        <w:t>2.质量要求</w:t>
      </w:r>
      <w:bookmarkEnd w:id="2469"/>
      <w:bookmarkEnd w:id="2470"/>
      <w:bookmarkEnd w:id="2471"/>
      <w:bookmarkEnd w:id="2472"/>
      <w:bookmarkEnd w:id="2473"/>
      <w:bookmarkEnd w:id="2474"/>
      <w:bookmarkEnd w:id="2475"/>
      <w:bookmarkEnd w:id="2476"/>
      <w:bookmarkEnd w:id="2477"/>
    </w:p>
    <w:p>
      <w:pPr>
        <w:spacing w:line="400" w:lineRule="exact"/>
        <w:ind w:firstLine="420"/>
        <w:rPr>
          <w:rFonts w:ascii="宋体" w:hAnsi="宋体"/>
          <w:color w:val="auto"/>
          <w:szCs w:val="21"/>
          <w:highlight w:val="none"/>
          <w:u w:val="single"/>
        </w:rPr>
      </w:pPr>
      <w:r>
        <w:rPr>
          <w:rFonts w:hint="eastAsia" w:ascii="宋体" w:hAnsi="宋体"/>
          <w:color w:val="auto"/>
          <w:szCs w:val="21"/>
          <w:highlight w:val="none"/>
        </w:rPr>
        <w:t>本工程质量要求：</w:t>
      </w:r>
      <w:r>
        <w:rPr>
          <w:rFonts w:hint="eastAsia" w:ascii="宋体" w:hAnsi="宋体"/>
          <w:color w:val="auto"/>
          <w:szCs w:val="21"/>
          <w:highlight w:val="none"/>
          <w:u w:val="single"/>
        </w:rPr>
        <w:t>详见第四章的“专用合同条款”。</w:t>
      </w:r>
    </w:p>
    <w:p>
      <w:pPr>
        <w:pStyle w:val="3"/>
        <w:rPr>
          <w:rFonts w:hint="eastAsia"/>
          <w:b w:val="0"/>
          <w:bCs w:val="0"/>
          <w:color w:val="auto"/>
          <w:sz w:val="28"/>
          <w:szCs w:val="28"/>
          <w:highlight w:val="none"/>
          <w:lang w:eastAsia="zh-CN"/>
        </w:rPr>
      </w:pPr>
      <w:bookmarkStart w:id="2478" w:name="_Toc24124"/>
      <w:bookmarkStart w:id="2479" w:name="_Toc17836"/>
      <w:bookmarkStart w:id="2480" w:name="_Toc109149938"/>
      <w:bookmarkStart w:id="2481" w:name="_Toc23655"/>
      <w:bookmarkStart w:id="2482" w:name="_Toc30019"/>
      <w:bookmarkStart w:id="2483" w:name="_Toc396306664"/>
      <w:bookmarkStart w:id="2484" w:name="_Toc2007738750"/>
      <w:bookmarkStart w:id="2485" w:name="_Toc793881132"/>
      <w:bookmarkStart w:id="2486" w:name="_Toc15458"/>
      <w:r>
        <w:rPr>
          <w:rFonts w:hint="eastAsia"/>
          <w:b w:val="0"/>
          <w:bCs w:val="0"/>
          <w:color w:val="auto"/>
          <w:sz w:val="28"/>
          <w:szCs w:val="28"/>
          <w:highlight w:val="none"/>
        </w:rPr>
        <w:t>3.适用规范和标准</w:t>
      </w:r>
      <w:bookmarkEnd w:id="2478"/>
      <w:bookmarkEnd w:id="2479"/>
      <w:bookmarkEnd w:id="2480"/>
      <w:bookmarkEnd w:id="2481"/>
      <w:bookmarkEnd w:id="2482"/>
      <w:bookmarkEnd w:id="2483"/>
      <w:bookmarkEnd w:id="2484"/>
      <w:bookmarkEnd w:id="2485"/>
      <w:bookmarkEnd w:id="2486"/>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结合</w:t>
      </w:r>
      <w:r>
        <w:rPr>
          <w:rFonts w:hint="eastAsia"/>
          <w:b w:val="0"/>
          <w:bCs w:val="0"/>
          <w:color w:val="auto"/>
          <w:sz w:val="28"/>
          <w:szCs w:val="28"/>
          <w:highlight w:val="none"/>
        </w:rPr>
        <w:t>施工图纸相关技术</w:t>
      </w:r>
      <w:r>
        <w:rPr>
          <w:rFonts w:hint="eastAsia"/>
          <w:b w:val="0"/>
          <w:bCs w:val="0"/>
          <w:color w:val="auto"/>
          <w:sz w:val="28"/>
          <w:szCs w:val="28"/>
          <w:highlight w:val="none"/>
          <w:lang w:val="en-US" w:eastAsia="zh-CN"/>
        </w:rPr>
        <w:t>要求说明</w:t>
      </w:r>
      <w:r>
        <w:rPr>
          <w:rFonts w:hint="eastAsia"/>
          <w:b w:val="0"/>
          <w:bCs w:val="0"/>
          <w:color w:val="auto"/>
          <w:sz w:val="28"/>
          <w:szCs w:val="28"/>
          <w:highlight w:val="none"/>
          <w:lang w:eastAsia="zh-CN"/>
        </w:rPr>
        <w:t>）</w:t>
      </w:r>
    </w:p>
    <w:p>
      <w:pPr>
        <w:spacing w:line="420" w:lineRule="exact"/>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承包人在执行本合同时，对于所有材料、设备和施工工艺，都应遵照国家和主管部门颁发的所有现行技术规范和合同所规定的技术规范执行。若国家或部颁标准和规范作出修改时，则以修订以后的新标准和规范为准。本合同必须遵照执行的现行技术标准的规程规范主要有（但不限于）；</w:t>
      </w:r>
    </w:p>
    <w:p>
      <w:pPr>
        <w:pStyle w:val="38"/>
        <w:outlineLvl w:val="0"/>
        <w:rPr>
          <w:b w:val="0"/>
          <w:color w:val="auto"/>
          <w:sz w:val="24"/>
          <w:szCs w:val="24"/>
          <w:highlight w:val="none"/>
        </w:rPr>
      </w:pPr>
      <w:bookmarkStart w:id="2487" w:name="_Toc7688"/>
      <w:bookmarkStart w:id="2488" w:name="_Toc109149939"/>
      <w:bookmarkStart w:id="2489" w:name="_Toc1710459343"/>
      <w:r>
        <w:rPr>
          <w:rFonts w:hint="eastAsia"/>
          <w:b w:val="0"/>
          <w:color w:val="auto"/>
          <w:sz w:val="24"/>
          <w:szCs w:val="24"/>
          <w:highlight w:val="none"/>
        </w:rPr>
        <w:t>3.1  高标准农田建设</w:t>
      </w:r>
      <w:r>
        <w:rPr>
          <w:b w:val="0"/>
          <w:color w:val="auto"/>
          <w:sz w:val="24"/>
          <w:szCs w:val="24"/>
          <w:highlight w:val="none"/>
        </w:rPr>
        <w:t>推荐性</w:t>
      </w:r>
      <w:r>
        <w:rPr>
          <w:rFonts w:hint="eastAsia"/>
          <w:b w:val="0"/>
          <w:color w:val="auto"/>
          <w:sz w:val="24"/>
          <w:szCs w:val="24"/>
          <w:highlight w:val="none"/>
        </w:rPr>
        <w:t>行业标准</w:t>
      </w:r>
      <w:bookmarkEnd w:id="2487"/>
      <w:bookmarkEnd w:id="2488"/>
      <w:bookmarkEnd w:id="2489"/>
    </w:p>
    <w:p>
      <w:pPr>
        <w:spacing w:line="360" w:lineRule="auto"/>
        <w:ind w:right="248" w:firstLine="420"/>
        <w:rPr>
          <w:rFonts w:ascii="宋体" w:hAnsi="宋体" w:cs="宋体"/>
          <w:color w:val="auto"/>
          <w:szCs w:val="21"/>
          <w:highlight w:val="none"/>
        </w:rPr>
      </w:pPr>
      <w:bookmarkStart w:id="2490" w:name="_Toc524949162"/>
      <w:r>
        <w:rPr>
          <w:rFonts w:hint="eastAsia" w:ascii="宋体" w:hAnsi="宋体" w:cs="宋体"/>
          <w:color w:val="auto"/>
          <w:highlight w:val="none"/>
        </w:rPr>
        <w:t>《高标准农田建设通则</w:t>
      </w:r>
      <w:r>
        <w:rPr>
          <w:rFonts w:hint="eastAsia" w:ascii="宋体" w:hAnsi="宋体" w:cs="宋体"/>
          <w:color w:val="auto"/>
          <w:szCs w:val="21"/>
          <w:highlight w:val="none"/>
        </w:rPr>
        <w:t xml:space="preserve">》（GB/T </w:t>
      </w:r>
      <w:r>
        <w:rPr>
          <w:rFonts w:hint="eastAsia" w:cs="宋体"/>
          <w:color w:val="auto"/>
          <w:szCs w:val="21"/>
          <w:highlight w:val="none"/>
        </w:rPr>
        <w:t>30600</w:t>
      </w:r>
      <w:r>
        <w:rPr>
          <w:rFonts w:hint="eastAsia" w:ascii="宋体" w:hAnsi="宋体" w:cs="宋体"/>
          <w:color w:val="auto"/>
          <w:szCs w:val="21"/>
          <w:highlight w:val="none"/>
        </w:rPr>
        <w:t>）</w:t>
      </w:r>
    </w:p>
    <w:p>
      <w:pPr>
        <w:spacing w:line="360" w:lineRule="auto"/>
        <w:ind w:right="248" w:firstLine="420"/>
        <w:rPr>
          <w:rFonts w:ascii="宋体" w:hAnsi="宋体" w:cs="宋体"/>
          <w:color w:val="auto"/>
          <w:szCs w:val="21"/>
          <w:highlight w:val="none"/>
        </w:rPr>
      </w:pPr>
      <w:r>
        <w:rPr>
          <w:rFonts w:hint="eastAsia" w:ascii="宋体" w:hAnsi="宋体" w:cs="宋体"/>
          <w:color w:val="auto"/>
          <w:highlight w:val="none"/>
        </w:rPr>
        <w:t>《高标准农田建设标准</w:t>
      </w:r>
      <w:r>
        <w:rPr>
          <w:rFonts w:hint="eastAsia" w:ascii="宋体" w:hAnsi="宋体" w:cs="宋体"/>
          <w:color w:val="auto"/>
          <w:szCs w:val="21"/>
          <w:highlight w:val="none"/>
        </w:rPr>
        <w:t xml:space="preserve">》（NY/T </w:t>
      </w:r>
      <w:r>
        <w:rPr>
          <w:rFonts w:hint="eastAsia" w:cs="宋体"/>
          <w:color w:val="auto"/>
          <w:szCs w:val="21"/>
          <w:highlight w:val="none"/>
        </w:rPr>
        <w:t>2148</w:t>
      </w:r>
      <w:r>
        <w:rPr>
          <w:rFonts w:hint="eastAsia" w:ascii="宋体" w:hAnsi="宋体" w:cs="宋体"/>
          <w:color w:val="auto"/>
          <w:szCs w:val="21"/>
          <w:highlight w:val="none"/>
        </w:rPr>
        <w:t>）</w:t>
      </w:r>
    </w:p>
    <w:p>
      <w:pPr>
        <w:spacing w:line="360" w:lineRule="auto"/>
        <w:ind w:right="248" w:firstLine="420"/>
        <w:rPr>
          <w:rFonts w:ascii="宋体" w:hAnsi="宋体" w:cs="宋体"/>
          <w:color w:val="auto"/>
          <w:szCs w:val="21"/>
          <w:highlight w:val="none"/>
        </w:rPr>
      </w:pPr>
      <w:r>
        <w:rPr>
          <w:rFonts w:hint="eastAsia" w:ascii="宋体" w:hAnsi="宋体" w:cs="宋体"/>
          <w:color w:val="auto"/>
          <w:szCs w:val="21"/>
          <w:highlight w:val="none"/>
        </w:rPr>
        <w:t xml:space="preserve">《高标准基本农田建设标准》（TD/T </w:t>
      </w:r>
      <w:r>
        <w:rPr>
          <w:rFonts w:hint="eastAsia" w:cs="宋体"/>
          <w:color w:val="auto"/>
          <w:szCs w:val="21"/>
          <w:highlight w:val="none"/>
        </w:rPr>
        <w:t>1033</w:t>
      </w:r>
      <w:r>
        <w:rPr>
          <w:rFonts w:hint="eastAsia" w:ascii="宋体" w:hAnsi="宋体" w:cs="宋体"/>
          <w:color w:val="auto"/>
          <w:szCs w:val="21"/>
          <w:highlight w:val="none"/>
        </w:rPr>
        <w:t>）</w:t>
      </w:r>
    </w:p>
    <w:p>
      <w:pPr>
        <w:spacing w:line="360" w:lineRule="auto"/>
        <w:ind w:right="248" w:firstLine="420"/>
        <w:rPr>
          <w:rFonts w:cs="宋体"/>
          <w:color w:val="auto"/>
          <w:szCs w:val="21"/>
          <w:highlight w:val="none"/>
        </w:rPr>
      </w:pPr>
      <w:r>
        <w:rPr>
          <w:rFonts w:hint="eastAsia" w:cs="宋体"/>
          <w:color w:val="auto"/>
          <w:szCs w:val="21"/>
          <w:highlight w:val="none"/>
        </w:rPr>
        <w:t>《耕地质量验收技术规范》（NY/T 1120）</w:t>
      </w:r>
    </w:p>
    <w:p>
      <w:pPr>
        <w:spacing w:line="360" w:lineRule="auto"/>
        <w:ind w:right="248" w:firstLine="420"/>
        <w:rPr>
          <w:rFonts w:cs="宋体"/>
          <w:color w:val="auto"/>
          <w:szCs w:val="21"/>
          <w:highlight w:val="none"/>
        </w:rPr>
      </w:pPr>
      <w:r>
        <w:rPr>
          <w:rFonts w:hint="eastAsia" w:cs="宋体"/>
          <w:color w:val="auto"/>
          <w:szCs w:val="21"/>
          <w:highlight w:val="none"/>
        </w:rPr>
        <w:t>《耕地质量地力调查与质量评价技术规程》（NY/T 1634)</w:t>
      </w:r>
    </w:p>
    <w:p>
      <w:pPr>
        <w:spacing w:line="360" w:lineRule="auto"/>
        <w:ind w:right="248" w:firstLine="420"/>
        <w:rPr>
          <w:rFonts w:cs="宋体"/>
          <w:color w:val="auto"/>
          <w:szCs w:val="21"/>
          <w:highlight w:val="none"/>
        </w:rPr>
      </w:pPr>
      <w:r>
        <w:rPr>
          <w:rFonts w:hint="eastAsia" w:cs="宋体"/>
          <w:color w:val="auto"/>
          <w:szCs w:val="21"/>
          <w:highlight w:val="none"/>
        </w:rPr>
        <w:t>《水土保持综合治理 技术规范 坡耕地治理技术》（GB/T 16453.1）</w:t>
      </w:r>
    </w:p>
    <w:p>
      <w:pPr>
        <w:spacing w:line="360" w:lineRule="auto"/>
        <w:ind w:right="248" w:firstLine="420"/>
        <w:rPr>
          <w:rFonts w:cs="宋体"/>
          <w:color w:val="auto"/>
          <w:szCs w:val="21"/>
          <w:highlight w:val="none"/>
        </w:rPr>
      </w:pPr>
      <w:r>
        <w:rPr>
          <w:rFonts w:hint="eastAsia" w:cs="宋体"/>
          <w:color w:val="auto"/>
          <w:szCs w:val="21"/>
          <w:highlight w:val="none"/>
        </w:rPr>
        <w:t>《生态公益林建设 技术规程》（GB/T 18337.3）</w:t>
      </w:r>
    </w:p>
    <w:p>
      <w:pPr>
        <w:spacing w:line="360" w:lineRule="auto"/>
        <w:ind w:right="248" w:firstLine="420"/>
        <w:rPr>
          <w:rFonts w:cs="宋体"/>
          <w:color w:val="auto"/>
          <w:szCs w:val="21"/>
          <w:highlight w:val="none"/>
        </w:rPr>
      </w:pPr>
      <w:r>
        <w:rPr>
          <w:rFonts w:hint="eastAsia" w:cs="宋体"/>
          <w:color w:val="auto"/>
          <w:szCs w:val="21"/>
          <w:highlight w:val="none"/>
        </w:rPr>
        <w:t>《农田土壤墒情监测技术规范》（NY/T 1782)</w:t>
      </w:r>
    </w:p>
    <w:p>
      <w:pPr>
        <w:spacing w:line="360" w:lineRule="auto"/>
        <w:ind w:right="248" w:firstLine="420"/>
        <w:rPr>
          <w:rFonts w:cs="宋体"/>
          <w:color w:val="auto"/>
          <w:szCs w:val="21"/>
          <w:highlight w:val="none"/>
        </w:rPr>
      </w:pPr>
      <w:r>
        <w:rPr>
          <w:rFonts w:hint="eastAsia" w:cs="宋体"/>
          <w:color w:val="auto"/>
          <w:szCs w:val="21"/>
          <w:highlight w:val="none"/>
        </w:rPr>
        <w:t>《耕地质量监测技术规程》（NY/T 1119）</w:t>
      </w:r>
    </w:p>
    <w:p>
      <w:pPr>
        <w:pStyle w:val="38"/>
        <w:outlineLvl w:val="0"/>
        <w:rPr>
          <w:b w:val="0"/>
          <w:color w:val="auto"/>
          <w:sz w:val="24"/>
          <w:szCs w:val="24"/>
          <w:highlight w:val="none"/>
        </w:rPr>
      </w:pPr>
      <w:bookmarkStart w:id="2491" w:name="_Toc128151475"/>
      <w:bookmarkStart w:id="2492" w:name="_Toc109149940"/>
      <w:r>
        <w:rPr>
          <w:rFonts w:hint="eastAsia"/>
          <w:b w:val="0"/>
          <w:color w:val="auto"/>
          <w:sz w:val="24"/>
          <w:szCs w:val="24"/>
          <w:highlight w:val="none"/>
        </w:rPr>
        <w:t>3.2</w:t>
      </w:r>
      <w:bookmarkEnd w:id="2490"/>
      <w:r>
        <w:rPr>
          <w:b w:val="0"/>
          <w:color w:val="auto"/>
          <w:sz w:val="24"/>
          <w:szCs w:val="24"/>
          <w:highlight w:val="none"/>
        </w:rPr>
        <w:t xml:space="preserve"> </w:t>
      </w:r>
      <w:r>
        <w:rPr>
          <w:rFonts w:hint="eastAsia"/>
          <w:b w:val="0"/>
          <w:color w:val="auto"/>
          <w:sz w:val="24"/>
          <w:szCs w:val="24"/>
          <w:highlight w:val="none"/>
        </w:rPr>
        <w:t xml:space="preserve"> 其他相关标准</w:t>
      </w:r>
      <w:bookmarkEnd w:id="2491"/>
      <w:bookmarkEnd w:id="2492"/>
    </w:p>
    <w:p>
      <w:pPr>
        <w:spacing w:line="420" w:lineRule="exact"/>
        <w:ind w:left="143" w:firstLine="420"/>
        <w:jc w:val="left"/>
        <w:rPr>
          <w:color w:val="auto"/>
          <w:szCs w:val="21"/>
          <w:highlight w:val="none"/>
        </w:rPr>
      </w:pPr>
      <w:r>
        <w:rPr>
          <w:color w:val="auto"/>
          <w:szCs w:val="21"/>
          <w:highlight w:val="none"/>
        </w:rPr>
        <w:t>《土地整治项目验收规程 》（TD/T 1013）</w:t>
      </w:r>
    </w:p>
    <w:p>
      <w:pPr>
        <w:spacing w:line="420" w:lineRule="exact"/>
        <w:ind w:left="143" w:firstLine="420"/>
        <w:jc w:val="left"/>
        <w:rPr>
          <w:color w:val="auto"/>
          <w:szCs w:val="21"/>
          <w:highlight w:val="none"/>
        </w:rPr>
      </w:pPr>
      <w:r>
        <w:rPr>
          <w:color w:val="auto"/>
          <w:szCs w:val="21"/>
          <w:highlight w:val="none"/>
        </w:rPr>
        <w:t>《土地整治工程质量检验与评定规程 》（TD/T 1041）</w:t>
      </w:r>
    </w:p>
    <w:p>
      <w:pPr>
        <w:spacing w:line="420" w:lineRule="exact"/>
        <w:ind w:left="143" w:firstLine="420"/>
        <w:jc w:val="left"/>
        <w:rPr>
          <w:color w:val="auto"/>
          <w:szCs w:val="21"/>
          <w:highlight w:val="none"/>
        </w:rPr>
      </w:pPr>
      <w:r>
        <w:rPr>
          <w:color w:val="auto"/>
          <w:szCs w:val="21"/>
          <w:highlight w:val="none"/>
        </w:rPr>
        <w:t>《土地整治工程施工监理规范》（TD/T 1042）</w:t>
      </w:r>
    </w:p>
    <w:p>
      <w:pPr>
        <w:spacing w:line="420" w:lineRule="exact"/>
        <w:ind w:left="143" w:firstLine="420"/>
        <w:jc w:val="left"/>
        <w:rPr>
          <w:color w:val="auto"/>
          <w:szCs w:val="21"/>
          <w:highlight w:val="none"/>
        </w:rPr>
      </w:pPr>
      <w:r>
        <w:rPr>
          <w:rFonts w:hint="eastAsia"/>
          <w:color w:val="auto"/>
          <w:szCs w:val="21"/>
          <w:highlight w:val="none"/>
        </w:rPr>
        <w:t>《灌溉与排水工程设计标准》（GB 50288）</w:t>
      </w:r>
    </w:p>
    <w:p>
      <w:pPr>
        <w:spacing w:line="420" w:lineRule="exact"/>
        <w:ind w:left="143" w:firstLine="420"/>
        <w:jc w:val="left"/>
        <w:rPr>
          <w:color w:val="auto"/>
          <w:szCs w:val="21"/>
          <w:highlight w:val="none"/>
        </w:rPr>
      </w:pPr>
      <w:r>
        <w:rPr>
          <w:rFonts w:hint="eastAsia"/>
          <w:color w:val="auto"/>
          <w:szCs w:val="21"/>
          <w:highlight w:val="none"/>
        </w:rPr>
        <w:t>《水闸设计规划》（SL265）</w:t>
      </w:r>
    </w:p>
    <w:p>
      <w:pPr>
        <w:spacing w:line="420" w:lineRule="exact"/>
        <w:ind w:left="143" w:firstLine="420"/>
        <w:jc w:val="left"/>
        <w:rPr>
          <w:color w:val="auto"/>
          <w:szCs w:val="21"/>
          <w:highlight w:val="none"/>
        </w:rPr>
      </w:pPr>
      <w:r>
        <w:rPr>
          <w:rFonts w:hint="eastAsia"/>
          <w:color w:val="auto"/>
          <w:szCs w:val="21"/>
          <w:highlight w:val="none"/>
        </w:rPr>
        <w:t>《泵站设计规范》（GB 50265）</w:t>
      </w:r>
    </w:p>
    <w:p>
      <w:pPr>
        <w:spacing w:line="420" w:lineRule="exact"/>
        <w:ind w:left="143" w:firstLine="420"/>
        <w:jc w:val="left"/>
        <w:rPr>
          <w:color w:val="auto"/>
          <w:szCs w:val="21"/>
          <w:highlight w:val="none"/>
        </w:rPr>
      </w:pPr>
      <w:r>
        <w:rPr>
          <w:rFonts w:hint="eastAsia"/>
          <w:color w:val="auto"/>
          <w:szCs w:val="21"/>
          <w:highlight w:val="none"/>
        </w:rPr>
        <w:t>《农田排水工程技术规范》（SL/T4）</w:t>
      </w:r>
    </w:p>
    <w:p>
      <w:pPr>
        <w:spacing w:line="420" w:lineRule="exact"/>
        <w:ind w:left="143" w:firstLine="420"/>
        <w:jc w:val="left"/>
        <w:rPr>
          <w:color w:val="auto"/>
          <w:szCs w:val="21"/>
          <w:highlight w:val="none"/>
        </w:rPr>
      </w:pPr>
      <w:r>
        <w:rPr>
          <w:rFonts w:hint="eastAsia"/>
          <w:color w:val="auto"/>
          <w:szCs w:val="21"/>
          <w:highlight w:val="none"/>
        </w:rPr>
        <w:t>《节水灌溉工程技术标准》（GB/T50363）</w:t>
      </w:r>
    </w:p>
    <w:p>
      <w:pPr>
        <w:spacing w:line="420" w:lineRule="exact"/>
        <w:ind w:left="143" w:firstLine="420"/>
        <w:jc w:val="left"/>
        <w:rPr>
          <w:color w:val="auto"/>
          <w:szCs w:val="21"/>
          <w:highlight w:val="none"/>
        </w:rPr>
      </w:pPr>
      <w:r>
        <w:rPr>
          <w:rFonts w:hint="eastAsia"/>
          <w:color w:val="auto"/>
          <w:szCs w:val="21"/>
          <w:highlight w:val="none"/>
        </w:rPr>
        <w:t>《公路桥涵设计通用规范》（JTG D60）</w:t>
      </w:r>
    </w:p>
    <w:p>
      <w:pPr>
        <w:spacing w:line="420" w:lineRule="exact"/>
        <w:ind w:left="143" w:firstLine="420"/>
        <w:jc w:val="left"/>
        <w:rPr>
          <w:color w:val="auto"/>
          <w:szCs w:val="21"/>
          <w:highlight w:val="none"/>
        </w:rPr>
      </w:pPr>
      <w:r>
        <w:rPr>
          <w:rFonts w:hint="eastAsia"/>
          <w:color w:val="auto"/>
          <w:szCs w:val="21"/>
          <w:highlight w:val="none"/>
        </w:rPr>
        <w:t>《架空电力线路工程施工质量检验及评定规程》（DL/T 5161.10）</w:t>
      </w:r>
    </w:p>
    <w:p>
      <w:pPr>
        <w:spacing w:line="420" w:lineRule="exact"/>
        <w:ind w:left="143" w:firstLine="420"/>
        <w:jc w:val="left"/>
        <w:rPr>
          <w:color w:val="auto"/>
          <w:szCs w:val="21"/>
          <w:highlight w:val="none"/>
        </w:rPr>
      </w:pPr>
      <w:r>
        <w:rPr>
          <w:rFonts w:hint="eastAsia"/>
          <w:color w:val="auto"/>
          <w:szCs w:val="21"/>
          <w:highlight w:val="none"/>
        </w:rPr>
        <w:t>《渠道防渗工程技术规范》（GB/T 50600）</w:t>
      </w:r>
    </w:p>
    <w:p>
      <w:pPr>
        <w:spacing w:line="420" w:lineRule="exact"/>
        <w:ind w:left="143" w:firstLine="420"/>
        <w:jc w:val="left"/>
        <w:rPr>
          <w:color w:val="auto"/>
          <w:szCs w:val="21"/>
          <w:highlight w:val="none"/>
        </w:rPr>
      </w:pPr>
      <w:r>
        <w:rPr>
          <w:rFonts w:hint="eastAsia"/>
          <w:color w:val="auto"/>
          <w:szCs w:val="21"/>
          <w:highlight w:val="none"/>
        </w:rPr>
        <w:t>《砌体结构工程施工质量验收规范》（</w:t>
      </w:r>
      <w:r>
        <w:rPr>
          <w:color w:val="auto"/>
          <w:szCs w:val="21"/>
          <w:highlight w:val="none"/>
        </w:rPr>
        <w:t xml:space="preserve"> GB 50203 </w:t>
      </w:r>
      <w:r>
        <w:rPr>
          <w:rFonts w:hint="eastAsia"/>
          <w:color w:val="auto"/>
          <w:szCs w:val="21"/>
          <w:highlight w:val="none"/>
        </w:rPr>
        <w:t xml:space="preserve">） </w:t>
      </w:r>
    </w:p>
    <w:p>
      <w:pPr>
        <w:spacing w:line="420" w:lineRule="exact"/>
        <w:ind w:left="143" w:firstLine="420"/>
        <w:jc w:val="left"/>
        <w:rPr>
          <w:color w:val="auto"/>
          <w:szCs w:val="21"/>
          <w:highlight w:val="none"/>
        </w:rPr>
      </w:pPr>
      <w:r>
        <w:rPr>
          <w:rFonts w:hint="eastAsia"/>
          <w:color w:val="auto"/>
          <w:szCs w:val="21"/>
          <w:highlight w:val="none"/>
        </w:rPr>
        <w:t>《土地整治项目制图规范》（TD/T1040 ）</w:t>
      </w:r>
    </w:p>
    <w:p>
      <w:pPr>
        <w:spacing w:line="420" w:lineRule="exact"/>
        <w:ind w:left="143" w:firstLine="420"/>
        <w:jc w:val="left"/>
        <w:rPr>
          <w:color w:val="auto"/>
          <w:szCs w:val="21"/>
          <w:highlight w:val="none"/>
        </w:rPr>
      </w:pPr>
      <w:r>
        <w:rPr>
          <w:rFonts w:hint="eastAsia"/>
          <w:color w:val="auto"/>
          <w:szCs w:val="21"/>
          <w:highlight w:val="none"/>
        </w:rPr>
        <w:t>《道路工程制图标准》（GB50162）</w:t>
      </w:r>
    </w:p>
    <w:p>
      <w:pPr>
        <w:spacing w:line="420" w:lineRule="exact"/>
        <w:ind w:left="143" w:firstLine="420"/>
        <w:jc w:val="left"/>
        <w:rPr>
          <w:color w:val="auto"/>
          <w:szCs w:val="21"/>
          <w:highlight w:val="none"/>
        </w:rPr>
      </w:pPr>
      <w:r>
        <w:rPr>
          <w:rFonts w:hint="eastAsia"/>
          <w:color w:val="auto"/>
          <w:szCs w:val="21"/>
          <w:highlight w:val="none"/>
        </w:rPr>
        <w:t>《水利水电工程制图标准》（SL73）</w:t>
      </w:r>
    </w:p>
    <w:p>
      <w:pPr>
        <w:spacing w:line="420" w:lineRule="exact"/>
        <w:ind w:left="143" w:firstLine="420"/>
        <w:jc w:val="left"/>
        <w:rPr>
          <w:color w:val="auto"/>
          <w:szCs w:val="21"/>
          <w:highlight w:val="none"/>
        </w:rPr>
      </w:pPr>
      <w:r>
        <w:rPr>
          <w:rFonts w:hint="eastAsia"/>
          <w:color w:val="auto"/>
          <w:szCs w:val="21"/>
          <w:highlight w:val="none"/>
        </w:rPr>
        <w:t>《土地整治项目工程量计算规则》（TD/T1039 ）</w:t>
      </w:r>
    </w:p>
    <w:p>
      <w:pPr>
        <w:spacing w:line="420" w:lineRule="exact"/>
        <w:ind w:left="143" w:firstLine="420"/>
        <w:jc w:val="left"/>
        <w:rPr>
          <w:color w:val="auto"/>
          <w:szCs w:val="21"/>
          <w:highlight w:val="none"/>
        </w:rPr>
      </w:pPr>
      <w:r>
        <w:rPr>
          <w:rFonts w:hint="eastAsia"/>
          <w:color w:val="auto"/>
          <w:szCs w:val="21"/>
          <w:highlight w:val="none"/>
        </w:rPr>
        <w:t>《施工现场临时用电安全技术规范》（JGJ46）</w:t>
      </w:r>
    </w:p>
    <w:p>
      <w:pPr>
        <w:pStyle w:val="3"/>
        <w:rPr>
          <w:rFonts w:ascii="宋体" w:hAnsi="宋体" w:cs="宋体"/>
          <w:color w:val="auto"/>
          <w:sz w:val="24"/>
          <w:highlight w:val="none"/>
        </w:rPr>
      </w:pPr>
      <w:bookmarkStart w:id="2493" w:name="_Toc24940"/>
      <w:bookmarkStart w:id="2494" w:name="_Toc109149941"/>
      <w:bookmarkStart w:id="2495" w:name="_Toc25252"/>
      <w:bookmarkStart w:id="2496" w:name="_Toc1945883908"/>
      <w:bookmarkStart w:id="2497" w:name="_Toc13726"/>
      <w:bookmarkStart w:id="2498" w:name="_Toc19522"/>
      <w:bookmarkStart w:id="2499" w:name="_Toc30953"/>
      <w:bookmarkStart w:id="2500" w:name="_Toc1797926905"/>
      <w:r>
        <w:rPr>
          <w:rFonts w:hint="eastAsia"/>
          <w:b w:val="0"/>
          <w:bCs w:val="0"/>
          <w:color w:val="auto"/>
          <w:sz w:val="28"/>
          <w:szCs w:val="28"/>
          <w:highlight w:val="none"/>
        </w:rPr>
        <w:t>4.施工工艺的特殊要求</w:t>
      </w:r>
      <w:bookmarkEnd w:id="2493"/>
      <w:bookmarkEnd w:id="2494"/>
      <w:bookmarkEnd w:id="2495"/>
      <w:bookmarkEnd w:id="2496"/>
      <w:bookmarkEnd w:id="2497"/>
      <w:bookmarkEnd w:id="2498"/>
      <w:bookmarkEnd w:id="2499"/>
      <w:bookmarkEnd w:id="2500"/>
    </w:p>
    <w:bookmarkEnd w:id="2447"/>
    <w:bookmarkEnd w:id="2448"/>
    <w:bookmarkEnd w:id="2449"/>
    <w:bookmarkEnd w:id="2450"/>
    <w:bookmarkEnd w:id="2451"/>
    <w:bookmarkEnd w:id="2452"/>
    <w:bookmarkEnd w:id="2453"/>
    <w:bookmarkEnd w:id="2454"/>
    <w:p>
      <w:pPr>
        <w:ind w:left="1400" w:hanging="1400" w:hangingChars="500"/>
        <w:jc w:val="left"/>
        <w:rPr>
          <w:color w:val="auto"/>
          <w:sz w:val="28"/>
          <w:szCs w:val="28"/>
          <w:highlight w:val="none"/>
        </w:rPr>
        <w:sectPr>
          <w:pgSz w:w="11906" w:h="16838"/>
          <w:pgMar w:top="2098" w:right="1446" w:bottom="1984" w:left="1446" w:header="851" w:footer="1446" w:gutter="0"/>
          <w:cols w:space="0" w:num="1"/>
          <w:docGrid w:linePitch="312" w:charSpace="0"/>
        </w:sectPr>
      </w:pPr>
    </w:p>
    <w:p>
      <w:pPr>
        <w:pStyle w:val="2"/>
        <w:keepNext w:val="0"/>
        <w:keepLines w:val="0"/>
        <w:spacing w:line="400" w:lineRule="exact"/>
        <w:rPr>
          <w:rFonts w:ascii="黑体" w:hAnsi="黑体" w:eastAsia="黑体" w:cs="宋体"/>
          <w:b w:val="0"/>
          <w:bCs w:val="0"/>
          <w:color w:val="auto"/>
          <w:sz w:val="32"/>
          <w:highlight w:val="none"/>
        </w:rPr>
        <w:sectPr>
          <w:pgSz w:w="11906" w:h="16838"/>
          <w:pgMar w:top="2098" w:right="1446" w:bottom="1984" w:left="1446" w:header="851" w:footer="1446" w:gutter="0"/>
          <w:cols w:space="0" w:num="1"/>
          <w:docGrid w:linePitch="312" w:charSpace="0"/>
        </w:sectPr>
      </w:pPr>
      <w:bookmarkStart w:id="2501" w:name="_Toc24452"/>
      <w:bookmarkStart w:id="2502" w:name="_Toc6418"/>
      <w:bookmarkStart w:id="2503" w:name="_Toc229408537"/>
      <w:bookmarkStart w:id="2504" w:name="_Toc1674024461"/>
      <w:bookmarkStart w:id="2505" w:name="_Toc2903"/>
      <w:bookmarkStart w:id="2506" w:name="_Toc12443"/>
      <w:bookmarkStart w:id="2507" w:name="_Toc387753624"/>
      <w:bookmarkStart w:id="2508" w:name="_Toc5426"/>
      <w:bookmarkStart w:id="2509" w:name="_Toc7808"/>
      <w:bookmarkStart w:id="2510" w:name="_Toc1649467550"/>
      <w:r>
        <w:rPr>
          <w:rFonts w:hint="eastAsia" w:ascii="黑体" w:hAnsi="黑体" w:eastAsia="黑体" w:cs="宋体"/>
          <w:b w:val="0"/>
          <w:bCs w:val="0"/>
          <w:color w:val="auto"/>
          <w:sz w:val="32"/>
          <w:highlight w:val="none"/>
        </w:rPr>
        <w:t>第  四  卷</w:t>
      </w:r>
      <w:bookmarkEnd w:id="2501"/>
      <w:bookmarkEnd w:id="2502"/>
      <w:bookmarkEnd w:id="2503"/>
      <w:bookmarkEnd w:id="2504"/>
      <w:bookmarkEnd w:id="2505"/>
      <w:bookmarkEnd w:id="2506"/>
      <w:bookmarkEnd w:id="2507"/>
      <w:bookmarkEnd w:id="2508"/>
      <w:bookmarkEnd w:id="2509"/>
      <w:bookmarkEnd w:id="2510"/>
    </w:p>
    <w:p>
      <w:pPr>
        <w:spacing w:line="400" w:lineRule="exact"/>
        <w:jc w:val="center"/>
        <w:outlineLvl w:val="1"/>
        <w:rPr>
          <w:rFonts w:ascii="黑体" w:hAnsi="黑体" w:eastAsia="黑体"/>
          <w:color w:val="auto"/>
          <w:sz w:val="32"/>
          <w:highlight w:val="none"/>
        </w:rPr>
      </w:pPr>
      <w:bookmarkStart w:id="2511" w:name="_Toc32465"/>
      <w:bookmarkStart w:id="2512" w:name="_Toc16303"/>
      <w:bookmarkStart w:id="2513" w:name="_Toc387753625"/>
      <w:bookmarkStart w:id="2514" w:name="_Toc1338"/>
      <w:bookmarkStart w:id="2515" w:name="_Toc19911"/>
      <w:bookmarkStart w:id="2516" w:name="_Toc3951"/>
      <w:bookmarkStart w:id="2517" w:name="_Toc779656181"/>
      <w:bookmarkStart w:id="2518" w:name="_Toc32729"/>
      <w:bookmarkStart w:id="2519" w:name="_Toc32149697"/>
      <w:r>
        <w:rPr>
          <w:rFonts w:hint="eastAsia" w:ascii="黑体" w:hAnsi="黑体"/>
          <w:color w:val="auto"/>
          <w:sz w:val="30"/>
          <w:szCs w:val="30"/>
          <w:highlight w:val="none"/>
        </w:rPr>
        <w:t>第八章</w:t>
      </w:r>
      <w:r>
        <w:rPr>
          <w:rFonts w:hint="eastAsia" w:ascii="黑体" w:hAnsi="黑体" w:eastAsia="黑体"/>
          <w:color w:val="auto"/>
          <w:sz w:val="30"/>
          <w:szCs w:val="30"/>
          <w:highlight w:val="none"/>
        </w:rPr>
        <w:t xml:space="preserve">  投标文件格式</w:t>
      </w:r>
      <w:bookmarkEnd w:id="2393"/>
      <w:bookmarkEnd w:id="2394"/>
      <w:bookmarkEnd w:id="2395"/>
      <w:bookmarkEnd w:id="2396"/>
      <w:bookmarkEnd w:id="2397"/>
      <w:bookmarkEnd w:id="2398"/>
      <w:bookmarkEnd w:id="2399"/>
      <w:bookmarkEnd w:id="2400"/>
      <w:bookmarkEnd w:id="2401"/>
      <w:bookmarkEnd w:id="2511"/>
      <w:bookmarkEnd w:id="2512"/>
      <w:bookmarkEnd w:id="2513"/>
      <w:bookmarkEnd w:id="2514"/>
      <w:bookmarkEnd w:id="2515"/>
      <w:bookmarkEnd w:id="2516"/>
      <w:bookmarkEnd w:id="2517"/>
      <w:bookmarkEnd w:id="2518"/>
      <w:bookmarkEnd w:id="2519"/>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ascii="方正小标宋简体" w:hAnsi="方正小标宋简体" w:eastAsia="方正小标宋简体" w:cs="方正小标宋简体"/>
          <w:color w:val="auto"/>
          <w:sz w:val="28"/>
          <w:szCs w:val="28"/>
          <w:highlight w:val="none"/>
          <w:u w:val="single"/>
        </w:rPr>
      </w:pPr>
    </w:p>
    <w:p>
      <w:pPr>
        <w:jc w:val="center"/>
        <w:rPr>
          <w:rFonts w:ascii="方正小标宋简体" w:hAnsi="方正小标宋简体" w:eastAsia="方正小标宋简体" w:cs="方正小标宋简体"/>
          <w:color w:val="auto"/>
          <w:sz w:val="32"/>
          <w:szCs w:val="32"/>
          <w:highlight w:val="none"/>
        </w:rPr>
      </w:pPr>
      <w:bookmarkStart w:id="2520" w:name="_Toc4559"/>
      <w:bookmarkStart w:id="2521" w:name="_Toc20020"/>
      <w:bookmarkStart w:id="2522" w:name="_Toc2843"/>
      <w:bookmarkStart w:id="2523" w:name="_Toc288066307"/>
      <w:bookmarkStart w:id="2524" w:name="_Toc336192584"/>
      <w:bookmarkStart w:id="2525" w:name="_Toc279401963"/>
      <w:bookmarkStart w:id="2526" w:name="_Toc325129574"/>
      <w:bookmarkStart w:id="2527" w:name="_Toc336192492"/>
      <w:bookmarkStart w:id="2528" w:name="_Toc323220042"/>
      <w:bookmarkStart w:id="2529" w:name="_Toc323220043"/>
      <w:bookmarkStart w:id="2530" w:name="_Toc279401964"/>
      <w:bookmarkStart w:id="2531" w:name="_Toc288066308"/>
      <w:r>
        <w:rPr>
          <w:rFonts w:hint="eastAsia" w:ascii="方正小标宋简体" w:hAnsi="方正小标宋简体" w:eastAsia="方正小标宋简体" w:cs="方正小标宋简体"/>
          <w:color w:val="auto"/>
          <w:sz w:val="32"/>
          <w:szCs w:val="32"/>
          <w:highlight w:val="none"/>
        </w:rPr>
        <w:t>（项目名称）施工招标</w:t>
      </w:r>
      <w:bookmarkEnd w:id="2520"/>
      <w:bookmarkEnd w:id="2521"/>
      <w:bookmarkEnd w:id="2522"/>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44"/>
          <w:szCs w:val="44"/>
          <w:highlight w:val="none"/>
        </w:rPr>
      </w:pPr>
    </w:p>
    <w:p>
      <w:pPr>
        <w:jc w:val="center"/>
        <w:rPr>
          <w:rFonts w:ascii="方正小标宋简体" w:hAnsi="方正小标宋简体" w:eastAsia="方正小标宋简体" w:cs="方正小标宋简体"/>
          <w:color w:val="auto"/>
          <w:sz w:val="48"/>
          <w:szCs w:val="48"/>
          <w:highlight w:val="none"/>
        </w:rPr>
      </w:pPr>
      <w:bookmarkStart w:id="2532" w:name="_Toc14447"/>
      <w:bookmarkStart w:id="2533" w:name="_Toc5144"/>
      <w:bookmarkStart w:id="2534" w:name="_Toc5849"/>
      <w:r>
        <w:rPr>
          <w:rFonts w:hint="eastAsia" w:ascii="方正小标宋简体" w:hAnsi="方正小标宋简体" w:eastAsia="方正小标宋简体" w:cs="方正小标宋简体"/>
          <w:color w:val="auto"/>
          <w:sz w:val="48"/>
          <w:szCs w:val="48"/>
          <w:highlight w:val="none"/>
        </w:rPr>
        <w:t>投  标  文  件</w:t>
      </w:r>
      <w:bookmarkEnd w:id="2532"/>
      <w:bookmarkEnd w:id="2533"/>
      <w:bookmarkEnd w:id="2534"/>
    </w:p>
    <w:p>
      <w:pPr>
        <w:rPr>
          <w:rFonts w:eastAsia="黑体"/>
          <w:color w:val="auto"/>
          <w:sz w:val="44"/>
          <w:szCs w:val="44"/>
          <w:highlight w:val="none"/>
        </w:rPr>
      </w:pPr>
    </w:p>
    <w:p>
      <w:pPr>
        <w:ind w:firstLine="3360" w:firstLineChars="1200"/>
        <w:rPr>
          <w:rFonts w:ascii="宋体" w:hAnsi="宋体" w:cs="宋体"/>
          <w:color w:val="auto"/>
          <w:sz w:val="28"/>
          <w:szCs w:val="28"/>
          <w:highlight w:val="none"/>
          <w:u w:val="single"/>
        </w:rPr>
      </w:pPr>
      <w:bookmarkStart w:id="2535" w:name="_Toc30945"/>
      <w:bookmarkStart w:id="2536" w:name="_Toc12044"/>
      <w:bookmarkStart w:id="2537" w:name="_Toc915"/>
      <w:r>
        <w:rPr>
          <w:rFonts w:hint="eastAsia" w:ascii="宋体" w:hAnsi="宋体" w:cs="宋体"/>
          <w:color w:val="auto"/>
          <w:sz w:val="28"/>
          <w:szCs w:val="28"/>
          <w:highlight w:val="none"/>
        </w:rPr>
        <w:t>招标编号:</w:t>
      </w:r>
      <w:bookmarkEnd w:id="2535"/>
      <w:bookmarkEnd w:id="2536"/>
      <w:bookmarkEnd w:id="2537"/>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rPr>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color w:val="auto"/>
          <w:szCs w:val="21"/>
          <w:highlight w:val="none"/>
        </w:rPr>
      </w:pPr>
    </w:p>
    <w:p>
      <w:pPr>
        <w:spacing w:line="360" w:lineRule="auto"/>
        <w:jc w:val="center"/>
        <w:rPr>
          <w:rFonts w:ascii="黑体" w:hAnsi="黑体" w:eastAsia="黑体" w:cs="仿宋"/>
          <w:color w:val="auto"/>
          <w:sz w:val="28"/>
          <w:szCs w:val="28"/>
          <w:highlight w:val="none"/>
        </w:rPr>
      </w:pPr>
      <w:bookmarkStart w:id="2538" w:name="_Toc19389"/>
      <w:bookmarkStart w:id="2539" w:name="_Toc18130"/>
      <w:bookmarkStart w:id="2540" w:name="_Toc4526"/>
      <w:r>
        <w:rPr>
          <w:rFonts w:hint="eastAsia" w:ascii="黑体" w:hAnsi="黑体" w:eastAsia="黑体" w:cs="仿宋"/>
          <w:color w:val="auto"/>
          <w:sz w:val="28"/>
          <w:szCs w:val="28"/>
          <w:highlight w:val="none"/>
        </w:rPr>
        <w:t>投   标   人：（盖章）</w:t>
      </w:r>
      <w:bookmarkEnd w:id="2538"/>
      <w:bookmarkEnd w:id="2539"/>
      <w:bookmarkEnd w:id="2540"/>
    </w:p>
    <w:p>
      <w:pPr>
        <w:spacing w:line="360" w:lineRule="auto"/>
        <w:jc w:val="center"/>
        <w:rPr>
          <w:rFonts w:ascii="黑体" w:hAnsi="黑体" w:eastAsia="黑体" w:cs="仿宋"/>
          <w:color w:val="auto"/>
          <w:sz w:val="28"/>
          <w:szCs w:val="28"/>
          <w:highlight w:val="none"/>
        </w:rPr>
      </w:pPr>
      <w:bookmarkStart w:id="2541" w:name="_Toc10741"/>
      <w:bookmarkStart w:id="2542" w:name="_Toc24201"/>
      <w:bookmarkStart w:id="2543" w:name="_Toc21185"/>
      <w:r>
        <w:rPr>
          <w:rFonts w:hint="eastAsia" w:ascii="黑体" w:hAnsi="黑体" w:eastAsia="黑体" w:cs="仿宋"/>
          <w:color w:val="auto"/>
          <w:sz w:val="28"/>
          <w:szCs w:val="28"/>
          <w:highlight w:val="none"/>
        </w:rPr>
        <w:t>法定代表人： （签字）</w:t>
      </w:r>
      <w:bookmarkEnd w:id="2541"/>
      <w:bookmarkEnd w:id="2542"/>
      <w:bookmarkEnd w:id="2543"/>
    </w:p>
    <w:p>
      <w:pPr>
        <w:jc w:val="center"/>
        <w:rPr>
          <w:rFonts w:ascii="黑体" w:hAnsi="黑体" w:eastAsia="黑体" w:cs="仿宋"/>
          <w:color w:val="auto"/>
          <w:sz w:val="28"/>
          <w:szCs w:val="28"/>
          <w:highlight w:val="none"/>
        </w:rPr>
      </w:pPr>
      <w:bookmarkStart w:id="2544" w:name="_Toc19037"/>
      <w:bookmarkStart w:id="2545" w:name="_Toc5146"/>
      <w:bookmarkStart w:id="2546" w:name="_Toc30303"/>
    </w:p>
    <w:p>
      <w:pPr>
        <w:jc w:val="center"/>
        <w:rPr>
          <w:rFonts w:ascii="黑体" w:hAnsi="黑体" w:eastAsia="黑体" w:cs="仿宋"/>
          <w:color w:val="auto"/>
          <w:sz w:val="28"/>
          <w:szCs w:val="28"/>
          <w:highlight w:val="none"/>
        </w:rPr>
        <w:sectPr>
          <w:pgSz w:w="11906" w:h="16838"/>
          <w:pgMar w:top="2098" w:right="1446" w:bottom="1984" w:left="1446" w:header="851" w:footer="1446" w:gutter="0"/>
          <w:cols w:space="0" w:num="1"/>
          <w:docGrid w:linePitch="312" w:charSpace="0"/>
        </w:sectPr>
      </w:pPr>
      <w:r>
        <w:rPr>
          <w:rFonts w:hint="eastAsia" w:ascii="黑体" w:hAnsi="黑体" w:eastAsia="黑体" w:cs="仿宋"/>
          <w:color w:val="auto"/>
          <w:sz w:val="28"/>
          <w:szCs w:val="28"/>
          <w:highlight w:val="none"/>
        </w:rPr>
        <w:t xml:space="preserve"> 年  月 日</w:t>
      </w:r>
      <w:bookmarkEnd w:id="2544"/>
      <w:bookmarkEnd w:id="2545"/>
      <w:bookmarkEnd w:id="2546"/>
    </w:p>
    <w:p>
      <w:pPr>
        <w:pStyle w:val="20"/>
        <w:keepNext w:val="0"/>
        <w:keepLines w:val="0"/>
        <w:spacing w:line="336" w:lineRule="auto"/>
        <w:jc w:val="center"/>
        <w:outlineLvl w:val="2"/>
        <w:rPr>
          <w:color w:val="auto"/>
          <w:highlight w:val="none"/>
        </w:rPr>
      </w:pPr>
      <w:bookmarkStart w:id="2547" w:name="_Toc784171564"/>
      <w:bookmarkStart w:id="2548" w:name="_Toc10011"/>
      <w:bookmarkStart w:id="2549" w:name="_Toc109149944"/>
      <w:bookmarkStart w:id="2550" w:name="_Toc4545"/>
      <w:bookmarkStart w:id="2551" w:name="_Toc3186"/>
      <w:bookmarkStart w:id="2552" w:name="_Toc32137"/>
      <w:bookmarkStart w:id="2553" w:name="_Toc7806"/>
      <w:r>
        <w:rPr>
          <w:rFonts w:hint="eastAsia"/>
          <w:color w:val="auto"/>
          <w:highlight w:val="none"/>
        </w:rPr>
        <w:t>目    录</w:t>
      </w:r>
      <w:bookmarkEnd w:id="2523"/>
      <w:bookmarkEnd w:id="2524"/>
      <w:bookmarkEnd w:id="2525"/>
      <w:bookmarkEnd w:id="2526"/>
      <w:bookmarkEnd w:id="2527"/>
      <w:bookmarkEnd w:id="2528"/>
      <w:bookmarkEnd w:id="2547"/>
      <w:bookmarkEnd w:id="2548"/>
      <w:bookmarkEnd w:id="2549"/>
      <w:bookmarkEnd w:id="2550"/>
      <w:bookmarkEnd w:id="2551"/>
      <w:bookmarkEnd w:id="2552"/>
      <w:bookmarkEnd w:id="2553"/>
    </w:p>
    <w:p>
      <w:pPr>
        <w:spacing w:line="336" w:lineRule="auto"/>
        <w:jc w:val="left"/>
        <w:rPr>
          <w:rFonts w:ascii="宋体" w:hAnsi="宋体"/>
          <w:color w:val="auto"/>
          <w:szCs w:val="21"/>
          <w:highlight w:val="none"/>
        </w:rPr>
      </w:pPr>
    </w:p>
    <w:p>
      <w:pPr>
        <w:spacing w:line="336" w:lineRule="auto"/>
        <w:ind w:firstLine="420" w:firstLineChars="200"/>
        <w:rPr>
          <w:color w:val="auto"/>
          <w:szCs w:val="21"/>
          <w:highlight w:val="none"/>
        </w:rPr>
      </w:pPr>
      <w:bookmarkStart w:id="2554" w:name="_Toc29783"/>
      <w:bookmarkStart w:id="2555" w:name="_Toc4573"/>
      <w:bookmarkStart w:id="2556" w:name="_Toc27331"/>
      <w:r>
        <w:rPr>
          <w:rFonts w:hint="eastAsia"/>
          <w:color w:val="auto"/>
          <w:szCs w:val="21"/>
          <w:highlight w:val="none"/>
        </w:rPr>
        <w:t>一、投标函及投标函附录</w:t>
      </w:r>
      <w:bookmarkEnd w:id="2554"/>
      <w:bookmarkEnd w:id="2555"/>
      <w:bookmarkEnd w:id="2556"/>
    </w:p>
    <w:p>
      <w:pPr>
        <w:spacing w:line="336" w:lineRule="auto"/>
        <w:ind w:firstLine="420" w:firstLineChars="200"/>
        <w:rPr>
          <w:color w:val="auto"/>
          <w:szCs w:val="21"/>
          <w:highlight w:val="none"/>
        </w:rPr>
      </w:pPr>
      <w:bookmarkStart w:id="2557" w:name="_Toc27043"/>
      <w:bookmarkStart w:id="2558" w:name="_Toc30386"/>
      <w:bookmarkStart w:id="2559" w:name="_Toc6145"/>
      <w:r>
        <w:rPr>
          <w:rFonts w:hint="eastAsia"/>
          <w:color w:val="auto"/>
          <w:szCs w:val="21"/>
          <w:highlight w:val="none"/>
        </w:rPr>
        <w:t>二、法定代表人身份证明</w:t>
      </w:r>
      <w:bookmarkEnd w:id="2557"/>
      <w:bookmarkEnd w:id="2558"/>
      <w:bookmarkEnd w:id="2559"/>
    </w:p>
    <w:p>
      <w:pPr>
        <w:spacing w:line="336" w:lineRule="auto"/>
        <w:ind w:firstLine="420" w:firstLineChars="200"/>
        <w:rPr>
          <w:color w:val="auto"/>
          <w:szCs w:val="21"/>
          <w:highlight w:val="none"/>
        </w:rPr>
      </w:pPr>
      <w:bookmarkStart w:id="2560" w:name="_Toc10673"/>
      <w:bookmarkStart w:id="2561" w:name="_Toc10098"/>
      <w:bookmarkStart w:id="2562" w:name="_Toc11615"/>
      <w:r>
        <w:rPr>
          <w:rFonts w:hint="eastAsia"/>
          <w:color w:val="auto"/>
          <w:szCs w:val="21"/>
          <w:highlight w:val="none"/>
        </w:rPr>
        <w:t>三、</w:t>
      </w:r>
      <w:r>
        <w:rPr>
          <w:rFonts w:hint="eastAsia"/>
          <w:color w:val="auto"/>
          <w:szCs w:val="21"/>
          <w:highlight w:val="none"/>
          <w:u w:val="single"/>
        </w:rPr>
        <w:t>《关于投标保证金的承诺》</w:t>
      </w:r>
    </w:p>
    <w:bookmarkEnd w:id="2560"/>
    <w:bookmarkEnd w:id="2561"/>
    <w:bookmarkEnd w:id="2562"/>
    <w:p>
      <w:pPr>
        <w:spacing w:line="336" w:lineRule="auto"/>
        <w:ind w:firstLine="420" w:firstLineChars="200"/>
        <w:rPr>
          <w:strike/>
          <w:color w:val="auto"/>
          <w:szCs w:val="21"/>
          <w:highlight w:val="none"/>
        </w:rPr>
      </w:pPr>
      <w:bookmarkStart w:id="2563" w:name="_Toc13860"/>
      <w:bookmarkStart w:id="2564" w:name="_Toc23748"/>
      <w:bookmarkStart w:id="2565" w:name="_Toc2194"/>
      <w:r>
        <w:rPr>
          <w:rFonts w:hint="eastAsia"/>
          <w:strike/>
          <w:color w:val="auto"/>
          <w:szCs w:val="21"/>
          <w:highlight w:val="none"/>
        </w:rPr>
        <w:t>四、联合体协议书</w:t>
      </w:r>
    </w:p>
    <w:p>
      <w:pPr>
        <w:spacing w:line="336" w:lineRule="auto"/>
        <w:ind w:firstLine="420" w:firstLineChars="200"/>
        <w:rPr>
          <w:color w:val="auto"/>
          <w:szCs w:val="21"/>
          <w:highlight w:val="none"/>
        </w:rPr>
      </w:pPr>
      <w:r>
        <w:rPr>
          <w:rFonts w:hint="eastAsia"/>
          <w:color w:val="auto"/>
          <w:szCs w:val="21"/>
          <w:highlight w:val="none"/>
        </w:rPr>
        <w:t>五、拟分包项目情况表</w:t>
      </w:r>
    </w:p>
    <w:p>
      <w:pPr>
        <w:spacing w:line="336" w:lineRule="auto"/>
        <w:ind w:firstLine="420" w:firstLineChars="200"/>
        <w:rPr>
          <w:color w:val="auto"/>
          <w:szCs w:val="21"/>
          <w:highlight w:val="none"/>
        </w:rPr>
      </w:pPr>
      <w:r>
        <w:rPr>
          <w:rFonts w:hint="eastAsia"/>
          <w:color w:val="auto"/>
          <w:szCs w:val="21"/>
          <w:highlight w:val="none"/>
        </w:rPr>
        <w:t>六、投标报价</w:t>
      </w:r>
      <w:bookmarkEnd w:id="2563"/>
      <w:bookmarkEnd w:id="2564"/>
      <w:bookmarkEnd w:id="2565"/>
    </w:p>
    <w:p>
      <w:pPr>
        <w:spacing w:line="336" w:lineRule="auto"/>
        <w:ind w:firstLine="420" w:firstLineChars="200"/>
        <w:rPr>
          <w:color w:val="auto"/>
          <w:szCs w:val="21"/>
          <w:highlight w:val="none"/>
        </w:rPr>
      </w:pPr>
      <w:bookmarkStart w:id="2566" w:name="_Toc9156"/>
      <w:bookmarkStart w:id="2567" w:name="_Toc11587"/>
      <w:bookmarkStart w:id="2568" w:name="_Toc10031"/>
      <w:r>
        <w:rPr>
          <w:rFonts w:hint="eastAsia"/>
          <w:color w:val="auto"/>
          <w:szCs w:val="21"/>
          <w:highlight w:val="none"/>
        </w:rPr>
        <w:t>七、施工组织设计</w:t>
      </w:r>
      <w:bookmarkEnd w:id="2566"/>
      <w:bookmarkEnd w:id="2567"/>
      <w:bookmarkEnd w:id="2568"/>
    </w:p>
    <w:p>
      <w:pPr>
        <w:spacing w:line="336" w:lineRule="auto"/>
        <w:ind w:firstLine="420" w:firstLineChars="200"/>
        <w:rPr>
          <w:color w:val="auto"/>
          <w:szCs w:val="21"/>
          <w:highlight w:val="none"/>
        </w:rPr>
      </w:pPr>
      <w:bookmarkStart w:id="2569" w:name="_Toc27985"/>
      <w:bookmarkStart w:id="2570" w:name="_Toc10683"/>
      <w:bookmarkStart w:id="2571" w:name="_Toc20570"/>
      <w:r>
        <w:rPr>
          <w:rFonts w:hint="eastAsia"/>
          <w:color w:val="auto"/>
          <w:szCs w:val="21"/>
          <w:highlight w:val="none"/>
        </w:rPr>
        <w:t>八、项目管理机构</w:t>
      </w:r>
      <w:bookmarkEnd w:id="2569"/>
      <w:bookmarkEnd w:id="2570"/>
      <w:bookmarkEnd w:id="2571"/>
    </w:p>
    <w:p>
      <w:pPr>
        <w:spacing w:line="336" w:lineRule="auto"/>
        <w:ind w:firstLine="420" w:firstLineChars="200"/>
        <w:rPr>
          <w:color w:val="auto"/>
          <w:szCs w:val="21"/>
          <w:highlight w:val="none"/>
        </w:rPr>
      </w:pPr>
      <w:bookmarkStart w:id="2572" w:name="_Toc30825"/>
      <w:bookmarkStart w:id="2573" w:name="_Toc5673"/>
      <w:bookmarkStart w:id="2574" w:name="_Toc27688"/>
      <w:r>
        <w:rPr>
          <w:rFonts w:hint="eastAsia"/>
          <w:color w:val="auto"/>
          <w:szCs w:val="21"/>
          <w:highlight w:val="none"/>
        </w:rPr>
        <w:t>九、资格审查资料</w:t>
      </w:r>
      <w:bookmarkEnd w:id="2572"/>
      <w:bookmarkEnd w:id="2573"/>
      <w:bookmarkEnd w:id="2574"/>
    </w:p>
    <w:p>
      <w:pPr>
        <w:spacing w:line="336" w:lineRule="auto"/>
        <w:ind w:firstLine="420" w:firstLineChars="200"/>
        <w:rPr>
          <w:color w:val="auto"/>
          <w:szCs w:val="21"/>
          <w:highlight w:val="none"/>
        </w:rPr>
      </w:pPr>
      <w:bookmarkStart w:id="2575" w:name="_Toc13261"/>
      <w:bookmarkStart w:id="2576" w:name="_Toc19048"/>
      <w:bookmarkStart w:id="2577" w:name="_Toc21506"/>
      <w:r>
        <w:rPr>
          <w:rFonts w:hint="eastAsia"/>
          <w:color w:val="auto"/>
          <w:szCs w:val="21"/>
          <w:highlight w:val="none"/>
        </w:rPr>
        <w:t>十、</w:t>
      </w:r>
      <w:bookmarkEnd w:id="2575"/>
      <w:bookmarkEnd w:id="2576"/>
      <w:bookmarkEnd w:id="2577"/>
      <w:bookmarkStart w:id="2578" w:name="_Toc3900"/>
      <w:bookmarkStart w:id="2579" w:name="_Toc1851536456"/>
      <w:bookmarkStart w:id="2580" w:name="_Toc18653"/>
      <w:bookmarkStart w:id="2581" w:name="_Toc3125"/>
      <w:bookmarkStart w:id="2582" w:name="_Toc1281139497"/>
      <w:bookmarkStart w:id="2583" w:name="_Toc640"/>
      <w:bookmarkStart w:id="2584" w:name="_Toc22892"/>
      <w:bookmarkStart w:id="2585" w:name="_Toc403382858"/>
      <w:r>
        <w:rPr>
          <w:rFonts w:hint="eastAsia"/>
          <w:color w:val="auto"/>
          <w:szCs w:val="21"/>
          <w:highlight w:val="none"/>
        </w:rPr>
        <w:t>农田建设项目信用承诺书</w:t>
      </w:r>
    </w:p>
    <w:p>
      <w:pPr>
        <w:spacing w:line="336" w:lineRule="auto"/>
        <w:ind w:firstLine="420" w:firstLineChars="200"/>
        <w:rPr>
          <w:color w:val="auto"/>
          <w:szCs w:val="21"/>
          <w:highlight w:val="none"/>
        </w:rPr>
      </w:pPr>
      <w:r>
        <w:rPr>
          <w:rFonts w:hint="eastAsia"/>
          <w:color w:val="auto"/>
          <w:szCs w:val="21"/>
          <w:highlight w:val="none"/>
        </w:rPr>
        <w:t>十一、其他材料</w:t>
      </w:r>
    </w:p>
    <w:p>
      <w:pPr>
        <w:spacing w:line="336" w:lineRule="auto"/>
        <w:ind w:firstLine="420" w:firstLineChars="200"/>
        <w:rPr>
          <w:color w:val="auto"/>
          <w:szCs w:val="21"/>
          <w:highlight w:val="none"/>
        </w:rPr>
        <w:sectPr>
          <w:pgSz w:w="11906" w:h="16838"/>
          <w:pgMar w:top="2098" w:right="1446" w:bottom="1984" w:left="1446" w:header="851" w:footer="1446" w:gutter="0"/>
          <w:cols w:space="0" w:num="1"/>
          <w:docGrid w:linePitch="312" w:charSpace="0"/>
        </w:sectPr>
      </w:pPr>
    </w:p>
    <w:p>
      <w:pPr>
        <w:pStyle w:val="20"/>
        <w:keepNext w:val="0"/>
        <w:keepLines w:val="0"/>
        <w:spacing w:line="240" w:lineRule="auto"/>
        <w:jc w:val="center"/>
        <w:outlineLvl w:val="2"/>
        <w:rPr>
          <w:color w:val="auto"/>
          <w:highlight w:val="none"/>
        </w:rPr>
      </w:pPr>
      <w:bookmarkStart w:id="2586" w:name="_Toc14224"/>
      <w:r>
        <w:rPr>
          <w:rFonts w:hint="eastAsia"/>
          <w:color w:val="auto"/>
          <w:highlight w:val="none"/>
        </w:rPr>
        <w:t>一、投标函及投标函附录</w:t>
      </w:r>
      <w:bookmarkEnd w:id="2578"/>
      <w:bookmarkEnd w:id="2579"/>
      <w:bookmarkEnd w:id="2580"/>
      <w:bookmarkEnd w:id="2581"/>
      <w:bookmarkEnd w:id="2582"/>
      <w:bookmarkEnd w:id="2583"/>
      <w:bookmarkEnd w:id="2584"/>
      <w:bookmarkEnd w:id="2586"/>
    </w:p>
    <w:p>
      <w:pPr>
        <w:spacing w:line="480" w:lineRule="exact"/>
        <w:rPr>
          <w:color w:val="auto"/>
          <w:sz w:val="28"/>
          <w:szCs w:val="28"/>
          <w:highlight w:val="none"/>
        </w:rPr>
      </w:pPr>
      <w:bookmarkStart w:id="2587" w:name="_Toc1046868170"/>
      <w:bookmarkStart w:id="2588" w:name="_Toc14443"/>
      <w:bookmarkStart w:id="2589" w:name="_Toc73"/>
      <w:bookmarkStart w:id="2590" w:name="_Toc27505"/>
      <w:bookmarkStart w:id="2591" w:name="_Toc3570"/>
      <w:bookmarkStart w:id="2592" w:name="_Toc30739"/>
      <w:bookmarkStart w:id="2593" w:name="_Toc456647868"/>
    </w:p>
    <w:p>
      <w:pPr>
        <w:pStyle w:val="38"/>
        <w:keepNext w:val="0"/>
        <w:keepLines w:val="0"/>
        <w:jc w:val="center"/>
        <w:outlineLvl w:val="3"/>
        <w:rPr>
          <w:color w:val="auto"/>
          <w:sz w:val="28"/>
          <w:szCs w:val="28"/>
          <w:highlight w:val="none"/>
        </w:rPr>
      </w:pPr>
      <w:bookmarkStart w:id="2594" w:name="_Toc6910"/>
      <w:bookmarkStart w:id="2595" w:name="_Toc1159392808"/>
      <w:r>
        <w:rPr>
          <w:rFonts w:hint="eastAsia"/>
          <w:color w:val="auto"/>
          <w:sz w:val="28"/>
          <w:szCs w:val="28"/>
          <w:highlight w:val="none"/>
        </w:rPr>
        <w:t>（一）投标函</w:t>
      </w:r>
      <w:bookmarkEnd w:id="2585"/>
      <w:bookmarkEnd w:id="2587"/>
      <w:bookmarkEnd w:id="2588"/>
      <w:bookmarkEnd w:id="2589"/>
      <w:bookmarkEnd w:id="2590"/>
      <w:bookmarkEnd w:id="2591"/>
      <w:bookmarkEnd w:id="2592"/>
      <w:bookmarkEnd w:id="2593"/>
      <w:bookmarkEnd w:id="2594"/>
      <w:bookmarkEnd w:id="2595"/>
    </w:p>
    <w:p>
      <w:pPr>
        <w:spacing w:line="336" w:lineRule="auto"/>
        <w:rPr>
          <w:color w:val="auto"/>
          <w:highlight w:val="none"/>
          <w:u w:val="single"/>
        </w:rPr>
      </w:pPr>
    </w:p>
    <w:p>
      <w:pPr>
        <w:spacing w:line="336" w:lineRule="auto"/>
        <w:rPr>
          <w:color w:val="auto"/>
          <w:szCs w:val="21"/>
          <w:highlight w:val="none"/>
        </w:rPr>
      </w:pPr>
      <w:r>
        <w:rPr>
          <w:rFonts w:hint="eastAsia"/>
          <w:color w:val="auto"/>
          <w:highlight w:val="none"/>
          <w:u w:val="single"/>
        </w:rPr>
        <w:t xml:space="preserve">     </w:t>
      </w:r>
      <w:r>
        <w:rPr>
          <w:color w:val="auto"/>
          <w:szCs w:val="21"/>
          <w:highlight w:val="none"/>
        </w:rPr>
        <w:t>（招标人名称）：</w:t>
      </w:r>
    </w:p>
    <w:p>
      <w:pPr>
        <w:spacing w:line="336" w:lineRule="auto"/>
        <w:ind w:firstLine="420" w:firstLineChars="200"/>
        <w:rPr>
          <w:color w:val="auto"/>
          <w:szCs w:val="21"/>
          <w:highlight w:val="none"/>
        </w:rPr>
      </w:pPr>
      <w:r>
        <w:rPr>
          <w:color w:val="auto"/>
          <w:szCs w:val="21"/>
          <w:highlight w:val="none"/>
        </w:rPr>
        <w:t>1．我方已仔细研究了（项目名称）标段施工招标文件的全部内容，愿意以人民币（大写）</w:t>
      </w:r>
      <w:r>
        <w:rPr>
          <w:rFonts w:hint="eastAsia"/>
          <w:color w:val="auto"/>
          <w:highlight w:val="none"/>
          <w:u w:val="single"/>
        </w:rPr>
        <w:t xml:space="preserve">     </w:t>
      </w:r>
      <w:r>
        <w:rPr>
          <w:color w:val="auto"/>
          <w:szCs w:val="21"/>
          <w:highlight w:val="none"/>
        </w:rPr>
        <w:t>元（¥</w:t>
      </w:r>
      <w:r>
        <w:rPr>
          <w:rFonts w:hint="eastAsia"/>
          <w:color w:val="auto"/>
          <w:highlight w:val="none"/>
          <w:u w:val="single"/>
        </w:rPr>
        <w:t xml:space="preserve">     </w:t>
      </w:r>
      <w:r>
        <w:rPr>
          <w:color w:val="auto"/>
          <w:szCs w:val="21"/>
          <w:highlight w:val="none"/>
        </w:rPr>
        <w:t>）的投标总报价</w:t>
      </w:r>
      <w:r>
        <w:rPr>
          <w:rFonts w:hint="eastAsia"/>
          <w:color w:val="auto"/>
          <w:szCs w:val="21"/>
          <w:highlight w:val="none"/>
        </w:rPr>
        <w:t>（其中</w:t>
      </w:r>
      <w:r>
        <w:rPr>
          <w:rFonts w:hint="eastAsia" w:ascii="宋体" w:hAnsi="宋体"/>
          <w:color w:val="auto"/>
          <w:szCs w:val="21"/>
          <w:highlight w:val="none"/>
        </w:rPr>
        <w:t xml:space="preserve">暂列金额 </w:t>
      </w:r>
      <w:r>
        <w:rPr>
          <w:color w:val="auto"/>
          <w:szCs w:val="21"/>
          <w:highlight w:val="none"/>
        </w:rPr>
        <w:t>¥</w:t>
      </w:r>
      <w:r>
        <w:rPr>
          <w:rFonts w:hint="eastAsia" w:ascii="宋体" w:hAnsi="宋体"/>
          <w:color w:val="auto"/>
          <w:szCs w:val="21"/>
          <w:highlight w:val="none"/>
        </w:rPr>
        <w:t>：</w:t>
      </w:r>
      <w:r>
        <w:rPr>
          <w:rFonts w:hint="eastAsia"/>
          <w:color w:val="auto"/>
          <w:highlight w:val="none"/>
          <w:u w:val="single"/>
        </w:rPr>
        <w:t xml:space="preserve">     </w:t>
      </w:r>
      <w:r>
        <w:rPr>
          <w:rFonts w:hint="eastAsia" w:ascii="宋体" w:hAnsi="宋体"/>
          <w:color w:val="auto"/>
          <w:szCs w:val="21"/>
          <w:highlight w:val="none"/>
        </w:rPr>
        <w:t>元</w:t>
      </w:r>
      <w:r>
        <w:rPr>
          <w:rFonts w:hint="eastAsia"/>
          <w:color w:val="auto"/>
          <w:szCs w:val="21"/>
          <w:highlight w:val="none"/>
        </w:rPr>
        <w:t>）</w:t>
      </w:r>
      <w:r>
        <w:rPr>
          <w:rFonts w:hint="eastAsia" w:ascii="宋体" w:hAnsi="宋体"/>
          <w:color w:val="auto"/>
          <w:szCs w:val="21"/>
          <w:highlight w:val="none"/>
        </w:rPr>
        <w:t>，</w:t>
      </w:r>
      <w:r>
        <w:rPr>
          <w:rFonts w:hint="eastAsia"/>
          <w:color w:val="auto"/>
          <w:szCs w:val="21"/>
          <w:highlight w:val="none"/>
        </w:rPr>
        <w:t xml:space="preserve">工期 </w:t>
      </w:r>
      <w:r>
        <w:rPr>
          <w:rFonts w:hint="eastAsia"/>
          <w:color w:val="auto"/>
          <w:highlight w:val="none"/>
          <w:u w:val="single"/>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 。</w:t>
      </w:r>
    </w:p>
    <w:p>
      <w:pPr>
        <w:spacing w:line="336" w:lineRule="auto"/>
        <w:ind w:firstLine="420" w:firstLineChars="200"/>
        <w:rPr>
          <w:rFonts w:ascii="宋体" w:hAnsi="宋体"/>
          <w:color w:val="auto"/>
          <w:szCs w:val="21"/>
          <w:highlight w:val="none"/>
        </w:rPr>
      </w:pPr>
      <w:r>
        <w:rPr>
          <w:rFonts w:hint="eastAsia"/>
          <w:color w:val="auto"/>
          <w:szCs w:val="21"/>
          <w:highlight w:val="none"/>
        </w:rPr>
        <w:t>2. 我方拟派的项目负责人</w:t>
      </w:r>
      <w:r>
        <w:rPr>
          <w:color w:val="auto"/>
          <w:szCs w:val="21"/>
          <w:highlight w:val="none"/>
        </w:rPr>
        <w:t>：</w:t>
      </w:r>
      <w:r>
        <w:rPr>
          <w:rFonts w:hint="eastAsia"/>
          <w:color w:val="auto"/>
          <w:highlight w:val="none"/>
          <w:u w:val="single"/>
        </w:rPr>
        <w:t xml:space="preserve">     </w:t>
      </w:r>
      <w:r>
        <w:rPr>
          <w:rFonts w:hint="eastAsia"/>
          <w:color w:val="auto"/>
          <w:szCs w:val="21"/>
          <w:highlight w:val="none"/>
        </w:rPr>
        <w:t>（姓名），证书名称：</w:t>
      </w:r>
      <w:r>
        <w:rPr>
          <w:rFonts w:hint="eastAsia"/>
          <w:color w:val="auto"/>
          <w:highlight w:val="none"/>
          <w:u w:val="single"/>
        </w:rPr>
        <w:t xml:space="preserve">     </w:t>
      </w:r>
      <w:r>
        <w:rPr>
          <w:rFonts w:hint="eastAsia"/>
          <w:color w:val="auto"/>
          <w:szCs w:val="21"/>
          <w:highlight w:val="none"/>
        </w:rPr>
        <w:t>，证书编号：</w:t>
      </w:r>
      <w:r>
        <w:rPr>
          <w:rFonts w:hint="eastAsia"/>
          <w:color w:val="auto"/>
          <w:highlight w:val="none"/>
          <w:u w:val="single"/>
        </w:rPr>
        <w:t xml:space="preserve">     </w:t>
      </w:r>
      <w:r>
        <w:rPr>
          <w:rFonts w:hint="eastAsia"/>
          <w:color w:val="auto"/>
          <w:szCs w:val="21"/>
          <w:highlight w:val="none"/>
        </w:rPr>
        <w:t>。</w:t>
      </w:r>
    </w:p>
    <w:p>
      <w:pPr>
        <w:spacing w:line="336" w:lineRule="auto"/>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rPr>
        <w:t>天</w:t>
      </w:r>
      <w:r>
        <w:rPr>
          <w:color w:val="auto"/>
          <w:szCs w:val="21"/>
          <w:highlight w:val="none"/>
        </w:rPr>
        <w:t>内不修改、撤销投标文件。</w:t>
      </w:r>
    </w:p>
    <w:p>
      <w:pPr>
        <w:spacing w:line="336" w:lineRule="auto"/>
        <w:ind w:firstLine="420" w:firstLineChars="200"/>
        <w:rPr>
          <w:strike/>
          <w:color w:val="auto"/>
          <w:szCs w:val="21"/>
          <w:highlight w:val="none"/>
        </w:rPr>
      </w:pPr>
      <w:r>
        <w:rPr>
          <w:rFonts w:hint="eastAsia"/>
          <w:strike/>
          <w:color w:val="auto"/>
          <w:szCs w:val="21"/>
          <w:highlight w:val="none"/>
        </w:rPr>
        <w:t>4</w:t>
      </w:r>
      <w:r>
        <w:rPr>
          <w:strike/>
          <w:color w:val="auto"/>
          <w:szCs w:val="21"/>
          <w:highlight w:val="none"/>
        </w:rPr>
        <w:t>．随同本投标函提交投标保证金一份，金额为人民币（大写）</w:t>
      </w:r>
      <w:r>
        <w:rPr>
          <w:rFonts w:hint="eastAsia"/>
          <w:strike/>
          <w:color w:val="auto"/>
          <w:highlight w:val="none"/>
          <w:u w:val="single"/>
        </w:rPr>
        <w:t xml:space="preserve">     </w:t>
      </w:r>
      <w:r>
        <w:rPr>
          <w:strike/>
          <w:color w:val="auto"/>
          <w:szCs w:val="21"/>
          <w:highlight w:val="none"/>
        </w:rPr>
        <w:t xml:space="preserve">元（¥ </w:t>
      </w:r>
      <w:r>
        <w:rPr>
          <w:rFonts w:hint="eastAsia"/>
          <w:strike/>
          <w:color w:val="auto"/>
          <w:highlight w:val="none"/>
          <w:u w:val="single"/>
        </w:rPr>
        <w:t xml:space="preserve">     </w:t>
      </w:r>
      <w:r>
        <w:rPr>
          <w:strike/>
          <w:color w:val="auto"/>
          <w:szCs w:val="21"/>
          <w:highlight w:val="none"/>
        </w:rPr>
        <w:t>）。</w:t>
      </w:r>
    </w:p>
    <w:p>
      <w:pPr>
        <w:spacing w:line="336" w:lineRule="auto"/>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pPr>
        <w:spacing w:line="336" w:lineRule="auto"/>
        <w:ind w:firstLine="718" w:firstLineChars="342"/>
        <w:rPr>
          <w:color w:val="auto"/>
          <w:szCs w:val="21"/>
          <w:highlight w:val="none"/>
        </w:rPr>
      </w:pPr>
      <w:r>
        <w:rPr>
          <w:color w:val="auto"/>
          <w:szCs w:val="21"/>
          <w:highlight w:val="none"/>
        </w:rPr>
        <w:t>（1）我方承诺在收到中标通知书后，在中标通知书规定的期限内与你方签订合同。</w:t>
      </w:r>
    </w:p>
    <w:p>
      <w:pPr>
        <w:spacing w:line="336" w:lineRule="auto"/>
        <w:ind w:firstLine="718" w:firstLineChars="342"/>
        <w:rPr>
          <w:color w:val="auto"/>
          <w:szCs w:val="21"/>
          <w:highlight w:val="none"/>
        </w:rPr>
      </w:pPr>
      <w:r>
        <w:rPr>
          <w:color w:val="auto"/>
          <w:szCs w:val="21"/>
          <w:highlight w:val="none"/>
        </w:rPr>
        <w:t>（2）随同本投标函递交的投标函附录属于合同文件的组成部分。</w:t>
      </w:r>
    </w:p>
    <w:p>
      <w:pPr>
        <w:spacing w:line="336" w:lineRule="auto"/>
        <w:ind w:firstLine="718" w:firstLineChars="342"/>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pPr>
        <w:spacing w:line="336" w:lineRule="auto"/>
        <w:ind w:firstLine="718" w:firstLineChars="342"/>
        <w:rPr>
          <w:color w:val="auto"/>
          <w:szCs w:val="21"/>
          <w:highlight w:val="none"/>
        </w:rPr>
      </w:pPr>
      <w:r>
        <w:rPr>
          <w:color w:val="auto"/>
          <w:szCs w:val="21"/>
          <w:highlight w:val="none"/>
        </w:rPr>
        <w:t>（4）我方承诺在合同约定的期限内完成并移交全部合同工程。</w:t>
      </w:r>
    </w:p>
    <w:p>
      <w:pPr>
        <w:spacing w:line="336" w:lineRule="auto"/>
        <w:ind w:firstLine="420" w:firstLineChars="200"/>
        <w:rPr>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我方在此声明，所递交的投标文件及有关资料内容完整、真实和准确，且不存在第二章“投标人须知”第1.4.3项规定的任何一种情形。</w:t>
      </w:r>
    </w:p>
    <w:p>
      <w:pPr>
        <w:spacing w:line="336" w:lineRule="auto"/>
        <w:ind w:firstLine="420" w:firstLineChars="200"/>
        <w:rPr>
          <w:color w:val="auto"/>
          <w:szCs w:val="21"/>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其他</w:t>
      </w:r>
      <w:r>
        <w:rPr>
          <w:color w:val="auto"/>
          <w:szCs w:val="21"/>
          <w:highlight w:val="none"/>
        </w:rPr>
        <w:t>补充说明）。</w:t>
      </w:r>
    </w:p>
    <w:p>
      <w:pPr>
        <w:spacing w:line="336" w:lineRule="auto"/>
        <w:ind w:firstLine="3675" w:firstLineChars="1750"/>
        <w:rPr>
          <w:color w:val="auto"/>
          <w:szCs w:val="21"/>
          <w:highlight w:val="none"/>
        </w:rPr>
      </w:pPr>
    </w:p>
    <w:p>
      <w:pPr>
        <w:spacing w:line="336" w:lineRule="auto"/>
        <w:ind w:firstLine="3675" w:firstLineChars="1750"/>
        <w:rPr>
          <w:color w:val="auto"/>
          <w:szCs w:val="21"/>
          <w:highlight w:val="none"/>
        </w:rPr>
      </w:pPr>
      <w:r>
        <w:rPr>
          <w:color w:val="auto"/>
          <w:szCs w:val="21"/>
          <w:highlight w:val="none"/>
        </w:rPr>
        <w:t>投 标 人：（盖单位章）</w:t>
      </w:r>
    </w:p>
    <w:p>
      <w:pPr>
        <w:spacing w:line="336" w:lineRule="auto"/>
        <w:ind w:firstLine="3675" w:firstLineChars="1750"/>
        <w:rPr>
          <w:color w:val="auto"/>
          <w:szCs w:val="21"/>
          <w:highlight w:val="none"/>
        </w:rPr>
      </w:pPr>
      <w:r>
        <w:rPr>
          <w:color w:val="auto"/>
          <w:szCs w:val="21"/>
          <w:highlight w:val="none"/>
        </w:rPr>
        <w:t>法定代表人：（签字）</w:t>
      </w:r>
    </w:p>
    <w:p>
      <w:pPr>
        <w:spacing w:line="336" w:lineRule="auto"/>
        <w:ind w:firstLine="3675" w:firstLineChars="1750"/>
        <w:rPr>
          <w:color w:val="auto"/>
          <w:szCs w:val="21"/>
          <w:highlight w:val="none"/>
        </w:rPr>
      </w:pPr>
      <w:r>
        <w:rPr>
          <w:color w:val="auto"/>
          <w:szCs w:val="21"/>
          <w:highlight w:val="none"/>
        </w:rPr>
        <w:t>地址：</w:t>
      </w:r>
    </w:p>
    <w:p>
      <w:pPr>
        <w:spacing w:line="336" w:lineRule="auto"/>
        <w:ind w:firstLine="3675" w:firstLineChars="1750"/>
        <w:rPr>
          <w:color w:val="auto"/>
          <w:szCs w:val="21"/>
          <w:highlight w:val="none"/>
        </w:rPr>
      </w:pPr>
      <w:r>
        <w:rPr>
          <w:color w:val="auto"/>
          <w:szCs w:val="21"/>
          <w:highlight w:val="none"/>
        </w:rPr>
        <w:t>网址：</w:t>
      </w:r>
    </w:p>
    <w:p>
      <w:pPr>
        <w:spacing w:line="336" w:lineRule="auto"/>
        <w:ind w:firstLine="3675" w:firstLineChars="1750"/>
        <w:rPr>
          <w:color w:val="auto"/>
          <w:szCs w:val="21"/>
          <w:highlight w:val="none"/>
        </w:rPr>
      </w:pPr>
      <w:r>
        <w:rPr>
          <w:color w:val="auto"/>
          <w:szCs w:val="21"/>
          <w:highlight w:val="none"/>
        </w:rPr>
        <w:t>电话：</w:t>
      </w:r>
    </w:p>
    <w:p>
      <w:pPr>
        <w:spacing w:line="336" w:lineRule="auto"/>
        <w:ind w:firstLine="3675" w:firstLineChars="1750"/>
        <w:rPr>
          <w:color w:val="auto"/>
          <w:szCs w:val="21"/>
          <w:highlight w:val="none"/>
        </w:rPr>
      </w:pPr>
      <w:r>
        <w:rPr>
          <w:color w:val="auto"/>
          <w:szCs w:val="21"/>
          <w:highlight w:val="none"/>
        </w:rPr>
        <w:t>传真：</w:t>
      </w:r>
    </w:p>
    <w:p>
      <w:pPr>
        <w:spacing w:line="336" w:lineRule="auto"/>
        <w:ind w:firstLine="3675" w:firstLineChars="1750"/>
        <w:rPr>
          <w:color w:val="auto"/>
          <w:szCs w:val="21"/>
          <w:highlight w:val="none"/>
        </w:rPr>
      </w:pPr>
      <w:r>
        <w:rPr>
          <w:color w:val="auto"/>
          <w:szCs w:val="21"/>
          <w:highlight w:val="none"/>
        </w:rPr>
        <w:t>邮政编码：</w:t>
      </w:r>
    </w:p>
    <w:p>
      <w:pPr>
        <w:spacing w:line="336" w:lineRule="auto"/>
        <w:ind w:firstLine="5040" w:firstLineChars="2400"/>
        <w:rPr>
          <w:color w:val="auto"/>
          <w:szCs w:val="21"/>
          <w:highlight w:val="none"/>
        </w:rPr>
      </w:pP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36" w:lineRule="auto"/>
        <w:rPr>
          <w:b/>
          <w:color w:val="auto"/>
          <w:sz w:val="28"/>
          <w:szCs w:val="28"/>
          <w:highlight w:val="none"/>
        </w:rPr>
      </w:pPr>
    </w:p>
    <w:p>
      <w:pPr>
        <w:tabs>
          <w:tab w:val="left" w:pos="3975"/>
        </w:tabs>
        <w:spacing w:line="336" w:lineRule="auto"/>
        <w:ind w:left="630" w:hanging="630" w:hangingChars="300"/>
        <w:rPr>
          <w:rFonts w:ascii="宋体" w:hAnsi="宋体"/>
          <w:color w:val="auto"/>
          <w:szCs w:val="21"/>
          <w:highlight w:val="none"/>
        </w:rPr>
      </w:pPr>
      <w:r>
        <w:rPr>
          <w:rFonts w:hint="eastAsia" w:ascii="宋体" w:hAnsi="宋体"/>
          <w:color w:val="auto"/>
          <w:szCs w:val="21"/>
          <w:highlight w:val="none"/>
        </w:rPr>
        <w:t xml:space="preserve">备注：项目负责人应为注册类执业资格，证书名称应填写 </w:t>
      </w:r>
      <w:r>
        <w:rPr>
          <w:rFonts w:hint="eastAsia" w:ascii="宋体" w:hAnsi="宋体"/>
          <w:color w:val="auto"/>
          <w:szCs w:val="21"/>
          <w:highlight w:val="none"/>
          <w:u w:val="single"/>
        </w:rPr>
        <w:t>专业类别 级别 注册建造师</w:t>
      </w:r>
      <w:r>
        <w:rPr>
          <w:rFonts w:hint="eastAsia" w:ascii="宋体" w:hAnsi="宋体"/>
          <w:color w:val="auto"/>
          <w:szCs w:val="21"/>
          <w:highlight w:val="none"/>
        </w:rPr>
        <w:t>，证书编号应填写注册执业证书编号。</w:t>
      </w:r>
    </w:p>
    <w:p>
      <w:pPr>
        <w:spacing w:line="336" w:lineRule="auto"/>
        <w:rPr>
          <w:color w:val="auto"/>
          <w:sz w:val="28"/>
          <w:szCs w:val="28"/>
          <w:highlight w:val="none"/>
        </w:rPr>
      </w:pPr>
      <w:bookmarkStart w:id="2596" w:name="_Toc403382859"/>
      <w:bookmarkStart w:id="2597" w:name="_Toc32210"/>
      <w:bookmarkStart w:id="2598" w:name="_Toc456647869"/>
      <w:bookmarkStart w:id="2599" w:name="_Toc24341"/>
      <w:bookmarkStart w:id="2600" w:name="_Toc1757017714"/>
      <w:bookmarkStart w:id="2601" w:name="_Toc29366"/>
      <w:bookmarkStart w:id="2602" w:name="_Toc29010"/>
      <w:bookmarkStart w:id="2603" w:name="_Toc1329492905"/>
      <w:bookmarkStart w:id="2604" w:name="_Toc23657"/>
      <w:r>
        <w:rPr>
          <w:rFonts w:hint="eastAsia"/>
          <w:color w:val="auto"/>
          <w:sz w:val="28"/>
          <w:szCs w:val="28"/>
          <w:highlight w:val="none"/>
        </w:rPr>
        <w:br w:type="page"/>
      </w:r>
    </w:p>
    <w:p>
      <w:pPr>
        <w:pStyle w:val="38"/>
        <w:keepNext w:val="0"/>
        <w:keepLines w:val="0"/>
        <w:numPr>
          <w:ilvl w:val="0"/>
          <w:numId w:val="6"/>
        </w:numPr>
        <w:jc w:val="center"/>
        <w:outlineLvl w:val="3"/>
        <w:rPr>
          <w:color w:val="auto"/>
          <w:sz w:val="28"/>
          <w:szCs w:val="28"/>
          <w:highlight w:val="none"/>
        </w:rPr>
      </w:pPr>
      <w:bookmarkStart w:id="2605" w:name="_Toc24565"/>
      <w:r>
        <w:rPr>
          <w:rFonts w:hint="eastAsia"/>
          <w:color w:val="auto"/>
          <w:sz w:val="28"/>
          <w:szCs w:val="28"/>
          <w:highlight w:val="none"/>
        </w:rPr>
        <w:t>投标函附录</w:t>
      </w:r>
      <w:bookmarkEnd w:id="2596"/>
      <w:bookmarkEnd w:id="2597"/>
      <w:bookmarkEnd w:id="2598"/>
      <w:bookmarkEnd w:id="2599"/>
      <w:bookmarkEnd w:id="2600"/>
      <w:bookmarkEnd w:id="2601"/>
      <w:bookmarkEnd w:id="2602"/>
      <w:bookmarkEnd w:id="2603"/>
      <w:bookmarkEnd w:id="2604"/>
      <w:bookmarkEnd w:id="2605"/>
    </w:p>
    <w:p>
      <w:pPr>
        <w:rPr>
          <w:color w:val="auto"/>
          <w:sz w:val="28"/>
          <w:szCs w:val="28"/>
          <w:highlight w:val="none"/>
        </w:rPr>
      </w:pPr>
    </w:p>
    <w:p>
      <w:pPr>
        <w:rPr>
          <w:color w:val="auto"/>
          <w:highlight w:val="none"/>
        </w:rPr>
      </w:pPr>
      <w:r>
        <w:rPr>
          <w:rFonts w:hint="eastAsia" w:ascii="宋体" w:hAnsi="宋体"/>
          <w:color w:val="auto"/>
          <w:szCs w:val="21"/>
          <w:highlight w:val="none"/>
        </w:rPr>
        <w:t>工程名称：（项目名称）</w:t>
      </w:r>
      <w:r>
        <w:rPr>
          <w:rFonts w:hint="eastAsia"/>
          <w:color w:val="auto"/>
          <w:highlight w:val="none"/>
        </w:rPr>
        <w:t>（标段名称）</w:t>
      </w:r>
    </w:p>
    <w:p>
      <w:pPr>
        <w:spacing w:line="360" w:lineRule="auto"/>
        <w:rPr>
          <w:color w:val="auto"/>
          <w:highlight w:val="none"/>
        </w:rPr>
      </w:pP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9"/>
        <w:gridCol w:w="1314"/>
        <w:gridCol w:w="420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239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条款内容</w:t>
            </w:r>
          </w:p>
        </w:tc>
        <w:tc>
          <w:tcPr>
            <w:tcW w:w="1314"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合同条款号</w:t>
            </w:r>
          </w:p>
        </w:tc>
        <w:tc>
          <w:tcPr>
            <w:tcW w:w="4207"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约定内容</w:t>
            </w:r>
          </w:p>
        </w:tc>
        <w:tc>
          <w:tcPr>
            <w:tcW w:w="720"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1</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项目负责人</w:t>
            </w:r>
          </w:p>
        </w:tc>
        <w:tc>
          <w:tcPr>
            <w:tcW w:w="1314" w:type="dxa"/>
            <w:vAlign w:val="center"/>
          </w:tcPr>
          <w:p>
            <w:pPr>
              <w:autoSpaceDE w:val="0"/>
              <w:autoSpaceDN w:val="0"/>
              <w:adjustRightInd w:val="0"/>
              <w:rPr>
                <w:rFonts w:ascii="宋体" w:hAnsi="宋体"/>
                <w:color w:val="auto"/>
                <w:szCs w:val="21"/>
                <w:highlight w:val="none"/>
              </w:rPr>
            </w:pPr>
            <w:r>
              <w:rPr>
                <w:color w:val="auto"/>
                <w:szCs w:val="21"/>
                <w:highlight w:val="none"/>
              </w:rPr>
              <w:t>1</w:t>
            </w:r>
            <w:r>
              <w:rPr>
                <w:rFonts w:ascii="宋体" w:hAnsi="宋体"/>
                <w:color w:val="auto"/>
                <w:szCs w:val="21"/>
                <w:highlight w:val="none"/>
              </w:rPr>
              <w:t>.</w:t>
            </w:r>
            <w:r>
              <w:rPr>
                <w:color w:val="auto"/>
                <w:szCs w:val="21"/>
                <w:highlight w:val="none"/>
              </w:rPr>
              <w:t>1</w:t>
            </w:r>
            <w:r>
              <w:rPr>
                <w:rFonts w:ascii="宋体" w:hAnsi="宋体"/>
                <w:color w:val="auto"/>
                <w:szCs w:val="21"/>
                <w:highlight w:val="none"/>
              </w:rPr>
              <w:t>.</w:t>
            </w:r>
            <w:r>
              <w:rPr>
                <w:color w:val="auto"/>
                <w:szCs w:val="21"/>
                <w:highlight w:val="none"/>
              </w:rPr>
              <w:t>2</w:t>
            </w:r>
            <w:r>
              <w:rPr>
                <w:rFonts w:ascii="宋体" w:hAnsi="宋体"/>
                <w:color w:val="auto"/>
                <w:szCs w:val="21"/>
                <w:highlight w:val="none"/>
              </w:rPr>
              <w:t>.</w:t>
            </w:r>
            <w:r>
              <w:rPr>
                <w:rFonts w:hint="eastAsia"/>
                <w:color w:val="auto"/>
                <w:szCs w:val="21"/>
                <w:highlight w:val="none"/>
              </w:rPr>
              <w:t>8</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2</w:t>
            </w:r>
          </w:p>
        </w:tc>
        <w:tc>
          <w:tcPr>
            <w:tcW w:w="2399" w:type="dxa"/>
            <w:vAlign w:val="center"/>
          </w:tcPr>
          <w:p>
            <w:pPr>
              <w:rPr>
                <w:rFonts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pPr>
              <w:autoSpaceDE w:val="0"/>
              <w:autoSpaceDN w:val="0"/>
              <w:adjustRightInd w:val="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4</w:t>
            </w:r>
            <w:r>
              <w:rPr>
                <w:rFonts w:hint="eastAsia" w:ascii="宋体" w:hAnsi="宋体"/>
                <w:color w:val="auto"/>
                <w:szCs w:val="21"/>
                <w:highlight w:val="none"/>
              </w:rPr>
              <w:t>.</w:t>
            </w:r>
            <w:r>
              <w:rPr>
                <w:rFonts w:hint="eastAsia"/>
                <w:color w:val="auto"/>
                <w:szCs w:val="21"/>
                <w:highlight w:val="none"/>
              </w:rPr>
              <w:t>3</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3</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pPr>
              <w:autoSpaceDE w:val="0"/>
              <w:autoSpaceDN w:val="0"/>
              <w:adjustRightInd w:val="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4</w:t>
            </w:r>
            <w:r>
              <w:rPr>
                <w:rFonts w:hint="eastAsia" w:ascii="宋体" w:hAnsi="宋体"/>
                <w:color w:val="auto"/>
                <w:szCs w:val="21"/>
                <w:highlight w:val="none"/>
              </w:rPr>
              <w:t>.</w:t>
            </w:r>
            <w:r>
              <w:rPr>
                <w:rFonts w:hint="eastAsia"/>
                <w:color w:val="auto"/>
                <w:szCs w:val="21"/>
                <w:highlight w:val="none"/>
              </w:rPr>
              <w:t>4</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4</w:t>
            </w:r>
          </w:p>
        </w:tc>
        <w:tc>
          <w:tcPr>
            <w:tcW w:w="2399" w:type="dxa"/>
            <w:vAlign w:val="center"/>
          </w:tcPr>
          <w:p>
            <w:pPr>
              <w:rPr>
                <w:rFonts w:ascii="宋体" w:hAnsi="宋体"/>
                <w:color w:val="auto"/>
                <w:szCs w:val="21"/>
                <w:highlight w:val="none"/>
              </w:rPr>
            </w:pPr>
            <w:r>
              <w:rPr>
                <w:rFonts w:hint="eastAsia"/>
                <w:color w:val="auto"/>
                <w:highlight w:val="none"/>
              </w:rPr>
              <w:t>项目负责人</w:t>
            </w:r>
            <w:r>
              <w:rPr>
                <w:color w:val="auto"/>
                <w:highlight w:val="none"/>
              </w:rPr>
              <w:t>每月在施工现场的时间</w:t>
            </w:r>
          </w:p>
        </w:tc>
        <w:tc>
          <w:tcPr>
            <w:tcW w:w="1314" w:type="dxa"/>
            <w:tcMar>
              <w:left w:w="170" w:type="dxa"/>
            </w:tcMar>
            <w:vAlign w:val="center"/>
          </w:tcPr>
          <w:p>
            <w:pPr>
              <w:autoSpaceDE w:val="0"/>
              <w:autoSpaceDN w:val="0"/>
              <w:adjustRightInd w:val="0"/>
              <w:rPr>
                <w:rFonts w:ascii="宋体" w:hAnsi="宋体"/>
                <w:color w:val="auto"/>
                <w:szCs w:val="21"/>
                <w:highlight w:val="none"/>
              </w:rPr>
            </w:pPr>
            <w:r>
              <w:rPr>
                <w:color w:val="auto"/>
                <w:szCs w:val="21"/>
                <w:highlight w:val="none"/>
              </w:rPr>
              <w:t>3</w:t>
            </w:r>
            <w:r>
              <w:rPr>
                <w:rFonts w:ascii="宋体" w:hAnsi="宋体"/>
                <w:color w:val="auto"/>
                <w:szCs w:val="21"/>
                <w:highlight w:val="none"/>
              </w:rPr>
              <w:t>.</w:t>
            </w:r>
            <w:r>
              <w:rPr>
                <w:color w:val="auto"/>
                <w:szCs w:val="21"/>
                <w:highlight w:val="none"/>
              </w:rPr>
              <w:t>2</w:t>
            </w:r>
            <w:r>
              <w:rPr>
                <w:rFonts w:ascii="宋体" w:hAnsi="宋体"/>
                <w:color w:val="auto"/>
                <w:szCs w:val="21"/>
                <w:highlight w:val="none"/>
              </w:rPr>
              <w:t>.</w:t>
            </w:r>
            <w:r>
              <w:rPr>
                <w:color w:val="auto"/>
                <w:szCs w:val="21"/>
                <w:highlight w:val="none"/>
              </w:rPr>
              <w:t>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5</w:t>
            </w:r>
          </w:p>
        </w:tc>
        <w:tc>
          <w:tcPr>
            <w:tcW w:w="2399" w:type="dxa"/>
            <w:vAlign w:val="center"/>
          </w:tcPr>
          <w:p>
            <w:pPr>
              <w:rPr>
                <w:color w:val="auto"/>
                <w:highlight w:val="none"/>
              </w:rPr>
            </w:pPr>
            <w:r>
              <w:rPr>
                <w:rFonts w:hint="eastAsia"/>
                <w:color w:val="auto"/>
                <w:highlight w:val="none"/>
              </w:rPr>
              <w:t>项目负责人</w:t>
            </w:r>
            <w:r>
              <w:rPr>
                <w:color w:val="auto"/>
                <w:highlight w:val="none"/>
              </w:rPr>
              <w:t>擅自离开施工现场的违约责任</w:t>
            </w:r>
          </w:p>
        </w:tc>
        <w:tc>
          <w:tcPr>
            <w:tcW w:w="1314" w:type="dxa"/>
            <w:tcMar>
              <w:left w:w="170" w:type="dxa"/>
            </w:tcMar>
            <w:vAlign w:val="center"/>
          </w:tcPr>
          <w:p>
            <w:pPr>
              <w:autoSpaceDE w:val="0"/>
              <w:autoSpaceDN w:val="0"/>
              <w:adjustRightInd w:val="0"/>
              <w:rPr>
                <w:rFonts w:ascii="宋体" w:hAnsi="宋体"/>
                <w:color w:val="auto"/>
                <w:szCs w:val="21"/>
                <w:highlight w:val="none"/>
              </w:rPr>
            </w:pPr>
            <w:r>
              <w:rPr>
                <w:color w:val="auto"/>
                <w:szCs w:val="21"/>
                <w:highlight w:val="none"/>
              </w:rPr>
              <w:t>3</w:t>
            </w:r>
            <w:r>
              <w:rPr>
                <w:rFonts w:ascii="宋体" w:hAnsi="宋体"/>
                <w:color w:val="auto"/>
                <w:szCs w:val="21"/>
                <w:highlight w:val="none"/>
              </w:rPr>
              <w:t>.</w:t>
            </w:r>
            <w:r>
              <w:rPr>
                <w:color w:val="auto"/>
                <w:szCs w:val="21"/>
                <w:highlight w:val="none"/>
              </w:rPr>
              <w:t>2</w:t>
            </w:r>
            <w:r>
              <w:rPr>
                <w:rFonts w:ascii="宋体" w:hAnsi="宋体"/>
                <w:color w:val="auto"/>
                <w:szCs w:val="21"/>
                <w:highlight w:val="none"/>
              </w:rPr>
              <w:t>.</w:t>
            </w:r>
            <w:r>
              <w:rPr>
                <w:color w:val="auto"/>
                <w:szCs w:val="21"/>
                <w:highlight w:val="none"/>
              </w:rPr>
              <w:t>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6</w:t>
            </w:r>
          </w:p>
        </w:tc>
        <w:tc>
          <w:tcPr>
            <w:tcW w:w="2399" w:type="dxa"/>
            <w:vAlign w:val="center"/>
          </w:tcPr>
          <w:p>
            <w:pPr>
              <w:rPr>
                <w:color w:val="auto"/>
                <w:highlight w:val="none"/>
              </w:rPr>
            </w:pPr>
            <w:r>
              <w:rPr>
                <w:color w:val="auto"/>
                <w:highlight w:val="none"/>
              </w:rPr>
              <w:t>擅自更换</w:t>
            </w:r>
            <w:r>
              <w:rPr>
                <w:rFonts w:hint="eastAsia"/>
                <w:color w:val="auto"/>
                <w:highlight w:val="none"/>
              </w:rPr>
              <w:t>项目负责人</w:t>
            </w:r>
            <w:r>
              <w:rPr>
                <w:color w:val="auto"/>
                <w:highlight w:val="none"/>
              </w:rPr>
              <w:t>的违约责任</w:t>
            </w:r>
          </w:p>
        </w:tc>
        <w:tc>
          <w:tcPr>
            <w:tcW w:w="1314" w:type="dxa"/>
            <w:tcMar>
              <w:left w:w="170" w:type="dxa"/>
            </w:tcMar>
            <w:vAlign w:val="center"/>
          </w:tcPr>
          <w:p>
            <w:pPr>
              <w:autoSpaceDE w:val="0"/>
              <w:autoSpaceDN w:val="0"/>
              <w:adjustRightInd w:val="0"/>
              <w:rPr>
                <w:rFonts w:ascii="宋体" w:hAnsi="宋体"/>
                <w:color w:val="auto"/>
                <w:szCs w:val="21"/>
                <w:highlight w:val="none"/>
              </w:rPr>
            </w:pPr>
            <w:r>
              <w:rPr>
                <w:color w:val="auto"/>
                <w:szCs w:val="21"/>
                <w:highlight w:val="none"/>
              </w:rPr>
              <w:t>3</w:t>
            </w:r>
            <w:r>
              <w:rPr>
                <w:rFonts w:ascii="宋体" w:hAnsi="宋体"/>
                <w:color w:val="auto"/>
                <w:szCs w:val="21"/>
                <w:highlight w:val="none"/>
              </w:rPr>
              <w:t>.</w:t>
            </w:r>
            <w:r>
              <w:rPr>
                <w:color w:val="auto"/>
                <w:szCs w:val="21"/>
                <w:highlight w:val="none"/>
              </w:rPr>
              <w:t>2</w:t>
            </w:r>
            <w:r>
              <w:rPr>
                <w:rFonts w:ascii="宋体" w:hAnsi="宋体"/>
                <w:color w:val="auto"/>
                <w:szCs w:val="21"/>
                <w:highlight w:val="none"/>
              </w:rPr>
              <w:t>.</w:t>
            </w:r>
            <w:r>
              <w:rPr>
                <w:color w:val="auto"/>
                <w:szCs w:val="21"/>
                <w:highlight w:val="none"/>
              </w:rPr>
              <w:t>3</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7</w:t>
            </w:r>
          </w:p>
        </w:tc>
        <w:tc>
          <w:tcPr>
            <w:tcW w:w="2399" w:type="dxa"/>
            <w:vAlign w:val="center"/>
          </w:tcPr>
          <w:p>
            <w:pPr>
              <w:rPr>
                <w:color w:val="auto"/>
                <w:highlight w:val="none"/>
              </w:rPr>
            </w:pPr>
            <w:r>
              <w:rPr>
                <w:color w:val="auto"/>
                <w:highlight w:val="none"/>
              </w:rPr>
              <w:t>无正当理由拒绝更换</w:t>
            </w:r>
            <w:r>
              <w:rPr>
                <w:rFonts w:hint="eastAsia"/>
                <w:color w:val="auto"/>
                <w:highlight w:val="none"/>
              </w:rPr>
              <w:t>项目负责人</w:t>
            </w:r>
            <w:r>
              <w:rPr>
                <w:color w:val="auto"/>
                <w:highlight w:val="none"/>
              </w:rPr>
              <w:t>的违约责任</w:t>
            </w:r>
          </w:p>
        </w:tc>
        <w:tc>
          <w:tcPr>
            <w:tcW w:w="1314" w:type="dxa"/>
            <w:tcMar>
              <w:left w:w="170" w:type="dxa"/>
            </w:tcMar>
            <w:vAlign w:val="center"/>
          </w:tcPr>
          <w:p>
            <w:pPr>
              <w:autoSpaceDE w:val="0"/>
              <w:autoSpaceDN w:val="0"/>
              <w:adjustRightInd w:val="0"/>
              <w:rPr>
                <w:rFonts w:ascii="宋体" w:hAnsi="宋体"/>
                <w:color w:val="auto"/>
                <w:szCs w:val="21"/>
                <w:highlight w:val="none"/>
              </w:rPr>
            </w:pPr>
            <w:r>
              <w:rPr>
                <w:color w:val="auto"/>
                <w:szCs w:val="21"/>
                <w:highlight w:val="none"/>
              </w:rPr>
              <w:t>3</w:t>
            </w:r>
            <w:r>
              <w:rPr>
                <w:rFonts w:ascii="宋体" w:hAnsi="宋体"/>
                <w:color w:val="auto"/>
                <w:szCs w:val="21"/>
                <w:highlight w:val="none"/>
              </w:rPr>
              <w:t>.</w:t>
            </w:r>
            <w:r>
              <w:rPr>
                <w:color w:val="auto"/>
                <w:szCs w:val="21"/>
                <w:highlight w:val="none"/>
              </w:rPr>
              <w:t>2</w:t>
            </w:r>
            <w:r>
              <w:rPr>
                <w:rFonts w:ascii="宋体" w:hAnsi="宋体"/>
                <w:color w:val="auto"/>
                <w:szCs w:val="21"/>
                <w:highlight w:val="none"/>
              </w:rPr>
              <w:t>.</w:t>
            </w:r>
            <w:r>
              <w:rPr>
                <w:color w:val="auto"/>
                <w:szCs w:val="21"/>
                <w:highlight w:val="none"/>
              </w:rPr>
              <w:t>4</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8</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7</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9</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5</w:t>
            </w:r>
            <w:r>
              <w:rPr>
                <w:rFonts w:hint="eastAsia" w:ascii="宋体" w:hAnsi="宋体"/>
                <w:color w:val="auto"/>
                <w:szCs w:val="21"/>
                <w:highlight w:val="none"/>
              </w:rPr>
              <w:t>.</w:t>
            </w:r>
            <w:r>
              <w:rPr>
                <w:rFonts w:hint="eastAsia"/>
                <w:color w:val="auto"/>
                <w:szCs w:val="21"/>
                <w:highlight w:val="none"/>
              </w:rPr>
              <w:t>2</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10</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7</w:t>
            </w:r>
            <w:r>
              <w:rPr>
                <w:rFonts w:hint="eastAsia" w:ascii="宋体" w:hAnsi="宋体"/>
                <w:color w:val="auto"/>
                <w:szCs w:val="21"/>
                <w:highlight w:val="none"/>
              </w:rPr>
              <w:t>.</w:t>
            </w:r>
            <w:r>
              <w:rPr>
                <w:rFonts w:hint="eastAsia"/>
                <w:color w:val="auto"/>
                <w:szCs w:val="21"/>
                <w:highlight w:val="none"/>
              </w:rPr>
              <w:t>5</w:t>
            </w:r>
            <w:r>
              <w:rPr>
                <w:rFonts w:hint="eastAsia" w:ascii="宋体" w:hAnsi="宋体"/>
                <w:color w:val="auto"/>
                <w:szCs w:val="21"/>
                <w:highlight w:val="none"/>
              </w:rPr>
              <w:t>.</w:t>
            </w:r>
            <w:r>
              <w:rPr>
                <w:rFonts w:hint="eastAsia"/>
                <w:color w:val="auto"/>
                <w:szCs w:val="21"/>
                <w:highlight w:val="none"/>
              </w:rPr>
              <w:t>2</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元/天</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11</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7</w:t>
            </w:r>
            <w:r>
              <w:rPr>
                <w:rFonts w:hint="eastAsia" w:ascii="宋体" w:hAnsi="宋体"/>
                <w:color w:val="auto"/>
                <w:szCs w:val="21"/>
                <w:highlight w:val="none"/>
              </w:rPr>
              <w:t>.</w:t>
            </w:r>
            <w:r>
              <w:rPr>
                <w:rFonts w:hint="eastAsia"/>
                <w:color w:val="auto"/>
                <w:szCs w:val="21"/>
                <w:highlight w:val="none"/>
              </w:rPr>
              <w:t>5</w:t>
            </w:r>
            <w:r>
              <w:rPr>
                <w:rFonts w:hint="eastAsia" w:ascii="宋体" w:hAnsi="宋体"/>
                <w:color w:val="auto"/>
                <w:szCs w:val="21"/>
                <w:highlight w:val="none"/>
              </w:rPr>
              <w:t>.</w:t>
            </w:r>
            <w:r>
              <w:rPr>
                <w:rFonts w:hint="eastAsia"/>
                <w:color w:val="auto"/>
                <w:szCs w:val="21"/>
                <w:highlight w:val="none"/>
              </w:rPr>
              <w:t>2</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黑体" w:hAnsi="宋体" w:eastAsia="黑体"/>
                <w:color w:val="auto"/>
                <w:szCs w:val="21"/>
                <w:highlight w:val="none"/>
              </w:rPr>
            </w:pPr>
            <w:r>
              <w:rPr>
                <w:rFonts w:hint="eastAsia" w:eastAsia="黑体"/>
                <w:color w:val="auto"/>
                <w:szCs w:val="21"/>
                <w:highlight w:val="none"/>
              </w:rPr>
              <w:t>12</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11</w:t>
            </w:r>
            <w:r>
              <w:rPr>
                <w:rFonts w:hint="eastAsia" w:ascii="宋体" w:hAnsi="宋体"/>
                <w:color w:val="auto"/>
                <w:szCs w:val="21"/>
                <w:highlight w:val="none"/>
              </w:rPr>
              <w:t>.</w:t>
            </w:r>
            <w:r>
              <w:rPr>
                <w:rFonts w:hint="eastAsia"/>
                <w:color w:val="auto"/>
                <w:szCs w:val="21"/>
                <w:highlight w:val="none"/>
              </w:rPr>
              <w:t>1</w:t>
            </w:r>
          </w:p>
        </w:tc>
        <w:tc>
          <w:tcPr>
            <w:tcW w:w="4207" w:type="dxa"/>
            <w:vAlign w:val="center"/>
          </w:tcPr>
          <w:p>
            <w:pPr>
              <w:rPr>
                <w:rFonts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pPr>
              <w:jc w:val="center"/>
              <w:rPr>
                <w:rFonts w:ascii="宋体" w:hAnsi="宋体"/>
                <w:color w:val="auto"/>
                <w:szCs w:val="21"/>
                <w:highlight w:val="none"/>
              </w:rPr>
            </w:pPr>
            <w:r>
              <w:rPr>
                <w:rFonts w:hint="eastAsia"/>
                <w:color w:val="auto"/>
                <w:szCs w:val="21"/>
                <w:highlight w:val="none"/>
              </w:rPr>
              <w:t>13</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12</w:t>
            </w:r>
            <w:r>
              <w:rPr>
                <w:rFonts w:hint="eastAsia" w:ascii="宋体" w:hAnsi="宋体"/>
                <w:color w:val="auto"/>
                <w:szCs w:val="21"/>
                <w:highlight w:val="none"/>
              </w:rPr>
              <w:t>.</w:t>
            </w:r>
            <w:r>
              <w:rPr>
                <w:rFonts w:hint="eastAsia"/>
                <w:color w:val="auto"/>
                <w:szCs w:val="21"/>
                <w:highlight w:val="none"/>
              </w:rPr>
              <w:t>2</w:t>
            </w:r>
            <w:r>
              <w:rPr>
                <w:rFonts w:hint="eastAsia" w:ascii="宋体" w:hAnsi="宋体"/>
                <w:color w:val="auto"/>
                <w:szCs w:val="21"/>
                <w:highlight w:val="none"/>
              </w:rPr>
              <w:t>.</w:t>
            </w:r>
            <w:r>
              <w:rPr>
                <w:rFonts w:hint="eastAsia"/>
                <w:color w:val="auto"/>
                <w:szCs w:val="21"/>
                <w:highlight w:val="none"/>
              </w:rPr>
              <w:t>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0" w:type="dxa"/>
            <w:vAlign w:val="center"/>
          </w:tcPr>
          <w:p>
            <w:pPr>
              <w:autoSpaceDE w:val="0"/>
              <w:autoSpaceDN w:val="0"/>
              <w:adjustRightInd w:val="0"/>
              <w:jc w:val="center"/>
              <w:rPr>
                <w:rFonts w:ascii="宋体" w:hAnsi="宋体" w:cs="Arial"/>
                <w:color w:val="auto"/>
                <w:kern w:val="0"/>
                <w:szCs w:val="21"/>
                <w:highlight w:val="none"/>
              </w:rPr>
            </w:pPr>
            <w:r>
              <w:rPr>
                <w:rFonts w:hint="eastAsia" w:cs="Arial"/>
                <w:color w:val="auto"/>
                <w:kern w:val="0"/>
                <w:szCs w:val="21"/>
                <w:highlight w:val="none"/>
              </w:rPr>
              <w:t>14</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pPr>
              <w:rPr>
                <w:rFonts w:ascii="宋体" w:hAnsi="宋体"/>
                <w:color w:val="auto"/>
                <w:szCs w:val="21"/>
                <w:highlight w:val="none"/>
              </w:rPr>
            </w:pPr>
            <w:r>
              <w:rPr>
                <w:rFonts w:hint="eastAsia"/>
                <w:color w:val="auto"/>
                <w:szCs w:val="21"/>
                <w:highlight w:val="none"/>
              </w:rPr>
              <w:t>15</w:t>
            </w:r>
            <w:r>
              <w:rPr>
                <w:rFonts w:hint="eastAsia" w:ascii="宋体" w:hAnsi="宋体"/>
                <w:color w:val="auto"/>
                <w:szCs w:val="21"/>
                <w:highlight w:val="none"/>
              </w:rPr>
              <w:t>.</w:t>
            </w:r>
            <w:r>
              <w:rPr>
                <w:rFonts w:hint="eastAsia"/>
                <w:color w:val="auto"/>
                <w:szCs w:val="21"/>
                <w:highlight w:val="none"/>
              </w:rPr>
              <w:t>3</w:t>
            </w:r>
            <w:r>
              <w:rPr>
                <w:rFonts w:hint="eastAsia" w:ascii="宋体" w:hAnsi="宋体"/>
                <w:color w:val="auto"/>
                <w:szCs w:val="21"/>
                <w:highlight w:val="none"/>
              </w:rPr>
              <w:t>.</w:t>
            </w:r>
            <w:r>
              <w:rPr>
                <w:rFonts w:hint="eastAsia"/>
                <w:color w:val="auto"/>
                <w:szCs w:val="21"/>
                <w:highlight w:val="none"/>
              </w:rPr>
              <w:t>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pPr>
              <w:jc w:val="center"/>
              <w:rPr>
                <w:rFonts w:ascii="宋体" w:hAnsi="宋体"/>
                <w:color w:val="auto"/>
                <w:szCs w:val="21"/>
                <w:highlight w:val="none"/>
              </w:rPr>
            </w:pPr>
            <w:r>
              <w:rPr>
                <w:rFonts w:hint="eastAsia"/>
                <w:color w:val="auto"/>
                <w:szCs w:val="21"/>
                <w:highlight w:val="none"/>
              </w:rPr>
              <w:t>15</w:t>
            </w:r>
          </w:p>
        </w:tc>
        <w:tc>
          <w:tcPr>
            <w:tcW w:w="2399" w:type="dxa"/>
            <w:vAlign w:val="center"/>
          </w:tcPr>
          <w:p>
            <w:pPr>
              <w:rPr>
                <w:rFonts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pPr>
              <w:rPr>
                <w:rFonts w:ascii="宋体" w:hAnsi="宋体"/>
                <w:color w:val="auto"/>
                <w:szCs w:val="21"/>
                <w:highlight w:val="none"/>
              </w:rPr>
            </w:pPr>
            <w:r>
              <w:rPr>
                <w:color w:val="auto"/>
                <w:szCs w:val="21"/>
                <w:highlight w:val="none"/>
              </w:rPr>
              <w:t>15</w:t>
            </w:r>
            <w:r>
              <w:rPr>
                <w:rFonts w:ascii="宋体" w:hAnsi="宋体"/>
                <w:color w:val="auto"/>
                <w:szCs w:val="21"/>
                <w:highlight w:val="none"/>
              </w:rPr>
              <w:t>.</w:t>
            </w:r>
            <w:r>
              <w:rPr>
                <w:color w:val="auto"/>
                <w:szCs w:val="21"/>
                <w:highlight w:val="none"/>
              </w:rPr>
              <w:t>3</w:t>
            </w:r>
            <w:r>
              <w:rPr>
                <w:rFonts w:ascii="宋体" w:hAnsi="宋体"/>
                <w:color w:val="auto"/>
                <w:szCs w:val="21"/>
                <w:highlight w:val="none"/>
              </w:rPr>
              <w:t>.</w:t>
            </w:r>
            <w:r>
              <w:rPr>
                <w:color w:val="auto"/>
                <w:szCs w:val="21"/>
                <w:highlight w:val="none"/>
              </w:rPr>
              <w:t>2</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vAlign w:val="center"/>
          </w:tcPr>
          <w:p>
            <w:pPr>
              <w:autoSpaceDE w:val="0"/>
              <w:autoSpaceDN w:val="0"/>
              <w:adjustRightInd w:val="0"/>
              <w:jc w:val="center"/>
              <w:rPr>
                <w:rFonts w:ascii="宋体" w:hAnsi="宋体" w:cs="Arial"/>
                <w:color w:val="auto"/>
                <w:kern w:val="0"/>
                <w:szCs w:val="21"/>
                <w:highlight w:val="none"/>
              </w:rPr>
            </w:pPr>
            <w:r>
              <w:rPr>
                <w:rFonts w:hint="eastAsia" w:cs="Arial"/>
                <w:color w:val="auto"/>
                <w:kern w:val="0"/>
                <w:szCs w:val="21"/>
                <w:highlight w:val="none"/>
              </w:rPr>
              <w:t>16</w:t>
            </w:r>
          </w:p>
        </w:tc>
        <w:tc>
          <w:tcPr>
            <w:tcW w:w="2399" w:type="dxa"/>
            <w:vAlign w:val="center"/>
          </w:tcPr>
          <w:p>
            <w:pPr>
              <w:autoSpaceDE w:val="0"/>
              <w:autoSpaceDN w:val="0"/>
              <w:adjustRightInd w:val="0"/>
              <w:rPr>
                <w:rFonts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pPr>
              <w:autoSpaceDE w:val="0"/>
              <w:autoSpaceDN w:val="0"/>
              <w:adjustRightInd w:val="0"/>
              <w:rPr>
                <w:rFonts w:ascii="宋体" w:hAnsi="宋体" w:cs="Arial"/>
                <w:bCs/>
                <w:color w:val="auto"/>
                <w:kern w:val="0"/>
                <w:szCs w:val="21"/>
                <w:highlight w:val="none"/>
              </w:rPr>
            </w:pPr>
          </w:p>
        </w:tc>
        <w:tc>
          <w:tcPr>
            <w:tcW w:w="4207" w:type="dxa"/>
            <w:vAlign w:val="center"/>
          </w:tcPr>
          <w:p>
            <w:pPr>
              <w:autoSpaceDE w:val="0"/>
              <w:autoSpaceDN w:val="0"/>
              <w:adjustRightInd w:val="0"/>
              <w:rPr>
                <w:rFonts w:ascii="宋体" w:hAnsi="宋体" w:cs="Arial"/>
                <w:color w:val="auto"/>
                <w:kern w:val="0"/>
                <w:szCs w:val="21"/>
                <w:highlight w:val="none"/>
              </w:rPr>
            </w:pPr>
            <w:r>
              <w:rPr>
                <w:rFonts w:hint="eastAsia" w:ascii="宋体" w:hAnsi="宋体"/>
                <w:color w:val="auto"/>
                <w:szCs w:val="21"/>
                <w:highlight w:val="none"/>
              </w:rPr>
              <w:t>符合</w:t>
            </w:r>
            <w:r>
              <w:rPr>
                <w:rFonts w:hint="eastAsia" w:ascii="宋体" w:hAnsi="宋体"/>
                <w:color w:val="auto"/>
                <w:szCs w:val="21"/>
                <w:highlight w:val="none"/>
              </w:rPr>
              <w:t>第七章</w:t>
            </w:r>
            <w:r>
              <w:rPr>
                <w:rFonts w:hint="eastAsia" w:ascii="宋体" w:hAnsi="宋体"/>
                <w:color w:val="auto"/>
                <w:szCs w:val="21"/>
                <w:highlight w:val="none"/>
              </w:rPr>
              <w:t>“技术标准和要求”规定</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360" w:type="dxa"/>
            <w:gridSpan w:val="5"/>
            <w:vAlign w:val="center"/>
          </w:tcPr>
          <w:p>
            <w:pPr>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投标人在响应招标文件中规定的实质性要求和条件的基础上，可做出其他有利于招标人的承诺。此类承诺可在本表中予以补充填写。</w:t>
            </w:r>
          </w:p>
        </w:tc>
      </w:tr>
    </w:tbl>
    <w:p>
      <w:pPr>
        <w:rPr>
          <w:rFonts w:eastAsia="黑体"/>
          <w:color w:val="auto"/>
          <w:sz w:val="30"/>
          <w:szCs w:val="30"/>
          <w:highlight w:val="none"/>
          <w:u w:val="single"/>
        </w:rPr>
      </w:pPr>
    </w:p>
    <w:p>
      <w:pPr>
        <w:spacing w:line="360" w:lineRule="auto"/>
        <w:rPr>
          <w:color w:val="auto"/>
          <w:highlight w:val="none"/>
        </w:rPr>
      </w:pPr>
    </w:p>
    <w:p>
      <w:pPr>
        <w:spacing w:line="440" w:lineRule="exact"/>
        <w:ind w:firstLine="3675" w:firstLineChars="1750"/>
        <w:rPr>
          <w:color w:val="auto"/>
          <w:szCs w:val="21"/>
          <w:highlight w:val="none"/>
        </w:rPr>
      </w:pPr>
      <w:r>
        <w:rPr>
          <w:color w:val="auto"/>
          <w:szCs w:val="21"/>
          <w:highlight w:val="none"/>
        </w:rPr>
        <w:t>投 标 人：（盖单位章）</w:t>
      </w:r>
    </w:p>
    <w:p>
      <w:pPr>
        <w:spacing w:line="440" w:lineRule="exact"/>
        <w:ind w:firstLine="3675" w:firstLineChars="1750"/>
        <w:rPr>
          <w:color w:val="auto"/>
          <w:szCs w:val="21"/>
          <w:highlight w:val="none"/>
        </w:rPr>
      </w:pPr>
      <w:r>
        <w:rPr>
          <w:color w:val="auto"/>
          <w:szCs w:val="21"/>
          <w:highlight w:val="none"/>
        </w:rPr>
        <w:t>法定代表人：（签字）</w:t>
      </w:r>
    </w:p>
    <w:p>
      <w:pPr>
        <w:spacing w:line="440" w:lineRule="exact"/>
        <w:ind w:firstLine="5040" w:firstLineChars="2400"/>
        <w:rPr>
          <w:color w:val="auto"/>
          <w:szCs w:val="21"/>
          <w:highlight w:val="none"/>
        </w:rPr>
        <w:sectPr>
          <w:pgSz w:w="11906" w:h="16838"/>
          <w:pgMar w:top="2098" w:right="1446" w:bottom="1984" w:left="1446" w:header="851" w:footer="1446" w:gutter="0"/>
          <w:cols w:space="0" w:num="1"/>
          <w:docGrid w:linePitch="312" w:charSpace="0"/>
        </w:sectPr>
      </w:pP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480" w:lineRule="exact"/>
        <w:jc w:val="center"/>
        <w:rPr>
          <w:rFonts w:ascii="黑体" w:hAnsi="宋体" w:eastAsia="黑体"/>
          <w:color w:val="auto"/>
          <w:sz w:val="24"/>
          <w:highlight w:val="none"/>
        </w:rPr>
      </w:pPr>
      <w:r>
        <w:rPr>
          <w:rFonts w:hint="eastAsia" w:ascii="黑体" w:hAnsi="宋体" w:eastAsia="黑体"/>
          <w:color w:val="auto"/>
          <w:sz w:val="24"/>
          <w:highlight w:val="none"/>
        </w:rPr>
        <w:t>价格指数权重表</w:t>
      </w:r>
    </w:p>
    <w:tbl>
      <w:tblPr>
        <w:tblStyle w:val="25"/>
        <w:tblW w:w="8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9"/>
        <w:gridCol w:w="707"/>
        <w:gridCol w:w="989"/>
        <w:gridCol w:w="707"/>
        <w:gridCol w:w="1271"/>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15" w:type="dxa"/>
            <w:gridSpan w:val="2"/>
            <w:vMerge w:val="restart"/>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名 称</w:t>
            </w:r>
          </w:p>
        </w:tc>
        <w:tc>
          <w:tcPr>
            <w:tcW w:w="1696" w:type="dxa"/>
            <w:gridSpan w:val="2"/>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基本价格指数</w:t>
            </w:r>
          </w:p>
        </w:tc>
        <w:tc>
          <w:tcPr>
            <w:tcW w:w="3673" w:type="dxa"/>
            <w:gridSpan w:val="3"/>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权     重</w:t>
            </w:r>
          </w:p>
        </w:tc>
        <w:tc>
          <w:tcPr>
            <w:tcW w:w="1695" w:type="dxa"/>
            <w:vMerge w:val="restart"/>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15" w:type="dxa"/>
            <w:gridSpan w:val="2"/>
            <w:vMerge w:val="continue"/>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代号</w:t>
            </w:r>
          </w:p>
        </w:tc>
        <w:tc>
          <w:tcPr>
            <w:tcW w:w="989" w:type="dxa"/>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指数值</w:t>
            </w:r>
          </w:p>
        </w:tc>
        <w:tc>
          <w:tcPr>
            <w:tcW w:w="707" w:type="dxa"/>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代号</w:t>
            </w:r>
          </w:p>
        </w:tc>
        <w:tc>
          <w:tcPr>
            <w:tcW w:w="1271" w:type="dxa"/>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允许范围</w:t>
            </w:r>
          </w:p>
        </w:tc>
        <w:tc>
          <w:tcPr>
            <w:tcW w:w="1695" w:type="dxa"/>
            <w:vAlign w:val="center"/>
          </w:tcPr>
          <w:p>
            <w:pPr>
              <w:spacing w:line="40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投标人建议值</w:t>
            </w:r>
          </w:p>
        </w:tc>
        <w:tc>
          <w:tcPr>
            <w:tcW w:w="1695" w:type="dxa"/>
            <w:vMerge w:val="continue"/>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15"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定值部分</w:t>
            </w:r>
          </w:p>
        </w:tc>
        <w:tc>
          <w:tcPr>
            <w:tcW w:w="707" w:type="dxa"/>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A</w:t>
            </w:r>
          </w:p>
        </w:tc>
        <w:tc>
          <w:tcPr>
            <w:tcW w:w="1271"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6"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变</w:t>
            </w:r>
          </w:p>
          <w:p>
            <w:pPr>
              <w:spacing w:line="400" w:lineRule="exact"/>
              <w:jc w:val="center"/>
              <w:rPr>
                <w:rFonts w:ascii="宋体" w:hAnsi="宋体"/>
                <w:color w:val="auto"/>
                <w:szCs w:val="21"/>
                <w:highlight w:val="none"/>
              </w:rPr>
            </w:pPr>
            <w:r>
              <w:rPr>
                <w:rFonts w:hint="eastAsia" w:ascii="宋体" w:hAnsi="宋体"/>
                <w:color w:val="auto"/>
                <w:szCs w:val="21"/>
                <w:highlight w:val="none"/>
              </w:rPr>
              <w:t>值</w:t>
            </w:r>
          </w:p>
          <w:p>
            <w:pPr>
              <w:spacing w:line="400" w:lineRule="exact"/>
              <w:jc w:val="center"/>
              <w:rPr>
                <w:rFonts w:ascii="宋体" w:hAnsi="宋体"/>
                <w:color w:val="auto"/>
                <w:szCs w:val="21"/>
                <w:highlight w:val="none"/>
              </w:rPr>
            </w:pPr>
            <w:r>
              <w:rPr>
                <w:rFonts w:hint="eastAsia" w:ascii="宋体" w:hAnsi="宋体"/>
                <w:color w:val="auto"/>
                <w:szCs w:val="21"/>
                <w:highlight w:val="none"/>
              </w:rPr>
              <w:t>部</w:t>
            </w:r>
          </w:p>
          <w:p>
            <w:pPr>
              <w:spacing w:line="400" w:lineRule="exact"/>
              <w:jc w:val="center"/>
              <w:rPr>
                <w:rFonts w:ascii="宋体" w:hAnsi="宋体"/>
                <w:color w:val="auto"/>
                <w:szCs w:val="21"/>
                <w:highlight w:val="none"/>
              </w:rPr>
            </w:pPr>
            <w:r>
              <w:rPr>
                <w:rFonts w:hint="eastAsia" w:ascii="宋体" w:hAnsi="宋体"/>
                <w:color w:val="auto"/>
                <w:szCs w:val="21"/>
                <w:highlight w:val="none"/>
              </w:rPr>
              <w:t>分</w:t>
            </w:r>
          </w:p>
        </w:tc>
        <w:tc>
          <w:tcPr>
            <w:tcW w:w="98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人工费</w:t>
            </w: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F</w:t>
            </w:r>
            <w:r>
              <w:rPr>
                <w:rFonts w:hint="eastAsia"/>
                <w:color w:val="auto"/>
                <w:szCs w:val="21"/>
                <w:highlight w:val="none"/>
                <w:vertAlign w:val="subscript"/>
              </w:rPr>
              <w:t>01</w:t>
            </w: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B</w:t>
            </w:r>
            <w:r>
              <w:rPr>
                <w:rFonts w:hint="eastAsia"/>
                <w:color w:val="auto"/>
                <w:szCs w:val="21"/>
                <w:highlight w:val="none"/>
                <w:vertAlign w:val="subscript"/>
              </w:rPr>
              <w:t>1</w:t>
            </w:r>
          </w:p>
        </w:tc>
        <w:tc>
          <w:tcPr>
            <w:tcW w:w="1271" w:type="dxa"/>
            <w:vAlign w:val="center"/>
          </w:tcPr>
          <w:p>
            <w:pPr>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至</w:t>
            </w: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vMerge w:val="continue"/>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钢材</w:t>
            </w: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F</w:t>
            </w:r>
            <w:r>
              <w:rPr>
                <w:rFonts w:hint="eastAsia"/>
                <w:color w:val="auto"/>
                <w:szCs w:val="21"/>
                <w:highlight w:val="none"/>
                <w:vertAlign w:val="subscript"/>
              </w:rPr>
              <w:t>02</w:t>
            </w: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B</w:t>
            </w:r>
            <w:r>
              <w:rPr>
                <w:rFonts w:hint="eastAsia"/>
                <w:color w:val="auto"/>
                <w:szCs w:val="21"/>
                <w:highlight w:val="none"/>
                <w:vertAlign w:val="subscript"/>
              </w:rPr>
              <w:t>2</w:t>
            </w:r>
          </w:p>
        </w:tc>
        <w:tc>
          <w:tcPr>
            <w:tcW w:w="1271" w:type="dxa"/>
            <w:vAlign w:val="center"/>
          </w:tcPr>
          <w:p>
            <w:pPr>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至</w:t>
            </w: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vMerge w:val="continue"/>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水泥</w:t>
            </w: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F</w:t>
            </w:r>
            <w:r>
              <w:rPr>
                <w:rFonts w:hint="eastAsia"/>
                <w:color w:val="auto"/>
                <w:szCs w:val="21"/>
                <w:highlight w:val="none"/>
                <w:vertAlign w:val="subscript"/>
              </w:rPr>
              <w:t>03</w:t>
            </w: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r>
              <w:rPr>
                <w:rFonts w:hint="eastAsia"/>
                <w:color w:val="auto"/>
                <w:szCs w:val="21"/>
                <w:highlight w:val="none"/>
              </w:rPr>
              <w:t>B</w:t>
            </w:r>
            <w:r>
              <w:rPr>
                <w:rFonts w:hint="eastAsia"/>
                <w:color w:val="auto"/>
                <w:szCs w:val="21"/>
                <w:highlight w:val="none"/>
                <w:vertAlign w:val="subscript"/>
              </w:rPr>
              <w:t>3</w:t>
            </w:r>
          </w:p>
        </w:tc>
        <w:tc>
          <w:tcPr>
            <w:tcW w:w="1271" w:type="dxa"/>
            <w:vAlign w:val="center"/>
          </w:tcPr>
          <w:p>
            <w:pPr>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至</w:t>
            </w: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vMerge w:val="continue"/>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707"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2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6" w:type="dxa"/>
            <w:vMerge w:val="continue"/>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p>
        </w:tc>
        <w:tc>
          <w:tcPr>
            <w:tcW w:w="1271"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vMerge w:val="continue"/>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p>
        </w:tc>
        <w:tc>
          <w:tcPr>
            <w:tcW w:w="989" w:type="dxa"/>
            <w:vAlign w:val="center"/>
          </w:tcPr>
          <w:p>
            <w:pPr>
              <w:spacing w:line="400" w:lineRule="exact"/>
              <w:jc w:val="center"/>
              <w:rPr>
                <w:rFonts w:ascii="宋体" w:hAnsi="宋体"/>
                <w:color w:val="auto"/>
                <w:szCs w:val="21"/>
                <w:highlight w:val="none"/>
              </w:rPr>
            </w:pPr>
          </w:p>
        </w:tc>
        <w:tc>
          <w:tcPr>
            <w:tcW w:w="707" w:type="dxa"/>
            <w:vAlign w:val="center"/>
          </w:tcPr>
          <w:p>
            <w:pPr>
              <w:spacing w:line="400" w:lineRule="exact"/>
              <w:jc w:val="center"/>
              <w:rPr>
                <w:rFonts w:ascii="宋体" w:hAnsi="宋体"/>
                <w:color w:val="auto"/>
                <w:szCs w:val="21"/>
                <w:highlight w:val="none"/>
              </w:rPr>
            </w:pPr>
          </w:p>
        </w:tc>
        <w:tc>
          <w:tcPr>
            <w:tcW w:w="1271"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c>
          <w:tcPr>
            <w:tcW w:w="169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89" w:type="dxa"/>
            <w:gridSpan w:val="6"/>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合             计</w:t>
            </w:r>
          </w:p>
        </w:tc>
        <w:tc>
          <w:tcPr>
            <w:tcW w:w="1695" w:type="dxa"/>
            <w:vAlign w:val="center"/>
          </w:tcPr>
          <w:p>
            <w:pPr>
              <w:spacing w:line="400" w:lineRule="exact"/>
              <w:jc w:val="center"/>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w:t>
            </w:r>
            <w:r>
              <w:rPr>
                <w:rFonts w:hint="eastAsia"/>
                <w:color w:val="auto"/>
                <w:szCs w:val="21"/>
                <w:highlight w:val="none"/>
              </w:rPr>
              <w:t>00</w:t>
            </w:r>
          </w:p>
        </w:tc>
        <w:tc>
          <w:tcPr>
            <w:tcW w:w="1695" w:type="dxa"/>
            <w:vAlign w:val="center"/>
          </w:tcPr>
          <w:p>
            <w:pPr>
              <w:spacing w:line="400" w:lineRule="exact"/>
              <w:jc w:val="center"/>
              <w:rPr>
                <w:rFonts w:ascii="宋体" w:hAnsi="宋体"/>
                <w:color w:val="auto"/>
                <w:szCs w:val="21"/>
                <w:highlight w:val="none"/>
              </w:rPr>
            </w:pPr>
          </w:p>
        </w:tc>
      </w:tr>
    </w:tbl>
    <w:p>
      <w:pPr>
        <w:rPr>
          <w:rFonts w:ascii="黑体" w:hAnsi="宋体" w:eastAsia="黑体"/>
          <w:color w:val="auto"/>
          <w:szCs w:val="21"/>
          <w:highlight w:val="none"/>
        </w:rPr>
      </w:pPr>
    </w:p>
    <w:p>
      <w:pPr>
        <w:rPr>
          <w:rFonts w:ascii="黑体" w:hAnsi="宋体" w:eastAsia="黑体"/>
          <w:color w:val="auto"/>
          <w:szCs w:val="21"/>
          <w:highlight w:val="none"/>
        </w:rPr>
      </w:pPr>
    </w:p>
    <w:p>
      <w:pPr>
        <w:ind w:left="630" w:hanging="630" w:hangingChars="300"/>
        <w:rPr>
          <w:rFonts w:ascii="宋体" w:hAnsi="宋体"/>
          <w:color w:val="auto"/>
          <w:szCs w:val="21"/>
          <w:highlight w:val="none"/>
        </w:rPr>
      </w:pPr>
      <w:r>
        <w:rPr>
          <w:rFonts w:hint="eastAsia" w:ascii="宋体" w:hAnsi="宋体"/>
          <w:color w:val="auto"/>
          <w:szCs w:val="21"/>
          <w:highlight w:val="none"/>
        </w:rPr>
        <w:t>备注：专用合同条款约定采用价格指数法进行价格调整时适用本表。表中除“投标人建议值”由投标人结合其投标报价情况选择填写外，其余均由招标人在招标文件发出前填写。</w:t>
      </w:r>
    </w:p>
    <w:p>
      <w:pPr>
        <w:spacing w:line="400" w:lineRule="exact"/>
        <w:rPr>
          <w:color w:val="auto"/>
          <w:highlight w:val="none"/>
        </w:rPr>
      </w:pPr>
      <w:r>
        <w:rPr>
          <w:rFonts w:ascii="宋体" w:hAnsi="宋体"/>
          <w:b/>
          <w:color w:val="auto"/>
          <w:szCs w:val="21"/>
          <w:highlight w:val="none"/>
        </w:rPr>
        <w:br w:type="page"/>
      </w:r>
    </w:p>
    <w:bookmarkEnd w:id="2529"/>
    <w:bookmarkEnd w:id="2530"/>
    <w:bookmarkEnd w:id="2531"/>
    <w:p>
      <w:pPr>
        <w:pStyle w:val="20"/>
        <w:keepNext w:val="0"/>
        <w:keepLines w:val="0"/>
        <w:jc w:val="center"/>
        <w:outlineLvl w:val="2"/>
        <w:rPr>
          <w:color w:val="auto"/>
          <w:highlight w:val="none"/>
        </w:rPr>
      </w:pPr>
      <w:bookmarkStart w:id="2606" w:name="_Toc288066309"/>
      <w:bookmarkStart w:id="2607" w:name="_Toc336192587"/>
      <w:bookmarkStart w:id="2608" w:name="_Toc4540"/>
      <w:bookmarkStart w:id="2609" w:name="_Toc5785"/>
      <w:bookmarkStart w:id="2610" w:name="_Toc336192495"/>
      <w:bookmarkStart w:id="2611" w:name="_Toc279401965"/>
      <w:bookmarkStart w:id="2612" w:name="_Toc12306"/>
      <w:bookmarkStart w:id="2613" w:name="_Toc921265439"/>
      <w:bookmarkStart w:id="2614" w:name="_Toc5979"/>
      <w:bookmarkStart w:id="2615" w:name="_Toc380568806"/>
      <w:bookmarkStart w:id="2616" w:name="_Toc323220044"/>
      <w:bookmarkStart w:id="2617" w:name="_Toc28776"/>
      <w:bookmarkStart w:id="2618" w:name="_Toc325129579"/>
      <w:bookmarkStart w:id="2619" w:name="_Toc428984353"/>
      <w:bookmarkStart w:id="2620" w:name="_Toc12436"/>
      <w:r>
        <w:rPr>
          <w:rFonts w:hint="eastAsia"/>
          <w:color w:val="auto"/>
          <w:highlight w:val="none"/>
        </w:rPr>
        <w:t>二、法定代表人身份证明</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pPr>
        <w:spacing w:line="360" w:lineRule="auto"/>
        <w:rPr>
          <w:color w:val="auto"/>
          <w:szCs w:val="21"/>
          <w:highlight w:val="none"/>
        </w:rPr>
      </w:pPr>
    </w:p>
    <w:p>
      <w:pPr>
        <w:spacing w:line="600" w:lineRule="exact"/>
        <w:ind w:firstLine="420" w:firstLineChars="200"/>
        <w:rPr>
          <w:color w:val="auto"/>
          <w:szCs w:val="21"/>
          <w:highlight w:val="none"/>
          <w:u w:val="single"/>
        </w:rPr>
      </w:pPr>
      <w:r>
        <w:rPr>
          <w:color w:val="auto"/>
          <w:szCs w:val="21"/>
          <w:highlight w:val="none"/>
        </w:rPr>
        <w:t>投标人名称：</w:t>
      </w:r>
    </w:p>
    <w:p>
      <w:pPr>
        <w:spacing w:line="600" w:lineRule="exact"/>
        <w:ind w:firstLine="420" w:firstLineChars="200"/>
        <w:rPr>
          <w:color w:val="auto"/>
          <w:szCs w:val="21"/>
          <w:highlight w:val="none"/>
          <w:u w:val="single"/>
        </w:rPr>
      </w:pPr>
      <w:r>
        <w:rPr>
          <w:color w:val="auto"/>
          <w:szCs w:val="21"/>
          <w:highlight w:val="none"/>
        </w:rPr>
        <w:t>单位性质：</w:t>
      </w:r>
    </w:p>
    <w:p>
      <w:pPr>
        <w:spacing w:line="600" w:lineRule="exact"/>
        <w:ind w:firstLine="420" w:firstLineChars="200"/>
        <w:rPr>
          <w:color w:val="auto"/>
          <w:szCs w:val="21"/>
          <w:highlight w:val="none"/>
        </w:rPr>
      </w:pPr>
      <w:r>
        <w:rPr>
          <w:color w:val="auto"/>
          <w:szCs w:val="21"/>
          <w:highlight w:val="none"/>
        </w:rPr>
        <w:t>地址：</w:t>
      </w:r>
    </w:p>
    <w:p>
      <w:pPr>
        <w:spacing w:line="600" w:lineRule="exact"/>
        <w:ind w:firstLine="420" w:firstLineChars="200"/>
        <w:rPr>
          <w:color w:val="auto"/>
          <w:szCs w:val="21"/>
          <w:highlight w:val="none"/>
        </w:rPr>
      </w:pPr>
      <w:r>
        <w:rPr>
          <w:color w:val="auto"/>
          <w:szCs w:val="21"/>
          <w:highlight w:val="none"/>
        </w:rPr>
        <w:t>成立时间：</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 xml:space="preserve"> 日 </w:t>
      </w:r>
    </w:p>
    <w:p>
      <w:pPr>
        <w:spacing w:line="600" w:lineRule="exact"/>
        <w:ind w:firstLine="420" w:firstLineChars="200"/>
        <w:rPr>
          <w:color w:val="auto"/>
          <w:szCs w:val="21"/>
          <w:highlight w:val="none"/>
        </w:rPr>
      </w:pPr>
      <w:r>
        <w:rPr>
          <w:color w:val="auto"/>
          <w:szCs w:val="21"/>
          <w:highlight w:val="none"/>
        </w:rPr>
        <w:t>经营期限：</w:t>
      </w:r>
    </w:p>
    <w:p>
      <w:pPr>
        <w:spacing w:line="440" w:lineRule="exact"/>
        <w:ind w:firstLine="420" w:firstLineChars="200"/>
        <w:rPr>
          <w:color w:val="auto"/>
          <w:szCs w:val="21"/>
          <w:highlight w:val="none"/>
        </w:rPr>
      </w:pPr>
      <w:r>
        <w:rPr>
          <w:color w:val="auto"/>
          <w:szCs w:val="21"/>
          <w:highlight w:val="none"/>
        </w:rPr>
        <w:t>姓名： 性别：</w:t>
      </w:r>
    </w:p>
    <w:p>
      <w:pPr>
        <w:spacing w:line="440" w:lineRule="exact"/>
        <w:ind w:firstLine="420" w:firstLineChars="200"/>
        <w:rPr>
          <w:rFonts w:ascii="宋体" w:hAnsi="宋体"/>
          <w:color w:val="auto"/>
          <w:szCs w:val="21"/>
          <w:highlight w:val="none"/>
          <w:u w:val="single"/>
        </w:rPr>
      </w:pPr>
      <w:r>
        <w:rPr>
          <w:color w:val="auto"/>
          <w:szCs w:val="21"/>
          <w:highlight w:val="none"/>
        </w:rPr>
        <w:t>年龄：</w:t>
      </w:r>
      <w:r>
        <w:rPr>
          <w:rFonts w:hint="eastAsia"/>
          <w:color w:val="auto"/>
          <w:szCs w:val="21"/>
          <w:highlight w:val="none"/>
        </w:rPr>
        <w:t xml:space="preserve"> </w:t>
      </w:r>
      <w:r>
        <w:rPr>
          <w:rFonts w:ascii="宋体" w:hAnsi="宋体"/>
          <w:color w:val="auto"/>
          <w:szCs w:val="21"/>
          <w:highlight w:val="none"/>
        </w:rPr>
        <w:t>职务：</w:t>
      </w:r>
    </w:p>
    <w:p>
      <w:pPr>
        <w:spacing w:line="440" w:lineRule="exact"/>
        <w:ind w:firstLine="420" w:firstLineChars="200"/>
        <w:rPr>
          <w:color w:val="auto"/>
          <w:szCs w:val="21"/>
          <w:highlight w:val="none"/>
        </w:rPr>
      </w:pPr>
      <w:r>
        <w:rPr>
          <w:color w:val="auto"/>
          <w:szCs w:val="21"/>
          <w:highlight w:val="none"/>
        </w:rPr>
        <w:t>系</w:t>
      </w:r>
      <w:r>
        <w:rPr>
          <w:color w:val="auto"/>
          <w:szCs w:val="21"/>
          <w:highlight w:val="none"/>
          <w:u w:val="single"/>
        </w:rPr>
        <w:t>（投标人名称）</w:t>
      </w:r>
      <w:r>
        <w:rPr>
          <w:color w:val="auto"/>
          <w:szCs w:val="21"/>
          <w:highlight w:val="none"/>
        </w:rPr>
        <w:t>的法定代表人。</w:t>
      </w:r>
    </w:p>
    <w:p>
      <w:pPr>
        <w:spacing w:line="600" w:lineRule="exact"/>
        <w:ind w:firstLine="420" w:firstLineChars="200"/>
        <w:rPr>
          <w:color w:val="auto"/>
          <w:szCs w:val="21"/>
          <w:highlight w:val="none"/>
        </w:rPr>
      </w:pPr>
      <w:r>
        <w:rPr>
          <w:color w:val="auto"/>
          <w:szCs w:val="21"/>
          <w:highlight w:val="none"/>
        </w:rPr>
        <w:t>特此证明。</w:t>
      </w:r>
    </w:p>
    <w:p>
      <w:pPr>
        <w:spacing w:line="600" w:lineRule="exact"/>
        <w:ind w:firstLine="840" w:firstLineChars="400"/>
        <w:rPr>
          <w:rFonts w:ascii="宋体" w:hAnsi="宋体"/>
          <w:bCs/>
          <w:color w:val="auto"/>
          <w:szCs w:val="21"/>
          <w:highlight w:val="none"/>
        </w:rPr>
      </w:pPr>
    </w:p>
    <w:p>
      <w:pPr>
        <w:spacing w:line="600" w:lineRule="exact"/>
        <w:ind w:firstLine="420" w:firstLineChars="200"/>
        <w:rPr>
          <w:color w:val="auto"/>
          <w:szCs w:val="21"/>
          <w:highlight w:val="none"/>
        </w:rPr>
      </w:pPr>
    </w:p>
    <w:p>
      <w:pPr>
        <w:spacing w:line="600" w:lineRule="exact"/>
        <w:rPr>
          <w:color w:val="auto"/>
          <w:szCs w:val="21"/>
          <w:highlight w:val="none"/>
        </w:rPr>
      </w:pPr>
    </w:p>
    <w:p>
      <w:pPr>
        <w:spacing w:line="600" w:lineRule="exact"/>
        <w:rPr>
          <w:color w:val="auto"/>
          <w:szCs w:val="21"/>
          <w:highlight w:val="none"/>
        </w:rPr>
      </w:pPr>
      <w:r>
        <w:rPr>
          <w:color w:val="auto"/>
          <w:szCs w:val="21"/>
          <w:highlight w:val="none"/>
        </w:rPr>
        <w:t xml:space="preserve"> 投标人：（盖</w:t>
      </w:r>
      <w:r>
        <w:rPr>
          <w:rFonts w:hint="eastAsia"/>
          <w:color w:val="auto"/>
          <w:szCs w:val="21"/>
          <w:highlight w:val="none"/>
        </w:rPr>
        <w:t>单位</w:t>
      </w:r>
      <w:r>
        <w:rPr>
          <w:color w:val="auto"/>
          <w:szCs w:val="21"/>
          <w:highlight w:val="none"/>
        </w:rPr>
        <w:t xml:space="preserve">章） </w:t>
      </w:r>
    </w:p>
    <w:p>
      <w:pPr>
        <w:spacing w:line="600" w:lineRule="exact"/>
        <w:ind w:firstLine="4095" w:firstLineChars="1950"/>
        <w:rPr>
          <w:color w:val="auto"/>
          <w:szCs w:val="21"/>
          <w:highlight w:val="none"/>
        </w:rPr>
        <w:sectPr>
          <w:pgSz w:w="11906" w:h="16838"/>
          <w:pgMar w:top="2098" w:right="1446" w:bottom="1984" w:left="1446" w:header="851" w:footer="1446" w:gutter="0"/>
          <w:cols w:space="0" w:num="1"/>
          <w:docGrid w:linePitch="312" w:charSpace="0"/>
        </w:sectPr>
      </w:pPr>
      <w:r>
        <w:rPr>
          <w:color w:val="auto"/>
          <w:szCs w:val="21"/>
          <w:highlight w:val="none"/>
        </w:rPr>
        <w:t>日 期：</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pStyle w:val="20"/>
        <w:keepNext w:val="0"/>
        <w:keepLines w:val="0"/>
        <w:jc w:val="center"/>
        <w:outlineLvl w:val="2"/>
        <w:rPr>
          <w:color w:val="auto"/>
          <w:highlight w:val="none"/>
          <w:u w:val="single"/>
        </w:rPr>
      </w:pPr>
      <w:bookmarkStart w:id="2621" w:name="_Toc152045793"/>
      <w:bookmarkStart w:id="2622" w:name="_Toc429598763"/>
      <w:bookmarkStart w:id="2623" w:name="_Toc20240"/>
      <w:bookmarkStart w:id="2624" w:name="_Toc28529"/>
      <w:bookmarkStart w:id="2625" w:name="_Toc40566426"/>
      <w:bookmarkStart w:id="2626" w:name="_Toc10847"/>
      <w:bookmarkStart w:id="2627" w:name="_Toc11965"/>
      <w:bookmarkStart w:id="2628" w:name="_Toc399582915"/>
      <w:bookmarkStart w:id="2629" w:name="_Toc387753630"/>
      <w:bookmarkStart w:id="2630" w:name="_Toc152042582"/>
      <w:bookmarkStart w:id="2631" w:name="_Toc179632813"/>
      <w:bookmarkStart w:id="2632" w:name="_Toc22925"/>
      <w:bookmarkStart w:id="2633" w:name="_Toc23478"/>
      <w:r>
        <w:rPr>
          <w:rFonts w:hint="eastAsia"/>
          <w:color w:val="auto"/>
          <w:highlight w:val="none"/>
          <w:u w:val="single"/>
        </w:rPr>
        <w:t>三、</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Start w:id="2634" w:name="_Toc1837"/>
      <w:bookmarkStart w:id="2635" w:name="_Toc11224"/>
      <w:bookmarkStart w:id="2636" w:name="_Toc935004941"/>
      <w:bookmarkStart w:id="2637" w:name="_Toc2628"/>
      <w:bookmarkStart w:id="2638" w:name="_Toc26425"/>
      <w:bookmarkStart w:id="2639" w:name="_Toc12593"/>
      <w:bookmarkStart w:id="2640" w:name="_Toc429598764"/>
      <w:bookmarkStart w:id="2641" w:name="_Toc426496240"/>
      <w:bookmarkStart w:id="2642" w:name="_Toc24845"/>
      <w:bookmarkStart w:id="2643" w:name="_Toc1911144365"/>
      <w:r>
        <w:rPr>
          <w:rFonts w:hint="eastAsia"/>
          <w:color w:val="auto"/>
          <w:highlight w:val="none"/>
          <w:u w:val="single"/>
        </w:rPr>
        <w:t>关于投标保证金的承诺</w:t>
      </w:r>
    </w:p>
    <w:p>
      <w:pPr>
        <w:pStyle w:val="20"/>
        <w:keepNext w:val="0"/>
        <w:keepLines w:val="0"/>
        <w:spacing w:line="336" w:lineRule="auto"/>
        <w:jc w:val="center"/>
        <w:outlineLvl w:val="2"/>
        <w:rPr>
          <w:color w:val="auto"/>
          <w:highlight w:val="none"/>
        </w:rPr>
      </w:pPr>
    </w:p>
    <w:p>
      <w:pPr>
        <w:pStyle w:val="13"/>
        <w:spacing w:line="560" w:lineRule="exact"/>
        <w:ind w:firstLine="560" w:firstLineChars="200"/>
        <w:rPr>
          <w:rFonts w:hAnsi="宋体" w:cs="宋体"/>
          <w:color w:val="auto"/>
          <w:sz w:val="28"/>
          <w:szCs w:val="28"/>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本公司就参加</w:t>
      </w:r>
      <w:r>
        <w:rPr>
          <w:rFonts w:hint="eastAsia" w:ascii="宋体" w:hAnsi="宋体" w:cs="宋体"/>
          <w:color w:val="auto"/>
          <w:szCs w:val="21"/>
          <w:highlight w:val="none"/>
          <w:u w:val="single"/>
        </w:rPr>
        <w:t xml:space="preserve">      （招标项目名称）     </w:t>
      </w:r>
      <w:r>
        <w:rPr>
          <w:rFonts w:hint="eastAsia" w:ascii="宋体" w:hAnsi="宋体" w:cs="宋体"/>
          <w:color w:val="auto"/>
          <w:szCs w:val="21"/>
          <w:highlight w:val="none"/>
        </w:rPr>
        <w:t>项目的投标工作，作出郑重声明：</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本公司违反上述保证的，将被视为虚假承诺，按相关规定进行信用记录。本公司对失信行为产生的一切后果已知悉，并承担由此产生的相应责任。</w:t>
      </w:r>
    </w:p>
    <w:p>
      <w:pPr>
        <w:spacing w:line="360" w:lineRule="auto"/>
        <w:ind w:firstLine="420" w:firstLineChars="200"/>
        <w:jc w:val="left"/>
        <w:rPr>
          <w:rFonts w:ascii="宋体" w:hAnsi="宋体" w:cs="宋体"/>
          <w:color w:val="auto"/>
          <w:spacing w:val="4"/>
          <w:kern w:val="0"/>
          <w:szCs w:val="21"/>
          <w:highlight w:val="none"/>
        </w:rPr>
      </w:pPr>
      <w:r>
        <w:rPr>
          <w:rFonts w:hint="eastAsia" w:ascii="宋体" w:hAnsi="宋体" w:cs="宋体"/>
          <w:color w:val="auto"/>
          <w:szCs w:val="21"/>
          <w:highlight w:val="none"/>
        </w:rPr>
        <w:t>特此承诺。</w:t>
      </w:r>
    </w:p>
    <w:p>
      <w:pPr>
        <w:spacing w:line="360" w:lineRule="auto"/>
        <w:jc w:val="left"/>
        <w:rPr>
          <w:rFonts w:ascii="宋体" w:hAnsi="宋体" w:cs="宋体"/>
          <w:color w:val="auto"/>
          <w:spacing w:val="4"/>
          <w:kern w:val="0"/>
          <w:szCs w:val="21"/>
          <w:highlight w:val="none"/>
        </w:rPr>
      </w:pPr>
    </w:p>
    <w:p>
      <w:pPr>
        <w:spacing w:line="360" w:lineRule="auto"/>
        <w:jc w:val="left"/>
        <w:rPr>
          <w:rFonts w:ascii="宋体" w:hAnsi="宋体" w:cs="宋体"/>
          <w:color w:val="auto"/>
          <w:spacing w:val="4"/>
          <w:kern w:val="0"/>
          <w:szCs w:val="21"/>
          <w:highlight w:val="none"/>
        </w:rPr>
      </w:pPr>
    </w:p>
    <w:p>
      <w:pPr>
        <w:pStyle w:val="9"/>
        <w:spacing w:line="360" w:lineRule="auto"/>
        <w:rPr>
          <w:rFonts w:ascii="宋体" w:hAnsi="宋体" w:cs="宋体"/>
          <w:color w:val="auto"/>
          <w:spacing w:val="4"/>
          <w:szCs w:val="21"/>
          <w:highlight w:val="none"/>
        </w:rPr>
      </w:pPr>
    </w:p>
    <w:p>
      <w:pPr>
        <w:spacing w:line="360" w:lineRule="auto"/>
        <w:rPr>
          <w:color w:val="auto"/>
          <w:szCs w:val="21"/>
          <w:highlight w:val="none"/>
        </w:rPr>
      </w:pPr>
    </w:p>
    <w:p>
      <w:pPr>
        <w:spacing w:line="360" w:lineRule="auto"/>
        <w:ind w:firstLine="3150" w:firstLineChars="1500"/>
        <w:jc w:val="left"/>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投标人：　　（盖章）</w:t>
      </w:r>
    </w:p>
    <w:p>
      <w:pPr>
        <w:pStyle w:val="9"/>
        <w:spacing w:line="360" w:lineRule="auto"/>
        <w:ind w:right="1280" w:firstLine="275" w:firstLineChars="131"/>
        <w:jc w:val="center"/>
        <w:rPr>
          <w:color w:val="auto"/>
          <w:szCs w:val="21"/>
          <w:highlight w:val="none"/>
        </w:rPr>
      </w:pPr>
      <w:r>
        <w:rPr>
          <w:rFonts w:hint="eastAsia" w:ascii="仿宋_GB2312" w:hAnsi="仿宋_GB2312" w:eastAsia="仿宋_GB2312" w:cs="仿宋_GB2312"/>
          <w:color w:val="auto"/>
          <w:szCs w:val="21"/>
          <w:highlight w:val="none"/>
        </w:rPr>
        <w:t xml:space="preserve">                 </w:t>
      </w:r>
      <w:r>
        <w:rPr>
          <w:rFonts w:ascii="仿宋_GB2312" w:hAnsi="仿宋_GB2312" w:eastAsia="仿宋_GB2312" w:cs="仿宋_GB2312"/>
          <w:color w:val="auto"/>
          <w:szCs w:val="21"/>
          <w:highlight w:val="none"/>
        </w:rPr>
        <w:t xml:space="preserve">日  期：    </w:t>
      </w: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p>
    <w:p>
      <w:pPr>
        <w:pStyle w:val="20"/>
        <w:keepNext w:val="0"/>
        <w:keepLines w:val="0"/>
        <w:jc w:val="center"/>
        <w:outlineLvl w:val="2"/>
        <w:rPr>
          <w:strike/>
          <w:color w:val="auto"/>
          <w:highlight w:val="none"/>
        </w:rPr>
      </w:pPr>
      <w:r>
        <w:rPr>
          <w:rFonts w:hint="eastAsia"/>
          <w:strike/>
          <w:color w:val="auto"/>
          <w:highlight w:val="none"/>
        </w:rPr>
        <w:t>四、</w:t>
      </w:r>
      <w:bookmarkEnd w:id="2634"/>
      <w:bookmarkEnd w:id="2635"/>
      <w:bookmarkEnd w:id="2636"/>
      <w:bookmarkEnd w:id="2637"/>
      <w:bookmarkEnd w:id="2638"/>
      <w:bookmarkEnd w:id="2639"/>
      <w:bookmarkEnd w:id="2640"/>
      <w:bookmarkEnd w:id="2641"/>
      <w:r>
        <w:rPr>
          <w:rFonts w:hint="eastAsia"/>
          <w:strike/>
          <w:color w:val="auto"/>
          <w:highlight w:val="none"/>
        </w:rPr>
        <w:t>联合体协议书</w:t>
      </w:r>
      <w:bookmarkEnd w:id="2642"/>
      <w:bookmarkEnd w:id="2643"/>
    </w:p>
    <w:p>
      <w:pPr>
        <w:spacing w:line="336" w:lineRule="auto"/>
        <w:rPr>
          <w:strike/>
          <w:color w:val="auto"/>
          <w:szCs w:val="21"/>
          <w:highlight w:val="none"/>
        </w:rPr>
      </w:pPr>
    </w:p>
    <w:p>
      <w:pPr>
        <w:topLinePunct/>
        <w:spacing w:line="336" w:lineRule="auto"/>
        <w:ind w:firstLine="420" w:firstLineChars="200"/>
        <w:rPr>
          <w:strike/>
          <w:color w:val="auto"/>
          <w:szCs w:val="21"/>
          <w:highlight w:val="none"/>
        </w:rPr>
      </w:pPr>
      <w:r>
        <w:rPr>
          <w:strike/>
          <w:color w:val="auto"/>
          <w:szCs w:val="21"/>
          <w:highlight w:val="none"/>
          <w:u w:val="single"/>
        </w:rPr>
        <w:t>（所有成员单位名称）</w:t>
      </w:r>
      <w:r>
        <w:rPr>
          <w:strike/>
          <w:color w:val="auto"/>
          <w:szCs w:val="21"/>
          <w:highlight w:val="none"/>
        </w:rPr>
        <w:t>自愿组成</w:t>
      </w:r>
      <w:r>
        <w:rPr>
          <w:rFonts w:hint="eastAsia"/>
          <w:strike/>
          <w:color w:val="auto"/>
          <w:szCs w:val="21"/>
          <w:highlight w:val="none"/>
        </w:rPr>
        <w:t>联合体</w:t>
      </w:r>
      <w:r>
        <w:rPr>
          <w:strike/>
          <w:color w:val="auto"/>
          <w:szCs w:val="21"/>
          <w:highlight w:val="none"/>
        </w:rPr>
        <w:t>，共同参加</w:t>
      </w:r>
      <w:r>
        <w:rPr>
          <w:rFonts w:hint="eastAsia"/>
          <w:strike/>
          <w:color w:val="auto"/>
          <w:szCs w:val="21"/>
          <w:highlight w:val="none"/>
        </w:rPr>
        <w:t xml:space="preserve"> </w:t>
      </w:r>
      <w:r>
        <w:rPr>
          <w:rFonts w:hint="eastAsia"/>
          <w:strike/>
          <w:color w:val="auto"/>
          <w:szCs w:val="21"/>
          <w:highlight w:val="none"/>
          <w:u w:val="single"/>
        </w:rPr>
        <w:t xml:space="preserve">       </w:t>
      </w:r>
      <w:r>
        <w:rPr>
          <w:strike/>
          <w:color w:val="auto"/>
          <w:szCs w:val="21"/>
          <w:highlight w:val="none"/>
        </w:rPr>
        <w:t>（项目名称）</w:t>
      </w:r>
      <w:r>
        <w:rPr>
          <w:rFonts w:hint="eastAsia" w:ascii="宋体" w:hAnsi="宋体"/>
          <w:strike/>
          <w:color w:val="auto"/>
          <w:highlight w:val="none"/>
          <w:u w:val="single"/>
        </w:rPr>
        <w:t xml:space="preserve">          </w:t>
      </w:r>
      <w:r>
        <w:rPr>
          <w:rFonts w:hint="eastAsia" w:ascii="宋体" w:hAnsi="宋体"/>
          <w:strike/>
          <w:color w:val="auto"/>
          <w:highlight w:val="none"/>
        </w:rPr>
        <w:t>（标段名称）</w:t>
      </w:r>
      <w:r>
        <w:rPr>
          <w:strike/>
          <w:color w:val="auto"/>
          <w:szCs w:val="21"/>
          <w:highlight w:val="none"/>
        </w:rPr>
        <w:t>施工投标。现就联合体投标事宜订立如下协议。</w:t>
      </w:r>
    </w:p>
    <w:p>
      <w:pPr>
        <w:topLinePunct/>
        <w:spacing w:line="336" w:lineRule="auto"/>
        <w:ind w:firstLine="420" w:firstLineChars="200"/>
        <w:rPr>
          <w:strike/>
          <w:color w:val="auto"/>
          <w:szCs w:val="21"/>
          <w:highlight w:val="none"/>
        </w:rPr>
      </w:pPr>
      <w:r>
        <w:rPr>
          <w:strike/>
          <w:color w:val="auto"/>
          <w:szCs w:val="21"/>
          <w:highlight w:val="none"/>
        </w:rPr>
        <w:t>1、</w:t>
      </w:r>
      <w:r>
        <w:rPr>
          <w:strike/>
          <w:color w:val="auto"/>
          <w:szCs w:val="21"/>
          <w:highlight w:val="none"/>
          <w:u w:val="single"/>
        </w:rPr>
        <w:t>（某成员单位名称）</w:t>
      </w:r>
      <w:r>
        <w:rPr>
          <w:strike/>
          <w:color w:val="auto"/>
          <w:szCs w:val="21"/>
          <w:highlight w:val="none"/>
        </w:rPr>
        <w:t>为</w:t>
      </w:r>
      <w:r>
        <w:rPr>
          <w:strike/>
          <w:color w:val="auto"/>
          <w:szCs w:val="21"/>
          <w:highlight w:val="none"/>
          <w:u w:val="single"/>
        </w:rPr>
        <w:t>（联合体名称）</w:t>
      </w:r>
      <w:r>
        <w:rPr>
          <w:strike/>
          <w:color w:val="auto"/>
          <w:szCs w:val="21"/>
          <w:highlight w:val="none"/>
        </w:rPr>
        <w:t>牵头人。</w:t>
      </w:r>
    </w:p>
    <w:p>
      <w:pPr>
        <w:topLinePunct/>
        <w:spacing w:line="336" w:lineRule="auto"/>
        <w:ind w:firstLine="420" w:firstLineChars="200"/>
        <w:rPr>
          <w:strike/>
          <w:color w:val="auto"/>
          <w:szCs w:val="21"/>
          <w:highlight w:val="none"/>
        </w:rPr>
      </w:pPr>
      <w:r>
        <w:rPr>
          <w:strike/>
          <w:color w:val="auto"/>
          <w:szCs w:val="21"/>
          <w:highlight w:val="none"/>
        </w:rPr>
        <w:t>2、联合体牵头人</w:t>
      </w:r>
      <w:r>
        <w:rPr>
          <w:rFonts w:hint="eastAsia"/>
          <w:strike/>
          <w:color w:val="auto"/>
          <w:szCs w:val="21"/>
          <w:highlight w:val="none"/>
        </w:rPr>
        <w:t>合法代表联合体各成员负责本招标项目投标文件编制和合同谈判活动，并代表联合体提交和接收相关的资料、信息及指示，并处理与之有关的一切事务，</w:t>
      </w:r>
      <w:r>
        <w:rPr>
          <w:strike/>
          <w:color w:val="auto"/>
          <w:szCs w:val="21"/>
          <w:highlight w:val="none"/>
        </w:rPr>
        <w:t>负责合同实施阶段的主办、组织和协调工作。</w:t>
      </w:r>
    </w:p>
    <w:p>
      <w:pPr>
        <w:topLinePunct/>
        <w:spacing w:line="336" w:lineRule="auto"/>
        <w:ind w:firstLine="420" w:firstLineChars="200"/>
        <w:rPr>
          <w:strike/>
          <w:color w:val="auto"/>
          <w:szCs w:val="21"/>
          <w:highlight w:val="none"/>
        </w:rPr>
      </w:pPr>
      <w:r>
        <w:rPr>
          <w:strike/>
          <w:color w:val="auto"/>
          <w:szCs w:val="21"/>
          <w:highlight w:val="none"/>
        </w:rPr>
        <w:t>3、联合体将严格按照招标文件的各项要求，递交投标文件，履行合同，并对外承担连带责任。</w:t>
      </w:r>
    </w:p>
    <w:p>
      <w:pPr>
        <w:topLinePunct/>
        <w:spacing w:line="336" w:lineRule="auto"/>
        <w:ind w:firstLine="420" w:firstLineChars="200"/>
        <w:rPr>
          <w:strike/>
          <w:color w:val="auto"/>
          <w:szCs w:val="21"/>
          <w:highlight w:val="none"/>
        </w:rPr>
      </w:pPr>
      <w:r>
        <w:rPr>
          <w:strike/>
          <w:color w:val="auto"/>
          <w:szCs w:val="21"/>
          <w:highlight w:val="none"/>
        </w:rPr>
        <w:t>4、联合体各成员单位内部的职责分工如下：</w:t>
      </w:r>
      <w:r>
        <w:rPr>
          <w:rFonts w:ascii="宋体" w:hAnsi="宋体"/>
          <w:strike/>
          <w:color w:val="auto"/>
          <w:szCs w:val="21"/>
          <w:highlight w:val="none"/>
          <w:u w:val="single"/>
        </w:rPr>
        <w:tab/>
      </w:r>
      <w:r>
        <w:rPr>
          <w:rFonts w:ascii="宋体" w:hAnsi="宋体"/>
          <w:strike/>
          <w:color w:val="auto"/>
          <w:szCs w:val="21"/>
          <w:highlight w:val="none"/>
          <w:u w:val="single"/>
        </w:rPr>
        <w:tab/>
      </w:r>
      <w:r>
        <w:rPr>
          <w:strike/>
          <w:color w:val="auto"/>
          <w:szCs w:val="21"/>
          <w:highlight w:val="none"/>
        </w:rPr>
        <w:t xml:space="preserve"> 。</w:t>
      </w:r>
    </w:p>
    <w:p>
      <w:pPr>
        <w:topLinePunct/>
        <w:spacing w:line="336" w:lineRule="auto"/>
        <w:ind w:firstLine="420" w:firstLineChars="200"/>
        <w:rPr>
          <w:strike/>
          <w:color w:val="auto"/>
          <w:szCs w:val="21"/>
          <w:highlight w:val="none"/>
        </w:rPr>
      </w:pPr>
      <w:r>
        <w:rPr>
          <w:strike/>
          <w:color w:val="auto"/>
          <w:szCs w:val="21"/>
          <w:highlight w:val="none"/>
        </w:rPr>
        <w:t xml:space="preserve">5、本协议书自签署之日起生效，合同履行完毕后自动失效。 </w:t>
      </w:r>
    </w:p>
    <w:p>
      <w:pPr>
        <w:topLinePunct/>
        <w:spacing w:line="336" w:lineRule="auto"/>
        <w:ind w:firstLine="420" w:firstLineChars="200"/>
        <w:rPr>
          <w:strike/>
          <w:color w:val="auto"/>
          <w:szCs w:val="21"/>
          <w:highlight w:val="none"/>
        </w:rPr>
      </w:pPr>
      <w:r>
        <w:rPr>
          <w:strike/>
          <w:color w:val="auto"/>
          <w:szCs w:val="21"/>
          <w:highlight w:val="none"/>
        </w:rPr>
        <w:t>6、本协议书一式份，联合体成员和招标人各执一份。</w:t>
      </w:r>
    </w:p>
    <w:p>
      <w:pPr>
        <w:topLinePunct/>
        <w:spacing w:line="336" w:lineRule="auto"/>
        <w:rPr>
          <w:strike/>
          <w:color w:val="auto"/>
          <w:szCs w:val="21"/>
          <w:highlight w:val="none"/>
        </w:rPr>
      </w:pPr>
    </w:p>
    <w:p>
      <w:pPr>
        <w:topLinePunct/>
        <w:spacing w:line="336" w:lineRule="auto"/>
        <w:rPr>
          <w:strike/>
          <w:color w:val="auto"/>
          <w:szCs w:val="21"/>
          <w:highlight w:val="none"/>
        </w:rPr>
      </w:pPr>
    </w:p>
    <w:p>
      <w:pPr>
        <w:topLinePunct/>
        <w:spacing w:line="336" w:lineRule="auto"/>
        <w:jc w:val="right"/>
        <w:rPr>
          <w:strike/>
          <w:color w:val="auto"/>
          <w:szCs w:val="21"/>
          <w:highlight w:val="none"/>
        </w:rPr>
      </w:pPr>
      <w:r>
        <w:rPr>
          <w:strike/>
          <w:color w:val="auto"/>
          <w:szCs w:val="21"/>
          <w:highlight w:val="none"/>
        </w:rPr>
        <w:t>牵头人名称：（盖单位章）</w:t>
      </w:r>
    </w:p>
    <w:p>
      <w:pPr>
        <w:topLinePunct/>
        <w:spacing w:line="336" w:lineRule="auto"/>
        <w:jc w:val="right"/>
        <w:rPr>
          <w:strike/>
          <w:color w:val="auto"/>
          <w:szCs w:val="21"/>
          <w:highlight w:val="none"/>
        </w:rPr>
      </w:pPr>
      <w:r>
        <w:rPr>
          <w:strike/>
          <w:color w:val="auto"/>
          <w:szCs w:val="21"/>
          <w:highlight w:val="none"/>
        </w:rPr>
        <w:t>法定代表人或其委托代理人：（签字）</w:t>
      </w:r>
    </w:p>
    <w:p>
      <w:pPr>
        <w:topLinePunct/>
        <w:spacing w:line="336" w:lineRule="auto"/>
        <w:jc w:val="right"/>
        <w:rPr>
          <w:strike/>
          <w:color w:val="auto"/>
          <w:szCs w:val="21"/>
          <w:highlight w:val="none"/>
        </w:rPr>
      </w:pPr>
    </w:p>
    <w:p>
      <w:pPr>
        <w:topLinePunct/>
        <w:spacing w:line="336" w:lineRule="auto"/>
        <w:jc w:val="right"/>
        <w:rPr>
          <w:strike/>
          <w:color w:val="auto"/>
          <w:szCs w:val="21"/>
          <w:highlight w:val="none"/>
        </w:rPr>
      </w:pPr>
      <w:r>
        <w:rPr>
          <w:strike/>
          <w:color w:val="auto"/>
          <w:szCs w:val="21"/>
          <w:highlight w:val="none"/>
        </w:rPr>
        <w:t>成员一名称：（盖单位章）</w:t>
      </w:r>
    </w:p>
    <w:p>
      <w:pPr>
        <w:topLinePunct/>
        <w:spacing w:line="336" w:lineRule="auto"/>
        <w:jc w:val="right"/>
        <w:rPr>
          <w:strike/>
          <w:color w:val="auto"/>
          <w:szCs w:val="21"/>
          <w:highlight w:val="none"/>
        </w:rPr>
      </w:pPr>
      <w:r>
        <w:rPr>
          <w:strike/>
          <w:color w:val="auto"/>
          <w:szCs w:val="21"/>
          <w:highlight w:val="none"/>
        </w:rPr>
        <w:t>法定代表人或其委托代理人：（签字）</w:t>
      </w:r>
    </w:p>
    <w:p>
      <w:pPr>
        <w:topLinePunct/>
        <w:spacing w:line="336" w:lineRule="auto"/>
        <w:jc w:val="right"/>
        <w:rPr>
          <w:strike/>
          <w:color w:val="auto"/>
          <w:szCs w:val="21"/>
          <w:highlight w:val="none"/>
        </w:rPr>
      </w:pPr>
    </w:p>
    <w:p>
      <w:pPr>
        <w:topLinePunct/>
        <w:spacing w:line="336" w:lineRule="auto"/>
        <w:jc w:val="right"/>
        <w:rPr>
          <w:strike/>
          <w:color w:val="auto"/>
          <w:szCs w:val="21"/>
          <w:highlight w:val="none"/>
        </w:rPr>
      </w:pPr>
      <w:r>
        <w:rPr>
          <w:strike/>
          <w:color w:val="auto"/>
          <w:szCs w:val="21"/>
          <w:highlight w:val="none"/>
        </w:rPr>
        <w:t>成员二名称：（盖单位章）</w:t>
      </w:r>
    </w:p>
    <w:p>
      <w:pPr>
        <w:topLinePunct/>
        <w:spacing w:line="336" w:lineRule="auto"/>
        <w:jc w:val="right"/>
        <w:rPr>
          <w:strike/>
          <w:color w:val="auto"/>
          <w:szCs w:val="21"/>
          <w:highlight w:val="none"/>
        </w:rPr>
      </w:pPr>
      <w:r>
        <w:rPr>
          <w:strike/>
          <w:color w:val="auto"/>
          <w:szCs w:val="21"/>
          <w:highlight w:val="none"/>
        </w:rPr>
        <w:t>法定代表人或其委托代理人：（签字）</w:t>
      </w:r>
    </w:p>
    <w:p>
      <w:pPr>
        <w:topLinePunct/>
        <w:spacing w:line="336" w:lineRule="auto"/>
        <w:jc w:val="right"/>
        <w:rPr>
          <w:strike/>
          <w:color w:val="auto"/>
          <w:szCs w:val="21"/>
          <w:highlight w:val="none"/>
        </w:rPr>
      </w:pPr>
      <w:r>
        <w:rPr>
          <w:strike/>
          <w:color w:val="auto"/>
          <w:szCs w:val="21"/>
          <w:highlight w:val="none"/>
        </w:rPr>
        <w:t xml:space="preserve">…… </w:t>
      </w:r>
    </w:p>
    <w:p>
      <w:pPr>
        <w:topLinePunct/>
        <w:spacing w:line="336" w:lineRule="auto"/>
        <w:rPr>
          <w:strike/>
          <w:color w:val="auto"/>
          <w:szCs w:val="21"/>
          <w:highlight w:val="none"/>
        </w:rPr>
      </w:pPr>
    </w:p>
    <w:p>
      <w:pPr>
        <w:spacing w:line="336" w:lineRule="auto"/>
        <w:ind w:firstLine="2879" w:firstLineChars="1371"/>
        <w:jc w:val="right"/>
        <w:rPr>
          <w:rFonts w:eastAsia="黑体"/>
          <w:strike/>
          <w:color w:val="auto"/>
          <w:sz w:val="20"/>
          <w:szCs w:val="20"/>
          <w:highlight w:val="none"/>
        </w:rPr>
      </w:pPr>
      <w:r>
        <w:rPr>
          <w:strike/>
          <w:color w:val="auto"/>
          <w:highlight w:val="none"/>
        </w:rPr>
        <w:t>年月日</w:t>
      </w:r>
    </w:p>
    <w:p>
      <w:pPr>
        <w:spacing w:line="336" w:lineRule="auto"/>
        <w:jc w:val="center"/>
        <w:rPr>
          <w:rFonts w:eastAsia="黑体"/>
          <w:strike/>
          <w:color w:val="auto"/>
          <w:sz w:val="20"/>
          <w:szCs w:val="20"/>
          <w:highlight w:val="none"/>
        </w:rPr>
      </w:pPr>
    </w:p>
    <w:p>
      <w:pPr>
        <w:spacing w:line="336" w:lineRule="auto"/>
        <w:rPr>
          <w:rFonts w:ascii="宋体" w:hAnsi="宋体"/>
          <w:strike/>
          <w:color w:val="auto"/>
          <w:szCs w:val="21"/>
          <w:highlight w:val="none"/>
        </w:rPr>
      </w:pPr>
      <w:r>
        <w:rPr>
          <w:rFonts w:hint="eastAsia" w:ascii="宋体" w:hAnsi="宋体"/>
          <w:strike/>
          <w:color w:val="auto"/>
          <w:szCs w:val="21"/>
          <w:highlight w:val="none"/>
        </w:rPr>
        <w:t>备注：</w:t>
      </w:r>
      <w:r>
        <w:rPr>
          <w:rFonts w:hint="eastAsia"/>
          <w:strike/>
          <w:color w:val="auto"/>
          <w:szCs w:val="21"/>
          <w:highlight w:val="none"/>
        </w:rPr>
        <w:t>1</w:t>
      </w:r>
      <w:r>
        <w:rPr>
          <w:rFonts w:hint="eastAsia" w:ascii="宋体" w:hAnsi="宋体"/>
          <w:strike/>
          <w:color w:val="auto"/>
          <w:szCs w:val="21"/>
          <w:highlight w:val="none"/>
        </w:rPr>
        <w:t>.本协议书由委托代理人签字的，应附法定代表人签字的授权委托书。</w:t>
      </w:r>
    </w:p>
    <w:p>
      <w:pPr>
        <w:numPr>
          <w:ilvl w:val="0"/>
          <w:numId w:val="7"/>
        </w:numPr>
        <w:spacing w:line="336" w:lineRule="auto"/>
        <w:ind w:left="840" w:leftChars="300" w:hanging="210" w:hangingChars="100"/>
        <w:rPr>
          <w:rFonts w:ascii="宋体" w:hAnsi="宋体"/>
          <w:strike/>
          <w:color w:val="auto"/>
          <w:szCs w:val="21"/>
          <w:highlight w:val="none"/>
        </w:rPr>
      </w:pPr>
      <w:r>
        <w:rPr>
          <w:rFonts w:hint="eastAsia" w:ascii="宋体" w:hAnsi="宋体"/>
          <w:strike/>
          <w:color w:val="auto"/>
          <w:szCs w:val="21"/>
          <w:highlight w:val="none"/>
        </w:rPr>
        <w:t>招标文件接受联合体投标，且投标人采用联合体投标的，</w:t>
      </w:r>
      <w:r>
        <w:rPr>
          <w:rFonts w:hint="eastAsia" w:ascii="宋体" w:hAnsi="宋体"/>
          <w:bCs/>
          <w:strike/>
          <w:color w:val="auto"/>
          <w:szCs w:val="21"/>
          <w:highlight w:val="none"/>
        </w:rPr>
        <w:t>投标文件应按招标文件要求及联合体协议书分工提供相应的评审资料；未采用联合体投标的，投标文件不需要提供联合体协议书，也无须盖单位章和签字。</w:t>
      </w:r>
    </w:p>
    <w:p>
      <w:pPr>
        <w:spacing w:line="336" w:lineRule="auto"/>
        <w:rPr>
          <w:color w:val="auto"/>
          <w:highlight w:val="none"/>
        </w:rPr>
      </w:pPr>
      <w:bookmarkStart w:id="2644" w:name="_Toc28532429"/>
      <w:bookmarkStart w:id="2645" w:name="_Toc1022383649"/>
      <w:r>
        <w:rPr>
          <w:rFonts w:hint="eastAsia"/>
          <w:color w:val="auto"/>
          <w:highlight w:val="none"/>
        </w:rPr>
        <w:br w:type="page"/>
      </w:r>
    </w:p>
    <w:p>
      <w:pPr>
        <w:pStyle w:val="20"/>
        <w:keepNext w:val="0"/>
        <w:keepLines w:val="0"/>
        <w:jc w:val="center"/>
        <w:outlineLvl w:val="2"/>
        <w:rPr>
          <w:color w:val="auto"/>
          <w:highlight w:val="none"/>
        </w:rPr>
      </w:pPr>
      <w:bookmarkStart w:id="2646" w:name="_Toc18266"/>
      <w:r>
        <w:rPr>
          <w:rFonts w:hint="eastAsia"/>
          <w:color w:val="auto"/>
          <w:highlight w:val="none"/>
        </w:rPr>
        <w:t>五、拟分包</w:t>
      </w:r>
      <w:bookmarkEnd w:id="2644"/>
      <w:r>
        <w:rPr>
          <w:rFonts w:hint="eastAsia"/>
          <w:color w:val="auto"/>
          <w:highlight w:val="none"/>
        </w:rPr>
        <w:t>项目情况表</w:t>
      </w:r>
      <w:bookmarkEnd w:id="2645"/>
      <w:bookmarkEnd w:id="2646"/>
    </w:p>
    <w:p>
      <w:pPr>
        <w:spacing w:line="440" w:lineRule="exact"/>
        <w:ind w:right="420"/>
        <w:rPr>
          <w:rFonts w:ascii="黑体" w:hAnsi="宋体"/>
          <w:color w:val="auto"/>
          <w:szCs w:val="28"/>
          <w:highlight w:val="none"/>
        </w:rPr>
      </w:pPr>
    </w:p>
    <w:tbl>
      <w:tblPr>
        <w:tblStyle w:val="2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w:t>
            </w:r>
          </w:p>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号</w:t>
            </w:r>
          </w:p>
        </w:tc>
        <w:tc>
          <w:tcPr>
            <w:tcW w:w="1843" w:type="dxa"/>
            <w:vMerge w:val="restart"/>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拟分包项目名称、范围及理由</w:t>
            </w:r>
          </w:p>
        </w:tc>
        <w:tc>
          <w:tcPr>
            <w:tcW w:w="5111" w:type="dxa"/>
            <w:gridSpan w:val="5"/>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拟选分包人</w:t>
            </w:r>
          </w:p>
        </w:tc>
        <w:tc>
          <w:tcPr>
            <w:tcW w:w="983" w:type="dxa"/>
            <w:vMerge w:val="restart"/>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701" w:type="dxa"/>
            <w:gridSpan w:val="2"/>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拟选分包人名称</w:t>
            </w:r>
          </w:p>
        </w:tc>
        <w:tc>
          <w:tcPr>
            <w:tcW w:w="1123" w:type="dxa"/>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注册地点</w:t>
            </w:r>
          </w:p>
        </w:tc>
        <w:tc>
          <w:tcPr>
            <w:tcW w:w="1090" w:type="dxa"/>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企业资质</w:t>
            </w:r>
          </w:p>
        </w:tc>
        <w:tc>
          <w:tcPr>
            <w:tcW w:w="1197" w:type="dxa"/>
            <w:tcMar>
              <w:left w:w="108" w:type="dxa"/>
              <w:right w:w="108" w:type="dxa"/>
            </w:tcMar>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有关业绩</w:t>
            </w:r>
          </w:p>
        </w:tc>
        <w:tc>
          <w:tcPr>
            <w:tcW w:w="983" w:type="dxa"/>
            <w:vMerge w:val="continue"/>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1</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2</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3</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1</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2</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3</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1</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2</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3</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restart"/>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1</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2</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1843" w:type="dxa"/>
            <w:vMerge w:val="continue"/>
            <w:tcMar>
              <w:left w:w="108" w:type="dxa"/>
              <w:right w:w="108" w:type="dxa"/>
            </w:tcMar>
            <w:vAlign w:val="center"/>
          </w:tcPr>
          <w:p>
            <w:pPr>
              <w:jc w:val="center"/>
              <w:rPr>
                <w:rFonts w:ascii="黑体" w:hAnsi="黑体" w:eastAsia="黑体" w:cs="黑体"/>
                <w:color w:val="auto"/>
                <w:szCs w:val="21"/>
                <w:highlight w:val="none"/>
              </w:rPr>
            </w:pPr>
          </w:p>
        </w:tc>
        <w:tc>
          <w:tcPr>
            <w:tcW w:w="751" w:type="dxa"/>
            <w:tcMar>
              <w:left w:w="108" w:type="dxa"/>
              <w:right w:w="108" w:type="dxa"/>
            </w:tcMar>
            <w:vAlign w:val="center"/>
          </w:tcPr>
          <w:p>
            <w:pPr>
              <w:jc w:val="center"/>
              <w:rPr>
                <w:rFonts w:ascii="黑体" w:hAnsi="黑体" w:eastAsia="黑体" w:cs="黑体"/>
                <w:color w:val="auto"/>
                <w:szCs w:val="21"/>
                <w:highlight w:val="none"/>
              </w:rPr>
            </w:pPr>
            <w:r>
              <w:rPr>
                <w:rFonts w:hint="eastAsia" w:eastAsia="黑体" w:cs="黑体"/>
                <w:color w:val="auto"/>
                <w:szCs w:val="21"/>
                <w:highlight w:val="none"/>
              </w:rPr>
              <w:t>3</w:t>
            </w:r>
          </w:p>
        </w:tc>
        <w:tc>
          <w:tcPr>
            <w:tcW w:w="950" w:type="dxa"/>
            <w:tcMar>
              <w:left w:w="108" w:type="dxa"/>
              <w:right w:w="108" w:type="dxa"/>
            </w:tcMar>
            <w:vAlign w:val="center"/>
          </w:tcPr>
          <w:p>
            <w:pPr>
              <w:jc w:val="center"/>
              <w:rPr>
                <w:rFonts w:ascii="黑体" w:hAnsi="黑体" w:eastAsia="黑体" w:cs="黑体"/>
                <w:color w:val="auto"/>
                <w:szCs w:val="21"/>
                <w:highlight w:val="none"/>
              </w:rPr>
            </w:pPr>
          </w:p>
        </w:tc>
        <w:tc>
          <w:tcPr>
            <w:tcW w:w="1123" w:type="dxa"/>
            <w:tcMar>
              <w:left w:w="108" w:type="dxa"/>
              <w:right w:w="108" w:type="dxa"/>
            </w:tcMar>
            <w:vAlign w:val="center"/>
          </w:tcPr>
          <w:p>
            <w:pPr>
              <w:jc w:val="center"/>
              <w:rPr>
                <w:rFonts w:ascii="黑体" w:hAnsi="黑体" w:eastAsia="黑体" w:cs="黑体"/>
                <w:color w:val="auto"/>
                <w:szCs w:val="21"/>
                <w:highlight w:val="none"/>
              </w:rPr>
            </w:pPr>
          </w:p>
        </w:tc>
        <w:tc>
          <w:tcPr>
            <w:tcW w:w="1090" w:type="dxa"/>
            <w:tcMar>
              <w:left w:w="108" w:type="dxa"/>
              <w:right w:w="108" w:type="dxa"/>
            </w:tcMar>
            <w:vAlign w:val="center"/>
          </w:tcPr>
          <w:p>
            <w:pPr>
              <w:jc w:val="center"/>
              <w:rPr>
                <w:rFonts w:ascii="黑体" w:hAnsi="黑体" w:eastAsia="黑体" w:cs="黑体"/>
                <w:color w:val="auto"/>
                <w:szCs w:val="21"/>
                <w:highlight w:val="none"/>
              </w:rPr>
            </w:pPr>
          </w:p>
        </w:tc>
        <w:tc>
          <w:tcPr>
            <w:tcW w:w="1197" w:type="dxa"/>
            <w:tcMar>
              <w:left w:w="108" w:type="dxa"/>
              <w:right w:w="108" w:type="dxa"/>
            </w:tcMar>
            <w:vAlign w:val="center"/>
          </w:tcPr>
          <w:p>
            <w:pPr>
              <w:jc w:val="center"/>
              <w:rPr>
                <w:rFonts w:ascii="黑体" w:hAnsi="黑体" w:eastAsia="黑体" w:cs="黑体"/>
                <w:color w:val="auto"/>
                <w:szCs w:val="21"/>
                <w:highlight w:val="none"/>
              </w:rPr>
            </w:pPr>
          </w:p>
        </w:tc>
        <w:tc>
          <w:tcPr>
            <w:tcW w:w="983" w:type="dxa"/>
            <w:tcMar>
              <w:left w:w="108" w:type="dxa"/>
              <w:right w:w="108" w:type="dxa"/>
            </w:tcMar>
            <w:vAlign w:val="center"/>
          </w:tcPr>
          <w:p>
            <w:pPr>
              <w:jc w:val="center"/>
              <w:rPr>
                <w:rFonts w:ascii="黑体" w:hAnsi="黑体" w:eastAsia="黑体" w:cs="黑体"/>
                <w:color w:val="auto"/>
                <w:szCs w:val="21"/>
                <w:highlight w:val="none"/>
              </w:rPr>
            </w:pPr>
          </w:p>
        </w:tc>
      </w:tr>
    </w:tbl>
    <w:p>
      <w:pPr>
        <w:spacing w:line="440" w:lineRule="exact"/>
        <w:ind w:right="420"/>
        <w:rPr>
          <w:rFonts w:ascii="黑体" w:hAnsi="宋体" w:eastAsia="黑体"/>
          <w:color w:val="auto"/>
          <w:szCs w:val="21"/>
          <w:highlight w:val="none"/>
        </w:rPr>
      </w:pPr>
    </w:p>
    <w:p>
      <w:pPr>
        <w:spacing w:line="440" w:lineRule="exact"/>
        <w:ind w:right="420"/>
        <w:rPr>
          <w:rFonts w:ascii="宋体" w:hAnsi="宋体"/>
          <w:color w:val="auto"/>
          <w:szCs w:val="21"/>
          <w:highlight w:val="none"/>
        </w:rPr>
      </w:pPr>
    </w:p>
    <w:p>
      <w:pPr>
        <w:wordWrap w:val="0"/>
        <w:spacing w:line="440" w:lineRule="exact"/>
        <w:ind w:right="420"/>
        <w:jc w:val="right"/>
        <w:rPr>
          <w:rFonts w:ascii="宋体" w:hAnsi="宋体"/>
          <w:color w:val="auto"/>
          <w:szCs w:val="21"/>
          <w:highlight w:val="none"/>
        </w:rPr>
      </w:pPr>
      <w:r>
        <w:rPr>
          <w:rFonts w:hint="eastAsia" w:ascii="宋体" w:hAnsi="宋体"/>
          <w:color w:val="auto"/>
          <w:szCs w:val="21"/>
          <w:highlight w:val="none"/>
        </w:rPr>
        <w:t xml:space="preserve">日 期：   年  月  日  </w:t>
      </w:r>
    </w:p>
    <w:p>
      <w:pPr>
        <w:spacing w:line="440" w:lineRule="exact"/>
        <w:ind w:right="420"/>
        <w:jc w:val="right"/>
        <w:rPr>
          <w:rFonts w:ascii="宋体" w:hAnsi="宋体"/>
          <w:color w:val="auto"/>
          <w:szCs w:val="21"/>
          <w:highlight w:val="none"/>
        </w:rPr>
      </w:pPr>
    </w:p>
    <w:p>
      <w:pPr>
        <w:spacing w:line="440" w:lineRule="exact"/>
        <w:ind w:left="630" w:right="420" w:hanging="630" w:hangingChars="3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.本表适用于非政府采购工程。</w:t>
      </w:r>
    </w:p>
    <w:p>
      <w:pPr>
        <w:spacing w:line="440" w:lineRule="exact"/>
        <w:ind w:left="630" w:leftChars="300" w:right="420"/>
        <w:rPr>
          <w:color w:val="auto"/>
          <w:highlight w:val="none"/>
        </w:rPr>
      </w:pPr>
      <w:r>
        <w:rPr>
          <w:rFonts w:hint="eastAsia"/>
          <w:color w:val="auto"/>
          <w:szCs w:val="21"/>
          <w:highlight w:val="none"/>
        </w:rPr>
        <w:t>2</w:t>
      </w:r>
      <w:r>
        <w:rPr>
          <w:rFonts w:hint="eastAsia" w:ascii="宋体" w:hAnsi="宋体"/>
          <w:color w:val="auto"/>
          <w:szCs w:val="21"/>
          <w:highlight w:val="none"/>
        </w:rPr>
        <w:t>.本表所列分包仅限于承包人自行施工范围内的非主体、非关键工程。</w:t>
      </w:r>
    </w:p>
    <w:p>
      <w:pPr>
        <w:spacing w:line="440" w:lineRule="exact"/>
        <w:ind w:right="420"/>
        <w:jc w:val="left"/>
        <w:rPr>
          <w:rFonts w:ascii="宋体" w:hAnsi="宋体"/>
          <w:color w:val="auto"/>
          <w:szCs w:val="21"/>
          <w:highlight w:val="none"/>
        </w:rPr>
        <w:sectPr>
          <w:pgSz w:w="11906" w:h="16838"/>
          <w:pgMar w:top="2098" w:right="1446" w:bottom="1984" w:left="1446" w:header="851" w:footer="1446" w:gutter="0"/>
          <w:cols w:space="0" w:num="1"/>
          <w:docGrid w:linePitch="312" w:charSpace="0"/>
        </w:sectPr>
      </w:pPr>
    </w:p>
    <w:p>
      <w:pPr>
        <w:pStyle w:val="20"/>
        <w:keepNext w:val="0"/>
        <w:keepLines w:val="0"/>
        <w:jc w:val="center"/>
        <w:outlineLvl w:val="2"/>
        <w:rPr>
          <w:color w:val="auto"/>
          <w:highlight w:val="none"/>
        </w:rPr>
      </w:pPr>
      <w:bookmarkStart w:id="2647" w:name="_Toc4372"/>
      <w:bookmarkStart w:id="2648" w:name="_Toc2979"/>
      <w:bookmarkStart w:id="2649" w:name="_Toc18915"/>
      <w:bookmarkStart w:id="2650" w:name="_Toc16781"/>
      <w:bookmarkStart w:id="2651" w:name="_Toc2251"/>
      <w:bookmarkStart w:id="2652" w:name="_Toc37649700"/>
      <w:bookmarkStart w:id="2653" w:name="_Toc505355402"/>
      <w:bookmarkStart w:id="2654" w:name="_Toc12856"/>
      <w:r>
        <w:rPr>
          <w:rFonts w:hint="eastAsia"/>
          <w:color w:val="auto"/>
          <w:highlight w:val="none"/>
        </w:rPr>
        <w:t>六、投标报价</w:t>
      </w:r>
      <w:bookmarkEnd w:id="2647"/>
      <w:bookmarkEnd w:id="2648"/>
      <w:bookmarkEnd w:id="2649"/>
      <w:bookmarkEnd w:id="2650"/>
      <w:bookmarkEnd w:id="2651"/>
      <w:bookmarkEnd w:id="2652"/>
      <w:bookmarkEnd w:id="2653"/>
      <w:bookmarkEnd w:id="2654"/>
    </w:p>
    <w:p>
      <w:pPr>
        <w:spacing w:line="500" w:lineRule="exact"/>
        <w:ind w:firstLine="1027" w:firstLineChars="428"/>
        <w:rPr>
          <w:color w:val="auto"/>
          <w:sz w:val="24"/>
          <w:highlight w:val="none"/>
        </w:rPr>
      </w:pPr>
    </w:p>
    <w:p>
      <w:pPr>
        <w:spacing w:line="460" w:lineRule="exact"/>
        <w:ind w:left="1050" w:hanging="1050" w:hangingChars="500"/>
        <w:rPr>
          <w:rFonts w:ascii="宋体" w:hAnsi="宋体"/>
          <w:color w:val="auto"/>
          <w:szCs w:val="21"/>
          <w:highlight w:val="none"/>
        </w:rPr>
      </w:pPr>
      <w:bookmarkStart w:id="2655" w:name="_Toc288066319"/>
      <w:bookmarkStart w:id="2656" w:name="_Toc323220047"/>
      <w:bookmarkStart w:id="2657" w:name="_Toc279401975"/>
      <w:bookmarkStart w:id="2658" w:name="_Toc325129582"/>
      <w:r>
        <w:rPr>
          <w:rFonts w:hint="eastAsia" w:ascii="黑体" w:hAnsi="宋体" w:eastAsia="黑体"/>
          <w:color w:val="auto"/>
          <w:szCs w:val="21"/>
          <w:highlight w:val="none"/>
        </w:rPr>
        <w:t xml:space="preserve">    说明：</w:t>
      </w:r>
      <w:r>
        <w:rPr>
          <w:rFonts w:hint="eastAsia" w:ascii="宋体" w:hAnsi="宋体"/>
          <w:color w:val="auto"/>
          <w:szCs w:val="21"/>
          <w:highlight w:val="none"/>
        </w:rPr>
        <w:t>已标价工程量清单按第五章“工程量清单”中的相关清单表格式填写。构成合同文件的已标价工程量清单包括第五章“工程量清单”的工程量清单说明和投标报价说明的内容。</w:t>
      </w:r>
    </w:p>
    <w:p>
      <w:pPr>
        <w:spacing w:line="360" w:lineRule="auto"/>
        <w:rPr>
          <w:color w:val="auto"/>
          <w:highlight w:val="none"/>
        </w:rPr>
      </w:pPr>
    </w:p>
    <w:p>
      <w:pPr>
        <w:spacing w:line="360" w:lineRule="auto"/>
        <w:rPr>
          <w:color w:val="auto"/>
          <w:highlight w:val="none"/>
        </w:rPr>
        <w:sectPr>
          <w:pgSz w:w="11906" w:h="16838"/>
          <w:pgMar w:top="2098" w:right="1446" w:bottom="1984" w:left="1446" w:header="851" w:footer="1446" w:gutter="0"/>
          <w:cols w:space="0" w:num="1"/>
          <w:docGrid w:linePitch="312" w:charSpace="0"/>
        </w:sectPr>
      </w:pPr>
    </w:p>
    <w:p>
      <w:pPr>
        <w:pStyle w:val="20"/>
        <w:keepNext w:val="0"/>
        <w:keepLines w:val="0"/>
        <w:jc w:val="center"/>
        <w:outlineLvl w:val="2"/>
        <w:rPr>
          <w:color w:val="auto"/>
          <w:highlight w:val="none"/>
        </w:rPr>
      </w:pPr>
      <w:bookmarkStart w:id="2659" w:name="_Toc31716"/>
      <w:bookmarkStart w:id="2660" w:name="_Toc31555"/>
      <w:bookmarkStart w:id="2661" w:name="_Toc19121"/>
      <w:bookmarkStart w:id="2662" w:name="_Toc1366"/>
      <w:bookmarkStart w:id="2663" w:name="_Toc31435"/>
      <w:bookmarkStart w:id="2664" w:name="_Toc1058848106"/>
      <w:bookmarkStart w:id="2665" w:name="_Toc14515"/>
      <w:bookmarkStart w:id="2666" w:name="_Toc356505595"/>
      <w:r>
        <w:rPr>
          <w:rFonts w:hint="eastAsia"/>
          <w:color w:val="auto"/>
          <w:highlight w:val="none"/>
        </w:rPr>
        <w:t>七、施工组织设计</w:t>
      </w:r>
      <w:bookmarkEnd w:id="2659"/>
      <w:bookmarkEnd w:id="2660"/>
      <w:bookmarkEnd w:id="2661"/>
      <w:bookmarkEnd w:id="2662"/>
      <w:bookmarkEnd w:id="2663"/>
      <w:bookmarkEnd w:id="2664"/>
      <w:bookmarkEnd w:id="2665"/>
      <w:bookmarkEnd w:id="2666"/>
    </w:p>
    <w:p>
      <w:pPr>
        <w:spacing w:line="400" w:lineRule="exact"/>
        <w:rPr>
          <w:color w:val="auto"/>
          <w:sz w:val="36"/>
          <w:szCs w:val="36"/>
          <w:highlight w:val="none"/>
        </w:rPr>
      </w:pPr>
    </w:p>
    <w:p>
      <w:pPr>
        <w:spacing w:line="336" w:lineRule="auto"/>
        <w:rPr>
          <w:rFonts w:ascii="宋体" w:hAnsi="宋体" w:cs="宋体"/>
          <w:color w:val="auto"/>
          <w:szCs w:val="21"/>
          <w:highlight w:val="none"/>
        </w:rPr>
      </w:pPr>
    </w:p>
    <w:p>
      <w:pPr>
        <w:spacing w:line="336" w:lineRule="auto"/>
        <w:ind w:firstLine="525" w:firstLineChars="250"/>
        <w:rPr>
          <w:rFonts w:ascii="宋体" w:hAnsi="宋体" w:cs="宋体"/>
          <w:color w:val="auto"/>
          <w:szCs w:val="21"/>
          <w:highlight w:val="none"/>
        </w:rPr>
      </w:pPr>
      <w:r>
        <w:rPr>
          <w:rFonts w:hint="eastAsia" w:cs="宋体"/>
          <w:color w:val="auto"/>
          <w:szCs w:val="21"/>
          <w:highlight w:val="none"/>
        </w:rPr>
        <w:t>一</w:t>
      </w:r>
      <w:r>
        <w:rPr>
          <w:rFonts w:hint="eastAsia" w:ascii="宋体" w:hAnsi="宋体" w:cs="宋体"/>
          <w:color w:val="auto"/>
          <w:szCs w:val="21"/>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pPr>
        <w:spacing w:line="336"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施工组织设计</w:t>
      </w:r>
      <w:r>
        <w:rPr>
          <w:rFonts w:hint="eastAsia" w:ascii="宋体" w:hAnsi="宋体"/>
          <w:color w:val="auto"/>
          <w:szCs w:val="21"/>
          <w:highlight w:val="none"/>
        </w:rPr>
        <w:t>要点如下</w:t>
      </w:r>
      <w:r>
        <w:rPr>
          <w:rFonts w:hint="eastAsia" w:ascii="宋体" w:hAnsi="宋体" w:cs="宋体"/>
          <w:color w:val="auto"/>
          <w:szCs w:val="21"/>
          <w:highlight w:val="none"/>
        </w:rPr>
        <w:t>：</w:t>
      </w:r>
    </w:p>
    <w:p>
      <w:pPr>
        <w:pStyle w:val="38"/>
        <w:keepNext w:val="0"/>
        <w:keepLines w:val="0"/>
        <w:spacing w:line="336" w:lineRule="auto"/>
        <w:outlineLvl w:val="3"/>
        <w:rPr>
          <w:b w:val="0"/>
          <w:color w:val="auto"/>
          <w:sz w:val="24"/>
          <w:szCs w:val="24"/>
          <w:highlight w:val="none"/>
        </w:rPr>
      </w:pPr>
      <w:bookmarkStart w:id="2667" w:name="_Toc433399534"/>
      <w:bookmarkStart w:id="2668" w:name="_Toc456647876"/>
      <w:bookmarkStart w:id="2669" w:name="_Toc31073"/>
      <w:bookmarkStart w:id="2670" w:name="_Toc109149957"/>
      <w:bookmarkStart w:id="2671" w:name="_Toc1217400275"/>
      <w:bookmarkStart w:id="2672" w:name="_Toc469492655"/>
      <w:bookmarkStart w:id="2673" w:name="_Toc432378467"/>
      <w:bookmarkStart w:id="2674" w:name="_Toc432083019"/>
      <w:bookmarkStart w:id="2675" w:name="_Toc15721"/>
      <w:bookmarkStart w:id="2676" w:name="_Toc524949175"/>
      <w:r>
        <w:rPr>
          <w:rFonts w:hint="eastAsia"/>
          <w:b w:val="0"/>
          <w:color w:val="auto"/>
          <w:sz w:val="24"/>
          <w:szCs w:val="24"/>
          <w:highlight w:val="none"/>
        </w:rPr>
        <w:t>（一）工程概况</w:t>
      </w:r>
      <w:bookmarkEnd w:id="2667"/>
      <w:bookmarkEnd w:id="2668"/>
      <w:bookmarkEnd w:id="2669"/>
      <w:bookmarkEnd w:id="2670"/>
      <w:bookmarkEnd w:id="2671"/>
      <w:bookmarkEnd w:id="2672"/>
      <w:bookmarkEnd w:id="2673"/>
      <w:bookmarkEnd w:id="2674"/>
      <w:bookmarkEnd w:id="2675"/>
      <w:bookmarkEnd w:id="2676"/>
    </w:p>
    <w:p>
      <w:pPr>
        <w:spacing w:line="336" w:lineRule="auto"/>
        <w:ind w:firstLine="945" w:firstLineChars="450"/>
        <w:rPr>
          <w:rFonts w:ascii="宋体" w:hAnsi="宋体"/>
          <w:color w:val="auto"/>
          <w:szCs w:val="21"/>
          <w:highlight w:val="none"/>
        </w:rPr>
      </w:pPr>
      <w:r>
        <w:rPr>
          <w:rFonts w:hint="eastAsia" w:ascii="宋体" w:hAnsi="宋体"/>
          <w:color w:val="auto"/>
          <w:szCs w:val="21"/>
          <w:highlight w:val="none"/>
        </w:rPr>
        <w:t>包括工程主要情况、项目特点及工程施工条件等；</w:t>
      </w:r>
    </w:p>
    <w:p>
      <w:pPr>
        <w:pStyle w:val="38"/>
        <w:keepNext w:val="0"/>
        <w:keepLines w:val="0"/>
        <w:spacing w:line="336" w:lineRule="auto"/>
        <w:outlineLvl w:val="3"/>
        <w:rPr>
          <w:b w:val="0"/>
          <w:color w:val="auto"/>
          <w:sz w:val="24"/>
          <w:szCs w:val="24"/>
          <w:highlight w:val="none"/>
        </w:rPr>
      </w:pPr>
      <w:bookmarkStart w:id="2677" w:name="_Toc524949176"/>
      <w:bookmarkStart w:id="2678" w:name="_Toc469492656"/>
      <w:bookmarkStart w:id="2679" w:name="_Toc432378468"/>
      <w:bookmarkStart w:id="2680" w:name="_Toc456647877"/>
      <w:bookmarkStart w:id="2681" w:name="_Toc433399535"/>
      <w:bookmarkStart w:id="2682" w:name="_Toc432083020"/>
      <w:bookmarkStart w:id="2683" w:name="_Toc30485"/>
      <w:bookmarkStart w:id="2684" w:name="_Toc109149958"/>
      <w:bookmarkStart w:id="2685" w:name="_Toc30263"/>
      <w:bookmarkStart w:id="2686" w:name="_Toc406845971"/>
      <w:r>
        <w:rPr>
          <w:rFonts w:hint="eastAsia"/>
          <w:b w:val="0"/>
          <w:color w:val="auto"/>
          <w:sz w:val="24"/>
          <w:szCs w:val="24"/>
          <w:highlight w:val="none"/>
        </w:rPr>
        <w:t>（二）</w:t>
      </w:r>
      <w:bookmarkEnd w:id="2677"/>
      <w:bookmarkEnd w:id="2678"/>
      <w:bookmarkEnd w:id="2679"/>
      <w:bookmarkEnd w:id="2680"/>
      <w:bookmarkEnd w:id="2681"/>
      <w:bookmarkEnd w:id="2682"/>
      <w:r>
        <w:rPr>
          <w:rFonts w:hint="eastAsia"/>
          <w:b w:val="0"/>
          <w:color w:val="auto"/>
          <w:sz w:val="24"/>
          <w:szCs w:val="24"/>
          <w:highlight w:val="none"/>
        </w:rPr>
        <w:t>施工部署</w:t>
      </w:r>
      <w:bookmarkEnd w:id="2683"/>
      <w:bookmarkEnd w:id="2684"/>
      <w:bookmarkEnd w:id="2685"/>
      <w:bookmarkEnd w:id="2686"/>
    </w:p>
    <w:p>
      <w:pPr>
        <w:spacing w:line="336" w:lineRule="auto"/>
        <w:ind w:left="420" w:leftChars="200" w:firstLine="525" w:firstLineChars="250"/>
        <w:rPr>
          <w:rFonts w:ascii="宋体" w:hAnsi="宋体"/>
          <w:color w:val="auto"/>
          <w:szCs w:val="21"/>
          <w:highlight w:val="none"/>
        </w:rPr>
      </w:pPr>
      <w:r>
        <w:rPr>
          <w:rFonts w:hint="eastAsia" w:ascii="宋体" w:hAnsi="宋体"/>
          <w:color w:val="auto"/>
          <w:szCs w:val="21"/>
          <w:highlight w:val="none"/>
        </w:rPr>
        <w:t>包括工程施工目标、主要施工内容及其进度安排、施工流水段划分、施工的重点和难点分析；工程管理的组织机构形式、项目负责人部的工作岗位设置及其职责划分；新技术、新工艺部署及其技术和管理要求（如有）；主要分包工程施工单位的选择要求及管理方式（如有）；</w:t>
      </w:r>
    </w:p>
    <w:p>
      <w:pPr>
        <w:pStyle w:val="38"/>
        <w:keepNext w:val="0"/>
        <w:keepLines w:val="0"/>
        <w:spacing w:line="336" w:lineRule="auto"/>
        <w:outlineLvl w:val="3"/>
        <w:rPr>
          <w:b w:val="0"/>
          <w:color w:val="auto"/>
          <w:sz w:val="24"/>
          <w:szCs w:val="24"/>
          <w:highlight w:val="none"/>
        </w:rPr>
      </w:pPr>
      <w:bookmarkStart w:id="2687" w:name="_Toc469492657"/>
      <w:bookmarkStart w:id="2688" w:name="_Toc524949177"/>
      <w:bookmarkStart w:id="2689" w:name="_Toc456647878"/>
      <w:bookmarkStart w:id="2690" w:name="_Toc15466"/>
      <w:bookmarkStart w:id="2691" w:name="_Toc433399536"/>
      <w:bookmarkStart w:id="2692" w:name="_Toc432378469"/>
      <w:bookmarkStart w:id="2693" w:name="_Toc20600"/>
      <w:bookmarkStart w:id="2694" w:name="_Toc1684325355"/>
      <w:bookmarkStart w:id="2695" w:name="_Toc109149959"/>
      <w:bookmarkStart w:id="2696" w:name="_Toc432083021"/>
      <w:r>
        <w:rPr>
          <w:rFonts w:hint="eastAsia"/>
          <w:b w:val="0"/>
          <w:color w:val="auto"/>
          <w:sz w:val="24"/>
          <w:szCs w:val="24"/>
          <w:highlight w:val="none"/>
        </w:rPr>
        <w:t>（三）资源配置计划</w:t>
      </w:r>
      <w:bookmarkEnd w:id="2687"/>
      <w:bookmarkEnd w:id="2688"/>
      <w:bookmarkEnd w:id="2689"/>
      <w:bookmarkEnd w:id="2690"/>
      <w:bookmarkEnd w:id="2691"/>
      <w:bookmarkEnd w:id="2692"/>
      <w:bookmarkEnd w:id="2693"/>
      <w:bookmarkEnd w:id="2694"/>
      <w:bookmarkEnd w:id="2695"/>
      <w:bookmarkEnd w:id="2696"/>
    </w:p>
    <w:p>
      <w:pPr>
        <w:spacing w:line="336" w:lineRule="auto"/>
        <w:ind w:left="420" w:leftChars="200" w:firstLine="525" w:firstLineChars="250"/>
        <w:rPr>
          <w:rFonts w:ascii="宋体" w:hAnsi="宋体"/>
          <w:color w:val="auto"/>
          <w:szCs w:val="21"/>
          <w:highlight w:val="none"/>
        </w:rPr>
      </w:pPr>
      <w:r>
        <w:rPr>
          <w:rFonts w:hint="eastAsia" w:ascii="宋体" w:hAnsi="宋体"/>
          <w:color w:val="auto"/>
          <w:szCs w:val="21"/>
          <w:highlight w:val="none"/>
        </w:rPr>
        <w:t>资源配置计划主要包括拟投入的主要物资计划，拟投入的主要施工机械、试验和检测仪器计划，劳动力安排计划等；</w:t>
      </w:r>
    </w:p>
    <w:p>
      <w:pPr>
        <w:pStyle w:val="38"/>
        <w:keepNext w:val="0"/>
        <w:keepLines w:val="0"/>
        <w:spacing w:line="336" w:lineRule="auto"/>
        <w:outlineLvl w:val="3"/>
        <w:rPr>
          <w:b w:val="0"/>
          <w:color w:val="auto"/>
          <w:sz w:val="24"/>
          <w:szCs w:val="24"/>
          <w:highlight w:val="none"/>
        </w:rPr>
      </w:pPr>
      <w:bookmarkStart w:id="2697" w:name="_Toc432378470"/>
      <w:bookmarkStart w:id="2698" w:name="_Toc432083022"/>
      <w:bookmarkStart w:id="2699" w:name="_Toc469492658"/>
      <w:bookmarkStart w:id="2700" w:name="_Toc456647879"/>
      <w:bookmarkStart w:id="2701" w:name="_Toc433399537"/>
      <w:bookmarkStart w:id="2702" w:name="_Toc524949178"/>
      <w:bookmarkStart w:id="2703" w:name="_Toc1688853725"/>
      <w:bookmarkStart w:id="2704" w:name="_Toc32078"/>
      <w:bookmarkStart w:id="2705" w:name="_Toc109149960"/>
      <w:bookmarkStart w:id="2706" w:name="_Toc19737"/>
      <w:r>
        <w:rPr>
          <w:rFonts w:hint="eastAsia"/>
          <w:b w:val="0"/>
          <w:color w:val="auto"/>
          <w:sz w:val="24"/>
          <w:szCs w:val="24"/>
          <w:highlight w:val="none"/>
        </w:rPr>
        <w:t>（四）</w:t>
      </w:r>
      <w:bookmarkEnd w:id="2697"/>
      <w:bookmarkEnd w:id="2698"/>
      <w:bookmarkEnd w:id="2699"/>
      <w:bookmarkEnd w:id="2700"/>
      <w:bookmarkEnd w:id="2701"/>
      <w:bookmarkEnd w:id="2702"/>
      <w:r>
        <w:rPr>
          <w:rFonts w:hint="eastAsia"/>
          <w:b w:val="0"/>
          <w:color w:val="auto"/>
          <w:sz w:val="24"/>
          <w:szCs w:val="24"/>
          <w:highlight w:val="none"/>
        </w:rPr>
        <w:t>主要施工方法与技术措施</w:t>
      </w:r>
      <w:bookmarkEnd w:id="2703"/>
      <w:bookmarkEnd w:id="2704"/>
      <w:bookmarkEnd w:id="2705"/>
      <w:bookmarkEnd w:id="2706"/>
    </w:p>
    <w:p>
      <w:pPr>
        <w:spacing w:line="336" w:lineRule="auto"/>
        <w:ind w:left="420" w:leftChars="200" w:firstLine="525" w:firstLineChars="250"/>
        <w:rPr>
          <w:rFonts w:ascii="宋体" w:hAnsi="宋体"/>
          <w:color w:val="auto"/>
          <w:szCs w:val="21"/>
          <w:highlight w:val="none"/>
        </w:rPr>
      </w:pPr>
      <w:r>
        <w:rPr>
          <w:rFonts w:hint="eastAsia" w:ascii="宋体" w:hAnsi="宋体"/>
          <w:color w:val="auto"/>
          <w:szCs w:val="21"/>
          <w:highlight w:val="none"/>
        </w:rPr>
        <w:t>结合工程实际理解和分析并提出施工方案和技术措施，突出施工重点和施工难点的方案和措施。包括田块整治工程、灌溉与排水工程、田间道路工程、农田防护与生态保护工程、农田输配电工程、农田地力提升工程、田间监测等工程的施工方案确定、材料确定、施工方法及工艺流程、施工要点控制、质量要求等，对易发生质量通病、易出现安全问题、施工难度大、技术含量高的分项工程（工序）等做出重点说明；</w:t>
      </w:r>
    </w:p>
    <w:p>
      <w:pPr>
        <w:pStyle w:val="38"/>
        <w:keepNext w:val="0"/>
        <w:keepLines w:val="0"/>
        <w:spacing w:line="336" w:lineRule="auto"/>
        <w:outlineLvl w:val="3"/>
        <w:rPr>
          <w:b w:val="0"/>
          <w:color w:val="auto"/>
          <w:sz w:val="24"/>
          <w:szCs w:val="24"/>
          <w:highlight w:val="none"/>
        </w:rPr>
      </w:pPr>
      <w:bookmarkStart w:id="2707" w:name="_Toc469492659"/>
      <w:bookmarkStart w:id="2708" w:name="_Toc432378471"/>
      <w:bookmarkStart w:id="2709" w:name="_Toc433399538"/>
      <w:bookmarkStart w:id="2710" w:name="_Toc432083023"/>
      <w:bookmarkStart w:id="2711" w:name="_Toc524949179"/>
      <w:bookmarkStart w:id="2712" w:name="_Toc456647880"/>
      <w:bookmarkStart w:id="2713" w:name="_Toc4134"/>
      <w:bookmarkStart w:id="2714" w:name="_Toc109149961"/>
      <w:bookmarkStart w:id="2715" w:name="_Toc168579102"/>
      <w:bookmarkStart w:id="2716" w:name="_Toc31735"/>
      <w:r>
        <w:rPr>
          <w:rFonts w:hint="eastAsia"/>
          <w:b w:val="0"/>
          <w:color w:val="auto"/>
          <w:sz w:val="24"/>
          <w:szCs w:val="24"/>
          <w:highlight w:val="none"/>
        </w:rPr>
        <w:t>（五）</w:t>
      </w:r>
      <w:bookmarkEnd w:id="2707"/>
      <w:bookmarkEnd w:id="2708"/>
      <w:bookmarkEnd w:id="2709"/>
      <w:bookmarkEnd w:id="2710"/>
      <w:bookmarkEnd w:id="2711"/>
      <w:bookmarkEnd w:id="2712"/>
      <w:r>
        <w:rPr>
          <w:rFonts w:hint="eastAsia"/>
          <w:b w:val="0"/>
          <w:color w:val="auto"/>
          <w:sz w:val="24"/>
          <w:szCs w:val="24"/>
          <w:highlight w:val="none"/>
        </w:rPr>
        <w:t>施工进度计划与措施</w:t>
      </w:r>
      <w:bookmarkEnd w:id="2713"/>
      <w:bookmarkEnd w:id="2714"/>
      <w:bookmarkEnd w:id="2715"/>
      <w:bookmarkEnd w:id="2716"/>
    </w:p>
    <w:p>
      <w:pPr>
        <w:spacing w:line="336" w:lineRule="auto"/>
        <w:ind w:left="424" w:leftChars="202" w:firstLine="525" w:firstLineChars="250"/>
        <w:rPr>
          <w:rFonts w:ascii="宋体" w:hAnsi="宋体"/>
          <w:color w:val="auto"/>
          <w:szCs w:val="21"/>
          <w:highlight w:val="none"/>
        </w:rPr>
      </w:pPr>
      <w:r>
        <w:rPr>
          <w:rFonts w:hint="eastAsia" w:ascii="宋体" w:hAnsi="宋体"/>
          <w:color w:val="auto"/>
          <w:szCs w:val="21"/>
          <w:highlight w:val="none"/>
        </w:rPr>
        <w:t>可采用网络图或横道图表示，并附必要说明，对于规模较大或较复杂的工程，宜采用网络图表示；</w:t>
      </w:r>
    </w:p>
    <w:p>
      <w:pPr>
        <w:pStyle w:val="38"/>
        <w:keepNext w:val="0"/>
        <w:keepLines w:val="0"/>
        <w:spacing w:line="336" w:lineRule="auto"/>
        <w:outlineLvl w:val="3"/>
        <w:rPr>
          <w:b w:val="0"/>
          <w:color w:val="auto"/>
          <w:sz w:val="24"/>
          <w:szCs w:val="24"/>
          <w:highlight w:val="none"/>
        </w:rPr>
      </w:pPr>
      <w:bookmarkStart w:id="2717" w:name="_Toc524949180"/>
      <w:bookmarkStart w:id="2718" w:name="_Toc456647881"/>
      <w:bookmarkStart w:id="2719" w:name="_Toc27724"/>
      <w:bookmarkStart w:id="2720" w:name="_Toc32390"/>
      <w:bookmarkStart w:id="2721" w:name="_Toc109149962"/>
      <w:bookmarkStart w:id="2722" w:name="_Toc432083024"/>
      <w:bookmarkStart w:id="2723" w:name="_Toc469492660"/>
      <w:bookmarkStart w:id="2724" w:name="_Toc432378472"/>
      <w:bookmarkStart w:id="2725" w:name="_Toc538328850"/>
      <w:bookmarkStart w:id="2726" w:name="_Toc433399539"/>
      <w:r>
        <w:rPr>
          <w:rFonts w:hint="eastAsia"/>
          <w:b w:val="0"/>
          <w:color w:val="auto"/>
          <w:sz w:val="24"/>
          <w:szCs w:val="24"/>
          <w:highlight w:val="none"/>
        </w:rPr>
        <w:t>（六）施工现场平面布置</w:t>
      </w:r>
      <w:bookmarkEnd w:id="2717"/>
      <w:bookmarkEnd w:id="2718"/>
      <w:bookmarkEnd w:id="2719"/>
      <w:bookmarkEnd w:id="2720"/>
      <w:bookmarkEnd w:id="2721"/>
      <w:bookmarkEnd w:id="2722"/>
      <w:bookmarkEnd w:id="2723"/>
      <w:bookmarkEnd w:id="2724"/>
      <w:bookmarkEnd w:id="2725"/>
      <w:bookmarkEnd w:id="2726"/>
    </w:p>
    <w:p>
      <w:pPr>
        <w:spacing w:line="336" w:lineRule="auto"/>
        <w:ind w:left="424" w:leftChars="202" w:firstLine="525" w:firstLineChars="250"/>
        <w:rPr>
          <w:rFonts w:ascii="宋体" w:hAnsi="宋体"/>
          <w:color w:val="auto"/>
          <w:szCs w:val="21"/>
          <w:highlight w:val="none"/>
        </w:rPr>
      </w:pPr>
      <w:r>
        <w:rPr>
          <w:rFonts w:hint="eastAsia" w:ascii="宋体" w:hAnsi="宋体"/>
          <w:color w:val="auto"/>
          <w:szCs w:val="21"/>
          <w:highlight w:val="none"/>
        </w:rPr>
        <w:t>按不同施工阶段绘制施工现场平面布置图并附文字说明，说明施工场地状况。包括但不限于施工布置规划、生产设施设备布置、施工工厂设施布置、场内场外交通及运输、场地平整、办公和生活用房、用（排）水、供电、通信、料场及渣场规划、必备的安全、消防、保卫和环境保护设施、永久及临时用地等；</w:t>
      </w:r>
    </w:p>
    <w:p>
      <w:pPr>
        <w:pStyle w:val="38"/>
        <w:keepNext w:val="0"/>
        <w:keepLines w:val="0"/>
        <w:spacing w:line="336" w:lineRule="auto"/>
        <w:outlineLvl w:val="3"/>
        <w:rPr>
          <w:b w:val="0"/>
          <w:color w:val="auto"/>
          <w:sz w:val="24"/>
          <w:szCs w:val="24"/>
          <w:highlight w:val="none"/>
        </w:rPr>
      </w:pPr>
      <w:bookmarkStart w:id="2727" w:name="_Toc432083025"/>
      <w:bookmarkStart w:id="2728" w:name="_Toc469492661"/>
      <w:bookmarkStart w:id="2729" w:name="_Toc432378473"/>
      <w:bookmarkStart w:id="2730" w:name="_Toc433399540"/>
      <w:bookmarkStart w:id="2731" w:name="_Toc524949181"/>
      <w:bookmarkStart w:id="2732" w:name="_Toc456647882"/>
      <w:bookmarkStart w:id="2733" w:name="_Toc1069292176"/>
      <w:bookmarkStart w:id="2734" w:name="_Toc109149963"/>
      <w:bookmarkStart w:id="2735" w:name="_Toc2144"/>
      <w:bookmarkStart w:id="2736" w:name="_Toc8950"/>
      <w:r>
        <w:rPr>
          <w:rFonts w:hint="eastAsia"/>
          <w:b w:val="0"/>
          <w:color w:val="auto"/>
          <w:sz w:val="24"/>
          <w:szCs w:val="24"/>
          <w:highlight w:val="none"/>
        </w:rPr>
        <w:t>（七）</w:t>
      </w:r>
      <w:bookmarkEnd w:id="2727"/>
      <w:bookmarkEnd w:id="2728"/>
      <w:bookmarkEnd w:id="2729"/>
      <w:bookmarkEnd w:id="2730"/>
      <w:bookmarkEnd w:id="2731"/>
      <w:bookmarkEnd w:id="2732"/>
      <w:r>
        <w:rPr>
          <w:rFonts w:hint="eastAsia"/>
          <w:b w:val="0"/>
          <w:color w:val="auto"/>
          <w:sz w:val="24"/>
          <w:szCs w:val="24"/>
          <w:highlight w:val="none"/>
        </w:rPr>
        <w:t>主要管理体系与措施</w:t>
      </w:r>
      <w:bookmarkEnd w:id="2733"/>
      <w:bookmarkEnd w:id="2734"/>
      <w:bookmarkEnd w:id="2735"/>
      <w:bookmarkEnd w:id="2736"/>
    </w:p>
    <w:p>
      <w:pPr>
        <w:spacing w:line="336" w:lineRule="auto"/>
        <w:ind w:left="424" w:leftChars="202" w:firstLine="525" w:firstLineChars="250"/>
        <w:rPr>
          <w:rFonts w:ascii="宋体" w:hAnsi="宋体"/>
          <w:color w:val="auto"/>
          <w:szCs w:val="21"/>
          <w:highlight w:val="none"/>
        </w:rPr>
      </w:pPr>
      <w:r>
        <w:rPr>
          <w:rFonts w:hint="eastAsia" w:ascii="宋体" w:hAnsi="宋体"/>
          <w:color w:val="auto"/>
          <w:szCs w:val="21"/>
          <w:highlight w:val="none"/>
        </w:rPr>
        <w:t>包括确保工程质量、安全生产、工期、文明施工、环境保护等主要技术组织措施和其他管理措施，其中其他管理措施宜包括治安保卫管理措施、合同管理措施，组织协调管理措施、创优质工程管理措施、成品保护管理措施、质量保修管理措施、对施工现场人力资源、施工机具、材料设备等管理措施。</w:t>
      </w:r>
    </w:p>
    <w:p>
      <w:pPr>
        <w:spacing w:line="336" w:lineRule="auto"/>
        <w:ind w:firstLine="420" w:firstLineChars="200"/>
        <w:rPr>
          <w:rFonts w:ascii="宋体" w:hAnsi="宋体"/>
          <w:color w:val="auto"/>
          <w:szCs w:val="21"/>
          <w:highlight w:val="none"/>
        </w:rPr>
      </w:pPr>
      <w:r>
        <w:rPr>
          <w:rFonts w:hint="eastAsia"/>
          <w:color w:val="auto"/>
          <w:szCs w:val="21"/>
          <w:highlight w:val="none"/>
        </w:rPr>
        <w:t>二</w:t>
      </w:r>
      <w:r>
        <w:rPr>
          <w:rFonts w:hint="eastAsia" w:ascii="宋体" w:hAnsi="宋体"/>
          <w:color w:val="auto"/>
          <w:szCs w:val="21"/>
          <w:highlight w:val="none"/>
        </w:rPr>
        <w:t>．施工组织设计除采用文字表述外可附下列图表，图表及格式要求附后。下述表格应按照章节内容，严格按给定的格式附在相应的章节中。</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附表一  拟投入本标段的物资计划表</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附表二  拟投入本标段的主要施工设备表</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附表三  拟投入本标段的劳动力计划表</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附表四  计划开工日期、</w:t>
      </w:r>
      <w:r>
        <w:rPr>
          <w:rFonts w:hint="eastAsia" w:ascii="宋体" w:hAnsi="宋体" w:cs="宋体"/>
          <w:color w:val="auto"/>
          <w:highlight w:val="none"/>
        </w:rPr>
        <w:t>完工</w:t>
      </w:r>
      <w:r>
        <w:rPr>
          <w:rFonts w:hint="eastAsia" w:ascii="宋体" w:hAnsi="宋体" w:cs="宋体"/>
          <w:color w:val="auto"/>
          <w:szCs w:val="21"/>
          <w:highlight w:val="none"/>
        </w:rPr>
        <w:t>日期和施工进度网络图</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附表五  施工总平面图</w:t>
      </w:r>
    </w:p>
    <w:p>
      <w:pPr>
        <w:tabs>
          <w:tab w:val="left" w:pos="720"/>
        </w:tabs>
        <w:spacing w:line="336" w:lineRule="auto"/>
        <w:ind w:firstLine="756" w:firstLineChars="360"/>
        <w:rPr>
          <w:rFonts w:ascii="宋体" w:hAnsi="宋体" w:cs="宋体"/>
          <w:color w:val="auto"/>
          <w:szCs w:val="21"/>
          <w:highlight w:val="none"/>
        </w:rPr>
      </w:pPr>
      <w:r>
        <w:rPr>
          <w:rFonts w:hint="eastAsia" w:ascii="宋体" w:hAnsi="宋体" w:cs="宋体"/>
          <w:color w:val="auto"/>
          <w:szCs w:val="21"/>
          <w:highlight w:val="none"/>
        </w:rPr>
        <w:t>附表六  临时用地表</w:t>
      </w:r>
    </w:p>
    <w:p>
      <w:pPr>
        <w:tabs>
          <w:tab w:val="left" w:pos="720"/>
        </w:tabs>
        <w:spacing w:line="336" w:lineRule="auto"/>
        <w:ind w:firstLine="756" w:firstLineChars="360"/>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37" w:name="_Toc432378474"/>
      <w:bookmarkStart w:id="2738" w:name="_Toc526"/>
      <w:bookmarkStart w:id="2739" w:name="_Toc30610"/>
      <w:bookmarkStart w:id="2740" w:name="_Toc28490"/>
      <w:bookmarkStart w:id="2741" w:name="_Toc30582"/>
      <w:bookmarkStart w:id="2742" w:name="_Toc11435"/>
      <w:bookmarkStart w:id="2743" w:name="_Toc1184343398"/>
      <w:bookmarkStart w:id="2744" w:name="_Toc433399541"/>
      <w:r>
        <w:rPr>
          <w:rFonts w:hint="eastAsia"/>
          <w:color w:val="auto"/>
          <w:highlight w:val="none"/>
        </w:rPr>
        <w:t>附表一：拟投入本标段的物资计划表</w:t>
      </w:r>
      <w:bookmarkEnd w:id="2737"/>
      <w:bookmarkEnd w:id="2738"/>
      <w:bookmarkEnd w:id="2739"/>
      <w:bookmarkEnd w:id="2740"/>
      <w:bookmarkEnd w:id="2741"/>
      <w:bookmarkEnd w:id="2742"/>
      <w:bookmarkEnd w:id="2743"/>
      <w:bookmarkEnd w:id="2744"/>
    </w:p>
    <w:p>
      <w:pPr>
        <w:jc w:val="center"/>
        <w:rPr>
          <w:rFonts w:ascii="宋体" w:hAnsi="宋体" w:cs="宋体"/>
          <w:b/>
          <w:color w:val="auto"/>
          <w:sz w:val="28"/>
          <w:szCs w:val="28"/>
          <w:highlight w:val="none"/>
        </w:rPr>
      </w:pPr>
    </w:p>
    <w:p>
      <w:pPr>
        <w:jc w:val="center"/>
        <w:rPr>
          <w:rFonts w:ascii="宋体" w:hAnsi="宋体" w:cs="宋体"/>
          <w:color w:val="auto"/>
          <w:sz w:val="24"/>
          <w:highlight w:val="none"/>
        </w:rPr>
      </w:pPr>
      <w:r>
        <w:rPr>
          <w:rFonts w:hint="eastAsia" w:ascii="宋体" w:hAnsi="宋体" w:cs="宋体"/>
          <w:b/>
          <w:color w:val="auto"/>
          <w:sz w:val="28"/>
          <w:szCs w:val="28"/>
          <w:highlight w:val="none"/>
        </w:rPr>
        <w:t xml:space="preserve">拟投入本标段的物资计划表                </w:t>
      </w:r>
    </w:p>
    <w:tbl>
      <w:tblPr>
        <w:tblStyle w:val="2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620"/>
        <w:gridCol w:w="1440"/>
        <w:gridCol w:w="14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序号</w:t>
            </w:r>
          </w:p>
        </w:tc>
        <w:tc>
          <w:tcPr>
            <w:tcW w:w="126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物资名称</w:t>
            </w:r>
          </w:p>
        </w:tc>
        <w:tc>
          <w:tcPr>
            <w:tcW w:w="162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规格型号</w:t>
            </w:r>
          </w:p>
        </w:tc>
        <w:tc>
          <w:tcPr>
            <w:tcW w:w="144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生产厂家</w:t>
            </w:r>
          </w:p>
        </w:tc>
        <w:tc>
          <w:tcPr>
            <w:tcW w:w="144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需用时间</w:t>
            </w:r>
          </w:p>
        </w:tc>
        <w:tc>
          <w:tcPr>
            <w:tcW w:w="108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单位</w:t>
            </w:r>
          </w:p>
        </w:tc>
        <w:tc>
          <w:tcPr>
            <w:tcW w:w="108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黑体" w:hAnsi="黑体" w:eastAsia="黑体" w:cs="黑体"/>
                <w:color w:val="auto"/>
                <w:highlight w:val="none"/>
              </w:rPr>
            </w:pPr>
          </w:p>
        </w:tc>
        <w:tc>
          <w:tcPr>
            <w:tcW w:w="1260" w:type="dxa"/>
          </w:tcPr>
          <w:p>
            <w:pPr>
              <w:spacing w:line="380" w:lineRule="atLeast"/>
              <w:jc w:val="center"/>
              <w:rPr>
                <w:rFonts w:ascii="黑体" w:hAnsi="黑体" w:eastAsia="黑体" w:cs="黑体"/>
                <w:color w:val="auto"/>
                <w:highlight w:val="none"/>
              </w:rPr>
            </w:pPr>
          </w:p>
        </w:tc>
        <w:tc>
          <w:tcPr>
            <w:tcW w:w="162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44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c>
          <w:tcPr>
            <w:tcW w:w="1080" w:type="dxa"/>
          </w:tcPr>
          <w:p>
            <w:pPr>
              <w:spacing w:line="380" w:lineRule="atLeast"/>
              <w:jc w:val="center"/>
              <w:rPr>
                <w:rFonts w:ascii="黑体" w:hAnsi="黑体" w:eastAsia="黑体" w:cs="黑体"/>
                <w:color w:val="auto"/>
                <w:highlight w:val="none"/>
              </w:rPr>
            </w:pPr>
          </w:p>
        </w:tc>
      </w:tr>
    </w:tbl>
    <w:p>
      <w:pPr>
        <w:rPr>
          <w:rFonts w:ascii="宋体" w:hAnsi="宋体" w:cs="宋体"/>
          <w:color w:val="auto"/>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45" w:name="_Toc433399542"/>
      <w:bookmarkStart w:id="2746" w:name="_Toc30815"/>
      <w:bookmarkStart w:id="2747" w:name="_Toc2130832957"/>
      <w:bookmarkStart w:id="2748" w:name="_Toc23870"/>
      <w:bookmarkStart w:id="2749" w:name="_Toc4629"/>
      <w:bookmarkStart w:id="2750" w:name="_Toc30071"/>
      <w:bookmarkStart w:id="2751" w:name="_Toc4438"/>
      <w:bookmarkStart w:id="2752" w:name="_Toc432378475"/>
      <w:r>
        <w:rPr>
          <w:rFonts w:hint="eastAsia"/>
          <w:color w:val="auto"/>
          <w:highlight w:val="none"/>
        </w:rPr>
        <w:t>附表二：拟投入本标段的主要施工设备表</w:t>
      </w:r>
      <w:bookmarkEnd w:id="2745"/>
      <w:bookmarkEnd w:id="2746"/>
      <w:bookmarkEnd w:id="2747"/>
      <w:bookmarkEnd w:id="2748"/>
      <w:bookmarkEnd w:id="2749"/>
      <w:bookmarkEnd w:id="2750"/>
      <w:bookmarkEnd w:id="2751"/>
      <w:bookmarkEnd w:id="2752"/>
    </w:p>
    <w:p>
      <w:pPr>
        <w:spacing w:line="440" w:lineRule="exact"/>
        <w:rPr>
          <w:rFonts w:ascii="宋体" w:hAnsi="宋体" w:cs="宋体"/>
          <w:color w:val="auto"/>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投入本标段的主要施工设备表</w:t>
      </w:r>
    </w:p>
    <w:p>
      <w:pPr>
        <w:spacing w:line="440" w:lineRule="exact"/>
        <w:rPr>
          <w:rFonts w:ascii="宋体" w:hAnsi="宋体" w:cs="宋体"/>
          <w:color w:val="auto"/>
          <w:sz w:val="20"/>
          <w:szCs w:val="20"/>
          <w:highlight w:val="none"/>
        </w:rPr>
      </w:pPr>
    </w:p>
    <w:tbl>
      <w:tblPr>
        <w:tblStyle w:val="25"/>
        <w:tblW w:w="9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序号</w:t>
            </w:r>
          </w:p>
        </w:tc>
        <w:tc>
          <w:tcPr>
            <w:tcW w:w="1183"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设备名称</w:t>
            </w:r>
          </w:p>
        </w:tc>
        <w:tc>
          <w:tcPr>
            <w:tcW w:w="829"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型号</w:t>
            </w:r>
          </w:p>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规格</w:t>
            </w:r>
          </w:p>
        </w:tc>
        <w:tc>
          <w:tcPr>
            <w:tcW w:w="1078"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数量</w:t>
            </w:r>
          </w:p>
        </w:tc>
        <w:tc>
          <w:tcPr>
            <w:tcW w:w="732"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国别</w:t>
            </w:r>
          </w:p>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产地</w:t>
            </w:r>
          </w:p>
        </w:tc>
        <w:tc>
          <w:tcPr>
            <w:tcW w:w="804"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制造</w:t>
            </w:r>
          </w:p>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年份</w:t>
            </w:r>
          </w:p>
        </w:tc>
        <w:tc>
          <w:tcPr>
            <w:tcW w:w="1320"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额定功率（</w:t>
            </w:r>
            <w:r>
              <w:rPr>
                <w:rFonts w:hint="eastAsia" w:eastAsia="黑体" w:cs="黑体"/>
                <w:color w:val="auto"/>
                <w:highlight w:val="none"/>
              </w:rPr>
              <w:t>KW</w:t>
            </w:r>
            <w:r>
              <w:rPr>
                <w:rFonts w:hint="eastAsia" w:ascii="黑体" w:hAnsi="黑体" w:eastAsia="黑体" w:cs="黑体"/>
                <w:color w:val="auto"/>
                <w:highlight w:val="none"/>
              </w:rPr>
              <w:t>）</w:t>
            </w:r>
          </w:p>
        </w:tc>
        <w:tc>
          <w:tcPr>
            <w:tcW w:w="953"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生产</w:t>
            </w:r>
          </w:p>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能力</w:t>
            </w:r>
          </w:p>
        </w:tc>
        <w:tc>
          <w:tcPr>
            <w:tcW w:w="1149"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用于施工</w:t>
            </w:r>
          </w:p>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部位</w:t>
            </w:r>
          </w:p>
        </w:tc>
        <w:tc>
          <w:tcPr>
            <w:tcW w:w="753"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rPr>
                <w:rFonts w:ascii="黑体" w:hAnsi="黑体" w:eastAsia="黑体" w:cs="黑体"/>
                <w:color w:val="auto"/>
                <w:highlight w:val="none"/>
              </w:rPr>
            </w:pPr>
          </w:p>
        </w:tc>
        <w:tc>
          <w:tcPr>
            <w:tcW w:w="1183" w:type="dxa"/>
            <w:vAlign w:val="center"/>
          </w:tcPr>
          <w:p>
            <w:pPr>
              <w:spacing w:line="380" w:lineRule="atLeast"/>
              <w:rPr>
                <w:rFonts w:ascii="黑体" w:hAnsi="黑体" w:eastAsia="黑体" w:cs="黑体"/>
                <w:color w:val="auto"/>
                <w:highlight w:val="none"/>
              </w:rPr>
            </w:pPr>
          </w:p>
        </w:tc>
        <w:tc>
          <w:tcPr>
            <w:tcW w:w="829" w:type="dxa"/>
            <w:vAlign w:val="center"/>
          </w:tcPr>
          <w:p>
            <w:pPr>
              <w:spacing w:line="380" w:lineRule="atLeast"/>
              <w:rPr>
                <w:rFonts w:ascii="黑体" w:hAnsi="黑体" w:eastAsia="黑体" w:cs="黑体"/>
                <w:color w:val="auto"/>
                <w:highlight w:val="none"/>
              </w:rPr>
            </w:pPr>
          </w:p>
        </w:tc>
        <w:tc>
          <w:tcPr>
            <w:tcW w:w="1078" w:type="dxa"/>
            <w:vAlign w:val="center"/>
          </w:tcPr>
          <w:p>
            <w:pPr>
              <w:spacing w:line="380" w:lineRule="atLeast"/>
              <w:rPr>
                <w:rFonts w:ascii="黑体" w:hAnsi="黑体" w:eastAsia="黑体" w:cs="黑体"/>
                <w:color w:val="auto"/>
                <w:highlight w:val="none"/>
              </w:rPr>
            </w:pPr>
          </w:p>
        </w:tc>
        <w:tc>
          <w:tcPr>
            <w:tcW w:w="732" w:type="dxa"/>
            <w:vAlign w:val="center"/>
          </w:tcPr>
          <w:p>
            <w:pPr>
              <w:spacing w:line="380" w:lineRule="atLeast"/>
              <w:rPr>
                <w:rFonts w:ascii="黑体" w:hAnsi="黑体" w:eastAsia="黑体" w:cs="黑体"/>
                <w:color w:val="auto"/>
                <w:highlight w:val="none"/>
              </w:rPr>
            </w:pPr>
          </w:p>
        </w:tc>
        <w:tc>
          <w:tcPr>
            <w:tcW w:w="804" w:type="dxa"/>
            <w:vAlign w:val="center"/>
          </w:tcPr>
          <w:p>
            <w:pPr>
              <w:spacing w:line="380" w:lineRule="atLeast"/>
              <w:rPr>
                <w:rFonts w:ascii="黑体" w:hAnsi="黑体" w:eastAsia="黑体" w:cs="黑体"/>
                <w:color w:val="auto"/>
                <w:highlight w:val="none"/>
              </w:rPr>
            </w:pPr>
          </w:p>
        </w:tc>
        <w:tc>
          <w:tcPr>
            <w:tcW w:w="1320" w:type="dxa"/>
            <w:vAlign w:val="center"/>
          </w:tcPr>
          <w:p>
            <w:pPr>
              <w:spacing w:line="380" w:lineRule="atLeast"/>
              <w:rPr>
                <w:rFonts w:ascii="黑体" w:hAnsi="黑体" w:eastAsia="黑体" w:cs="黑体"/>
                <w:color w:val="auto"/>
                <w:highlight w:val="none"/>
              </w:rPr>
            </w:pPr>
          </w:p>
        </w:tc>
        <w:tc>
          <w:tcPr>
            <w:tcW w:w="953" w:type="dxa"/>
            <w:vAlign w:val="center"/>
          </w:tcPr>
          <w:p>
            <w:pPr>
              <w:spacing w:line="380" w:lineRule="atLeast"/>
              <w:rPr>
                <w:rFonts w:ascii="黑体" w:hAnsi="黑体" w:eastAsia="黑体" w:cs="黑体"/>
                <w:color w:val="auto"/>
                <w:highlight w:val="none"/>
              </w:rPr>
            </w:pPr>
          </w:p>
        </w:tc>
        <w:tc>
          <w:tcPr>
            <w:tcW w:w="1149" w:type="dxa"/>
            <w:vAlign w:val="center"/>
          </w:tcPr>
          <w:p>
            <w:pPr>
              <w:spacing w:line="380" w:lineRule="atLeast"/>
              <w:rPr>
                <w:rFonts w:ascii="黑体" w:hAnsi="黑体" w:eastAsia="黑体" w:cs="黑体"/>
                <w:color w:val="auto"/>
                <w:highlight w:val="none"/>
              </w:rPr>
            </w:pPr>
          </w:p>
        </w:tc>
        <w:tc>
          <w:tcPr>
            <w:tcW w:w="753" w:type="dxa"/>
            <w:vAlign w:val="center"/>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rPr>
                <w:rFonts w:ascii="黑体" w:hAnsi="黑体" w:eastAsia="黑体" w:cs="黑体"/>
                <w:color w:val="auto"/>
                <w:highlight w:val="none"/>
              </w:rPr>
            </w:pPr>
          </w:p>
        </w:tc>
        <w:tc>
          <w:tcPr>
            <w:tcW w:w="1183" w:type="dxa"/>
            <w:vAlign w:val="center"/>
          </w:tcPr>
          <w:p>
            <w:pPr>
              <w:spacing w:line="380" w:lineRule="atLeast"/>
              <w:rPr>
                <w:rFonts w:ascii="黑体" w:hAnsi="黑体" w:eastAsia="黑体" w:cs="黑体"/>
                <w:color w:val="auto"/>
                <w:highlight w:val="none"/>
              </w:rPr>
            </w:pPr>
          </w:p>
        </w:tc>
        <w:tc>
          <w:tcPr>
            <w:tcW w:w="829" w:type="dxa"/>
            <w:vAlign w:val="center"/>
          </w:tcPr>
          <w:p>
            <w:pPr>
              <w:spacing w:line="380" w:lineRule="atLeast"/>
              <w:rPr>
                <w:rFonts w:ascii="黑体" w:hAnsi="黑体" w:eastAsia="黑体" w:cs="黑体"/>
                <w:color w:val="auto"/>
                <w:highlight w:val="none"/>
              </w:rPr>
            </w:pPr>
          </w:p>
        </w:tc>
        <w:tc>
          <w:tcPr>
            <w:tcW w:w="1078" w:type="dxa"/>
            <w:vAlign w:val="center"/>
          </w:tcPr>
          <w:p>
            <w:pPr>
              <w:spacing w:line="380" w:lineRule="atLeast"/>
              <w:rPr>
                <w:rFonts w:ascii="黑体" w:hAnsi="黑体" w:eastAsia="黑体" w:cs="黑体"/>
                <w:color w:val="auto"/>
                <w:highlight w:val="none"/>
              </w:rPr>
            </w:pPr>
          </w:p>
        </w:tc>
        <w:tc>
          <w:tcPr>
            <w:tcW w:w="732" w:type="dxa"/>
            <w:vAlign w:val="center"/>
          </w:tcPr>
          <w:p>
            <w:pPr>
              <w:spacing w:line="380" w:lineRule="atLeast"/>
              <w:rPr>
                <w:rFonts w:ascii="黑体" w:hAnsi="黑体" w:eastAsia="黑体" w:cs="黑体"/>
                <w:color w:val="auto"/>
                <w:highlight w:val="none"/>
              </w:rPr>
            </w:pPr>
          </w:p>
        </w:tc>
        <w:tc>
          <w:tcPr>
            <w:tcW w:w="804" w:type="dxa"/>
            <w:vAlign w:val="center"/>
          </w:tcPr>
          <w:p>
            <w:pPr>
              <w:spacing w:line="380" w:lineRule="atLeast"/>
              <w:rPr>
                <w:rFonts w:ascii="黑体" w:hAnsi="黑体" w:eastAsia="黑体" w:cs="黑体"/>
                <w:color w:val="auto"/>
                <w:highlight w:val="none"/>
              </w:rPr>
            </w:pPr>
          </w:p>
        </w:tc>
        <w:tc>
          <w:tcPr>
            <w:tcW w:w="1320" w:type="dxa"/>
            <w:vAlign w:val="center"/>
          </w:tcPr>
          <w:p>
            <w:pPr>
              <w:spacing w:line="380" w:lineRule="atLeast"/>
              <w:rPr>
                <w:rFonts w:ascii="黑体" w:hAnsi="黑体" w:eastAsia="黑体" w:cs="黑体"/>
                <w:color w:val="auto"/>
                <w:highlight w:val="none"/>
              </w:rPr>
            </w:pPr>
          </w:p>
        </w:tc>
        <w:tc>
          <w:tcPr>
            <w:tcW w:w="953" w:type="dxa"/>
            <w:vAlign w:val="center"/>
          </w:tcPr>
          <w:p>
            <w:pPr>
              <w:spacing w:line="380" w:lineRule="atLeast"/>
              <w:rPr>
                <w:rFonts w:ascii="黑体" w:hAnsi="黑体" w:eastAsia="黑体" w:cs="黑体"/>
                <w:color w:val="auto"/>
                <w:highlight w:val="none"/>
              </w:rPr>
            </w:pPr>
          </w:p>
        </w:tc>
        <w:tc>
          <w:tcPr>
            <w:tcW w:w="1149" w:type="dxa"/>
            <w:vAlign w:val="center"/>
          </w:tcPr>
          <w:p>
            <w:pPr>
              <w:spacing w:line="380" w:lineRule="atLeast"/>
              <w:rPr>
                <w:rFonts w:ascii="黑体" w:hAnsi="黑体" w:eastAsia="黑体" w:cs="黑体"/>
                <w:color w:val="auto"/>
                <w:highlight w:val="none"/>
              </w:rPr>
            </w:pPr>
          </w:p>
        </w:tc>
        <w:tc>
          <w:tcPr>
            <w:tcW w:w="753" w:type="dxa"/>
            <w:vAlign w:val="center"/>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黑体" w:hAnsi="黑体" w:eastAsia="黑体" w:cs="黑体"/>
                <w:color w:val="auto"/>
                <w:highlight w:val="none"/>
              </w:rPr>
            </w:pPr>
          </w:p>
        </w:tc>
        <w:tc>
          <w:tcPr>
            <w:tcW w:w="1183" w:type="dxa"/>
          </w:tcPr>
          <w:p>
            <w:pPr>
              <w:spacing w:line="380" w:lineRule="atLeast"/>
              <w:rPr>
                <w:rFonts w:ascii="黑体" w:hAnsi="黑体" w:eastAsia="黑体" w:cs="黑体"/>
                <w:color w:val="auto"/>
                <w:highlight w:val="none"/>
              </w:rPr>
            </w:pPr>
          </w:p>
        </w:tc>
        <w:tc>
          <w:tcPr>
            <w:tcW w:w="829" w:type="dxa"/>
          </w:tcPr>
          <w:p>
            <w:pPr>
              <w:spacing w:line="380" w:lineRule="atLeast"/>
              <w:rPr>
                <w:rFonts w:ascii="黑体" w:hAnsi="黑体" w:eastAsia="黑体" w:cs="黑体"/>
                <w:color w:val="auto"/>
                <w:highlight w:val="none"/>
              </w:rPr>
            </w:pPr>
          </w:p>
        </w:tc>
        <w:tc>
          <w:tcPr>
            <w:tcW w:w="1078" w:type="dxa"/>
          </w:tcPr>
          <w:p>
            <w:pPr>
              <w:spacing w:line="380" w:lineRule="atLeast"/>
              <w:rPr>
                <w:rFonts w:ascii="黑体" w:hAnsi="黑体" w:eastAsia="黑体" w:cs="黑体"/>
                <w:color w:val="auto"/>
                <w:highlight w:val="none"/>
              </w:rPr>
            </w:pPr>
          </w:p>
        </w:tc>
        <w:tc>
          <w:tcPr>
            <w:tcW w:w="732" w:type="dxa"/>
          </w:tcPr>
          <w:p>
            <w:pPr>
              <w:spacing w:line="380" w:lineRule="atLeast"/>
              <w:rPr>
                <w:rFonts w:ascii="黑体" w:hAnsi="黑体" w:eastAsia="黑体" w:cs="黑体"/>
                <w:color w:val="auto"/>
                <w:highlight w:val="none"/>
              </w:rPr>
            </w:pPr>
          </w:p>
        </w:tc>
        <w:tc>
          <w:tcPr>
            <w:tcW w:w="804" w:type="dxa"/>
          </w:tcPr>
          <w:p>
            <w:pPr>
              <w:spacing w:line="380" w:lineRule="atLeast"/>
              <w:rPr>
                <w:rFonts w:ascii="黑体" w:hAnsi="黑体" w:eastAsia="黑体" w:cs="黑体"/>
                <w:color w:val="auto"/>
                <w:highlight w:val="none"/>
              </w:rPr>
            </w:pPr>
          </w:p>
        </w:tc>
        <w:tc>
          <w:tcPr>
            <w:tcW w:w="1320" w:type="dxa"/>
          </w:tcPr>
          <w:p>
            <w:pPr>
              <w:spacing w:line="380" w:lineRule="atLeast"/>
              <w:rPr>
                <w:rFonts w:ascii="黑体" w:hAnsi="黑体" w:eastAsia="黑体" w:cs="黑体"/>
                <w:color w:val="auto"/>
                <w:highlight w:val="none"/>
              </w:rPr>
            </w:pPr>
          </w:p>
        </w:tc>
        <w:tc>
          <w:tcPr>
            <w:tcW w:w="953" w:type="dxa"/>
          </w:tcPr>
          <w:p>
            <w:pPr>
              <w:spacing w:line="380" w:lineRule="atLeast"/>
              <w:rPr>
                <w:rFonts w:ascii="黑体" w:hAnsi="黑体" w:eastAsia="黑体" w:cs="黑体"/>
                <w:color w:val="auto"/>
                <w:highlight w:val="none"/>
              </w:rPr>
            </w:pPr>
          </w:p>
        </w:tc>
        <w:tc>
          <w:tcPr>
            <w:tcW w:w="1149" w:type="dxa"/>
          </w:tcPr>
          <w:p>
            <w:pPr>
              <w:spacing w:line="380" w:lineRule="atLeast"/>
              <w:rPr>
                <w:rFonts w:ascii="黑体" w:hAnsi="黑体" w:eastAsia="黑体" w:cs="黑体"/>
                <w:color w:val="auto"/>
                <w:highlight w:val="none"/>
              </w:rPr>
            </w:pPr>
          </w:p>
        </w:tc>
        <w:tc>
          <w:tcPr>
            <w:tcW w:w="753" w:type="dxa"/>
          </w:tcPr>
          <w:p>
            <w:pPr>
              <w:spacing w:line="380" w:lineRule="atLeast"/>
              <w:rPr>
                <w:rFonts w:ascii="黑体" w:hAnsi="黑体" w:eastAsia="黑体" w:cs="黑体"/>
                <w:color w:val="auto"/>
                <w:highlight w:val="none"/>
              </w:rPr>
            </w:pPr>
          </w:p>
        </w:tc>
      </w:tr>
    </w:tbl>
    <w:p>
      <w:pPr>
        <w:spacing w:line="360" w:lineRule="auto"/>
        <w:rPr>
          <w:rFonts w:ascii="宋体" w:hAnsi="宋体" w:cs="宋体"/>
          <w:color w:val="auto"/>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53" w:name="_Toc20877"/>
      <w:bookmarkStart w:id="2754" w:name="_Toc27657"/>
      <w:bookmarkStart w:id="2755" w:name="_Toc693188325"/>
      <w:bookmarkStart w:id="2756" w:name="_Toc432378477"/>
      <w:bookmarkStart w:id="2757" w:name="_Toc433399544"/>
      <w:bookmarkStart w:id="2758" w:name="_Toc10223"/>
      <w:bookmarkStart w:id="2759" w:name="_Toc21647"/>
      <w:bookmarkStart w:id="2760" w:name="_Toc5347"/>
      <w:r>
        <w:rPr>
          <w:rFonts w:hint="eastAsia"/>
          <w:color w:val="auto"/>
          <w:highlight w:val="none"/>
        </w:rPr>
        <w:t>附表三：拟投入本标段的劳动力计划表</w:t>
      </w:r>
      <w:bookmarkEnd w:id="2753"/>
      <w:bookmarkEnd w:id="2754"/>
      <w:bookmarkEnd w:id="2755"/>
      <w:bookmarkEnd w:id="2756"/>
      <w:bookmarkEnd w:id="2757"/>
      <w:bookmarkEnd w:id="2758"/>
      <w:bookmarkEnd w:id="2759"/>
      <w:bookmarkEnd w:id="2760"/>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拟投入本标段的劳动力计划表</w:t>
      </w:r>
    </w:p>
    <w:p>
      <w:pPr>
        <w:spacing w:line="440" w:lineRule="exact"/>
        <w:ind w:right="200"/>
        <w:jc w:val="right"/>
        <w:rPr>
          <w:rFonts w:ascii="宋体" w:hAnsi="宋体" w:cs="宋体"/>
          <w:color w:val="auto"/>
          <w:szCs w:val="21"/>
          <w:highlight w:val="none"/>
        </w:rPr>
      </w:pPr>
      <w:r>
        <w:rPr>
          <w:rFonts w:hint="eastAsia" w:ascii="宋体" w:hAnsi="宋体" w:cs="宋体"/>
          <w:color w:val="auto"/>
          <w:szCs w:val="21"/>
          <w:highlight w:val="none"/>
        </w:rPr>
        <w:t>单位：人</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20"/>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工种</w:t>
            </w:r>
          </w:p>
        </w:tc>
        <w:tc>
          <w:tcPr>
            <w:tcW w:w="8384" w:type="dxa"/>
            <w:gridSpan w:val="7"/>
            <w:vAlign w:val="center"/>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黑体" w:hAnsi="黑体" w:eastAsia="黑体" w:cs="黑体"/>
                <w:color w:val="auto"/>
                <w:highlight w:val="none"/>
              </w:rPr>
            </w:pPr>
          </w:p>
        </w:tc>
        <w:tc>
          <w:tcPr>
            <w:tcW w:w="1420"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59" w:type="dxa"/>
            <w:vAlign w:val="center"/>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黑体" w:hAnsi="黑体" w:eastAsia="黑体" w:cs="黑体"/>
                <w:color w:val="auto"/>
                <w:highlight w:val="none"/>
              </w:rPr>
            </w:pPr>
          </w:p>
        </w:tc>
        <w:tc>
          <w:tcPr>
            <w:tcW w:w="1420"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61" w:type="dxa"/>
            <w:vAlign w:val="center"/>
          </w:tcPr>
          <w:p>
            <w:pPr>
              <w:spacing w:line="380" w:lineRule="atLeast"/>
              <w:jc w:val="center"/>
              <w:rPr>
                <w:rFonts w:ascii="黑体" w:hAnsi="黑体" w:eastAsia="黑体" w:cs="黑体"/>
                <w:color w:val="auto"/>
                <w:highlight w:val="none"/>
              </w:rPr>
            </w:pPr>
          </w:p>
        </w:tc>
        <w:tc>
          <w:tcPr>
            <w:tcW w:w="1159" w:type="dxa"/>
            <w:vAlign w:val="center"/>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黑体" w:hAnsi="黑体" w:eastAsia="黑体" w:cs="黑体"/>
                <w:color w:val="auto"/>
                <w:highlight w:val="none"/>
              </w:rPr>
            </w:pPr>
          </w:p>
        </w:tc>
        <w:tc>
          <w:tcPr>
            <w:tcW w:w="1420"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61" w:type="dxa"/>
          </w:tcPr>
          <w:p>
            <w:pPr>
              <w:spacing w:line="380" w:lineRule="atLeast"/>
              <w:jc w:val="center"/>
              <w:rPr>
                <w:rFonts w:ascii="黑体" w:hAnsi="黑体" w:eastAsia="黑体" w:cs="黑体"/>
                <w:color w:val="auto"/>
                <w:highlight w:val="none"/>
              </w:rPr>
            </w:pPr>
          </w:p>
        </w:tc>
        <w:tc>
          <w:tcPr>
            <w:tcW w:w="1159" w:type="dxa"/>
          </w:tcPr>
          <w:p>
            <w:pPr>
              <w:spacing w:line="380" w:lineRule="atLeast"/>
              <w:jc w:val="center"/>
              <w:rPr>
                <w:rFonts w:ascii="黑体" w:hAnsi="黑体" w:eastAsia="黑体" w:cs="黑体"/>
                <w:color w:val="auto"/>
                <w:highlight w:val="none"/>
              </w:rPr>
            </w:pPr>
          </w:p>
        </w:tc>
      </w:tr>
    </w:tbl>
    <w:p>
      <w:pPr>
        <w:spacing w:line="440" w:lineRule="exact"/>
        <w:rPr>
          <w:rFonts w:ascii="宋体" w:hAnsi="宋体" w:cs="宋体"/>
          <w:color w:val="auto"/>
          <w:sz w:val="20"/>
          <w:szCs w:val="20"/>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61" w:name="_Toc320"/>
      <w:bookmarkStart w:id="2762" w:name="_Toc433399545"/>
      <w:bookmarkStart w:id="2763" w:name="_Toc25076"/>
      <w:bookmarkStart w:id="2764" w:name="_Toc4198"/>
      <w:bookmarkStart w:id="2765" w:name="_Toc28076"/>
      <w:bookmarkStart w:id="2766" w:name="_Toc30086"/>
      <w:bookmarkStart w:id="2767" w:name="_Toc14748681"/>
      <w:bookmarkStart w:id="2768" w:name="_Toc432378478"/>
      <w:r>
        <w:rPr>
          <w:rFonts w:hint="eastAsia"/>
          <w:color w:val="auto"/>
          <w:highlight w:val="none"/>
        </w:rPr>
        <w:t>附表四：计划开工日期、完工日期和施工进度网络图</w:t>
      </w:r>
      <w:bookmarkEnd w:id="2761"/>
      <w:bookmarkEnd w:id="2762"/>
      <w:bookmarkEnd w:id="2763"/>
      <w:bookmarkEnd w:id="2764"/>
      <w:bookmarkEnd w:id="2765"/>
      <w:bookmarkEnd w:id="2766"/>
      <w:bookmarkEnd w:id="2767"/>
      <w:bookmarkEnd w:id="2768"/>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计划开工日期、完工日期和施工进度网络图</w:t>
      </w:r>
    </w:p>
    <w:p>
      <w:pPr>
        <w:spacing w:line="440" w:lineRule="exact"/>
        <w:rPr>
          <w:rFonts w:ascii="宋体" w:hAnsi="宋体" w:cs="宋体"/>
          <w:color w:val="auto"/>
          <w:sz w:val="20"/>
          <w:szCs w:val="20"/>
          <w:highlight w:val="none"/>
        </w:rPr>
      </w:pPr>
    </w:p>
    <w:p>
      <w:pPr>
        <w:spacing w:line="440" w:lineRule="exact"/>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投标人应递交施工进度网络图或施工进度表，说明按招标文件要求的计划工期进行施工的各个关键日期。</w:t>
      </w:r>
    </w:p>
    <w:p>
      <w:pPr>
        <w:spacing w:line="440" w:lineRule="exact"/>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施工进度表可采用网络图（或横道图）表示。</w:t>
      </w:r>
    </w:p>
    <w:p>
      <w:pPr>
        <w:spacing w:line="440" w:lineRule="exact"/>
        <w:rPr>
          <w:rFonts w:ascii="宋体" w:hAnsi="宋体" w:cs="宋体"/>
          <w:color w:val="auto"/>
          <w:sz w:val="20"/>
          <w:szCs w:val="20"/>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69" w:name="_Toc433399546"/>
      <w:bookmarkStart w:id="2770" w:name="_Toc15167"/>
      <w:bookmarkStart w:id="2771" w:name="_Toc1126343642"/>
      <w:bookmarkStart w:id="2772" w:name="_Toc432378479"/>
      <w:bookmarkStart w:id="2773" w:name="_Toc32752"/>
      <w:bookmarkStart w:id="2774" w:name="_Toc12362"/>
      <w:bookmarkStart w:id="2775" w:name="_Toc13040"/>
      <w:bookmarkStart w:id="2776" w:name="_Toc1361"/>
      <w:r>
        <w:rPr>
          <w:rFonts w:hint="eastAsia"/>
          <w:color w:val="auto"/>
          <w:highlight w:val="none"/>
        </w:rPr>
        <w:t>附表五：施工总平面图</w:t>
      </w:r>
      <w:bookmarkEnd w:id="2769"/>
      <w:bookmarkEnd w:id="2770"/>
      <w:bookmarkEnd w:id="2771"/>
      <w:bookmarkEnd w:id="2772"/>
      <w:bookmarkEnd w:id="2773"/>
      <w:bookmarkEnd w:id="2774"/>
      <w:bookmarkEnd w:id="2775"/>
      <w:bookmarkEnd w:id="2776"/>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施工总平面图</w:t>
      </w:r>
    </w:p>
    <w:p>
      <w:pPr>
        <w:spacing w:line="440" w:lineRule="exact"/>
        <w:rPr>
          <w:rFonts w:ascii="宋体" w:hAnsi="宋体" w:cs="宋体"/>
          <w:color w:val="auto"/>
          <w:sz w:val="20"/>
          <w:szCs w:val="20"/>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投标人应递交一份施工总平面图，绘出现场临时设施布置图及表并附文字说明，说明临时设施、加工车间、现场办公、设备及仓储、供电、供水、卫生、生活、道路、消防等设施的情况和布置。</w:t>
      </w:r>
    </w:p>
    <w:p>
      <w:pPr>
        <w:spacing w:line="440" w:lineRule="exact"/>
        <w:rPr>
          <w:rFonts w:ascii="宋体" w:hAnsi="宋体" w:cs="宋体"/>
          <w:color w:val="auto"/>
          <w:sz w:val="20"/>
          <w:szCs w:val="20"/>
          <w:highlight w:val="none"/>
        </w:rPr>
        <w:sectPr>
          <w:pgSz w:w="11906" w:h="16838"/>
          <w:pgMar w:top="2098" w:right="1446" w:bottom="1984" w:left="1446" w:header="851" w:footer="1446" w:gutter="0"/>
          <w:cols w:space="0" w:num="1"/>
          <w:docGrid w:linePitch="312" w:charSpace="0"/>
        </w:sectPr>
      </w:pPr>
    </w:p>
    <w:p>
      <w:pPr>
        <w:pStyle w:val="9"/>
        <w:outlineLvl w:val="3"/>
        <w:rPr>
          <w:color w:val="auto"/>
          <w:highlight w:val="none"/>
        </w:rPr>
      </w:pPr>
      <w:bookmarkStart w:id="2777" w:name="_Toc1952574814"/>
      <w:bookmarkStart w:id="2778" w:name="_Toc27953"/>
      <w:bookmarkStart w:id="2779" w:name="_Toc9810"/>
      <w:bookmarkStart w:id="2780" w:name="_Toc28338"/>
      <w:bookmarkStart w:id="2781" w:name="_Toc432378480"/>
      <w:bookmarkStart w:id="2782" w:name="_Toc433399547"/>
      <w:bookmarkStart w:id="2783" w:name="_Toc31000"/>
      <w:bookmarkStart w:id="2784" w:name="_Toc18244"/>
      <w:r>
        <w:rPr>
          <w:rFonts w:hint="eastAsia"/>
          <w:color w:val="auto"/>
          <w:highlight w:val="none"/>
        </w:rPr>
        <w:t>附表六：临时用地表</w:t>
      </w:r>
      <w:bookmarkEnd w:id="2777"/>
      <w:bookmarkEnd w:id="2778"/>
      <w:bookmarkEnd w:id="2779"/>
      <w:bookmarkEnd w:id="2780"/>
      <w:bookmarkEnd w:id="2781"/>
      <w:bookmarkEnd w:id="2782"/>
      <w:bookmarkEnd w:id="2783"/>
      <w:bookmarkEnd w:id="2784"/>
    </w:p>
    <w:p>
      <w:pPr>
        <w:rPr>
          <w:rFonts w:ascii="宋体" w:hAnsi="宋体" w:cs="宋体"/>
          <w:b/>
          <w:color w:val="auto"/>
          <w:sz w:val="28"/>
          <w:szCs w:val="28"/>
          <w:highlight w:val="none"/>
        </w:rPr>
      </w:pPr>
    </w:p>
    <w:p>
      <w:pPr>
        <w:jc w:val="center"/>
        <w:rPr>
          <w:rFonts w:ascii="宋体" w:hAnsi="宋体" w:cs="宋体"/>
          <w:color w:val="auto"/>
          <w:highlight w:val="none"/>
        </w:rPr>
      </w:pPr>
      <w:r>
        <w:rPr>
          <w:rFonts w:hint="eastAsia" w:ascii="宋体" w:hAnsi="宋体" w:cs="宋体"/>
          <w:b/>
          <w:color w:val="auto"/>
          <w:sz w:val="28"/>
          <w:szCs w:val="28"/>
          <w:highlight w:val="none"/>
        </w:rPr>
        <w:t>临时用地表</w:t>
      </w:r>
    </w:p>
    <w:p>
      <w:pPr>
        <w:spacing w:line="440" w:lineRule="exact"/>
        <w:jc w:val="center"/>
        <w:rPr>
          <w:rFonts w:ascii="宋体" w:hAnsi="宋体" w:cs="宋体"/>
          <w:color w:val="auto"/>
          <w:sz w:val="23"/>
          <w:szCs w:val="23"/>
          <w:highlight w:val="none"/>
        </w:rPr>
      </w:pP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用 途</w:t>
            </w:r>
          </w:p>
        </w:tc>
        <w:tc>
          <w:tcPr>
            <w:tcW w:w="2321" w:type="dxa"/>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面 积（</w:t>
            </w:r>
            <w:r>
              <w:rPr>
                <w:rFonts w:hint="eastAsia" w:eastAsia="黑体" w:cs="黑体"/>
                <w:color w:val="auto"/>
                <w:highlight w:val="none"/>
              </w:rPr>
              <w:t>m</w:t>
            </w:r>
            <w:r>
              <w:rPr>
                <w:rFonts w:hint="eastAsia" w:eastAsia="黑体" w:cs="黑体"/>
                <w:color w:val="auto"/>
                <w:highlight w:val="none"/>
                <w:vertAlign w:val="superscript"/>
              </w:rPr>
              <w:t>2</w:t>
            </w:r>
            <w:r>
              <w:rPr>
                <w:rFonts w:hint="eastAsia" w:ascii="黑体" w:hAnsi="黑体" w:eastAsia="黑体" w:cs="黑体"/>
                <w:color w:val="auto"/>
                <w:highlight w:val="none"/>
              </w:rPr>
              <w:t>）</w:t>
            </w:r>
          </w:p>
        </w:tc>
        <w:tc>
          <w:tcPr>
            <w:tcW w:w="2322" w:type="dxa"/>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位 置</w:t>
            </w:r>
          </w:p>
        </w:tc>
        <w:tc>
          <w:tcPr>
            <w:tcW w:w="2322" w:type="dxa"/>
          </w:tcPr>
          <w:p>
            <w:pPr>
              <w:spacing w:line="380" w:lineRule="atLeast"/>
              <w:jc w:val="center"/>
              <w:rPr>
                <w:rFonts w:ascii="黑体" w:hAnsi="黑体" w:eastAsia="黑体" w:cs="黑体"/>
                <w:color w:val="auto"/>
                <w:highlight w:val="none"/>
              </w:rPr>
            </w:pPr>
            <w:r>
              <w:rPr>
                <w:rFonts w:hint="eastAsia" w:ascii="黑体" w:hAnsi="黑体" w:eastAsia="黑体" w:cs="黑体"/>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spacing w:line="380" w:lineRule="atLeast"/>
              <w:jc w:val="center"/>
              <w:rPr>
                <w:rFonts w:ascii="黑体" w:hAnsi="黑体" w:eastAsia="黑体" w:cs="黑体"/>
                <w:color w:val="auto"/>
                <w:highlight w:val="none"/>
              </w:rPr>
            </w:pPr>
          </w:p>
        </w:tc>
        <w:tc>
          <w:tcPr>
            <w:tcW w:w="2321"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c>
          <w:tcPr>
            <w:tcW w:w="2322" w:type="dxa"/>
          </w:tcPr>
          <w:p>
            <w:pPr>
              <w:spacing w:line="380" w:lineRule="atLeast"/>
              <w:jc w:val="center"/>
              <w:rPr>
                <w:rFonts w:ascii="黑体" w:hAnsi="黑体" w:eastAsia="黑体" w:cs="黑体"/>
                <w:color w:val="auto"/>
                <w:highlight w:val="none"/>
              </w:rPr>
            </w:pPr>
          </w:p>
        </w:tc>
      </w:tr>
    </w:tbl>
    <w:p>
      <w:pPr>
        <w:rPr>
          <w:color w:val="auto"/>
          <w:highlight w:val="none"/>
        </w:rPr>
      </w:pPr>
    </w:p>
    <w:p>
      <w:pPr>
        <w:rPr>
          <w:color w:val="auto"/>
          <w:highlight w:val="none"/>
        </w:rPr>
      </w:pPr>
    </w:p>
    <w:p>
      <w:pPr>
        <w:rPr>
          <w:color w:val="auto"/>
          <w:highlight w:val="none"/>
        </w:rPr>
        <w:sectPr>
          <w:pgSz w:w="11906" w:h="16838"/>
          <w:pgMar w:top="2098" w:right="1446" w:bottom="1984" w:left="1446" w:header="851" w:footer="1446" w:gutter="0"/>
          <w:cols w:space="0" w:num="1"/>
          <w:docGrid w:linePitch="312" w:charSpace="0"/>
        </w:sectPr>
      </w:pPr>
    </w:p>
    <w:p>
      <w:pPr>
        <w:pStyle w:val="20"/>
        <w:keepNext w:val="0"/>
        <w:keepLines w:val="0"/>
        <w:jc w:val="center"/>
        <w:outlineLvl w:val="2"/>
        <w:rPr>
          <w:color w:val="auto"/>
          <w:highlight w:val="none"/>
        </w:rPr>
      </w:pPr>
      <w:bookmarkStart w:id="2785" w:name="_Toc429598773"/>
      <w:bookmarkStart w:id="2786" w:name="_Toc6433"/>
      <w:bookmarkStart w:id="2787" w:name="_Toc766"/>
      <w:bookmarkStart w:id="2788" w:name="_Toc144974871"/>
      <w:bookmarkStart w:id="2789" w:name="_Toc229305427"/>
      <w:bookmarkStart w:id="2790" w:name="_Toc222031069"/>
      <w:bookmarkStart w:id="2791" w:name="_Toc387753633"/>
      <w:bookmarkStart w:id="2792" w:name="_Toc2004082992"/>
      <w:bookmarkStart w:id="2793" w:name="_Toc221952115"/>
      <w:bookmarkStart w:id="2794" w:name="_Toc168476333"/>
      <w:bookmarkStart w:id="2795" w:name="_Toc6361"/>
      <w:bookmarkStart w:id="2796" w:name="_Toc168475930"/>
      <w:bookmarkStart w:id="2797" w:name="_Toc15492"/>
      <w:bookmarkStart w:id="2798" w:name="_Toc222029567"/>
      <w:bookmarkStart w:id="2799" w:name="_Toc222033918"/>
      <w:bookmarkStart w:id="2800" w:name="_Toc20175"/>
      <w:bookmarkStart w:id="2801" w:name="_Toc222032736"/>
      <w:bookmarkStart w:id="2802" w:name="_Toc61624211"/>
      <w:bookmarkStart w:id="2803" w:name="_Toc2786"/>
      <w:r>
        <w:rPr>
          <w:rFonts w:hint="eastAsia"/>
          <w:color w:val="auto"/>
          <w:highlight w:val="none"/>
        </w:rPr>
        <w:t>八</w:t>
      </w:r>
      <w:r>
        <w:rPr>
          <w:color w:val="auto"/>
          <w:highlight w:val="none"/>
        </w:rPr>
        <w:t>、项目管理机构</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pPr>
        <w:rPr>
          <w:color w:val="auto"/>
          <w:highlight w:val="none"/>
        </w:rPr>
      </w:pPr>
    </w:p>
    <w:p>
      <w:pPr>
        <w:pStyle w:val="38"/>
        <w:keepNext w:val="0"/>
        <w:keepLines w:val="0"/>
        <w:jc w:val="center"/>
        <w:outlineLvl w:val="3"/>
        <w:rPr>
          <w:b w:val="0"/>
          <w:color w:val="auto"/>
          <w:sz w:val="24"/>
          <w:szCs w:val="24"/>
          <w:highlight w:val="none"/>
        </w:rPr>
      </w:pPr>
      <w:bookmarkStart w:id="2804" w:name="_Toc1174334492"/>
      <w:bookmarkStart w:id="2805" w:name="_Toc1689960166"/>
      <w:bookmarkStart w:id="2806" w:name="_Toc426496250"/>
      <w:bookmarkStart w:id="2807" w:name="_Toc429598774"/>
      <w:bookmarkStart w:id="2808" w:name="_Toc22442"/>
      <w:bookmarkStart w:id="2809" w:name="_Toc17962"/>
      <w:bookmarkStart w:id="2810" w:name="_Toc826"/>
      <w:bookmarkStart w:id="2811" w:name="_Toc16273"/>
      <w:bookmarkStart w:id="2812" w:name="_Toc11413"/>
      <w:bookmarkStart w:id="2813" w:name="_Toc8429"/>
      <w:bookmarkStart w:id="2814" w:name="_Toc109149965"/>
      <w:r>
        <w:rPr>
          <w:rFonts w:hint="eastAsia"/>
          <w:b w:val="0"/>
          <w:color w:val="auto"/>
          <w:sz w:val="24"/>
          <w:szCs w:val="24"/>
          <w:highlight w:val="none"/>
        </w:rPr>
        <w:t>（一）项目管理机构主要人员表</w:t>
      </w:r>
      <w:bookmarkEnd w:id="2804"/>
      <w:bookmarkEnd w:id="2805"/>
      <w:bookmarkEnd w:id="2806"/>
      <w:bookmarkEnd w:id="2807"/>
      <w:bookmarkEnd w:id="2808"/>
      <w:bookmarkEnd w:id="2809"/>
      <w:bookmarkEnd w:id="2810"/>
      <w:bookmarkEnd w:id="2811"/>
      <w:bookmarkEnd w:id="2812"/>
      <w:bookmarkEnd w:id="2813"/>
      <w:bookmarkEnd w:id="2814"/>
    </w:p>
    <w:tbl>
      <w:tblPr>
        <w:tblStyle w:val="25"/>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962"/>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restart"/>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962" w:type="dxa"/>
            <w:vMerge w:val="restart"/>
            <w:vAlign w:val="center"/>
          </w:tcPr>
          <w:p>
            <w:pPr>
              <w:spacing w:line="42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职务</w:t>
            </w:r>
          </w:p>
        </w:tc>
        <w:tc>
          <w:tcPr>
            <w:tcW w:w="790" w:type="dxa"/>
            <w:vMerge w:val="restart"/>
            <w:vAlign w:val="center"/>
          </w:tcPr>
          <w:p>
            <w:pPr>
              <w:spacing w:line="24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510" w:type="dxa"/>
            <w:vMerge w:val="restart"/>
            <w:vAlign w:val="center"/>
          </w:tcPr>
          <w:p>
            <w:pPr>
              <w:spacing w:line="24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性别</w:t>
            </w:r>
          </w:p>
        </w:tc>
        <w:tc>
          <w:tcPr>
            <w:tcW w:w="720" w:type="dxa"/>
            <w:vMerge w:val="restart"/>
            <w:vAlign w:val="center"/>
          </w:tcPr>
          <w:p>
            <w:pPr>
              <w:spacing w:line="24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年龄</w:t>
            </w:r>
          </w:p>
        </w:tc>
        <w:tc>
          <w:tcPr>
            <w:tcW w:w="720" w:type="dxa"/>
            <w:vMerge w:val="restart"/>
            <w:vAlign w:val="center"/>
          </w:tcPr>
          <w:p>
            <w:pPr>
              <w:spacing w:line="24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学历</w:t>
            </w:r>
          </w:p>
        </w:tc>
        <w:tc>
          <w:tcPr>
            <w:tcW w:w="1210" w:type="dxa"/>
            <w:vMerge w:val="restart"/>
            <w:vAlign w:val="center"/>
          </w:tcPr>
          <w:p>
            <w:pPr>
              <w:spacing w:line="24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w:t>
            </w:r>
          </w:p>
        </w:tc>
        <w:tc>
          <w:tcPr>
            <w:tcW w:w="552" w:type="dxa"/>
            <w:vMerge w:val="restart"/>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专业工作年限</w:t>
            </w:r>
          </w:p>
        </w:tc>
        <w:tc>
          <w:tcPr>
            <w:tcW w:w="1620" w:type="dxa"/>
            <w:gridSpan w:val="3"/>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专业技术职称</w:t>
            </w:r>
          </w:p>
        </w:tc>
        <w:tc>
          <w:tcPr>
            <w:tcW w:w="3998" w:type="dxa"/>
            <w:gridSpan w:val="4"/>
            <w:vAlign w:val="center"/>
          </w:tcPr>
          <w:p>
            <w:pPr>
              <w:spacing w:line="42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执业或职业资格证明</w:t>
            </w:r>
          </w:p>
        </w:tc>
        <w:tc>
          <w:tcPr>
            <w:tcW w:w="1080" w:type="dxa"/>
            <w:vMerge w:val="restart"/>
            <w:vAlign w:val="center"/>
          </w:tcPr>
          <w:p>
            <w:pPr>
              <w:spacing w:line="42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社会保险</w:t>
            </w:r>
          </w:p>
        </w:tc>
        <w:tc>
          <w:tcPr>
            <w:tcW w:w="900" w:type="dxa"/>
            <w:vMerge w:val="restart"/>
            <w:vAlign w:val="center"/>
          </w:tcPr>
          <w:p>
            <w:pPr>
              <w:spacing w:line="420" w:lineRule="exact"/>
              <w:jc w:val="center"/>
              <w:rPr>
                <w:rFonts w:ascii="黑体" w:hAnsi="黑体" w:eastAsia="黑体" w:cs="黑体"/>
                <w:color w:val="auto"/>
                <w:szCs w:val="21"/>
                <w:highlight w:val="none"/>
              </w:rPr>
            </w:pPr>
            <w:r>
              <w:rPr>
                <w:rFonts w:hint="eastAsia" w:ascii="黑体" w:hAnsi="黑体" w:eastAsia="黑体" w:cs="黑体"/>
                <w:color w:val="auto"/>
                <w:szCs w:val="21"/>
                <w:highlight w:val="none"/>
              </w:rPr>
              <w:t>执业、</w:t>
            </w:r>
          </w:p>
          <w:p>
            <w:pPr>
              <w:spacing w:line="420" w:lineRule="exact"/>
              <w:jc w:val="center"/>
              <w:rPr>
                <w:rFonts w:ascii="黑体" w:hAnsi="黑体" w:eastAsia="黑体" w:cs="黑体"/>
                <w:color w:val="auto"/>
                <w:szCs w:val="21"/>
                <w:highlight w:val="none"/>
                <w:vertAlign w:val="superscript"/>
              </w:rPr>
            </w:pPr>
            <w:r>
              <w:rPr>
                <w:rFonts w:hint="eastAsia" w:ascii="黑体" w:hAnsi="黑体" w:eastAsia="黑体" w:cs="黑体"/>
                <w:color w:val="auto"/>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 w:type="dxa"/>
            <w:vMerge w:val="continue"/>
            <w:vAlign w:val="center"/>
          </w:tcPr>
          <w:p>
            <w:pPr>
              <w:jc w:val="center"/>
              <w:rPr>
                <w:rFonts w:ascii="黑体" w:hAnsi="黑体" w:eastAsia="黑体" w:cs="黑体"/>
                <w:color w:val="auto"/>
                <w:szCs w:val="21"/>
                <w:highlight w:val="none"/>
              </w:rPr>
            </w:pPr>
          </w:p>
        </w:tc>
        <w:tc>
          <w:tcPr>
            <w:tcW w:w="962" w:type="dxa"/>
            <w:vMerge w:val="continue"/>
            <w:vAlign w:val="center"/>
          </w:tcPr>
          <w:p>
            <w:pPr>
              <w:jc w:val="center"/>
              <w:rPr>
                <w:rFonts w:ascii="黑体" w:hAnsi="黑体" w:eastAsia="黑体" w:cs="黑体"/>
                <w:color w:val="auto"/>
                <w:szCs w:val="21"/>
                <w:highlight w:val="none"/>
              </w:rPr>
            </w:pPr>
          </w:p>
        </w:tc>
        <w:tc>
          <w:tcPr>
            <w:tcW w:w="790" w:type="dxa"/>
            <w:vMerge w:val="continue"/>
            <w:vAlign w:val="center"/>
          </w:tcPr>
          <w:p>
            <w:pPr>
              <w:spacing w:line="240" w:lineRule="exact"/>
              <w:jc w:val="center"/>
              <w:rPr>
                <w:rFonts w:ascii="黑体" w:hAnsi="黑体" w:eastAsia="黑体" w:cs="黑体"/>
                <w:color w:val="auto"/>
                <w:szCs w:val="21"/>
                <w:highlight w:val="none"/>
              </w:rPr>
            </w:pPr>
          </w:p>
        </w:tc>
        <w:tc>
          <w:tcPr>
            <w:tcW w:w="510" w:type="dxa"/>
            <w:vMerge w:val="continue"/>
            <w:vAlign w:val="center"/>
          </w:tcPr>
          <w:p>
            <w:pPr>
              <w:spacing w:line="240" w:lineRule="exact"/>
              <w:jc w:val="center"/>
              <w:rPr>
                <w:rFonts w:ascii="黑体" w:hAnsi="黑体" w:eastAsia="黑体" w:cs="黑体"/>
                <w:color w:val="auto"/>
                <w:szCs w:val="21"/>
                <w:highlight w:val="none"/>
              </w:rPr>
            </w:pPr>
          </w:p>
        </w:tc>
        <w:tc>
          <w:tcPr>
            <w:tcW w:w="720" w:type="dxa"/>
            <w:vMerge w:val="continue"/>
            <w:vAlign w:val="center"/>
          </w:tcPr>
          <w:p>
            <w:pPr>
              <w:spacing w:line="240" w:lineRule="exact"/>
              <w:jc w:val="center"/>
              <w:rPr>
                <w:rFonts w:ascii="黑体" w:hAnsi="黑体" w:eastAsia="黑体" w:cs="黑体"/>
                <w:color w:val="auto"/>
                <w:szCs w:val="21"/>
                <w:highlight w:val="none"/>
              </w:rPr>
            </w:pPr>
          </w:p>
        </w:tc>
        <w:tc>
          <w:tcPr>
            <w:tcW w:w="720" w:type="dxa"/>
            <w:vMerge w:val="continue"/>
            <w:vAlign w:val="center"/>
          </w:tcPr>
          <w:p>
            <w:pPr>
              <w:spacing w:line="240" w:lineRule="exact"/>
              <w:jc w:val="center"/>
              <w:rPr>
                <w:rFonts w:ascii="黑体" w:hAnsi="黑体" w:eastAsia="黑体" w:cs="黑体"/>
                <w:color w:val="auto"/>
                <w:szCs w:val="21"/>
                <w:highlight w:val="none"/>
              </w:rPr>
            </w:pPr>
          </w:p>
        </w:tc>
        <w:tc>
          <w:tcPr>
            <w:tcW w:w="1210" w:type="dxa"/>
            <w:vMerge w:val="continue"/>
            <w:vAlign w:val="center"/>
          </w:tcPr>
          <w:p>
            <w:pPr>
              <w:spacing w:line="240" w:lineRule="exact"/>
              <w:jc w:val="center"/>
              <w:rPr>
                <w:rFonts w:ascii="黑体" w:hAnsi="黑体" w:eastAsia="黑体" w:cs="黑体"/>
                <w:color w:val="auto"/>
                <w:szCs w:val="21"/>
                <w:highlight w:val="none"/>
              </w:rPr>
            </w:pPr>
          </w:p>
        </w:tc>
        <w:tc>
          <w:tcPr>
            <w:tcW w:w="552" w:type="dxa"/>
            <w:vMerge w:val="continue"/>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初级</w:t>
            </w:r>
          </w:p>
        </w:tc>
        <w:tc>
          <w:tcPr>
            <w:tcW w:w="540"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中级</w:t>
            </w:r>
          </w:p>
        </w:tc>
        <w:tc>
          <w:tcPr>
            <w:tcW w:w="540"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高级</w:t>
            </w:r>
          </w:p>
        </w:tc>
        <w:tc>
          <w:tcPr>
            <w:tcW w:w="1245"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622"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级别</w:t>
            </w:r>
          </w:p>
        </w:tc>
        <w:tc>
          <w:tcPr>
            <w:tcW w:w="1065"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证号</w:t>
            </w:r>
          </w:p>
        </w:tc>
        <w:tc>
          <w:tcPr>
            <w:tcW w:w="1066"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w:t>
            </w:r>
          </w:p>
        </w:tc>
        <w:tc>
          <w:tcPr>
            <w:tcW w:w="1080" w:type="dxa"/>
            <w:vMerge w:val="continue"/>
            <w:vAlign w:val="center"/>
          </w:tcPr>
          <w:p>
            <w:pPr>
              <w:jc w:val="center"/>
              <w:rPr>
                <w:rFonts w:ascii="黑体" w:hAnsi="黑体" w:eastAsia="黑体" w:cs="黑体"/>
                <w:color w:val="auto"/>
                <w:szCs w:val="21"/>
                <w:highlight w:val="none"/>
              </w:rPr>
            </w:pPr>
          </w:p>
        </w:tc>
        <w:tc>
          <w:tcPr>
            <w:tcW w:w="900" w:type="dxa"/>
            <w:vMerge w:val="continue"/>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1</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2</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3</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4</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5</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6</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7</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8</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eastAsia="黑体"/>
                <w:color w:val="auto"/>
                <w:szCs w:val="21"/>
                <w:highlight w:val="none"/>
              </w:rPr>
            </w:pPr>
            <w:r>
              <w:rPr>
                <w:rFonts w:eastAsia="黑体"/>
                <w:color w:val="auto"/>
                <w:szCs w:val="21"/>
                <w:highlight w:val="none"/>
              </w:rPr>
              <w:t>9</w:t>
            </w:r>
          </w:p>
        </w:tc>
        <w:tc>
          <w:tcPr>
            <w:tcW w:w="962" w:type="dxa"/>
            <w:vAlign w:val="center"/>
          </w:tcPr>
          <w:p>
            <w:pPr>
              <w:jc w:val="center"/>
              <w:rPr>
                <w:rFonts w:eastAsia="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18"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w:t>
            </w:r>
          </w:p>
        </w:tc>
        <w:tc>
          <w:tcPr>
            <w:tcW w:w="962" w:type="dxa"/>
            <w:vAlign w:val="center"/>
          </w:tcPr>
          <w:p>
            <w:pPr>
              <w:jc w:val="center"/>
              <w:rPr>
                <w:rFonts w:ascii="黑体" w:hAnsi="黑体" w:eastAsia="黑体" w:cs="黑体"/>
                <w:color w:val="auto"/>
                <w:szCs w:val="21"/>
                <w:highlight w:val="none"/>
              </w:rPr>
            </w:pPr>
          </w:p>
        </w:tc>
        <w:tc>
          <w:tcPr>
            <w:tcW w:w="790" w:type="dxa"/>
            <w:vAlign w:val="center"/>
          </w:tcPr>
          <w:p>
            <w:pPr>
              <w:spacing w:line="240" w:lineRule="exact"/>
              <w:jc w:val="center"/>
              <w:rPr>
                <w:rFonts w:ascii="黑体" w:hAnsi="黑体" w:eastAsia="黑体" w:cs="黑体"/>
                <w:color w:val="auto"/>
                <w:szCs w:val="21"/>
                <w:highlight w:val="none"/>
              </w:rPr>
            </w:pPr>
          </w:p>
        </w:tc>
        <w:tc>
          <w:tcPr>
            <w:tcW w:w="51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720" w:type="dxa"/>
            <w:vAlign w:val="center"/>
          </w:tcPr>
          <w:p>
            <w:pPr>
              <w:spacing w:line="240" w:lineRule="exact"/>
              <w:jc w:val="center"/>
              <w:rPr>
                <w:rFonts w:ascii="黑体" w:hAnsi="黑体" w:eastAsia="黑体" w:cs="黑体"/>
                <w:color w:val="auto"/>
                <w:szCs w:val="21"/>
                <w:highlight w:val="none"/>
              </w:rPr>
            </w:pPr>
          </w:p>
        </w:tc>
        <w:tc>
          <w:tcPr>
            <w:tcW w:w="1210" w:type="dxa"/>
            <w:vAlign w:val="center"/>
          </w:tcPr>
          <w:p>
            <w:pPr>
              <w:spacing w:line="240" w:lineRule="exact"/>
              <w:jc w:val="center"/>
              <w:rPr>
                <w:rFonts w:ascii="黑体" w:hAnsi="黑体" w:eastAsia="黑体" w:cs="黑体"/>
                <w:color w:val="auto"/>
                <w:szCs w:val="21"/>
                <w:highlight w:val="none"/>
              </w:rPr>
            </w:pPr>
          </w:p>
        </w:tc>
        <w:tc>
          <w:tcPr>
            <w:tcW w:w="552"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540" w:type="dxa"/>
            <w:vAlign w:val="center"/>
          </w:tcPr>
          <w:p>
            <w:pPr>
              <w:jc w:val="center"/>
              <w:rPr>
                <w:rFonts w:ascii="黑体" w:hAnsi="黑体" w:eastAsia="黑体" w:cs="黑体"/>
                <w:color w:val="auto"/>
                <w:szCs w:val="21"/>
                <w:highlight w:val="none"/>
              </w:rPr>
            </w:pPr>
          </w:p>
        </w:tc>
        <w:tc>
          <w:tcPr>
            <w:tcW w:w="1245" w:type="dxa"/>
            <w:vAlign w:val="center"/>
          </w:tcPr>
          <w:p>
            <w:pPr>
              <w:jc w:val="center"/>
              <w:rPr>
                <w:rFonts w:ascii="黑体" w:hAnsi="黑体" w:eastAsia="黑体" w:cs="黑体"/>
                <w:color w:val="auto"/>
                <w:szCs w:val="21"/>
                <w:highlight w:val="none"/>
              </w:rPr>
            </w:pPr>
          </w:p>
        </w:tc>
        <w:tc>
          <w:tcPr>
            <w:tcW w:w="622" w:type="dxa"/>
            <w:vAlign w:val="center"/>
          </w:tcPr>
          <w:p>
            <w:pPr>
              <w:jc w:val="center"/>
              <w:rPr>
                <w:rFonts w:ascii="黑体" w:hAnsi="黑体" w:eastAsia="黑体" w:cs="黑体"/>
                <w:color w:val="auto"/>
                <w:szCs w:val="21"/>
                <w:highlight w:val="none"/>
              </w:rPr>
            </w:pPr>
          </w:p>
        </w:tc>
        <w:tc>
          <w:tcPr>
            <w:tcW w:w="1065" w:type="dxa"/>
            <w:vAlign w:val="center"/>
          </w:tcPr>
          <w:p>
            <w:pPr>
              <w:jc w:val="center"/>
              <w:rPr>
                <w:rFonts w:ascii="黑体" w:hAnsi="黑体" w:eastAsia="黑体" w:cs="黑体"/>
                <w:color w:val="auto"/>
                <w:szCs w:val="21"/>
                <w:highlight w:val="none"/>
              </w:rPr>
            </w:pPr>
          </w:p>
        </w:tc>
        <w:tc>
          <w:tcPr>
            <w:tcW w:w="1066" w:type="dxa"/>
            <w:vAlign w:val="center"/>
          </w:tcPr>
          <w:p>
            <w:pPr>
              <w:jc w:val="center"/>
              <w:rPr>
                <w:rFonts w:ascii="黑体" w:hAnsi="黑体" w:eastAsia="黑体" w:cs="黑体"/>
                <w:color w:val="auto"/>
                <w:szCs w:val="21"/>
                <w:highlight w:val="none"/>
              </w:rPr>
            </w:pPr>
          </w:p>
        </w:tc>
        <w:tc>
          <w:tcPr>
            <w:tcW w:w="1080" w:type="dxa"/>
            <w:vAlign w:val="center"/>
          </w:tcPr>
          <w:p>
            <w:pPr>
              <w:jc w:val="center"/>
              <w:rPr>
                <w:rFonts w:ascii="黑体" w:hAnsi="黑体" w:eastAsia="黑体" w:cs="黑体"/>
                <w:color w:val="auto"/>
                <w:szCs w:val="21"/>
                <w:highlight w:val="none"/>
              </w:rPr>
            </w:pPr>
          </w:p>
        </w:tc>
        <w:tc>
          <w:tcPr>
            <w:tcW w:w="900" w:type="dxa"/>
            <w:vAlign w:val="center"/>
          </w:tcPr>
          <w:p>
            <w:pPr>
              <w:jc w:val="center"/>
              <w:rPr>
                <w:rFonts w:ascii="黑体" w:hAnsi="黑体" w:eastAsia="黑体" w:cs="黑体"/>
                <w:color w:val="auto"/>
                <w:szCs w:val="21"/>
                <w:highlight w:val="none"/>
              </w:rPr>
            </w:pPr>
          </w:p>
        </w:tc>
      </w:tr>
    </w:tbl>
    <w:p>
      <w:pPr>
        <w:spacing w:line="336" w:lineRule="auto"/>
        <w:ind w:left="630" w:hanging="630" w:hangingChars="300"/>
        <w:rPr>
          <w:rFonts w:ascii="宋体" w:hAnsi="宋体"/>
          <w:color w:val="auto"/>
          <w:szCs w:val="21"/>
          <w:highlight w:val="none"/>
        </w:rPr>
      </w:pPr>
      <w:r>
        <w:rPr>
          <w:rFonts w:hint="eastAsia"/>
          <w:color w:val="auto"/>
          <w:highlight w:val="none"/>
        </w:rPr>
        <w:t>备注</w:t>
      </w:r>
      <w:r>
        <w:rPr>
          <w:color w:val="auto"/>
          <w:highlight w:val="none"/>
        </w:rPr>
        <w:t>：</w:t>
      </w:r>
      <w:r>
        <w:rPr>
          <w:rFonts w:hint="eastAsia"/>
          <w:color w:val="auto"/>
          <w:szCs w:val="21"/>
          <w:highlight w:val="none"/>
        </w:rPr>
        <w:t>1</w:t>
      </w:r>
      <w:r>
        <w:rPr>
          <w:rFonts w:hint="eastAsia" w:ascii="宋体" w:hAnsi="宋体"/>
          <w:color w:val="auto"/>
          <w:szCs w:val="21"/>
          <w:highlight w:val="none"/>
        </w:rPr>
        <w:t>．执业、职业单位指拟投入的项目管理机构人员目前是否在投标人处注册执业或岗位登记</w:t>
      </w:r>
      <w:r>
        <w:rPr>
          <w:rFonts w:ascii="宋体" w:hAnsi="宋体"/>
          <w:color w:val="auto"/>
          <w:szCs w:val="21"/>
          <w:highlight w:val="none"/>
        </w:rPr>
        <w:t>。</w:t>
      </w:r>
    </w:p>
    <w:p>
      <w:pPr>
        <w:spacing w:line="336" w:lineRule="auto"/>
        <w:ind w:left="945" w:leftChars="300" w:hanging="315" w:hangingChars="150"/>
        <w:rPr>
          <w:color w:val="auto"/>
          <w:highlight w:val="none"/>
        </w:rPr>
      </w:pPr>
      <w:r>
        <w:rPr>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的扫描件。</w:t>
      </w:r>
      <w:r>
        <w:rPr>
          <w:rFonts w:ascii="宋体" w:hAnsi="宋体"/>
          <w:color w:val="auto"/>
          <w:szCs w:val="21"/>
          <w:highlight w:val="non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pPr>
        <w:spacing w:line="336" w:lineRule="auto"/>
        <w:rPr>
          <w:color w:val="auto"/>
          <w:highlight w:val="none"/>
        </w:rPr>
      </w:pPr>
    </w:p>
    <w:bookmarkEnd w:id="2655"/>
    <w:bookmarkEnd w:id="2656"/>
    <w:bookmarkEnd w:id="2657"/>
    <w:bookmarkEnd w:id="2658"/>
    <w:p>
      <w:pPr>
        <w:spacing w:line="420" w:lineRule="exact"/>
        <w:ind w:left="945" w:leftChars="300" w:hanging="315" w:hangingChars="150"/>
        <w:rPr>
          <w:rFonts w:ascii="宋体" w:hAnsi="宋体"/>
          <w:color w:val="auto"/>
          <w:szCs w:val="21"/>
          <w:highlight w:val="none"/>
        </w:rPr>
      </w:pPr>
      <w:bookmarkStart w:id="2815" w:name="_Toc288066321"/>
      <w:bookmarkStart w:id="2816" w:name="_Toc323220049"/>
      <w:bookmarkStart w:id="2817" w:name="_Toc279401977"/>
      <w:bookmarkStart w:id="2818" w:name="_Toc336192500"/>
    </w:p>
    <w:p>
      <w:pPr>
        <w:rPr>
          <w:color w:val="auto"/>
          <w:highlight w:val="none"/>
        </w:rPr>
        <w:sectPr>
          <w:pgSz w:w="16838" w:h="11906" w:orient="landscape"/>
          <w:pgMar w:top="1417" w:right="1418" w:bottom="1417" w:left="1418" w:header="851" w:footer="992" w:gutter="0"/>
          <w:cols w:space="0" w:num="1"/>
          <w:docGrid w:linePitch="312" w:charSpace="0"/>
        </w:sectPr>
      </w:pPr>
    </w:p>
    <w:p>
      <w:pPr>
        <w:pStyle w:val="38"/>
        <w:keepNext w:val="0"/>
        <w:keepLines w:val="0"/>
        <w:jc w:val="center"/>
        <w:outlineLvl w:val="3"/>
        <w:rPr>
          <w:b w:val="0"/>
          <w:color w:val="auto"/>
          <w:sz w:val="24"/>
          <w:szCs w:val="24"/>
          <w:highlight w:val="none"/>
        </w:rPr>
      </w:pPr>
      <w:bookmarkStart w:id="2819" w:name="_Toc21516"/>
      <w:bookmarkStart w:id="2820" w:name="_Toc11107"/>
      <w:bookmarkStart w:id="2821" w:name="_Toc1703408677"/>
      <w:bookmarkStart w:id="2822" w:name="_Toc109149966"/>
      <w:bookmarkStart w:id="2823" w:name="_Toc169727211"/>
      <w:bookmarkStart w:id="2824" w:name="_Toc25403"/>
      <w:bookmarkStart w:id="2825" w:name="_Toc6270"/>
      <w:bookmarkStart w:id="2826" w:name="_Toc429598775"/>
      <w:bookmarkStart w:id="2827" w:name="_Toc5879"/>
      <w:bookmarkStart w:id="2828" w:name="_Toc426496251"/>
      <w:bookmarkStart w:id="2829" w:name="_Toc11165"/>
      <w:r>
        <w:rPr>
          <w:rFonts w:hint="eastAsia"/>
          <w:b w:val="0"/>
          <w:color w:val="auto"/>
          <w:sz w:val="24"/>
          <w:szCs w:val="24"/>
          <w:highlight w:val="none"/>
        </w:rPr>
        <w:t>（二）项目负责人简历表</w:t>
      </w:r>
      <w:bookmarkEnd w:id="2819"/>
      <w:bookmarkEnd w:id="2820"/>
      <w:bookmarkEnd w:id="2821"/>
      <w:bookmarkEnd w:id="2822"/>
      <w:bookmarkEnd w:id="2823"/>
      <w:bookmarkEnd w:id="2824"/>
      <w:bookmarkEnd w:id="2825"/>
      <w:bookmarkEnd w:id="2826"/>
      <w:bookmarkEnd w:id="2827"/>
      <w:bookmarkEnd w:id="2828"/>
      <w:bookmarkEnd w:id="2829"/>
    </w:p>
    <w:p>
      <w:pPr>
        <w:spacing w:line="420" w:lineRule="exact"/>
        <w:ind w:left="1120" w:hanging="1120" w:hangingChars="400"/>
        <w:rPr>
          <w:color w:val="auto"/>
          <w:sz w:val="28"/>
          <w:szCs w:val="28"/>
          <w:highlight w:val="none"/>
        </w:rPr>
      </w:pP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1035" w:type="dxa"/>
            <w:gridSpan w:val="2"/>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职  称</w:t>
            </w:r>
          </w:p>
        </w:tc>
        <w:tc>
          <w:tcPr>
            <w:tcW w:w="3444" w:type="dxa"/>
            <w:gridSpan w:val="4"/>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160" w:type="dxa"/>
            <w:vAlign w:val="center"/>
          </w:tcPr>
          <w:p>
            <w:pPr>
              <w:jc w:val="center"/>
              <w:rPr>
                <w:rFonts w:ascii="宋体" w:hAnsi="宋体"/>
                <w:color w:val="auto"/>
                <w:szCs w:val="21"/>
                <w:highlight w:val="none"/>
              </w:rPr>
            </w:pPr>
            <w:r>
              <w:rPr>
                <w:rFonts w:hint="eastAsia" w:ascii="宋体" w:hAnsi="宋体"/>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建造师专业</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559" w:type="dxa"/>
            <w:gridSpan w:val="4"/>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毕业学校</w:t>
            </w:r>
          </w:p>
        </w:tc>
        <w:tc>
          <w:tcPr>
            <w:tcW w:w="7728" w:type="dxa"/>
            <w:gridSpan w:val="7"/>
            <w:vAlign w:val="center"/>
          </w:tcPr>
          <w:p>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pPr>
              <w:ind w:firstLine="840" w:firstLineChars="400"/>
              <w:rPr>
                <w:rFonts w:ascii="宋体" w:hAnsi="宋体"/>
                <w:color w:val="auto"/>
                <w:szCs w:val="21"/>
                <w:highlight w:val="none"/>
              </w:rPr>
            </w:pPr>
            <w:r>
              <w:rPr>
                <w:rFonts w:hint="eastAsia"/>
                <w:color w:val="auto"/>
                <w:szCs w:val="21"/>
                <w:highlight w:val="none"/>
              </w:rPr>
              <w:t>参加工作时间</w:t>
            </w:r>
          </w:p>
        </w:tc>
        <w:tc>
          <w:tcPr>
            <w:tcW w:w="1275" w:type="dxa"/>
            <w:vAlign w:val="center"/>
          </w:tcPr>
          <w:p>
            <w:pPr>
              <w:ind w:firstLine="840" w:firstLineChars="400"/>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ascii="宋体" w:hAnsi="宋体"/>
                <w:color w:val="auto"/>
                <w:szCs w:val="21"/>
                <w:highlight w:val="none"/>
              </w:rPr>
              <w:t>专业</w:t>
            </w:r>
            <w:r>
              <w:rPr>
                <w:rFonts w:hint="eastAsia" w:ascii="宋体" w:hAnsi="宋体"/>
                <w:color w:val="auto"/>
                <w:szCs w:val="21"/>
                <w:highlight w:val="none"/>
              </w:rPr>
              <w:t>工作年限</w:t>
            </w:r>
          </w:p>
        </w:tc>
        <w:tc>
          <w:tcPr>
            <w:tcW w:w="2160" w:type="dxa"/>
            <w:vAlign w:val="center"/>
          </w:tcPr>
          <w:p>
            <w:pPr>
              <w:ind w:firstLine="840" w:firstLineChars="4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8"/>
            <w:vAlign w:val="center"/>
          </w:tcPr>
          <w:p>
            <w:pPr>
              <w:jc w:val="center"/>
              <w:rPr>
                <w:rFonts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担任过类似工程项目负责人的项目名称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担任过其他项目项目负责人的项目名称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bl>
    <w:p>
      <w:pPr>
        <w:spacing w:line="420" w:lineRule="exact"/>
        <w:ind w:left="840" w:hanging="840" w:hangingChars="400"/>
        <w:rPr>
          <w:rFonts w:ascii="宋体" w:hAnsi="宋体"/>
          <w:color w:val="auto"/>
          <w:highlight w:val="none"/>
        </w:rPr>
      </w:pPr>
    </w:p>
    <w:p>
      <w:pPr>
        <w:ind w:left="840" w:hanging="840" w:hangingChars="40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.项目负责人的证明资料按下列顺序附后，建造师资格证书</w:t>
      </w:r>
      <w:r>
        <w:rPr>
          <w:rFonts w:hint="eastAsia" w:ascii="宋体" w:hAnsi="宋体"/>
          <w:color w:val="auto"/>
          <w:szCs w:val="21"/>
          <w:highlight w:val="none"/>
        </w:rPr>
        <w:t>（如有）</w:t>
      </w:r>
      <w:r>
        <w:rPr>
          <w:rFonts w:hint="eastAsia" w:ascii="宋体" w:hAnsi="宋体"/>
          <w:color w:val="auto"/>
          <w:highlight w:val="none"/>
        </w:rPr>
        <w:t>、注册证书、安全生产考核合格证书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、职称证、学历证</w:t>
      </w:r>
      <w:r>
        <w:rPr>
          <w:rFonts w:hint="eastAsia" w:ascii="宋体" w:hAnsi="宋体"/>
          <w:color w:val="auto"/>
          <w:szCs w:val="21"/>
          <w:highlight w:val="none"/>
        </w:rPr>
        <w:t>扫描件</w:t>
      </w:r>
      <w:r>
        <w:rPr>
          <w:rFonts w:hint="eastAsia" w:ascii="宋体" w:hAnsi="宋体"/>
          <w:color w:val="auto"/>
          <w:highlight w:val="none"/>
        </w:rPr>
        <w:t>。</w:t>
      </w:r>
    </w:p>
    <w:p>
      <w:pPr>
        <w:ind w:left="840" w:leftChars="300" w:hanging="210" w:hangingChars="100"/>
        <w:rPr>
          <w:rFonts w:ascii="宋体" w:hAnsi="宋体"/>
          <w:color w:val="auto"/>
          <w:szCs w:val="21"/>
          <w:highlight w:val="none"/>
        </w:rPr>
        <w:sectPr>
          <w:pgSz w:w="11906" w:h="16838"/>
          <w:pgMar w:top="2098" w:right="1446" w:bottom="1984" w:left="1446" w:header="851" w:footer="1446" w:gutter="0"/>
          <w:cols w:space="0" w:num="1"/>
          <w:docGrid w:linePitch="312" w:charSpace="0"/>
        </w:sectPr>
      </w:pPr>
      <w:r>
        <w:rPr>
          <w:rFonts w:hint="eastAsia"/>
          <w:color w:val="auto"/>
          <w:highlight w:val="none"/>
        </w:rPr>
        <w:t>2</w:t>
      </w:r>
      <w:r>
        <w:rPr>
          <w:rFonts w:hint="eastAsia" w:ascii="宋体" w:hAnsi="宋体"/>
          <w:color w:val="auto"/>
          <w:szCs w:val="21"/>
          <w:highlight w:val="none"/>
        </w:rPr>
        <w:t>.担任过类似工程项目负责人</w:t>
      </w:r>
      <w:r>
        <w:rPr>
          <w:rFonts w:hint="eastAsia" w:ascii="宋体" w:hAnsi="宋体"/>
          <w:color w:val="auto"/>
          <w:highlight w:val="none"/>
        </w:rPr>
        <w:t>的证明资料应分别附</w:t>
      </w:r>
      <w:r>
        <w:rPr>
          <w:rFonts w:hint="eastAsia" w:ascii="宋体" w:hAnsi="宋体"/>
          <w:color w:val="auto"/>
          <w:szCs w:val="21"/>
          <w:highlight w:val="none"/>
        </w:rPr>
        <w:t>中标通知书</w:t>
      </w:r>
      <w:r>
        <w:rPr>
          <w:rFonts w:ascii="宋体" w:hAnsi="宋体"/>
          <w:color w:val="auto"/>
          <w:szCs w:val="21"/>
          <w:highlight w:val="none"/>
        </w:rPr>
        <w:t>（如有）</w:t>
      </w:r>
      <w:r>
        <w:rPr>
          <w:rFonts w:hint="eastAsia" w:ascii="宋体" w:hAnsi="宋体"/>
          <w:color w:val="auto"/>
          <w:szCs w:val="21"/>
          <w:highlight w:val="none"/>
        </w:rPr>
        <w:t>、合同协议书及</w:t>
      </w:r>
      <w:r>
        <w:rPr>
          <w:rFonts w:hint="eastAsia" w:ascii="宋体" w:hAnsi="宋体" w:cs="宋体"/>
          <w:color w:val="auto"/>
          <w:szCs w:val="21"/>
          <w:highlight w:val="none"/>
        </w:rPr>
        <w:t>竣工验收证明等</w:t>
      </w:r>
      <w:r>
        <w:rPr>
          <w:rFonts w:hint="eastAsia" w:ascii="宋体" w:hAnsi="宋体"/>
          <w:color w:val="auto"/>
          <w:szCs w:val="21"/>
          <w:highlight w:val="none"/>
        </w:rPr>
        <w:t>的扫描件。</w:t>
      </w:r>
    </w:p>
    <w:p>
      <w:pPr>
        <w:pStyle w:val="38"/>
        <w:keepNext w:val="0"/>
        <w:keepLines w:val="0"/>
        <w:jc w:val="center"/>
        <w:outlineLvl w:val="3"/>
        <w:rPr>
          <w:b w:val="0"/>
          <w:color w:val="auto"/>
          <w:sz w:val="24"/>
          <w:szCs w:val="24"/>
          <w:highlight w:val="none"/>
        </w:rPr>
      </w:pPr>
      <w:bookmarkStart w:id="2830" w:name="_Toc15573"/>
      <w:bookmarkStart w:id="2831" w:name="_Toc620515252"/>
      <w:bookmarkStart w:id="2832" w:name="_Toc21276"/>
      <w:bookmarkStart w:id="2833" w:name="_Toc426496252"/>
      <w:bookmarkStart w:id="2834" w:name="_Toc21158"/>
      <w:bookmarkStart w:id="2835" w:name="_Toc28732"/>
      <w:bookmarkStart w:id="2836" w:name="_Toc19263"/>
      <w:bookmarkStart w:id="2837" w:name="_Toc617328279"/>
      <w:bookmarkStart w:id="2838" w:name="_Toc109149967"/>
      <w:bookmarkStart w:id="2839" w:name="_Toc429598776"/>
      <w:bookmarkStart w:id="2840" w:name="_Toc2746"/>
      <w:r>
        <w:rPr>
          <w:rFonts w:hint="eastAsia"/>
          <w:b w:val="0"/>
          <w:color w:val="auto"/>
          <w:sz w:val="24"/>
          <w:szCs w:val="24"/>
          <w:highlight w:val="none"/>
        </w:rPr>
        <w:t>（三）拟派项目负责人无在建项目的承诺书</w:t>
      </w:r>
      <w:bookmarkEnd w:id="2830"/>
      <w:bookmarkEnd w:id="2831"/>
      <w:bookmarkEnd w:id="2832"/>
      <w:bookmarkEnd w:id="2833"/>
      <w:bookmarkEnd w:id="2834"/>
      <w:bookmarkEnd w:id="2835"/>
      <w:bookmarkEnd w:id="2836"/>
      <w:bookmarkEnd w:id="2837"/>
      <w:bookmarkEnd w:id="2838"/>
      <w:bookmarkEnd w:id="2839"/>
      <w:bookmarkEnd w:id="2840"/>
    </w:p>
    <w:p>
      <w:pPr>
        <w:spacing w:line="336" w:lineRule="auto"/>
        <w:rPr>
          <w:rFonts w:ascii="宋体" w:hAnsi="宋体"/>
          <w:color w:val="auto"/>
          <w:highlight w:val="none"/>
          <w:u w:val="single"/>
        </w:rPr>
      </w:pPr>
    </w:p>
    <w:p>
      <w:pPr>
        <w:spacing w:line="336" w:lineRule="auto"/>
        <w:ind w:firstLine="210" w:firstLineChars="10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（招标人名称）：</w:t>
      </w:r>
    </w:p>
    <w:p>
      <w:pPr>
        <w:spacing w:line="336" w:lineRule="auto"/>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（项目名称）（以下简称“本工程”）的项目负责人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（项目负责人姓名） 现阶段（投标截止时间之前）没有担</w:t>
      </w:r>
      <w:r>
        <w:rPr>
          <w:rFonts w:hint="eastAsia"/>
          <w:color w:val="auto"/>
          <w:szCs w:val="21"/>
          <w:highlight w:val="none"/>
        </w:rPr>
        <w:t>其他</w:t>
      </w:r>
      <w:r>
        <w:rPr>
          <w:rFonts w:hint="eastAsia" w:ascii="宋体" w:hAnsi="宋体"/>
          <w:color w:val="auto"/>
          <w:szCs w:val="21"/>
          <w:highlight w:val="none"/>
        </w:rPr>
        <w:t>在建工程项目的项目负责人。</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 第十条规定“注册建造师担任施工项目负责人期间原则上不得更换”。我方拟派项目负责人的能够参加本工程的投标是基于以下理由：</w:t>
      </w:r>
    </w:p>
    <w:p>
      <w:pPr>
        <w:spacing w:line="336" w:lineRule="auto"/>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拟派项目负责人存在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w:t>
      </w:r>
      <w:r>
        <w:rPr>
          <w:color w:val="auto"/>
          <w:szCs w:val="21"/>
          <w:highlight w:val="none"/>
        </w:rPr>
        <w:t>120</w:t>
      </w:r>
      <w:r>
        <w:rPr>
          <w:rFonts w:ascii="宋体" w:hAnsi="宋体"/>
          <w:color w:val="auto"/>
          <w:szCs w:val="21"/>
          <w:highlight w:val="none"/>
        </w:rPr>
        <w:t>天（含），经建设单位同意的。</w:t>
      </w:r>
    </w:p>
    <w:p>
      <w:pPr>
        <w:spacing w:line="336" w:lineRule="auto"/>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拟派项目负责人担任其他施工项目负责人期间因下列原因进行了更换，并办理书面交接手续：</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pPr>
        <w:spacing w:line="336" w:lineRule="auto"/>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我方在此声明，如拟派项目负责人参加不同工程项目投标，我方先后被列为第一中标候选人，我方将无条件放弃评标结果后公示的工程建设项目的中标资格。</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36" w:lineRule="auto"/>
        <w:jc w:val="right"/>
        <w:rPr>
          <w:rFonts w:ascii="宋体" w:hAnsi="宋体"/>
          <w:color w:val="auto"/>
          <w:szCs w:val="21"/>
          <w:highlight w:val="none"/>
        </w:rPr>
      </w:pPr>
      <w:r>
        <w:rPr>
          <w:rFonts w:hint="eastAsia" w:ascii="宋体" w:hAnsi="宋体"/>
          <w:color w:val="auto"/>
          <w:szCs w:val="21"/>
          <w:highlight w:val="none"/>
        </w:rPr>
        <w:t>投标人：（盖单位章）</w:t>
      </w:r>
    </w:p>
    <w:p>
      <w:pPr>
        <w:spacing w:line="336" w:lineRule="auto"/>
        <w:jc w:val="right"/>
        <w:rPr>
          <w:rFonts w:ascii="宋体" w:hAnsi="宋体"/>
          <w:color w:val="auto"/>
          <w:szCs w:val="21"/>
          <w:highlight w:val="none"/>
        </w:rPr>
      </w:pPr>
      <w:r>
        <w:rPr>
          <w:rFonts w:hint="eastAsia" w:ascii="宋体" w:hAnsi="宋体"/>
          <w:color w:val="auto"/>
          <w:szCs w:val="21"/>
          <w:highlight w:val="none"/>
        </w:rPr>
        <w:t>法定代表人：（签字）</w:t>
      </w:r>
    </w:p>
    <w:p>
      <w:pPr>
        <w:spacing w:line="336" w:lineRule="auto"/>
        <w:jc w:val="right"/>
        <w:rPr>
          <w:rFonts w:ascii="宋体" w:hAnsi="宋体"/>
          <w:color w:val="auto"/>
          <w:szCs w:val="21"/>
          <w:highlight w:val="none"/>
        </w:rPr>
      </w:pPr>
      <w:r>
        <w:rPr>
          <w:rFonts w:hint="eastAsia" w:ascii="宋体" w:hAnsi="宋体"/>
          <w:color w:val="auto"/>
          <w:szCs w:val="21"/>
          <w:highlight w:val="none"/>
        </w:rPr>
        <w:t>年月日</w:t>
      </w:r>
    </w:p>
    <w:p>
      <w:pPr>
        <w:spacing w:line="336" w:lineRule="auto"/>
        <w:jc w:val="right"/>
        <w:rPr>
          <w:rFonts w:ascii="宋体" w:hAnsi="宋体"/>
          <w:color w:val="auto"/>
          <w:szCs w:val="21"/>
          <w:highlight w:val="none"/>
        </w:rPr>
      </w:pPr>
    </w:p>
    <w:p>
      <w:pPr>
        <w:spacing w:line="336" w:lineRule="auto"/>
        <w:ind w:left="840" w:hanging="840" w:hangingChars="400"/>
        <w:rPr>
          <w:rFonts w:ascii="宋体" w:hAnsi="宋体"/>
          <w:color w:val="auto"/>
          <w:szCs w:val="21"/>
          <w:highlight w:val="none"/>
        </w:rPr>
      </w:pPr>
    </w:p>
    <w:p>
      <w:pPr>
        <w:spacing w:line="336" w:lineRule="auto"/>
        <w:ind w:left="840" w:hanging="840" w:hangingChars="400"/>
        <w:rPr>
          <w:rFonts w:ascii="宋体" w:hAnsi="宋体"/>
          <w:color w:val="auto"/>
          <w:szCs w:val="21"/>
          <w:highlight w:val="none"/>
        </w:rPr>
      </w:pPr>
    </w:p>
    <w:p>
      <w:pPr>
        <w:spacing w:line="336" w:lineRule="auto"/>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.投标人应当根据“承诺书”的格式，如实说明拟派项目负责人能够参加本工程投标的理由，并附相关证明材料的扫描件。</w:t>
      </w:r>
    </w:p>
    <w:p>
      <w:pPr>
        <w:spacing w:line="336" w:lineRule="auto"/>
        <w:ind w:left="630" w:leftChars="300"/>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.投标人“承诺书”的实质内容应当与格式规定的实质内容一致。</w:t>
      </w:r>
    </w:p>
    <w:p>
      <w:pPr>
        <w:spacing w:line="336" w:lineRule="auto"/>
        <w:rPr>
          <w:color w:val="auto"/>
          <w:highlight w:val="none"/>
        </w:rPr>
      </w:pPr>
    </w:p>
    <w:p>
      <w:pPr>
        <w:spacing w:line="336" w:lineRule="auto"/>
        <w:rPr>
          <w:color w:val="auto"/>
          <w:highlight w:val="none"/>
        </w:rPr>
        <w:sectPr>
          <w:pgSz w:w="11906" w:h="16838"/>
          <w:pgMar w:top="2098" w:right="1446" w:bottom="1984" w:left="1446" w:header="851" w:footer="1446" w:gutter="0"/>
          <w:cols w:space="0" w:num="1"/>
          <w:docGrid w:linePitch="312" w:charSpace="0"/>
        </w:sectPr>
      </w:pPr>
    </w:p>
    <w:p>
      <w:pPr>
        <w:pStyle w:val="38"/>
        <w:keepNext w:val="0"/>
        <w:keepLines w:val="0"/>
        <w:jc w:val="center"/>
        <w:outlineLvl w:val="3"/>
        <w:rPr>
          <w:b w:val="0"/>
          <w:color w:val="auto"/>
          <w:sz w:val="24"/>
          <w:szCs w:val="24"/>
          <w:highlight w:val="none"/>
        </w:rPr>
      </w:pPr>
      <w:bookmarkStart w:id="2841" w:name="_Toc1110494306"/>
      <w:bookmarkStart w:id="2842" w:name="_Toc435088357"/>
      <w:bookmarkStart w:id="2843" w:name="_Toc9689"/>
      <w:bookmarkStart w:id="2844" w:name="_Toc25615"/>
      <w:bookmarkStart w:id="2845" w:name="_Toc13156"/>
      <w:bookmarkStart w:id="2846" w:name="_Toc29656"/>
      <w:bookmarkStart w:id="2847" w:name="_Toc109149968"/>
      <w:bookmarkStart w:id="2848" w:name="_Toc429598777"/>
      <w:bookmarkStart w:id="2849" w:name="_Toc25212"/>
      <w:bookmarkStart w:id="2850" w:name="_Toc17076"/>
      <w:r>
        <w:rPr>
          <w:rFonts w:hint="eastAsia"/>
          <w:b w:val="0"/>
          <w:color w:val="auto"/>
          <w:sz w:val="24"/>
          <w:szCs w:val="24"/>
          <w:highlight w:val="none"/>
        </w:rPr>
        <w:t>（四）项目技术负责人简历表</w:t>
      </w:r>
      <w:bookmarkEnd w:id="2841"/>
      <w:bookmarkEnd w:id="2842"/>
      <w:bookmarkEnd w:id="2843"/>
      <w:bookmarkEnd w:id="2844"/>
      <w:bookmarkEnd w:id="2845"/>
      <w:bookmarkEnd w:id="2846"/>
      <w:bookmarkEnd w:id="2847"/>
      <w:bookmarkEnd w:id="2848"/>
      <w:bookmarkEnd w:id="2849"/>
      <w:bookmarkEnd w:id="2850"/>
    </w:p>
    <w:p>
      <w:pPr>
        <w:jc w:val="center"/>
        <w:rPr>
          <w:color w:val="auto"/>
          <w:sz w:val="28"/>
          <w:szCs w:val="28"/>
          <w:highlight w:val="none"/>
        </w:rPr>
      </w:pP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1035" w:type="dxa"/>
            <w:gridSpan w:val="2"/>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职  称</w:t>
            </w:r>
          </w:p>
        </w:tc>
        <w:tc>
          <w:tcPr>
            <w:tcW w:w="3444" w:type="dxa"/>
            <w:gridSpan w:val="4"/>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160" w:type="dxa"/>
            <w:vAlign w:val="center"/>
          </w:tcPr>
          <w:p>
            <w:pPr>
              <w:jc w:val="center"/>
              <w:rPr>
                <w:rFonts w:ascii="宋体" w:hAnsi="宋体"/>
                <w:color w:val="auto"/>
                <w:szCs w:val="21"/>
                <w:highlight w:val="none"/>
              </w:rPr>
            </w:pPr>
            <w:r>
              <w:rPr>
                <w:rFonts w:hint="eastAsia" w:ascii="宋体" w:hAnsi="宋体"/>
                <w:color w:val="auto"/>
                <w:szCs w:val="21"/>
                <w:highlight w:val="none"/>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建造师专业</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毕业学校</w:t>
            </w:r>
          </w:p>
        </w:tc>
        <w:tc>
          <w:tcPr>
            <w:tcW w:w="7728" w:type="dxa"/>
            <w:gridSpan w:val="7"/>
            <w:vAlign w:val="center"/>
          </w:tcPr>
          <w:p>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pPr>
              <w:ind w:firstLine="840" w:firstLineChars="400"/>
              <w:rPr>
                <w:rFonts w:ascii="宋体" w:hAnsi="宋体"/>
                <w:color w:val="auto"/>
                <w:szCs w:val="21"/>
                <w:highlight w:val="none"/>
              </w:rPr>
            </w:pPr>
            <w:r>
              <w:rPr>
                <w:rFonts w:hint="eastAsia"/>
                <w:color w:val="auto"/>
                <w:szCs w:val="21"/>
                <w:highlight w:val="none"/>
              </w:rPr>
              <w:t>参加工作时间</w:t>
            </w:r>
          </w:p>
        </w:tc>
        <w:tc>
          <w:tcPr>
            <w:tcW w:w="1275" w:type="dxa"/>
            <w:vAlign w:val="center"/>
          </w:tcPr>
          <w:p>
            <w:pPr>
              <w:ind w:firstLine="840" w:firstLineChars="400"/>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ascii="宋体" w:hAnsi="宋体"/>
                <w:color w:val="auto"/>
                <w:szCs w:val="21"/>
                <w:highlight w:val="none"/>
              </w:rPr>
              <w:t>专业</w:t>
            </w:r>
            <w:r>
              <w:rPr>
                <w:rFonts w:hint="eastAsia" w:ascii="宋体" w:hAnsi="宋体"/>
                <w:color w:val="auto"/>
                <w:szCs w:val="21"/>
                <w:highlight w:val="none"/>
              </w:rPr>
              <w:t>工作年限</w:t>
            </w:r>
          </w:p>
        </w:tc>
        <w:tc>
          <w:tcPr>
            <w:tcW w:w="2160" w:type="dxa"/>
            <w:vAlign w:val="center"/>
          </w:tcPr>
          <w:p>
            <w:pPr>
              <w:ind w:firstLine="840" w:firstLineChars="4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8"/>
            <w:vAlign w:val="center"/>
          </w:tcPr>
          <w:p>
            <w:pPr>
              <w:jc w:val="center"/>
              <w:rPr>
                <w:rFonts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担任过项目技术负责人</w:t>
            </w:r>
          </w:p>
          <w:p>
            <w:pPr>
              <w:jc w:val="center"/>
              <w:rPr>
                <w:rFonts w:ascii="宋体" w:hAnsi="宋体"/>
                <w:color w:val="auto"/>
                <w:szCs w:val="21"/>
                <w:highlight w:val="none"/>
              </w:rPr>
            </w:pPr>
            <w:r>
              <w:rPr>
                <w:rFonts w:hint="eastAsia" w:ascii="宋体" w:hAnsi="宋体"/>
                <w:color w:val="auto"/>
                <w:szCs w:val="21"/>
                <w:highlight w:val="none"/>
              </w:rPr>
              <w:t>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从事过施工管理</w:t>
            </w:r>
          </w:p>
          <w:p>
            <w:pPr>
              <w:jc w:val="center"/>
              <w:rPr>
                <w:rFonts w:ascii="宋体" w:hAnsi="宋体"/>
                <w:color w:val="auto"/>
                <w:szCs w:val="21"/>
                <w:highlight w:val="none"/>
              </w:rPr>
            </w:pPr>
            <w:r>
              <w:rPr>
                <w:rFonts w:hint="eastAsia" w:ascii="宋体" w:hAnsi="宋体"/>
                <w:color w:val="auto"/>
                <w:szCs w:val="21"/>
                <w:highlight w:val="none"/>
              </w:rPr>
              <w:t>的项目名称及岗位</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bl>
    <w:p>
      <w:pPr>
        <w:spacing w:line="420" w:lineRule="exact"/>
        <w:ind w:left="630" w:hanging="630" w:hangingChars="300"/>
        <w:rPr>
          <w:rFonts w:ascii="宋体" w:hAnsi="宋体"/>
          <w:color w:val="auto"/>
          <w:highlight w:val="none"/>
        </w:rPr>
      </w:pPr>
    </w:p>
    <w:p>
      <w:pPr>
        <w:spacing w:line="420" w:lineRule="exact"/>
        <w:ind w:left="630" w:hanging="630" w:hangingChars="300"/>
        <w:rPr>
          <w:rFonts w:ascii="宋体" w:hAnsi="宋体"/>
          <w:color w:val="auto"/>
          <w:highlight w:val="none"/>
        </w:rPr>
      </w:pPr>
    </w:p>
    <w:p>
      <w:pPr>
        <w:spacing w:line="420" w:lineRule="exact"/>
        <w:ind w:left="945" w:hanging="945" w:hangingChars="45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.项目技术负责人的证明资料按下列顺序附后，职称证、建造师资格证书（如有）、注册证书（如有）、学历证</w:t>
      </w:r>
      <w:r>
        <w:rPr>
          <w:rFonts w:hint="eastAsia" w:ascii="宋体" w:hAnsi="宋体"/>
          <w:color w:val="auto"/>
          <w:szCs w:val="21"/>
          <w:highlight w:val="none"/>
        </w:rPr>
        <w:t>扫描件</w:t>
      </w:r>
      <w:r>
        <w:rPr>
          <w:rFonts w:hint="eastAsia" w:ascii="宋体" w:hAnsi="宋体"/>
          <w:color w:val="auto"/>
          <w:highlight w:val="none"/>
        </w:rPr>
        <w:t>。</w:t>
      </w:r>
    </w:p>
    <w:p>
      <w:pPr>
        <w:spacing w:line="420" w:lineRule="exact"/>
        <w:ind w:left="840" w:leftChars="300" w:hanging="210" w:hangingChars="100"/>
        <w:rPr>
          <w:rFonts w:ascii="宋体" w:hAnsi="宋体"/>
          <w:color w:val="auto"/>
          <w:szCs w:val="21"/>
          <w:highlight w:val="none"/>
        </w:rPr>
      </w:pPr>
      <w:r>
        <w:rPr>
          <w:rFonts w:hint="eastAsia"/>
          <w:color w:val="auto"/>
          <w:highlight w:val="none"/>
        </w:rPr>
        <w:t>2</w:t>
      </w:r>
      <w:r>
        <w:rPr>
          <w:rFonts w:hint="eastAsia" w:ascii="宋体" w:hAnsi="宋体"/>
          <w:color w:val="auto"/>
          <w:highlight w:val="none"/>
        </w:rPr>
        <w:t>.</w:t>
      </w:r>
      <w:r>
        <w:rPr>
          <w:rFonts w:hint="eastAsia" w:ascii="宋体" w:hAnsi="宋体"/>
          <w:color w:val="auto"/>
          <w:szCs w:val="21"/>
          <w:highlight w:val="none"/>
        </w:rPr>
        <w:t xml:space="preserve"> 担任过项目技术负责人</w:t>
      </w:r>
      <w:r>
        <w:rPr>
          <w:rFonts w:hint="eastAsia" w:ascii="宋体" w:hAnsi="宋体"/>
          <w:color w:val="auto"/>
          <w:highlight w:val="none"/>
        </w:rPr>
        <w:t>的证明资料应分别附</w:t>
      </w:r>
      <w:r>
        <w:rPr>
          <w:rFonts w:hint="eastAsia" w:ascii="宋体" w:hAnsi="宋体"/>
          <w:color w:val="auto"/>
          <w:szCs w:val="21"/>
          <w:highlight w:val="none"/>
        </w:rPr>
        <w:t>合同协议书、发包人的证明文件的扫描件。</w:t>
      </w:r>
    </w:p>
    <w:p>
      <w:pPr>
        <w:rPr>
          <w:color w:val="auto"/>
          <w:highlight w:val="none"/>
        </w:rPr>
      </w:pPr>
    </w:p>
    <w:p>
      <w:pPr>
        <w:pStyle w:val="36"/>
        <w:outlineLvl w:val="9"/>
        <w:rPr>
          <w:color w:val="auto"/>
          <w:highlight w:val="none"/>
        </w:rPr>
        <w:sectPr>
          <w:pgSz w:w="11906" w:h="16838"/>
          <w:pgMar w:top="2098" w:right="1446" w:bottom="1984" w:left="1446" w:header="851" w:footer="1446" w:gutter="0"/>
          <w:cols w:space="0" w:num="1"/>
          <w:docGrid w:linePitch="312" w:charSpace="0"/>
        </w:sectPr>
      </w:pPr>
    </w:p>
    <w:p>
      <w:pPr>
        <w:pStyle w:val="38"/>
        <w:keepNext w:val="0"/>
        <w:keepLines w:val="0"/>
        <w:jc w:val="center"/>
        <w:outlineLvl w:val="3"/>
        <w:rPr>
          <w:b w:val="0"/>
          <w:color w:val="auto"/>
          <w:sz w:val="24"/>
          <w:szCs w:val="24"/>
          <w:highlight w:val="none"/>
        </w:rPr>
      </w:pPr>
      <w:bookmarkStart w:id="2851" w:name="_Toc16682"/>
      <w:bookmarkStart w:id="2852" w:name="_Toc1042"/>
      <w:bookmarkStart w:id="2853" w:name="_Toc429598778"/>
      <w:bookmarkStart w:id="2854" w:name="_Toc1416304375"/>
      <w:bookmarkStart w:id="2855" w:name="_Toc1563663779"/>
      <w:bookmarkStart w:id="2856" w:name="_Toc2694"/>
      <w:bookmarkStart w:id="2857" w:name="_Toc8899"/>
      <w:bookmarkStart w:id="2858" w:name="_Toc6520"/>
      <w:bookmarkStart w:id="2859" w:name="_Toc426496253"/>
      <w:bookmarkStart w:id="2860" w:name="_Toc16511"/>
      <w:bookmarkStart w:id="2861" w:name="_Toc109149969"/>
      <w:r>
        <w:rPr>
          <w:rFonts w:hint="eastAsia"/>
          <w:b w:val="0"/>
          <w:color w:val="auto"/>
          <w:sz w:val="24"/>
          <w:szCs w:val="24"/>
          <w:highlight w:val="none"/>
        </w:rPr>
        <w:t>（五）其他主要项目管理人员简历表</w:t>
      </w:r>
      <w:bookmarkEnd w:id="2851"/>
      <w:bookmarkEnd w:id="2852"/>
      <w:bookmarkEnd w:id="2853"/>
      <w:bookmarkEnd w:id="2854"/>
      <w:bookmarkEnd w:id="2855"/>
      <w:bookmarkEnd w:id="2856"/>
      <w:bookmarkEnd w:id="2857"/>
      <w:bookmarkEnd w:id="2858"/>
      <w:bookmarkEnd w:id="2859"/>
      <w:bookmarkEnd w:id="2860"/>
      <w:bookmarkEnd w:id="2861"/>
    </w:p>
    <w:p>
      <w:pPr>
        <w:ind w:firstLine="1050" w:firstLineChars="500"/>
        <w:rPr>
          <w:rFonts w:ascii="宋体" w:hAnsi="宋体"/>
          <w:color w:val="auto"/>
          <w:szCs w:val="21"/>
          <w:highlight w:val="none"/>
        </w:rPr>
      </w:pPr>
    </w:p>
    <w:tbl>
      <w:tblPr>
        <w:tblStyle w:val="2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rPr>
                <w:rFonts w:ascii="宋体" w:hAnsi="宋体"/>
                <w:color w:val="auto"/>
                <w:szCs w:val="21"/>
                <w:highlight w:val="none"/>
              </w:rPr>
            </w:pPr>
            <w:r>
              <w:rPr>
                <w:rFonts w:hint="eastAsia" w:ascii="宋体" w:hAnsi="宋体"/>
                <w:color w:val="auto"/>
                <w:szCs w:val="21"/>
                <w:highlight w:val="none"/>
              </w:rPr>
              <w:t>岗位名称</w:t>
            </w:r>
          </w:p>
        </w:tc>
        <w:tc>
          <w:tcPr>
            <w:tcW w:w="7560"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年    龄</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性    别</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执业/岗位</w:t>
            </w:r>
          </w:p>
          <w:p>
            <w:pPr>
              <w:rPr>
                <w:rFonts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pPr>
              <w:jc w:val="center"/>
              <w:rPr>
                <w:rFonts w:ascii="宋体" w:hAnsi="宋体"/>
                <w:color w:val="auto"/>
                <w:szCs w:val="21"/>
                <w:highlight w:val="none"/>
              </w:rPr>
            </w:pPr>
          </w:p>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jc w:val="center"/>
        </w:trPr>
        <w:tc>
          <w:tcPr>
            <w:tcW w:w="1368" w:type="dxa"/>
            <w:vAlign w:val="center"/>
          </w:tcPr>
          <w:p>
            <w:pPr>
              <w:jc w:val="center"/>
              <w:rPr>
                <w:rFonts w:ascii="宋体" w:hAnsi="宋体"/>
                <w:color w:val="auto"/>
                <w:szCs w:val="21"/>
                <w:highlight w:val="none"/>
              </w:rPr>
            </w:pPr>
            <w:r>
              <w:rPr>
                <w:rFonts w:hint="eastAsia" w:ascii="宋体" w:hAnsi="宋体"/>
                <w:color w:val="auto"/>
                <w:szCs w:val="21"/>
                <w:highlight w:val="none"/>
              </w:rPr>
              <w:t>主</w:t>
            </w:r>
          </w:p>
          <w:p>
            <w:pPr>
              <w:jc w:val="center"/>
              <w:rPr>
                <w:rFonts w:ascii="宋体" w:hAnsi="宋体"/>
                <w:color w:val="auto"/>
                <w:szCs w:val="21"/>
                <w:highlight w:val="none"/>
              </w:rPr>
            </w:pPr>
            <w:r>
              <w:rPr>
                <w:rFonts w:hint="eastAsia" w:ascii="宋体" w:hAnsi="宋体"/>
                <w:color w:val="auto"/>
                <w:szCs w:val="21"/>
                <w:highlight w:val="none"/>
              </w:rPr>
              <w:t>要</w:t>
            </w:r>
          </w:p>
          <w:p>
            <w:pPr>
              <w:jc w:val="center"/>
              <w:rPr>
                <w:rFonts w:ascii="宋体" w:hAnsi="宋体"/>
                <w:color w:val="auto"/>
                <w:szCs w:val="21"/>
                <w:highlight w:val="none"/>
              </w:rPr>
            </w:pPr>
            <w:r>
              <w:rPr>
                <w:rFonts w:hint="eastAsia" w:ascii="宋体" w:hAnsi="宋体"/>
                <w:color w:val="auto"/>
                <w:szCs w:val="21"/>
                <w:highlight w:val="none"/>
              </w:rPr>
              <w:t>工</w:t>
            </w:r>
          </w:p>
          <w:p>
            <w:pPr>
              <w:jc w:val="center"/>
              <w:rPr>
                <w:rFonts w:ascii="宋体" w:hAnsi="宋体"/>
                <w:color w:val="auto"/>
                <w:szCs w:val="21"/>
                <w:highlight w:val="none"/>
              </w:rPr>
            </w:pPr>
            <w:r>
              <w:rPr>
                <w:rFonts w:hint="eastAsia" w:ascii="宋体" w:hAnsi="宋体"/>
                <w:color w:val="auto"/>
                <w:szCs w:val="21"/>
                <w:highlight w:val="none"/>
              </w:rPr>
              <w:t>作</w:t>
            </w:r>
          </w:p>
          <w:p>
            <w:pPr>
              <w:jc w:val="center"/>
              <w:rPr>
                <w:rFonts w:ascii="宋体" w:hAnsi="宋体"/>
                <w:color w:val="auto"/>
                <w:szCs w:val="21"/>
                <w:highlight w:val="none"/>
              </w:rPr>
            </w:pPr>
            <w:r>
              <w:rPr>
                <w:rFonts w:hint="eastAsia" w:ascii="宋体" w:hAnsi="宋体"/>
                <w:color w:val="auto"/>
                <w:szCs w:val="21"/>
                <w:highlight w:val="none"/>
              </w:rPr>
              <w:t>业</w:t>
            </w:r>
          </w:p>
          <w:p>
            <w:pPr>
              <w:jc w:val="center"/>
              <w:rPr>
                <w:rFonts w:ascii="宋体" w:hAnsi="宋体"/>
                <w:color w:val="auto"/>
                <w:szCs w:val="21"/>
                <w:highlight w:val="none"/>
              </w:rPr>
            </w:pPr>
            <w:r>
              <w:rPr>
                <w:rFonts w:hint="eastAsia" w:ascii="宋体" w:hAnsi="宋体"/>
                <w:color w:val="auto"/>
                <w:szCs w:val="21"/>
                <w:highlight w:val="none"/>
              </w:rPr>
              <w:t>绩</w:t>
            </w:r>
          </w:p>
          <w:p>
            <w:pPr>
              <w:jc w:val="center"/>
              <w:rPr>
                <w:rFonts w:ascii="宋体" w:hAnsi="宋体"/>
                <w:color w:val="auto"/>
                <w:szCs w:val="21"/>
                <w:highlight w:val="none"/>
              </w:rPr>
            </w:pPr>
            <w:r>
              <w:rPr>
                <w:rFonts w:hint="eastAsia" w:ascii="宋体" w:hAnsi="宋体"/>
                <w:color w:val="auto"/>
                <w:szCs w:val="21"/>
                <w:highlight w:val="none"/>
              </w:rPr>
              <w:t>及</w:t>
            </w:r>
          </w:p>
          <w:p>
            <w:pPr>
              <w:jc w:val="center"/>
              <w:rPr>
                <w:rFonts w:ascii="宋体" w:hAnsi="宋体"/>
                <w:color w:val="auto"/>
                <w:szCs w:val="21"/>
                <w:highlight w:val="none"/>
              </w:rPr>
            </w:pPr>
            <w:r>
              <w:rPr>
                <w:rFonts w:hint="eastAsia" w:ascii="宋体" w:hAnsi="宋体"/>
                <w:color w:val="auto"/>
                <w:szCs w:val="21"/>
                <w:highlight w:val="none"/>
              </w:rPr>
              <w:t>担</w:t>
            </w:r>
          </w:p>
          <w:p>
            <w:pPr>
              <w:jc w:val="center"/>
              <w:rPr>
                <w:rFonts w:ascii="宋体" w:hAnsi="宋体"/>
                <w:color w:val="auto"/>
                <w:szCs w:val="21"/>
                <w:highlight w:val="none"/>
              </w:rPr>
            </w:pPr>
            <w:r>
              <w:rPr>
                <w:rFonts w:hint="eastAsia" w:ascii="宋体" w:hAnsi="宋体"/>
                <w:color w:val="auto"/>
                <w:szCs w:val="21"/>
                <w:highlight w:val="none"/>
              </w:rPr>
              <w:t>任</w:t>
            </w:r>
          </w:p>
          <w:p>
            <w:pPr>
              <w:jc w:val="center"/>
              <w:rPr>
                <w:rFonts w:ascii="宋体" w:hAnsi="宋体"/>
                <w:color w:val="auto"/>
                <w:szCs w:val="21"/>
                <w:highlight w:val="none"/>
              </w:rPr>
            </w:pPr>
            <w:r>
              <w:rPr>
                <w:rFonts w:hint="eastAsia" w:ascii="宋体" w:hAnsi="宋体"/>
                <w:color w:val="auto"/>
                <w:szCs w:val="21"/>
                <w:highlight w:val="none"/>
              </w:rPr>
              <w:t>的</w:t>
            </w:r>
          </w:p>
          <w:p>
            <w:pPr>
              <w:jc w:val="center"/>
              <w:rPr>
                <w:rFonts w:ascii="宋体" w:hAnsi="宋体"/>
                <w:color w:val="auto"/>
                <w:szCs w:val="21"/>
                <w:highlight w:val="none"/>
              </w:rPr>
            </w:pPr>
            <w:r>
              <w:rPr>
                <w:rFonts w:hint="eastAsia" w:ascii="宋体" w:hAnsi="宋体"/>
                <w:color w:val="auto"/>
                <w:szCs w:val="21"/>
                <w:highlight w:val="none"/>
              </w:rPr>
              <w:t>主</w:t>
            </w:r>
          </w:p>
          <w:p>
            <w:pPr>
              <w:jc w:val="center"/>
              <w:rPr>
                <w:rFonts w:ascii="宋体" w:hAnsi="宋体"/>
                <w:color w:val="auto"/>
                <w:szCs w:val="21"/>
                <w:highlight w:val="none"/>
              </w:rPr>
            </w:pPr>
            <w:r>
              <w:rPr>
                <w:rFonts w:hint="eastAsia" w:ascii="宋体" w:hAnsi="宋体"/>
                <w:color w:val="auto"/>
                <w:szCs w:val="21"/>
                <w:highlight w:val="none"/>
              </w:rPr>
              <w:t>要</w:t>
            </w:r>
          </w:p>
          <w:p>
            <w:pPr>
              <w:jc w:val="center"/>
              <w:rPr>
                <w:rFonts w:ascii="宋体" w:hAnsi="宋体"/>
                <w:color w:val="auto"/>
                <w:szCs w:val="21"/>
                <w:highlight w:val="none"/>
              </w:rPr>
            </w:pPr>
            <w:r>
              <w:rPr>
                <w:rFonts w:hint="eastAsia" w:ascii="宋体" w:hAnsi="宋体"/>
                <w:color w:val="auto"/>
                <w:szCs w:val="21"/>
                <w:highlight w:val="none"/>
              </w:rPr>
              <w:t>工</w:t>
            </w:r>
          </w:p>
          <w:p>
            <w:pPr>
              <w:jc w:val="center"/>
              <w:rPr>
                <w:rFonts w:ascii="宋体" w:hAnsi="宋体"/>
                <w:color w:val="auto"/>
                <w:szCs w:val="21"/>
                <w:highlight w:val="none"/>
              </w:rPr>
            </w:pPr>
            <w:r>
              <w:rPr>
                <w:rFonts w:hint="eastAsia" w:ascii="宋体" w:hAnsi="宋体"/>
                <w:color w:val="auto"/>
                <w:szCs w:val="21"/>
                <w:highlight w:val="none"/>
              </w:rPr>
              <w:t>作</w:t>
            </w:r>
          </w:p>
        </w:tc>
        <w:tc>
          <w:tcPr>
            <w:tcW w:w="7560" w:type="dxa"/>
            <w:gridSpan w:val="3"/>
          </w:tcPr>
          <w:p>
            <w:pPr>
              <w:rPr>
                <w:rFonts w:ascii="宋体" w:hAnsi="宋体"/>
                <w:color w:val="auto"/>
                <w:szCs w:val="21"/>
                <w:highlight w:val="none"/>
              </w:rPr>
            </w:pPr>
          </w:p>
        </w:tc>
      </w:tr>
    </w:tbl>
    <w:p>
      <w:pPr>
        <w:ind w:left="525" w:hanging="525" w:hangingChars="250"/>
        <w:rPr>
          <w:rFonts w:ascii="宋体" w:hAnsi="宋体"/>
          <w:color w:val="auto"/>
          <w:highlight w:val="none"/>
        </w:rPr>
      </w:pPr>
    </w:p>
    <w:p>
      <w:pPr>
        <w:ind w:left="525" w:hanging="525" w:hangingChars="250"/>
        <w:rPr>
          <w:rFonts w:ascii="宋体" w:hAnsi="宋体"/>
          <w:color w:val="auto"/>
          <w:highlight w:val="none"/>
        </w:rPr>
      </w:pPr>
    </w:p>
    <w:p>
      <w:pPr>
        <w:ind w:left="840" w:hanging="840" w:hangingChars="40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.其他主要项目管理人员指</w:t>
      </w:r>
      <w:r>
        <w:rPr>
          <w:rFonts w:ascii="宋体" w:hAnsi="宋体"/>
          <w:color w:val="auto"/>
          <w:highlight w:val="none"/>
        </w:rPr>
        <w:t>现场管理人员</w:t>
      </w:r>
      <w:r>
        <w:rPr>
          <w:rFonts w:hint="eastAsia" w:ascii="宋体" w:hAnsi="宋体"/>
          <w:color w:val="auto"/>
          <w:highlight w:val="none"/>
        </w:rPr>
        <w:t>，如</w:t>
      </w:r>
      <w:r>
        <w:rPr>
          <w:rFonts w:ascii="宋体" w:hAnsi="宋体"/>
          <w:color w:val="auto"/>
          <w:highlight w:val="none"/>
        </w:rPr>
        <w:t>施工员、质量员、安全员</w:t>
      </w:r>
      <w:r>
        <w:rPr>
          <w:rFonts w:hint="eastAsia" w:ascii="宋体" w:hAnsi="宋体"/>
          <w:color w:val="auto"/>
          <w:highlight w:val="none"/>
        </w:rPr>
        <w:t>、材料员、资料员等岗位人员。</w:t>
      </w:r>
      <w:r>
        <w:rPr>
          <w:rFonts w:ascii="宋体" w:hAnsi="宋体"/>
          <w:color w:val="auto"/>
          <w:highlight w:val="none"/>
        </w:rPr>
        <w:t>施工员、质量员、</w:t>
      </w:r>
      <w:r>
        <w:rPr>
          <w:rFonts w:hint="eastAsia" w:ascii="宋体" w:hAnsi="宋体"/>
          <w:color w:val="auto"/>
          <w:highlight w:val="none"/>
        </w:rPr>
        <w:t>材料员、资料员应附岗位培训考核合格证书</w:t>
      </w:r>
      <w:r>
        <w:rPr>
          <w:rFonts w:hint="eastAsia" w:ascii="宋体" w:hAnsi="宋体"/>
          <w:color w:val="auto"/>
          <w:szCs w:val="21"/>
          <w:highlight w:val="none"/>
        </w:rPr>
        <w:t>扫描件</w:t>
      </w:r>
      <w:r>
        <w:rPr>
          <w:rFonts w:hint="eastAsia" w:ascii="宋体" w:hAnsi="宋体"/>
          <w:color w:val="auto"/>
          <w:highlight w:val="none"/>
        </w:rPr>
        <w:t>,安全员应附有效的安全生产考核合格证书（</w:t>
      </w:r>
      <w:r>
        <w:rPr>
          <w:rFonts w:hint="eastAsia"/>
          <w:color w:val="auto"/>
          <w:highlight w:val="none"/>
        </w:rPr>
        <w:t>C</w:t>
      </w:r>
      <w:r>
        <w:rPr>
          <w:rFonts w:hint="eastAsia" w:ascii="宋体" w:hAnsi="宋体"/>
          <w:color w:val="auto"/>
          <w:highlight w:val="none"/>
        </w:rPr>
        <w:t>证）</w:t>
      </w:r>
      <w:r>
        <w:rPr>
          <w:rFonts w:hint="eastAsia" w:ascii="宋体" w:hAnsi="宋体"/>
          <w:color w:val="auto"/>
          <w:szCs w:val="21"/>
          <w:highlight w:val="none"/>
        </w:rPr>
        <w:t>扫描件</w:t>
      </w:r>
      <w:r>
        <w:rPr>
          <w:rFonts w:hint="eastAsia" w:ascii="宋体" w:hAnsi="宋体"/>
          <w:color w:val="auto"/>
          <w:highlight w:val="none"/>
        </w:rPr>
        <w:t>。</w:t>
      </w:r>
    </w:p>
    <w:p>
      <w:pPr>
        <w:ind w:firstLine="630" w:firstLineChars="300"/>
        <w:rPr>
          <w:color w:val="auto"/>
          <w:highlight w:val="none"/>
        </w:rPr>
      </w:pPr>
      <w:r>
        <w:rPr>
          <w:rFonts w:hint="eastAsia"/>
          <w:color w:val="auto"/>
          <w:szCs w:val="21"/>
          <w:highlight w:val="none"/>
        </w:rPr>
        <w:t>2</w:t>
      </w:r>
      <w:r>
        <w:rPr>
          <w:rFonts w:hint="eastAsia" w:ascii="宋体" w:hAnsi="宋体"/>
          <w:color w:val="auto"/>
          <w:szCs w:val="21"/>
          <w:highlight w:val="none"/>
        </w:rPr>
        <w:t>.每张表格只填写一个人，并标明序号</w:t>
      </w:r>
      <w:r>
        <w:rPr>
          <w:rFonts w:hint="eastAsia" w:ascii="宋体" w:hAnsi="宋体"/>
          <w:color w:val="auto"/>
          <w:highlight w:val="none"/>
        </w:rPr>
        <w:t>。</w:t>
      </w:r>
    </w:p>
    <w:p>
      <w:pPr>
        <w:rPr>
          <w:color w:val="auto"/>
          <w:highlight w:val="none"/>
        </w:rPr>
      </w:pPr>
    </w:p>
    <w:p>
      <w:pPr>
        <w:rPr>
          <w:color w:val="auto"/>
          <w:highlight w:val="none"/>
        </w:rPr>
        <w:sectPr>
          <w:pgSz w:w="11906" w:h="16838"/>
          <w:pgMar w:top="2098" w:right="1446" w:bottom="1984" w:left="1446" w:header="851" w:footer="1446" w:gutter="0"/>
          <w:cols w:space="0" w:num="1"/>
          <w:docGrid w:linePitch="312" w:charSpace="0"/>
        </w:sectPr>
      </w:pPr>
    </w:p>
    <w:bookmarkEnd w:id="2815"/>
    <w:bookmarkEnd w:id="2816"/>
    <w:bookmarkEnd w:id="2817"/>
    <w:bookmarkEnd w:id="2818"/>
    <w:p>
      <w:pPr>
        <w:pStyle w:val="20"/>
        <w:keepNext w:val="0"/>
        <w:keepLines w:val="0"/>
        <w:jc w:val="center"/>
        <w:outlineLvl w:val="2"/>
        <w:rPr>
          <w:color w:val="auto"/>
          <w:highlight w:val="none"/>
        </w:rPr>
      </w:pPr>
      <w:bookmarkStart w:id="2862" w:name="_Toc17152"/>
      <w:bookmarkStart w:id="2863" w:name="_Toc30931"/>
      <w:bookmarkStart w:id="2864" w:name="_Toc2020"/>
      <w:bookmarkStart w:id="2865" w:name="_Toc336192503"/>
      <w:bookmarkStart w:id="2866" w:name="_Toc25027"/>
      <w:bookmarkStart w:id="2867" w:name="_Toc28725"/>
      <w:bookmarkStart w:id="2868" w:name="_Toc325129584"/>
      <w:bookmarkStart w:id="2869" w:name="_Toc279401978"/>
      <w:bookmarkStart w:id="2870" w:name="_Toc323220050"/>
      <w:bookmarkStart w:id="2871" w:name="_Toc2006491468"/>
      <w:bookmarkStart w:id="2872" w:name="_Toc8253"/>
      <w:bookmarkStart w:id="2873" w:name="_Toc183490947"/>
      <w:bookmarkStart w:id="2874" w:name="_Toc380568810"/>
      <w:bookmarkStart w:id="2875" w:name="_Toc336192591"/>
      <w:bookmarkStart w:id="2876" w:name="_Toc288066322"/>
      <w:r>
        <w:rPr>
          <w:rFonts w:hint="eastAsia"/>
          <w:color w:val="auto"/>
          <w:highlight w:val="none"/>
        </w:rPr>
        <w:t>九</w:t>
      </w:r>
      <w:r>
        <w:rPr>
          <w:color w:val="auto"/>
          <w:highlight w:val="none"/>
        </w:rPr>
        <w:t>、资格审查资料</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pPr>
        <w:pStyle w:val="38"/>
        <w:keepNext w:val="0"/>
        <w:keepLines w:val="0"/>
        <w:jc w:val="left"/>
        <w:outlineLvl w:val="3"/>
        <w:rPr>
          <w:color w:val="auto"/>
          <w:sz w:val="24"/>
          <w:szCs w:val="24"/>
          <w:highlight w:val="none"/>
        </w:rPr>
      </w:pPr>
      <w:bookmarkStart w:id="2877" w:name="_Toc32323"/>
      <w:bookmarkStart w:id="2878" w:name="_Toc109149971"/>
      <w:bookmarkStart w:id="2879" w:name="_Toc323220051"/>
      <w:bookmarkStart w:id="2880" w:name="_Toc12703"/>
      <w:bookmarkStart w:id="2881" w:name="_Toc25067"/>
      <w:bookmarkStart w:id="2882" w:name="_Toc336192504"/>
      <w:bookmarkStart w:id="2883" w:name="_Toc279401979"/>
      <w:bookmarkStart w:id="2884" w:name="_Toc325129585"/>
      <w:bookmarkStart w:id="2885" w:name="_Toc27079"/>
      <w:bookmarkStart w:id="2886" w:name="_Toc28159"/>
      <w:bookmarkStart w:id="2887" w:name="_Toc288066323"/>
      <w:bookmarkStart w:id="2888" w:name="_Toc1083462228"/>
      <w:bookmarkStart w:id="2889" w:name="_Toc7672"/>
      <w:bookmarkStart w:id="2890" w:name="_Toc563239832"/>
      <w:r>
        <w:rPr>
          <w:color w:val="auto"/>
          <w:sz w:val="24"/>
          <w:szCs w:val="24"/>
          <w:highlight w:val="none"/>
        </w:rPr>
        <w:t>（一）投标人基本情况</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pPr>
        <w:jc w:val="center"/>
        <w:rPr>
          <w:color w:val="auto"/>
          <w:sz w:val="24"/>
          <w:highlight w:val="none"/>
        </w:rPr>
      </w:pPr>
      <w:bookmarkStart w:id="2891" w:name="_Toc8607"/>
      <w:bookmarkStart w:id="2892" w:name="_Toc27504"/>
      <w:bookmarkStart w:id="2893" w:name="_Toc426496257"/>
      <w:bookmarkStart w:id="2894" w:name="_Toc23582"/>
      <w:bookmarkStart w:id="2895" w:name="_Toc1363268601"/>
      <w:bookmarkStart w:id="2896" w:name="_Toc32552"/>
      <w:bookmarkStart w:id="2897" w:name="_Toc27503"/>
      <w:bookmarkStart w:id="2898" w:name="_Toc429598783"/>
    </w:p>
    <w:p>
      <w:pPr>
        <w:pStyle w:val="9"/>
        <w:jc w:val="center"/>
        <w:rPr>
          <w:b/>
          <w:bCs/>
          <w:color w:val="auto"/>
          <w:sz w:val="24"/>
          <w:highlight w:val="none"/>
        </w:rPr>
      </w:pPr>
      <w:r>
        <w:rPr>
          <w:rFonts w:hint="eastAsia"/>
          <w:b/>
          <w:bCs/>
          <w:color w:val="auto"/>
          <w:sz w:val="24"/>
          <w:highlight w:val="none"/>
        </w:rPr>
        <w:t>1-1投标人基本情况表</w:t>
      </w:r>
      <w:bookmarkEnd w:id="2891"/>
      <w:bookmarkEnd w:id="2892"/>
      <w:bookmarkEnd w:id="2893"/>
      <w:bookmarkEnd w:id="2894"/>
      <w:bookmarkEnd w:id="2895"/>
      <w:bookmarkEnd w:id="2896"/>
      <w:bookmarkEnd w:id="2897"/>
      <w:bookmarkEnd w:id="2898"/>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080"/>
        <w:gridCol w:w="970"/>
        <w:gridCol w:w="770"/>
        <w:gridCol w:w="406"/>
        <w:gridCol w:w="194"/>
        <w:gridCol w:w="1080"/>
        <w:gridCol w:w="69"/>
        <w:gridCol w:w="119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投标人名称</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注册地址</w:t>
            </w:r>
          </w:p>
        </w:tc>
        <w:tc>
          <w:tcPr>
            <w:tcW w:w="3226" w:type="dxa"/>
            <w:gridSpan w:val="4"/>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邮政编码</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Merge w:val="restart"/>
            <w:vAlign w:val="center"/>
          </w:tcPr>
          <w:p>
            <w:pPr>
              <w:jc w:val="center"/>
              <w:rPr>
                <w:color w:val="auto"/>
                <w:szCs w:val="21"/>
                <w:highlight w:val="none"/>
              </w:rPr>
            </w:pPr>
            <w:r>
              <w:rPr>
                <w:color w:val="auto"/>
                <w:szCs w:val="21"/>
                <w:highlight w:val="none"/>
              </w:rPr>
              <w:t>联系方式</w:t>
            </w:r>
          </w:p>
        </w:tc>
        <w:tc>
          <w:tcPr>
            <w:tcW w:w="1080" w:type="dxa"/>
            <w:vAlign w:val="center"/>
          </w:tcPr>
          <w:p>
            <w:pPr>
              <w:jc w:val="center"/>
              <w:rPr>
                <w:color w:val="auto"/>
                <w:szCs w:val="21"/>
                <w:highlight w:val="none"/>
              </w:rPr>
            </w:pPr>
            <w:r>
              <w:rPr>
                <w:color w:val="auto"/>
                <w:szCs w:val="21"/>
                <w:highlight w:val="none"/>
              </w:rPr>
              <w:t>联系人</w:t>
            </w:r>
          </w:p>
        </w:tc>
        <w:tc>
          <w:tcPr>
            <w:tcW w:w="2146" w:type="dxa"/>
            <w:gridSpan w:val="3"/>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电    话</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Merge w:val="continue"/>
            <w:vAlign w:val="center"/>
          </w:tcPr>
          <w:p>
            <w:pPr>
              <w:jc w:val="center"/>
              <w:rPr>
                <w:color w:val="auto"/>
                <w:szCs w:val="21"/>
                <w:highlight w:val="none"/>
              </w:rPr>
            </w:pPr>
          </w:p>
        </w:tc>
        <w:tc>
          <w:tcPr>
            <w:tcW w:w="1080" w:type="dxa"/>
            <w:vAlign w:val="center"/>
          </w:tcPr>
          <w:p>
            <w:pPr>
              <w:jc w:val="center"/>
              <w:rPr>
                <w:color w:val="auto"/>
                <w:szCs w:val="21"/>
                <w:highlight w:val="none"/>
              </w:rPr>
            </w:pPr>
            <w:r>
              <w:rPr>
                <w:color w:val="auto"/>
                <w:szCs w:val="21"/>
                <w:highlight w:val="none"/>
              </w:rPr>
              <w:t>传  真</w:t>
            </w:r>
          </w:p>
        </w:tc>
        <w:tc>
          <w:tcPr>
            <w:tcW w:w="2146" w:type="dxa"/>
            <w:gridSpan w:val="3"/>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网    址</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组织结构</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法定代表人</w:t>
            </w:r>
          </w:p>
        </w:tc>
        <w:tc>
          <w:tcPr>
            <w:tcW w:w="1080" w:type="dxa"/>
            <w:vAlign w:val="center"/>
          </w:tcPr>
          <w:p>
            <w:pPr>
              <w:jc w:val="center"/>
              <w:rPr>
                <w:color w:val="auto"/>
                <w:szCs w:val="21"/>
                <w:highlight w:val="none"/>
              </w:rPr>
            </w:pPr>
            <w:r>
              <w:rPr>
                <w:color w:val="auto"/>
                <w:szCs w:val="21"/>
                <w:highlight w:val="none"/>
              </w:rPr>
              <w:t>姓  名</w:t>
            </w:r>
          </w:p>
        </w:tc>
        <w:tc>
          <w:tcPr>
            <w:tcW w:w="970" w:type="dxa"/>
            <w:vAlign w:val="center"/>
          </w:tcPr>
          <w:p>
            <w:pPr>
              <w:jc w:val="center"/>
              <w:rPr>
                <w:color w:val="auto"/>
                <w:szCs w:val="21"/>
                <w:highlight w:val="none"/>
              </w:rPr>
            </w:pPr>
          </w:p>
        </w:tc>
        <w:tc>
          <w:tcPr>
            <w:tcW w:w="1370" w:type="dxa"/>
            <w:gridSpan w:val="3"/>
            <w:vAlign w:val="center"/>
          </w:tcPr>
          <w:p>
            <w:pPr>
              <w:jc w:val="center"/>
              <w:rPr>
                <w:color w:val="auto"/>
                <w:szCs w:val="21"/>
                <w:highlight w:val="none"/>
              </w:rPr>
            </w:pPr>
            <w:r>
              <w:rPr>
                <w:color w:val="auto"/>
                <w:szCs w:val="21"/>
                <w:highlight w:val="none"/>
              </w:rPr>
              <w:t>技术职称</w:t>
            </w:r>
          </w:p>
        </w:tc>
        <w:tc>
          <w:tcPr>
            <w:tcW w:w="1149" w:type="dxa"/>
            <w:gridSpan w:val="2"/>
            <w:vAlign w:val="center"/>
          </w:tcPr>
          <w:p>
            <w:pPr>
              <w:jc w:val="center"/>
              <w:rPr>
                <w:color w:val="auto"/>
                <w:szCs w:val="21"/>
                <w:highlight w:val="none"/>
              </w:rPr>
            </w:pPr>
          </w:p>
        </w:tc>
        <w:tc>
          <w:tcPr>
            <w:tcW w:w="1191" w:type="dxa"/>
            <w:vAlign w:val="center"/>
          </w:tcPr>
          <w:p>
            <w:pPr>
              <w:jc w:val="center"/>
              <w:rPr>
                <w:color w:val="auto"/>
                <w:szCs w:val="21"/>
                <w:highlight w:val="none"/>
              </w:rPr>
            </w:pPr>
            <w:r>
              <w:rPr>
                <w:color w:val="auto"/>
                <w:szCs w:val="21"/>
                <w:highlight w:val="none"/>
              </w:rPr>
              <w:t>电话</w:t>
            </w:r>
          </w:p>
        </w:tc>
        <w:tc>
          <w:tcPr>
            <w:tcW w:w="123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技术负责人</w:t>
            </w:r>
          </w:p>
        </w:tc>
        <w:tc>
          <w:tcPr>
            <w:tcW w:w="1080" w:type="dxa"/>
            <w:vAlign w:val="center"/>
          </w:tcPr>
          <w:p>
            <w:pPr>
              <w:jc w:val="center"/>
              <w:rPr>
                <w:color w:val="auto"/>
                <w:szCs w:val="21"/>
                <w:highlight w:val="none"/>
              </w:rPr>
            </w:pPr>
            <w:r>
              <w:rPr>
                <w:color w:val="auto"/>
                <w:szCs w:val="21"/>
                <w:highlight w:val="none"/>
              </w:rPr>
              <w:t>姓  名</w:t>
            </w:r>
          </w:p>
        </w:tc>
        <w:tc>
          <w:tcPr>
            <w:tcW w:w="970" w:type="dxa"/>
            <w:vAlign w:val="center"/>
          </w:tcPr>
          <w:p>
            <w:pPr>
              <w:jc w:val="center"/>
              <w:rPr>
                <w:color w:val="auto"/>
                <w:szCs w:val="21"/>
                <w:highlight w:val="none"/>
              </w:rPr>
            </w:pPr>
          </w:p>
        </w:tc>
        <w:tc>
          <w:tcPr>
            <w:tcW w:w="1370" w:type="dxa"/>
            <w:gridSpan w:val="3"/>
            <w:vAlign w:val="center"/>
          </w:tcPr>
          <w:p>
            <w:pPr>
              <w:tabs>
                <w:tab w:val="left" w:pos="2"/>
              </w:tabs>
              <w:jc w:val="center"/>
              <w:rPr>
                <w:color w:val="auto"/>
                <w:szCs w:val="21"/>
                <w:highlight w:val="none"/>
              </w:rPr>
            </w:pPr>
            <w:r>
              <w:rPr>
                <w:color w:val="auto"/>
                <w:szCs w:val="21"/>
                <w:highlight w:val="none"/>
              </w:rPr>
              <w:t>技术职称</w:t>
            </w:r>
          </w:p>
        </w:tc>
        <w:tc>
          <w:tcPr>
            <w:tcW w:w="1149" w:type="dxa"/>
            <w:gridSpan w:val="2"/>
            <w:vAlign w:val="center"/>
          </w:tcPr>
          <w:p>
            <w:pPr>
              <w:jc w:val="center"/>
              <w:rPr>
                <w:color w:val="auto"/>
                <w:szCs w:val="21"/>
                <w:highlight w:val="none"/>
              </w:rPr>
            </w:pPr>
          </w:p>
        </w:tc>
        <w:tc>
          <w:tcPr>
            <w:tcW w:w="1191" w:type="dxa"/>
            <w:vAlign w:val="center"/>
          </w:tcPr>
          <w:p>
            <w:pPr>
              <w:jc w:val="center"/>
              <w:rPr>
                <w:color w:val="auto"/>
                <w:szCs w:val="21"/>
                <w:highlight w:val="none"/>
              </w:rPr>
            </w:pPr>
            <w:r>
              <w:rPr>
                <w:color w:val="auto"/>
                <w:szCs w:val="21"/>
                <w:highlight w:val="none"/>
              </w:rPr>
              <w:t>电话</w:t>
            </w:r>
          </w:p>
        </w:tc>
        <w:tc>
          <w:tcPr>
            <w:tcW w:w="123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成立时间</w:t>
            </w:r>
          </w:p>
        </w:tc>
        <w:tc>
          <w:tcPr>
            <w:tcW w:w="2050" w:type="dxa"/>
            <w:gridSpan w:val="2"/>
            <w:vAlign w:val="center"/>
          </w:tcPr>
          <w:p>
            <w:pPr>
              <w:jc w:val="center"/>
              <w:rPr>
                <w:color w:val="auto"/>
                <w:szCs w:val="21"/>
                <w:highlight w:val="none"/>
              </w:rPr>
            </w:pPr>
          </w:p>
        </w:tc>
        <w:tc>
          <w:tcPr>
            <w:tcW w:w="4948" w:type="dxa"/>
            <w:gridSpan w:val="7"/>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企业资质等级</w:t>
            </w:r>
          </w:p>
        </w:tc>
        <w:tc>
          <w:tcPr>
            <w:tcW w:w="2050" w:type="dxa"/>
            <w:gridSpan w:val="2"/>
            <w:vAlign w:val="center"/>
          </w:tcPr>
          <w:p>
            <w:pPr>
              <w:jc w:val="center"/>
              <w:rPr>
                <w:color w:val="auto"/>
                <w:szCs w:val="21"/>
                <w:highlight w:val="none"/>
              </w:rPr>
            </w:pPr>
          </w:p>
        </w:tc>
        <w:tc>
          <w:tcPr>
            <w:tcW w:w="770" w:type="dxa"/>
            <w:vMerge w:val="restart"/>
            <w:vAlign w:val="center"/>
          </w:tcPr>
          <w:p>
            <w:pPr>
              <w:jc w:val="center"/>
              <w:rPr>
                <w:color w:val="auto"/>
                <w:szCs w:val="21"/>
                <w:highlight w:val="none"/>
              </w:rPr>
            </w:pPr>
            <w:r>
              <w:rPr>
                <w:color w:val="auto"/>
                <w:szCs w:val="21"/>
                <w:highlight w:val="none"/>
              </w:rPr>
              <w:t>其中</w:t>
            </w:r>
          </w:p>
        </w:tc>
        <w:tc>
          <w:tcPr>
            <w:tcW w:w="1749" w:type="dxa"/>
            <w:gridSpan w:val="4"/>
            <w:vAlign w:val="center"/>
          </w:tcPr>
          <w:p>
            <w:pPr>
              <w:jc w:val="center"/>
              <w:rPr>
                <w:color w:val="auto"/>
                <w:szCs w:val="21"/>
                <w:highlight w:val="none"/>
              </w:rPr>
            </w:pPr>
            <w:r>
              <w:rPr>
                <w:rFonts w:hint="eastAsia" w:ascii="宋体" w:hAnsi="宋体"/>
                <w:color w:val="auto"/>
                <w:szCs w:val="21"/>
                <w:highlight w:val="none"/>
              </w:rPr>
              <w:t>注册建造师</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营业执照号</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高级职称人员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注册资金</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中级职称人员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rFonts w:ascii="宋体" w:hAnsi="宋体"/>
                <w:color w:val="auto"/>
                <w:szCs w:val="21"/>
                <w:highlight w:val="none"/>
              </w:rPr>
            </w:pPr>
            <w:r>
              <w:rPr>
                <w:rFonts w:hint="eastAsia" w:ascii="宋体" w:hAnsi="宋体"/>
                <w:color w:val="auto"/>
                <w:szCs w:val="21"/>
                <w:highlight w:val="none"/>
              </w:rPr>
              <w:t>基本帐户</w:t>
            </w:r>
          </w:p>
          <w:p>
            <w:pPr>
              <w:jc w:val="center"/>
              <w:rPr>
                <w:color w:val="auto"/>
                <w:szCs w:val="21"/>
                <w:highlight w:val="none"/>
              </w:rPr>
            </w:pPr>
            <w:r>
              <w:rPr>
                <w:rFonts w:hint="eastAsia" w:ascii="宋体" w:hAnsi="宋体"/>
                <w:color w:val="auto"/>
                <w:szCs w:val="21"/>
                <w:highlight w:val="none"/>
              </w:rPr>
              <w:t>开户银行</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初级职称人员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rFonts w:ascii="宋体" w:hAnsi="宋体"/>
                <w:color w:val="auto"/>
                <w:szCs w:val="21"/>
                <w:highlight w:val="none"/>
              </w:rPr>
            </w:pPr>
            <w:r>
              <w:rPr>
                <w:rFonts w:hint="eastAsia" w:ascii="宋体" w:hAnsi="宋体"/>
                <w:color w:val="auto"/>
                <w:szCs w:val="21"/>
                <w:highlight w:val="none"/>
              </w:rPr>
              <w:t>基本帐户</w:t>
            </w:r>
          </w:p>
          <w:p>
            <w:pPr>
              <w:jc w:val="center"/>
              <w:rPr>
                <w:color w:val="auto"/>
                <w:szCs w:val="21"/>
                <w:highlight w:val="none"/>
              </w:rPr>
            </w:pPr>
            <w:r>
              <w:rPr>
                <w:rFonts w:hint="eastAsia" w:ascii="宋体" w:hAnsi="宋体"/>
                <w:color w:val="auto"/>
                <w:szCs w:val="21"/>
                <w:highlight w:val="none"/>
              </w:rPr>
              <w:t>账号</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技  工</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069" w:type="dxa"/>
            <w:vAlign w:val="center"/>
          </w:tcPr>
          <w:p>
            <w:pPr>
              <w:jc w:val="center"/>
              <w:rPr>
                <w:rFonts w:ascii="宋体" w:hAnsi="宋体"/>
                <w:color w:val="auto"/>
                <w:szCs w:val="21"/>
                <w:highlight w:val="none"/>
              </w:rPr>
            </w:pPr>
            <w:r>
              <w:rPr>
                <w:color w:val="auto"/>
                <w:szCs w:val="21"/>
                <w:highlight w:val="none"/>
              </w:rPr>
              <w:t>经营范围</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jc w:val="center"/>
              <w:rPr>
                <w:color w:val="auto"/>
                <w:highlight w:val="none"/>
              </w:rPr>
            </w:pPr>
            <w:r>
              <w:rPr>
                <w:color w:val="auto"/>
                <w:highlight w:val="none"/>
              </w:rPr>
              <w:t>关</w:t>
            </w:r>
            <w:r>
              <w:rPr>
                <w:rFonts w:hint="eastAsia"/>
                <w:color w:val="auto"/>
                <w:highlight w:val="none"/>
              </w:rPr>
              <w:t>联单位</w:t>
            </w:r>
          </w:p>
        </w:tc>
        <w:tc>
          <w:tcPr>
            <w:tcW w:w="6998" w:type="dxa"/>
            <w:gridSpan w:val="9"/>
            <w:vAlign w:val="center"/>
          </w:tcPr>
          <w:p>
            <w:pPr>
              <w:rPr>
                <w:color w:val="auto"/>
                <w:highlight w:val="none"/>
              </w:rPr>
            </w:pPr>
            <w:r>
              <w:rPr>
                <w:color w:val="auto"/>
                <w:highlight w:val="none"/>
              </w:rPr>
              <w:t>单位负责人</w:t>
            </w:r>
            <w:r>
              <w:rPr>
                <w:rFonts w:hint="eastAsia"/>
                <w:color w:val="auto"/>
                <w:highlight w:val="none"/>
              </w:rPr>
              <w:t>与本</w:t>
            </w:r>
            <w:r>
              <w:rPr>
                <w:color w:val="auto"/>
                <w:highlight w:val="none"/>
              </w:rPr>
              <w:t>单位负责人为同一人</w:t>
            </w:r>
            <w:r>
              <w:rPr>
                <w:rFonts w:hint="eastAsia"/>
                <w:color w:val="auto"/>
                <w:highlight w:val="none"/>
              </w:rPr>
              <w:t>的单位：</w:t>
            </w:r>
          </w:p>
          <w:p>
            <w:pPr>
              <w:rPr>
                <w:color w:val="auto"/>
                <w:highlight w:val="none"/>
              </w:rPr>
            </w:pPr>
          </w:p>
          <w:p>
            <w:pPr>
              <w:rPr>
                <w:color w:val="auto"/>
                <w:highlight w:val="none"/>
              </w:rPr>
            </w:pPr>
            <w:r>
              <w:rPr>
                <w:rFonts w:hint="eastAsia"/>
                <w:color w:val="auto"/>
                <w:highlight w:val="none"/>
              </w:rPr>
              <w:t>与本</w:t>
            </w:r>
            <w:r>
              <w:rPr>
                <w:color w:val="auto"/>
                <w:highlight w:val="none"/>
              </w:rPr>
              <w:t>单位存在控股</w:t>
            </w:r>
            <w:r>
              <w:rPr>
                <w:rFonts w:hint="eastAsia"/>
                <w:color w:val="auto"/>
                <w:highlight w:val="none"/>
              </w:rPr>
              <w:t>与被控股</w:t>
            </w:r>
            <w:r>
              <w:rPr>
                <w:color w:val="auto"/>
                <w:highlight w:val="none"/>
              </w:rPr>
              <w:t>关系的单位</w:t>
            </w:r>
            <w:r>
              <w:rPr>
                <w:rFonts w:hint="eastAsia"/>
                <w:color w:val="auto"/>
                <w:highlight w:val="none"/>
              </w:rPr>
              <w:t>：</w:t>
            </w:r>
          </w:p>
          <w:p>
            <w:pPr>
              <w:rPr>
                <w:color w:val="auto"/>
                <w:highlight w:val="none"/>
              </w:rPr>
            </w:pPr>
          </w:p>
          <w:p>
            <w:pPr>
              <w:rPr>
                <w:color w:val="auto"/>
                <w:highlight w:val="none"/>
              </w:rPr>
            </w:pPr>
            <w:r>
              <w:rPr>
                <w:rFonts w:hint="eastAsia"/>
                <w:color w:val="auto"/>
                <w:highlight w:val="none"/>
              </w:rPr>
              <w:t>与本</w:t>
            </w:r>
            <w:r>
              <w:rPr>
                <w:color w:val="auto"/>
                <w:highlight w:val="none"/>
              </w:rPr>
              <w:t>单位存在管理</w:t>
            </w:r>
            <w:r>
              <w:rPr>
                <w:rFonts w:hint="eastAsia"/>
                <w:color w:val="auto"/>
                <w:highlight w:val="none"/>
              </w:rPr>
              <w:t>与被管理</w:t>
            </w:r>
            <w:r>
              <w:rPr>
                <w:color w:val="auto"/>
                <w:highlight w:val="none"/>
              </w:rPr>
              <w:t>关系的单位</w:t>
            </w:r>
            <w:r>
              <w:rPr>
                <w:rFonts w:hint="eastAsia"/>
                <w:color w:val="auto"/>
                <w:highlight w:val="none"/>
              </w:rPr>
              <w:t>：</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069" w:type="dxa"/>
            <w:vAlign w:val="center"/>
          </w:tcPr>
          <w:p>
            <w:pPr>
              <w:jc w:val="center"/>
              <w:rPr>
                <w:color w:val="auto"/>
                <w:szCs w:val="21"/>
                <w:highlight w:val="none"/>
              </w:rPr>
            </w:pPr>
            <w:r>
              <w:rPr>
                <w:color w:val="auto"/>
                <w:szCs w:val="21"/>
                <w:highlight w:val="none"/>
              </w:rPr>
              <w:t>备  注</w:t>
            </w:r>
          </w:p>
        </w:tc>
        <w:tc>
          <w:tcPr>
            <w:tcW w:w="6998" w:type="dxa"/>
            <w:gridSpan w:val="9"/>
            <w:vAlign w:val="center"/>
          </w:tcPr>
          <w:p>
            <w:pPr>
              <w:jc w:val="center"/>
              <w:rPr>
                <w:color w:val="auto"/>
                <w:szCs w:val="21"/>
                <w:highlight w:val="none"/>
              </w:rPr>
            </w:pPr>
          </w:p>
        </w:tc>
      </w:tr>
    </w:tbl>
    <w:p>
      <w:pPr>
        <w:spacing w:line="240" w:lineRule="auto"/>
        <w:ind w:left="945" w:hanging="945" w:hangingChars="45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.本表后应附企业法人营业执照、企业资质证书、安全生产许可证、</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w:t>
      </w:r>
    </w:p>
    <w:p>
      <w:pPr>
        <w:spacing w:line="240" w:lineRule="auto"/>
        <w:ind w:left="949" w:leftChars="402" w:hanging="105" w:hangingChars="50"/>
        <w:rPr>
          <w:rFonts w:ascii="宋体" w:hAnsi="宋体"/>
          <w:color w:val="auto"/>
          <w:szCs w:val="21"/>
          <w:highlight w:val="none"/>
        </w:rPr>
      </w:pPr>
      <w:r>
        <w:rPr>
          <w:rFonts w:hint="eastAsia" w:ascii="宋体" w:hAnsi="宋体"/>
          <w:color w:val="auto"/>
          <w:szCs w:val="21"/>
          <w:highlight w:val="none"/>
        </w:rPr>
        <w:t>安全管理体系认证证书（如有）等材料的扫描件。</w:t>
      </w:r>
    </w:p>
    <w:p>
      <w:pPr>
        <w:spacing w:line="240" w:lineRule="auto"/>
        <w:ind w:firstLine="630" w:firstLineChars="300"/>
        <w:rPr>
          <w:color w:val="auto"/>
          <w:szCs w:val="21"/>
          <w:highlight w:val="none"/>
        </w:rPr>
      </w:pPr>
      <w:bookmarkStart w:id="2899" w:name="_Toc81193305"/>
      <w:bookmarkStart w:id="2900" w:name="_Toc81213595"/>
      <w:r>
        <w:rPr>
          <w:rFonts w:hint="eastAsia"/>
          <w:color w:val="auto"/>
          <w:szCs w:val="21"/>
          <w:highlight w:val="none"/>
        </w:rPr>
        <w:t>2.投标人应当如实披露相关关联单位的情况，没有相关关联单位的明确填“无”。</w:t>
      </w:r>
      <w:bookmarkEnd w:id="2899"/>
      <w:bookmarkEnd w:id="2900"/>
    </w:p>
    <w:p>
      <w:pPr>
        <w:spacing w:line="240" w:lineRule="auto"/>
        <w:ind w:firstLine="630" w:firstLineChars="300"/>
        <w:rPr>
          <w:color w:val="auto"/>
          <w:szCs w:val="21"/>
          <w:highlight w:val="none"/>
        </w:rPr>
        <w:sectPr>
          <w:pgSz w:w="11906" w:h="16838"/>
          <w:pgMar w:top="2098" w:right="1446" w:bottom="1984" w:left="1446" w:header="851" w:footer="1446" w:gutter="0"/>
          <w:cols w:space="0" w:num="1"/>
          <w:docGrid w:linePitch="312" w:charSpace="0"/>
        </w:sectPr>
      </w:pPr>
      <w:r>
        <w:rPr>
          <w:rFonts w:hint="eastAsia"/>
          <w:color w:val="auto"/>
          <w:szCs w:val="21"/>
          <w:highlight w:val="none"/>
        </w:rPr>
        <w:t>3.以联合体形式投标的，联合体各成员应分别填写。</w:t>
      </w:r>
    </w:p>
    <w:p>
      <w:pPr>
        <w:pStyle w:val="9"/>
        <w:jc w:val="center"/>
        <w:rPr>
          <w:b/>
          <w:bCs/>
          <w:color w:val="auto"/>
          <w:sz w:val="24"/>
          <w:highlight w:val="none"/>
        </w:rPr>
      </w:pPr>
      <w:bookmarkStart w:id="2901" w:name="_Toc28532435"/>
      <w:r>
        <w:rPr>
          <w:rFonts w:hint="eastAsia"/>
          <w:b/>
          <w:bCs/>
          <w:color w:val="auto"/>
          <w:sz w:val="24"/>
          <w:highlight w:val="none"/>
        </w:rPr>
        <w:t>1-2项目管理机构主要人员及简历表</w:t>
      </w:r>
      <w:bookmarkEnd w:id="2901"/>
    </w:p>
    <w:p>
      <w:pPr>
        <w:spacing w:line="400" w:lineRule="atLeast"/>
        <w:ind w:firstLine="630" w:firstLineChars="300"/>
        <w:rPr>
          <w:color w:val="auto"/>
          <w:szCs w:val="21"/>
          <w:highlight w:val="none"/>
        </w:rPr>
      </w:pPr>
    </w:p>
    <w:p>
      <w:pPr>
        <w:spacing w:line="400" w:lineRule="atLeast"/>
        <w:ind w:firstLine="630" w:firstLineChars="300"/>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w:t>
      </w:r>
      <w:r>
        <w:rPr>
          <w:rFonts w:hint="eastAsia" w:ascii="宋体" w:hAnsi="宋体"/>
          <w:color w:val="auto"/>
          <w:szCs w:val="21"/>
          <w:highlight w:val="none"/>
        </w:rPr>
        <w:t>同本章第八节。</w:t>
      </w:r>
    </w:p>
    <w:p>
      <w:pPr>
        <w:spacing w:line="400" w:lineRule="atLeast"/>
        <w:ind w:firstLine="630" w:firstLineChars="300"/>
        <w:rPr>
          <w:color w:val="auto"/>
          <w:szCs w:val="21"/>
          <w:highlight w:val="none"/>
        </w:rPr>
        <w:sectPr>
          <w:pgSz w:w="11906" w:h="16838"/>
          <w:pgMar w:top="2098" w:right="1446" w:bottom="1984" w:left="1446" w:header="851" w:footer="1446" w:gutter="0"/>
          <w:cols w:space="0" w:num="1"/>
          <w:docGrid w:linePitch="312" w:charSpace="0"/>
        </w:sectPr>
      </w:pPr>
    </w:p>
    <w:p>
      <w:pPr>
        <w:pStyle w:val="38"/>
        <w:keepNext w:val="0"/>
        <w:keepLines w:val="0"/>
        <w:jc w:val="left"/>
        <w:outlineLvl w:val="3"/>
        <w:rPr>
          <w:b w:val="0"/>
          <w:bCs w:val="0"/>
          <w:color w:val="auto"/>
          <w:sz w:val="24"/>
          <w:szCs w:val="24"/>
          <w:highlight w:val="none"/>
        </w:rPr>
      </w:pPr>
      <w:bookmarkStart w:id="2902" w:name="_Toc1214107036"/>
      <w:bookmarkStart w:id="2903" w:name="_Toc7117"/>
      <w:bookmarkStart w:id="2904" w:name="_Toc109149972"/>
      <w:bookmarkStart w:id="2905" w:name="_Toc414102012"/>
      <w:bookmarkStart w:id="2906" w:name="_Toc31092"/>
      <w:bookmarkStart w:id="2907" w:name="_Toc3593"/>
      <w:bookmarkStart w:id="2908" w:name="_Toc429598786"/>
      <w:bookmarkStart w:id="2909" w:name="_Toc426496260"/>
      <w:bookmarkStart w:id="2910" w:name="_Toc9830"/>
      <w:bookmarkStart w:id="2911" w:name="_Toc2221"/>
      <w:bookmarkStart w:id="2912" w:name="_Toc30554"/>
      <w:bookmarkStart w:id="2913" w:name="_Toc325129590"/>
      <w:bookmarkStart w:id="2914" w:name="_Toc288066328"/>
      <w:bookmarkStart w:id="2915" w:name="_Toc323220056"/>
      <w:bookmarkStart w:id="2916" w:name="_Toc279401984"/>
      <w:r>
        <w:rPr>
          <w:rFonts w:hint="eastAsia"/>
          <w:color w:val="auto"/>
          <w:sz w:val="24"/>
          <w:szCs w:val="24"/>
          <w:highlight w:val="none"/>
        </w:rPr>
        <w:t>（二）近3年财务状况</w:t>
      </w:r>
      <w:bookmarkEnd w:id="2902"/>
      <w:bookmarkEnd w:id="2903"/>
      <w:bookmarkEnd w:id="2904"/>
      <w:bookmarkEnd w:id="2905"/>
      <w:bookmarkEnd w:id="2906"/>
      <w:bookmarkEnd w:id="2907"/>
      <w:bookmarkEnd w:id="2908"/>
      <w:bookmarkEnd w:id="2909"/>
      <w:bookmarkEnd w:id="2910"/>
      <w:bookmarkEnd w:id="2911"/>
      <w:bookmarkEnd w:id="2912"/>
    </w:p>
    <w:p>
      <w:pPr>
        <w:pStyle w:val="9"/>
        <w:jc w:val="center"/>
        <w:rPr>
          <w:b/>
          <w:bCs/>
          <w:color w:val="auto"/>
          <w:sz w:val="24"/>
          <w:highlight w:val="none"/>
        </w:rPr>
      </w:pPr>
      <w:bookmarkStart w:id="2917" w:name="_Toc1710586063"/>
      <w:bookmarkStart w:id="2918" w:name="_Toc429598787"/>
      <w:bookmarkStart w:id="2919" w:name="_Toc20493"/>
      <w:bookmarkStart w:id="2920" w:name="_Toc4065"/>
      <w:bookmarkStart w:id="2921" w:name="_Toc27720"/>
      <w:bookmarkStart w:id="2922" w:name="_Toc12027"/>
      <w:bookmarkStart w:id="2923" w:name="_Toc426496261"/>
      <w:bookmarkStart w:id="2924" w:name="_Toc6030"/>
      <w:r>
        <w:rPr>
          <w:rFonts w:hint="eastAsia"/>
          <w:b/>
          <w:bCs/>
          <w:color w:val="auto"/>
          <w:sz w:val="24"/>
          <w:highlight w:val="none"/>
        </w:rPr>
        <w:t>2-1近3年财务状况表</w:t>
      </w:r>
      <w:bookmarkEnd w:id="2917"/>
      <w:bookmarkEnd w:id="2918"/>
      <w:bookmarkEnd w:id="2919"/>
      <w:bookmarkEnd w:id="2920"/>
      <w:bookmarkEnd w:id="2921"/>
      <w:bookmarkEnd w:id="2922"/>
      <w:bookmarkEnd w:id="2923"/>
      <w:bookmarkEnd w:id="2924"/>
    </w:p>
    <w:tbl>
      <w:tblPr>
        <w:tblStyle w:val="25"/>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2"/>
        <w:gridCol w:w="815"/>
        <w:gridCol w:w="1539"/>
        <w:gridCol w:w="1539"/>
        <w:gridCol w:w="1539"/>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jc w:val="center"/>
              <w:rPr>
                <w:rFonts w:ascii="宋体" w:hAnsi="宋体"/>
                <w:color w:val="auto"/>
                <w:szCs w:val="21"/>
                <w:highlight w:val="none"/>
              </w:rPr>
            </w:pPr>
            <w:r>
              <w:rPr>
                <w:rFonts w:hint="eastAsia" w:ascii="宋体" w:hAnsi="宋体"/>
                <w:color w:val="auto"/>
                <w:szCs w:val="21"/>
                <w:highlight w:val="none"/>
              </w:rPr>
              <w:t>名称</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近</w:t>
            </w:r>
            <w:r>
              <w:rPr>
                <w:rFonts w:hint="eastAsia"/>
                <w:color w:val="auto"/>
                <w:szCs w:val="21"/>
                <w:highlight w:val="none"/>
              </w:rPr>
              <w:t>3</w:t>
            </w:r>
            <w:r>
              <w:rPr>
                <w:rFonts w:hint="eastAsia" w:ascii="宋体" w:hAnsi="宋体"/>
                <w:color w:val="auto"/>
                <w:szCs w:val="21"/>
                <w:highlight w:val="none"/>
              </w:rPr>
              <w:t>年平均值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．净资产收益率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．总资产报酬率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．主营业务利润率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4</w:t>
            </w:r>
            <w:r>
              <w:rPr>
                <w:rFonts w:hint="eastAsia" w:ascii="宋体" w:hAnsi="宋体"/>
                <w:color w:val="auto"/>
                <w:szCs w:val="21"/>
                <w:highlight w:val="none"/>
              </w:rPr>
              <w:t>．资产负债率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5</w:t>
            </w:r>
            <w:r>
              <w:rPr>
                <w:rFonts w:hint="eastAsia" w:ascii="宋体" w:hAnsi="宋体"/>
                <w:color w:val="auto"/>
                <w:szCs w:val="21"/>
                <w:highlight w:val="none"/>
              </w:rPr>
              <w:t>．流动比率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032" w:type="dxa"/>
            <w:vAlign w:val="center"/>
          </w:tcPr>
          <w:p>
            <w:pPr>
              <w:rPr>
                <w:rFonts w:ascii="宋体" w:hAnsi="宋体"/>
                <w:color w:val="auto"/>
                <w:szCs w:val="21"/>
                <w:highlight w:val="none"/>
              </w:rPr>
            </w:pPr>
            <w:r>
              <w:rPr>
                <w:rFonts w:hint="eastAsia"/>
                <w:color w:val="auto"/>
                <w:szCs w:val="21"/>
                <w:highlight w:val="none"/>
              </w:rPr>
              <w:t>6</w:t>
            </w:r>
            <w:r>
              <w:rPr>
                <w:rFonts w:hint="eastAsia" w:ascii="宋体" w:hAnsi="宋体"/>
                <w:color w:val="auto"/>
                <w:szCs w:val="21"/>
                <w:highlight w:val="none"/>
              </w:rPr>
              <w:t>．速动比率</w:t>
            </w:r>
          </w:p>
        </w:tc>
        <w:tc>
          <w:tcPr>
            <w:tcW w:w="815" w:type="dxa"/>
          </w:tcPr>
          <w:p>
            <w:pPr>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bl>
    <w:p>
      <w:pPr>
        <w:autoSpaceDE w:val="0"/>
        <w:autoSpaceDN w:val="0"/>
        <w:adjustRightInd w:val="0"/>
        <w:snapToGrid w:val="0"/>
        <w:ind w:left="840" w:hanging="840" w:hangingChars="400"/>
        <w:rPr>
          <w:rFonts w:ascii="宋体" w:hAnsi="宋体" w:cs="宋体"/>
          <w:color w:val="auto"/>
          <w:kern w:val="0"/>
          <w:szCs w:val="21"/>
          <w:highlight w:val="none"/>
        </w:rPr>
      </w:pPr>
      <w:r>
        <w:rPr>
          <w:rFonts w:hint="eastAsia" w:ascii="宋体" w:hAnsi="宋体"/>
          <w:color w:val="auto"/>
          <w:szCs w:val="21"/>
          <w:highlight w:val="none"/>
        </w:rPr>
        <w:t>备注：</w:t>
      </w:r>
      <w:r>
        <w:rPr>
          <w:color w:val="auto"/>
          <w:szCs w:val="21"/>
          <w:highlight w:val="none"/>
        </w:rPr>
        <w:t>1</w:t>
      </w:r>
      <w:r>
        <w:rPr>
          <w:rFonts w:hint="eastAsia" w:ascii="宋体" w:hAnsi="宋体"/>
          <w:color w:val="auto"/>
          <w:szCs w:val="21"/>
          <w:highlight w:val="none"/>
        </w:rPr>
        <w:t>.</w:t>
      </w:r>
      <w:r>
        <w:rPr>
          <w:rFonts w:hint="eastAsia" w:ascii="宋体" w:hAnsi="宋体" w:cs="宋体"/>
          <w:color w:val="auto"/>
          <w:kern w:val="0"/>
          <w:szCs w:val="21"/>
          <w:highlight w:val="none"/>
        </w:rPr>
        <w:t>本表后应附近</w:t>
      </w:r>
      <w:r>
        <w:rPr>
          <w:rFonts w:hint="eastAsia" w:cs="宋体"/>
          <w:color w:val="auto"/>
          <w:kern w:val="0"/>
          <w:szCs w:val="21"/>
          <w:highlight w:val="none"/>
        </w:rPr>
        <w:t>3</w:t>
      </w:r>
      <w:r>
        <w:rPr>
          <w:rFonts w:hint="eastAsia" w:ascii="宋体" w:hAnsi="宋体" w:cs="宋体"/>
          <w:color w:val="auto"/>
          <w:kern w:val="0"/>
          <w:szCs w:val="21"/>
          <w:highlight w:val="none"/>
        </w:rPr>
        <w:t>年经会计师事务所或审计机构审计的财务会计报表，包括资产负债表、现金流量表、利润表和财务情况说明书的</w:t>
      </w:r>
      <w:r>
        <w:rPr>
          <w:rFonts w:hint="eastAsia" w:ascii="宋体" w:hAnsi="宋体"/>
          <w:color w:val="auto"/>
          <w:szCs w:val="21"/>
          <w:highlight w:val="none"/>
        </w:rPr>
        <w:t>扫描件</w:t>
      </w:r>
      <w:r>
        <w:rPr>
          <w:rFonts w:hint="eastAsia" w:ascii="宋体" w:hAnsi="宋体" w:cs="宋体"/>
          <w:color w:val="auto"/>
          <w:kern w:val="0"/>
          <w:szCs w:val="21"/>
          <w:highlight w:val="none"/>
        </w:rPr>
        <w:t>。投标人的成立时间少于</w:t>
      </w:r>
      <w:r>
        <w:rPr>
          <w:rFonts w:hint="eastAsia" w:cs="宋体"/>
          <w:color w:val="auto"/>
          <w:kern w:val="0"/>
          <w:szCs w:val="21"/>
          <w:highlight w:val="none"/>
        </w:rPr>
        <w:t>3</w:t>
      </w:r>
      <w:r>
        <w:rPr>
          <w:rFonts w:hint="eastAsia" w:ascii="宋体" w:hAnsi="宋体" w:cs="宋体"/>
          <w:color w:val="auto"/>
          <w:kern w:val="0"/>
          <w:szCs w:val="21"/>
          <w:highlight w:val="none"/>
        </w:rPr>
        <w:t>年的，应提供成立以来的财务状况表。</w:t>
      </w:r>
    </w:p>
    <w:p>
      <w:pPr>
        <w:ind w:left="840" w:leftChars="400"/>
        <w:rPr>
          <w:rFonts w:ascii="宋体" w:hAnsi="宋体"/>
          <w:color w:val="auto"/>
          <w:szCs w:val="21"/>
          <w:highlight w:val="none"/>
        </w:rPr>
      </w:pPr>
      <w:r>
        <w:rPr>
          <w:rFonts w:hint="eastAsia" w:ascii="宋体" w:hAnsi="宋体"/>
          <w:color w:val="auto"/>
          <w:szCs w:val="21"/>
          <w:highlight w:val="none"/>
        </w:rPr>
        <w:t>投标截止日如在</w:t>
      </w:r>
      <w:r>
        <w:rPr>
          <w:rFonts w:hint="eastAsia"/>
          <w:color w:val="auto"/>
          <w:szCs w:val="21"/>
          <w:highlight w:val="none"/>
        </w:rPr>
        <w:t>6</w:t>
      </w:r>
      <w:r>
        <w:rPr>
          <w:rFonts w:hint="eastAsia" w:ascii="宋体" w:hAnsi="宋体"/>
          <w:color w:val="auto"/>
          <w:szCs w:val="21"/>
          <w:highlight w:val="none"/>
        </w:rPr>
        <w:t>月</w:t>
      </w:r>
      <w:r>
        <w:rPr>
          <w:rFonts w:hint="eastAsia"/>
          <w:color w:val="auto"/>
          <w:szCs w:val="21"/>
          <w:highlight w:val="none"/>
        </w:rPr>
        <w:t>30</w:t>
      </w:r>
      <w:r>
        <w:rPr>
          <w:rFonts w:hint="eastAsia" w:ascii="宋体" w:hAnsi="宋体"/>
          <w:color w:val="auto"/>
          <w:szCs w:val="21"/>
          <w:highlight w:val="none"/>
        </w:rPr>
        <w:t>日以前，则近</w:t>
      </w:r>
      <w:r>
        <w:rPr>
          <w:rFonts w:hint="eastAsia"/>
          <w:color w:val="auto"/>
          <w:szCs w:val="21"/>
          <w:highlight w:val="none"/>
        </w:rPr>
        <w:t>3</w:t>
      </w:r>
      <w:r>
        <w:rPr>
          <w:rFonts w:hint="eastAsia" w:ascii="宋体" w:hAnsi="宋体"/>
          <w:color w:val="auto"/>
          <w:szCs w:val="21"/>
          <w:highlight w:val="none"/>
        </w:rPr>
        <w:t>年是指上上个年度往前推算的</w:t>
      </w:r>
      <w:r>
        <w:rPr>
          <w:rFonts w:hint="eastAsia"/>
          <w:color w:val="auto"/>
          <w:szCs w:val="21"/>
          <w:highlight w:val="none"/>
        </w:rPr>
        <w:t>3</w:t>
      </w:r>
      <w:r>
        <w:rPr>
          <w:rFonts w:hint="eastAsia" w:ascii="宋体" w:hAnsi="宋体"/>
          <w:color w:val="auto"/>
          <w:szCs w:val="21"/>
          <w:highlight w:val="none"/>
        </w:rPr>
        <w:t>年，例如投标截止日为</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5</w:t>
      </w:r>
      <w:r>
        <w:rPr>
          <w:rFonts w:hint="eastAsia" w:ascii="宋体" w:hAnsi="宋体"/>
          <w:color w:val="auto"/>
          <w:szCs w:val="21"/>
          <w:highlight w:val="none"/>
        </w:rPr>
        <w:t>月</w:t>
      </w:r>
      <w:r>
        <w:rPr>
          <w:rFonts w:hint="eastAsia"/>
          <w:color w:val="auto"/>
          <w:szCs w:val="21"/>
          <w:highlight w:val="none"/>
        </w:rPr>
        <w:t>30</w:t>
      </w:r>
      <w:r>
        <w:rPr>
          <w:rFonts w:hint="eastAsia" w:ascii="宋体" w:hAnsi="宋体"/>
          <w:color w:val="auto"/>
          <w:szCs w:val="21"/>
          <w:highlight w:val="none"/>
        </w:rPr>
        <w:t>日，近</w:t>
      </w:r>
      <w:r>
        <w:rPr>
          <w:rFonts w:hint="eastAsia"/>
          <w:color w:val="auto"/>
          <w:szCs w:val="21"/>
          <w:highlight w:val="none"/>
        </w:rPr>
        <w:t>3</w:t>
      </w:r>
      <w:r>
        <w:rPr>
          <w:rFonts w:hint="eastAsia" w:ascii="宋体" w:hAnsi="宋体"/>
          <w:color w:val="auto"/>
          <w:szCs w:val="21"/>
          <w:highlight w:val="none"/>
        </w:rPr>
        <w:t>年是指</w:t>
      </w:r>
      <w:r>
        <w:rPr>
          <w:rFonts w:hint="eastAsia"/>
          <w:color w:val="auto"/>
          <w:szCs w:val="21"/>
          <w:highlight w:val="none"/>
        </w:rPr>
        <w:t>2018</w:t>
      </w:r>
      <w:r>
        <w:rPr>
          <w:rFonts w:hint="eastAsia" w:ascii="宋体" w:hAnsi="宋体"/>
          <w:color w:val="auto"/>
          <w:szCs w:val="21"/>
          <w:highlight w:val="none"/>
        </w:rPr>
        <w:t>年度、</w:t>
      </w:r>
      <w:r>
        <w:rPr>
          <w:rFonts w:hint="eastAsia"/>
          <w:color w:val="auto"/>
          <w:szCs w:val="21"/>
          <w:highlight w:val="none"/>
        </w:rPr>
        <w:t>2019</w:t>
      </w:r>
      <w:r>
        <w:rPr>
          <w:rFonts w:hint="eastAsia" w:ascii="宋体" w:hAnsi="宋体"/>
          <w:color w:val="auto"/>
          <w:szCs w:val="21"/>
          <w:highlight w:val="none"/>
        </w:rPr>
        <w:t>年度、</w:t>
      </w:r>
      <w:r>
        <w:rPr>
          <w:rFonts w:hint="eastAsia"/>
          <w:color w:val="auto"/>
          <w:szCs w:val="21"/>
          <w:highlight w:val="none"/>
        </w:rPr>
        <w:t>2020</w:t>
      </w:r>
      <w:r>
        <w:rPr>
          <w:rFonts w:hint="eastAsia" w:ascii="宋体" w:hAnsi="宋体"/>
          <w:color w:val="auto"/>
          <w:szCs w:val="21"/>
          <w:highlight w:val="none"/>
        </w:rPr>
        <w:t>年度。</w:t>
      </w:r>
    </w:p>
    <w:p>
      <w:pPr>
        <w:autoSpaceDE w:val="0"/>
        <w:autoSpaceDN w:val="0"/>
        <w:adjustRightInd w:val="0"/>
        <w:snapToGrid w:val="0"/>
        <w:ind w:left="840" w:leftChars="400"/>
        <w:rPr>
          <w:rFonts w:ascii="宋体" w:hAnsi="宋体" w:cs="宋体"/>
          <w:color w:val="auto"/>
          <w:kern w:val="0"/>
          <w:szCs w:val="21"/>
          <w:highlight w:val="none"/>
        </w:rPr>
      </w:pPr>
      <w:r>
        <w:rPr>
          <w:rFonts w:hint="eastAsia" w:ascii="宋体" w:hAnsi="宋体"/>
          <w:color w:val="auto"/>
          <w:szCs w:val="21"/>
          <w:highlight w:val="none"/>
        </w:rPr>
        <w:t>投标截止日如在</w:t>
      </w:r>
      <w:r>
        <w:rPr>
          <w:rFonts w:hint="eastAsia"/>
          <w:color w:val="auto"/>
          <w:szCs w:val="21"/>
          <w:highlight w:val="none"/>
        </w:rPr>
        <w:t>6</w:t>
      </w:r>
      <w:r>
        <w:rPr>
          <w:rFonts w:hint="eastAsia" w:ascii="宋体" w:hAnsi="宋体"/>
          <w:color w:val="auto"/>
          <w:szCs w:val="21"/>
          <w:highlight w:val="none"/>
        </w:rPr>
        <w:t>月</w:t>
      </w:r>
      <w:r>
        <w:rPr>
          <w:rFonts w:hint="eastAsia"/>
          <w:color w:val="auto"/>
          <w:szCs w:val="21"/>
          <w:highlight w:val="none"/>
        </w:rPr>
        <w:t>30</w:t>
      </w:r>
      <w:r>
        <w:rPr>
          <w:rFonts w:hint="eastAsia" w:ascii="宋体" w:hAnsi="宋体"/>
          <w:color w:val="auto"/>
          <w:szCs w:val="21"/>
          <w:highlight w:val="none"/>
        </w:rPr>
        <w:t>日以后，则近</w:t>
      </w:r>
      <w:r>
        <w:rPr>
          <w:rFonts w:hint="eastAsia"/>
          <w:color w:val="auto"/>
          <w:szCs w:val="21"/>
          <w:highlight w:val="none"/>
        </w:rPr>
        <w:t>3</w:t>
      </w:r>
      <w:r>
        <w:rPr>
          <w:rFonts w:hint="eastAsia" w:ascii="宋体" w:hAnsi="宋体"/>
          <w:color w:val="auto"/>
          <w:szCs w:val="21"/>
          <w:highlight w:val="none"/>
        </w:rPr>
        <w:t>年是指上个年度往前推算的</w:t>
      </w:r>
      <w:r>
        <w:rPr>
          <w:rFonts w:hint="eastAsia"/>
          <w:color w:val="auto"/>
          <w:szCs w:val="21"/>
          <w:highlight w:val="none"/>
        </w:rPr>
        <w:t>3</w:t>
      </w:r>
      <w:r>
        <w:rPr>
          <w:rFonts w:hint="eastAsia" w:ascii="宋体" w:hAnsi="宋体"/>
          <w:color w:val="auto"/>
          <w:szCs w:val="21"/>
          <w:highlight w:val="none"/>
        </w:rPr>
        <w:t>年，例如投标截止日为</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7</w:t>
      </w:r>
      <w:r>
        <w:rPr>
          <w:rFonts w:hint="eastAsia" w:ascii="宋体" w:hAnsi="宋体"/>
          <w:color w:val="auto"/>
          <w:szCs w:val="21"/>
          <w:highlight w:val="none"/>
        </w:rPr>
        <w:t>月</w:t>
      </w:r>
      <w:r>
        <w:rPr>
          <w:rFonts w:hint="eastAsia"/>
          <w:color w:val="auto"/>
          <w:szCs w:val="21"/>
          <w:highlight w:val="none"/>
        </w:rPr>
        <w:t>1</w:t>
      </w:r>
      <w:r>
        <w:rPr>
          <w:rFonts w:hint="eastAsia" w:ascii="宋体" w:hAnsi="宋体"/>
          <w:color w:val="auto"/>
          <w:szCs w:val="21"/>
          <w:highlight w:val="none"/>
        </w:rPr>
        <w:t>日，近</w:t>
      </w:r>
      <w:r>
        <w:rPr>
          <w:rFonts w:hint="eastAsia"/>
          <w:color w:val="auto"/>
          <w:szCs w:val="21"/>
          <w:highlight w:val="none"/>
        </w:rPr>
        <w:t>3</w:t>
      </w:r>
      <w:r>
        <w:rPr>
          <w:rFonts w:hint="eastAsia" w:ascii="宋体" w:hAnsi="宋体"/>
          <w:color w:val="auto"/>
          <w:szCs w:val="21"/>
          <w:highlight w:val="none"/>
        </w:rPr>
        <w:t>年是指</w:t>
      </w:r>
      <w:r>
        <w:rPr>
          <w:rFonts w:hint="eastAsia"/>
          <w:color w:val="auto"/>
          <w:szCs w:val="21"/>
          <w:highlight w:val="none"/>
        </w:rPr>
        <w:t>2019</w:t>
      </w:r>
      <w:r>
        <w:rPr>
          <w:rFonts w:hint="eastAsia" w:ascii="宋体" w:hAnsi="宋体"/>
          <w:color w:val="auto"/>
          <w:szCs w:val="21"/>
          <w:highlight w:val="none"/>
        </w:rPr>
        <w:t>年度、</w:t>
      </w:r>
      <w:r>
        <w:rPr>
          <w:rFonts w:hint="eastAsia"/>
          <w:color w:val="auto"/>
          <w:szCs w:val="21"/>
          <w:highlight w:val="none"/>
        </w:rPr>
        <w:t>2020</w:t>
      </w:r>
      <w:r>
        <w:rPr>
          <w:rFonts w:hint="eastAsia" w:ascii="宋体" w:hAnsi="宋体"/>
          <w:color w:val="auto"/>
          <w:szCs w:val="21"/>
          <w:highlight w:val="none"/>
        </w:rPr>
        <w:t>年度、</w:t>
      </w:r>
      <w:r>
        <w:rPr>
          <w:rFonts w:hint="eastAsia"/>
          <w:color w:val="auto"/>
          <w:szCs w:val="21"/>
          <w:highlight w:val="none"/>
        </w:rPr>
        <w:t>2021</w:t>
      </w:r>
      <w:r>
        <w:rPr>
          <w:rFonts w:hint="eastAsia" w:ascii="宋体" w:hAnsi="宋体"/>
          <w:color w:val="auto"/>
          <w:szCs w:val="21"/>
          <w:highlight w:val="none"/>
        </w:rPr>
        <w:t>年度。</w:t>
      </w:r>
    </w:p>
    <w:p>
      <w:pPr>
        <w:autoSpaceDE w:val="0"/>
        <w:autoSpaceDN w:val="0"/>
        <w:adjustRightInd w:val="0"/>
        <w:snapToGrid w:val="0"/>
        <w:ind w:left="840" w:leftChars="300" w:hanging="210" w:hangingChars="100"/>
        <w:rPr>
          <w:rFonts w:ascii="宋体" w:hAnsi="宋体" w:cs="宋体"/>
          <w:color w:val="auto"/>
          <w:kern w:val="0"/>
          <w:szCs w:val="21"/>
          <w:highlight w:val="none"/>
        </w:rPr>
      </w:pPr>
      <w:r>
        <w:rPr>
          <w:rFonts w:cs="宋体"/>
          <w:color w:val="auto"/>
          <w:kern w:val="0"/>
          <w:szCs w:val="21"/>
          <w:highlight w:val="none"/>
        </w:rPr>
        <w:t>2</w:t>
      </w:r>
      <w:r>
        <w:rPr>
          <w:rFonts w:hint="eastAsia" w:ascii="宋体" w:hAnsi="宋体"/>
          <w:color w:val="auto"/>
          <w:szCs w:val="21"/>
          <w:highlight w:val="none"/>
        </w:rPr>
        <w:t>.</w:t>
      </w:r>
      <w:r>
        <w:rPr>
          <w:rFonts w:hint="eastAsia" w:ascii="宋体" w:hAns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pPr>
        <w:autoSpaceDE w:val="0"/>
        <w:autoSpaceDN w:val="0"/>
        <w:adjustRightInd w:val="0"/>
        <w:snapToGrid w:val="0"/>
        <w:ind w:firstLine="630" w:firstLineChars="300"/>
        <w:rPr>
          <w:rFonts w:ascii="宋体" w:hAnsi="宋体" w:cs="宋体"/>
          <w:color w:val="auto"/>
          <w:kern w:val="0"/>
          <w:szCs w:val="21"/>
          <w:highlight w:val="none"/>
        </w:rPr>
      </w:pPr>
      <w:r>
        <w:rPr>
          <w:rFonts w:cs="宋体"/>
          <w:color w:val="auto"/>
          <w:kern w:val="0"/>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以联合体形式</w:t>
      </w:r>
      <w:r>
        <w:rPr>
          <w:rFonts w:hint="eastAsia" w:ascii="宋体" w:hAnsi="宋体"/>
          <w:color w:val="auto"/>
          <w:szCs w:val="21"/>
          <w:highlight w:val="none"/>
        </w:rPr>
        <w:t>投标</w:t>
      </w:r>
      <w:r>
        <w:rPr>
          <w:rFonts w:hint="eastAsia" w:ascii="宋体" w:hAnsi="宋体" w:cs="宋体"/>
          <w:color w:val="auto"/>
          <w:kern w:val="0"/>
          <w:szCs w:val="21"/>
          <w:highlight w:val="none"/>
        </w:rPr>
        <w:t>的，联合体各成员应分别填写。</w:t>
      </w:r>
    </w:p>
    <w:p>
      <w:pPr>
        <w:rPr>
          <w:color w:val="auto"/>
          <w:sz w:val="24"/>
          <w:highlight w:val="none"/>
        </w:rPr>
        <w:sectPr>
          <w:pgSz w:w="11906" w:h="16838"/>
          <w:pgMar w:top="2098" w:right="1446" w:bottom="1984" w:left="1446" w:header="851" w:footer="1446" w:gutter="0"/>
          <w:cols w:space="0" w:num="1"/>
          <w:docGrid w:linePitch="312" w:charSpace="0"/>
        </w:sectPr>
      </w:pPr>
    </w:p>
    <w:p>
      <w:pPr>
        <w:pStyle w:val="9"/>
        <w:jc w:val="center"/>
        <w:rPr>
          <w:b/>
          <w:bCs/>
          <w:color w:val="auto"/>
          <w:sz w:val="24"/>
          <w:highlight w:val="none"/>
        </w:rPr>
      </w:pPr>
      <w:bookmarkStart w:id="2925" w:name="_Toc31933"/>
      <w:bookmarkStart w:id="2926" w:name="_Toc13769"/>
      <w:bookmarkStart w:id="2927" w:name="_Toc29813"/>
      <w:bookmarkStart w:id="2928" w:name="_Toc9666085"/>
      <w:bookmarkStart w:id="2929" w:name="_Toc429598788"/>
      <w:bookmarkStart w:id="2930" w:name="_Toc426496262"/>
      <w:bookmarkStart w:id="2931" w:name="_Toc17077"/>
      <w:bookmarkStart w:id="2932" w:name="_Toc10125"/>
      <w:r>
        <w:rPr>
          <w:rFonts w:hint="eastAsia"/>
          <w:b/>
          <w:bCs/>
          <w:color w:val="auto"/>
          <w:sz w:val="24"/>
          <w:highlight w:val="none"/>
        </w:rPr>
        <w:t>2-2拟投入的流动资金函(格式)</w:t>
      </w:r>
      <w:bookmarkEnd w:id="2925"/>
      <w:bookmarkEnd w:id="2926"/>
      <w:bookmarkEnd w:id="2927"/>
      <w:bookmarkEnd w:id="2928"/>
      <w:bookmarkEnd w:id="2929"/>
      <w:bookmarkEnd w:id="2930"/>
      <w:bookmarkEnd w:id="2931"/>
      <w:bookmarkEnd w:id="2932"/>
    </w:p>
    <w:p>
      <w:pPr>
        <w:spacing w:line="336" w:lineRule="auto"/>
        <w:rPr>
          <w:rFonts w:ascii="宋体" w:hAnsi="宋体"/>
          <w:color w:val="auto"/>
          <w:szCs w:val="21"/>
          <w:highlight w:val="none"/>
          <w:u w:val="single"/>
        </w:rPr>
      </w:pPr>
    </w:p>
    <w:p>
      <w:pPr>
        <w:spacing w:line="336" w:lineRule="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我方拟投入</w:t>
      </w:r>
      <w:r>
        <w:rPr>
          <w:rFonts w:hint="eastAsia" w:ascii="宋体" w:hAnsi="宋体"/>
          <w:color w:val="auto"/>
          <w:szCs w:val="21"/>
          <w:highlight w:val="none"/>
          <w:u w:val="single"/>
        </w:rPr>
        <w:t>　　　　　　</w:t>
      </w:r>
      <w:r>
        <w:rPr>
          <w:rFonts w:hint="eastAsia" w:ascii="宋体" w:hAnsi="宋体"/>
          <w:color w:val="auto"/>
          <w:szCs w:val="21"/>
          <w:highlight w:val="none"/>
        </w:rPr>
        <w:t>(项目名称)</w:t>
      </w:r>
      <w:r>
        <w:rPr>
          <w:rFonts w:hint="eastAsia" w:ascii="宋体" w:hAnsi="宋体"/>
          <w:color w:val="auto"/>
          <w:szCs w:val="21"/>
          <w:highlight w:val="none"/>
          <w:u w:val="single"/>
        </w:rPr>
        <w:t>　　　　　</w:t>
      </w:r>
      <w:r>
        <w:rPr>
          <w:rFonts w:hint="eastAsia" w:ascii="宋体" w:hAnsi="宋体"/>
          <w:color w:val="auto"/>
          <w:szCs w:val="21"/>
          <w:highlight w:val="none"/>
        </w:rPr>
        <w:t>(标段名称)的流动资金为</w:t>
      </w:r>
      <w:r>
        <w:rPr>
          <w:rFonts w:hint="eastAsia" w:ascii="宋体" w:hAnsi="宋体"/>
          <w:color w:val="auto"/>
          <w:szCs w:val="21"/>
          <w:highlight w:val="none"/>
          <w:u w:val="single"/>
        </w:rPr>
        <w:t>　　　　</w:t>
      </w:r>
      <w:r>
        <w:rPr>
          <w:rFonts w:hint="eastAsia" w:ascii="宋体" w:hAnsi="宋体"/>
          <w:color w:val="auto"/>
          <w:szCs w:val="21"/>
          <w:highlight w:val="none"/>
        </w:rPr>
        <w:t>万元，资金来源于</w:t>
      </w:r>
      <w:r>
        <w:rPr>
          <w:rFonts w:hint="eastAsia" w:ascii="宋体" w:hAnsi="宋体"/>
          <w:color w:val="auto"/>
          <w:szCs w:val="21"/>
          <w:highlight w:val="none"/>
          <w:u w:val="single"/>
        </w:rPr>
        <w:t>　　　　　　　</w:t>
      </w:r>
      <w:r>
        <w:rPr>
          <w:rFonts w:hint="eastAsia" w:ascii="宋体" w:hAnsi="宋体"/>
          <w:color w:val="auto"/>
          <w:szCs w:val="21"/>
          <w:highlight w:val="none"/>
        </w:rPr>
        <w:t>，资金来源证明文件附后。</w:t>
      </w:r>
    </w:p>
    <w:p>
      <w:pPr>
        <w:spacing w:line="336" w:lineRule="auto"/>
        <w:ind w:firstLine="420" w:firstLineChars="200"/>
        <w:rPr>
          <w:rFonts w:ascii="宋体" w:hAnsi="宋体"/>
          <w:color w:val="auto"/>
          <w:szCs w:val="21"/>
          <w:highlight w:val="none"/>
        </w:rPr>
      </w:pPr>
    </w:p>
    <w:p>
      <w:pPr>
        <w:spacing w:line="336" w:lineRule="auto"/>
        <w:ind w:firstLine="420" w:firstLineChars="200"/>
        <w:rPr>
          <w:rFonts w:ascii="宋体" w:hAnsi="宋体"/>
          <w:color w:val="auto"/>
          <w:szCs w:val="21"/>
          <w:highlight w:val="none"/>
        </w:rPr>
      </w:pP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　　　　　　　　　　　　　　　　　　　　　投标人：</w:t>
      </w:r>
      <w:r>
        <w:rPr>
          <w:rFonts w:hint="eastAsia" w:ascii="宋体" w:hAnsi="宋体"/>
          <w:color w:val="auto"/>
          <w:szCs w:val="21"/>
          <w:highlight w:val="none"/>
          <w:u w:val="single"/>
        </w:rPr>
        <w:t>　　　　　　　　</w:t>
      </w:r>
      <w:r>
        <w:rPr>
          <w:rFonts w:hint="eastAsia" w:ascii="宋体" w:hAnsi="宋体"/>
          <w:color w:val="auto"/>
          <w:szCs w:val="21"/>
          <w:highlight w:val="none"/>
        </w:rPr>
        <w:t>(盖单位章)</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pPr>
        <w:spacing w:line="336" w:lineRule="auto"/>
        <w:jc w:val="right"/>
        <w:rPr>
          <w:color w:val="auto"/>
          <w:highlight w:val="none"/>
        </w:rPr>
      </w:pPr>
    </w:p>
    <w:p>
      <w:pPr>
        <w:spacing w:line="336" w:lineRule="auto"/>
        <w:jc w:val="right"/>
        <w:rPr>
          <w:color w:val="auto"/>
          <w:highlight w:val="none"/>
        </w:rPr>
      </w:pPr>
    </w:p>
    <w:p>
      <w:pPr>
        <w:spacing w:line="336" w:lineRule="auto"/>
        <w:jc w:val="right"/>
        <w:rPr>
          <w:color w:val="auto"/>
          <w:highlight w:val="none"/>
        </w:rPr>
      </w:pPr>
    </w:p>
    <w:p>
      <w:pPr>
        <w:spacing w:line="336" w:lineRule="auto"/>
        <w:jc w:val="left"/>
        <w:rPr>
          <w:color w:val="auto"/>
          <w:highlight w:val="none"/>
        </w:rPr>
      </w:pPr>
      <w:r>
        <w:rPr>
          <w:rFonts w:hint="eastAsia"/>
          <w:color w:val="auto"/>
          <w:szCs w:val="21"/>
          <w:highlight w:val="none"/>
        </w:rPr>
        <w:t>备</w:t>
      </w:r>
      <w:r>
        <w:rPr>
          <w:rFonts w:hint="eastAsia"/>
          <w:color w:val="auto"/>
          <w:highlight w:val="none"/>
        </w:rPr>
        <w:t>注：资金来源填写银行的存款、银行信贷或其它形式。</w:t>
      </w:r>
    </w:p>
    <w:p>
      <w:pPr>
        <w:spacing w:line="336" w:lineRule="auto"/>
        <w:jc w:val="left"/>
        <w:rPr>
          <w:color w:val="auto"/>
          <w:highlight w:val="none"/>
        </w:rPr>
        <w:sectPr>
          <w:pgSz w:w="11906" w:h="16838"/>
          <w:pgMar w:top="2098" w:right="1446" w:bottom="1984" w:left="1446" w:header="851" w:footer="1446" w:gutter="0"/>
          <w:cols w:space="0" w:num="1"/>
          <w:docGrid w:linePitch="312" w:charSpace="0"/>
        </w:sectPr>
      </w:pPr>
    </w:p>
    <w:p>
      <w:pPr>
        <w:pStyle w:val="38"/>
        <w:keepNext w:val="0"/>
        <w:keepLines w:val="0"/>
        <w:jc w:val="left"/>
        <w:outlineLvl w:val="3"/>
        <w:rPr>
          <w:color w:val="auto"/>
          <w:sz w:val="24"/>
          <w:szCs w:val="24"/>
          <w:highlight w:val="none"/>
        </w:rPr>
      </w:pPr>
      <w:bookmarkStart w:id="2933" w:name="_Toc429598795"/>
      <w:bookmarkStart w:id="2934" w:name="_Toc29653"/>
      <w:bookmarkStart w:id="2935" w:name="_Toc10708"/>
      <w:bookmarkStart w:id="2936" w:name="_Toc5062"/>
      <w:bookmarkStart w:id="2937" w:name="_Toc109149974"/>
      <w:bookmarkStart w:id="2938" w:name="_Toc28171"/>
      <w:bookmarkStart w:id="2939" w:name="_Toc14840"/>
      <w:bookmarkStart w:id="2940" w:name="_Toc12326"/>
      <w:bookmarkStart w:id="2941" w:name="_Toc1342896013"/>
      <w:bookmarkStart w:id="2942" w:name="_Toc1493641770"/>
      <w:bookmarkStart w:id="2943" w:name="_Toc426496269"/>
      <w:r>
        <w:rPr>
          <w:rFonts w:hint="eastAsia"/>
          <w:color w:val="auto"/>
          <w:sz w:val="24"/>
          <w:szCs w:val="24"/>
          <w:highlight w:val="none"/>
        </w:rPr>
        <w:t>（三）企业信用信誉情况</w:t>
      </w:r>
      <w:bookmarkEnd w:id="2933"/>
      <w:bookmarkEnd w:id="2934"/>
      <w:bookmarkEnd w:id="2935"/>
      <w:bookmarkEnd w:id="2936"/>
      <w:bookmarkEnd w:id="2937"/>
      <w:bookmarkEnd w:id="2938"/>
      <w:bookmarkEnd w:id="2939"/>
      <w:bookmarkEnd w:id="2940"/>
      <w:bookmarkEnd w:id="2941"/>
      <w:bookmarkEnd w:id="2942"/>
      <w:bookmarkEnd w:id="2943"/>
    </w:p>
    <w:p>
      <w:pPr>
        <w:pStyle w:val="9"/>
        <w:jc w:val="center"/>
        <w:rPr>
          <w:b/>
          <w:bCs/>
          <w:color w:val="auto"/>
          <w:sz w:val="24"/>
          <w:highlight w:val="none"/>
        </w:rPr>
      </w:pPr>
      <w:bookmarkStart w:id="2944" w:name="_Toc429598796"/>
      <w:bookmarkStart w:id="2945" w:name="_Toc426496270"/>
      <w:bookmarkStart w:id="2946" w:name="_Toc12591"/>
      <w:bookmarkStart w:id="2947" w:name="_Toc23427"/>
      <w:bookmarkStart w:id="2948" w:name="_Toc111954487"/>
      <w:bookmarkStart w:id="2949" w:name="_Toc18858"/>
      <w:bookmarkStart w:id="2950" w:name="_Toc15863"/>
      <w:bookmarkStart w:id="2951" w:name="_Toc24464"/>
    </w:p>
    <w:p>
      <w:pPr>
        <w:pStyle w:val="9"/>
        <w:jc w:val="center"/>
        <w:rPr>
          <w:b/>
          <w:bCs/>
          <w:color w:val="auto"/>
          <w:sz w:val="24"/>
          <w:highlight w:val="none"/>
        </w:rPr>
      </w:pPr>
      <w:r>
        <w:rPr>
          <w:rFonts w:hint="eastAsia"/>
          <w:b/>
          <w:bCs/>
          <w:color w:val="auto"/>
          <w:sz w:val="24"/>
          <w:highlight w:val="none"/>
        </w:rPr>
        <w:t>3-</w:t>
      </w:r>
      <w:bookmarkEnd w:id="2944"/>
      <w:bookmarkEnd w:id="2945"/>
      <w:r>
        <w:rPr>
          <w:rFonts w:hint="eastAsia"/>
          <w:b/>
          <w:bCs/>
          <w:color w:val="auto"/>
          <w:sz w:val="24"/>
          <w:highlight w:val="none"/>
        </w:rPr>
        <w:t>1 企业信誉声明</w:t>
      </w:r>
      <w:bookmarkEnd w:id="2946"/>
      <w:bookmarkEnd w:id="2947"/>
      <w:bookmarkEnd w:id="2948"/>
      <w:bookmarkEnd w:id="2949"/>
      <w:bookmarkEnd w:id="2950"/>
      <w:bookmarkEnd w:id="2951"/>
    </w:p>
    <w:p>
      <w:pPr>
        <w:spacing w:line="336" w:lineRule="auto"/>
        <w:rPr>
          <w:color w:val="auto"/>
          <w:highlight w:val="none"/>
        </w:rPr>
      </w:pPr>
    </w:p>
    <w:p>
      <w:pPr>
        <w:spacing w:line="336" w:lineRule="auto"/>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（招标人名称）：</w:t>
      </w:r>
    </w:p>
    <w:p>
      <w:pPr>
        <w:spacing w:line="336" w:lineRule="auto"/>
        <w:rPr>
          <w:rFonts w:ascii="宋体" w:hAnsi="宋体"/>
          <w:color w:val="auto"/>
          <w:highlight w:val="none"/>
        </w:rPr>
      </w:pP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pPr>
        <w:spacing w:line="336" w:lineRule="auto"/>
        <w:ind w:firstLine="420" w:firstLineChars="200"/>
        <w:rPr>
          <w:color w:val="auto"/>
          <w:highlight w:val="none"/>
        </w:rPr>
      </w:pPr>
      <w:r>
        <w:rPr>
          <w:rFonts w:hint="eastAsia"/>
          <w:color w:val="auto"/>
          <w:highlight w:val="none"/>
        </w:rPr>
        <w:t>1．被依法暂停或取消投标资格（指被本招标项目所在地县级及以上</w:t>
      </w:r>
      <w:r>
        <w:rPr>
          <w:color w:val="auto"/>
          <w:highlight w:val="none"/>
        </w:rPr>
        <w:t>农业农村</w:t>
      </w:r>
      <w:r>
        <w:rPr>
          <w:rFonts w:hint="eastAsia"/>
          <w:color w:val="auto"/>
          <w:highlight w:val="none"/>
        </w:rPr>
        <w:t xml:space="preserve">（或住建、或水利、或公共资源交易）行政主管部门暂停或取消投标资格或禁止进入该区域建设市场且处于有效期内）； </w:t>
      </w:r>
    </w:p>
    <w:p>
      <w:pPr>
        <w:spacing w:line="336" w:lineRule="auto"/>
        <w:ind w:firstLine="420" w:firstLineChars="200"/>
        <w:rPr>
          <w:color w:val="auto"/>
          <w:highlight w:val="none"/>
        </w:rPr>
      </w:pPr>
      <w:r>
        <w:rPr>
          <w:rFonts w:hint="eastAsia"/>
          <w:color w:val="auto"/>
          <w:highlight w:val="none"/>
        </w:rPr>
        <w:t>2．被责令停产停业、暂扣或者吊销许可证、暂扣或者吊销执照；</w:t>
      </w:r>
    </w:p>
    <w:p>
      <w:pPr>
        <w:spacing w:line="336" w:lineRule="auto"/>
        <w:ind w:firstLine="420" w:firstLineChars="200"/>
        <w:rPr>
          <w:color w:val="auto"/>
          <w:highlight w:val="none"/>
        </w:rPr>
      </w:pPr>
      <w:r>
        <w:rPr>
          <w:rFonts w:hint="eastAsia"/>
          <w:color w:val="auto"/>
          <w:highlight w:val="none"/>
        </w:rPr>
        <w:t>3．进入清算程序，或被宣告破产，或其他丧失履约能力的情形；</w:t>
      </w:r>
    </w:p>
    <w:p>
      <w:pPr>
        <w:spacing w:line="336" w:lineRule="auto"/>
        <w:ind w:firstLine="420" w:firstLineChars="200"/>
        <w:rPr>
          <w:color w:val="auto"/>
          <w:highlight w:val="none"/>
        </w:rPr>
      </w:pPr>
      <w:r>
        <w:rPr>
          <w:rFonts w:hint="eastAsia"/>
          <w:color w:val="auto"/>
          <w:highlight w:val="none"/>
        </w:rPr>
        <w:t>4．在最近三年内发生重大工程质量问题；</w:t>
      </w:r>
    </w:p>
    <w:p>
      <w:pPr>
        <w:spacing w:line="336" w:lineRule="auto"/>
        <w:ind w:firstLine="420" w:firstLineChars="200"/>
        <w:rPr>
          <w:strike/>
          <w:dstrike w:val="0"/>
          <w:color w:val="auto"/>
          <w:highlight w:val="none"/>
        </w:rPr>
      </w:pPr>
      <w:r>
        <w:rPr>
          <w:rFonts w:hint="eastAsia"/>
          <w:strike/>
          <w:dstrike w:val="0"/>
          <w:color w:val="auto"/>
          <w:highlight w:val="none"/>
        </w:rPr>
        <w:t>5．在“国家企业信用信息公示系统”（</w:t>
      </w:r>
      <w:r>
        <w:rPr>
          <w:strike/>
          <w:dstrike w:val="0"/>
          <w:color w:val="auto"/>
          <w:highlight w:val="none"/>
        </w:rPr>
        <w:t xml:space="preserve"> www.gsxt.gov.cn</w:t>
      </w:r>
      <w:r>
        <w:rPr>
          <w:rFonts w:hint="eastAsia"/>
          <w:strike/>
          <w:dstrike w:val="0"/>
          <w:color w:val="auto"/>
          <w:highlight w:val="none"/>
        </w:rPr>
        <w:t>）中被列入严重违法失信企业名单；</w:t>
      </w:r>
    </w:p>
    <w:p>
      <w:pPr>
        <w:spacing w:line="336" w:lineRule="auto"/>
        <w:ind w:firstLine="420" w:firstLineChars="200"/>
        <w:rPr>
          <w:strike/>
          <w:dstrike w:val="0"/>
          <w:color w:val="auto"/>
          <w:highlight w:val="none"/>
        </w:rPr>
      </w:pPr>
      <w:r>
        <w:rPr>
          <w:rFonts w:hint="eastAsia"/>
          <w:strike/>
          <w:dstrike w:val="0"/>
          <w:color w:val="auto"/>
          <w:highlight w:val="none"/>
        </w:rPr>
        <w:t>6．在</w:t>
      </w:r>
      <w:r>
        <w:rPr>
          <w:strike/>
          <w:dstrike w:val="0"/>
          <w:color w:val="auto"/>
          <w:highlight w:val="none"/>
        </w:rPr>
        <w:t>“</w:t>
      </w:r>
      <w:r>
        <w:rPr>
          <w:rFonts w:hint="eastAsia"/>
          <w:strike/>
          <w:dstrike w:val="0"/>
          <w:color w:val="auto"/>
          <w:highlight w:val="none"/>
        </w:rPr>
        <w:t>信用中国</w:t>
      </w:r>
      <w:r>
        <w:rPr>
          <w:strike/>
          <w:dstrike w:val="0"/>
          <w:color w:val="auto"/>
          <w:highlight w:val="none"/>
        </w:rPr>
        <w:t>”</w:t>
      </w:r>
      <w:r>
        <w:rPr>
          <w:rFonts w:hint="eastAsia"/>
          <w:strike/>
          <w:dstrike w:val="0"/>
          <w:color w:val="auto"/>
          <w:highlight w:val="none"/>
        </w:rPr>
        <w:t>网站（</w:t>
      </w:r>
      <w:r>
        <w:rPr>
          <w:strike/>
          <w:dstrike w:val="0"/>
          <w:color w:val="auto"/>
          <w:highlight w:val="none"/>
        </w:rPr>
        <w:fldChar w:fldCharType="begin"/>
      </w:r>
      <w:r>
        <w:rPr>
          <w:strike/>
          <w:dstrike w:val="0"/>
          <w:color w:val="auto"/>
          <w:highlight w:val="none"/>
        </w:rPr>
        <w:instrText xml:space="preserve"> HYPERLINK "http://www.creditchina.gov.cn/" </w:instrText>
      </w:r>
      <w:r>
        <w:rPr>
          <w:strike/>
          <w:dstrike w:val="0"/>
          <w:color w:val="auto"/>
          <w:highlight w:val="none"/>
        </w:rPr>
        <w:fldChar w:fldCharType="separate"/>
      </w:r>
      <w:r>
        <w:rPr>
          <w:strike/>
          <w:dstrike w:val="0"/>
          <w:color w:val="auto"/>
          <w:highlight w:val="none"/>
        </w:rPr>
        <w:t>www.creditchina.gov.cn</w:t>
      </w:r>
      <w:r>
        <w:rPr>
          <w:strike/>
          <w:dstrike w:val="0"/>
          <w:color w:val="auto"/>
          <w:highlight w:val="none"/>
        </w:rPr>
        <w:fldChar w:fldCharType="end"/>
      </w:r>
      <w:r>
        <w:rPr>
          <w:rFonts w:hint="eastAsia"/>
          <w:strike/>
          <w:dstrike w:val="0"/>
          <w:color w:val="auto"/>
          <w:highlight w:val="none"/>
        </w:rPr>
        <w:t>）或“中国执行信息公开网”（http://zxgk.court.gov.cn/shixin/）被列入失信被执行人名单；</w:t>
      </w:r>
    </w:p>
    <w:p>
      <w:pPr>
        <w:spacing w:line="336" w:lineRule="auto"/>
        <w:ind w:firstLine="420" w:firstLineChars="200"/>
        <w:rPr>
          <w:color w:val="auto"/>
          <w:highlight w:val="none"/>
        </w:rPr>
      </w:pPr>
      <w:r>
        <w:rPr>
          <w:rFonts w:hint="eastAsia"/>
          <w:color w:val="auto"/>
          <w:highlight w:val="none"/>
        </w:rPr>
        <w:t>7．在近三年内投标人或其法定代表人、拟委任的项目负责人有行贿犯罪行为。</w:t>
      </w:r>
    </w:p>
    <w:p>
      <w:pPr>
        <w:spacing w:line="336" w:lineRule="auto"/>
        <w:ind w:firstLine="420" w:firstLineChars="200"/>
        <w:rPr>
          <w:color w:val="auto"/>
          <w:highlight w:val="none"/>
        </w:rPr>
      </w:pPr>
      <w:r>
        <w:rPr>
          <w:rFonts w:hint="eastAsia"/>
          <w:color w:val="auto"/>
          <w:highlight w:val="none"/>
        </w:rPr>
        <w:t xml:space="preserve">8. </w:t>
      </w:r>
      <w:r>
        <w:rPr>
          <w:color w:val="auto"/>
          <w:highlight w:val="none"/>
        </w:rPr>
        <w:t>法律法规或投标人须知前附表</w:t>
      </w:r>
      <w:r>
        <w:rPr>
          <w:rFonts w:hint="eastAsia"/>
          <w:color w:val="auto"/>
          <w:highlight w:val="none"/>
        </w:rPr>
        <w:t>第1.4.3（19）目</w:t>
      </w:r>
      <w:r>
        <w:rPr>
          <w:color w:val="auto"/>
          <w:highlight w:val="none"/>
        </w:rPr>
        <w:t>规定的其他情形。</w:t>
      </w:r>
    </w:p>
    <w:p>
      <w:pPr>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336" w:lineRule="auto"/>
        <w:ind w:firstLine="420" w:firstLineChars="200"/>
        <w:rPr>
          <w:rFonts w:ascii="宋体" w:hAnsi="宋体"/>
          <w:color w:val="auto"/>
          <w:szCs w:val="21"/>
          <w:highlight w:val="none"/>
        </w:rPr>
      </w:pPr>
    </w:p>
    <w:p>
      <w:pPr>
        <w:spacing w:line="336" w:lineRule="auto"/>
        <w:ind w:firstLine="3990" w:firstLineChars="1900"/>
        <w:rPr>
          <w:rFonts w:ascii="宋体" w:hAnsi="宋体"/>
          <w:color w:val="auto"/>
          <w:szCs w:val="21"/>
          <w:highlight w:val="none"/>
        </w:rPr>
      </w:pPr>
      <w:r>
        <w:rPr>
          <w:rFonts w:hint="eastAsia" w:ascii="宋体" w:hAnsi="宋体"/>
          <w:color w:val="auto"/>
          <w:szCs w:val="21"/>
          <w:highlight w:val="none"/>
        </w:rPr>
        <w:t>投标人：（盖单位章）</w:t>
      </w:r>
    </w:p>
    <w:p>
      <w:pPr>
        <w:spacing w:line="336" w:lineRule="auto"/>
        <w:ind w:firstLine="3990" w:firstLineChars="1900"/>
        <w:rPr>
          <w:rFonts w:ascii="宋体" w:hAnsi="宋体"/>
          <w:color w:val="auto"/>
          <w:szCs w:val="21"/>
          <w:highlight w:val="none"/>
        </w:rPr>
      </w:pPr>
      <w:r>
        <w:rPr>
          <w:rFonts w:hint="eastAsia" w:ascii="宋体" w:hAnsi="宋体"/>
          <w:color w:val="auto"/>
          <w:szCs w:val="21"/>
          <w:highlight w:val="none"/>
        </w:rPr>
        <w:t>法定代表人：（签字）</w:t>
      </w:r>
    </w:p>
    <w:p>
      <w:pPr>
        <w:spacing w:line="336"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年  月  日</w:t>
      </w:r>
    </w:p>
    <w:p>
      <w:pPr>
        <w:spacing w:line="336" w:lineRule="auto"/>
        <w:ind w:firstLine="420" w:firstLineChars="200"/>
        <w:jc w:val="center"/>
        <w:rPr>
          <w:rFonts w:ascii="宋体" w:hAnsi="宋体"/>
          <w:color w:val="auto"/>
          <w:szCs w:val="21"/>
          <w:highlight w:val="none"/>
        </w:rPr>
      </w:pPr>
    </w:p>
    <w:p>
      <w:pPr>
        <w:spacing w:line="336" w:lineRule="auto"/>
        <w:ind w:left="840" w:hanging="840" w:hangingChars="400"/>
        <w:rPr>
          <w:rFonts w:ascii="宋体" w:hAnsi="宋体"/>
          <w:color w:val="auto"/>
          <w:szCs w:val="21"/>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w:t>
      </w:r>
      <w:r>
        <w:rPr>
          <w:rFonts w:hint="eastAsia"/>
          <w:color w:val="auto"/>
          <w:szCs w:val="21"/>
          <w:highlight w:val="none"/>
        </w:rPr>
        <w:t>投标人应针对第二章“投标人须知”第1.4.1项的要求，在此对其信誉情况做出声明。</w:t>
      </w:r>
      <w:r>
        <w:rPr>
          <w:rFonts w:hint="eastAsia" w:ascii="宋体" w:hAnsi="宋体"/>
          <w:color w:val="auto"/>
          <w:highlight w:val="none"/>
        </w:rPr>
        <w:t>如上格式文件所示。</w:t>
      </w:r>
      <w:r>
        <w:rPr>
          <w:rFonts w:hint="eastAsia" w:ascii="宋体" w:hAnsi="宋体"/>
          <w:color w:val="auto"/>
          <w:szCs w:val="21"/>
          <w:highlight w:val="none"/>
        </w:rPr>
        <w:t>如联合体投标，联合体各成员单位均应按要求填写本表。</w:t>
      </w:r>
    </w:p>
    <w:p>
      <w:pPr>
        <w:spacing w:line="336" w:lineRule="auto"/>
        <w:ind w:left="840" w:leftChars="300" w:hanging="210" w:hangingChars="100"/>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.近</w:t>
      </w:r>
      <w:r>
        <w:rPr>
          <w:rFonts w:hint="eastAsia"/>
          <w:color w:val="auto"/>
          <w:szCs w:val="21"/>
          <w:highlight w:val="none"/>
        </w:rPr>
        <w:t>3</w:t>
      </w:r>
      <w:r>
        <w:rPr>
          <w:rFonts w:hint="eastAsia" w:ascii="宋体" w:hAnsi="宋体"/>
          <w:color w:val="auto"/>
          <w:szCs w:val="21"/>
          <w:highlight w:val="none"/>
        </w:rPr>
        <w:t>年是指从投标截止日往前推算的</w:t>
      </w:r>
      <w:r>
        <w:rPr>
          <w:rFonts w:hint="eastAsia"/>
          <w:color w:val="auto"/>
          <w:szCs w:val="21"/>
          <w:highlight w:val="none"/>
        </w:rPr>
        <w:t>3</w:t>
      </w:r>
      <w:r>
        <w:rPr>
          <w:rFonts w:hint="eastAsia" w:ascii="宋体" w:hAnsi="宋体"/>
          <w:color w:val="auto"/>
          <w:szCs w:val="21"/>
          <w:highlight w:val="none"/>
        </w:rPr>
        <w:t>年，如投标截止日为</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10</w:t>
      </w:r>
      <w:r>
        <w:rPr>
          <w:rFonts w:hint="eastAsia" w:ascii="宋体" w:hAnsi="宋体"/>
          <w:color w:val="auto"/>
          <w:szCs w:val="21"/>
          <w:highlight w:val="none"/>
        </w:rPr>
        <w:t>月</w:t>
      </w:r>
      <w:r>
        <w:rPr>
          <w:rFonts w:hint="eastAsia"/>
          <w:color w:val="auto"/>
          <w:szCs w:val="21"/>
          <w:highlight w:val="none"/>
        </w:rPr>
        <w:t>1</w:t>
      </w:r>
      <w:r>
        <w:rPr>
          <w:rFonts w:hint="eastAsia" w:ascii="宋体" w:hAnsi="宋体"/>
          <w:color w:val="auto"/>
          <w:szCs w:val="21"/>
          <w:highlight w:val="none"/>
        </w:rPr>
        <w:t>日，则近</w:t>
      </w:r>
      <w:r>
        <w:rPr>
          <w:rFonts w:hint="eastAsia"/>
          <w:color w:val="auto"/>
          <w:szCs w:val="21"/>
          <w:highlight w:val="none"/>
        </w:rPr>
        <w:t>3</w:t>
      </w:r>
      <w:r>
        <w:rPr>
          <w:rFonts w:hint="eastAsia" w:ascii="宋体" w:hAnsi="宋体"/>
          <w:color w:val="auto"/>
          <w:szCs w:val="21"/>
          <w:highlight w:val="none"/>
        </w:rPr>
        <w:t>年是指</w:t>
      </w:r>
      <w:r>
        <w:rPr>
          <w:rFonts w:hint="eastAsia"/>
          <w:color w:val="auto"/>
          <w:szCs w:val="21"/>
          <w:highlight w:val="none"/>
        </w:rPr>
        <w:t>2019</w:t>
      </w:r>
      <w:r>
        <w:rPr>
          <w:rFonts w:hint="eastAsia" w:ascii="宋体" w:hAnsi="宋体"/>
          <w:color w:val="auto"/>
          <w:szCs w:val="21"/>
          <w:highlight w:val="none"/>
        </w:rPr>
        <w:t>年</w:t>
      </w:r>
      <w:r>
        <w:rPr>
          <w:rFonts w:hint="eastAsia"/>
          <w:color w:val="auto"/>
          <w:szCs w:val="21"/>
          <w:highlight w:val="none"/>
        </w:rPr>
        <w:t>10</w:t>
      </w:r>
      <w:r>
        <w:rPr>
          <w:rFonts w:hint="eastAsia" w:ascii="宋体" w:hAnsi="宋体"/>
          <w:color w:val="auto"/>
          <w:szCs w:val="21"/>
          <w:highlight w:val="none"/>
        </w:rPr>
        <w:t>月</w:t>
      </w:r>
      <w:r>
        <w:rPr>
          <w:rFonts w:hint="eastAsia"/>
          <w:color w:val="auto"/>
          <w:szCs w:val="21"/>
          <w:highlight w:val="none"/>
        </w:rPr>
        <w:t>1</w:t>
      </w:r>
      <w:r>
        <w:rPr>
          <w:rFonts w:hint="eastAsia" w:ascii="宋体" w:hAnsi="宋体"/>
          <w:color w:val="auto"/>
          <w:szCs w:val="21"/>
          <w:highlight w:val="none"/>
        </w:rPr>
        <w:t>日至</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31</w:t>
      </w:r>
      <w:r>
        <w:rPr>
          <w:rFonts w:hint="eastAsia" w:ascii="宋体" w:hAnsi="宋体"/>
          <w:color w:val="auto"/>
          <w:szCs w:val="21"/>
          <w:highlight w:val="none"/>
        </w:rPr>
        <w:t>日。</w:t>
      </w:r>
    </w:p>
    <w:p>
      <w:pPr>
        <w:spacing w:line="336" w:lineRule="auto"/>
        <w:ind w:left="840" w:leftChars="300" w:hanging="210" w:hangingChars="100"/>
        <w:rPr>
          <w:rFonts w:ascii="宋体" w:hAnsi="宋体"/>
          <w:strike/>
          <w:dstrike w:val="0"/>
          <w:color w:val="auto"/>
          <w:szCs w:val="21"/>
          <w:highlight w:val="none"/>
        </w:rPr>
      </w:pPr>
      <w:r>
        <w:rPr>
          <w:rFonts w:hint="eastAsia"/>
          <w:strike/>
          <w:dstrike w:val="0"/>
          <w:color w:val="auto"/>
          <w:szCs w:val="21"/>
          <w:highlight w:val="none"/>
        </w:rPr>
        <w:t>3</w:t>
      </w:r>
      <w:r>
        <w:rPr>
          <w:rFonts w:hint="eastAsia" w:ascii="宋体" w:hAnsi="宋体"/>
          <w:strike/>
          <w:dstrike w:val="0"/>
          <w:color w:val="auto"/>
          <w:szCs w:val="21"/>
          <w:highlight w:val="none"/>
        </w:rPr>
        <w:t>.招标人和评标委员会在评标过程中，应对各投标人（包括联合体各成员单位）的</w:t>
      </w:r>
      <w:r>
        <w:rPr>
          <w:rFonts w:hint="eastAsia"/>
          <w:strike/>
          <w:dstrike w:val="0"/>
          <w:color w:val="auto"/>
          <w:highlight w:val="none"/>
        </w:rPr>
        <w:t>严重违法失信企业、失信被执行人、行贿犯罪行为等情况进行查询，并将查询结果“截图”附在评标报告中。</w:t>
      </w:r>
    </w:p>
    <w:p>
      <w:pPr>
        <w:spacing w:line="336" w:lineRule="auto"/>
        <w:rPr>
          <w:color w:val="auto"/>
          <w:highlight w:val="none"/>
        </w:rPr>
        <w:sectPr>
          <w:pgSz w:w="11906" w:h="16838"/>
          <w:pgMar w:top="2098" w:right="1446" w:bottom="1984" w:left="1446" w:header="851" w:footer="1446" w:gutter="0"/>
          <w:cols w:space="0" w:num="1"/>
          <w:docGrid w:linePitch="312" w:charSpace="0"/>
        </w:sectPr>
      </w:pPr>
    </w:p>
    <w:p>
      <w:pPr>
        <w:pStyle w:val="9"/>
        <w:jc w:val="center"/>
        <w:rPr>
          <w:b/>
          <w:bCs/>
          <w:color w:val="auto"/>
          <w:sz w:val="24"/>
          <w:highlight w:val="none"/>
        </w:rPr>
      </w:pPr>
      <w:bookmarkStart w:id="2952" w:name="_Toc426496271"/>
      <w:bookmarkStart w:id="2953" w:name="_Toc29905"/>
      <w:bookmarkStart w:id="2954" w:name="_Toc586354790"/>
      <w:bookmarkStart w:id="2955" w:name="_Toc429598797"/>
      <w:bookmarkStart w:id="2956" w:name="_Toc16585"/>
      <w:bookmarkStart w:id="2957" w:name="_Toc7390"/>
      <w:bookmarkStart w:id="2958" w:name="_Toc29840"/>
      <w:bookmarkStart w:id="2959" w:name="_Toc1091"/>
      <w:r>
        <w:rPr>
          <w:rFonts w:hint="eastAsia"/>
          <w:b/>
          <w:bCs/>
          <w:color w:val="auto"/>
          <w:sz w:val="24"/>
          <w:highlight w:val="none"/>
        </w:rPr>
        <w:t>3-2 近3年发生的诉讼和仲裁情况</w:t>
      </w:r>
      <w:bookmarkEnd w:id="2952"/>
      <w:r>
        <w:rPr>
          <w:rFonts w:hint="eastAsia"/>
          <w:b/>
          <w:bCs/>
          <w:color w:val="auto"/>
          <w:sz w:val="24"/>
          <w:highlight w:val="none"/>
        </w:rPr>
        <w:t>表</w:t>
      </w:r>
      <w:bookmarkEnd w:id="2953"/>
      <w:bookmarkEnd w:id="2954"/>
      <w:bookmarkEnd w:id="2955"/>
      <w:bookmarkEnd w:id="2956"/>
      <w:bookmarkEnd w:id="2957"/>
      <w:bookmarkEnd w:id="2958"/>
      <w:bookmarkEnd w:id="2959"/>
    </w:p>
    <w:p>
      <w:pPr>
        <w:spacing w:line="440" w:lineRule="exact"/>
        <w:rPr>
          <w:rFonts w:ascii="黑体" w:hAnsi="宋体" w:eastAsia="黑体"/>
          <w:color w:val="auto"/>
          <w:sz w:val="24"/>
          <w:highlight w:val="none"/>
        </w:rPr>
      </w:pPr>
    </w:p>
    <w:tbl>
      <w:tblPr>
        <w:tblStyle w:val="25"/>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ascii="宋体" w:hAnsi="宋体"/>
                <w:color w:val="auto"/>
                <w:szCs w:val="21"/>
                <w:highlight w:val="none"/>
              </w:rPr>
            </w:pPr>
            <w:r>
              <w:rPr>
                <w:rFonts w:hint="eastAsia" w:ascii="宋体" w:hAnsi="宋体"/>
                <w:color w:val="auto"/>
                <w:szCs w:val="21"/>
                <w:highlight w:val="none"/>
              </w:rPr>
              <w:t>类别</w:t>
            </w:r>
          </w:p>
        </w:tc>
        <w:tc>
          <w:tcPr>
            <w:tcW w:w="954"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发生时间</w:t>
            </w:r>
          </w:p>
        </w:tc>
        <w:tc>
          <w:tcPr>
            <w:tcW w:w="3600" w:type="dxa"/>
            <w:vAlign w:val="center"/>
          </w:tcPr>
          <w:p>
            <w:pPr>
              <w:jc w:val="center"/>
              <w:rPr>
                <w:rFonts w:ascii="宋体" w:hAnsi="宋体"/>
                <w:color w:val="auto"/>
                <w:szCs w:val="21"/>
                <w:highlight w:val="none"/>
              </w:rPr>
            </w:pPr>
            <w:r>
              <w:rPr>
                <w:rFonts w:hint="eastAsia" w:ascii="宋体" w:hAnsi="宋体"/>
                <w:color w:val="auto"/>
                <w:szCs w:val="21"/>
                <w:highlight w:val="none"/>
              </w:rPr>
              <w:t>情况简介</w:t>
            </w:r>
          </w:p>
        </w:tc>
        <w:tc>
          <w:tcPr>
            <w:tcW w:w="1952" w:type="dxa"/>
            <w:vAlign w:val="center"/>
          </w:tcPr>
          <w:p>
            <w:pPr>
              <w:jc w:val="center"/>
              <w:rPr>
                <w:rFonts w:ascii="宋体" w:hAnsi="宋体"/>
                <w:color w:val="auto"/>
                <w:szCs w:val="21"/>
                <w:highlight w:val="none"/>
              </w:rPr>
            </w:pPr>
            <w:r>
              <w:rPr>
                <w:rFonts w:hint="eastAsia" w:ascii="宋体" w:hAnsi="宋体"/>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诉</w:t>
            </w:r>
          </w:p>
          <w:p>
            <w:pPr>
              <w:jc w:val="center"/>
              <w:rPr>
                <w:rFonts w:ascii="宋体" w:hAnsi="宋体"/>
                <w:color w:val="auto"/>
                <w:szCs w:val="21"/>
                <w:highlight w:val="none"/>
              </w:rPr>
            </w:pPr>
            <w:r>
              <w:rPr>
                <w:rFonts w:hint="eastAsia" w:ascii="宋体" w:hAnsi="宋体"/>
                <w:color w:val="auto"/>
                <w:szCs w:val="21"/>
                <w:highlight w:val="none"/>
              </w:rPr>
              <w:t>讼</w:t>
            </w:r>
          </w:p>
          <w:p>
            <w:pPr>
              <w:jc w:val="center"/>
              <w:rPr>
                <w:rFonts w:ascii="宋体" w:hAnsi="宋体"/>
                <w:color w:val="auto"/>
                <w:szCs w:val="21"/>
                <w:highlight w:val="none"/>
              </w:rPr>
            </w:pPr>
            <w:r>
              <w:rPr>
                <w:rFonts w:hint="eastAsia" w:ascii="宋体" w:hAnsi="宋体"/>
                <w:color w:val="auto"/>
                <w:szCs w:val="21"/>
                <w:highlight w:val="none"/>
              </w:rPr>
              <w:t>情</w:t>
            </w:r>
          </w:p>
          <w:p>
            <w:pPr>
              <w:jc w:val="center"/>
              <w:rPr>
                <w:rFonts w:ascii="宋体" w:hAnsi="宋体"/>
                <w:color w:val="auto"/>
                <w:szCs w:val="21"/>
                <w:highlight w:val="none"/>
              </w:rPr>
            </w:pPr>
            <w:r>
              <w:rPr>
                <w:rFonts w:hint="eastAsia" w:ascii="宋体" w:hAnsi="宋体"/>
                <w:color w:val="auto"/>
                <w:szCs w:val="21"/>
                <w:highlight w:val="none"/>
              </w:rPr>
              <w:t>况</w:t>
            </w: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仲</w:t>
            </w:r>
          </w:p>
          <w:p>
            <w:pPr>
              <w:jc w:val="center"/>
              <w:rPr>
                <w:rFonts w:ascii="宋体" w:hAnsi="宋体"/>
                <w:color w:val="auto"/>
                <w:szCs w:val="21"/>
                <w:highlight w:val="none"/>
              </w:rPr>
            </w:pPr>
            <w:r>
              <w:rPr>
                <w:rFonts w:hint="eastAsia" w:ascii="宋体" w:hAnsi="宋体"/>
                <w:color w:val="auto"/>
                <w:szCs w:val="21"/>
                <w:highlight w:val="none"/>
              </w:rPr>
              <w:t>裁</w:t>
            </w:r>
          </w:p>
          <w:p>
            <w:pPr>
              <w:jc w:val="center"/>
              <w:rPr>
                <w:rFonts w:ascii="宋体" w:hAnsi="宋体"/>
                <w:color w:val="auto"/>
                <w:szCs w:val="21"/>
                <w:highlight w:val="none"/>
              </w:rPr>
            </w:pPr>
            <w:r>
              <w:rPr>
                <w:rFonts w:hint="eastAsia" w:ascii="宋体" w:hAnsi="宋体"/>
                <w:color w:val="auto"/>
                <w:szCs w:val="21"/>
                <w:highlight w:val="none"/>
              </w:rPr>
              <w:t>情</w:t>
            </w:r>
          </w:p>
          <w:p>
            <w:pPr>
              <w:jc w:val="center"/>
              <w:rPr>
                <w:rFonts w:ascii="宋体" w:hAnsi="宋体"/>
                <w:color w:val="auto"/>
                <w:szCs w:val="21"/>
                <w:highlight w:val="none"/>
              </w:rPr>
            </w:pPr>
            <w:r>
              <w:rPr>
                <w:rFonts w:hint="eastAsia" w:ascii="宋体" w:hAnsi="宋体"/>
                <w:color w:val="auto"/>
                <w:szCs w:val="21"/>
                <w:highlight w:val="none"/>
              </w:rPr>
              <w:t>况</w:t>
            </w: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bl>
    <w:p>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.近</w:t>
      </w:r>
      <w:r>
        <w:rPr>
          <w:rFonts w:hint="eastAsia"/>
          <w:color w:val="auto"/>
          <w:szCs w:val="21"/>
          <w:highlight w:val="none"/>
        </w:rPr>
        <w:t>3</w:t>
      </w:r>
      <w:r>
        <w:rPr>
          <w:rFonts w:hint="eastAsia" w:ascii="宋体" w:hAnsi="宋体"/>
          <w:color w:val="auto"/>
          <w:szCs w:val="21"/>
          <w:highlight w:val="none"/>
        </w:rPr>
        <w:t>年发生的诉讼和仲裁情况仅限于投标人败诉的，且与签订或履行施工承包合同有关的案件，不包括调解结案以及未终审判决的诉讼或未裁决的仲裁。附法院或仲裁机构作出的判</w:t>
      </w:r>
      <w:r>
        <w:rPr>
          <w:rFonts w:hint="eastAsia"/>
          <w:color w:val="auto"/>
          <w:szCs w:val="21"/>
          <w:highlight w:val="none"/>
        </w:rPr>
        <w:t>决或裁决等有关法律文书的</w:t>
      </w:r>
      <w:r>
        <w:rPr>
          <w:rFonts w:hint="eastAsia"/>
          <w:color w:val="auto"/>
          <w:highlight w:val="none"/>
        </w:rPr>
        <w:t>扫描件</w:t>
      </w:r>
      <w:r>
        <w:rPr>
          <w:rFonts w:hint="eastAsia"/>
          <w:color w:val="auto"/>
          <w:szCs w:val="21"/>
          <w:highlight w:val="none"/>
        </w:rPr>
        <w:t>。</w:t>
      </w:r>
    </w:p>
    <w:p>
      <w:pPr>
        <w:spacing w:line="400" w:lineRule="exact"/>
        <w:ind w:left="840" w:leftChars="300" w:hanging="210" w:hangingChars="100"/>
        <w:rPr>
          <w:rFonts w:ascii="宋体" w:hAnsi="宋体"/>
          <w:color w:val="auto"/>
          <w:szCs w:val="21"/>
          <w:highlight w:val="none"/>
        </w:rPr>
      </w:pPr>
      <w:r>
        <w:rPr>
          <w:rFonts w:hint="eastAsia"/>
          <w:color w:val="auto"/>
          <w:szCs w:val="21"/>
          <w:highlight w:val="none"/>
        </w:rPr>
        <w:t>2. 近3年是指从</w:t>
      </w:r>
      <w:r>
        <w:rPr>
          <w:rFonts w:hint="eastAsia" w:ascii="宋体" w:hAnsi="宋体"/>
          <w:color w:val="auto"/>
          <w:szCs w:val="21"/>
          <w:highlight w:val="none"/>
        </w:rPr>
        <w:t>投标截止日</w:t>
      </w:r>
      <w:r>
        <w:rPr>
          <w:rFonts w:hint="eastAsia"/>
          <w:color w:val="auto"/>
          <w:szCs w:val="21"/>
          <w:highlight w:val="none"/>
        </w:rPr>
        <w:t>往前推算3年</w:t>
      </w:r>
      <w:r>
        <w:rPr>
          <w:rFonts w:hint="eastAsia" w:ascii="宋体" w:hAnsi="宋体"/>
          <w:color w:val="auto"/>
          <w:szCs w:val="21"/>
          <w:highlight w:val="none"/>
        </w:rPr>
        <w:t>，例如投标截止日为</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5</w:t>
      </w:r>
      <w:r>
        <w:rPr>
          <w:rFonts w:hint="eastAsia" w:ascii="宋体" w:hAnsi="宋体"/>
          <w:color w:val="auto"/>
          <w:szCs w:val="21"/>
          <w:highlight w:val="none"/>
        </w:rPr>
        <w:t>日，则近</w:t>
      </w:r>
      <w:r>
        <w:rPr>
          <w:rFonts w:hint="eastAsia"/>
          <w:color w:val="auto"/>
          <w:szCs w:val="21"/>
          <w:highlight w:val="none"/>
        </w:rPr>
        <w:t>3</w:t>
      </w:r>
      <w:r>
        <w:rPr>
          <w:rFonts w:hint="eastAsia" w:ascii="宋体" w:hAnsi="宋体"/>
          <w:color w:val="auto"/>
          <w:szCs w:val="21"/>
          <w:highlight w:val="none"/>
        </w:rPr>
        <w:t>年是指</w:t>
      </w:r>
      <w:r>
        <w:rPr>
          <w:rFonts w:hint="eastAsia"/>
          <w:color w:val="auto"/>
          <w:szCs w:val="21"/>
          <w:highlight w:val="none"/>
        </w:rPr>
        <w:t>2019</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5</w:t>
      </w:r>
      <w:r>
        <w:rPr>
          <w:rFonts w:hint="eastAsia" w:ascii="宋体" w:hAnsi="宋体"/>
          <w:color w:val="auto"/>
          <w:szCs w:val="21"/>
          <w:highlight w:val="none"/>
        </w:rPr>
        <w:t>日至</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4</w:t>
      </w:r>
      <w:r>
        <w:rPr>
          <w:rFonts w:hint="eastAsia" w:ascii="宋体" w:hAnsi="宋体"/>
          <w:color w:val="auto"/>
          <w:szCs w:val="21"/>
          <w:highlight w:val="none"/>
        </w:rPr>
        <w:t>日。</w:t>
      </w:r>
      <w:r>
        <w:rPr>
          <w:rFonts w:hint="eastAsia"/>
          <w:color w:val="auto"/>
          <w:szCs w:val="21"/>
          <w:highlight w:val="none"/>
        </w:rPr>
        <w:t>以仲裁裁决或判决书</w:t>
      </w:r>
      <w:r>
        <w:rPr>
          <w:rFonts w:hint="eastAsia" w:ascii="宋体" w:hAnsi="宋体"/>
          <w:color w:val="auto"/>
          <w:szCs w:val="21"/>
          <w:highlight w:val="none"/>
        </w:rPr>
        <w:t>时间</w:t>
      </w:r>
      <w:r>
        <w:rPr>
          <w:rFonts w:ascii="宋体" w:hAnsi="宋体"/>
          <w:color w:val="auto"/>
          <w:szCs w:val="21"/>
          <w:highlight w:val="none"/>
        </w:rPr>
        <w:t>为准</w:t>
      </w:r>
      <w:r>
        <w:rPr>
          <w:rFonts w:hint="eastAsia" w:ascii="宋体" w:hAnsi="宋体"/>
          <w:color w:val="auto"/>
          <w:szCs w:val="21"/>
          <w:highlight w:val="none"/>
        </w:rPr>
        <w:t>。</w:t>
      </w:r>
    </w:p>
    <w:p>
      <w:pPr>
        <w:spacing w:line="400" w:lineRule="exact"/>
        <w:ind w:left="525" w:leftChars="250" w:firstLine="105" w:firstLineChars="50"/>
        <w:rPr>
          <w:color w:val="auto"/>
          <w:szCs w:val="21"/>
          <w:highlight w:val="none"/>
        </w:rPr>
      </w:pPr>
      <w:r>
        <w:rPr>
          <w:rFonts w:hint="eastAsia"/>
          <w:color w:val="auto"/>
          <w:szCs w:val="21"/>
          <w:highlight w:val="none"/>
        </w:rPr>
        <w:t>3. 如联合体投标，联合体各成员单位均应按要求填写本表。</w:t>
      </w:r>
    </w:p>
    <w:p>
      <w:pPr>
        <w:spacing w:line="400" w:lineRule="exact"/>
        <w:ind w:left="840" w:leftChars="300" w:hanging="210" w:hangingChars="100"/>
        <w:rPr>
          <w:color w:val="auto"/>
          <w:szCs w:val="21"/>
          <w:highlight w:val="none"/>
        </w:rPr>
      </w:pPr>
      <w:r>
        <w:rPr>
          <w:rFonts w:hint="eastAsia"/>
          <w:color w:val="auto"/>
          <w:szCs w:val="21"/>
          <w:highlight w:val="none"/>
        </w:rPr>
        <w:t>4. 投标人应当如实填报</w:t>
      </w:r>
      <w:r>
        <w:rPr>
          <w:rFonts w:hint="eastAsia" w:ascii="宋体" w:hAnsi="宋体"/>
          <w:color w:val="auto"/>
          <w:szCs w:val="21"/>
          <w:highlight w:val="none"/>
        </w:rPr>
        <w:t>相关情况</w:t>
      </w:r>
      <w:r>
        <w:rPr>
          <w:rFonts w:hint="eastAsia"/>
          <w:color w:val="auto"/>
          <w:szCs w:val="21"/>
          <w:highlight w:val="none"/>
        </w:rPr>
        <w:t>，</w:t>
      </w:r>
      <w:r>
        <w:rPr>
          <w:rFonts w:hint="eastAsia" w:ascii="宋体" w:hAnsi="宋体"/>
          <w:color w:val="auto"/>
          <w:szCs w:val="21"/>
          <w:highlight w:val="none"/>
        </w:rPr>
        <w:t>没有相关情况应明确填“无”。</w:t>
      </w:r>
    </w:p>
    <w:p>
      <w:pPr>
        <w:spacing w:line="480" w:lineRule="auto"/>
        <w:rPr>
          <w:b/>
          <w:color w:val="auto"/>
          <w:sz w:val="24"/>
          <w:highlight w:val="none"/>
        </w:rPr>
        <w:sectPr>
          <w:pgSz w:w="11906" w:h="16838"/>
          <w:pgMar w:top="2098" w:right="1446" w:bottom="1984" w:left="1446" w:header="851" w:footer="1446" w:gutter="0"/>
          <w:cols w:space="0" w:num="1"/>
          <w:docGrid w:linePitch="312" w:charSpace="0"/>
        </w:sectPr>
      </w:pPr>
    </w:p>
    <w:p>
      <w:pPr>
        <w:pStyle w:val="20"/>
        <w:keepNext w:val="0"/>
        <w:keepLines w:val="0"/>
        <w:spacing w:line="336" w:lineRule="auto"/>
        <w:jc w:val="center"/>
        <w:outlineLvl w:val="2"/>
        <w:rPr>
          <w:color w:val="auto"/>
          <w:highlight w:val="none"/>
        </w:rPr>
      </w:pPr>
      <w:bookmarkStart w:id="2960" w:name="_Toc868042998"/>
      <w:bookmarkStart w:id="2961" w:name="_Toc336192593"/>
      <w:bookmarkStart w:id="2962" w:name="_Toc12131"/>
      <w:bookmarkStart w:id="2963" w:name="_Toc18771"/>
      <w:bookmarkStart w:id="2964" w:name="_Toc336192508"/>
      <w:bookmarkStart w:id="2965" w:name="_Toc30964"/>
      <w:bookmarkStart w:id="2966" w:name="_Toc1998278600"/>
      <w:bookmarkStart w:id="2967" w:name="_Toc380568811"/>
      <w:bookmarkStart w:id="2968" w:name="_Toc22526"/>
      <w:bookmarkStart w:id="2969" w:name="_Toc7430"/>
      <w:bookmarkStart w:id="2970" w:name="_Toc9072"/>
      <w:r>
        <w:rPr>
          <w:rFonts w:hint="eastAsia"/>
          <w:color w:val="auto"/>
          <w:highlight w:val="none"/>
        </w:rPr>
        <w:t>十</w:t>
      </w:r>
      <w:r>
        <w:rPr>
          <w:color w:val="auto"/>
          <w:highlight w:val="none"/>
        </w:rPr>
        <w:t>、</w:t>
      </w:r>
      <w:bookmarkEnd w:id="2913"/>
      <w:bookmarkEnd w:id="2914"/>
      <w:bookmarkEnd w:id="2915"/>
      <w:bookmarkEnd w:id="2916"/>
      <w:bookmarkEnd w:id="2960"/>
      <w:bookmarkEnd w:id="2961"/>
      <w:bookmarkEnd w:id="2962"/>
      <w:bookmarkEnd w:id="2963"/>
      <w:bookmarkEnd w:id="2964"/>
      <w:bookmarkEnd w:id="2965"/>
      <w:bookmarkEnd w:id="2966"/>
      <w:bookmarkEnd w:id="2967"/>
      <w:bookmarkEnd w:id="2968"/>
      <w:bookmarkEnd w:id="2969"/>
      <w:r>
        <w:rPr>
          <w:rFonts w:hint="eastAsia"/>
          <w:color w:val="auto"/>
          <w:highlight w:val="none"/>
        </w:rPr>
        <w:t>农田建设项目信用承诺书</w:t>
      </w:r>
      <w:bookmarkEnd w:id="2970"/>
    </w:p>
    <w:p>
      <w:pPr>
        <w:spacing w:line="336" w:lineRule="auto"/>
        <w:rPr>
          <w:rFonts w:ascii="宋体" w:hAnsi="宋体" w:cs="宋体"/>
          <w:color w:val="auto"/>
          <w:spacing w:val="6"/>
          <w:szCs w:val="21"/>
          <w:highlight w:val="none"/>
        </w:rPr>
      </w:pP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本单位在承担项目施工期间，郑重承诺如下：</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.严格按照投标文件与合同约定配备相关人员，确保到场。不在未经项目业主同意的情况下擅自调整项目人员构成。</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.严格按照投标文件与合同约定投入施工机械。</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.严格按照合同约定期限完成施工任务。</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4</w:t>
      </w:r>
      <w:r>
        <w:rPr>
          <w:rFonts w:hint="eastAsia" w:ascii="宋体" w:hAnsi="宋体" w:cs="宋体"/>
          <w:color w:val="auto"/>
          <w:szCs w:val="21"/>
          <w:highlight w:val="none"/>
        </w:rPr>
        <w:t>.严格按照合同约定期限及上级规定完成单项工程验收、初步验收、竣工验收。</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5</w:t>
      </w:r>
      <w:r>
        <w:rPr>
          <w:rFonts w:hint="eastAsia" w:ascii="宋体" w:hAnsi="宋体" w:cs="宋体"/>
          <w:color w:val="auto"/>
          <w:szCs w:val="21"/>
          <w:highlight w:val="none"/>
        </w:rPr>
        <w:t>.按照工程设计图纸和施工技术标准施工，不擅自修改、变更项目设计文件。</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6</w:t>
      </w:r>
      <w:r>
        <w:rPr>
          <w:rFonts w:hint="eastAsia" w:ascii="宋体" w:hAnsi="宋体" w:cs="宋体"/>
          <w:color w:val="auto"/>
          <w:szCs w:val="21"/>
          <w:highlight w:val="none"/>
        </w:rPr>
        <w:t>.凡进入项目施工现场的建筑材料、构配件和设备应具有产品质量出厂合格证明或技术标准规定的进场试验报告。</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7</w:t>
      </w:r>
      <w:r>
        <w:rPr>
          <w:rFonts w:hint="eastAsia" w:ascii="宋体" w:hAnsi="宋体" w:cs="宋体"/>
          <w:color w:val="auto"/>
          <w:szCs w:val="21"/>
          <w:highlight w:val="none"/>
        </w:rPr>
        <w:t>.对原材料和中间材料见证取样和送检，并对构配件和设备等进行抽检，不投入使用未经检验或经检验不合格的原材料和中间材料。</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8</w:t>
      </w:r>
      <w:r>
        <w:rPr>
          <w:rFonts w:hint="eastAsia" w:ascii="宋体" w:hAnsi="宋体" w:cs="宋体"/>
          <w:color w:val="auto"/>
          <w:szCs w:val="21"/>
          <w:highlight w:val="none"/>
        </w:rPr>
        <w:t>.加强各专业工种、工序施工管理，未经验收或质量检验评定不合格的，不进行下一个工种、下一道工序施工。</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9</w:t>
      </w:r>
      <w:r>
        <w:rPr>
          <w:rFonts w:hint="eastAsia" w:ascii="宋体" w:hAnsi="宋体" w:cs="宋体"/>
          <w:color w:val="auto"/>
          <w:szCs w:val="21"/>
          <w:highlight w:val="none"/>
        </w:rPr>
        <w:t>.建立健全安全生产责任制度和安全生产教育培训制度，制定安全生产规章制度和操作规程，保证本单位安全生产条件所需资金的投入，对所承担的建设工程进行定期和专项安全检查，并做好安全检查记录。设立安全生产管理机构，配备专职安全生产管理人员。</w:t>
      </w:r>
    </w:p>
    <w:p>
      <w:pPr>
        <w:spacing w:line="336" w:lineRule="auto"/>
        <w:ind w:firstLine="420" w:firstLineChars="200"/>
        <w:rPr>
          <w:rFonts w:ascii="宋体" w:hAnsi="宋体" w:cs="宋体"/>
          <w:color w:val="auto"/>
          <w:szCs w:val="21"/>
          <w:highlight w:val="none"/>
        </w:rPr>
      </w:pPr>
      <w:r>
        <w:rPr>
          <w:rFonts w:hint="eastAsia" w:cs="宋体"/>
          <w:color w:val="auto"/>
          <w:szCs w:val="21"/>
          <w:highlight w:val="none"/>
        </w:rPr>
        <w:t>10</w:t>
      </w:r>
      <w:r>
        <w:rPr>
          <w:rFonts w:hint="eastAsia" w:ascii="宋体" w:hAnsi="宋体" w:cs="宋体"/>
          <w:color w:val="auto"/>
          <w:szCs w:val="21"/>
          <w:highlight w:val="none"/>
        </w:rPr>
        <w:t>.实行农民工劳动用工实名制管理，与招用的农民工书面约定工资支付标准、支付时间、支付方式等内容。按照与农民工书面约定的工资支付周期和具体支付日期足额支付工资。按照工资支付周期编制书面工资支付台账。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spacing w:line="336" w:lineRule="auto"/>
        <w:ind w:firstLine="420" w:firstLineChars="200"/>
        <w:rPr>
          <w:rFonts w:ascii="宋体" w:hAnsi="宋体" w:cs="宋体"/>
          <w:color w:val="auto"/>
          <w:szCs w:val="21"/>
          <w:highlight w:val="none"/>
        </w:rPr>
      </w:pPr>
    </w:p>
    <w:p>
      <w:pPr>
        <w:spacing w:line="336" w:lineRule="auto"/>
        <w:ind w:firstLine="420" w:firstLineChars="200"/>
        <w:rPr>
          <w:rFonts w:ascii="宋体" w:hAnsi="宋体" w:cs="宋体"/>
          <w:color w:val="auto"/>
          <w:szCs w:val="21"/>
          <w:highlight w:val="none"/>
        </w:rPr>
      </w:pPr>
    </w:p>
    <w:p>
      <w:pPr>
        <w:spacing w:line="336" w:lineRule="auto"/>
        <w:ind w:firstLine="4830" w:firstLineChars="2300"/>
        <w:rPr>
          <w:rFonts w:ascii="宋体" w:hAnsi="宋体" w:cs="宋体"/>
          <w:color w:val="auto"/>
          <w:szCs w:val="21"/>
          <w:highlight w:val="none"/>
        </w:rPr>
      </w:pPr>
      <w:r>
        <w:rPr>
          <w:rFonts w:hint="eastAsia" w:ascii="宋体" w:hAnsi="宋体" w:cs="宋体"/>
          <w:color w:val="auto"/>
          <w:szCs w:val="21"/>
          <w:highlight w:val="none"/>
        </w:rPr>
        <w:t xml:space="preserve">承诺单位（公章）：        </w:t>
      </w:r>
    </w:p>
    <w:p>
      <w:pPr>
        <w:spacing w:line="336" w:lineRule="auto"/>
        <w:ind w:firstLine="4830" w:firstLineChars="2300"/>
        <w:rPr>
          <w:rFonts w:ascii="宋体" w:hAnsi="宋体" w:cs="宋体"/>
          <w:color w:val="auto"/>
          <w:szCs w:val="21"/>
          <w:highlight w:val="none"/>
        </w:rPr>
      </w:pPr>
      <w:r>
        <w:rPr>
          <w:rFonts w:hint="eastAsia" w:ascii="宋体" w:hAnsi="宋体" w:cs="宋体"/>
          <w:color w:val="auto"/>
          <w:szCs w:val="21"/>
          <w:highlight w:val="none"/>
        </w:rPr>
        <w:t xml:space="preserve">法定代表人（签字）：        </w:t>
      </w:r>
    </w:p>
    <w:p>
      <w:pPr>
        <w:spacing w:line="336" w:lineRule="auto"/>
        <w:ind w:firstLine="640"/>
        <w:jc w:val="center"/>
        <w:rPr>
          <w:rFonts w:ascii="宋体" w:hAnsi="宋体" w:cs="宋体"/>
          <w:color w:val="auto"/>
          <w:szCs w:val="21"/>
          <w:highlight w:val="none"/>
        </w:rPr>
        <w:sectPr>
          <w:pgSz w:w="11906" w:h="16838"/>
          <w:pgMar w:top="2098" w:right="1446" w:bottom="1984" w:left="1446" w:header="851" w:footer="1446" w:gutter="0"/>
          <w:cols w:space="0" w:num="1"/>
          <w:docGrid w:linePitch="312" w:charSpace="0"/>
        </w:sectPr>
      </w:pPr>
      <w:r>
        <w:rPr>
          <w:rFonts w:hint="eastAsia" w:ascii="宋体" w:hAnsi="宋体" w:cs="宋体"/>
          <w:color w:val="auto"/>
          <w:szCs w:val="21"/>
          <w:highlight w:val="none"/>
        </w:rPr>
        <w:t xml:space="preserve">                                      年    月    日</w:t>
      </w:r>
    </w:p>
    <w:p>
      <w:pPr>
        <w:spacing w:line="336" w:lineRule="auto"/>
        <w:rPr>
          <w:color w:val="auto"/>
          <w:sz w:val="2"/>
          <w:szCs w:val="2"/>
          <w:highlight w:val="none"/>
        </w:rPr>
      </w:pPr>
    </w:p>
    <w:p>
      <w:pPr>
        <w:pStyle w:val="3"/>
        <w:jc w:val="center"/>
        <w:rPr>
          <w:color w:val="auto"/>
          <w:highlight w:val="none"/>
        </w:rPr>
      </w:pPr>
      <w:bookmarkStart w:id="2971" w:name="_Toc6506"/>
      <w:r>
        <w:rPr>
          <w:rFonts w:hint="eastAsia"/>
          <w:color w:val="auto"/>
          <w:highlight w:val="none"/>
        </w:rPr>
        <w:t>十一</w:t>
      </w:r>
      <w:r>
        <w:rPr>
          <w:color w:val="auto"/>
          <w:highlight w:val="none"/>
        </w:rPr>
        <w:t>、</w:t>
      </w:r>
      <w:r>
        <w:rPr>
          <w:rFonts w:hint="eastAsia"/>
          <w:color w:val="auto"/>
          <w:highlight w:val="none"/>
        </w:rPr>
        <w:t>其他材料</w:t>
      </w:r>
    </w:p>
    <w:bookmarkEnd w:id="2971"/>
    <w:p>
      <w:pPr>
        <w:spacing w:line="336" w:lineRule="auto"/>
        <w:rPr>
          <w:color w:val="auto"/>
          <w:highlight w:val="none"/>
        </w:rPr>
      </w:pPr>
    </w:p>
    <w:sectPr>
      <w:pgSz w:w="11906" w:h="16838"/>
      <w:pgMar w:top="2098" w:right="1446" w:bottom="1984" w:left="1446" w:header="851" w:footer="1446"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汉仪大黑简">
    <w:altName w:val="黑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t>1</w:t>
                </w:r>
                <w:r>
                  <w:fldChar w:fldCharType="end"/>
                </w:r>
              </w:p>
            </w:txbxContent>
          </v:textbox>
        </v:shape>
      </w:pict>
    </w: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3" o:spid="_x0000_s103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t>2</w:t>
                </w:r>
                <w:r>
                  <w:fldChar w:fldCharType="end"/>
                </w:r>
              </w:p>
            </w:txbxContent>
          </v:textbox>
        </v:shape>
      </w:pict>
    </w:r>
  </w:p>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2" o:spid="_x0000_s1032"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t>3</w:t>
                </w:r>
                <w:r>
                  <w:fldChar w:fldCharType="end"/>
                </w:r>
              </w:p>
            </w:txbxContent>
          </v:textbox>
        </v:shape>
      </w:pict>
    </w:r>
  </w:p>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1" o:spid="_x0000_s1031"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path/>
          <v:fill on="f" focussize="0,0"/>
          <v:stroke on="f" weight="1.25pt"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t>4</w:t>
                </w:r>
                <w:r>
                  <w:fldChar w:fldCharType="end"/>
                </w:r>
              </w:p>
            </w:txbxContent>
          </v:textbox>
        </v:shape>
      </w:pict>
    </w:r>
  </w:p>
  <w:p>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0" o:spid="_x0000_s1030"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pPr>
                  <w:pStyle w:val="15"/>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 PAGE   \* MERGEFORMAT </w:instrText>
                </w:r>
                <w:r>
                  <w:rPr>
                    <w:rFonts w:hint="eastAsia" w:asciiTheme="minorEastAsia" w:hAnsiTheme="minorEastAsia" w:eastAsiaTheme="minorEastAsia" w:cstheme="minorEastAsia"/>
                    <w:sz w:val="28"/>
                    <w:szCs w:val="28"/>
                    <w:lang w:val="zh-CN"/>
                  </w:rPr>
                  <w:fldChar w:fldCharType="separate"/>
                </w:r>
                <w:r>
                  <w:rPr>
                    <w:rFonts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仿宋_GB2312"/>
        <w:sz w:val="24"/>
      </w:rPr>
    </w:pPr>
    <w:r>
      <w:rPr>
        <w:sz w:val="24"/>
      </w:rPr>
      <w:pict>
        <v:shape id="_x0000_s1028" o:spid="_x0000_s1028" o:spt="202" type="#_x0000_t202" style="position:absolute;left:0pt;margin-top:-2.5pt;height:144pt;width:144pt;mso-position-horizontal:outside;mso-position-horizontal-relative:margin;mso-wrap-style:none;z-index:251661312;mso-width-relative:page;mso-height-relative:page;" filled="f" stroked="f" coordsize="21600,21600" o:gfxdata="UEsDBAoAAAAAAIdO4kAAAAAAAAAAAAAAAAAEAAAAZHJzL1BLAwQUAAAACACHTuJASFMDiN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g88mR3necsDlexyUBW&#10;pfzPX/0C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IUwOI1AAAAAcBAAAPAAAAAAAAAAEAIAAAACIAAABkcnMvZG93bnJldi54bWxQSwEC&#10;FAAUAAAACACHTuJA6wA4ejECAABjBAAADgAAAAAAAAABACAAAAAjAQAAZHJzL2Uyb0RvYy54bWxQ&#10;SwUGAAAAAAYABgBZAQAAxgUAAAAA&#10;">
          <v:path/>
          <v:fill on="f" focussize="0,0"/>
          <v:stroke on="f" weight="0.5pt" joinstyle="miter"/>
          <v:imagedata o:title=""/>
          <o:lock v:ext="edit"/>
          <v:textbox inset="0mm,0mm,0mm,0mm" style="mso-fit-shape-to-text:t;">
            <w:txbxContent>
              <w:p>
                <w:pPr>
                  <w:pStyle w:val="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27" o:spid="_x0000_s102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Fonts w:ascii="Times New Roman" w:hAnsi="Times New Roman"/>
      </w:rPr>
      <w:t>24</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pPr>
      <w:r>
        <w:rPr>
          <w:rStyle w:val="31"/>
        </w:rPr>
        <w:footnoteRef/>
      </w:r>
      <w:r>
        <w:rPr>
          <w:rFonts w:hint="eastAsia" w:ascii="宋体" w:hAnsi="宋体" w:cs="宋体"/>
          <w:kern w:val="0"/>
          <w:szCs w:val="21"/>
        </w:rPr>
        <w:t>投标保证金不得超过招标标段估算价的</w:t>
      </w:r>
      <w:r>
        <w:rPr>
          <w:rFonts w:hint="eastAsia" w:cs="宋体"/>
          <w:kern w:val="0"/>
          <w:szCs w:val="21"/>
        </w:rPr>
        <w:t>2%</w:t>
      </w:r>
      <w:r>
        <w:rPr>
          <w:rFonts w:hint="eastAsia" w:ascii="宋体" w:hAnsi="宋体" w:cs="宋体"/>
          <w:kern w:val="0"/>
          <w:szCs w:val="21"/>
        </w:rPr>
        <w:t>，投标保证金有效期应当与投标文件有效期一致。</w:t>
      </w:r>
    </w:p>
  </w:footnote>
  <w:footnote w:id="1">
    <w:p>
      <w:pPr>
        <w:pStyle w:val="18"/>
      </w:pPr>
      <w:r>
        <w:rPr>
          <w:rStyle w:val="31"/>
        </w:rPr>
        <w:footnoteRef/>
      </w:r>
      <w:r>
        <w:rPr>
          <w:rFonts w:hint="eastAsia"/>
        </w:rPr>
        <w:t>招标人可根据招标项目实际情况调整。</w:t>
      </w:r>
    </w:p>
  </w:footnote>
  <w:footnote w:id="2">
    <w:p>
      <w:pPr>
        <w:pStyle w:val="18"/>
      </w:pPr>
      <w:r>
        <w:rPr>
          <w:rStyle w:val="31"/>
        </w:rPr>
        <w:footnoteRef/>
      </w:r>
      <w:r>
        <w:t xml:space="preserve"> </w:t>
      </w:r>
      <w:r>
        <w:rPr>
          <w:rFonts w:hint="eastAsia" w:ascii="Calibri" w:hAnsi="Calibri"/>
          <w:szCs w:val="22"/>
        </w:rPr>
        <w:t>适用于投标保证金交到招标人账户的情况。</w:t>
      </w:r>
    </w:p>
  </w:footnote>
  <w:footnote w:id="3">
    <w:p>
      <w:pPr>
        <w:pStyle w:val="18"/>
      </w:pPr>
      <w:r>
        <w:rPr>
          <w:rStyle w:val="31"/>
        </w:rPr>
        <w:footnoteRef/>
      </w:r>
      <w:r>
        <w:t xml:space="preserve"> </w:t>
      </w:r>
      <w:r>
        <w:rPr>
          <w:rFonts w:hint="eastAsia"/>
        </w:rPr>
        <w:t>适用于投标保证金交到公共资源交易中心的情况。</w:t>
      </w:r>
    </w:p>
  </w:footnote>
  <w:footnote w:id="4">
    <w:p>
      <w:pPr>
        <w:pStyle w:val="18"/>
      </w:pPr>
      <w:r>
        <w:rPr>
          <w:rStyle w:val="31"/>
        </w:rPr>
        <w:footnoteRef/>
      </w:r>
      <w:r>
        <w:t xml:space="preserve"> </w:t>
      </w:r>
      <w:r>
        <w:rPr>
          <w:rFonts w:hint="eastAsia"/>
        </w:rPr>
        <w:t>类似工程的定义应结合招标项目属性、内容、等级等实际情况合理设定。</w:t>
      </w:r>
    </w:p>
  </w:footnote>
  <w:footnote w:id="5">
    <w:p>
      <w:pPr>
        <w:pStyle w:val="18"/>
      </w:pPr>
      <w:r>
        <w:rPr>
          <w:rStyle w:val="31"/>
        </w:rPr>
        <w:footnoteRef/>
      </w:r>
      <w:r>
        <w:t xml:space="preserve"> </w:t>
      </w:r>
      <w:r>
        <w:rPr>
          <w:rFonts w:hint="eastAsia"/>
        </w:rPr>
        <w:t xml:space="preserve">履约保证金的金额不超过中标合同额的10%，下同。         </w:t>
      </w:r>
    </w:p>
  </w:footnote>
  <w:footnote w:id="6">
    <w:p>
      <w:pPr>
        <w:pStyle w:val="18"/>
      </w:pPr>
      <w:r>
        <w:rPr>
          <w:rStyle w:val="31"/>
        </w:rPr>
        <w:footnoteRef/>
      </w:r>
      <w:r>
        <w:rPr>
          <w:rFonts w:hint="eastAsia"/>
        </w:rPr>
        <w:t>由招标人根据项目实际情况进行选用。</w:t>
      </w:r>
    </w:p>
  </w:footnote>
  <w:footnote w:id="7">
    <w:p>
      <w:pPr>
        <w:pStyle w:val="18"/>
      </w:pPr>
      <w:r>
        <w:rPr>
          <w:rStyle w:val="31"/>
        </w:rPr>
        <w:footnoteRef/>
      </w:r>
      <w:r>
        <w:rPr>
          <w:rFonts w:hint="eastAsia"/>
        </w:rPr>
        <w:t>由招标人根据项目实际情况进行选用。</w:t>
      </w:r>
    </w:p>
    <w:p>
      <w:pPr>
        <w:pStyle w:val="18"/>
      </w:pPr>
    </w:p>
  </w:footnote>
  <w:footnote w:id="8">
    <w:p>
      <w:pPr>
        <w:pStyle w:val="18"/>
      </w:pPr>
      <w:r>
        <w:rPr>
          <w:rStyle w:val="31"/>
        </w:rPr>
        <w:footnoteRef/>
      </w:r>
      <w:r>
        <w:rPr>
          <w:rFonts w:hint="eastAsia"/>
        </w:rPr>
        <w:t>由招标人根据项目实际情况进行选用。</w:t>
      </w:r>
    </w:p>
  </w:footnote>
  <w:footnote w:id="9">
    <w:p>
      <w:pPr>
        <w:pStyle w:val="18"/>
      </w:pPr>
      <w:r>
        <w:rPr>
          <w:rStyle w:val="31"/>
        </w:rPr>
        <w:footnoteRef/>
      </w:r>
      <w:r>
        <w:rPr>
          <w:rFonts w:hint="eastAsia"/>
        </w:rPr>
        <w:t>由招标人根据项目实际情况进行选用。</w:t>
      </w:r>
    </w:p>
    <w:p>
      <w:pPr>
        <w:pStyle w:val="18"/>
      </w:pPr>
    </w:p>
  </w:footnote>
  <w:footnote w:id="10">
    <w:p>
      <w:pPr>
        <w:pStyle w:val="18"/>
      </w:pPr>
      <w:r>
        <w:rPr>
          <w:rStyle w:val="31"/>
        </w:rPr>
        <w:footnoteRef/>
      </w:r>
      <w:r>
        <w:t xml:space="preserve"> </w:t>
      </w:r>
      <w:r>
        <w:rPr>
          <w:rFonts w:hint="eastAsia"/>
        </w:rPr>
        <w:t>复杂和大型工程项目采用综合评分法的，投标报价权重不少于60%，其他工程的施工招标采用综合评分法的，投标报价权重不少于80%。</w:t>
      </w:r>
    </w:p>
    <w:p>
      <w:pPr>
        <w:pStyle w:val="1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EBE67"/>
    <w:multiLevelType w:val="singleLevel"/>
    <w:tmpl w:val="B20EBE67"/>
    <w:lvl w:ilvl="0" w:tentative="0">
      <w:start w:val="1"/>
      <w:numFmt w:val="decimal"/>
      <w:lvlText w:val="%1."/>
      <w:lvlJc w:val="left"/>
      <w:pPr>
        <w:tabs>
          <w:tab w:val="left" w:pos="312"/>
        </w:tabs>
      </w:pPr>
    </w:lvl>
  </w:abstractNum>
  <w:abstractNum w:abstractNumId="1">
    <w:nsid w:val="CDC6D4BE"/>
    <w:multiLevelType w:val="singleLevel"/>
    <w:tmpl w:val="CDC6D4BE"/>
    <w:lvl w:ilvl="0" w:tentative="0">
      <w:start w:val="1"/>
      <w:numFmt w:val="decimal"/>
      <w:lvlText w:val="%1."/>
      <w:lvlJc w:val="left"/>
      <w:pPr>
        <w:tabs>
          <w:tab w:val="left" w:pos="312"/>
        </w:tabs>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7919798"/>
    <w:multiLevelType w:val="singleLevel"/>
    <w:tmpl w:val="07919798"/>
    <w:lvl w:ilvl="0" w:tentative="0">
      <w:start w:val="4"/>
      <w:numFmt w:val="chineseCounting"/>
      <w:suff w:val="nothing"/>
      <w:lvlText w:val="%1、"/>
      <w:lvlJc w:val="left"/>
      <w:rPr>
        <w:rFonts w:hint="eastAsia"/>
      </w:rPr>
    </w:lvl>
  </w:abstractNum>
  <w:abstractNum w:abstractNumId="4">
    <w:nsid w:val="5990E113"/>
    <w:multiLevelType w:val="singleLevel"/>
    <w:tmpl w:val="5990E113"/>
    <w:lvl w:ilvl="0" w:tentative="0">
      <w:start w:val="2"/>
      <w:numFmt w:val="decimal"/>
      <w:lvlText w:val="%1."/>
      <w:lvlJc w:val="left"/>
      <w:pPr>
        <w:tabs>
          <w:tab w:val="left" w:pos="312"/>
        </w:tabs>
      </w:pPr>
    </w:lvl>
  </w:abstractNum>
  <w:abstractNum w:abstractNumId="5">
    <w:nsid w:val="5AD0F9E9"/>
    <w:multiLevelType w:val="singleLevel"/>
    <w:tmpl w:val="5AD0F9E9"/>
    <w:lvl w:ilvl="0" w:tentative="0">
      <w:start w:val="1"/>
      <w:numFmt w:val="decimal"/>
      <w:suff w:val="nothing"/>
      <w:lvlText w:val="（%1）"/>
      <w:lvlJc w:val="left"/>
    </w:lvl>
  </w:abstractNum>
  <w:abstractNum w:abstractNumId="6">
    <w:nsid w:val="6AEA90C4"/>
    <w:multiLevelType w:val="singleLevel"/>
    <w:tmpl w:val="6AEA90C4"/>
    <w:lvl w:ilvl="0" w:tentative="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hM2UxNmM1NWM4ZTg3NDRkOTNhYmE1MmUyOGRhMjMifQ=="/>
    <w:docVar w:name="KSO_WPS_MARK_KEY" w:val="8c213cd5-58e9-47ee-b71b-c99fd61ab990"/>
  </w:docVars>
  <w:rsids>
    <w:rsidRoot w:val="00172A27"/>
    <w:rsid w:val="00002BC5"/>
    <w:rsid w:val="00066EBC"/>
    <w:rsid w:val="00172A27"/>
    <w:rsid w:val="00192755"/>
    <w:rsid w:val="001C247B"/>
    <w:rsid w:val="0023497A"/>
    <w:rsid w:val="00285085"/>
    <w:rsid w:val="003D64E4"/>
    <w:rsid w:val="003E2E74"/>
    <w:rsid w:val="004277C9"/>
    <w:rsid w:val="004C300E"/>
    <w:rsid w:val="00535E7A"/>
    <w:rsid w:val="006360BD"/>
    <w:rsid w:val="006601D4"/>
    <w:rsid w:val="006A79C6"/>
    <w:rsid w:val="00787AE3"/>
    <w:rsid w:val="007D6A53"/>
    <w:rsid w:val="00814795"/>
    <w:rsid w:val="00847DE1"/>
    <w:rsid w:val="008B73C2"/>
    <w:rsid w:val="009764F5"/>
    <w:rsid w:val="00B22BA0"/>
    <w:rsid w:val="00B71F65"/>
    <w:rsid w:val="00C44682"/>
    <w:rsid w:val="00D0337D"/>
    <w:rsid w:val="00E24F82"/>
    <w:rsid w:val="00F431B9"/>
    <w:rsid w:val="00F92462"/>
    <w:rsid w:val="011A0CB4"/>
    <w:rsid w:val="014557C2"/>
    <w:rsid w:val="015B3238"/>
    <w:rsid w:val="0167398B"/>
    <w:rsid w:val="016904FA"/>
    <w:rsid w:val="017716F4"/>
    <w:rsid w:val="018E7169"/>
    <w:rsid w:val="01993D60"/>
    <w:rsid w:val="019B3634"/>
    <w:rsid w:val="01AC3A93"/>
    <w:rsid w:val="01AF0E8E"/>
    <w:rsid w:val="01BA528A"/>
    <w:rsid w:val="01CA5F1D"/>
    <w:rsid w:val="01CE61B8"/>
    <w:rsid w:val="01D04EC2"/>
    <w:rsid w:val="01E4322D"/>
    <w:rsid w:val="01E44FDB"/>
    <w:rsid w:val="01F40F97"/>
    <w:rsid w:val="02045AE4"/>
    <w:rsid w:val="02186A33"/>
    <w:rsid w:val="021F4265"/>
    <w:rsid w:val="022830E4"/>
    <w:rsid w:val="025657AD"/>
    <w:rsid w:val="02663C42"/>
    <w:rsid w:val="02683895"/>
    <w:rsid w:val="027F6AB2"/>
    <w:rsid w:val="029D33DC"/>
    <w:rsid w:val="029F53A6"/>
    <w:rsid w:val="02A1299B"/>
    <w:rsid w:val="02C31095"/>
    <w:rsid w:val="02DC5CB3"/>
    <w:rsid w:val="02E64D83"/>
    <w:rsid w:val="02ED1C6E"/>
    <w:rsid w:val="02F0175E"/>
    <w:rsid w:val="030D2310"/>
    <w:rsid w:val="03154D78"/>
    <w:rsid w:val="03260241"/>
    <w:rsid w:val="033248DF"/>
    <w:rsid w:val="034C45ED"/>
    <w:rsid w:val="03561F09"/>
    <w:rsid w:val="037633B5"/>
    <w:rsid w:val="037B196F"/>
    <w:rsid w:val="03800D34"/>
    <w:rsid w:val="038D16A3"/>
    <w:rsid w:val="03AF18D1"/>
    <w:rsid w:val="03B60BF9"/>
    <w:rsid w:val="03B94246"/>
    <w:rsid w:val="03E219EE"/>
    <w:rsid w:val="03EE33CD"/>
    <w:rsid w:val="042E253E"/>
    <w:rsid w:val="04333FF8"/>
    <w:rsid w:val="043B10FF"/>
    <w:rsid w:val="0451447E"/>
    <w:rsid w:val="0456200F"/>
    <w:rsid w:val="04635904"/>
    <w:rsid w:val="0475016D"/>
    <w:rsid w:val="0477734B"/>
    <w:rsid w:val="04787C5D"/>
    <w:rsid w:val="048D4117"/>
    <w:rsid w:val="0490144A"/>
    <w:rsid w:val="04A31AD1"/>
    <w:rsid w:val="04A70542"/>
    <w:rsid w:val="04A722F0"/>
    <w:rsid w:val="04A81553"/>
    <w:rsid w:val="04AE722E"/>
    <w:rsid w:val="04C174DB"/>
    <w:rsid w:val="04D20310"/>
    <w:rsid w:val="04D72BD5"/>
    <w:rsid w:val="04E716C3"/>
    <w:rsid w:val="04E946B7"/>
    <w:rsid w:val="05164A25"/>
    <w:rsid w:val="052676B9"/>
    <w:rsid w:val="0533282A"/>
    <w:rsid w:val="05453FE3"/>
    <w:rsid w:val="05597A8E"/>
    <w:rsid w:val="055C757F"/>
    <w:rsid w:val="057E1C87"/>
    <w:rsid w:val="0583671B"/>
    <w:rsid w:val="05B11678"/>
    <w:rsid w:val="05B64EE1"/>
    <w:rsid w:val="05B747B5"/>
    <w:rsid w:val="05C328E8"/>
    <w:rsid w:val="05CA273A"/>
    <w:rsid w:val="05EE467B"/>
    <w:rsid w:val="05FA70D2"/>
    <w:rsid w:val="05FD39CC"/>
    <w:rsid w:val="05FD666C"/>
    <w:rsid w:val="061D0ABC"/>
    <w:rsid w:val="0631401F"/>
    <w:rsid w:val="064424ED"/>
    <w:rsid w:val="06456265"/>
    <w:rsid w:val="064F2C3F"/>
    <w:rsid w:val="06587D46"/>
    <w:rsid w:val="0683507A"/>
    <w:rsid w:val="069A3EBB"/>
    <w:rsid w:val="06A42F8B"/>
    <w:rsid w:val="06A55DD7"/>
    <w:rsid w:val="06BC02D5"/>
    <w:rsid w:val="06BD229F"/>
    <w:rsid w:val="06E723F8"/>
    <w:rsid w:val="06FD08ED"/>
    <w:rsid w:val="07013F3A"/>
    <w:rsid w:val="07124C61"/>
    <w:rsid w:val="071C5217"/>
    <w:rsid w:val="0721282E"/>
    <w:rsid w:val="072A7934"/>
    <w:rsid w:val="073360BD"/>
    <w:rsid w:val="07351E35"/>
    <w:rsid w:val="075C5B93"/>
    <w:rsid w:val="077C5CB6"/>
    <w:rsid w:val="07A5520D"/>
    <w:rsid w:val="07AF3996"/>
    <w:rsid w:val="07CC279A"/>
    <w:rsid w:val="07D478A0"/>
    <w:rsid w:val="07D92C60"/>
    <w:rsid w:val="07DB29DD"/>
    <w:rsid w:val="07F910B5"/>
    <w:rsid w:val="080737D2"/>
    <w:rsid w:val="08183C31"/>
    <w:rsid w:val="081D1247"/>
    <w:rsid w:val="082425D6"/>
    <w:rsid w:val="08320F44"/>
    <w:rsid w:val="08332819"/>
    <w:rsid w:val="08393E73"/>
    <w:rsid w:val="083B791F"/>
    <w:rsid w:val="084F5B93"/>
    <w:rsid w:val="086B1627"/>
    <w:rsid w:val="086C5D2B"/>
    <w:rsid w:val="08732C15"/>
    <w:rsid w:val="088210AA"/>
    <w:rsid w:val="0882554E"/>
    <w:rsid w:val="088B72CA"/>
    <w:rsid w:val="088E3EF3"/>
    <w:rsid w:val="08A90D2D"/>
    <w:rsid w:val="08BB0570"/>
    <w:rsid w:val="08C62A6B"/>
    <w:rsid w:val="08E73603"/>
    <w:rsid w:val="08ED5152"/>
    <w:rsid w:val="08EF3D5E"/>
    <w:rsid w:val="08F46A11"/>
    <w:rsid w:val="091268D2"/>
    <w:rsid w:val="092403B3"/>
    <w:rsid w:val="09273A00"/>
    <w:rsid w:val="092E1232"/>
    <w:rsid w:val="093305F6"/>
    <w:rsid w:val="09414AC1"/>
    <w:rsid w:val="094E5430"/>
    <w:rsid w:val="095D3FD0"/>
    <w:rsid w:val="096F267D"/>
    <w:rsid w:val="09780862"/>
    <w:rsid w:val="097A4477"/>
    <w:rsid w:val="098F309D"/>
    <w:rsid w:val="09992B4F"/>
    <w:rsid w:val="099F5C8C"/>
    <w:rsid w:val="09AA1703"/>
    <w:rsid w:val="09AD65FB"/>
    <w:rsid w:val="09BD10EC"/>
    <w:rsid w:val="09BE4364"/>
    <w:rsid w:val="09CD0A4B"/>
    <w:rsid w:val="09E162A4"/>
    <w:rsid w:val="09F922B8"/>
    <w:rsid w:val="0A1246B0"/>
    <w:rsid w:val="0A1270CD"/>
    <w:rsid w:val="0A222B45"/>
    <w:rsid w:val="0A36214C"/>
    <w:rsid w:val="0A5922DF"/>
    <w:rsid w:val="0A766CF7"/>
    <w:rsid w:val="0A932C40"/>
    <w:rsid w:val="0AAE262A"/>
    <w:rsid w:val="0ACA6D38"/>
    <w:rsid w:val="0ACC485F"/>
    <w:rsid w:val="0ADD4CBE"/>
    <w:rsid w:val="0AE147AE"/>
    <w:rsid w:val="0AF50259"/>
    <w:rsid w:val="0B0E540E"/>
    <w:rsid w:val="0B106E41"/>
    <w:rsid w:val="0B325009"/>
    <w:rsid w:val="0B5C1166"/>
    <w:rsid w:val="0B863E3A"/>
    <w:rsid w:val="0B8B2716"/>
    <w:rsid w:val="0B8F20D5"/>
    <w:rsid w:val="0BCB2D68"/>
    <w:rsid w:val="0BE81B6C"/>
    <w:rsid w:val="0BE856C8"/>
    <w:rsid w:val="0BEF6A57"/>
    <w:rsid w:val="0BFC5617"/>
    <w:rsid w:val="0C0879F7"/>
    <w:rsid w:val="0C087B18"/>
    <w:rsid w:val="0C130A69"/>
    <w:rsid w:val="0C1E558E"/>
    <w:rsid w:val="0C201306"/>
    <w:rsid w:val="0C2A2FC0"/>
    <w:rsid w:val="0C346B5F"/>
    <w:rsid w:val="0C405504"/>
    <w:rsid w:val="0C4F3999"/>
    <w:rsid w:val="0C5C0E42"/>
    <w:rsid w:val="0C621C7F"/>
    <w:rsid w:val="0C67162D"/>
    <w:rsid w:val="0C692CAD"/>
    <w:rsid w:val="0C756AC9"/>
    <w:rsid w:val="0C8768B4"/>
    <w:rsid w:val="0C886EAB"/>
    <w:rsid w:val="0CAA0BCF"/>
    <w:rsid w:val="0CAB4505"/>
    <w:rsid w:val="0CB72D83"/>
    <w:rsid w:val="0CB8153E"/>
    <w:rsid w:val="0CB90E13"/>
    <w:rsid w:val="0CC779D3"/>
    <w:rsid w:val="0CD41FCF"/>
    <w:rsid w:val="0CEE4F60"/>
    <w:rsid w:val="0CEE7D86"/>
    <w:rsid w:val="0CFD51A3"/>
    <w:rsid w:val="0CFF53BF"/>
    <w:rsid w:val="0D097FEC"/>
    <w:rsid w:val="0D0C188A"/>
    <w:rsid w:val="0D100AE1"/>
    <w:rsid w:val="0D14139C"/>
    <w:rsid w:val="0D200E92"/>
    <w:rsid w:val="0D3D1A44"/>
    <w:rsid w:val="0D415BDD"/>
    <w:rsid w:val="0D4A0C1A"/>
    <w:rsid w:val="0D5E1CB9"/>
    <w:rsid w:val="0D625687"/>
    <w:rsid w:val="0D755681"/>
    <w:rsid w:val="0D933D59"/>
    <w:rsid w:val="0D951880"/>
    <w:rsid w:val="0DB6133E"/>
    <w:rsid w:val="0DBA7538"/>
    <w:rsid w:val="0DE01A63"/>
    <w:rsid w:val="0DF30354"/>
    <w:rsid w:val="0E046881"/>
    <w:rsid w:val="0E0D2764"/>
    <w:rsid w:val="0E10165E"/>
    <w:rsid w:val="0E1B13CE"/>
    <w:rsid w:val="0E3A41D5"/>
    <w:rsid w:val="0E666D78"/>
    <w:rsid w:val="0E6B438E"/>
    <w:rsid w:val="0E792F4F"/>
    <w:rsid w:val="0E811E04"/>
    <w:rsid w:val="0E833DCE"/>
    <w:rsid w:val="0E843EF7"/>
    <w:rsid w:val="0E8518F4"/>
    <w:rsid w:val="0EBA4906"/>
    <w:rsid w:val="0EC817E1"/>
    <w:rsid w:val="0ED939EE"/>
    <w:rsid w:val="0EE228A3"/>
    <w:rsid w:val="0EE86506"/>
    <w:rsid w:val="0EFD592E"/>
    <w:rsid w:val="0EFD76DC"/>
    <w:rsid w:val="0F20161D"/>
    <w:rsid w:val="0F2B20F7"/>
    <w:rsid w:val="0F2D7E01"/>
    <w:rsid w:val="0F36419E"/>
    <w:rsid w:val="0F4065BF"/>
    <w:rsid w:val="0F4075C9"/>
    <w:rsid w:val="0F4C41C0"/>
    <w:rsid w:val="0F587009"/>
    <w:rsid w:val="0F704240"/>
    <w:rsid w:val="0F762D63"/>
    <w:rsid w:val="0F783207"/>
    <w:rsid w:val="0FA84832"/>
    <w:rsid w:val="0FAC4C5F"/>
    <w:rsid w:val="0FBD6E6C"/>
    <w:rsid w:val="0FC75A7C"/>
    <w:rsid w:val="0FF90109"/>
    <w:rsid w:val="0FFC1742"/>
    <w:rsid w:val="10132AE3"/>
    <w:rsid w:val="1030763E"/>
    <w:rsid w:val="104355C3"/>
    <w:rsid w:val="106F63B8"/>
    <w:rsid w:val="107F4121"/>
    <w:rsid w:val="108300B5"/>
    <w:rsid w:val="108856CC"/>
    <w:rsid w:val="10914580"/>
    <w:rsid w:val="10A71E43"/>
    <w:rsid w:val="10AD31A6"/>
    <w:rsid w:val="10DC4A70"/>
    <w:rsid w:val="10F93ED3"/>
    <w:rsid w:val="11034D52"/>
    <w:rsid w:val="11072BC3"/>
    <w:rsid w:val="110805BA"/>
    <w:rsid w:val="110C00AB"/>
    <w:rsid w:val="111156C1"/>
    <w:rsid w:val="11157E34"/>
    <w:rsid w:val="112278CE"/>
    <w:rsid w:val="11401B02"/>
    <w:rsid w:val="11403B5A"/>
    <w:rsid w:val="11494E5B"/>
    <w:rsid w:val="114C04A7"/>
    <w:rsid w:val="11517434"/>
    <w:rsid w:val="116A2D8F"/>
    <w:rsid w:val="116E041E"/>
    <w:rsid w:val="11800151"/>
    <w:rsid w:val="119500A0"/>
    <w:rsid w:val="11B80C55"/>
    <w:rsid w:val="11B83125"/>
    <w:rsid w:val="11C04407"/>
    <w:rsid w:val="11CB7AC7"/>
    <w:rsid w:val="11D861DF"/>
    <w:rsid w:val="11DF131B"/>
    <w:rsid w:val="11E338E1"/>
    <w:rsid w:val="11ED6F4D"/>
    <w:rsid w:val="11F36B75"/>
    <w:rsid w:val="11FA6155"/>
    <w:rsid w:val="12015736"/>
    <w:rsid w:val="120D0B4F"/>
    <w:rsid w:val="120E12B5"/>
    <w:rsid w:val="12137217"/>
    <w:rsid w:val="121C60CC"/>
    <w:rsid w:val="12372F05"/>
    <w:rsid w:val="126C2491"/>
    <w:rsid w:val="12843C71"/>
    <w:rsid w:val="12955E7E"/>
    <w:rsid w:val="129A34E5"/>
    <w:rsid w:val="12AD3208"/>
    <w:rsid w:val="12BB001E"/>
    <w:rsid w:val="12BE53D5"/>
    <w:rsid w:val="12C3110E"/>
    <w:rsid w:val="12D06EB6"/>
    <w:rsid w:val="12D746E8"/>
    <w:rsid w:val="12E7256C"/>
    <w:rsid w:val="12EA3113"/>
    <w:rsid w:val="12EC1F42"/>
    <w:rsid w:val="12ED4198"/>
    <w:rsid w:val="12F01C1A"/>
    <w:rsid w:val="131E2317"/>
    <w:rsid w:val="132911E1"/>
    <w:rsid w:val="132A2A6A"/>
    <w:rsid w:val="132C1119"/>
    <w:rsid w:val="132C4AE6"/>
    <w:rsid w:val="13370CE3"/>
    <w:rsid w:val="1360023A"/>
    <w:rsid w:val="136917E4"/>
    <w:rsid w:val="136F4921"/>
    <w:rsid w:val="1384217A"/>
    <w:rsid w:val="13883F55"/>
    <w:rsid w:val="138861F8"/>
    <w:rsid w:val="13961EAE"/>
    <w:rsid w:val="139C49F3"/>
    <w:rsid w:val="13A22600"/>
    <w:rsid w:val="13B41253"/>
    <w:rsid w:val="13C22CA3"/>
    <w:rsid w:val="13C24A51"/>
    <w:rsid w:val="13D36C5E"/>
    <w:rsid w:val="13DA0234"/>
    <w:rsid w:val="13E42C19"/>
    <w:rsid w:val="13F7615B"/>
    <w:rsid w:val="14072DAB"/>
    <w:rsid w:val="140E7C96"/>
    <w:rsid w:val="14237BE5"/>
    <w:rsid w:val="14264FE0"/>
    <w:rsid w:val="14432035"/>
    <w:rsid w:val="14677A73"/>
    <w:rsid w:val="146D1F67"/>
    <w:rsid w:val="146E57C9"/>
    <w:rsid w:val="14700951"/>
    <w:rsid w:val="14726477"/>
    <w:rsid w:val="14975EDD"/>
    <w:rsid w:val="14977C8B"/>
    <w:rsid w:val="149F4D92"/>
    <w:rsid w:val="14AC513B"/>
    <w:rsid w:val="14B7657F"/>
    <w:rsid w:val="14C03686"/>
    <w:rsid w:val="14F25809"/>
    <w:rsid w:val="14F43330"/>
    <w:rsid w:val="150177FB"/>
    <w:rsid w:val="150A2B53"/>
    <w:rsid w:val="152E7E8B"/>
    <w:rsid w:val="153320AA"/>
    <w:rsid w:val="15603DFF"/>
    <w:rsid w:val="15695ACC"/>
    <w:rsid w:val="156D6C3E"/>
    <w:rsid w:val="157A68B3"/>
    <w:rsid w:val="158C5316"/>
    <w:rsid w:val="1594241D"/>
    <w:rsid w:val="15A00DC2"/>
    <w:rsid w:val="15A563D8"/>
    <w:rsid w:val="15BF5C2B"/>
    <w:rsid w:val="15C33C2B"/>
    <w:rsid w:val="15C9656A"/>
    <w:rsid w:val="15D965DB"/>
    <w:rsid w:val="15E213DA"/>
    <w:rsid w:val="15F66C34"/>
    <w:rsid w:val="16315EBE"/>
    <w:rsid w:val="163F7258"/>
    <w:rsid w:val="166444E5"/>
    <w:rsid w:val="16704C38"/>
    <w:rsid w:val="16774218"/>
    <w:rsid w:val="16777D74"/>
    <w:rsid w:val="16783AEC"/>
    <w:rsid w:val="169C5A2D"/>
    <w:rsid w:val="16BE1E47"/>
    <w:rsid w:val="16BF796D"/>
    <w:rsid w:val="16C44F84"/>
    <w:rsid w:val="16CD7683"/>
    <w:rsid w:val="16CF5EA6"/>
    <w:rsid w:val="16D95349"/>
    <w:rsid w:val="16E3237F"/>
    <w:rsid w:val="16F70EB5"/>
    <w:rsid w:val="17081314"/>
    <w:rsid w:val="170A0BE8"/>
    <w:rsid w:val="17125CEF"/>
    <w:rsid w:val="17343EB7"/>
    <w:rsid w:val="173637C3"/>
    <w:rsid w:val="17377504"/>
    <w:rsid w:val="17485BB5"/>
    <w:rsid w:val="17497249"/>
    <w:rsid w:val="17557BE2"/>
    <w:rsid w:val="1756574D"/>
    <w:rsid w:val="175D178A"/>
    <w:rsid w:val="17716EB9"/>
    <w:rsid w:val="17797B1C"/>
    <w:rsid w:val="178A3AD7"/>
    <w:rsid w:val="17904472"/>
    <w:rsid w:val="17C06A90"/>
    <w:rsid w:val="17C52D61"/>
    <w:rsid w:val="17DB2818"/>
    <w:rsid w:val="17DF183C"/>
    <w:rsid w:val="17E4768B"/>
    <w:rsid w:val="18023FB5"/>
    <w:rsid w:val="182757CA"/>
    <w:rsid w:val="183121A5"/>
    <w:rsid w:val="18356139"/>
    <w:rsid w:val="18504D21"/>
    <w:rsid w:val="185F31B6"/>
    <w:rsid w:val="1864257A"/>
    <w:rsid w:val="18866995"/>
    <w:rsid w:val="188B45D1"/>
    <w:rsid w:val="188E3A9B"/>
    <w:rsid w:val="189A2440"/>
    <w:rsid w:val="189C52A7"/>
    <w:rsid w:val="18B56AED"/>
    <w:rsid w:val="18BA4890"/>
    <w:rsid w:val="18BE612E"/>
    <w:rsid w:val="18C272A1"/>
    <w:rsid w:val="18C474BD"/>
    <w:rsid w:val="18D23988"/>
    <w:rsid w:val="18D70F9E"/>
    <w:rsid w:val="18DD40DB"/>
    <w:rsid w:val="190478B9"/>
    <w:rsid w:val="191F64A1"/>
    <w:rsid w:val="195B397D"/>
    <w:rsid w:val="19617762"/>
    <w:rsid w:val="19683303"/>
    <w:rsid w:val="1968609A"/>
    <w:rsid w:val="196D1144"/>
    <w:rsid w:val="197607B7"/>
    <w:rsid w:val="197C38F4"/>
    <w:rsid w:val="198E5581"/>
    <w:rsid w:val="199B6470"/>
    <w:rsid w:val="19AF0A4A"/>
    <w:rsid w:val="19C07C84"/>
    <w:rsid w:val="19C21C4E"/>
    <w:rsid w:val="19CF7EC7"/>
    <w:rsid w:val="19D11E91"/>
    <w:rsid w:val="19DD25E4"/>
    <w:rsid w:val="19E24781"/>
    <w:rsid w:val="19EA7915"/>
    <w:rsid w:val="19F44434"/>
    <w:rsid w:val="19F53DD2"/>
    <w:rsid w:val="1A0062D3"/>
    <w:rsid w:val="1A051B3B"/>
    <w:rsid w:val="1A3D12D5"/>
    <w:rsid w:val="1A410D40"/>
    <w:rsid w:val="1A4E60FF"/>
    <w:rsid w:val="1A51591C"/>
    <w:rsid w:val="1A5F124B"/>
    <w:rsid w:val="1A613215"/>
    <w:rsid w:val="1A846F04"/>
    <w:rsid w:val="1A8A3DEE"/>
    <w:rsid w:val="1A98650B"/>
    <w:rsid w:val="1A9F7253"/>
    <w:rsid w:val="1AA03612"/>
    <w:rsid w:val="1AC00093"/>
    <w:rsid w:val="1AC47300"/>
    <w:rsid w:val="1AD03EF7"/>
    <w:rsid w:val="1AE479A2"/>
    <w:rsid w:val="1AF06347"/>
    <w:rsid w:val="1B083691"/>
    <w:rsid w:val="1B0E67CD"/>
    <w:rsid w:val="1B1B02DD"/>
    <w:rsid w:val="1B1F09DB"/>
    <w:rsid w:val="1B3426D8"/>
    <w:rsid w:val="1B485F0D"/>
    <w:rsid w:val="1B486183"/>
    <w:rsid w:val="1B5E0744"/>
    <w:rsid w:val="1B665EBA"/>
    <w:rsid w:val="1B7B7DAF"/>
    <w:rsid w:val="1B7E3953"/>
    <w:rsid w:val="1B8B308F"/>
    <w:rsid w:val="1B8D3B96"/>
    <w:rsid w:val="1B966EEF"/>
    <w:rsid w:val="1BCC4A05"/>
    <w:rsid w:val="1BD16179"/>
    <w:rsid w:val="1BD712B5"/>
    <w:rsid w:val="1BDE2432"/>
    <w:rsid w:val="1BE063BC"/>
    <w:rsid w:val="1BEF4851"/>
    <w:rsid w:val="1C1B528D"/>
    <w:rsid w:val="1C281B11"/>
    <w:rsid w:val="1C4921B3"/>
    <w:rsid w:val="1C4A7CD9"/>
    <w:rsid w:val="1C737230"/>
    <w:rsid w:val="1C941E90"/>
    <w:rsid w:val="1CAA782F"/>
    <w:rsid w:val="1CBC27F3"/>
    <w:rsid w:val="1CBC2A43"/>
    <w:rsid w:val="1CBF2152"/>
    <w:rsid w:val="1CCC570F"/>
    <w:rsid w:val="1CD35F20"/>
    <w:rsid w:val="1CF75960"/>
    <w:rsid w:val="1D141A36"/>
    <w:rsid w:val="1D2E13A9"/>
    <w:rsid w:val="1D69418F"/>
    <w:rsid w:val="1D7D0CD2"/>
    <w:rsid w:val="1D972D03"/>
    <w:rsid w:val="1D9C4564"/>
    <w:rsid w:val="1DAB29F9"/>
    <w:rsid w:val="1DAF24EA"/>
    <w:rsid w:val="1DB06D6D"/>
    <w:rsid w:val="1DB16ABC"/>
    <w:rsid w:val="1DB47B00"/>
    <w:rsid w:val="1DBB0E8E"/>
    <w:rsid w:val="1DBC0763"/>
    <w:rsid w:val="1DD27F86"/>
    <w:rsid w:val="1DD86B70"/>
    <w:rsid w:val="1E025946"/>
    <w:rsid w:val="1E1265D5"/>
    <w:rsid w:val="1E171E3D"/>
    <w:rsid w:val="1E236A34"/>
    <w:rsid w:val="1E2D1660"/>
    <w:rsid w:val="1E6C03DB"/>
    <w:rsid w:val="1E6C3F37"/>
    <w:rsid w:val="1E763007"/>
    <w:rsid w:val="1E766B63"/>
    <w:rsid w:val="1E7D7EF2"/>
    <w:rsid w:val="1E7F6837"/>
    <w:rsid w:val="1E84031A"/>
    <w:rsid w:val="1E843120"/>
    <w:rsid w:val="1E9673A1"/>
    <w:rsid w:val="1EC72E85"/>
    <w:rsid w:val="1EC75611"/>
    <w:rsid w:val="1ED3045A"/>
    <w:rsid w:val="1ED41ADC"/>
    <w:rsid w:val="1EDE00FA"/>
    <w:rsid w:val="1EE71A21"/>
    <w:rsid w:val="1EFA7794"/>
    <w:rsid w:val="1EFD7285"/>
    <w:rsid w:val="1F0827F2"/>
    <w:rsid w:val="1F0C571A"/>
    <w:rsid w:val="1F0E3240"/>
    <w:rsid w:val="1F132604"/>
    <w:rsid w:val="1F1545CE"/>
    <w:rsid w:val="1F3452D6"/>
    <w:rsid w:val="1F3C5FFF"/>
    <w:rsid w:val="1F6E2142"/>
    <w:rsid w:val="1F705CA9"/>
    <w:rsid w:val="1F78690B"/>
    <w:rsid w:val="1F804DA2"/>
    <w:rsid w:val="1F817EB6"/>
    <w:rsid w:val="1F833C2E"/>
    <w:rsid w:val="1F953961"/>
    <w:rsid w:val="1F9544D3"/>
    <w:rsid w:val="1FA35DEC"/>
    <w:rsid w:val="1FA92F69"/>
    <w:rsid w:val="1FB90A1C"/>
    <w:rsid w:val="1FC57DA2"/>
    <w:rsid w:val="1FCE45BD"/>
    <w:rsid w:val="1FDB5818"/>
    <w:rsid w:val="1FEA5A5B"/>
    <w:rsid w:val="2000702C"/>
    <w:rsid w:val="20032679"/>
    <w:rsid w:val="200603BB"/>
    <w:rsid w:val="200A7EAB"/>
    <w:rsid w:val="200D799B"/>
    <w:rsid w:val="2011123A"/>
    <w:rsid w:val="2020147D"/>
    <w:rsid w:val="202C0EEE"/>
    <w:rsid w:val="203171E6"/>
    <w:rsid w:val="204C04C4"/>
    <w:rsid w:val="204F1C37"/>
    <w:rsid w:val="20541126"/>
    <w:rsid w:val="206155F1"/>
    <w:rsid w:val="20651585"/>
    <w:rsid w:val="206B050C"/>
    <w:rsid w:val="20737BFA"/>
    <w:rsid w:val="207D68CF"/>
    <w:rsid w:val="20847C5E"/>
    <w:rsid w:val="20C35FF1"/>
    <w:rsid w:val="20C51022"/>
    <w:rsid w:val="20CA763A"/>
    <w:rsid w:val="20CE2C87"/>
    <w:rsid w:val="20D06A4B"/>
    <w:rsid w:val="20DA1B23"/>
    <w:rsid w:val="20E64474"/>
    <w:rsid w:val="20EF05C9"/>
    <w:rsid w:val="210352D4"/>
    <w:rsid w:val="211B3CCD"/>
    <w:rsid w:val="212E5E1B"/>
    <w:rsid w:val="21333432"/>
    <w:rsid w:val="21552463"/>
    <w:rsid w:val="21604585"/>
    <w:rsid w:val="217B259C"/>
    <w:rsid w:val="2182430A"/>
    <w:rsid w:val="218D48F0"/>
    <w:rsid w:val="219F2875"/>
    <w:rsid w:val="21A8797C"/>
    <w:rsid w:val="21AE4866"/>
    <w:rsid w:val="21B77BBF"/>
    <w:rsid w:val="21B856E5"/>
    <w:rsid w:val="21C35049"/>
    <w:rsid w:val="21C377A6"/>
    <w:rsid w:val="21F84D61"/>
    <w:rsid w:val="22066450"/>
    <w:rsid w:val="221B014E"/>
    <w:rsid w:val="221B2F81"/>
    <w:rsid w:val="221C2118"/>
    <w:rsid w:val="224F429B"/>
    <w:rsid w:val="224F6049"/>
    <w:rsid w:val="22561186"/>
    <w:rsid w:val="22574EFE"/>
    <w:rsid w:val="225A65A3"/>
    <w:rsid w:val="22835CF3"/>
    <w:rsid w:val="228C57DF"/>
    <w:rsid w:val="22A55C69"/>
    <w:rsid w:val="22B97967"/>
    <w:rsid w:val="22C16090"/>
    <w:rsid w:val="22C97BAA"/>
    <w:rsid w:val="22DB78DD"/>
    <w:rsid w:val="22DD5403"/>
    <w:rsid w:val="22E83DA8"/>
    <w:rsid w:val="230277F9"/>
    <w:rsid w:val="23040BE2"/>
    <w:rsid w:val="23052BAC"/>
    <w:rsid w:val="23244DE0"/>
    <w:rsid w:val="23276892"/>
    <w:rsid w:val="233D2346"/>
    <w:rsid w:val="23562FB2"/>
    <w:rsid w:val="2358717F"/>
    <w:rsid w:val="235C28A3"/>
    <w:rsid w:val="235E14DF"/>
    <w:rsid w:val="235F22BC"/>
    <w:rsid w:val="23616034"/>
    <w:rsid w:val="2366189C"/>
    <w:rsid w:val="236773C3"/>
    <w:rsid w:val="2388446E"/>
    <w:rsid w:val="2389558B"/>
    <w:rsid w:val="23A221A9"/>
    <w:rsid w:val="23B95E70"/>
    <w:rsid w:val="23BA4C3D"/>
    <w:rsid w:val="23CB16FF"/>
    <w:rsid w:val="23D83E1C"/>
    <w:rsid w:val="23D8509C"/>
    <w:rsid w:val="23DD1433"/>
    <w:rsid w:val="23E34C9B"/>
    <w:rsid w:val="24000D54"/>
    <w:rsid w:val="24077A99"/>
    <w:rsid w:val="240A10E9"/>
    <w:rsid w:val="24100849"/>
    <w:rsid w:val="2412759C"/>
    <w:rsid w:val="24134E54"/>
    <w:rsid w:val="243E6375"/>
    <w:rsid w:val="246059C8"/>
    <w:rsid w:val="247955FF"/>
    <w:rsid w:val="2484156D"/>
    <w:rsid w:val="248C5333"/>
    <w:rsid w:val="248F2D12"/>
    <w:rsid w:val="24945F95"/>
    <w:rsid w:val="24B228BF"/>
    <w:rsid w:val="24B85237"/>
    <w:rsid w:val="24BE1264"/>
    <w:rsid w:val="24EA2059"/>
    <w:rsid w:val="24EB2A8F"/>
    <w:rsid w:val="24FA6740"/>
    <w:rsid w:val="250A44A9"/>
    <w:rsid w:val="251A293E"/>
    <w:rsid w:val="25221E3E"/>
    <w:rsid w:val="2536704D"/>
    <w:rsid w:val="25382DC5"/>
    <w:rsid w:val="254479BB"/>
    <w:rsid w:val="25585215"/>
    <w:rsid w:val="256040C9"/>
    <w:rsid w:val="257F09F3"/>
    <w:rsid w:val="258162A8"/>
    <w:rsid w:val="2589388C"/>
    <w:rsid w:val="258A5F10"/>
    <w:rsid w:val="258B55EA"/>
    <w:rsid w:val="258B7398"/>
    <w:rsid w:val="259A582D"/>
    <w:rsid w:val="25A33C5F"/>
    <w:rsid w:val="25B212BD"/>
    <w:rsid w:val="25C96113"/>
    <w:rsid w:val="25F50CB6"/>
    <w:rsid w:val="25F602DD"/>
    <w:rsid w:val="25F82554"/>
    <w:rsid w:val="25FC0296"/>
    <w:rsid w:val="2607029E"/>
    <w:rsid w:val="260B2287"/>
    <w:rsid w:val="260E1D77"/>
    <w:rsid w:val="261E020C"/>
    <w:rsid w:val="263A491A"/>
    <w:rsid w:val="26487037"/>
    <w:rsid w:val="26634159"/>
    <w:rsid w:val="26641C22"/>
    <w:rsid w:val="26643E9F"/>
    <w:rsid w:val="266B541C"/>
    <w:rsid w:val="266E746B"/>
    <w:rsid w:val="26814A0D"/>
    <w:rsid w:val="26832765"/>
    <w:rsid w:val="26865DB2"/>
    <w:rsid w:val="268A58A2"/>
    <w:rsid w:val="268D7140"/>
    <w:rsid w:val="26964247"/>
    <w:rsid w:val="269E759F"/>
    <w:rsid w:val="26AC4595"/>
    <w:rsid w:val="26C32B62"/>
    <w:rsid w:val="26ED00D6"/>
    <w:rsid w:val="26ED6741"/>
    <w:rsid w:val="26F45411"/>
    <w:rsid w:val="26F61189"/>
    <w:rsid w:val="26F96584"/>
    <w:rsid w:val="270D6265"/>
    <w:rsid w:val="27194E78"/>
    <w:rsid w:val="271B0BF0"/>
    <w:rsid w:val="271B474C"/>
    <w:rsid w:val="273870AC"/>
    <w:rsid w:val="273B3040"/>
    <w:rsid w:val="27475541"/>
    <w:rsid w:val="275814FC"/>
    <w:rsid w:val="276240A9"/>
    <w:rsid w:val="276854B7"/>
    <w:rsid w:val="277332E5"/>
    <w:rsid w:val="27881F6C"/>
    <w:rsid w:val="278E3170"/>
    <w:rsid w:val="279309F0"/>
    <w:rsid w:val="27982240"/>
    <w:rsid w:val="279B763B"/>
    <w:rsid w:val="27AB1F74"/>
    <w:rsid w:val="27AC5CEC"/>
    <w:rsid w:val="27CE703E"/>
    <w:rsid w:val="27D52B4D"/>
    <w:rsid w:val="27E86D24"/>
    <w:rsid w:val="27ED433A"/>
    <w:rsid w:val="27F51DBA"/>
    <w:rsid w:val="27F8174D"/>
    <w:rsid w:val="27FA798C"/>
    <w:rsid w:val="27FF406E"/>
    <w:rsid w:val="28015C6A"/>
    <w:rsid w:val="2818512F"/>
    <w:rsid w:val="28277120"/>
    <w:rsid w:val="282B6C11"/>
    <w:rsid w:val="283006CB"/>
    <w:rsid w:val="283E55A9"/>
    <w:rsid w:val="283F7687"/>
    <w:rsid w:val="28481571"/>
    <w:rsid w:val="2868347B"/>
    <w:rsid w:val="28697739"/>
    <w:rsid w:val="287B7E23"/>
    <w:rsid w:val="287F4144"/>
    <w:rsid w:val="28836A4D"/>
    <w:rsid w:val="288A7DDB"/>
    <w:rsid w:val="28951DB4"/>
    <w:rsid w:val="289576F7"/>
    <w:rsid w:val="289B14DC"/>
    <w:rsid w:val="28B5297E"/>
    <w:rsid w:val="28B704A4"/>
    <w:rsid w:val="28BB61E6"/>
    <w:rsid w:val="28E15521"/>
    <w:rsid w:val="28EA087A"/>
    <w:rsid w:val="28EC2844"/>
    <w:rsid w:val="28F50C40"/>
    <w:rsid w:val="28FF8C3E"/>
    <w:rsid w:val="290A2CCA"/>
    <w:rsid w:val="290F7A5F"/>
    <w:rsid w:val="291D29FD"/>
    <w:rsid w:val="2920604A"/>
    <w:rsid w:val="29282EA6"/>
    <w:rsid w:val="29384C0B"/>
    <w:rsid w:val="293B2E83"/>
    <w:rsid w:val="293E0BC6"/>
    <w:rsid w:val="29652BFF"/>
    <w:rsid w:val="29695C42"/>
    <w:rsid w:val="296E14AB"/>
    <w:rsid w:val="296F5223"/>
    <w:rsid w:val="2976035F"/>
    <w:rsid w:val="2987431B"/>
    <w:rsid w:val="29AA0009"/>
    <w:rsid w:val="29AC1FD3"/>
    <w:rsid w:val="29AE18A7"/>
    <w:rsid w:val="29C015DB"/>
    <w:rsid w:val="29CF181E"/>
    <w:rsid w:val="29F51284"/>
    <w:rsid w:val="29F534C2"/>
    <w:rsid w:val="29FF65A7"/>
    <w:rsid w:val="2A025F9F"/>
    <w:rsid w:val="2A027E45"/>
    <w:rsid w:val="2A063491"/>
    <w:rsid w:val="2A1A518F"/>
    <w:rsid w:val="2A24364B"/>
    <w:rsid w:val="2A44220C"/>
    <w:rsid w:val="2A475858"/>
    <w:rsid w:val="2A60701A"/>
    <w:rsid w:val="2A7677B3"/>
    <w:rsid w:val="2A84085A"/>
    <w:rsid w:val="2A846AAC"/>
    <w:rsid w:val="2A895E70"/>
    <w:rsid w:val="2A961A4E"/>
    <w:rsid w:val="2AA1140C"/>
    <w:rsid w:val="2ABA24CE"/>
    <w:rsid w:val="2AC6025F"/>
    <w:rsid w:val="2B0B029A"/>
    <w:rsid w:val="2B0E47CE"/>
    <w:rsid w:val="2B1D67DB"/>
    <w:rsid w:val="2B2B6040"/>
    <w:rsid w:val="2B492F95"/>
    <w:rsid w:val="2B4A5600"/>
    <w:rsid w:val="2B724B56"/>
    <w:rsid w:val="2B7B2D90"/>
    <w:rsid w:val="2B7D5CE8"/>
    <w:rsid w:val="2B807273"/>
    <w:rsid w:val="2B8C3E6A"/>
    <w:rsid w:val="2B8F5708"/>
    <w:rsid w:val="2BAA0794"/>
    <w:rsid w:val="2BD17810"/>
    <w:rsid w:val="2C0734F1"/>
    <w:rsid w:val="2C220880"/>
    <w:rsid w:val="2C237961"/>
    <w:rsid w:val="2C33078A"/>
    <w:rsid w:val="2C424529"/>
    <w:rsid w:val="2C640943"/>
    <w:rsid w:val="2C8114F5"/>
    <w:rsid w:val="2C862667"/>
    <w:rsid w:val="2C8D4FB3"/>
    <w:rsid w:val="2CBE44F7"/>
    <w:rsid w:val="2CC35400"/>
    <w:rsid w:val="2CC8106E"/>
    <w:rsid w:val="2CCD473A"/>
    <w:rsid w:val="2CE47F24"/>
    <w:rsid w:val="2CF45854"/>
    <w:rsid w:val="2CFB6245"/>
    <w:rsid w:val="2D1F06B1"/>
    <w:rsid w:val="2D2A4109"/>
    <w:rsid w:val="2D320A41"/>
    <w:rsid w:val="2D483DC1"/>
    <w:rsid w:val="2D5370BC"/>
    <w:rsid w:val="2D652BC5"/>
    <w:rsid w:val="2D6F134E"/>
    <w:rsid w:val="2D7C3A6A"/>
    <w:rsid w:val="2D850B71"/>
    <w:rsid w:val="2DE53D06"/>
    <w:rsid w:val="2DEA30CA"/>
    <w:rsid w:val="2DF81343"/>
    <w:rsid w:val="2DFB52D7"/>
    <w:rsid w:val="2E093550"/>
    <w:rsid w:val="2E24482E"/>
    <w:rsid w:val="2E2824E6"/>
    <w:rsid w:val="2E302DEA"/>
    <w:rsid w:val="2E382087"/>
    <w:rsid w:val="2E444588"/>
    <w:rsid w:val="2E555FE9"/>
    <w:rsid w:val="2E5C5D76"/>
    <w:rsid w:val="2E702BF1"/>
    <w:rsid w:val="2E8B21B7"/>
    <w:rsid w:val="2E951288"/>
    <w:rsid w:val="2E976DAE"/>
    <w:rsid w:val="2EA94167"/>
    <w:rsid w:val="2EAA4B45"/>
    <w:rsid w:val="2EB83212"/>
    <w:rsid w:val="2EBA484A"/>
    <w:rsid w:val="2EC1468C"/>
    <w:rsid w:val="2ECE02F6"/>
    <w:rsid w:val="2ED33B5E"/>
    <w:rsid w:val="2EE8585B"/>
    <w:rsid w:val="2EEE3876"/>
    <w:rsid w:val="2EF91817"/>
    <w:rsid w:val="2EFF2BA5"/>
    <w:rsid w:val="2F1A5A56"/>
    <w:rsid w:val="2F1B2B61"/>
    <w:rsid w:val="2F204FF5"/>
    <w:rsid w:val="2F320885"/>
    <w:rsid w:val="2F3E7229"/>
    <w:rsid w:val="2F4D4820"/>
    <w:rsid w:val="2F503401"/>
    <w:rsid w:val="2F63610E"/>
    <w:rsid w:val="2F6A2D7D"/>
    <w:rsid w:val="2F8E1F35"/>
    <w:rsid w:val="2F923A19"/>
    <w:rsid w:val="2F9C2DF8"/>
    <w:rsid w:val="2F9E416C"/>
    <w:rsid w:val="2FA23C5C"/>
    <w:rsid w:val="2FAA48BF"/>
    <w:rsid w:val="2FAD0853"/>
    <w:rsid w:val="2FB132FB"/>
    <w:rsid w:val="2FC72074"/>
    <w:rsid w:val="2FE37DD1"/>
    <w:rsid w:val="2FE83639"/>
    <w:rsid w:val="2FEA73B1"/>
    <w:rsid w:val="2FF63FA8"/>
    <w:rsid w:val="2FF90BD0"/>
    <w:rsid w:val="2FF92B02"/>
    <w:rsid w:val="30071D11"/>
    <w:rsid w:val="300D74F0"/>
    <w:rsid w:val="30204B81"/>
    <w:rsid w:val="30281C88"/>
    <w:rsid w:val="30393E95"/>
    <w:rsid w:val="303D1BD7"/>
    <w:rsid w:val="307355F9"/>
    <w:rsid w:val="307A6987"/>
    <w:rsid w:val="30937A49"/>
    <w:rsid w:val="309B06AC"/>
    <w:rsid w:val="30AB2859"/>
    <w:rsid w:val="30C23E8A"/>
    <w:rsid w:val="30C25A2F"/>
    <w:rsid w:val="30C76CCB"/>
    <w:rsid w:val="30E84AFF"/>
    <w:rsid w:val="30F304E8"/>
    <w:rsid w:val="30F57DBC"/>
    <w:rsid w:val="30FC431F"/>
    <w:rsid w:val="310224D9"/>
    <w:rsid w:val="310553C0"/>
    <w:rsid w:val="31077AEF"/>
    <w:rsid w:val="312F7772"/>
    <w:rsid w:val="313A1C72"/>
    <w:rsid w:val="31436D79"/>
    <w:rsid w:val="31537BB5"/>
    <w:rsid w:val="31660CB9"/>
    <w:rsid w:val="31815AF3"/>
    <w:rsid w:val="31A1198D"/>
    <w:rsid w:val="31C417B4"/>
    <w:rsid w:val="31DE198A"/>
    <w:rsid w:val="31DE3900"/>
    <w:rsid w:val="31E10621"/>
    <w:rsid w:val="31FB3B34"/>
    <w:rsid w:val="31FD161E"/>
    <w:rsid w:val="321626E0"/>
    <w:rsid w:val="321921D0"/>
    <w:rsid w:val="323B2146"/>
    <w:rsid w:val="32467354"/>
    <w:rsid w:val="32610823"/>
    <w:rsid w:val="32805DAB"/>
    <w:rsid w:val="328525BE"/>
    <w:rsid w:val="32877139"/>
    <w:rsid w:val="32891103"/>
    <w:rsid w:val="329D4BAF"/>
    <w:rsid w:val="32A001FB"/>
    <w:rsid w:val="32A0055C"/>
    <w:rsid w:val="32A7158A"/>
    <w:rsid w:val="32AB107A"/>
    <w:rsid w:val="32C57C62"/>
    <w:rsid w:val="32D63C1D"/>
    <w:rsid w:val="331D184C"/>
    <w:rsid w:val="33305A23"/>
    <w:rsid w:val="33464A70"/>
    <w:rsid w:val="33492641"/>
    <w:rsid w:val="33550FE6"/>
    <w:rsid w:val="335A65FC"/>
    <w:rsid w:val="33664FA1"/>
    <w:rsid w:val="338D2C6F"/>
    <w:rsid w:val="338D38EE"/>
    <w:rsid w:val="339A10EE"/>
    <w:rsid w:val="33A1247D"/>
    <w:rsid w:val="33A91C24"/>
    <w:rsid w:val="33B65F28"/>
    <w:rsid w:val="33DF01AE"/>
    <w:rsid w:val="33E9123C"/>
    <w:rsid w:val="33EF143A"/>
    <w:rsid w:val="34036C94"/>
    <w:rsid w:val="34142C4F"/>
    <w:rsid w:val="341449FD"/>
    <w:rsid w:val="3434509F"/>
    <w:rsid w:val="343B642D"/>
    <w:rsid w:val="344D6161"/>
    <w:rsid w:val="34533564"/>
    <w:rsid w:val="3454129D"/>
    <w:rsid w:val="34586FDF"/>
    <w:rsid w:val="345D7C37"/>
    <w:rsid w:val="34706476"/>
    <w:rsid w:val="34713BFD"/>
    <w:rsid w:val="348558FB"/>
    <w:rsid w:val="3498562E"/>
    <w:rsid w:val="34A053E5"/>
    <w:rsid w:val="34A246FE"/>
    <w:rsid w:val="34A75871"/>
    <w:rsid w:val="34AC10D9"/>
    <w:rsid w:val="34BF705E"/>
    <w:rsid w:val="34D0301A"/>
    <w:rsid w:val="34DB551B"/>
    <w:rsid w:val="34F14D3E"/>
    <w:rsid w:val="34F62354"/>
    <w:rsid w:val="34F80FB8"/>
    <w:rsid w:val="34FF56AD"/>
    <w:rsid w:val="35134512"/>
    <w:rsid w:val="35364B2E"/>
    <w:rsid w:val="35374E47"/>
    <w:rsid w:val="35577297"/>
    <w:rsid w:val="357A4D33"/>
    <w:rsid w:val="357C0AAC"/>
    <w:rsid w:val="35845BB2"/>
    <w:rsid w:val="35935DF5"/>
    <w:rsid w:val="359C73A0"/>
    <w:rsid w:val="359F29EC"/>
    <w:rsid w:val="35A85D44"/>
    <w:rsid w:val="35C102F5"/>
    <w:rsid w:val="35C12962"/>
    <w:rsid w:val="35CE29EF"/>
    <w:rsid w:val="35E11256"/>
    <w:rsid w:val="35E63852"/>
    <w:rsid w:val="35EF585C"/>
    <w:rsid w:val="360627EA"/>
    <w:rsid w:val="36080591"/>
    <w:rsid w:val="360B0081"/>
    <w:rsid w:val="360D3DFA"/>
    <w:rsid w:val="36154A5C"/>
    <w:rsid w:val="36211653"/>
    <w:rsid w:val="36372C24"/>
    <w:rsid w:val="363B44C3"/>
    <w:rsid w:val="365D08DD"/>
    <w:rsid w:val="366A3954"/>
    <w:rsid w:val="366C0B20"/>
    <w:rsid w:val="36741B52"/>
    <w:rsid w:val="367B0D63"/>
    <w:rsid w:val="367D0F7F"/>
    <w:rsid w:val="36806379"/>
    <w:rsid w:val="36BC6012"/>
    <w:rsid w:val="36BE6EA2"/>
    <w:rsid w:val="36D1600E"/>
    <w:rsid w:val="36D93CDC"/>
    <w:rsid w:val="36E20DE2"/>
    <w:rsid w:val="36EA7C97"/>
    <w:rsid w:val="36FF1994"/>
    <w:rsid w:val="37164F30"/>
    <w:rsid w:val="372C4753"/>
    <w:rsid w:val="375717D0"/>
    <w:rsid w:val="3757620D"/>
    <w:rsid w:val="376C6090"/>
    <w:rsid w:val="379E0B19"/>
    <w:rsid w:val="37B81B43"/>
    <w:rsid w:val="37DC62F0"/>
    <w:rsid w:val="37E1109A"/>
    <w:rsid w:val="37EB1F18"/>
    <w:rsid w:val="37F05781"/>
    <w:rsid w:val="37F53BFB"/>
    <w:rsid w:val="37F92887"/>
    <w:rsid w:val="37FC5ED4"/>
    <w:rsid w:val="38080D1C"/>
    <w:rsid w:val="380A6843"/>
    <w:rsid w:val="380F4B5F"/>
    <w:rsid w:val="3828704D"/>
    <w:rsid w:val="38341AE1"/>
    <w:rsid w:val="3836588A"/>
    <w:rsid w:val="384A6C3F"/>
    <w:rsid w:val="384C6E5B"/>
    <w:rsid w:val="38573C0E"/>
    <w:rsid w:val="386121DB"/>
    <w:rsid w:val="386D0B7F"/>
    <w:rsid w:val="38710670"/>
    <w:rsid w:val="38795776"/>
    <w:rsid w:val="387B14EE"/>
    <w:rsid w:val="38801361"/>
    <w:rsid w:val="3881462B"/>
    <w:rsid w:val="388163D9"/>
    <w:rsid w:val="389C3213"/>
    <w:rsid w:val="38B4055C"/>
    <w:rsid w:val="38B50391"/>
    <w:rsid w:val="38C34C43"/>
    <w:rsid w:val="38D17360"/>
    <w:rsid w:val="38D96215"/>
    <w:rsid w:val="38DD4FCB"/>
    <w:rsid w:val="38F60B75"/>
    <w:rsid w:val="39111E53"/>
    <w:rsid w:val="391E1E7A"/>
    <w:rsid w:val="39292CF8"/>
    <w:rsid w:val="39346B40"/>
    <w:rsid w:val="39363667"/>
    <w:rsid w:val="393A4F06"/>
    <w:rsid w:val="39445D84"/>
    <w:rsid w:val="39537FB0"/>
    <w:rsid w:val="395F2BBE"/>
    <w:rsid w:val="396226AE"/>
    <w:rsid w:val="396F1CEE"/>
    <w:rsid w:val="397A5AB9"/>
    <w:rsid w:val="398E0DAD"/>
    <w:rsid w:val="399A1A1B"/>
    <w:rsid w:val="399A3BF6"/>
    <w:rsid w:val="39A71E6F"/>
    <w:rsid w:val="39B747A8"/>
    <w:rsid w:val="39B95A63"/>
    <w:rsid w:val="39CD0CF6"/>
    <w:rsid w:val="39CD5D7A"/>
    <w:rsid w:val="3A06303A"/>
    <w:rsid w:val="3A1E5D66"/>
    <w:rsid w:val="3A41517D"/>
    <w:rsid w:val="3A5169AB"/>
    <w:rsid w:val="3A614714"/>
    <w:rsid w:val="3A773F37"/>
    <w:rsid w:val="3A7D23E5"/>
    <w:rsid w:val="3A8723CC"/>
    <w:rsid w:val="3A960861"/>
    <w:rsid w:val="3AA27206"/>
    <w:rsid w:val="3AAF1923"/>
    <w:rsid w:val="3AB413D1"/>
    <w:rsid w:val="3AB502B9"/>
    <w:rsid w:val="3AC90D47"/>
    <w:rsid w:val="3AE0603A"/>
    <w:rsid w:val="3AEC222F"/>
    <w:rsid w:val="3AF56EF0"/>
    <w:rsid w:val="3AF61300"/>
    <w:rsid w:val="3B0752BB"/>
    <w:rsid w:val="3B111C96"/>
    <w:rsid w:val="3B117EE8"/>
    <w:rsid w:val="3B245E6D"/>
    <w:rsid w:val="3B2F65C0"/>
    <w:rsid w:val="3B345984"/>
    <w:rsid w:val="3B3B31B7"/>
    <w:rsid w:val="3B3B4F65"/>
    <w:rsid w:val="3B450B56"/>
    <w:rsid w:val="3B450DF0"/>
    <w:rsid w:val="3B4C0280"/>
    <w:rsid w:val="3B541CB4"/>
    <w:rsid w:val="3B67182E"/>
    <w:rsid w:val="3B7A3CDF"/>
    <w:rsid w:val="3B7CFA2F"/>
    <w:rsid w:val="3B841CCA"/>
    <w:rsid w:val="3B861267"/>
    <w:rsid w:val="3BAE1209"/>
    <w:rsid w:val="3BAE287A"/>
    <w:rsid w:val="3BB31A46"/>
    <w:rsid w:val="3BC520F7"/>
    <w:rsid w:val="3BE07517"/>
    <w:rsid w:val="3C061B78"/>
    <w:rsid w:val="3C347559"/>
    <w:rsid w:val="3C395948"/>
    <w:rsid w:val="3C3C71E7"/>
    <w:rsid w:val="3C406CD7"/>
    <w:rsid w:val="3C461E13"/>
    <w:rsid w:val="3C4936B2"/>
    <w:rsid w:val="3C4E0CC8"/>
    <w:rsid w:val="3C753EBD"/>
    <w:rsid w:val="3C90308E"/>
    <w:rsid w:val="3CB56E7C"/>
    <w:rsid w:val="3CD038CA"/>
    <w:rsid w:val="3CD25455"/>
    <w:rsid w:val="3CE37662"/>
    <w:rsid w:val="3CF055E6"/>
    <w:rsid w:val="3CF5789E"/>
    <w:rsid w:val="3D1C4922"/>
    <w:rsid w:val="3D31661F"/>
    <w:rsid w:val="3D361E88"/>
    <w:rsid w:val="3D377D8A"/>
    <w:rsid w:val="3D4F6AA6"/>
    <w:rsid w:val="3D583BAC"/>
    <w:rsid w:val="3D5D5666"/>
    <w:rsid w:val="3D652B23"/>
    <w:rsid w:val="3D85696B"/>
    <w:rsid w:val="3D89645B"/>
    <w:rsid w:val="3D8F1598"/>
    <w:rsid w:val="3D8F3346"/>
    <w:rsid w:val="3D9250BB"/>
    <w:rsid w:val="3DAE1A1E"/>
    <w:rsid w:val="3DBC05DF"/>
    <w:rsid w:val="3DBF00CF"/>
    <w:rsid w:val="3DD1570D"/>
    <w:rsid w:val="3DD7776F"/>
    <w:rsid w:val="3DDC47DD"/>
    <w:rsid w:val="3DDF607B"/>
    <w:rsid w:val="3DEFCDEB"/>
    <w:rsid w:val="3DF02C97"/>
    <w:rsid w:val="3E0755D2"/>
    <w:rsid w:val="3E174DA2"/>
    <w:rsid w:val="3E18158D"/>
    <w:rsid w:val="3E241CE0"/>
    <w:rsid w:val="3E3E1C48"/>
    <w:rsid w:val="3E3E4857"/>
    <w:rsid w:val="3E4405D4"/>
    <w:rsid w:val="3E506F79"/>
    <w:rsid w:val="3E546A69"/>
    <w:rsid w:val="3E667E72"/>
    <w:rsid w:val="3E6D3687"/>
    <w:rsid w:val="3E740419"/>
    <w:rsid w:val="3E80785E"/>
    <w:rsid w:val="3E817133"/>
    <w:rsid w:val="3E8B7FB1"/>
    <w:rsid w:val="3E8E3879"/>
    <w:rsid w:val="3E9C3F6D"/>
    <w:rsid w:val="3EAD1CD6"/>
    <w:rsid w:val="3EAD43CC"/>
    <w:rsid w:val="3EB23547"/>
    <w:rsid w:val="3EC55271"/>
    <w:rsid w:val="3EC62D97"/>
    <w:rsid w:val="3ED96F6F"/>
    <w:rsid w:val="3EEF1FE8"/>
    <w:rsid w:val="3F1119BB"/>
    <w:rsid w:val="3F161F71"/>
    <w:rsid w:val="3F220916"/>
    <w:rsid w:val="3F255D10"/>
    <w:rsid w:val="3F2F6B8F"/>
    <w:rsid w:val="3F310B5F"/>
    <w:rsid w:val="3F3423F7"/>
    <w:rsid w:val="3F3B3785"/>
    <w:rsid w:val="3F5D5AE0"/>
    <w:rsid w:val="3F626F64"/>
    <w:rsid w:val="3F6856EC"/>
    <w:rsid w:val="3F6F51DD"/>
    <w:rsid w:val="3F7F1678"/>
    <w:rsid w:val="3F8343AD"/>
    <w:rsid w:val="3F9410E8"/>
    <w:rsid w:val="3F9904AC"/>
    <w:rsid w:val="3FA330D9"/>
    <w:rsid w:val="3FAA090B"/>
    <w:rsid w:val="3FB34EB6"/>
    <w:rsid w:val="3FB56C6D"/>
    <w:rsid w:val="3FBD91A5"/>
    <w:rsid w:val="3FC05C00"/>
    <w:rsid w:val="3FD55988"/>
    <w:rsid w:val="3FDA2F9E"/>
    <w:rsid w:val="3FDF29E1"/>
    <w:rsid w:val="3FF1653A"/>
    <w:rsid w:val="3FFA0F4B"/>
    <w:rsid w:val="40022B91"/>
    <w:rsid w:val="400C6ED0"/>
    <w:rsid w:val="40195AD2"/>
    <w:rsid w:val="403917BD"/>
    <w:rsid w:val="403E177F"/>
    <w:rsid w:val="4055002F"/>
    <w:rsid w:val="40763B34"/>
    <w:rsid w:val="40827192"/>
    <w:rsid w:val="409018AF"/>
    <w:rsid w:val="40A24EE0"/>
    <w:rsid w:val="40A610D2"/>
    <w:rsid w:val="40A869C3"/>
    <w:rsid w:val="40BA692C"/>
    <w:rsid w:val="40CF687B"/>
    <w:rsid w:val="40DB5220"/>
    <w:rsid w:val="40E6539B"/>
    <w:rsid w:val="40EA7211"/>
    <w:rsid w:val="40F55BB6"/>
    <w:rsid w:val="40FE0F0E"/>
    <w:rsid w:val="41171FD0"/>
    <w:rsid w:val="411C75E7"/>
    <w:rsid w:val="41265D6F"/>
    <w:rsid w:val="41322966"/>
    <w:rsid w:val="413260C8"/>
    <w:rsid w:val="41652D3C"/>
    <w:rsid w:val="41681144"/>
    <w:rsid w:val="41766BA2"/>
    <w:rsid w:val="417D62D7"/>
    <w:rsid w:val="418331C2"/>
    <w:rsid w:val="419751D9"/>
    <w:rsid w:val="41A575DC"/>
    <w:rsid w:val="41AF045B"/>
    <w:rsid w:val="41C43E62"/>
    <w:rsid w:val="41D1217F"/>
    <w:rsid w:val="41E8453E"/>
    <w:rsid w:val="41EC6FB9"/>
    <w:rsid w:val="41ED19E4"/>
    <w:rsid w:val="420662CD"/>
    <w:rsid w:val="42072045"/>
    <w:rsid w:val="4224277E"/>
    <w:rsid w:val="422C5607"/>
    <w:rsid w:val="423170C2"/>
    <w:rsid w:val="42366486"/>
    <w:rsid w:val="42451376"/>
    <w:rsid w:val="425012F6"/>
    <w:rsid w:val="42552DB0"/>
    <w:rsid w:val="4258464E"/>
    <w:rsid w:val="42786A9F"/>
    <w:rsid w:val="42A925FC"/>
    <w:rsid w:val="42CA554C"/>
    <w:rsid w:val="42D71A17"/>
    <w:rsid w:val="42E10839"/>
    <w:rsid w:val="42FB6DBC"/>
    <w:rsid w:val="42FF4ACA"/>
    <w:rsid w:val="4300323D"/>
    <w:rsid w:val="430975C8"/>
    <w:rsid w:val="431C6D74"/>
    <w:rsid w:val="43244818"/>
    <w:rsid w:val="43587C51"/>
    <w:rsid w:val="437D25BE"/>
    <w:rsid w:val="4398018D"/>
    <w:rsid w:val="439C056B"/>
    <w:rsid w:val="43A833B4"/>
    <w:rsid w:val="43AA7997"/>
    <w:rsid w:val="43C81360"/>
    <w:rsid w:val="43E8388F"/>
    <w:rsid w:val="43ED0DC6"/>
    <w:rsid w:val="43F6747D"/>
    <w:rsid w:val="43FE2FD4"/>
    <w:rsid w:val="4400590E"/>
    <w:rsid w:val="44114AB5"/>
    <w:rsid w:val="441427F7"/>
    <w:rsid w:val="44166D7E"/>
    <w:rsid w:val="441B5933"/>
    <w:rsid w:val="44240C8C"/>
    <w:rsid w:val="442F6FA8"/>
    <w:rsid w:val="44354EF8"/>
    <w:rsid w:val="44487991"/>
    <w:rsid w:val="444B6F3A"/>
    <w:rsid w:val="444E5D09"/>
    <w:rsid w:val="44507CD3"/>
    <w:rsid w:val="445C3D64"/>
    <w:rsid w:val="446217B4"/>
    <w:rsid w:val="44623562"/>
    <w:rsid w:val="44670B79"/>
    <w:rsid w:val="447245EE"/>
    <w:rsid w:val="44735770"/>
    <w:rsid w:val="4497554F"/>
    <w:rsid w:val="449974D6"/>
    <w:rsid w:val="44BC7578"/>
    <w:rsid w:val="44BE119A"/>
    <w:rsid w:val="44C60AEC"/>
    <w:rsid w:val="44F92119"/>
    <w:rsid w:val="44F93EC7"/>
    <w:rsid w:val="44FF3FDA"/>
    <w:rsid w:val="45050ABD"/>
    <w:rsid w:val="45055BEA"/>
    <w:rsid w:val="45060392"/>
    <w:rsid w:val="45062140"/>
    <w:rsid w:val="452151CC"/>
    <w:rsid w:val="452F5B3A"/>
    <w:rsid w:val="454665BD"/>
    <w:rsid w:val="45521829"/>
    <w:rsid w:val="456A0921"/>
    <w:rsid w:val="456B28EB"/>
    <w:rsid w:val="4572694C"/>
    <w:rsid w:val="45837C34"/>
    <w:rsid w:val="45A100BA"/>
    <w:rsid w:val="45E2495B"/>
    <w:rsid w:val="45ED50AE"/>
    <w:rsid w:val="45F66658"/>
    <w:rsid w:val="46036001"/>
    <w:rsid w:val="461A71B3"/>
    <w:rsid w:val="462A6302"/>
    <w:rsid w:val="46397634"/>
    <w:rsid w:val="463E737E"/>
    <w:rsid w:val="46466676"/>
    <w:rsid w:val="464F5D68"/>
    <w:rsid w:val="4665733A"/>
    <w:rsid w:val="466E1F57"/>
    <w:rsid w:val="46804174"/>
    <w:rsid w:val="46827EEC"/>
    <w:rsid w:val="468772B0"/>
    <w:rsid w:val="46955E71"/>
    <w:rsid w:val="46A460B4"/>
    <w:rsid w:val="46B34549"/>
    <w:rsid w:val="46BA47D7"/>
    <w:rsid w:val="46BF4C9C"/>
    <w:rsid w:val="46CC2D7F"/>
    <w:rsid w:val="46D324F5"/>
    <w:rsid w:val="472649C3"/>
    <w:rsid w:val="47332F94"/>
    <w:rsid w:val="474014BD"/>
    <w:rsid w:val="47451645"/>
    <w:rsid w:val="474D77F3"/>
    <w:rsid w:val="474E6020"/>
    <w:rsid w:val="47571378"/>
    <w:rsid w:val="476D241D"/>
    <w:rsid w:val="476F66C2"/>
    <w:rsid w:val="47727F60"/>
    <w:rsid w:val="47732C87"/>
    <w:rsid w:val="47797541"/>
    <w:rsid w:val="477C109A"/>
    <w:rsid w:val="478101A3"/>
    <w:rsid w:val="47881532"/>
    <w:rsid w:val="478832E0"/>
    <w:rsid w:val="479223B1"/>
    <w:rsid w:val="47961EA1"/>
    <w:rsid w:val="47AA14A8"/>
    <w:rsid w:val="47B6609F"/>
    <w:rsid w:val="47C36A0E"/>
    <w:rsid w:val="47C562E2"/>
    <w:rsid w:val="47D26D9C"/>
    <w:rsid w:val="47D44777"/>
    <w:rsid w:val="47E04ECA"/>
    <w:rsid w:val="47E25905"/>
    <w:rsid w:val="47E26E94"/>
    <w:rsid w:val="47F46BC7"/>
    <w:rsid w:val="48276F9D"/>
    <w:rsid w:val="482F5E51"/>
    <w:rsid w:val="48400AFB"/>
    <w:rsid w:val="48561F5C"/>
    <w:rsid w:val="48776982"/>
    <w:rsid w:val="489F3FFC"/>
    <w:rsid w:val="48A028AB"/>
    <w:rsid w:val="48A4239B"/>
    <w:rsid w:val="48A51EAE"/>
    <w:rsid w:val="48C20A74"/>
    <w:rsid w:val="48CA7C9D"/>
    <w:rsid w:val="48DC7D87"/>
    <w:rsid w:val="48F70541"/>
    <w:rsid w:val="49025314"/>
    <w:rsid w:val="49153299"/>
    <w:rsid w:val="49296D45"/>
    <w:rsid w:val="493C6A78"/>
    <w:rsid w:val="49412B08"/>
    <w:rsid w:val="49441489"/>
    <w:rsid w:val="49553696"/>
    <w:rsid w:val="495F62C2"/>
    <w:rsid w:val="4966759A"/>
    <w:rsid w:val="49676BEC"/>
    <w:rsid w:val="49686565"/>
    <w:rsid w:val="496B110B"/>
    <w:rsid w:val="496B3195"/>
    <w:rsid w:val="49AD702E"/>
    <w:rsid w:val="49C03205"/>
    <w:rsid w:val="49C425C9"/>
    <w:rsid w:val="49D2773F"/>
    <w:rsid w:val="49DE18DD"/>
    <w:rsid w:val="4A062BE2"/>
    <w:rsid w:val="4A0D49D3"/>
    <w:rsid w:val="4A0E5E62"/>
    <w:rsid w:val="4A1277D9"/>
    <w:rsid w:val="4A17094B"/>
    <w:rsid w:val="4A1B2BD1"/>
    <w:rsid w:val="4A435BE4"/>
    <w:rsid w:val="4A5058F8"/>
    <w:rsid w:val="4A546448"/>
    <w:rsid w:val="4A5751EC"/>
    <w:rsid w:val="4A5F6E80"/>
    <w:rsid w:val="4A63098A"/>
    <w:rsid w:val="4A6C19D6"/>
    <w:rsid w:val="4AD52CE0"/>
    <w:rsid w:val="4ADB7BCB"/>
    <w:rsid w:val="4ADD23A3"/>
    <w:rsid w:val="4AE02806"/>
    <w:rsid w:val="4AFF7D5D"/>
    <w:rsid w:val="4B201A81"/>
    <w:rsid w:val="4B5913DF"/>
    <w:rsid w:val="4B5F25AA"/>
    <w:rsid w:val="4B771FE9"/>
    <w:rsid w:val="4B7E1BD4"/>
    <w:rsid w:val="4B9A1834"/>
    <w:rsid w:val="4B9B6666"/>
    <w:rsid w:val="4BC863A1"/>
    <w:rsid w:val="4BD56D10"/>
    <w:rsid w:val="4BF47196"/>
    <w:rsid w:val="4BFF4505"/>
    <w:rsid w:val="4C017B05"/>
    <w:rsid w:val="4C07336D"/>
    <w:rsid w:val="4C0A0767"/>
    <w:rsid w:val="4C0D2006"/>
    <w:rsid w:val="4C25342A"/>
    <w:rsid w:val="4C32568A"/>
    <w:rsid w:val="4C554C45"/>
    <w:rsid w:val="4C575977"/>
    <w:rsid w:val="4C58667F"/>
    <w:rsid w:val="4C5916EF"/>
    <w:rsid w:val="4C602A7D"/>
    <w:rsid w:val="4C6F2CC0"/>
    <w:rsid w:val="4C883D82"/>
    <w:rsid w:val="4C983FC5"/>
    <w:rsid w:val="4CA3296A"/>
    <w:rsid w:val="4CAF7561"/>
    <w:rsid w:val="4CB44B77"/>
    <w:rsid w:val="4CBB5F06"/>
    <w:rsid w:val="4CCF19B1"/>
    <w:rsid w:val="4CD76580"/>
    <w:rsid w:val="4CEF5BAF"/>
    <w:rsid w:val="4CFA2728"/>
    <w:rsid w:val="4D01600E"/>
    <w:rsid w:val="4D461C73"/>
    <w:rsid w:val="4D491763"/>
    <w:rsid w:val="4D61085B"/>
    <w:rsid w:val="4D782049"/>
    <w:rsid w:val="4D8B1D7C"/>
    <w:rsid w:val="4D9A3D6D"/>
    <w:rsid w:val="4DAB4BAF"/>
    <w:rsid w:val="4DB841F3"/>
    <w:rsid w:val="4DE84AD8"/>
    <w:rsid w:val="4E2552AD"/>
    <w:rsid w:val="4E255D2C"/>
    <w:rsid w:val="4E281379"/>
    <w:rsid w:val="4E2D698F"/>
    <w:rsid w:val="4E3E6DEE"/>
    <w:rsid w:val="4E5C1022"/>
    <w:rsid w:val="4E9702AC"/>
    <w:rsid w:val="4EE2777A"/>
    <w:rsid w:val="4EED611E"/>
    <w:rsid w:val="4EFB701C"/>
    <w:rsid w:val="4EFD007D"/>
    <w:rsid w:val="4EFD0A57"/>
    <w:rsid w:val="4F006555"/>
    <w:rsid w:val="4F027E1C"/>
    <w:rsid w:val="4F0534B2"/>
    <w:rsid w:val="4F05790C"/>
    <w:rsid w:val="4F0A3ABE"/>
    <w:rsid w:val="4F1A1F35"/>
    <w:rsid w:val="4F2E0C11"/>
    <w:rsid w:val="4F3D70A6"/>
    <w:rsid w:val="4F4E3061"/>
    <w:rsid w:val="4F675E6D"/>
    <w:rsid w:val="4F7A20A8"/>
    <w:rsid w:val="4F811CEE"/>
    <w:rsid w:val="4F840831"/>
    <w:rsid w:val="4F876573"/>
    <w:rsid w:val="4F8E0429"/>
    <w:rsid w:val="4F9D5D96"/>
    <w:rsid w:val="4FA6502A"/>
    <w:rsid w:val="4FA964E9"/>
    <w:rsid w:val="4FC11A85"/>
    <w:rsid w:val="4FC472C9"/>
    <w:rsid w:val="4FE47521"/>
    <w:rsid w:val="50125E3D"/>
    <w:rsid w:val="50502E09"/>
    <w:rsid w:val="50504BB7"/>
    <w:rsid w:val="505428F9"/>
    <w:rsid w:val="505521CD"/>
    <w:rsid w:val="505C1C7B"/>
    <w:rsid w:val="50632B3C"/>
    <w:rsid w:val="507B7E86"/>
    <w:rsid w:val="508A00C9"/>
    <w:rsid w:val="5095081C"/>
    <w:rsid w:val="5098349E"/>
    <w:rsid w:val="50B31D37"/>
    <w:rsid w:val="50BC5B0F"/>
    <w:rsid w:val="50CB0E9B"/>
    <w:rsid w:val="50D9758E"/>
    <w:rsid w:val="50E20972"/>
    <w:rsid w:val="50EE68AA"/>
    <w:rsid w:val="51053BF3"/>
    <w:rsid w:val="510D2AA8"/>
    <w:rsid w:val="510E7D84"/>
    <w:rsid w:val="515A3F3F"/>
    <w:rsid w:val="51694182"/>
    <w:rsid w:val="517174DB"/>
    <w:rsid w:val="51844B18"/>
    <w:rsid w:val="51856AE2"/>
    <w:rsid w:val="519136D9"/>
    <w:rsid w:val="51937451"/>
    <w:rsid w:val="519B00B4"/>
    <w:rsid w:val="51B94BFE"/>
    <w:rsid w:val="51BD037A"/>
    <w:rsid w:val="51CC5275"/>
    <w:rsid w:val="51D70EF0"/>
    <w:rsid w:val="51DC2B68"/>
    <w:rsid w:val="51FED7AB"/>
    <w:rsid w:val="5203370E"/>
    <w:rsid w:val="520D7203"/>
    <w:rsid w:val="520E6AD8"/>
    <w:rsid w:val="52102850"/>
    <w:rsid w:val="521A693E"/>
    <w:rsid w:val="523A5B3F"/>
    <w:rsid w:val="525941F7"/>
    <w:rsid w:val="5268443A"/>
    <w:rsid w:val="526A6404"/>
    <w:rsid w:val="527949B6"/>
    <w:rsid w:val="528B0128"/>
    <w:rsid w:val="528D3EA0"/>
    <w:rsid w:val="52946FDD"/>
    <w:rsid w:val="52952D55"/>
    <w:rsid w:val="52A531D0"/>
    <w:rsid w:val="52A94FCD"/>
    <w:rsid w:val="52AC6487"/>
    <w:rsid w:val="52B94C95"/>
    <w:rsid w:val="52C75604"/>
    <w:rsid w:val="52CC2C1B"/>
    <w:rsid w:val="52F67C97"/>
    <w:rsid w:val="53004672"/>
    <w:rsid w:val="531666D6"/>
    <w:rsid w:val="53424C8B"/>
    <w:rsid w:val="534529CD"/>
    <w:rsid w:val="53890B0C"/>
    <w:rsid w:val="539B25ED"/>
    <w:rsid w:val="53AC65A8"/>
    <w:rsid w:val="53AE37EA"/>
    <w:rsid w:val="53D1600F"/>
    <w:rsid w:val="53E43F94"/>
    <w:rsid w:val="53E47AF0"/>
    <w:rsid w:val="53E96D15"/>
    <w:rsid w:val="53F561A1"/>
    <w:rsid w:val="53F57F4F"/>
    <w:rsid w:val="542720D3"/>
    <w:rsid w:val="542C1497"/>
    <w:rsid w:val="54300F87"/>
    <w:rsid w:val="54324CFF"/>
    <w:rsid w:val="543C4225"/>
    <w:rsid w:val="544607AB"/>
    <w:rsid w:val="54547A6F"/>
    <w:rsid w:val="546724CF"/>
    <w:rsid w:val="54686973"/>
    <w:rsid w:val="546E1AAF"/>
    <w:rsid w:val="54791977"/>
    <w:rsid w:val="5486329D"/>
    <w:rsid w:val="54AA0D3A"/>
    <w:rsid w:val="54AB5BF1"/>
    <w:rsid w:val="54B81A07"/>
    <w:rsid w:val="54B90F7D"/>
    <w:rsid w:val="54C067AF"/>
    <w:rsid w:val="54E104D3"/>
    <w:rsid w:val="54E67898"/>
    <w:rsid w:val="55045B77"/>
    <w:rsid w:val="55124B31"/>
    <w:rsid w:val="55264138"/>
    <w:rsid w:val="5527238A"/>
    <w:rsid w:val="55313209"/>
    <w:rsid w:val="55376345"/>
    <w:rsid w:val="553B68DE"/>
    <w:rsid w:val="554619BD"/>
    <w:rsid w:val="55517407"/>
    <w:rsid w:val="556A2277"/>
    <w:rsid w:val="556F5ADF"/>
    <w:rsid w:val="55741347"/>
    <w:rsid w:val="55807CEC"/>
    <w:rsid w:val="559B2D78"/>
    <w:rsid w:val="55A57753"/>
    <w:rsid w:val="55A76221"/>
    <w:rsid w:val="55A97243"/>
    <w:rsid w:val="55BB0D24"/>
    <w:rsid w:val="55D54465"/>
    <w:rsid w:val="55D938A0"/>
    <w:rsid w:val="55DC09CA"/>
    <w:rsid w:val="55E71B19"/>
    <w:rsid w:val="55E738C7"/>
    <w:rsid w:val="55FA3344"/>
    <w:rsid w:val="56020701"/>
    <w:rsid w:val="56024BA5"/>
    <w:rsid w:val="56026953"/>
    <w:rsid w:val="5609445F"/>
    <w:rsid w:val="56290384"/>
    <w:rsid w:val="56523597"/>
    <w:rsid w:val="56755377"/>
    <w:rsid w:val="567D5FDA"/>
    <w:rsid w:val="56892BD1"/>
    <w:rsid w:val="569F0646"/>
    <w:rsid w:val="56A1616C"/>
    <w:rsid w:val="56A417B8"/>
    <w:rsid w:val="56A96530"/>
    <w:rsid w:val="56B440F1"/>
    <w:rsid w:val="56B55774"/>
    <w:rsid w:val="56C87B9D"/>
    <w:rsid w:val="56CA56C3"/>
    <w:rsid w:val="56D15A6E"/>
    <w:rsid w:val="56E2109B"/>
    <w:rsid w:val="56E61DD1"/>
    <w:rsid w:val="57016C0B"/>
    <w:rsid w:val="57140D07"/>
    <w:rsid w:val="57315742"/>
    <w:rsid w:val="57340B8F"/>
    <w:rsid w:val="576158FB"/>
    <w:rsid w:val="576176AA"/>
    <w:rsid w:val="576C677A"/>
    <w:rsid w:val="576F0018"/>
    <w:rsid w:val="57721191"/>
    <w:rsid w:val="577E64AD"/>
    <w:rsid w:val="57833AC4"/>
    <w:rsid w:val="57B343A9"/>
    <w:rsid w:val="57BD5228"/>
    <w:rsid w:val="57BF2D4E"/>
    <w:rsid w:val="57C40364"/>
    <w:rsid w:val="57CA34A1"/>
    <w:rsid w:val="57D367F9"/>
    <w:rsid w:val="58133FA8"/>
    <w:rsid w:val="581A7F84"/>
    <w:rsid w:val="58242D3F"/>
    <w:rsid w:val="583225CE"/>
    <w:rsid w:val="58397D2F"/>
    <w:rsid w:val="583B08FD"/>
    <w:rsid w:val="584119B5"/>
    <w:rsid w:val="58450D79"/>
    <w:rsid w:val="585A0885"/>
    <w:rsid w:val="586025AF"/>
    <w:rsid w:val="586C4558"/>
    <w:rsid w:val="58780B02"/>
    <w:rsid w:val="5878114F"/>
    <w:rsid w:val="588B0E82"/>
    <w:rsid w:val="589D40A3"/>
    <w:rsid w:val="58AE4AF2"/>
    <w:rsid w:val="58B636C1"/>
    <w:rsid w:val="58C779E0"/>
    <w:rsid w:val="58CB127E"/>
    <w:rsid w:val="58D04AE7"/>
    <w:rsid w:val="58E30CBE"/>
    <w:rsid w:val="58FC6B4A"/>
    <w:rsid w:val="5902681A"/>
    <w:rsid w:val="5915074C"/>
    <w:rsid w:val="591E6307"/>
    <w:rsid w:val="59576FB6"/>
    <w:rsid w:val="5960230F"/>
    <w:rsid w:val="59723DF0"/>
    <w:rsid w:val="59747B68"/>
    <w:rsid w:val="598633F7"/>
    <w:rsid w:val="599B3347"/>
    <w:rsid w:val="599C2C1B"/>
    <w:rsid w:val="59A44665"/>
    <w:rsid w:val="59B12B6A"/>
    <w:rsid w:val="59CF1242"/>
    <w:rsid w:val="59CF4D9E"/>
    <w:rsid w:val="59D61D59"/>
    <w:rsid w:val="5A074538"/>
    <w:rsid w:val="5A166E71"/>
    <w:rsid w:val="5A2D7804"/>
    <w:rsid w:val="5A366C08"/>
    <w:rsid w:val="5A3D61AC"/>
    <w:rsid w:val="5A6F20DD"/>
    <w:rsid w:val="5A7122F9"/>
    <w:rsid w:val="5A865DA5"/>
    <w:rsid w:val="5AA747C7"/>
    <w:rsid w:val="5ADB0961"/>
    <w:rsid w:val="5AEE394A"/>
    <w:rsid w:val="5AF70A51"/>
    <w:rsid w:val="5B0B165F"/>
    <w:rsid w:val="5B0C6BFA"/>
    <w:rsid w:val="5B2F01EA"/>
    <w:rsid w:val="5B3A26EB"/>
    <w:rsid w:val="5B411CCC"/>
    <w:rsid w:val="5B500161"/>
    <w:rsid w:val="5B503CBD"/>
    <w:rsid w:val="5B6F05E7"/>
    <w:rsid w:val="5B7756EE"/>
    <w:rsid w:val="5B841BB9"/>
    <w:rsid w:val="5B9462A0"/>
    <w:rsid w:val="5B951EFD"/>
    <w:rsid w:val="5B9C33A6"/>
    <w:rsid w:val="5BAB5397"/>
    <w:rsid w:val="5BB64468"/>
    <w:rsid w:val="5BC278ED"/>
    <w:rsid w:val="5BD86D9E"/>
    <w:rsid w:val="5BFA340D"/>
    <w:rsid w:val="5BFE26BB"/>
    <w:rsid w:val="5C053689"/>
    <w:rsid w:val="5C5E240A"/>
    <w:rsid w:val="5C71213D"/>
    <w:rsid w:val="5C7D4904"/>
    <w:rsid w:val="5C840904"/>
    <w:rsid w:val="5CA70254"/>
    <w:rsid w:val="5CC826A5"/>
    <w:rsid w:val="5CE96177"/>
    <w:rsid w:val="5CF07506"/>
    <w:rsid w:val="5D101AA7"/>
    <w:rsid w:val="5D184CAE"/>
    <w:rsid w:val="5D1A3C68"/>
    <w:rsid w:val="5D2D075A"/>
    <w:rsid w:val="5D3E4715"/>
    <w:rsid w:val="5D6A375C"/>
    <w:rsid w:val="5D6B3425"/>
    <w:rsid w:val="5D814602"/>
    <w:rsid w:val="5D844640"/>
    <w:rsid w:val="5D9500AD"/>
    <w:rsid w:val="5D9D6CB3"/>
    <w:rsid w:val="5DB42C29"/>
    <w:rsid w:val="5DD21301"/>
    <w:rsid w:val="5DDC7655"/>
    <w:rsid w:val="5DDE3802"/>
    <w:rsid w:val="5DEF1EB3"/>
    <w:rsid w:val="5E055233"/>
    <w:rsid w:val="5E062D59"/>
    <w:rsid w:val="5E167DBD"/>
    <w:rsid w:val="5E174F66"/>
    <w:rsid w:val="5E1D07CE"/>
    <w:rsid w:val="5E251431"/>
    <w:rsid w:val="5E2751A9"/>
    <w:rsid w:val="5E5E7B70"/>
    <w:rsid w:val="5E60690D"/>
    <w:rsid w:val="5E693A13"/>
    <w:rsid w:val="5E9345EC"/>
    <w:rsid w:val="5E9F5687"/>
    <w:rsid w:val="5EA06D09"/>
    <w:rsid w:val="5EB153BA"/>
    <w:rsid w:val="5EC155FD"/>
    <w:rsid w:val="5ECE3876"/>
    <w:rsid w:val="5EEC4411"/>
    <w:rsid w:val="5EF552A7"/>
    <w:rsid w:val="5EFA7CCD"/>
    <w:rsid w:val="5F1576F7"/>
    <w:rsid w:val="5F2C5137"/>
    <w:rsid w:val="5F571ABE"/>
    <w:rsid w:val="5F685A79"/>
    <w:rsid w:val="5F797C86"/>
    <w:rsid w:val="5F7C7776"/>
    <w:rsid w:val="5F816B3B"/>
    <w:rsid w:val="5F980A18"/>
    <w:rsid w:val="5FA23A48"/>
    <w:rsid w:val="5FA24513"/>
    <w:rsid w:val="5FD44EBD"/>
    <w:rsid w:val="5FF85648"/>
    <w:rsid w:val="602624D9"/>
    <w:rsid w:val="602C2F4B"/>
    <w:rsid w:val="60395667"/>
    <w:rsid w:val="604364E6"/>
    <w:rsid w:val="604F09E7"/>
    <w:rsid w:val="6062696C"/>
    <w:rsid w:val="606A5D6B"/>
    <w:rsid w:val="606F2E37"/>
    <w:rsid w:val="606F72DB"/>
    <w:rsid w:val="607D37A6"/>
    <w:rsid w:val="607E751E"/>
    <w:rsid w:val="608858C6"/>
    <w:rsid w:val="60A0730C"/>
    <w:rsid w:val="60A3754C"/>
    <w:rsid w:val="60A800F7"/>
    <w:rsid w:val="60C70EC5"/>
    <w:rsid w:val="60E127A8"/>
    <w:rsid w:val="60E33E00"/>
    <w:rsid w:val="60F11A9E"/>
    <w:rsid w:val="60F670B5"/>
    <w:rsid w:val="60FB291D"/>
    <w:rsid w:val="61251748"/>
    <w:rsid w:val="612C2AD6"/>
    <w:rsid w:val="613025C6"/>
    <w:rsid w:val="61446072"/>
    <w:rsid w:val="61461DEA"/>
    <w:rsid w:val="6151078F"/>
    <w:rsid w:val="615838CB"/>
    <w:rsid w:val="615A69F8"/>
    <w:rsid w:val="615C33BC"/>
    <w:rsid w:val="617C1CB0"/>
    <w:rsid w:val="618741B1"/>
    <w:rsid w:val="618D7A19"/>
    <w:rsid w:val="618E658D"/>
    <w:rsid w:val="6192502F"/>
    <w:rsid w:val="61A3598A"/>
    <w:rsid w:val="61A4713D"/>
    <w:rsid w:val="61A82AA5"/>
    <w:rsid w:val="61C97752"/>
    <w:rsid w:val="6203474B"/>
    <w:rsid w:val="620D2908"/>
    <w:rsid w:val="621974FF"/>
    <w:rsid w:val="621C2B4B"/>
    <w:rsid w:val="623C62A3"/>
    <w:rsid w:val="625247BE"/>
    <w:rsid w:val="62607EDA"/>
    <w:rsid w:val="62614A02"/>
    <w:rsid w:val="62A80882"/>
    <w:rsid w:val="62AA63A9"/>
    <w:rsid w:val="62D542FC"/>
    <w:rsid w:val="62D60F4C"/>
    <w:rsid w:val="62D842D6"/>
    <w:rsid w:val="62E47B0C"/>
    <w:rsid w:val="62E95123"/>
    <w:rsid w:val="62EE098B"/>
    <w:rsid w:val="62EE2739"/>
    <w:rsid w:val="62F7218E"/>
    <w:rsid w:val="62F835B8"/>
    <w:rsid w:val="62F87114"/>
    <w:rsid w:val="62FC3200"/>
    <w:rsid w:val="63065CD5"/>
    <w:rsid w:val="633345F0"/>
    <w:rsid w:val="63495BC1"/>
    <w:rsid w:val="635D78BF"/>
    <w:rsid w:val="636C629A"/>
    <w:rsid w:val="63750415"/>
    <w:rsid w:val="637A2CEB"/>
    <w:rsid w:val="638E7A78"/>
    <w:rsid w:val="639257BA"/>
    <w:rsid w:val="63B82D47"/>
    <w:rsid w:val="63D556A7"/>
    <w:rsid w:val="63E1229E"/>
    <w:rsid w:val="63E92F01"/>
    <w:rsid w:val="63EA73A4"/>
    <w:rsid w:val="63F773CC"/>
    <w:rsid w:val="641B57B0"/>
    <w:rsid w:val="6421269A"/>
    <w:rsid w:val="643A375C"/>
    <w:rsid w:val="643E149E"/>
    <w:rsid w:val="64460353"/>
    <w:rsid w:val="64462101"/>
    <w:rsid w:val="64846651"/>
    <w:rsid w:val="64A22BC9"/>
    <w:rsid w:val="64A62BA0"/>
    <w:rsid w:val="64A67C7F"/>
    <w:rsid w:val="64B90B25"/>
    <w:rsid w:val="64BA34FF"/>
    <w:rsid w:val="64DB461D"/>
    <w:rsid w:val="64DD2A65"/>
    <w:rsid w:val="64DE2339"/>
    <w:rsid w:val="64E02555"/>
    <w:rsid w:val="64E5191A"/>
    <w:rsid w:val="64E878B6"/>
    <w:rsid w:val="65024D2A"/>
    <w:rsid w:val="65037FF2"/>
    <w:rsid w:val="65101BA2"/>
    <w:rsid w:val="651D5558"/>
    <w:rsid w:val="651D7306"/>
    <w:rsid w:val="652D5FC3"/>
    <w:rsid w:val="655645C6"/>
    <w:rsid w:val="65644F35"/>
    <w:rsid w:val="658253BB"/>
    <w:rsid w:val="658A426F"/>
    <w:rsid w:val="658E3D60"/>
    <w:rsid w:val="65984BDE"/>
    <w:rsid w:val="659F41BF"/>
    <w:rsid w:val="65B71508"/>
    <w:rsid w:val="65E557F1"/>
    <w:rsid w:val="65EB7404"/>
    <w:rsid w:val="65F31BDB"/>
    <w:rsid w:val="66073390"/>
    <w:rsid w:val="660B26D0"/>
    <w:rsid w:val="66216982"/>
    <w:rsid w:val="663A5C95"/>
    <w:rsid w:val="66640307"/>
    <w:rsid w:val="667747F4"/>
    <w:rsid w:val="669453A6"/>
    <w:rsid w:val="669B3865"/>
    <w:rsid w:val="669E498C"/>
    <w:rsid w:val="669F17D2"/>
    <w:rsid w:val="66BC66AA"/>
    <w:rsid w:val="66BE68C6"/>
    <w:rsid w:val="66C51584"/>
    <w:rsid w:val="66CC2D91"/>
    <w:rsid w:val="66D103A8"/>
    <w:rsid w:val="67065B78"/>
    <w:rsid w:val="670A1B0C"/>
    <w:rsid w:val="670B4947"/>
    <w:rsid w:val="67145A4D"/>
    <w:rsid w:val="671D18B0"/>
    <w:rsid w:val="672EA9ED"/>
    <w:rsid w:val="672F1572"/>
    <w:rsid w:val="6739419F"/>
    <w:rsid w:val="674C3701"/>
    <w:rsid w:val="676B42A5"/>
    <w:rsid w:val="676E5BF7"/>
    <w:rsid w:val="677D0530"/>
    <w:rsid w:val="67B007D0"/>
    <w:rsid w:val="67BF5061"/>
    <w:rsid w:val="67D6379C"/>
    <w:rsid w:val="67ED7271"/>
    <w:rsid w:val="67F00D02"/>
    <w:rsid w:val="67F0485E"/>
    <w:rsid w:val="67FF7197"/>
    <w:rsid w:val="683B6DE1"/>
    <w:rsid w:val="6841330B"/>
    <w:rsid w:val="684921C0"/>
    <w:rsid w:val="68633281"/>
    <w:rsid w:val="687436E1"/>
    <w:rsid w:val="687B36E7"/>
    <w:rsid w:val="68AB4C28"/>
    <w:rsid w:val="68D22DEE"/>
    <w:rsid w:val="68DF11D4"/>
    <w:rsid w:val="68EA39A3"/>
    <w:rsid w:val="68ED1A50"/>
    <w:rsid w:val="69015A74"/>
    <w:rsid w:val="69085BD7"/>
    <w:rsid w:val="690F3409"/>
    <w:rsid w:val="69164798"/>
    <w:rsid w:val="691B590A"/>
    <w:rsid w:val="6922138F"/>
    <w:rsid w:val="692F7608"/>
    <w:rsid w:val="694E2184"/>
    <w:rsid w:val="69564B94"/>
    <w:rsid w:val="69601EB7"/>
    <w:rsid w:val="69886D18"/>
    <w:rsid w:val="699A1D68"/>
    <w:rsid w:val="69BD4C13"/>
    <w:rsid w:val="69C266CE"/>
    <w:rsid w:val="69C97A5C"/>
    <w:rsid w:val="69CA7330"/>
    <w:rsid w:val="69FF08FF"/>
    <w:rsid w:val="6A01502E"/>
    <w:rsid w:val="6A0779D8"/>
    <w:rsid w:val="6A130CD7"/>
    <w:rsid w:val="6A153145"/>
    <w:rsid w:val="6A2616E7"/>
    <w:rsid w:val="6A423662"/>
    <w:rsid w:val="6A4D41E9"/>
    <w:rsid w:val="6A5C267E"/>
    <w:rsid w:val="6A61700D"/>
    <w:rsid w:val="6A681023"/>
    <w:rsid w:val="6A9F256B"/>
    <w:rsid w:val="6AA54025"/>
    <w:rsid w:val="6AB9187F"/>
    <w:rsid w:val="6AD45637"/>
    <w:rsid w:val="6ADC731B"/>
    <w:rsid w:val="6AE0505D"/>
    <w:rsid w:val="6AE43843"/>
    <w:rsid w:val="6AE628E8"/>
    <w:rsid w:val="6AEB3A02"/>
    <w:rsid w:val="6AEC6501"/>
    <w:rsid w:val="6B252A70"/>
    <w:rsid w:val="6B434BD5"/>
    <w:rsid w:val="6B555D23"/>
    <w:rsid w:val="6B633598"/>
    <w:rsid w:val="6B663041"/>
    <w:rsid w:val="6B6F63E1"/>
    <w:rsid w:val="6B7718F2"/>
    <w:rsid w:val="6B7E4876"/>
    <w:rsid w:val="6BA3608B"/>
    <w:rsid w:val="6BA37E39"/>
    <w:rsid w:val="6BE04BE9"/>
    <w:rsid w:val="6BF6440D"/>
    <w:rsid w:val="6BF863D7"/>
    <w:rsid w:val="6C027255"/>
    <w:rsid w:val="6C133210"/>
    <w:rsid w:val="6C186A79"/>
    <w:rsid w:val="6C1F4A28"/>
    <w:rsid w:val="6C20148A"/>
    <w:rsid w:val="6C223A49"/>
    <w:rsid w:val="6C263442"/>
    <w:rsid w:val="6C2C7E2E"/>
    <w:rsid w:val="6C2E004A"/>
    <w:rsid w:val="6C303DC2"/>
    <w:rsid w:val="6C523D39"/>
    <w:rsid w:val="6C6B6BA9"/>
    <w:rsid w:val="6C6E20D3"/>
    <w:rsid w:val="6C861C34"/>
    <w:rsid w:val="6C937EAD"/>
    <w:rsid w:val="6C97174C"/>
    <w:rsid w:val="6CA4054A"/>
    <w:rsid w:val="6CA64085"/>
    <w:rsid w:val="6CA83959"/>
    <w:rsid w:val="6CAF118B"/>
    <w:rsid w:val="6CB247D7"/>
    <w:rsid w:val="6CBB2E90"/>
    <w:rsid w:val="6CC14A1B"/>
    <w:rsid w:val="6CC369E5"/>
    <w:rsid w:val="6CCE613F"/>
    <w:rsid w:val="6CD97FB6"/>
    <w:rsid w:val="6CE6276D"/>
    <w:rsid w:val="6CEF3F26"/>
    <w:rsid w:val="6CFC1EF7"/>
    <w:rsid w:val="6CFC5A53"/>
    <w:rsid w:val="6CFE3BAA"/>
    <w:rsid w:val="6D072C9C"/>
    <w:rsid w:val="6D2531FB"/>
    <w:rsid w:val="6D286848"/>
    <w:rsid w:val="6D321474"/>
    <w:rsid w:val="6D521F1F"/>
    <w:rsid w:val="6D673814"/>
    <w:rsid w:val="6D851EEC"/>
    <w:rsid w:val="6D986680"/>
    <w:rsid w:val="6DB56710"/>
    <w:rsid w:val="6DC92D8B"/>
    <w:rsid w:val="6DD644F6"/>
    <w:rsid w:val="6DDD5884"/>
    <w:rsid w:val="6DE85FD7"/>
    <w:rsid w:val="6DEA61F3"/>
    <w:rsid w:val="6E0E3C8F"/>
    <w:rsid w:val="6E34121C"/>
    <w:rsid w:val="6E55366C"/>
    <w:rsid w:val="6E554DC4"/>
    <w:rsid w:val="6E7D2BC3"/>
    <w:rsid w:val="6E810905"/>
    <w:rsid w:val="6E873A42"/>
    <w:rsid w:val="6E8C4E15"/>
    <w:rsid w:val="6E8E6B7E"/>
    <w:rsid w:val="6EA52F6B"/>
    <w:rsid w:val="6EB74327"/>
    <w:rsid w:val="6EE3511C"/>
    <w:rsid w:val="6EFC4430"/>
    <w:rsid w:val="6EFE5B70"/>
    <w:rsid w:val="6F03131A"/>
    <w:rsid w:val="6F0B1E9B"/>
    <w:rsid w:val="6F12155D"/>
    <w:rsid w:val="6F1F65C5"/>
    <w:rsid w:val="6F241291"/>
    <w:rsid w:val="6F245233"/>
    <w:rsid w:val="6F3256D1"/>
    <w:rsid w:val="6F40431D"/>
    <w:rsid w:val="6F4831D1"/>
    <w:rsid w:val="6F532BB1"/>
    <w:rsid w:val="6F63625D"/>
    <w:rsid w:val="6F667AFB"/>
    <w:rsid w:val="6F7630D2"/>
    <w:rsid w:val="6F765F90"/>
    <w:rsid w:val="6F80665F"/>
    <w:rsid w:val="6F8A37EA"/>
    <w:rsid w:val="6F90417E"/>
    <w:rsid w:val="6F9258DA"/>
    <w:rsid w:val="6F9C20BD"/>
    <w:rsid w:val="6FB66D39"/>
    <w:rsid w:val="6FCA008A"/>
    <w:rsid w:val="6FCC795E"/>
    <w:rsid w:val="6FE078AE"/>
    <w:rsid w:val="6FE07FF9"/>
    <w:rsid w:val="6FF173C5"/>
    <w:rsid w:val="6FF46EB5"/>
    <w:rsid w:val="6FF60E7F"/>
    <w:rsid w:val="70223A22"/>
    <w:rsid w:val="702E23C7"/>
    <w:rsid w:val="702E3400"/>
    <w:rsid w:val="70335C2F"/>
    <w:rsid w:val="70497201"/>
    <w:rsid w:val="704B508B"/>
    <w:rsid w:val="704C0A9F"/>
    <w:rsid w:val="7060279C"/>
    <w:rsid w:val="7076624B"/>
    <w:rsid w:val="707D50FC"/>
    <w:rsid w:val="708131AD"/>
    <w:rsid w:val="70D05DE9"/>
    <w:rsid w:val="70DF1913"/>
    <w:rsid w:val="70F7553D"/>
    <w:rsid w:val="70FC779A"/>
    <w:rsid w:val="710D7763"/>
    <w:rsid w:val="7113780F"/>
    <w:rsid w:val="7141612A"/>
    <w:rsid w:val="714A76D4"/>
    <w:rsid w:val="715045BF"/>
    <w:rsid w:val="7159552E"/>
    <w:rsid w:val="715C7408"/>
    <w:rsid w:val="71685DAD"/>
    <w:rsid w:val="716D33C3"/>
    <w:rsid w:val="71734CC6"/>
    <w:rsid w:val="71755DD4"/>
    <w:rsid w:val="71871BBF"/>
    <w:rsid w:val="71A072F4"/>
    <w:rsid w:val="71AC3EEB"/>
    <w:rsid w:val="71B0505E"/>
    <w:rsid w:val="71BE777B"/>
    <w:rsid w:val="71E03B95"/>
    <w:rsid w:val="71EF489D"/>
    <w:rsid w:val="71EF5B86"/>
    <w:rsid w:val="71F17B50"/>
    <w:rsid w:val="72075F0B"/>
    <w:rsid w:val="721668E6"/>
    <w:rsid w:val="72206DE1"/>
    <w:rsid w:val="722515A8"/>
    <w:rsid w:val="72270896"/>
    <w:rsid w:val="723A4149"/>
    <w:rsid w:val="72402885"/>
    <w:rsid w:val="72514A93"/>
    <w:rsid w:val="72640322"/>
    <w:rsid w:val="7275252F"/>
    <w:rsid w:val="72754F37"/>
    <w:rsid w:val="727F55C1"/>
    <w:rsid w:val="72855F71"/>
    <w:rsid w:val="729055BB"/>
    <w:rsid w:val="72976A9F"/>
    <w:rsid w:val="72A17B5D"/>
    <w:rsid w:val="72B73B84"/>
    <w:rsid w:val="72B868C0"/>
    <w:rsid w:val="72C60FDD"/>
    <w:rsid w:val="72CB749C"/>
    <w:rsid w:val="72CD6775"/>
    <w:rsid w:val="72D35A08"/>
    <w:rsid w:val="72D37256"/>
    <w:rsid w:val="72D405E0"/>
    <w:rsid w:val="72E13E1B"/>
    <w:rsid w:val="72FD2525"/>
    <w:rsid w:val="730B4C41"/>
    <w:rsid w:val="7318110C"/>
    <w:rsid w:val="732950C8"/>
    <w:rsid w:val="732E7AA3"/>
    <w:rsid w:val="733540F3"/>
    <w:rsid w:val="733F2B3D"/>
    <w:rsid w:val="73435BD4"/>
    <w:rsid w:val="7349576A"/>
    <w:rsid w:val="73563420"/>
    <w:rsid w:val="73665897"/>
    <w:rsid w:val="7372081D"/>
    <w:rsid w:val="73926314"/>
    <w:rsid w:val="739E5AB6"/>
    <w:rsid w:val="73AF7CC3"/>
    <w:rsid w:val="73B01345"/>
    <w:rsid w:val="73C71D9B"/>
    <w:rsid w:val="73DC038C"/>
    <w:rsid w:val="73F531FC"/>
    <w:rsid w:val="73FD75CB"/>
    <w:rsid w:val="740D2C3B"/>
    <w:rsid w:val="740D49E9"/>
    <w:rsid w:val="741B7106"/>
    <w:rsid w:val="742835D1"/>
    <w:rsid w:val="74381A66"/>
    <w:rsid w:val="743B50B2"/>
    <w:rsid w:val="744F0B5E"/>
    <w:rsid w:val="745443C6"/>
    <w:rsid w:val="74582108"/>
    <w:rsid w:val="746D7236"/>
    <w:rsid w:val="74716D26"/>
    <w:rsid w:val="74730CF0"/>
    <w:rsid w:val="74884070"/>
    <w:rsid w:val="748A7DE8"/>
    <w:rsid w:val="749B3DA3"/>
    <w:rsid w:val="749D4236"/>
    <w:rsid w:val="74A569D0"/>
    <w:rsid w:val="74B86703"/>
    <w:rsid w:val="74CB28DA"/>
    <w:rsid w:val="74DE3A93"/>
    <w:rsid w:val="74FC6F38"/>
    <w:rsid w:val="7507768A"/>
    <w:rsid w:val="75120509"/>
    <w:rsid w:val="752C5223"/>
    <w:rsid w:val="75314C7A"/>
    <w:rsid w:val="7533222E"/>
    <w:rsid w:val="75463CF0"/>
    <w:rsid w:val="754937FF"/>
    <w:rsid w:val="755503F6"/>
    <w:rsid w:val="75734D20"/>
    <w:rsid w:val="757C0194"/>
    <w:rsid w:val="757DE146"/>
    <w:rsid w:val="758F0937"/>
    <w:rsid w:val="75907680"/>
    <w:rsid w:val="75C25ED6"/>
    <w:rsid w:val="75CD61DE"/>
    <w:rsid w:val="75CF63FA"/>
    <w:rsid w:val="75E11C8A"/>
    <w:rsid w:val="75EFC646"/>
    <w:rsid w:val="75FC6AC3"/>
    <w:rsid w:val="761E2EDE"/>
    <w:rsid w:val="762C1090"/>
    <w:rsid w:val="76312C11"/>
    <w:rsid w:val="764346F2"/>
    <w:rsid w:val="76455A1A"/>
    <w:rsid w:val="764A5A81"/>
    <w:rsid w:val="766528BB"/>
    <w:rsid w:val="766A7ED1"/>
    <w:rsid w:val="766F3739"/>
    <w:rsid w:val="76746FA2"/>
    <w:rsid w:val="76760624"/>
    <w:rsid w:val="768076F4"/>
    <w:rsid w:val="76832D41"/>
    <w:rsid w:val="76870A83"/>
    <w:rsid w:val="76911902"/>
    <w:rsid w:val="769179AA"/>
    <w:rsid w:val="769F325B"/>
    <w:rsid w:val="76A51580"/>
    <w:rsid w:val="76A525E8"/>
    <w:rsid w:val="76AA651F"/>
    <w:rsid w:val="76AC04E9"/>
    <w:rsid w:val="76C03AD6"/>
    <w:rsid w:val="76C515AB"/>
    <w:rsid w:val="76D65566"/>
    <w:rsid w:val="76E81F38"/>
    <w:rsid w:val="76E9529A"/>
    <w:rsid w:val="77044E51"/>
    <w:rsid w:val="77132317"/>
    <w:rsid w:val="77147E3D"/>
    <w:rsid w:val="7719023C"/>
    <w:rsid w:val="771C566F"/>
    <w:rsid w:val="777D1E86"/>
    <w:rsid w:val="77811976"/>
    <w:rsid w:val="7789082B"/>
    <w:rsid w:val="778E4093"/>
    <w:rsid w:val="778E5E41"/>
    <w:rsid w:val="77962ADB"/>
    <w:rsid w:val="779A47E6"/>
    <w:rsid w:val="77BB7010"/>
    <w:rsid w:val="77C9104E"/>
    <w:rsid w:val="77CB499F"/>
    <w:rsid w:val="77D11031"/>
    <w:rsid w:val="77D575CC"/>
    <w:rsid w:val="77E10E7B"/>
    <w:rsid w:val="77E1549F"/>
    <w:rsid w:val="77EB5041"/>
    <w:rsid w:val="77EF0B18"/>
    <w:rsid w:val="77F43EF6"/>
    <w:rsid w:val="783458C3"/>
    <w:rsid w:val="786D5A56"/>
    <w:rsid w:val="786F5C73"/>
    <w:rsid w:val="787119EB"/>
    <w:rsid w:val="78827754"/>
    <w:rsid w:val="7883171E"/>
    <w:rsid w:val="78832A30"/>
    <w:rsid w:val="78951193"/>
    <w:rsid w:val="78972AD3"/>
    <w:rsid w:val="789E7942"/>
    <w:rsid w:val="78B83D2B"/>
    <w:rsid w:val="78D6619A"/>
    <w:rsid w:val="78F86810"/>
    <w:rsid w:val="79075EAB"/>
    <w:rsid w:val="79135E20"/>
    <w:rsid w:val="79330A4E"/>
    <w:rsid w:val="793967F5"/>
    <w:rsid w:val="7956473D"/>
    <w:rsid w:val="7961380D"/>
    <w:rsid w:val="7963752C"/>
    <w:rsid w:val="79652BD2"/>
    <w:rsid w:val="798153CC"/>
    <w:rsid w:val="79A61220"/>
    <w:rsid w:val="79B3393D"/>
    <w:rsid w:val="79C00BB7"/>
    <w:rsid w:val="79C454A1"/>
    <w:rsid w:val="79E306C6"/>
    <w:rsid w:val="79FF4DD4"/>
    <w:rsid w:val="79FF945A"/>
    <w:rsid w:val="7A0917AF"/>
    <w:rsid w:val="7A28257D"/>
    <w:rsid w:val="7A2C12AF"/>
    <w:rsid w:val="7A2D1941"/>
    <w:rsid w:val="7A356A48"/>
    <w:rsid w:val="7A5E1AFB"/>
    <w:rsid w:val="7A601D17"/>
    <w:rsid w:val="7A6A20B4"/>
    <w:rsid w:val="7A7237F8"/>
    <w:rsid w:val="7A7255A6"/>
    <w:rsid w:val="7A7B2E7E"/>
    <w:rsid w:val="7A7C15F3"/>
    <w:rsid w:val="7A7D6F86"/>
    <w:rsid w:val="7A804167"/>
    <w:rsid w:val="7A923C0B"/>
    <w:rsid w:val="7AC2652D"/>
    <w:rsid w:val="7AC661DC"/>
    <w:rsid w:val="7AD30B9C"/>
    <w:rsid w:val="7AFD42F9"/>
    <w:rsid w:val="7B000E04"/>
    <w:rsid w:val="7B007056"/>
    <w:rsid w:val="7B034450"/>
    <w:rsid w:val="7B0703E4"/>
    <w:rsid w:val="7B0F1047"/>
    <w:rsid w:val="7B183966"/>
    <w:rsid w:val="7B18614D"/>
    <w:rsid w:val="7B212CD8"/>
    <w:rsid w:val="7B4231CA"/>
    <w:rsid w:val="7B542EFE"/>
    <w:rsid w:val="7B59732D"/>
    <w:rsid w:val="7B707D38"/>
    <w:rsid w:val="7B803CF3"/>
    <w:rsid w:val="7B8657AD"/>
    <w:rsid w:val="7B900CE5"/>
    <w:rsid w:val="7B9B803D"/>
    <w:rsid w:val="7BA72FC2"/>
    <w:rsid w:val="7BA774D1"/>
    <w:rsid w:val="7BBA0112"/>
    <w:rsid w:val="7BBB2A72"/>
    <w:rsid w:val="7BCC34E5"/>
    <w:rsid w:val="7BD227A0"/>
    <w:rsid w:val="7BF70459"/>
    <w:rsid w:val="7BF723CD"/>
    <w:rsid w:val="7C0466D2"/>
    <w:rsid w:val="7C06244A"/>
    <w:rsid w:val="7C090879"/>
    <w:rsid w:val="7C0B180E"/>
    <w:rsid w:val="7C0F633B"/>
    <w:rsid w:val="7C374CF9"/>
    <w:rsid w:val="7C376AA7"/>
    <w:rsid w:val="7C460A98"/>
    <w:rsid w:val="7C547659"/>
    <w:rsid w:val="7C556E26"/>
    <w:rsid w:val="7C5C1A19"/>
    <w:rsid w:val="7C6B0CD6"/>
    <w:rsid w:val="7C790E6E"/>
    <w:rsid w:val="7C7E0232"/>
    <w:rsid w:val="7C99506C"/>
    <w:rsid w:val="7C9C2DAE"/>
    <w:rsid w:val="7C9F63FA"/>
    <w:rsid w:val="7CAA1027"/>
    <w:rsid w:val="7CAC053C"/>
    <w:rsid w:val="7CB15915"/>
    <w:rsid w:val="7CB24D98"/>
    <w:rsid w:val="7CCA16C9"/>
    <w:rsid w:val="7CE56503"/>
    <w:rsid w:val="7CEF1407"/>
    <w:rsid w:val="7CFD1A9F"/>
    <w:rsid w:val="7D00352C"/>
    <w:rsid w:val="7D0A5F6A"/>
    <w:rsid w:val="7D0F17D2"/>
    <w:rsid w:val="7D2A2168"/>
    <w:rsid w:val="7D496A92"/>
    <w:rsid w:val="7D4E22FA"/>
    <w:rsid w:val="7D5423C8"/>
    <w:rsid w:val="7D602561"/>
    <w:rsid w:val="7D7D2BE0"/>
    <w:rsid w:val="7D8201F6"/>
    <w:rsid w:val="7D847ACA"/>
    <w:rsid w:val="7DBB7264"/>
    <w:rsid w:val="7DBD122E"/>
    <w:rsid w:val="7DDB05B1"/>
    <w:rsid w:val="7DF34C50"/>
    <w:rsid w:val="7E087814"/>
    <w:rsid w:val="7E167D92"/>
    <w:rsid w:val="7E171E3C"/>
    <w:rsid w:val="7E1914E0"/>
    <w:rsid w:val="7E24305B"/>
    <w:rsid w:val="7E2C3CBE"/>
    <w:rsid w:val="7E4158E9"/>
    <w:rsid w:val="7E5F0273"/>
    <w:rsid w:val="7E677E64"/>
    <w:rsid w:val="7E725B75"/>
    <w:rsid w:val="7E845165"/>
    <w:rsid w:val="7EA61CC2"/>
    <w:rsid w:val="7EAE6ED0"/>
    <w:rsid w:val="7EB47670"/>
    <w:rsid w:val="7EC16AFC"/>
    <w:rsid w:val="7EC47165"/>
    <w:rsid w:val="7ED24865"/>
    <w:rsid w:val="7ED60E22"/>
    <w:rsid w:val="7EE57794"/>
    <w:rsid w:val="7EEB3B79"/>
    <w:rsid w:val="7EF42A2E"/>
    <w:rsid w:val="7EF938A6"/>
    <w:rsid w:val="7EFE1AFE"/>
    <w:rsid w:val="7F0B2B16"/>
    <w:rsid w:val="7F233313"/>
    <w:rsid w:val="7F34107C"/>
    <w:rsid w:val="7F343772"/>
    <w:rsid w:val="7F3B240A"/>
    <w:rsid w:val="7F4D213E"/>
    <w:rsid w:val="7F594F87"/>
    <w:rsid w:val="7F7D58EC"/>
    <w:rsid w:val="7F842003"/>
    <w:rsid w:val="7FA00746"/>
    <w:rsid w:val="7FB7048A"/>
    <w:rsid w:val="7FB81CAD"/>
    <w:rsid w:val="7FBB79EF"/>
    <w:rsid w:val="7FC335E9"/>
    <w:rsid w:val="7FC70142"/>
    <w:rsid w:val="7FC95C68"/>
    <w:rsid w:val="7FDB599C"/>
    <w:rsid w:val="7FFD8351"/>
    <w:rsid w:val="7FFF78DC"/>
    <w:rsid w:val="96DE3BE2"/>
    <w:rsid w:val="96F63A20"/>
    <w:rsid w:val="9D4B5CFF"/>
    <w:rsid w:val="A7CD446F"/>
    <w:rsid w:val="BDFF3740"/>
    <w:rsid w:val="BEFF113C"/>
    <w:rsid w:val="BF7EF6BB"/>
    <w:rsid w:val="BFFE64DC"/>
    <w:rsid w:val="CCF9FE58"/>
    <w:rsid w:val="D5EFE6CB"/>
    <w:rsid w:val="D7F92033"/>
    <w:rsid w:val="DCFB06EB"/>
    <w:rsid w:val="DDBCE7D3"/>
    <w:rsid w:val="DDFE86F2"/>
    <w:rsid w:val="DE370ACC"/>
    <w:rsid w:val="DFEFA670"/>
    <w:rsid w:val="E15E4190"/>
    <w:rsid w:val="E69C0268"/>
    <w:rsid w:val="E9F71EFB"/>
    <w:rsid w:val="EDAEF2D5"/>
    <w:rsid w:val="EFF9FCF9"/>
    <w:rsid w:val="EFFC0B61"/>
    <w:rsid w:val="EFFD3760"/>
    <w:rsid w:val="F3FBF0BC"/>
    <w:rsid w:val="F4B50E80"/>
    <w:rsid w:val="F7BE7CC7"/>
    <w:rsid w:val="F9FB130D"/>
    <w:rsid w:val="FBDF572B"/>
    <w:rsid w:val="FBFD5B9A"/>
    <w:rsid w:val="FEFCDA4D"/>
    <w:rsid w:val="FF3B4BDD"/>
    <w:rsid w:val="FFCF29B1"/>
    <w:rsid w:val="FFFC6958"/>
    <w:rsid w:val="FFFF7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4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autoRedefine/>
    <w:qFormat/>
    <w:uiPriority w:val="0"/>
    <w:pPr>
      <w:keepNext/>
      <w:keepLines/>
      <w:spacing w:before="120" w:after="120"/>
      <w:outlineLvl w:val="2"/>
    </w:pPr>
    <w:rPr>
      <w:rFonts w:ascii="宋体" w:hAnsi="宋体"/>
      <w:b/>
      <w:bCs/>
      <w:color w:val="FF0000"/>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宋体"/>
      <w:sz w:val="24"/>
      <w:szCs w:val="20"/>
    </w:rPr>
  </w:style>
  <w:style w:type="paragraph" w:styleId="9">
    <w:name w:val="Body Text"/>
    <w:basedOn w:val="1"/>
    <w:next w:val="1"/>
    <w:autoRedefine/>
    <w:qFormat/>
    <w:uiPriority w:val="0"/>
    <w:pPr>
      <w:spacing w:after="120"/>
    </w:p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Plain Text"/>
    <w:basedOn w:val="1"/>
    <w:next w:val="1"/>
    <w:autoRedefine/>
    <w:qFormat/>
    <w:uiPriority w:val="0"/>
    <w:rPr>
      <w:rFonts w:ascii="宋体" w:hAnsi="Courier New" w:eastAsia="楷体_GB2312"/>
      <w:kern w:val="0"/>
      <w:sz w:val="20"/>
    </w:rPr>
  </w:style>
  <w:style w:type="paragraph" w:styleId="14">
    <w:name w:val="Balloon Text"/>
    <w:basedOn w:val="1"/>
    <w:link w:val="48"/>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footnote text"/>
    <w:basedOn w:val="1"/>
    <w:autoRedefine/>
    <w:qFormat/>
    <w:uiPriority w:val="0"/>
    <w:pPr>
      <w:snapToGrid w:val="0"/>
      <w:jc w:val="left"/>
    </w:pPr>
    <w:rPr>
      <w:sz w:val="18"/>
    </w:rPr>
  </w:style>
  <w:style w:type="paragraph" w:styleId="19">
    <w:name w:val="toc 2"/>
    <w:basedOn w:val="1"/>
    <w:next w:val="20"/>
    <w:autoRedefine/>
    <w:qFormat/>
    <w:uiPriority w:val="39"/>
    <w:pPr>
      <w:ind w:left="210"/>
      <w:jc w:val="left"/>
    </w:pPr>
    <w:rPr>
      <w:smallCaps/>
      <w:kern w:val="0"/>
      <w:sz w:val="20"/>
      <w:szCs w:val="20"/>
    </w:rPr>
  </w:style>
  <w:style w:type="paragraph" w:customStyle="1" w:styleId="20">
    <w:name w:val="样式 标题 2 + Times New Roman 四号 非加粗 段前: 5 磅 段后: 0 磅 行距: 固定值 20..."/>
    <w:basedOn w:val="3"/>
    <w:link w:val="40"/>
    <w:autoRedefine/>
    <w:qFormat/>
    <w:uiPriority w:val="0"/>
    <w:pPr>
      <w:spacing w:before="100" w:after="0" w:line="400" w:lineRule="exact"/>
    </w:pPr>
    <w:rPr>
      <w:rFonts w:ascii="Times New Roman" w:hAnsi="Times New Roman" w:eastAsia="宋体"/>
      <w:kern w:val="0"/>
      <w:sz w:val="28"/>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9"/>
    <w:autoRedefine/>
    <w:qFormat/>
    <w:uiPriority w:val="0"/>
    <w:pPr>
      <w:ind w:firstLine="420"/>
    </w:pPr>
    <w:rPr>
      <w:rFonts w:eastAsia="楷体_GB2312"/>
    </w:rPr>
  </w:style>
  <w:style w:type="paragraph" w:styleId="23">
    <w:name w:val="Body Text First Indent 2"/>
    <w:basedOn w:val="10"/>
    <w:next w:val="24"/>
    <w:autoRedefine/>
    <w:qFormat/>
    <w:uiPriority w:val="0"/>
    <w:pPr>
      <w:ind w:firstLine="420"/>
    </w:pPr>
  </w:style>
  <w:style w:type="paragraph" w:customStyle="1" w:styleId="24">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character" w:styleId="27">
    <w:name w:val="page number"/>
    <w:autoRedefine/>
    <w:qFormat/>
    <w:uiPriority w:val="0"/>
    <w:rPr>
      <w:rFonts w:ascii="Arial" w:hAnsi="Arial" w:eastAsia="黑体"/>
      <w:kern w:val="2"/>
      <w:sz w:val="21"/>
      <w:szCs w:val="21"/>
      <w:lang w:val="en-US" w:eastAsia="zh-CN" w:bidi="ar-SA"/>
    </w:rPr>
  </w:style>
  <w:style w:type="character" w:styleId="28">
    <w:name w:val="Emphasis"/>
    <w:basedOn w:val="26"/>
    <w:autoRedefine/>
    <w:qFormat/>
    <w:uiPriority w:val="0"/>
    <w:rPr>
      <w:i/>
    </w:rPr>
  </w:style>
  <w:style w:type="character" w:styleId="29">
    <w:name w:val="Hyperlink"/>
    <w:autoRedefine/>
    <w:qFormat/>
    <w:uiPriority w:val="99"/>
    <w:rPr>
      <w:rFonts w:ascii="Arial" w:hAnsi="Arial" w:eastAsia="黑体"/>
      <w:color w:val="0000FF"/>
      <w:kern w:val="2"/>
      <w:sz w:val="21"/>
      <w:szCs w:val="21"/>
      <w:u w:val="single"/>
      <w:lang w:val="en-US" w:eastAsia="zh-CN" w:bidi="ar-SA"/>
    </w:rPr>
  </w:style>
  <w:style w:type="character" w:styleId="30">
    <w:name w:val="annotation reference"/>
    <w:basedOn w:val="26"/>
    <w:autoRedefine/>
    <w:qFormat/>
    <w:uiPriority w:val="0"/>
    <w:rPr>
      <w:sz w:val="21"/>
      <w:szCs w:val="21"/>
    </w:rPr>
  </w:style>
  <w:style w:type="character" w:styleId="31">
    <w:name w:val="footnote reference"/>
    <w:basedOn w:val="26"/>
    <w:autoRedefine/>
    <w:qFormat/>
    <w:uiPriority w:val="0"/>
    <w:rPr>
      <w:vertAlign w:val="superscript"/>
    </w:rPr>
  </w:style>
  <w:style w:type="paragraph" w:customStyle="1" w:styleId="32">
    <w:name w:val="正文文本首行缩进 21"/>
    <w:basedOn w:val="33"/>
    <w:autoRedefine/>
    <w:qFormat/>
    <w:uiPriority w:val="0"/>
    <w:pPr>
      <w:ind w:firstLine="420" w:firstLineChars="200"/>
    </w:pPr>
  </w:style>
  <w:style w:type="paragraph" w:customStyle="1" w:styleId="33">
    <w:name w:val="正文文本缩进1"/>
    <w:basedOn w:val="1"/>
    <w:next w:val="34"/>
    <w:autoRedefine/>
    <w:qFormat/>
    <w:uiPriority w:val="0"/>
    <w:pPr>
      <w:spacing w:after="120"/>
      <w:ind w:left="200" w:leftChars="200"/>
    </w:pPr>
  </w:style>
  <w:style w:type="paragraph" w:customStyle="1" w:styleId="34">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
    <w:name w:val="PlainText"/>
    <w:basedOn w:val="1"/>
    <w:autoRedefine/>
    <w:qFormat/>
    <w:uiPriority w:val="0"/>
    <w:rPr>
      <w:rFonts w:ascii="宋体" w:hAnsi="Courier New"/>
      <w:kern w:val="0"/>
      <w:sz w:val="20"/>
      <w:szCs w:val="20"/>
    </w:rPr>
  </w:style>
  <w:style w:type="paragraph" w:customStyle="1" w:styleId="36">
    <w:name w:val="样式20"/>
    <w:basedOn w:val="1"/>
    <w:next w:val="1"/>
    <w:autoRedefine/>
    <w:qFormat/>
    <w:uiPriority w:val="0"/>
    <w:pPr>
      <w:spacing w:line="460" w:lineRule="exact"/>
      <w:ind w:firstLine="900" w:firstLineChars="300"/>
      <w:outlineLvl w:val="0"/>
    </w:pPr>
    <w:rPr>
      <w:rFonts w:eastAsia="黑体"/>
      <w:sz w:val="30"/>
      <w:szCs w:val="30"/>
      <w:u w:val="single"/>
    </w:rPr>
  </w:style>
  <w:style w:type="paragraph" w:customStyle="1" w:styleId="37">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kern w:val="0"/>
      <w:sz w:val="32"/>
      <w:szCs w:val="20"/>
    </w:rPr>
  </w:style>
  <w:style w:type="paragraph" w:customStyle="1" w:styleId="38">
    <w:name w:val="样式 标题 3 + (中文) 黑体 小四 非加粗 段前: 7.8 磅 段后: 0 磅 行距: 固定值 20 磅"/>
    <w:basedOn w:val="4"/>
    <w:link w:val="42"/>
    <w:autoRedefine/>
    <w:qFormat/>
    <w:uiPriority w:val="0"/>
    <w:pPr>
      <w:spacing w:before="0" w:after="0" w:line="400" w:lineRule="exact"/>
    </w:pPr>
    <w:rPr>
      <w:rFonts w:ascii="Times New Roman" w:hAnsi="Times New Roman" w:eastAsia="黑体"/>
      <w:color w:val="000000"/>
      <w:kern w:val="0"/>
      <w:sz w:val="20"/>
      <w:szCs w:val="20"/>
    </w:rPr>
  </w:style>
  <w:style w:type="paragraph" w:customStyle="1" w:styleId="3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样式 标题 2 + Times New Roman 四号 非加粗 段前: 5 磅 段后: 0 磅 行距: 固定值 20... Char"/>
    <w:link w:val="20"/>
    <w:autoRedefine/>
    <w:qFormat/>
    <w:uiPriority w:val="0"/>
    <w:rPr>
      <w:rFonts w:ascii="Times New Roman" w:hAnsi="Times New Roman" w:eastAsia="宋体"/>
      <w:kern w:val="0"/>
      <w:sz w:val="28"/>
      <w:szCs w:val="20"/>
    </w:rPr>
  </w:style>
  <w:style w:type="character" w:customStyle="1" w:styleId="41">
    <w:name w:val="标题 2 Char"/>
    <w:link w:val="3"/>
    <w:autoRedefine/>
    <w:qFormat/>
    <w:uiPriority w:val="0"/>
    <w:rPr>
      <w:rFonts w:ascii="Arial" w:hAnsi="Arial" w:eastAsia="黑体"/>
      <w:b/>
      <w:bCs/>
      <w:sz w:val="32"/>
      <w:szCs w:val="32"/>
    </w:rPr>
  </w:style>
  <w:style w:type="character" w:customStyle="1" w:styleId="42">
    <w:name w:val="样式 标题 3 + (中文) 黑体 小四 非加粗 段前: 7.8 磅 段后: 0 磅 行距: 固定值 20 磅 Char"/>
    <w:link w:val="38"/>
    <w:autoRedefine/>
    <w:qFormat/>
    <w:uiPriority w:val="0"/>
    <w:rPr>
      <w:rFonts w:ascii="Times New Roman" w:hAnsi="Times New Roman" w:eastAsia="黑体"/>
      <w:color w:val="000000"/>
      <w:kern w:val="0"/>
      <w:sz w:val="20"/>
      <w:szCs w:val="20"/>
    </w:rPr>
  </w:style>
  <w:style w:type="character" w:customStyle="1" w:styleId="43">
    <w:name w:val="标题 3 Char"/>
    <w:link w:val="4"/>
    <w:autoRedefine/>
    <w:qFormat/>
    <w:uiPriority w:val="0"/>
    <w:rPr>
      <w:rFonts w:ascii="宋体" w:hAnsi="宋体"/>
      <w:b/>
      <w:bCs/>
      <w:color w:val="FF0000"/>
      <w:sz w:val="24"/>
    </w:rPr>
  </w:style>
  <w:style w:type="paragraph" w:customStyle="1" w:styleId="44">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4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页眉 Char"/>
    <w:basedOn w:val="26"/>
    <w:link w:val="16"/>
    <w:autoRedefine/>
    <w:qFormat/>
    <w:uiPriority w:val="0"/>
    <w:rPr>
      <w:kern w:val="2"/>
      <w:sz w:val="18"/>
      <w:szCs w:val="18"/>
    </w:rPr>
  </w:style>
  <w:style w:type="character" w:customStyle="1" w:styleId="48">
    <w:name w:val="批注框文本 Char"/>
    <w:basedOn w:val="26"/>
    <w:link w:val="14"/>
    <w:autoRedefine/>
    <w:qFormat/>
    <w:uiPriority w:val="0"/>
    <w:rPr>
      <w:kern w:val="2"/>
      <w:sz w:val="18"/>
      <w:szCs w:val="18"/>
    </w:rPr>
  </w:style>
  <w:style w:type="paragraph" w:customStyle="1" w:styleId="49">
    <w:name w:val="样式 宋体 行距: 1.5 倍行距"/>
    <w:basedOn w:val="1"/>
    <w:autoRedefine/>
    <w:qFormat/>
    <w:uiPriority w:val="0"/>
    <w:pPr>
      <w:jc w:val="center"/>
    </w:pPr>
    <w:rPr>
      <w:b/>
    </w:rPr>
  </w:style>
  <w:style w:type="paragraph" w:customStyle="1" w:styleId="5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3"/>
    <customShpInfo spid="_x0000_s1032"/>
    <customShpInfo spid="_x0000_s1031"/>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18054</Words>
  <Characters>102913</Characters>
  <DocSecurity>0</DocSecurity>
  <Lines>857</Lines>
  <Paragraphs>241</Paragraphs>
  <ScaleCrop>false</ScaleCrop>
  <LinksUpToDate>false</LinksUpToDate>
  <CharactersWithSpaces>120726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2024-03-07T06:21:47Z</cp:lastPrinted>
  <dcterms:created xsi:type="dcterms:W3CDTF">2024-01-21T09:35:00Z</dcterms:created>
  <dcterms:modified xsi:type="dcterms:W3CDTF">2024-03-07T06:27:58Z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0A111327FC5F413B98AB45EBC15AB71F_13</vt:lpwstr>
  </property>
</Properties>
</file>