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bookmarkStart w:id="0" w:name="_Toc8445"/>
      <w:r>
        <w:rPr>
          <w:rFonts w:hint="eastAsia" w:asciiTheme="minorEastAsia" w:hAnsiTheme="minorEastAsia" w:eastAsiaTheme="minorEastAsia" w:cstheme="minorEastAsia"/>
          <w:b/>
          <w:bCs/>
          <w:snapToGrid w:val="0"/>
          <w:color w:val="auto"/>
          <w:kern w:val="0"/>
          <w:sz w:val="28"/>
          <w:szCs w:val="28"/>
          <w:highlight w:val="none"/>
          <w:u w:val="none"/>
          <w:lang w:val="en-US" w:eastAsia="zh-CN"/>
        </w:rPr>
        <w:t>附件A.项目信息清单（</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220千伏员热第二通道线路工程（隧道土建部分）施工</w:t>
      </w:r>
      <w:r>
        <w:rPr>
          <w:rFonts w:hint="eastAsia" w:asciiTheme="minorEastAsia" w:hAnsiTheme="minorEastAsia" w:eastAsiaTheme="minorEastAsia" w:cstheme="minorEastAsia"/>
          <w:b/>
          <w:bCs/>
          <w:snapToGrid w:val="0"/>
          <w:color w:val="auto"/>
          <w:kern w:val="0"/>
          <w:sz w:val="28"/>
          <w:szCs w:val="28"/>
          <w:highlight w:val="none"/>
          <w:u w:val="none"/>
          <w:lang w:val="en-US"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项目信息</w:t>
      </w:r>
      <w:bookmarkEnd w:id="0"/>
      <w:bookmarkStart w:id="4" w:name="_GoBack"/>
      <w:bookmarkEnd w:id="4"/>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snapToGrid w:val="0"/>
          <w:color w:val="auto"/>
          <w:kern w:val="0"/>
          <w:sz w:val="24"/>
          <w:szCs w:val="24"/>
          <w:highlight w:val="none"/>
          <w:u w:val="none"/>
          <w:lang w:val="en-US" w:eastAsia="zh-CN"/>
        </w:rPr>
        <w:t>招标前期资料</w:t>
      </w:r>
    </w:p>
    <w:tbl>
      <w:tblPr>
        <w:tblStyle w:val="15"/>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783"/>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序号</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文件名称</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sz w:val="24"/>
                <w:szCs w:val="24"/>
                <w:highlight w:val="none"/>
                <w:u w:val="none"/>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可研批复文号</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广供电规〔2023〕 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2</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项目核准/备案文号</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穗发改核准〔2023〕10号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3</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初设批复文号</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Cs/>
                <w:kern w:val="0"/>
                <w:sz w:val="24"/>
                <w:szCs w:val="24"/>
                <w:highlight w:val="none"/>
                <w:lang w:val="en-US" w:eastAsia="zh-CN" w:bidi="ar"/>
              </w:rPr>
              <w:t>广</w:t>
            </w:r>
            <w:r>
              <w:rPr>
                <w:rFonts w:hint="eastAsia" w:asciiTheme="minorEastAsia" w:hAnsiTheme="minorEastAsia" w:eastAsiaTheme="minorEastAsia" w:cstheme="minorEastAsia"/>
                <w:bCs/>
                <w:kern w:val="0"/>
                <w:sz w:val="24"/>
                <w:szCs w:val="24"/>
                <w:highlight w:val="none"/>
                <w:lang w:bidi="ar"/>
              </w:rPr>
              <w:t>供电</w:t>
            </w:r>
            <w:r>
              <w:rPr>
                <w:rFonts w:hint="eastAsia" w:asciiTheme="minorEastAsia" w:hAnsiTheme="minorEastAsia" w:eastAsiaTheme="minorEastAsia" w:cstheme="minorEastAsia"/>
                <w:bCs/>
                <w:kern w:val="0"/>
                <w:sz w:val="24"/>
                <w:szCs w:val="24"/>
                <w:highlight w:val="none"/>
                <w:lang w:val="en-US" w:eastAsia="zh-CN" w:bidi="ar"/>
              </w:rPr>
              <w:t>基</w:t>
            </w:r>
            <w:r>
              <w:rPr>
                <w:rFonts w:hint="eastAsia" w:asciiTheme="minorEastAsia" w:hAnsiTheme="minorEastAsia" w:eastAsiaTheme="minorEastAsia" w:cstheme="minorEastAsia"/>
                <w:bCs/>
                <w:kern w:val="0"/>
                <w:sz w:val="24"/>
                <w:szCs w:val="24"/>
                <w:highlight w:val="none"/>
                <w:lang w:bidi="ar"/>
              </w:rPr>
              <w:t>〔202</w:t>
            </w:r>
            <w:r>
              <w:rPr>
                <w:rFonts w:hint="eastAsia" w:asciiTheme="minorEastAsia" w:hAnsiTheme="minorEastAsia" w:eastAsiaTheme="minorEastAsia" w:cstheme="minorEastAsia"/>
                <w:bCs/>
                <w:kern w:val="0"/>
                <w:sz w:val="24"/>
                <w:szCs w:val="24"/>
                <w:highlight w:val="none"/>
                <w:lang w:val="en-US" w:eastAsia="zh-CN" w:bidi="ar"/>
              </w:rPr>
              <w:t>3</w:t>
            </w:r>
            <w:r>
              <w:rPr>
                <w:rFonts w:hint="eastAsia" w:asciiTheme="minorEastAsia" w:hAnsiTheme="minorEastAsia" w:eastAsiaTheme="minorEastAsia" w:cstheme="minorEastAsia"/>
                <w:bCs/>
                <w:kern w:val="0"/>
                <w:sz w:val="24"/>
                <w:szCs w:val="24"/>
                <w:highlight w:val="none"/>
                <w:lang w:bidi="ar"/>
              </w:rPr>
              <w:t>〕</w:t>
            </w: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 xml:space="preserve"> 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3</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资金落实情况</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广供电资〔2023〕5号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5</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施工图预算批复文号</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t>6</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项目建设单位</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7</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项目建设地点</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广州市天河区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8</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前期的设计或咨询服务单位名称</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9</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项目监理单位</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exact"/>
          <w:jc w:val="center"/>
        </w:trPr>
        <w:tc>
          <w:tcPr>
            <w:tcW w:w="77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10</w:t>
            </w:r>
          </w:p>
        </w:tc>
        <w:tc>
          <w:tcPr>
            <w:tcW w:w="378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工期</w:t>
            </w:r>
          </w:p>
        </w:tc>
        <w:tc>
          <w:tcPr>
            <w:tcW w:w="525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single"/>
                <w:vertAlign w:val="baseline"/>
                <w:lang w:val="en-US" w:eastAsia="zh-CN"/>
              </w:rPr>
              <w:t>合同签订之日起至2025年9月30日，实际工期以开工报告、竣工报告为准。</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u w:val="none"/>
          <w:lang w:val="en-US" w:eastAsia="zh-CN"/>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一、项目概况</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z w:val="24"/>
          <w:szCs w:val="24"/>
          <w:highlight w:val="none"/>
          <w:lang w:val="en-US" w:eastAsia="zh-CN"/>
        </w:rPr>
        <w:t>隧道</w:t>
      </w:r>
      <w:r>
        <w:rPr>
          <w:rFonts w:hint="eastAsia" w:asciiTheme="minorEastAsia" w:hAnsiTheme="minorEastAsia" w:eastAsiaTheme="minorEastAsia" w:cstheme="minorEastAsia"/>
          <w:b/>
          <w:sz w:val="24"/>
          <w:szCs w:val="24"/>
          <w:highlight w:val="none"/>
        </w:rPr>
        <w:t>部分</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新建临江大道电力隧道（盾构工法）3.0873千米；隧道管容按6回110千伏电缆+4回220 千伏电缆布置。盾构隧道断面</w:t>
      </w:r>
      <w:r>
        <w:rPr>
          <w:rFonts w:hint="eastAsia" w:asciiTheme="minorEastAsia" w:hAnsiTheme="minorEastAsia" w:eastAsiaTheme="minorEastAsia" w:cstheme="minorEastAsia"/>
          <w:bCs/>
          <w:sz w:val="24"/>
          <w:szCs w:val="24"/>
          <w:highlight w:val="none"/>
          <w:lang w:val="en-US" w:eastAsia="zh-CN"/>
        </w:rPr>
        <w:t>外</w:t>
      </w:r>
      <w:r>
        <w:rPr>
          <w:rFonts w:hint="eastAsia" w:asciiTheme="minorEastAsia" w:hAnsiTheme="minorEastAsia" w:eastAsiaTheme="minorEastAsia" w:cstheme="minorEastAsia"/>
          <w:bCs/>
          <w:sz w:val="24"/>
          <w:szCs w:val="24"/>
          <w:highlight w:val="none"/>
        </w:rPr>
        <w:t>径</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米、壁厚300毫米。</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sz w:val="24"/>
          <w:szCs w:val="24"/>
          <w:highlight w:val="none"/>
          <w:u w:val="single"/>
        </w:rPr>
        <w:t>注：具体建设规模以</w:t>
      </w:r>
      <w:r>
        <w:rPr>
          <w:rFonts w:hint="eastAsia" w:asciiTheme="minorEastAsia" w:hAnsiTheme="minorEastAsia" w:eastAsiaTheme="minorEastAsia" w:cstheme="minorEastAsia"/>
          <w:b/>
          <w:sz w:val="24"/>
          <w:szCs w:val="24"/>
          <w:highlight w:val="none"/>
          <w:u w:val="single"/>
          <w:lang w:eastAsia="zh-CN"/>
        </w:rPr>
        <w:t>批复</w:t>
      </w:r>
      <w:r>
        <w:rPr>
          <w:rFonts w:hint="eastAsia" w:asciiTheme="minorEastAsia" w:hAnsiTheme="minorEastAsia" w:eastAsiaTheme="minorEastAsia" w:cstheme="minorEastAsia"/>
          <w:b/>
          <w:sz w:val="24"/>
          <w:szCs w:val="24"/>
          <w:highlight w:val="none"/>
          <w:u w:val="single"/>
        </w:rPr>
        <w:t>施工图纸为准。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i w:val="0"/>
          <w:color w:val="auto"/>
          <w:kern w:val="2"/>
          <w:sz w:val="24"/>
          <w:szCs w:val="24"/>
          <w:highlight w:val="none"/>
          <w:u w:val="none"/>
          <w:lang w:val="en-US" w:eastAsia="zh-CN" w:bidi="ar-SA"/>
        </w:rPr>
        <w:t>采购范围</w:t>
      </w:r>
      <w:r>
        <w:rPr>
          <w:rFonts w:hint="eastAsia" w:asciiTheme="minorEastAsia" w:hAnsiTheme="minorEastAsia" w:eastAsiaTheme="minorEastAsia" w:cstheme="minorEastAsia"/>
          <w:b/>
          <w:bCs/>
          <w:color w:val="auto"/>
          <w:sz w:val="24"/>
          <w:szCs w:val="24"/>
          <w:highlight w:val="none"/>
          <w:u w:val="none"/>
          <w:lang w:val="en-US" w:eastAsia="zh-CN"/>
        </w:rPr>
        <w:t>：</w:t>
      </w:r>
      <w:bookmarkStart w:id="1" w:name="施工招标范围综合"/>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包括施工图范围内的建筑、安装及调试工程。施工图范围内的下列工作内容，无□及</w:t>
      </w:r>
      <w:r>
        <w:rPr>
          <w:rFonts w:hint="eastAsia" w:asciiTheme="minorEastAsia" w:hAnsiTheme="minorEastAsia" w:eastAsiaTheme="minorEastAsia" w:cstheme="minorEastAsia"/>
          <w:b/>
          <w:bCs/>
          <w:color w:val="auto"/>
          <w:sz w:val="24"/>
          <w:szCs w:val="24"/>
          <w:highlight w:val="none"/>
          <w:lang w:val="en-US" w:eastAsia="zh-CN"/>
        </w:rPr>
        <w:fldChar w:fldCharType="begin"/>
      </w:r>
      <w:r>
        <w:rPr>
          <w:rFonts w:hint="eastAsia" w:asciiTheme="minorEastAsia" w:hAnsiTheme="minorEastAsia" w:eastAsiaTheme="minorEastAsia" w:cstheme="minorEastAsia"/>
          <w:b/>
          <w:bCs/>
          <w:color w:val="auto"/>
          <w:sz w:val="24"/>
          <w:szCs w:val="24"/>
          <w:highlight w:val="none"/>
          <w:lang w:val="en-US" w:eastAsia="zh-CN"/>
        </w:rPr>
        <w:instrText xml:space="preserve"> EQ \o\ac(</w:instrText>
      </w:r>
      <w:r>
        <w:rPr>
          <w:rFonts w:hint="eastAsia" w:asciiTheme="minorEastAsia" w:hAnsiTheme="minorEastAsia" w:eastAsiaTheme="minorEastAsia" w:cstheme="minorEastAsia"/>
          <w:b/>
          <w:bCs/>
          <w:color w:val="auto"/>
          <w:position w:val="-4"/>
          <w:sz w:val="36"/>
          <w:szCs w:val="24"/>
          <w:highlight w:val="none"/>
          <w:lang w:val="en-US" w:eastAsia="zh-CN"/>
        </w:rPr>
        <w:instrText xml:space="preserve">□</w:instrText>
      </w:r>
      <w:r>
        <w:rPr>
          <w:rFonts w:hint="eastAsia" w:asciiTheme="minorEastAsia" w:hAnsiTheme="minorEastAsia" w:eastAsiaTheme="minorEastAsia" w:cstheme="minorEastAsia"/>
          <w:b/>
          <w:bCs/>
          <w:color w:val="auto"/>
          <w:position w:val="0"/>
          <w:sz w:val="24"/>
          <w:szCs w:val="24"/>
          <w:highlight w:val="none"/>
          <w:lang w:val="en-US" w:eastAsia="zh-CN"/>
        </w:rPr>
        <w:instrText xml:space="preserve">,√)</w:instrText>
      </w:r>
      <w:r>
        <w:rPr>
          <w:rFonts w:hint="eastAsia" w:asciiTheme="minorEastAsia" w:hAnsiTheme="minorEastAsia" w:eastAsiaTheme="minorEastAsia" w:cstheme="minorEastAsia"/>
          <w:b/>
          <w:bCs/>
          <w:color w:val="auto"/>
          <w:sz w:val="24"/>
          <w:szCs w:val="24"/>
          <w:highlight w:val="none"/>
          <w:lang w:val="en-US" w:eastAsia="zh-CN"/>
        </w:rPr>
        <w:fldChar w:fldCharType="end"/>
      </w:r>
      <w:r>
        <w:rPr>
          <w:rFonts w:hint="eastAsia" w:asciiTheme="minorEastAsia" w:hAnsiTheme="minorEastAsia" w:eastAsiaTheme="minorEastAsia" w:cstheme="minorEastAsia"/>
          <w:b/>
          <w:bCs/>
          <w:color w:val="auto"/>
          <w:sz w:val="24"/>
          <w:szCs w:val="24"/>
          <w:highlight w:val="none"/>
          <w:lang w:val="en-US" w:eastAsia="zh-CN"/>
        </w:rPr>
        <w:t>的为本次报价范围；□未打√的，不在本次报价范围内</w:t>
      </w:r>
      <w:bookmarkEnd w:id="1"/>
      <w:r>
        <w:rPr>
          <w:rFonts w:hint="eastAsia" w:asciiTheme="minorEastAsia" w:hAnsiTheme="minorEastAsia" w:eastAsiaTheme="minorEastAsia" w:cstheme="minorEastAsia"/>
          <w:b/>
          <w:bCs/>
          <w:color w:val="auto"/>
          <w:sz w:val="24"/>
          <w:szCs w:val="24"/>
          <w:highlight w:val="none"/>
          <w:lang w:val="en-US" w:eastAsia="zh-CN"/>
        </w:rPr>
        <w:t>，特殊情况在“其他”中说明。</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※隧道部分：</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施工图纸范围内的建构筑物：</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（一）土石方：</w:t>
      </w:r>
      <w:r>
        <w:rPr>
          <w:rFonts w:hint="eastAsia" w:ascii="宋体" w:hAnsi="宋体" w:eastAsia="宋体" w:cs="宋体"/>
          <w:b w:val="0"/>
          <w:bCs w:val="0"/>
          <w:color w:val="auto"/>
          <w:sz w:val="24"/>
          <w:szCs w:val="24"/>
          <w:highlight w:val="none"/>
          <w:lang w:val="en-US" w:eastAsia="zh-CN"/>
        </w:rPr>
        <w:t>材料运输，土石方挖填，开挖路面，修复路面，隧道挖填</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（二）构筑物：</w:t>
      </w:r>
      <w:r>
        <w:rPr>
          <w:rFonts w:hint="eastAsia" w:ascii="宋体" w:hAnsi="宋体" w:eastAsia="宋体" w:cs="宋体"/>
          <w:b w:val="0"/>
          <w:bCs w:val="0"/>
          <w:color w:val="auto"/>
          <w:sz w:val="24"/>
          <w:szCs w:val="24"/>
          <w:highlight w:val="none"/>
          <w:lang w:val="en-US" w:eastAsia="zh-CN"/>
        </w:rPr>
        <w:t>施工图纸范围内的材料运输，隧道及工作井土建，电缆支架预埋件及设备基础预埋件、工作井预埋接地</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eastAsia="zh-CN"/>
        </w:rPr>
        <w:t>（三）辅助工程</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材料运输，</w:t>
      </w:r>
      <w:r>
        <w:rPr>
          <w:rFonts w:hint="eastAsia" w:ascii="宋体" w:hAnsi="宋体" w:eastAsia="宋体" w:cs="宋体"/>
          <w:sz w:val="24"/>
          <w:szCs w:val="24"/>
        </w:rPr>
        <w:t>临时施工用电用水</w:t>
      </w:r>
      <w:r>
        <w:rPr>
          <w:rFonts w:hint="eastAsia" w:ascii="宋体" w:hAnsi="宋体" w:eastAsia="宋体" w:cs="宋体"/>
          <w:sz w:val="24"/>
          <w:szCs w:val="24"/>
          <w:lang w:eastAsia="zh-CN"/>
        </w:rPr>
        <w:t>，</w:t>
      </w:r>
      <w:r>
        <w:rPr>
          <w:rFonts w:hint="eastAsia" w:ascii="宋体" w:hAnsi="宋体" w:cs="宋体"/>
          <w:b/>
          <w:bCs/>
          <w:sz w:val="24"/>
          <w:szCs w:val="24"/>
          <w:highlight w:val="none"/>
          <w:lang w:val="en-US" w:eastAsia="zh-CN"/>
        </w:rPr>
        <w:t>隧道内无线通信系统</w:t>
      </w:r>
      <w:r>
        <w:rPr>
          <w:rFonts w:hint="eastAsia" w:ascii="宋体" w:hAnsi="宋体" w:cs="宋体"/>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基坑支护</w:t>
      </w:r>
      <w:r>
        <w:rPr>
          <w:rFonts w:hint="eastAsia" w:ascii="宋体" w:hAnsi="宋体" w:eastAsia="宋体" w:cs="宋体"/>
          <w:b w:val="0"/>
          <w:bCs w:val="0"/>
          <w:color w:val="auto"/>
          <w:sz w:val="24"/>
          <w:szCs w:val="24"/>
          <w:highlight w:val="none"/>
          <w:lang w:eastAsia="zh-CN"/>
        </w:rPr>
        <w:t>，地基处理，</w:t>
      </w:r>
      <w:r>
        <w:rPr>
          <w:rFonts w:hint="eastAsia" w:ascii="宋体" w:hAnsi="宋体" w:eastAsia="宋体" w:cs="宋体"/>
          <w:b w:val="0"/>
          <w:bCs w:val="0"/>
          <w:color w:val="auto"/>
          <w:sz w:val="24"/>
          <w:szCs w:val="24"/>
          <w:highlight w:val="none"/>
          <w:lang w:val="en-US" w:eastAsia="zh-CN"/>
        </w:rPr>
        <w:t>房屋安全鉴定，建构筑物保护，施工监测，路面破除及恢复，施工围蔽，协助办理道路挖掘许可手续，办理施工许可手续及与其相关联的辅助工作内容，</w:t>
      </w:r>
      <w:r>
        <w:rPr>
          <w:rFonts w:hint="eastAsia" w:ascii="宋体" w:hAnsi="宋体" w:eastAsia="宋体" w:cs="宋体"/>
          <w:sz w:val="24"/>
          <w:szCs w:val="24"/>
        </w:rPr>
        <w:t>落实施工现场实名制监控视频、配合建设单位办理前期手续，建设资料的电子化移交</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w:t>
      </w:r>
    </w:p>
    <w:p>
      <w:pPr>
        <w:pStyle w:val="10"/>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其他</w:t>
      </w:r>
      <w:r>
        <w:rPr>
          <w:rFonts w:hint="eastAsia" w:ascii="宋体" w:hAnsi="宋体" w:eastAsia="宋体" w:cs="宋体"/>
          <w:b/>
          <w:color w:val="auto"/>
          <w:sz w:val="24"/>
          <w:szCs w:val="24"/>
          <w:highlight w:val="none"/>
          <w:lang w:eastAsia="zh-CN"/>
        </w:rPr>
        <w:t>费用工程</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白蚁防治</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拆除工程</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□电缆走廊绿化赔偿</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□沿线建（构）筑物的拆除，</w:t>
      </w:r>
      <w:r>
        <w:rPr>
          <w:rFonts w:hint="eastAsia" w:hAnsi="宋体" w:cs="宋体"/>
          <w:color w:val="auto"/>
          <w:sz w:val="24"/>
          <w:szCs w:val="24"/>
          <w:highlight w:val="none"/>
          <w:u w:val="none"/>
          <w:lang w:eastAsia="zh-CN"/>
        </w:rPr>
        <w:sym w:font="Wingdings 2" w:char="0052"/>
      </w:r>
      <w:r>
        <w:rPr>
          <w:rFonts w:hint="eastAsia" w:ascii="宋体" w:hAnsi="宋体" w:eastAsia="宋体" w:cs="宋体"/>
          <w:color w:val="auto"/>
          <w:sz w:val="24"/>
          <w:szCs w:val="24"/>
          <w:highlight w:val="none"/>
          <w:u w:val="none"/>
          <w:lang w:val="en-US" w:eastAsia="zh-CN"/>
        </w:rPr>
        <w:t>与城市规划、市政、园林、交警、城监、公路等部门联系办理施工许可手续，</w:t>
      </w:r>
      <w:r>
        <w:rPr>
          <w:rFonts w:hint="eastAsia"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施工临时占用地</w:t>
      </w:r>
      <w:r>
        <w:rPr>
          <w:rFonts w:hint="eastAsia" w:ascii="宋体" w:hAnsi="宋体" w:eastAsia="宋体" w:cs="宋体"/>
          <w:color w:val="auto"/>
          <w:sz w:val="24"/>
          <w:szCs w:val="24"/>
          <w:highlight w:val="none"/>
          <w:u w:val="none"/>
          <w:lang w:eastAsia="zh-CN"/>
        </w:rPr>
        <w:t>补偿费</w:t>
      </w:r>
      <w:r>
        <w:rPr>
          <w:rFonts w:hint="eastAsia" w:ascii="宋体" w:hAnsi="宋体" w:eastAsia="宋体" w:cs="宋体"/>
          <w:color w:val="auto"/>
          <w:sz w:val="24"/>
          <w:szCs w:val="24"/>
          <w:highlight w:val="none"/>
          <w:u w:val="none"/>
          <w:lang w:val="en-US" w:eastAsia="zh-CN"/>
        </w:rPr>
        <w:t>；</w:t>
      </w:r>
    </w:p>
    <w:p>
      <w:pPr>
        <w:pStyle w:val="10"/>
        <w:keepNext w:val="0"/>
        <w:keepLines w:val="0"/>
        <w:pageBreakBefore w:val="0"/>
        <w:kinsoku/>
        <w:wordWrap/>
        <w:overflowPunct/>
        <w:topLinePunct w:val="0"/>
        <w:bidi w:val="0"/>
        <w:spacing w:line="360" w:lineRule="auto"/>
        <w:ind w:firstLine="482" w:firstLineChars="200"/>
        <w:jc w:val="left"/>
        <w:textAlignment w:val="auto"/>
        <w:outlineLvl w:val="9"/>
        <w:rPr>
          <w:rFonts w:hint="default" w:eastAsia="宋体" w:asciiTheme="minorEastAsia" w:hAnsiTheme="minorEastAsia" w:cstheme="minorEastAsia"/>
          <w:b/>
          <w:bCs/>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其他：</w:t>
      </w:r>
      <w:r>
        <w:rPr>
          <w:rFonts w:hint="eastAsia" w:hAnsi="宋体" w:cs="宋体"/>
          <w:b/>
          <w:color w:val="auto"/>
          <w:sz w:val="24"/>
          <w:szCs w:val="24"/>
          <w:highlight w:val="none"/>
          <w:u w:val="single"/>
          <w:lang w:val="en-US" w:eastAsia="zh-CN"/>
        </w:rPr>
        <w:t xml:space="preserve">   /   </w:t>
      </w:r>
    </w:p>
    <w:p>
      <w:pPr>
        <w:pStyle w:val="10"/>
        <w:keepNext w:val="0"/>
        <w:keepLines w:val="0"/>
        <w:pageBreakBefore w:val="0"/>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三、承包方式</w:t>
      </w:r>
    </w:p>
    <w:p>
      <w:pPr>
        <w:pStyle w:val="10"/>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snapToGrid w:val="0"/>
          <w:color w:val="auto"/>
          <w:kern w:val="0"/>
          <w:sz w:val="24"/>
          <w:szCs w:val="24"/>
          <w:highlight w:val="none"/>
          <w:u w:val="none"/>
        </w:rPr>
      </w:pPr>
      <w:r>
        <w:rPr>
          <w:rFonts w:hint="eastAsia" w:ascii="宋体" w:hAnsi="宋体" w:eastAsia="宋体" w:cs="宋体"/>
          <w:b/>
          <w:bCs/>
          <w:snapToGrid w:val="0"/>
          <w:color w:val="auto"/>
          <w:kern w:val="0"/>
          <w:sz w:val="24"/>
          <w:szCs w:val="24"/>
          <w:highlight w:val="none"/>
          <w:u w:val="none"/>
        </w:rPr>
        <w:t>包工、部分包料，施工图纸范围内如有下列设备、材料，无□及</w:t>
      </w:r>
      <w:r>
        <w:rPr>
          <w:rFonts w:hint="eastAsia" w:ascii="宋体" w:hAnsi="宋体" w:eastAsia="宋体" w:cs="宋体"/>
          <w:b/>
          <w:bCs/>
          <w:snapToGrid w:val="0"/>
          <w:color w:val="auto"/>
          <w:kern w:val="0"/>
          <w:sz w:val="24"/>
          <w:szCs w:val="24"/>
          <w:highlight w:val="none"/>
          <w:u w:val="none"/>
        </w:rPr>
        <w:fldChar w:fldCharType="begin"/>
      </w:r>
      <w:r>
        <w:rPr>
          <w:rFonts w:hint="eastAsia" w:ascii="宋体" w:hAnsi="宋体" w:eastAsia="宋体" w:cs="宋体"/>
          <w:b/>
          <w:bCs/>
          <w:snapToGrid w:val="0"/>
          <w:color w:val="auto"/>
          <w:kern w:val="0"/>
          <w:sz w:val="24"/>
          <w:szCs w:val="24"/>
          <w:highlight w:val="none"/>
          <w:u w:val="none"/>
        </w:rPr>
        <w:instrText xml:space="preserve"> EQ \o\ac(</w:instrText>
      </w:r>
      <w:r>
        <w:rPr>
          <w:rFonts w:hint="eastAsia" w:ascii="宋体" w:hAnsi="宋体" w:eastAsia="宋体" w:cs="宋体"/>
          <w:b/>
          <w:bCs/>
          <w:snapToGrid w:val="0"/>
          <w:color w:val="auto"/>
          <w:kern w:val="0"/>
          <w:position w:val="-4"/>
          <w:sz w:val="36"/>
          <w:szCs w:val="24"/>
          <w:highlight w:val="none"/>
          <w:u w:val="none"/>
        </w:rPr>
        <w:instrText xml:space="preserve">□</w:instrText>
      </w:r>
      <w:r>
        <w:rPr>
          <w:rFonts w:hint="eastAsia" w:ascii="宋体" w:hAnsi="宋体" w:eastAsia="宋体" w:cs="宋体"/>
          <w:b/>
          <w:bCs/>
          <w:snapToGrid w:val="0"/>
          <w:color w:val="auto"/>
          <w:kern w:val="0"/>
          <w:position w:val="0"/>
          <w:sz w:val="24"/>
          <w:szCs w:val="24"/>
          <w:highlight w:val="none"/>
          <w:u w:val="none"/>
        </w:rPr>
        <w:instrText xml:space="preserve">,√)</w:instrText>
      </w:r>
      <w:r>
        <w:rPr>
          <w:rFonts w:hint="eastAsia" w:ascii="宋体" w:hAnsi="宋体" w:eastAsia="宋体" w:cs="宋体"/>
          <w:b/>
          <w:bCs/>
          <w:snapToGrid w:val="0"/>
          <w:color w:val="auto"/>
          <w:kern w:val="0"/>
          <w:sz w:val="24"/>
          <w:szCs w:val="24"/>
          <w:highlight w:val="none"/>
          <w:u w:val="none"/>
        </w:rPr>
        <w:fldChar w:fldCharType="end"/>
      </w:r>
      <w:r>
        <w:rPr>
          <w:rFonts w:hint="eastAsia" w:ascii="宋体" w:hAnsi="宋体" w:eastAsia="宋体" w:cs="宋体"/>
          <w:b/>
          <w:bCs/>
          <w:snapToGrid w:val="0"/>
          <w:color w:val="auto"/>
          <w:kern w:val="0"/>
          <w:sz w:val="24"/>
          <w:szCs w:val="24"/>
          <w:highlight w:val="none"/>
          <w:u w:val="none"/>
        </w:rPr>
        <w:t>的为甲供，□未打√的及不在下列的为乙供。</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隧道</w:t>
      </w:r>
      <w:r>
        <w:rPr>
          <w:rFonts w:hint="eastAsia" w:ascii="宋体" w:hAnsi="宋体" w:eastAsia="宋体" w:cs="宋体"/>
          <w:b/>
          <w:bCs/>
          <w:color w:val="auto"/>
          <w:sz w:val="24"/>
          <w:szCs w:val="24"/>
          <w:highlight w:val="none"/>
        </w:rPr>
        <w:t>部分：</w:t>
      </w:r>
      <w:r>
        <w:rPr>
          <w:rFonts w:hint="eastAsia" w:ascii="宋体" w:hAnsi="宋体" w:eastAsia="宋体" w:cs="宋体"/>
          <w:b/>
          <w:color w:val="auto"/>
          <w:sz w:val="24"/>
          <w:szCs w:val="24"/>
          <w:highlight w:val="none"/>
        </w:rPr>
        <w:t>建设单位提供部分设备及材料：</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（一）甲供物资：</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outlineLvl w:val="9"/>
        <w:rPr>
          <w:rFonts w:hint="default" w:ascii="宋体" w:hAnsi="宋体" w:eastAsia="宋体" w:cs="宋体"/>
          <w:b w:val="0"/>
          <w:bCs/>
          <w:color w:val="auto"/>
          <w:sz w:val="24"/>
          <w:szCs w:val="24"/>
          <w:highlight w:val="none"/>
          <w:u w:val="none"/>
          <w:lang w:val="en-US"/>
        </w:rPr>
      </w:pPr>
      <w:r>
        <w:rPr>
          <w:rFonts w:hint="eastAsia" w:ascii="宋体" w:hAnsi="宋体" w:cs="宋体"/>
          <w:b w:val="0"/>
          <w:bCs/>
          <w:color w:val="auto"/>
          <w:sz w:val="24"/>
          <w:szCs w:val="24"/>
          <w:highlight w:val="none"/>
          <w:lang w:val="en-US" w:eastAsia="zh-CN"/>
        </w:rPr>
        <w:t>无</w:t>
      </w:r>
      <w:r>
        <w:rPr>
          <w:rFonts w:hint="eastAsia" w:ascii="宋体" w:hAnsi="宋体" w:cs="宋体"/>
          <w:iCs/>
          <w:color w:val="auto"/>
          <w:sz w:val="24"/>
          <w:szCs w:val="24"/>
          <w:highlight w:val="none"/>
          <w:lang w:val="en-US" w:eastAsia="zh-CN"/>
        </w:rPr>
        <w:t>,具体以正式合同价甲供物资清单为准。</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其他</w:t>
      </w:r>
      <w:r>
        <w:rPr>
          <w:rFonts w:hint="eastAsia" w:ascii="宋体" w:hAnsi="宋体" w:eastAsia="宋体" w:cs="宋体"/>
          <w:b/>
          <w:color w:val="auto"/>
          <w:sz w:val="24"/>
          <w:szCs w:val="24"/>
          <w:highlight w:val="none"/>
          <w:lang w:eastAsia="zh-CN"/>
        </w:rPr>
        <w:t>甲供物资</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      </w:t>
      </w:r>
      <w:r>
        <w:rPr>
          <w:rFonts w:hint="eastAsia" w:ascii="宋体" w:hAnsi="宋体" w:eastAsia="宋体" w:cs="宋体"/>
          <w:bCs/>
          <w:color w:val="auto"/>
          <w:sz w:val="24"/>
          <w:szCs w:val="24"/>
          <w:highlight w:val="none"/>
          <w:u w:val="single"/>
        </w:rPr>
        <w:t>。</w:t>
      </w:r>
    </w:p>
    <w:p>
      <w:pPr>
        <w:pStyle w:val="3"/>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四、报价表</w:t>
      </w:r>
    </w:p>
    <w:tbl>
      <w:tblPr>
        <w:tblStyle w:val="14"/>
        <w:tblW w:w="98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1230"/>
        <w:gridCol w:w="1029"/>
        <w:gridCol w:w="1018"/>
        <w:gridCol w:w="814"/>
        <w:gridCol w:w="579"/>
        <w:gridCol w:w="616"/>
        <w:gridCol w:w="775"/>
        <w:gridCol w:w="775"/>
        <w:gridCol w:w="786"/>
        <w:gridCol w:w="693"/>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jc w:val="center"/>
        </w:trPr>
        <w:tc>
          <w:tcPr>
            <w:tcW w:w="9885"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基建施工报价表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　号</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工程或费用名称</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最高投标限价（元）</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其中安全文明施工费（元）</w:t>
            </w:r>
          </w:p>
        </w:tc>
        <w:tc>
          <w:tcPr>
            <w:tcW w:w="81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其中施工专项补助费（元）</w:t>
            </w:r>
          </w:p>
        </w:tc>
        <w:tc>
          <w:tcPr>
            <w:tcW w:w="57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其中暂估价（元）</w:t>
            </w:r>
          </w:p>
        </w:tc>
        <w:tc>
          <w:tcPr>
            <w:tcW w:w="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投标下浮率（%）</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投标报价（元）</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其中安全文明施工费（元）</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其中施工专项补助费（元）</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其中暂估价（元）</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220千伏员热第二通道线路工程（隧道土建部分）施工</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284172452.00</w:t>
            </w:r>
          </w:p>
        </w:tc>
        <w:tc>
          <w:tcPr>
            <w:tcW w:w="101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15452469.00</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kinsoku/>
              <w:wordWrap/>
              <w:overflowPunct/>
              <w:topLinePunct w:val="0"/>
              <w:autoSpaceDE/>
              <w:autoSpaceDN/>
              <w:bidi w:val="0"/>
              <w:spacing w:before="0" w:after="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kinsoku/>
              <w:wordWrap/>
              <w:overflowPunct/>
              <w:topLinePunct w:val="0"/>
              <w:autoSpaceDE/>
              <w:autoSpaceDN/>
              <w:bidi w:val="0"/>
              <w:spacing w:before="0" w:after="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kinsoku/>
              <w:wordWrap/>
              <w:overflowPunct/>
              <w:topLinePunct w:val="0"/>
              <w:autoSpaceDE/>
              <w:autoSpaceDN/>
              <w:bidi w:val="0"/>
              <w:adjustRightInd/>
              <w:snapToGrid/>
              <w:spacing w:before="0" w:after="0" w:line="2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16"/>
                <w:szCs w:val="16"/>
                <w:highlight w:val="none"/>
                <w:lang w:val="en-US" w:eastAsia="zh-CN"/>
                <w14:textFill>
                  <w14:solidFill>
                    <w14:schemeClr w14:val="tx1"/>
                  </w14:solidFill>
                </w14:textFill>
              </w:rPr>
              <w:t>施工专项补助费</w:t>
            </w:r>
            <w:r>
              <w:rPr>
                <w:rFonts w:hint="eastAsia" w:ascii="宋体" w:hAnsi="宋体" w:eastAsia="宋体" w:cs="宋体"/>
                <w:b/>
                <w:bCs/>
                <w:color w:val="000000" w:themeColor="text1"/>
                <w:sz w:val="16"/>
                <w:szCs w:val="16"/>
                <w:highlight w:val="none"/>
                <w:lang w:eastAsia="zh-CN"/>
                <w14:textFill>
                  <w14:solidFill>
                    <w14:schemeClr w14:val="tx1"/>
                  </w14:solidFill>
                </w14:textFill>
              </w:rPr>
              <w:t>属竞争性费用，</w:t>
            </w:r>
            <w:r>
              <w:rPr>
                <w:rFonts w:hint="eastAsia" w:ascii="宋体" w:hAnsi="宋体" w:cs="宋体"/>
                <w:b/>
                <w:bCs/>
                <w:color w:val="000000" w:themeColor="text1"/>
                <w:sz w:val="16"/>
                <w:szCs w:val="16"/>
                <w:highlight w:val="none"/>
                <w:lang w:val="en-US" w:eastAsia="zh-CN"/>
                <w14:textFill>
                  <w14:solidFill>
                    <w14:schemeClr w14:val="tx1"/>
                  </w14:solidFill>
                </w14:textFill>
              </w:rPr>
              <w:t>需单独报价，不得超出最高投标限价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1" w:hRule="atLeast"/>
          <w:jc w:val="center"/>
        </w:trPr>
        <w:tc>
          <w:tcPr>
            <w:tcW w:w="55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合计（小写）：</w:t>
            </w:r>
          </w:p>
        </w:tc>
        <w:tc>
          <w:tcPr>
            <w:tcW w:w="102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284172452.00</w:t>
            </w:r>
          </w:p>
        </w:tc>
        <w:tc>
          <w:tcPr>
            <w:tcW w:w="1018"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15452469.00</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86" w:type="dxa"/>
            <w:tcBorders>
              <w:top w:val="single" w:color="auto" w:sz="4" w:space="0"/>
              <w:left w:val="single" w:color="000000"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spacing w:before="0" w:after="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693" w:type="dxa"/>
            <w:tcBorders>
              <w:top w:val="single" w:color="auto" w:sz="4" w:space="0"/>
              <w:left w:val="single" w:color="000000"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spacing w:before="0" w:after="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013" w:type="dxa"/>
            <w:tcBorders>
              <w:top w:val="single" w:color="auto" w:sz="4" w:space="0"/>
              <w:left w:val="single" w:color="000000"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spacing w:before="0" w:after="0" w:line="400" w:lineRule="exact"/>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7" w:hRule="atLeast"/>
          <w:jc w:val="center"/>
        </w:trPr>
        <w:tc>
          <w:tcPr>
            <w:tcW w:w="9885" w:type="dxa"/>
            <w:gridSpan w:val="12"/>
            <w:tcBorders>
              <w:top w:val="single" w:color="auto" w:sz="4" w:space="0"/>
              <w:left w:val="nil"/>
              <w:bottom w:val="nil"/>
              <w:right w:val="nil"/>
            </w:tcBorders>
            <w:vAlign w:val="center"/>
          </w:tcPr>
          <w:p>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jc w:val="left"/>
              <w:rPr>
                <w:rFonts w:hint="eastAsia" w:ascii="宋体" w:hAnsi="宋体"/>
                <w:color w:val="000000"/>
                <w:kern w:val="0"/>
                <w:sz w:val="22"/>
                <w:lang w:val="zh-CN"/>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报价要求：</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（1）投标下浮率报价，同时填报</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投标报价金额</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。投标下浮率＝[1－(投标报价-安全文明施工费-暂估价）/（最高投标限价-安全文明施工费-暂估价)]×100%（保留两位小数，如：8.</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00</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当投标报价</w:t>
            </w:r>
            <w:r>
              <w:rPr>
                <w:rFonts w:hint="eastAsia" w:ascii="宋体" w:hAnsi="宋体" w:cs="宋体"/>
                <w:b/>
                <w:bCs/>
                <w:i w:val="0"/>
                <w:color w:val="000000" w:themeColor="text1"/>
                <w:kern w:val="0"/>
                <w:sz w:val="21"/>
                <w:szCs w:val="21"/>
                <w:highlight w:val="none"/>
                <w:u w:val="none"/>
                <w:lang w:val="en-US" w:eastAsia="zh-CN" w:bidi="ar"/>
                <w14:textFill>
                  <w14:solidFill>
                    <w14:schemeClr w14:val="tx1"/>
                  </w14:solidFill>
                </w14:textFill>
              </w:rPr>
              <w:t>金额</w:t>
            </w: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与投标下浮率计算结果不一致时，以投标下浮率为准，按公式修订投标报价</w:t>
            </w:r>
            <w:r>
              <w:rPr>
                <w:rFonts w:hint="eastAsia" w:ascii="宋体" w:hAnsi="宋体" w:cs="宋体"/>
                <w:b/>
                <w:bCs/>
                <w:i w:val="0"/>
                <w:color w:val="000000" w:themeColor="text1"/>
                <w:kern w:val="0"/>
                <w:sz w:val="21"/>
                <w:szCs w:val="21"/>
                <w:highlight w:val="none"/>
                <w:u w:val="none"/>
                <w:lang w:val="en-US" w:eastAsia="zh-CN" w:bidi="ar"/>
                <w14:textFill>
                  <w14:solidFill>
                    <w14:schemeClr w14:val="tx1"/>
                  </w14:solidFill>
                </w14:textFill>
              </w:rPr>
              <w:t>金额</w:t>
            </w: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olor w:val="000000"/>
                <w:sz w:val="22"/>
                <w:lang w:val="zh-CN"/>
              </w:rPr>
              <w:t>【</w:t>
            </w:r>
            <w:r>
              <w:rPr>
                <w:rFonts w:hint="eastAsia" w:ascii="宋体" w:hAnsi="宋体"/>
                <w:color w:val="auto"/>
                <w:sz w:val="24"/>
                <w:u w:val="single"/>
                <w:lang w:val="zh-CN"/>
              </w:rPr>
              <w:t>价格分计算时，投标人评标价按</w:t>
            </w:r>
            <w:r>
              <w:rPr>
                <w:rFonts w:hint="eastAsia" w:ascii="宋体" w:hAnsi="宋体"/>
                <w:color w:val="auto"/>
                <w:sz w:val="24"/>
                <w:u w:val="single"/>
                <w:lang w:val="en-US" w:eastAsia="zh-CN"/>
              </w:rPr>
              <w:t>投标报价固定总金额</w:t>
            </w:r>
            <w:r>
              <w:rPr>
                <w:rFonts w:hint="eastAsia" w:ascii="宋体" w:hAnsi="宋体"/>
                <w:color w:val="auto"/>
                <w:sz w:val="24"/>
                <w:u w:val="single"/>
                <w:lang w:val="zh-CN"/>
              </w:rPr>
              <w:t>参与计算。</w:t>
            </w:r>
            <w:r>
              <w:rPr>
                <w:rFonts w:hint="eastAsia" w:ascii="宋体" w:hAnsi="宋体"/>
                <w:color w:val="000000"/>
                <w:kern w:val="0"/>
                <w:sz w:val="22"/>
                <w:lang w:val="zh-CN"/>
              </w:rPr>
              <w:t>】</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（2）投标下浮率不低于0%为有效报价；当投标下浮率＞15% 时应附成本分析报告，充分说明单价和费用的组成、降低成本的合理措施及在其他工程中应用过的经验等，经评审通过后方可视为有效报价。</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（3）安全文明施工费、暂估价（如有）需按照公布的金额固定报价，不得自行变更，否则视为原则性不响应招标文件要求，作否决投标处理。</w:t>
            </w:r>
          </w:p>
        </w:tc>
      </w:tr>
    </w:tbl>
    <w:p>
      <w:pPr>
        <w:pStyle w:val="3"/>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五、结算方式</w:t>
      </w:r>
    </w:p>
    <w:p>
      <w:pPr>
        <w:numPr>
          <w:ilvl w:val="0"/>
          <w:numId w:val="0"/>
        </w:numPr>
        <w:spacing w:line="360" w:lineRule="auto"/>
        <w:ind w:firstLine="480" w:firstLineChars="200"/>
        <w:rPr>
          <w:rFonts w:hint="eastAsia" w:eastAsia="宋体" w:asciiTheme="minorEastAsia" w:hAnsi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本工程为固定总价合同。</w:t>
      </w:r>
      <w:r>
        <w:rPr>
          <w:rFonts w:hint="eastAsia" w:ascii="宋体" w:hAnsi="宋体" w:cs="宋体"/>
          <w:color w:val="auto"/>
          <w:szCs w:val="21"/>
          <w:highlight w:val="none"/>
          <w:u w:val="single"/>
          <w:shd w:val="clear" w:color="auto" w:fill="auto"/>
          <w:lang w:eastAsia="zh-CN"/>
        </w:rPr>
        <w:t>具体结算原则以合同为准。</w:t>
      </w:r>
    </w:p>
    <w:p>
      <w:pPr>
        <w:spacing w:line="360" w:lineRule="auto"/>
        <w:rPr>
          <w:rFonts w:hint="default"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六、分包要求</w:t>
      </w:r>
    </w:p>
    <w:p>
      <w:pPr>
        <w:pStyle w:val="4"/>
        <w:numPr>
          <w:ilvl w:val="0"/>
          <w:numId w:val="0"/>
        </w:numPr>
        <w:jc w:val="left"/>
        <w:rPr>
          <w:rFonts w:hint="eastAsia"/>
          <w:strike w:val="0"/>
          <w:dstrike w:val="0"/>
          <w:color w:val="auto"/>
          <w:sz w:val="24"/>
          <w:szCs w:val="24"/>
          <w:highlight w:val="none"/>
          <w:lang w:eastAsia="zh-CN"/>
        </w:rPr>
      </w:pPr>
      <w:r>
        <w:rPr>
          <w:rFonts w:hint="default" w:ascii="Wingdings" w:hAnsi="Wingdings" w:cs="Wingdings"/>
          <w:strike w:val="0"/>
          <w:dstrike w:val="0"/>
          <w:color w:val="auto"/>
          <w:sz w:val="24"/>
          <w:szCs w:val="24"/>
          <w:highlight w:val="none"/>
          <w:lang w:eastAsia="zh-CN"/>
        </w:rPr>
        <w:sym w:font="Wingdings" w:char="00FE"/>
      </w:r>
      <w:r>
        <w:rPr>
          <w:rFonts w:hint="eastAsia"/>
          <w:strike w:val="0"/>
          <w:dstrike w:val="0"/>
          <w:color w:val="auto"/>
          <w:sz w:val="24"/>
          <w:szCs w:val="24"/>
          <w:highlight w:val="none"/>
          <w:lang w:eastAsia="zh-CN"/>
        </w:rPr>
        <w:t>允许分包，但必须符合以下要求：</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rPr>
        <w:t>取得施工总承包资质的承包商可以对所承接的施工总承包工程内各专业工程全部自行施工，也可以将</w:t>
      </w:r>
      <w:r>
        <w:rPr>
          <w:rFonts w:hint="eastAsia" w:asciiTheme="minorEastAsia" w:hAnsiTheme="minorEastAsia" w:eastAsiaTheme="minorEastAsia" w:cstheme="minorEastAsia"/>
          <w:strike w:val="0"/>
          <w:dstrike w:val="0"/>
          <w:color w:val="auto"/>
          <w:sz w:val="24"/>
          <w:szCs w:val="24"/>
          <w:highlight w:val="none"/>
          <w:lang w:eastAsia="zh-CN"/>
        </w:rPr>
        <w:t>专业</w:t>
      </w:r>
      <w:r>
        <w:rPr>
          <w:rFonts w:hint="eastAsia" w:asciiTheme="minorEastAsia" w:hAnsiTheme="minorEastAsia" w:eastAsiaTheme="minorEastAsia" w:cstheme="minorEastAsia"/>
          <w:strike w:val="0"/>
          <w:dstrike w:val="0"/>
          <w:color w:val="auto"/>
          <w:sz w:val="24"/>
          <w:szCs w:val="24"/>
          <w:highlight w:val="none"/>
        </w:rPr>
        <w:t>工程依法进行分包。对设有资质的专业工程进行分包时，应分包给具有相应专业承包资质的承包商。施工总承包单位将劳务作业分包时，应分包给具有施工劳务资质的承包商。但是，除总承包合同中约定的分包外，必须经建设单位认可。总承包单位按照总承包合同的约定对建设单位负责；分包单位按照分包合同的约定对总承包单位负责。总承包单位和分包单位就分包工程对建设单位承担连带责任。禁止总承包单位将工程分包给不具备相应资质条件的单位。</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2</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rPr>
        <w:t>施工总承包的基建项目，电力工程主体的施工必须由总承包单位自行完成。</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3</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rPr>
        <w:t>取得专业承包资质的承包商可以承接具有施工总承包资质的承包商依法分包的专业工程或建设单位依法发包的专业工程。取得专业承包资质的承包商应对所承接的专业工程全部自行组织施工，劳务作业可以分包，但应分包给具有施工劳务资质的承包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4</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rPr>
        <w:t>取得施工劳务资质的承包商可以承接具有施工总承包资质或专业承包资质的承包商分包的劳务作业。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5</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rPr>
        <w:t>分包商必须</w:t>
      </w:r>
      <w:r>
        <w:rPr>
          <w:rFonts w:hint="eastAsia" w:asciiTheme="minorEastAsia" w:hAnsiTheme="minorEastAsia" w:eastAsiaTheme="minorEastAsia" w:cstheme="minorEastAsia"/>
          <w:strike w:val="0"/>
          <w:dstrike w:val="0"/>
          <w:color w:val="auto"/>
          <w:sz w:val="24"/>
          <w:szCs w:val="24"/>
          <w:highlight w:val="none"/>
          <w:lang w:val="en-US" w:eastAsia="zh-CN"/>
        </w:rPr>
        <w:t>在南方电网公司供应链统一服务平台进行登记备案，并且在备案允许的范围内承接分包工程。</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（6）其他：</w:t>
      </w:r>
      <w:r>
        <w:rPr>
          <w:rFonts w:hint="eastAsia" w:asciiTheme="minorEastAsia" w:hAnsiTheme="minorEastAsia" w:eastAsiaTheme="minorEastAsia" w:cstheme="minorEastAsia"/>
          <w:strike w:val="0"/>
          <w:dstrike w:val="0"/>
          <w:color w:val="auto"/>
          <w:sz w:val="24"/>
          <w:szCs w:val="24"/>
          <w:highlight w:val="none"/>
          <w:u w:val="single"/>
          <w:lang w:val="en-US" w:eastAsia="zh-CN"/>
        </w:rPr>
        <w:t xml:space="preserve">      /                             </w:t>
      </w:r>
    </w:p>
    <w:p>
      <w:pPr>
        <w:rPr>
          <w:rFonts w:hint="eastAsia" w:asciiTheme="minorEastAsia" w:hAnsiTheme="minorEastAsia" w:eastAsiaTheme="minorEastAsia" w:cstheme="minorEastAsia"/>
          <w:color w:val="auto"/>
          <w:kern w:val="2"/>
          <w:sz w:val="24"/>
          <w:szCs w:val="24"/>
          <w:highlight w:val="none"/>
          <w:u w:val="single"/>
          <w:lang w:val="en-US" w:eastAsia="zh-CN" w:bidi="ar-SA"/>
        </w:rPr>
      </w:pPr>
    </w:p>
    <w:p>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技术标准、要求及图纸（对应招标文件 第五章）</w:t>
      </w:r>
    </w:p>
    <w:p>
      <w:pPr>
        <w:pStyle w:val="3"/>
        <w:keepNext w:val="0"/>
        <w:keepLines w:val="0"/>
        <w:pageBreakBefore w:val="0"/>
        <w:widowControl w:val="0"/>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2" w:name="_Toc508286565"/>
      <w:r>
        <w:rPr>
          <w:rFonts w:hint="eastAsia" w:asciiTheme="minorEastAsia" w:hAnsiTheme="minorEastAsia" w:eastAsiaTheme="minorEastAsia" w:cstheme="minorEastAsia"/>
          <w:i w:val="0"/>
          <w:iCs/>
          <w:color w:val="auto"/>
          <w:sz w:val="24"/>
          <w:szCs w:val="24"/>
          <w:highlight w:val="none"/>
          <w:lang w:eastAsia="zh-CN"/>
        </w:rPr>
        <w:t>一、</w:t>
      </w:r>
      <w:r>
        <w:rPr>
          <w:rFonts w:hint="eastAsia" w:asciiTheme="minorEastAsia" w:hAnsiTheme="minorEastAsia" w:eastAsiaTheme="minorEastAsia" w:cstheme="minorEastAsia"/>
          <w:i w:val="0"/>
          <w:iCs/>
          <w:color w:val="auto"/>
          <w:sz w:val="24"/>
          <w:szCs w:val="24"/>
          <w:highlight w:val="none"/>
        </w:rPr>
        <w:t xml:space="preserve"> 管理规范和技术（规范）标准（</w:t>
      </w:r>
      <w:r>
        <w:rPr>
          <w:rFonts w:hint="eastAsia" w:asciiTheme="minorEastAsia" w:hAnsiTheme="minorEastAsia" w:eastAsiaTheme="minorEastAsia" w:cstheme="minorEastAsia"/>
          <w:i w:val="0"/>
          <w:iCs/>
          <w:color w:val="auto"/>
          <w:sz w:val="24"/>
          <w:szCs w:val="24"/>
          <w:highlight w:val="none"/>
          <w:lang w:eastAsia="zh-CN"/>
        </w:rPr>
        <w:t>详见</w:t>
      </w:r>
      <w:r>
        <w:rPr>
          <w:rFonts w:hint="eastAsia" w:asciiTheme="minorEastAsia" w:hAnsiTheme="minorEastAsia" w:eastAsiaTheme="minorEastAsia" w:cstheme="minorEastAsia"/>
          <w:i w:val="0"/>
          <w:iCs/>
          <w:color w:val="auto"/>
          <w:sz w:val="24"/>
          <w:szCs w:val="24"/>
          <w:highlight w:val="none"/>
        </w:rPr>
        <w:t>合同附件）</w:t>
      </w:r>
      <w:bookmarkEnd w:id="2"/>
    </w:p>
    <w:p>
      <w:pPr>
        <w:pStyle w:val="3"/>
        <w:keepNext w:val="0"/>
        <w:keepLines w:val="0"/>
        <w:pageBreakBefore w:val="0"/>
        <w:widowControl w:val="0"/>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3" w:name="_Toc508286566"/>
      <w:r>
        <w:rPr>
          <w:rFonts w:hint="eastAsia" w:asciiTheme="minorEastAsia" w:hAnsiTheme="minorEastAsia" w:eastAsiaTheme="minorEastAsia" w:cstheme="minorEastAsia"/>
          <w:i w:val="0"/>
          <w:iCs/>
          <w:color w:val="auto"/>
          <w:sz w:val="24"/>
          <w:szCs w:val="24"/>
          <w:highlight w:val="none"/>
          <w:lang w:eastAsia="zh-CN"/>
        </w:rPr>
        <w:t>二、</w:t>
      </w:r>
      <w:r>
        <w:rPr>
          <w:rFonts w:hint="eastAsia" w:asciiTheme="minorEastAsia" w:hAnsiTheme="minorEastAsia" w:eastAsiaTheme="minorEastAsia" w:cstheme="minorEastAsia"/>
          <w:i w:val="0"/>
          <w:iCs/>
          <w:color w:val="auto"/>
          <w:sz w:val="24"/>
          <w:szCs w:val="24"/>
          <w:highlight w:val="none"/>
        </w:rPr>
        <w:t>技术</w:t>
      </w:r>
      <w:r>
        <w:rPr>
          <w:rFonts w:hint="eastAsia" w:asciiTheme="minorEastAsia" w:hAnsiTheme="minorEastAsia" w:eastAsiaTheme="minorEastAsia" w:cstheme="minorEastAsia"/>
          <w:i w:val="0"/>
          <w:iCs/>
          <w:color w:val="auto"/>
          <w:sz w:val="24"/>
          <w:szCs w:val="24"/>
          <w:highlight w:val="none"/>
          <w:lang w:val="en-US" w:eastAsia="zh-CN"/>
        </w:rPr>
        <w:t>及管理</w:t>
      </w:r>
      <w:r>
        <w:rPr>
          <w:rFonts w:hint="eastAsia" w:asciiTheme="minorEastAsia" w:hAnsiTheme="minorEastAsia" w:eastAsiaTheme="minorEastAsia" w:cstheme="minorEastAsia"/>
          <w:i w:val="0"/>
          <w:iCs/>
          <w:color w:val="auto"/>
          <w:sz w:val="24"/>
          <w:szCs w:val="24"/>
          <w:highlight w:val="none"/>
        </w:rPr>
        <w:t>要求</w:t>
      </w:r>
      <w:bookmarkEnd w:id="3"/>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i w:val="0"/>
          <w:iCs/>
          <w:color w:val="auto"/>
          <w:kern w:val="0"/>
          <w:sz w:val="24"/>
          <w:szCs w:val="24"/>
          <w:highlight w:val="none"/>
          <w:lang w:val="zh-CN"/>
        </w:rPr>
      </w:pPr>
      <w:r>
        <w:rPr>
          <w:rFonts w:hint="eastAsia" w:asciiTheme="minorEastAsia" w:hAnsiTheme="minorEastAsia" w:eastAsiaTheme="minorEastAsia" w:cstheme="minorEastAsia"/>
          <w:i w:val="0"/>
          <w:iCs/>
          <w:color w:val="auto"/>
          <w:kern w:val="0"/>
          <w:sz w:val="24"/>
          <w:szCs w:val="24"/>
          <w:highlight w:val="none"/>
          <w:lang w:val="zh-CN"/>
        </w:rPr>
        <w:t>（一）满足南方电网公司基建管理制度、建设单位的质量、环境和职业健康安全管理体系文件、其他有关制度和规定。</w:t>
      </w:r>
    </w:p>
    <w:p>
      <w:pPr>
        <w:pStyle w:val="3"/>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i w:val="0"/>
          <w:iCs/>
          <w:color w:val="auto"/>
          <w:kern w:val="0"/>
          <w:sz w:val="24"/>
          <w:szCs w:val="24"/>
          <w:highlight w:val="none"/>
          <w:lang w:val="zh-CN"/>
        </w:rPr>
      </w:pPr>
      <w:r>
        <w:rPr>
          <w:rFonts w:hint="eastAsia" w:asciiTheme="minorEastAsia" w:hAnsiTheme="minorEastAsia" w:eastAsiaTheme="minorEastAsia" w:cstheme="minorEastAsia"/>
          <w:b w:val="0"/>
          <w:bCs/>
          <w:i w:val="0"/>
          <w:iCs/>
          <w:color w:val="auto"/>
          <w:kern w:val="0"/>
          <w:sz w:val="24"/>
          <w:szCs w:val="24"/>
          <w:highlight w:val="none"/>
          <w:lang w:val="zh-CN"/>
        </w:rPr>
        <w:t>（二）符合图纸及技术文件的要求。</w:t>
      </w:r>
    </w:p>
    <w:p>
      <w:pPr>
        <w:pStyle w:val="3"/>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val="0"/>
          <w:i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color w:val="auto"/>
          <w:kern w:val="2"/>
          <w:sz w:val="24"/>
          <w:szCs w:val="24"/>
          <w:highlight w:val="none"/>
          <w:lang w:val="en-US" w:eastAsia="zh-CN" w:bidi="ar-SA"/>
        </w:rPr>
        <w:t>（三）严格执行以下管理要求：</w:t>
      </w:r>
    </w:p>
    <w:p>
      <w:pPr>
        <w:pStyle w:val="10"/>
        <w:keepNext w:val="0"/>
        <w:keepLines w:val="0"/>
        <w:pageBreakBefore w:val="0"/>
        <w:widowControl w:val="0"/>
        <w:numPr>
          <w:ilvl w:val="0"/>
          <w:numId w:val="0"/>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lang w:val="en-US" w:eastAsia="zh-CN"/>
        </w:rPr>
        <w:t>1、</w:t>
      </w:r>
      <w:r>
        <w:rPr>
          <w:rFonts w:hint="eastAsia" w:hAnsi="宋体"/>
          <w:b w:val="0"/>
          <w:bCs w:val="0"/>
          <w:color w:val="auto"/>
          <w:sz w:val="24"/>
          <w:szCs w:val="24"/>
          <w:highlight w:val="none"/>
          <w:u w:val="none"/>
        </w:rPr>
        <w:t>严格执行《保障农民工工资支付条例》（中华人民共和国国务院令 第724号）相关要求，承包人应按规定开设农民工工资专用账户，专项用于支付本工程农民工工资。</w:t>
      </w:r>
      <w:r>
        <w:rPr>
          <w:rFonts w:hint="eastAsia" w:hAnsi="宋体"/>
          <w:b w:val="0"/>
          <w:bCs w:val="0"/>
          <w:color w:val="auto"/>
          <w:sz w:val="24"/>
          <w:szCs w:val="24"/>
          <w:highlight w:val="none"/>
          <w:u w:val="none"/>
          <w:lang w:val="en-US" w:eastAsia="zh-CN"/>
        </w:rPr>
        <w:t>在合同履行期间，如国家有最新文件的，按最新文件要求执行。</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严格执行</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保障中小企业款项支付条例</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（中华人民共和国国务院令 第728号）</w:t>
      </w:r>
      <w:r>
        <w:rPr>
          <w:rFonts w:hint="eastAsia" w:hAnsi="宋体"/>
          <w:b w:val="0"/>
          <w:bCs w:val="0"/>
          <w:color w:val="auto"/>
          <w:sz w:val="24"/>
          <w:szCs w:val="24"/>
          <w:highlight w:val="none"/>
          <w:u w:val="none"/>
          <w:lang w:eastAsia="zh-CN"/>
        </w:rPr>
        <w:t>相关要求，确保</w:t>
      </w:r>
      <w:r>
        <w:rPr>
          <w:rFonts w:hint="eastAsia" w:ascii="宋体"/>
          <w:color w:val="auto"/>
          <w:sz w:val="24"/>
          <w:szCs w:val="24"/>
          <w:highlight w:val="none"/>
          <w:u w:val="none"/>
          <w:lang w:eastAsia="zh-CN"/>
        </w:rPr>
        <w:t>款项支付依法合规</w:t>
      </w:r>
      <w:r>
        <w:rPr>
          <w:rFonts w:hint="eastAsia"/>
          <w:color w:val="auto"/>
          <w:sz w:val="24"/>
          <w:szCs w:val="24"/>
          <w:highlight w:val="none"/>
          <w:u w:val="none"/>
          <w:lang w:eastAsia="zh-CN"/>
        </w:rPr>
        <w:t>。</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按照公司要求使用资产管理信息系统及南网基建移动应用，若违反使用要求，按照南网基建承包商处罚条款进行扣分。</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持续推进基建安风体系认证工作，严格执行“四步法”、“八步骤”、“7S”管理，规范PPE（人工防护用品）管理，形成施工现场安全管理文化。</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服从《南方电网公司基建承包商违章处罚条款》的日常检查及处罚、服从各建设单位安全违章处罚、服从各建设单位安全整顿及安全学习等各项安全管理指令。</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遵守国家、电力行业、公司持证上岗相关要求。</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自愿参加南方电网公司基建承包商登记建档并服从承包商管理相关规定。</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严格执行南网“八不准”。</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深化WHS、施工作业指导书和验评标准的现场应用。</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完善基建项目缺陷管理制度、表单，所有项目均严格实行缺陷填报。</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color w:val="auto"/>
          <w:sz w:val="24"/>
          <w:szCs w:val="24"/>
          <w:highlight w:val="none"/>
          <w:u w:val="none"/>
        </w:rPr>
        <w:t>积极配合执行各建设单位开展的信息化管理项目、新技术、新工艺开发应用。</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b w:val="0"/>
          <w:bCs w:val="0"/>
          <w:color w:val="auto"/>
          <w:sz w:val="24"/>
          <w:szCs w:val="24"/>
          <w:highlight w:val="none"/>
          <w:u w:val="none"/>
        </w:rPr>
        <w:t>按照《关于印发广东电网公司2020年基建领域分包管理提升工作方案的通知》（广电建〔2020〕43号）的要求，执行《广东电网公司2020年基建领域分包管理提升工作方案》相关内容。</w:t>
      </w:r>
    </w:p>
    <w:p>
      <w:pPr>
        <w:pStyle w:val="10"/>
        <w:keepNext w:val="0"/>
        <w:keepLines w:val="0"/>
        <w:pageBreakBefore w:val="0"/>
        <w:widowControl w:val="0"/>
        <w:numPr>
          <w:ilvl w:val="0"/>
          <w:numId w:val="5"/>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ascii="宋体" w:hAnsi="宋体"/>
          <w:b w:val="0"/>
          <w:bCs w:val="0"/>
          <w:color w:val="auto"/>
          <w:sz w:val="24"/>
          <w:szCs w:val="24"/>
          <w:highlight w:val="none"/>
          <w:u w:val="none"/>
        </w:rPr>
        <w:t>对出现未提供作业现场视频或弄虚作假、故意逃避视频监督等严禁和违章类问题</w:t>
      </w:r>
      <w:r>
        <w:rPr>
          <w:rFonts w:hint="eastAsia" w:ascii="宋体" w:hAnsi="宋体"/>
          <w:b w:val="0"/>
          <w:bCs w:val="0"/>
          <w:color w:val="auto"/>
          <w:sz w:val="24"/>
          <w:szCs w:val="24"/>
          <w:highlight w:val="none"/>
          <w:u w:val="none"/>
          <w:lang w:val="en-US" w:eastAsia="zh-CN"/>
        </w:rPr>
        <w:t>及</w:t>
      </w:r>
      <w:r>
        <w:rPr>
          <w:rFonts w:hint="eastAsia" w:ascii="宋体" w:hAnsi="宋体"/>
          <w:b w:val="0"/>
          <w:bCs w:val="0"/>
          <w:color w:val="auto"/>
          <w:sz w:val="24"/>
          <w:szCs w:val="24"/>
          <w:highlight w:val="none"/>
          <w:u w:val="none"/>
        </w:rPr>
        <w:t>出现作业信息填报不正确、不规范等规范类问题的承包商，依据《中国南方电网有限责任公司基建项目承包商管理业务指导书》等相关承包商管理制度对其进行扣分处罚。</w:t>
      </w:r>
    </w:p>
    <w:p>
      <w:pPr>
        <w:pStyle w:val="10"/>
        <w:keepNext w:val="0"/>
        <w:keepLines w:val="0"/>
        <w:pageBreakBefore w:val="0"/>
        <w:widowControl w:val="0"/>
        <w:numPr>
          <w:ilvl w:val="0"/>
          <w:numId w:val="5"/>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违反《广东电网有限责任公司作业现场安全纪律管理“六条铁律”》的的承包商人员（直接责任人和工作负责人），</w:t>
      </w:r>
      <w:r>
        <w:rPr>
          <w:rFonts w:hint="eastAsia" w:hAnsi="宋体"/>
          <w:b w:val="0"/>
          <w:bCs w:val="0"/>
          <w:color w:val="auto"/>
          <w:sz w:val="24"/>
          <w:szCs w:val="24"/>
          <w:highlight w:val="none"/>
          <w:u w:val="none"/>
          <w:lang w:val="en-US" w:eastAsia="zh-CN"/>
        </w:rPr>
        <w:t>根据安监部门发布的处罚结果进行处罚。</w:t>
      </w:r>
    </w:p>
    <w:p>
      <w:pPr>
        <w:pStyle w:val="10"/>
        <w:keepNext w:val="0"/>
        <w:keepLines w:val="0"/>
        <w:pageBreakBefore w:val="0"/>
        <w:widowControl w:val="0"/>
        <w:numPr>
          <w:ilvl w:val="0"/>
          <w:numId w:val="5"/>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承包商应配合我局开展施工安全资质审查，同意施工安全资质审查证明作为我局选择施工承包商的必备条件之一，同意安全惩处管理的内容、标准，同意我局每年发布的承包商安全惩处统计分析报告作为工程评标参考指标。</w:t>
      </w:r>
    </w:p>
    <w:p>
      <w:pPr>
        <w:pStyle w:val="10"/>
        <w:keepNext w:val="0"/>
        <w:keepLines w:val="0"/>
        <w:pageBreakBefore w:val="0"/>
        <w:widowControl w:val="0"/>
        <w:numPr>
          <w:ilvl w:val="0"/>
          <w:numId w:val="5"/>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rPr>
        <w:t>投标人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hAnsi="宋体"/>
          <w:b w:val="0"/>
          <w:bCs w:val="0"/>
          <w:color w:val="auto"/>
          <w:sz w:val="24"/>
          <w:szCs w:val="24"/>
          <w:highlight w:val="none"/>
          <w:u w:val="none"/>
        </w:rPr>
        <w:t>《关于印发广东电网有限责任公司施工承包商“三基”工程建设工作指引的通知》（广电建〔2020〕35号）</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要求</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具体配置要求</w:t>
      </w:r>
      <w:r>
        <w:rPr>
          <w:rFonts w:hint="eastAsia" w:hAnsi="宋体"/>
          <w:b w:val="0"/>
          <w:bCs w:val="0"/>
          <w:color w:val="auto"/>
          <w:sz w:val="24"/>
          <w:szCs w:val="24"/>
          <w:highlight w:val="none"/>
          <w:u w:val="none"/>
          <w:lang w:val="en-US" w:eastAsia="zh-CN"/>
        </w:rPr>
        <w:t>祥</w:t>
      </w:r>
      <w:r>
        <w:rPr>
          <w:rFonts w:hint="eastAsia" w:hAnsi="宋体"/>
          <w:b w:val="0"/>
          <w:bCs w:val="0"/>
          <w:color w:val="auto"/>
          <w:sz w:val="24"/>
          <w:szCs w:val="24"/>
          <w:highlight w:val="none"/>
          <w:u w:val="none"/>
        </w:rPr>
        <w:t>见</w:t>
      </w:r>
      <w:r>
        <w:rPr>
          <w:rFonts w:hint="eastAsia" w:hAnsi="宋体"/>
          <w:b w:val="0"/>
          <w:bCs w:val="0"/>
          <w:color w:val="auto"/>
          <w:sz w:val="24"/>
          <w:szCs w:val="24"/>
          <w:highlight w:val="none"/>
          <w:u w:val="none"/>
          <w:lang w:val="en-US" w:eastAsia="zh-CN"/>
        </w:rPr>
        <w:t>本</w:t>
      </w:r>
      <w:r>
        <w:rPr>
          <w:rFonts w:hint="eastAsia" w:hAnsi="宋体"/>
          <w:b w:val="0"/>
          <w:bCs w:val="0"/>
          <w:color w:val="auto"/>
          <w:sz w:val="24"/>
          <w:szCs w:val="24"/>
          <w:highlight w:val="none"/>
          <w:u w:val="none"/>
        </w:rPr>
        <w:t>章</w:t>
      </w:r>
      <w:r>
        <w:rPr>
          <w:rFonts w:hint="eastAsia" w:asciiTheme="minorEastAsia" w:hAnsiTheme="minorEastAsia" w:eastAsiaTheme="minorEastAsia" w:cstheme="minorEastAsia"/>
          <w:b/>
          <w:bCs/>
          <w:i w:val="0"/>
          <w:color w:val="auto"/>
          <w:kern w:val="2"/>
          <w:sz w:val="24"/>
          <w:szCs w:val="24"/>
          <w:highlight w:val="none"/>
          <w:lang w:val="en-US" w:eastAsia="zh-CN" w:bidi="ar-SA"/>
        </w:rPr>
        <w:t>施工力量及机具配置要求</w:t>
      </w:r>
      <w:r>
        <w:rPr>
          <w:rFonts w:hint="eastAsia" w:asciiTheme="minorEastAsia" w:hAnsiTheme="minorEastAsia" w:eastAsiaTheme="minorEastAsia" w:cstheme="minorEastAsia"/>
          <w:b w:val="0"/>
          <w:bCs w:val="0"/>
          <w:i w:val="0"/>
          <w:color w:val="auto"/>
          <w:kern w:val="2"/>
          <w:sz w:val="24"/>
          <w:szCs w:val="24"/>
          <w:highlight w:val="none"/>
          <w:lang w:val="en-US" w:eastAsia="zh-CN" w:bidi="ar-SA"/>
        </w:rPr>
        <w:t>）</w:t>
      </w:r>
      <w:r>
        <w:rPr>
          <w:rFonts w:hint="eastAsia" w:hAnsi="宋体"/>
          <w:b w:val="0"/>
          <w:bCs w:val="0"/>
          <w:color w:val="auto"/>
          <w:sz w:val="24"/>
          <w:szCs w:val="24"/>
          <w:highlight w:val="none"/>
          <w:u w:val="none"/>
        </w:rPr>
        <w:t>，</w:t>
      </w:r>
      <w:r>
        <w:rPr>
          <w:rFonts w:hint="eastAsia" w:hAnsi="宋体"/>
          <w:b w:val="0"/>
          <w:bCs w:val="0"/>
          <w:color w:val="auto"/>
          <w:sz w:val="24"/>
          <w:szCs w:val="24"/>
          <w:highlight w:val="none"/>
          <w:u w:val="none"/>
          <w:lang w:val="en-US" w:eastAsia="zh-CN"/>
        </w:rPr>
        <w:t>并在技术</w:t>
      </w:r>
      <w:r>
        <w:rPr>
          <w:rFonts w:hint="eastAsia" w:hAnsi="宋体"/>
          <w:b w:val="0"/>
          <w:bCs w:val="0"/>
          <w:color w:val="auto"/>
          <w:sz w:val="24"/>
          <w:szCs w:val="24"/>
          <w:highlight w:val="none"/>
          <w:u w:val="none"/>
        </w:rPr>
        <w:t>投标文件</w:t>
      </w:r>
      <w:r>
        <w:rPr>
          <w:rFonts w:hint="eastAsia" w:hAnsi="宋体"/>
          <w:b w:val="0"/>
          <w:bCs w:val="0"/>
          <w:color w:val="auto"/>
          <w:sz w:val="24"/>
          <w:szCs w:val="24"/>
          <w:highlight w:val="none"/>
          <w:u w:val="none"/>
          <w:lang w:val="en-US" w:eastAsia="zh-CN"/>
        </w:rPr>
        <w:t>中</w:t>
      </w:r>
      <w:r>
        <w:rPr>
          <w:rFonts w:hint="eastAsia" w:hAnsi="宋体"/>
          <w:b w:val="0"/>
          <w:bCs w:val="0"/>
          <w:color w:val="auto"/>
          <w:sz w:val="24"/>
          <w:szCs w:val="24"/>
          <w:highlight w:val="none"/>
          <w:u w:val="none"/>
        </w:rPr>
        <w:t>格式填写。</w:t>
      </w:r>
    </w:p>
    <w:p>
      <w:pPr>
        <w:pStyle w:val="10"/>
        <w:keepNext w:val="0"/>
        <w:keepLines w:val="0"/>
        <w:pageBreakBefore w:val="0"/>
        <w:widowControl w:val="0"/>
        <w:numPr>
          <w:ilvl w:val="0"/>
          <w:numId w:val="5"/>
        </w:numPr>
        <w:kinsoku/>
        <w:wordWrap/>
        <w:overflowPunct/>
        <w:topLinePunct w:val="0"/>
        <w:bidi w:val="0"/>
        <w:snapToGrid/>
        <w:spacing w:line="360" w:lineRule="auto"/>
        <w:ind w:left="0" w:leftChars="0" w:firstLine="0" w:firstLineChars="0"/>
        <w:textAlignment w:val="auto"/>
        <w:rPr>
          <w:rFonts w:hint="eastAsia" w:hAnsi="宋体"/>
          <w:b w:val="0"/>
          <w:bCs w:val="0"/>
          <w:strike w:val="0"/>
          <w:dstrike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投标人应根据</w:t>
      </w:r>
      <w:r>
        <w:rPr>
          <w:rFonts w:hint="eastAsia" w:hAnsi="宋体"/>
          <w:b w:val="0"/>
          <w:bCs w:val="0"/>
          <w:color w:val="auto"/>
          <w:sz w:val="24"/>
          <w:szCs w:val="24"/>
          <w:highlight w:val="none"/>
          <w:u w:val="none"/>
        </w:rPr>
        <w:t>建设单位及勘察、设计等单位列出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危险性较大的分部分项工程清单</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详见</w:t>
      </w:r>
      <w:r>
        <w:rPr>
          <w:rFonts w:hint="eastAsia" w:hAnsi="宋体"/>
          <w:b w:val="0"/>
          <w:bCs w:val="0"/>
          <w:strike w:val="0"/>
          <w:dstrike w:val="0"/>
          <w:color w:val="auto"/>
          <w:sz w:val="24"/>
          <w:szCs w:val="24"/>
          <w:highlight w:val="none"/>
          <w:u w:val="none"/>
          <w:lang w:val="en-US" w:eastAsia="zh-CN"/>
        </w:rPr>
        <w:t>下表</w:t>
      </w:r>
      <w:r>
        <w:rPr>
          <w:rFonts w:hint="eastAsia" w:hAnsi="宋体"/>
          <w:b w:val="0"/>
          <w:bCs w:val="0"/>
          <w:strike w:val="0"/>
          <w:dstrike w:val="0"/>
          <w:color w:val="auto"/>
          <w:sz w:val="24"/>
          <w:szCs w:val="24"/>
          <w:highlight w:val="none"/>
          <w:u w:val="none"/>
          <w:lang w:eastAsia="zh-CN"/>
        </w:rPr>
        <w:t>），</w:t>
      </w:r>
      <w:r>
        <w:rPr>
          <w:rFonts w:hint="eastAsia" w:hAnsi="宋体"/>
          <w:b w:val="0"/>
          <w:bCs w:val="0"/>
          <w:strike w:val="0"/>
          <w:dstrike w:val="0"/>
          <w:color w:val="auto"/>
          <w:sz w:val="24"/>
          <w:szCs w:val="24"/>
          <w:highlight w:val="none"/>
          <w:u w:val="none"/>
          <w:lang w:val="en-US" w:eastAsia="zh-CN"/>
        </w:rPr>
        <w:t>在</w:t>
      </w:r>
      <w:r>
        <w:rPr>
          <w:rFonts w:hint="eastAsia" w:hAnsi="宋体"/>
          <w:b w:val="0"/>
          <w:bCs w:val="0"/>
          <w:strike w:val="0"/>
          <w:dstrike w:val="0"/>
          <w:color w:val="auto"/>
          <w:sz w:val="24"/>
          <w:szCs w:val="24"/>
          <w:highlight w:val="none"/>
          <w:u w:val="none"/>
        </w:rPr>
        <w:t>技术</w:t>
      </w:r>
      <w:r>
        <w:rPr>
          <w:rFonts w:hint="eastAsia" w:hAnsi="宋体"/>
          <w:b w:val="0"/>
          <w:bCs w:val="0"/>
          <w:strike w:val="0"/>
          <w:dstrike w:val="0"/>
          <w:color w:val="auto"/>
          <w:sz w:val="24"/>
          <w:szCs w:val="24"/>
          <w:highlight w:val="none"/>
          <w:u w:val="none"/>
          <w:lang w:val="en-US" w:eastAsia="zh-CN"/>
        </w:rPr>
        <w:t>投标</w:t>
      </w:r>
      <w:r>
        <w:rPr>
          <w:rFonts w:hint="eastAsia" w:hAnsi="宋体"/>
          <w:b w:val="0"/>
          <w:bCs w:val="0"/>
          <w:strike w:val="0"/>
          <w:dstrike w:val="0"/>
          <w:color w:val="auto"/>
          <w:sz w:val="24"/>
          <w:szCs w:val="24"/>
          <w:highlight w:val="none"/>
          <w:u w:val="none"/>
        </w:rPr>
        <w:t>文</w:t>
      </w:r>
      <w:r>
        <w:rPr>
          <w:rFonts w:hint="eastAsia" w:hAnsi="宋体"/>
          <w:b w:val="0"/>
          <w:bCs w:val="0"/>
          <w:strike w:val="0"/>
          <w:dstrike w:val="0"/>
          <w:color w:val="auto"/>
          <w:sz w:val="24"/>
          <w:szCs w:val="24"/>
          <w:highlight w:val="none"/>
          <w:u w:val="none"/>
          <w:lang w:val="en-US" w:eastAsia="zh-CN"/>
        </w:rPr>
        <w:t>件中明确相应的安全管理措施。</w:t>
      </w:r>
    </w:p>
    <w:tbl>
      <w:tblPr>
        <w:tblStyle w:val="15"/>
        <w:tblpPr w:leftFromText="180" w:rightFromText="180" w:vertAnchor="text" w:horzAnchor="page" w:tblpX="1158" w:tblpY="207"/>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nil"/>
              <w:left w:val="nil"/>
              <w:bottom w:val="single" w:color="000000" w:sz="4" w:space="0"/>
              <w:right w:val="nil"/>
            </w:tcBorders>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Theme="minorEastAsia" w:hAnsiTheme="minorEastAsia" w:eastAsiaTheme="minorEastAsia" w:cstheme="minorEastAsia"/>
                <w:b/>
                <w:bCs/>
                <w:strike w:val="0"/>
                <w:dstrike w:val="0"/>
                <w:sz w:val="24"/>
                <w:szCs w:val="24"/>
                <w:highlight w:val="none"/>
                <w:vertAlign w:val="baseline"/>
                <w:lang w:val="en-US" w:eastAsia="zh-CN"/>
              </w:rPr>
            </w:pPr>
          </w:p>
        </w:tc>
        <w:tc>
          <w:tcPr>
            <w:tcW w:w="8715" w:type="dxa"/>
            <w:tcBorders>
              <w:top w:val="nil"/>
              <w:left w:val="nil"/>
              <w:bottom w:val="single" w:color="000000" w:sz="4" w:space="0"/>
              <w:right w:val="nil"/>
            </w:tcBorders>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1446" w:firstLineChars="600"/>
              <w:jc w:val="both"/>
              <w:rPr>
                <w:rFonts w:hint="eastAsia" w:asciiTheme="minorEastAsia" w:hAnsiTheme="minorEastAsia" w:eastAsiaTheme="minorEastAsia" w:cstheme="minorEastAsia"/>
                <w:b/>
                <w:bCs/>
                <w:strike w:val="0"/>
                <w:dstrike w:val="0"/>
                <w:sz w:val="24"/>
                <w:szCs w:val="24"/>
                <w:highlight w:val="none"/>
                <w:vertAlign w:val="baseline"/>
              </w:rPr>
            </w:pPr>
            <w:r>
              <w:rPr>
                <w:rFonts w:hint="eastAsia" w:asciiTheme="minorEastAsia" w:hAnsiTheme="minorEastAsia" w:eastAsiaTheme="minorEastAsia" w:cstheme="minorEastAsia"/>
                <w:b/>
                <w:bCs/>
                <w:i w:val="0"/>
                <w:strike w:val="0"/>
                <w:dstrike w:val="0"/>
                <w:color w:val="auto"/>
                <w:kern w:val="2"/>
                <w:sz w:val="24"/>
                <w:szCs w:val="24"/>
                <w:highlight w:val="none"/>
                <w:lang w:val="en-US" w:eastAsia="zh-CN" w:bidi="ar-SA"/>
              </w:rPr>
              <w:t>危险性较大的分部分项工程清单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left w:val="single" w:color="000000" w:sz="4" w:space="0"/>
            </w:tcBorders>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strike w:val="0"/>
                <w:dstrike w:val="0"/>
                <w:kern w:val="2"/>
                <w:sz w:val="24"/>
                <w:szCs w:val="24"/>
                <w:highlight w:val="none"/>
                <w:vertAlign w:val="baseline"/>
                <w:lang w:val="en-US" w:eastAsia="zh-CN" w:bidi="ar-SA"/>
              </w:rPr>
            </w:pPr>
            <w:r>
              <w:rPr>
                <w:rFonts w:hint="eastAsia" w:asciiTheme="minorEastAsia" w:hAnsiTheme="minorEastAsia" w:eastAsiaTheme="minorEastAsia" w:cstheme="minorEastAsia"/>
                <w:b/>
                <w:bCs/>
                <w:strike w:val="0"/>
                <w:dstrike w:val="0"/>
                <w:sz w:val="24"/>
                <w:szCs w:val="24"/>
                <w:highlight w:val="none"/>
                <w:vertAlign w:val="baseline"/>
                <w:lang w:val="en-US" w:eastAsia="zh-CN"/>
              </w:rPr>
              <w:t>序号</w:t>
            </w:r>
          </w:p>
        </w:tc>
        <w:tc>
          <w:tcPr>
            <w:tcW w:w="8715" w:type="dxa"/>
            <w:tcBorders>
              <w:top w:val="single" w:color="000000" w:sz="4" w:space="0"/>
              <w:right w:val="single" w:color="000000" w:sz="4" w:space="0"/>
            </w:tcBorders>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strike w:val="0"/>
                <w:dstrike w:val="0"/>
                <w:kern w:val="2"/>
                <w:sz w:val="24"/>
                <w:szCs w:val="24"/>
                <w:highlight w:val="none"/>
                <w:vertAlign w:val="baseline"/>
                <w:lang w:val="en-US" w:eastAsia="zh-CN" w:bidi="ar-SA"/>
              </w:rPr>
            </w:pPr>
            <w:r>
              <w:rPr>
                <w:rFonts w:hint="eastAsia" w:asciiTheme="minorEastAsia" w:hAnsiTheme="minorEastAsia" w:eastAsiaTheme="minorEastAsia" w:cstheme="minorEastAsia"/>
                <w:b/>
                <w:bCs/>
                <w:i w:val="0"/>
                <w:strike w:val="0"/>
                <w:dstrike w:val="0"/>
                <w:color w:val="auto"/>
                <w:kern w:val="2"/>
                <w:sz w:val="24"/>
                <w:szCs w:val="24"/>
                <w:highlight w:val="none"/>
                <w:lang w:val="en-US" w:eastAsia="zh-CN" w:bidi="ar-SA"/>
              </w:rPr>
              <w:t>危险性较大的分部分项工程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47" w:type="dxa"/>
            <w:tcBorders>
              <w:left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1</w:t>
            </w:r>
          </w:p>
        </w:tc>
        <w:tc>
          <w:tcPr>
            <w:tcW w:w="8715" w:type="dxa"/>
            <w:tcBorders>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spacing w:before="142" w:line="360" w:lineRule="exact"/>
              <w:textAlignment w:val="auto"/>
              <w:rPr>
                <w:rFonts w:hint="eastAsia" w:asciiTheme="minorEastAsia" w:hAnsiTheme="minorEastAsia" w:eastAsiaTheme="minorEastAsia" w:cstheme="minorEastAsia"/>
                <w:b w:val="0"/>
                <w:bCs w:val="0"/>
                <w:strike w:val="0"/>
                <w:dstrike w:val="0"/>
                <w:sz w:val="24"/>
                <w:szCs w:val="24"/>
                <w:highlight w:val="none"/>
                <w:vertAlign w:val="baseline"/>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开挖深度超过  3m(含 3m）的基坑(槽）的土方开挖、支护、降水工程。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2</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混凝土模板支撑工程:搭设高度   5m 及以上,或搭设跨度10m及以上,或施工总荷载(荷载效应基本组合的设计值,以下简称设计值） 10KN/m2及以上,或集中线荷载(设计值）  15KN/m 及以上,或高度大于支撑水平投影宽度且相对独立无联系构件的混凝土模板支撑工程。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3</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采用非常规起重设备、方法,且单件起吊重量在10KN 及以上的起重吊装工程。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4</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起重机械安装和拆卸工程。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5</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采用起重机械进行安装的工程。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6</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搭设高度 24m及以上的落地式钢管脚手架工程(包括采光井、电梯井脚手架）。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7</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采用矿山法、盾构法、顶管法施工的隧道、洞室工程。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bottom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8</w:t>
            </w:r>
          </w:p>
        </w:tc>
        <w:tc>
          <w:tcPr>
            <w:tcW w:w="8715" w:type="dxa"/>
            <w:tcBorders>
              <w:top w:val="single" w:color="000000" w:sz="4" w:space="0"/>
              <w:bottom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装配式建筑混凝土预制构件安装工程。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47" w:type="dxa"/>
            <w:tcBorders>
              <w:top w:val="single" w:color="000000" w:sz="4" w:space="0"/>
            </w:tcBorders>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pPr>
            <w:r>
              <w:rPr>
                <w:rFonts w:hint="eastAsia" w:asciiTheme="minorEastAsia" w:hAnsiTheme="minorEastAsia" w:eastAsiaTheme="minorEastAsia" w:cstheme="minorEastAsia"/>
                <w:b w:val="0"/>
                <w:bCs w:val="0"/>
                <w:strike w:val="0"/>
                <w:dstrike w:val="0"/>
                <w:sz w:val="24"/>
                <w:szCs w:val="24"/>
                <w:highlight w:val="none"/>
                <w:vertAlign w:val="baseline"/>
                <w:lang w:val="en-US" w:eastAsia="zh-CN"/>
              </w:rPr>
              <w:t>9</w:t>
            </w:r>
          </w:p>
        </w:tc>
        <w:tc>
          <w:tcPr>
            <w:tcW w:w="8715" w:type="dxa"/>
            <w:tcBorders>
              <w:top w:val="single" w:color="000000" w:sz="4" w:space="0"/>
            </w:tcBorders>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42" w:line="360" w:lineRule="exact"/>
              <w:textAlignment w:val="auto"/>
              <w:rPr>
                <w:rFonts w:hint="eastAsia" w:ascii="宋体" w:hAnsi="宋体" w:eastAsia="宋体" w:cs="Times New Roman"/>
                <w:b w:val="0"/>
                <w:bCs w:val="0"/>
                <w:strike w:val="0"/>
                <w:dstrike w:val="0"/>
                <w:color w:val="auto"/>
                <w:kern w:val="0"/>
                <w:sz w:val="24"/>
                <w:szCs w:val="24"/>
                <w:highlight w:val="none"/>
                <w:u w:val="none"/>
                <w:lang w:val="en-US" w:eastAsia="zh-CN" w:bidi="ar-SA"/>
              </w:rPr>
            </w:pPr>
            <w:r>
              <w:rPr>
                <w:rFonts w:hint="eastAsia" w:ascii="宋体" w:hAnsi="宋体" w:eastAsia="宋体" w:cs="Times New Roman"/>
                <w:b w:val="0"/>
                <w:bCs w:val="0"/>
                <w:strike w:val="0"/>
                <w:dstrike w:val="0"/>
                <w:color w:val="auto"/>
                <w:kern w:val="0"/>
                <w:sz w:val="24"/>
                <w:szCs w:val="24"/>
                <w:highlight w:val="none"/>
                <w:u w:val="none"/>
                <w:lang w:val="en-US" w:eastAsia="zh-CN" w:bidi="ar-SA"/>
              </w:rPr>
              <w:t>钢结构、网架和索膜结构安装工程。</w:t>
            </w:r>
          </w:p>
        </w:tc>
      </w:tr>
    </w:tbl>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hAnsi="宋体"/>
          <w:b w:val="0"/>
          <w:bCs w:val="0"/>
          <w:color w:val="auto"/>
          <w:sz w:val="24"/>
          <w:szCs w:val="24"/>
          <w:highlight w:val="none"/>
          <w:u w:val="none"/>
          <w:lang w:val="en-US" w:eastAsia="zh-CN"/>
        </w:rPr>
      </w:pP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hAnsi="宋体"/>
          <w:b w:val="0"/>
          <w:bCs w:val="0"/>
          <w:color w:val="auto"/>
          <w:sz w:val="24"/>
          <w:szCs w:val="24"/>
          <w:highlight w:val="none"/>
          <w:u w:val="none"/>
          <w:lang w:val="en-US" w:eastAsia="zh-CN"/>
        </w:rPr>
      </w:pP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hAnsi="宋体"/>
          <w:b w:val="0"/>
          <w:bCs w:val="0"/>
          <w:color w:val="auto"/>
          <w:sz w:val="24"/>
          <w:szCs w:val="24"/>
          <w:highlight w:val="none"/>
          <w:u w:val="none"/>
          <w:lang w:val="en-US" w:eastAsia="zh-CN"/>
        </w:rPr>
      </w:pPr>
    </w:p>
    <w:p>
      <w:pPr>
        <w:pStyle w:val="3"/>
        <w:keepNext w:val="0"/>
        <w:keepLines w:val="0"/>
        <w:pageBreakBefore w:val="0"/>
        <w:numPr>
          <w:ilvl w:val="0"/>
          <w:numId w:val="0"/>
        </w:numPr>
        <w:shd w:val="clear" w:color="auto" w:fill="auto"/>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三、图纸</w:t>
      </w:r>
    </w:p>
    <w:tbl>
      <w:tblPr>
        <w:tblStyle w:val="14"/>
        <w:tblW w:w="996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736"/>
        <w:gridCol w:w="395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blHeader/>
        </w:trPr>
        <w:tc>
          <w:tcPr>
            <w:tcW w:w="875" w:type="dxa"/>
            <w:vAlign w:val="center"/>
          </w:tcPr>
          <w:p>
            <w:pPr>
              <w:pStyle w:val="10"/>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序号</w:t>
            </w:r>
          </w:p>
        </w:tc>
        <w:tc>
          <w:tcPr>
            <w:tcW w:w="3736" w:type="dxa"/>
            <w:vAlign w:val="center"/>
          </w:tcPr>
          <w:p>
            <w:pPr>
              <w:pStyle w:val="10"/>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卷    册</w:t>
            </w:r>
          </w:p>
        </w:tc>
        <w:tc>
          <w:tcPr>
            <w:tcW w:w="3954" w:type="dxa"/>
            <w:vAlign w:val="center"/>
          </w:tcPr>
          <w:p>
            <w:pPr>
              <w:pStyle w:val="10"/>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工程项目及图纸名称</w:t>
            </w:r>
          </w:p>
        </w:tc>
        <w:tc>
          <w:tcPr>
            <w:tcW w:w="1397" w:type="dxa"/>
            <w:vAlign w:val="center"/>
          </w:tcPr>
          <w:p>
            <w:pPr>
              <w:pStyle w:val="10"/>
              <w:ind w:leftChars="-1" w:hanging="2" w:hangingChars="1"/>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初步设计说明书</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隧道路由总图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442-0402881C-10101-03(1/7-7/7)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隧道总平面图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442-Q2881C-10101-04(1/7-7/7)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隧道纵断面图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442-QA02881C-T0101-05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工作井1平面图一</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工作井1平面图二</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工作井1平面图三</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442-Q402881C-T0101-09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 1-1剖面图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工作井1 2-2剖面图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工作井2总平面图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工作井2平面图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442-Q402881C-T0101-13</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作井21-1剖面图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工作井2 2-2剖面图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工作井3总平面图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工作井3平面图一</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工作井3平面图二</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工作井3 1-1剖面图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442-Q402881C-T0101-19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工作井3 2-2剖面图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442-Q402881C-T0101-20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工作#4总平面图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442-Q02881C-T0101-21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工作井4平面图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442-Q402881C-T0101-22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工作#4剖面图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442-Q402881C-T0101-23</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工作井5总平面图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442-Q402881C-T0101-24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工作井5平面图一</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442-QA02881C-T0101-25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工作井5平面图二</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442-QA02881C-T0101-26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工作井5剖面图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442-Q02881C-T0101-27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工作井6总平面图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442-QA02881C-T0101-28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工作井6平面图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442-Q402881C-T0101-29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工作井6剖面图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442-QA02881C-T0101-30(1/6-6/6)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工作井基坑总平面图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442-QA02881C-T0101-31(1/2-2/2)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 xml:space="preserve"> 1#工作井基坑支护平面布置图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Style w:val="21"/>
                <w:lang w:val="en-US" w:eastAsia="zh-CN" w:bidi="ar"/>
              </w:rPr>
              <w:t>1#工作井基坑支护剖面图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 xml:space="preserve">442-QA02881C-T0101-33(1/2-2/2) </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442-QA02881C-T0101-35(1/3-3/3)</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442-QA02881C-T0101-39(1/2-2/2)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6#工作井基坑支护平面布置图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6#工作井基坑支护剖面图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442-QA02881C-T0101-43(1/4-4/4)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地下连续墙通用配筋图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基坑支护大样图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抗拔桩大样图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基坑工程监测说明</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工作井围护结构基坑监测平面图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442-QA02881C-T0101-48(1/6-6/6)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工作井借地总平面图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 xml:space="preserve">442-QA02881C-T0101-49(1/5-5/5) </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1#工作井结构布置图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 xml:space="preserve">442-QA02881C-T0101-50(1/4-4/4) </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2#工作井结构布置图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442-QA02881C-T0101-51(1/5-5/5)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3#工作井结构布置图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442-QA02881C-T0101-52(1/4-4/4)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442-QA02881C-T0101-53(1/4-4/4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442-QA02881C-T0101-54(1/2-2/2)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6#工作井结构布置图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442-QA02881C-T0101-55(1/2-2/2)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防水材料主要技术指标</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标准断面防水设计图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环向设缝区段防水设计图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施工缝防水设计图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59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442-QA02881C-T0101-59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变形缝防水设计图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止水带大样图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盾构隧道断面及支架布置图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442-Q402881C-T0101-62(1/9-9/9)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建构筑物保护设计</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442-QA02881C-T0101-63(1/6-6/6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工作井端头加固设计图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442-QA02881C-T0101-64(1/7-7/7)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施工监测平面布置图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盾构法隧道施工监测图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管片布置图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标准衬砌环构造图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左转弯衬砌环构造图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69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442-QA02881C-T0101-69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右转弯衬砌环构造图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标准衬砌环封顶块KP结构图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442-Q402881C-T0101-71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标准衬砌环相邻块BP结构图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标准衬砌环相邻块CP结构图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442-QA02881C-T0101-73</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标准衬砌环标准块A1P结构图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标准衬砌环标准块A2P结构图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标准衬砌环标准块A3P结构图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442-0A02881C-T0101-76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封顶块配筋图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相邻块配筋图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标准块配筋图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79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442-QA02881C-T0101-79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管片接缝图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管片间环缝连接螺栓图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81</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442-QA02881C-T0101-81</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管片注浆孔详图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82</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442-QA02881C-T0101-82</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盾构法隧道接口设计图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83</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442-QA02881C-T0101-83</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洞门配筋图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84</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442-QA02881C-T0101-84</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洞口预埋件图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85</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442-QA02881C-T0101-85</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管片防水设计图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86</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442-QA02881C-T0101-86</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卡轨螺栓大样图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87</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442-QA02881C-T0101-87</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集水井结构设计图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88</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442-QA02881C-T0101-88</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集水井初期支护设计图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89</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442-QA02881C-T0101-89</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集水井钢架零件图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trPr>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90</w:t>
            </w:r>
          </w:p>
        </w:tc>
        <w:tc>
          <w:tcPr>
            <w:tcW w:w="37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442-QA02881C-T0101-90</w:t>
            </w:r>
          </w:p>
        </w:tc>
        <w:tc>
          <w:tcPr>
            <w:tcW w:w="39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z w:val="24"/>
                <w:szCs w:val="24"/>
                <w:highlight w:val="none"/>
              </w:rPr>
            </w:pPr>
            <w:r>
              <w:rPr>
                <w:rFonts w:hint="eastAsia" w:ascii="宋体" w:hAnsi="宋体" w:eastAsia="宋体" w:cs="宋体"/>
                <w:i w:val="0"/>
                <w:iCs w:val="0"/>
                <w:color w:val="000000"/>
                <w:kern w:val="0"/>
                <w:sz w:val="22"/>
                <w:szCs w:val="22"/>
                <w:u w:val="none"/>
                <w:lang w:val="en-US" w:eastAsia="zh-CN" w:bidi="ar"/>
              </w:rPr>
              <w:t>集水井二衬配筋图</w:t>
            </w:r>
          </w:p>
        </w:tc>
        <w:tc>
          <w:tcPr>
            <w:tcW w:w="1397" w:type="dxa"/>
          </w:tcPr>
          <w:p>
            <w:pPr>
              <w:pStyle w:val="10"/>
              <w:jc w:val="center"/>
              <w:rPr>
                <w:rFonts w:hint="eastAsia" w:asciiTheme="minorEastAsia" w:hAnsiTheme="minorEastAsia" w:eastAsiaTheme="minorEastAsia" w:cstheme="minorEastAsia"/>
                <w:i w:val="0"/>
                <w:iCs w:val="0"/>
                <w:sz w:val="24"/>
                <w:szCs w:val="24"/>
                <w:highlight w:val="none"/>
              </w:rPr>
            </w:pPr>
          </w:p>
        </w:tc>
      </w:tr>
    </w:tbl>
    <w:p>
      <w:pPr>
        <w:rPr>
          <w:rFonts w:hint="eastAsia" w:asciiTheme="minorEastAsia" w:hAnsiTheme="minorEastAsia" w:eastAsiaTheme="minorEastAsia" w:cstheme="minorEastAsia"/>
          <w:sz w:val="24"/>
          <w:szCs w:val="24"/>
          <w:highlight w:val="none"/>
          <w:lang w:val="en-US" w:eastAsia="zh-CN"/>
        </w:rPr>
      </w:pPr>
    </w:p>
    <w:p>
      <w:pPr>
        <w:pStyle w:val="3"/>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四、工程量清单</w:t>
      </w:r>
    </w:p>
    <w:p>
      <w:pPr>
        <w:pStyle w:val="5"/>
        <w:keepNext w:val="0"/>
        <w:keepLines w:val="0"/>
        <w:pageBreakBefore w:val="0"/>
        <w:widowControl/>
        <w:kinsoku/>
        <w:wordWrap/>
        <w:overflowPunct/>
        <w:topLinePunct w:val="0"/>
        <w:autoSpaceDE/>
        <w:autoSpaceDN/>
        <w:bidi w:val="0"/>
        <w:adjustRightInd/>
        <w:snapToGrid/>
        <w:spacing w:before="0" w:after="0"/>
        <w:ind w:firstLine="240" w:firstLineChars="100"/>
        <w:textAlignment w:val="auto"/>
        <w:rPr>
          <w:rFonts w:hint="eastAsia"/>
          <w:highlight w:val="none"/>
          <w:lang w:val="en-US" w:eastAsia="zh-CN"/>
        </w:rPr>
      </w:pPr>
      <w:r>
        <w:rPr>
          <w:rStyle w:val="20"/>
          <w:rFonts w:hint="eastAsia" w:asciiTheme="minorEastAsia" w:hAnsiTheme="minorEastAsia" w:eastAsiaTheme="minorEastAsia" w:cstheme="minorEastAsia"/>
          <w:color w:val="auto"/>
          <w:sz w:val="24"/>
          <w:szCs w:val="24"/>
          <w:highlight w:val="none"/>
          <w:u w:val="none"/>
          <w:lang w:val="en-US" w:eastAsia="zh-CN"/>
        </w:rPr>
        <w:t>无</w:t>
      </w:r>
    </w:p>
    <w:p>
      <w:pPr>
        <w:pStyle w:val="3"/>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五、由建设单位提供的设备及材料价格（含运杂费）表</w:t>
      </w:r>
    </w:p>
    <w:tbl>
      <w:tblPr>
        <w:tblStyle w:val="14"/>
        <w:tblpPr w:leftFromText="180" w:rightFromText="180" w:vertAnchor="text" w:horzAnchor="page" w:tblpX="1186" w:tblpY="29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755"/>
        <w:gridCol w:w="1322"/>
        <w:gridCol w:w="148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245"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rPr>
            </w:pPr>
            <w:r>
              <w:rPr>
                <w:rFonts w:hint="eastAsia" w:asciiTheme="minorEastAsia" w:hAnsiTheme="minorEastAsia" w:eastAsiaTheme="minorEastAsia" w:cstheme="minorEastAsia"/>
                <w:i w:val="0"/>
                <w:iCs w:val="0"/>
                <w:strike w:val="0"/>
                <w:dstrike w:val="0"/>
                <w:sz w:val="24"/>
                <w:szCs w:val="24"/>
                <w:highlight w:val="none"/>
              </w:rPr>
              <w:t>序号</w:t>
            </w:r>
          </w:p>
        </w:tc>
        <w:tc>
          <w:tcPr>
            <w:tcW w:w="4755"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rPr>
            </w:pPr>
            <w:r>
              <w:rPr>
                <w:rFonts w:hint="eastAsia" w:asciiTheme="minorEastAsia" w:hAnsiTheme="minorEastAsia" w:eastAsiaTheme="minorEastAsia" w:cstheme="minorEastAsia"/>
                <w:i w:val="0"/>
                <w:iCs w:val="0"/>
                <w:strike w:val="0"/>
                <w:dstrike w:val="0"/>
                <w:sz w:val="24"/>
                <w:szCs w:val="24"/>
                <w:highlight w:val="none"/>
              </w:rPr>
              <w:t>设备、材料名称及规格</w:t>
            </w:r>
          </w:p>
        </w:tc>
        <w:tc>
          <w:tcPr>
            <w:tcW w:w="1322"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rPr>
            </w:pPr>
            <w:r>
              <w:rPr>
                <w:rFonts w:hint="eastAsia" w:asciiTheme="minorEastAsia" w:hAnsiTheme="minorEastAsia" w:eastAsiaTheme="minorEastAsia" w:cstheme="minorEastAsia"/>
                <w:i w:val="0"/>
                <w:iCs w:val="0"/>
                <w:strike w:val="0"/>
                <w:dstrike w:val="0"/>
                <w:sz w:val="24"/>
                <w:szCs w:val="24"/>
                <w:highlight w:val="none"/>
              </w:rPr>
              <w:t>单位</w:t>
            </w:r>
          </w:p>
        </w:tc>
        <w:tc>
          <w:tcPr>
            <w:tcW w:w="1486"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rPr>
            </w:pPr>
            <w:r>
              <w:rPr>
                <w:rFonts w:hint="eastAsia" w:asciiTheme="minorEastAsia" w:hAnsiTheme="minorEastAsia" w:eastAsiaTheme="minorEastAsia" w:cstheme="minorEastAsia"/>
                <w:i w:val="0"/>
                <w:iCs w:val="0"/>
                <w:strike w:val="0"/>
                <w:dstrike w:val="0"/>
                <w:sz w:val="24"/>
                <w:szCs w:val="24"/>
                <w:highlight w:val="none"/>
              </w:rPr>
              <w:t>单价（元）</w:t>
            </w:r>
          </w:p>
        </w:tc>
        <w:tc>
          <w:tcPr>
            <w:tcW w:w="1154"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rPr>
            </w:pPr>
            <w:r>
              <w:rPr>
                <w:rFonts w:hint="eastAsia" w:asciiTheme="minorEastAsia" w:hAnsiTheme="minorEastAsia" w:eastAsiaTheme="minorEastAsia" w:cstheme="minorEastAsia"/>
                <w:i w:val="0"/>
                <w:iCs w:val="0"/>
                <w:strike w:val="0"/>
                <w:dstrike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245"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lang w:val="en-US" w:eastAsia="zh-CN"/>
              </w:rPr>
            </w:pPr>
            <w:r>
              <w:rPr>
                <w:rFonts w:hint="eastAsia" w:asciiTheme="minorEastAsia" w:hAnsiTheme="minorEastAsia" w:eastAsiaTheme="minorEastAsia" w:cstheme="minorEastAsia"/>
                <w:i w:val="0"/>
                <w:iCs w:val="0"/>
                <w:strike w:val="0"/>
                <w:dstrike w:val="0"/>
                <w:sz w:val="24"/>
                <w:szCs w:val="24"/>
                <w:highlight w:val="none"/>
                <w:lang w:val="en-US" w:eastAsia="zh-CN"/>
              </w:rPr>
              <w:t>/</w:t>
            </w:r>
          </w:p>
        </w:tc>
        <w:tc>
          <w:tcPr>
            <w:tcW w:w="4755"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lang w:val="en-US" w:eastAsia="zh-CN"/>
              </w:rPr>
            </w:pPr>
            <w:r>
              <w:rPr>
                <w:rFonts w:hint="eastAsia" w:asciiTheme="minorEastAsia" w:hAnsiTheme="minorEastAsia" w:eastAsiaTheme="minorEastAsia" w:cstheme="minorEastAsia"/>
                <w:i w:val="0"/>
                <w:iCs w:val="0"/>
                <w:strike w:val="0"/>
                <w:dstrike w:val="0"/>
                <w:sz w:val="24"/>
                <w:szCs w:val="24"/>
                <w:highlight w:val="none"/>
                <w:lang w:val="en-US" w:eastAsia="zh-CN"/>
              </w:rPr>
              <w:t>/</w:t>
            </w:r>
          </w:p>
        </w:tc>
        <w:tc>
          <w:tcPr>
            <w:tcW w:w="1322" w:type="dxa"/>
            <w:vAlign w:val="center"/>
          </w:tcPr>
          <w:p>
            <w:pPr>
              <w:pStyle w:val="10"/>
              <w:jc w:val="center"/>
              <w:rPr>
                <w:rFonts w:hint="eastAsia" w:asciiTheme="minorEastAsia" w:hAnsiTheme="minorEastAsia" w:eastAsiaTheme="minorEastAsia" w:cstheme="minorEastAsia"/>
                <w:i w:val="0"/>
                <w:iCs w:val="0"/>
                <w:strike w:val="0"/>
                <w:dstrike w:val="0"/>
                <w:sz w:val="24"/>
                <w:szCs w:val="24"/>
                <w:highlight w:val="none"/>
                <w:lang w:val="en-US" w:eastAsia="zh-CN"/>
              </w:rPr>
            </w:pPr>
            <w:r>
              <w:rPr>
                <w:rFonts w:hint="eastAsia" w:asciiTheme="minorEastAsia" w:hAnsiTheme="minorEastAsia" w:eastAsiaTheme="minorEastAsia" w:cstheme="minorEastAsia"/>
                <w:i w:val="0"/>
                <w:iCs w:val="0"/>
                <w:strike w:val="0"/>
                <w:dstrike w:val="0"/>
                <w:sz w:val="24"/>
                <w:szCs w:val="24"/>
                <w:highlight w:val="none"/>
                <w:lang w:val="en-US" w:eastAsia="zh-CN"/>
              </w:rPr>
              <w:t>/</w:t>
            </w:r>
          </w:p>
        </w:tc>
        <w:tc>
          <w:tcPr>
            <w:tcW w:w="1486" w:type="dxa"/>
            <w:vAlign w:val="center"/>
          </w:tcPr>
          <w:p>
            <w:pPr>
              <w:pStyle w:val="10"/>
              <w:jc w:val="center"/>
              <w:rPr>
                <w:rFonts w:hint="default" w:asciiTheme="minorEastAsia" w:hAnsiTheme="minorEastAsia" w:eastAsiaTheme="minorEastAsia" w:cstheme="minorEastAsia"/>
                <w:i w:val="0"/>
                <w:iCs w:val="0"/>
                <w:strike w:val="0"/>
                <w:dstrike w:val="0"/>
                <w:sz w:val="24"/>
                <w:szCs w:val="24"/>
                <w:highlight w:val="none"/>
                <w:lang w:val="en-US" w:eastAsia="zh-CN"/>
              </w:rPr>
            </w:pPr>
            <w:r>
              <w:rPr>
                <w:rFonts w:hint="eastAsia" w:asciiTheme="minorEastAsia" w:hAnsiTheme="minorEastAsia" w:eastAsiaTheme="minorEastAsia" w:cstheme="minorEastAsia"/>
                <w:i w:val="0"/>
                <w:iCs w:val="0"/>
                <w:strike w:val="0"/>
                <w:dstrike w:val="0"/>
                <w:sz w:val="24"/>
                <w:szCs w:val="24"/>
                <w:highlight w:val="none"/>
                <w:lang w:val="en-US" w:eastAsia="zh-CN"/>
              </w:rPr>
              <w:t>/</w:t>
            </w:r>
          </w:p>
        </w:tc>
        <w:tc>
          <w:tcPr>
            <w:tcW w:w="1154" w:type="dxa"/>
            <w:vAlign w:val="center"/>
          </w:tcPr>
          <w:p>
            <w:pPr>
              <w:jc w:val="center"/>
              <w:rPr>
                <w:rFonts w:hint="eastAsia" w:asciiTheme="minorEastAsia" w:hAnsiTheme="minorEastAsia" w:eastAsiaTheme="minorEastAsia" w:cstheme="minorEastAsia"/>
                <w:i w:val="0"/>
                <w:iCs w:val="0"/>
                <w:strike w:val="0"/>
                <w:dstrike w:val="0"/>
                <w:sz w:val="24"/>
                <w:szCs w:val="24"/>
                <w:highlight w:val="none"/>
                <w:lang w:val="en-US" w:eastAsia="zh-CN"/>
              </w:rPr>
            </w:pPr>
            <w:r>
              <w:rPr>
                <w:rFonts w:hint="eastAsia" w:asciiTheme="minorEastAsia" w:hAnsiTheme="minorEastAsia" w:eastAsiaTheme="minorEastAsia" w:cstheme="minorEastAsia"/>
                <w:i w:val="0"/>
                <w:iCs w:val="0"/>
                <w:strike w:val="0"/>
                <w:dstrike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9962" w:type="dxa"/>
            <w:gridSpan w:val="5"/>
            <w:tcBorders>
              <w:right w:val="single" w:color="auto" w:sz="4" w:space="0"/>
            </w:tcBorders>
            <w:vAlign w:val="top"/>
          </w:tcPr>
          <w:p>
            <w:pPr>
              <w:pStyle w:val="10"/>
              <w:ind w:firstLine="480" w:firstLineChars="200"/>
              <w:rPr>
                <w:rFonts w:hint="eastAsia" w:asciiTheme="minorEastAsia" w:hAnsiTheme="minorEastAsia" w:eastAsiaTheme="minorEastAsia" w:cstheme="minorEastAsia"/>
                <w:bCs/>
                <w:i w:val="0"/>
                <w:iCs w:val="0"/>
                <w:strike w:val="0"/>
                <w:dstrike w:val="0"/>
                <w:sz w:val="24"/>
                <w:szCs w:val="24"/>
                <w:highlight w:val="none"/>
              </w:rPr>
            </w:pPr>
            <w:r>
              <w:rPr>
                <w:rFonts w:hint="eastAsia" w:asciiTheme="minorEastAsia" w:hAnsiTheme="minorEastAsia" w:eastAsiaTheme="minorEastAsia" w:cstheme="minorEastAsia"/>
                <w:bCs/>
                <w:i w:val="0"/>
                <w:iCs w:val="0"/>
                <w:strike w:val="0"/>
                <w:dstrike w:val="0"/>
                <w:sz w:val="24"/>
                <w:szCs w:val="24"/>
                <w:highlight w:val="none"/>
              </w:rPr>
              <w:t>建设单位提供的材料价格参考《电力建设工程装置性材料预算价格（2013 年版）》执行，不足部分可参考使用《电力建设工程装置性材料综合预算价格（2013 年版）》。</w:t>
            </w:r>
          </w:p>
        </w:tc>
      </w:tr>
    </w:tbl>
    <w:p>
      <w:pPr>
        <w:pStyle w:val="10"/>
        <w:jc w:val="center"/>
        <w:rPr>
          <w:rFonts w:hint="eastAsia" w:asciiTheme="minorEastAsia" w:hAnsiTheme="minorEastAsia" w:eastAsiaTheme="minorEastAsia" w:cstheme="minorEastAsia"/>
          <w:b/>
          <w:bCs/>
          <w:i w:val="0"/>
          <w:iCs w:val="0"/>
          <w:strike w:val="0"/>
          <w:dstrike w:val="0"/>
          <w:sz w:val="24"/>
          <w:szCs w:val="24"/>
          <w:highlight w:val="none"/>
        </w:rPr>
      </w:pPr>
      <w:r>
        <w:rPr>
          <w:rFonts w:hint="eastAsia" w:asciiTheme="minorEastAsia" w:hAnsiTheme="minorEastAsia" w:eastAsiaTheme="minorEastAsia" w:cstheme="minorEastAsia"/>
          <w:b/>
          <w:bCs/>
          <w:i w:val="0"/>
          <w:iCs w:val="0"/>
          <w:strike w:val="0"/>
          <w:dstrike w:val="0"/>
          <w:sz w:val="24"/>
          <w:szCs w:val="24"/>
          <w:highlight w:val="none"/>
        </w:rPr>
        <w:t>由建设单位提供的设备及材料价格（含运到承包人材料站）</w:t>
      </w:r>
    </w:p>
    <w:p>
      <w:pPr>
        <w:pStyle w:val="3"/>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157" w:beforeLines="50" w:line="360" w:lineRule="auto"/>
        <w:ind w:leftChars="0"/>
        <w:textAlignment w:val="auto"/>
        <w:outlineLvl w:val="1"/>
        <w:rPr>
          <w:rFonts w:hint="eastAsia" w:asciiTheme="minorEastAsia" w:hAnsiTheme="minorEastAsia" w:eastAsiaTheme="minorEastAsia" w:cstheme="minorEastAsia"/>
          <w:b/>
          <w:bCs/>
          <w:i w:val="0"/>
          <w:strike w:val="0"/>
          <w:color w:val="auto"/>
          <w:kern w:val="2"/>
          <w:sz w:val="24"/>
          <w:szCs w:val="24"/>
          <w:highlight w:val="none"/>
          <w:lang w:val="en-US" w:eastAsia="zh-CN" w:bidi="ar-SA"/>
        </w:rPr>
      </w:pPr>
      <w:r>
        <w:rPr>
          <w:rFonts w:hint="eastAsia" w:asciiTheme="minorEastAsia" w:hAnsiTheme="minorEastAsia" w:eastAsiaTheme="minorEastAsia" w:cstheme="minorEastAsia"/>
          <w:b/>
          <w:bCs/>
          <w:i w:val="0"/>
          <w:strike w:val="0"/>
          <w:color w:val="auto"/>
          <w:kern w:val="2"/>
          <w:sz w:val="24"/>
          <w:szCs w:val="24"/>
          <w:highlight w:val="none"/>
          <w:lang w:val="en-US" w:eastAsia="zh-CN" w:bidi="ar-SA"/>
        </w:rPr>
        <w:t>六、特殊调试项目</w:t>
      </w:r>
    </w:p>
    <w:p>
      <w:pPr>
        <w:autoSpaceDE w:val="0"/>
        <w:autoSpaceDN w:val="0"/>
        <w:jc w:val="center"/>
        <w:rPr>
          <w:rFonts w:hint="eastAsia" w:asciiTheme="minorEastAsia" w:hAnsiTheme="minorEastAsia" w:eastAsiaTheme="minorEastAsia" w:cstheme="minorEastAsia"/>
          <w:b/>
          <w:bCs/>
          <w:strike w:val="0"/>
          <w:dstrike w:val="0"/>
          <w:sz w:val="24"/>
          <w:szCs w:val="24"/>
          <w:highlight w:val="none"/>
        </w:rPr>
      </w:pPr>
      <w:r>
        <w:rPr>
          <w:rFonts w:hint="eastAsia" w:asciiTheme="minorEastAsia" w:hAnsiTheme="minorEastAsia" w:eastAsiaTheme="minorEastAsia" w:cstheme="minorEastAsia"/>
          <w:b/>
          <w:bCs/>
          <w:strike w:val="0"/>
          <w:dstrike w:val="0"/>
          <w:sz w:val="24"/>
          <w:szCs w:val="24"/>
          <w:highlight w:val="none"/>
        </w:rPr>
        <w:t>特殊调试项目明细表</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638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72" w:type="dxa"/>
            <w:vAlign w:val="center"/>
          </w:tcPr>
          <w:p>
            <w:pPr>
              <w:autoSpaceDE w:val="0"/>
              <w:autoSpaceDN w:val="0"/>
              <w:jc w:val="center"/>
              <w:rPr>
                <w:rFonts w:hint="eastAsia" w:asciiTheme="minorEastAsia" w:hAnsiTheme="minorEastAsia" w:eastAsiaTheme="minorEastAsia" w:cstheme="minorEastAsia"/>
                <w:strike w:val="0"/>
                <w:dstrike w:val="0"/>
                <w:sz w:val="24"/>
                <w:szCs w:val="24"/>
                <w:highlight w:val="none"/>
              </w:rPr>
            </w:pPr>
            <w:r>
              <w:rPr>
                <w:rFonts w:hint="eastAsia" w:asciiTheme="minorEastAsia" w:hAnsiTheme="minorEastAsia" w:eastAsiaTheme="minorEastAsia" w:cstheme="minorEastAsia"/>
                <w:strike w:val="0"/>
                <w:dstrike w:val="0"/>
                <w:sz w:val="24"/>
                <w:szCs w:val="24"/>
                <w:highlight w:val="none"/>
              </w:rPr>
              <w:t>序号</w:t>
            </w:r>
          </w:p>
        </w:tc>
        <w:tc>
          <w:tcPr>
            <w:tcW w:w="6385" w:type="dxa"/>
            <w:vAlign w:val="center"/>
          </w:tcPr>
          <w:p>
            <w:pPr>
              <w:autoSpaceDE w:val="0"/>
              <w:autoSpaceDN w:val="0"/>
              <w:jc w:val="center"/>
              <w:rPr>
                <w:rFonts w:hint="eastAsia" w:asciiTheme="minorEastAsia" w:hAnsiTheme="minorEastAsia" w:eastAsiaTheme="minorEastAsia" w:cstheme="minorEastAsia"/>
                <w:strike w:val="0"/>
                <w:dstrike w:val="0"/>
                <w:sz w:val="24"/>
                <w:szCs w:val="24"/>
                <w:highlight w:val="none"/>
              </w:rPr>
            </w:pPr>
            <w:r>
              <w:rPr>
                <w:rFonts w:hint="eastAsia" w:asciiTheme="minorEastAsia" w:hAnsiTheme="minorEastAsia" w:eastAsiaTheme="minorEastAsia" w:cstheme="minorEastAsia"/>
                <w:strike w:val="0"/>
                <w:dstrike w:val="0"/>
                <w:sz w:val="24"/>
                <w:szCs w:val="24"/>
                <w:highlight w:val="none"/>
              </w:rPr>
              <w:t>特殊调试项目</w:t>
            </w:r>
          </w:p>
        </w:tc>
        <w:tc>
          <w:tcPr>
            <w:tcW w:w="2505" w:type="dxa"/>
            <w:vAlign w:val="center"/>
          </w:tcPr>
          <w:p>
            <w:pPr>
              <w:autoSpaceDE w:val="0"/>
              <w:autoSpaceDN w:val="0"/>
              <w:jc w:val="center"/>
              <w:rPr>
                <w:rFonts w:hint="eastAsia" w:asciiTheme="minorEastAsia" w:hAnsiTheme="minorEastAsia" w:eastAsiaTheme="minorEastAsia" w:cstheme="minorEastAsia"/>
                <w:strike w:val="0"/>
                <w:dstrike w:val="0"/>
                <w:sz w:val="24"/>
                <w:szCs w:val="24"/>
                <w:highlight w:val="none"/>
              </w:rPr>
            </w:pPr>
            <w:r>
              <w:rPr>
                <w:rFonts w:hint="eastAsia" w:asciiTheme="minorEastAsia" w:hAnsiTheme="minorEastAsia" w:eastAsiaTheme="minorEastAsia" w:cstheme="minorEastAsia"/>
                <w:strike w:val="0"/>
                <w:dstrike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0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trike w:val="0"/>
                <w:dstrike w:val="0"/>
                <w:sz w:val="24"/>
                <w:szCs w:val="24"/>
                <w:highlight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1</w:t>
            </w:r>
          </w:p>
        </w:tc>
        <w:tc>
          <w:tcPr>
            <w:tcW w:w="63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trike w:val="0"/>
                <w:dstrike w:val="0"/>
                <w:sz w:val="24"/>
                <w:szCs w:val="24"/>
                <w:highlight w:val="none"/>
                <w:lang w:val="en-US" w:eastAsia="zh-CN"/>
              </w:rPr>
            </w:pPr>
            <w:r>
              <w:rPr>
                <w:rFonts w:hint="eastAsia" w:asciiTheme="minorEastAsia" w:hAnsiTheme="minorEastAsia" w:eastAsiaTheme="minorEastAsia" w:cstheme="minorEastAsia"/>
                <w:strike w:val="0"/>
                <w:dstrike w:val="0"/>
                <w:sz w:val="24"/>
                <w:szCs w:val="24"/>
                <w:highlight w:val="none"/>
                <w:lang w:val="en-US" w:eastAsia="zh-CN"/>
              </w:rPr>
              <w:t>/</w:t>
            </w:r>
          </w:p>
        </w:tc>
        <w:tc>
          <w:tcPr>
            <w:tcW w:w="2505" w:type="dxa"/>
            <w:vAlign w:val="center"/>
          </w:tcPr>
          <w:p>
            <w:pPr>
              <w:autoSpaceDE w:val="0"/>
              <w:autoSpaceDN w:val="0"/>
              <w:jc w:val="center"/>
              <w:rPr>
                <w:rFonts w:hint="eastAsia" w:asciiTheme="minorEastAsia" w:hAnsiTheme="minorEastAsia" w:eastAsiaTheme="minorEastAsia" w:cstheme="minorEastAsia"/>
                <w:strike w:val="0"/>
                <w:dstrike w:val="0"/>
                <w:sz w:val="24"/>
                <w:szCs w:val="24"/>
                <w:highlight w:val="none"/>
                <w:lang w:val="en-US" w:eastAsia="zh-CN"/>
              </w:rPr>
            </w:pPr>
            <w:r>
              <w:rPr>
                <w:rFonts w:hint="eastAsia" w:asciiTheme="minorEastAsia" w:hAnsiTheme="minorEastAsia" w:eastAsiaTheme="minorEastAsia" w:cstheme="minorEastAsia"/>
                <w:strike w:val="0"/>
                <w:dstrike w:val="0"/>
                <w:sz w:val="24"/>
                <w:szCs w:val="24"/>
                <w:highlight w:val="none"/>
                <w:lang w:val="en-US" w:eastAsia="zh-CN"/>
              </w:rPr>
              <w:t>/</w:t>
            </w: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Theme="minorEastAsia" w:hAnsiTheme="minorEastAsia" w:eastAsiaTheme="minorEastAsia" w:cstheme="minorEastAsia"/>
          <w:strike/>
          <w:dstrike w:val="0"/>
          <w:sz w:val="24"/>
          <w:szCs w:val="24"/>
          <w:highlight w:val="yellow"/>
          <w:lang w:val="en-US" w:eastAsia="zh-CN"/>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Theme="minorEastAsia" w:hAnsiTheme="minorEastAsia" w:eastAsiaTheme="minorEastAsia" w:cstheme="minorEastAsia"/>
          <w:strike/>
          <w:dstrike w:val="0"/>
          <w:sz w:val="24"/>
          <w:szCs w:val="24"/>
          <w:highlight w:val="yellow"/>
          <w:lang w:val="en-US" w:eastAsia="zh-CN"/>
        </w:rPr>
      </w:pPr>
    </w:p>
    <w:p>
      <w:pPr>
        <w:pStyle w:val="3"/>
        <w:keepNext w:val="0"/>
        <w:keepLines w:val="0"/>
        <w:pageBreakBefore w:val="0"/>
        <w:numPr>
          <w:ilvl w:val="0"/>
          <w:numId w:val="6"/>
        </w:numPr>
        <w:shd w:val="clear" w:color="auto" w:fill="auto"/>
        <w:kinsoku/>
        <w:wordWrap/>
        <w:overflowPunct/>
        <w:topLinePunct w:val="0"/>
        <w:bidi w:val="0"/>
        <w:spacing w:line="360" w:lineRule="auto"/>
        <w:ind w:left="0" w:leftChars="0" w:firstLine="0" w:firstLine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全面开展标准建设清单</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8"/>
        <w:gridCol w:w="2433"/>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5" w:type="dxa"/>
            <w:vAlign w:val="center"/>
          </w:tcPr>
          <w:p>
            <w:pPr>
              <w:autoSpaceDE w:val="0"/>
              <w:autoSpaceDN w:val="0"/>
              <w:jc w:val="center"/>
              <w:rPr>
                <w:rFonts w:hint="eastAsia" w:ascii="宋体" w:hAnsi="宋体"/>
                <w:strike w:val="0"/>
                <w:dstrike w:val="0"/>
                <w:szCs w:val="21"/>
                <w:highlight w:val="none"/>
              </w:rPr>
            </w:pPr>
            <w:r>
              <w:rPr>
                <w:rFonts w:hint="eastAsia" w:ascii="宋体" w:hAnsi="宋体"/>
                <w:strike w:val="0"/>
                <w:dstrike w:val="0"/>
                <w:szCs w:val="21"/>
                <w:highlight w:val="none"/>
              </w:rPr>
              <w:t>序号</w:t>
            </w:r>
          </w:p>
        </w:tc>
        <w:tc>
          <w:tcPr>
            <w:tcW w:w="3458" w:type="dxa"/>
            <w:vAlign w:val="center"/>
          </w:tcPr>
          <w:p>
            <w:pPr>
              <w:autoSpaceDE w:val="0"/>
              <w:autoSpaceDN w:val="0"/>
              <w:jc w:val="center"/>
              <w:rPr>
                <w:rFonts w:hint="eastAsia" w:ascii="宋体" w:hAnsi="宋体"/>
                <w:strike w:val="0"/>
                <w:dstrike w:val="0"/>
                <w:szCs w:val="21"/>
                <w:highlight w:val="none"/>
              </w:rPr>
            </w:pPr>
            <w:r>
              <w:rPr>
                <w:rFonts w:hint="eastAsia" w:ascii="宋体" w:hAnsi="宋体"/>
                <w:strike w:val="0"/>
                <w:dstrike w:val="0"/>
                <w:szCs w:val="21"/>
                <w:highlight w:val="none"/>
              </w:rPr>
              <w:t>标准点</w:t>
            </w:r>
          </w:p>
        </w:tc>
        <w:tc>
          <w:tcPr>
            <w:tcW w:w="2433" w:type="dxa"/>
            <w:vAlign w:val="center"/>
          </w:tcPr>
          <w:p>
            <w:pPr>
              <w:autoSpaceDE w:val="0"/>
              <w:autoSpaceDN w:val="0"/>
              <w:jc w:val="center"/>
              <w:rPr>
                <w:rFonts w:hint="eastAsia" w:ascii="宋体" w:hAnsi="宋体"/>
                <w:strike w:val="0"/>
                <w:dstrike w:val="0"/>
                <w:szCs w:val="21"/>
                <w:highlight w:val="none"/>
              </w:rPr>
            </w:pPr>
            <w:r>
              <w:rPr>
                <w:rFonts w:hint="eastAsia" w:ascii="宋体" w:hAnsi="宋体"/>
                <w:strike w:val="0"/>
                <w:dstrike w:val="0"/>
                <w:szCs w:val="21"/>
                <w:highlight w:val="none"/>
              </w:rPr>
              <w:t>部位</w:t>
            </w:r>
          </w:p>
        </w:tc>
        <w:tc>
          <w:tcPr>
            <w:tcW w:w="1653" w:type="dxa"/>
            <w:vAlign w:val="center"/>
          </w:tcPr>
          <w:p>
            <w:pPr>
              <w:autoSpaceDE w:val="0"/>
              <w:autoSpaceDN w:val="0"/>
              <w:jc w:val="center"/>
              <w:rPr>
                <w:rFonts w:hint="eastAsia" w:ascii="宋体" w:hAnsi="宋体"/>
                <w:strike w:val="0"/>
                <w:dstrike w:val="0"/>
                <w:szCs w:val="21"/>
                <w:highlight w:val="none"/>
              </w:rPr>
            </w:pPr>
            <w:r>
              <w:rPr>
                <w:rFonts w:hint="eastAsia" w:ascii="宋体" w:hAnsi="宋体"/>
                <w:strike w:val="0"/>
                <w:dstrike w:val="0"/>
                <w:szCs w:val="21"/>
                <w:highlight w:val="none"/>
              </w:rPr>
              <w:t>作法</w:t>
            </w:r>
          </w:p>
        </w:tc>
        <w:tc>
          <w:tcPr>
            <w:tcW w:w="1653" w:type="dxa"/>
            <w:vAlign w:val="center"/>
          </w:tcPr>
          <w:p>
            <w:pPr>
              <w:autoSpaceDE w:val="0"/>
              <w:autoSpaceDN w:val="0"/>
              <w:jc w:val="center"/>
              <w:rPr>
                <w:rFonts w:hint="eastAsia" w:ascii="宋体" w:hAnsi="宋体"/>
                <w:strike w:val="0"/>
                <w:dstrike w:val="0"/>
                <w:szCs w:val="21"/>
                <w:highlight w:val="none"/>
              </w:rPr>
            </w:pPr>
            <w:r>
              <w:rPr>
                <w:rFonts w:hint="eastAsia" w:ascii="宋体" w:hAnsi="宋体"/>
                <w:strike w:val="0"/>
                <w:dstrike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5" w:type="dxa"/>
            <w:vAlign w:val="center"/>
          </w:tcPr>
          <w:p>
            <w:pPr>
              <w:autoSpaceDE w:val="0"/>
              <w:autoSpaceDN w:val="0"/>
              <w:jc w:val="center"/>
              <w:rPr>
                <w:rFonts w:hint="eastAsia" w:ascii="宋体" w:hAnsi="宋体" w:eastAsia="宋体"/>
                <w:strike w:val="0"/>
                <w:dstrike w:val="0"/>
                <w:szCs w:val="21"/>
                <w:highlight w:val="none"/>
                <w:lang w:val="en-US" w:eastAsia="zh-CN"/>
              </w:rPr>
            </w:pPr>
            <w:r>
              <w:rPr>
                <w:rFonts w:hint="eastAsia" w:ascii="宋体" w:hAnsi="宋体"/>
                <w:strike w:val="0"/>
                <w:dstrike w:val="0"/>
                <w:szCs w:val="21"/>
                <w:highlight w:val="none"/>
                <w:lang w:val="en-US" w:eastAsia="zh-CN"/>
              </w:rPr>
              <w:t>/</w:t>
            </w:r>
          </w:p>
        </w:tc>
        <w:tc>
          <w:tcPr>
            <w:tcW w:w="3458" w:type="dxa"/>
            <w:vAlign w:val="center"/>
          </w:tcPr>
          <w:p>
            <w:pPr>
              <w:autoSpaceDE w:val="0"/>
              <w:autoSpaceDN w:val="0"/>
              <w:rPr>
                <w:rFonts w:hint="eastAsia" w:ascii="宋体" w:hAnsi="宋体" w:eastAsia="宋体"/>
                <w:strike w:val="0"/>
                <w:dstrike w:val="0"/>
                <w:szCs w:val="21"/>
                <w:highlight w:val="none"/>
                <w:lang w:val="en-US" w:eastAsia="zh-CN"/>
              </w:rPr>
            </w:pPr>
            <w:r>
              <w:rPr>
                <w:rFonts w:hint="eastAsia" w:ascii="宋体" w:hAnsi="宋体"/>
                <w:strike w:val="0"/>
                <w:dstrike w:val="0"/>
                <w:szCs w:val="21"/>
                <w:highlight w:val="none"/>
                <w:lang w:val="en-US" w:eastAsia="zh-CN"/>
              </w:rPr>
              <w:t>/</w:t>
            </w:r>
          </w:p>
        </w:tc>
        <w:tc>
          <w:tcPr>
            <w:tcW w:w="2433" w:type="dxa"/>
            <w:vAlign w:val="center"/>
          </w:tcPr>
          <w:p>
            <w:pPr>
              <w:autoSpaceDE w:val="0"/>
              <w:autoSpaceDN w:val="0"/>
              <w:jc w:val="center"/>
              <w:rPr>
                <w:rFonts w:hint="eastAsia" w:ascii="宋体" w:hAnsi="宋体" w:eastAsia="宋体"/>
                <w:strike w:val="0"/>
                <w:dstrike w:val="0"/>
                <w:szCs w:val="21"/>
                <w:highlight w:val="none"/>
                <w:lang w:val="en-US" w:eastAsia="zh-CN"/>
              </w:rPr>
            </w:pPr>
            <w:r>
              <w:rPr>
                <w:rFonts w:hint="eastAsia" w:ascii="宋体" w:hAnsi="宋体"/>
                <w:strike w:val="0"/>
                <w:dstrike w:val="0"/>
                <w:szCs w:val="21"/>
                <w:highlight w:val="none"/>
                <w:lang w:val="en-US" w:eastAsia="zh-CN"/>
              </w:rPr>
              <w:t>/</w:t>
            </w:r>
          </w:p>
        </w:tc>
        <w:tc>
          <w:tcPr>
            <w:tcW w:w="1653" w:type="dxa"/>
            <w:vAlign w:val="center"/>
          </w:tcPr>
          <w:p>
            <w:pPr>
              <w:autoSpaceDE w:val="0"/>
              <w:autoSpaceDN w:val="0"/>
              <w:jc w:val="center"/>
              <w:rPr>
                <w:rFonts w:hint="eastAsia" w:ascii="宋体" w:hAnsi="宋体" w:eastAsia="宋体"/>
                <w:strike w:val="0"/>
                <w:dstrike w:val="0"/>
                <w:szCs w:val="21"/>
                <w:highlight w:val="none"/>
                <w:lang w:val="en-US" w:eastAsia="zh-CN"/>
              </w:rPr>
            </w:pPr>
            <w:r>
              <w:rPr>
                <w:rFonts w:hint="eastAsia" w:ascii="宋体" w:hAnsi="宋体"/>
                <w:strike w:val="0"/>
                <w:dstrike w:val="0"/>
                <w:szCs w:val="21"/>
                <w:highlight w:val="none"/>
                <w:lang w:val="en-US" w:eastAsia="zh-CN"/>
              </w:rPr>
              <w:t>/</w:t>
            </w:r>
          </w:p>
        </w:tc>
        <w:tc>
          <w:tcPr>
            <w:tcW w:w="1653" w:type="dxa"/>
            <w:vAlign w:val="center"/>
          </w:tcPr>
          <w:p>
            <w:pPr>
              <w:autoSpaceDE w:val="0"/>
              <w:autoSpaceDN w:val="0"/>
              <w:jc w:val="center"/>
              <w:rPr>
                <w:rFonts w:hint="eastAsia" w:ascii="宋体" w:hAnsi="宋体" w:eastAsia="宋体"/>
                <w:strike w:val="0"/>
                <w:dstrike w:val="0"/>
                <w:szCs w:val="21"/>
                <w:highlight w:val="none"/>
                <w:lang w:val="en-US" w:eastAsia="zh-CN"/>
              </w:rPr>
            </w:pPr>
            <w:r>
              <w:rPr>
                <w:rFonts w:hint="eastAsia" w:ascii="宋体" w:hAnsi="宋体"/>
                <w:strike w:val="0"/>
                <w:dstrike w:val="0"/>
                <w:szCs w:val="21"/>
                <w:highlight w:val="none"/>
                <w:lang w:val="en-US" w:eastAsia="zh-CN"/>
              </w:rPr>
              <w:t>/</w:t>
            </w:r>
          </w:p>
        </w:tc>
      </w:tr>
    </w:tbl>
    <w:p>
      <w:pPr>
        <w:pStyle w:val="3"/>
        <w:keepNext w:val="0"/>
        <w:keepLines w:val="0"/>
        <w:pageBreakBefore w:val="0"/>
        <w:numPr>
          <w:ilvl w:val="0"/>
          <w:numId w:val="6"/>
        </w:numPr>
        <w:shd w:val="clear" w:color="auto" w:fill="auto"/>
        <w:kinsoku/>
        <w:wordWrap/>
        <w:overflowPunct/>
        <w:topLinePunct w:val="0"/>
        <w:bidi w:val="0"/>
        <w:spacing w:line="360" w:lineRule="auto"/>
        <w:ind w:left="0" w:leftChars="0" w:firstLine="0" w:firstLine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施工力量及机具配置要求</w:t>
      </w:r>
    </w:p>
    <w:tbl>
      <w:tblPr>
        <w:tblStyle w:val="14"/>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1"/>
        <w:gridCol w:w="2293"/>
        <w:gridCol w:w="739"/>
        <w:gridCol w:w="997"/>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投标人的人员投入及配置机具应符合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ascii="宋体" w:hAnsi="宋体" w:eastAsia="宋体" w:cs="宋体"/>
                <w:i w:val="0"/>
                <w:color w:val="000000"/>
                <w:kern w:val="0"/>
                <w:sz w:val="24"/>
                <w:szCs w:val="24"/>
                <w:highlight w:val="none"/>
                <w:u w:val="none"/>
                <w:lang w:val="en-US" w:eastAsia="zh-CN" w:bidi="ar"/>
              </w:rPr>
              <w:t>《关于印发广东电网有限责任公司施工承包商“三基”工程建设工作指引的通知》（广电建〔2020〕35号）的要求，具体配置应不低于以下标准：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（一）施工力量配置要求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项目管理人员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岗位（工种）</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人员数量</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兼项与否</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项目经理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项目副经理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项目总工（技术负责人）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安全总监</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质检员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安全员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机具管理员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材料员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资料员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造价员</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不可兼项</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（2）班组及技术工人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类型</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班组数量</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本项目自有人员数量要求</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工种配置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1"/>
                <w:szCs w:val="21"/>
                <w:u w:val="single"/>
                <w:lang w:val="en-US" w:eastAsia="zh-CN" w:bidi="ar"/>
              </w:rPr>
              <w:t>盾构工程</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cs="宋体"/>
                <w:i w:val="0"/>
                <w:iCs w:val="0"/>
                <w:color w:val="000000"/>
                <w:kern w:val="0"/>
                <w:sz w:val="21"/>
                <w:szCs w:val="21"/>
                <w:u w:val="singl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1"/>
                <w:szCs w:val="21"/>
                <w:u w:val="single"/>
                <w:lang w:val="en-US" w:eastAsia="zh-CN" w:bidi="ar"/>
              </w:rPr>
              <w:t>40</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1"/>
                <w:szCs w:val="21"/>
                <w:u w:val="single"/>
                <w:lang w:val="en-US" w:eastAsia="zh-CN" w:bidi="ar"/>
              </w:rPr>
              <w:t>每个班组包括：隧道掘进班、机修班、地面班、综合班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（二）施工机具配置要求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w:t>
            </w:r>
            <w:r>
              <w:rPr>
                <w:rFonts w:hint="eastAsia" w:ascii="宋体" w:hAnsi="宋体" w:cs="宋体"/>
                <w:i w:val="0"/>
                <w:color w:val="000000"/>
                <w:kern w:val="0"/>
                <w:sz w:val="24"/>
                <w:szCs w:val="24"/>
                <w:highlight w:val="none"/>
                <w:u w:val="none"/>
                <w:lang w:val="en-US" w:eastAsia="zh-CN" w:bidi="ar"/>
              </w:rPr>
              <w:t>隧道土建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标记项需提供该设备/工器具的购买或租赁时间不少于投标截止日前三个月的有效证明</w:t>
            </w:r>
            <w:r>
              <w:rPr>
                <w:rFonts w:hint="eastAsia"/>
                <w:sz w:val="18"/>
                <w:szCs w:val="20"/>
                <w:highlight w:val="none"/>
                <w:lang w:val="en-US" w:eastAsia="zh-CN"/>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盾构机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non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龙门吊</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non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电瓶车编组</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none"/>
                <w:lang w:val="en-US" w:eastAsia="zh-CN" w:bidi="ar"/>
              </w:rPr>
              <w:t>4</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挖土机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装载机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压路机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机动翻斗车</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电焊机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8</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气割设备</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4</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搅拌机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砂浆机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12</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钢筋弯曲机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4</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钢筋调直机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14</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钢筋切断机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直螺纹机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16</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台式圆盘锯</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17</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砂轮切割机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22</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抽水泵</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10</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23</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振捣棒、振捣器</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24</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经纬仪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25</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全站仪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吊车</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single"/>
                <w:lang w:val="en-US" w:eastAsia="zh-CN" w:bidi="ar"/>
              </w:rPr>
            </w:pPr>
            <w:r>
              <w:rPr>
                <w:rFonts w:hint="eastAsia" w:ascii="宋体" w:hAnsi="宋体" w:eastAsia="宋体" w:cs="宋体"/>
                <w:i w:val="0"/>
                <w:iCs w:val="0"/>
                <w:color w:val="000000"/>
                <w:kern w:val="0"/>
                <w:sz w:val="22"/>
                <w:szCs w:val="22"/>
                <w:u w:val="singl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w:t>
            </w:r>
          </w:p>
        </w:tc>
      </w:tr>
    </w:tbl>
    <w:p>
      <w:pPr>
        <w:pStyle w:val="5"/>
        <w:rPr>
          <w:rFonts w:hint="eastAsia" w:asciiTheme="minorEastAsia" w:hAnsiTheme="minorEastAsia" w:eastAsiaTheme="minorEastAsia" w:cstheme="minorEastAsia"/>
          <w:sz w:val="24"/>
          <w:szCs w:val="24"/>
          <w:highlight w:val="none"/>
          <w:lang w:val="en-US" w:eastAsia="zh-CN"/>
        </w:rPr>
      </w:pPr>
    </w:p>
    <w:p>
      <w:pPr>
        <w:pStyle w:val="5"/>
        <w:rPr>
          <w:rFonts w:hint="eastAsia" w:asciiTheme="minorEastAsia" w:hAnsiTheme="minorEastAsia" w:eastAsiaTheme="minorEastAsia" w:cstheme="minorEastAsia"/>
          <w:sz w:val="24"/>
          <w:szCs w:val="24"/>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color w:val="auto"/>
          <w:sz w:val="24"/>
          <w:szCs w:val="24"/>
          <w:highlight w:val="none"/>
          <w:u w:val="single"/>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CFC9A"/>
    <w:multiLevelType w:val="singleLevel"/>
    <w:tmpl w:val="BDBCFC9A"/>
    <w:lvl w:ilvl="0" w:tentative="0">
      <w:start w:val="6"/>
      <w:numFmt w:val="chineseCounting"/>
      <w:suff w:val="nothing"/>
      <w:lvlText w:val="%1、"/>
      <w:lvlJc w:val="left"/>
      <w:rPr>
        <w:rFonts w:hint="eastAsia"/>
      </w:rPr>
    </w:lvl>
  </w:abstractNum>
  <w:abstractNum w:abstractNumId="1">
    <w:nsid w:val="D6CD7849"/>
    <w:multiLevelType w:val="singleLevel"/>
    <w:tmpl w:val="D6CD7849"/>
    <w:lvl w:ilvl="0" w:tentative="0">
      <w:start w:val="1"/>
      <w:numFmt w:val="decimal"/>
      <w:suff w:val="nothing"/>
      <w:lvlText w:val="（%1）"/>
      <w:lvlJc w:val="left"/>
    </w:lvl>
  </w:abstractNum>
  <w:abstractNum w:abstractNumId="2">
    <w:nsid w:val="EAEE20F8"/>
    <w:multiLevelType w:val="singleLevel"/>
    <w:tmpl w:val="EAEE20F8"/>
    <w:lvl w:ilvl="0" w:tentative="0">
      <w:start w:val="2"/>
      <w:numFmt w:val="chineseCounting"/>
      <w:suff w:val="nothing"/>
      <w:lvlText w:val="第%1部分."/>
      <w:lvlJc w:val="left"/>
      <w:rPr>
        <w:rFonts w:hint="eastAsia"/>
      </w:rPr>
    </w:lvl>
  </w:abstractNum>
  <w:abstractNum w:abstractNumId="3">
    <w:nsid w:val="0D7920FF"/>
    <w:multiLevelType w:val="singleLevel"/>
    <w:tmpl w:val="0D7920FF"/>
    <w:lvl w:ilvl="0" w:tentative="0">
      <w:start w:val="1"/>
      <w:numFmt w:val="chineseCounting"/>
      <w:suff w:val="nothing"/>
      <w:lvlText w:val="第%1部分."/>
      <w:lvlJc w:val="left"/>
      <w:rPr>
        <w:rFonts w:hint="eastAsia"/>
      </w:rPr>
    </w:lvl>
  </w:abstractNum>
  <w:abstractNum w:abstractNumId="4">
    <w:nsid w:val="0D93AEAC"/>
    <w:multiLevelType w:val="singleLevel"/>
    <w:tmpl w:val="0D93AEAC"/>
    <w:lvl w:ilvl="0" w:tentative="0">
      <w:start w:val="2"/>
      <w:numFmt w:val="chineseCounting"/>
      <w:suff w:val="nothing"/>
      <w:lvlText w:val="%1、"/>
      <w:lvlJc w:val="left"/>
      <w:rPr>
        <w:rFonts w:hint="eastAsia"/>
      </w:rPr>
    </w:lvl>
  </w:abstractNum>
  <w:abstractNum w:abstractNumId="5">
    <w:nsid w:val="4122DDE1"/>
    <w:multiLevelType w:val="singleLevel"/>
    <w:tmpl w:val="4122DDE1"/>
    <w:lvl w:ilvl="0" w:tentative="0">
      <w:start w:val="2"/>
      <w:numFmt w:val="decimal"/>
      <w:suff w:val="nothing"/>
      <w:lvlText w:val="%1、"/>
      <w:lvlJc w:val="left"/>
    </w:lvl>
  </w:abstractNum>
  <w:abstractNum w:abstractNumId="6">
    <w:nsid w:val="44E8AF75"/>
    <w:multiLevelType w:val="singleLevel"/>
    <w:tmpl w:val="44E8AF75"/>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DZhNmQ5YWUyZTM5MWYwZWY0NDhkM2E4YWQ2NTgifQ=="/>
  </w:docVars>
  <w:rsids>
    <w:rsidRoot w:val="24F737D8"/>
    <w:rsid w:val="00256960"/>
    <w:rsid w:val="025927D6"/>
    <w:rsid w:val="02957123"/>
    <w:rsid w:val="02C91BC0"/>
    <w:rsid w:val="04A24F71"/>
    <w:rsid w:val="04E70084"/>
    <w:rsid w:val="05D703FB"/>
    <w:rsid w:val="06184256"/>
    <w:rsid w:val="06704E8E"/>
    <w:rsid w:val="06CD0147"/>
    <w:rsid w:val="071A2D33"/>
    <w:rsid w:val="076F3B3B"/>
    <w:rsid w:val="09381253"/>
    <w:rsid w:val="096917A5"/>
    <w:rsid w:val="0A316B49"/>
    <w:rsid w:val="0A883CD4"/>
    <w:rsid w:val="0AE4604C"/>
    <w:rsid w:val="0B100715"/>
    <w:rsid w:val="0BC07002"/>
    <w:rsid w:val="0BE77DB6"/>
    <w:rsid w:val="0C094CFD"/>
    <w:rsid w:val="0CA6733B"/>
    <w:rsid w:val="0E2F4C02"/>
    <w:rsid w:val="0E7B501C"/>
    <w:rsid w:val="0F81532F"/>
    <w:rsid w:val="0FFB7608"/>
    <w:rsid w:val="107144D2"/>
    <w:rsid w:val="10C049A5"/>
    <w:rsid w:val="116419AD"/>
    <w:rsid w:val="11DF6CFE"/>
    <w:rsid w:val="12BF484F"/>
    <w:rsid w:val="12DE266C"/>
    <w:rsid w:val="13383335"/>
    <w:rsid w:val="14440D4B"/>
    <w:rsid w:val="15056A61"/>
    <w:rsid w:val="151627A4"/>
    <w:rsid w:val="16D659BE"/>
    <w:rsid w:val="17817777"/>
    <w:rsid w:val="18945B0A"/>
    <w:rsid w:val="18E57496"/>
    <w:rsid w:val="197A1200"/>
    <w:rsid w:val="1A386933"/>
    <w:rsid w:val="1A6831E6"/>
    <w:rsid w:val="1A8B4C77"/>
    <w:rsid w:val="1AC9549E"/>
    <w:rsid w:val="1AE2232B"/>
    <w:rsid w:val="1B4A3D40"/>
    <w:rsid w:val="1B663F82"/>
    <w:rsid w:val="1C2D4629"/>
    <w:rsid w:val="1C43636C"/>
    <w:rsid w:val="1DBA25A5"/>
    <w:rsid w:val="1E2D2E8D"/>
    <w:rsid w:val="1E491709"/>
    <w:rsid w:val="1ECF10EB"/>
    <w:rsid w:val="1F1C40CF"/>
    <w:rsid w:val="1F653C49"/>
    <w:rsid w:val="1F87021B"/>
    <w:rsid w:val="20735046"/>
    <w:rsid w:val="20834165"/>
    <w:rsid w:val="210D1392"/>
    <w:rsid w:val="21412CB5"/>
    <w:rsid w:val="214B1110"/>
    <w:rsid w:val="216F4D5B"/>
    <w:rsid w:val="23A63D8D"/>
    <w:rsid w:val="23B738BA"/>
    <w:rsid w:val="24F737D8"/>
    <w:rsid w:val="260A4EB7"/>
    <w:rsid w:val="26986131"/>
    <w:rsid w:val="26D02F07"/>
    <w:rsid w:val="26DB4AA6"/>
    <w:rsid w:val="274F5808"/>
    <w:rsid w:val="27771881"/>
    <w:rsid w:val="277C4D83"/>
    <w:rsid w:val="28921DC9"/>
    <w:rsid w:val="296B4D80"/>
    <w:rsid w:val="2A0C4A0C"/>
    <w:rsid w:val="2AF223EC"/>
    <w:rsid w:val="2BD478A0"/>
    <w:rsid w:val="2C8E7911"/>
    <w:rsid w:val="2CA17C08"/>
    <w:rsid w:val="2DD5193A"/>
    <w:rsid w:val="2FF65FF8"/>
    <w:rsid w:val="300D195C"/>
    <w:rsid w:val="30BF37B5"/>
    <w:rsid w:val="316F0A25"/>
    <w:rsid w:val="323E11F7"/>
    <w:rsid w:val="32B14A12"/>
    <w:rsid w:val="331B2E44"/>
    <w:rsid w:val="33B200AF"/>
    <w:rsid w:val="33E61BE2"/>
    <w:rsid w:val="33FF10DF"/>
    <w:rsid w:val="34F73E5B"/>
    <w:rsid w:val="3573009C"/>
    <w:rsid w:val="35977EFB"/>
    <w:rsid w:val="35A14B2F"/>
    <w:rsid w:val="361736AD"/>
    <w:rsid w:val="36D200CF"/>
    <w:rsid w:val="36E66AE3"/>
    <w:rsid w:val="379951F8"/>
    <w:rsid w:val="37F81C64"/>
    <w:rsid w:val="38382DC3"/>
    <w:rsid w:val="38793D95"/>
    <w:rsid w:val="38DE045C"/>
    <w:rsid w:val="392269F9"/>
    <w:rsid w:val="398F3BBD"/>
    <w:rsid w:val="3A06027D"/>
    <w:rsid w:val="3BE97038"/>
    <w:rsid w:val="3BF24D81"/>
    <w:rsid w:val="3BFE7BEA"/>
    <w:rsid w:val="3C4A35F1"/>
    <w:rsid w:val="3CC61931"/>
    <w:rsid w:val="3EC5358C"/>
    <w:rsid w:val="3FAB4D2B"/>
    <w:rsid w:val="3FD32444"/>
    <w:rsid w:val="405C270D"/>
    <w:rsid w:val="407A50C3"/>
    <w:rsid w:val="42A16D5F"/>
    <w:rsid w:val="43A710B3"/>
    <w:rsid w:val="44596337"/>
    <w:rsid w:val="445E3EDA"/>
    <w:rsid w:val="44982260"/>
    <w:rsid w:val="44D414C9"/>
    <w:rsid w:val="44D63DB5"/>
    <w:rsid w:val="458F71DE"/>
    <w:rsid w:val="45C16EC1"/>
    <w:rsid w:val="46472D5E"/>
    <w:rsid w:val="479821CF"/>
    <w:rsid w:val="49132FA8"/>
    <w:rsid w:val="492C046A"/>
    <w:rsid w:val="4950573F"/>
    <w:rsid w:val="496A657E"/>
    <w:rsid w:val="49843C09"/>
    <w:rsid w:val="4A4D27E4"/>
    <w:rsid w:val="4A692C29"/>
    <w:rsid w:val="4B3A1BDA"/>
    <w:rsid w:val="4BF83760"/>
    <w:rsid w:val="4C8349B8"/>
    <w:rsid w:val="4D85403F"/>
    <w:rsid w:val="4DAE504E"/>
    <w:rsid w:val="4E9C62F1"/>
    <w:rsid w:val="4EC04CC0"/>
    <w:rsid w:val="4EC6790A"/>
    <w:rsid w:val="503A045B"/>
    <w:rsid w:val="503A5EBC"/>
    <w:rsid w:val="53D77306"/>
    <w:rsid w:val="54575F26"/>
    <w:rsid w:val="55C3156A"/>
    <w:rsid w:val="56AE57C6"/>
    <w:rsid w:val="56CE01F7"/>
    <w:rsid w:val="57021A30"/>
    <w:rsid w:val="57B32992"/>
    <w:rsid w:val="5841513B"/>
    <w:rsid w:val="5967078E"/>
    <w:rsid w:val="5ACC5286"/>
    <w:rsid w:val="5AE41136"/>
    <w:rsid w:val="5B0320E2"/>
    <w:rsid w:val="5B4F58A4"/>
    <w:rsid w:val="5B9E2EC4"/>
    <w:rsid w:val="5BB53BEF"/>
    <w:rsid w:val="5C4952DC"/>
    <w:rsid w:val="5CF70133"/>
    <w:rsid w:val="5D5F722F"/>
    <w:rsid w:val="5EA7685B"/>
    <w:rsid w:val="608606DE"/>
    <w:rsid w:val="610E324A"/>
    <w:rsid w:val="61F31EFD"/>
    <w:rsid w:val="620B3E3F"/>
    <w:rsid w:val="63066BC7"/>
    <w:rsid w:val="64672037"/>
    <w:rsid w:val="64DD1846"/>
    <w:rsid w:val="64DE2AFF"/>
    <w:rsid w:val="65945D8D"/>
    <w:rsid w:val="65A45331"/>
    <w:rsid w:val="65E348ED"/>
    <w:rsid w:val="66C35559"/>
    <w:rsid w:val="66E2506A"/>
    <w:rsid w:val="67E22A38"/>
    <w:rsid w:val="685314B5"/>
    <w:rsid w:val="68570F93"/>
    <w:rsid w:val="688D3FF7"/>
    <w:rsid w:val="692C4082"/>
    <w:rsid w:val="69CB5649"/>
    <w:rsid w:val="6A287B5E"/>
    <w:rsid w:val="6A8172CD"/>
    <w:rsid w:val="6A90449C"/>
    <w:rsid w:val="6B303A1A"/>
    <w:rsid w:val="6B5524FB"/>
    <w:rsid w:val="6C1F098C"/>
    <w:rsid w:val="6C3953B5"/>
    <w:rsid w:val="6C6D0EC5"/>
    <w:rsid w:val="6DAA2FDF"/>
    <w:rsid w:val="6E121228"/>
    <w:rsid w:val="70D1495F"/>
    <w:rsid w:val="70ED510D"/>
    <w:rsid w:val="72DE4B3B"/>
    <w:rsid w:val="74401B1F"/>
    <w:rsid w:val="754C6F3B"/>
    <w:rsid w:val="757C3BD5"/>
    <w:rsid w:val="75B11AFF"/>
    <w:rsid w:val="75C976D3"/>
    <w:rsid w:val="75D32619"/>
    <w:rsid w:val="76954F1D"/>
    <w:rsid w:val="76E04877"/>
    <w:rsid w:val="780B6A75"/>
    <w:rsid w:val="7942286F"/>
    <w:rsid w:val="79804924"/>
    <w:rsid w:val="79DE24CA"/>
    <w:rsid w:val="7ABB2C05"/>
    <w:rsid w:val="7B9C2193"/>
    <w:rsid w:val="7D0F76D8"/>
    <w:rsid w:val="7DD1659C"/>
    <w:rsid w:val="7E2A080C"/>
    <w:rsid w:val="7E3420E0"/>
    <w:rsid w:val="7EA719BF"/>
    <w:rsid w:val="7ED13C1B"/>
    <w:rsid w:val="7EDD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2"/>
      <w:lang w:val="en-US" w:eastAsia="zh-CN" w:bidi="ar-SA"/>
    </w:rPr>
  </w:style>
  <w:style w:type="paragraph" w:styleId="2">
    <w:name w:val="heading 1"/>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rPr>
  </w:style>
  <w:style w:type="paragraph" w:styleId="3">
    <w:name w:val="heading 2"/>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rPr>
  </w:style>
  <w:style w:type="character" w:default="1" w:styleId="13">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Lines="50" w:beforeAutospacing="0" w:afterLines="50" w:afterAutospacing="0" w:line="360" w:lineRule="auto"/>
      <w:ind w:firstLine="200" w:firstLineChars="200"/>
      <w:jc w:val="both"/>
    </w:pPr>
    <w:rPr>
      <w:rFonts w:hint="default" w:ascii="Times New Roman" w:hAnsi="Times New Roman" w:eastAsia="宋体" w:cs="Times New Roman"/>
      <w:kern w:val="2"/>
      <w:sz w:val="24"/>
      <w:szCs w:val="24"/>
      <w:lang w:val="en-US" w:eastAsia="zh-CN" w:bidi="ar"/>
    </w:rPr>
  </w:style>
  <w:style w:type="paragraph" w:styleId="5">
    <w:name w:val="Body Text"/>
    <w:basedOn w:val="1"/>
    <w:unhideWhenUsed/>
    <w:qFormat/>
    <w:uiPriority w:val="99"/>
    <w:pPr>
      <w:pBdr>
        <w:top w:val="none" w:color="auto" w:sz="0" w:space="0"/>
        <w:left w:val="none" w:color="auto" w:sz="0" w:space="0"/>
        <w:bottom w:val="none" w:color="auto" w:sz="0" w:space="0"/>
        <w:right w:val="none" w:color="auto" w:sz="0" w:space="0"/>
        <w:between w:val="none" w:color="auto" w:sz="0" w:space="0"/>
      </w:pBdr>
      <w:spacing w:after="120"/>
      <w:jc w:val="both"/>
    </w:pPr>
    <w:rPr>
      <w:lang w:val="en-US" w:eastAsia="zh-CN"/>
    </w:rPr>
  </w:style>
  <w:style w:type="paragraph" w:styleId="6">
    <w:name w:val="Normal Indent"/>
    <w:basedOn w:val="1"/>
    <w:link w:val="19"/>
    <w:qFormat/>
    <w:uiPriority w:val="0"/>
    <w:pPr>
      <w:ind w:firstLine="420"/>
    </w:pPr>
    <w:rPr>
      <w:rFonts w:ascii="Times New Roman" w:hAnsi="Times New Roman" w:cs="Times New Roman"/>
      <w:kern w:val="0"/>
      <w:sz w:val="20"/>
      <w:szCs w:val="20"/>
    </w:rPr>
  </w:style>
  <w:style w:type="paragraph" w:styleId="7">
    <w:name w:val="annotation text"/>
    <w:basedOn w:val="1"/>
    <w:qFormat/>
    <w:uiPriority w:val="0"/>
    <w:pPr>
      <w:jc w:val="left"/>
    </w:pPr>
  </w:style>
  <w:style w:type="paragraph" w:styleId="8">
    <w:name w:val="Body Text Indent"/>
    <w:basedOn w:val="1"/>
    <w:next w:val="9"/>
    <w:link w:val="18"/>
    <w:qFormat/>
    <w:uiPriority w:val="0"/>
    <w:pPr>
      <w:spacing w:after="120"/>
      <w:ind w:left="420" w:leftChars="200"/>
    </w:pPr>
  </w:style>
  <w:style w:type="paragraph" w:styleId="9">
    <w:name w:val="envelope return"/>
    <w:basedOn w:val="1"/>
    <w:unhideWhenUsed/>
    <w:qFormat/>
    <w:uiPriority w:val="99"/>
    <w:pPr>
      <w:snapToGrid w:val="0"/>
    </w:pPr>
    <w:rPr>
      <w:rFonts w:ascii="Arial" w:hAnsi="Arial" w:eastAsia="宋体" w:cs="Times New Roman"/>
      <w:sz w:val="30"/>
      <w:szCs w:val="24"/>
      <w:lang w:bidi="ar-SA"/>
    </w:rPr>
  </w:style>
  <w:style w:type="paragraph" w:styleId="10">
    <w:name w:val="Plain Text"/>
    <w:basedOn w:val="1"/>
    <w:link w:val="20"/>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kern w:val="0"/>
      <w:sz w:val="20"/>
      <w:szCs w:val="20"/>
      <w:lang w:val="en-US" w:eastAsia="zh-CN"/>
    </w:rPr>
  </w:style>
  <w:style w:type="paragraph" w:styleId="11">
    <w:name w:val="Body Text First Indent 2"/>
    <w:basedOn w:val="8"/>
    <w:qFormat/>
    <w:uiPriority w:val="0"/>
    <w:pPr>
      <w:adjustRightInd/>
      <w:snapToGrid/>
      <w:spacing w:after="120" w:line="240" w:lineRule="auto"/>
      <w:ind w:left="420" w:leftChars="200" w:firstLine="420" w:firstLineChars="200"/>
    </w:pPr>
    <w:rPr>
      <w:rFonts w:ascii="宋体" w:hAnsi="宋体"/>
      <w:spacing w:val="20"/>
      <w:sz w:val="21"/>
      <w:szCs w:val="24"/>
    </w:rPr>
  </w:style>
  <w:style w:type="paragraph" w:styleId="12">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目录 21"/>
    <w:basedOn w:val="1"/>
    <w:next w:val="1"/>
    <w:qFormat/>
    <w:uiPriority w:val="0"/>
    <w:pPr>
      <w:spacing w:before="100" w:beforeAutospacing="1" w:after="100" w:afterAutospacing="1"/>
      <w:ind w:left="420" w:leftChars="200"/>
    </w:pPr>
  </w:style>
  <w:style w:type="paragraph" w:customStyle="1" w:styleId="17">
    <w:name w:val="正文首行缩进1"/>
    <w:basedOn w:val="1"/>
    <w:qFormat/>
    <w:uiPriority w:val="0"/>
    <w:pPr>
      <w:spacing w:line="360" w:lineRule="auto"/>
      <w:ind w:firstLine="200" w:firstLineChars="200"/>
    </w:pPr>
    <w:rPr>
      <w:kern w:val="2"/>
      <w:sz w:val="24"/>
      <w:szCs w:val="24"/>
    </w:rPr>
  </w:style>
  <w:style w:type="character" w:customStyle="1" w:styleId="18">
    <w:name w:val="正文文本缩进 Char"/>
    <w:link w:val="8"/>
    <w:qFormat/>
    <w:uiPriority w:val="0"/>
  </w:style>
  <w:style w:type="character" w:customStyle="1" w:styleId="19">
    <w:name w:val="正文缩进 Char"/>
    <w:link w:val="6"/>
    <w:qFormat/>
    <w:uiPriority w:val="0"/>
    <w:rPr>
      <w:rFonts w:ascii="Times New Roman" w:hAnsi="Times New Roman" w:cs="Times New Roman"/>
      <w:kern w:val="0"/>
      <w:sz w:val="20"/>
      <w:szCs w:val="20"/>
    </w:rPr>
  </w:style>
  <w:style w:type="character" w:customStyle="1" w:styleId="20">
    <w:name w:val="纯文本 Char"/>
    <w:link w:val="10"/>
    <w:qFormat/>
    <w:uiPriority w:val="0"/>
    <w:rPr>
      <w:rFonts w:ascii="宋体" w:hAnsi="Courier New"/>
      <w:kern w:val="0"/>
      <w:sz w:val="20"/>
      <w:szCs w:val="20"/>
      <w:lang w:val="en-US" w:eastAsia="zh-CN"/>
    </w:rPr>
  </w:style>
  <w:style w:type="character" w:customStyle="1" w:styleId="21">
    <w:name w:val="font11"/>
    <w:basedOn w:val="13"/>
    <w:qFormat/>
    <w:uiPriority w:val="0"/>
    <w:rPr>
      <w:rFonts w:ascii="仿宋_GB2312" w:hAnsi="仿宋_GB2312" w:eastAsia="仿宋_GB2312" w:cs="仿宋_GB2312"/>
      <w:color w:val="000000"/>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9314</Words>
  <Characters>9782</Characters>
  <Lines>0</Lines>
  <Paragraphs>0</Paragraphs>
  <TotalTime>2</TotalTime>
  <ScaleCrop>false</ScaleCrop>
  <LinksUpToDate>false</LinksUpToDate>
  <CharactersWithSpaces>10444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2021-02-24T07:45:00Z</dcterms:created>
  <dc:creator>maja</dc:creator>
  <cp:lastModifiedBy>劳子桃</cp:lastModifiedBy>
  <dcterms:modified xsi:type="dcterms:W3CDTF">2024-02-20T01:21:23Z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1E5DEE1170524BA09BF0A21F81182A75_13</vt:lpwstr>
  </property>
</Properties>
</file>