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360" w:lineRule="atLeast"/>
        <w:ind w:right="-92" w:rightChars="-44"/>
        <w:jc w:val="center"/>
        <w:rPr>
          <w:rFonts w:ascii="宋体" w:hAnsi="宋体" w:eastAsia="宋体" w:cs="宋体"/>
          <w:b/>
          <w:bCs/>
          <w:sz w:val="36"/>
          <w:szCs w:val="36"/>
          <w:shd w:val="clear" w:color="auto" w:fill="FFFFFF"/>
        </w:rPr>
      </w:pPr>
      <w:r>
        <w:rPr>
          <w:rFonts w:hint="eastAsia" w:ascii="宋体" w:hAnsi="宋体" w:eastAsia="宋体" w:cs="宋体"/>
          <w:b/>
          <w:bCs/>
          <w:sz w:val="36"/>
          <w:szCs w:val="36"/>
          <w:shd w:val="clear" w:color="auto" w:fill="FFFFFF"/>
        </w:rPr>
        <w:t>广州科教城通讯管廊项目施工</w:t>
      </w:r>
    </w:p>
    <w:p>
      <w:pPr>
        <w:pStyle w:val="9"/>
        <w:widowControl/>
        <w:spacing w:beforeAutospacing="0" w:afterAutospacing="0" w:line="360" w:lineRule="atLeast"/>
        <w:ind w:right="-92" w:rightChars="-44"/>
        <w:jc w:val="center"/>
        <w:rPr>
          <w:rFonts w:ascii="微软雅黑" w:hAnsi="微软雅黑" w:eastAsia="微软雅黑" w:cs="微软雅黑"/>
        </w:rPr>
      </w:pPr>
      <w:r>
        <w:rPr>
          <w:rFonts w:hint="eastAsia" w:ascii="宋体" w:hAnsi="宋体" w:eastAsia="宋体" w:cs="宋体"/>
          <w:b/>
          <w:bCs/>
          <w:sz w:val="36"/>
          <w:szCs w:val="36"/>
          <w:shd w:val="clear" w:color="auto" w:fill="FFFFFF"/>
        </w:rPr>
        <w:t>(项目编号：JG2021-14668)补充公告</w:t>
      </w:r>
    </w:p>
    <w:p>
      <w:pPr>
        <w:pStyle w:val="9"/>
        <w:widowControl/>
        <w:spacing w:beforeAutospacing="0" w:afterAutospacing="0" w:line="324" w:lineRule="atLeast"/>
        <w:ind w:firstLine="420"/>
        <w:jc w:val="both"/>
        <w:rPr>
          <w:rFonts w:ascii="微软雅黑" w:hAnsi="微软雅黑" w:eastAsia="微软雅黑" w:cs="微软雅黑"/>
        </w:rPr>
      </w:pPr>
      <w:r>
        <w:rPr>
          <w:rFonts w:hint="eastAsia" w:ascii="宋体" w:hAnsi="宋体" w:eastAsia="宋体" w:cs="宋体"/>
          <w:shd w:val="clear" w:color="auto" w:fill="FFFFFF"/>
        </w:rPr>
        <w:t> </w:t>
      </w:r>
    </w:p>
    <w:p>
      <w:pPr>
        <w:pStyle w:val="9"/>
        <w:widowControl/>
        <w:spacing w:beforeAutospacing="0" w:afterAutospacing="0" w:line="360" w:lineRule="atLeast"/>
        <w:ind w:firstLine="56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广州科教城通讯管廊项目施工(项目编号：JG2021-14668)，于2021年12月24日在广州公共资源交易中心网站等媒体发布招标公告，现对原招标公告、招标文件的相关内容做如下修改：</w:t>
      </w:r>
    </w:p>
    <w:p>
      <w:pPr>
        <w:numPr>
          <w:ilvl w:val="0"/>
          <w:numId w:val="1"/>
        </w:numPr>
        <w:ind w:firstLine="422" w:firstLine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对招标公告的修改</w:t>
      </w:r>
    </w:p>
    <w:p>
      <w:pPr>
        <w:numPr>
          <w:ilvl w:val="0"/>
          <w:numId w:val="2"/>
        </w:numPr>
        <w:ind w:left="315" w:left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招标公告第九条第九点修改：</w:t>
      </w:r>
    </w:p>
    <w:p>
      <w:pPr>
        <w:pStyle w:val="2"/>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原文：</w:t>
      </w:r>
      <w:r>
        <w:rPr>
          <w:rFonts w:hint="eastAsia" w:ascii="宋体" w:hAnsi="宋体" w:eastAsia="宋体" w:cs="宋体"/>
          <w:sz w:val="28"/>
          <w:szCs w:val="28"/>
          <w:shd w:val="clear" w:color="auto" w:fill="FFFFFF"/>
        </w:rPr>
        <w:t>投标人已按照附件一的内容签署盖章的投标人声明。</w:t>
      </w:r>
    </w:p>
    <w:p>
      <w:pPr>
        <w:pStyle w:val="2"/>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现文：</w:t>
      </w:r>
      <w:r>
        <w:rPr>
          <w:rFonts w:hint="eastAsia" w:ascii="宋体" w:hAnsi="宋体" w:eastAsia="宋体" w:cs="宋体"/>
          <w:sz w:val="28"/>
          <w:szCs w:val="28"/>
          <w:shd w:val="clear" w:color="auto" w:fill="FFFFFF"/>
        </w:rPr>
        <w:t>投标人已按照附件一的内容签署盖章的投标申请人声明（一）、投标申请人声明（二）、投标申请人声明（三）。</w:t>
      </w:r>
    </w:p>
    <w:p>
      <w:pPr>
        <w:ind w:left="315" w:left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（二）对招标公告附件一《投标人声明》修改（详见附件）。</w:t>
      </w:r>
    </w:p>
    <w:p>
      <w:pPr>
        <w:numPr>
          <w:ilvl w:val="0"/>
          <w:numId w:val="1"/>
        </w:numPr>
        <w:ind w:firstLine="422" w:firstLine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对招标文件的修改</w:t>
      </w:r>
    </w:p>
    <w:p>
      <w:pPr>
        <w:ind w:left="315" w:left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（一）对招标文件13.4修改：</w:t>
      </w:r>
    </w:p>
    <w:p>
      <w:pPr>
        <w:pStyle w:val="5"/>
      </w:pPr>
      <w:r>
        <w:rPr>
          <w:rFonts w:hint="eastAsia" w:hAnsi="宋体" w:eastAsia="宋体" w:cs="宋体"/>
          <w:b/>
          <w:bCs/>
          <w:sz w:val="28"/>
          <w:szCs w:val="28"/>
          <w:shd w:val="clear" w:color="auto" w:fill="FFFFFF"/>
        </w:rPr>
        <w:t>原文：</w:t>
      </w:r>
      <w:r>
        <w:rPr>
          <w:rFonts w:hint="eastAsia" w:hAnsi="宋体" w:eastAsia="宋体" w:cs="宋体"/>
          <w:sz w:val="28"/>
          <w:szCs w:val="28"/>
          <w:shd w:val="clear" w:color="auto" w:fill="FFFFFF"/>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4"/>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现文：</w:t>
      </w:r>
      <w:r>
        <w:rPr>
          <w:rFonts w:hint="eastAsia" w:ascii="宋体" w:hAnsi="宋体" w:eastAsia="宋体" w:cs="宋体"/>
          <w:sz w:val="28"/>
          <w:szCs w:val="28"/>
          <w:shd w:val="clear" w:color="auto" w:fill="FFFFFF"/>
        </w:rPr>
        <w:t>13.4投标人一旦中标，参照《建设工程工程量清单计价规范》（GB50500-2013）的规定，按照合同约定的事项调整合同价款。若在合同履行期间，因主要材料（设备）、机械台班价格波动涨跌幅度超过合同基准期（指递交投标文件截止日期前28天）价格风险幅度（主要材料（设备）价格风险幅度为±5%，机械台班价格风险幅度为±10%）和人工涨跌变化影响合同价款时，应根据合同约定，按《建设工程工程量清单计价规范》（GB5500-2013）调整合同价款。</w:t>
      </w:r>
    </w:p>
    <w:p>
      <w:pPr>
        <w:ind w:left="15" w:leftChars="7" w:firstLine="405" w:firstLineChars="144"/>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（二）对招标文件《投标须知前附表》第38项第2点、《投标须知修改表》条款号35删除：</w:t>
      </w:r>
    </w:p>
    <w:p>
      <w:pPr>
        <w:pStyle w:val="4"/>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原文：</w:t>
      </w:r>
      <w:r>
        <w:rPr>
          <w:rFonts w:hint="eastAsia" w:ascii="宋体" w:hAnsi="宋体" w:eastAsia="宋体" w:cs="宋体"/>
          <w:sz w:val="28"/>
          <w:szCs w:val="28"/>
          <w:shd w:val="clear" w:color="auto" w:fill="FFFFFF"/>
        </w:rPr>
        <w:t>招标代理费：由中标单位按照招标人与招标代理签订的招标代理合同约定金额支付交纳。</w:t>
      </w:r>
    </w:p>
    <w:p>
      <w:pPr>
        <w:ind w:left="315" w:left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（三）对招标文件附表四《技术标详细审查评分表》（详见附件）。</w:t>
      </w:r>
    </w:p>
    <w:p>
      <w:pPr>
        <w:numPr>
          <w:ilvl w:val="0"/>
          <w:numId w:val="1"/>
        </w:numPr>
        <w:ind w:firstLine="422" w:firstLineChars="15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其他说明</w:t>
      </w:r>
    </w:p>
    <w:p>
      <w:pPr>
        <w:pStyle w:val="4"/>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（一）本项目招投标交易活动时间安排以广州公共资源交易中心网（网址：http://ggzy.gz.gov.cn/）的“首页&gt;建设工程&gt;项目查询（日程安排）”栏目进行查询为准。</w:t>
      </w:r>
    </w:p>
    <w:p>
      <w:pPr>
        <w:pStyle w:val="4"/>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（二）原招标公告、招标文件其他地方如涉及上述内容的亦作相应修改，原招标公告、招标文件其他内容与要求不变。</w:t>
      </w:r>
    </w:p>
    <w:p>
      <w:pPr>
        <w:pStyle w:val="4"/>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w:t>
      </w:r>
    </w:p>
    <w:p>
      <w:pPr>
        <w:pStyle w:val="4"/>
        <w:jc w:val="righ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招标人：广州科教城运营管理有限公司</w:t>
      </w:r>
    </w:p>
    <w:p>
      <w:pPr>
        <w:pStyle w:val="4"/>
        <w:jc w:val="righ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招标代理机构：广州盛园咨询服务有限公司</w:t>
      </w:r>
    </w:p>
    <w:p>
      <w:pPr>
        <w:pStyle w:val="4"/>
        <w:jc w:val="righ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2021年12月</w:t>
      </w:r>
      <w:r>
        <w:rPr>
          <w:rFonts w:hint="eastAsia" w:ascii="宋体" w:hAnsi="宋体" w:eastAsia="宋体" w:cs="宋体"/>
          <w:sz w:val="28"/>
          <w:szCs w:val="28"/>
          <w:shd w:val="clear" w:color="auto" w:fill="FFFFFF"/>
          <w:lang w:val="en-US" w:eastAsia="zh-CN"/>
        </w:rPr>
        <w:t>30</w:t>
      </w:r>
      <w:bookmarkStart w:id="0" w:name="_GoBack"/>
      <w:bookmarkEnd w:id="0"/>
      <w:r>
        <w:rPr>
          <w:rFonts w:hint="eastAsia" w:ascii="宋体" w:hAnsi="宋体" w:eastAsia="宋体" w:cs="宋体"/>
          <w:sz w:val="28"/>
          <w:szCs w:val="28"/>
          <w:shd w:val="clear" w:color="auto" w:fill="FFFFFF"/>
        </w:rPr>
        <w:t>日</w:t>
      </w:r>
    </w:p>
    <w:p>
      <w:pPr>
        <w:pStyle w:val="2"/>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附件：</w:t>
      </w:r>
    </w:p>
    <w:p>
      <w:pPr>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招标公告附件一《投标人声明》原文：</w:t>
      </w:r>
    </w:p>
    <w:p>
      <w:pPr>
        <w:spacing w:line="360" w:lineRule="auto"/>
        <w:rPr>
          <w:b/>
          <w:sz w:val="44"/>
        </w:rPr>
      </w:pPr>
      <w:r>
        <w:rPr>
          <w:rFonts w:hint="eastAsia" w:ascii="宋体" w:hAnsi="宋体"/>
          <w:sz w:val="24"/>
        </w:rPr>
        <w:t>附件一：</w:t>
      </w:r>
    </w:p>
    <w:p>
      <w:pPr>
        <w:jc w:val="center"/>
        <w:rPr>
          <w:b/>
          <w:sz w:val="44"/>
          <w:szCs w:val="44"/>
        </w:rPr>
      </w:pPr>
      <w:r>
        <w:rPr>
          <w:rFonts w:hint="eastAsia"/>
          <w:b/>
          <w:kern w:val="0"/>
          <w:sz w:val="44"/>
          <w:szCs w:val="44"/>
        </w:rPr>
        <w:t>投标人</w:t>
      </w:r>
      <w:r>
        <w:rPr>
          <w:rFonts w:hint="eastAsia"/>
          <w:b/>
          <w:sz w:val="44"/>
          <w:szCs w:val="44"/>
        </w:rPr>
        <w:t>声明</w:t>
      </w:r>
    </w:p>
    <w:p>
      <w:pPr>
        <w:jc w:val="center"/>
        <w:rPr>
          <w:b/>
          <w:sz w:val="44"/>
          <w:szCs w:val="44"/>
        </w:rPr>
      </w:pPr>
    </w:p>
    <w:p>
      <w:pPr>
        <w:pStyle w:val="14"/>
        <w:spacing w:line="480" w:lineRule="auto"/>
        <w:ind w:firstLine="0"/>
        <w:rPr>
          <w:rFonts w:ascii="宋体" w:hAnsi="宋体" w:eastAsia="宋体"/>
          <w:color w:val="auto"/>
          <w:sz w:val="24"/>
          <w:szCs w:val="24"/>
        </w:rPr>
      </w:pPr>
      <w:r>
        <w:rPr>
          <w:rFonts w:hint="eastAsia" w:ascii="宋体" w:hAnsi="宋体" w:eastAsia="宋体"/>
          <w:color w:val="auto"/>
          <w:sz w:val="24"/>
          <w:szCs w:val="24"/>
        </w:rPr>
        <w:t>广州科教城运营管理有限公司及招标监管机构：</w:t>
      </w:r>
    </w:p>
    <w:p>
      <w:pPr>
        <w:widowControl/>
        <w:snapToGrid w:val="0"/>
        <w:spacing w:line="360" w:lineRule="auto"/>
        <w:ind w:right="102"/>
        <w:jc w:val="left"/>
        <w:rPr>
          <w:rFonts w:ascii="宋体" w:hAnsi="宋体"/>
          <w:kern w:val="0"/>
          <w:sz w:val="24"/>
        </w:rPr>
      </w:pPr>
      <w:r>
        <w:rPr>
          <w:rFonts w:hint="eastAsia" w:ascii="宋体" w:hAnsi="宋体"/>
          <w:kern w:val="0"/>
          <w:sz w:val="24"/>
        </w:rPr>
        <w:t>本公司就参加</w:t>
      </w:r>
      <w:r>
        <w:rPr>
          <w:rFonts w:hint="eastAsia" w:ascii="宋体" w:hAnsi="宋体"/>
          <w:kern w:val="0"/>
          <w:sz w:val="24"/>
          <w:u w:val="single"/>
        </w:rPr>
        <w:t xml:space="preserve">     （项目名称）     </w:t>
      </w:r>
      <w:r>
        <w:rPr>
          <w:rFonts w:hint="eastAsia" w:ascii="宋体" w:hAnsi="宋体"/>
          <w:kern w:val="0"/>
          <w:sz w:val="24"/>
        </w:rPr>
        <w:t>投标工作，作出郑重声明：</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一、本公司保证投标文件及其后提供的一切材料都是真实的。如我司成为本项目中标候选人，我司同意并授权招标人将我司投标文件商务部分文件的人员、业绩、奖项等资料进行公开。</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二、本公司保证在本项目投标中不与其他单位围标、串标，不出让投标资格，不向招标人或评标委员会成员行贿。</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三、本公司不存在下列情形之一：</w:t>
      </w:r>
    </w:p>
    <w:p>
      <w:pPr>
        <w:widowControl/>
        <w:snapToGrid w:val="0"/>
        <w:spacing w:line="360" w:lineRule="auto"/>
        <w:ind w:right="102"/>
        <w:jc w:val="left"/>
        <w:rPr>
          <w:rFonts w:ascii="宋体" w:hAnsi="宋体"/>
          <w:kern w:val="0"/>
          <w:sz w:val="24"/>
        </w:rPr>
      </w:pPr>
      <w:r>
        <w:rPr>
          <w:rFonts w:hint="eastAsia" w:ascii="宋体" w:hAnsi="宋体"/>
          <w:kern w:val="0"/>
          <w:sz w:val="24"/>
        </w:rPr>
        <w:t>（1）为招标人不具有独立法人资格的附属机构（单位）；</w:t>
      </w:r>
    </w:p>
    <w:p>
      <w:pPr>
        <w:widowControl/>
        <w:snapToGrid w:val="0"/>
        <w:spacing w:line="360" w:lineRule="auto"/>
        <w:ind w:right="102"/>
        <w:jc w:val="left"/>
        <w:rPr>
          <w:rFonts w:ascii="宋体" w:hAnsi="宋体"/>
          <w:kern w:val="0"/>
          <w:sz w:val="24"/>
        </w:rPr>
      </w:pPr>
      <w:r>
        <w:rPr>
          <w:rFonts w:hint="eastAsia" w:ascii="宋体" w:hAnsi="宋体"/>
          <w:kern w:val="0"/>
          <w:sz w:val="24"/>
        </w:rPr>
        <w:t>（2）为本标段前期准备提供设计或咨询服务或者与本项目设计人或提供咨询服务的机构存在附属关系的；</w:t>
      </w:r>
    </w:p>
    <w:p>
      <w:pPr>
        <w:widowControl/>
        <w:snapToGrid w:val="0"/>
        <w:spacing w:line="360" w:lineRule="auto"/>
        <w:ind w:right="102"/>
        <w:jc w:val="left"/>
        <w:rPr>
          <w:rFonts w:ascii="宋体" w:hAnsi="宋体"/>
          <w:kern w:val="0"/>
          <w:sz w:val="24"/>
        </w:rPr>
      </w:pPr>
      <w:r>
        <w:rPr>
          <w:rFonts w:hint="eastAsia" w:ascii="宋体" w:hAnsi="宋体"/>
          <w:kern w:val="0"/>
          <w:sz w:val="24"/>
        </w:rPr>
        <w:t>（3）为本项目监理人或者与本项目监理人存在隶属关系或者其他利害关系；</w:t>
      </w:r>
    </w:p>
    <w:p>
      <w:pPr>
        <w:widowControl/>
        <w:snapToGrid w:val="0"/>
        <w:spacing w:line="360" w:lineRule="auto"/>
        <w:ind w:right="102"/>
        <w:jc w:val="left"/>
        <w:rPr>
          <w:rFonts w:ascii="宋体" w:hAnsi="宋体"/>
          <w:kern w:val="0"/>
          <w:sz w:val="24"/>
        </w:rPr>
      </w:pPr>
      <w:r>
        <w:rPr>
          <w:rFonts w:hint="eastAsia" w:ascii="宋体" w:hAnsi="宋体"/>
          <w:kern w:val="0"/>
          <w:sz w:val="24"/>
        </w:rPr>
        <w:t>（4）为本标段的代建人；</w:t>
      </w:r>
    </w:p>
    <w:p>
      <w:pPr>
        <w:widowControl/>
        <w:snapToGrid w:val="0"/>
        <w:spacing w:line="360" w:lineRule="auto"/>
        <w:ind w:right="102"/>
        <w:jc w:val="left"/>
        <w:rPr>
          <w:rFonts w:ascii="宋体" w:hAnsi="宋体"/>
          <w:kern w:val="0"/>
          <w:sz w:val="24"/>
        </w:rPr>
      </w:pPr>
      <w:r>
        <w:rPr>
          <w:rFonts w:hint="eastAsia" w:ascii="宋体" w:hAnsi="宋体"/>
          <w:kern w:val="0"/>
          <w:sz w:val="24"/>
        </w:rPr>
        <w:t>（5）为本标段提供招标代理服务的；</w:t>
      </w:r>
    </w:p>
    <w:p>
      <w:pPr>
        <w:widowControl/>
        <w:snapToGrid w:val="0"/>
        <w:spacing w:line="360" w:lineRule="auto"/>
        <w:ind w:right="102"/>
        <w:jc w:val="left"/>
        <w:rPr>
          <w:rFonts w:ascii="宋体" w:hAnsi="宋体"/>
          <w:kern w:val="0"/>
          <w:sz w:val="24"/>
        </w:rPr>
      </w:pPr>
      <w:r>
        <w:rPr>
          <w:rFonts w:hint="eastAsia" w:ascii="宋体" w:hAnsi="宋体"/>
          <w:kern w:val="0"/>
          <w:sz w:val="24"/>
        </w:rPr>
        <w:t>（6）与本标段的监理人或代建人或招标代理机构同为一个法定代表人的；</w:t>
      </w:r>
    </w:p>
    <w:p>
      <w:pPr>
        <w:widowControl/>
        <w:snapToGrid w:val="0"/>
        <w:spacing w:line="360" w:lineRule="auto"/>
        <w:ind w:right="102"/>
        <w:jc w:val="left"/>
        <w:rPr>
          <w:rFonts w:ascii="宋体" w:hAnsi="宋体"/>
          <w:kern w:val="0"/>
          <w:sz w:val="24"/>
        </w:rPr>
      </w:pPr>
      <w:r>
        <w:rPr>
          <w:rFonts w:hint="eastAsia" w:ascii="宋体" w:hAnsi="宋体"/>
          <w:kern w:val="0"/>
          <w:sz w:val="24"/>
        </w:rPr>
        <w:t>（7）与本标段的监理人或代建人或招标代理机构互相控股或参股的；</w:t>
      </w:r>
    </w:p>
    <w:p>
      <w:pPr>
        <w:widowControl/>
        <w:snapToGrid w:val="0"/>
        <w:spacing w:line="360" w:lineRule="auto"/>
        <w:ind w:right="102"/>
        <w:jc w:val="left"/>
        <w:rPr>
          <w:rFonts w:ascii="宋体" w:hAnsi="宋体"/>
          <w:kern w:val="0"/>
          <w:sz w:val="24"/>
        </w:rPr>
      </w:pPr>
      <w:r>
        <w:rPr>
          <w:rFonts w:hint="eastAsia" w:ascii="宋体" w:hAnsi="宋体"/>
          <w:kern w:val="0"/>
          <w:sz w:val="24"/>
        </w:rPr>
        <w:t>（8）与本标段的监理人或代建人或招标代理机构相互任职或工作的；</w:t>
      </w:r>
    </w:p>
    <w:p>
      <w:pPr>
        <w:widowControl/>
        <w:snapToGrid w:val="0"/>
        <w:spacing w:line="360" w:lineRule="auto"/>
        <w:ind w:right="102"/>
        <w:jc w:val="left"/>
        <w:rPr>
          <w:rFonts w:ascii="宋体" w:hAnsi="宋体"/>
          <w:kern w:val="0"/>
          <w:sz w:val="24"/>
        </w:rPr>
      </w:pPr>
      <w:r>
        <w:rPr>
          <w:rFonts w:hint="eastAsia" w:ascii="宋体" w:hAnsi="宋体"/>
          <w:kern w:val="0"/>
          <w:sz w:val="24"/>
        </w:rPr>
        <w:t>（9）与本标段的检测机构有隶属关系或者其他利害关系；</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（10）与招标人存在利害关系且可能影响招标公正性； </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（11）与本标段的其他投标人为同一个单位负责人； </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（12）与本标段的其他投标人存在控股、管理关系； </w:t>
      </w:r>
    </w:p>
    <w:p>
      <w:pPr>
        <w:widowControl/>
        <w:snapToGrid w:val="0"/>
        <w:spacing w:line="360" w:lineRule="auto"/>
        <w:ind w:right="102"/>
        <w:jc w:val="left"/>
        <w:rPr>
          <w:rFonts w:ascii="宋体" w:hAnsi="宋体"/>
          <w:kern w:val="0"/>
          <w:sz w:val="24"/>
        </w:rPr>
      </w:pPr>
      <w:r>
        <w:rPr>
          <w:rFonts w:hint="eastAsia" w:ascii="宋体" w:hAnsi="宋体"/>
          <w:kern w:val="0"/>
          <w:sz w:val="24"/>
        </w:rPr>
        <w:t>（13）被暂扣安全生产许可证的；</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（14）被依法暂停或取消投标资格的； </w:t>
      </w:r>
    </w:p>
    <w:p>
      <w:pPr>
        <w:widowControl/>
        <w:snapToGrid w:val="0"/>
        <w:spacing w:line="360" w:lineRule="auto"/>
        <w:ind w:right="102"/>
        <w:jc w:val="left"/>
        <w:rPr>
          <w:rFonts w:ascii="宋体" w:hAnsi="宋体"/>
          <w:kern w:val="0"/>
          <w:sz w:val="24"/>
        </w:rPr>
      </w:pPr>
      <w:r>
        <w:rPr>
          <w:rFonts w:hint="eastAsia" w:ascii="宋体" w:hAnsi="宋体"/>
          <w:kern w:val="0"/>
          <w:sz w:val="24"/>
        </w:rPr>
        <w:t>（15）被责令停产停业、暂扣或者吊销许可证、暂扣或者吊销执照的；</w:t>
      </w:r>
    </w:p>
    <w:p>
      <w:pPr>
        <w:widowControl/>
        <w:snapToGrid w:val="0"/>
        <w:spacing w:line="360" w:lineRule="auto"/>
        <w:ind w:right="102"/>
        <w:jc w:val="left"/>
        <w:rPr>
          <w:rFonts w:ascii="宋体" w:hAnsi="宋体"/>
          <w:kern w:val="0"/>
          <w:sz w:val="24"/>
        </w:rPr>
      </w:pPr>
      <w:r>
        <w:rPr>
          <w:rFonts w:hint="eastAsia" w:ascii="宋体" w:hAnsi="宋体"/>
          <w:kern w:val="0"/>
          <w:sz w:val="24"/>
        </w:rPr>
        <w:t>（16）进入清算程序，或被宣布破产，或其他丧失履约能力的情形；</w:t>
      </w:r>
    </w:p>
    <w:p>
      <w:pPr>
        <w:widowControl/>
        <w:snapToGrid w:val="0"/>
        <w:spacing w:line="360" w:lineRule="auto"/>
        <w:ind w:right="102"/>
        <w:jc w:val="left"/>
        <w:rPr>
          <w:rFonts w:ascii="宋体" w:hAnsi="宋体"/>
          <w:kern w:val="0"/>
          <w:sz w:val="24"/>
        </w:rPr>
      </w:pPr>
      <w:r>
        <w:rPr>
          <w:rFonts w:hint="eastAsia" w:ascii="宋体" w:hAnsi="宋体"/>
          <w:kern w:val="0"/>
          <w:sz w:val="24"/>
        </w:rPr>
        <w:t>（17）在最近三年内有骗取中标或严重违约或重大工程质量问题的；</w:t>
      </w:r>
    </w:p>
    <w:p>
      <w:pPr>
        <w:widowControl/>
        <w:snapToGrid w:val="0"/>
        <w:spacing w:line="360" w:lineRule="auto"/>
        <w:ind w:right="102"/>
        <w:jc w:val="left"/>
        <w:rPr>
          <w:rFonts w:ascii="宋体" w:hAnsi="宋体"/>
          <w:kern w:val="0"/>
          <w:sz w:val="24"/>
        </w:rPr>
      </w:pPr>
      <w:r>
        <w:rPr>
          <w:rFonts w:hint="eastAsia" w:ascii="宋体" w:hAnsi="宋体"/>
          <w:kern w:val="0"/>
          <w:sz w:val="24"/>
        </w:rPr>
        <w:t>（18）被工商行政管理机关在全国企业信用信息公示系统中列入严重违法失信企业名单；</w:t>
      </w:r>
    </w:p>
    <w:p>
      <w:pPr>
        <w:widowControl/>
        <w:snapToGrid w:val="0"/>
        <w:spacing w:line="360" w:lineRule="auto"/>
        <w:ind w:right="102"/>
        <w:jc w:val="left"/>
        <w:rPr>
          <w:rFonts w:ascii="宋体" w:hAnsi="宋体"/>
          <w:kern w:val="0"/>
          <w:sz w:val="24"/>
        </w:rPr>
      </w:pPr>
      <w:r>
        <w:rPr>
          <w:rFonts w:hint="eastAsia" w:ascii="宋体" w:hAnsi="宋体"/>
          <w:kern w:val="0"/>
          <w:sz w:val="24"/>
        </w:rPr>
        <w:t>（19）被最高人民法院在“信用中国”网站（www.creditchina.gov.cn）或各级信用信息共享平台中列入失信被执行人名单；</w:t>
      </w:r>
    </w:p>
    <w:p>
      <w:pPr>
        <w:widowControl/>
        <w:snapToGrid w:val="0"/>
        <w:spacing w:line="360" w:lineRule="auto"/>
        <w:ind w:right="102"/>
        <w:jc w:val="left"/>
        <w:rPr>
          <w:rFonts w:ascii="宋体" w:hAnsi="宋体"/>
          <w:kern w:val="0"/>
          <w:sz w:val="24"/>
        </w:rPr>
      </w:pPr>
      <w:r>
        <w:rPr>
          <w:rFonts w:hint="eastAsia" w:ascii="宋体" w:hAnsi="宋体"/>
          <w:kern w:val="0"/>
          <w:sz w:val="24"/>
        </w:rPr>
        <w:t>（20）在近三年内投标人或其法定代表人、拟委派的项目负责人有行贿犯罪行为的；</w:t>
      </w:r>
    </w:p>
    <w:p>
      <w:pPr>
        <w:widowControl/>
        <w:snapToGrid w:val="0"/>
        <w:spacing w:line="360" w:lineRule="auto"/>
        <w:ind w:right="102"/>
        <w:jc w:val="left"/>
        <w:rPr>
          <w:rFonts w:ascii="宋体" w:hAnsi="宋体"/>
          <w:kern w:val="0"/>
          <w:sz w:val="24"/>
        </w:rPr>
      </w:pPr>
      <w:r>
        <w:rPr>
          <w:rFonts w:hint="eastAsia" w:ascii="宋体" w:hAnsi="宋体"/>
          <w:kern w:val="0"/>
          <w:sz w:val="24"/>
        </w:rPr>
        <w:t>（21）法律法规规定的其他情形。</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四、本公司保证：本项目拟派的项目负责人没有在其他在建项目中任施工单位项目负责人，本项目拟派的专职安全员没有在其他在建项目中任职。</w:t>
      </w:r>
    </w:p>
    <w:p>
      <w:pPr>
        <w:widowControl/>
        <w:snapToGrid w:val="0"/>
        <w:spacing w:line="360" w:lineRule="auto"/>
        <w:ind w:right="102" w:firstLine="482" w:firstLineChars="200"/>
        <w:jc w:val="left"/>
        <w:rPr>
          <w:rFonts w:ascii="宋体" w:hAnsi="宋体"/>
          <w:b/>
          <w:bCs/>
          <w:kern w:val="0"/>
          <w:sz w:val="24"/>
        </w:rPr>
      </w:pPr>
      <w:r>
        <w:rPr>
          <w:rFonts w:hint="eastAsia" w:ascii="宋体" w:hAnsi="宋体"/>
          <w:b/>
          <w:bCs/>
          <w:kern w:val="0"/>
          <w:sz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八、与本公司单位负责人为同一人或者与本公司存在控股、管理关系的其他单位包括： 。（注：本条由投标人如实填写，如有，应列出全部满足招标公告资质要求的相关单位的名称；如无，则填写“无”。）</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九、本公司拟委派专职安全员兼任本工程的工地余泥渣土运输与排放管理员，严格遵守建设工程余泥渣土运输与排放管理制度，执行“一不准进、三不准出”规定，选择合法的余泥渣土运输单位及排放点。</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widowControl/>
        <w:snapToGrid w:val="0"/>
        <w:spacing w:line="360" w:lineRule="auto"/>
        <w:ind w:right="102" w:firstLine="480" w:firstLineChars="200"/>
        <w:jc w:val="left"/>
        <w:rPr>
          <w:rFonts w:ascii="宋体" w:hAnsi="宋体"/>
          <w:kern w:val="0"/>
          <w:sz w:val="24"/>
        </w:rPr>
      </w:pPr>
      <w:r>
        <w:rPr>
          <w:rFonts w:hint="eastAsia" w:ascii="宋体" w:hAnsi="宋体"/>
          <w:kern w:val="0"/>
          <w:sz w:val="24"/>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widowControl/>
        <w:snapToGrid w:val="0"/>
        <w:spacing w:line="360" w:lineRule="auto"/>
        <w:ind w:right="102"/>
        <w:jc w:val="left"/>
        <w:rPr>
          <w:rFonts w:ascii="宋体" w:hAnsi="宋体"/>
          <w:kern w:val="0"/>
          <w:sz w:val="24"/>
        </w:rPr>
      </w:pPr>
      <w:r>
        <w:rPr>
          <w:rFonts w:hint="eastAsia" w:ascii="宋体" w:hAnsi="宋体"/>
          <w:kern w:val="0"/>
          <w:sz w:val="24"/>
        </w:rPr>
        <w:t>特此声明。</w:t>
      </w:r>
    </w:p>
    <w:p>
      <w:pPr>
        <w:widowControl/>
        <w:snapToGrid w:val="0"/>
        <w:spacing w:line="360" w:lineRule="auto"/>
        <w:ind w:right="102"/>
        <w:jc w:val="left"/>
        <w:rPr>
          <w:rFonts w:ascii="宋体" w:hAnsi="宋体"/>
          <w:kern w:val="0"/>
          <w:sz w:val="24"/>
        </w:rPr>
      </w:pPr>
      <w:r>
        <w:rPr>
          <w:rFonts w:hint="eastAsia" w:ascii="宋体" w:hAnsi="宋体"/>
          <w:kern w:val="0"/>
          <w:sz w:val="24"/>
        </w:rPr>
        <w:t>声明企业：</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                             法定代表人签字：</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                             项目负责人签字:</w:t>
      </w:r>
    </w:p>
    <w:p>
      <w:pPr>
        <w:widowControl/>
        <w:snapToGrid w:val="0"/>
        <w:spacing w:line="360" w:lineRule="auto"/>
        <w:ind w:right="102"/>
        <w:jc w:val="left"/>
        <w:rPr>
          <w:rFonts w:ascii="宋体" w:hAnsi="宋体"/>
          <w:kern w:val="0"/>
          <w:sz w:val="24"/>
        </w:rPr>
      </w:pPr>
      <w:r>
        <w:rPr>
          <w:rFonts w:hint="eastAsia" w:ascii="宋体" w:hAnsi="宋体"/>
          <w:kern w:val="0"/>
          <w:sz w:val="24"/>
        </w:rPr>
        <w:t xml:space="preserve">                             技术负责人签字：</w:t>
      </w:r>
    </w:p>
    <w:p>
      <w:pPr>
        <w:widowControl/>
        <w:snapToGrid w:val="0"/>
        <w:spacing w:line="360" w:lineRule="auto"/>
        <w:ind w:right="102"/>
        <w:jc w:val="right"/>
        <w:rPr>
          <w:rFonts w:ascii="宋体" w:hAnsi="宋体"/>
          <w:kern w:val="0"/>
          <w:sz w:val="24"/>
        </w:rPr>
      </w:pPr>
      <w:r>
        <w:rPr>
          <w:rFonts w:hint="eastAsia" w:ascii="宋体" w:hAnsi="宋体"/>
          <w:kern w:val="0"/>
          <w:sz w:val="24"/>
        </w:rPr>
        <w:t xml:space="preserve">年   月   日                 </w:t>
      </w:r>
    </w:p>
    <w:p>
      <w:pPr>
        <w:widowControl/>
        <w:snapToGrid w:val="0"/>
        <w:spacing w:line="360" w:lineRule="auto"/>
        <w:ind w:right="102"/>
        <w:jc w:val="right"/>
        <w:rPr>
          <w:rFonts w:ascii="宋体" w:hAnsi="宋体"/>
          <w:kern w:val="0"/>
          <w:sz w:val="24"/>
        </w:rPr>
      </w:pPr>
      <w:r>
        <w:rPr>
          <w:rFonts w:hint="eastAsia" w:ascii="宋体" w:hAnsi="宋体"/>
          <w:kern w:val="0"/>
          <w:sz w:val="24"/>
        </w:rPr>
        <w:t xml:space="preserve"> （企业公章）</w:t>
      </w:r>
    </w:p>
    <w:p>
      <w:pPr>
        <w:pStyle w:val="2"/>
        <w:rPr>
          <w:rFonts w:ascii="宋体" w:hAnsi="宋体" w:eastAsia="宋体" w:cs="宋体"/>
          <w:sz w:val="28"/>
          <w:szCs w:val="28"/>
          <w:shd w:val="clear" w:color="auto" w:fill="FFFFFF"/>
        </w:rPr>
      </w:pPr>
      <w:r>
        <w:rPr>
          <w:rFonts w:hint="eastAsia" w:ascii="宋体" w:hAnsi="宋体"/>
          <w:sz w:val="24"/>
          <w:szCs w:val="24"/>
        </w:rPr>
        <w:t>注：招标人应当要求投标人的法定代表人、项目负责人和技术负责人签字。</w:t>
      </w:r>
    </w:p>
    <w:p>
      <w:pPr>
        <w:spacing w:line="360" w:lineRule="auto"/>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现文：</w:t>
      </w:r>
    </w:p>
    <w:p>
      <w:pPr>
        <w:spacing w:line="360" w:lineRule="auto"/>
        <w:outlineLvl w:val="0"/>
        <w:rPr>
          <w:rFonts w:ascii="宋体" w:hAnsi="宋体" w:cs="宋体"/>
          <w:b/>
          <w:sz w:val="44"/>
        </w:rPr>
      </w:pPr>
      <w:r>
        <w:rPr>
          <w:rFonts w:hint="eastAsia" w:ascii="宋体" w:hAnsi="宋体" w:cs="宋体"/>
          <w:sz w:val="24"/>
        </w:rPr>
        <w:t>附件一：</w:t>
      </w:r>
    </w:p>
    <w:p>
      <w:pPr>
        <w:spacing w:line="360" w:lineRule="auto"/>
        <w:jc w:val="center"/>
        <w:outlineLvl w:val="0"/>
        <w:rPr>
          <w:rFonts w:ascii="宋体" w:hAnsi="宋体" w:cs="宋体"/>
          <w:b/>
          <w:sz w:val="32"/>
          <w:szCs w:val="32"/>
        </w:rPr>
      </w:pPr>
      <w:r>
        <w:rPr>
          <w:rFonts w:hint="eastAsia" w:ascii="宋体" w:hAnsi="宋体" w:cs="宋体"/>
          <w:b/>
          <w:kern w:val="0"/>
          <w:sz w:val="32"/>
          <w:szCs w:val="32"/>
        </w:rPr>
        <w:t>投标人</w:t>
      </w:r>
      <w:r>
        <w:rPr>
          <w:rFonts w:hint="eastAsia" w:ascii="宋体" w:hAnsi="宋体" w:cs="宋体"/>
          <w:b/>
          <w:sz w:val="32"/>
          <w:szCs w:val="32"/>
        </w:rPr>
        <w:t>声明（一）</w:t>
      </w:r>
    </w:p>
    <w:p>
      <w:pPr>
        <w:pStyle w:val="14"/>
        <w:ind w:firstLine="0"/>
        <w:rPr>
          <w:rFonts w:ascii="宋体" w:hAnsi="宋体" w:eastAsia="宋体" w:cs="宋体"/>
          <w:color w:val="auto"/>
          <w:sz w:val="21"/>
          <w:szCs w:val="21"/>
        </w:rPr>
      </w:pPr>
      <w:r>
        <w:rPr>
          <w:rFonts w:hint="eastAsia" w:ascii="宋体" w:hAnsi="宋体" w:eastAsia="宋体" w:cs="宋体"/>
          <w:color w:val="auto"/>
          <w:sz w:val="21"/>
          <w:szCs w:val="21"/>
          <w:u w:val="single"/>
        </w:rPr>
        <w:t>广州市增城区住房和城乡建设局</w:t>
      </w:r>
      <w:r>
        <w:rPr>
          <w:rFonts w:hint="eastAsia" w:ascii="宋体" w:hAnsi="宋体" w:eastAsia="宋体" w:cs="宋体"/>
          <w:color w:val="auto"/>
          <w:sz w:val="21"/>
          <w:szCs w:val="21"/>
        </w:rPr>
        <w:t>、本招标项目招标人及招标监管机构：</w:t>
      </w:r>
    </w:p>
    <w:p>
      <w:pPr>
        <w:pStyle w:val="14"/>
        <w:rPr>
          <w:rFonts w:ascii="宋体" w:hAnsi="宋体" w:eastAsia="宋体" w:cs="宋体"/>
          <w:color w:val="auto"/>
          <w:sz w:val="21"/>
          <w:szCs w:val="21"/>
        </w:rPr>
      </w:pPr>
      <w:r>
        <w:rPr>
          <w:rFonts w:hint="eastAsia" w:ascii="宋体" w:hAnsi="宋体" w:eastAsia="宋体" w:cs="宋体"/>
          <w:color w:val="auto"/>
          <w:sz w:val="21"/>
          <w:szCs w:val="21"/>
        </w:rPr>
        <w:t>本公司就参加投标工作，作出郑重声明：</w:t>
      </w:r>
    </w:p>
    <w:p>
      <w:pPr>
        <w:pStyle w:val="14"/>
        <w:rPr>
          <w:rFonts w:ascii="宋体" w:hAnsi="宋体" w:eastAsia="宋体" w:cs="宋体"/>
          <w:color w:val="auto"/>
          <w:sz w:val="21"/>
          <w:szCs w:val="21"/>
        </w:rPr>
      </w:pPr>
      <w:r>
        <w:rPr>
          <w:rFonts w:hint="eastAsia" w:ascii="宋体" w:hAnsi="宋体" w:eastAsia="宋体" w:cs="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14"/>
        <w:rPr>
          <w:rFonts w:ascii="宋体" w:hAnsi="宋体" w:eastAsia="宋体" w:cs="宋体"/>
          <w:color w:val="auto"/>
          <w:sz w:val="21"/>
          <w:szCs w:val="21"/>
        </w:rPr>
      </w:pPr>
      <w:r>
        <w:rPr>
          <w:rFonts w:hint="eastAsia" w:ascii="宋体" w:hAnsi="宋体" w:eastAsia="宋体" w:cs="宋体"/>
          <w:color w:val="auto"/>
          <w:sz w:val="21"/>
          <w:szCs w:val="21"/>
        </w:rPr>
        <w:t>二、本公司保证在本项目投标中不与其他单位围标、串标，不出让投标资格，不向招标人或评标委员会成员行贿。</w:t>
      </w:r>
    </w:p>
    <w:p>
      <w:pPr>
        <w:pStyle w:val="14"/>
        <w:rPr>
          <w:rFonts w:ascii="宋体" w:hAnsi="宋体" w:eastAsia="宋体" w:cs="宋体"/>
          <w:color w:val="auto"/>
          <w:sz w:val="21"/>
          <w:szCs w:val="21"/>
        </w:rPr>
      </w:pPr>
      <w:r>
        <w:rPr>
          <w:rFonts w:hint="eastAsia" w:ascii="宋体" w:hAnsi="宋体" w:eastAsia="宋体" w:cs="宋体"/>
          <w:color w:val="auto"/>
          <w:sz w:val="21"/>
          <w:szCs w:val="21"/>
        </w:rPr>
        <w:t>三、本公司不存在下列情形之一：</w:t>
      </w:r>
    </w:p>
    <w:p>
      <w:pPr>
        <w:pStyle w:val="14"/>
        <w:rPr>
          <w:rFonts w:ascii="宋体" w:hAnsi="宋体" w:eastAsia="宋体" w:cs="宋体"/>
          <w:color w:val="auto"/>
          <w:sz w:val="21"/>
          <w:szCs w:val="21"/>
        </w:rPr>
      </w:pPr>
      <w:r>
        <w:rPr>
          <w:rFonts w:hint="eastAsia" w:ascii="宋体" w:hAnsi="宋体" w:eastAsia="宋体" w:cs="宋体"/>
          <w:color w:val="auto"/>
          <w:sz w:val="21"/>
          <w:szCs w:val="21"/>
        </w:rPr>
        <w:t>（1）为招标人不具有独立法人资格的附属机构（单位）；</w:t>
      </w:r>
    </w:p>
    <w:p>
      <w:pPr>
        <w:pStyle w:val="14"/>
        <w:rPr>
          <w:rFonts w:ascii="宋体" w:hAnsi="宋体" w:eastAsia="宋体" w:cs="宋体"/>
          <w:color w:val="auto"/>
          <w:sz w:val="21"/>
          <w:szCs w:val="21"/>
        </w:rPr>
      </w:pPr>
      <w:r>
        <w:rPr>
          <w:rFonts w:hint="eastAsia" w:ascii="宋体" w:hAnsi="宋体" w:eastAsia="宋体" w:cs="宋体"/>
          <w:color w:val="auto"/>
          <w:sz w:val="21"/>
          <w:szCs w:val="21"/>
        </w:rPr>
        <w:t>（2）为本标段前期准备提供设计或咨询服务或者与本项目设计人或提供咨询服务的机构存在附属关系的；</w:t>
      </w:r>
    </w:p>
    <w:p>
      <w:pPr>
        <w:pStyle w:val="14"/>
        <w:rPr>
          <w:rFonts w:ascii="宋体" w:hAnsi="宋体" w:eastAsia="宋体" w:cs="宋体"/>
          <w:color w:val="auto"/>
          <w:sz w:val="21"/>
          <w:szCs w:val="21"/>
        </w:rPr>
      </w:pPr>
      <w:r>
        <w:rPr>
          <w:rFonts w:hint="eastAsia" w:ascii="宋体" w:hAnsi="宋体" w:eastAsia="宋体" w:cs="宋体"/>
          <w:color w:val="auto"/>
          <w:sz w:val="21"/>
          <w:szCs w:val="21"/>
        </w:rPr>
        <w:t>（3）为本项目监理人或者与本项目监理人存在隶属关系或者其他利害关系；</w:t>
      </w:r>
    </w:p>
    <w:p>
      <w:pPr>
        <w:pStyle w:val="14"/>
        <w:rPr>
          <w:rFonts w:ascii="宋体" w:hAnsi="宋体" w:eastAsia="宋体" w:cs="宋体"/>
          <w:color w:val="auto"/>
          <w:sz w:val="21"/>
          <w:szCs w:val="21"/>
        </w:rPr>
      </w:pPr>
      <w:r>
        <w:rPr>
          <w:rFonts w:hint="eastAsia" w:ascii="宋体" w:hAnsi="宋体" w:eastAsia="宋体" w:cs="宋体"/>
          <w:color w:val="auto"/>
          <w:sz w:val="21"/>
          <w:szCs w:val="21"/>
        </w:rPr>
        <w:t>（4）为本标段的代建人；</w:t>
      </w:r>
    </w:p>
    <w:p>
      <w:pPr>
        <w:pStyle w:val="14"/>
        <w:rPr>
          <w:rFonts w:ascii="宋体" w:hAnsi="宋体" w:eastAsia="宋体" w:cs="宋体"/>
          <w:color w:val="auto"/>
          <w:sz w:val="21"/>
          <w:szCs w:val="21"/>
        </w:rPr>
      </w:pPr>
      <w:r>
        <w:rPr>
          <w:rFonts w:hint="eastAsia" w:ascii="宋体" w:hAnsi="宋体" w:eastAsia="宋体" w:cs="宋体"/>
          <w:color w:val="auto"/>
          <w:sz w:val="21"/>
          <w:szCs w:val="21"/>
        </w:rPr>
        <w:t>（5）为本标段提供招标代理服务的；</w:t>
      </w:r>
    </w:p>
    <w:p>
      <w:pPr>
        <w:pStyle w:val="14"/>
        <w:rPr>
          <w:rFonts w:ascii="宋体" w:hAnsi="宋体" w:eastAsia="宋体" w:cs="宋体"/>
          <w:color w:val="auto"/>
          <w:sz w:val="21"/>
          <w:szCs w:val="21"/>
        </w:rPr>
      </w:pPr>
      <w:r>
        <w:rPr>
          <w:rFonts w:hint="eastAsia" w:ascii="宋体" w:hAnsi="宋体" w:eastAsia="宋体" w:cs="宋体"/>
          <w:color w:val="auto"/>
          <w:sz w:val="21"/>
          <w:szCs w:val="21"/>
        </w:rPr>
        <w:t>（6）与本标段的监理人或代建人或招标代理机构同为一个法定代表人的；</w:t>
      </w:r>
    </w:p>
    <w:p>
      <w:pPr>
        <w:pStyle w:val="14"/>
        <w:rPr>
          <w:rFonts w:ascii="宋体" w:hAnsi="宋体" w:eastAsia="宋体" w:cs="宋体"/>
          <w:color w:val="auto"/>
          <w:sz w:val="21"/>
          <w:szCs w:val="21"/>
        </w:rPr>
      </w:pPr>
      <w:r>
        <w:rPr>
          <w:rFonts w:hint="eastAsia" w:ascii="宋体" w:hAnsi="宋体" w:eastAsia="宋体" w:cs="宋体"/>
          <w:color w:val="auto"/>
          <w:sz w:val="21"/>
          <w:szCs w:val="21"/>
        </w:rPr>
        <w:t>（7）与本标段的监理人或代建人或招标代理机构互相控股或参股的；</w:t>
      </w:r>
    </w:p>
    <w:p>
      <w:pPr>
        <w:pStyle w:val="14"/>
        <w:rPr>
          <w:rFonts w:ascii="宋体" w:hAnsi="宋体" w:eastAsia="宋体" w:cs="宋体"/>
          <w:color w:val="auto"/>
          <w:sz w:val="21"/>
          <w:szCs w:val="21"/>
        </w:rPr>
      </w:pPr>
      <w:r>
        <w:rPr>
          <w:rFonts w:hint="eastAsia" w:ascii="宋体" w:hAnsi="宋体" w:eastAsia="宋体" w:cs="宋体"/>
          <w:color w:val="auto"/>
          <w:sz w:val="21"/>
          <w:szCs w:val="21"/>
        </w:rPr>
        <w:t>（8）与本标段的监理人或代建人或招标代理机构相互任职或工作的；</w:t>
      </w:r>
    </w:p>
    <w:p>
      <w:pPr>
        <w:pStyle w:val="14"/>
        <w:rPr>
          <w:rFonts w:ascii="宋体" w:hAnsi="宋体" w:eastAsia="宋体" w:cs="宋体"/>
          <w:color w:val="auto"/>
          <w:sz w:val="21"/>
          <w:szCs w:val="21"/>
        </w:rPr>
      </w:pPr>
      <w:r>
        <w:rPr>
          <w:rFonts w:hint="eastAsia" w:ascii="宋体" w:hAnsi="宋体" w:eastAsia="宋体" w:cs="宋体"/>
          <w:color w:val="auto"/>
          <w:sz w:val="21"/>
          <w:szCs w:val="21"/>
        </w:rPr>
        <w:t>（9）与本标段的检测机构有隶属关系或者其他利害关系；</w:t>
      </w:r>
    </w:p>
    <w:p>
      <w:pPr>
        <w:pStyle w:val="14"/>
        <w:rPr>
          <w:rFonts w:ascii="宋体" w:hAnsi="宋体" w:eastAsia="宋体" w:cs="宋体"/>
          <w:color w:val="auto"/>
          <w:sz w:val="21"/>
          <w:szCs w:val="21"/>
        </w:rPr>
      </w:pPr>
      <w:r>
        <w:rPr>
          <w:rFonts w:hint="eastAsia" w:ascii="宋体" w:hAnsi="宋体" w:eastAsia="宋体" w:cs="宋体"/>
          <w:color w:val="auto"/>
          <w:sz w:val="21"/>
          <w:szCs w:val="21"/>
        </w:rPr>
        <w:t xml:space="preserve">（10）与招标人存在利害关系且可能影响招标公正性； </w:t>
      </w:r>
    </w:p>
    <w:p>
      <w:pPr>
        <w:pStyle w:val="14"/>
        <w:rPr>
          <w:rFonts w:ascii="宋体" w:hAnsi="宋体" w:eastAsia="宋体" w:cs="宋体"/>
          <w:color w:val="auto"/>
          <w:sz w:val="21"/>
          <w:szCs w:val="21"/>
        </w:rPr>
      </w:pPr>
      <w:r>
        <w:rPr>
          <w:rFonts w:hint="eastAsia" w:ascii="宋体" w:hAnsi="宋体" w:eastAsia="宋体" w:cs="宋体"/>
          <w:color w:val="auto"/>
          <w:sz w:val="21"/>
          <w:szCs w:val="21"/>
        </w:rPr>
        <w:t xml:space="preserve">（11）与本标段的其他投标人为同一个单位负责人； </w:t>
      </w:r>
    </w:p>
    <w:p>
      <w:pPr>
        <w:pStyle w:val="14"/>
        <w:rPr>
          <w:rFonts w:ascii="宋体" w:hAnsi="宋体" w:eastAsia="宋体" w:cs="宋体"/>
          <w:color w:val="auto"/>
          <w:sz w:val="21"/>
          <w:szCs w:val="21"/>
        </w:rPr>
      </w:pPr>
      <w:r>
        <w:rPr>
          <w:rFonts w:hint="eastAsia" w:ascii="宋体" w:hAnsi="宋体" w:eastAsia="宋体" w:cs="宋体"/>
          <w:color w:val="auto"/>
          <w:sz w:val="21"/>
          <w:szCs w:val="21"/>
        </w:rPr>
        <w:t xml:space="preserve">（12）与本标段的其他投标人存在控股、管理关系； </w:t>
      </w:r>
    </w:p>
    <w:p>
      <w:pPr>
        <w:pStyle w:val="14"/>
        <w:rPr>
          <w:rFonts w:ascii="宋体" w:hAnsi="宋体" w:eastAsia="宋体" w:cs="宋体"/>
          <w:color w:val="auto"/>
          <w:sz w:val="21"/>
          <w:szCs w:val="21"/>
        </w:rPr>
      </w:pPr>
      <w:r>
        <w:rPr>
          <w:rFonts w:hint="eastAsia" w:ascii="宋体" w:hAnsi="宋体" w:eastAsia="宋体" w:cs="宋体"/>
          <w:color w:val="auto"/>
          <w:sz w:val="21"/>
          <w:szCs w:val="21"/>
        </w:rPr>
        <w:t>（13）被暂扣安全生产许可证的；</w:t>
      </w:r>
    </w:p>
    <w:p>
      <w:pPr>
        <w:pStyle w:val="14"/>
        <w:rPr>
          <w:rFonts w:ascii="宋体" w:hAnsi="宋体" w:eastAsia="宋体" w:cs="宋体"/>
          <w:color w:val="auto"/>
          <w:sz w:val="21"/>
          <w:szCs w:val="21"/>
        </w:rPr>
      </w:pPr>
      <w:r>
        <w:rPr>
          <w:rFonts w:hint="eastAsia" w:ascii="宋体" w:hAnsi="宋体" w:eastAsia="宋体" w:cs="宋体"/>
          <w:color w:val="auto"/>
          <w:sz w:val="21"/>
          <w:szCs w:val="21"/>
        </w:rPr>
        <w:t xml:space="preserve">（14）被依法暂停或取消投标资格的； </w:t>
      </w:r>
    </w:p>
    <w:p>
      <w:pPr>
        <w:pStyle w:val="14"/>
        <w:rPr>
          <w:rFonts w:ascii="宋体" w:hAnsi="宋体" w:eastAsia="宋体" w:cs="宋体"/>
          <w:color w:val="auto"/>
          <w:sz w:val="21"/>
          <w:szCs w:val="21"/>
        </w:rPr>
      </w:pPr>
      <w:r>
        <w:rPr>
          <w:rFonts w:hint="eastAsia" w:ascii="宋体" w:hAnsi="宋体" w:eastAsia="宋体" w:cs="宋体"/>
          <w:color w:val="auto"/>
          <w:sz w:val="21"/>
          <w:szCs w:val="21"/>
        </w:rPr>
        <w:t>（15）被责令停产停业、暂扣或者吊销许可证、暂扣或者吊销执照的；</w:t>
      </w:r>
    </w:p>
    <w:p>
      <w:pPr>
        <w:pStyle w:val="14"/>
        <w:rPr>
          <w:rFonts w:ascii="宋体" w:hAnsi="宋体" w:eastAsia="宋体" w:cs="宋体"/>
          <w:color w:val="auto"/>
          <w:sz w:val="21"/>
          <w:szCs w:val="21"/>
        </w:rPr>
      </w:pPr>
      <w:r>
        <w:rPr>
          <w:rFonts w:hint="eastAsia" w:ascii="宋体" w:hAnsi="宋体" w:eastAsia="宋体" w:cs="宋体"/>
          <w:color w:val="auto"/>
          <w:sz w:val="21"/>
          <w:szCs w:val="21"/>
        </w:rPr>
        <w:t>（16）进入清算程序，或被宣布破产，或其他丧失履约能力的情形；</w:t>
      </w:r>
    </w:p>
    <w:p>
      <w:pPr>
        <w:pStyle w:val="14"/>
        <w:rPr>
          <w:rFonts w:ascii="宋体" w:hAnsi="宋体" w:eastAsia="宋体" w:cs="宋体"/>
          <w:color w:val="auto"/>
          <w:sz w:val="21"/>
          <w:szCs w:val="21"/>
        </w:rPr>
      </w:pPr>
      <w:r>
        <w:rPr>
          <w:rFonts w:hint="eastAsia" w:ascii="宋体" w:hAnsi="宋体" w:eastAsia="宋体" w:cs="宋体"/>
          <w:color w:val="auto"/>
          <w:sz w:val="21"/>
          <w:szCs w:val="21"/>
        </w:rPr>
        <w:t>（17）在最近三年内有骗取中标或严重违约或重大工程质量问题的；</w:t>
      </w:r>
    </w:p>
    <w:p>
      <w:pPr>
        <w:pStyle w:val="14"/>
        <w:rPr>
          <w:rFonts w:ascii="宋体" w:hAnsi="宋体" w:eastAsia="宋体" w:cs="宋体"/>
          <w:color w:val="auto"/>
          <w:sz w:val="21"/>
          <w:szCs w:val="21"/>
        </w:rPr>
      </w:pPr>
      <w:r>
        <w:rPr>
          <w:rFonts w:hint="eastAsia" w:ascii="宋体" w:hAnsi="宋体" w:eastAsia="宋体" w:cs="宋体"/>
          <w:color w:val="auto"/>
          <w:sz w:val="21"/>
          <w:szCs w:val="21"/>
        </w:rPr>
        <w:t>（18）被工商行政管理机关在全国企业信用信息公示系统中列入严重违法失信企业名单；</w:t>
      </w:r>
    </w:p>
    <w:p>
      <w:pPr>
        <w:pStyle w:val="14"/>
        <w:rPr>
          <w:rFonts w:ascii="宋体" w:hAnsi="宋体" w:eastAsia="宋体" w:cs="宋体"/>
          <w:color w:val="auto"/>
          <w:sz w:val="21"/>
          <w:szCs w:val="21"/>
        </w:rPr>
      </w:pPr>
      <w:r>
        <w:rPr>
          <w:rFonts w:hint="eastAsia" w:ascii="宋体" w:hAnsi="宋体" w:eastAsia="宋体" w:cs="宋体"/>
          <w:color w:val="auto"/>
          <w:sz w:val="21"/>
          <w:szCs w:val="21"/>
        </w:rPr>
        <w:t>（19）被最高人民法院在“信用中国”网站（www.creditchina.gov.cn）或各级信用信息共享平台中列入失信被执行人名单；</w:t>
      </w:r>
    </w:p>
    <w:p>
      <w:pPr>
        <w:pStyle w:val="14"/>
        <w:rPr>
          <w:rFonts w:ascii="宋体" w:hAnsi="宋体" w:eastAsia="宋体" w:cs="宋体"/>
          <w:color w:val="auto"/>
          <w:sz w:val="21"/>
          <w:szCs w:val="21"/>
        </w:rPr>
      </w:pPr>
      <w:r>
        <w:rPr>
          <w:rFonts w:hint="eastAsia" w:ascii="宋体" w:hAnsi="宋体" w:eastAsia="宋体" w:cs="宋体"/>
          <w:color w:val="auto"/>
          <w:sz w:val="21"/>
          <w:szCs w:val="21"/>
        </w:rPr>
        <w:t>（20）在近三年内投标人或其法定代表人、拟委派的项目负责人有行贿犯罪行为的；</w:t>
      </w:r>
    </w:p>
    <w:p>
      <w:pPr>
        <w:pStyle w:val="14"/>
        <w:rPr>
          <w:rFonts w:ascii="宋体" w:hAnsi="宋体" w:eastAsia="宋体" w:cs="宋体"/>
          <w:color w:val="auto"/>
          <w:sz w:val="21"/>
          <w:szCs w:val="21"/>
        </w:rPr>
      </w:pPr>
      <w:r>
        <w:rPr>
          <w:rFonts w:hint="eastAsia" w:ascii="宋体" w:hAnsi="宋体" w:eastAsia="宋体" w:cs="宋体"/>
          <w:color w:val="auto"/>
          <w:sz w:val="21"/>
          <w:szCs w:val="21"/>
        </w:rPr>
        <w:t>（21）法律法规规定的其他情形。</w:t>
      </w:r>
    </w:p>
    <w:p>
      <w:pPr>
        <w:pStyle w:val="14"/>
        <w:rPr>
          <w:rFonts w:ascii="宋体" w:hAnsi="宋体" w:eastAsia="宋体" w:cs="宋体"/>
          <w:color w:val="auto"/>
          <w:sz w:val="21"/>
          <w:szCs w:val="21"/>
        </w:rPr>
      </w:pPr>
      <w:r>
        <w:rPr>
          <w:rFonts w:hint="eastAsia" w:ascii="宋体" w:hAnsi="宋体" w:eastAsia="宋体" w:cs="宋体"/>
          <w:color w:val="auto"/>
          <w:sz w:val="21"/>
          <w:szCs w:val="21"/>
        </w:rPr>
        <w:t>四、本公司保证：本项目拟派的项目负责人没有在其他在建项目中</w:t>
      </w:r>
      <w:r>
        <w:rPr>
          <w:rFonts w:hint="eastAsia" w:ascii="宋体" w:hAnsi="宋体" w:eastAsia="宋体" w:cs="宋体"/>
          <w:b/>
          <w:bCs/>
          <w:color w:val="auto"/>
          <w:sz w:val="21"/>
          <w:szCs w:val="21"/>
        </w:rPr>
        <w:t>任施工单位项目负责人</w:t>
      </w:r>
      <w:r>
        <w:rPr>
          <w:rFonts w:hint="eastAsia" w:ascii="宋体" w:hAnsi="宋体" w:eastAsia="宋体" w:cs="宋体"/>
          <w:color w:val="auto"/>
          <w:sz w:val="21"/>
          <w:szCs w:val="21"/>
        </w:rPr>
        <w:t>，</w:t>
      </w:r>
      <w:r>
        <w:rPr>
          <w:rFonts w:hint="eastAsia" w:ascii="宋体" w:hAnsi="宋体" w:eastAsia="宋体" w:cs="宋体"/>
          <w:b/>
          <w:bCs/>
          <w:color w:val="auto"/>
          <w:sz w:val="21"/>
          <w:szCs w:val="21"/>
        </w:rPr>
        <w:t>本项目拟派的专职</w:t>
      </w:r>
      <w:r>
        <w:rPr>
          <w:rFonts w:hint="eastAsia" w:ascii="宋体" w:hAnsi="宋体" w:eastAsia="宋体" w:cs="宋体"/>
          <w:color w:val="auto"/>
          <w:sz w:val="21"/>
          <w:szCs w:val="21"/>
        </w:rPr>
        <w:t>安全员没有在其他在建项目中任职。</w:t>
      </w:r>
    </w:p>
    <w:p>
      <w:pPr>
        <w:pStyle w:val="14"/>
        <w:rPr>
          <w:rFonts w:ascii="宋体" w:hAnsi="宋体" w:eastAsia="宋体" w:cs="宋体"/>
          <w:color w:val="auto"/>
          <w:sz w:val="21"/>
          <w:szCs w:val="21"/>
        </w:rPr>
      </w:pPr>
      <w:r>
        <w:rPr>
          <w:rFonts w:hint="eastAsia" w:ascii="宋体" w:hAnsi="宋体" w:eastAsia="宋体" w:cs="宋体"/>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4"/>
        <w:rPr>
          <w:rFonts w:ascii="宋体" w:hAnsi="宋体" w:eastAsia="宋体" w:cs="宋体"/>
          <w:color w:val="auto"/>
          <w:sz w:val="21"/>
          <w:szCs w:val="21"/>
        </w:rPr>
      </w:pPr>
      <w:r>
        <w:rPr>
          <w:rFonts w:hint="eastAsia" w:ascii="宋体" w:hAnsi="宋体" w:eastAsia="宋体" w:cs="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4"/>
        <w:rPr>
          <w:rFonts w:ascii="宋体" w:hAnsi="宋体" w:eastAsia="宋体" w:cs="宋体"/>
          <w:color w:val="auto"/>
          <w:sz w:val="21"/>
          <w:szCs w:val="21"/>
        </w:rPr>
      </w:pPr>
      <w:r>
        <w:rPr>
          <w:rFonts w:hint="eastAsia" w:ascii="宋体" w:hAnsi="宋体" w:eastAsia="宋体" w:cs="宋体"/>
          <w:color w:val="auto"/>
          <w:sz w:val="21"/>
          <w:szCs w:val="21"/>
        </w:rPr>
        <w:t>七、本公司承诺，切实落实《住房城乡建设部</w:t>
      </w:r>
      <w:r>
        <w:rPr>
          <w:rFonts w:ascii="宋体" w:hAnsi="宋体" w:eastAsia="宋体" w:cs="宋体"/>
          <w:color w:val="auto"/>
          <w:sz w:val="21"/>
          <w:szCs w:val="21"/>
        </w:rPr>
        <w:t xml:space="preserve"> 人力资源社会保障部关于印发建筑工人实名管理办法（试行）的通知》（建市〔2019〕18号）、《广东省建设工程领域工人工资支付专用账户管理办法》（粤人社规〔2018〕14号）、</w:t>
      </w:r>
      <w:r>
        <w:rPr>
          <w:rFonts w:hint="eastAsia" w:ascii="宋体" w:hAnsi="宋体" w:eastAsia="宋体" w:cs="宋体"/>
          <w:b/>
          <w:color w:val="auto"/>
          <w:sz w:val="21"/>
          <w:szCs w:val="21"/>
        </w:rPr>
        <w:t>《广州市住房和城乡建设局关于印发</w:t>
      </w:r>
      <w:r>
        <w:rPr>
          <w:rFonts w:ascii="宋体" w:hAnsi="宋体" w:eastAsia="宋体" w:cs="宋体"/>
          <w:b/>
          <w:color w:val="auto"/>
          <w:sz w:val="21"/>
          <w:szCs w:val="21"/>
        </w:rPr>
        <w:t>&lt;广州市建筑施工实名制管理办法&gt;的通知》（穗建规字〔2020〕18号）、《广州市建设领域工人工资支付分账管理实施细则》（穗建规字〔2020〕37号）</w:t>
      </w:r>
      <w:r>
        <w:rPr>
          <w:rFonts w:ascii="宋体" w:hAnsi="宋体" w:eastAsia="宋体" w:cs="宋体"/>
          <w:color w:val="auto"/>
          <w:sz w:val="21"/>
          <w:szCs w:val="21"/>
        </w:rPr>
        <w:t>、《关于印发广州市房屋建筑及市政工程实名制和工资支付分账平台化管理工作方案的通知》（穗建筑〔2018〕183号）、《广州市住房和城乡建设委员会关于转发&lt;广东省住</w:t>
      </w:r>
      <w:r>
        <w:rPr>
          <w:rFonts w:hint="eastAsia" w:ascii="宋体" w:hAnsi="宋体" w:eastAsia="宋体" w:cs="宋体"/>
          <w:color w:val="auto"/>
          <w:sz w:val="21"/>
          <w:szCs w:val="21"/>
        </w:rPr>
        <w:t>房和城乡建设厅关于房屋建筑和市政基础设施工程用工实名管理暂行办法</w:t>
      </w:r>
      <w:r>
        <w:rPr>
          <w:rFonts w:ascii="宋体" w:hAnsi="宋体" w:eastAsia="宋体" w:cs="宋体"/>
          <w:color w:val="auto"/>
          <w:sz w:val="21"/>
          <w:szCs w:val="21"/>
        </w:rPr>
        <w:t>&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w:t>
      </w:r>
      <w:r>
        <w:rPr>
          <w:rFonts w:hint="eastAsia" w:ascii="宋体" w:hAnsi="宋体" w:eastAsia="宋体" w:cs="宋体"/>
          <w:color w:val="auto"/>
          <w:sz w:val="21"/>
          <w:szCs w:val="21"/>
        </w:rPr>
        <w:t>其用工企业按时足额支付作业工人工资，督促落实实名制管理制度。本公司接受招标人及建设行政主管部门的监督、检查。（适用于施工总承包招标项目）。</w:t>
      </w:r>
    </w:p>
    <w:p>
      <w:pPr>
        <w:pStyle w:val="14"/>
        <w:rPr>
          <w:rFonts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八、与本公司单位负责人为同一人或者与本公司存在控股、管理关系的其他单位包括：。（注：本条由投标人如实填写，如有，应列出全部满足招标公告资质要求的相关单位的名称；如无，则填写“无”。）</w:t>
      </w:r>
    </w:p>
    <w:p>
      <w:pPr>
        <w:pStyle w:val="14"/>
        <w:rPr>
          <w:rFonts w:ascii="宋体" w:hAnsi="宋体" w:eastAsia="宋体" w:cs="宋体"/>
          <w:color w:val="auto"/>
          <w:sz w:val="21"/>
          <w:szCs w:val="21"/>
        </w:rPr>
      </w:pPr>
      <w:r>
        <w:rPr>
          <w:rFonts w:hint="eastAsia" w:ascii="宋体" w:hAnsi="宋体" w:eastAsia="宋体" w:cs="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widowControl/>
        <w:spacing w:line="360" w:lineRule="auto"/>
        <w:ind w:firstLine="630" w:firstLineChars="300"/>
        <w:jc w:val="left"/>
        <w:rPr>
          <w:rFonts w:ascii="宋体" w:hAnsi="宋体" w:cs="宋体"/>
          <w:b/>
          <w:kern w:val="0"/>
          <w:szCs w:val="21"/>
        </w:rPr>
      </w:pPr>
      <w:r>
        <w:rPr>
          <w:rFonts w:hint="eastAsia" w:ascii="宋体" w:hAnsi="宋体" w:cs="宋体"/>
          <w:szCs w:val="21"/>
        </w:rPr>
        <w:t>十、</w:t>
      </w:r>
      <w:r>
        <w:rPr>
          <w:rFonts w:hint="eastAsia" w:ascii="宋体" w:hAnsi="宋体" w:cs="宋体"/>
          <w:b/>
          <w:kern w:val="0"/>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4"/>
        <w:rPr>
          <w:rFonts w:ascii="宋体" w:hAnsi="宋体" w:eastAsia="宋体" w:cs="宋体"/>
          <w:color w:val="auto"/>
          <w:sz w:val="21"/>
          <w:szCs w:val="21"/>
        </w:rPr>
      </w:pPr>
      <w:r>
        <w:rPr>
          <w:rFonts w:hint="eastAsia" w:ascii="宋体" w:hAnsi="宋体" w:eastAsia="宋体" w:cs="宋体"/>
          <w:color w:val="auto"/>
          <w:sz w:val="21"/>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14"/>
        <w:rPr>
          <w:rFonts w:ascii="宋体" w:hAnsi="宋体" w:eastAsia="宋体" w:cs="宋体"/>
          <w:color w:val="auto"/>
          <w:sz w:val="21"/>
          <w:szCs w:val="21"/>
        </w:rPr>
      </w:pPr>
      <w:r>
        <w:rPr>
          <w:rFonts w:hint="eastAsia" w:ascii="宋体" w:hAnsi="宋体" w:eastAsia="宋体" w:cs="宋体"/>
          <w:color w:val="auto"/>
          <w:sz w:val="21"/>
          <w:szCs w:val="21"/>
        </w:rPr>
        <w:t>特此声明</w:t>
      </w:r>
    </w:p>
    <w:p>
      <w:pPr>
        <w:pStyle w:val="15"/>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声明企业：</w:t>
      </w:r>
    </w:p>
    <w:p>
      <w:pPr>
        <w:pStyle w:val="14"/>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pPr>
        <w:pStyle w:val="14"/>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项目负责人签字:</w:t>
      </w:r>
    </w:p>
    <w:p>
      <w:pPr>
        <w:pStyle w:val="14"/>
        <w:ind w:right="879" w:firstLine="1890" w:firstLineChars="900"/>
        <w:jc w:val="left"/>
        <w:rPr>
          <w:rFonts w:ascii="宋体" w:hAnsi="宋体" w:eastAsia="宋体" w:cs="宋体"/>
          <w:color w:val="auto"/>
          <w:sz w:val="21"/>
          <w:szCs w:val="21"/>
        </w:rPr>
      </w:pPr>
      <w:r>
        <w:rPr>
          <w:rFonts w:hint="eastAsia" w:ascii="宋体" w:hAnsi="宋体" w:eastAsia="宋体" w:cs="宋体"/>
          <w:color w:val="auto"/>
          <w:sz w:val="21"/>
          <w:szCs w:val="21"/>
        </w:rPr>
        <w:t xml:space="preserve">           技术负责人签字：</w:t>
      </w:r>
    </w:p>
    <w:p>
      <w:pPr>
        <w:pStyle w:val="14"/>
        <w:ind w:right="879" w:firstLine="1890" w:firstLineChars="900"/>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line="360" w:lineRule="auto"/>
        <w:rPr>
          <w:rFonts w:ascii="宋体" w:hAnsi="宋体" w:cs="宋体"/>
          <w:kern w:val="0"/>
          <w:szCs w:val="21"/>
        </w:rPr>
      </w:pPr>
      <w:r>
        <w:rPr>
          <w:rFonts w:hint="eastAsia" w:ascii="宋体" w:hAnsi="宋体" w:cs="宋体"/>
          <w:kern w:val="0"/>
          <w:szCs w:val="21"/>
        </w:rPr>
        <w:t>（企业公章）</w:t>
      </w:r>
    </w:p>
    <w:p>
      <w:pPr>
        <w:spacing w:line="360" w:lineRule="auto"/>
        <w:rPr>
          <w:rFonts w:ascii="宋体" w:hAnsi="宋体" w:cs="宋体"/>
          <w:szCs w:val="21"/>
        </w:rPr>
      </w:pPr>
      <w:r>
        <w:rPr>
          <w:rFonts w:hint="eastAsia" w:ascii="宋体" w:hAnsi="宋体" w:cs="宋体"/>
          <w:szCs w:val="21"/>
        </w:rPr>
        <w:t xml:space="preserve">注：招标人应当要求投标人的项目负责人和技术负责人签字。 </w:t>
      </w:r>
    </w:p>
    <w:p>
      <w:pPr>
        <w:widowControl/>
        <w:spacing w:line="360" w:lineRule="auto"/>
        <w:jc w:val="center"/>
        <w:outlineLvl w:val="0"/>
        <w:rPr>
          <w:rFonts w:ascii="宋体" w:hAnsi="宋体" w:cs="宋体"/>
          <w:b/>
          <w:sz w:val="36"/>
          <w:szCs w:val="36"/>
        </w:rPr>
      </w:pPr>
      <w:r>
        <w:rPr>
          <w:rFonts w:hint="eastAsia" w:ascii="宋体" w:hAnsi="宋体" w:cs="宋体"/>
          <w:b/>
          <w:sz w:val="36"/>
          <w:szCs w:val="36"/>
          <w:u w:val="single"/>
        </w:rPr>
        <w:br w:type="page"/>
      </w:r>
      <w:r>
        <w:rPr>
          <w:rFonts w:hint="eastAsia" w:ascii="宋体" w:hAnsi="宋体" w:cs="宋体"/>
          <w:b/>
          <w:sz w:val="36"/>
          <w:szCs w:val="36"/>
        </w:rPr>
        <w:t>投标人声明（二）</w:t>
      </w:r>
    </w:p>
    <w:p>
      <w:pPr>
        <w:widowControl/>
        <w:spacing w:line="360" w:lineRule="auto"/>
        <w:jc w:val="center"/>
        <w:outlineLvl w:val="1"/>
        <w:rPr>
          <w:rFonts w:ascii="宋体" w:hAnsi="宋体" w:cs="宋体"/>
          <w:spacing w:val="15"/>
          <w:kern w:val="0"/>
          <w:sz w:val="24"/>
        </w:rPr>
      </w:pPr>
      <w:r>
        <w:rPr>
          <w:rFonts w:hint="eastAsia" w:ascii="宋体" w:hAnsi="宋体" w:cs="宋体"/>
          <w:bCs/>
          <w:spacing w:val="15"/>
          <w:kern w:val="0"/>
          <w:sz w:val="24"/>
        </w:rPr>
        <w:t>关于投标过程不发生围标串标行为的声明</w:t>
      </w:r>
    </w:p>
    <w:p>
      <w:pPr>
        <w:widowControl/>
        <w:spacing w:line="360" w:lineRule="auto"/>
        <w:jc w:val="left"/>
        <w:rPr>
          <w:rFonts w:ascii="宋体" w:hAnsi="宋体" w:cs="宋体"/>
          <w:spacing w:val="15"/>
          <w:kern w:val="0"/>
          <w:sz w:val="24"/>
        </w:rPr>
      </w:pPr>
      <w:r>
        <w:rPr>
          <w:rFonts w:hint="eastAsia" w:ascii="宋体" w:hAnsi="宋体" w:cs="宋体"/>
          <w:spacing w:val="15"/>
          <w:kern w:val="0"/>
          <w:sz w:val="24"/>
        </w:rPr>
        <w:t>本招标项目招标人及招标监管机构：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本公司就参加位于增城区的的投标工作，作出郑重声明：</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本公司保证在投标过程中不出现以下情形：</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一、不同投标人的投标文件内容存在非正常一致的；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二、不同投标人的投标文件2处以上错漏一致的；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三、不同投标人的投标报价或者报价组成异常一致或者呈规律性变化的；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四、不同投标人的投标文件由同一企业或者同一人编制的；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五、不同投标人的投标文件载明的项目管理班子成员出现同一人的；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六、不同投标人的投标文件相互混装的；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七、不同投标人的投标文件由同一台电脑编制或者同一台附属设备打印的；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八、不同投标人委托同一人投标的；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九、不同投标人使用同一人或者企业资金交纳投标保证金或者投标保函的反担保的；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十、不同投标人聘请同一人为其投标提供技术或者经济咨询服务的，但招标工程本身要求采用专用技术的除外；</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十一、评标委员会认定的其他串通投标情形。</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如果出现上述情形之一的，愿意接受评标委员会或建设行政主管部门作围标串标行为的认定，并自愿无条件接受招标人和建设行政主管部门的以下处理：</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1、取消投标、中标候选人资格、中标资格；</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2、由招标人没收投标保证金或合同履约保证金；</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3、两年内停止或永久禁止参与增城区财政资金建设工程的投标；</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4、两年内停止或永久禁止在增城区承接工程或者执业；</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5、对不良行为予以记录，并行公告；</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6、报增城区建设行政主管部门备案，并提请上级相关行政主管部门依法进行处罚；</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7、其他行政处理决定。</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pPr>
        <w:widowControl/>
        <w:spacing w:line="360" w:lineRule="auto"/>
        <w:ind w:firstLine="1080" w:firstLineChars="400"/>
        <w:jc w:val="left"/>
        <w:rPr>
          <w:rFonts w:ascii="宋体" w:hAnsi="宋体" w:cs="宋体"/>
          <w:spacing w:val="15"/>
          <w:kern w:val="0"/>
          <w:sz w:val="24"/>
        </w:rPr>
      </w:pPr>
      <w:r>
        <w:rPr>
          <w:rFonts w:hint="eastAsia" w:ascii="宋体" w:hAnsi="宋体" w:cs="宋体"/>
          <w:spacing w:val="15"/>
          <w:kern w:val="0"/>
          <w:sz w:val="24"/>
        </w:rPr>
        <w:t>声明企业：                          年    月    日</w:t>
      </w:r>
    </w:p>
    <w:p>
      <w:pPr>
        <w:widowControl/>
        <w:spacing w:line="360" w:lineRule="auto"/>
        <w:ind w:firstLine="1080" w:firstLineChars="400"/>
        <w:rPr>
          <w:rFonts w:ascii="宋体" w:hAnsi="宋体" w:cs="宋体"/>
          <w:spacing w:val="15"/>
          <w:kern w:val="0"/>
          <w:sz w:val="24"/>
        </w:rPr>
      </w:pPr>
      <w:r>
        <w:rPr>
          <w:rFonts w:hint="eastAsia" w:ascii="宋体" w:hAnsi="宋体" w:cs="宋体"/>
          <w:spacing w:val="15"/>
          <w:kern w:val="0"/>
          <w:sz w:val="24"/>
        </w:rPr>
        <w:t>法定代表人签字或盖章：               (企业公章)</w:t>
      </w:r>
    </w:p>
    <w:p>
      <w:pPr>
        <w:widowControl/>
        <w:spacing w:line="360" w:lineRule="auto"/>
        <w:rPr>
          <w:rFonts w:ascii="宋体" w:hAnsi="宋体" w:cs="宋体"/>
          <w:bCs/>
          <w:spacing w:val="15"/>
          <w:kern w:val="0"/>
          <w:sz w:val="24"/>
        </w:rPr>
      </w:pPr>
      <w:r>
        <w:rPr>
          <w:rFonts w:hint="eastAsia" w:ascii="宋体" w:hAnsi="宋体" w:cs="宋体"/>
          <w:bCs/>
          <w:spacing w:val="15"/>
          <w:kern w:val="0"/>
          <w:sz w:val="24"/>
        </w:rPr>
        <w:br w:type="page"/>
      </w:r>
    </w:p>
    <w:p>
      <w:pPr>
        <w:widowControl/>
        <w:spacing w:line="360" w:lineRule="auto"/>
        <w:jc w:val="center"/>
        <w:outlineLvl w:val="0"/>
        <w:rPr>
          <w:rFonts w:ascii="宋体" w:hAnsi="宋体" w:cs="宋体"/>
          <w:b/>
          <w:sz w:val="36"/>
          <w:szCs w:val="36"/>
          <w:u w:val="single"/>
        </w:rPr>
      </w:pPr>
      <w:r>
        <w:rPr>
          <w:rFonts w:hint="eastAsia" w:ascii="宋体" w:hAnsi="宋体" w:cs="宋体"/>
          <w:b/>
          <w:sz w:val="36"/>
          <w:szCs w:val="36"/>
        </w:rPr>
        <w:t>投标人声明（三）</w:t>
      </w:r>
    </w:p>
    <w:p>
      <w:pPr>
        <w:widowControl/>
        <w:spacing w:line="360" w:lineRule="auto"/>
        <w:jc w:val="center"/>
        <w:outlineLvl w:val="1"/>
        <w:rPr>
          <w:rFonts w:ascii="宋体" w:hAnsi="宋体" w:cs="宋体"/>
          <w:spacing w:val="15"/>
          <w:kern w:val="0"/>
          <w:sz w:val="24"/>
        </w:rPr>
      </w:pPr>
      <w:r>
        <w:rPr>
          <w:rFonts w:hint="eastAsia" w:ascii="宋体" w:hAnsi="宋体" w:cs="宋体"/>
          <w:bCs/>
          <w:spacing w:val="15"/>
          <w:kern w:val="0"/>
          <w:sz w:val="24"/>
        </w:rPr>
        <w:t>关于遵守招标文件和履行工程施工合同的声明</w:t>
      </w:r>
    </w:p>
    <w:p>
      <w:pPr>
        <w:widowControl/>
        <w:spacing w:line="360" w:lineRule="auto"/>
        <w:jc w:val="left"/>
        <w:rPr>
          <w:rFonts w:ascii="宋体" w:hAnsi="宋体" w:cs="宋体"/>
          <w:spacing w:val="15"/>
          <w:kern w:val="0"/>
          <w:sz w:val="24"/>
        </w:rPr>
      </w:pPr>
      <w:r>
        <w:rPr>
          <w:rFonts w:hint="eastAsia" w:ascii="宋体" w:hAnsi="宋体" w:cs="宋体"/>
          <w:spacing w:val="15"/>
          <w:kern w:val="0"/>
          <w:sz w:val="24"/>
        </w:rPr>
        <w:t>本招标项目招标人及招标监管机构：</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本公司就参加位于增城区的的投标工作，作出郑重声明：</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一、若成为本工程的中标人，我公司将严格遵守招标文件和履行施工合同的下列要求：</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1、订立合同：在招标文件规定的限期内与招标人订立工程施工合同。</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2、施工现场技术和管理人员：</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（1）投标承诺及派驻现场的项目管理架构中全部技术和管理人员均为我公司员工；</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（3）在收到发包人进场通知的3天内，所有技术和管理人员全部到位，进入现场办公，不得兼职或者擅自离岗；</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5、质量、安全：保证实现本工程招标文件所确定的工程质量、安全目标计划，且按增城区有关文件及本工程招标文件文明施工管理方案中的要求进行文明施工管理。</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6、不发生出借资质、转包、违法分包行为。</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7、不拖欠或克扣劳务人员工资，不拖欠材料、设备价款、分包合同工程款（如有分包工程）。</w:t>
      </w:r>
    </w:p>
    <w:p>
      <w:pPr>
        <w:widowControl/>
        <w:spacing w:line="360" w:lineRule="auto"/>
        <w:ind w:firstLine="540" w:firstLineChars="200"/>
        <w:jc w:val="left"/>
        <w:rPr>
          <w:rFonts w:ascii="宋体" w:hAnsi="宋体" w:cs="宋体"/>
          <w:spacing w:val="15"/>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1、取消中标资格或者解除合同；</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2、由招标人没收投标保证金或合同履约保证金；</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3、两年内停止或永久禁止参与增城区财政资金建设工程的投标；</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4、两年内停止或永久禁止在增城区承接工程或者执业；</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5、对不良行为予以记录，并进行公告；</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6、报增城区建设行政主管部门备案，并提请上级相关行政主管部门依法进行处罚；</w:t>
      </w:r>
    </w:p>
    <w:p>
      <w:pPr>
        <w:widowControl/>
        <w:spacing w:line="360" w:lineRule="auto"/>
        <w:ind w:firstLine="540" w:firstLineChars="200"/>
        <w:jc w:val="left"/>
        <w:outlineLvl w:val="1"/>
        <w:rPr>
          <w:rFonts w:ascii="宋体" w:hAnsi="宋体" w:cs="宋体"/>
          <w:spacing w:val="15"/>
          <w:kern w:val="0"/>
          <w:sz w:val="24"/>
        </w:rPr>
      </w:pPr>
      <w:r>
        <w:rPr>
          <w:rFonts w:hint="eastAsia" w:ascii="宋体" w:hAnsi="宋体" w:cs="宋体"/>
          <w:spacing w:val="15"/>
          <w:kern w:val="0"/>
          <w:sz w:val="24"/>
        </w:rPr>
        <w:t>7、其他行政处理决定。</w:t>
      </w:r>
    </w:p>
    <w:p>
      <w:pPr>
        <w:widowControl/>
        <w:spacing w:line="360" w:lineRule="auto"/>
        <w:ind w:firstLine="675" w:firstLineChars="250"/>
        <w:jc w:val="left"/>
        <w:rPr>
          <w:rFonts w:ascii="宋体" w:hAnsi="宋体" w:cs="宋体"/>
          <w:spacing w:val="15"/>
          <w:kern w:val="0"/>
          <w:sz w:val="24"/>
        </w:rPr>
      </w:pPr>
      <w:r>
        <w:rPr>
          <w:rFonts w:hint="eastAsia" w:ascii="宋体" w:hAnsi="宋体" w:cs="宋体"/>
          <w:spacing w:val="15"/>
          <w:kern w:val="0"/>
          <w:sz w:val="24"/>
        </w:rPr>
        <w:t>特此声明</w:t>
      </w:r>
    </w:p>
    <w:p>
      <w:pPr>
        <w:widowControl/>
        <w:spacing w:line="360" w:lineRule="auto"/>
        <w:ind w:firstLine="675" w:firstLineChars="250"/>
        <w:jc w:val="left"/>
        <w:rPr>
          <w:rFonts w:ascii="宋体" w:hAnsi="宋体" w:cs="宋体"/>
          <w:spacing w:val="15"/>
          <w:kern w:val="0"/>
          <w:sz w:val="24"/>
        </w:rPr>
      </w:pPr>
    </w:p>
    <w:p>
      <w:pPr>
        <w:widowControl/>
        <w:spacing w:line="360" w:lineRule="auto"/>
        <w:ind w:firstLine="675" w:firstLineChars="250"/>
        <w:jc w:val="left"/>
        <w:rPr>
          <w:rFonts w:ascii="宋体" w:hAnsi="宋体" w:cs="宋体"/>
          <w:spacing w:val="15"/>
          <w:kern w:val="0"/>
          <w:sz w:val="24"/>
        </w:rPr>
      </w:pPr>
    </w:p>
    <w:p>
      <w:pPr>
        <w:widowControl/>
        <w:spacing w:line="360" w:lineRule="auto"/>
        <w:ind w:firstLine="675" w:firstLineChars="250"/>
        <w:jc w:val="left"/>
        <w:rPr>
          <w:rFonts w:ascii="宋体" w:hAnsi="宋体" w:cs="宋体"/>
          <w:spacing w:val="15"/>
          <w:kern w:val="0"/>
          <w:sz w:val="24"/>
        </w:rPr>
      </w:pPr>
    </w:p>
    <w:p>
      <w:pPr>
        <w:widowControl/>
        <w:spacing w:line="360" w:lineRule="auto"/>
        <w:ind w:firstLine="675" w:firstLineChars="250"/>
        <w:jc w:val="left"/>
        <w:rPr>
          <w:rFonts w:ascii="宋体" w:hAnsi="宋体" w:cs="宋体"/>
          <w:spacing w:val="15"/>
          <w:kern w:val="0"/>
          <w:sz w:val="24"/>
        </w:rPr>
      </w:pPr>
      <w:r>
        <w:rPr>
          <w:rFonts w:hint="eastAsia" w:ascii="宋体" w:hAnsi="宋体" w:cs="宋体"/>
          <w:spacing w:val="15"/>
          <w:kern w:val="0"/>
          <w:sz w:val="24"/>
        </w:rPr>
        <w:t>声明企业：                               年    月  日</w:t>
      </w:r>
    </w:p>
    <w:p>
      <w:pPr>
        <w:pStyle w:val="14"/>
        <w:ind w:right="1449" w:firstLine="707" w:firstLineChars="262"/>
        <w:rPr>
          <w:rFonts w:ascii="宋体" w:hAnsi="宋体" w:eastAsia="宋体" w:cs="宋体"/>
          <w:color w:val="auto"/>
          <w:sz w:val="24"/>
          <w:szCs w:val="24"/>
        </w:rPr>
      </w:pPr>
      <w:r>
        <w:rPr>
          <w:rFonts w:hint="eastAsia" w:ascii="宋体" w:hAnsi="宋体" w:eastAsia="宋体" w:cs="宋体"/>
          <w:color w:val="auto"/>
          <w:spacing w:val="15"/>
          <w:sz w:val="24"/>
          <w:szCs w:val="24"/>
        </w:rPr>
        <w:t>法定代表人签字或盖章：             (企业公章)</w:t>
      </w:r>
    </w:p>
    <w:p>
      <w:pPr>
        <w:pStyle w:val="5"/>
      </w:pPr>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招标文件附表四原文：</w:t>
      </w:r>
    </w:p>
    <w:p>
      <w:pPr>
        <w:rPr>
          <w:szCs w:val="21"/>
        </w:rPr>
      </w:pPr>
      <w:r>
        <w:rPr>
          <w:rFonts w:hint="eastAsia"/>
          <w:szCs w:val="21"/>
        </w:rPr>
        <w:t>附表四</w:t>
      </w:r>
    </w:p>
    <w:p>
      <w:pPr>
        <w:jc w:val="center"/>
        <w:rPr>
          <w:b/>
          <w:sz w:val="36"/>
          <w:szCs w:val="36"/>
        </w:rPr>
      </w:pPr>
      <w:r>
        <w:rPr>
          <w:rFonts w:hint="eastAsia"/>
          <w:b/>
          <w:sz w:val="36"/>
          <w:szCs w:val="36"/>
        </w:rPr>
        <w:t>技术标详细审查评分表</w:t>
      </w:r>
    </w:p>
    <w:tbl>
      <w:tblPr>
        <w:tblStyle w:val="11"/>
        <w:tblW w:w="14499"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1339"/>
        <w:gridCol w:w="517"/>
        <w:gridCol w:w="11315"/>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blHeader/>
          <w:jc w:val="center"/>
        </w:trPr>
        <w:tc>
          <w:tcPr>
            <w:tcW w:w="1328" w:type="dxa"/>
            <w:tcBorders>
              <w:top w:val="single" w:color="000000" w:sz="8" w:space="0"/>
              <w:left w:val="single" w:color="000000" w:sz="8" w:space="0"/>
              <w:bottom w:val="single" w:color="000000" w:sz="4" w:space="0"/>
              <w:right w:val="single" w:color="000000" w:sz="4" w:space="0"/>
            </w:tcBorders>
            <w:noWrap/>
            <w:vAlign w:val="center"/>
          </w:tcPr>
          <w:p>
            <w:pPr>
              <w:snapToGrid w:val="0"/>
              <w:jc w:val="center"/>
              <w:rPr>
                <w:rStyle w:val="16"/>
                <w:rFonts w:hAnsi="宋体" w:cs="宋体"/>
                <w:b/>
                <w:bCs/>
                <w:szCs w:val="21"/>
              </w:rPr>
            </w:pPr>
            <w:r>
              <w:rPr>
                <w:rStyle w:val="16"/>
                <w:rFonts w:hint="eastAsia" w:hAnsi="宋体" w:cs="宋体"/>
                <w:b/>
                <w:bCs/>
                <w:szCs w:val="21"/>
              </w:rPr>
              <w:t>评分项目</w:t>
            </w:r>
          </w:p>
        </w:tc>
        <w:tc>
          <w:tcPr>
            <w:tcW w:w="1339" w:type="dxa"/>
            <w:tcBorders>
              <w:top w:val="single" w:color="000000" w:sz="8" w:space="0"/>
              <w:left w:val="single" w:color="000000" w:sz="4" w:space="0"/>
              <w:bottom w:val="single" w:color="000000" w:sz="4" w:space="0"/>
              <w:right w:val="single" w:color="000000" w:sz="4" w:space="0"/>
            </w:tcBorders>
            <w:noWrap/>
            <w:vAlign w:val="center"/>
          </w:tcPr>
          <w:p>
            <w:pPr>
              <w:snapToGrid w:val="0"/>
              <w:jc w:val="center"/>
              <w:rPr>
                <w:rStyle w:val="16"/>
                <w:rFonts w:hAnsi="宋体" w:cs="宋体"/>
                <w:b/>
                <w:bCs/>
                <w:szCs w:val="21"/>
              </w:rPr>
            </w:pPr>
            <w:r>
              <w:rPr>
                <w:rStyle w:val="16"/>
                <w:rFonts w:hint="eastAsia" w:hAnsi="宋体" w:cs="宋体"/>
                <w:b/>
                <w:bCs/>
                <w:szCs w:val="21"/>
              </w:rPr>
              <w:t>评分内容</w:t>
            </w:r>
          </w:p>
        </w:tc>
        <w:tc>
          <w:tcPr>
            <w:tcW w:w="517" w:type="dxa"/>
            <w:tcBorders>
              <w:top w:val="single" w:color="000000" w:sz="8" w:space="0"/>
              <w:left w:val="single" w:color="000000" w:sz="4" w:space="0"/>
              <w:bottom w:val="single" w:color="000000" w:sz="4" w:space="0"/>
              <w:right w:val="single" w:color="000000" w:sz="4" w:space="0"/>
            </w:tcBorders>
            <w:noWrap/>
            <w:vAlign w:val="center"/>
          </w:tcPr>
          <w:p>
            <w:pPr>
              <w:snapToGrid w:val="0"/>
              <w:jc w:val="center"/>
              <w:rPr>
                <w:rStyle w:val="16"/>
                <w:rFonts w:hAnsi="宋体" w:cs="宋体"/>
                <w:b/>
                <w:bCs/>
                <w:szCs w:val="21"/>
              </w:rPr>
            </w:pPr>
            <w:r>
              <w:rPr>
                <w:rStyle w:val="16"/>
                <w:rFonts w:hint="eastAsia" w:hAnsi="宋体" w:cs="宋体"/>
                <w:b/>
                <w:bCs/>
                <w:szCs w:val="21"/>
              </w:rPr>
              <w:t>分值</w:t>
            </w:r>
          </w:p>
        </w:tc>
        <w:tc>
          <w:tcPr>
            <w:tcW w:w="11315" w:type="dxa"/>
            <w:tcBorders>
              <w:top w:val="single" w:color="000000" w:sz="8" w:space="0"/>
              <w:left w:val="single" w:color="000000" w:sz="4" w:space="0"/>
              <w:bottom w:val="single" w:color="000000" w:sz="4" w:space="0"/>
              <w:right w:val="single" w:color="000000" w:sz="4" w:space="0"/>
            </w:tcBorders>
            <w:noWrap/>
            <w:vAlign w:val="center"/>
          </w:tcPr>
          <w:p>
            <w:pPr>
              <w:snapToGrid w:val="0"/>
              <w:jc w:val="center"/>
              <w:rPr>
                <w:rStyle w:val="16"/>
                <w:rFonts w:hAnsi="宋体" w:cs="宋体"/>
                <w:b/>
                <w:bCs/>
                <w:szCs w:val="21"/>
              </w:rPr>
            </w:pPr>
            <w:r>
              <w:rPr>
                <w:rStyle w:val="16"/>
                <w:rFonts w:hint="eastAsia" w:hAnsi="宋体" w:cs="宋体"/>
                <w:b/>
                <w:bCs/>
                <w:szCs w:val="21"/>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atLeast"/>
          <w:jc w:val="center"/>
        </w:trPr>
        <w:tc>
          <w:tcPr>
            <w:tcW w:w="1328" w:type="dxa"/>
            <w:vMerge w:val="restart"/>
            <w:tcBorders>
              <w:top w:val="single" w:color="000000" w:sz="4" w:space="0"/>
              <w:left w:val="single" w:color="000000" w:sz="8" w:space="0"/>
              <w:right w:val="single" w:color="000000" w:sz="4" w:space="0"/>
            </w:tcBorders>
            <w:noWrap/>
            <w:vAlign w:val="center"/>
          </w:tcPr>
          <w:p>
            <w:pPr>
              <w:snapToGrid w:val="0"/>
              <w:spacing w:line="360" w:lineRule="auto"/>
              <w:jc w:val="center"/>
              <w:rPr>
                <w:rStyle w:val="16"/>
                <w:rFonts w:hAnsi="宋体" w:cs="宋体"/>
                <w:szCs w:val="21"/>
              </w:rPr>
            </w:pPr>
            <w:r>
              <w:rPr>
                <w:rStyle w:val="16"/>
                <w:rFonts w:hint="eastAsia" w:hAnsi="宋体" w:cs="宋体"/>
                <w:szCs w:val="21"/>
              </w:rPr>
              <w:t>一、企业资信（6分）</w:t>
            </w:r>
          </w:p>
        </w:tc>
        <w:tc>
          <w:tcPr>
            <w:tcW w:w="1339" w:type="dxa"/>
            <w:tcBorders>
              <w:top w:val="single" w:color="000000" w:sz="4" w:space="0"/>
              <w:left w:val="single" w:color="000000" w:sz="4" w:space="0"/>
              <w:right w:val="single" w:color="000000" w:sz="4" w:space="0"/>
            </w:tcBorders>
            <w:noWrap/>
            <w:vAlign w:val="center"/>
          </w:tcPr>
          <w:p>
            <w:pPr>
              <w:ind w:right="134" w:rightChars="64"/>
              <w:jc w:val="center"/>
              <w:rPr>
                <w:rFonts w:ascii="宋体"/>
                <w:kern w:val="0"/>
                <w:sz w:val="20"/>
              </w:rPr>
            </w:pPr>
            <w:r>
              <w:rPr>
                <w:rFonts w:hint="eastAsia" w:ascii="宋体" w:hAnsi="宋体" w:cs="宋体"/>
                <w:kern w:val="0"/>
                <w:sz w:val="20"/>
                <w:szCs w:val="21"/>
              </w:rPr>
              <w:t>企业业绩</w:t>
            </w:r>
          </w:p>
        </w:tc>
        <w:tc>
          <w:tcPr>
            <w:tcW w:w="517" w:type="dxa"/>
            <w:tcBorders>
              <w:top w:val="single" w:color="000000" w:sz="4" w:space="0"/>
              <w:left w:val="single" w:color="000000" w:sz="4" w:space="0"/>
              <w:right w:val="single" w:color="000000" w:sz="4" w:space="0"/>
            </w:tcBorders>
            <w:noWrap/>
            <w:vAlign w:val="center"/>
          </w:tcPr>
          <w:p>
            <w:pPr>
              <w:snapToGrid w:val="0"/>
              <w:jc w:val="center"/>
              <w:rPr>
                <w:rFonts w:ascii="宋体"/>
                <w:kern w:val="0"/>
                <w:sz w:val="20"/>
              </w:rPr>
            </w:pPr>
            <w:r>
              <w:rPr>
                <w:rFonts w:ascii="宋体"/>
                <w:kern w:val="0"/>
                <w:sz w:val="20"/>
              </w:rPr>
              <w:t>2.2</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pStyle w:val="5"/>
              <w:adjustRightInd w:val="0"/>
              <w:rPr>
                <w:rFonts w:hAnsi="宋体" w:eastAsia="宋体" w:cs="宋体"/>
                <w:szCs w:val="21"/>
              </w:rPr>
            </w:pPr>
            <w:r>
              <w:rPr>
                <w:rFonts w:hint="eastAsia" w:hAnsi="宋体" w:cs="宋体"/>
                <w:szCs w:val="21"/>
              </w:rPr>
              <w:t>投标人自201</w:t>
            </w:r>
            <w:r>
              <w:rPr>
                <w:rFonts w:hAnsi="宋体" w:cs="宋体"/>
                <w:szCs w:val="21"/>
              </w:rPr>
              <w:t>8</w:t>
            </w:r>
            <w:r>
              <w:rPr>
                <w:rFonts w:hint="eastAsia" w:hAnsi="宋体" w:cs="宋体"/>
                <w:szCs w:val="21"/>
              </w:rPr>
              <w:t>年1月1日至投标截止时间止完成过质量合格的类似业绩每项得0</w:t>
            </w:r>
            <w:r>
              <w:rPr>
                <w:rFonts w:hAnsi="宋体" w:cs="宋体"/>
                <w:szCs w:val="21"/>
              </w:rPr>
              <w:t>.15</w:t>
            </w:r>
            <w:r>
              <w:rPr>
                <w:rFonts w:hint="eastAsia" w:hAnsi="宋体" w:cs="宋体"/>
                <w:szCs w:val="21"/>
              </w:rPr>
              <w:t>分，本项最高得</w:t>
            </w:r>
            <w:r>
              <w:rPr>
                <w:rFonts w:hAnsi="宋体" w:cs="宋体"/>
                <w:szCs w:val="21"/>
              </w:rPr>
              <w:t>2.2</w:t>
            </w:r>
            <w:r>
              <w:rPr>
                <w:rFonts w:hint="eastAsia" w:hAnsi="宋体" w:cs="宋体"/>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3" w:hRule="atLeast"/>
          <w:jc w:val="center"/>
        </w:trPr>
        <w:tc>
          <w:tcPr>
            <w:tcW w:w="1328" w:type="dxa"/>
            <w:vMerge w:val="continue"/>
            <w:tcBorders>
              <w:left w:val="single" w:color="000000" w:sz="8" w:space="0"/>
              <w:right w:val="single" w:color="000000" w:sz="4" w:space="0"/>
            </w:tcBorders>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noWrap/>
            <w:vAlign w:val="center"/>
          </w:tcPr>
          <w:p>
            <w:pPr>
              <w:ind w:right="134" w:rightChars="64"/>
              <w:jc w:val="center"/>
              <w:rPr>
                <w:rFonts w:ascii="宋体" w:hAnsi="宋体" w:eastAsia="宋体" w:cs="宋体"/>
                <w:kern w:val="0"/>
                <w:sz w:val="20"/>
                <w:szCs w:val="21"/>
              </w:rPr>
            </w:pPr>
            <w:r>
              <w:rPr>
                <w:rFonts w:ascii="宋体" w:hAnsi="宋体" w:cs="宋体"/>
                <w:kern w:val="0"/>
                <w:sz w:val="20"/>
                <w:szCs w:val="21"/>
              </w:rPr>
              <w:t>企业获奖</w:t>
            </w:r>
            <w:r>
              <w:rPr>
                <w:rFonts w:hint="eastAsia" w:ascii="宋体" w:hAnsi="宋体" w:cs="宋体"/>
                <w:kern w:val="0"/>
                <w:sz w:val="20"/>
                <w:szCs w:val="21"/>
              </w:rPr>
              <w:t>工程奖项</w:t>
            </w:r>
          </w:p>
        </w:tc>
        <w:tc>
          <w:tcPr>
            <w:tcW w:w="517" w:type="dxa"/>
            <w:tcBorders>
              <w:top w:val="single" w:color="000000" w:sz="4" w:space="0"/>
              <w:left w:val="single" w:color="000000" w:sz="4" w:space="0"/>
              <w:right w:val="single" w:color="000000" w:sz="4" w:space="0"/>
            </w:tcBorders>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1</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tabs>
                <w:tab w:val="left" w:pos="360"/>
              </w:tabs>
              <w:snapToGrid w:val="0"/>
              <w:jc w:val="left"/>
              <w:rPr>
                <w:rFonts w:ascii="宋体" w:hAnsi="宋体" w:cs="宋体"/>
                <w:kern w:val="0"/>
                <w:sz w:val="20"/>
                <w:szCs w:val="21"/>
              </w:rPr>
            </w:pPr>
            <w:r>
              <w:rPr>
                <w:rFonts w:hint="eastAsia" w:ascii="宋体" w:hAnsi="宋体" w:cs="宋体"/>
                <w:kern w:val="0"/>
                <w:sz w:val="20"/>
                <w:szCs w:val="21"/>
              </w:rPr>
              <w:t>投标人完成过的市政公用工程自2018年1月1日至今：获得过国家级工程质量奖项每项得0.</w:t>
            </w:r>
            <w:r>
              <w:rPr>
                <w:rFonts w:ascii="宋体" w:hAnsi="宋体" w:cs="宋体"/>
                <w:kern w:val="0"/>
                <w:sz w:val="20"/>
                <w:szCs w:val="21"/>
              </w:rPr>
              <w:t>5</w:t>
            </w:r>
            <w:r>
              <w:rPr>
                <w:rFonts w:hint="eastAsia" w:ascii="宋体" w:hAnsi="宋体" w:cs="宋体"/>
                <w:kern w:val="0"/>
                <w:sz w:val="20"/>
                <w:szCs w:val="21"/>
              </w:rPr>
              <w:t>分；获得过省级工程质量奖项每项得0.</w:t>
            </w:r>
            <w:r>
              <w:rPr>
                <w:rFonts w:ascii="宋体" w:hAnsi="宋体" w:cs="宋体"/>
                <w:kern w:val="0"/>
                <w:sz w:val="20"/>
                <w:szCs w:val="21"/>
              </w:rPr>
              <w:t>2</w:t>
            </w:r>
            <w:r>
              <w:rPr>
                <w:rFonts w:hint="eastAsia" w:ascii="宋体" w:hAnsi="宋体" w:cs="宋体"/>
                <w:kern w:val="0"/>
                <w:sz w:val="20"/>
                <w:szCs w:val="21"/>
              </w:rPr>
              <w:t>分；获得过市级工程质量奖项每项得0.</w:t>
            </w:r>
            <w:r>
              <w:rPr>
                <w:rFonts w:ascii="宋体" w:hAnsi="宋体" w:cs="宋体"/>
                <w:kern w:val="0"/>
                <w:sz w:val="20"/>
                <w:szCs w:val="21"/>
              </w:rPr>
              <w:t>1</w:t>
            </w:r>
            <w:r>
              <w:rPr>
                <w:rFonts w:hint="eastAsia" w:ascii="宋体" w:hAnsi="宋体" w:cs="宋体"/>
                <w:kern w:val="0"/>
                <w:sz w:val="20"/>
                <w:szCs w:val="21"/>
              </w:rPr>
              <w:t>分；本项最高得</w:t>
            </w:r>
            <w:r>
              <w:rPr>
                <w:rFonts w:ascii="宋体" w:hAnsi="宋体" w:cs="宋体"/>
                <w:kern w:val="0"/>
                <w:sz w:val="20"/>
                <w:szCs w:val="21"/>
              </w:rPr>
              <w:t>1</w:t>
            </w:r>
            <w:r>
              <w:rPr>
                <w:rFonts w:hint="eastAsia" w:ascii="宋体" w:hAnsi="宋体" w:cs="宋体"/>
                <w:kern w:val="0"/>
                <w:sz w:val="20"/>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8" w:hRule="atLeast"/>
          <w:jc w:val="center"/>
        </w:trPr>
        <w:tc>
          <w:tcPr>
            <w:tcW w:w="1328" w:type="dxa"/>
            <w:vMerge w:val="continue"/>
            <w:tcBorders>
              <w:left w:val="single" w:color="000000" w:sz="8" w:space="0"/>
              <w:right w:val="single" w:color="000000" w:sz="4" w:space="0"/>
            </w:tcBorders>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noWrap/>
            <w:vAlign w:val="center"/>
          </w:tcPr>
          <w:p>
            <w:pPr>
              <w:pStyle w:val="17"/>
              <w:jc w:val="center"/>
              <w:rPr>
                <w:rFonts w:ascii="宋体" w:hAnsi="宋体" w:eastAsia="宋体" w:cs="宋体"/>
                <w:szCs w:val="21"/>
              </w:rPr>
            </w:pPr>
            <w:r>
              <w:rPr>
                <w:rFonts w:hint="eastAsia" w:ascii="宋体" w:hAnsi="宋体" w:eastAsia="宋体" w:cs="宋体"/>
                <w:szCs w:val="21"/>
              </w:rPr>
              <w:t>工程研发能力</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pStyle w:val="17"/>
              <w:jc w:val="center"/>
              <w:rPr>
                <w:rFonts w:ascii="宋体" w:hAnsi="宋体" w:eastAsia="宋体" w:cs="宋体"/>
                <w:szCs w:val="21"/>
              </w:rPr>
            </w:pPr>
            <w:r>
              <w:rPr>
                <w:rFonts w:ascii="宋体" w:hAnsi="宋体" w:eastAsia="宋体" w:cs="宋体"/>
                <w:szCs w:val="21"/>
              </w:rPr>
              <w:t>1.8</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kern w:val="0"/>
                <w:sz w:val="20"/>
                <w:szCs w:val="21"/>
              </w:rPr>
            </w:pPr>
            <w:r>
              <w:rPr>
                <w:rFonts w:hint="eastAsia" w:ascii="宋体" w:hAnsi="宋体" w:cs="宋体"/>
                <w:kern w:val="0"/>
                <w:sz w:val="20"/>
                <w:szCs w:val="21"/>
              </w:rPr>
              <w:t>投标人自2018年1月1日至今（以证书颁发时间为准）获得过全国“市政工程科学技术奖”的15项(含本数)及以上，得</w:t>
            </w:r>
            <w:r>
              <w:rPr>
                <w:rFonts w:ascii="宋体" w:hAnsi="宋体" w:cs="宋体"/>
                <w:kern w:val="0"/>
                <w:sz w:val="20"/>
                <w:szCs w:val="21"/>
              </w:rPr>
              <w:t>1.8</w:t>
            </w:r>
            <w:r>
              <w:rPr>
                <w:rFonts w:hint="eastAsia" w:ascii="宋体" w:hAnsi="宋体" w:cs="宋体"/>
                <w:kern w:val="0"/>
                <w:sz w:val="20"/>
                <w:szCs w:val="21"/>
              </w:rPr>
              <w:t>分；获得过全国“市政工程科学技术奖”的10项(含本数)～15项(不含本数)，得1分；获得获得过全国“市政工程科学技术奖”的5项(含本数)～10项(不含本数)，得</w:t>
            </w:r>
            <w:r>
              <w:rPr>
                <w:rFonts w:ascii="宋体" w:hAnsi="宋体" w:cs="宋体"/>
                <w:kern w:val="0"/>
                <w:sz w:val="20"/>
                <w:szCs w:val="21"/>
              </w:rPr>
              <w:t>0.5</w:t>
            </w:r>
            <w:r>
              <w:rPr>
                <w:rFonts w:hint="eastAsia" w:ascii="宋体" w:hAnsi="宋体" w:cs="宋体"/>
                <w:kern w:val="0"/>
                <w:sz w:val="20"/>
                <w:szCs w:val="21"/>
              </w:rPr>
              <w:t>分；获得过全国“市政工程科学技术奖”的5项(不含本数)以下的，得0.</w:t>
            </w:r>
            <w:r>
              <w:rPr>
                <w:rFonts w:ascii="宋体" w:hAnsi="宋体" w:cs="宋体"/>
                <w:kern w:val="0"/>
                <w:sz w:val="20"/>
                <w:szCs w:val="21"/>
              </w:rPr>
              <w:t>1</w:t>
            </w:r>
            <w:r>
              <w:rPr>
                <w:rFonts w:hint="eastAsia" w:ascii="宋体" w:hAnsi="宋体" w:cs="宋体"/>
                <w:kern w:val="0"/>
                <w:sz w:val="20"/>
                <w:szCs w:val="21"/>
              </w:rPr>
              <w:t>分。本项最多得1.8分。不符合上述条件的不得分。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1" w:hRule="atLeast"/>
          <w:jc w:val="center"/>
        </w:trPr>
        <w:tc>
          <w:tcPr>
            <w:tcW w:w="1328" w:type="dxa"/>
            <w:vMerge w:val="continue"/>
            <w:tcBorders>
              <w:left w:val="single" w:color="000000" w:sz="8" w:space="0"/>
              <w:right w:val="single" w:color="000000" w:sz="4" w:space="0"/>
            </w:tcBorders>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noWrap/>
            <w:vAlign w:val="center"/>
          </w:tcPr>
          <w:p>
            <w:pPr>
              <w:ind w:right="134" w:rightChars="64"/>
              <w:jc w:val="center"/>
              <w:rPr>
                <w:rFonts w:ascii="宋体" w:hAnsi="宋体" w:cs="宋体"/>
                <w:kern w:val="0"/>
                <w:sz w:val="20"/>
                <w:szCs w:val="21"/>
              </w:rPr>
            </w:pPr>
            <w:r>
              <w:rPr>
                <w:rFonts w:hint="eastAsia"/>
                <w:kern w:val="0"/>
                <w:sz w:val="20"/>
                <w:szCs w:val="21"/>
              </w:rPr>
              <w:t>第三方评价</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pStyle w:val="17"/>
              <w:jc w:val="center"/>
              <w:rPr>
                <w:rFonts w:ascii="宋体" w:hAnsi="宋体" w:eastAsia="宋体" w:cs="宋体"/>
                <w:szCs w:val="21"/>
              </w:rPr>
            </w:pPr>
            <w:r>
              <w:rPr>
                <w:rFonts w:ascii="宋体" w:hAnsi="宋体" w:eastAsia="宋体" w:cs="宋体"/>
                <w:szCs w:val="21"/>
              </w:rPr>
              <w:t>1</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kern w:val="0"/>
                <w:sz w:val="20"/>
                <w:szCs w:val="21"/>
              </w:rPr>
            </w:pPr>
            <w:r>
              <w:rPr>
                <w:rFonts w:hint="eastAsia" w:ascii="宋体" w:hAnsi="宋体" w:cs="宋体"/>
                <w:kern w:val="0"/>
                <w:sz w:val="20"/>
                <w:szCs w:val="21"/>
              </w:rPr>
              <w:t>投标人自20</w:t>
            </w:r>
            <w:r>
              <w:rPr>
                <w:rFonts w:ascii="宋体" w:hAnsi="宋体" w:cs="宋体"/>
                <w:kern w:val="0"/>
                <w:sz w:val="20"/>
                <w:szCs w:val="21"/>
              </w:rPr>
              <w:t>18</w:t>
            </w:r>
            <w:r>
              <w:rPr>
                <w:rFonts w:hint="eastAsia" w:ascii="宋体" w:hAnsi="宋体" w:cs="宋体"/>
                <w:kern w:val="0"/>
                <w:sz w:val="20"/>
                <w:szCs w:val="21"/>
              </w:rPr>
              <w:t>年1月1日至投标截止之日投标人获得中国建筑业协会颁发的行业诚信评价AAA的得</w:t>
            </w:r>
            <w:r>
              <w:rPr>
                <w:rFonts w:ascii="宋体" w:hAnsi="宋体" w:cs="宋体"/>
                <w:kern w:val="0"/>
                <w:sz w:val="20"/>
                <w:szCs w:val="21"/>
              </w:rPr>
              <w:t>1</w:t>
            </w:r>
            <w:r>
              <w:rPr>
                <w:rFonts w:hint="eastAsia" w:ascii="宋体" w:hAnsi="宋体" w:cs="宋体"/>
                <w:kern w:val="0"/>
                <w:sz w:val="20"/>
                <w:szCs w:val="21"/>
              </w:rPr>
              <w:t>分，其余不得分，本项最高得</w:t>
            </w:r>
            <w:r>
              <w:rPr>
                <w:rFonts w:ascii="宋体" w:hAnsi="宋体" w:cs="宋体"/>
                <w:kern w:val="0"/>
                <w:sz w:val="20"/>
                <w:szCs w:val="21"/>
              </w:rPr>
              <w:t>1</w:t>
            </w:r>
            <w:r>
              <w:rPr>
                <w:rFonts w:hint="eastAsia" w:ascii="宋体" w:hAnsi="宋体" w:cs="宋体"/>
                <w:kern w:val="0"/>
                <w:sz w:val="20"/>
                <w:szCs w:val="21"/>
              </w:rPr>
              <w:t>分。</w:t>
            </w:r>
          </w:p>
          <w:p>
            <w:pPr>
              <w:rPr>
                <w:rFonts w:ascii="宋体" w:hAnsi="宋体" w:cs="宋体"/>
                <w:kern w:val="0"/>
                <w:sz w:val="20"/>
                <w:szCs w:val="21"/>
              </w:rPr>
            </w:pPr>
            <w:r>
              <w:rPr>
                <w:rFonts w:hint="eastAsia" w:ascii="宋体" w:hAnsi="宋体" w:cs="宋体"/>
                <w:kern w:val="0"/>
                <w:sz w:val="20"/>
                <w:szCs w:val="21"/>
              </w:rPr>
              <w:t>注：以获奖证书落款日期为准，并提供证书复印件，且证书须在有效期内。</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jc w:val="center"/>
        </w:trPr>
        <w:tc>
          <w:tcPr>
            <w:tcW w:w="1328" w:type="dxa"/>
            <w:vMerge w:val="restart"/>
            <w:tcBorders>
              <w:top w:val="single" w:color="000000" w:sz="4" w:space="0"/>
              <w:left w:val="single" w:color="000000" w:sz="8" w:space="0"/>
              <w:right w:val="single" w:color="000000" w:sz="4" w:space="0"/>
            </w:tcBorders>
            <w:noWrap/>
            <w:vAlign w:val="center"/>
          </w:tcPr>
          <w:p>
            <w:pPr>
              <w:numPr>
                <w:ilvl w:val="0"/>
                <w:numId w:val="3"/>
              </w:numPr>
              <w:snapToGrid w:val="0"/>
              <w:spacing w:line="360" w:lineRule="auto"/>
              <w:jc w:val="center"/>
              <w:rPr>
                <w:rStyle w:val="16"/>
                <w:rFonts w:hAnsi="宋体" w:cs="宋体"/>
                <w:szCs w:val="21"/>
              </w:rPr>
            </w:pPr>
            <w:r>
              <w:rPr>
                <w:rStyle w:val="16"/>
                <w:rFonts w:hint="eastAsia" w:hAnsi="宋体" w:cs="宋体"/>
                <w:szCs w:val="21"/>
              </w:rPr>
              <w:t>项目管理机构能力</w:t>
            </w:r>
          </w:p>
          <w:p>
            <w:pPr>
              <w:snapToGrid w:val="0"/>
              <w:spacing w:line="360" w:lineRule="auto"/>
              <w:jc w:val="center"/>
              <w:rPr>
                <w:rStyle w:val="16"/>
                <w:rFonts w:hAnsi="宋体" w:cs="宋体"/>
                <w:szCs w:val="21"/>
              </w:rPr>
            </w:pPr>
            <w:r>
              <w:rPr>
                <w:rStyle w:val="16"/>
                <w:rFonts w:hint="eastAsia" w:hAnsi="宋体" w:cs="宋体"/>
                <w:szCs w:val="21"/>
              </w:rPr>
              <w:t>（</w:t>
            </w:r>
            <w:r>
              <w:rPr>
                <w:rStyle w:val="16"/>
                <w:rFonts w:hAnsi="宋体" w:cs="宋体"/>
                <w:szCs w:val="21"/>
              </w:rPr>
              <w:t>14</w:t>
            </w:r>
            <w:r>
              <w:rPr>
                <w:rStyle w:val="16"/>
                <w:rFonts w:hint="eastAsia" w:hAnsi="宋体" w:cs="宋体"/>
                <w:szCs w:val="21"/>
              </w:rPr>
              <w:t>分）</w:t>
            </w:r>
          </w:p>
        </w:tc>
        <w:tc>
          <w:tcPr>
            <w:tcW w:w="1339" w:type="dxa"/>
            <w:tcBorders>
              <w:top w:val="single" w:color="000000" w:sz="4" w:space="0"/>
              <w:left w:val="single" w:color="000000" w:sz="4" w:space="0"/>
              <w:bottom w:val="single" w:color="000000" w:sz="4" w:space="0"/>
              <w:right w:val="single" w:color="000000" w:sz="4" w:space="0"/>
            </w:tcBorders>
            <w:noWrap/>
            <w:vAlign w:val="center"/>
          </w:tcPr>
          <w:p>
            <w:pPr>
              <w:pStyle w:val="17"/>
              <w:jc w:val="center"/>
              <w:rPr>
                <w:rFonts w:ascii="宋体" w:hAnsi="宋体" w:eastAsia="宋体" w:cs="宋体"/>
                <w:szCs w:val="21"/>
              </w:rPr>
            </w:pPr>
            <w:r>
              <w:rPr>
                <w:rFonts w:hint="eastAsia" w:ascii="宋体" w:hAnsi="宋体" w:eastAsia="宋体" w:cs="宋体"/>
                <w:szCs w:val="21"/>
              </w:rPr>
              <w:t>技术负责人</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4</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pStyle w:val="5"/>
              <w:adjustRightInd w:val="0"/>
              <w:spacing w:line="320" w:lineRule="exact"/>
              <w:rPr>
                <w:rFonts w:hAnsi="宋体" w:cs="宋体"/>
                <w:szCs w:val="21"/>
              </w:rPr>
            </w:pPr>
            <w:r>
              <w:rPr>
                <w:rFonts w:hint="eastAsia" w:hAnsi="宋体" w:cs="宋体"/>
                <w:szCs w:val="21"/>
              </w:rPr>
              <w:t>拟委派的技术负责人具有市政类高级（或以上）工程师职称的，得</w:t>
            </w:r>
            <w:r>
              <w:rPr>
                <w:rFonts w:hAnsi="宋体" w:cs="宋体"/>
                <w:szCs w:val="21"/>
              </w:rPr>
              <w:t>4</w:t>
            </w:r>
            <w:r>
              <w:rPr>
                <w:rFonts w:hint="eastAsia" w:hAnsi="宋体" w:cs="宋体"/>
                <w:szCs w:val="21"/>
              </w:rPr>
              <w:t>分；拟委派的技术负责人具有市政类中级工程师职称的，得</w:t>
            </w:r>
            <w:r>
              <w:rPr>
                <w:rFonts w:hAnsi="宋体" w:cs="宋体"/>
                <w:szCs w:val="21"/>
              </w:rPr>
              <w:t>2</w:t>
            </w:r>
            <w:r>
              <w:rPr>
                <w:rFonts w:hint="eastAsia" w:hAnsi="宋体" w:cs="宋体"/>
                <w:szCs w:val="21"/>
              </w:rPr>
              <w:t>分。其它情况不得分。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328" w:type="dxa"/>
            <w:vMerge w:val="continue"/>
            <w:tcBorders>
              <w:left w:val="single" w:color="000000" w:sz="8" w:space="0"/>
              <w:right w:val="single" w:color="000000" w:sz="4" w:space="0"/>
            </w:tcBorders>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noWrap/>
            <w:vAlign w:val="center"/>
          </w:tcPr>
          <w:p>
            <w:pPr>
              <w:pStyle w:val="17"/>
              <w:jc w:val="center"/>
              <w:rPr>
                <w:rFonts w:ascii="宋体" w:hAnsi="宋体" w:eastAsia="宋体" w:cs="宋体"/>
                <w:szCs w:val="21"/>
              </w:rPr>
            </w:pPr>
            <w:r>
              <w:rPr>
                <w:rFonts w:hint="eastAsia" w:ascii="宋体" w:hAnsi="宋体" w:eastAsia="宋体" w:cs="宋体"/>
                <w:szCs w:val="21"/>
              </w:rPr>
              <w:t>质量负责人</w:t>
            </w:r>
          </w:p>
        </w:tc>
        <w:tc>
          <w:tcPr>
            <w:tcW w:w="517" w:type="dxa"/>
            <w:tcBorders>
              <w:top w:val="single" w:color="000000" w:sz="4" w:space="0"/>
              <w:left w:val="single" w:color="000000" w:sz="4" w:space="0"/>
              <w:right w:val="single" w:color="000000" w:sz="4" w:space="0"/>
            </w:tcBorders>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4</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pStyle w:val="5"/>
              <w:adjustRightInd w:val="0"/>
              <w:spacing w:line="320" w:lineRule="exact"/>
              <w:rPr>
                <w:rFonts w:hAnsi="宋体" w:cs="宋体"/>
                <w:szCs w:val="21"/>
              </w:rPr>
            </w:pPr>
            <w:r>
              <w:rPr>
                <w:rFonts w:hint="eastAsia" w:hAnsi="宋体" w:cs="宋体"/>
                <w:szCs w:val="21"/>
              </w:rPr>
              <w:t>拟委派的质量负责人具备质量员证，具备市政类高级（或以上）工程师职称的，得4分；具备市政类中级工程师职称资格的，得</w:t>
            </w:r>
            <w:r>
              <w:rPr>
                <w:rFonts w:hAnsi="宋体" w:cs="宋体"/>
                <w:szCs w:val="21"/>
              </w:rPr>
              <w:t>2</w:t>
            </w:r>
            <w:r>
              <w:rPr>
                <w:rFonts w:hint="eastAsia" w:hAnsi="宋体" w:cs="宋体"/>
                <w:szCs w:val="21"/>
              </w:rPr>
              <w:t>分；其它情况不得分。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0" w:hRule="atLeast"/>
          <w:jc w:val="center"/>
        </w:trPr>
        <w:tc>
          <w:tcPr>
            <w:tcW w:w="1328" w:type="dxa"/>
            <w:vMerge w:val="continue"/>
            <w:tcBorders>
              <w:left w:val="single" w:color="000000" w:sz="8" w:space="0"/>
              <w:right w:val="single" w:color="000000" w:sz="4" w:space="0"/>
            </w:tcBorders>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noWrap/>
            <w:vAlign w:val="center"/>
          </w:tcPr>
          <w:p>
            <w:pPr>
              <w:pStyle w:val="17"/>
              <w:jc w:val="center"/>
              <w:rPr>
                <w:rFonts w:ascii="宋体" w:hAnsi="宋体" w:eastAsia="宋体" w:cs="宋体"/>
                <w:szCs w:val="21"/>
              </w:rPr>
            </w:pPr>
            <w:r>
              <w:rPr>
                <w:rFonts w:hint="eastAsia" w:ascii="宋体" w:hAnsi="宋体" w:eastAsia="宋体" w:cs="宋体"/>
                <w:szCs w:val="21"/>
              </w:rPr>
              <w:t>安全负责人</w:t>
            </w:r>
          </w:p>
        </w:tc>
        <w:tc>
          <w:tcPr>
            <w:tcW w:w="517" w:type="dxa"/>
            <w:tcBorders>
              <w:top w:val="single" w:color="000000" w:sz="4" w:space="0"/>
              <w:left w:val="single" w:color="000000" w:sz="4" w:space="0"/>
              <w:right w:val="single" w:color="000000" w:sz="4" w:space="0"/>
            </w:tcBorders>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4</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pStyle w:val="5"/>
              <w:adjustRightInd w:val="0"/>
              <w:spacing w:line="320" w:lineRule="exact"/>
            </w:pPr>
            <w:r>
              <w:rPr>
                <w:rFonts w:hint="eastAsia" w:hAnsi="宋体" w:cs="宋体"/>
                <w:szCs w:val="21"/>
              </w:rPr>
              <w:t>拟委派的安全负责人须提供安全生产考核合格证（C类）或提供广东省建筑施工企业管理人员安全生产考核信息系统安全生产管理人员证书信息的网页截图。拟委派的安全负责人具有有效期内注册安全工程师证书的，得</w:t>
            </w:r>
            <w:r>
              <w:rPr>
                <w:rFonts w:hAnsi="宋体" w:cs="宋体"/>
                <w:szCs w:val="21"/>
              </w:rPr>
              <w:t>2</w:t>
            </w:r>
            <w:r>
              <w:rPr>
                <w:rFonts w:hint="eastAsia" w:hAnsi="宋体" w:cs="宋体"/>
                <w:szCs w:val="21"/>
              </w:rPr>
              <w:t>分；具有市政类相关专业高级或以上技术职称的，得2 分；具有市政类相关专业中级技术职称的，得1分。其它情况不得分。本项最多得</w:t>
            </w:r>
            <w:r>
              <w:rPr>
                <w:rFonts w:hAnsi="宋体" w:cs="宋体"/>
                <w:szCs w:val="21"/>
              </w:rPr>
              <w:t>4</w:t>
            </w:r>
            <w:r>
              <w:rPr>
                <w:rFonts w:hint="eastAsia" w:hAnsi="宋体" w:cs="宋体"/>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1" w:hRule="atLeast"/>
          <w:jc w:val="center"/>
        </w:trPr>
        <w:tc>
          <w:tcPr>
            <w:tcW w:w="1328" w:type="dxa"/>
            <w:vMerge w:val="continue"/>
            <w:tcBorders>
              <w:left w:val="single" w:color="000000" w:sz="8" w:space="0"/>
              <w:right w:val="single" w:color="000000" w:sz="4" w:space="0"/>
            </w:tcBorders>
            <w:noWrap/>
            <w:vAlign w:val="center"/>
          </w:tcPr>
          <w:p>
            <w:pPr>
              <w:snapToGrid w:val="0"/>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noWrap/>
            <w:vAlign w:val="center"/>
          </w:tcPr>
          <w:p>
            <w:pPr>
              <w:tabs>
                <w:tab w:val="left" w:pos="360"/>
              </w:tabs>
              <w:snapToGrid w:val="0"/>
              <w:jc w:val="center"/>
              <w:rPr>
                <w:rFonts w:ascii="宋体" w:hAnsi="宋体" w:cs="宋体"/>
                <w:kern w:val="0"/>
                <w:sz w:val="20"/>
                <w:szCs w:val="21"/>
              </w:rPr>
            </w:pPr>
            <w:r>
              <w:rPr>
                <w:rFonts w:hint="eastAsia" w:ascii="宋体" w:hAnsi="宋体" w:cs="宋体"/>
                <w:kern w:val="0"/>
                <w:sz w:val="20"/>
                <w:szCs w:val="21"/>
              </w:rPr>
              <w:t>造价负责人</w:t>
            </w:r>
          </w:p>
        </w:tc>
        <w:tc>
          <w:tcPr>
            <w:tcW w:w="517" w:type="dxa"/>
            <w:tcBorders>
              <w:top w:val="single" w:color="000000" w:sz="4" w:space="0"/>
              <w:left w:val="single" w:color="000000" w:sz="4" w:space="0"/>
              <w:right w:val="single" w:color="000000" w:sz="4" w:space="0"/>
            </w:tcBorders>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2</w:t>
            </w:r>
          </w:p>
        </w:tc>
        <w:tc>
          <w:tcPr>
            <w:tcW w:w="11315" w:type="dxa"/>
            <w:tcBorders>
              <w:top w:val="single" w:color="000000" w:sz="4" w:space="0"/>
              <w:left w:val="single" w:color="000000" w:sz="4" w:space="0"/>
              <w:right w:val="single" w:color="000000" w:sz="4" w:space="0"/>
            </w:tcBorders>
            <w:noWrap/>
            <w:vAlign w:val="center"/>
          </w:tcPr>
          <w:p>
            <w:pPr>
              <w:autoSpaceDE w:val="0"/>
              <w:autoSpaceDN w:val="0"/>
              <w:adjustRightInd w:val="0"/>
              <w:rPr>
                <w:rFonts w:ascii="宋体" w:hAnsi="宋体" w:cs="宋体"/>
                <w:kern w:val="0"/>
                <w:sz w:val="20"/>
                <w:szCs w:val="21"/>
              </w:rPr>
            </w:pPr>
            <w:r>
              <w:rPr>
                <w:rFonts w:hint="eastAsia" w:ascii="宋体" w:hAnsi="宋体" w:cs="宋体"/>
                <w:kern w:val="0"/>
                <w:sz w:val="20"/>
                <w:szCs w:val="21"/>
              </w:rPr>
              <w:t>拟委派的造价负责人具备有注册造价工程师证的，得</w:t>
            </w:r>
            <w:r>
              <w:rPr>
                <w:rFonts w:ascii="宋体" w:hAnsi="宋体" w:cs="宋体"/>
                <w:kern w:val="0"/>
                <w:sz w:val="20"/>
                <w:szCs w:val="21"/>
              </w:rPr>
              <w:t>2</w:t>
            </w:r>
            <w:r>
              <w:rPr>
                <w:rFonts w:hint="eastAsia" w:ascii="宋体" w:hAnsi="宋体" w:cs="宋体"/>
                <w:kern w:val="0"/>
                <w:sz w:val="20"/>
                <w:szCs w:val="21"/>
              </w:rPr>
              <w:t>分；其它情况不得分。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jc w:val="center"/>
        </w:trPr>
        <w:tc>
          <w:tcPr>
            <w:tcW w:w="2667" w:type="dxa"/>
            <w:gridSpan w:val="2"/>
            <w:tcBorders>
              <w:top w:val="single" w:color="000000" w:sz="4" w:space="0"/>
              <w:left w:val="single" w:color="000000" w:sz="8" w:space="0"/>
              <w:bottom w:val="single" w:color="000000" w:sz="4" w:space="0"/>
              <w:right w:val="single" w:color="000000" w:sz="4" w:space="0"/>
            </w:tcBorders>
            <w:noWrap/>
            <w:vAlign w:val="center"/>
          </w:tcPr>
          <w:p>
            <w:pPr>
              <w:snapToGrid w:val="0"/>
              <w:jc w:val="center"/>
              <w:rPr>
                <w:rStyle w:val="16"/>
                <w:rFonts w:hAnsi="宋体" w:cs="宋体"/>
                <w:szCs w:val="21"/>
              </w:rPr>
            </w:pPr>
            <w:r>
              <w:rPr>
                <w:rStyle w:val="16"/>
                <w:rFonts w:hint="eastAsia" w:hAnsi="宋体" w:cs="宋体"/>
                <w:szCs w:val="21"/>
              </w:rPr>
              <w:t>合计</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Style w:val="16"/>
                <w:rFonts w:hAnsi="宋体" w:cs="宋体"/>
                <w:szCs w:val="21"/>
              </w:rPr>
            </w:pPr>
            <w:r>
              <w:rPr>
                <w:rStyle w:val="16"/>
                <w:rFonts w:hAnsi="宋体" w:cs="宋体"/>
                <w:szCs w:val="21"/>
              </w:rPr>
              <w:t>20</w:t>
            </w:r>
          </w:p>
        </w:tc>
        <w:tc>
          <w:tcPr>
            <w:tcW w:w="11315" w:type="dxa"/>
            <w:tcBorders>
              <w:top w:val="single" w:color="000000" w:sz="4" w:space="0"/>
              <w:left w:val="single" w:color="000000" w:sz="4" w:space="0"/>
              <w:bottom w:val="single" w:color="000000" w:sz="4" w:space="0"/>
              <w:right w:val="single" w:color="000000" w:sz="4" w:space="0"/>
            </w:tcBorders>
            <w:noWrap/>
            <w:vAlign w:val="center"/>
          </w:tcPr>
          <w:p>
            <w:pPr>
              <w:snapToGrid w:val="0"/>
              <w:rPr>
                <w:rStyle w:val="16"/>
                <w:rFonts w:hAnsi="宋体" w:cs="宋体"/>
                <w:szCs w:val="21"/>
              </w:rPr>
            </w:pPr>
          </w:p>
        </w:tc>
      </w:tr>
    </w:tbl>
    <w:p>
      <w:pPr>
        <w:pStyle w:val="4"/>
        <w:spacing w:line="300" w:lineRule="exact"/>
        <w:rPr>
          <w:rFonts w:cs="宋体"/>
          <w:szCs w:val="21"/>
        </w:rPr>
      </w:pPr>
      <w:r>
        <w:rPr>
          <w:rFonts w:hint="eastAsia" w:cs="宋体"/>
          <w:szCs w:val="21"/>
        </w:rPr>
        <w:t>备注：</w:t>
      </w:r>
    </w:p>
    <w:p>
      <w:pPr>
        <w:pStyle w:val="4"/>
        <w:spacing w:line="300" w:lineRule="exact"/>
        <w:ind w:firstLine="438"/>
        <w:rPr>
          <w:rFonts w:cs="宋体"/>
          <w:b/>
        </w:rPr>
      </w:pPr>
      <w:r>
        <w:rPr>
          <w:rFonts w:hint="eastAsia" w:cs="宋体"/>
          <w:b/>
        </w:rPr>
        <w:t>1、企业业绩：</w:t>
      </w:r>
    </w:p>
    <w:p>
      <w:pPr>
        <w:adjustRightInd w:val="0"/>
        <w:snapToGrid w:val="0"/>
        <w:spacing w:line="300" w:lineRule="exact"/>
        <w:ind w:firstLine="360" w:firstLineChars="200"/>
        <w:rPr>
          <w:rFonts w:ascii="宋体" w:hAnsi="宋体" w:cs="宋体"/>
          <w:sz w:val="18"/>
          <w:szCs w:val="18"/>
        </w:rPr>
      </w:pPr>
      <w:r>
        <w:rPr>
          <w:rFonts w:hint="eastAsia" w:ascii="宋体" w:hAnsi="宋体" w:cs="宋体"/>
          <w:sz w:val="18"/>
          <w:szCs w:val="18"/>
        </w:rPr>
        <w:t>类似工程业绩是指单项工程中标价大于或等于1300万元的市政公用工程施工总承包业绩。</w:t>
      </w:r>
    </w:p>
    <w:p>
      <w:pPr>
        <w:autoSpaceDE w:val="0"/>
        <w:autoSpaceDN w:val="0"/>
        <w:adjustRightInd w:val="0"/>
        <w:spacing w:line="312" w:lineRule="auto"/>
        <w:ind w:firstLine="360" w:firstLineChars="200"/>
        <w:rPr>
          <w:rFonts w:ascii="宋体" w:hAnsi="宋体" w:eastAsia="宋体" w:cs="宋体"/>
          <w:sz w:val="18"/>
          <w:szCs w:val="18"/>
        </w:rPr>
      </w:pPr>
      <w:r>
        <w:rPr>
          <w:rFonts w:hint="eastAsia" w:ascii="宋体" w:hAnsi="宋体" w:cs="宋体"/>
          <w:sz w:val="18"/>
          <w:szCs w:val="18"/>
        </w:rPr>
        <w:t>根据《广州市住房和城乡建设局关于调整企业诚信档案信息库业绩登记办理指引的通知》，投标人根据项目完成时间选择以下两种方式提供业绩资料，在该通知日期（</w:t>
      </w:r>
      <w:r>
        <w:rPr>
          <w:rFonts w:hint="eastAsia"/>
        </w:rPr>
        <w:t>2020年11月5日）</w:t>
      </w:r>
      <w:r>
        <w:rPr>
          <w:rFonts w:hint="eastAsia" w:ascii="宋体" w:hAnsi="宋体" w:cs="宋体"/>
          <w:sz w:val="18"/>
          <w:szCs w:val="18"/>
        </w:rPr>
        <w:t>之前的采用方式（1）业绩取自广州市住房和城乡建设局企业诚信档案信息库；在该通知日期之后的采用方式（2）。</w:t>
      </w:r>
    </w:p>
    <w:p>
      <w:pPr>
        <w:autoSpaceDE w:val="0"/>
        <w:autoSpaceDN w:val="0"/>
        <w:adjustRightInd w:val="0"/>
        <w:spacing w:line="312" w:lineRule="auto"/>
        <w:ind w:firstLine="360" w:firstLineChars="200"/>
        <w:rPr>
          <w:rFonts w:ascii="宋体" w:hAnsi="宋体" w:cs="宋体"/>
          <w:sz w:val="18"/>
          <w:szCs w:val="18"/>
        </w:rPr>
      </w:pPr>
      <w:r>
        <w:rPr>
          <w:rFonts w:hint="eastAsia" w:ascii="宋体" w:hAnsi="宋体" w:cs="宋体"/>
          <w:sz w:val="18"/>
          <w:szCs w:val="18"/>
        </w:rPr>
        <w:t>如为方式（1）业绩，投标人需提供类似工程业绩的项目名称及业绩在广州市住房和城乡建设局企业诚信档案信息库中项目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w:t>
      </w:r>
    </w:p>
    <w:p>
      <w:pPr>
        <w:pStyle w:val="2"/>
        <w:numPr>
          <w:ilvl w:val="0"/>
          <w:numId w:val="4"/>
        </w:numPr>
        <w:ind w:left="420" w:leftChars="200"/>
        <w:rPr>
          <w:rFonts w:ascii="宋体" w:hAnsi="宋体" w:cs="宋体"/>
          <w:sz w:val="18"/>
          <w:szCs w:val="18"/>
        </w:rPr>
      </w:pPr>
      <w:r>
        <w:rPr>
          <w:rFonts w:hint="eastAsia" w:ascii="宋体" w:hAnsi="宋体" w:cs="宋体"/>
          <w:sz w:val="18"/>
          <w:szCs w:val="18"/>
        </w:rPr>
        <w:t>金额以中标通知书为准，中标通知书上没有金额或免招标的，以施工合同（不含补充合同）为准。</w:t>
      </w:r>
      <w:r>
        <w:rPr>
          <w:rFonts w:hint="eastAsia" w:ascii="宋体" w:hAnsi="宋体" w:cs="宋体"/>
          <w:sz w:val="18"/>
          <w:szCs w:val="18"/>
        </w:rPr>
        <w:br w:type="textWrapping"/>
      </w:r>
      <w:r>
        <w:rPr>
          <w:rFonts w:hint="eastAsia" w:ascii="宋体" w:hAnsi="宋体" w:cs="宋体"/>
          <w:sz w:val="18"/>
          <w:szCs w:val="18"/>
        </w:rPr>
        <w:t>2）完成时间以竣工验收文件为准。验收文件至少具有建设单位、设计、施工和监理单位盖章。</w:t>
      </w:r>
      <w:r>
        <w:rPr>
          <w:rFonts w:hint="eastAsia" w:ascii="宋体" w:hAnsi="宋体" w:cs="宋体"/>
          <w:sz w:val="18"/>
          <w:szCs w:val="18"/>
        </w:rPr>
        <w:br w:type="textWrapping"/>
      </w:r>
      <w:r>
        <w:rPr>
          <w:rFonts w:hint="eastAsia" w:ascii="宋体" w:hAnsi="宋体" w:cs="宋体"/>
          <w:sz w:val="18"/>
          <w:szCs w:val="18"/>
        </w:rPr>
        <w:t>3）库内业绩上传件不符合上述要求的或登记的工程资质内容与施工合同等业绩证明资料不相符的，该项业绩不予认定。</w:t>
      </w:r>
    </w:p>
    <w:p>
      <w:pPr>
        <w:spacing w:line="312" w:lineRule="auto"/>
        <w:ind w:left="420" w:leftChars="200"/>
        <w:rPr>
          <w:rFonts w:ascii="宋体" w:hAnsi="宋体" w:eastAsia="宋体" w:cs="宋体"/>
          <w:sz w:val="18"/>
          <w:szCs w:val="18"/>
        </w:rPr>
      </w:pPr>
      <w:r>
        <w:rPr>
          <w:rFonts w:hint="eastAsia" w:ascii="宋体" w:hAnsi="宋体" w:cs="宋体"/>
          <w:sz w:val="18"/>
          <w:szCs w:val="18"/>
        </w:rPr>
        <w:t>如为方式（2）业绩，投标人需提供以下资料：</w:t>
      </w:r>
    </w:p>
    <w:p>
      <w:pPr>
        <w:ind w:left="420" w:leftChars="200"/>
        <w:rPr>
          <w:rFonts w:ascii="宋体" w:hAnsi="宋体" w:cs="宋体"/>
          <w:sz w:val="18"/>
          <w:szCs w:val="18"/>
        </w:rPr>
      </w:pPr>
      <w:r>
        <w:rPr>
          <w:rFonts w:hint="eastAsia" w:ascii="宋体" w:hAnsi="宋体" w:cs="宋体"/>
          <w:sz w:val="18"/>
          <w:szCs w:val="18"/>
        </w:rPr>
        <w:t>1）提供业绩的中标通知书（或免招标证明）、施工合同（仅需附协议书部分）、单位工程验收鉴定证书或合同工程完工验收鉴定书或工程竣工验收报告及其他补充（如需要）反映工程信息的相关证明材料扫描件。</w:t>
      </w:r>
      <w:r>
        <w:rPr>
          <w:rFonts w:hint="eastAsia" w:ascii="宋体" w:hAnsi="宋体" w:cs="宋体"/>
          <w:sz w:val="18"/>
          <w:szCs w:val="18"/>
        </w:rPr>
        <w:br w:type="textWrapping"/>
      </w:r>
      <w:r>
        <w:rPr>
          <w:rFonts w:hint="eastAsia" w:ascii="宋体" w:hAnsi="宋体" w:cs="宋体"/>
          <w:sz w:val="18"/>
          <w:szCs w:val="18"/>
        </w:rPr>
        <w:t>2）业绩金额以中标通知书为准，中标通知书上没有金额的，以施工合同（不含补充合同）为准，时间以单位工程验收鉴定证书或合同工程完工验收鉴定书或工程竣工验收报告等材料的日期为准。如为设计施工总承包项目（EPC项目）的，则投标人须为本项目的唯一施工单位。</w:t>
      </w:r>
    </w:p>
    <w:p>
      <w:pPr>
        <w:ind w:left="420" w:leftChars="200"/>
        <w:rPr>
          <w:rFonts w:cs="宋体"/>
          <w:sz w:val="18"/>
          <w:szCs w:val="18"/>
        </w:rPr>
      </w:pPr>
      <w:r>
        <w:rPr>
          <w:rFonts w:hint="eastAsia" w:ascii="宋体" w:hAnsi="宋体" w:cs="宋体"/>
          <w:sz w:val="18"/>
          <w:szCs w:val="18"/>
        </w:rPr>
        <w:t>3）提供的材料不符合上述条件或未提供上述资料的，该业绩不予认定。</w:t>
      </w:r>
    </w:p>
    <w:p>
      <w:pPr>
        <w:pStyle w:val="4"/>
        <w:spacing w:line="300" w:lineRule="exact"/>
        <w:ind w:firstLine="438"/>
        <w:rPr>
          <w:rFonts w:cs="宋体"/>
          <w:b/>
        </w:rPr>
      </w:pPr>
      <w:r>
        <w:rPr>
          <w:rFonts w:cs="宋体"/>
          <w:b/>
        </w:rPr>
        <w:t>2</w:t>
      </w:r>
      <w:r>
        <w:rPr>
          <w:rFonts w:hint="eastAsia" w:cs="宋体"/>
          <w:b/>
        </w:rPr>
        <w:t>、企业获奖：</w:t>
      </w:r>
    </w:p>
    <w:p>
      <w:pPr>
        <w:pStyle w:val="4"/>
        <w:spacing w:line="300" w:lineRule="exact"/>
        <w:ind w:firstLine="392"/>
        <w:rPr>
          <w:rFonts w:cs="宋体"/>
          <w:sz w:val="18"/>
          <w:szCs w:val="18"/>
        </w:rPr>
      </w:pPr>
      <w:r>
        <w:rPr>
          <w:rFonts w:hint="eastAsia" w:cs="宋体"/>
          <w:bCs/>
          <w:sz w:val="18"/>
          <w:szCs w:val="18"/>
        </w:rPr>
        <w:t>国家级奖项包括：中国建设工程鲁班奖、国家优质工程（金质奖）、国家优质工程（银质奖）、国家优质工程奖、中国土木工程詹天佑奖、</w:t>
      </w:r>
      <w:r>
        <w:rPr>
          <w:rFonts w:hint="eastAsia" w:cs="宋体"/>
          <w:sz w:val="18"/>
          <w:szCs w:val="18"/>
        </w:rPr>
        <w:t>市政金杯示范工程奖等</w:t>
      </w:r>
      <w:r>
        <w:rPr>
          <w:rFonts w:hint="eastAsia" w:cs="宋体"/>
          <w:bCs/>
          <w:sz w:val="18"/>
          <w:szCs w:val="18"/>
        </w:rPr>
        <w:t>奖项</w:t>
      </w:r>
      <w:r>
        <w:rPr>
          <w:rFonts w:hint="eastAsia" w:cs="宋体"/>
          <w:sz w:val="18"/>
          <w:szCs w:val="18"/>
        </w:rPr>
        <w:t>；省级奖项指省级工程优质奖或优良样板工程奖等各类工程实体奖项，不含工地类或技术类奖项。参建项目不得分，同一项目获得多个奖项的，该项目获奖只按其中一个奖项所在最高级别计算一次分数，不得重复计算。</w:t>
      </w:r>
    </w:p>
    <w:p>
      <w:pPr>
        <w:adjustRightInd w:val="0"/>
        <w:snapToGrid w:val="0"/>
        <w:spacing w:line="300" w:lineRule="exact"/>
        <w:ind w:right="42" w:rightChars="20" w:firstLine="402" w:firstLineChars="200"/>
        <w:rPr>
          <w:rFonts w:ascii="宋体" w:hAnsi="宋体" w:cs="宋体"/>
          <w:b/>
          <w:kern w:val="0"/>
          <w:sz w:val="20"/>
          <w:szCs w:val="20"/>
        </w:rPr>
      </w:pPr>
      <w:r>
        <w:rPr>
          <w:rFonts w:ascii="宋体" w:hAnsi="宋体" w:cs="宋体"/>
          <w:b/>
          <w:kern w:val="0"/>
          <w:sz w:val="20"/>
          <w:szCs w:val="20"/>
        </w:rPr>
        <w:t>3</w:t>
      </w:r>
      <w:r>
        <w:rPr>
          <w:rFonts w:hint="eastAsia" w:ascii="宋体" w:hAnsi="宋体" w:cs="宋体"/>
          <w:b/>
          <w:kern w:val="0"/>
          <w:sz w:val="20"/>
          <w:szCs w:val="20"/>
        </w:rPr>
        <w:t>、工程研发能力：</w:t>
      </w:r>
    </w:p>
    <w:p>
      <w:pPr>
        <w:adjustRightInd w:val="0"/>
        <w:snapToGrid w:val="0"/>
        <w:spacing w:line="300" w:lineRule="exact"/>
        <w:ind w:left="42" w:leftChars="20" w:right="42" w:rightChars="20" w:firstLine="360" w:firstLineChars="200"/>
        <w:rPr>
          <w:rFonts w:ascii="宋体" w:hAnsi="宋体" w:cs="宋体"/>
          <w:kern w:val="0"/>
          <w:sz w:val="18"/>
          <w:szCs w:val="18"/>
        </w:rPr>
      </w:pPr>
      <w:r>
        <w:rPr>
          <w:rFonts w:hint="eastAsia" w:ascii="宋体" w:hAnsi="宋体" w:cs="宋体"/>
          <w:kern w:val="0"/>
          <w:sz w:val="18"/>
          <w:szCs w:val="18"/>
        </w:rPr>
        <w:t>全国市政行业市政工程科学技术奖以投标人所提供获奖证书扫描件为准，时间以发证时间为准。奖项的颁发单位必须经民政部门依法登记成立，不符合条件或无提供证书扫描件的不计分。</w:t>
      </w:r>
    </w:p>
    <w:p>
      <w:pPr>
        <w:pStyle w:val="5"/>
        <w:ind w:firstLine="402" w:firstLineChars="200"/>
      </w:pPr>
      <w:r>
        <w:rPr>
          <w:rFonts w:hint="eastAsia" w:hAnsi="宋体" w:eastAsia="宋体" w:cs="宋体"/>
          <w:b/>
        </w:rPr>
        <w:t>4、第三方评价：</w:t>
      </w:r>
      <w:r>
        <w:rPr>
          <w:rFonts w:hint="eastAsia" w:hAnsi="宋体" w:cs="宋体"/>
          <w:szCs w:val="21"/>
        </w:rPr>
        <w:t>以获奖证书落款日期为准，并提供证书复印件，且证书须在有效期内。</w:t>
      </w:r>
    </w:p>
    <w:p>
      <w:pPr>
        <w:adjustRightInd w:val="0"/>
        <w:snapToGrid w:val="0"/>
        <w:spacing w:line="300" w:lineRule="exact"/>
        <w:ind w:left="42" w:leftChars="20" w:right="42" w:rightChars="20" w:firstLine="402" w:firstLineChars="200"/>
        <w:rPr>
          <w:rFonts w:ascii="宋体" w:hAnsi="宋体" w:eastAsia="宋体" w:cs="宋体"/>
          <w:b/>
          <w:kern w:val="0"/>
          <w:sz w:val="20"/>
          <w:szCs w:val="20"/>
        </w:rPr>
      </w:pPr>
      <w:r>
        <w:rPr>
          <w:rFonts w:hint="eastAsia" w:ascii="宋体" w:hAnsi="宋体" w:eastAsia="宋体" w:cs="宋体"/>
          <w:b/>
          <w:kern w:val="0"/>
          <w:sz w:val="20"/>
          <w:szCs w:val="20"/>
        </w:rPr>
        <w:t>5、项目管理机构能力：</w:t>
      </w:r>
    </w:p>
    <w:p>
      <w:pPr>
        <w:adjustRightInd w:val="0"/>
        <w:snapToGrid w:val="0"/>
        <w:spacing w:line="300" w:lineRule="exact"/>
        <w:ind w:left="42" w:leftChars="20" w:right="42" w:rightChars="20" w:firstLine="180" w:firstLineChars="100"/>
        <w:rPr>
          <w:rFonts w:ascii="宋体" w:hAnsi="宋体" w:cs="宋体"/>
          <w:kern w:val="0"/>
          <w:sz w:val="18"/>
          <w:szCs w:val="18"/>
        </w:rPr>
      </w:pPr>
      <w:r>
        <w:rPr>
          <w:rFonts w:hint="eastAsia" w:ascii="宋体" w:hAnsi="宋体" w:cs="宋体"/>
          <w:kern w:val="0"/>
          <w:sz w:val="18"/>
          <w:szCs w:val="18"/>
        </w:rPr>
        <w:t>（1）项目管理机构人员的岗位不能相互兼任，项目管理机构人员仅指投标人自身人员，不含子母公司人员，如投标申请人为集团公司，则不含集团下属分公司，专指集团本部人员，同样下属公司也不得使用集团公司的人员；</w:t>
      </w:r>
    </w:p>
    <w:p>
      <w:pPr>
        <w:adjustRightInd w:val="0"/>
        <w:snapToGrid w:val="0"/>
        <w:spacing w:line="300" w:lineRule="exact"/>
        <w:ind w:left="42" w:leftChars="20" w:right="42" w:rightChars="20" w:firstLine="180" w:firstLineChars="100"/>
        <w:rPr>
          <w:rFonts w:ascii="宋体" w:hAnsi="宋体" w:cs="宋体"/>
          <w:kern w:val="0"/>
          <w:sz w:val="18"/>
          <w:szCs w:val="18"/>
        </w:rPr>
      </w:pPr>
      <w:r>
        <w:rPr>
          <w:rFonts w:hint="eastAsia" w:ascii="宋体" w:hAnsi="宋体" w:cs="宋体"/>
          <w:kern w:val="0"/>
          <w:sz w:val="18"/>
          <w:szCs w:val="18"/>
        </w:rPr>
        <w:t>（2）项目管理机构人员须提供相应职称证书和注册证书（如有）近一个月的社保缴纳证明材料复印件并加盖投标人公章，社保缴纳期限包含疫情期的，若当地政府部门允许企业在疫情期间缓缴社会保险费且投标人未缴纳的，投标人可提供当地政府部门允许缓缴社保的相关文件作为缴纳社保的证明。中标后需提供投标文件中人员的社保补缴情况相关证明报招标人核实。未提供或所提供的证明资料不符合要求的，则该评分节点不予评审。</w:t>
      </w:r>
    </w:p>
    <w:p>
      <w:pPr>
        <w:adjustRightInd w:val="0"/>
        <w:snapToGrid w:val="0"/>
        <w:spacing w:line="300" w:lineRule="exact"/>
        <w:ind w:left="42" w:leftChars="20" w:right="42" w:rightChars="20" w:firstLine="402" w:firstLineChars="200"/>
        <w:rPr>
          <w:rFonts w:ascii="宋体" w:hAnsi="宋体" w:cs="宋体"/>
          <w:b/>
          <w:kern w:val="0"/>
          <w:sz w:val="20"/>
          <w:szCs w:val="20"/>
        </w:rPr>
      </w:pPr>
      <w:r>
        <w:rPr>
          <w:rFonts w:hint="eastAsia" w:ascii="宋体" w:hAnsi="宋体" w:cs="宋体"/>
          <w:b/>
          <w:kern w:val="0"/>
          <w:sz w:val="20"/>
          <w:szCs w:val="20"/>
        </w:rPr>
        <w:t>6、投标人得分为各评委评分去掉一个最高分和一个最低分后的算术平均值（若分数出现小数点时，保留小数点后二位，第三位小数四舍五入）。</w:t>
      </w:r>
    </w:p>
    <w:p>
      <w:pPr>
        <w:pStyle w:val="5"/>
      </w:pPr>
    </w:p>
    <w:p>
      <w:pPr>
        <w:ind w:firstLine="420" w:firstLineChars="200"/>
        <w:rPr>
          <w:rFonts w:ascii="宋体" w:hAnsi="宋体" w:cs="宋体"/>
          <w:kern w:val="0"/>
          <w:szCs w:val="21"/>
        </w:rPr>
      </w:pPr>
      <w:r>
        <w:rPr>
          <w:rFonts w:hint="eastAsia" w:ascii="宋体" w:hAnsi="宋体" w:cs="宋体"/>
          <w:kern w:val="0"/>
          <w:szCs w:val="21"/>
          <w:lang w:val="zh-TW" w:eastAsia="zh-TW"/>
        </w:rPr>
        <w:t xml:space="preserve">评委签名：                                                                             </w:t>
      </w:r>
      <w:r>
        <w:rPr>
          <w:rFonts w:hint="eastAsia" w:ascii="宋体" w:hAnsi="宋体" w:cs="宋体"/>
          <w:kern w:val="0"/>
          <w:szCs w:val="21"/>
        </w:rPr>
        <w:t xml:space="preserve">      日期：     年   月   日</w:t>
      </w:r>
    </w:p>
    <w:p>
      <w:pPr>
        <w:pStyle w:val="2"/>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p>
    <w:p>
      <w:pPr>
        <w:spacing w:line="360" w:lineRule="auto"/>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现文：</w:t>
      </w:r>
    </w:p>
    <w:p>
      <w:pPr>
        <w:rPr>
          <w:szCs w:val="21"/>
        </w:rPr>
      </w:pPr>
      <w:r>
        <w:rPr>
          <w:rFonts w:hint="eastAsia"/>
          <w:szCs w:val="21"/>
        </w:rPr>
        <w:t>附表四</w:t>
      </w:r>
    </w:p>
    <w:p>
      <w:pPr>
        <w:jc w:val="center"/>
        <w:rPr>
          <w:b/>
          <w:sz w:val="36"/>
          <w:szCs w:val="36"/>
        </w:rPr>
      </w:pPr>
      <w:r>
        <w:rPr>
          <w:rFonts w:hint="eastAsia"/>
          <w:b/>
          <w:sz w:val="36"/>
          <w:szCs w:val="36"/>
        </w:rPr>
        <w:t>技术标详细审查评分表</w:t>
      </w:r>
    </w:p>
    <w:tbl>
      <w:tblPr>
        <w:tblStyle w:val="11"/>
        <w:tblW w:w="14499"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1339"/>
        <w:gridCol w:w="517"/>
        <w:gridCol w:w="11315"/>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blHeader/>
          <w:jc w:val="center"/>
        </w:trPr>
        <w:tc>
          <w:tcPr>
            <w:tcW w:w="1328"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snapToGrid w:val="0"/>
              <w:jc w:val="center"/>
              <w:rPr>
                <w:rStyle w:val="16"/>
                <w:rFonts w:hAnsi="宋体" w:cs="宋体"/>
                <w:b/>
                <w:bCs/>
                <w:szCs w:val="21"/>
              </w:rPr>
            </w:pPr>
            <w:r>
              <w:rPr>
                <w:rStyle w:val="16"/>
                <w:rFonts w:hint="eastAsia" w:hAnsi="宋体" w:cs="宋体"/>
                <w:b/>
                <w:bCs/>
                <w:szCs w:val="21"/>
              </w:rPr>
              <w:t>评分项目</w:t>
            </w:r>
          </w:p>
        </w:tc>
        <w:tc>
          <w:tcPr>
            <w:tcW w:w="13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snapToGrid w:val="0"/>
              <w:jc w:val="center"/>
              <w:rPr>
                <w:rStyle w:val="16"/>
                <w:rFonts w:hAnsi="宋体" w:cs="宋体"/>
                <w:b/>
                <w:bCs/>
                <w:szCs w:val="21"/>
              </w:rPr>
            </w:pPr>
            <w:r>
              <w:rPr>
                <w:rStyle w:val="16"/>
                <w:rFonts w:hint="eastAsia" w:hAnsi="宋体" w:cs="宋体"/>
                <w:b/>
                <w:bCs/>
                <w:szCs w:val="21"/>
              </w:rPr>
              <w:t>评分内容</w:t>
            </w:r>
          </w:p>
        </w:tc>
        <w:tc>
          <w:tcPr>
            <w:tcW w:w="51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snapToGrid w:val="0"/>
              <w:jc w:val="center"/>
              <w:rPr>
                <w:rStyle w:val="16"/>
                <w:rFonts w:hAnsi="宋体" w:cs="宋体"/>
                <w:b/>
                <w:bCs/>
                <w:szCs w:val="21"/>
              </w:rPr>
            </w:pPr>
            <w:r>
              <w:rPr>
                <w:rStyle w:val="16"/>
                <w:rFonts w:hint="eastAsia" w:hAnsi="宋体" w:cs="宋体"/>
                <w:b/>
                <w:bCs/>
                <w:szCs w:val="21"/>
              </w:rPr>
              <w:t>分值</w:t>
            </w:r>
          </w:p>
        </w:tc>
        <w:tc>
          <w:tcPr>
            <w:tcW w:w="1131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snapToGrid w:val="0"/>
              <w:jc w:val="center"/>
              <w:rPr>
                <w:rStyle w:val="16"/>
                <w:rFonts w:hAnsi="宋体" w:cs="宋体"/>
                <w:b/>
                <w:bCs/>
                <w:szCs w:val="21"/>
              </w:rPr>
            </w:pPr>
            <w:r>
              <w:rPr>
                <w:rStyle w:val="16"/>
                <w:rFonts w:hint="eastAsia" w:hAnsi="宋体" w:cs="宋体"/>
                <w:b/>
                <w:bCs/>
                <w:szCs w:val="21"/>
              </w:rPr>
              <w:t>评审标准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8" w:hRule="atLeast"/>
          <w:jc w:val="center"/>
        </w:trPr>
        <w:tc>
          <w:tcPr>
            <w:tcW w:w="1328" w:type="dxa"/>
            <w:vMerge w:val="restart"/>
            <w:tcBorders>
              <w:top w:val="single" w:color="000000" w:sz="4" w:space="0"/>
              <w:left w:val="single" w:color="000000" w:sz="8" w:space="0"/>
              <w:right w:val="single" w:color="000000" w:sz="4" w:space="0"/>
            </w:tcBorders>
            <w:shd w:val="clear" w:color="auto" w:fill="auto"/>
            <w:noWrap/>
            <w:vAlign w:val="center"/>
          </w:tcPr>
          <w:p>
            <w:pPr>
              <w:snapToGrid w:val="0"/>
              <w:spacing w:line="360" w:lineRule="auto"/>
              <w:jc w:val="center"/>
              <w:rPr>
                <w:rStyle w:val="16"/>
                <w:rFonts w:hAnsi="宋体" w:cs="宋体"/>
                <w:szCs w:val="21"/>
              </w:rPr>
            </w:pPr>
            <w:r>
              <w:rPr>
                <w:rStyle w:val="16"/>
                <w:rFonts w:hint="eastAsia" w:hAnsi="宋体" w:cs="宋体"/>
                <w:szCs w:val="21"/>
              </w:rPr>
              <w:t>一、企业资信（6分）</w:t>
            </w:r>
          </w:p>
        </w:tc>
        <w:tc>
          <w:tcPr>
            <w:tcW w:w="1339" w:type="dxa"/>
            <w:tcBorders>
              <w:top w:val="single" w:color="000000" w:sz="4" w:space="0"/>
              <w:left w:val="single" w:color="000000" w:sz="4" w:space="0"/>
              <w:right w:val="single" w:color="000000" w:sz="4" w:space="0"/>
            </w:tcBorders>
            <w:shd w:val="clear" w:color="auto" w:fill="auto"/>
            <w:noWrap/>
            <w:vAlign w:val="center"/>
          </w:tcPr>
          <w:p>
            <w:pPr>
              <w:ind w:right="134" w:rightChars="64"/>
              <w:jc w:val="center"/>
              <w:rPr>
                <w:rFonts w:ascii="宋体"/>
                <w:kern w:val="0"/>
                <w:sz w:val="20"/>
              </w:rPr>
            </w:pPr>
            <w:r>
              <w:rPr>
                <w:rFonts w:hint="eastAsia" w:ascii="宋体" w:hAnsi="宋体" w:cs="宋体"/>
                <w:kern w:val="0"/>
                <w:sz w:val="20"/>
                <w:szCs w:val="21"/>
              </w:rPr>
              <w:t>业绩</w:t>
            </w:r>
          </w:p>
        </w:tc>
        <w:tc>
          <w:tcPr>
            <w:tcW w:w="517" w:type="dxa"/>
            <w:tcBorders>
              <w:top w:val="single" w:color="000000" w:sz="4" w:space="0"/>
              <w:left w:val="single" w:color="000000" w:sz="4" w:space="0"/>
              <w:right w:val="single" w:color="000000" w:sz="4" w:space="0"/>
            </w:tcBorders>
            <w:shd w:val="clear" w:color="auto" w:fill="auto"/>
            <w:noWrap/>
            <w:vAlign w:val="center"/>
          </w:tcPr>
          <w:p>
            <w:pPr>
              <w:snapToGrid w:val="0"/>
              <w:jc w:val="center"/>
              <w:rPr>
                <w:rFonts w:ascii="宋体"/>
                <w:kern w:val="0"/>
                <w:sz w:val="20"/>
              </w:rPr>
            </w:pPr>
            <w:r>
              <w:rPr>
                <w:rFonts w:ascii="宋体"/>
                <w:kern w:val="0"/>
                <w:sz w:val="20"/>
              </w:rPr>
              <w:t>2.2</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adjustRightInd w:val="0"/>
              <w:rPr>
                <w:rFonts w:hAnsi="宋体" w:cs="宋体"/>
                <w:szCs w:val="21"/>
              </w:rPr>
            </w:pPr>
            <w:r>
              <w:rPr>
                <w:rFonts w:hint="eastAsia" w:hAnsi="宋体" w:cs="宋体"/>
                <w:szCs w:val="21"/>
              </w:rPr>
              <w:t>投标人自201</w:t>
            </w:r>
            <w:r>
              <w:rPr>
                <w:rFonts w:hAnsi="宋体" w:cs="宋体"/>
                <w:szCs w:val="21"/>
              </w:rPr>
              <w:t>8</w:t>
            </w:r>
            <w:r>
              <w:rPr>
                <w:rFonts w:hint="eastAsia" w:hAnsi="宋体" w:cs="宋体"/>
                <w:szCs w:val="21"/>
              </w:rPr>
              <w:t>年1月1日至投标截止时间止完成过质量合格的类似业绩每项得0</w:t>
            </w:r>
            <w:r>
              <w:rPr>
                <w:rFonts w:hAnsi="宋体" w:cs="宋体"/>
                <w:szCs w:val="21"/>
              </w:rPr>
              <w:t>.15</w:t>
            </w:r>
            <w:r>
              <w:rPr>
                <w:rFonts w:hint="eastAsia" w:hAnsi="宋体" w:cs="宋体"/>
                <w:szCs w:val="21"/>
              </w:rPr>
              <w:t>分，本项最高得</w:t>
            </w:r>
            <w:r>
              <w:rPr>
                <w:rFonts w:hAnsi="宋体" w:cs="宋体"/>
                <w:szCs w:val="21"/>
              </w:rPr>
              <w:t>2.2</w:t>
            </w:r>
            <w:r>
              <w:rPr>
                <w:rFonts w:hint="eastAsia" w:hAnsi="宋体" w:cs="宋体"/>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8" w:hRule="atLeast"/>
          <w:jc w:val="center"/>
        </w:trPr>
        <w:tc>
          <w:tcPr>
            <w:tcW w:w="1328" w:type="dxa"/>
            <w:vMerge w:val="continue"/>
            <w:tcBorders>
              <w:left w:val="single" w:color="000000" w:sz="8" w:space="0"/>
              <w:right w:val="single" w:color="000000" w:sz="4" w:space="0"/>
            </w:tcBorders>
            <w:shd w:val="clear" w:color="auto" w:fill="auto"/>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shd w:val="clear" w:color="auto" w:fill="auto"/>
            <w:noWrap/>
            <w:vAlign w:val="center"/>
          </w:tcPr>
          <w:p>
            <w:pPr>
              <w:ind w:right="134" w:rightChars="64"/>
              <w:jc w:val="center"/>
              <w:rPr>
                <w:rFonts w:ascii="宋体" w:hAnsi="宋体" w:cs="宋体"/>
                <w:kern w:val="0"/>
                <w:sz w:val="20"/>
                <w:szCs w:val="21"/>
              </w:rPr>
            </w:pPr>
            <w:r>
              <w:rPr>
                <w:rFonts w:hint="eastAsia" w:ascii="宋体" w:hAnsi="宋体" w:cs="宋体"/>
                <w:kern w:val="0"/>
                <w:sz w:val="20"/>
                <w:szCs w:val="21"/>
              </w:rPr>
              <w:t>工程奖项</w:t>
            </w:r>
          </w:p>
        </w:tc>
        <w:tc>
          <w:tcPr>
            <w:tcW w:w="517" w:type="dxa"/>
            <w:tcBorders>
              <w:top w:val="single" w:color="000000" w:sz="4" w:space="0"/>
              <w:left w:val="single" w:color="000000" w:sz="4" w:space="0"/>
              <w:right w:val="single" w:color="000000" w:sz="4" w:space="0"/>
            </w:tcBorders>
            <w:shd w:val="clear" w:color="auto" w:fill="auto"/>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1.2</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60"/>
              </w:tabs>
              <w:snapToGrid w:val="0"/>
              <w:jc w:val="left"/>
              <w:rPr>
                <w:rFonts w:ascii="宋体" w:hAnsi="宋体" w:cs="宋体"/>
                <w:kern w:val="0"/>
                <w:sz w:val="20"/>
                <w:szCs w:val="21"/>
              </w:rPr>
            </w:pPr>
            <w:r>
              <w:rPr>
                <w:rFonts w:hint="eastAsia" w:ascii="宋体" w:hAnsi="宋体" w:cs="宋体"/>
                <w:kern w:val="0"/>
                <w:sz w:val="20"/>
                <w:szCs w:val="21"/>
              </w:rPr>
              <w:t>投标人完成过的市政公用工程自2018年1月1日至今：获得过国家级工程质量奖项每项得0.</w:t>
            </w:r>
            <w:r>
              <w:rPr>
                <w:rFonts w:ascii="宋体" w:hAnsi="宋体" w:cs="宋体"/>
                <w:kern w:val="0"/>
                <w:sz w:val="20"/>
                <w:szCs w:val="21"/>
              </w:rPr>
              <w:t>6</w:t>
            </w:r>
            <w:r>
              <w:rPr>
                <w:rFonts w:hint="eastAsia" w:ascii="宋体" w:hAnsi="宋体" w:cs="宋体"/>
                <w:kern w:val="0"/>
                <w:sz w:val="20"/>
                <w:szCs w:val="21"/>
              </w:rPr>
              <w:t>分；获得过省级工程质量奖项每项得0.4分；获得过市级工程质量奖项每项得0.2分；本项最高得</w:t>
            </w:r>
            <w:r>
              <w:rPr>
                <w:rFonts w:ascii="宋体" w:hAnsi="宋体" w:cs="宋体"/>
                <w:kern w:val="0"/>
                <w:sz w:val="20"/>
                <w:szCs w:val="21"/>
              </w:rPr>
              <w:t>1.2</w:t>
            </w:r>
            <w:r>
              <w:rPr>
                <w:rFonts w:hint="eastAsia" w:ascii="宋体" w:hAnsi="宋体" w:cs="宋体"/>
                <w:kern w:val="0"/>
                <w:sz w:val="20"/>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81" w:hRule="atLeast"/>
          <w:jc w:val="center"/>
        </w:trPr>
        <w:tc>
          <w:tcPr>
            <w:tcW w:w="1328" w:type="dxa"/>
            <w:vMerge w:val="continue"/>
            <w:tcBorders>
              <w:left w:val="single" w:color="000000" w:sz="8" w:space="0"/>
              <w:right w:val="single" w:color="000000" w:sz="4" w:space="0"/>
            </w:tcBorders>
            <w:shd w:val="clear" w:color="auto" w:fill="auto"/>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shd w:val="clear" w:color="auto" w:fill="auto"/>
            <w:noWrap/>
            <w:vAlign w:val="center"/>
          </w:tcPr>
          <w:p>
            <w:pPr>
              <w:pStyle w:val="17"/>
              <w:jc w:val="center"/>
              <w:rPr>
                <w:rFonts w:ascii="宋体" w:hAnsi="宋体" w:eastAsia="宋体" w:cs="宋体"/>
                <w:szCs w:val="21"/>
              </w:rPr>
            </w:pPr>
            <w:r>
              <w:rPr>
                <w:rFonts w:hint="eastAsia" w:ascii="宋体" w:hAnsi="宋体" w:eastAsia="宋体" w:cs="宋体"/>
                <w:szCs w:val="21"/>
              </w:rPr>
              <w:t>工程研发能力</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jc w:val="center"/>
              <w:rPr>
                <w:rFonts w:ascii="宋体" w:hAnsi="宋体" w:eastAsia="宋体" w:cs="宋体"/>
                <w:szCs w:val="21"/>
              </w:rPr>
            </w:pPr>
            <w:r>
              <w:rPr>
                <w:rFonts w:ascii="宋体" w:hAnsi="宋体" w:eastAsia="宋体" w:cs="宋体"/>
                <w:szCs w:val="21"/>
              </w:rPr>
              <w:t>1.8</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kern w:val="0"/>
                <w:sz w:val="20"/>
                <w:szCs w:val="21"/>
              </w:rPr>
            </w:pPr>
            <w:r>
              <w:rPr>
                <w:rFonts w:hint="eastAsia" w:ascii="宋体" w:hAnsi="宋体" w:cs="宋体"/>
                <w:kern w:val="0"/>
                <w:sz w:val="20"/>
                <w:szCs w:val="21"/>
              </w:rPr>
              <w:t>投标人自2018年1月1日至今（以证书颁发时间为准）获得过全国“市政工程科学技术奖”的每项得0</w:t>
            </w:r>
            <w:r>
              <w:rPr>
                <w:rFonts w:ascii="宋体" w:hAnsi="宋体" w:cs="宋体"/>
                <w:kern w:val="0"/>
                <w:sz w:val="20"/>
                <w:szCs w:val="21"/>
              </w:rPr>
              <w:t>.12</w:t>
            </w:r>
            <w:r>
              <w:rPr>
                <w:rFonts w:hint="eastAsia" w:ascii="宋体" w:hAnsi="宋体" w:cs="宋体"/>
                <w:kern w:val="0"/>
                <w:sz w:val="20"/>
                <w:szCs w:val="21"/>
              </w:rPr>
              <w:t>分。本项最多得1.8分。不符合上述条件的不得分。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2" w:hRule="atLeast"/>
          <w:jc w:val="center"/>
        </w:trPr>
        <w:tc>
          <w:tcPr>
            <w:tcW w:w="1328" w:type="dxa"/>
            <w:vMerge w:val="continue"/>
            <w:tcBorders>
              <w:left w:val="single" w:color="000000" w:sz="8" w:space="0"/>
              <w:right w:val="single" w:color="000000" w:sz="4" w:space="0"/>
            </w:tcBorders>
            <w:shd w:val="clear" w:color="auto" w:fill="auto"/>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shd w:val="clear" w:color="auto" w:fill="auto"/>
            <w:noWrap/>
            <w:vAlign w:val="center"/>
          </w:tcPr>
          <w:p>
            <w:pPr>
              <w:ind w:right="134" w:rightChars="64"/>
              <w:jc w:val="center"/>
              <w:rPr>
                <w:rFonts w:ascii="宋体" w:hAnsi="宋体" w:cs="宋体"/>
                <w:kern w:val="0"/>
                <w:sz w:val="20"/>
                <w:szCs w:val="21"/>
              </w:rPr>
            </w:pPr>
            <w:r>
              <w:rPr>
                <w:rFonts w:hint="eastAsia"/>
                <w:kern w:val="0"/>
                <w:sz w:val="20"/>
                <w:szCs w:val="21"/>
              </w:rPr>
              <w:t>第三方评价</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jc w:val="center"/>
              <w:rPr>
                <w:rFonts w:ascii="宋体" w:hAnsi="宋体" w:eastAsia="宋体" w:cs="宋体"/>
                <w:szCs w:val="21"/>
              </w:rPr>
            </w:pPr>
            <w:r>
              <w:rPr>
                <w:rFonts w:ascii="宋体" w:hAnsi="宋体" w:eastAsia="宋体" w:cs="宋体"/>
                <w:szCs w:val="21"/>
              </w:rPr>
              <w:t>0.8</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kern w:val="0"/>
                <w:sz w:val="20"/>
                <w:szCs w:val="21"/>
              </w:rPr>
            </w:pPr>
            <w:r>
              <w:rPr>
                <w:rFonts w:hint="eastAsia" w:ascii="宋体" w:hAnsi="宋体" w:cs="宋体"/>
                <w:kern w:val="0"/>
                <w:sz w:val="20"/>
                <w:szCs w:val="21"/>
              </w:rPr>
              <w:t>投标人自20</w:t>
            </w:r>
            <w:r>
              <w:rPr>
                <w:rFonts w:ascii="宋体" w:hAnsi="宋体" w:cs="宋体"/>
                <w:kern w:val="0"/>
                <w:sz w:val="20"/>
                <w:szCs w:val="21"/>
              </w:rPr>
              <w:t>18</w:t>
            </w:r>
            <w:r>
              <w:rPr>
                <w:rFonts w:hint="eastAsia" w:ascii="宋体" w:hAnsi="宋体" w:cs="宋体"/>
                <w:kern w:val="0"/>
                <w:sz w:val="20"/>
                <w:szCs w:val="21"/>
              </w:rPr>
              <w:t>年1月1日至投标截止之日投标人获得行业诚信评价AAA的得</w:t>
            </w:r>
            <w:r>
              <w:rPr>
                <w:rFonts w:ascii="宋体" w:hAnsi="宋体" w:cs="宋体"/>
                <w:kern w:val="0"/>
                <w:sz w:val="20"/>
                <w:szCs w:val="21"/>
              </w:rPr>
              <w:t>0.8</w:t>
            </w:r>
            <w:r>
              <w:rPr>
                <w:rFonts w:hint="eastAsia" w:ascii="宋体" w:hAnsi="宋体" w:cs="宋体"/>
                <w:kern w:val="0"/>
                <w:sz w:val="20"/>
                <w:szCs w:val="21"/>
              </w:rPr>
              <w:t>分，其余不得分，本项最高得</w:t>
            </w:r>
            <w:r>
              <w:rPr>
                <w:rFonts w:ascii="宋体" w:hAnsi="宋体" w:cs="宋体"/>
                <w:kern w:val="0"/>
                <w:sz w:val="20"/>
                <w:szCs w:val="21"/>
              </w:rPr>
              <w:t>0.8</w:t>
            </w:r>
            <w:r>
              <w:rPr>
                <w:rFonts w:hint="eastAsia" w:ascii="宋体" w:hAnsi="宋体" w:cs="宋体"/>
                <w:kern w:val="0"/>
                <w:sz w:val="20"/>
                <w:szCs w:val="21"/>
              </w:rPr>
              <w:t>分。</w:t>
            </w:r>
          </w:p>
          <w:p>
            <w:pPr>
              <w:rPr>
                <w:rFonts w:ascii="宋体" w:hAnsi="宋体" w:cs="宋体"/>
                <w:kern w:val="0"/>
                <w:sz w:val="20"/>
                <w:szCs w:val="21"/>
              </w:rPr>
            </w:pPr>
            <w:r>
              <w:rPr>
                <w:rFonts w:hint="eastAsia" w:ascii="宋体" w:hAnsi="宋体" w:cs="宋体"/>
                <w:kern w:val="0"/>
                <w:sz w:val="20"/>
                <w:szCs w:val="21"/>
              </w:rPr>
              <w:t>注：以获奖证书落款日期为准，并提供证书复印件，且证书须在有效期内。</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328" w:type="dxa"/>
            <w:vMerge w:val="restart"/>
            <w:tcBorders>
              <w:top w:val="single" w:color="000000" w:sz="4" w:space="0"/>
              <w:left w:val="single" w:color="000000" w:sz="8" w:space="0"/>
              <w:right w:val="single" w:color="000000" w:sz="4" w:space="0"/>
            </w:tcBorders>
            <w:shd w:val="clear" w:color="auto" w:fill="auto"/>
            <w:noWrap/>
            <w:vAlign w:val="center"/>
          </w:tcPr>
          <w:p>
            <w:pPr>
              <w:numPr>
                <w:ilvl w:val="0"/>
                <w:numId w:val="3"/>
              </w:numPr>
              <w:snapToGrid w:val="0"/>
              <w:spacing w:line="360" w:lineRule="auto"/>
              <w:jc w:val="center"/>
              <w:rPr>
                <w:rStyle w:val="16"/>
                <w:rFonts w:hAnsi="宋体" w:cs="宋体"/>
                <w:szCs w:val="21"/>
              </w:rPr>
            </w:pPr>
            <w:r>
              <w:rPr>
                <w:rStyle w:val="16"/>
                <w:rFonts w:hint="eastAsia" w:hAnsi="宋体" w:cs="宋体"/>
                <w:szCs w:val="21"/>
              </w:rPr>
              <w:t>项目管理机构能力</w:t>
            </w:r>
          </w:p>
          <w:p>
            <w:pPr>
              <w:snapToGrid w:val="0"/>
              <w:spacing w:line="360" w:lineRule="auto"/>
              <w:jc w:val="center"/>
              <w:rPr>
                <w:rStyle w:val="16"/>
                <w:rFonts w:hAnsi="宋体" w:cs="宋体"/>
                <w:szCs w:val="21"/>
              </w:rPr>
            </w:pPr>
            <w:r>
              <w:rPr>
                <w:rStyle w:val="16"/>
                <w:rFonts w:hint="eastAsia" w:hAnsi="宋体" w:cs="宋体"/>
                <w:szCs w:val="21"/>
              </w:rPr>
              <w:t>（</w:t>
            </w:r>
            <w:r>
              <w:rPr>
                <w:rStyle w:val="16"/>
                <w:rFonts w:hAnsi="宋体" w:cs="宋体"/>
                <w:szCs w:val="21"/>
              </w:rPr>
              <w:t>14</w:t>
            </w:r>
            <w:r>
              <w:rPr>
                <w:rStyle w:val="16"/>
                <w:rFonts w:hint="eastAsia" w:hAnsi="宋体" w:cs="宋体"/>
                <w:szCs w:val="21"/>
              </w:rPr>
              <w:t>分）</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
              <w:jc w:val="center"/>
              <w:rPr>
                <w:rFonts w:ascii="宋体" w:hAnsi="宋体" w:eastAsia="宋体" w:cs="宋体"/>
                <w:szCs w:val="21"/>
              </w:rPr>
            </w:pPr>
            <w:r>
              <w:rPr>
                <w:rFonts w:hint="eastAsia" w:ascii="宋体" w:hAnsi="宋体" w:eastAsia="宋体" w:cs="宋体"/>
                <w:szCs w:val="21"/>
              </w:rPr>
              <w:t>技术负责人</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4</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adjustRightInd w:val="0"/>
              <w:spacing w:line="320" w:lineRule="exact"/>
              <w:rPr>
                <w:rFonts w:hAnsi="宋体" w:cs="宋体"/>
                <w:szCs w:val="21"/>
              </w:rPr>
            </w:pPr>
            <w:r>
              <w:rPr>
                <w:rFonts w:hint="eastAsia" w:hAnsi="宋体" w:cs="宋体"/>
                <w:szCs w:val="21"/>
              </w:rPr>
              <w:t>拟委派的技术负责人具有市政类高级（或以上）工程师职称的，得</w:t>
            </w:r>
            <w:r>
              <w:rPr>
                <w:rFonts w:hAnsi="宋体" w:cs="宋体"/>
                <w:szCs w:val="21"/>
              </w:rPr>
              <w:t>4</w:t>
            </w:r>
            <w:r>
              <w:rPr>
                <w:rFonts w:hint="eastAsia" w:hAnsi="宋体" w:cs="宋体"/>
                <w:szCs w:val="21"/>
              </w:rPr>
              <w:t>分；拟委派的技术负责人具有市政类中级工程师职称的，得</w:t>
            </w:r>
            <w:r>
              <w:rPr>
                <w:rFonts w:hAnsi="宋体" w:cs="宋体"/>
                <w:szCs w:val="21"/>
              </w:rPr>
              <w:t>2</w:t>
            </w:r>
            <w:r>
              <w:rPr>
                <w:rFonts w:hint="eastAsia" w:hAnsi="宋体" w:cs="宋体"/>
                <w:szCs w:val="21"/>
              </w:rPr>
              <w:t>分。其它情况不得分。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328" w:type="dxa"/>
            <w:vMerge w:val="continue"/>
            <w:tcBorders>
              <w:left w:val="single" w:color="000000" w:sz="8" w:space="0"/>
              <w:right w:val="single" w:color="000000" w:sz="4" w:space="0"/>
            </w:tcBorders>
            <w:shd w:val="clear" w:color="auto" w:fill="auto"/>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shd w:val="clear" w:color="auto" w:fill="auto"/>
            <w:noWrap/>
            <w:vAlign w:val="center"/>
          </w:tcPr>
          <w:p>
            <w:pPr>
              <w:pStyle w:val="17"/>
              <w:jc w:val="center"/>
              <w:rPr>
                <w:rFonts w:ascii="宋体" w:hAnsi="宋体" w:eastAsia="宋体" w:cs="宋体"/>
                <w:szCs w:val="21"/>
              </w:rPr>
            </w:pPr>
            <w:r>
              <w:rPr>
                <w:rFonts w:hint="eastAsia" w:ascii="宋体" w:hAnsi="宋体" w:eastAsia="宋体" w:cs="宋体"/>
                <w:szCs w:val="21"/>
              </w:rPr>
              <w:t>质量负责人</w:t>
            </w:r>
          </w:p>
        </w:tc>
        <w:tc>
          <w:tcPr>
            <w:tcW w:w="517" w:type="dxa"/>
            <w:tcBorders>
              <w:top w:val="single" w:color="000000" w:sz="4" w:space="0"/>
              <w:left w:val="single" w:color="000000" w:sz="4" w:space="0"/>
              <w:right w:val="single" w:color="000000" w:sz="4" w:space="0"/>
            </w:tcBorders>
            <w:shd w:val="clear" w:color="auto" w:fill="auto"/>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4</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adjustRightInd w:val="0"/>
              <w:spacing w:line="320" w:lineRule="exact"/>
              <w:rPr>
                <w:rFonts w:hAnsi="宋体" w:cs="宋体"/>
                <w:szCs w:val="21"/>
              </w:rPr>
            </w:pPr>
            <w:r>
              <w:rPr>
                <w:rFonts w:hint="eastAsia" w:hAnsi="宋体" w:cs="宋体"/>
                <w:szCs w:val="21"/>
              </w:rPr>
              <w:t>拟委派的质量负责人具备质量员证，具备市政类高级（或以上）工程师职称的，得4分；具备市政类中级工程师职称资格的，得</w:t>
            </w:r>
            <w:r>
              <w:rPr>
                <w:rFonts w:hAnsi="宋体" w:cs="宋体"/>
                <w:szCs w:val="21"/>
              </w:rPr>
              <w:t>2</w:t>
            </w:r>
            <w:r>
              <w:rPr>
                <w:rFonts w:hint="eastAsia" w:hAnsi="宋体" w:cs="宋体"/>
                <w:szCs w:val="21"/>
              </w:rPr>
              <w:t>分；其它情况不得分。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8" w:hRule="atLeast"/>
          <w:jc w:val="center"/>
        </w:trPr>
        <w:tc>
          <w:tcPr>
            <w:tcW w:w="1328" w:type="dxa"/>
            <w:vMerge w:val="continue"/>
            <w:tcBorders>
              <w:left w:val="single" w:color="000000" w:sz="8" w:space="0"/>
              <w:right w:val="single" w:color="000000" w:sz="4" w:space="0"/>
            </w:tcBorders>
            <w:shd w:val="clear" w:color="auto" w:fill="auto"/>
            <w:noWrap/>
            <w:vAlign w:val="center"/>
          </w:tcPr>
          <w:p>
            <w:pPr>
              <w:snapToGrid w:val="0"/>
              <w:spacing w:line="360" w:lineRule="auto"/>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shd w:val="clear" w:color="auto" w:fill="auto"/>
            <w:noWrap/>
            <w:vAlign w:val="center"/>
          </w:tcPr>
          <w:p>
            <w:pPr>
              <w:pStyle w:val="17"/>
              <w:jc w:val="center"/>
              <w:rPr>
                <w:rFonts w:ascii="宋体" w:hAnsi="宋体" w:eastAsia="宋体" w:cs="宋体"/>
                <w:szCs w:val="21"/>
              </w:rPr>
            </w:pPr>
            <w:r>
              <w:rPr>
                <w:rFonts w:hint="eastAsia" w:ascii="宋体" w:hAnsi="宋体" w:eastAsia="宋体" w:cs="宋体"/>
                <w:szCs w:val="21"/>
              </w:rPr>
              <w:t>安全负责人</w:t>
            </w:r>
          </w:p>
        </w:tc>
        <w:tc>
          <w:tcPr>
            <w:tcW w:w="517" w:type="dxa"/>
            <w:tcBorders>
              <w:top w:val="single" w:color="000000" w:sz="4" w:space="0"/>
              <w:left w:val="single" w:color="000000" w:sz="4" w:space="0"/>
              <w:right w:val="single" w:color="000000" w:sz="4" w:space="0"/>
            </w:tcBorders>
            <w:shd w:val="clear" w:color="auto" w:fill="auto"/>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4</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adjustRightInd w:val="0"/>
              <w:spacing w:line="320" w:lineRule="exact"/>
            </w:pPr>
            <w:r>
              <w:rPr>
                <w:rFonts w:hint="eastAsia" w:hAnsi="宋体" w:cs="宋体"/>
                <w:szCs w:val="21"/>
              </w:rPr>
              <w:t>拟委派的安全负责人须提供安全生产考核合格证（C类）或提供广东省建筑施工企业管理人员安全生产考核信息系统安全生产管理人员证书信息的网页截图。拟委派的安全负责人具有有效期内注册安全工程师证书的，得</w:t>
            </w:r>
            <w:r>
              <w:rPr>
                <w:rFonts w:hAnsi="宋体" w:cs="宋体"/>
                <w:szCs w:val="21"/>
              </w:rPr>
              <w:t>2</w:t>
            </w:r>
            <w:r>
              <w:rPr>
                <w:rFonts w:hint="eastAsia" w:hAnsi="宋体" w:cs="宋体"/>
                <w:szCs w:val="21"/>
              </w:rPr>
              <w:t>分；具有市政类相关专业高级或以上技术职称的，得2 分；具有市政类相关专业中级技术职称的，得1分。其它情况不得分。本项最多得</w:t>
            </w:r>
            <w:r>
              <w:rPr>
                <w:rFonts w:hAnsi="宋体" w:cs="宋体"/>
                <w:szCs w:val="21"/>
              </w:rPr>
              <w:t>4</w:t>
            </w:r>
            <w:r>
              <w:rPr>
                <w:rFonts w:hint="eastAsia" w:hAnsi="宋体" w:cs="宋体"/>
                <w:szCs w:val="21"/>
              </w:rPr>
              <w:t>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atLeast"/>
          <w:jc w:val="center"/>
        </w:trPr>
        <w:tc>
          <w:tcPr>
            <w:tcW w:w="1328" w:type="dxa"/>
            <w:vMerge w:val="continue"/>
            <w:tcBorders>
              <w:left w:val="single" w:color="000000" w:sz="8" w:space="0"/>
              <w:right w:val="single" w:color="000000" w:sz="4" w:space="0"/>
            </w:tcBorders>
            <w:shd w:val="clear" w:color="auto" w:fill="auto"/>
            <w:noWrap/>
            <w:vAlign w:val="center"/>
          </w:tcPr>
          <w:p>
            <w:pPr>
              <w:snapToGrid w:val="0"/>
              <w:jc w:val="center"/>
              <w:rPr>
                <w:rStyle w:val="16"/>
                <w:rFonts w:hAnsi="宋体" w:cs="宋体"/>
                <w:szCs w:val="21"/>
              </w:rPr>
            </w:pPr>
          </w:p>
        </w:tc>
        <w:tc>
          <w:tcPr>
            <w:tcW w:w="1339" w:type="dxa"/>
            <w:tcBorders>
              <w:top w:val="single" w:color="000000" w:sz="4" w:space="0"/>
              <w:left w:val="single" w:color="000000" w:sz="4" w:space="0"/>
              <w:right w:val="single" w:color="000000" w:sz="4" w:space="0"/>
            </w:tcBorders>
            <w:shd w:val="clear" w:color="auto" w:fill="auto"/>
            <w:noWrap/>
            <w:vAlign w:val="center"/>
          </w:tcPr>
          <w:p>
            <w:pPr>
              <w:tabs>
                <w:tab w:val="left" w:pos="360"/>
              </w:tabs>
              <w:snapToGrid w:val="0"/>
              <w:jc w:val="center"/>
              <w:rPr>
                <w:rFonts w:ascii="宋体" w:hAnsi="宋体" w:cs="宋体"/>
                <w:kern w:val="0"/>
                <w:sz w:val="20"/>
                <w:szCs w:val="21"/>
              </w:rPr>
            </w:pPr>
            <w:r>
              <w:rPr>
                <w:rFonts w:hint="eastAsia" w:ascii="宋体" w:hAnsi="宋体" w:cs="宋体"/>
                <w:kern w:val="0"/>
                <w:sz w:val="20"/>
                <w:szCs w:val="21"/>
              </w:rPr>
              <w:t>造价负责人</w:t>
            </w:r>
          </w:p>
        </w:tc>
        <w:tc>
          <w:tcPr>
            <w:tcW w:w="517" w:type="dxa"/>
            <w:tcBorders>
              <w:top w:val="single" w:color="000000" w:sz="4" w:space="0"/>
              <w:left w:val="single" w:color="000000" w:sz="4" w:space="0"/>
              <w:right w:val="single" w:color="000000" w:sz="4" w:space="0"/>
            </w:tcBorders>
            <w:shd w:val="clear" w:color="auto" w:fill="auto"/>
            <w:noWrap/>
            <w:vAlign w:val="center"/>
          </w:tcPr>
          <w:p>
            <w:pPr>
              <w:tabs>
                <w:tab w:val="left" w:pos="360"/>
              </w:tabs>
              <w:snapToGrid w:val="0"/>
              <w:jc w:val="center"/>
              <w:rPr>
                <w:rFonts w:ascii="宋体" w:hAnsi="宋体" w:cs="宋体"/>
                <w:kern w:val="0"/>
                <w:sz w:val="20"/>
                <w:szCs w:val="21"/>
              </w:rPr>
            </w:pPr>
            <w:r>
              <w:rPr>
                <w:rFonts w:ascii="宋体" w:hAnsi="宋体" w:cs="宋体"/>
                <w:kern w:val="0"/>
                <w:sz w:val="20"/>
                <w:szCs w:val="21"/>
              </w:rPr>
              <w:t>2</w:t>
            </w:r>
          </w:p>
        </w:tc>
        <w:tc>
          <w:tcPr>
            <w:tcW w:w="11315" w:type="dxa"/>
            <w:tcBorders>
              <w:top w:val="single" w:color="000000" w:sz="4" w:space="0"/>
              <w:left w:val="single" w:color="000000" w:sz="4" w:space="0"/>
              <w:right w:val="single" w:color="000000" w:sz="4" w:space="0"/>
            </w:tcBorders>
            <w:shd w:val="clear" w:color="auto" w:fill="auto"/>
            <w:noWrap/>
            <w:vAlign w:val="center"/>
          </w:tcPr>
          <w:p>
            <w:pPr>
              <w:autoSpaceDE w:val="0"/>
              <w:autoSpaceDN w:val="0"/>
              <w:adjustRightInd w:val="0"/>
              <w:rPr>
                <w:rFonts w:ascii="宋体" w:hAnsi="宋体" w:cs="宋体"/>
                <w:kern w:val="0"/>
                <w:sz w:val="20"/>
                <w:szCs w:val="21"/>
              </w:rPr>
            </w:pPr>
            <w:r>
              <w:rPr>
                <w:rFonts w:hint="eastAsia" w:ascii="宋体" w:hAnsi="宋体" w:cs="宋体"/>
                <w:kern w:val="0"/>
                <w:sz w:val="20"/>
                <w:szCs w:val="21"/>
              </w:rPr>
              <w:t>拟委派的造价负责人具备有注册造价工程师证的，得</w:t>
            </w:r>
            <w:r>
              <w:rPr>
                <w:rFonts w:ascii="宋体" w:hAnsi="宋体" w:cs="宋体"/>
                <w:kern w:val="0"/>
                <w:sz w:val="20"/>
                <w:szCs w:val="21"/>
              </w:rPr>
              <w:t>2</w:t>
            </w:r>
            <w:r>
              <w:rPr>
                <w:rFonts w:hint="eastAsia" w:ascii="宋体" w:hAnsi="宋体" w:cs="宋体"/>
                <w:kern w:val="0"/>
                <w:sz w:val="20"/>
                <w:szCs w:val="21"/>
              </w:rPr>
              <w:t>分；其它情况不得分。</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jc w:val="center"/>
        </w:trPr>
        <w:tc>
          <w:tcPr>
            <w:tcW w:w="2667"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snapToGrid w:val="0"/>
              <w:jc w:val="center"/>
              <w:rPr>
                <w:rStyle w:val="16"/>
                <w:rFonts w:hAnsi="宋体" w:cs="宋体"/>
                <w:szCs w:val="21"/>
              </w:rPr>
            </w:pPr>
            <w:r>
              <w:rPr>
                <w:rStyle w:val="16"/>
                <w:rFonts w:hint="eastAsia" w:hAnsi="宋体" w:cs="宋体"/>
                <w:szCs w:val="21"/>
              </w:rPr>
              <w:t>合计</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jc w:val="center"/>
              <w:rPr>
                <w:rStyle w:val="16"/>
                <w:rFonts w:hAnsi="宋体" w:cs="宋体"/>
                <w:szCs w:val="21"/>
              </w:rPr>
            </w:pPr>
            <w:r>
              <w:rPr>
                <w:rStyle w:val="16"/>
                <w:rFonts w:hAnsi="宋体" w:cs="宋体"/>
                <w:szCs w:val="21"/>
              </w:rPr>
              <w:t>20</w:t>
            </w:r>
          </w:p>
        </w:tc>
        <w:tc>
          <w:tcPr>
            <w:tcW w:w="1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Style w:val="16"/>
                <w:rFonts w:hAnsi="宋体" w:cs="宋体"/>
                <w:szCs w:val="21"/>
              </w:rPr>
            </w:pPr>
          </w:p>
        </w:tc>
      </w:tr>
    </w:tbl>
    <w:p>
      <w:pPr>
        <w:pStyle w:val="4"/>
        <w:spacing w:line="300" w:lineRule="exact"/>
        <w:rPr>
          <w:rFonts w:cs="宋体"/>
          <w:szCs w:val="21"/>
        </w:rPr>
      </w:pPr>
    </w:p>
    <w:p>
      <w:pPr>
        <w:pStyle w:val="4"/>
        <w:spacing w:line="300" w:lineRule="exact"/>
        <w:rPr>
          <w:rFonts w:cs="宋体"/>
          <w:szCs w:val="21"/>
        </w:rPr>
      </w:pPr>
      <w:r>
        <w:rPr>
          <w:rFonts w:hint="eastAsia" w:cs="宋体"/>
          <w:szCs w:val="21"/>
        </w:rPr>
        <w:t>备注：</w:t>
      </w:r>
    </w:p>
    <w:p>
      <w:pPr>
        <w:pStyle w:val="4"/>
        <w:spacing w:line="300" w:lineRule="exact"/>
        <w:ind w:firstLine="438"/>
        <w:rPr>
          <w:rFonts w:cs="宋体"/>
          <w:b/>
        </w:rPr>
      </w:pPr>
      <w:r>
        <w:rPr>
          <w:rFonts w:hint="eastAsia" w:cs="宋体"/>
          <w:b/>
        </w:rPr>
        <w:t>1、企业业绩：</w:t>
      </w:r>
    </w:p>
    <w:p>
      <w:pPr>
        <w:adjustRightInd w:val="0"/>
        <w:snapToGrid w:val="0"/>
        <w:spacing w:line="300" w:lineRule="exact"/>
        <w:ind w:firstLine="360" w:firstLineChars="200"/>
        <w:rPr>
          <w:rFonts w:ascii="宋体" w:hAnsi="宋体" w:cs="宋体"/>
          <w:sz w:val="18"/>
          <w:szCs w:val="18"/>
        </w:rPr>
      </w:pPr>
      <w:r>
        <w:rPr>
          <w:rFonts w:hint="eastAsia" w:ascii="宋体" w:hAnsi="宋体" w:cs="宋体"/>
          <w:sz w:val="18"/>
          <w:szCs w:val="18"/>
        </w:rPr>
        <w:t>类似工程业绩是指单项工程中标价大于或等于1300万元的市政公用工程施工总承包业绩。</w:t>
      </w:r>
    </w:p>
    <w:p>
      <w:pPr>
        <w:autoSpaceDE w:val="0"/>
        <w:autoSpaceDN w:val="0"/>
        <w:adjustRightInd w:val="0"/>
        <w:spacing w:line="312" w:lineRule="auto"/>
        <w:ind w:firstLine="360" w:firstLineChars="200"/>
        <w:rPr>
          <w:rFonts w:ascii="宋体" w:hAnsi="宋体" w:cs="宋体"/>
          <w:sz w:val="18"/>
          <w:szCs w:val="18"/>
        </w:rPr>
      </w:pPr>
      <w:r>
        <w:rPr>
          <w:rFonts w:hint="eastAsia" w:ascii="宋体" w:hAnsi="宋体" w:cs="宋体"/>
          <w:sz w:val="18"/>
          <w:szCs w:val="18"/>
        </w:rPr>
        <w:t>根据《广州市住房和城乡建设局关于调整企业诚信档案信息库业绩登记办理指引的通知》，投标人根据项目完成时间选择以下两种方式提供业绩资料，在该通知日期（</w:t>
      </w:r>
      <w:r>
        <w:rPr>
          <w:rFonts w:hint="eastAsia"/>
        </w:rPr>
        <w:t>2020年11月5日）</w:t>
      </w:r>
      <w:r>
        <w:rPr>
          <w:rFonts w:hint="eastAsia" w:ascii="宋体" w:hAnsi="宋体" w:cs="宋体"/>
          <w:sz w:val="18"/>
          <w:szCs w:val="18"/>
        </w:rPr>
        <w:t>之前的采用方式（1）业绩取自广州市住房和城乡建设局企业诚信档案信息库；在该通知日期之后的采用方式（2）。</w:t>
      </w:r>
    </w:p>
    <w:p>
      <w:pPr>
        <w:autoSpaceDE w:val="0"/>
        <w:autoSpaceDN w:val="0"/>
        <w:adjustRightInd w:val="0"/>
        <w:spacing w:line="312" w:lineRule="auto"/>
        <w:ind w:firstLine="360" w:firstLineChars="200"/>
        <w:rPr>
          <w:rFonts w:ascii="宋体" w:hAnsi="宋体" w:cs="宋体"/>
          <w:sz w:val="18"/>
          <w:szCs w:val="18"/>
        </w:rPr>
      </w:pPr>
      <w:r>
        <w:rPr>
          <w:rFonts w:hint="eastAsia" w:ascii="宋体" w:hAnsi="宋体" w:cs="宋体"/>
          <w:sz w:val="18"/>
          <w:szCs w:val="18"/>
        </w:rPr>
        <w:t>如为方式（1）业绩，投标人需提供类似工程业绩的项目名称及业绩在广州市住房和城乡建设局企业诚信档案信息库中项目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w:t>
      </w:r>
    </w:p>
    <w:p>
      <w:pPr>
        <w:pStyle w:val="2"/>
        <w:numPr>
          <w:ilvl w:val="0"/>
          <w:numId w:val="4"/>
        </w:numPr>
        <w:ind w:left="420" w:leftChars="200"/>
        <w:rPr>
          <w:rFonts w:ascii="宋体" w:hAnsi="宋体" w:cs="宋体"/>
          <w:sz w:val="18"/>
          <w:szCs w:val="18"/>
        </w:rPr>
      </w:pPr>
      <w:r>
        <w:rPr>
          <w:rFonts w:hint="eastAsia" w:ascii="宋体" w:hAnsi="宋体" w:cs="宋体"/>
          <w:sz w:val="18"/>
          <w:szCs w:val="18"/>
        </w:rPr>
        <w:t>金额以中标通知书为准，中标通知书上没有金额或免招标的，以施工合同（不含补充合同）为准。</w:t>
      </w:r>
      <w:r>
        <w:rPr>
          <w:rFonts w:hint="eastAsia" w:ascii="宋体" w:hAnsi="宋体" w:cs="宋体"/>
          <w:sz w:val="18"/>
          <w:szCs w:val="18"/>
        </w:rPr>
        <w:br w:type="textWrapping"/>
      </w:r>
      <w:r>
        <w:rPr>
          <w:rFonts w:hint="eastAsia" w:ascii="宋体" w:hAnsi="宋体" w:cs="宋体"/>
          <w:sz w:val="18"/>
          <w:szCs w:val="18"/>
        </w:rPr>
        <w:t>2）完成时间以竣工验收文件为准。验收文件至少具有建设单位、设计、施工和监理单位盖章。</w:t>
      </w:r>
      <w:r>
        <w:rPr>
          <w:rFonts w:hint="eastAsia" w:ascii="宋体" w:hAnsi="宋体" w:cs="宋体"/>
          <w:sz w:val="18"/>
          <w:szCs w:val="18"/>
        </w:rPr>
        <w:br w:type="textWrapping"/>
      </w:r>
      <w:r>
        <w:rPr>
          <w:rFonts w:hint="eastAsia" w:ascii="宋体" w:hAnsi="宋体" w:cs="宋体"/>
          <w:sz w:val="18"/>
          <w:szCs w:val="18"/>
        </w:rPr>
        <w:t>3）库内业绩上传件不符合上述要求的或登记的工程资质内容与施工合同等业绩证明资料不相符的，该项业绩不予认定。</w:t>
      </w:r>
    </w:p>
    <w:p>
      <w:pPr>
        <w:spacing w:line="312" w:lineRule="auto"/>
        <w:ind w:left="420" w:leftChars="200"/>
        <w:rPr>
          <w:rFonts w:ascii="宋体" w:hAnsi="宋体" w:cs="宋体"/>
          <w:sz w:val="18"/>
          <w:szCs w:val="18"/>
        </w:rPr>
      </w:pPr>
      <w:r>
        <w:rPr>
          <w:rFonts w:hint="eastAsia" w:ascii="宋体" w:hAnsi="宋体" w:cs="宋体"/>
          <w:sz w:val="18"/>
          <w:szCs w:val="18"/>
        </w:rPr>
        <w:t>如为方式（2）业绩，投标人需提供以下资料：</w:t>
      </w:r>
    </w:p>
    <w:p>
      <w:pPr>
        <w:ind w:left="420" w:leftChars="200"/>
        <w:rPr>
          <w:rFonts w:ascii="宋体" w:hAnsi="宋体" w:cs="宋体"/>
          <w:sz w:val="18"/>
          <w:szCs w:val="18"/>
        </w:rPr>
      </w:pPr>
      <w:r>
        <w:rPr>
          <w:rFonts w:hint="eastAsia" w:ascii="宋体" w:hAnsi="宋体" w:cs="宋体"/>
          <w:sz w:val="18"/>
          <w:szCs w:val="18"/>
        </w:rPr>
        <w:t>1）提供业绩的中标通知书（或免招标证明）、施工合同（仅需附协议书部分）、单位工程验收鉴定证书或合同工程完工验收鉴定书或工程竣工验收报告及其他补充（如需要）反映工程信息的相关证明材料扫描件。</w:t>
      </w:r>
      <w:r>
        <w:rPr>
          <w:rFonts w:hint="eastAsia" w:ascii="宋体" w:hAnsi="宋体" w:cs="宋体"/>
          <w:sz w:val="18"/>
          <w:szCs w:val="18"/>
        </w:rPr>
        <w:br w:type="textWrapping"/>
      </w:r>
      <w:r>
        <w:rPr>
          <w:rFonts w:hint="eastAsia" w:ascii="宋体" w:hAnsi="宋体" w:cs="宋体"/>
          <w:sz w:val="18"/>
          <w:szCs w:val="18"/>
        </w:rPr>
        <w:t>2）业绩金额以中标通知书为准，中标通知书上没有金额的，以施工合同（不含补充合同）为准，时间以单位工程验收鉴定证书或合同工程完工验收鉴定书或工程竣工验收报告等材料的日期为准。如为设计施工总承包项目（EPC项目）的，则投标人须为本项目的唯一施工单位。</w:t>
      </w:r>
    </w:p>
    <w:p>
      <w:pPr>
        <w:ind w:left="420" w:leftChars="200"/>
        <w:rPr>
          <w:rFonts w:cs="宋体"/>
          <w:sz w:val="18"/>
          <w:szCs w:val="18"/>
        </w:rPr>
      </w:pPr>
      <w:r>
        <w:rPr>
          <w:rFonts w:hint="eastAsia" w:ascii="宋体" w:hAnsi="宋体" w:cs="宋体"/>
          <w:sz w:val="18"/>
          <w:szCs w:val="18"/>
        </w:rPr>
        <w:t>3）提供的材料不符合上述条件或未提供上述资料的，该业绩不予认定。</w:t>
      </w:r>
    </w:p>
    <w:p>
      <w:pPr>
        <w:pStyle w:val="4"/>
        <w:spacing w:line="300" w:lineRule="exact"/>
        <w:ind w:firstLine="438"/>
        <w:rPr>
          <w:rFonts w:cs="宋体"/>
          <w:b/>
        </w:rPr>
      </w:pPr>
      <w:r>
        <w:rPr>
          <w:rFonts w:cs="宋体"/>
          <w:b/>
        </w:rPr>
        <w:t>2</w:t>
      </w:r>
      <w:r>
        <w:rPr>
          <w:rFonts w:hint="eastAsia" w:cs="宋体"/>
          <w:b/>
        </w:rPr>
        <w:t>、企业获奖：</w:t>
      </w:r>
    </w:p>
    <w:p>
      <w:pPr>
        <w:pStyle w:val="4"/>
        <w:spacing w:line="300" w:lineRule="exact"/>
        <w:ind w:firstLine="392"/>
        <w:rPr>
          <w:rFonts w:cs="宋体"/>
          <w:sz w:val="18"/>
          <w:szCs w:val="18"/>
        </w:rPr>
      </w:pPr>
      <w:r>
        <w:rPr>
          <w:rFonts w:hint="eastAsia" w:cs="宋体"/>
          <w:bCs/>
          <w:sz w:val="18"/>
          <w:szCs w:val="18"/>
        </w:rPr>
        <w:t>国家级奖项包括：中国建设工程鲁班奖、国家优质工程（金质奖）、国家优质工程（银质奖）、国家优质工程奖、中国土木工程詹天佑奖、</w:t>
      </w:r>
      <w:r>
        <w:rPr>
          <w:rFonts w:hint="eastAsia" w:cs="宋体"/>
          <w:sz w:val="18"/>
          <w:szCs w:val="18"/>
        </w:rPr>
        <w:t>市政金杯示范工程奖等</w:t>
      </w:r>
      <w:r>
        <w:rPr>
          <w:rFonts w:hint="eastAsia" w:cs="宋体"/>
          <w:bCs/>
          <w:sz w:val="18"/>
          <w:szCs w:val="18"/>
        </w:rPr>
        <w:t>奖项</w:t>
      </w:r>
      <w:r>
        <w:rPr>
          <w:rFonts w:hint="eastAsia" w:cs="宋体"/>
          <w:sz w:val="18"/>
          <w:szCs w:val="18"/>
        </w:rPr>
        <w:t>；省级奖项指省级工程优质奖或优良样板工程奖等各类工程实体奖项，不含工地类或技术类奖项。参建项目不得分，同一项目获得多个奖项的，该项目获奖只按其中一个奖项所在最高级别计算一次分数，不得重复计算。</w:t>
      </w:r>
    </w:p>
    <w:p>
      <w:pPr>
        <w:adjustRightInd w:val="0"/>
        <w:snapToGrid w:val="0"/>
        <w:spacing w:line="300" w:lineRule="exact"/>
        <w:ind w:right="42" w:rightChars="20" w:firstLine="402" w:firstLineChars="200"/>
        <w:rPr>
          <w:rFonts w:ascii="宋体" w:hAnsi="宋体" w:cs="宋体"/>
          <w:b/>
          <w:kern w:val="0"/>
          <w:sz w:val="20"/>
          <w:szCs w:val="20"/>
        </w:rPr>
      </w:pPr>
      <w:r>
        <w:rPr>
          <w:rFonts w:ascii="宋体" w:hAnsi="宋体" w:cs="宋体"/>
          <w:b/>
          <w:kern w:val="0"/>
          <w:sz w:val="20"/>
          <w:szCs w:val="20"/>
        </w:rPr>
        <w:t>3</w:t>
      </w:r>
      <w:r>
        <w:rPr>
          <w:rFonts w:hint="eastAsia" w:ascii="宋体" w:hAnsi="宋体" w:cs="宋体"/>
          <w:b/>
          <w:kern w:val="0"/>
          <w:sz w:val="20"/>
          <w:szCs w:val="20"/>
        </w:rPr>
        <w:t>、工程研发能力：</w:t>
      </w:r>
    </w:p>
    <w:p>
      <w:pPr>
        <w:adjustRightInd w:val="0"/>
        <w:snapToGrid w:val="0"/>
        <w:spacing w:line="300" w:lineRule="exact"/>
        <w:ind w:left="42" w:leftChars="20" w:right="42" w:rightChars="20" w:firstLine="360" w:firstLineChars="200"/>
        <w:rPr>
          <w:rFonts w:ascii="宋体" w:hAnsi="宋体" w:cs="宋体"/>
          <w:kern w:val="0"/>
          <w:sz w:val="18"/>
          <w:szCs w:val="18"/>
        </w:rPr>
      </w:pPr>
      <w:r>
        <w:rPr>
          <w:rFonts w:hint="eastAsia" w:ascii="宋体" w:hAnsi="宋体" w:cs="宋体"/>
          <w:kern w:val="0"/>
          <w:sz w:val="18"/>
          <w:szCs w:val="18"/>
        </w:rPr>
        <w:t>全国市政行业市政工程科学技术奖以投标人所提供获奖证书扫描件为准，时间以发证时间为准。奖项的颁发单位必须经民政部门依法登记成立，不符合条件或无提供证书扫描件的不计分。</w:t>
      </w:r>
    </w:p>
    <w:p>
      <w:pPr>
        <w:pStyle w:val="5"/>
        <w:ind w:firstLine="402" w:firstLineChars="200"/>
      </w:pPr>
      <w:r>
        <w:rPr>
          <w:rFonts w:hint="eastAsia" w:hAnsi="宋体" w:cs="宋体"/>
          <w:b/>
        </w:rPr>
        <w:t>4、第三方评价：</w:t>
      </w:r>
      <w:r>
        <w:rPr>
          <w:rFonts w:hint="eastAsia" w:hAnsi="宋体" w:cs="宋体"/>
          <w:szCs w:val="21"/>
        </w:rPr>
        <w:t>以获奖证书落款日期为准，并提供证书复印件，且证书须在有效期内；发证机构为协会或学会的，需提供该发证机构在全国社会组织信用信息公示平台的查询结果及网页查询链接。</w:t>
      </w:r>
    </w:p>
    <w:p>
      <w:pPr>
        <w:adjustRightInd w:val="0"/>
        <w:snapToGrid w:val="0"/>
        <w:spacing w:line="300" w:lineRule="exact"/>
        <w:ind w:left="42" w:leftChars="20" w:right="42" w:rightChars="20" w:firstLine="402" w:firstLineChars="200"/>
        <w:rPr>
          <w:rFonts w:ascii="宋体" w:hAnsi="宋体" w:cs="宋体"/>
          <w:b/>
          <w:kern w:val="0"/>
          <w:sz w:val="20"/>
          <w:szCs w:val="20"/>
        </w:rPr>
      </w:pPr>
      <w:r>
        <w:rPr>
          <w:rFonts w:hint="eastAsia" w:ascii="宋体" w:hAnsi="宋体" w:cs="宋体"/>
          <w:b/>
          <w:kern w:val="0"/>
          <w:sz w:val="20"/>
          <w:szCs w:val="20"/>
        </w:rPr>
        <w:t>5、项目管理机构能力：</w:t>
      </w:r>
    </w:p>
    <w:p>
      <w:pPr>
        <w:adjustRightInd w:val="0"/>
        <w:snapToGrid w:val="0"/>
        <w:spacing w:line="300" w:lineRule="exact"/>
        <w:ind w:left="42" w:leftChars="20" w:right="42" w:rightChars="20" w:firstLine="180" w:firstLineChars="100"/>
        <w:rPr>
          <w:rFonts w:ascii="宋体" w:hAnsi="宋体" w:cs="宋体"/>
          <w:kern w:val="0"/>
          <w:sz w:val="18"/>
          <w:szCs w:val="18"/>
        </w:rPr>
      </w:pPr>
      <w:r>
        <w:rPr>
          <w:rFonts w:hint="eastAsia" w:ascii="宋体" w:hAnsi="宋体" w:cs="宋体"/>
          <w:kern w:val="0"/>
          <w:sz w:val="18"/>
          <w:szCs w:val="18"/>
        </w:rPr>
        <w:t>（1）项目管理机构人员的岗位不能相互兼任，项目管理机构人员仅指投标人自身人员，不含子母公司人员，如投标申请人为集团公司，则不含集团下属分公司，专指集团本部人员，同样下属公司也不得使用集团公司的人员；</w:t>
      </w:r>
    </w:p>
    <w:p>
      <w:pPr>
        <w:adjustRightInd w:val="0"/>
        <w:snapToGrid w:val="0"/>
        <w:spacing w:line="300" w:lineRule="exact"/>
        <w:ind w:left="42" w:leftChars="20" w:right="42" w:rightChars="20" w:firstLine="180" w:firstLineChars="100"/>
        <w:rPr>
          <w:rFonts w:ascii="宋体" w:hAnsi="宋体" w:cs="宋体"/>
          <w:kern w:val="0"/>
          <w:sz w:val="18"/>
          <w:szCs w:val="18"/>
        </w:rPr>
      </w:pPr>
      <w:r>
        <w:rPr>
          <w:rFonts w:hint="eastAsia" w:ascii="宋体" w:hAnsi="宋体" w:cs="宋体"/>
          <w:kern w:val="0"/>
          <w:sz w:val="18"/>
          <w:szCs w:val="18"/>
        </w:rPr>
        <w:t>（2）项目管理机构人员须提供相应职称证书和注册证书（如有）及2021年11月的社保缴纳证明材料复印件并加盖投标人公章，社保缴纳期限包含疫情期的，若当地政府部门允许企业在疫情期间缓缴社会保险费且投标人未缴纳的，投标人可提供当地政府部门允许缓缴社保的相关文件作为缴纳社保的证明。中标后需提供投标文件中人员的社保补缴情况相关证明报招标人核实。未提供或所提供的证明资料不符合要求的，则该评分节点不予评审。</w:t>
      </w:r>
    </w:p>
    <w:p>
      <w:pPr>
        <w:adjustRightInd w:val="0"/>
        <w:snapToGrid w:val="0"/>
        <w:spacing w:line="300" w:lineRule="exact"/>
        <w:ind w:left="42" w:leftChars="20" w:right="42" w:rightChars="20" w:firstLine="402" w:firstLineChars="200"/>
        <w:rPr>
          <w:rFonts w:ascii="宋体" w:hAnsi="宋体" w:cs="宋体"/>
          <w:b/>
          <w:kern w:val="0"/>
          <w:sz w:val="20"/>
          <w:szCs w:val="20"/>
        </w:rPr>
      </w:pPr>
      <w:r>
        <w:rPr>
          <w:rFonts w:hint="eastAsia" w:ascii="宋体" w:hAnsi="宋体" w:cs="宋体"/>
          <w:b/>
          <w:kern w:val="0"/>
          <w:sz w:val="20"/>
          <w:szCs w:val="20"/>
        </w:rPr>
        <w:t>6、投标人得分为各评委评分去掉一个最高分和一个最低分后的算术平均值（若分数出现小数点时，保留小数点后二位，第三位小数四舍五入）。</w:t>
      </w:r>
    </w:p>
    <w:p>
      <w:pPr>
        <w:pStyle w:val="5"/>
      </w:pPr>
    </w:p>
    <w:p>
      <w:pPr>
        <w:ind w:firstLine="420" w:firstLineChars="200"/>
        <w:rPr>
          <w:rFonts w:ascii="宋体" w:hAnsi="宋体" w:cs="宋体"/>
          <w:kern w:val="0"/>
          <w:szCs w:val="21"/>
        </w:rPr>
      </w:pPr>
      <w:r>
        <w:rPr>
          <w:rFonts w:hint="eastAsia" w:ascii="宋体" w:hAnsi="宋体" w:cs="宋体"/>
          <w:kern w:val="0"/>
          <w:szCs w:val="21"/>
          <w:lang w:val="zh-TW" w:eastAsia="zh-TW"/>
        </w:rPr>
        <w:t xml:space="preserve">评委签名：                                                                             </w:t>
      </w:r>
      <w:r>
        <w:rPr>
          <w:rFonts w:hint="eastAsia" w:ascii="宋体" w:hAnsi="宋体" w:cs="宋体"/>
          <w:kern w:val="0"/>
          <w:szCs w:val="21"/>
        </w:rPr>
        <w:t xml:space="preserve">      日期：     年   月   日</w:t>
      </w:r>
    </w:p>
    <w:p>
      <w:pPr>
        <w:pStyle w:val="2"/>
        <w:rPr>
          <w:rFonts w:ascii="宋体" w:hAnsi="宋体" w:cs="宋体"/>
          <w:szCs w:val="21"/>
        </w:rPr>
      </w:pPr>
    </w:p>
    <w:p>
      <w:pPr>
        <w:pStyle w:val="3"/>
        <w:rPr>
          <w:rFonts w:ascii="宋体" w:hAnsi="宋体" w:cs="宋体"/>
          <w:kern w:val="0"/>
          <w:szCs w:val="21"/>
        </w:rPr>
      </w:pPr>
    </w:p>
    <w:p>
      <w:pPr>
        <w:rPr>
          <w:rFonts w:ascii="宋体" w:hAnsi="宋体" w:cs="宋体"/>
          <w:kern w:val="0"/>
          <w:szCs w:val="21"/>
        </w:rPr>
      </w:pPr>
    </w:p>
    <w:p>
      <w:pPr>
        <w:pStyle w:val="2"/>
        <w:rPr>
          <w:rFonts w:ascii="宋体" w:hAnsi="宋体" w:cs="宋体"/>
          <w:szCs w:val="21"/>
        </w:rPr>
      </w:pPr>
    </w:p>
    <w:p>
      <w:pPr>
        <w:pStyle w:val="3"/>
        <w:rPr>
          <w:rFonts w:ascii="宋体" w:hAnsi="宋体" w:cs="宋体"/>
          <w:kern w:val="0"/>
          <w:szCs w:val="21"/>
        </w:rPr>
      </w:pPr>
    </w:p>
    <w:p>
      <w:pPr>
        <w:rPr>
          <w:rFonts w:ascii="宋体" w:hAnsi="宋体" w:cs="宋体"/>
          <w:kern w:val="0"/>
          <w:szCs w:val="21"/>
        </w:rPr>
      </w:pPr>
    </w:p>
    <w:p>
      <w:pPr>
        <w:pStyle w:val="2"/>
        <w:rPr>
          <w:rFonts w:ascii="宋体" w:hAnsi="宋体" w:cs="宋体"/>
          <w:szCs w:val="21"/>
        </w:rPr>
      </w:pPr>
    </w:p>
    <w:p>
      <w:pPr>
        <w:pStyle w:val="3"/>
        <w:jc w:val="both"/>
        <w:rPr>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97869"/>
    <w:multiLevelType w:val="singleLevel"/>
    <w:tmpl w:val="94897869"/>
    <w:lvl w:ilvl="0" w:tentative="0">
      <w:start w:val="1"/>
      <w:numFmt w:val="decimal"/>
      <w:suff w:val="nothing"/>
      <w:lvlText w:val="%1）"/>
      <w:lvlJc w:val="left"/>
    </w:lvl>
  </w:abstractNum>
  <w:abstractNum w:abstractNumId="1">
    <w:nsid w:val="A3C75B21"/>
    <w:multiLevelType w:val="singleLevel"/>
    <w:tmpl w:val="A3C75B21"/>
    <w:lvl w:ilvl="0" w:tentative="0">
      <w:start w:val="2"/>
      <w:numFmt w:val="chineseCounting"/>
      <w:suff w:val="nothing"/>
      <w:lvlText w:val="%1、"/>
      <w:lvlJc w:val="left"/>
      <w:rPr>
        <w:rFonts w:hint="eastAsia"/>
      </w:rPr>
    </w:lvl>
  </w:abstractNum>
  <w:abstractNum w:abstractNumId="2">
    <w:nsid w:val="34C38248"/>
    <w:multiLevelType w:val="singleLevel"/>
    <w:tmpl w:val="34C38248"/>
    <w:lvl w:ilvl="0" w:tentative="0">
      <w:start w:val="1"/>
      <w:numFmt w:val="chineseCounting"/>
      <w:suff w:val="nothing"/>
      <w:lvlText w:val="%1、"/>
      <w:lvlJc w:val="left"/>
      <w:rPr>
        <w:rFonts w:hint="eastAsia"/>
      </w:rPr>
    </w:lvl>
  </w:abstractNum>
  <w:abstractNum w:abstractNumId="3">
    <w:nsid w:val="409CEB5E"/>
    <w:multiLevelType w:val="singleLevel"/>
    <w:tmpl w:val="409CEB5E"/>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23D5C"/>
    <w:rsid w:val="002E28C7"/>
    <w:rsid w:val="006A71BA"/>
    <w:rsid w:val="00CD088B"/>
    <w:rsid w:val="045D254F"/>
    <w:rsid w:val="17391EF1"/>
    <w:rsid w:val="1771168D"/>
    <w:rsid w:val="1FED10A7"/>
    <w:rsid w:val="38A23D5C"/>
    <w:rsid w:val="4F30574E"/>
    <w:rsid w:val="53597158"/>
    <w:rsid w:val="5E963CA0"/>
    <w:rsid w:val="6984722D"/>
    <w:rsid w:val="6FCC0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kern w:val="0"/>
      <w:sz w:val="20"/>
      <w:szCs w:val="20"/>
    </w:rPr>
  </w:style>
  <w:style w:type="paragraph" w:styleId="3">
    <w:name w:val="Title"/>
    <w:basedOn w:val="1"/>
    <w:next w:val="1"/>
    <w:qFormat/>
    <w:uiPriority w:val="10"/>
    <w:pPr>
      <w:spacing w:before="240" w:after="60"/>
      <w:jc w:val="center"/>
      <w:outlineLvl w:val="0"/>
    </w:pPr>
    <w:rPr>
      <w:rFonts w:ascii="Cambria" w:hAnsi="Cambria"/>
      <w:b/>
      <w:bCs/>
      <w:sz w:val="32"/>
      <w:szCs w:val="32"/>
      <w:lang w:val="zh-CN"/>
    </w:rPr>
  </w:style>
  <w:style w:type="paragraph" w:styleId="4">
    <w:name w:val="annotation text"/>
    <w:basedOn w:val="1"/>
    <w:unhideWhenUsed/>
    <w:qFormat/>
    <w:uiPriority w:val="99"/>
    <w:pPr>
      <w:jc w:val="left"/>
    </w:pPr>
    <w:rPr>
      <w:rFonts w:ascii="Calibri" w:hAnsi="Calibri"/>
      <w:kern w:val="0"/>
      <w:sz w:val="20"/>
      <w:szCs w:val="20"/>
    </w:rPr>
  </w:style>
  <w:style w:type="paragraph" w:styleId="5">
    <w:name w:val="Plain Text"/>
    <w:basedOn w:val="1"/>
    <w:next w:val="1"/>
    <w:qFormat/>
    <w:uiPriority w:val="0"/>
    <w:rPr>
      <w:rFonts w:ascii="宋体" w:hAnsi="Courier New"/>
      <w:kern w:val="0"/>
      <w:sz w:val="20"/>
      <w:szCs w:val="20"/>
    </w:rPr>
  </w:style>
  <w:style w:type="paragraph" w:styleId="6">
    <w:name w:val="Balloon Text"/>
    <w:basedOn w:val="1"/>
    <w:link w:val="18"/>
    <w:qFormat/>
    <w:uiPriority w:val="0"/>
    <w:rPr>
      <w:sz w:val="18"/>
      <w:szCs w:val="18"/>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ind w:firstLine="420"/>
    </w:pPr>
  </w:style>
  <w:style w:type="character" w:styleId="13">
    <w:name w:val="page number"/>
    <w:qFormat/>
    <w:uiPriority w:val="0"/>
    <w:rPr>
      <w:rFonts w:cs="Times New Roman"/>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5">
    <w:name w:val="发文落款"/>
    <w:basedOn w:val="14"/>
    <w:qFormat/>
    <w:uiPriority w:val="0"/>
    <w:pPr>
      <w:ind w:left="4094" w:right="607" w:firstLine="0"/>
      <w:jc w:val="center"/>
    </w:pPr>
  </w:style>
  <w:style w:type="character" w:customStyle="1" w:styleId="16">
    <w:name w:val="NormalCharacter"/>
    <w:qFormat/>
    <w:uiPriority w:val="0"/>
  </w:style>
  <w:style w:type="paragraph" w:customStyle="1" w:styleId="17">
    <w:name w:val="正文 New New"/>
    <w:qFormat/>
    <w:uiPriority w:val="0"/>
    <w:pPr>
      <w:widowControl w:val="0"/>
      <w:jc w:val="both"/>
    </w:pPr>
    <w:rPr>
      <w:rFonts w:ascii="Calibri" w:hAnsi="Calibri" w:eastAsia="楷体_GB2312" w:cs="Times New Roman"/>
      <w:lang w:val="en-US" w:eastAsia="zh-CN" w:bidi="ar-SA"/>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页眉 Char"/>
    <w:basedOn w:val="12"/>
    <w:link w:val="8"/>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11383</Words>
  <Characters>1200</Characters>
  <Lines>10</Lines>
  <Paragraphs>25</Paragraphs>
  <TotalTime>21</TotalTime>
  <ScaleCrop>false</ScaleCrop>
  <LinksUpToDate>false</LinksUpToDate>
  <CharactersWithSpaces>12558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2021-12-29T09:20:00Z</dcterms:created>
  <dc:creator>珊記</dc:creator>
  <cp:lastModifiedBy>珊記</cp:lastModifiedBy>
  <dcterms:modified xsi:type="dcterms:W3CDTF">2021-12-30T05:24:49Z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0C7CC7BF7BBF4643B7FFD9C0E130F599</vt:lpwstr>
  </property>
</Properties>
</file>