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color w:val="auto"/>
          <w:sz w:val="44"/>
          <w:szCs w:val="44"/>
          <w:highlight w:val="none"/>
        </w:rPr>
      </w:pPr>
    </w:p>
    <w:p>
      <w:pPr>
        <w:autoSpaceDE w:val="0"/>
        <w:autoSpaceDN w:val="0"/>
        <w:adjustRightInd w:val="0"/>
        <w:jc w:val="center"/>
        <w:rPr>
          <w:rFonts w:hint="eastAsia" w:eastAsia="宋体"/>
          <w:b/>
          <w:color w:val="auto"/>
          <w:sz w:val="44"/>
          <w:szCs w:val="44"/>
          <w:highlight w:val="none"/>
          <w:lang w:eastAsia="zh-CN"/>
        </w:rPr>
      </w:pPr>
      <w:r>
        <w:rPr>
          <w:rFonts w:hint="eastAsia"/>
          <w:b/>
          <w:color w:val="auto"/>
          <w:sz w:val="44"/>
          <w:szCs w:val="44"/>
          <w:highlight w:val="none"/>
          <w:lang w:eastAsia="zh-CN"/>
        </w:rPr>
        <w:t>新造油库地块土壤修复项目效果评估</w:t>
      </w:r>
    </w:p>
    <w:p>
      <w:pPr>
        <w:autoSpaceDE w:val="0"/>
        <w:autoSpaceDN w:val="0"/>
        <w:adjustRightInd w:val="0"/>
        <w:jc w:val="center"/>
        <w:rPr>
          <w:b/>
          <w:color w:val="auto"/>
          <w:sz w:val="44"/>
          <w:szCs w:val="44"/>
          <w:highlight w:val="none"/>
        </w:rPr>
      </w:pPr>
    </w:p>
    <w:p>
      <w:pPr>
        <w:pStyle w:val="6"/>
        <w:rPr>
          <w:color w:val="auto"/>
          <w:highlight w:val="none"/>
        </w:rPr>
      </w:pPr>
    </w:p>
    <w:p>
      <w:pPr>
        <w:pStyle w:val="9"/>
        <w:spacing w:after="0"/>
        <w:rPr>
          <w:color w:val="auto"/>
          <w:highlight w:val="none"/>
        </w:rPr>
      </w:pPr>
    </w:p>
    <w:p>
      <w:pPr>
        <w:spacing w:line="400" w:lineRule="exact"/>
        <w:rPr>
          <w:rFonts w:ascii="Times New Roman" w:hAnsi="Times New Roman"/>
          <w:color w:val="auto"/>
          <w:highlight w:val="none"/>
        </w:rPr>
      </w:pPr>
    </w:p>
    <w:p>
      <w:pPr>
        <w:spacing w:line="400" w:lineRule="exact"/>
        <w:jc w:val="right"/>
        <w:rPr>
          <w:rFonts w:ascii="Times New Roman" w:hAnsi="Times New Roman"/>
          <w:color w:val="auto"/>
          <w:highlight w:val="none"/>
        </w:rPr>
      </w:pPr>
    </w:p>
    <w:p>
      <w:pPr>
        <w:pStyle w:val="26"/>
        <w:rPr>
          <w:color w:val="auto"/>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rPr>
          <w:rFonts w:ascii="Times New Roman" w:hAnsi="Times New Roman"/>
          <w:color w:val="auto"/>
          <w:sz w:val="28"/>
          <w:highlight w:val="none"/>
        </w:rPr>
      </w:pPr>
    </w:p>
    <w:p>
      <w:pPr>
        <w:jc w:val="center"/>
        <w:rPr>
          <w:rFonts w:ascii="Times New Roman" w:hAnsi="Times New Roman" w:eastAsia="黑体"/>
          <w:color w:val="auto"/>
          <w:sz w:val="84"/>
          <w:szCs w:val="84"/>
          <w:highlight w:val="none"/>
        </w:rPr>
      </w:pPr>
      <w:r>
        <w:rPr>
          <w:rFonts w:ascii="Times New Roman" w:hAnsi="Times New Roman" w:eastAsia="黑体"/>
          <w:color w:val="auto"/>
          <w:sz w:val="84"/>
          <w:szCs w:val="84"/>
          <w:highlight w:val="none"/>
        </w:rPr>
        <w:t>招</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标</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文</w:t>
      </w:r>
      <w:r>
        <w:rPr>
          <w:rFonts w:hint="eastAsia" w:ascii="Times New Roman" w:hAnsi="Times New Roman" w:eastAsia="黑体"/>
          <w:color w:val="auto"/>
          <w:sz w:val="84"/>
          <w:szCs w:val="84"/>
          <w:highlight w:val="none"/>
        </w:rPr>
        <w:t xml:space="preserve"> </w:t>
      </w:r>
      <w:r>
        <w:rPr>
          <w:rFonts w:ascii="Times New Roman" w:hAnsi="Times New Roman" w:eastAsia="黑体"/>
          <w:color w:val="auto"/>
          <w:sz w:val="84"/>
          <w:szCs w:val="84"/>
          <w:highlight w:val="none"/>
        </w:rPr>
        <w:t>件</w:t>
      </w: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pStyle w:val="26"/>
        <w:rPr>
          <w:color w:val="auto"/>
          <w:highlight w:val="none"/>
        </w:rPr>
      </w:pPr>
    </w:p>
    <w:p>
      <w:pPr>
        <w:rPr>
          <w:color w:val="auto"/>
          <w:highlight w:val="none"/>
        </w:rPr>
      </w:pPr>
    </w:p>
    <w:p>
      <w:pPr>
        <w:pStyle w:val="26"/>
        <w:rPr>
          <w:color w:val="auto"/>
          <w:highlight w:val="none"/>
        </w:rPr>
      </w:pPr>
    </w:p>
    <w:p>
      <w:pPr>
        <w:rPr>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360" w:lineRule="auto"/>
        <w:ind w:firstLine="707" w:firstLineChars="22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 标  单 位：</w:t>
      </w:r>
      <w:r>
        <w:rPr>
          <w:rFonts w:hint="eastAsia" w:ascii="宋体" w:hAnsi="宋体"/>
          <w:b/>
          <w:color w:val="auto"/>
          <w:sz w:val="32"/>
          <w:szCs w:val="32"/>
          <w:highlight w:val="none"/>
          <w:lang w:eastAsia="zh-CN"/>
        </w:rPr>
        <w:t>广东省物资产业（集团）有限公司</w:t>
      </w:r>
    </w:p>
    <w:p>
      <w:pPr>
        <w:spacing w:line="360" w:lineRule="auto"/>
        <w:ind w:firstLine="707" w:firstLineChars="22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招标代理单位：</w:t>
      </w:r>
      <w:r>
        <w:rPr>
          <w:rFonts w:hint="eastAsia" w:ascii="宋体" w:hAnsi="宋体"/>
          <w:b/>
          <w:color w:val="auto"/>
          <w:sz w:val="32"/>
          <w:szCs w:val="32"/>
          <w:highlight w:val="none"/>
          <w:lang w:eastAsia="zh-CN"/>
        </w:rPr>
        <w:t>广东工程建设监理有限公司</w:t>
      </w:r>
    </w:p>
    <w:p>
      <w:pPr>
        <w:spacing w:line="360" w:lineRule="auto"/>
        <w:ind w:firstLine="707" w:firstLineChars="220"/>
        <w:rPr>
          <w:rFonts w:ascii="宋体" w:hAnsi="宋体"/>
          <w:b/>
          <w:color w:val="auto"/>
          <w:sz w:val="32"/>
          <w:szCs w:val="32"/>
          <w:highlight w:val="none"/>
        </w:rPr>
      </w:pPr>
      <w:r>
        <w:rPr>
          <w:rFonts w:hint="eastAsia" w:ascii="宋体" w:hAnsi="宋体"/>
          <w:b/>
          <w:color w:val="auto"/>
          <w:sz w:val="32"/>
          <w:szCs w:val="32"/>
          <w:highlight w:val="none"/>
        </w:rPr>
        <w:t>日        期：二〇二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二</w:t>
      </w:r>
      <w:r>
        <w:rPr>
          <w:rFonts w:hint="eastAsia" w:ascii="宋体" w:hAnsi="宋体"/>
          <w:b/>
          <w:color w:val="auto"/>
          <w:sz w:val="32"/>
          <w:szCs w:val="32"/>
          <w:highlight w:val="none"/>
        </w:rPr>
        <w:t>月</w:t>
      </w:r>
    </w:p>
    <w:p>
      <w:pPr>
        <w:pStyle w:val="27"/>
        <w:keepNext w:val="0"/>
        <w:keepLines w:val="0"/>
        <w:widowControl w:val="0"/>
        <w:jc w:val="center"/>
        <w:rPr>
          <w:rFonts w:ascii="Times New Roman" w:hAnsi="Times New Roman" w:eastAsia="黑体"/>
          <w:b w:val="0"/>
          <w:color w:val="auto"/>
          <w:highlight w:val="none"/>
          <w:lang w:val="zh-CN"/>
        </w:rPr>
      </w:pPr>
      <w:bookmarkStart w:id="0" w:name="_Toc144974479"/>
      <w:bookmarkStart w:id="1" w:name="_Toc152042287"/>
      <w:bookmarkStart w:id="2" w:name="_Toc152045511"/>
    </w:p>
    <w:p>
      <w:pPr>
        <w:pStyle w:val="27"/>
        <w:keepNext w:val="0"/>
        <w:keepLines w:val="0"/>
        <w:widowControl w:val="0"/>
        <w:jc w:val="center"/>
        <w:rPr>
          <w:rFonts w:ascii="Times New Roman" w:hAnsi="Times New Roman" w:eastAsia="黑体"/>
          <w:b w:val="0"/>
          <w:color w:val="auto"/>
          <w:highlight w:val="none"/>
          <w:lang w:val="zh-CN"/>
        </w:rPr>
        <w:sectPr>
          <w:pgSz w:w="12240" w:h="15840"/>
          <w:pgMar w:top="1440" w:right="1800" w:bottom="1440" w:left="1800" w:header="720" w:footer="720" w:gutter="0"/>
          <w:pgNumType w:start="1"/>
          <w:cols w:space="720" w:num="1"/>
          <w:docGrid w:linePitch="285" w:charSpace="0"/>
        </w:sectPr>
      </w:pPr>
    </w:p>
    <w:p>
      <w:pPr>
        <w:pStyle w:val="27"/>
        <w:keepNext w:val="0"/>
        <w:keepLines w:val="0"/>
        <w:widowControl w:val="0"/>
        <w:jc w:val="center"/>
        <w:rPr>
          <w:rFonts w:ascii="Times New Roman" w:hAnsi="Times New Roman" w:eastAsia="黑体"/>
          <w:b w:val="0"/>
          <w:color w:val="auto"/>
          <w:highlight w:val="none"/>
        </w:rPr>
      </w:pPr>
      <w:r>
        <w:rPr>
          <w:rFonts w:ascii="Times New Roman" w:hAnsi="Times New Roman" w:eastAsia="黑体"/>
          <w:b w:val="0"/>
          <w:color w:val="auto"/>
          <w:highlight w:val="none"/>
          <w:lang w:val="zh-CN"/>
        </w:rPr>
        <w:t>目  录</w:t>
      </w:r>
    </w:p>
    <w:p>
      <w:pPr>
        <w:pStyle w:val="15"/>
        <w:tabs>
          <w:tab w:val="right" w:leader="dot" w:pos="8630"/>
        </w:tabs>
        <w:jc w:val="center"/>
        <w:rPr>
          <w:rFonts w:ascii="Times New Roman" w:hAnsi="Times New Roman"/>
          <w:color w:val="auto"/>
          <w:highlight w:val="none"/>
        </w:rPr>
      </w:pPr>
    </w:p>
    <w:p>
      <w:pPr>
        <w:pStyle w:val="15"/>
        <w:tabs>
          <w:tab w:val="right" w:leader="dot" w:pos="8640"/>
        </w:tabs>
        <w:rPr>
          <w:sz w:val="28"/>
          <w:szCs w:val="28"/>
        </w:rPr>
      </w:pP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TOC \o "1-3" \h \z \u </w:instrText>
      </w:r>
      <w:r>
        <w:rPr>
          <w:rFonts w:ascii="Times New Roman" w:hAnsi="Times New Roman"/>
          <w:color w:val="auto"/>
          <w:sz w:val="28"/>
          <w:szCs w:val="28"/>
          <w:highlight w:val="none"/>
        </w:rPr>
        <w:fldChar w:fldCharType="separate"/>
      </w:r>
      <w:r>
        <w:rPr>
          <w:rFonts w:ascii="Times New Roman" w:hAnsi="Times New Roman"/>
          <w:color w:val="auto"/>
          <w:sz w:val="28"/>
          <w:szCs w:val="28"/>
          <w:highlight w:val="none"/>
        </w:rPr>
        <w:fldChar w:fldCharType="begin"/>
      </w:r>
      <w:r>
        <w:rPr>
          <w:rFonts w:ascii="Times New Roman" w:hAnsi="Times New Roman"/>
          <w:sz w:val="28"/>
          <w:szCs w:val="28"/>
          <w:highlight w:val="none"/>
        </w:rPr>
        <w:instrText xml:space="preserve"> HYPERLINK \l _Toc26279 </w:instrText>
      </w:r>
      <w:r>
        <w:rPr>
          <w:rFonts w:ascii="Times New Roman" w:hAnsi="Times New Roman"/>
          <w:sz w:val="28"/>
          <w:szCs w:val="28"/>
          <w:highlight w:val="none"/>
        </w:rPr>
        <w:fldChar w:fldCharType="separate"/>
      </w:r>
      <w:r>
        <w:rPr>
          <w:sz w:val="28"/>
          <w:szCs w:val="28"/>
          <w:highlight w:val="none"/>
        </w:rPr>
        <w:t>第一卷</w:t>
      </w:r>
      <w:r>
        <w:rPr>
          <w:sz w:val="28"/>
          <w:szCs w:val="28"/>
        </w:rPr>
        <w:tab/>
      </w:r>
      <w:r>
        <w:rPr>
          <w:sz w:val="28"/>
          <w:szCs w:val="28"/>
        </w:rPr>
        <w:fldChar w:fldCharType="begin"/>
      </w:r>
      <w:r>
        <w:rPr>
          <w:sz w:val="28"/>
          <w:szCs w:val="28"/>
        </w:rPr>
        <w:instrText xml:space="preserve"> PAGEREF _Toc26279 \h </w:instrText>
      </w:r>
      <w:r>
        <w:rPr>
          <w:sz w:val="28"/>
          <w:szCs w:val="28"/>
        </w:rPr>
        <w:fldChar w:fldCharType="separate"/>
      </w:r>
      <w:r>
        <w:rPr>
          <w:sz w:val="28"/>
          <w:szCs w:val="28"/>
        </w:rPr>
        <w:t>2</w:t>
      </w:r>
      <w:r>
        <w:rPr>
          <w:sz w:val="28"/>
          <w:szCs w:val="28"/>
        </w:rPr>
        <w:fldChar w:fldCharType="end"/>
      </w:r>
      <w:r>
        <w:rPr>
          <w:rFonts w:ascii="Times New Roman" w:hAnsi="Times New Roman"/>
          <w:color w:val="auto"/>
          <w:sz w:val="28"/>
          <w:szCs w:val="28"/>
          <w:highlight w:val="none"/>
        </w:rPr>
        <w:fldChar w:fldCharType="end"/>
      </w:r>
    </w:p>
    <w:p>
      <w:pPr>
        <w:pStyle w:val="15"/>
        <w:tabs>
          <w:tab w:val="right" w:leader="dot" w:pos="8640"/>
        </w:tabs>
        <w:rPr>
          <w:sz w:val="28"/>
          <w:szCs w:val="28"/>
        </w:rPr>
      </w:pPr>
      <w:r>
        <w:rPr>
          <w:rFonts w:ascii="Times New Roman" w:hAnsi="Times New Roman"/>
          <w:color w:val="auto"/>
          <w:sz w:val="28"/>
          <w:szCs w:val="28"/>
          <w:highlight w:val="none"/>
        </w:rPr>
        <w:fldChar w:fldCharType="begin"/>
      </w:r>
      <w:r>
        <w:rPr>
          <w:rFonts w:ascii="Times New Roman" w:hAnsi="Times New Roman"/>
          <w:sz w:val="28"/>
          <w:szCs w:val="28"/>
          <w:highlight w:val="none"/>
        </w:rPr>
        <w:instrText xml:space="preserve"> HYPERLINK \l _Toc14167 </w:instrText>
      </w:r>
      <w:r>
        <w:rPr>
          <w:rFonts w:ascii="Times New Roman" w:hAnsi="Times New Roman"/>
          <w:sz w:val="28"/>
          <w:szCs w:val="28"/>
          <w:highlight w:val="none"/>
        </w:rPr>
        <w:fldChar w:fldCharType="separate"/>
      </w:r>
      <w:r>
        <w:rPr>
          <w:rFonts w:hint="eastAsia"/>
          <w:sz w:val="28"/>
          <w:szCs w:val="28"/>
          <w:highlight w:val="none"/>
        </w:rPr>
        <w:t>第一章</w:t>
      </w:r>
      <w:r>
        <w:rPr>
          <w:sz w:val="28"/>
          <w:szCs w:val="28"/>
          <w:highlight w:val="none"/>
        </w:rPr>
        <w:t>招标公告</w:t>
      </w:r>
      <w:r>
        <w:rPr>
          <w:sz w:val="28"/>
          <w:szCs w:val="28"/>
        </w:rPr>
        <w:tab/>
      </w:r>
      <w:r>
        <w:rPr>
          <w:sz w:val="28"/>
          <w:szCs w:val="28"/>
        </w:rPr>
        <w:fldChar w:fldCharType="begin"/>
      </w:r>
      <w:r>
        <w:rPr>
          <w:sz w:val="28"/>
          <w:szCs w:val="28"/>
        </w:rPr>
        <w:instrText xml:space="preserve"> PAGEREF _Toc14167 \h </w:instrText>
      </w:r>
      <w:r>
        <w:rPr>
          <w:sz w:val="28"/>
          <w:szCs w:val="28"/>
        </w:rPr>
        <w:fldChar w:fldCharType="separate"/>
      </w:r>
      <w:r>
        <w:rPr>
          <w:sz w:val="28"/>
          <w:szCs w:val="28"/>
        </w:rPr>
        <w:t>2</w:t>
      </w:r>
      <w:r>
        <w:rPr>
          <w:sz w:val="28"/>
          <w:szCs w:val="28"/>
        </w:rPr>
        <w:fldChar w:fldCharType="end"/>
      </w:r>
      <w:r>
        <w:rPr>
          <w:rFonts w:ascii="Times New Roman" w:hAnsi="Times New Roman"/>
          <w:color w:val="auto"/>
          <w:sz w:val="28"/>
          <w:szCs w:val="28"/>
          <w:highlight w:val="none"/>
        </w:rPr>
        <w:fldChar w:fldCharType="end"/>
      </w:r>
    </w:p>
    <w:p>
      <w:pPr>
        <w:pStyle w:val="15"/>
        <w:tabs>
          <w:tab w:val="right" w:leader="dot" w:pos="8640"/>
        </w:tabs>
        <w:rPr>
          <w:sz w:val="28"/>
          <w:szCs w:val="28"/>
        </w:rPr>
      </w:pPr>
      <w:r>
        <w:rPr>
          <w:rFonts w:ascii="Times New Roman" w:hAnsi="Times New Roman"/>
          <w:color w:val="auto"/>
          <w:sz w:val="28"/>
          <w:szCs w:val="28"/>
          <w:highlight w:val="none"/>
        </w:rPr>
        <w:fldChar w:fldCharType="begin"/>
      </w:r>
      <w:r>
        <w:rPr>
          <w:rFonts w:ascii="Times New Roman" w:hAnsi="Times New Roman"/>
          <w:sz w:val="28"/>
          <w:szCs w:val="28"/>
          <w:highlight w:val="none"/>
        </w:rPr>
        <w:instrText xml:space="preserve"> HYPERLINK \l _Toc12268 </w:instrText>
      </w:r>
      <w:r>
        <w:rPr>
          <w:rFonts w:ascii="Times New Roman" w:hAnsi="Times New Roman"/>
          <w:sz w:val="28"/>
          <w:szCs w:val="28"/>
          <w:highlight w:val="none"/>
        </w:rPr>
        <w:fldChar w:fldCharType="separate"/>
      </w:r>
      <w:r>
        <w:rPr>
          <w:sz w:val="28"/>
          <w:szCs w:val="28"/>
          <w:highlight w:val="none"/>
        </w:rPr>
        <w:t>第二章投标人须知</w:t>
      </w:r>
      <w:r>
        <w:rPr>
          <w:sz w:val="28"/>
          <w:szCs w:val="28"/>
        </w:rPr>
        <w:tab/>
      </w:r>
      <w:r>
        <w:rPr>
          <w:sz w:val="28"/>
          <w:szCs w:val="28"/>
        </w:rPr>
        <w:fldChar w:fldCharType="begin"/>
      </w:r>
      <w:r>
        <w:rPr>
          <w:sz w:val="28"/>
          <w:szCs w:val="28"/>
        </w:rPr>
        <w:instrText xml:space="preserve"> PAGEREF _Toc12268 \h </w:instrText>
      </w:r>
      <w:r>
        <w:rPr>
          <w:sz w:val="28"/>
          <w:szCs w:val="28"/>
        </w:rPr>
        <w:fldChar w:fldCharType="separate"/>
      </w:r>
      <w:r>
        <w:rPr>
          <w:sz w:val="28"/>
          <w:szCs w:val="28"/>
        </w:rPr>
        <w:t>3</w:t>
      </w:r>
      <w:r>
        <w:rPr>
          <w:sz w:val="28"/>
          <w:szCs w:val="28"/>
        </w:rPr>
        <w:fldChar w:fldCharType="end"/>
      </w:r>
      <w:r>
        <w:rPr>
          <w:rFonts w:ascii="Times New Roman" w:hAnsi="Times New Roman"/>
          <w:color w:val="auto"/>
          <w:sz w:val="28"/>
          <w:szCs w:val="28"/>
          <w:highlight w:val="none"/>
        </w:rPr>
        <w:fldChar w:fldCharType="end"/>
      </w:r>
    </w:p>
    <w:p>
      <w:pPr>
        <w:pStyle w:val="15"/>
        <w:tabs>
          <w:tab w:val="right" w:leader="dot" w:pos="8640"/>
        </w:tabs>
        <w:rPr>
          <w:sz w:val="28"/>
          <w:szCs w:val="28"/>
        </w:rPr>
      </w:pPr>
      <w:r>
        <w:rPr>
          <w:rFonts w:ascii="Times New Roman" w:hAnsi="Times New Roman"/>
          <w:color w:val="auto"/>
          <w:sz w:val="28"/>
          <w:szCs w:val="28"/>
          <w:highlight w:val="none"/>
        </w:rPr>
        <w:fldChar w:fldCharType="begin"/>
      </w:r>
      <w:r>
        <w:rPr>
          <w:rFonts w:ascii="Times New Roman" w:hAnsi="Times New Roman"/>
          <w:sz w:val="28"/>
          <w:szCs w:val="28"/>
          <w:highlight w:val="none"/>
        </w:rPr>
        <w:instrText xml:space="preserve"> HYPERLINK \l _Toc12459 </w:instrText>
      </w:r>
      <w:r>
        <w:rPr>
          <w:rFonts w:ascii="Times New Roman" w:hAnsi="Times New Roman"/>
          <w:sz w:val="28"/>
          <w:szCs w:val="28"/>
          <w:highlight w:val="none"/>
        </w:rPr>
        <w:fldChar w:fldCharType="separate"/>
      </w:r>
      <w:r>
        <w:rPr>
          <w:sz w:val="28"/>
          <w:szCs w:val="28"/>
          <w:highlight w:val="none"/>
        </w:rPr>
        <w:t>第三章评标办法（综合评估法）</w:t>
      </w:r>
      <w:r>
        <w:rPr>
          <w:sz w:val="28"/>
          <w:szCs w:val="28"/>
        </w:rPr>
        <w:tab/>
      </w:r>
      <w:r>
        <w:rPr>
          <w:sz w:val="28"/>
          <w:szCs w:val="28"/>
        </w:rPr>
        <w:fldChar w:fldCharType="begin"/>
      </w:r>
      <w:r>
        <w:rPr>
          <w:sz w:val="28"/>
          <w:szCs w:val="28"/>
        </w:rPr>
        <w:instrText xml:space="preserve"> PAGEREF _Toc12459 \h </w:instrText>
      </w:r>
      <w:r>
        <w:rPr>
          <w:sz w:val="28"/>
          <w:szCs w:val="28"/>
        </w:rPr>
        <w:fldChar w:fldCharType="separate"/>
      </w:r>
      <w:r>
        <w:rPr>
          <w:sz w:val="28"/>
          <w:szCs w:val="28"/>
        </w:rPr>
        <w:t>30</w:t>
      </w:r>
      <w:r>
        <w:rPr>
          <w:sz w:val="28"/>
          <w:szCs w:val="28"/>
        </w:rPr>
        <w:fldChar w:fldCharType="end"/>
      </w:r>
      <w:r>
        <w:rPr>
          <w:rFonts w:ascii="Times New Roman" w:hAnsi="Times New Roman"/>
          <w:color w:val="auto"/>
          <w:sz w:val="28"/>
          <w:szCs w:val="28"/>
          <w:highlight w:val="none"/>
        </w:rPr>
        <w:fldChar w:fldCharType="end"/>
      </w:r>
    </w:p>
    <w:p>
      <w:pPr>
        <w:pStyle w:val="15"/>
        <w:tabs>
          <w:tab w:val="right" w:leader="dot" w:pos="8640"/>
        </w:tabs>
        <w:rPr>
          <w:sz w:val="28"/>
          <w:szCs w:val="28"/>
        </w:rPr>
      </w:pPr>
      <w:r>
        <w:rPr>
          <w:rFonts w:ascii="Times New Roman" w:hAnsi="Times New Roman"/>
          <w:color w:val="auto"/>
          <w:sz w:val="28"/>
          <w:szCs w:val="28"/>
          <w:highlight w:val="none"/>
        </w:rPr>
        <w:fldChar w:fldCharType="begin"/>
      </w:r>
      <w:r>
        <w:rPr>
          <w:rFonts w:ascii="Times New Roman" w:hAnsi="Times New Roman"/>
          <w:sz w:val="28"/>
          <w:szCs w:val="28"/>
          <w:highlight w:val="none"/>
        </w:rPr>
        <w:instrText xml:space="preserve"> HYPERLINK \l _Toc19869 </w:instrText>
      </w:r>
      <w:r>
        <w:rPr>
          <w:rFonts w:ascii="Times New Roman" w:hAnsi="Times New Roman"/>
          <w:sz w:val="28"/>
          <w:szCs w:val="28"/>
          <w:highlight w:val="none"/>
        </w:rPr>
        <w:fldChar w:fldCharType="separate"/>
      </w:r>
      <w:r>
        <w:rPr>
          <w:sz w:val="28"/>
          <w:szCs w:val="28"/>
          <w:highlight w:val="none"/>
        </w:rPr>
        <w:t>第四章合同条款及格式</w:t>
      </w:r>
      <w:r>
        <w:rPr>
          <w:sz w:val="28"/>
          <w:szCs w:val="28"/>
        </w:rPr>
        <w:tab/>
      </w:r>
      <w:r>
        <w:rPr>
          <w:sz w:val="28"/>
          <w:szCs w:val="28"/>
        </w:rPr>
        <w:fldChar w:fldCharType="begin"/>
      </w:r>
      <w:r>
        <w:rPr>
          <w:sz w:val="28"/>
          <w:szCs w:val="28"/>
        </w:rPr>
        <w:instrText xml:space="preserve"> PAGEREF _Toc19869 \h </w:instrText>
      </w:r>
      <w:r>
        <w:rPr>
          <w:sz w:val="28"/>
          <w:szCs w:val="28"/>
        </w:rPr>
        <w:fldChar w:fldCharType="separate"/>
      </w:r>
      <w:r>
        <w:rPr>
          <w:sz w:val="28"/>
          <w:szCs w:val="28"/>
        </w:rPr>
        <w:t>38</w:t>
      </w:r>
      <w:r>
        <w:rPr>
          <w:sz w:val="28"/>
          <w:szCs w:val="28"/>
        </w:rPr>
        <w:fldChar w:fldCharType="end"/>
      </w:r>
      <w:r>
        <w:rPr>
          <w:rFonts w:ascii="Times New Roman" w:hAnsi="Times New Roman"/>
          <w:color w:val="auto"/>
          <w:sz w:val="28"/>
          <w:szCs w:val="28"/>
          <w:highlight w:val="none"/>
        </w:rPr>
        <w:fldChar w:fldCharType="end"/>
      </w:r>
    </w:p>
    <w:p>
      <w:pPr>
        <w:pStyle w:val="15"/>
        <w:tabs>
          <w:tab w:val="right" w:leader="dot" w:pos="8640"/>
        </w:tabs>
        <w:rPr>
          <w:sz w:val="28"/>
          <w:szCs w:val="28"/>
        </w:rPr>
      </w:pPr>
      <w:r>
        <w:rPr>
          <w:rFonts w:ascii="Times New Roman" w:hAnsi="Times New Roman"/>
          <w:color w:val="auto"/>
          <w:sz w:val="28"/>
          <w:szCs w:val="28"/>
          <w:highlight w:val="none"/>
        </w:rPr>
        <w:fldChar w:fldCharType="begin"/>
      </w:r>
      <w:r>
        <w:rPr>
          <w:rFonts w:ascii="Times New Roman" w:hAnsi="Times New Roman"/>
          <w:sz w:val="28"/>
          <w:szCs w:val="28"/>
          <w:highlight w:val="none"/>
        </w:rPr>
        <w:instrText xml:space="preserve"> HYPERLINK \l _Toc22777 </w:instrText>
      </w:r>
      <w:r>
        <w:rPr>
          <w:rFonts w:ascii="Times New Roman" w:hAnsi="Times New Roman"/>
          <w:sz w:val="28"/>
          <w:szCs w:val="28"/>
          <w:highlight w:val="none"/>
        </w:rPr>
        <w:fldChar w:fldCharType="separate"/>
      </w:r>
      <w:r>
        <w:rPr>
          <w:sz w:val="28"/>
          <w:szCs w:val="28"/>
          <w:highlight w:val="none"/>
        </w:rPr>
        <w:t>第</w:t>
      </w:r>
      <w:r>
        <w:rPr>
          <w:rFonts w:hint="eastAsia"/>
          <w:sz w:val="28"/>
          <w:szCs w:val="28"/>
          <w:highlight w:val="none"/>
          <w:lang w:eastAsia="zh-CN"/>
        </w:rPr>
        <w:t>五</w:t>
      </w:r>
      <w:r>
        <w:rPr>
          <w:sz w:val="28"/>
          <w:szCs w:val="28"/>
          <w:highlight w:val="none"/>
        </w:rPr>
        <w:t>章</w:t>
      </w:r>
      <w:r>
        <w:rPr>
          <w:rFonts w:hint="eastAsia"/>
          <w:sz w:val="28"/>
          <w:szCs w:val="28"/>
          <w:highlight w:val="none"/>
          <w:lang w:eastAsia="zh-CN"/>
        </w:rPr>
        <w:t>委托人要求</w:t>
      </w:r>
      <w:r>
        <w:rPr>
          <w:sz w:val="28"/>
          <w:szCs w:val="28"/>
        </w:rPr>
        <w:tab/>
      </w:r>
      <w:r>
        <w:rPr>
          <w:sz w:val="28"/>
          <w:szCs w:val="28"/>
        </w:rPr>
        <w:fldChar w:fldCharType="begin"/>
      </w:r>
      <w:r>
        <w:rPr>
          <w:sz w:val="28"/>
          <w:szCs w:val="28"/>
        </w:rPr>
        <w:instrText xml:space="preserve"> PAGEREF _Toc22777 \h </w:instrText>
      </w:r>
      <w:r>
        <w:rPr>
          <w:sz w:val="28"/>
          <w:szCs w:val="28"/>
        </w:rPr>
        <w:fldChar w:fldCharType="separate"/>
      </w:r>
      <w:r>
        <w:rPr>
          <w:sz w:val="28"/>
          <w:szCs w:val="28"/>
        </w:rPr>
        <w:t>39</w:t>
      </w:r>
      <w:r>
        <w:rPr>
          <w:sz w:val="28"/>
          <w:szCs w:val="28"/>
        </w:rPr>
        <w:fldChar w:fldCharType="end"/>
      </w:r>
      <w:r>
        <w:rPr>
          <w:rFonts w:ascii="Times New Roman" w:hAnsi="Times New Roman"/>
          <w:color w:val="auto"/>
          <w:sz w:val="28"/>
          <w:szCs w:val="28"/>
          <w:highlight w:val="none"/>
        </w:rPr>
        <w:fldChar w:fldCharType="end"/>
      </w:r>
    </w:p>
    <w:p>
      <w:pPr>
        <w:pStyle w:val="15"/>
        <w:tabs>
          <w:tab w:val="right" w:leader="dot" w:pos="8640"/>
        </w:tabs>
        <w:rPr>
          <w:sz w:val="28"/>
          <w:szCs w:val="28"/>
        </w:rPr>
      </w:pPr>
      <w:r>
        <w:rPr>
          <w:rFonts w:ascii="Times New Roman" w:hAnsi="Times New Roman"/>
          <w:color w:val="auto"/>
          <w:sz w:val="28"/>
          <w:szCs w:val="28"/>
          <w:highlight w:val="none"/>
        </w:rPr>
        <w:fldChar w:fldCharType="begin"/>
      </w:r>
      <w:r>
        <w:rPr>
          <w:rFonts w:ascii="Times New Roman" w:hAnsi="Times New Roman"/>
          <w:sz w:val="28"/>
          <w:szCs w:val="28"/>
          <w:highlight w:val="none"/>
        </w:rPr>
        <w:instrText xml:space="preserve"> HYPERLINK \l _Toc5787 </w:instrText>
      </w:r>
      <w:r>
        <w:rPr>
          <w:rFonts w:ascii="Times New Roman" w:hAnsi="Times New Roman"/>
          <w:sz w:val="28"/>
          <w:szCs w:val="28"/>
          <w:highlight w:val="none"/>
        </w:rPr>
        <w:fldChar w:fldCharType="separate"/>
      </w:r>
      <w:r>
        <w:rPr>
          <w:sz w:val="28"/>
          <w:szCs w:val="28"/>
          <w:highlight w:val="none"/>
        </w:rPr>
        <w:t>第六章</w:t>
      </w:r>
      <w:r>
        <w:rPr>
          <w:rFonts w:hint="eastAsia"/>
          <w:sz w:val="28"/>
          <w:szCs w:val="28"/>
          <w:highlight w:val="none"/>
        </w:rPr>
        <w:t xml:space="preserve"> </w:t>
      </w:r>
      <w:r>
        <w:rPr>
          <w:sz w:val="28"/>
          <w:szCs w:val="28"/>
          <w:highlight w:val="none"/>
        </w:rPr>
        <w:t>投标文件格式</w:t>
      </w:r>
      <w:r>
        <w:rPr>
          <w:sz w:val="28"/>
          <w:szCs w:val="28"/>
        </w:rPr>
        <w:tab/>
      </w:r>
      <w:r>
        <w:rPr>
          <w:sz w:val="28"/>
          <w:szCs w:val="28"/>
        </w:rPr>
        <w:fldChar w:fldCharType="begin"/>
      </w:r>
      <w:r>
        <w:rPr>
          <w:sz w:val="28"/>
          <w:szCs w:val="28"/>
        </w:rPr>
        <w:instrText xml:space="preserve"> PAGEREF _Toc5787 \h </w:instrText>
      </w:r>
      <w:r>
        <w:rPr>
          <w:sz w:val="28"/>
          <w:szCs w:val="28"/>
        </w:rPr>
        <w:fldChar w:fldCharType="separate"/>
      </w:r>
      <w:r>
        <w:rPr>
          <w:sz w:val="28"/>
          <w:szCs w:val="28"/>
        </w:rPr>
        <w:t>45</w:t>
      </w:r>
      <w:r>
        <w:rPr>
          <w:sz w:val="28"/>
          <w:szCs w:val="28"/>
        </w:rPr>
        <w:fldChar w:fldCharType="end"/>
      </w:r>
      <w:r>
        <w:rPr>
          <w:rFonts w:ascii="Times New Roman" w:hAnsi="Times New Roman"/>
          <w:color w:val="auto"/>
          <w:sz w:val="28"/>
          <w:szCs w:val="28"/>
          <w:highlight w:val="none"/>
        </w:rPr>
        <w:fldChar w:fldCharType="end"/>
      </w:r>
    </w:p>
    <w:p>
      <w:pPr>
        <w:pStyle w:val="15"/>
        <w:tabs>
          <w:tab w:val="right" w:leader="dot" w:pos="8640"/>
        </w:tabs>
      </w:pPr>
      <w:r>
        <w:rPr>
          <w:rFonts w:ascii="Times New Roman" w:hAnsi="Times New Roman"/>
          <w:color w:val="auto"/>
          <w:sz w:val="28"/>
          <w:szCs w:val="28"/>
          <w:highlight w:val="none"/>
        </w:rPr>
        <w:fldChar w:fldCharType="begin"/>
      </w:r>
      <w:r>
        <w:rPr>
          <w:rFonts w:ascii="Times New Roman" w:hAnsi="Times New Roman"/>
          <w:sz w:val="28"/>
          <w:szCs w:val="28"/>
          <w:highlight w:val="none"/>
        </w:rPr>
        <w:instrText xml:space="preserve"> HYPERLINK \l _Toc28365 </w:instrText>
      </w:r>
      <w:r>
        <w:rPr>
          <w:rFonts w:ascii="Times New Roman" w:hAnsi="Times New Roman"/>
          <w:sz w:val="28"/>
          <w:szCs w:val="28"/>
          <w:highlight w:val="none"/>
        </w:rPr>
        <w:fldChar w:fldCharType="separate"/>
      </w:r>
      <w:r>
        <w:rPr>
          <w:sz w:val="28"/>
          <w:szCs w:val="28"/>
          <w:highlight w:val="none"/>
        </w:rPr>
        <w:t>第</w:t>
      </w:r>
      <w:r>
        <w:rPr>
          <w:rFonts w:hint="eastAsia"/>
          <w:sz w:val="28"/>
          <w:szCs w:val="28"/>
          <w:highlight w:val="none"/>
          <w:lang w:eastAsia="zh-CN"/>
        </w:rPr>
        <w:t>七</w:t>
      </w:r>
      <w:r>
        <w:rPr>
          <w:sz w:val="28"/>
          <w:szCs w:val="28"/>
          <w:highlight w:val="none"/>
        </w:rPr>
        <w:t>章</w:t>
      </w:r>
      <w:r>
        <w:rPr>
          <w:rFonts w:hint="eastAsia"/>
          <w:sz w:val="28"/>
          <w:szCs w:val="28"/>
          <w:highlight w:val="none"/>
        </w:rPr>
        <w:t xml:space="preserve"> </w:t>
      </w:r>
      <w:r>
        <w:rPr>
          <w:rFonts w:hint="eastAsia"/>
          <w:sz w:val="28"/>
          <w:szCs w:val="28"/>
          <w:highlight w:val="none"/>
          <w:lang w:eastAsia="zh-CN"/>
        </w:rPr>
        <w:t>工程量清单（另册）</w:t>
      </w:r>
      <w:r>
        <w:rPr>
          <w:sz w:val="28"/>
          <w:szCs w:val="28"/>
        </w:rPr>
        <w:tab/>
      </w:r>
      <w:r>
        <w:rPr>
          <w:sz w:val="28"/>
          <w:szCs w:val="28"/>
        </w:rPr>
        <w:fldChar w:fldCharType="begin"/>
      </w:r>
      <w:r>
        <w:rPr>
          <w:sz w:val="28"/>
          <w:szCs w:val="28"/>
        </w:rPr>
        <w:instrText xml:space="preserve"> PAGEREF _Toc28365 \h </w:instrText>
      </w:r>
      <w:r>
        <w:rPr>
          <w:sz w:val="28"/>
          <w:szCs w:val="28"/>
        </w:rPr>
        <w:fldChar w:fldCharType="separate"/>
      </w:r>
      <w:r>
        <w:rPr>
          <w:sz w:val="28"/>
          <w:szCs w:val="28"/>
        </w:rPr>
        <w:t>63</w:t>
      </w:r>
      <w:r>
        <w:rPr>
          <w:sz w:val="28"/>
          <w:szCs w:val="28"/>
        </w:rPr>
        <w:fldChar w:fldCharType="end"/>
      </w:r>
      <w:r>
        <w:rPr>
          <w:rFonts w:ascii="Times New Roman" w:hAnsi="Times New Roman"/>
          <w:color w:val="auto"/>
          <w:sz w:val="28"/>
          <w:szCs w:val="28"/>
          <w:highlight w:val="none"/>
        </w:rPr>
        <w:fldChar w:fldCharType="end"/>
      </w:r>
    </w:p>
    <w:p>
      <w:pPr>
        <w:spacing w:line="480" w:lineRule="auto"/>
        <w:rPr>
          <w:color w:val="auto"/>
          <w:sz w:val="28"/>
          <w:szCs w:val="28"/>
          <w:highlight w:val="none"/>
        </w:rPr>
        <w:sectPr>
          <w:footerReference r:id="rId3" w:type="default"/>
          <w:pgSz w:w="12240" w:h="15840"/>
          <w:pgMar w:top="1440" w:right="1800" w:bottom="1440" w:left="1800" w:header="720" w:footer="720" w:gutter="0"/>
          <w:pgNumType w:start="1"/>
          <w:cols w:space="720" w:num="1"/>
          <w:docGrid w:linePitch="285" w:charSpace="0"/>
        </w:sectPr>
      </w:pPr>
      <w:r>
        <w:rPr>
          <w:rFonts w:ascii="Times New Roman" w:hAnsi="Times New Roman"/>
          <w:color w:val="auto"/>
          <w:szCs w:val="28"/>
          <w:highlight w:val="none"/>
        </w:rPr>
        <w:fldChar w:fldCharType="end"/>
      </w:r>
    </w:p>
    <w:p>
      <w:pPr>
        <w:pStyle w:val="3"/>
        <w:keepNext w:val="0"/>
        <w:keepLines w:val="0"/>
        <w:spacing w:line="560" w:lineRule="exact"/>
        <w:jc w:val="center"/>
        <w:rPr>
          <w:color w:val="auto"/>
          <w:highlight w:val="none"/>
        </w:rPr>
      </w:pPr>
      <w:bookmarkStart w:id="3" w:name="_Toc511557024"/>
      <w:bookmarkStart w:id="4" w:name="_Toc26279"/>
      <w:r>
        <w:rPr>
          <w:color w:val="auto"/>
          <w:highlight w:val="none"/>
        </w:rPr>
        <w:t>第</w:t>
      </w:r>
      <w:bookmarkEnd w:id="0"/>
      <w:bookmarkEnd w:id="1"/>
      <w:bookmarkEnd w:id="2"/>
      <w:bookmarkEnd w:id="3"/>
      <w:r>
        <w:rPr>
          <w:color w:val="auto"/>
          <w:highlight w:val="none"/>
        </w:rPr>
        <w:t>一卷</w:t>
      </w:r>
      <w:bookmarkEnd w:id="4"/>
    </w:p>
    <w:p>
      <w:pPr>
        <w:pStyle w:val="3"/>
        <w:keepNext w:val="0"/>
        <w:keepLines w:val="0"/>
        <w:spacing w:line="560" w:lineRule="exact"/>
        <w:jc w:val="center"/>
        <w:rPr>
          <w:color w:val="auto"/>
          <w:highlight w:val="none"/>
        </w:rPr>
      </w:pPr>
      <w:bookmarkStart w:id="5" w:name="_Toc14167"/>
      <w:r>
        <w:rPr>
          <w:rFonts w:hint="eastAsia"/>
          <w:color w:val="auto"/>
          <w:highlight w:val="none"/>
        </w:rPr>
        <w:t>第一章</w:t>
      </w:r>
      <w:r>
        <w:rPr>
          <w:color w:val="auto"/>
          <w:highlight w:val="none"/>
        </w:rPr>
        <w:t>招标公告</w:t>
      </w:r>
      <w:bookmarkEnd w:id="5"/>
    </w:p>
    <w:p>
      <w:pPr>
        <w:adjustRightInd w:val="0"/>
        <w:snapToGrid w:val="0"/>
        <w:spacing w:line="360" w:lineRule="auto"/>
        <w:jc w:val="center"/>
        <w:rPr>
          <w:color w:val="auto"/>
          <w:highlight w:val="none"/>
        </w:rPr>
      </w:pPr>
      <w:r>
        <w:rPr>
          <w:rFonts w:hint="eastAsia" w:ascii="宋体" w:hAnsi="宋体" w:cs="宋体"/>
          <w:b/>
          <w:color w:val="auto"/>
          <w:sz w:val="36"/>
          <w:szCs w:val="36"/>
          <w:highlight w:val="none"/>
        </w:rPr>
        <w:t>（另册）</w:t>
      </w:r>
    </w:p>
    <w:p>
      <w:pPr>
        <w:rPr>
          <w:color w:val="auto"/>
          <w:highlight w:val="none"/>
        </w:rPr>
      </w:pPr>
    </w:p>
    <w:p>
      <w:pPr>
        <w:adjustRightInd w:val="0"/>
        <w:snapToGrid w:val="0"/>
        <w:spacing w:line="360" w:lineRule="auto"/>
        <w:ind w:firstLine="420" w:firstLineChars="200"/>
        <w:jc w:val="right"/>
        <w:rPr>
          <w:color w:val="auto"/>
          <w:highlight w:val="none"/>
        </w:rPr>
      </w:pPr>
      <w:r>
        <w:rPr>
          <w:color w:val="auto"/>
          <w:highlight w:val="none"/>
        </w:rPr>
        <w:br w:type="page"/>
      </w:r>
    </w:p>
    <w:p>
      <w:pPr>
        <w:pStyle w:val="3"/>
        <w:keepNext w:val="0"/>
        <w:keepLines w:val="0"/>
        <w:spacing w:before="100" w:after="100" w:line="360" w:lineRule="auto"/>
        <w:jc w:val="center"/>
        <w:rPr>
          <w:color w:val="auto"/>
          <w:highlight w:val="none"/>
        </w:rPr>
      </w:pPr>
      <w:bookmarkStart w:id="6" w:name="_Toc12268"/>
      <w:r>
        <w:rPr>
          <w:color w:val="auto"/>
          <w:highlight w:val="none"/>
        </w:rPr>
        <w:t>第二章投标人须知</w:t>
      </w:r>
      <w:bookmarkEnd w:id="6"/>
    </w:p>
    <w:p>
      <w:pPr>
        <w:pStyle w:val="4"/>
        <w:keepNext w:val="0"/>
        <w:keepLines w:val="0"/>
        <w:spacing w:before="20" w:after="0" w:line="360" w:lineRule="auto"/>
        <w:jc w:val="left"/>
        <w:rPr>
          <w:rFonts w:ascii="Times New Roman" w:hAnsi="Times New Roman"/>
          <w:color w:val="auto"/>
          <w:highlight w:val="none"/>
        </w:rPr>
      </w:pPr>
      <w:bookmarkStart w:id="7" w:name="_Toc2856"/>
      <w:bookmarkStart w:id="8" w:name="_Toc17485"/>
      <w:bookmarkStart w:id="9" w:name="_Toc16846"/>
      <w:bookmarkStart w:id="10" w:name="_Toc13533"/>
      <w:bookmarkStart w:id="11" w:name="_Toc19759"/>
      <w:r>
        <w:rPr>
          <w:rFonts w:ascii="Times New Roman" w:hAnsi="Times New Roman"/>
          <w:color w:val="auto"/>
          <w:highlight w:val="none"/>
        </w:rPr>
        <w:t>投标人须知前附表</w:t>
      </w:r>
      <w:bookmarkEnd w:id="7"/>
      <w:bookmarkEnd w:id="8"/>
      <w:bookmarkEnd w:id="9"/>
      <w:bookmarkEnd w:id="10"/>
      <w:bookmarkEnd w:id="11"/>
    </w:p>
    <w:tbl>
      <w:tblPr>
        <w:tblStyle w:val="23"/>
        <w:tblW w:w="969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1650"/>
        <w:gridCol w:w="68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1178" w:type="dxa"/>
            <w:vAlign w:val="center"/>
          </w:tcPr>
          <w:p>
            <w:pPr>
              <w:snapToGrid w:val="0"/>
              <w:jc w:val="center"/>
              <w:rPr>
                <w:rFonts w:ascii="宋体" w:hAnsi="宋体"/>
                <w:b/>
                <w:color w:val="auto"/>
                <w:szCs w:val="21"/>
                <w:highlight w:val="none"/>
              </w:rPr>
            </w:pPr>
            <w:r>
              <w:rPr>
                <w:rFonts w:ascii="宋体" w:hAnsi="宋体"/>
                <w:b/>
                <w:color w:val="auto"/>
                <w:szCs w:val="21"/>
                <w:highlight w:val="none"/>
              </w:rPr>
              <w:t>条款号</w:t>
            </w:r>
          </w:p>
        </w:tc>
        <w:tc>
          <w:tcPr>
            <w:tcW w:w="1650" w:type="dxa"/>
            <w:vAlign w:val="center"/>
          </w:tcPr>
          <w:p>
            <w:pPr>
              <w:snapToGrid w:val="0"/>
              <w:jc w:val="center"/>
              <w:rPr>
                <w:rFonts w:ascii="宋体" w:hAnsi="宋体"/>
                <w:b/>
                <w:color w:val="auto"/>
                <w:szCs w:val="21"/>
                <w:highlight w:val="none"/>
              </w:rPr>
            </w:pPr>
            <w:r>
              <w:rPr>
                <w:rFonts w:ascii="宋体" w:hAnsi="宋体"/>
                <w:b/>
                <w:color w:val="auto"/>
                <w:szCs w:val="21"/>
                <w:highlight w:val="none"/>
              </w:rPr>
              <w:t>条款名称</w:t>
            </w:r>
          </w:p>
        </w:tc>
        <w:tc>
          <w:tcPr>
            <w:tcW w:w="6863" w:type="dxa"/>
            <w:vAlign w:val="center"/>
          </w:tcPr>
          <w:p>
            <w:pPr>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招标人</w:t>
            </w:r>
          </w:p>
        </w:tc>
        <w:tc>
          <w:tcPr>
            <w:tcW w:w="6863" w:type="dxa"/>
            <w:vAlign w:val="center"/>
          </w:tcPr>
          <w:p>
            <w:pPr>
              <w:snapToGri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名称：</w:t>
            </w:r>
            <w:r>
              <w:rPr>
                <w:rFonts w:hint="eastAsia" w:ascii="宋体" w:hAnsi="宋体"/>
                <w:color w:val="auto"/>
                <w:szCs w:val="21"/>
                <w:highlight w:val="none"/>
                <w:u w:val="single"/>
                <w:lang w:eastAsia="zh-CN"/>
              </w:rPr>
              <w:t>广东省物资产业（集团）有限公司</w:t>
            </w:r>
          </w:p>
          <w:p>
            <w:pPr>
              <w:snapToGrid w:val="0"/>
              <w:rPr>
                <w:rFonts w:ascii="宋体" w:hAnsi="宋体"/>
                <w:color w:val="auto"/>
                <w:szCs w:val="21"/>
                <w:highlight w:val="none"/>
                <w:u w:val="single"/>
              </w:rPr>
            </w:pPr>
            <w:r>
              <w:rPr>
                <w:rFonts w:hint="eastAsia" w:ascii="宋体" w:hAnsi="宋体"/>
                <w:color w:val="auto"/>
                <w:szCs w:val="21"/>
                <w:highlight w:val="none"/>
                <w:u w:val="single"/>
              </w:rPr>
              <w:t>地址：广州市天河区兴国路21号保利中达广场2号楼广物中心26楼</w:t>
            </w:r>
          </w:p>
          <w:p>
            <w:pPr>
              <w:snapToGrid w:val="0"/>
              <w:rPr>
                <w:rFonts w:ascii="宋体" w:hAnsi="宋体"/>
                <w:color w:val="auto"/>
                <w:szCs w:val="21"/>
                <w:highlight w:val="none"/>
                <w:u w:val="single"/>
              </w:rPr>
            </w:pPr>
            <w:r>
              <w:rPr>
                <w:rFonts w:hint="eastAsia" w:ascii="宋体" w:hAnsi="宋体"/>
                <w:color w:val="auto"/>
                <w:szCs w:val="21"/>
                <w:highlight w:val="none"/>
                <w:u w:val="single"/>
              </w:rPr>
              <w:t>联系人：</w:t>
            </w:r>
            <w:r>
              <w:rPr>
                <w:rFonts w:hint="eastAsia" w:ascii="宋体" w:hAnsi="宋体"/>
                <w:color w:val="auto"/>
                <w:szCs w:val="21"/>
                <w:highlight w:val="none"/>
                <w:u w:val="single"/>
                <w:lang w:val="en-US" w:eastAsia="zh-CN"/>
              </w:rPr>
              <w:t>沈</w:t>
            </w:r>
            <w:r>
              <w:rPr>
                <w:rFonts w:hint="eastAsia" w:ascii="宋体" w:hAnsi="宋体"/>
                <w:color w:val="auto"/>
                <w:szCs w:val="21"/>
                <w:highlight w:val="none"/>
                <w:u w:val="single"/>
              </w:rPr>
              <w:t>工</w:t>
            </w:r>
          </w:p>
          <w:p>
            <w:pPr>
              <w:snapToGrid w:val="0"/>
              <w:rPr>
                <w:rFonts w:ascii="宋体" w:hAnsi="宋体"/>
                <w:color w:val="auto"/>
                <w:szCs w:val="21"/>
                <w:highlight w:val="none"/>
                <w:u w:val="single"/>
              </w:rPr>
            </w:pPr>
            <w:r>
              <w:rPr>
                <w:rFonts w:hint="eastAsia" w:ascii="宋体" w:hAnsi="宋体"/>
                <w:color w:val="auto"/>
                <w:szCs w:val="21"/>
                <w:highlight w:val="none"/>
                <w:u w:val="single"/>
              </w:rPr>
              <w:t>电话：</w:t>
            </w:r>
            <w:r>
              <w:rPr>
                <w:rFonts w:hint="eastAsia"/>
                <w:color w:val="auto"/>
                <w:highlight w:val="none"/>
                <w:u w:val="single"/>
                <w:lang w:val="en-US" w:eastAsia="zh-CN"/>
              </w:rPr>
              <w:t>020-87096130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1"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招标代理机构</w:t>
            </w:r>
          </w:p>
        </w:tc>
        <w:tc>
          <w:tcPr>
            <w:tcW w:w="6863" w:type="dxa"/>
            <w:vAlign w:val="center"/>
          </w:tcPr>
          <w:p>
            <w:pPr>
              <w:snapToGri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名称：</w:t>
            </w:r>
            <w:r>
              <w:rPr>
                <w:rFonts w:hint="eastAsia" w:ascii="宋体" w:hAnsi="宋体"/>
                <w:color w:val="auto"/>
                <w:szCs w:val="21"/>
                <w:highlight w:val="none"/>
                <w:u w:val="single"/>
                <w:lang w:eastAsia="zh-CN"/>
              </w:rPr>
              <w:t>广东工程建设监理有限公司</w:t>
            </w:r>
          </w:p>
          <w:p>
            <w:pPr>
              <w:snapToGrid w:val="0"/>
              <w:rPr>
                <w:rFonts w:ascii="宋体" w:hAnsi="宋体"/>
                <w:color w:val="auto"/>
                <w:szCs w:val="21"/>
                <w:highlight w:val="none"/>
                <w:u w:val="single"/>
              </w:rPr>
            </w:pPr>
            <w:r>
              <w:rPr>
                <w:rFonts w:hint="eastAsia" w:ascii="宋体" w:hAnsi="宋体"/>
                <w:color w:val="auto"/>
                <w:szCs w:val="21"/>
                <w:highlight w:val="none"/>
                <w:u w:val="single"/>
              </w:rPr>
              <w:t>地址：</w:t>
            </w:r>
            <w:r>
              <w:rPr>
                <w:rFonts w:hint="eastAsia" w:ascii="宋体" w:hAnsi="宋体"/>
                <w:color w:val="auto"/>
                <w:szCs w:val="21"/>
                <w:highlight w:val="none"/>
                <w:u w:val="single"/>
                <w:lang w:val="en-US" w:eastAsia="zh-CN"/>
              </w:rPr>
              <w:t>广州市越秀区白云路111-113号白云大厦16楼</w:t>
            </w:r>
          </w:p>
          <w:p>
            <w:pPr>
              <w:snapToGrid w:val="0"/>
              <w:rPr>
                <w:rFonts w:ascii="宋体" w:hAnsi="宋体"/>
                <w:color w:val="auto"/>
                <w:szCs w:val="21"/>
                <w:highlight w:val="none"/>
                <w:u w:val="single"/>
              </w:rPr>
            </w:pPr>
            <w:r>
              <w:rPr>
                <w:rFonts w:hint="eastAsia" w:ascii="宋体" w:hAnsi="宋体"/>
                <w:color w:val="auto"/>
                <w:szCs w:val="21"/>
                <w:highlight w:val="none"/>
                <w:u w:val="single"/>
              </w:rPr>
              <w:t>联系人：</w:t>
            </w:r>
            <w:r>
              <w:rPr>
                <w:rFonts w:hint="eastAsia" w:ascii="宋体" w:hAnsi="宋体"/>
                <w:color w:val="auto"/>
                <w:szCs w:val="21"/>
                <w:highlight w:val="none"/>
                <w:u w:val="single"/>
                <w:lang w:val="en-US" w:eastAsia="zh-CN"/>
              </w:rPr>
              <w:t>方</w:t>
            </w:r>
            <w:r>
              <w:rPr>
                <w:rFonts w:hint="eastAsia" w:ascii="宋体" w:hAnsi="宋体"/>
                <w:color w:val="auto"/>
                <w:szCs w:val="21"/>
                <w:highlight w:val="none"/>
                <w:u w:val="single"/>
              </w:rPr>
              <w:t xml:space="preserve">工 </w:t>
            </w:r>
          </w:p>
          <w:p>
            <w:pPr>
              <w:snapToGrid w:val="0"/>
              <w:rPr>
                <w:rFonts w:ascii="宋体" w:hAnsi="宋体"/>
                <w:color w:val="auto"/>
                <w:szCs w:val="21"/>
                <w:highlight w:val="none"/>
                <w:u w:val="single"/>
              </w:rPr>
            </w:pPr>
            <w:r>
              <w:rPr>
                <w:rFonts w:hint="eastAsia" w:ascii="宋体" w:hAnsi="宋体"/>
                <w:color w:val="auto"/>
                <w:szCs w:val="21"/>
                <w:highlight w:val="none"/>
                <w:u w:val="single"/>
              </w:rPr>
              <w:t>电话：</w:t>
            </w:r>
            <w:r>
              <w:rPr>
                <w:rFonts w:hint="eastAsia" w:ascii="宋体" w:hAnsi="宋体"/>
                <w:color w:val="auto"/>
                <w:szCs w:val="21"/>
                <w:highlight w:val="none"/>
                <w:u w:val="single"/>
                <w:lang w:val="en-US" w:eastAsia="zh-CN"/>
              </w:rPr>
              <w:t>13719233735</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1.1.4</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招标项目名称</w:t>
            </w:r>
          </w:p>
        </w:tc>
        <w:tc>
          <w:tcPr>
            <w:tcW w:w="6863" w:type="dxa"/>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u w:val="single"/>
                <w:lang w:eastAsia="zh-CN"/>
              </w:rPr>
              <w:t>新造油库地块土壤修复项目效果评估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1.1.5</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项目建设地点</w:t>
            </w:r>
          </w:p>
        </w:tc>
        <w:tc>
          <w:tcPr>
            <w:tcW w:w="686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1.1.6</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项目建设规模</w:t>
            </w:r>
          </w:p>
        </w:tc>
        <w:tc>
          <w:tcPr>
            <w:tcW w:w="6863" w:type="dxa"/>
          </w:tcPr>
          <w:p>
            <w:pPr>
              <w:snapToGrid w:val="0"/>
              <w:ind w:right="106"/>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bookmarkStart w:id="12" w:name="_Hlk136173529"/>
            <w:r>
              <w:rPr>
                <w:rFonts w:ascii="宋体" w:hAnsi="宋体"/>
                <w:color w:val="auto"/>
                <w:szCs w:val="21"/>
                <w:highlight w:val="none"/>
              </w:rPr>
              <w:t>1.1.7</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工程项目施工预计开工日期和建设周期</w:t>
            </w:r>
          </w:p>
        </w:tc>
        <w:tc>
          <w:tcPr>
            <w:tcW w:w="6863" w:type="dxa"/>
            <w:vAlign w:val="center"/>
          </w:tcPr>
          <w:p>
            <w:pPr>
              <w:rPr>
                <w:rFonts w:ascii="宋体" w:hAnsi="宋体" w:cs="宋体"/>
                <w:color w:val="auto"/>
                <w:szCs w:val="21"/>
                <w:highlight w:val="none"/>
              </w:rPr>
            </w:pPr>
            <w:r>
              <w:rPr>
                <w:rFonts w:hint="eastAsia" w:ascii="宋体" w:hAnsi="宋体"/>
                <w:color w:val="auto"/>
                <w:szCs w:val="21"/>
                <w:highlight w:val="none"/>
                <w:u w:val="single"/>
              </w:rPr>
              <w:t>具体时间以服务合同为准，另行通知。</w:t>
            </w:r>
          </w:p>
        </w:tc>
      </w:tr>
      <w:bookmarkEnd w:id="1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1.2.1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资金来源及比例</w:t>
            </w:r>
          </w:p>
        </w:tc>
        <w:tc>
          <w:tcPr>
            <w:tcW w:w="6863" w:type="dxa"/>
            <w:vAlign w:val="center"/>
          </w:tcPr>
          <w:p>
            <w:pPr>
              <w:snapToGrid w:val="0"/>
              <w:rPr>
                <w:rFonts w:ascii="宋体" w:hAnsi="宋体" w:cs="宋体"/>
                <w:color w:val="auto"/>
                <w:szCs w:val="21"/>
                <w:highlight w:val="none"/>
              </w:rPr>
            </w:pPr>
            <w:r>
              <w:rPr>
                <w:rFonts w:hint="eastAsia" w:ascii="宋体" w:hAnsi="宋体"/>
                <w:color w:val="auto"/>
                <w:szCs w:val="21"/>
                <w:highlight w:val="none"/>
                <w:u w:val="single"/>
              </w:rPr>
              <w:t>自筹资金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1.2.2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资金落实情况</w:t>
            </w:r>
          </w:p>
        </w:tc>
        <w:tc>
          <w:tcPr>
            <w:tcW w:w="686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1.3.1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招标范围</w:t>
            </w:r>
          </w:p>
        </w:tc>
        <w:tc>
          <w:tcPr>
            <w:tcW w:w="6863" w:type="dxa"/>
          </w:tcPr>
          <w:p>
            <w:pPr>
              <w:snapToGrid w:val="0"/>
              <w:ind w:right="106"/>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1.3.2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服务期限</w:t>
            </w:r>
          </w:p>
        </w:tc>
        <w:tc>
          <w:tcPr>
            <w:tcW w:w="6863" w:type="dxa"/>
          </w:tcPr>
          <w:p>
            <w:pPr>
              <w:snapToGrid w:val="0"/>
              <w:ind w:right="106"/>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1.3.3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质量标准</w:t>
            </w:r>
          </w:p>
        </w:tc>
        <w:tc>
          <w:tcPr>
            <w:tcW w:w="6863" w:type="dxa"/>
            <w:vAlign w:val="center"/>
          </w:tcPr>
          <w:p>
            <w:pPr>
              <w:rPr>
                <w:rFonts w:ascii="宋体" w:hAnsi="宋体" w:cs="宋体"/>
                <w:color w:val="auto"/>
                <w:szCs w:val="21"/>
                <w:highlight w:val="none"/>
              </w:rPr>
            </w:pPr>
            <w:r>
              <w:rPr>
                <w:rFonts w:hint="eastAsia" w:ascii="宋体" w:hAnsi="宋体"/>
                <w:color w:val="auto"/>
                <w:szCs w:val="21"/>
                <w:highlight w:val="none"/>
                <w:u w:val="single"/>
              </w:rPr>
              <w:t xml:space="preserve">合格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1.4.1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投标人资质条件、能力、信誉</w:t>
            </w:r>
          </w:p>
        </w:tc>
        <w:tc>
          <w:tcPr>
            <w:tcW w:w="6863" w:type="dxa"/>
            <w:vAlign w:val="center"/>
          </w:tcPr>
          <w:p>
            <w:pPr>
              <w:snapToGrid w:val="0"/>
              <w:rPr>
                <w:rFonts w:ascii="宋体" w:hAnsi="宋体"/>
                <w:color w:val="auto"/>
                <w:szCs w:val="21"/>
                <w:highlight w:val="none"/>
              </w:rPr>
            </w:pPr>
            <w:r>
              <w:rPr>
                <w:rFonts w:hint="eastAsia" w:ascii="宋体" w:hAnsi="宋体" w:cs="宋体"/>
                <w:color w:val="auto"/>
                <w:szCs w:val="21"/>
                <w:highlight w:val="none"/>
              </w:rPr>
              <w:t>详见招标公告第3点要求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1.4.2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是否接受联合体投标</w:t>
            </w:r>
          </w:p>
        </w:tc>
        <w:tc>
          <w:tcPr>
            <w:tcW w:w="6863" w:type="dxa"/>
            <w:vAlign w:val="center"/>
          </w:tcPr>
          <w:p>
            <w:pPr>
              <w:spacing w:line="280" w:lineRule="exact"/>
              <w:rPr>
                <w:rFonts w:ascii="宋体" w:hAnsi="宋体"/>
                <w:color w:val="auto"/>
                <w:szCs w:val="21"/>
                <w:highlight w:val="none"/>
              </w:rPr>
            </w:pPr>
            <w:r>
              <w:rPr>
                <w:rFonts w:hAnsi="宋体"/>
                <w:color w:val="auto"/>
                <w:szCs w:val="21"/>
                <w:highlight w:val="none"/>
              </w:rPr>
              <w:sym w:font="Wingdings 2" w:char="00A3"/>
            </w:r>
            <w:r>
              <w:rPr>
                <w:rFonts w:hint="eastAsia" w:ascii="宋体" w:hAnsi="宋体"/>
                <w:color w:val="auto"/>
                <w:szCs w:val="21"/>
                <w:highlight w:val="none"/>
              </w:rPr>
              <w:t>不接受</w:t>
            </w:r>
            <w:r>
              <w:rPr>
                <w:rFonts w:ascii="宋体" w:hAnsi="宋体"/>
                <w:color w:val="auto"/>
                <w:szCs w:val="21"/>
                <w:highlight w:val="none"/>
              </w:rPr>
              <w:t xml:space="preserve"> </w:t>
            </w:r>
          </w:p>
          <w:p>
            <w:pPr>
              <w:spacing w:line="280" w:lineRule="exact"/>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接受，应满足下列要求：</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1.4.3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投标人不得存在的</w:t>
            </w:r>
            <w:r>
              <w:rPr>
                <w:rFonts w:hint="eastAsia" w:ascii="宋体" w:hAnsi="宋体"/>
                <w:color w:val="auto"/>
                <w:szCs w:val="21"/>
                <w:highlight w:val="none"/>
              </w:rPr>
              <w:t>其他</w:t>
            </w:r>
            <w:r>
              <w:rPr>
                <w:rFonts w:ascii="宋体" w:hAnsi="宋体"/>
                <w:color w:val="auto"/>
                <w:szCs w:val="21"/>
                <w:highlight w:val="none"/>
              </w:rPr>
              <w:t>情形</w:t>
            </w:r>
          </w:p>
        </w:tc>
        <w:tc>
          <w:tcPr>
            <w:tcW w:w="6863" w:type="dxa"/>
            <w:vAlign w:val="center"/>
          </w:tcPr>
          <w:p>
            <w:pPr>
              <w:topLinePunct/>
              <w:snapToGrid w:val="0"/>
              <w:rPr>
                <w:rFonts w:ascii="宋体" w:hAnsi="宋体"/>
                <w:color w:val="auto"/>
                <w:szCs w:val="21"/>
                <w:highlight w:val="none"/>
              </w:rPr>
            </w:pPr>
            <w:r>
              <w:rPr>
                <w:rFonts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1.9.1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踏勘现场</w:t>
            </w:r>
          </w:p>
        </w:tc>
        <w:tc>
          <w:tcPr>
            <w:tcW w:w="6863" w:type="dxa"/>
            <w:vAlign w:val="center"/>
          </w:tcPr>
          <w:p>
            <w:pPr>
              <w:pStyle w:val="8"/>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不组织</w:t>
            </w:r>
          </w:p>
          <w:p>
            <w:pPr>
              <w:pStyle w:val="8"/>
              <w:topLinePunct/>
              <w:snapToGrid w:val="0"/>
              <w:rPr>
                <w:rFonts w:hAnsi="宋体"/>
                <w:color w:val="auto"/>
                <w:sz w:val="21"/>
                <w:szCs w:val="21"/>
                <w:highlight w:val="none"/>
              </w:rPr>
            </w:pPr>
            <w:r>
              <w:rPr>
                <w:rFonts w:hAnsi="宋体"/>
                <w:color w:val="auto"/>
                <w:sz w:val="21"/>
                <w:szCs w:val="21"/>
                <w:highlight w:val="none"/>
              </w:rPr>
              <w:sym w:font="Wingdings 2" w:char="00A3"/>
            </w:r>
            <w:r>
              <w:rPr>
                <w:rFonts w:hAnsi="宋体"/>
                <w:color w:val="auto"/>
                <w:sz w:val="21"/>
                <w:szCs w:val="21"/>
                <w:highlight w:val="none"/>
              </w:rPr>
              <w:t>组织，踏勘时间：</w:t>
            </w:r>
            <w:r>
              <w:rPr>
                <w:rFonts w:hint="eastAsia" w:hAnsi="宋体"/>
                <w:color w:val="auto"/>
                <w:sz w:val="21"/>
                <w:szCs w:val="21"/>
                <w:highlight w:val="none"/>
                <w:u w:val="single"/>
              </w:rPr>
              <w:t xml:space="preserve"> / </w:t>
            </w:r>
          </w:p>
          <w:p>
            <w:pPr>
              <w:pStyle w:val="8"/>
              <w:topLinePunct/>
              <w:snapToGrid w:val="0"/>
              <w:ind w:firstLine="840" w:firstLineChars="400"/>
              <w:rPr>
                <w:rFonts w:hAnsi="宋体"/>
                <w:color w:val="auto"/>
                <w:sz w:val="21"/>
                <w:szCs w:val="21"/>
                <w:highlight w:val="none"/>
              </w:rPr>
            </w:pPr>
            <w:r>
              <w:rPr>
                <w:rFonts w:hAnsi="宋体"/>
                <w:color w:val="auto"/>
                <w:sz w:val="21"/>
                <w:szCs w:val="21"/>
                <w:highlight w:val="none"/>
              </w:rPr>
              <w:t>踏勘集中地点：</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1.10.1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投标预备会</w:t>
            </w:r>
          </w:p>
        </w:tc>
        <w:tc>
          <w:tcPr>
            <w:tcW w:w="6863" w:type="dxa"/>
            <w:vAlign w:val="center"/>
          </w:tcPr>
          <w:p>
            <w:pPr>
              <w:pStyle w:val="8"/>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不召开</w:t>
            </w:r>
          </w:p>
          <w:p>
            <w:pPr>
              <w:snapToGrid w:val="0"/>
              <w:rPr>
                <w:rFonts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召开，召开时间：</w:t>
            </w:r>
            <w:r>
              <w:rPr>
                <w:rFonts w:hint="eastAsia" w:ascii="宋体" w:hAnsi="宋体"/>
                <w:color w:val="auto"/>
                <w:szCs w:val="21"/>
                <w:highlight w:val="none"/>
                <w:u w:val="single"/>
              </w:rPr>
              <w:t xml:space="preserve"> / </w:t>
            </w:r>
          </w:p>
          <w:p>
            <w:pPr>
              <w:snapToGrid w:val="0"/>
              <w:ind w:firstLine="840" w:firstLineChars="400"/>
              <w:rPr>
                <w:rFonts w:ascii="宋体" w:hAnsi="宋体"/>
                <w:color w:val="auto"/>
                <w:szCs w:val="21"/>
                <w:highlight w:val="none"/>
              </w:rPr>
            </w:pPr>
            <w:r>
              <w:rPr>
                <w:rFonts w:ascii="宋体" w:hAnsi="宋体"/>
                <w:color w:val="auto"/>
                <w:szCs w:val="21"/>
                <w:highlight w:val="none"/>
              </w:rPr>
              <w:t>召开地点：</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1.10.2</w:t>
            </w:r>
          </w:p>
        </w:tc>
        <w:tc>
          <w:tcPr>
            <w:tcW w:w="1650"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投标人在投标预备会前提出问题</w:t>
            </w:r>
          </w:p>
        </w:tc>
        <w:tc>
          <w:tcPr>
            <w:tcW w:w="6863" w:type="dxa"/>
            <w:vAlign w:val="center"/>
          </w:tcPr>
          <w:p>
            <w:pPr>
              <w:snapToGrid w:val="0"/>
              <w:rPr>
                <w:rFonts w:ascii="宋体" w:hAnsi="宋体"/>
                <w:color w:val="auto"/>
                <w:szCs w:val="21"/>
                <w:highlight w:val="none"/>
              </w:rPr>
            </w:pPr>
            <w:r>
              <w:rPr>
                <w:rFonts w:ascii="宋体" w:hAnsi="宋体"/>
                <w:color w:val="auto"/>
                <w:szCs w:val="21"/>
                <w:highlight w:val="none"/>
              </w:rPr>
              <w:t>时间：</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Merge w:val="continue"/>
            <w:vAlign w:val="center"/>
          </w:tcPr>
          <w:p>
            <w:pPr>
              <w:snapToGrid w:val="0"/>
              <w:jc w:val="center"/>
              <w:rPr>
                <w:rFonts w:ascii="宋体" w:hAnsi="宋体"/>
                <w:color w:val="auto"/>
                <w:szCs w:val="21"/>
                <w:highlight w:val="none"/>
              </w:rPr>
            </w:pPr>
          </w:p>
        </w:tc>
        <w:tc>
          <w:tcPr>
            <w:tcW w:w="1650" w:type="dxa"/>
            <w:vMerge w:val="continue"/>
            <w:vAlign w:val="center"/>
          </w:tcPr>
          <w:p>
            <w:pPr>
              <w:snapToGrid w:val="0"/>
              <w:jc w:val="center"/>
              <w:rPr>
                <w:rFonts w:ascii="宋体" w:hAnsi="宋体"/>
                <w:color w:val="auto"/>
                <w:szCs w:val="21"/>
                <w:highlight w:val="none"/>
              </w:rPr>
            </w:pPr>
          </w:p>
        </w:tc>
        <w:tc>
          <w:tcPr>
            <w:tcW w:w="6863" w:type="dxa"/>
            <w:vAlign w:val="center"/>
          </w:tcPr>
          <w:p>
            <w:pPr>
              <w:snapToGrid w:val="0"/>
              <w:rPr>
                <w:rFonts w:ascii="宋体" w:hAnsi="宋体"/>
                <w:color w:val="auto"/>
                <w:szCs w:val="21"/>
                <w:highlight w:val="none"/>
              </w:rPr>
            </w:pPr>
            <w:r>
              <w:rPr>
                <w:rFonts w:ascii="宋体" w:hAnsi="宋体"/>
                <w:color w:val="auto"/>
                <w:szCs w:val="21"/>
                <w:highlight w:val="none"/>
              </w:rPr>
              <w:t>形式：</w:t>
            </w: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1.10.3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招标文件澄清发出的形式</w:t>
            </w:r>
          </w:p>
        </w:tc>
        <w:tc>
          <w:tcPr>
            <w:tcW w:w="6863" w:type="dxa"/>
            <w:vAlign w:val="center"/>
          </w:tcPr>
          <w:p>
            <w:pPr>
              <w:snapToGrid w:val="0"/>
              <w:rPr>
                <w:rFonts w:ascii="宋体" w:hAnsi="宋体"/>
                <w:color w:val="auto"/>
                <w:szCs w:val="21"/>
                <w:highlight w:val="none"/>
                <w:u w:val="single"/>
              </w:rPr>
            </w:pPr>
            <w:r>
              <w:rPr>
                <w:rFonts w:hint="eastAsia" w:ascii="宋体" w:hAnsi="宋体"/>
                <w:color w:val="auto"/>
                <w:szCs w:val="21"/>
                <w:highlight w:val="none"/>
                <w:u w:val="single"/>
              </w:rPr>
              <w:t>在广州公共资源交易中心网站“招标答疑”专区发布。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1.12.1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实质性要求和条件</w:t>
            </w:r>
          </w:p>
        </w:tc>
        <w:tc>
          <w:tcPr>
            <w:tcW w:w="6863" w:type="dxa"/>
            <w:vAlign w:val="center"/>
          </w:tcPr>
          <w:p>
            <w:pPr>
              <w:pStyle w:val="8"/>
              <w:topLinePunct/>
              <w:snapToGrid w:val="0"/>
              <w:rPr>
                <w:rFonts w:hAnsi="宋体"/>
                <w:color w:val="auto"/>
                <w:sz w:val="21"/>
                <w:szCs w:val="21"/>
                <w:highlight w:val="none"/>
              </w:rPr>
            </w:pPr>
            <w:r>
              <w:rPr>
                <w:rFonts w:hint="eastAsia" w:hAnsi="宋体"/>
                <w:color w:val="auto"/>
                <w:sz w:val="21"/>
                <w:szCs w:val="21"/>
                <w:highlight w:val="none"/>
                <w:u w:val="single"/>
              </w:rPr>
              <w:t>详见评标办法前附表中2.1.1、2.1.2、2.1.3的评审标准。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1.12.3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偏差</w:t>
            </w:r>
          </w:p>
        </w:tc>
        <w:tc>
          <w:tcPr>
            <w:tcW w:w="6863" w:type="dxa"/>
          </w:tcPr>
          <w:p>
            <w:pPr>
              <w:snapToGrid w:val="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不允许</w:t>
            </w:r>
          </w:p>
          <w:p>
            <w:pPr>
              <w:snapToGrid w:val="0"/>
              <w:rPr>
                <w:rFonts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允许，偏差范围：</w:t>
            </w:r>
            <w:r>
              <w:rPr>
                <w:rFonts w:hint="eastAsia" w:ascii="宋体" w:hAnsi="宋体"/>
                <w:color w:val="auto"/>
                <w:szCs w:val="21"/>
                <w:highlight w:val="none"/>
                <w:u w:val="single"/>
              </w:rPr>
              <w:t xml:space="preserve"> / </w:t>
            </w:r>
          </w:p>
          <w:p>
            <w:pPr>
              <w:pStyle w:val="8"/>
              <w:topLinePunct/>
              <w:snapToGrid w:val="0"/>
              <w:ind w:firstLine="840" w:firstLineChars="400"/>
              <w:rPr>
                <w:rFonts w:hAnsi="宋体"/>
                <w:color w:val="auto"/>
                <w:sz w:val="21"/>
                <w:szCs w:val="21"/>
                <w:highlight w:val="none"/>
              </w:rPr>
            </w:pPr>
            <w:r>
              <w:rPr>
                <w:rFonts w:hAnsi="宋体"/>
                <w:color w:val="auto"/>
                <w:sz w:val="21"/>
                <w:szCs w:val="21"/>
                <w:highlight w:val="none"/>
              </w:rPr>
              <w:t>偏差幅度：</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2.1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构成招标文件的其他资料</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178" w:type="dxa"/>
            <w:vMerge w:val="restart"/>
            <w:vAlign w:val="center"/>
          </w:tcPr>
          <w:p>
            <w:pPr>
              <w:snapToGrid w:val="0"/>
              <w:jc w:val="center"/>
              <w:rPr>
                <w:rFonts w:ascii="宋体" w:hAnsi="宋体"/>
                <w:color w:val="auto"/>
                <w:szCs w:val="21"/>
                <w:highlight w:val="none"/>
              </w:rPr>
            </w:pPr>
            <w:bookmarkStart w:id="13" w:name="_Hlk136173546"/>
            <w:r>
              <w:rPr>
                <w:rFonts w:ascii="宋体" w:hAnsi="宋体"/>
                <w:color w:val="auto"/>
                <w:szCs w:val="21"/>
                <w:highlight w:val="none"/>
              </w:rPr>
              <w:t>2.2.1</w:t>
            </w:r>
          </w:p>
        </w:tc>
        <w:tc>
          <w:tcPr>
            <w:tcW w:w="1650" w:type="dxa"/>
            <w:vMerge w:val="restart"/>
            <w:vAlign w:val="center"/>
          </w:tcPr>
          <w:p>
            <w:pPr>
              <w:snapToGrid w:val="0"/>
              <w:jc w:val="center"/>
              <w:rPr>
                <w:rFonts w:ascii="宋体" w:hAnsi="宋体"/>
                <w:color w:val="auto"/>
                <w:szCs w:val="21"/>
                <w:highlight w:val="none"/>
              </w:rPr>
            </w:pPr>
            <w:r>
              <w:rPr>
                <w:rFonts w:ascii="宋体" w:hAnsi="宋体"/>
                <w:color w:val="auto"/>
                <w:szCs w:val="21"/>
                <w:highlight w:val="none"/>
              </w:rPr>
              <w:t>投标人要求澄清招标文件</w:t>
            </w:r>
          </w:p>
        </w:tc>
        <w:tc>
          <w:tcPr>
            <w:tcW w:w="6863" w:type="dxa"/>
            <w:tcBorders>
              <w:bottom w:val="single" w:color="auto" w:sz="4" w:space="0"/>
            </w:tcBorders>
            <w:vAlign w:val="center"/>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时间：在提交投标文件截止时间18天前提出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1178" w:type="dxa"/>
            <w:vMerge w:val="continue"/>
            <w:vAlign w:val="center"/>
          </w:tcPr>
          <w:p>
            <w:pPr>
              <w:snapToGrid w:val="0"/>
              <w:jc w:val="center"/>
              <w:rPr>
                <w:rFonts w:ascii="宋体" w:hAnsi="宋体"/>
                <w:color w:val="auto"/>
                <w:szCs w:val="21"/>
                <w:highlight w:val="none"/>
              </w:rPr>
            </w:pPr>
          </w:p>
        </w:tc>
        <w:tc>
          <w:tcPr>
            <w:tcW w:w="1650" w:type="dxa"/>
            <w:vMerge w:val="continue"/>
            <w:vAlign w:val="center"/>
          </w:tcPr>
          <w:p>
            <w:pPr>
              <w:snapToGrid w:val="0"/>
              <w:jc w:val="center"/>
              <w:rPr>
                <w:rFonts w:ascii="宋体" w:hAnsi="宋体"/>
                <w:color w:val="auto"/>
                <w:szCs w:val="21"/>
                <w:highlight w:val="none"/>
              </w:rPr>
            </w:pPr>
          </w:p>
        </w:tc>
        <w:tc>
          <w:tcPr>
            <w:tcW w:w="6863" w:type="dxa"/>
            <w:tcBorders>
              <w:top w:val="single" w:color="auto" w:sz="4" w:space="0"/>
            </w:tcBorders>
            <w:vAlign w:val="center"/>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形式：投标人的疑问通过广州公共资源交易中心数字交易平台提交。具体要求：操作详见广州公共资源交易中心网站发布的《房屋建筑和市政基础设施工程全流程电子化项目专章》。提问一律不得署名。</w:t>
            </w:r>
          </w:p>
        </w:tc>
      </w:tr>
      <w:bookmarkEnd w:id="1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2.2.2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招标文件澄清发出的形式</w:t>
            </w:r>
          </w:p>
        </w:tc>
        <w:tc>
          <w:tcPr>
            <w:tcW w:w="6863" w:type="dxa"/>
            <w:vAlign w:val="center"/>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在递交投标文件截止时间15天前；在广州公共资源交易中心网站通过项目答疑专区公开发布。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2.2.3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投标人确认收到招标文件澄清</w:t>
            </w:r>
          </w:p>
        </w:tc>
        <w:tc>
          <w:tcPr>
            <w:tcW w:w="6863" w:type="dxa"/>
            <w:vAlign w:val="center"/>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从招标文件澄清及答疑文件发布之日起即视为投标人已确认收到。招标文件澄清（招标答疑纪要）一经在广州公共资源交易中心网站发布，视作已发放给所有投标人。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2.3.1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招标文件修改发出的形式</w:t>
            </w:r>
          </w:p>
        </w:tc>
        <w:tc>
          <w:tcPr>
            <w:tcW w:w="6863" w:type="dxa"/>
            <w:vAlign w:val="center"/>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以补充公告或项目答疑澄清的方式在广州公共资源交易中心网站公开发布。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2.3.2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投标人确认收到招标文件修改</w:t>
            </w:r>
          </w:p>
        </w:tc>
        <w:tc>
          <w:tcPr>
            <w:tcW w:w="6863" w:type="dxa"/>
            <w:vAlign w:val="center"/>
          </w:tcPr>
          <w:p>
            <w:pPr>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招标文件修改一经在广州公共资源交易中心网站发布，视作已发放给所有投标人，无需确认。潜在投标人应自行关注招标公告公布的网站公告，投标人因自身贻误行为导致投标失败的，责任自负。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3.1.1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构成投标文件的其他资料</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3.2.1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增值税税金的计算方法</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3.2.3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报价方式</w:t>
            </w:r>
          </w:p>
        </w:tc>
        <w:tc>
          <w:tcPr>
            <w:tcW w:w="6863" w:type="dxa"/>
            <w:vAlign w:val="center"/>
          </w:tcPr>
          <w:p>
            <w:pPr>
              <w:snapToGrid w:val="0"/>
              <w:rPr>
                <w:rFonts w:ascii="宋体" w:hAnsi="宋体"/>
                <w:color w:val="auto"/>
                <w:szCs w:val="21"/>
                <w:highlight w:val="none"/>
              </w:rPr>
            </w:pPr>
            <w:r>
              <w:rPr>
                <w:rFonts w:hint="eastAsia" w:ascii="宋体" w:cs="宋体"/>
                <w:color w:val="auto"/>
                <w:szCs w:val="21"/>
                <w:highlight w:val="none"/>
                <w:lang w:val="en-US" w:eastAsia="zh-CN"/>
              </w:rPr>
              <w:t>本项目采用总价包干制，总价最高限价</w:t>
            </w:r>
            <w:r>
              <w:rPr>
                <w:rFonts w:hint="eastAsia" w:ascii="宋体" w:cs="宋体"/>
                <w:color w:val="auto"/>
                <w:szCs w:val="21"/>
                <w:highlight w:val="none"/>
                <w:u w:val="single"/>
                <w:lang w:val="en-US" w:eastAsia="zh-CN"/>
              </w:rPr>
              <w:t>1391233.63</w:t>
            </w:r>
            <w:r>
              <w:rPr>
                <w:rFonts w:hint="eastAsia" w:ascii="宋体" w:cs="宋体"/>
                <w:color w:val="auto"/>
                <w:szCs w:val="21"/>
                <w:highlight w:val="none"/>
                <w:lang w:val="en-US" w:eastAsia="zh-CN"/>
              </w:rPr>
              <w:t>元，</w:t>
            </w:r>
            <w:r>
              <w:rPr>
                <w:rFonts w:hint="eastAsia" w:ascii="宋体" w:cs="宋体"/>
                <w:color w:val="auto"/>
                <w:szCs w:val="21"/>
                <w:highlight w:val="none"/>
                <w:lang w:val="zh-CN"/>
              </w:rPr>
              <w:t>各投标单位在</w:t>
            </w:r>
            <w:r>
              <w:rPr>
                <w:rFonts w:hint="eastAsia" w:ascii="宋体" w:cs="宋体"/>
                <w:color w:val="auto"/>
                <w:szCs w:val="21"/>
                <w:highlight w:val="none"/>
              </w:rPr>
              <w:t>最高投标限价</w:t>
            </w:r>
            <w:r>
              <w:rPr>
                <w:rFonts w:hint="eastAsia" w:ascii="宋体" w:cs="宋体"/>
                <w:color w:val="auto"/>
                <w:szCs w:val="21"/>
                <w:highlight w:val="none"/>
                <w:lang w:val="zh-CN"/>
              </w:rPr>
              <w:t>内根据企业自身实力进行报价（以元为单位，保留两位小数，第三位小数四舍五入）,投标报价超过最高投标限价的投标文件将被否决其投标。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3.2.4</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最高投标限价</w:t>
            </w:r>
          </w:p>
        </w:tc>
        <w:tc>
          <w:tcPr>
            <w:tcW w:w="6863" w:type="dxa"/>
            <w:vAlign w:val="center"/>
          </w:tcPr>
          <w:p>
            <w:pPr>
              <w:snapToGrid w:val="0"/>
              <w:rPr>
                <w:rFonts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无</w:t>
            </w:r>
          </w:p>
          <w:p>
            <w:pPr>
              <w:snapToGrid w:val="0"/>
              <w:rPr>
                <w:rFonts w:ascii="宋体" w:hAnsi="宋体"/>
                <w:color w:val="auto"/>
                <w:szCs w:val="21"/>
                <w:highlight w:val="none"/>
                <w:u w:val="single"/>
              </w:rPr>
            </w:pPr>
            <w:r>
              <w:rPr>
                <w:rFonts w:hint="eastAsia"/>
                <w:color w:val="auto"/>
                <w:szCs w:val="21"/>
                <w:highlight w:val="none"/>
              </w:rPr>
              <w:t>■</w:t>
            </w:r>
            <w:r>
              <w:rPr>
                <w:rFonts w:ascii="宋体" w:hAnsi="宋体"/>
                <w:color w:val="auto"/>
                <w:szCs w:val="21"/>
                <w:highlight w:val="none"/>
              </w:rPr>
              <w:t>有，最高投标限价：</w:t>
            </w:r>
            <w:r>
              <w:rPr>
                <w:rFonts w:hint="eastAsia" w:ascii="宋体" w:cs="宋体"/>
                <w:color w:val="auto"/>
                <w:szCs w:val="21"/>
                <w:highlight w:val="none"/>
                <w:u w:val="single"/>
                <w:lang w:val="en-US" w:eastAsia="zh-CN"/>
              </w:rPr>
              <w:t>1391233.63</w:t>
            </w:r>
            <w:r>
              <w:rPr>
                <w:rFonts w:hint="eastAsia" w:ascii="宋体" w:cs="宋体"/>
                <w:color w:val="auto"/>
                <w:szCs w:val="21"/>
                <w:highlight w:val="none"/>
                <w:u w:val="single"/>
                <w:lang w:val="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3.2.5</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投标报价的其他要求</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3.3.1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投标有效期</w:t>
            </w:r>
          </w:p>
        </w:tc>
        <w:tc>
          <w:tcPr>
            <w:tcW w:w="6863" w:type="dxa"/>
            <w:vAlign w:val="center"/>
          </w:tcPr>
          <w:p>
            <w:pPr>
              <w:snapToGrid w:val="0"/>
              <w:rPr>
                <w:rFonts w:ascii="宋体" w:hAnsi="宋体"/>
                <w:color w:val="auto"/>
                <w:szCs w:val="21"/>
                <w:highlight w:val="none"/>
              </w:rPr>
            </w:pPr>
            <w:bookmarkStart w:id="14" w:name="_Toc352691470"/>
            <w:bookmarkStart w:id="15" w:name="_Toc361508582"/>
            <w:bookmarkStart w:id="16" w:name="_Toc369531512"/>
            <w:bookmarkStart w:id="17" w:name="_Toc384308207"/>
            <w:bookmarkStart w:id="18" w:name="_Toc300834946"/>
            <w:bookmarkStart w:id="19" w:name="_Toc1789"/>
            <w:r>
              <w:rPr>
                <w:rFonts w:hint="eastAsia" w:ascii="宋体" w:hAnsi="宋体"/>
                <w:color w:val="auto"/>
                <w:szCs w:val="21"/>
                <w:highlight w:val="none"/>
                <w:u w:val="single"/>
              </w:rPr>
              <w:t>90</w:t>
            </w:r>
            <w:r>
              <w:rPr>
                <w:rFonts w:hint="eastAsia" w:ascii="宋体" w:hAnsi="宋体"/>
                <w:color w:val="auto"/>
                <w:szCs w:val="21"/>
                <w:highlight w:val="none"/>
              </w:rPr>
              <w:t>日历天（从投标截止之日算起）。</w:t>
            </w:r>
          </w:p>
        </w:tc>
      </w:tr>
      <w:bookmarkEnd w:id="14"/>
      <w:bookmarkEnd w:id="15"/>
      <w:bookmarkEnd w:id="16"/>
      <w:bookmarkEnd w:id="17"/>
      <w:bookmarkEnd w:id="18"/>
      <w:bookmarkEnd w:id="1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bookmarkStart w:id="20" w:name="_Hlk136173941"/>
            <w:r>
              <w:rPr>
                <w:rFonts w:ascii="宋体" w:hAnsi="宋体"/>
                <w:color w:val="auto"/>
                <w:szCs w:val="21"/>
                <w:highlight w:val="none"/>
              </w:rPr>
              <w:t>3.4.1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投标保证金</w:t>
            </w:r>
          </w:p>
        </w:tc>
        <w:tc>
          <w:tcPr>
            <w:tcW w:w="6863" w:type="dxa"/>
            <w:vAlign w:val="center"/>
          </w:tcPr>
          <w:p>
            <w:pPr>
              <w:pStyle w:val="8"/>
              <w:topLinePunct/>
              <w:snapToGrid w:val="0"/>
              <w:rPr>
                <w:rFonts w:hAnsi="宋体"/>
                <w:color w:val="auto"/>
                <w:sz w:val="21"/>
                <w:szCs w:val="21"/>
                <w:highlight w:val="none"/>
              </w:rPr>
            </w:pPr>
            <w:r>
              <w:rPr>
                <w:rFonts w:hint="eastAsia"/>
                <w:color w:val="auto"/>
                <w:szCs w:val="21"/>
                <w:highlight w:val="none"/>
              </w:rPr>
              <w:t>■</w:t>
            </w:r>
            <w:r>
              <w:rPr>
                <w:rFonts w:hAnsi="宋体"/>
                <w:color w:val="auto"/>
                <w:sz w:val="21"/>
                <w:szCs w:val="21"/>
                <w:highlight w:val="none"/>
              </w:rPr>
              <w:t>不要求</w:t>
            </w:r>
          </w:p>
        </w:tc>
      </w:tr>
      <w:bookmarkEnd w:id="2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3.4.4</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其他可以不予退还投标保证金的情形</w:t>
            </w:r>
          </w:p>
        </w:tc>
        <w:tc>
          <w:tcPr>
            <w:tcW w:w="6863" w:type="dxa"/>
            <w:vAlign w:val="center"/>
          </w:tcPr>
          <w:p>
            <w:pPr>
              <w:snapToGrid w:val="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存在串通投标、围标情况的；</w:t>
            </w:r>
          </w:p>
          <w:p>
            <w:pPr>
              <w:snapToGrid w:val="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）投标人以他人名义投标或者允许他人挂靠投标或借用本公司名义投标的；</w:t>
            </w:r>
          </w:p>
          <w:p>
            <w:pPr>
              <w:snapToGrid w:val="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6）</w:t>
            </w:r>
            <w:r>
              <w:rPr>
                <w:rFonts w:hint="eastAsia" w:ascii="宋体" w:hAnsi="宋体"/>
                <w:color w:val="auto"/>
                <w:szCs w:val="21"/>
                <w:highlight w:val="none"/>
                <w:u w:val="single"/>
              </w:rPr>
              <w:t>提供虚假投标文件、虚假证明、虚假承诺/声明/保证或者以其他方式弄虚作假的；</w:t>
            </w:r>
          </w:p>
          <w:p>
            <w:pPr>
              <w:snapToGrid w:val="0"/>
              <w:rPr>
                <w:rFonts w:ascii="宋体" w:hAnsi="宋体"/>
                <w:color w:val="auto"/>
                <w:szCs w:val="21"/>
                <w:highlight w:val="none"/>
              </w:rPr>
            </w:pPr>
            <w:r>
              <w:rPr>
                <w:rFonts w:hint="eastAsia" w:ascii="宋体" w:hAnsi="宋体"/>
                <w:color w:val="auto"/>
                <w:szCs w:val="21"/>
                <w:highlight w:val="none"/>
                <w:u w:val="single"/>
              </w:rPr>
              <w:t>（7）法律或者本招标文件规定的其他情形。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3.5</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资格审查资料的特殊要求</w:t>
            </w:r>
          </w:p>
        </w:tc>
        <w:tc>
          <w:tcPr>
            <w:tcW w:w="6863" w:type="dxa"/>
            <w:vAlign w:val="center"/>
          </w:tcPr>
          <w:p>
            <w:pPr>
              <w:pStyle w:val="8"/>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无</w:t>
            </w:r>
          </w:p>
          <w:p>
            <w:pPr>
              <w:pStyle w:val="8"/>
              <w:topLinePunct/>
              <w:snapToGrid w:val="0"/>
              <w:rPr>
                <w:rFonts w:hAnsi="宋体"/>
                <w:color w:val="auto"/>
                <w:sz w:val="21"/>
                <w:szCs w:val="21"/>
                <w:highlight w:val="none"/>
              </w:rPr>
            </w:pPr>
            <w:r>
              <w:rPr>
                <w:rFonts w:hAnsi="宋体"/>
                <w:color w:val="auto"/>
                <w:sz w:val="21"/>
                <w:szCs w:val="21"/>
                <w:highlight w:val="none"/>
              </w:rPr>
              <w:sym w:font="Wingdings 2" w:char="00A3"/>
            </w:r>
            <w:r>
              <w:rPr>
                <w:rFonts w:hAnsi="宋体"/>
                <w:color w:val="auto"/>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3.5.2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近年财务状况的年份要求</w:t>
            </w:r>
          </w:p>
        </w:tc>
        <w:tc>
          <w:tcPr>
            <w:tcW w:w="6863" w:type="dxa"/>
            <w:vAlign w:val="center"/>
          </w:tcPr>
          <w:p>
            <w:pPr>
              <w:snapToGrid w:val="0"/>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ascii="宋体" w:hAnsi="宋体"/>
                <w:color w:val="auto"/>
                <w:szCs w:val="21"/>
                <w:highlight w:val="none"/>
              </w:rPr>
              <w:t>年至</w:t>
            </w:r>
            <w:r>
              <w:rPr>
                <w:rFonts w:hint="eastAsia" w:ascii="宋体" w:hAnsi="宋体"/>
                <w:color w:val="auto"/>
                <w:szCs w:val="21"/>
                <w:highlight w:val="none"/>
                <w:u w:val="single"/>
              </w:rPr>
              <w:t xml:space="preserve"> / </w:t>
            </w:r>
            <w:r>
              <w:rPr>
                <w:rFonts w:ascii="宋体" w:hAnsi="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3.5.3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近年完成的类似项目情况</w:t>
            </w:r>
            <w:r>
              <w:rPr>
                <w:rFonts w:hint="eastAsia" w:ascii="宋体" w:hAnsi="宋体"/>
                <w:color w:val="auto"/>
                <w:szCs w:val="21"/>
                <w:highlight w:val="none"/>
              </w:rPr>
              <w:t>的</w:t>
            </w:r>
            <w:r>
              <w:rPr>
                <w:rFonts w:ascii="宋体" w:hAnsi="宋体"/>
                <w:color w:val="auto"/>
                <w:szCs w:val="21"/>
                <w:highlight w:val="none"/>
              </w:rPr>
              <w:t>时间要求</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w:t>
            </w:r>
            <w:r>
              <w:rPr>
                <w:rFonts w:hint="eastAsia" w:ascii="宋体" w:hAnsi="宋体" w:cs="宋体"/>
                <w:color w:val="auto"/>
                <w:szCs w:val="21"/>
                <w:highlight w:val="none"/>
              </w:rPr>
              <w:t>年</w:t>
            </w:r>
            <w:r>
              <w:rPr>
                <w:rFonts w:hint="eastAsia" w:ascii="宋体" w:hAnsi="宋体"/>
                <w:color w:val="auto"/>
                <w:szCs w:val="21"/>
                <w:highlight w:val="none"/>
                <w:u w:val="single"/>
              </w:rPr>
              <w:t>/</w:t>
            </w:r>
            <w:r>
              <w:rPr>
                <w:rFonts w:hint="eastAsia" w:ascii="宋体" w:hAnsi="宋体" w:cs="宋体"/>
                <w:color w:val="auto"/>
                <w:szCs w:val="21"/>
                <w:highlight w:val="none"/>
              </w:rPr>
              <w:t>月</w:t>
            </w:r>
            <w:r>
              <w:rPr>
                <w:rFonts w:hint="eastAsia" w:ascii="宋体" w:hAnsi="宋体"/>
                <w:color w:val="auto"/>
                <w:szCs w:val="21"/>
                <w:highlight w:val="none"/>
                <w:u w:val="single"/>
              </w:rPr>
              <w:t>/</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3.5.5</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近年发生的诉讼及仲裁情况的时间要求</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u w:val="single"/>
              </w:rPr>
              <w:t xml:space="preserve"> /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 </w:t>
            </w:r>
            <w:r>
              <w:rPr>
                <w:rFonts w:ascii="宋体" w:hAnsi="宋体"/>
                <w:color w:val="auto"/>
                <w:szCs w:val="21"/>
                <w:highlight w:val="none"/>
              </w:rPr>
              <w:t>日至</w:t>
            </w:r>
            <w:r>
              <w:rPr>
                <w:rFonts w:hint="eastAsia" w:ascii="宋体" w:hAnsi="宋体"/>
                <w:color w:val="auto"/>
                <w:szCs w:val="21"/>
                <w:highlight w:val="none"/>
                <w:u w:val="single"/>
              </w:rPr>
              <w:t xml:space="preserve"> / </w:t>
            </w:r>
            <w:r>
              <w:rPr>
                <w:rFonts w:ascii="宋体" w:hAnsi="宋体"/>
                <w:color w:val="auto"/>
                <w:szCs w:val="21"/>
                <w:highlight w:val="none"/>
              </w:rPr>
              <w:t>年</w:t>
            </w:r>
            <w:r>
              <w:rPr>
                <w:rFonts w:hint="eastAsia" w:ascii="宋体" w:hAnsi="宋体"/>
                <w:color w:val="auto"/>
                <w:szCs w:val="21"/>
                <w:highlight w:val="none"/>
                <w:u w:val="single"/>
              </w:rPr>
              <w:t xml:space="preserve"> / </w:t>
            </w:r>
            <w:r>
              <w:rPr>
                <w:rFonts w:ascii="宋体" w:hAnsi="宋体"/>
                <w:color w:val="auto"/>
                <w:szCs w:val="21"/>
                <w:highlight w:val="none"/>
              </w:rPr>
              <w:t>月</w:t>
            </w:r>
            <w:r>
              <w:rPr>
                <w:rFonts w:hint="eastAsia" w:ascii="宋体" w:hAnsi="宋体"/>
                <w:color w:val="auto"/>
                <w:szCs w:val="21"/>
                <w:highlight w:val="none"/>
                <w:u w:val="single"/>
              </w:rPr>
              <w:t xml:space="preserve"> / </w:t>
            </w:r>
            <w:r>
              <w:rPr>
                <w:rFonts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3.6.1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是否允许递交备选投标方案</w:t>
            </w:r>
          </w:p>
        </w:tc>
        <w:tc>
          <w:tcPr>
            <w:tcW w:w="6863" w:type="dxa"/>
            <w:vAlign w:val="center"/>
          </w:tcPr>
          <w:p>
            <w:pPr>
              <w:pStyle w:val="8"/>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不允许</w:t>
            </w:r>
          </w:p>
          <w:p>
            <w:pPr>
              <w:snapToGrid w:val="0"/>
              <w:rPr>
                <w:rFonts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3.7.3A（2）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投标文件份数</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3.7.3A（3）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投标文件是否需分册装订</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3.7.3（B）</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投标文件所附证书证件要求</w:t>
            </w:r>
          </w:p>
        </w:tc>
        <w:tc>
          <w:tcPr>
            <w:tcW w:w="6863" w:type="dxa"/>
            <w:vAlign w:val="center"/>
          </w:tcPr>
          <w:p>
            <w:pPr>
              <w:pStyle w:val="8"/>
              <w:topLinePunct/>
              <w:snapToGrid w:val="0"/>
              <w:rPr>
                <w:color w:val="auto"/>
                <w:sz w:val="21"/>
                <w:szCs w:val="21"/>
                <w:highlight w:val="none"/>
              </w:rPr>
            </w:pPr>
            <w:r>
              <w:rPr>
                <w:rFonts w:hint="eastAsia"/>
                <w:color w:val="auto"/>
                <w:sz w:val="21"/>
                <w:szCs w:val="21"/>
                <w:highlight w:val="none"/>
              </w:rPr>
              <w:t>证书证件需为清晰扫描件，并采用单位数字证书，按照招标文件要求在相应位置加盖电子印章。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3.7.3（B）</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投标文件签字或盖章要求</w:t>
            </w:r>
          </w:p>
        </w:tc>
        <w:tc>
          <w:tcPr>
            <w:tcW w:w="6863" w:type="dxa"/>
            <w:vAlign w:val="center"/>
          </w:tcPr>
          <w:p>
            <w:pPr>
              <w:pStyle w:val="8"/>
              <w:topLinePunct/>
              <w:snapToGrid w:val="0"/>
              <w:rPr>
                <w:rFonts w:hint="eastAsia" w:eastAsia="宋体"/>
                <w:color w:val="auto"/>
                <w:sz w:val="21"/>
                <w:szCs w:val="21"/>
                <w:highlight w:val="none"/>
                <w:u w:val="single"/>
                <w:lang w:eastAsia="zh-CN"/>
              </w:rPr>
            </w:pPr>
            <w:r>
              <w:rPr>
                <w:rFonts w:hint="eastAsia"/>
                <w:color w:val="auto"/>
                <w:sz w:val="21"/>
                <w:szCs w:val="21"/>
                <w:highlight w:val="none"/>
                <w:u w:val="single"/>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附件《房屋建筑和市政基础设施工程全流程电子化项目专章》。</w:t>
            </w:r>
          </w:p>
          <w:p>
            <w:pPr>
              <w:pStyle w:val="8"/>
              <w:topLinePunct/>
              <w:snapToGrid w:val="0"/>
              <w:rPr>
                <w:color w:val="auto"/>
                <w:sz w:val="21"/>
                <w:szCs w:val="21"/>
                <w:highlight w:val="none"/>
                <w:u w:val="single"/>
              </w:rPr>
            </w:pPr>
            <w:r>
              <w:rPr>
                <w:rFonts w:hint="eastAsia"/>
                <w:color w:val="auto"/>
                <w:sz w:val="21"/>
                <w:szCs w:val="21"/>
                <w:highlight w:val="none"/>
                <w:u w:val="single"/>
              </w:rPr>
              <w:t>联合体投标时，除联合体工作协议需联合体各方分别按要求进行盖章、签字（或盖章）外，投标文件封面及其他内容及落款中的“投标人”应填写联合体各方的单位全称【格式表示为：(主)XXXX公司(成)XXXX公司】，可由主办方盖章、签字（或盖章）。联合体投标的，法定代表人证明书及授权委托证明书可由联合体主办方出具，其中“单位”一栏可只填写联合体主办方名称并由联合体主办方按要求签字或盖章即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4.1.1（B）</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投标文件加密要求</w:t>
            </w:r>
          </w:p>
        </w:tc>
        <w:tc>
          <w:tcPr>
            <w:tcW w:w="6863" w:type="dxa"/>
            <w:vAlign w:val="center"/>
          </w:tcPr>
          <w:p>
            <w:pPr>
              <w:pStyle w:val="8"/>
              <w:topLinePunct/>
              <w:snapToGrid w:val="0"/>
              <w:rPr>
                <w:rFonts w:hAnsi="宋体"/>
                <w:color w:val="auto"/>
                <w:szCs w:val="21"/>
                <w:highlight w:val="none"/>
                <w:u w:val="single"/>
              </w:rPr>
            </w:pPr>
            <w:r>
              <w:rPr>
                <w:rFonts w:hint="eastAsia"/>
                <w:color w:val="auto"/>
                <w:sz w:val="21"/>
                <w:szCs w:val="21"/>
                <w:highlight w:val="none"/>
              </w:rPr>
              <w:t>网上递交的电子投标文件须进行加密。具体操作详见广州公共资源交易中心发布的最新版本《房屋建筑和市政基础设施工程全流程电子化项目专章》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4.1.2</w:t>
            </w:r>
          </w:p>
        </w:tc>
        <w:tc>
          <w:tcPr>
            <w:tcW w:w="1650" w:type="dxa"/>
            <w:vAlign w:val="center"/>
          </w:tcPr>
          <w:p>
            <w:pPr>
              <w:snapToGrid w:val="0"/>
              <w:jc w:val="center"/>
              <w:rPr>
                <w:rFonts w:ascii="宋体" w:hAnsi="宋体"/>
                <w:color w:val="auto"/>
                <w:szCs w:val="21"/>
                <w:highlight w:val="none"/>
                <w:shd w:val="clear" w:color="FFFFFF" w:fill="D9D9D9"/>
              </w:rPr>
            </w:pPr>
            <w:r>
              <w:rPr>
                <w:rFonts w:hint="eastAsia" w:ascii="宋体" w:hAnsi="宋体"/>
                <w:color w:val="auto"/>
                <w:szCs w:val="21"/>
                <w:highlight w:val="none"/>
              </w:rPr>
              <w:t>投标文件的包封、密封和标志</w:t>
            </w:r>
          </w:p>
        </w:tc>
        <w:tc>
          <w:tcPr>
            <w:tcW w:w="6863" w:type="dxa"/>
            <w:vAlign w:val="center"/>
          </w:tcPr>
          <w:p>
            <w:pPr>
              <w:pStyle w:val="8"/>
              <w:topLinePunct/>
              <w:snapToGrid w:val="0"/>
              <w:rPr>
                <w:rFonts w:hAnsi="宋体"/>
                <w:color w:val="auto"/>
                <w:sz w:val="21"/>
                <w:szCs w:val="21"/>
                <w:highlight w:val="none"/>
              </w:rPr>
            </w:pPr>
            <w:r>
              <w:rPr>
                <w:rFonts w:hint="eastAsia" w:hAnsi="宋体"/>
                <w:color w:val="auto"/>
                <w:sz w:val="21"/>
                <w:szCs w:val="21"/>
                <w:highlight w:val="none"/>
              </w:rPr>
              <w:t>招标人名称：</w:t>
            </w:r>
          </w:p>
          <w:p>
            <w:pPr>
              <w:pStyle w:val="8"/>
              <w:topLinePunct/>
              <w:snapToGrid w:val="0"/>
              <w:rPr>
                <w:rFonts w:hAnsi="宋体"/>
                <w:color w:val="auto"/>
                <w:sz w:val="21"/>
                <w:szCs w:val="21"/>
                <w:highlight w:val="none"/>
              </w:rPr>
            </w:pPr>
            <w:r>
              <w:rPr>
                <w:rFonts w:hint="eastAsia" w:hAnsi="宋体"/>
                <w:color w:val="auto"/>
                <w:sz w:val="21"/>
                <w:szCs w:val="21"/>
                <w:highlight w:val="none"/>
              </w:rPr>
              <w:t>招标人地址：</w:t>
            </w:r>
          </w:p>
          <w:p>
            <w:pPr>
              <w:pStyle w:val="8"/>
              <w:topLinePunct/>
              <w:snapToGrid w:val="0"/>
              <w:rPr>
                <w:rFonts w:hint="eastAsia" w:hAnsi="宋体" w:eastAsia="宋体"/>
                <w:color w:val="auto"/>
                <w:sz w:val="21"/>
                <w:szCs w:val="21"/>
                <w:highlight w:val="none"/>
                <w:u w:val="single"/>
                <w:lang w:eastAsia="zh-CN"/>
              </w:rPr>
            </w:pPr>
            <w:r>
              <w:rPr>
                <w:rFonts w:hint="eastAsia" w:hAnsi="宋体"/>
                <w:color w:val="auto"/>
                <w:sz w:val="21"/>
                <w:szCs w:val="21"/>
                <w:highlight w:val="none"/>
                <w:u w:val="single"/>
                <w:lang w:eastAsia="zh-CN"/>
              </w:rPr>
              <w:t>新造油库地块土壤修复项目效果评估</w:t>
            </w:r>
          </w:p>
          <w:p>
            <w:pPr>
              <w:pStyle w:val="8"/>
              <w:topLinePunct/>
              <w:snapToGrid w:val="0"/>
              <w:rPr>
                <w:rFonts w:hAnsi="宋体"/>
                <w:color w:val="auto"/>
                <w:sz w:val="21"/>
                <w:szCs w:val="21"/>
                <w:highlight w:val="none"/>
              </w:rPr>
            </w:pPr>
            <w:r>
              <w:rPr>
                <w:rFonts w:hint="eastAsia" w:hAnsi="宋体"/>
                <w:color w:val="auto"/>
                <w:sz w:val="21"/>
                <w:szCs w:val="21"/>
                <w:highlight w:val="none"/>
              </w:rPr>
              <w:t xml:space="preserve">招标项目编号：              </w:t>
            </w:r>
          </w:p>
          <w:p>
            <w:pPr>
              <w:pStyle w:val="8"/>
              <w:topLinePunct/>
              <w:snapToGrid w:val="0"/>
              <w:rPr>
                <w:rFonts w:hAnsi="宋体"/>
                <w:color w:val="auto"/>
                <w:szCs w:val="21"/>
                <w:highlight w:val="none"/>
              </w:rPr>
            </w:pPr>
            <w:r>
              <w:rPr>
                <w:rFonts w:hint="eastAsia" w:hAnsi="宋体"/>
                <w:color w:val="auto"/>
                <w:sz w:val="21"/>
                <w:szCs w:val="21"/>
                <w:highlight w:val="none"/>
              </w:rPr>
              <w:t>在</w:t>
            </w:r>
            <w:r>
              <w:rPr>
                <w:rFonts w:hAnsi="宋体"/>
                <w:color w:val="auto"/>
                <w:sz w:val="21"/>
                <w:szCs w:val="21"/>
                <w:highlight w:val="none"/>
                <w:u w:val="single"/>
              </w:rPr>
              <w:t xml:space="preserve">   </w:t>
            </w:r>
            <w:r>
              <w:rPr>
                <w:rFonts w:hint="eastAsia" w:hAnsi="宋体"/>
                <w:color w:val="auto"/>
                <w:sz w:val="21"/>
                <w:szCs w:val="21"/>
                <w:highlight w:val="none"/>
                <w:u w:val="single"/>
              </w:rPr>
              <w:t>年</w:t>
            </w:r>
            <w:r>
              <w:rPr>
                <w:rFonts w:hAnsi="宋体"/>
                <w:color w:val="auto"/>
                <w:sz w:val="21"/>
                <w:szCs w:val="21"/>
                <w:highlight w:val="none"/>
                <w:u w:val="single"/>
              </w:rPr>
              <w:t xml:space="preserve">   </w:t>
            </w:r>
            <w:r>
              <w:rPr>
                <w:rFonts w:hint="eastAsia" w:hAnsi="宋体"/>
                <w:color w:val="auto"/>
                <w:sz w:val="21"/>
                <w:szCs w:val="21"/>
                <w:highlight w:val="none"/>
                <w:u w:val="single"/>
              </w:rPr>
              <w:t>月</w:t>
            </w:r>
            <w:r>
              <w:rPr>
                <w:rFonts w:hAnsi="宋体"/>
                <w:color w:val="auto"/>
                <w:sz w:val="21"/>
                <w:szCs w:val="21"/>
                <w:highlight w:val="none"/>
                <w:u w:val="single"/>
              </w:rPr>
              <w:t xml:space="preserve">   </w:t>
            </w:r>
            <w:r>
              <w:rPr>
                <w:rFonts w:hint="eastAsia" w:hAnsi="宋体"/>
                <w:color w:val="auto"/>
                <w:sz w:val="21"/>
                <w:szCs w:val="21"/>
                <w:highlight w:val="none"/>
                <w:u w:val="single"/>
              </w:rPr>
              <w:t>日  时</w:t>
            </w:r>
            <w:r>
              <w:rPr>
                <w:rFonts w:hint="eastAsia" w:hAnsi="宋体"/>
                <w:color w:val="auto"/>
                <w:sz w:val="21"/>
                <w:szCs w:val="21"/>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4.2.1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投标截止时间</w:t>
            </w:r>
          </w:p>
        </w:tc>
        <w:tc>
          <w:tcPr>
            <w:tcW w:w="6863" w:type="dxa"/>
            <w:vAlign w:val="center"/>
          </w:tcPr>
          <w:p>
            <w:pPr>
              <w:snapToGrid w:val="0"/>
              <w:rPr>
                <w:rFonts w:ascii="宋体" w:hAnsi="宋体"/>
                <w:color w:val="auto"/>
                <w:szCs w:val="21"/>
                <w:highlight w:val="none"/>
              </w:rPr>
            </w:pPr>
            <w:r>
              <w:rPr>
                <w:rFonts w:ascii="宋体" w:hAnsi="宋体"/>
                <w:color w:val="auto"/>
                <w:szCs w:val="21"/>
                <w:highlight w:val="none"/>
                <w:u w:val="single"/>
              </w:rPr>
              <w:t xml:space="preserve"> 20</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4</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4.2.2（A）</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递交投标文件</w:t>
            </w:r>
            <w:r>
              <w:rPr>
                <w:rFonts w:hint="eastAsia" w:ascii="宋体" w:hAnsi="宋体"/>
                <w:color w:val="auto"/>
                <w:szCs w:val="21"/>
                <w:highlight w:val="none"/>
              </w:rPr>
              <w:t>时间和</w:t>
            </w:r>
            <w:r>
              <w:rPr>
                <w:rFonts w:ascii="宋体" w:hAnsi="宋体"/>
                <w:color w:val="auto"/>
                <w:szCs w:val="21"/>
                <w:highlight w:val="none"/>
              </w:rPr>
              <w:t>地点</w:t>
            </w:r>
          </w:p>
        </w:tc>
        <w:tc>
          <w:tcPr>
            <w:tcW w:w="6863" w:type="dxa"/>
            <w:vAlign w:val="center"/>
          </w:tcPr>
          <w:p>
            <w:pPr>
              <w:numPr>
                <w:ilvl w:val="0"/>
                <w:numId w:val="1"/>
              </w:numPr>
              <w:snapToGrid w:val="0"/>
              <w:jc w:val="left"/>
              <w:rPr>
                <w:rFonts w:ascii="宋体" w:hAnsi="宋体"/>
                <w:color w:val="auto"/>
                <w:szCs w:val="21"/>
                <w:highlight w:val="none"/>
              </w:rPr>
            </w:pPr>
            <w:r>
              <w:rPr>
                <w:rFonts w:hint="eastAsia" w:ascii="宋体" w:hAnsi="宋体"/>
                <w:color w:val="auto"/>
                <w:szCs w:val="21"/>
                <w:highlight w:val="none"/>
              </w:rPr>
              <w:t>递交方式：网上递交投标文件</w:t>
            </w:r>
          </w:p>
          <w:p>
            <w:pPr>
              <w:numPr>
                <w:ilvl w:val="0"/>
                <w:numId w:val="1"/>
              </w:numPr>
              <w:snapToGrid w:val="0"/>
              <w:jc w:val="left"/>
              <w:rPr>
                <w:rFonts w:ascii="宋体" w:hAnsi="宋体"/>
                <w:color w:val="auto"/>
                <w:szCs w:val="21"/>
                <w:highlight w:val="none"/>
              </w:rPr>
            </w:pPr>
            <w:r>
              <w:rPr>
                <w:rFonts w:hint="eastAsia" w:ascii="宋体" w:hAnsi="宋体"/>
                <w:color w:val="auto"/>
                <w:szCs w:val="21"/>
                <w:highlight w:val="none"/>
              </w:rPr>
              <w:t>文件的递交截止时间：同投标截止时间。</w:t>
            </w:r>
          </w:p>
          <w:p>
            <w:pPr>
              <w:numPr>
                <w:ilvl w:val="0"/>
                <w:numId w:val="1"/>
              </w:numPr>
              <w:snapToGrid w:val="0"/>
              <w:jc w:val="left"/>
              <w:rPr>
                <w:rFonts w:ascii="宋体" w:hAnsi="宋体"/>
                <w:color w:val="auto"/>
                <w:szCs w:val="21"/>
                <w:highlight w:val="none"/>
              </w:rPr>
            </w:pPr>
            <w:r>
              <w:rPr>
                <w:rFonts w:hint="eastAsia" w:ascii="宋体" w:hAnsi="宋体"/>
                <w:color w:val="auto"/>
                <w:szCs w:val="21"/>
                <w:highlight w:val="none"/>
              </w:rPr>
              <w:t>地点：广州公共资源交易中心网站</w:t>
            </w:r>
          </w:p>
          <w:p>
            <w:pPr>
              <w:numPr>
                <w:ilvl w:val="0"/>
                <w:numId w:val="1"/>
              </w:numPr>
              <w:snapToGrid w:val="0"/>
              <w:jc w:val="left"/>
              <w:rPr>
                <w:rFonts w:ascii="宋体" w:hAnsi="宋体"/>
                <w:color w:val="auto"/>
                <w:szCs w:val="21"/>
                <w:highlight w:val="none"/>
              </w:rPr>
            </w:pPr>
            <w:r>
              <w:rPr>
                <w:rFonts w:hint="eastAsia" w:ascii="宋体" w:hAnsi="宋体" w:cs="宋体"/>
                <w:color w:val="auto"/>
                <w:szCs w:val="21"/>
                <w:highlight w:val="none"/>
                <w:u w:val="single"/>
              </w:rPr>
              <w:t>上述时间及地点是否有改变，请密切留意答疑澄清或补充公告（如有）中的相关信息，具体时间及场地安排请各投标人密切留意广州公共资源交易中心公布本项目的日程安排，投标人也可登录广州公共资源交易中心网站首页，点击“项目查询（日程安排、答疑纪要）”专栏中的“项目查询”，输入项目编号或项目名称查询最新信息</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4.2.3</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投标文件是否退还</w:t>
            </w:r>
          </w:p>
        </w:tc>
        <w:tc>
          <w:tcPr>
            <w:tcW w:w="6863" w:type="dxa"/>
            <w:vAlign w:val="center"/>
          </w:tcPr>
          <w:p>
            <w:pPr>
              <w:pStyle w:val="8"/>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否</w:t>
            </w:r>
          </w:p>
          <w:p>
            <w:pPr>
              <w:pStyle w:val="8"/>
              <w:topLinePunct/>
              <w:snapToGrid w:val="0"/>
              <w:rPr>
                <w:rFonts w:hAnsi="宋体"/>
                <w:color w:val="auto"/>
                <w:sz w:val="21"/>
                <w:szCs w:val="21"/>
                <w:highlight w:val="none"/>
              </w:rPr>
            </w:pPr>
            <w:r>
              <w:rPr>
                <w:rFonts w:hAnsi="宋体"/>
                <w:color w:val="auto"/>
                <w:sz w:val="21"/>
                <w:szCs w:val="21"/>
                <w:highlight w:val="none"/>
              </w:rPr>
              <w:sym w:font="Wingdings 2" w:char="00A3"/>
            </w:r>
            <w:r>
              <w:rPr>
                <w:rFonts w:hAnsi="宋体"/>
                <w:color w:val="auto"/>
                <w:sz w:val="21"/>
                <w:szCs w:val="21"/>
                <w:highlight w:val="none"/>
              </w:rPr>
              <w:t>是，退还时间：</w:t>
            </w:r>
            <w:r>
              <w:rPr>
                <w:rFonts w:hint="eastAsia" w:hAnsi="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B</w:t>
            </w:r>
            <w:r>
              <w:rPr>
                <w:rFonts w:ascii="宋体" w:hAnsi="宋体"/>
                <w:color w:val="auto"/>
                <w:szCs w:val="21"/>
                <w:highlight w:val="none"/>
              </w:rPr>
              <w:t>）</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开标时间和地点</w:t>
            </w:r>
          </w:p>
        </w:tc>
        <w:tc>
          <w:tcPr>
            <w:tcW w:w="6863" w:type="dxa"/>
            <w:vAlign w:val="center"/>
          </w:tcPr>
          <w:p>
            <w:pPr>
              <w:pStyle w:val="8"/>
              <w:topLinePunct/>
              <w:snapToGrid w:val="0"/>
              <w:rPr>
                <w:color w:val="auto"/>
                <w:sz w:val="21"/>
                <w:szCs w:val="21"/>
                <w:highlight w:val="none"/>
              </w:rPr>
            </w:pPr>
            <w:r>
              <w:rPr>
                <w:rFonts w:hint="eastAsia"/>
                <w:color w:val="auto"/>
                <w:sz w:val="21"/>
                <w:szCs w:val="21"/>
                <w:highlight w:val="none"/>
              </w:rPr>
              <w:t>本电子招投标项目在本章4.2.1项规定的投标截止时间（开标时间），在广州公共资源交易中心公开开标，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B</w:t>
            </w:r>
            <w:r>
              <w:rPr>
                <w:rFonts w:ascii="宋体" w:hAnsi="宋体"/>
                <w:color w:val="auto"/>
                <w:szCs w:val="21"/>
                <w:highlight w:val="none"/>
              </w:rPr>
              <w:t>）</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开标程序</w:t>
            </w:r>
          </w:p>
        </w:tc>
        <w:tc>
          <w:tcPr>
            <w:tcW w:w="6863" w:type="dxa"/>
            <w:vAlign w:val="center"/>
          </w:tcPr>
          <w:p>
            <w:pPr>
              <w:pStyle w:val="8"/>
              <w:topLinePunct/>
              <w:snapToGrid w:val="0"/>
              <w:rPr>
                <w:color w:val="auto"/>
                <w:sz w:val="21"/>
                <w:szCs w:val="21"/>
                <w:highlight w:val="none"/>
              </w:rPr>
            </w:pPr>
            <w:r>
              <w:rPr>
                <w:rFonts w:hint="eastAsia"/>
                <w:color w:val="auto"/>
                <w:sz w:val="21"/>
                <w:szCs w:val="21"/>
                <w:highlight w:val="none"/>
              </w:rPr>
              <w:t>电子招投标项目开标按下列程序进行：</w:t>
            </w:r>
          </w:p>
          <w:p>
            <w:pPr>
              <w:pStyle w:val="8"/>
              <w:topLinePunct/>
              <w:snapToGrid w:val="0"/>
              <w:rPr>
                <w:color w:val="auto"/>
                <w:sz w:val="21"/>
                <w:szCs w:val="21"/>
                <w:highlight w:val="none"/>
              </w:rPr>
            </w:pPr>
            <w:r>
              <w:rPr>
                <w:color w:val="auto"/>
                <w:sz w:val="21"/>
                <w:szCs w:val="21"/>
                <w:highlight w:val="none"/>
              </w:rPr>
              <w:t>5.2.1</w:t>
            </w:r>
            <w:r>
              <w:rPr>
                <w:rFonts w:hint="eastAsia"/>
                <w:color w:val="auto"/>
                <w:sz w:val="21"/>
                <w:szCs w:val="21"/>
                <w:highlight w:val="none"/>
              </w:rPr>
              <w:t>主持人按下列程序进行开标：</w:t>
            </w:r>
          </w:p>
          <w:p>
            <w:pPr>
              <w:pStyle w:val="8"/>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）宣布开标纪律；</w:t>
            </w:r>
          </w:p>
          <w:p>
            <w:pPr>
              <w:pStyle w:val="8"/>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）公布在投标截止时间前递交投标文件的投标人名称；</w:t>
            </w:r>
          </w:p>
          <w:p>
            <w:pPr>
              <w:pStyle w:val="8"/>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）宣布开标人、唱标人、记录人、监标人等有关人员姓名；</w:t>
            </w:r>
          </w:p>
          <w:p>
            <w:pPr>
              <w:pStyle w:val="8"/>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w:t>
            </w:r>
            <w:r>
              <w:rPr>
                <w:color w:val="auto"/>
                <w:sz w:val="21"/>
                <w:szCs w:val="21"/>
                <w:highlight w:val="none"/>
              </w:rPr>
              <w:t>B</w:t>
            </w:r>
            <w:r>
              <w:rPr>
                <w:rFonts w:hint="eastAsia"/>
                <w:color w:val="auto"/>
                <w:sz w:val="21"/>
                <w:szCs w:val="21"/>
                <w:highlight w:val="none"/>
              </w:rPr>
              <w:t>）投标人通过电子招标投标交易平台对已递交的电子投标文件进行解密，公布招标项目名称、投标人名称、投标保证金的递交情况、投标报价、服务期限及其他内容，并记录在案；</w:t>
            </w:r>
          </w:p>
          <w:p>
            <w:pPr>
              <w:pStyle w:val="8"/>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w:t>
            </w:r>
            <w:r>
              <w:rPr>
                <w:color w:val="auto"/>
                <w:sz w:val="21"/>
                <w:szCs w:val="21"/>
                <w:highlight w:val="none"/>
              </w:rPr>
              <w:t>B</w:t>
            </w:r>
            <w:r>
              <w:rPr>
                <w:rFonts w:hint="eastAsia"/>
                <w:color w:val="auto"/>
                <w:sz w:val="21"/>
                <w:szCs w:val="21"/>
                <w:highlight w:val="none"/>
              </w:rPr>
              <w:t>）投标人代表、招标人代表、监标人、记录人等有关人员在开标记录上签字确认；若有关人员不签字的，不影响开标程序；</w:t>
            </w:r>
          </w:p>
          <w:p>
            <w:pPr>
              <w:pStyle w:val="8"/>
              <w:topLinePunct/>
              <w:snapToGrid w:val="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）开标结束。</w:t>
            </w:r>
          </w:p>
          <w:p>
            <w:pPr>
              <w:pStyle w:val="8"/>
              <w:topLinePunct/>
              <w:snapToGrid w:val="0"/>
              <w:rPr>
                <w:color w:val="auto"/>
                <w:sz w:val="21"/>
                <w:szCs w:val="21"/>
                <w:highlight w:val="none"/>
              </w:rPr>
            </w:pPr>
            <w:r>
              <w:rPr>
                <w:color w:val="auto"/>
                <w:sz w:val="21"/>
                <w:szCs w:val="21"/>
                <w:highlight w:val="none"/>
              </w:rPr>
              <w:t>5.2.2</w:t>
            </w:r>
            <w:r>
              <w:rPr>
                <w:rFonts w:hint="eastAsia"/>
                <w:color w:val="auto"/>
                <w:sz w:val="21"/>
                <w:szCs w:val="21"/>
                <w:highlight w:val="none"/>
              </w:rPr>
              <w:t>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pPr>
              <w:pStyle w:val="8"/>
              <w:topLinePunct/>
              <w:snapToGrid w:val="0"/>
              <w:rPr>
                <w:color w:val="auto"/>
                <w:sz w:val="21"/>
                <w:szCs w:val="21"/>
                <w:highlight w:val="none"/>
              </w:rPr>
            </w:pPr>
            <w:r>
              <w:rPr>
                <w:color w:val="auto"/>
                <w:sz w:val="21"/>
                <w:szCs w:val="21"/>
                <w:highlight w:val="none"/>
              </w:rPr>
              <w:t>5.2.3</w:t>
            </w:r>
            <w:r>
              <w:rPr>
                <w:rFonts w:hint="eastAsia"/>
                <w:color w:val="auto"/>
                <w:sz w:val="21"/>
                <w:szCs w:val="21"/>
                <w:highlight w:val="none"/>
              </w:rPr>
              <w:t>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6.1.1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评标委员会的组建</w:t>
            </w:r>
          </w:p>
        </w:tc>
        <w:tc>
          <w:tcPr>
            <w:tcW w:w="6863" w:type="dxa"/>
            <w:vAlign w:val="center"/>
          </w:tcPr>
          <w:p>
            <w:pPr>
              <w:snapToGrid w:val="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依法组建</w:t>
            </w:r>
            <w:r>
              <w:rPr>
                <w:rFonts w:ascii="宋体" w:hAnsi="宋体"/>
                <w:color w:val="auto"/>
                <w:szCs w:val="21"/>
                <w:highlight w:val="none"/>
              </w:rPr>
              <w:t>评标委员会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6.3.2</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评标委员会推荐中标候选人的人数</w:t>
            </w:r>
          </w:p>
        </w:tc>
        <w:tc>
          <w:tcPr>
            <w:tcW w:w="6863" w:type="dxa"/>
            <w:vAlign w:val="center"/>
          </w:tcPr>
          <w:p>
            <w:pPr>
              <w:snapToGrid w:val="0"/>
              <w:rPr>
                <w:rFonts w:ascii="宋体" w:hAnsi="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7.1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中标候选人公示媒介及期限</w:t>
            </w:r>
          </w:p>
        </w:tc>
        <w:tc>
          <w:tcPr>
            <w:tcW w:w="6863" w:type="dxa"/>
            <w:vAlign w:val="center"/>
          </w:tcPr>
          <w:p>
            <w:pPr>
              <w:snapToGrid w:val="0"/>
              <w:ind w:left="108" w:right="106"/>
              <w:rPr>
                <w:rFonts w:ascii="宋体" w:hAnsi="宋体"/>
                <w:color w:val="auto"/>
                <w:szCs w:val="21"/>
                <w:highlight w:val="none"/>
                <w:u w:val="single"/>
              </w:rPr>
            </w:pPr>
            <w:r>
              <w:rPr>
                <w:rFonts w:ascii="宋体" w:hAnsi="宋体"/>
                <w:color w:val="auto"/>
                <w:szCs w:val="21"/>
                <w:highlight w:val="none"/>
              </w:rPr>
              <w:t>公示媒介：</w:t>
            </w:r>
            <w:r>
              <w:rPr>
                <w:rFonts w:hint="eastAsia" w:ascii="宋体" w:hAnsi="宋体"/>
                <w:color w:val="auto"/>
                <w:szCs w:val="21"/>
                <w:highlight w:val="none"/>
                <w:u w:val="single"/>
              </w:rPr>
              <w:t>广州公共资源交易中心网站、广东省招标投标监管网、</w:t>
            </w:r>
            <w:r>
              <w:rPr>
                <w:rFonts w:hint="eastAsia" w:ascii="宋体" w:hAnsi="宋体"/>
                <w:bCs/>
                <w:color w:val="auto"/>
                <w:szCs w:val="21"/>
                <w:highlight w:val="none"/>
                <w:u w:val="single"/>
              </w:rPr>
              <w:t>中国招标投标公共服务平台</w:t>
            </w:r>
            <w:r>
              <w:rPr>
                <w:rFonts w:hint="eastAsia" w:ascii="宋体" w:hAnsi="宋体"/>
                <w:bCs/>
                <w:color w:val="auto"/>
                <w:szCs w:val="21"/>
                <w:highlight w:val="none"/>
                <w:u w:val="single"/>
                <w:lang w:eastAsia="zh-CN"/>
              </w:rPr>
              <w:t>、</w:t>
            </w:r>
            <w:r>
              <w:rPr>
                <w:rFonts w:hint="eastAsia" w:ascii="宋体" w:hAnsi="宋体"/>
                <w:color w:val="auto"/>
                <w:szCs w:val="21"/>
                <w:highlight w:val="none"/>
                <w:u w:val="single"/>
              </w:rPr>
              <w:t>粤采易阳光采购平台</w:t>
            </w:r>
          </w:p>
          <w:p>
            <w:pPr>
              <w:snapToGrid w:val="0"/>
              <w:ind w:left="108" w:right="106"/>
              <w:rPr>
                <w:rFonts w:ascii="宋体" w:hAnsi="宋体"/>
                <w:color w:val="auto"/>
                <w:szCs w:val="21"/>
                <w:highlight w:val="none"/>
              </w:rPr>
            </w:pPr>
            <w:r>
              <w:rPr>
                <w:rFonts w:ascii="宋体" w:hAnsi="宋体"/>
                <w:color w:val="auto"/>
                <w:szCs w:val="21"/>
                <w:highlight w:val="none"/>
              </w:rPr>
              <w:t>公示期限：</w:t>
            </w:r>
            <w:r>
              <w:rPr>
                <w:rFonts w:hint="eastAsia" w:ascii="宋体" w:hAnsi="宋体"/>
                <w:color w:val="auto"/>
                <w:szCs w:val="21"/>
                <w:highlight w:val="none"/>
                <w:u w:val="single"/>
              </w:rPr>
              <w:t>3</w:t>
            </w:r>
            <w:r>
              <w:rPr>
                <w:rFonts w:ascii="宋体" w:hAnsi="宋体"/>
                <w:color w:val="auto"/>
                <w:szCs w:val="21"/>
                <w:highlight w:val="none"/>
              </w:rPr>
              <w:t>日</w:t>
            </w:r>
            <w:r>
              <w:rPr>
                <w:rFonts w:hint="eastAsia" w:ascii="宋体" w:hAnsi="宋体"/>
                <w:color w:val="auto"/>
                <w:szCs w:val="21"/>
                <w:highlight w:val="none"/>
              </w:rPr>
              <w:t>（最后一天为工作天）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7.4</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是否授权评标委员会确定中标人</w:t>
            </w:r>
          </w:p>
        </w:tc>
        <w:tc>
          <w:tcPr>
            <w:tcW w:w="6863" w:type="dxa"/>
            <w:vAlign w:val="center"/>
          </w:tcPr>
          <w:p>
            <w:pPr>
              <w:snapToGrid w:val="0"/>
              <w:ind w:left="108" w:right="106"/>
              <w:rPr>
                <w:color w:val="auto"/>
                <w:highlight w:val="none"/>
              </w:rPr>
            </w:pPr>
            <w:r>
              <w:rPr>
                <w:color w:val="auto"/>
                <w:highlight w:val="none"/>
              </w:rPr>
              <w:sym w:font="Wingdings 2" w:char="00A3"/>
            </w:r>
            <w:r>
              <w:rPr>
                <w:color w:val="auto"/>
                <w:highlight w:val="none"/>
              </w:rPr>
              <w:t>是</w:t>
            </w:r>
          </w:p>
          <w:p>
            <w:pPr>
              <w:snapToGrid w:val="0"/>
              <w:ind w:left="108" w:right="106"/>
              <w:rPr>
                <w:color w:val="auto"/>
                <w:highlight w:val="none"/>
              </w:rPr>
            </w:pPr>
            <w:r>
              <w:rPr>
                <w:rFonts w:hint="eastAsia"/>
                <w:color w:val="auto"/>
                <w:highlight w:val="none"/>
              </w:rPr>
              <w:t>■</w:t>
            </w:r>
            <w:r>
              <w:rPr>
                <w:color w:val="auto"/>
                <w:highlight w:val="none"/>
              </w:rPr>
              <w:t>否</w:t>
            </w:r>
          </w:p>
          <w:p>
            <w:pPr>
              <w:snapToGrid w:val="0"/>
              <w:ind w:left="108" w:right="10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招标人依据评标委员会推荐的中标候选人确定中标人。</w:t>
            </w:r>
          </w:p>
          <w:p>
            <w:pPr>
              <w:snapToGrid w:val="0"/>
              <w:ind w:left="108" w:right="106"/>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依法必须进行公开招标的项目，招标人确定排名第一的中标候选人为中标人。</w:t>
            </w:r>
          </w:p>
          <w:p>
            <w:pPr>
              <w:snapToGrid w:val="0"/>
              <w:ind w:left="108" w:right="106"/>
              <w:rPr>
                <w:color w:val="auto"/>
                <w:highlight w:val="none"/>
              </w:rPr>
            </w:pPr>
            <w:r>
              <w:rPr>
                <w:rFonts w:hint="eastAsia" w:ascii="宋体" w:hAnsi="宋体"/>
                <w:color w:val="auto"/>
                <w:szCs w:val="21"/>
                <w:highlight w:val="none"/>
              </w:rPr>
              <w:t>3、</w:t>
            </w:r>
            <w:r>
              <w:rPr>
                <w:rFonts w:ascii="宋体" w:hAnsi="宋体"/>
                <w:color w:val="auto"/>
                <w:szCs w:val="21"/>
                <w:highlight w:val="none"/>
              </w:rPr>
              <w:t>排名第一的中标候选人放弃中标、或被取消中标资格，或因不可抗力提出不能履行合同，或者招标文件规定应当提交履约担保而在规定的期限内未能提交的，招标人可以按照中标候选人顺序依次上升替补定标，以此类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7.6.1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履约保证金</w:t>
            </w:r>
          </w:p>
        </w:tc>
        <w:tc>
          <w:tcPr>
            <w:tcW w:w="6863" w:type="dxa"/>
            <w:vAlign w:val="center"/>
          </w:tcPr>
          <w:p>
            <w:pPr>
              <w:pStyle w:val="8"/>
              <w:topLinePunct/>
              <w:snapToGrid w:val="0"/>
              <w:rPr>
                <w:rFonts w:hAnsi="宋体"/>
                <w:color w:val="auto"/>
                <w:sz w:val="21"/>
                <w:szCs w:val="21"/>
                <w:highlight w:val="none"/>
              </w:rPr>
            </w:pPr>
            <w:r>
              <w:rPr>
                <w:rFonts w:hint="eastAsia"/>
                <w:color w:val="auto"/>
                <w:sz w:val="21"/>
                <w:szCs w:val="21"/>
                <w:highlight w:val="none"/>
              </w:rPr>
              <w:t>■</w:t>
            </w:r>
            <w:r>
              <w:rPr>
                <w:rFonts w:hAnsi="宋体"/>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9</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是否采用电子招标投标</w:t>
            </w:r>
          </w:p>
        </w:tc>
        <w:tc>
          <w:tcPr>
            <w:tcW w:w="6863" w:type="dxa"/>
            <w:vAlign w:val="center"/>
          </w:tcPr>
          <w:p>
            <w:pPr>
              <w:pStyle w:val="8"/>
              <w:topLinePunct/>
              <w:snapToGrid w:val="0"/>
              <w:rPr>
                <w:color w:val="auto"/>
                <w:sz w:val="21"/>
                <w:szCs w:val="21"/>
                <w:highlight w:val="none"/>
              </w:rPr>
            </w:pPr>
            <w:r>
              <w:rPr>
                <w:color w:val="auto"/>
                <w:sz w:val="21"/>
                <w:szCs w:val="21"/>
                <w:highlight w:val="none"/>
              </w:rPr>
              <w:t>□</w:t>
            </w:r>
            <w:r>
              <w:rPr>
                <w:rFonts w:hint="eastAsia"/>
                <w:color w:val="auto"/>
                <w:sz w:val="21"/>
                <w:szCs w:val="21"/>
                <w:highlight w:val="none"/>
              </w:rPr>
              <w:t>否</w:t>
            </w:r>
          </w:p>
          <w:p>
            <w:pPr>
              <w:pStyle w:val="8"/>
              <w:topLinePunct/>
              <w:snapToGrid w:val="0"/>
              <w:rPr>
                <w:color w:val="auto"/>
                <w:sz w:val="21"/>
                <w:szCs w:val="21"/>
                <w:highlight w:val="none"/>
              </w:rPr>
            </w:pPr>
            <w:r>
              <w:rPr>
                <w:rFonts w:hint="eastAsia"/>
                <w:color w:val="auto"/>
                <w:sz w:val="21"/>
                <w:szCs w:val="21"/>
                <w:highlight w:val="none"/>
              </w:rPr>
              <w:t>■是，具体要求：1、具体操作详见广州公共资源交易中心发布的最新版本《房屋建筑和市政基础设施工程全流程电子化项目专章》。</w:t>
            </w:r>
          </w:p>
          <w:p>
            <w:pPr>
              <w:pStyle w:val="8"/>
              <w:topLinePunct/>
              <w:snapToGrid w:val="0"/>
              <w:rPr>
                <w:color w:val="auto"/>
                <w:sz w:val="21"/>
                <w:szCs w:val="21"/>
                <w:highlight w:val="none"/>
              </w:rPr>
            </w:pPr>
            <w:r>
              <w:rPr>
                <w:rFonts w:hint="eastAsia"/>
                <w:color w:val="auto"/>
                <w:sz w:val="21"/>
                <w:szCs w:val="21"/>
                <w:highlight w:val="none"/>
              </w:rPr>
              <w:t>2、提交投标文件光盘备用</w:t>
            </w:r>
          </w:p>
          <w:p>
            <w:pPr>
              <w:pStyle w:val="8"/>
              <w:topLinePunct/>
              <w:snapToGrid w:val="0"/>
              <w:rPr>
                <w:color w:val="auto"/>
                <w:sz w:val="21"/>
                <w:szCs w:val="21"/>
                <w:highlight w:val="none"/>
              </w:rPr>
            </w:pPr>
            <w:r>
              <w:rPr>
                <w:rFonts w:hint="eastAsia"/>
                <w:color w:val="auto"/>
                <w:sz w:val="21"/>
                <w:szCs w:val="21"/>
                <w:highlight w:val="none"/>
              </w:rPr>
              <w:t>投标人将按广州公共资源交易中心发布的最新版本《房屋建筑和市政基础设施工程全流程电子化项目专章》的操作方法制作的非加密的电子投标文件刻入光盘（1份），在</w:t>
            </w:r>
            <w:r>
              <w:rPr>
                <w:rFonts w:hint="eastAsia"/>
                <w:b/>
                <w:bCs/>
                <w:color w:val="auto"/>
                <w:sz w:val="21"/>
                <w:szCs w:val="21"/>
                <w:highlight w:val="none"/>
              </w:rPr>
              <w:t>开标现场（投标截止时间前15分钟）</w:t>
            </w:r>
            <w:r>
              <w:rPr>
                <w:rFonts w:hint="eastAsia"/>
                <w:color w:val="auto"/>
                <w:sz w:val="21"/>
                <w:szCs w:val="21"/>
                <w:highlight w:val="none"/>
              </w:rPr>
              <w:t>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pStyle w:val="8"/>
              <w:topLinePunct/>
              <w:snapToGrid w:val="0"/>
              <w:rPr>
                <w:color w:val="auto"/>
                <w:sz w:val="21"/>
                <w:szCs w:val="21"/>
                <w:highlight w:val="none"/>
              </w:rPr>
            </w:pPr>
            <w:r>
              <w:rPr>
                <w:rFonts w:hint="eastAsia"/>
                <w:color w:val="auto"/>
                <w:sz w:val="21"/>
                <w:szCs w:val="21"/>
                <w:highlight w:val="none"/>
              </w:rPr>
              <w:t xml:space="preserve">     3、补救方案</w:t>
            </w:r>
          </w:p>
          <w:p>
            <w:pPr>
              <w:pStyle w:val="8"/>
              <w:topLinePunct/>
              <w:snapToGrid w:val="0"/>
              <w:rPr>
                <w:color w:val="auto"/>
                <w:sz w:val="21"/>
                <w:szCs w:val="21"/>
                <w:highlight w:val="none"/>
              </w:rPr>
            </w:pPr>
            <w:r>
              <w:rPr>
                <w:rFonts w:hint="eastAsia"/>
                <w:color w:val="auto"/>
                <w:sz w:val="21"/>
                <w:szCs w:val="21"/>
                <w:highlight w:val="none"/>
              </w:rPr>
              <w:t>（1）投标文件解密失败的补救方案：</w:t>
            </w:r>
          </w:p>
          <w:p>
            <w:pPr>
              <w:pStyle w:val="8"/>
              <w:topLinePunct/>
              <w:snapToGrid w:val="0"/>
              <w:rPr>
                <w:color w:val="auto"/>
                <w:sz w:val="21"/>
                <w:szCs w:val="21"/>
                <w:highlight w:val="none"/>
              </w:rPr>
            </w:pPr>
            <w:r>
              <w:rPr>
                <w:rFonts w:hint="eastAsia"/>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pStyle w:val="8"/>
              <w:topLinePunct/>
              <w:snapToGrid w:val="0"/>
              <w:rPr>
                <w:color w:val="auto"/>
                <w:sz w:val="21"/>
                <w:szCs w:val="21"/>
                <w:highlight w:val="none"/>
              </w:rPr>
            </w:pPr>
            <w:r>
              <w:rPr>
                <w:rFonts w:hint="eastAsia"/>
                <w:color w:val="auto"/>
                <w:sz w:val="21"/>
                <w:szCs w:val="21"/>
                <w:highlight w:val="none"/>
              </w:rPr>
              <w:t>（2）评标时突发情况的补救方案</w:t>
            </w:r>
          </w:p>
          <w:p>
            <w:pPr>
              <w:pStyle w:val="8"/>
              <w:topLinePunct/>
              <w:snapToGrid w:val="0"/>
              <w:rPr>
                <w:color w:val="auto"/>
                <w:sz w:val="21"/>
                <w:szCs w:val="21"/>
                <w:highlight w:val="none"/>
              </w:rPr>
            </w:pPr>
            <w:r>
              <w:rPr>
                <w:rFonts w:hint="eastAsia"/>
                <w:color w:val="auto"/>
                <w:sz w:val="21"/>
                <w:szCs w:val="21"/>
                <w:highlight w:val="none"/>
              </w:rPr>
              <w:t>若遇不可抗力发生（如：网络瘫痪、服务器损坏、交易系统故障短期无法恢复等因素），由评标委员会开启现场递交的全部投标文件光盘，并按光盘内容进行评审。</w:t>
            </w:r>
          </w:p>
          <w:p>
            <w:pPr>
              <w:pStyle w:val="8"/>
              <w:topLinePunct/>
              <w:snapToGrid w:val="0"/>
              <w:rPr>
                <w:rFonts w:hAnsi="宋体"/>
                <w:color w:val="auto"/>
                <w:szCs w:val="21"/>
                <w:highlight w:val="none"/>
              </w:rPr>
            </w:pPr>
            <w:r>
              <w:rPr>
                <w:rFonts w:hint="eastAsia"/>
                <w:color w:val="auto"/>
                <w:sz w:val="21"/>
                <w:szCs w:val="21"/>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ascii="宋体" w:hAnsi="宋体"/>
                <w:color w:val="auto"/>
                <w:szCs w:val="21"/>
                <w:highlight w:val="none"/>
              </w:rPr>
              <w:t>10</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需要补充的其他内容</w:t>
            </w:r>
          </w:p>
        </w:tc>
        <w:tc>
          <w:tcPr>
            <w:tcW w:w="6863" w:type="dxa"/>
            <w:vAlign w:val="center"/>
          </w:tcPr>
          <w:p>
            <w:pPr>
              <w:snapToGrid w:val="0"/>
              <w:rPr>
                <w:rFonts w:ascii="宋体" w:hAnsi="宋体"/>
                <w:color w:val="auto"/>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10.1</w:t>
            </w:r>
          </w:p>
        </w:tc>
        <w:tc>
          <w:tcPr>
            <w:tcW w:w="1650" w:type="dxa"/>
            <w:vAlign w:val="center"/>
          </w:tcPr>
          <w:p>
            <w:pPr>
              <w:snapToGrid w:val="0"/>
              <w:jc w:val="center"/>
              <w:rPr>
                <w:rFonts w:ascii="宋体" w:hAnsi="宋体"/>
                <w:color w:val="auto"/>
                <w:szCs w:val="21"/>
                <w:highlight w:val="none"/>
              </w:rPr>
            </w:pPr>
            <w:r>
              <w:rPr>
                <w:rFonts w:ascii="宋体" w:hAnsi="宋体"/>
                <w:color w:val="auto"/>
                <w:szCs w:val="21"/>
                <w:highlight w:val="none"/>
              </w:rPr>
              <w:t>其他费用</w:t>
            </w:r>
          </w:p>
        </w:tc>
        <w:tc>
          <w:tcPr>
            <w:tcW w:w="6863"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公共资源交易服务费：</w:t>
            </w:r>
            <w:r>
              <w:rPr>
                <w:rFonts w:hint="eastAsia" w:ascii="宋体" w:hAnsi="宋体"/>
                <w:color w:val="auto"/>
                <w:szCs w:val="21"/>
                <w:highlight w:val="none"/>
                <w:lang w:val="en-US" w:eastAsia="zh-CN"/>
              </w:rPr>
              <w:t>中标人</w:t>
            </w:r>
            <w:r>
              <w:rPr>
                <w:rFonts w:hint="eastAsia" w:ascii="宋体" w:hAnsi="宋体"/>
                <w:color w:val="auto"/>
                <w:szCs w:val="21"/>
                <w:highlight w:val="none"/>
              </w:rPr>
              <w:t>向</w:t>
            </w:r>
            <w:r>
              <w:rPr>
                <w:rFonts w:hint="eastAsia" w:ascii="宋体" w:hAnsi="宋体"/>
                <w:color w:val="auto"/>
                <w:szCs w:val="21"/>
                <w:highlight w:val="none"/>
                <w:lang w:eastAsia="zh-CN"/>
              </w:rPr>
              <w:t>广州公共资源</w:t>
            </w:r>
            <w:r>
              <w:rPr>
                <w:rFonts w:hint="eastAsia" w:ascii="宋体" w:hAnsi="宋体"/>
                <w:color w:val="auto"/>
                <w:szCs w:val="21"/>
                <w:highlight w:val="none"/>
              </w:rPr>
              <w:t>交易中心一次性足额缴纳交易服务费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bookmarkStart w:id="21" w:name="_Hlk136175204"/>
            <w:r>
              <w:rPr>
                <w:rFonts w:hint="eastAsia" w:ascii="宋体" w:hAnsi="宋体"/>
                <w:color w:val="auto"/>
                <w:szCs w:val="21"/>
                <w:highlight w:val="none"/>
              </w:rPr>
              <w:t>10.2</w:t>
            </w:r>
          </w:p>
        </w:tc>
        <w:tc>
          <w:tcPr>
            <w:tcW w:w="1650"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潜在投标人或利害关系人对本招标公告及招标文件内容异议的，向招标人书面提出。</w:t>
            </w:r>
          </w:p>
        </w:tc>
        <w:tc>
          <w:tcPr>
            <w:tcW w:w="6863" w:type="dxa"/>
            <w:shd w:val="clear" w:color="auto" w:fill="auto"/>
            <w:vAlign w:val="center"/>
          </w:tcPr>
          <w:p>
            <w:pPr>
              <w:snapToGrid w:val="0"/>
              <w:jc w:val="left"/>
              <w:rPr>
                <w:rFonts w:ascii="宋体" w:hAnsi="宋体"/>
                <w:color w:val="auto"/>
                <w:szCs w:val="21"/>
                <w:highlight w:val="none"/>
              </w:rPr>
            </w:pPr>
            <w:r>
              <w:rPr>
                <w:rFonts w:hint="eastAsia" w:ascii="宋体" w:hAnsi="宋体"/>
                <w:color w:val="auto"/>
                <w:szCs w:val="21"/>
                <w:highlight w:val="none"/>
              </w:rPr>
              <w:t>异议受理部门：</w:t>
            </w:r>
            <w:r>
              <w:rPr>
                <w:rFonts w:hint="eastAsia" w:ascii="宋体" w:hAnsi="宋体"/>
                <w:color w:val="auto"/>
                <w:szCs w:val="21"/>
                <w:highlight w:val="none"/>
                <w:u w:val="single"/>
                <w:lang w:eastAsia="zh-CN"/>
              </w:rPr>
              <w:t>广东省物资产业（集团）有限公司</w:t>
            </w:r>
            <w:r>
              <w:rPr>
                <w:rFonts w:hint="eastAsia" w:ascii="宋体" w:hAnsi="宋体"/>
                <w:color w:val="auto"/>
                <w:szCs w:val="21"/>
                <w:highlight w:val="none"/>
              </w:rPr>
              <w:t>；</w:t>
            </w:r>
          </w:p>
          <w:p>
            <w:pPr>
              <w:shd w:val="clear"/>
              <w:snapToGrid w:val="0"/>
              <w:jc w:val="lef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020-85269610</w:t>
            </w:r>
            <w:r>
              <w:rPr>
                <w:rFonts w:hint="eastAsia" w:ascii="宋体" w:hAnsi="宋体"/>
                <w:color w:val="auto"/>
                <w:szCs w:val="21"/>
                <w:highlight w:val="none"/>
              </w:rPr>
              <w:t>；</w:t>
            </w:r>
          </w:p>
          <w:p>
            <w:pPr>
              <w:shd w:val="clear"/>
              <w:snapToGrid w:val="0"/>
              <w:jc w:val="lef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广州市天河区兴国路21号保利中达广场2号楼广物中心26楼</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1178"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10.3</w:t>
            </w:r>
          </w:p>
        </w:tc>
        <w:tc>
          <w:tcPr>
            <w:tcW w:w="1650"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招标监督机构</w:t>
            </w:r>
          </w:p>
        </w:tc>
        <w:tc>
          <w:tcPr>
            <w:tcW w:w="6863" w:type="dxa"/>
            <w:vAlign w:val="center"/>
          </w:tcPr>
          <w:p>
            <w:pPr>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招标监督机构：</w:t>
            </w:r>
            <w:r>
              <w:rPr>
                <w:rFonts w:hint="eastAsia" w:ascii="宋体" w:hAnsi="宋体"/>
                <w:color w:val="auto"/>
                <w:szCs w:val="21"/>
                <w:highlight w:val="none"/>
                <w:lang w:eastAsia="zh-CN"/>
              </w:rPr>
              <w:t>广东省物资产业（集团）有限公司</w:t>
            </w:r>
          </w:p>
          <w:p>
            <w:pPr>
              <w:snapToGrid w:val="0"/>
              <w:jc w:val="left"/>
              <w:rPr>
                <w:rFonts w:ascii="宋体" w:hAnsi="宋体" w:cs="宋体"/>
                <w:color w:val="auto"/>
                <w:kern w:val="0"/>
                <w:szCs w:val="21"/>
                <w:highlight w:val="none"/>
              </w:rPr>
            </w:pPr>
            <w:r>
              <w:rPr>
                <w:rFonts w:hint="eastAsia" w:ascii="宋体" w:hAnsi="宋体"/>
                <w:color w:val="auto"/>
                <w:szCs w:val="21"/>
                <w:highlight w:val="none"/>
              </w:rPr>
              <w:t>监管电话：</w:t>
            </w:r>
            <w:r>
              <w:rPr>
                <w:rFonts w:hint="eastAsia" w:ascii="宋体" w:hAnsi="宋体"/>
                <w:color w:val="auto"/>
                <w:szCs w:val="21"/>
                <w:highlight w:val="none"/>
                <w:lang w:val="en-US" w:eastAsia="zh-CN"/>
              </w:rPr>
              <w:t>020-85269623</w:t>
            </w:r>
          </w:p>
        </w:tc>
      </w:tr>
      <w:bookmarkEnd w:id="2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trPr>
        <w:tc>
          <w:tcPr>
            <w:tcW w:w="1178"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10.4</w:t>
            </w:r>
          </w:p>
        </w:tc>
        <w:tc>
          <w:tcPr>
            <w:tcW w:w="1650"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资格审查方式</w:t>
            </w:r>
          </w:p>
        </w:tc>
        <w:tc>
          <w:tcPr>
            <w:tcW w:w="6863"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1）本项目采用资格后审方式，满足资格审查合格条件的投标申请人不足3名时为招标失败。招标人分析招标失败原因，修正招标方案，报有关管理部门核准后，重新组织招标。</w:t>
            </w:r>
          </w:p>
          <w:p>
            <w:pPr>
              <w:snapToGrid w:val="0"/>
              <w:jc w:val="left"/>
              <w:rPr>
                <w:rFonts w:ascii="宋体" w:hAnsi="宋体"/>
                <w:color w:val="auto"/>
                <w:szCs w:val="21"/>
                <w:highlight w:val="none"/>
              </w:rPr>
            </w:pPr>
            <w:r>
              <w:rPr>
                <w:rFonts w:hint="eastAsia" w:ascii="宋体" w:hAnsi="宋体"/>
                <w:color w:val="auto"/>
                <w:szCs w:val="21"/>
                <w:highlight w:val="none"/>
              </w:rPr>
              <w:t>2）招标人因两次或多次招标失败，需申请改变招标方式或不招标的，应按《广东省实施〈中华人民共和国招标投标法〉办法》（省第十届人大常委会第二次会议通过2003.4.2）的第四十条规定执行。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10.5</w:t>
            </w:r>
          </w:p>
        </w:tc>
        <w:tc>
          <w:tcPr>
            <w:tcW w:w="1650"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特别提示</w:t>
            </w:r>
          </w:p>
        </w:tc>
        <w:tc>
          <w:tcPr>
            <w:tcW w:w="6863"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1）《投诉处理决定书》和《行政处理决定书》在广州市住房和城乡建设局网站上公布的，视为送达其他与决定书有关的当事人。</w:t>
            </w:r>
          </w:p>
          <w:p>
            <w:pPr>
              <w:snapToGrid w:val="0"/>
              <w:jc w:val="left"/>
              <w:rPr>
                <w:rFonts w:ascii="宋体" w:hAnsi="宋体"/>
                <w:color w:val="auto"/>
                <w:szCs w:val="21"/>
                <w:highlight w:val="none"/>
              </w:rPr>
            </w:pPr>
            <w:r>
              <w:rPr>
                <w:rFonts w:hint="eastAsia" w:ascii="宋体" w:hAnsi="宋体"/>
                <w:color w:val="auto"/>
                <w:szCs w:val="21"/>
                <w:highlight w:val="none"/>
              </w:rPr>
              <w:t>2）投标人在本项目招标人的工程项目中存在下列行为的，将被拒绝一年内参与我单位后续工程投标（注：拒绝投标时限自招标人发出通知之日起计）：</w:t>
            </w:r>
          </w:p>
          <w:p>
            <w:pPr>
              <w:snapToGrid w:val="0"/>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pPr>
              <w:snapToGrid w:val="0"/>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pPr>
              <w:snapToGrid w:val="0"/>
              <w:jc w:val="left"/>
              <w:rPr>
                <w:rFonts w:ascii="宋体" w:hAnsi="宋体"/>
                <w:color w:val="auto"/>
                <w:szCs w:val="21"/>
                <w:highlight w:val="none"/>
              </w:rPr>
            </w:pPr>
            <w:r>
              <w:rPr>
                <w:rFonts w:hint="eastAsia" w:ascii="宋体" w:hAnsi="宋体"/>
                <w:color w:val="auto"/>
                <w:szCs w:val="21"/>
                <w:highlight w:val="none"/>
              </w:rPr>
              <w:t>（3）存在围标或串标情形的；</w:t>
            </w:r>
          </w:p>
          <w:p>
            <w:pPr>
              <w:snapToGrid w:val="0"/>
              <w:jc w:val="left"/>
              <w:rPr>
                <w:rFonts w:ascii="宋体" w:hAnsi="宋体"/>
                <w:color w:val="auto"/>
                <w:szCs w:val="21"/>
                <w:highlight w:val="none"/>
              </w:rPr>
            </w:pPr>
            <w:r>
              <w:rPr>
                <w:rFonts w:hint="eastAsia" w:ascii="宋体" w:hAnsi="宋体"/>
                <w:color w:val="auto"/>
                <w:szCs w:val="21"/>
                <w:highlight w:val="none"/>
              </w:rPr>
              <w:t xml:space="preserve">（4）存在弄虚作假骗取中标情形的； </w:t>
            </w:r>
          </w:p>
          <w:p>
            <w:pPr>
              <w:snapToGrid w:val="0"/>
              <w:jc w:val="left"/>
              <w:rPr>
                <w:rFonts w:ascii="宋体" w:hAnsi="宋体"/>
                <w:color w:val="auto"/>
                <w:szCs w:val="21"/>
                <w:highlight w:val="none"/>
              </w:rPr>
            </w:pPr>
            <w:r>
              <w:rPr>
                <w:rFonts w:hint="eastAsia" w:ascii="宋体" w:hAnsi="宋体"/>
                <w:color w:val="auto"/>
                <w:szCs w:val="21"/>
                <w:highlight w:val="none"/>
              </w:rPr>
              <w:t>（5）为招标人提供服务过程中存在因过错行为被生效法律文书认定承担违约或侵权责任的；</w:t>
            </w:r>
          </w:p>
          <w:p>
            <w:pPr>
              <w:snapToGrid w:val="0"/>
              <w:jc w:val="left"/>
              <w:rPr>
                <w:rFonts w:ascii="宋体" w:hAnsi="宋体"/>
                <w:color w:val="auto"/>
                <w:szCs w:val="21"/>
                <w:highlight w:val="none"/>
              </w:rPr>
            </w:pPr>
            <w:r>
              <w:rPr>
                <w:rFonts w:hint="eastAsia" w:ascii="宋体" w:hAnsi="宋体"/>
                <w:color w:val="auto"/>
                <w:szCs w:val="21"/>
                <w:highlight w:val="none"/>
              </w:rPr>
              <w:t>（6）违反合同约定自行调换或未按照招标人要求及时更换项目</w:t>
            </w:r>
            <w:r>
              <w:rPr>
                <w:rFonts w:hint="eastAsia" w:ascii="宋体" w:hAnsi="宋体"/>
                <w:color w:val="auto"/>
                <w:szCs w:val="21"/>
                <w:highlight w:val="none"/>
                <w:lang w:val="en-US" w:eastAsia="zh-CN"/>
              </w:rPr>
              <w:t>负责人</w:t>
            </w:r>
            <w:r>
              <w:rPr>
                <w:rFonts w:hint="eastAsia" w:ascii="宋体" w:hAnsi="宋体"/>
                <w:color w:val="auto"/>
                <w:szCs w:val="21"/>
                <w:highlight w:val="none"/>
              </w:rPr>
              <w:t>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10.6</w:t>
            </w:r>
          </w:p>
        </w:tc>
        <w:tc>
          <w:tcPr>
            <w:tcW w:w="1650"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其他</w:t>
            </w:r>
          </w:p>
        </w:tc>
        <w:tc>
          <w:tcPr>
            <w:tcW w:w="6863"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在产生中标候选人后，招标人将中标候选人的投标文件商务部分的电子版（方案等涉及商业秘密的内容除外）在广州公共资源交易中心网站公开。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10.7</w:t>
            </w:r>
          </w:p>
        </w:tc>
        <w:tc>
          <w:tcPr>
            <w:tcW w:w="1650" w:type="dxa"/>
            <w:vAlign w:val="center"/>
          </w:tcPr>
          <w:p>
            <w:pPr>
              <w:spacing w:line="360" w:lineRule="auto"/>
              <w:ind w:right="-44" w:rightChars="-21"/>
              <w:jc w:val="center"/>
              <w:rPr>
                <w:rFonts w:ascii="宋体" w:hAnsi="宋体"/>
                <w:color w:val="auto"/>
                <w:szCs w:val="21"/>
                <w:highlight w:val="none"/>
              </w:rPr>
            </w:pPr>
            <w:r>
              <w:rPr>
                <w:rFonts w:hint="eastAsia" w:ascii="宋体" w:hAnsi="宋体" w:cs="宋体"/>
                <w:color w:val="auto"/>
                <w:szCs w:val="21"/>
                <w:highlight w:val="none"/>
              </w:rPr>
              <w:t>否决投标条款</w:t>
            </w:r>
          </w:p>
        </w:tc>
        <w:tc>
          <w:tcPr>
            <w:tcW w:w="6863"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否决投标条款：</w:t>
            </w:r>
          </w:p>
          <w:p>
            <w:pPr>
              <w:snapToGrid w:val="0"/>
              <w:jc w:val="left"/>
              <w:rPr>
                <w:rFonts w:ascii="宋体" w:hAnsi="宋体"/>
                <w:color w:val="auto"/>
                <w:szCs w:val="21"/>
                <w:highlight w:val="none"/>
              </w:rPr>
            </w:pPr>
            <w:r>
              <w:rPr>
                <w:rFonts w:hint="eastAsia" w:ascii="宋体" w:hAnsi="宋体"/>
                <w:color w:val="auto"/>
                <w:szCs w:val="21"/>
                <w:highlight w:val="none"/>
              </w:rPr>
              <w:t>1、在投标截止期后逾期或未在广州公共资源交易中心数字交易平台（http://www.gzggzy.cn）递交电子投标文件的，电子招标投标交易平台将拒绝接收其投标文件。</w:t>
            </w:r>
          </w:p>
          <w:p>
            <w:pPr>
              <w:snapToGrid w:val="0"/>
              <w:jc w:val="left"/>
              <w:rPr>
                <w:rFonts w:ascii="宋体" w:hAnsi="宋体"/>
                <w:color w:val="auto"/>
                <w:szCs w:val="21"/>
                <w:highlight w:val="none"/>
              </w:rPr>
            </w:pPr>
            <w:r>
              <w:rPr>
                <w:rFonts w:hint="eastAsia" w:ascii="宋体" w:hAnsi="宋体"/>
                <w:color w:val="auto"/>
                <w:szCs w:val="21"/>
                <w:highlight w:val="none"/>
              </w:rPr>
              <w:t>2、投标文件应当对招标文件的实质性要求和条件作出满足性或更有利于招标人的响应，否则，投标人的投标将被否决。</w:t>
            </w:r>
          </w:p>
          <w:p>
            <w:pPr>
              <w:snapToGrid w:val="0"/>
              <w:jc w:val="left"/>
              <w:rPr>
                <w:rFonts w:ascii="宋体" w:hAnsi="宋体"/>
                <w:color w:val="auto"/>
                <w:szCs w:val="21"/>
                <w:highlight w:val="none"/>
              </w:rPr>
            </w:pPr>
            <w:r>
              <w:rPr>
                <w:rFonts w:hint="eastAsia" w:ascii="宋体" w:hAnsi="宋体"/>
                <w:color w:val="auto"/>
                <w:szCs w:val="21"/>
                <w:highlight w:val="none"/>
              </w:rPr>
              <w:t>3、投标人有以下情形之一的，评标委员会应当否决其投标：</w:t>
            </w:r>
          </w:p>
          <w:p>
            <w:pPr>
              <w:snapToGrid w:val="0"/>
              <w:jc w:val="left"/>
              <w:rPr>
                <w:rFonts w:ascii="宋体" w:hAnsi="宋体"/>
                <w:color w:val="auto"/>
                <w:szCs w:val="21"/>
                <w:highlight w:val="none"/>
              </w:rPr>
            </w:pPr>
            <w:r>
              <w:rPr>
                <w:rFonts w:hint="eastAsia" w:ascii="宋体" w:hAnsi="宋体"/>
                <w:color w:val="auto"/>
                <w:szCs w:val="21"/>
                <w:highlight w:val="none"/>
              </w:rPr>
              <w:t>（1）投标文件没有对招标文件的实质性要求和条件作出响应，或者对招标文件的偏差超出招标文件规定的偏差范围或最高项数；</w:t>
            </w:r>
          </w:p>
          <w:p>
            <w:pPr>
              <w:snapToGrid w:val="0"/>
              <w:jc w:val="left"/>
              <w:rPr>
                <w:rFonts w:ascii="宋体" w:hAnsi="宋体"/>
                <w:color w:val="auto"/>
                <w:szCs w:val="21"/>
                <w:highlight w:val="none"/>
              </w:rPr>
            </w:pPr>
            <w:r>
              <w:rPr>
                <w:rFonts w:hint="eastAsia" w:ascii="宋体" w:hAnsi="宋体"/>
                <w:color w:val="auto"/>
                <w:szCs w:val="21"/>
                <w:highlight w:val="none"/>
              </w:rPr>
              <w:t>（2）有串通投标、弄虚作假、行贿等违法行为。</w:t>
            </w:r>
          </w:p>
          <w:p>
            <w:pPr>
              <w:snapToGrid w:val="0"/>
              <w:jc w:val="left"/>
              <w:rPr>
                <w:rFonts w:ascii="宋体" w:hAnsi="宋体"/>
                <w:color w:val="auto"/>
                <w:szCs w:val="21"/>
                <w:highlight w:val="none"/>
              </w:rPr>
            </w:pPr>
            <w:r>
              <w:rPr>
                <w:rFonts w:hint="eastAsia" w:ascii="宋体" w:hAnsi="宋体"/>
                <w:color w:val="auto"/>
                <w:szCs w:val="21"/>
                <w:highlight w:val="none"/>
              </w:rPr>
              <w:t>4、投标报价有算术错误及其他错误的，评标委员会按以下原则要求投标人对投标报价进行修正，并要求投标人书面澄清确认。投标人拒不澄清确认的，评标委员会应当否决其投标：</w:t>
            </w:r>
          </w:p>
          <w:p>
            <w:pPr>
              <w:snapToGrid w:val="0"/>
              <w:jc w:val="left"/>
              <w:rPr>
                <w:rFonts w:ascii="宋体" w:hAnsi="宋体"/>
                <w:color w:val="auto"/>
                <w:szCs w:val="21"/>
                <w:highlight w:val="none"/>
              </w:rPr>
            </w:pPr>
            <w:r>
              <w:rPr>
                <w:rFonts w:hint="eastAsia" w:ascii="宋体" w:hAnsi="宋体"/>
                <w:color w:val="auto"/>
                <w:szCs w:val="21"/>
                <w:highlight w:val="none"/>
              </w:rPr>
              <w:t>（1）投标文件中的大写金额与小写金额不一致的，以大写金额为准；</w:t>
            </w:r>
          </w:p>
          <w:p>
            <w:pPr>
              <w:snapToGrid w:val="0"/>
              <w:jc w:val="left"/>
              <w:rPr>
                <w:rFonts w:ascii="宋体" w:hAnsi="宋体"/>
                <w:color w:val="auto"/>
                <w:szCs w:val="21"/>
                <w:highlight w:val="none"/>
              </w:rPr>
            </w:pPr>
            <w:r>
              <w:rPr>
                <w:rFonts w:hint="eastAsia" w:ascii="宋体" w:hAnsi="宋体"/>
                <w:color w:val="auto"/>
                <w:szCs w:val="21"/>
                <w:highlight w:val="none"/>
              </w:rPr>
              <w:t>（2）总价金额与单价金额不一致的，以单价金额为准，但单价金额小数点有明显错误的除外。</w:t>
            </w:r>
          </w:p>
          <w:p>
            <w:pPr>
              <w:snapToGrid w:val="0"/>
              <w:jc w:val="left"/>
              <w:rPr>
                <w:rFonts w:ascii="宋体" w:hAnsi="宋体"/>
                <w:color w:val="auto"/>
                <w:szCs w:val="21"/>
                <w:highlight w:val="none"/>
              </w:rPr>
            </w:pPr>
            <w:r>
              <w:rPr>
                <w:rFonts w:hint="eastAsia" w:ascii="宋体" w:hAnsi="宋体"/>
                <w:color w:val="auto"/>
                <w:szCs w:val="21"/>
                <w:highlight w:val="none"/>
              </w:rPr>
              <w:t>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napToGrid w:val="0"/>
              <w:jc w:val="left"/>
              <w:rPr>
                <w:rFonts w:ascii="宋体" w:hAnsi="宋体"/>
                <w:color w:val="auto"/>
                <w:szCs w:val="21"/>
                <w:highlight w:val="none"/>
              </w:rPr>
            </w:pPr>
            <w:r>
              <w:rPr>
                <w:rFonts w:hint="eastAsia" w:ascii="宋体" w:hAnsi="宋体"/>
                <w:color w:val="auto"/>
                <w:szCs w:val="21"/>
                <w:highlight w:val="none"/>
              </w:rPr>
              <w:t>6、投标文件中投标报价高于最高投标限价的，其投标文件将被否决。</w:t>
            </w:r>
          </w:p>
          <w:p>
            <w:pPr>
              <w:snapToGrid w:val="0"/>
              <w:jc w:val="left"/>
              <w:rPr>
                <w:rFonts w:ascii="宋体" w:hAnsi="宋体"/>
                <w:color w:val="auto"/>
                <w:szCs w:val="21"/>
                <w:highlight w:val="none"/>
              </w:rPr>
            </w:pPr>
            <w:r>
              <w:rPr>
                <w:rFonts w:hint="eastAsia" w:ascii="宋体" w:hAnsi="宋体"/>
                <w:color w:val="auto"/>
                <w:szCs w:val="21"/>
                <w:highlight w:val="none"/>
              </w:rPr>
              <w:t>7、按投标报价的算术校核原则及方法调整或修正投标文件的投标报价，调整后的投标报价对投标人起约束作用。如果投标人不接受修正后的报价，则取消其中标资格，并且其投标担保也将被没收。</w:t>
            </w:r>
          </w:p>
          <w:p>
            <w:pPr>
              <w:snapToGrid w:val="0"/>
              <w:jc w:val="left"/>
              <w:rPr>
                <w:rFonts w:ascii="宋体" w:hAnsi="宋体"/>
                <w:color w:val="auto"/>
                <w:szCs w:val="21"/>
                <w:highlight w:val="none"/>
              </w:rPr>
            </w:pPr>
            <w:r>
              <w:rPr>
                <w:rFonts w:hint="eastAsia" w:ascii="宋体" w:hAnsi="宋体"/>
                <w:color w:val="auto"/>
                <w:szCs w:val="21"/>
                <w:highlight w:val="none"/>
              </w:rPr>
              <w:t>8、资审合格后，投标人的资格发生变化而不满足投标人合格条件，在发出中标通知书前，资格问题仍未解决的，招标人将取消其中标资格。</w:t>
            </w:r>
          </w:p>
          <w:p>
            <w:pPr>
              <w:snapToGrid w:val="0"/>
              <w:jc w:val="left"/>
              <w:rPr>
                <w:rFonts w:ascii="宋体" w:hAnsi="宋体"/>
                <w:color w:val="auto"/>
                <w:szCs w:val="21"/>
                <w:highlight w:val="none"/>
              </w:rPr>
            </w:pPr>
            <w:r>
              <w:rPr>
                <w:rFonts w:hint="eastAsia" w:ascii="宋体" w:hAnsi="宋体"/>
                <w:color w:val="auto"/>
                <w:szCs w:val="21"/>
                <w:highlight w:val="none"/>
              </w:rPr>
              <w:t>9、投标文件符合列于《评标办法前附表》“形式评审标准”“资格评审标准”“响应性评审标准”中所有情形的，为有效投标文件。任一情形不符合均为无效投标文件，经评标委员会认定后，其投标文件将被否决。</w:t>
            </w:r>
          </w:p>
        </w:tc>
      </w:tr>
    </w:tbl>
    <w:p>
      <w:pPr>
        <w:pStyle w:val="4"/>
        <w:spacing w:line="360" w:lineRule="auto"/>
        <w:rPr>
          <w:rFonts w:ascii="宋体" w:hAnsi="宋体" w:eastAsia="宋体" w:cs="宋体"/>
          <w:color w:val="auto"/>
          <w:sz w:val="28"/>
          <w:szCs w:val="28"/>
          <w:highlight w:val="none"/>
        </w:rPr>
      </w:pPr>
      <w:r>
        <w:rPr>
          <w:rFonts w:hint="eastAsia" w:ascii="宋体" w:hAnsi="宋体"/>
          <w:color w:val="auto"/>
          <w:sz w:val="24"/>
          <w:szCs w:val="24"/>
          <w:highlight w:val="none"/>
        </w:rPr>
        <w:br w:type="page"/>
      </w:r>
      <w:bookmarkStart w:id="22" w:name="_Toc32578"/>
      <w:bookmarkStart w:id="23" w:name="_Toc4401"/>
      <w:bookmarkStart w:id="24" w:name="_Toc25071"/>
      <w:bookmarkStart w:id="25" w:name="_Toc28826"/>
      <w:bookmarkStart w:id="26" w:name="_Toc19348"/>
      <w:bookmarkStart w:id="27" w:name="_Toc527028850"/>
      <w:bookmarkStart w:id="28" w:name="_Toc527028679"/>
      <w:bookmarkStart w:id="29" w:name="_Toc527028502"/>
      <w:bookmarkStart w:id="30" w:name="_Toc520310853"/>
      <w:r>
        <w:rPr>
          <w:rFonts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rPr>
        <w:t>总则</w:t>
      </w:r>
      <w:bookmarkEnd w:id="22"/>
      <w:bookmarkEnd w:id="23"/>
      <w:bookmarkEnd w:id="24"/>
      <w:bookmarkEnd w:id="25"/>
      <w:bookmarkEnd w:id="26"/>
    </w:p>
    <w:p>
      <w:pPr>
        <w:pStyle w:val="5"/>
        <w:spacing w:line="360" w:lineRule="auto"/>
        <w:ind w:firstLine="0" w:firstLineChars="0"/>
        <w:rPr>
          <w:rFonts w:ascii="宋体" w:hAnsi="宋体" w:eastAsia="宋体" w:cs="宋体"/>
          <w:color w:val="auto"/>
          <w:szCs w:val="24"/>
          <w:highlight w:val="none"/>
        </w:rPr>
      </w:pPr>
      <w:bookmarkStart w:id="31" w:name="_Toc17110"/>
      <w:bookmarkStart w:id="32" w:name="_Toc21695"/>
      <w:bookmarkStart w:id="33" w:name="_Toc7221"/>
      <w:bookmarkStart w:id="34" w:name="_Toc14769"/>
      <w:bookmarkStart w:id="35" w:name="_Toc11648"/>
      <w:bookmarkStart w:id="36" w:name="_Toc29004"/>
      <w:bookmarkStart w:id="37" w:name="_Toc23083"/>
      <w:bookmarkStart w:id="38" w:name="_Toc492300565"/>
      <w:bookmarkStart w:id="39" w:name="_Toc11481"/>
      <w:bookmarkStart w:id="40" w:name="_Toc22496"/>
      <w:bookmarkStart w:id="41" w:name="_Toc19534"/>
      <w:r>
        <w:rPr>
          <w:rFonts w:ascii="宋体" w:hAnsi="宋体" w:eastAsia="宋体" w:cs="宋体"/>
          <w:bCs/>
          <w:color w:val="auto"/>
          <w:szCs w:val="24"/>
          <w:highlight w:val="none"/>
        </w:rPr>
        <w:t xml:space="preserve">1.1 </w:t>
      </w:r>
      <w:r>
        <w:rPr>
          <w:rFonts w:hint="eastAsia" w:ascii="宋体" w:hAnsi="宋体" w:eastAsia="宋体" w:cs="宋体"/>
          <w:bCs/>
          <w:color w:val="auto"/>
          <w:szCs w:val="24"/>
          <w:highlight w:val="none"/>
        </w:rPr>
        <w:t>招标项目概况</w:t>
      </w:r>
      <w:bookmarkEnd w:id="31"/>
      <w:bookmarkEnd w:id="32"/>
      <w:bookmarkEnd w:id="33"/>
      <w:bookmarkEnd w:id="34"/>
      <w:bookmarkEnd w:id="35"/>
      <w:bookmarkEnd w:id="36"/>
      <w:bookmarkEnd w:id="37"/>
      <w:bookmarkEnd w:id="38"/>
      <w:bookmarkEnd w:id="39"/>
      <w:bookmarkEnd w:id="40"/>
      <w:bookmarkEnd w:id="4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进行招标。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1.1.8建筑安装工程费/工程概算：见投标人须知前附表。</w:t>
      </w:r>
    </w:p>
    <w:p>
      <w:pPr>
        <w:pStyle w:val="5"/>
        <w:spacing w:line="360" w:lineRule="auto"/>
        <w:ind w:firstLine="0" w:firstLineChars="0"/>
        <w:rPr>
          <w:rFonts w:ascii="宋体" w:hAnsi="宋体" w:eastAsia="宋体" w:cs="宋体"/>
          <w:color w:val="auto"/>
          <w:szCs w:val="24"/>
          <w:highlight w:val="none"/>
        </w:rPr>
      </w:pPr>
      <w:bookmarkStart w:id="42" w:name="_Toc18214"/>
      <w:bookmarkStart w:id="43" w:name="_Toc8474"/>
      <w:bookmarkStart w:id="44" w:name="_Toc32712"/>
      <w:bookmarkStart w:id="45" w:name="_Toc20295"/>
      <w:bookmarkStart w:id="46" w:name="_Toc19038"/>
      <w:bookmarkStart w:id="47" w:name="_Toc27081"/>
      <w:bookmarkStart w:id="48" w:name="_Toc29508"/>
      <w:bookmarkStart w:id="49" w:name="_Toc492300566"/>
      <w:bookmarkStart w:id="50" w:name="_Toc4038"/>
      <w:bookmarkStart w:id="51" w:name="_Toc26231"/>
      <w:bookmarkStart w:id="52" w:name="_Toc6932"/>
      <w:r>
        <w:rPr>
          <w:rFonts w:ascii="宋体" w:hAnsi="宋体" w:eastAsia="宋体" w:cs="宋体"/>
          <w:color w:val="auto"/>
          <w:szCs w:val="24"/>
          <w:highlight w:val="none"/>
        </w:rPr>
        <w:t xml:space="preserve">1.2 </w:t>
      </w:r>
      <w:r>
        <w:rPr>
          <w:rFonts w:hint="eastAsia" w:ascii="宋体" w:hAnsi="宋体" w:eastAsia="宋体" w:cs="宋体"/>
          <w:color w:val="auto"/>
          <w:szCs w:val="24"/>
          <w:highlight w:val="none"/>
        </w:rPr>
        <w:t>招标项目的资金来源和落实情况</w:t>
      </w:r>
      <w:bookmarkEnd w:id="42"/>
      <w:bookmarkEnd w:id="43"/>
      <w:bookmarkEnd w:id="44"/>
      <w:bookmarkEnd w:id="45"/>
      <w:bookmarkEnd w:id="46"/>
      <w:bookmarkEnd w:id="47"/>
      <w:bookmarkEnd w:id="48"/>
      <w:bookmarkEnd w:id="49"/>
      <w:bookmarkEnd w:id="50"/>
      <w:bookmarkEnd w:id="51"/>
      <w:bookmarkEnd w:id="52"/>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1.2.1 </w:t>
      </w:r>
      <w:r>
        <w:rPr>
          <w:rFonts w:hint="eastAsia" w:ascii="宋体" w:hAnsi="宋体" w:cs="宋体"/>
          <w:color w:val="auto"/>
          <w:sz w:val="24"/>
          <w:szCs w:val="24"/>
          <w:highlight w:val="none"/>
        </w:rPr>
        <w:t>资金来源及比例：见投标人须知前附表。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1.2.2 </w:t>
      </w:r>
      <w:r>
        <w:rPr>
          <w:rFonts w:hint="eastAsia" w:ascii="宋体" w:hAnsi="宋体" w:cs="宋体"/>
          <w:color w:val="auto"/>
          <w:sz w:val="24"/>
          <w:szCs w:val="24"/>
          <w:highlight w:val="none"/>
        </w:rPr>
        <w:t>资金落实情况：见投标人须知前附表。</w:t>
      </w:r>
    </w:p>
    <w:p>
      <w:pPr>
        <w:pStyle w:val="5"/>
        <w:spacing w:line="360" w:lineRule="auto"/>
        <w:ind w:firstLine="0" w:firstLineChars="0"/>
        <w:rPr>
          <w:rFonts w:ascii="宋体" w:hAnsi="宋体" w:eastAsia="宋体" w:cs="宋体"/>
          <w:color w:val="auto"/>
          <w:szCs w:val="24"/>
          <w:highlight w:val="none"/>
        </w:rPr>
      </w:pPr>
      <w:bookmarkStart w:id="53" w:name="_Toc30529"/>
      <w:bookmarkStart w:id="54" w:name="_Toc977"/>
      <w:bookmarkStart w:id="55" w:name="_Toc492300567"/>
      <w:bookmarkStart w:id="56" w:name="_Toc31220"/>
      <w:bookmarkStart w:id="57" w:name="_Toc25902"/>
      <w:bookmarkStart w:id="58" w:name="_Toc2931"/>
      <w:bookmarkStart w:id="59" w:name="_Toc8900"/>
      <w:bookmarkStart w:id="60" w:name="_Toc10849"/>
      <w:bookmarkStart w:id="61" w:name="_Toc25003"/>
      <w:bookmarkStart w:id="62" w:name="_Toc26261"/>
      <w:bookmarkStart w:id="63" w:name="_Toc11734"/>
      <w:r>
        <w:rPr>
          <w:rFonts w:hint="eastAsia" w:ascii="宋体" w:hAnsi="宋体" w:eastAsia="宋体" w:cs="宋体"/>
          <w:color w:val="auto"/>
          <w:szCs w:val="24"/>
          <w:highlight w:val="none"/>
        </w:rPr>
        <w:t>1.3招标范围、服务期限和质量标准</w:t>
      </w:r>
      <w:bookmarkEnd w:id="53"/>
      <w:bookmarkEnd w:id="54"/>
      <w:bookmarkEnd w:id="55"/>
      <w:bookmarkEnd w:id="56"/>
      <w:bookmarkEnd w:id="57"/>
      <w:bookmarkEnd w:id="58"/>
      <w:bookmarkEnd w:id="59"/>
      <w:bookmarkEnd w:id="60"/>
      <w:bookmarkEnd w:id="61"/>
      <w:bookmarkEnd w:id="62"/>
      <w:bookmarkEnd w:id="63"/>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1.3.1 </w:t>
      </w:r>
      <w:r>
        <w:rPr>
          <w:rFonts w:hint="eastAsia" w:ascii="宋体" w:hAnsi="宋体" w:cs="宋体"/>
          <w:color w:val="auto"/>
          <w:sz w:val="24"/>
          <w:szCs w:val="24"/>
          <w:highlight w:val="none"/>
        </w:rPr>
        <w:t>招标范围：见投标人须知前附表。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1.3.2 </w:t>
      </w:r>
      <w:r>
        <w:rPr>
          <w:rFonts w:hint="eastAsia" w:ascii="宋体" w:hAnsi="宋体" w:cs="宋体"/>
          <w:color w:val="auto"/>
          <w:sz w:val="24"/>
          <w:szCs w:val="24"/>
          <w:highlight w:val="none"/>
        </w:rPr>
        <w:t>服务期限：见投标人须知前附表。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1.3.3 </w:t>
      </w:r>
      <w:r>
        <w:rPr>
          <w:rFonts w:hint="eastAsia" w:ascii="宋体" w:hAnsi="宋体" w:cs="宋体"/>
          <w:color w:val="auto"/>
          <w:sz w:val="24"/>
          <w:szCs w:val="24"/>
          <w:highlight w:val="none"/>
        </w:rPr>
        <w:t>质量标准：见投标人须知前附表。</w:t>
      </w:r>
    </w:p>
    <w:p>
      <w:pPr>
        <w:pStyle w:val="5"/>
        <w:spacing w:line="360" w:lineRule="auto"/>
        <w:ind w:firstLine="0" w:firstLineChars="0"/>
        <w:rPr>
          <w:rFonts w:ascii="宋体" w:hAnsi="宋体" w:eastAsia="宋体" w:cs="宋体"/>
          <w:color w:val="auto"/>
          <w:szCs w:val="24"/>
          <w:highlight w:val="none"/>
        </w:rPr>
      </w:pPr>
      <w:bookmarkStart w:id="64" w:name="_Toc24309"/>
      <w:bookmarkStart w:id="65" w:name="_Toc31590"/>
      <w:bookmarkStart w:id="66" w:name="_Toc21657"/>
      <w:bookmarkStart w:id="67" w:name="_Toc3452"/>
      <w:bookmarkStart w:id="68" w:name="_Toc492300568"/>
      <w:bookmarkStart w:id="69" w:name="_Toc2674"/>
      <w:bookmarkStart w:id="70" w:name="_Toc10416"/>
      <w:bookmarkStart w:id="71" w:name="_Toc19855"/>
      <w:bookmarkStart w:id="72" w:name="_Toc2550"/>
      <w:bookmarkStart w:id="73" w:name="_Toc31065"/>
      <w:bookmarkStart w:id="74" w:name="_Toc25218"/>
      <w:r>
        <w:rPr>
          <w:rFonts w:hint="eastAsia" w:ascii="宋体" w:hAnsi="宋体" w:eastAsia="宋体" w:cs="宋体"/>
          <w:color w:val="auto"/>
          <w:szCs w:val="24"/>
          <w:highlight w:val="none"/>
        </w:rPr>
        <w:t>1.4投标人资格要求</w:t>
      </w:r>
      <w:bookmarkEnd w:id="64"/>
      <w:bookmarkEnd w:id="65"/>
      <w:bookmarkEnd w:id="66"/>
      <w:bookmarkEnd w:id="67"/>
      <w:bookmarkEnd w:id="68"/>
      <w:bookmarkEnd w:id="69"/>
      <w:bookmarkEnd w:id="70"/>
      <w:bookmarkEnd w:id="71"/>
      <w:bookmarkEnd w:id="72"/>
      <w:bookmarkEnd w:id="73"/>
      <w:bookmarkEnd w:id="74"/>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1.4.1 </w:t>
      </w:r>
      <w:r>
        <w:rPr>
          <w:rFonts w:hint="eastAsia" w:ascii="宋体" w:hAnsi="宋体" w:cs="宋体"/>
          <w:color w:val="auto"/>
          <w:sz w:val="24"/>
          <w:szCs w:val="24"/>
          <w:highlight w:val="none"/>
        </w:rPr>
        <w:t>投标人应具备承担本招标项目资质条件、能力和信誉：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项目负责人</w:t>
      </w:r>
      <w:r>
        <w:rPr>
          <w:rFonts w:hint="eastAsia" w:ascii="宋体" w:hAnsi="宋体" w:cs="宋体"/>
          <w:color w:val="auto"/>
          <w:sz w:val="24"/>
          <w:szCs w:val="24"/>
          <w:highlight w:val="none"/>
        </w:rPr>
        <w:t>的资格要求：具体要求见投标人须知前附表；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（6）其他主要人员要求：见投标人须知前附表。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（7）试验检测仪器设备要求：见投标人须知前附表。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需要提交的相关证明材料见本章第3.5款的规定。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（3）联合体各方不得再以自己名义单独或参加其他联合体在本招标项目中投标，否则各相关投标均无效。</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1.4.3 </w:t>
      </w:r>
      <w:r>
        <w:rPr>
          <w:rFonts w:hint="eastAsia" w:ascii="宋体" w:hAnsi="宋体" w:cs="宋体"/>
          <w:color w:val="auto"/>
          <w:sz w:val="24"/>
          <w:szCs w:val="24"/>
          <w:highlight w:val="none"/>
        </w:rPr>
        <w:t>投标人不得存在下列情形之一：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（1）为招标人不具有独立法人资格的附属机构（单位）；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（2）与招标人存在利害关系且可能影响招标公正性；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（3）与本招标项目的其他投标人为同一个单位负责人；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（4）与本招标项目的其他投标人存在控股、管理关系；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（5）为本招标项目的代建人；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（6）为本招标项目的招标代理机构；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（7）与本招标项目的代建人或招标代理机构同为一个法定代表人；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（8）与本招标项目的代建人或招标代理机构存在控股或参股关系；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（9）与本招标项目的施工承包人以及建筑材料、建筑构配件和设备供应商有隶属关系或者其他利害关系；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（10）被依法暂停或者取消投标资格；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（11）被责令停产停业、暂扣或者吊销许可证、暂扣或者吊销执照；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（12）进入清算程序，或被宣告破产，或其他丧失履约能力的情形；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（13）在最近三年内发生重大质量问题（以相关行业主管部门的行政处罚决定或司法机关出具的有关法律文书为准）；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（14）被工商行政管理机关在全国企业信用信息公示系统中列入严重违法失信企业名单；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（15）被最高人民法院在“信用中国”网站（www.creditchina.gov.cn）或各级信用信息共享平台中列入失信被执行人名单；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（16）在近三年内投标人或其法定代表人、拟委任的</w:t>
      </w:r>
      <w:r>
        <w:rPr>
          <w:rFonts w:hint="eastAsia" w:ascii="宋体" w:hAnsi="宋体" w:cs="宋体"/>
          <w:color w:val="auto"/>
          <w:sz w:val="24"/>
          <w:szCs w:val="24"/>
          <w:highlight w:val="none"/>
          <w:lang w:val="en-US" w:eastAsia="zh-CN"/>
        </w:rPr>
        <w:t>项目负责人</w:t>
      </w:r>
      <w:r>
        <w:rPr>
          <w:rFonts w:hint="eastAsia" w:ascii="宋体" w:hAnsi="宋体" w:cs="宋体"/>
          <w:color w:val="auto"/>
          <w:sz w:val="24"/>
          <w:szCs w:val="24"/>
          <w:highlight w:val="none"/>
        </w:rPr>
        <w:t>有行贿犯罪行为的</w:t>
      </w:r>
      <w:r>
        <w:rPr>
          <w:rFonts w:hint="eastAsia" w:ascii="宋体" w:hAnsi="宋体" w:cs="宋体"/>
          <w:strike/>
          <w:color w:val="auto"/>
          <w:sz w:val="24"/>
          <w:szCs w:val="24"/>
          <w:highlight w:val="none"/>
        </w:rPr>
        <w:t>（以检察机关职务犯罪预防部门出具的查询结果为准）</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（17）法律法规或投标人须知前附表规定的其他情形。</w:t>
      </w:r>
    </w:p>
    <w:p>
      <w:pPr>
        <w:pStyle w:val="5"/>
        <w:spacing w:line="360" w:lineRule="auto"/>
        <w:ind w:firstLine="0" w:firstLineChars="0"/>
        <w:rPr>
          <w:rFonts w:ascii="宋体" w:hAnsi="宋体" w:eastAsia="宋体" w:cs="宋体"/>
          <w:color w:val="auto"/>
          <w:szCs w:val="24"/>
          <w:highlight w:val="none"/>
        </w:rPr>
      </w:pPr>
      <w:bookmarkStart w:id="75" w:name="_Toc12621"/>
      <w:bookmarkStart w:id="76" w:name="_Toc6163"/>
      <w:bookmarkStart w:id="77" w:name="_Toc21274"/>
      <w:bookmarkStart w:id="78" w:name="_Toc24418"/>
      <w:bookmarkStart w:id="79" w:name="_Toc17400"/>
      <w:bookmarkStart w:id="80" w:name="_Toc7015"/>
      <w:bookmarkStart w:id="81" w:name="_Toc872"/>
      <w:bookmarkStart w:id="82" w:name="_Toc30337"/>
      <w:bookmarkStart w:id="83" w:name="_Toc20396"/>
      <w:bookmarkStart w:id="84" w:name="_Toc492300569"/>
      <w:bookmarkStart w:id="85" w:name="_Toc32538"/>
      <w:r>
        <w:rPr>
          <w:rFonts w:ascii="宋体" w:hAnsi="宋体" w:eastAsia="宋体" w:cs="宋体"/>
          <w:color w:val="auto"/>
          <w:szCs w:val="24"/>
          <w:highlight w:val="none"/>
        </w:rPr>
        <w:t xml:space="preserve">1.5 </w:t>
      </w:r>
      <w:r>
        <w:rPr>
          <w:rFonts w:hint="eastAsia" w:ascii="宋体" w:hAnsi="宋体" w:eastAsia="宋体" w:cs="宋体"/>
          <w:color w:val="auto"/>
          <w:szCs w:val="24"/>
          <w:highlight w:val="none"/>
        </w:rPr>
        <w:t>费用承担</w:t>
      </w:r>
      <w:bookmarkEnd w:id="75"/>
      <w:bookmarkEnd w:id="76"/>
      <w:bookmarkEnd w:id="77"/>
      <w:bookmarkEnd w:id="78"/>
      <w:bookmarkEnd w:id="79"/>
      <w:bookmarkEnd w:id="80"/>
      <w:bookmarkEnd w:id="81"/>
      <w:bookmarkEnd w:id="82"/>
      <w:bookmarkEnd w:id="83"/>
      <w:bookmarkEnd w:id="84"/>
      <w:bookmarkEnd w:id="8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pPr>
        <w:pStyle w:val="5"/>
        <w:spacing w:line="360" w:lineRule="auto"/>
        <w:ind w:firstLine="0" w:firstLineChars="0"/>
        <w:rPr>
          <w:rFonts w:ascii="宋体" w:hAnsi="宋体" w:eastAsia="宋体" w:cs="宋体"/>
          <w:color w:val="auto"/>
          <w:szCs w:val="24"/>
          <w:highlight w:val="none"/>
        </w:rPr>
      </w:pPr>
      <w:bookmarkStart w:id="86" w:name="_Toc10184"/>
      <w:bookmarkStart w:id="87" w:name="_Toc1218"/>
      <w:bookmarkStart w:id="88" w:name="_Toc29749"/>
      <w:bookmarkStart w:id="89" w:name="_Toc30736"/>
      <w:bookmarkStart w:id="90" w:name="_Toc27939"/>
      <w:bookmarkStart w:id="91" w:name="_Toc4949"/>
      <w:bookmarkStart w:id="92" w:name="_Toc492300570"/>
      <w:bookmarkStart w:id="93" w:name="_Toc6809"/>
      <w:bookmarkStart w:id="94" w:name="_Toc9215"/>
      <w:bookmarkStart w:id="95" w:name="_Toc12237"/>
      <w:bookmarkStart w:id="96" w:name="_Toc13616"/>
      <w:r>
        <w:rPr>
          <w:rFonts w:ascii="宋体" w:hAnsi="宋体" w:eastAsia="宋体" w:cs="宋体"/>
          <w:color w:val="auto"/>
          <w:szCs w:val="24"/>
          <w:highlight w:val="none"/>
        </w:rPr>
        <w:t>1.6</w:t>
      </w:r>
      <w:r>
        <w:rPr>
          <w:rFonts w:hint="eastAsia" w:ascii="宋体" w:hAnsi="宋体" w:eastAsia="宋体" w:cs="宋体"/>
          <w:color w:val="auto"/>
          <w:szCs w:val="24"/>
          <w:highlight w:val="none"/>
        </w:rPr>
        <w:t xml:space="preserve"> 保密</w:t>
      </w:r>
      <w:bookmarkEnd w:id="86"/>
      <w:bookmarkEnd w:id="87"/>
      <w:bookmarkEnd w:id="88"/>
      <w:bookmarkEnd w:id="89"/>
      <w:bookmarkEnd w:id="90"/>
      <w:bookmarkEnd w:id="91"/>
      <w:bookmarkEnd w:id="92"/>
      <w:bookmarkEnd w:id="93"/>
      <w:bookmarkEnd w:id="94"/>
      <w:bookmarkEnd w:id="95"/>
      <w:bookmarkEnd w:id="9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w:t>
      </w:r>
      <w:bookmarkStart w:id="97" w:name="_Toc361508589"/>
      <w:bookmarkStart w:id="98" w:name="_Toc384308214"/>
      <w:bookmarkStart w:id="99" w:name="_Toc369531519"/>
      <w:bookmarkStart w:id="100" w:name="_Toc5326"/>
      <w:bookmarkStart w:id="101" w:name="_Toc352691477"/>
      <w:r>
        <w:rPr>
          <w:rFonts w:hint="eastAsia" w:ascii="宋体" w:hAnsi="宋体" w:cs="宋体"/>
          <w:color w:val="auto"/>
          <w:sz w:val="24"/>
          <w:szCs w:val="24"/>
          <w:highlight w:val="none"/>
        </w:rPr>
        <w:t>的商业和技术等秘密保密</w:t>
      </w:r>
      <w:bookmarkEnd w:id="97"/>
      <w:bookmarkEnd w:id="98"/>
      <w:bookmarkEnd w:id="99"/>
      <w:bookmarkEnd w:id="100"/>
      <w:bookmarkEnd w:id="101"/>
      <w:r>
        <w:rPr>
          <w:rFonts w:hint="eastAsia" w:ascii="宋体" w:hAnsi="宋体" w:cs="宋体"/>
          <w:color w:val="auto"/>
          <w:sz w:val="24"/>
          <w:szCs w:val="24"/>
          <w:highlight w:val="none"/>
        </w:rPr>
        <w:t>，否则应承担相应的法律责任。</w:t>
      </w:r>
    </w:p>
    <w:p>
      <w:pPr>
        <w:pStyle w:val="5"/>
        <w:spacing w:line="360" w:lineRule="auto"/>
        <w:ind w:firstLine="0" w:firstLineChars="0"/>
        <w:rPr>
          <w:rFonts w:ascii="宋体" w:hAnsi="宋体" w:eastAsia="宋体" w:cs="宋体"/>
          <w:color w:val="auto"/>
          <w:szCs w:val="24"/>
          <w:highlight w:val="none"/>
        </w:rPr>
      </w:pPr>
      <w:bookmarkStart w:id="102" w:name="_Toc19298"/>
      <w:bookmarkStart w:id="103" w:name="_Toc28546"/>
      <w:bookmarkStart w:id="104" w:name="_Toc6779"/>
      <w:bookmarkStart w:id="105" w:name="_Toc12300"/>
      <w:bookmarkStart w:id="106" w:name="_Toc492300571"/>
      <w:bookmarkStart w:id="107" w:name="_Toc32094"/>
      <w:bookmarkStart w:id="108" w:name="_Toc657"/>
      <w:bookmarkStart w:id="109" w:name="_Toc25860"/>
      <w:bookmarkStart w:id="110" w:name="_Toc6774"/>
      <w:bookmarkStart w:id="111" w:name="_Toc24881"/>
      <w:bookmarkStart w:id="112" w:name="_Toc31809"/>
      <w:r>
        <w:rPr>
          <w:rFonts w:ascii="宋体" w:hAnsi="宋体" w:eastAsia="宋体" w:cs="宋体"/>
          <w:color w:val="auto"/>
          <w:szCs w:val="24"/>
          <w:highlight w:val="none"/>
        </w:rPr>
        <w:t xml:space="preserve">1.7 </w:t>
      </w:r>
      <w:r>
        <w:rPr>
          <w:rFonts w:hint="eastAsia" w:ascii="宋体" w:hAnsi="宋体" w:eastAsia="宋体" w:cs="宋体"/>
          <w:color w:val="auto"/>
          <w:szCs w:val="24"/>
          <w:highlight w:val="none"/>
        </w:rPr>
        <w:t>语言文字</w:t>
      </w:r>
      <w:bookmarkEnd w:id="102"/>
      <w:bookmarkEnd w:id="103"/>
      <w:bookmarkEnd w:id="104"/>
      <w:bookmarkEnd w:id="105"/>
      <w:bookmarkEnd w:id="106"/>
      <w:bookmarkEnd w:id="107"/>
      <w:bookmarkEnd w:id="108"/>
      <w:bookmarkEnd w:id="109"/>
      <w:bookmarkEnd w:id="110"/>
      <w:bookmarkEnd w:id="111"/>
      <w:bookmarkEnd w:id="11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招标投标文件使用的语言文字为中文。专用术语使用外文的，应附有中文注释。</w:t>
      </w:r>
    </w:p>
    <w:p>
      <w:pPr>
        <w:pStyle w:val="5"/>
        <w:spacing w:line="360" w:lineRule="auto"/>
        <w:ind w:firstLine="0" w:firstLineChars="0"/>
        <w:rPr>
          <w:rFonts w:ascii="宋体" w:hAnsi="宋体" w:eastAsia="宋体" w:cs="宋体"/>
          <w:color w:val="auto"/>
          <w:szCs w:val="24"/>
          <w:highlight w:val="none"/>
        </w:rPr>
      </w:pPr>
      <w:bookmarkStart w:id="113" w:name="_Toc492300572"/>
      <w:bookmarkStart w:id="114" w:name="_Toc26431"/>
      <w:bookmarkStart w:id="115" w:name="_Toc27121"/>
      <w:bookmarkStart w:id="116" w:name="_Toc3529"/>
      <w:bookmarkStart w:id="117" w:name="_Toc20276"/>
      <w:bookmarkStart w:id="118" w:name="_Toc10804"/>
      <w:bookmarkStart w:id="119" w:name="_Toc15018"/>
      <w:bookmarkStart w:id="120" w:name="_Toc26419"/>
      <w:bookmarkStart w:id="121" w:name="_Toc10746"/>
      <w:bookmarkStart w:id="122" w:name="_Toc11561"/>
      <w:bookmarkStart w:id="123" w:name="_Toc1087"/>
      <w:r>
        <w:rPr>
          <w:rFonts w:hint="eastAsia" w:ascii="宋体" w:hAnsi="宋体" w:eastAsia="宋体" w:cs="宋体"/>
          <w:color w:val="auto"/>
          <w:szCs w:val="24"/>
          <w:highlight w:val="none"/>
        </w:rPr>
        <w:t>1.8 计量单位</w:t>
      </w:r>
      <w:bookmarkEnd w:id="113"/>
      <w:bookmarkEnd w:id="114"/>
      <w:bookmarkEnd w:id="115"/>
      <w:bookmarkEnd w:id="116"/>
      <w:bookmarkEnd w:id="117"/>
      <w:bookmarkEnd w:id="118"/>
      <w:bookmarkEnd w:id="119"/>
      <w:bookmarkEnd w:id="120"/>
      <w:bookmarkEnd w:id="121"/>
      <w:bookmarkEnd w:id="122"/>
      <w:bookmarkEnd w:id="12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pPr>
        <w:pStyle w:val="5"/>
        <w:spacing w:line="360" w:lineRule="auto"/>
        <w:ind w:firstLine="0" w:firstLineChars="0"/>
        <w:rPr>
          <w:rFonts w:ascii="宋体" w:hAnsi="宋体" w:eastAsia="宋体" w:cs="宋体"/>
          <w:color w:val="auto"/>
          <w:szCs w:val="24"/>
          <w:highlight w:val="none"/>
        </w:rPr>
      </w:pPr>
      <w:bookmarkStart w:id="124" w:name="_Toc11659"/>
      <w:bookmarkStart w:id="125" w:name="_Toc4326"/>
      <w:bookmarkStart w:id="126" w:name="_Toc20483"/>
      <w:bookmarkStart w:id="127" w:name="_Toc492300573"/>
      <w:bookmarkStart w:id="128" w:name="_Toc361508594"/>
      <w:bookmarkStart w:id="129" w:name="_Toc5474"/>
      <w:bookmarkStart w:id="130" w:name="_Toc16766"/>
      <w:bookmarkStart w:id="131" w:name="_Toc370676289"/>
      <w:bookmarkStart w:id="132" w:name="_Toc4902"/>
      <w:bookmarkStart w:id="133" w:name="_Toc247527563"/>
      <w:bookmarkStart w:id="134" w:name="_Toc10088"/>
      <w:bookmarkStart w:id="135" w:name="_Toc152042315"/>
      <w:bookmarkStart w:id="136" w:name="_Toc482188480"/>
      <w:bookmarkStart w:id="137" w:name="_Toc29990"/>
      <w:bookmarkStart w:id="138" w:name="_Toc144974507"/>
      <w:bookmarkStart w:id="139" w:name="_Toc21883"/>
      <w:bookmarkStart w:id="140" w:name="_Toc152045539"/>
      <w:bookmarkStart w:id="141" w:name="_Toc300834959"/>
      <w:bookmarkStart w:id="142" w:name="_Toc247513962"/>
      <w:bookmarkStart w:id="143" w:name="_Toc391393967"/>
      <w:bookmarkStart w:id="144" w:name="_Toc384308219"/>
      <w:bookmarkStart w:id="145" w:name="_Toc18719"/>
      <w:r>
        <w:rPr>
          <w:rFonts w:ascii="宋体" w:hAnsi="宋体" w:eastAsia="宋体" w:cs="宋体"/>
          <w:color w:val="auto"/>
          <w:szCs w:val="24"/>
          <w:highlight w:val="none"/>
        </w:rPr>
        <w:t xml:space="preserve">1.9 </w:t>
      </w:r>
      <w:r>
        <w:rPr>
          <w:rFonts w:hint="eastAsia" w:ascii="宋体" w:hAnsi="宋体" w:eastAsia="宋体" w:cs="宋体"/>
          <w:color w:val="auto"/>
          <w:szCs w:val="24"/>
          <w:highlight w:val="none"/>
        </w:rPr>
        <w:t>踏勘现场</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1.9.1 </w:t>
      </w:r>
      <w:r>
        <w:rPr>
          <w:rFonts w:hint="eastAsia" w:ascii="宋体" w:hAnsi="宋体" w:cs="宋体"/>
          <w:color w:val="auto"/>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1.9.2 </w:t>
      </w:r>
      <w:r>
        <w:rPr>
          <w:rFonts w:hint="eastAsia" w:ascii="宋体" w:hAnsi="宋体" w:cs="宋体"/>
          <w:color w:val="auto"/>
          <w:sz w:val="24"/>
          <w:szCs w:val="24"/>
          <w:highlight w:val="none"/>
        </w:rPr>
        <w:t>投标人踏勘现场发生的费用自理。</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1.9.3 </w:t>
      </w:r>
      <w:r>
        <w:rPr>
          <w:rFonts w:hint="eastAsia" w:ascii="宋体" w:hAnsi="宋体" w:cs="宋体"/>
          <w:color w:val="auto"/>
          <w:sz w:val="24"/>
          <w:szCs w:val="24"/>
          <w:highlight w:val="none"/>
        </w:rPr>
        <w:t>除招标人的原因外，投标人自行负责在踏勘现场中所发生的人员伤亡和财产损失。</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1.9.4 </w:t>
      </w:r>
      <w:r>
        <w:rPr>
          <w:rFonts w:hint="eastAsia" w:ascii="宋体" w:hAnsi="宋体" w:cs="宋体"/>
          <w:color w:val="auto"/>
          <w:sz w:val="24"/>
          <w:szCs w:val="24"/>
          <w:highlight w:val="none"/>
        </w:rPr>
        <w:t>招标人在踏勘现场中介绍的工程场地和相关的周边环境情况，供投标人在编制投标文件时参考，招标人不对投标人据此作出的判断和决策负责。</w:t>
      </w:r>
    </w:p>
    <w:p>
      <w:pPr>
        <w:pStyle w:val="5"/>
        <w:spacing w:line="360" w:lineRule="auto"/>
        <w:ind w:firstLine="0" w:firstLineChars="0"/>
        <w:rPr>
          <w:rFonts w:ascii="宋体" w:hAnsi="宋体" w:eastAsia="宋体" w:cs="宋体"/>
          <w:color w:val="auto"/>
          <w:szCs w:val="24"/>
          <w:highlight w:val="none"/>
        </w:rPr>
      </w:pPr>
      <w:bookmarkStart w:id="146" w:name="_Toc11535"/>
      <w:bookmarkStart w:id="147" w:name="_Toc492300574"/>
      <w:bookmarkStart w:id="148" w:name="_Toc9856"/>
      <w:bookmarkStart w:id="149" w:name="_Toc19565"/>
      <w:bookmarkStart w:id="150" w:name="_Toc11420"/>
      <w:bookmarkStart w:id="151" w:name="_Toc3908"/>
      <w:bookmarkStart w:id="152" w:name="_Toc21847"/>
      <w:bookmarkStart w:id="153" w:name="_Toc1864"/>
      <w:bookmarkStart w:id="154" w:name="_Toc10652"/>
      <w:bookmarkStart w:id="155" w:name="_Toc8220"/>
      <w:bookmarkStart w:id="156" w:name="_Toc18085"/>
      <w:r>
        <w:rPr>
          <w:rFonts w:hint="eastAsia" w:ascii="宋体" w:hAnsi="宋体" w:eastAsia="宋体" w:cs="宋体"/>
          <w:color w:val="auto"/>
          <w:szCs w:val="24"/>
          <w:highlight w:val="none"/>
        </w:rPr>
        <w:t>1.10 投标预备会</w:t>
      </w:r>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1.10.1 </w:t>
      </w:r>
      <w:r>
        <w:rPr>
          <w:rFonts w:hint="eastAsia" w:ascii="宋体" w:hAnsi="宋体" w:cs="宋体"/>
          <w:color w:val="auto"/>
          <w:sz w:val="24"/>
          <w:szCs w:val="24"/>
          <w:highlight w:val="none"/>
        </w:rPr>
        <w:t>投标人须知前附表规定召开投标预备会的，招标人按投标人须知前附表规定的时间和地点召开投标预备会，澄清投标人提出的问题。</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1.10.2 </w:t>
      </w:r>
      <w:r>
        <w:rPr>
          <w:rFonts w:hint="eastAsia" w:ascii="宋体" w:hAnsi="宋体" w:cs="宋体"/>
          <w:color w:val="auto"/>
          <w:sz w:val="24"/>
          <w:szCs w:val="24"/>
          <w:highlight w:val="none"/>
        </w:rPr>
        <w:t>投标人应按投标人须知前附表规定的时间和形式将提出的问题送达招标人，以便招标人在会议期间澄清。</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1.10.3 </w:t>
      </w:r>
      <w:r>
        <w:rPr>
          <w:rFonts w:hint="eastAsia" w:ascii="宋体" w:hAnsi="宋体" w:cs="宋体"/>
          <w:color w:val="auto"/>
          <w:sz w:val="24"/>
          <w:szCs w:val="24"/>
          <w:highlight w:val="none"/>
        </w:rPr>
        <w:t>投标预备会后，招标人将对投标人所提问题的澄清，以投标人须知前附表规定的形式通知所有购买招标文件的投标人。该澄清内容为招标文件的组成部分。</w:t>
      </w:r>
    </w:p>
    <w:p>
      <w:pPr>
        <w:pStyle w:val="5"/>
        <w:spacing w:line="360" w:lineRule="auto"/>
        <w:ind w:firstLine="0" w:firstLineChars="0"/>
        <w:rPr>
          <w:rFonts w:ascii="宋体" w:hAnsi="宋体" w:eastAsia="宋体" w:cs="宋体"/>
          <w:color w:val="auto"/>
          <w:szCs w:val="24"/>
          <w:highlight w:val="none"/>
        </w:rPr>
      </w:pPr>
      <w:bookmarkStart w:id="157" w:name="_Toc25550"/>
      <w:bookmarkStart w:id="158" w:name="_Toc28630"/>
      <w:bookmarkStart w:id="159" w:name="_Toc11055"/>
      <w:bookmarkStart w:id="160" w:name="_Toc22887"/>
      <w:bookmarkStart w:id="161" w:name="_Toc19968"/>
      <w:bookmarkStart w:id="162" w:name="_Toc492300575"/>
      <w:bookmarkStart w:id="163" w:name="_Toc16569"/>
      <w:bookmarkStart w:id="164" w:name="_Toc21594"/>
      <w:bookmarkStart w:id="165" w:name="_Toc6848"/>
      <w:bookmarkStart w:id="166" w:name="_Toc7636"/>
      <w:bookmarkStart w:id="167" w:name="_Toc405"/>
      <w:r>
        <w:rPr>
          <w:rFonts w:ascii="宋体" w:hAnsi="宋体" w:eastAsia="宋体" w:cs="宋体"/>
          <w:color w:val="auto"/>
          <w:szCs w:val="24"/>
          <w:highlight w:val="none"/>
        </w:rPr>
        <w:t xml:space="preserve">1.11 </w:t>
      </w:r>
      <w:r>
        <w:rPr>
          <w:rFonts w:hint="eastAsia" w:ascii="宋体" w:hAnsi="宋体" w:eastAsia="宋体" w:cs="宋体"/>
          <w:color w:val="auto"/>
          <w:szCs w:val="24"/>
          <w:highlight w:val="none"/>
        </w:rPr>
        <w:t>分包</w:t>
      </w:r>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本项目严禁分包。</w:t>
      </w:r>
    </w:p>
    <w:p>
      <w:pPr>
        <w:pStyle w:val="5"/>
        <w:spacing w:line="360" w:lineRule="auto"/>
        <w:ind w:firstLine="0" w:firstLineChars="0"/>
        <w:rPr>
          <w:rFonts w:ascii="宋体" w:hAnsi="宋体" w:eastAsia="宋体" w:cs="宋体"/>
          <w:color w:val="auto"/>
          <w:szCs w:val="24"/>
          <w:highlight w:val="none"/>
        </w:rPr>
      </w:pPr>
      <w:bookmarkStart w:id="168" w:name="_Toc5747"/>
      <w:bookmarkStart w:id="169" w:name="_Toc28221"/>
      <w:bookmarkStart w:id="170" w:name="_Toc23487"/>
      <w:bookmarkStart w:id="171" w:name="_Toc492300576"/>
      <w:bookmarkStart w:id="172" w:name="_Toc29564"/>
      <w:bookmarkStart w:id="173" w:name="_Toc9275"/>
      <w:bookmarkStart w:id="174" w:name="_Toc32619"/>
      <w:bookmarkStart w:id="175" w:name="_Toc7090"/>
      <w:bookmarkStart w:id="176" w:name="_Toc16032"/>
      <w:bookmarkStart w:id="177" w:name="_Toc15584"/>
      <w:bookmarkStart w:id="178" w:name="_Toc11892"/>
      <w:r>
        <w:rPr>
          <w:rFonts w:hint="eastAsia" w:ascii="宋体" w:hAnsi="宋体" w:eastAsia="宋体" w:cs="宋体"/>
          <w:color w:val="auto"/>
          <w:szCs w:val="24"/>
          <w:highlight w:val="none"/>
        </w:rPr>
        <w:t>1.12响应和偏差</w:t>
      </w:r>
      <w:bookmarkEnd w:id="168"/>
      <w:bookmarkEnd w:id="169"/>
      <w:bookmarkEnd w:id="170"/>
      <w:bookmarkEnd w:id="171"/>
      <w:bookmarkEnd w:id="172"/>
      <w:bookmarkEnd w:id="173"/>
      <w:bookmarkEnd w:id="174"/>
      <w:bookmarkEnd w:id="175"/>
      <w:bookmarkEnd w:id="176"/>
      <w:bookmarkEnd w:id="177"/>
      <w:bookmarkEnd w:id="17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1.12.2 </w:t>
      </w:r>
      <w:r>
        <w:rPr>
          <w:rFonts w:hint="eastAsia" w:ascii="宋体" w:hAnsi="宋体" w:cs="宋体"/>
          <w:color w:val="auto"/>
          <w:sz w:val="24"/>
          <w:szCs w:val="24"/>
          <w:highlight w:val="none"/>
        </w:rPr>
        <w:t>投标人应根据招标文件的要求提供投标</w:t>
      </w:r>
      <w:r>
        <w:rPr>
          <w:rFonts w:hint="eastAsia" w:ascii="宋体" w:hAnsi="宋体" w:cs="宋体"/>
          <w:color w:val="auto"/>
          <w:sz w:val="24"/>
          <w:szCs w:val="24"/>
          <w:highlight w:val="none"/>
          <w:lang w:eastAsia="zh-CN"/>
        </w:rPr>
        <w:t>技术服务方案</w:t>
      </w:r>
      <w:r>
        <w:rPr>
          <w:rFonts w:hint="eastAsia" w:ascii="宋体" w:hAnsi="宋体" w:cs="宋体"/>
          <w:color w:val="auto"/>
          <w:sz w:val="24"/>
          <w:szCs w:val="24"/>
          <w:highlight w:val="none"/>
        </w:rPr>
        <w:t>等内容以对招标文件作出响应。</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1.12.3投标人须知前附表允许投标文件偏离招标文件某些要求的，偏差应当符合招标文件规定的偏差范围和幅度。</w:t>
      </w:r>
    </w:p>
    <w:p>
      <w:pPr>
        <w:pStyle w:val="4"/>
        <w:spacing w:line="360" w:lineRule="auto"/>
        <w:rPr>
          <w:rFonts w:ascii="宋体" w:hAnsi="宋体" w:eastAsia="宋体" w:cs="宋体"/>
          <w:color w:val="auto"/>
          <w:sz w:val="28"/>
          <w:szCs w:val="28"/>
          <w:highlight w:val="none"/>
        </w:rPr>
      </w:pPr>
      <w:bookmarkStart w:id="179" w:name="_Toc30212"/>
      <w:bookmarkStart w:id="180" w:name="_Toc4157"/>
      <w:bookmarkStart w:id="181" w:name="_Toc12512"/>
      <w:bookmarkStart w:id="182" w:name="_Toc4355"/>
      <w:bookmarkStart w:id="183" w:name="_Toc3361"/>
      <w:bookmarkStart w:id="184" w:name="_Toc2551"/>
      <w:bookmarkStart w:id="185" w:name="_Toc32110"/>
      <w:bookmarkStart w:id="186" w:name="_Toc492300577"/>
      <w:bookmarkStart w:id="187" w:name="_Toc30626"/>
      <w:bookmarkStart w:id="188" w:name="_Toc13086"/>
      <w:bookmarkStart w:id="189" w:name="_Toc26169"/>
      <w:r>
        <w:rPr>
          <w:rFonts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rPr>
        <w:t>招标文件</w:t>
      </w:r>
      <w:bookmarkEnd w:id="179"/>
      <w:bookmarkEnd w:id="180"/>
      <w:bookmarkEnd w:id="181"/>
      <w:bookmarkEnd w:id="182"/>
      <w:bookmarkEnd w:id="183"/>
      <w:bookmarkEnd w:id="184"/>
      <w:bookmarkEnd w:id="185"/>
      <w:bookmarkEnd w:id="186"/>
      <w:bookmarkEnd w:id="187"/>
      <w:bookmarkEnd w:id="188"/>
      <w:bookmarkEnd w:id="189"/>
    </w:p>
    <w:p>
      <w:pPr>
        <w:pStyle w:val="5"/>
        <w:spacing w:line="360" w:lineRule="auto"/>
        <w:ind w:firstLine="0" w:firstLineChars="0"/>
        <w:rPr>
          <w:rFonts w:ascii="宋体" w:hAnsi="宋体" w:eastAsia="宋体" w:cs="宋体"/>
          <w:color w:val="auto"/>
          <w:szCs w:val="24"/>
          <w:highlight w:val="none"/>
        </w:rPr>
      </w:pPr>
      <w:bookmarkStart w:id="190" w:name="_Toc492300578"/>
      <w:bookmarkStart w:id="191" w:name="_Toc1039"/>
      <w:bookmarkStart w:id="192" w:name="_Toc7923"/>
      <w:bookmarkStart w:id="193" w:name="_Toc21412"/>
      <w:bookmarkStart w:id="194" w:name="_Toc32308"/>
      <w:bookmarkStart w:id="195" w:name="_Toc29609"/>
      <w:bookmarkStart w:id="196" w:name="_Toc28644"/>
      <w:bookmarkStart w:id="197" w:name="_Toc21453"/>
      <w:bookmarkStart w:id="198" w:name="_Toc5162"/>
      <w:bookmarkStart w:id="199" w:name="_Toc18046"/>
      <w:bookmarkStart w:id="200" w:name="_Toc15728"/>
      <w:r>
        <w:rPr>
          <w:rFonts w:ascii="宋体" w:hAnsi="宋体" w:eastAsia="宋体" w:cs="宋体"/>
          <w:color w:val="auto"/>
          <w:szCs w:val="24"/>
          <w:highlight w:val="none"/>
        </w:rPr>
        <w:t xml:space="preserve">2.1 </w:t>
      </w:r>
      <w:r>
        <w:rPr>
          <w:rFonts w:hint="eastAsia" w:ascii="宋体" w:hAnsi="宋体" w:eastAsia="宋体" w:cs="宋体"/>
          <w:color w:val="auto"/>
          <w:szCs w:val="24"/>
          <w:highlight w:val="none"/>
        </w:rPr>
        <w:t>招标文件的组成</w:t>
      </w:r>
      <w:bookmarkEnd w:id="190"/>
      <w:bookmarkEnd w:id="191"/>
      <w:bookmarkEnd w:id="192"/>
      <w:bookmarkEnd w:id="193"/>
      <w:bookmarkEnd w:id="194"/>
      <w:bookmarkEnd w:id="195"/>
      <w:bookmarkEnd w:id="196"/>
      <w:bookmarkEnd w:id="197"/>
      <w:bookmarkEnd w:id="198"/>
      <w:bookmarkEnd w:id="199"/>
      <w:bookmarkEnd w:id="20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（1）招标公告；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（3）评标办法；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（4）合同条款及格式；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（5）委托人要求；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eastAsia="zh-CN"/>
        </w:rPr>
        <w:t>工程量清单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投标人须知前附表规定的其他资料。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根据本章第1.10款、第2.2款和第2.3款对招标文件所作的澄清、修改，构成招标文件的组成部分。</w:t>
      </w:r>
    </w:p>
    <w:p>
      <w:pPr>
        <w:pStyle w:val="5"/>
        <w:spacing w:line="360" w:lineRule="auto"/>
        <w:ind w:firstLine="0" w:firstLineChars="0"/>
        <w:rPr>
          <w:rFonts w:ascii="宋体" w:hAnsi="宋体" w:eastAsia="宋体" w:cs="宋体"/>
          <w:color w:val="auto"/>
          <w:szCs w:val="24"/>
          <w:highlight w:val="none"/>
        </w:rPr>
      </w:pPr>
      <w:bookmarkStart w:id="201" w:name="_Toc31226"/>
      <w:bookmarkStart w:id="202" w:name="_Toc492300579"/>
      <w:bookmarkStart w:id="203" w:name="_Toc32400"/>
      <w:bookmarkStart w:id="204" w:name="_Toc20370"/>
      <w:bookmarkStart w:id="205" w:name="_Toc27084"/>
      <w:bookmarkStart w:id="206" w:name="_Toc7675"/>
      <w:bookmarkStart w:id="207" w:name="_Toc17542"/>
      <w:bookmarkStart w:id="208" w:name="_Toc20512"/>
      <w:bookmarkStart w:id="209" w:name="_Toc30224"/>
      <w:bookmarkStart w:id="210" w:name="_Toc21017"/>
      <w:bookmarkStart w:id="211" w:name="_Toc20259"/>
      <w:r>
        <w:rPr>
          <w:rFonts w:ascii="宋体" w:hAnsi="宋体" w:eastAsia="宋体" w:cs="宋体"/>
          <w:color w:val="auto"/>
          <w:szCs w:val="24"/>
          <w:highlight w:val="none"/>
        </w:rPr>
        <w:t xml:space="preserve">2.2 </w:t>
      </w:r>
      <w:r>
        <w:rPr>
          <w:rFonts w:hint="eastAsia" w:ascii="宋体" w:hAnsi="宋体" w:eastAsia="宋体" w:cs="宋体"/>
          <w:color w:val="auto"/>
          <w:szCs w:val="24"/>
          <w:highlight w:val="none"/>
        </w:rPr>
        <w:t>招标文件的澄清</w:t>
      </w:r>
      <w:bookmarkEnd w:id="201"/>
      <w:bookmarkEnd w:id="202"/>
      <w:bookmarkEnd w:id="203"/>
      <w:bookmarkEnd w:id="204"/>
      <w:bookmarkEnd w:id="205"/>
      <w:bookmarkEnd w:id="206"/>
      <w:bookmarkEnd w:id="207"/>
      <w:bookmarkEnd w:id="208"/>
      <w:bookmarkEnd w:id="209"/>
      <w:bookmarkEnd w:id="210"/>
      <w:bookmarkEnd w:id="211"/>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2.2.1 </w:t>
      </w:r>
      <w:r>
        <w:rPr>
          <w:rFonts w:hint="eastAsia" w:ascii="宋体" w:hAnsi="宋体" w:cs="宋体"/>
          <w:color w:val="auto"/>
          <w:sz w:val="24"/>
          <w:szCs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宋体" w:hAnsi="宋体" w:cs="宋体"/>
          <w:color w:val="auto"/>
          <w:sz w:val="24"/>
          <w:szCs w:val="24"/>
          <w:highlight w:val="none"/>
        </w:rPr>
      </w:pPr>
      <w:bookmarkStart w:id="212" w:name="_Hlk136176439"/>
      <w:r>
        <w:rPr>
          <w:rFonts w:hint="eastAsia" w:ascii="宋体" w:hAnsi="宋体" w:cs="宋体"/>
          <w:color w:val="auto"/>
          <w:sz w:val="24"/>
          <w:szCs w:val="24"/>
          <w:highlight w:val="none"/>
        </w:rPr>
        <w:t>2.2.2招标文件的澄清以投标人须知前附表规定的形式发给所有购买招标文件的投标人，但不指明澄清问题的来源。澄清发出的时间距本章第</w:t>
      </w:r>
      <w:r>
        <w:rPr>
          <w:rFonts w:ascii="宋体" w:hAnsi="宋体" w:cs="宋体"/>
          <w:color w:val="auto"/>
          <w:sz w:val="24"/>
          <w:szCs w:val="24"/>
          <w:highlight w:val="none"/>
        </w:rPr>
        <w:t>4.2.1项规定的投标截止时间不足15日的，并且澄清内容可能影响投标文件编制的，将相应延长投标截止时间。</w:t>
      </w:r>
    </w:p>
    <w:bookmarkEnd w:id="212"/>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2.2.3 </w:t>
      </w:r>
      <w:r>
        <w:rPr>
          <w:rFonts w:hint="eastAsia" w:ascii="宋体" w:hAnsi="宋体" w:cs="宋体"/>
          <w:color w:val="auto"/>
          <w:sz w:val="24"/>
          <w:szCs w:val="24"/>
          <w:highlight w:val="none"/>
        </w:rPr>
        <w:t>投标人在收到澄清后，应按投标人须知前附表规定的时间和形式通知招标人，确认已收到该澄清。</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2.2.4 </w:t>
      </w:r>
      <w:r>
        <w:rPr>
          <w:rFonts w:hint="eastAsia" w:ascii="宋体" w:hAnsi="宋体" w:cs="宋体"/>
          <w:color w:val="auto"/>
          <w:sz w:val="24"/>
          <w:szCs w:val="24"/>
          <w:highlight w:val="none"/>
        </w:rPr>
        <w:t>除非招标人认为确有必要答复，否则，招标人有权拒绝回复投标人在本章第2.2.1项规定的时间后的任何澄清要求。</w:t>
      </w:r>
    </w:p>
    <w:p>
      <w:pPr>
        <w:pStyle w:val="5"/>
        <w:spacing w:line="360" w:lineRule="auto"/>
        <w:ind w:firstLine="0" w:firstLineChars="0"/>
        <w:rPr>
          <w:rFonts w:ascii="宋体" w:hAnsi="宋体" w:eastAsia="宋体" w:cs="宋体"/>
          <w:color w:val="auto"/>
          <w:szCs w:val="24"/>
          <w:highlight w:val="none"/>
        </w:rPr>
      </w:pPr>
      <w:bookmarkStart w:id="213" w:name="_Toc3354"/>
      <w:bookmarkStart w:id="214" w:name="_Toc19220"/>
      <w:bookmarkStart w:id="215" w:name="_Toc7145"/>
      <w:bookmarkStart w:id="216" w:name="_Toc21906"/>
      <w:bookmarkStart w:id="217" w:name="_Toc16341"/>
      <w:bookmarkStart w:id="218" w:name="_Toc492300580"/>
      <w:bookmarkStart w:id="219" w:name="_Toc11529"/>
      <w:bookmarkStart w:id="220" w:name="_Toc1454"/>
      <w:bookmarkStart w:id="221" w:name="_Toc28678"/>
      <w:bookmarkStart w:id="222" w:name="_Toc6375"/>
      <w:bookmarkStart w:id="223" w:name="_Toc23346"/>
      <w:bookmarkStart w:id="224" w:name="_Toc352691479"/>
      <w:r>
        <w:rPr>
          <w:rFonts w:ascii="宋体" w:hAnsi="宋体" w:eastAsia="宋体" w:cs="宋体"/>
          <w:color w:val="auto"/>
          <w:szCs w:val="24"/>
          <w:highlight w:val="none"/>
        </w:rPr>
        <w:t xml:space="preserve">2.3 </w:t>
      </w:r>
      <w:r>
        <w:rPr>
          <w:rFonts w:hint="eastAsia" w:ascii="宋体" w:hAnsi="宋体" w:eastAsia="宋体" w:cs="宋体"/>
          <w:color w:val="auto"/>
          <w:szCs w:val="24"/>
          <w:highlight w:val="none"/>
        </w:rPr>
        <w:t>招标文件的修</w:t>
      </w:r>
      <w:bookmarkStart w:id="225" w:name="_Toc369531521"/>
      <w:bookmarkStart w:id="226" w:name="_Toc16514"/>
      <w:r>
        <w:rPr>
          <w:rFonts w:hint="eastAsia" w:ascii="宋体" w:hAnsi="宋体" w:eastAsia="宋体" w:cs="宋体"/>
          <w:color w:val="auto"/>
          <w:szCs w:val="24"/>
          <w:highlight w:val="none"/>
        </w:rPr>
        <w:t>改</w:t>
      </w:r>
      <w:bookmarkEnd w:id="213"/>
      <w:bookmarkEnd w:id="214"/>
      <w:bookmarkEnd w:id="215"/>
      <w:bookmarkEnd w:id="216"/>
      <w:bookmarkEnd w:id="217"/>
      <w:bookmarkEnd w:id="218"/>
      <w:bookmarkEnd w:id="219"/>
      <w:bookmarkEnd w:id="220"/>
      <w:bookmarkEnd w:id="221"/>
      <w:bookmarkEnd w:id="222"/>
      <w:bookmarkEnd w:id="22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224"/>
    <w:bookmarkEnd w:id="225"/>
    <w:bookmarkEnd w:id="226"/>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2.3.2 </w:t>
      </w:r>
      <w:r>
        <w:rPr>
          <w:rFonts w:hint="eastAsia" w:ascii="宋体" w:hAnsi="宋体" w:cs="宋体"/>
          <w:color w:val="auto"/>
          <w:sz w:val="24"/>
          <w:szCs w:val="24"/>
          <w:highlight w:val="none"/>
        </w:rPr>
        <w:t>投标人收到修改内容</w:t>
      </w:r>
      <w:bookmarkStart w:id="227" w:name="_Toc152045538"/>
      <w:bookmarkStart w:id="228" w:name="_Toc24632"/>
      <w:bookmarkStart w:id="229" w:name="_Toc369531524"/>
      <w:bookmarkStart w:id="230" w:name="_Toc247527562"/>
      <w:bookmarkStart w:id="231" w:name="_Toc300834958"/>
      <w:bookmarkStart w:id="232" w:name="_Toc361508593"/>
      <w:bookmarkStart w:id="233" w:name="_Toc152042314"/>
      <w:bookmarkStart w:id="234" w:name="_Toc352691482"/>
      <w:bookmarkStart w:id="235" w:name="_Toc247513961"/>
      <w:bookmarkStart w:id="236" w:name="_Toc144974506"/>
      <w:bookmarkStart w:id="237" w:name="_Toc384308218"/>
      <w:r>
        <w:rPr>
          <w:rFonts w:hint="eastAsia" w:ascii="宋体" w:hAnsi="宋体" w:cs="宋体"/>
          <w:color w:val="auto"/>
          <w:sz w:val="24"/>
          <w:szCs w:val="24"/>
          <w:highlight w:val="none"/>
        </w:rPr>
        <w:t>后，</w:t>
      </w:r>
      <w:bookmarkEnd w:id="227"/>
      <w:bookmarkEnd w:id="228"/>
      <w:bookmarkEnd w:id="229"/>
      <w:bookmarkEnd w:id="230"/>
      <w:bookmarkEnd w:id="231"/>
      <w:bookmarkEnd w:id="232"/>
      <w:bookmarkEnd w:id="233"/>
      <w:bookmarkEnd w:id="234"/>
      <w:bookmarkEnd w:id="235"/>
      <w:bookmarkEnd w:id="236"/>
      <w:bookmarkEnd w:id="237"/>
      <w:bookmarkStart w:id="238" w:name="_Toc247527564"/>
      <w:bookmarkStart w:id="239" w:name="_Toc152045540"/>
      <w:bookmarkStart w:id="240" w:name="_Toc369531526"/>
      <w:bookmarkStart w:id="241" w:name="_Toc152042316"/>
      <w:bookmarkStart w:id="242" w:name="_Toc300834960"/>
      <w:bookmarkStart w:id="243" w:name="_Toc144974508"/>
      <w:bookmarkStart w:id="244" w:name="_Toc352691484"/>
      <w:bookmarkStart w:id="245" w:name="_Toc247513963"/>
      <w:bookmarkStart w:id="246" w:name="_Toc384308220"/>
      <w:bookmarkStart w:id="247" w:name="_Toc16623"/>
      <w:bookmarkStart w:id="248" w:name="_Toc361508595"/>
      <w:r>
        <w:rPr>
          <w:rFonts w:hint="eastAsia" w:ascii="宋体" w:hAnsi="宋体" w:cs="宋体"/>
          <w:color w:val="auto"/>
          <w:sz w:val="24"/>
          <w:szCs w:val="24"/>
          <w:highlight w:val="none"/>
        </w:rPr>
        <w:t>应按投标人须知前附表规定的时间和形式通知招标人，确认已收到该修改。</w:t>
      </w:r>
    </w:p>
    <w:p>
      <w:pPr>
        <w:pStyle w:val="5"/>
        <w:spacing w:line="360" w:lineRule="auto"/>
        <w:ind w:firstLine="0" w:firstLineChars="0"/>
        <w:rPr>
          <w:rFonts w:ascii="宋体" w:hAnsi="宋体" w:eastAsia="宋体" w:cs="宋体"/>
          <w:color w:val="auto"/>
          <w:szCs w:val="24"/>
          <w:highlight w:val="none"/>
        </w:rPr>
      </w:pPr>
      <w:bookmarkStart w:id="249" w:name="_Toc492300581"/>
      <w:bookmarkStart w:id="250" w:name="_Toc30892"/>
      <w:bookmarkStart w:id="251" w:name="_Toc333"/>
      <w:bookmarkStart w:id="252" w:name="_Toc11612"/>
      <w:bookmarkStart w:id="253" w:name="_Toc12303"/>
      <w:bookmarkStart w:id="254" w:name="_Toc32698"/>
      <w:bookmarkStart w:id="255" w:name="_Toc26966"/>
      <w:bookmarkStart w:id="256" w:name="_Toc24120"/>
      <w:bookmarkStart w:id="257" w:name="_Toc30063"/>
      <w:bookmarkStart w:id="258" w:name="_Toc9879"/>
      <w:bookmarkStart w:id="259" w:name="_Toc7678"/>
      <w:bookmarkStart w:id="260" w:name="_Hlk136176469"/>
      <w:r>
        <w:rPr>
          <w:rFonts w:ascii="宋体" w:hAnsi="宋体" w:eastAsia="宋体" w:cs="宋体"/>
          <w:color w:val="auto"/>
          <w:szCs w:val="24"/>
          <w:highlight w:val="none"/>
        </w:rPr>
        <w:t>2.</w:t>
      </w:r>
      <w:bookmarkEnd w:id="238"/>
      <w:bookmarkEnd w:id="239"/>
      <w:bookmarkEnd w:id="240"/>
      <w:bookmarkEnd w:id="241"/>
      <w:bookmarkEnd w:id="242"/>
      <w:bookmarkEnd w:id="243"/>
      <w:bookmarkEnd w:id="244"/>
      <w:bookmarkEnd w:id="245"/>
      <w:bookmarkEnd w:id="246"/>
      <w:bookmarkEnd w:id="247"/>
      <w:bookmarkEnd w:id="248"/>
      <w:r>
        <w:rPr>
          <w:rFonts w:ascii="宋体" w:hAnsi="宋体" w:eastAsia="宋体" w:cs="宋体"/>
          <w:color w:val="auto"/>
          <w:szCs w:val="24"/>
          <w:highlight w:val="none"/>
        </w:rPr>
        <w:t xml:space="preserve">4 </w:t>
      </w:r>
      <w:r>
        <w:rPr>
          <w:rFonts w:hint="eastAsia" w:ascii="宋体" w:hAnsi="宋体" w:eastAsia="宋体" w:cs="宋体"/>
          <w:color w:val="auto"/>
          <w:szCs w:val="24"/>
          <w:highlight w:val="none"/>
        </w:rPr>
        <w:t>招标文件的异议</w:t>
      </w:r>
      <w:bookmarkEnd w:id="249"/>
      <w:bookmarkEnd w:id="250"/>
      <w:bookmarkEnd w:id="251"/>
      <w:bookmarkEnd w:id="252"/>
      <w:bookmarkEnd w:id="253"/>
      <w:bookmarkEnd w:id="254"/>
      <w:bookmarkEnd w:id="255"/>
      <w:bookmarkEnd w:id="256"/>
      <w:bookmarkEnd w:id="257"/>
      <w:bookmarkEnd w:id="258"/>
      <w:bookmarkEnd w:id="25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bookmarkEnd w:id="260"/>
    <w:p>
      <w:pPr>
        <w:pStyle w:val="4"/>
        <w:spacing w:line="360" w:lineRule="auto"/>
        <w:rPr>
          <w:rFonts w:ascii="宋体" w:hAnsi="宋体" w:eastAsia="宋体" w:cs="宋体"/>
          <w:color w:val="auto"/>
          <w:sz w:val="28"/>
          <w:szCs w:val="28"/>
          <w:highlight w:val="none"/>
        </w:rPr>
      </w:pPr>
      <w:bookmarkStart w:id="261" w:name="_Toc23844"/>
      <w:bookmarkStart w:id="262" w:name="_Toc18605"/>
      <w:bookmarkStart w:id="263" w:name="_Toc32598"/>
      <w:bookmarkStart w:id="264" w:name="_Toc12169"/>
      <w:bookmarkStart w:id="265" w:name="_Toc18998"/>
      <w:bookmarkStart w:id="266" w:name="_Toc8793"/>
      <w:bookmarkStart w:id="267" w:name="_Toc492300582"/>
      <w:bookmarkStart w:id="268" w:name="_Toc27522"/>
      <w:bookmarkStart w:id="269" w:name="_Toc27869"/>
      <w:bookmarkStart w:id="270" w:name="_Toc11693"/>
      <w:bookmarkStart w:id="271" w:name="_Toc24928"/>
      <w:r>
        <w:rPr>
          <w:rFonts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rPr>
        <w:t>投标文件</w:t>
      </w:r>
      <w:bookmarkEnd w:id="261"/>
      <w:bookmarkEnd w:id="262"/>
      <w:bookmarkEnd w:id="263"/>
      <w:bookmarkEnd w:id="264"/>
      <w:bookmarkEnd w:id="265"/>
      <w:bookmarkEnd w:id="266"/>
      <w:bookmarkEnd w:id="267"/>
      <w:bookmarkEnd w:id="268"/>
      <w:bookmarkEnd w:id="269"/>
      <w:bookmarkEnd w:id="270"/>
      <w:bookmarkEnd w:id="271"/>
    </w:p>
    <w:p>
      <w:pPr>
        <w:pStyle w:val="5"/>
        <w:spacing w:line="360" w:lineRule="auto"/>
        <w:ind w:firstLine="0" w:firstLineChars="0"/>
        <w:rPr>
          <w:rFonts w:ascii="宋体" w:hAnsi="宋体" w:eastAsia="宋体" w:cs="宋体"/>
          <w:color w:val="auto"/>
          <w:szCs w:val="24"/>
          <w:highlight w:val="none"/>
        </w:rPr>
      </w:pPr>
      <w:bookmarkStart w:id="272" w:name="_Toc26287"/>
      <w:bookmarkStart w:id="273" w:name="_Toc16439"/>
      <w:bookmarkStart w:id="274" w:name="_Toc14035"/>
      <w:bookmarkStart w:id="275" w:name="_Toc8333"/>
      <w:bookmarkStart w:id="276" w:name="_Toc24454"/>
      <w:bookmarkStart w:id="277" w:name="_Toc492300583"/>
      <w:bookmarkStart w:id="278" w:name="_Toc22448"/>
      <w:bookmarkStart w:id="279" w:name="_Toc1311"/>
      <w:bookmarkStart w:id="280" w:name="_Toc31064"/>
      <w:bookmarkStart w:id="281" w:name="_Toc26587"/>
      <w:bookmarkStart w:id="282" w:name="_Toc29143"/>
      <w:r>
        <w:rPr>
          <w:rFonts w:ascii="宋体" w:hAnsi="宋体" w:eastAsia="宋体" w:cs="宋体"/>
          <w:color w:val="auto"/>
          <w:szCs w:val="24"/>
          <w:highlight w:val="none"/>
        </w:rPr>
        <w:t xml:space="preserve">3.1 </w:t>
      </w:r>
      <w:r>
        <w:rPr>
          <w:rFonts w:hint="eastAsia" w:ascii="宋体" w:hAnsi="宋体" w:eastAsia="宋体" w:cs="宋体"/>
          <w:color w:val="auto"/>
          <w:szCs w:val="24"/>
          <w:highlight w:val="none"/>
        </w:rPr>
        <w:t>投标文件的组成</w:t>
      </w:r>
      <w:bookmarkEnd w:id="272"/>
      <w:bookmarkEnd w:id="273"/>
      <w:bookmarkEnd w:id="274"/>
      <w:bookmarkEnd w:id="275"/>
      <w:bookmarkEnd w:id="276"/>
      <w:bookmarkEnd w:id="277"/>
      <w:bookmarkEnd w:id="278"/>
      <w:bookmarkEnd w:id="279"/>
      <w:bookmarkEnd w:id="280"/>
      <w:bookmarkEnd w:id="281"/>
      <w:bookmarkEnd w:id="282"/>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3.1.1 </w:t>
      </w:r>
      <w:r>
        <w:rPr>
          <w:rFonts w:hint="eastAsia" w:ascii="宋体" w:hAnsi="宋体" w:cs="宋体"/>
          <w:color w:val="auto"/>
          <w:sz w:val="24"/>
          <w:szCs w:val="24"/>
          <w:highlight w:val="none"/>
        </w:rPr>
        <w:t>投标文件应包括下列内容：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（3）投标保证金</w:t>
      </w:r>
      <w:r>
        <w:rPr>
          <w:rFonts w:hint="eastAsia" w:ascii="宋体" w:hAnsi="宋体" w:cs="宋体"/>
          <w:color w:val="auto"/>
          <w:sz w:val="24"/>
          <w:szCs w:val="24"/>
          <w:highlight w:val="none"/>
          <w:lang w:eastAsia="zh-CN"/>
        </w:rPr>
        <w:t>（如有要求）</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（4）投标报价表</w:t>
      </w:r>
      <w:r>
        <w:rPr>
          <w:rFonts w:hint="eastAsia" w:ascii="宋体" w:hAnsi="宋体" w:cs="宋体"/>
          <w:color w:val="auto"/>
          <w:sz w:val="24"/>
          <w:szCs w:val="24"/>
          <w:highlight w:val="none"/>
          <w:lang w:eastAsia="zh-CN"/>
        </w:rPr>
        <w:t>（含已标价工程量清单）</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（5）资格审查资料；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技术服务方案</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（7）其他资料。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3.1.2 </w:t>
      </w:r>
      <w:r>
        <w:rPr>
          <w:rFonts w:hint="eastAsia" w:ascii="宋体" w:hAnsi="宋体" w:cs="宋体"/>
          <w:color w:val="auto"/>
          <w:sz w:val="24"/>
          <w:szCs w:val="24"/>
          <w:highlight w:val="none"/>
        </w:rPr>
        <w:t>投标人须知前附表规定不接受联合体投标的，或投标人没有组成联合体的，投标文件不包括本章第3.1.1（3）目所指的联合体协议书。</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3.1.3 </w:t>
      </w:r>
      <w:r>
        <w:rPr>
          <w:rFonts w:hint="eastAsia" w:ascii="宋体" w:hAnsi="宋体" w:cs="宋体"/>
          <w:color w:val="auto"/>
          <w:sz w:val="24"/>
          <w:szCs w:val="24"/>
          <w:highlight w:val="none"/>
        </w:rPr>
        <w:t>投标人须知前附表未要求提交投标保证金的，投标文件不包括本章第3.1.1（4）目所指的投标保证金。</w:t>
      </w:r>
    </w:p>
    <w:p>
      <w:pPr>
        <w:pStyle w:val="5"/>
        <w:spacing w:line="360" w:lineRule="auto"/>
        <w:ind w:firstLine="0" w:firstLineChars="0"/>
        <w:rPr>
          <w:rFonts w:ascii="宋体" w:hAnsi="宋体" w:eastAsia="宋体" w:cs="宋体"/>
          <w:color w:val="auto"/>
          <w:szCs w:val="24"/>
          <w:highlight w:val="none"/>
        </w:rPr>
      </w:pPr>
      <w:bookmarkStart w:id="283" w:name="_Toc28363"/>
      <w:bookmarkStart w:id="284" w:name="_Toc22722"/>
      <w:bookmarkStart w:id="285" w:name="_Toc492300584"/>
      <w:bookmarkStart w:id="286" w:name="_Toc2013"/>
      <w:bookmarkStart w:id="287" w:name="_Toc27845"/>
      <w:bookmarkStart w:id="288" w:name="_Toc15851"/>
      <w:bookmarkStart w:id="289" w:name="_Toc32515"/>
      <w:bookmarkStart w:id="290" w:name="_Toc4291"/>
      <w:bookmarkStart w:id="291" w:name="_Toc13408"/>
      <w:bookmarkStart w:id="292" w:name="_Toc27272"/>
      <w:bookmarkStart w:id="293" w:name="_Toc30414"/>
      <w:r>
        <w:rPr>
          <w:rFonts w:ascii="宋体" w:hAnsi="宋体" w:eastAsia="宋体" w:cs="宋体"/>
          <w:color w:val="auto"/>
          <w:szCs w:val="24"/>
          <w:highlight w:val="none"/>
        </w:rPr>
        <w:t xml:space="preserve">3.2 </w:t>
      </w:r>
      <w:r>
        <w:rPr>
          <w:rFonts w:hint="eastAsia" w:ascii="宋体" w:hAnsi="宋体" w:eastAsia="宋体" w:cs="宋体"/>
          <w:color w:val="auto"/>
          <w:szCs w:val="24"/>
          <w:highlight w:val="none"/>
        </w:rPr>
        <w:t>投标报价</w:t>
      </w:r>
      <w:bookmarkEnd w:id="283"/>
      <w:bookmarkEnd w:id="284"/>
      <w:bookmarkEnd w:id="285"/>
      <w:bookmarkEnd w:id="286"/>
      <w:bookmarkEnd w:id="287"/>
      <w:bookmarkEnd w:id="288"/>
      <w:bookmarkEnd w:id="289"/>
      <w:bookmarkEnd w:id="290"/>
      <w:bookmarkEnd w:id="291"/>
      <w:bookmarkEnd w:id="292"/>
      <w:bookmarkEnd w:id="29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3.2.1投标报价应包括国家规定的增值税税金，除投标人须知前附表另有规定外，增值税税金按一般计税方法计算。投标人应按第六章“投标文件格式”的要求在投标函中进行报价并填写投标报价表。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投标人应充分了解该项目的总体情况以及影响投标报价的其他要素。</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3.2.3</w:t>
      </w:r>
      <w:bookmarkStart w:id="294" w:name="_Toc247513967"/>
      <w:bookmarkEnd w:id="294"/>
      <w:bookmarkStart w:id="295" w:name="_Toc361508599"/>
      <w:bookmarkEnd w:id="295"/>
      <w:bookmarkStart w:id="296" w:name="_Toc300834964"/>
      <w:bookmarkEnd w:id="296"/>
      <w:bookmarkStart w:id="297" w:name="_Toc144974511"/>
      <w:bookmarkEnd w:id="297"/>
      <w:bookmarkStart w:id="298" w:name="_Toc152042319"/>
      <w:bookmarkEnd w:id="298"/>
      <w:bookmarkStart w:id="299" w:name="_Toc15242"/>
      <w:bookmarkEnd w:id="299"/>
      <w:bookmarkStart w:id="300" w:name="_Toc352691487"/>
      <w:bookmarkEnd w:id="300"/>
      <w:bookmarkStart w:id="301" w:name="_Toc152045543"/>
      <w:bookmarkEnd w:id="301"/>
      <w:bookmarkStart w:id="302" w:name="_Toc247527568"/>
      <w:bookmarkEnd w:id="302"/>
      <w:bookmarkStart w:id="303" w:name="_Toc384308224"/>
      <w:bookmarkEnd w:id="303"/>
      <w:bookmarkStart w:id="304" w:name="_Toc369531530"/>
      <w:bookmarkEnd w:id="304"/>
      <w:r>
        <w:rPr>
          <w:rFonts w:hint="eastAsia" w:ascii="宋体" w:hAnsi="宋体" w:cs="宋体"/>
          <w:color w:val="auto"/>
          <w:sz w:val="24"/>
          <w:szCs w:val="24"/>
          <w:highlight w:val="none"/>
        </w:rPr>
        <w:t xml:space="preserve"> 本项目的报价方式见投标人须知前附表。投标人在投标截止时间前修改投标函中的投标报价总额，应同时修改投标文件“投标报价表”中的相应报价。此修改须符合本章第4.3款的有关要求。</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3.2.4</w:t>
      </w:r>
      <w:r>
        <w:rPr>
          <w:rFonts w:hint="eastAsia" w:ascii="宋体" w:hAnsi="宋体" w:cs="宋体"/>
          <w:color w:val="auto"/>
          <w:sz w:val="24"/>
          <w:szCs w:val="24"/>
          <w:highlight w:val="none"/>
        </w:rPr>
        <w:t>招标人设有最高投标限价的，投标人的投标报价不得超过最高投标限价，最高投标限价在投标</w:t>
      </w:r>
      <w:bookmarkStart w:id="305" w:name="_Toc384308225"/>
      <w:bookmarkStart w:id="306" w:name="_Toc369531531"/>
      <w:bookmarkStart w:id="307" w:name="_Toc144974512"/>
      <w:bookmarkStart w:id="308" w:name="_Toc300834965"/>
      <w:bookmarkStart w:id="309" w:name="_Toc152045544"/>
      <w:bookmarkStart w:id="310" w:name="_Toc247527569"/>
      <w:bookmarkStart w:id="311" w:name="_Toc247513968"/>
      <w:bookmarkStart w:id="312" w:name="_Toc352691488"/>
      <w:bookmarkStart w:id="313" w:name="_Toc152042320"/>
      <w:bookmarkStart w:id="314" w:name="_Toc361508600"/>
      <w:bookmarkStart w:id="315" w:name="_Toc10429"/>
      <w:r>
        <w:rPr>
          <w:rFonts w:hint="eastAsia" w:ascii="宋体" w:hAnsi="宋体" w:cs="宋体"/>
          <w:color w:val="auto"/>
          <w:sz w:val="24"/>
          <w:szCs w:val="24"/>
          <w:highlight w:val="none"/>
        </w:rPr>
        <w:t>人须知前附表中载明。</w:t>
      </w:r>
      <w:bookmarkEnd w:id="305"/>
      <w:bookmarkEnd w:id="306"/>
      <w:bookmarkEnd w:id="307"/>
      <w:bookmarkEnd w:id="308"/>
      <w:bookmarkEnd w:id="309"/>
      <w:bookmarkEnd w:id="310"/>
      <w:bookmarkEnd w:id="311"/>
      <w:bookmarkEnd w:id="312"/>
      <w:bookmarkEnd w:id="313"/>
      <w:bookmarkEnd w:id="314"/>
      <w:bookmarkEnd w:id="315"/>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3.2.5 </w:t>
      </w:r>
      <w:r>
        <w:rPr>
          <w:rFonts w:hint="eastAsia" w:ascii="宋体" w:hAnsi="宋体" w:cs="宋体"/>
          <w:color w:val="auto"/>
          <w:sz w:val="24"/>
          <w:szCs w:val="24"/>
          <w:highlight w:val="none"/>
        </w:rPr>
        <w:t>投标报价的其他要求见投标人须知前附表。</w:t>
      </w:r>
    </w:p>
    <w:p>
      <w:pPr>
        <w:pStyle w:val="5"/>
        <w:spacing w:line="360" w:lineRule="auto"/>
        <w:ind w:firstLine="0" w:firstLineChars="0"/>
        <w:rPr>
          <w:rFonts w:ascii="宋体" w:hAnsi="宋体" w:eastAsia="宋体" w:cs="宋体"/>
          <w:color w:val="auto"/>
          <w:szCs w:val="24"/>
          <w:highlight w:val="none"/>
        </w:rPr>
      </w:pPr>
      <w:bookmarkStart w:id="316" w:name="_Toc20912"/>
      <w:bookmarkStart w:id="317" w:name="_Toc4335"/>
      <w:bookmarkStart w:id="318" w:name="_Toc2810"/>
      <w:bookmarkStart w:id="319" w:name="_Toc24303"/>
      <w:bookmarkStart w:id="320" w:name="_Toc14811"/>
      <w:bookmarkStart w:id="321" w:name="_Toc25774"/>
      <w:bookmarkStart w:id="322" w:name="_Toc10185"/>
      <w:bookmarkStart w:id="323" w:name="_Toc27035"/>
      <w:bookmarkStart w:id="324" w:name="_Toc492300585"/>
      <w:bookmarkStart w:id="325" w:name="_Toc14738"/>
      <w:bookmarkStart w:id="326" w:name="_Toc12868"/>
      <w:r>
        <w:rPr>
          <w:rFonts w:ascii="宋体" w:hAnsi="宋体" w:eastAsia="宋体" w:cs="宋体"/>
          <w:color w:val="auto"/>
          <w:szCs w:val="24"/>
          <w:highlight w:val="none"/>
        </w:rPr>
        <w:t xml:space="preserve">3.3 </w:t>
      </w:r>
      <w:r>
        <w:rPr>
          <w:rFonts w:hint="eastAsia" w:ascii="宋体" w:hAnsi="宋体" w:eastAsia="宋体" w:cs="宋体"/>
          <w:color w:val="auto"/>
          <w:szCs w:val="24"/>
          <w:highlight w:val="none"/>
        </w:rPr>
        <w:t>投标有效期</w:t>
      </w:r>
      <w:bookmarkEnd w:id="316"/>
      <w:bookmarkEnd w:id="317"/>
      <w:bookmarkEnd w:id="318"/>
      <w:bookmarkEnd w:id="319"/>
      <w:bookmarkEnd w:id="320"/>
      <w:bookmarkEnd w:id="321"/>
      <w:bookmarkEnd w:id="322"/>
      <w:bookmarkEnd w:id="323"/>
      <w:bookmarkEnd w:id="324"/>
      <w:bookmarkEnd w:id="325"/>
      <w:bookmarkEnd w:id="326"/>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3.3.1 </w:t>
      </w:r>
      <w:r>
        <w:rPr>
          <w:rFonts w:hint="eastAsia" w:ascii="宋体" w:hAnsi="宋体" w:cs="宋体"/>
          <w:color w:val="auto"/>
          <w:sz w:val="24"/>
          <w:szCs w:val="24"/>
          <w:highlight w:val="none"/>
        </w:rPr>
        <w:t>除投标人须知前附表另有规定外，投标有效期为90天。</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3.3.2 </w:t>
      </w:r>
      <w:r>
        <w:rPr>
          <w:rFonts w:hint="eastAsia" w:ascii="宋体" w:hAnsi="宋体" w:cs="宋体"/>
          <w:color w:val="auto"/>
          <w:sz w:val="24"/>
          <w:szCs w:val="24"/>
          <w:highlight w:val="none"/>
        </w:rPr>
        <w:t>在投标有效期内，投标人撤销投标文件的，应承担招标文件和法律规定的责任。</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3.3.3 </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line="360" w:lineRule="auto"/>
        <w:ind w:firstLine="0" w:firstLineChars="0"/>
        <w:rPr>
          <w:rFonts w:ascii="宋体" w:hAnsi="宋体" w:eastAsia="宋体" w:cs="宋体"/>
          <w:color w:val="auto"/>
          <w:szCs w:val="24"/>
          <w:highlight w:val="none"/>
        </w:rPr>
      </w:pPr>
      <w:bookmarkStart w:id="327" w:name="_Toc492300586"/>
      <w:bookmarkStart w:id="328" w:name="_Toc29543"/>
      <w:bookmarkStart w:id="329" w:name="_Toc30597"/>
      <w:bookmarkStart w:id="330" w:name="_Toc26401"/>
      <w:bookmarkStart w:id="331" w:name="_Toc16740"/>
      <w:bookmarkStart w:id="332" w:name="_Toc5522"/>
      <w:bookmarkStart w:id="333" w:name="_Toc27738"/>
      <w:bookmarkStart w:id="334" w:name="_Toc14072"/>
      <w:bookmarkStart w:id="335" w:name="_Toc311"/>
      <w:bookmarkStart w:id="336" w:name="_Toc12714"/>
      <w:bookmarkStart w:id="337" w:name="_Toc6274"/>
      <w:r>
        <w:rPr>
          <w:rFonts w:ascii="宋体" w:hAnsi="宋体" w:eastAsia="宋体" w:cs="宋体"/>
          <w:color w:val="auto"/>
          <w:szCs w:val="24"/>
          <w:highlight w:val="none"/>
        </w:rPr>
        <w:t xml:space="preserve">3.4 </w:t>
      </w:r>
      <w:r>
        <w:rPr>
          <w:rFonts w:hint="eastAsia" w:ascii="宋体" w:hAnsi="宋体" w:eastAsia="宋体" w:cs="宋体"/>
          <w:color w:val="auto"/>
          <w:szCs w:val="24"/>
          <w:highlight w:val="none"/>
        </w:rPr>
        <w:t>投标保证金</w:t>
      </w:r>
      <w:bookmarkEnd w:id="327"/>
      <w:bookmarkEnd w:id="328"/>
      <w:bookmarkEnd w:id="329"/>
      <w:bookmarkEnd w:id="330"/>
      <w:bookmarkEnd w:id="331"/>
      <w:bookmarkEnd w:id="332"/>
      <w:bookmarkEnd w:id="333"/>
      <w:bookmarkEnd w:id="334"/>
      <w:bookmarkEnd w:id="335"/>
      <w:bookmarkEnd w:id="336"/>
      <w:bookmarkEnd w:id="337"/>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3.4.1 </w:t>
      </w:r>
      <w:r>
        <w:rPr>
          <w:rFonts w:hint="eastAsia" w:ascii="宋体" w:hAnsi="宋体" w:cs="宋体"/>
          <w:color w:val="auto"/>
          <w:sz w:val="24"/>
          <w:szCs w:val="24"/>
          <w:highlight w:val="none"/>
        </w:rPr>
        <w:t>投标人在递交投标文件的同时，应按投标人须知前附表规定的金额</w:t>
      </w:r>
      <w:bookmarkStart w:id="338" w:name="_Toc152045545"/>
      <w:bookmarkStart w:id="339" w:name="_Toc247513969"/>
      <w:bookmarkStart w:id="340" w:name="_Toc300834966"/>
      <w:bookmarkStart w:id="341" w:name="_Toc369531532"/>
      <w:bookmarkStart w:id="342" w:name="_Toc144974513"/>
      <w:bookmarkStart w:id="343" w:name="_Toc361508601"/>
      <w:bookmarkStart w:id="344" w:name="_Toc4592"/>
      <w:bookmarkStart w:id="345" w:name="_Toc352691489"/>
      <w:bookmarkStart w:id="346" w:name="_Toc247527570"/>
      <w:bookmarkStart w:id="347" w:name="_Toc152042321"/>
      <w:bookmarkStart w:id="348" w:name="_Toc384308226"/>
      <w:r>
        <w:rPr>
          <w:rFonts w:hint="eastAsia" w:ascii="宋体" w:hAnsi="宋体" w:cs="宋体"/>
          <w:color w:val="auto"/>
          <w:sz w:val="24"/>
          <w:szCs w:val="24"/>
          <w:highlight w:val="none"/>
        </w:rPr>
        <w:t>、形式和第六章“投标文</w:t>
      </w:r>
      <w:bookmarkEnd w:id="338"/>
      <w:bookmarkEnd w:id="339"/>
      <w:bookmarkEnd w:id="340"/>
      <w:bookmarkEnd w:id="341"/>
      <w:bookmarkEnd w:id="342"/>
      <w:bookmarkEnd w:id="343"/>
      <w:bookmarkEnd w:id="344"/>
      <w:bookmarkEnd w:id="345"/>
      <w:bookmarkEnd w:id="346"/>
      <w:bookmarkEnd w:id="347"/>
      <w:bookmarkEnd w:id="348"/>
      <w:r>
        <w:rPr>
          <w:rFonts w:hint="eastAsia" w:ascii="宋体" w:hAnsi="宋体" w:cs="宋体"/>
          <w:color w:val="auto"/>
          <w:sz w:val="24"/>
          <w:szCs w:val="24"/>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3.4.2 </w:t>
      </w:r>
      <w:r>
        <w:rPr>
          <w:rFonts w:hint="eastAsia" w:ascii="宋体" w:hAnsi="宋体" w:cs="宋体"/>
          <w:color w:val="auto"/>
          <w:sz w:val="24"/>
          <w:szCs w:val="24"/>
          <w:highlight w:val="none"/>
        </w:rPr>
        <w:t>投标人不按本章第3.4.1项</w:t>
      </w:r>
      <w:bookmarkStart w:id="349" w:name="_Toc352691490"/>
      <w:bookmarkStart w:id="350" w:name="_Toc361508602"/>
      <w:bookmarkStart w:id="351" w:name="_Toc384308227"/>
      <w:bookmarkStart w:id="352" w:name="_Toc29025"/>
      <w:bookmarkStart w:id="353" w:name="_Toc369531533"/>
      <w:r>
        <w:rPr>
          <w:rFonts w:hint="eastAsia" w:ascii="宋体" w:hAnsi="宋体" w:cs="宋体"/>
          <w:color w:val="auto"/>
          <w:sz w:val="24"/>
          <w:szCs w:val="24"/>
          <w:highlight w:val="none"/>
        </w:rPr>
        <w:t>要求提交投标保证金的，</w:t>
      </w:r>
      <w:bookmarkEnd w:id="349"/>
      <w:bookmarkEnd w:id="350"/>
      <w:bookmarkEnd w:id="351"/>
      <w:bookmarkEnd w:id="352"/>
      <w:bookmarkEnd w:id="353"/>
      <w:r>
        <w:rPr>
          <w:rFonts w:hint="eastAsia" w:ascii="宋体" w:hAnsi="宋体" w:cs="宋体"/>
          <w:color w:val="auto"/>
          <w:sz w:val="24"/>
          <w:szCs w:val="24"/>
          <w:highlight w:val="none"/>
        </w:rPr>
        <w:t>评标委员会将否决其投标。</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3.4.3 </w:t>
      </w:r>
      <w:r>
        <w:rPr>
          <w:rFonts w:hint="eastAsia" w:ascii="宋体" w:hAnsi="宋体" w:cs="宋体"/>
          <w:color w:val="auto"/>
          <w:sz w:val="24"/>
          <w:szCs w:val="24"/>
          <w:highlight w:val="none"/>
        </w:rPr>
        <w:t>招标人最迟将在与中标人</w:t>
      </w:r>
      <w:bookmarkStart w:id="354" w:name="_Toc144974514"/>
      <w:bookmarkStart w:id="355" w:name="_Toc361508603"/>
      <w:bookmarkStart w:id="356" w:name="_Toc369531534"/>
      <w:bookmarkStart w:id="357" w:name="_Toc352691491"/>
      <w:bookmarkStart w:id="358" w:name="_Toc300834967"/>
      <w:bookmarkStart w:id="359" w:name="_Toc14751"/>
      <w:bookmarkStart w:id="360" w:name="_Toc247527571"/>
      <w:bookmarkStart w:id="361" w:name="_Toc247513970"/>
      <w:bookmarkStart w:id="362" w:name="_Toc384308228"/>
      <w:bookmarkStart w:id="363" w:name="_Toc152045546"/>
      <w:bookmarkStart w:id="364" w:name="_Toc152042322"/>
      <w:r>
        <w:rPr>
          <w:rFonts w:hint="eastAsia" w:ascii="宋体" w:hAnsi="宋体" w:cs="宋体"/>
          <w:color w:val="auto"/>
          <w:sz w:val="24"/>
          <w:szCs w:val="24"/>
          <w:highlight w:val="none"/>
        </w:rPr>
        <w:t>签订合同后5日</w:t>
      </w:r>
      <w:bookmarkEnd w:id="354"/>
      <w:bookmarkEnd w:id="355"/>
      <w:bookmarkEnd w:id="356"/>
      <w:bookmarkEnd w:id="357"/>
      <w:bookmarkEnd w:id="358"/>
      <w:bookmarkEnd w:id="359"/>
      <w:bookmarkEnd w:id="360"/>
      <w:bookmarkEnd w:id="361"/>
      <w:bookmarkEnd w:id="362"/>
      <w:bookmarkEnd w:id="363"/>
      <w:bookmarkEnd w:id="364"/>
      <w:r>
        <w:rPr>
          <w:rFonts w:hint="eastAsia" w:ascii="宋体" w:hAnsi="宋体" w:cs="宋体"/>
          <w:color w:val="auto"/>
          <w:sz w:val="24"/>
          <w:szCs w:val="24"/>
          <w:highlight w:val="none"/>
        </w:rPr>
        <w:t>内</w:t>
      </w:r>
      <w:bookmarkStart w:id="365" w:name="_Toc352691492"/>
      <w:bookmarkStart w:id="366" w:name="_Toc369531535"/>
      <w:bookmarkStart w:id="367" w:name="_Toc300834968"/>
      <w:bookmarkStart w:id="368" w:name="_Toc361508604"/>
      <w:bookmarkStart w:id="369" w:name="_Toc247527572"/>
      <w:bookmarkStart w:id="370" w:name="_Toc17952"/>
      <w:bookmarkStart w:id="371" w:name="_Toc144974515"/>
      <w:bookmarkStart w:id="372" w:name="_Toc152042323"/>
      <w:bookmarkStart w:id="373" w:name="_Toc384308229"/>
      <w:bookmarkStart w:id="374" w:name="_Toc247513971"/>
      <w:bookmarkStart w:id="375" w:name="_Toc152045547"/>
      <w:r>
        <w:rPr>
          <w:rFonts w:hint="eastAsia" w:ascii="宋体" w:hAnsi="宋体" w:cs="宋体"/>
          <w:color w:val="auto"/>
          <w:sz w:val="24"/>
          <w:szCs w:val="24"/>
          <w:highlight w:val="none"/>
        </w:rPr>
        <w:t>，向未中标的投标人和中</w:t>
      </w:r>
      <w:bookmarkEnd w:id="365"/>
      <w:bookmarkEnd w:id="366"/>
      <w:bookmarkEnd w:id="367"/>
      <w:bookmarkEnd w:id="368"/>
      <w:bookmarkEnd w:id="369"/>
      <w:bookmarkEnd w:id="370"/>
      <w:bookmarkEnd w:id="371"/>
      <w:bookmarkEnd w:id="372"/>
      <w:bookmarkEnd w:id="373"/>
      <w:bookmarkEnd w:id="374"/>
      <w:bookmarkEnd w:id="375"/>
      <w:r>
        <w:rPr>
          <w:rFonts w:hint="eastAsia" w:ascii="宋体" w:hAnsi="宋体" w:cs="宋体"/>
          <w:color w:val="auto"/>
          <w:sz w:val="24"/>
          <w:szCs w:val="24"/>
          <w:highlight w:val="none"/>
        </w:rPr>
        <w:t>标人退还投标保证金。投标保证金以现金或者支票形式递交的，还应退还银行同期存款利息。</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3.4.4 </w:t>
      </w:r>
      <w:r>
        <w:rPr>
          <w:rFonts w:hint="eastAsia" w:ascii="宋体" w:hAnsi="宋体" w:cs="宋体"/>
          <w:color w:val="auto"/>
          <w:sz w:val="24"/>
          <w:szCs w:val="24"/>
          <w:highlight w:val="none"/>
        </w:rPr>
        <w:t>有下列情形之一的，投标保证金将不予退还：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（1）投标人在投标有效期内撤销投标文件；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（3）发生投标人须知前附表规定的其他可以不予退还投标保证金的情形。</w:t>
      </w:r>
    </w:p>
    <w:p>
      <w:pPr>
        <w:pStyle w:val="5"/>
        <w:spacing w:line="360" w:lineRule="auto"/>
        <w:ind w:firstLine="0" w:firstLineChars="0"/>
        <w:rPr>
          <w:rFonts w:ascii="宋体" w:hAnsi="宋体" w:eastAsia="宋体" w:cs="宋体"/>
          <w:color w:val="auto"/>
          <w:szCs w:val="24"/>
          <w:highlight w:val="none"/>
        </w:rPr>
      </w:pPr>
      <w:bookmarkStart w:id="376" w:name="_Toc7646"/>
      <w:bookmarkStart w:id="377" w:name="_Toc11489"/>
      <w:bookmarkStart w:id="378" w:name="_Toc5941"/>
      <w:bookmarkStart w:id="379" w:name="_Toc492300588"/>
      <w:bookmarkStart w:id="380" w:name="_Toc5639"/>
      <w:bookmarkStart w:id="381" w:name="_Toc24524"/>
      <w:bookmarkStart w:id="382" w:name="_Toc19882"/>
      <w:bookmarkStart w:id="383" w:name="_Toc30937"/>
      <w:bookmarkStart w:id="384" w:name="_Toc15036"/>
      <w:bookmarkStart w:id="385" w:name="_Toc278"/>
      <w:bookmarkStart w:id="386" w:name="_Toc29907"/>
      <w:bookmarkStart w:id="387" w:name="_Hlk136177837"/>
      <w:r>
        <w:rPr>
          <w:rFonts w:ascii="宋体" w:hAnsi="宋体" w:eastAsia="宋体" w:cs="宋体"/>
          <w:color w:val="auto"/>
          <w:szCs w:val="24"/>
          <w:highlight w:val="none"/>
        </w:rPr>
        <w:t xml:space="preserve">3.5 </w:t>
      </w:r>
      <w:r>
        <w:rPr>
          <w:rFonts w:hint="eastAsia" w:ascii="宋体" w:hAnsi="宋体" w:eastAsia="宋体" w:cs="宋体"/>
          <w:color w:val="auto"/>
          <w:szCs w:val="24"/>
          <w:highlight w:val="none"/>
        </w:rPr>
        <w:t>资格审查资料（适用于未进行资格预审的）</w:t>
      </w:r>
      <w:bookmarkEnd w:id="376"/>
      <w:bookmarkEnd w:id="377"/>
      <w:bookmarkEnd w:id="378"/>
      <w:bookmarkEnd w:id="379"/>
      <w:bookmarkEnd w:id="380"/>
      <w:bookmarkEnd w:id="381"/>
      <w:bookmarkEnd w:id="382"/>
      <w:bookmarkEnd w:id="383"/>
      <w:bookmarkEnd w:id="384"/>
      <w:bookmarkEnd w:id="385"/>
      <w:bookmarkEnd w:id="386"/>
    </w:p>
    <w:bookmarkEnd w:id="387"/>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除投标人须知前附表另有规定外，投标人应按下列规定提供资格审查资料，以证明其满足本章第1.4款规定的资质、财务、业绩、信誉等要求。</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3.5.1 </w:t>
      </w:r>
      <w:r>
        <w:rPr>
          <w:rFonts w:hint="eastAsia" w:ascii="宋体" w:hAnsi="宋体" w:cs="宋体"/>
          <w:color w:val="auto"/>
          <w:sz w:val="24"/>
          <w:szCs w:val="24"/>
          <w:highlight w:val="none"/>
        </w:rPr>
        <w:t>“投标人基本情况表”应附投标人营业执照和组织机构代码证的扫描件（按照“三证合一”或“五证合一”登记制度进行登记的，可仅提供营业执照扫描件）等材料的扫描件。</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3.5.2 </w:t>
      </w:r>
      <w:r>
        <w:rPr>
          <w:rFonts w:hint="eastAsia" w:ascii="宋体" w:hAnsi="宋体" w:cs="宋体"/>
          <w:strike/>
          <w:color w:val="auto"/>
          <w:sz w:val="24"/>
          <w:szCs w:val="24"/>
          <w:highlight w:val="none"/>
        </w:rPr>
        <w:t>“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3.5.3 </w:t>
      </w:r>
      <w:r>
        <w:rPr>
          <w:rFonts w:hint="eastAsia" w:ascii="宋体" w:hAnsi="宋体" w:cs="宋体"/>
          <w:strike/>
          <w:color w:val="auto"/>
          <w:sz w:val="24"/>
          <w:szCs w:val="24"/>
          <w:highlight w:val="none"/>
        </w:rPr>
        <w:t>“近年完成的类似监理项目情况表”应附中标通知书和（或）合同协议书、委托人出具的证明文件；具体时间要求见投标人须知前附表，每张表格只填写一个项目，并标明序号。</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3.5.4 </w:t>
      </w:r>
      <w:r>
        <w:rPr>
          <w:rFonts w:hint="eastAsia" w:ascii="宋体" w:hAnsi="宋体" w:cs="宋体"/>
          <w:strike/>
          <w:color w:val="auto"/>
          <w:sz w:val="24"/>
          <w:szCs w:val="24"/>
          <w:highlight w:val="none"/>
        </w:rPr>
        <w:t>“正在监理和新承接的项目情况表”应附中标通知书和（或）合同协议书扫描件。每张表格只填写一个项目，并标明序号。</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3.5.5 </w:t>
      </w:r>
      <w:r>
        <w:rPr>
          <w:rFonts w:hint="eastAsia" w:ascii="宋体" w:hAnsi="宋体" w:cs="宋体"/>
          <w:strike/>
          <w:color w:val="auto"/>
          <w:sz w:val="24"/>
          <w:szCs w:val="24"/>
          <w:highlight w:val="none"/>
        </w:rPr>
        <w:t>“近年发生的诉讼及仲裁情况”应说明投标人败诉的监理合同的相关情况，并附法院或仲裁机构作出的判决、裁决等有关法律文书扫描件，具体时间要求见投标人须知前附表。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3.5.6 </w:t>
      </w:r>
      <w:r>
        <w:rPr>
          <w:rFonts w:hint="eastAsia" w:ascii="宋体" w:hAnsi="宋体" w:cs="宋体"/>
          <w:color w:val="auto"/>
          <w:sz w:val="24"/>
          <w:szCs w:val="24"/>
          <w:highlight w:val="none"/>
        </w:rPr>
        <w:t>“拟委任的主要人员汇总表”应填报满足本章第1.4.1项规定的</w:t>
      </w:r>
      <w:r>
        <w:rPr>
          <w:rFonts w:hint="eastAsia" w:ascii="宋体" w:hAnsi="宋体" w:cs="宋体"/>
          <w:color w:val="auto"/>
          <w:sz w:val="24"/>
          <w:szCs w:val="24"/>
          <w:highlight w:val="none"/>
          <w:lang w:val="en-US" w:eastAsia="zh-CN"/>
        </w:rPr>
        <w:t>项目负责人</w:t>
      </w:r>
      <w:r>
        <w:rPr>
          <w:rFonts w:hint="eastAsia" w:ascii="宋体" w:hAnsi="宋体" w:cs="宋体"/>
          <w:color w:val="auto"/>
          <w:sz w:val="24"/>
          <w:szCs w:val="24"/>
          <w:highlight w:val="none"/>
        </w:rPr>
        <w:t>和其他主要人员的相关信息。“主要人员简历表”中</w:t>
      </w:r>
      <w:r>
        <w:rPr>
          <w:rFonts w:hint="eastAsia" w:ascii="宋体" w:hAnsi="宋体" w:cs="宋体"/>
          <w:color w:val="auto"/>
          <w:sz w:val="24"/>
          <w:szCs w:val="24"/>
          <w:highlight w:val="none"/>
          <w:lang w:eastAsia="zh-CN"/>
        </w:rPr>
        <w:t>项目负责人</w:t>
      </w:r>
      <w:r>
        <w:rPr>
          <w:rFonts w:hint="eastAsia" w:ascii="宋体" w:hAnsi="宋体" w:cs="宋体"/>
          <w:color w:val="auto"/>
          <w:sz w:val="24"/>
          <w:szCs w:val="24"/>
          <w:highlight w:val="none"/>
        </w:rPr>
        <w:t>应附身份证、学历证、职称证和社保缴费证明扫描件，管理过的项目业绩须附合同协议书扫描件；其他主要人员应附身份证、学历证、职称证、有关证书和社保缴费证明扫描件。</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3.5.7 </w:t>
      </w:r>
      <w:r>
        <w:rPr>
          <w:rFonts w:hint="eastAsia" w:ascii="宋体" w:hAnsi="宋体" w:cs="宋体"/>
          <w:color w:val="auto"/>
          <w:sz w:val="24"/>
          <w:szCs w:val="24"/>
          <w:highlight w:val="none"/>
        </w:rPr>
        <w:t>“拟投入本项目的主要试验检测仪器设备表”应填报满足本章第1.4.1项规定的试验检测仪器设备。</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3.5.8 </w:t>
      </w:r>
      <w:r>
        <w:rPr>
          <w:rFonts w:hint="eastAsia" w:ascii="宋体" w:hAnsi="宋体" w:cs="宋体"/>
          <w:color w:val="auto"/>
          <w:sz w:val="24"/>
          <w:szCs w:val="24"/>
          <w:highlight w:val="none"/>
        </w:rPr>
        <w:t>投标人须知前附表规定接受联合体投标的，本章第3.5.1项至第3.5.7项规定的表格和资料应包括联合体各方相关情况。</w:t>
      </w:r>
    </w:p>
    <w:p>
      <w:pPr>
        <w:pStyle w:val="5"/>
        <w:spacing w:line="360" w:lineRule="auto"/>
        <w:ind w:firstLine="0" w:firstLineChars="0"/>
        <w:rPr>
          <w:rFonts w:ascii="宋体" w:hAnsi="宋体" w:eastAsia="宋体" w:cs="宋体"/>
          <w:color w:val="auto"/>
          <w:szCs w:val="24"/>
          <w:highlight w:val="none"/>
        </w:rPr>
      </w:pPr>
      <w:bookmarkStart w:id="388" w:name="_Toc492300589"/>
      <w:bookmarkStart w:id="389" w:name="_Toc21646"/>
      <w:bookmarkStart w:id="390" w:name="_Toc19100"/>
      <w:bookmarkStart w:id="391" w:name="_Toc22361"/>
      <w:bookmarkStart w:id="392" w:name="_Toc8890"/>
      <w:bookmarkStart w:id="393" w:name="_Toc24690"/>
      <w:bookmarkStart w:id="394" w:name="_Toc15775"/>
      <w:bookmarkStart w:id="395" w:name="_Toc13900"/>
      <w:bookmarkStart w:id="396" w:name="_Toc14983"/>
      <w:bookmarkStart w:id="397" w:name="_Toc21637"/>
      <w:bookmarkStart w:id="398" w:name="_Toc26607"/>
      <w:r>
        <w:rPr>
          <w:rFonts w:ascii="宋体" w:hAnsi="宋体" w:eastAsia="宋体" w:cs="宋体"/>
          <w:color w:val="auto"/>
          <w:szCs w:val="24"/>
          <w:highlight w:val="none"/>
        </w:rPr>
        <w:t xml:space="preserve">3.6 </w:t>
      </w:r>
      <w:r>
        <w:rPr>
          <w:rFonts w:hint="eastAsia" w:ascii="宋体" w:hAnsi="宋体" w:eastAsia="宋体" w:cs="宋体"/>
          <w:color w:val="auto"/>
          <w:szCs w:val="24"/>
          <w:highlight w:val="none"/>
        </w:rPr>
        <w:t>备选投标方案</w:t>
      </w:r>
      <w:bookmarkEnd w:id="388"/>
      <w:bookmarkEnd w:id="389"/>
      <w:bookmarkEnd w:id="390"/>
      <w:bookmarkEnd w:id="391"/>
      <w:bookmarkEnd w:id="392"/>
      <w:bookmarkEnd w:id="393"/>
      <w:bookmarkEnd w:id="394"/>
      <w:bookmarkEnd w:id="395"/>
      <w:bookmarkEnd w:id="396"/>
      <w:bookmarkEnd w:id="397"/>
      <w:bookmarkEnd w:id="398"/>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3.6.1 </w:t>
      </w:r>
      <w:r>
        <w:rPr>
          <w:rFonts w:hint="eastAsia" w:ascii="宋体" w:hAnsi="宋体" w:cs="宋体"/>
          <w:color w:val="auto"/>
          <w:sz w:val="24"/>
          <w:szCs w:val="24"/>
          <w:highlight w:val="none"/>
        </w:rPr>
        <w:t>除投标人须知前附表规定允许外，投标人不得递交备选投标方案，否则其投标将被否决。</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3.6.2 </w:t>
      </w:r>
      <w:r>
        <w:rPr>
          <w:rFonts w:hint="eastAsia" w:ascii="宋体" w:hAnsi="宋体" w:cs="宋体"/>
          <w:color w:val="auto"/>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3.6.3 </w:t>
      </w:r>
      <w:r>
        <w:rPr>
          <w:rFonts w:hint="eastAsia" w:ascii="宋体" w:hAnsi="宋体" w:cs="宋体"/>
          <w:color w:val="auto"/>
          <w:sz w:val="24"/>
          <w:szCs w:val="24"/>
          <w:highlight w:val="none"/>
        </w:rPr>
        <w:t>投标人提供两个或两个以上投标报价，或者在投标文件中提供一个报价，但同时提供两个或两个以上</w:t>
      </w:r>
      <w:bookmarkStart w:id="399" w:name="_Toc144974518"/>
      <w:bookmarkStart w:id="400" w:name="_Toc352691495"/>
      <w:bookmarkStart w:id="401" w:name="_Toc152045550"/>
      <w:bookmarkStart w:id="402" w:name="_Toc361508607"/>
      <w:bookmarkStart w:id="403" w:name="_Toc29902"/>
      <w:bookmarkStart w:id="404" w:name="_Toc300834971"/>
      <w:bookmarkStart w:id="405" w:name="_Toc247513974"/>
      <w:bookmarkStart w:id="406" w:name="_Toc384308232"/>
      <w:bookmarkStart w:id="407" w:name="_Toc369531538"/>
      <w:bookmarkStart w:id="408" w:name="_Toc152042326"/>
      <w:bookmarkStart w:id="409" w:name="_Toc247527575"/>
      <w:r>
        <w:rPr>
          <w:rFonts w:hint="eastAsia" w:ascii="宋体" w:hAnsi="宋体" w:cs="宋体"/>
          <w:color w:val="auto"/>
          <w:sz w:val="24"/>
          <w:szCs w:val="24"/>
          <w:highlight w:val="none"/>
          <w:lang w:val="en-US" w:eastAsia="zh-CN"/>
        </w:rPr>
        <w:t>技术服务</w:t>
      </w:r>
      <w:r>
        <w:rPr>
          <w:rFonts w:hint="eastAsia" w:ascii="宋体" w:hAnsi="宋体" w:cs="宋体"/>
          <w:color w:val="auto"/>
          <w:sz w:val="24"/>
          <w:szCs w:val="24"/>
          <w:highlight w:val="none"/>
        </w:rPr>
        <w:t>方案的</w:t>
      </w:r>
      <w:bookmarkEnd w:id="399"/>
      <w:bookmarkEnd w:id="400"/>
      <w:bookmarkEnd w:id="401"/>
      <w:bookmarkEnd w:id="402"/>
      <w:bookmarkEnd w:id="403"/>
      <w:bookmarkEnd w:id="404"/>
      <w:bookmarkEnd w:id="405"/>
      <w:bookmarkEnd w:id="406"/>
      <w:bookmarkEnd w:id="407"/>
      <w:bookmarkEnd w:id="408"/>
      <w:bookmarkEnd w:id="409"/>
      <w:r>
        <w:rPr>
          <w:rFonts w:hint="eastAsia" w:ascii="宋体" w:hAnsi="宋体" w:cs="宋体"/>
          <w:color w:val="auto"/>
          <w:sz w:val="24"/>
          <w:szCs w:val="24"/>
          <w:highlight w:val="none"/>
        </w:rPr>
        <w:t>，视为提供备选方案。</w:t>
      </w:r>
    </w:p>
    <w:p>
      <w:pPr>
        <w:pStyle w:val="5"/>
        <w:spacing w:line="360" w:lineRule="auto"/>
        <w:ind w:firstLine="0" w:firstLineChars="0"/>
        <w:rPr>
          <w:rFonts w:ascii="宋体" w:hAnsi="宋体" w:eastAsia="宋体" w:cs="宋体"/>
          <w:color w:val="auto"/>
          <w:szCs w:val="24"/>
          <w:highlight w:val="none"/>
        </w:rPr>
      </w:pPr>
      <w:bookmarkStart w:id="410" w:name="_Toc12491"/>
      <w:bookmarkStart w:id="411" w:name="_Toc18115"/>
      <w:bookmarkStart w:id="412" w:name="_Toc6531"/>
      <w:bookmarkStart w:id="413" w:name="_Toc28209"/>
      <w:bookmarkStart w:id="414" w:name="_Toc21879"/>
      <w:bookmarkStart w:id="415" w:name="_Toc15838"/>
      <w:bookmarkStart w:id="416" w:name="_Toc18836"/>
      <w:bookmarkStart w:id="417" w:name="_Toc6577"/>
      <w:bookmarkStart w:id="418" w:name="_Toc19725"/>
      <w:bookmarkStart w:id="419" w:name="_Toc492300590"/>
      <w:bookmarkStart w:id="420" w:name="_Toc5860"/>
      <w:r>
        <w:rPr>
          <w:rFonts w:ascii="宋体" w:hAnsi="宋体" w:eastAsia="宋体" w:cs="宋体"/>
          <w:color w:val="auto"/>
          <w:szCs w:val="24"/>
          <w:highlight w:val="none"/>
        </w:rPr>
        <w:t xml:space="preserve">3.7 </w:t>
      </w:r>
      <w:r>
        <w:rPr>
          <w:rFonts w:hint="eastAsia" w:ascii="宋体" w:hAnsi="宋体" w:eastAsia="宋体" w:cs="宋体"/>
          <w:color w:val="auto"/>
          <w:szCs w:val="24"/>
          <w:highlight w:val="none"/>
        </w:rPr>
        <w:t>投标文件的编制</w:t>
      </w:r>
      <w:bookmarkEnd w:id="410"/>
      <w:bookmarkEnd w:id="411"/>
      <w:bookmarkEnd w:id="412"/>
      <w:bookmarkEnd w:id="413"/>
      <w:bookmarkEnd w:id="414"/>
      <w:bookmarkEnd w:id="415"/>
      <w:bookmarkEnd w:id="416"/>
      <w:bookmarkEnd w:id="417"/>
      <w:bookmarkEnd w:id="418"/>
      <w:bookmarkEnd w:id="419"/>
      <w:bookmarkEnd w:id="420"/>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3.7.1 </w:t>
      </w:r>
      <w:r>
        <w:rPr>
          <w:rFonts w:hint="eastAsia" w:ascii="宋体" w:hAnsi="宋体" w:cs="宋体"/>
          <w:color w:val="auto"/>
          <w:sz w:val="24"/>
          <w:szCs w:val="24"/>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3.7.2 </w:t>
      </w:r>
      <w:r>
        <w:rPr>
          <w:rFonts w:hint="eastAsia" w:ascii="宋体" w:hAnsi="宋体" w:cs="宋体"/>
          <w:color w:val="auto"/>
          <w:sz w:val="24"/>
          <w:szCs w:val="24"/>
          <w:highlight w:val="none"/>
        </w:rPr>
        <w:t>投标文件应当对招标文件有关服务期限、投标有效期、委托人要求、招标范围等实质性内容作出响应。</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（2）投标文件正本一份，副本份数见投标人须知前附表。正本和副本的封面</w:t>
      </w:r>
      <w:r>
        <w:rPr>
          <w:rStyle w:val="25"/>
          <w:rFonts w:hint="eastAsia" w:ascii="宋体" w:hAnsi="宋体" w:cs="宋体"/>
          <w:strike/>
          <w:color w:val="auto"/>
          <w:kern w:val="0"/>
          <w:sz w:val="24"/>
          <w:szCs w:val="24"/>
          <w:highlight w:val="none"/>
        </w:rPr>
        <w:t>右上角</w:t>
      </w:r>
      <w:r>
        <w:rPr>
          <w:rFonts w:hint="eastAsia" w:ascii="宋体" w:hAnsi="宋体" w:cs="宋体"/>
          <w:strike/>
          <w:color w:val="auto"/>
          <w:sz w:val="24"/>
          <w:szCs w:val="24"/>
          <w:highlight w:val="none"/>
        </w:rPr>
        <w:t>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（3）投标文件的正本与副本应分别装订，并编制目录，投标文件需分册装订的，具体分册装订要求见投标人须知前附表规定。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B）投标文件全部采用电子文档，除投标人须知前附表另有规定外，投标文件所附证书证件均为清晰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spacing w:line="360" w:lineRule="auto"/>
        <w:rPr>
          <w:rFonts w:ascii="宋体" w:hAnsi="宋体" w:eastAsia="宋体" w:cs="宋体"/>
          <w:color w:val="auto"/>
          <w:sz w:val="28"/>
          <w:szCs w:val="28"/>
          <w:highlight w:val="none"/>
        </w:rPr>
      </w:pPr>
      <w:bookmarkStart w:id="421" w:name="_Toc1464"/>
      <w:bookmarkStart w:id="422" w:name="_Toc5182"/>
      <w:bookmarkStart w:id="423" w:name="_Toc21771"/>
      <w:bookmarkStart w:id="424" w:name="_Toc10003"/>
      <w:bookmarkStart w:id="425" w:name="_Toc26591"/>
      <w:bookmarkStart w:id="426" w:name="_Toc3720"/>
      <w:bookmarkStart w:id="427" w:name="_Toc9808"/>
      <w:bookmarkStart w:id="428" w:name="_Toc492300591"/>
      <w:bookmarkStart w:id="429" w:name="_Toc10101"/>
      <w:bookmarkStart w:id="430" w:name="_Toc31476"/>
      <w:bookmarkStart w:id="431" w:name="_Toc20445"/>
      <w:r>
        <w:rPr>
          <w:rFonts w:ascii="宋体" w:hAnsi="宋体" w:eastAsia="宋体" w:cs="宋体"/>
          <w:color w:val="auto"/>
          <w:sz w:val="28"/>
          <w:szCs w:val="28"/>
          <w:highlight w:val="none"/>
        </w:rPr>
        <w:t xml:space="preserve">4. </w:t>
      </w:r>
      <w:r>
        <w:rPr>
          <w:rFonts w:hint="eastAsia" w:ascii="宋体" w:hAnsi="宋体" w:eastAsia="宋体" w:cs="宋体"/>
          <w:color w:val="auto"/>
          <w:sz w:val="28"/>
          <w:szCs w:val="28"/>
          <w:highlight w:val="none"/>
        </w:rPr>
        <w:t>投标</w:t>
      </w:r>
      <w:bookmarkEnd w:id="421"/>
      <w:bookmarkEnd w:id="422"/>
      <w:bookmarkEnd w:id="423"/>
      <w:bookmarkEnd w:id="424"/>
      <w:bookmarkEnd w:id="425"/>
      <w:bookmarkEnd w:id="426"/>
      <w:bookmarkEnd w:id="427"/>
      <w:bookmarkEnd w:id="428"/>
      <w:bookmarkEnd w:id="429"/>
      <w:bookmarkEnd w:id="430"/>
      <w:bookmarkEnd w:id="431"/>
    </w:p>
    <w:p>
      <w:pPr>
        <w:pStyle w:val="5"/>
        <w:spacing w:line="360" w:lineRule="auto"/>
        <w:ind w:firstLine="0" w:firstLineChars="0"/>
        <w:rPr>
          <w:rFonts w:ascii="宋体" w:hAnsi="宋体" w:eastAsia="宋体" w:cs="宋体"/>
          <w:color w:val="auto"/>
          <w:szCs w:val="24"/>
          <w:highlight w:val="none"/>
        </w:rPr>
      </w:pPr>
      <w:bookmarkStart w:id="432" w:name="_Toc492300592"/>
      <w:bookmarkStart w:id="433" w:name="_Toc26160"/>
      <w:bookmarkStart w:id="434" w:name="_Toc21559"/>
      <w:bookmarkStart w:id="435" w:name="_Toc13412"/>
      <w:bookmarkStart w:id="436" w:name="_Toc31527"/>
      <w:bookmarkStart w:id="437" w:name="_Toc747"/>
      <w:bookmarkStart w:id="438" w:name="_Toc31825"/>
      <w:bookmarkStart w:id="439" w:name="_Toc1661"/>
      <w:bookmarkStart w:id="440" w:name="_Toc20798"/>
      <w:bookmarkStart w:id="441" w:name="_Toc16071"/>
      <w:bookmarkStart w:id="442" w:name="_Toc30551"/>
      <w:r>
        <w:rPr>
          <w:rFonts w:ascii="宋体" w:hAnsi="宋体" w:eastAsia="宋体" w:cs="宋体"/>
          <w:color w:val="auto"/>
          <w:szCs w:val="24"/>
          <w:highlight w:val="none"/>
        </w:rPr>
        <w:t xml:space="preserve">4.1 </w:t>
      </w:r>
      <w:r>
        <w:rPr>
          <w:rFonts w:hint="eastAsia" w:ascii="宋体" w:hAnsi="宋体" w:eastAsia="宋体" w:cs="宋体"/>
          <w:color w:val="auto"/>
          <w:szCs w:val="24"/>
          <w:highlight w:val="none"/>
        </w:rPr>
        <w:t>投标文件的密封和标记</w:t>
      </w:r>
      <w:bookmarkEnd w:id="432"/>
      <w:bookmarkEnd w:id="433"/>
      <w:bookmarkEnd w:id="434"/>
      <w:bookmarkEnd w:id="435"/>
      <w:bookmarkEnd w:id="436"/>
      <w:bookmarkEnd w:id="437"/>
      <w:bookmarkEnd w:id="438"/>
      <w:bookmarkEnd w:id="439"/>
      <w:bookmarkEnd w:id="440"/>
      <w:bookmarkEnd w:id="441"/>
      <w:bookmarkEnd w:id="442"/>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4.1.1 </w:t>
      </w:r>
      <w:r>
        <w:rPr>
          <w:rFonts w:hint="eastAsia" w:ascii="宋体" w:hAnsi="宋体" w:cs="宋体"/>
          <w:strike/>
          <w:color w:val="auto"/>
          <w:sz w:val="24"/>
          <w:szCs w:val="24"/>
          <w:highlight w:val="none"/>
        </w:rPr>
        <w:t>（A）投标文件应密封包装，并在封套的封口处加盖投标人单位章或由投标人的法定代表人或其授权的代理人签字。</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4.1.1 </w:t>
      </w:r>
      <w:r>
        <w:rPr>
          <w:rFonts w:hint="eastAsia" w:ascii="宋体" w:hAnsi="宋体" w:cs="宋体"/>
          <w:color w:val="auto"/>
          <w:sz w:val="24"/>
          <w:szCs w:val="24"/>
          <w:highlight w:val="none"/>
        </w:rPr>
        <w:t>（B）投标人应当按照招标文件和电子招标投标交易平台的要求加密投标文件，具体要求见投标人须知前附表。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4.1.2 </w:t>
      </w:r>
      <w:r>
        <w:rPr>
          <w:rFonts w:hint="eastAsia" w:ascii="宋体" w:hAnsi="宋体" w:cs="宋体"/>
          <w:color w:val="auto"/>
          <w:sz w:val="24"/>
          <w:szCs w:val="24"/>
          <w:highlight w:val="none"/>
        </w:rPr>
        <w:t>投标文件封套上应写明的内容见投标人须知前附表。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4.1.3 </w:t>
      </w:r>
      <w:r>
        <w:rPr>
          <w:rFonts w:hint="eastAsia" w:ascii="宋体" w:hAnsi="宋体" w:cs="宋体"/>
          <w:color w:val="auto"/>
          <w:sz w:val="24"/>
          <w:szCs w:val="24"/>
          <w:highlight w:val="none"/>
        </w:rPr>
        <w:t>未按本章第4.1.1项要求密封的投标文件，招标人将予以拒收。</w:t>
      </w:r>
    </w:p>
    <w:p>
      <w:pPr>
        <w:pStyle w:val="5"/>
        <w:spacing w:line="360" w:lineRule="auto"/>
        <w:ind w:firstLine="0" w:firstLineChars="0"/>
        <w:rPr>
          <w:rFonts w:ascii="宋体" w:hAnsi="宋体" w:eastAsia="宋体" w:cs="宋体"/>
          <w:color w:val="auto"/>
          <w:szCs w:val="24"/>
          <w:highlight w:val="none"/>
        </w:rPr>
      </w:pPr>
      <w:bookmarkStart w:id="443" w:name="_Toc6415"/>
      <w:bookmarkStart w:id="444" w:name="_Toc8542"/>
      <w:bookmarkStart w:id="445" w:name="_Toc18806"/>
      <w:bookmarkStart w:id="446" w:name="_Toc29912"/>
      <w:bookmarkStart w:id="447" w:name="_Toc492300593"/>
      <w:bookmarkStart w:id="448" w:name="_Toc19526"/>
      <w:bookmarkStart w:id="449" w:name="_Toc767"/>
      <w:bookmarkStart w:id="450" w:name="_Toc21455"/>
      <w:bookmarkStart w:id="451" w:name="_Toc28965"/>
      <w:bookmarkStart w:id="452" w:name="_Toc22506"/>
      <w:bookmarkStart w:id="453" w:name="_Toc24037"/>
      <w:r>
        <w:rPr>
          <w:rFonts w:ascii="宋体" w:hAnsi="宋体" w:eastAsia="宋体" w:cs="宋体"/>
          <w:color w:val="auto"/>
          <w:szCs w:val="24"/>
          <w:highlight w:val="none"/>
        </w:rPr>
        <w:t xml:space="preserve">4.2 </w:t>
      </w:r>
      <w:r>
        <w:rPr>
          <w:rFonts w:hint="eastAsia" w:ascii="宋体" w:hAnsi="宋体" w:eastAsia="宋体" w:cs="宋体"/>
          <w:color w:val="auto"/>
          <w:szCs w:val="24"/>
          <w:highlight w:val="none"/>
        </w:rPr>
        <w:t>投标文件的递交</w:t>
      </w:r>
      <w:bookmarkEnd w:id="443"/>
      <w:bookmarkEnd w:id="444"/>
      <w:bookmarkEnd w:id="445"/>
      <w:bookmarkEnd w:id="446"/>
      <w:bookmarkEnd w:id="447"/>
      <w:bookmarkEnd w:id="448"/>
      <w:bookmarkEnd w:id="449"/>
      <w:bookmarkEnd w:id="450"/>
      <w:bookmarkEnd w:id="451"/>
      <w:bookmarkEnd w:id="452"/>
      <w:bookmarkEnd w:id="453"/>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4.2.1 </w:t>
      </w:r>
      <w:r>
        <w:rPr>
          <w:rFonts w:hint="eastAsia" w:ascii="宋体" w:hAnsi="宋体" w:cs="宋体"/>
          <w:color w:val="auto"/>
          <w:sz w:val="24"/>
          <w:szCs w:val="24"/>
          <w:highlight w:val="none"/>
        </w:rPr>
        <w:t>投标人应在投标人须知前附表规定的投标截止时间前递交投标文件。</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4.2.2 </w:t>
      </w:r>
      <w:r>
        <w:rPr>
          <w:rFonts w:hint="eastAsia" w:ascii="宋体" w:hAnsi="宋体" w:cs="宋体"/>
          <w:color w:val="auto"/>
          <w:sz w:val="24"/>
          <w:szCs w:val="24"/>
          <w:highlight w:val="none"/>
        </w:rPr>
        <w:t>（A）投标人递交投标文件的地点：见投标人须知前附表。</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4.2.2 </w:t>
      </w:r>
      <w:r>
        <w:rPr>
          <w:rFonts w:hint="eastAsia" w:ascii="宋体" w:hAnsi="宋体" w:cs="宋体"/>
          <w:strike/>
          <w:color w:val="auto"/>
          <w:sz w:val="24"/>
          <w:szCs w:val="24"/>
          <w:highlight w:val="none"/>
        </w:rPr>
        <w:t>（B）</w:t>
      </w:r>
      <w:r>
        <w:rPr>
          <w:rFonts w:hint="eastAsia" w:ascii="宋体" w:hAnsi="宋体" w:cs="宋体"/>
          <w:bCs/>
          <w:iCs/>
          <w:strike/>
          <w:color w:val="auto"/>
          <w:sz w:val="24"/>
          <w:szCs w:val="24"/>
          <w:highlight w:val="none"/>
        </w:rPr>
        <w:t>投标人通过下载招标文件的电子招标投标交易平台递交电子投标文件。</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4.2.3 </w:t>
      </w:r>
      <w:r>
        <w:rPr>
          <w:rFonts w:hint="eastAsia" w:ascii="宋体" w:hAnsi="宋体" w:cs="宋体"/>
          <w:color w:val="auto"/>
          <w:sz w:val="24"/>
          <w:szCs w:val="24"/>
          <w:highlight w:val="none"/>
        </w:rPr>
        <w:t>除投标人须知前附表另有规定外，投标人所递交的投标文件不予退还。</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4.2.4 </w:t>
      </w:r>
      <w:r>
        <w:rPr>
          <w:rFonts w:hint="eastAsia" w:ascii="宋体" w:hAnsi="宋体" w:cs="宋体"/>
          <w:strike/>
          <w:color w:val="auto"/>
          <w:sz w:val="24"/>
          <w:szCs w:val="24"/>
          <w:highlight w:val="none"/>
        </w:rPr>
        <w:t>（A）招标人收到投标文件后，向投标人出具签收凭证。</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4.2.4 </w:t>
      </w:r>
      <w:r>
        <w:rPr>
          <w:rFonts w:hint="eastAsia" w:ascii="宋体" w:hAnsi="宋体" w:cs="宋体"/>
          <w:color w:val="auto"/>
          <w:sz w:val="24"/>
          <w:szCs w:val="24"/>
          <w:highlight w:val="none"/>
        </w:rPr>
        <w:t>（B）投标人完成电子投标文件上传后，</w:t>
      </w:r>
      <w:r>
        <w:rPr>
          <w:rFonts w:hint="eastAsia" w:ascii="宋体" w:hAnsi="宋体" w:cs="宋体"/>
          <w:bCs/>
          <w:iCs/>
          <w:color w:val="auto"/>
          <w:sz w:val="24"/>
          <w:szCs w:val="24"/>
          <w:highlight w:val="none"/>
        </w:rPr>
        <w:t>电子招标投标交易平台</w:t>
      </w:r>
      <w:r>
        <w:rPr>
          <w:rFonts w:hint="eastAsia" w:ascii="宋体" w:hAnsi="宋体" w:cs="宋体"/>
          <w:color w:val="auto"/>
          <w:sz w:val="24"/>
          <w:szCs w:val="24"/>
          <w:highlight w:val="none"/>
        </w:rPr>
        <w:t>即时向投标人发出递交回执通知。递交时间以递交回执通知载明的传输完成时间为准。</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4.2.5 </w:t>
      </w:r>
      <w:r>
        <w:rPr>
          <w:rFonts w:hint="eastAsia" w:ascii="宋体" w:hAnsi="宋体" w:cs="宋体"/>
          <w:strike/>
          <w:color w:val="auto"/>
          <w:sz w:val="24"/>
          <w:szCs w:val="24"/>
          <w:highlight w:val="none"/>
        </w:rPr>
        <w:t>（A）逾期送达的投标文件，招标人将予以拒收。</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4.2.5 </w:t>
      </w:r>
      <w:r>
        <w:rPr>
          <w:rFonts w:hint="eastAsia" w:ascii="宋体" w:hAnsi="宋体" w:cs="宋体"/>
          <w:color w:val="auto"/>
          <w:sz w:val="24"/>
          <w:szCs w:val="24"/>
          <w:highlight w:val="none"/>
        </w:rPr>
        <w:t>（B）逾期送达的投标文件，电子招标投标交易平台将予以拒收。</w:t>
      </w:r>
    </w:p>
    <w:p>
      <w:pPr>
        <w:spacing w:line="360" w:lineRule="auto"/>
        <w:ind w:firstLine="480" w:firstLineChars="200"/>
        <w:rPr>
          <w:rFonts w:ascii="宋体" w:hAnsi="宋体" w:cs="宋体"/>
          <w:color w:val="auto"/>
          <w:sz w:val="24"/>
          <w:szCs w:val="24"/>
          <w:highlight w:val="none"/>
        </w:rPr>
      </w:pPr>
    </w:p>
    <w:p>
      <w:pPr>
        <w:pStyle w:val="5"/>
        <w:spacing w:line="360" w:lineRule="auto"/>
        <w:ind w:firstLine="0" w:firstLineChars="0"/>
        <w:rPr>
          <w:rFonts w:ascii="宋体" w:hAnsi="宋体" w:eastAsia="宋体" w:cs="宋体"/>
          <w:color w:val="auto"/>
          <w:szCs w:val="24"/>
          <w:highlight w:val="none"/>
        </w:rPr>
      </w:pPr>
      <w:bookmarkStart w:id="454" w:name="_Toc15299"/>
      <w:bookmarkStart w:id="455" w:name="_Toc4752"/>
      <w:bookmarkStart w:id="456" w:name="_Toc5000"/>
      <w:bookmarkStart w:id="457" w:name="_Toc26387"/>
      <w:bookmarkStart w:id="458" w:name="_Toc492300594"/>
      <w:bookmarkStart w:id="459" w:name="_Toc16381"/>
      <w:bookmarkStart w:id="460" w:name="_Toc20720"/>
      <w:bookmarkStart w:id="461" w:name="_Toc1607"/>
      <w:bookmarkStart w:id="462" w:name="_Toc23826"/>
      <w:bookmarkStart w:id="463" w:name="_Toc526"/>
      <w:bookmarkStart w:id="464" w:name="_Toc22205"/>
      <w:r>
        <w:rPr>
          <w:rFonts w:ascii="宋体" w:hAnsi="宋体" w:eastAsia="宋体" w:cs="宋体"/>
          <w:color w:val="auto"/>
          <w:szCs w:val="24"/>
          <w:highlight w:val="none"/>
        </w:rPr>
        <w:t xml:space="preserve">4.3 </w:t>
      </w:r>
      <w:r>
        <w:rPr>
          <w:rFonts w:hint="eastAsia" w:ascii="宋体" w:hAnsi="宋体" w:eastAsia="宋体" w:cs="宋体"/>
          <w:color w:val="auto"/>
          <w:szCs w:val="24"/>
          <w:highlight w:val="none"/>
        </w:rPr>
        <w:t>投标文件的修改与撤回</w:t>
      </w:r>
      <w:bookmarkEnd w:id="454"/>
      <w:bookmarkEnd w:id="455"/>
      <w:bookmarkEnd w:id="456"/>
      <w:bookmarkEnd w:id="457"/>
      <w:bookmarkEnd w:id="458"/>
      <w:bookmarkEnd w:id="459"/>
      <w:bookmarkEnd w:id="460"/>
      <w:bookmarkEnd w:id="461"/>
      <w:bookmarkEnd w:id="462"/>
      <w:bookmarkEnd w:id="463"/>
      <w:bookmarkEnd w:id="464"/>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4.3.1 </w:t>
      </w:r>
      <w:r>
        <w:rPr>
          <w:rFonts w:hint="eastAsia" w:ascii="宋体" w:hAnsi="宋体" w:cs="宋体"/>
          <w:color w:val="auto"/>
          <w:sz w:val="24"/>
          <w:szCs w:val="24"/>
          <w:highlight w:val="none"/>
        </w:rPr>
        <w:t>在本章第4.2.1项规定的投标截止时间前，投标人可以修改或撤回已递交的投标文件，但应以书面形式通知招标人。</w:t>
      </w:r>
    </w:p>
    <w:p>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 xml:space="preserve">4.3.2 </w:t>
      </w:r>
      <w:r>
        <w:rPr>
          <w:rFonts w:hint="eastAsia" w:ascii="宋体" w:hAnsi="宋体" w:cs="宋体"/>
          <w:strike/>
          <w:color w:val="auto"/>
          <w:sz w:val="24"/>
          <w:szCs w:val="24"/>
          <w:highlight w:val="none"/>
        </w:rPr>
        <w:t>（A）投标人修改或撤回已递交投标文件的书面通知应按照本章第3.7.3（A）项的要求签字或盖章。招标人收到书面通知后，向投标人出具签收凭证。</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4.3.2 </w:t>
      </w:r>
      <w:r>
        <w:rPr>
          <w:rFonts w:hint="eastAsia" w:ascii="宋体" w:hAnsi="宋体" w:cs="宋体"/>
          <w:color w:val="auto"/>
          <w:sz w:val="24"/>
          <w:szCs w:val="24"/>
          <w:highlight w:val="none"/>
        </w:rPr>
        <w:t>（B）投标人修改或撤回已递交投标文件的通知，应按照本章第3.7.3（B）项的要求加盖电子印章。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4.3.3 </w:t>
      </w:r>
      <w:r>
        <w:rPr>
          <w:rFonts w:hint="eastAsia" w:ascii="宋体" w:hAnsi="宋体" w:cs="宋体"/>
          <w:color w:val="auto"/>
          <w:sz w:val="24"/>
          <w:szCs w:val="24"/>
          <w:highlight w:val="none"/>
        </w:rPr>
        <w:t>投标人撤回投标文件的，招标人自收到投标人书面撤回通知之日起5日内退还已收取的投标保证金。</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4.3.</w:t>
      </w:r>
      <w:bookmarkStart w:id="465" w:name="_Toc361508610"/>
      <w:bookmarkStart w:id="466" w:name="_Toc144974521"/>
      <w:bookmarkStart w:id="467" w:name="_Toc152045553"/>
      <w:bookmarkStart w:id="468" w:name="_Toc352691497"/>
      <w:bookmarkStart w:id="469" w:name="_Toc247513977"/>
      <w:bookmarkStart w:id="470" w:name="_Toc384308235"/>
      <w:bookmarkStart w:id="471" w:name="_Toc247527578"/>
      <w:bookmarkStart w:id="472" w:name="_Toc300834974"/>
      <w:bookmarkStart w:id="473" w:name="_Toc152042329"/>
      <w:bookmarkStart w:id="474" w:name="_Toc369531541"/>
      <w:bookmarkStart w:id="475" w:name="_Toc19203"/>
      <w:r>
        <w:rPr>
          <w:rFonts w:ascii="宋体" w:hAnsi="宋体" w:cs="宋体"/>
          <w:color w:val="auto"/>
          <w:sz w:val="24"/>
          <w:szCs w:val="24"/>
          <w:highlight w:val="none"/>
        </w:rPr>
        <w:t xml:space="preserve">4 </w:t>
      </w:r>
      <w:r>
        <w:rPr>
          <w:rFonts w:hint="eastAsia" w:ascii="宋体" w:hAnsi="宋体" w:cs="宋体"/>
          <w:color w:val="auto"/>
          <w:sz w:val="24"/>
          <w:szCs w:val="24"/>
          <w:highlight w:val="none"/>
        </w:rPr>
        <w:t>修改的内容为投标</w:t>
      </w:r>
      <w:bookmarkEnd w:id="465"/>
      <w:bookmarkEnd w:id="466"/>
      <w:bookmarkEnd w:id="467"/>
      <w:bookmarkEnd w:id="468"/>
      <w:bookmarkEnd w:id="469"/>
      <w:bookmarkEnd w:id="470"/>
      <w:bookmarkEnd w:id="471"/>
      <w:bookmarkEnd w:id="472"/>
      <w:bookmarkEnd w:id="473"/>
      <w:bookmarkEnd w:id="474"/>
      <w:bookmarkEnd w:id="475"/>
      <w:r>
        <w:rPr>
          <w:rFonts w:hint="eastAsia" w:ascii="宋体" w:hAnsi="宋体" w:cs="宋体"/>
          <w:color w:val="auto"/>
          <w:sz w:val="24"/>
          <w:szCs w:val="24"/>
          <w:highlight w:val="none"/>
        </w:rPr>
        <w:t>文件的组成部分。修改的投标文件应按照本章第3条、第4条的规定进行编制、密封、标记和递交，并标明“修改”字样。</w:t>
      </w:r>
    </w:p>
    <w:p>
      <w:pPr>
        <w:pStyle w:val="4"/>
        <w:spacing w:line="360" w:lineRule="auto"/>
        <w:rPr>
          <w:rFonts w:ascii="宋体" w:hAnsi="宋体" w:eastAsia="宋体" w:cs="宋体"/>
          <w:color w:val="auto"/>
          <w:sz w:val="28"/>
          <w:szCs w:val="28"/>
          <w:highlight w:val="none"/>
        </w:rPr>
      </w:pPr>
      <w:bookmarkStart w:id="476" w:name="_Toc12162"/>
      <w:bookmarkStart w:id="477" w:name="_Toc266"/>
      <w:bookmarkStart w:id="478" w:name="_Toc17579"/>
      <w:bookmarkStart w:id="479" w:name="_Toc492300595"/>
      <w:bookmarkStart w:id="480" w:name="_Toc453"/>
      <w:bookmarkStart w:id="481" w:name="_Toc24926"/>
      <w:bookmarkStart w:id="482" w:name="_Toc20390"/>
      <w:bookmarkStart w:id="483" w:name="_Toc16835"/>
      <w:bookmarkStart w:id="484" w:name="_Toc26120"/>
      <w:bookmarkStart w:id="485" w:name="_Toc23409"/>
      <w:bookmarkStart w:id="486" w:name="_Toc23648"/>
      <w:r>
        <w:rPr>
          <w:rFonts w:ascii="宋体" w:hAnsi="宋体" w:eastAsia="宋体" w:cs="宋体"/>
          <w:color w:val="auto"/>
          <w:sz w:val="28"/>
          <w:szCs w:val="28"/>
          <w:highlight w:val="none"/>
        </w:rPr>
        <w:t xml:space="preserve">5. </w:t>
      </w:r>
      <w:r>
        <w:rPr>
          <w:rFonts w:hint="eastAsia" w:ascii="宋体" w:hAnsi="宋体" w:eastAsia="宋体" w:cs="宋体"/>
          <w:color w:val="auto"/>
          <w:sz w:val="28"/>
          <w:szCs w:val="28"/>
          <w:highlight w:val="none"/>
        </w:rPr>
        <w:t>开标</w:t>
      </w:r>
      <w:bookmarkEnd w:id="476"/>
      <w:bookmarkEnd w:id="477"/>
      <w:bookmarkEnd w:id="478"/>
      <w:bookmarkEnd w:id="479"/>
      <w:bookmarkEnd w:id="480"/>
      <w:bookmarkEnd w:id="481"/>
      <w:bookmarkEnd w:id="482"/>
      <w:bookmarkEnd w:id="483"/>
      <w:bookmarkEnd w:id="484"/>
      <w:bookmarkEnd w:id="485"/>
      <w:bookmarkEnd w:id="486"/>
    </w:p>
    <w:p>
      <w:pPr>
        <w:pStyle w:val="5"/>
        <w:spacing w:line="360" w:lineRule="auto"/>
        <w:ind w:firstLine="0" w:firstLineChars="0"/>
        <w:rPr>
          <w:rFonts w:ascii="宋体" w:hAnsi="宋体" w:eastAsia="宋体" w:cs="宋体"/>
          <w:strike/>
          <w:color w:val="auto"/>
          <w:szCs w:val="24"/>
          <w:highlight w:val="none"/>
        </w:rPr>
      </w:pPr>
      <w:bookmarkStart w:id="487" w:name="_Toc18721"/>
      <w:bookmarkStart w:id="488" w:name="_Toc18135"/>
      <w:bookmarkStart w:id="489" w:name="_Toc15899"/>
      <w:bookmarkStart w:id="490" w:name="_Toc492300596"/>
      <w:bookmarkStart w:id="491" w:name="_Toc2684"/>
      <w:bookmarkStart w:id="492" w:name="_Toc20761"/>
      <w:bookmarkStart w:id="493" w:name="_Toc2691"/>
      <w:bookmarkStart w:id="494" w:name="_Toc26374"/>
      <w:bookmarkStart w:id="495" w:name="_Toc31594"/>
      <w:bookmarkStart w:id="496" w:name="_Toc11763"/>
      <w:bookmarkStart w:id="497" w:name="_Toc23012"/>
      <w:r>
        <w:rPr>
          <w:rFonts w:ascii="宋体" w:hAnsi="宋体" w:eastAsia="宋体" w:cs="宋体"/>
          <w:strike/>
          <w:color w:val="auto"/>
          <w:szCs w:val="24"/>
          <w:highlight w:val="none"/>
        </w:rPr>
        <w:t xml:space="preserve">5.1 </w:t>
      </w:r>
      <w:r>
        <w:rPr>
          <w:rFonts w:hint="eastAsia" w:ascii="宋体" w:hAnsi="宋体" w:eastAsia="宋体" w:cs="宋体"/>
          <w:strike/>
          <w:color w:val="auto"/>
          <w:szCs w:val="24"/>
          <w:highlight w:val="none"/>
        </w:rPr>
        <w:t>开标时间和地点（A）</w:t>
      </w:r>
      <w:bookmarkEnd w:id="487"/>
      <w:bookmarkEnd w:id="488"/>
      <w:bookmarkEnd w:id="489"/>
      <w:bookmarkEnd w:id="490"/>
      <w:bookmarkEnd w:id="491"/>
      <w:bookmarkEnd w:id="492"/>
      <w:bookmarkEnd w:id="493"/>
      <w:bookmarkEnd w:id="494"/>
      <w:bookmarkEnd w:id="495"/>
      <w:bookmarkEnd w:id="496"/>
      <w:bookmarkEnd w:id="497"/>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招标人在本章第4.2.1项规定的投标截止时间（开标时间）和投标人须知前附表规定的地点公开开标，并邀请所有投标人的法定代表人或其委托代理人准时参加。</w:t>
      </w:r>
    </w:p>
    <w:p>
      <w:pPr>
        <w:pStyle w:val="5"/>
        <w:spacing w:line="360" w:lineRule="auto"/>
        <w:ind w:firstLine="0" w:firstLineChars="0"/>
        <w:rPr>
          <w:rFonts w:ascii="宋体" w:hAnsi="宋体" w:eastAsia="宋体" w:cs="宋体"/>
          <w:color w:val="auto"/>
          <w:szCs w:val="24"/>
          <w:highlight w:val="none"/>
        </w:rPr>
      </w:pPr>
      <w:bookmarkStart w:id="498" w:name="_Toc492300597"/>
      <w:bookmarkStart w:id="499" w:name="_Toc17266"/>
      <w:bookmarkStart w:id="500" w:name="_Toc22209"/>
      <w:bookmarkStart w:id="501" w:name="_Toc20139"/>
      <w:bookmarkStart w:id="502" w:name="_Toc7772"/>
      <w:bookmarkStart w:id="503" w:name="_Toc23813"/>
      <w:bookmarkStart w:id="504" w:name="_Toc7349"/>
      <w:bookmarkStart w:id="505" w:name="_Toc24094"/>
      <w:bookmarkStart w:id="506" w:name="_Toc27321"/>
      <w:bookmarkStart w:id="507" w:name="_Toc27378"/>
      <w:bookmarkStart w:id="508" w:name="_Toc22844"/>
      <w:r>
        <w:rPr>
          <w:rFonts w:ascii="宋体" w:hAnsi="宋体" w:eastAsia="宋体" w:cs="宋体"/>
          <w:color w:val="auto"/>
          <w:szCs w:val="24"/>
          <w:highlight w:val="none"/>
        </w:rPr>
        <w:t xml:space="preserve">5.1 </w:t>
      </w:r>
      <w:r>
        <w:rPr>
          <w:rFonts w:hint="eastAsia" w:ascii="宋体" w:hAnsi="宋体" w:eastAsia="宋体" w:cs="宋体"/>
          <w:color w:val="auto"/>
          <w:szCs w:val="24"/>
          <w:highlight w:val="none"/>
        </w:rPr>
        <w:t>开标时间和地点（B）</w:t>
      </w:r>
      <w:bookmarkEnd w:id="498"/>
      <w:bookmarkEnd w:id="499"/>
      <w:bookmarkEnd w:id="500"/>
      <w:bookmarkEnd w:id="501"/>
      <w:bookmarkEnd w:id="502"/>
      <w:bookmarkEnd w:id="503"/>
      <w:bookmarkEnd w:id="504"/>
      <w:bookmarkEnd w:id="505"/>
      <w:bookmarkEnd w:id="506"/>
      <w:bookmarkEnd w:id="507"/>
      <w:bookmarkEnd w:id="50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招标人在本章第4.2.1项规定的投标截止时间（开标时间）,通过电子招标投标交易平台公开开标，所有投标人的法定代表人或其委托代理人应当准时参加。</w:t>
      </w:r>
    </w:p>
    <w:p>
      <w:pPr>
        <w:pStyle w:val="5"/>
        <w:spacing w:line="360" w:lineRule="auto"/>
        <w:ind w:firstLine="0" w:firstLineChars="0"/>
        <w:rPr>
          <w:rFonts w:ascii="宋体" w:hAnsi="宋体" w:eastAsia="宋体" w:cs="宋体"/>
          <w:color w:val="auto"/>
          <w:szCs w:val="24"/>
          <w:highlight w:val="none"/>
        </w:rPr>
      </w:pPr>
      <w:bookmarkStart w:id="509" w:name="_Toc7734"/>
      <w:bookmarkStart w:id="510" w:name="_Toc492300598"/>
      <w:bookmarkStart w:id="511" w:name="_Toc1756"/>
      <w:bookmarkStart w:id="512" w:name="_Toc68"/>
      <w:bookmarkStart w:id="513" w:name="_Toc24429"/>
      <w:bookmarkStart w:id="514" w:name="_Toc25527"/>
      <w:bookmarkStart w:id="515" w:name="_Toc6316"/>
      <w:bookmarkStart w:id="516" w:name="_Toc1229"/>
      <w:bookmarkStart w:id="517" w:name="_Toc25404"/>
      <w:bookmarkStart w:id="518" w:name="_Toc2757"/>
      <w:bookmarkStart w:id="519" w:name="_Toc18939"/>
      <w:r>
        <w:rPr>
          <w:rFonts w:ascii="宋体" w:hAnsi="宋体" w:eastAsia="宋体" w:cs="宋体"/>
          <w:color w:val="auto"/>
          <w:szCs w:val="24"/>
          <w:highlight w:val="none"/>
        </w:rPr>
        <w:t xml:space="preserve">5.2 </w:t>
      </w:r>
      <w:r>
        <w:rPr>
          <w:rFonts w:hint="eastAsia" w:ascii="宋体" w:hAnsi="宋体" w:eastAsia="宋体" w:cs="宋体"/>
          <w:color w:val="auto"/>
          <w:szCs w:val="24"/>
          <w:highlight w:val="none"/>
        </w:rPr>
        <w:t>开标程序</w:t>
      </w:r>
      <w:bookmarkEnd w:id="509"/>
      <w:bookmarkEnd w:id="510"/>
      <w:bookmarkEnd w:id="511"/>
      <w:bookmarkEnd w:id="512"/>
      <w:bookmarkEnd w:id="513"/>
      <w:bookmarkEnd w:id="514"/>
      <w:bookmarkEnd w:id="515"/>
      <w:bookmarkEnd w:id="516"/>
      <w:bookmarkEnd w:id="517"/>
      <w:bookmarkEnd w:id="518"/>
      <w:bookmarkEnd w:id="51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主持人按下列程序进行开标：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（3）宣布</w:t>
      </w:r>
      <w:bookmarkStart w:id="520" w:name="_Toc152045554"/>
      <w:bookmarkStart w:id="521" w:name="_Toc384308236"/>
      <w:bookmarkStart w:id="522" w:name="_Toc152042330"/>
      <w:bookmarkStart w:id="523" w:name="_Toc352691498"/>
      <w:bookmarkStart w:id="524" w:name="_Toc247513978"/>
      <w:bookmarkStart w:id="525" w:name="_Toc247527579"/>
      <w:bookmarkStart w:id="526" w:name="_Toc361508611"/>
      <w:bookmarkStart w:id="527" w:name="_Toc300834975"/>
      <w:bookmarkStart w:id="528" w:name="_Toc22119"/>
      <w:bookmarkStart w:id="529" w:name="_Toc369531542"/>
      <w:bookmarkStart w:id="530" w:name="_Toc144974522"/>
      <w:r>
        <w:rPr>
          <w:rFonts w:hint="eastAsia" w:ascii="宋体" w:hAnsi="宋体" w:cs="宋体"/>
          <w:color w:val="auto"/>
          <w:sz w:val="24"/>
          <w:szCs w:val="24"/>
          <w:highlight w:val="none"/>
        </w:rPr>
        <w:t>开标人、唱标人、记录人</w:t>
      </w:r>
      <w:bookmarkEnd w:id="520"/>
      <w:bookmarkEnd w:id="521"/>
      <w:bookmarkEnd w:id="522"/>
      <w:bookmarkEnd w:id="523"/>
      <w:bookmarkEnd w:id="524"/>
      <w:bookmarkEnd w:id="525"/>
      <w:bookmarkEnd w:id="526"/>
      <w:bookmarkEnd w:id="527"/>
      <w:bookmarkEnd w:id="528"/>
      <w:bookmarkEnd w:id="529"/>
      <w:bookmarkEnd w:id="530"/>
      <w:r>
        <w:rPr>
          <w:rFonts w:hint="eastAsia" w:ascii="宋体" w:hAnsi="宋体" w:cs="宋体"/>
          <w:color w:val="auto"/>
          <w:sz w:val="24"/>
          <w:szCs w:val="24"/>
          <w:highlight w:val="none"/>
        </w:rPr>
        <w:t>、监标人等有关人员姓名；</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（4）（A）检查投标文件的密封情况，按照投标人须知前附表规定的开标顺序当众开标，公布招标项目名称、投标人名称、投标保证金的递交情况、投标报价、监理服务期限及其他内容，并记录在案；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（4）（B）投标人通过电子招标投标交易平台对已递交的电子投标文件进行解密，公布招标项目名称、投标人名称、投标保证金的递交情况、投标报价、服务期限及其他内容，并记录在案；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（5）（A）投标人代表、招标人代表、监标人、记录人等有关人员在开标记录上签字确认；</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（5）（B）投标人代表、招标人代表、监标人、记录人等有关人员使用本人的电子印章在开标记录上签字确认；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（6）开标结束。</w:t>
      </w:r>
    </w:p>
    <w:p>
      <w:pPr>
        <w:pStyle w:val="5"/>
        <w:spacing w:line="360" w:lineRule="auto"/>
        <w:ind w:firstLine="0" w:firstLineChars="0"/>
        <w:rPr>
          <w:rFonts w:ascii="宋体" w:hAnsi="宋体" w:eastAsia="宋体" w:cs="宋体"/>
          <w:color w:val="auto"/>
          <w:szCs w:val="24"/>
          <w:highlight w:val="none"/>
        </w:rPr>
      </w:pPr>
      <w:bookmarkStart w:id="531" w:name="_Toc18956"/>
      <w:bookmarkStart w:id="532" w:name="_Toc17087"/>
      <w:bookmarkStart w:id="533" w:name="_Toc17039"/>
      <w:bookmarkStart w:id="534" w:name="_Toc18357"/>
      <w:bookmarkStart w:id="535" w:name="_Toc14189"/>
      <w:bookmarkStart w:id="536" w:name="_Toc27376"/>
      <w:bookmarkStart w:id="537" w:name="_Toc22136"/>
      <w:bookmarkStart w:id="538" w:name="_Toc18350"/>
      <w:bookmarkStart w:id="539" w:name="_Toc8923"/>
      <w:bookmarkStart w:id="540" w:name="_Toc492300599"/>
      <w:bookmarkStart w:id="541" w:name="_Toc26649"/>
      <w:r>
        <w:rPr>
          <w:rFonts w:ascii="宋体" w:hAnsi="宋体" w:eastAsia="宋体" w:cs="宋体"/>
          <w:color w:val="auto"/>
          <w:szCs w:val="24"/>
          <w:highlight w:val="none"/>
        </w:rPr>
        <w:t xml:space="preserve">5.3 </w:t>
      </w:r>
      <w:r>
        <w:rPr>
          <w:rFonts w:hint="eastAsia" w:ascii="宋体" w:hAnsi="宋体" w:eastAsia="宋体" w:cs="宋体"/>
          <w:color w:val="auto"/>
          <w:szCs w:val="24"/>
          <w:highlight w:val="none"/>
        </w:rPr>
        <w:t>开标异议</w:t>
      </w:r>
      <w:bookmarkEnd w:id="531"/>
      <w:bookmarkEnd w:id="532"/>
      <w:bookmarkEnd w:id="533"/>
      <w:bookmarkEnd w:id="534"/>
      <w:bookmarkEnd w:id="535"/>
      <w:bookmarkEnd w:id="536"/>
      <w:bookmarkEnd w:id="537"/>
      <w:bookmarkEnd w:id="538"/>
      <w:bookmarkEnd w:id="539"/>
      <w:bookmarkEnd w:id="540"/>
      <w:bookmarkEnd w:id="541"/>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投标人对开标有异议的，应当在开标现场提出，招标人当场作出答复，并制作记录。</w:t>
      </w:r>
    </w:p>
    <w:p>
      <w:pPr>
        <w:spacing w:line="360" w:lineRule="auto"/>
        <w:ind w:firstLine="480" w:firstLineChars="200"/>
        <w:rPr>
          <w:rFonts w:ascii="宋体" w:hAnsi="宋体" w:cs="宋体"/>
          <w:color w:val="auto"/>
          <w:sz w:val="24"/>
          <w:szCs w:val="24"/>
          <w:highlight w:val="none"/>
        </w:rPr>
      </w:pPr>
    </w:p>
    <w:p>
      <w:pPr>
        <w:pStyle w:val="4"/>
        <w:spacing w:line="360" w:lineRule="auto"/>
        <w:rPr>
          <w:rFonts w:ascii="宋体" w:hAnsi="宋体" w:eastAsia="宋体" w:cs="宋体"/>
          <w:color w:val="auto"/>
          <w:sz w:val="28"/>
          <w:szCs w:val="28"/>
          <w:highlight w:val="none"/>
        </w:rPr>
      </w:pPr>
      <w:bookmarkStart w:id="542" w:name="_Toc10602"/>
      <w:bookmarkStart w:id="543" w:name="_Toc21275"/>
      <w:bookmarkStart w:id="544" w:name="_Toc3417"/>
      <w:bookmarkStart w:id="545" w:name="_Toc3701"/>
      <w:bookmarkStart w:id="546" w:name="_Toc492300600"/>
      <w:bookmarkStart w:id="547" w:name="_Toc9100"/>
      <w:bookmarkStart w:id="548" w:name="_Toc598"/>
      <w:bookmarkStart w:id="549" w:name="_Toc21251"/>
      <w:bookmarkStart w:id="550" w:name="_Toc23928"/>
      <w:bookmarkStart w:id="551" w:name="_Toc4522"/>
      <w:bookmarkStart w:id="552" w:name="_Toc18081"/>
      <w:r>
        <w:rPr>
          <w:rFonts w:ascii="宋体" w:hAnsi="宋体" w:eastAsia="宋体" w:cs="宋体"/>
          <w:color w:val="auto"/>
          <w:sz w:val="28"/>
          <w:szCs w:val="28"/>
          <w:highlight w:val="none"/>
        </w:rPr>
        <w:t xml:space="preserve">6. </w:t>
      </w:r>
      <w:r>
        <w:rPr>
          <w:rFonts w:hint="eastAsia" w:ascii="宋体" w:hAnsi="宋体" w:eastAsia="宋体" w:cs="宋体"/>
          <w:color w:val="auto"/>
          <w:sz w:val="28"/>
          <w:szCs w:val="28"/>
          <w:highlight w:val="none"/>
        </w:rPr>
        <w:t>评标</w:t>
      </w:r>
      <w:bookmarkEnd w:id="542"/>
      <w:bookmarkEnd w:id="543"/>
      <w:bookmarkEnd w:id="544"/>
      <w:bookmarkEnd w:id="545"/>
      <w:bookmarkEnd w:id="546"/>
      <w:bookmarkEnd w:id="547"/>
      <w:bookmarkEnd w:id="548"/>
      <w:bookmarkEnd w:id="549"/>
      <w:bookmarkEnd w:id="550"/>
      <w:bookmarkEnd w:id="551"/>
      <w:bookmarkEnd w:id="552"/>
    </w:p>
    <w:p>
      <w:pPr>
        <w:pStyle w:val="5"/>
        <w:spacing w:line="360" w:lineRule="auto"/>
        <w:ind w:firstLine="0" w:firstLineChars="0"/>
        <w:rPr>
          <w:rFonts w:ascii="宋体" w:hAnsi="宋体" w:eastAsia="宋体" w:cs="宋体"/>
          <w:color w:val="auto"/>
          <w:szCs w:val="24"/>
          <w:highlight w:val="none"/>
        </w:rPr>
      </w:pPr>
      <w:bookmarkStart w:id="553" w:name="_Toc1011"/>
      <w:bookmarkStart w:id="554" w:name="_Toc349"/>
      <w:bookmarkStart w:id="555" w:name="_Toc20498"/>
      <w:bookmarkStart w:id="556" w:name="_Toc24646"/>
      <w:bookmarkStart w:id="557" w:name="_Toc9698"/>
      <w:bookmarkStart w:id="558" w:name="_Toc15424"/>
      <w:bookmarkStart w:id="559" w:name="_Toc492300601"/>
      <w:bookmarkStart w:id="560" w:name="_Toc6806"/>
      <w:bookmarkStart w:id="561" w:name="_Toc29125"/>
      <w:bookmarkStart w:id="562" w:name="_Toc5367"/>
      <w:bookmarkStart w:id="563" w:name="_Toc8849"/>
      <w:r>
        <w:rPr>
          <w:rFonts w:ascii="宋体" w:hAnsi="宋体" w:eastAsia="宋体" w:cs="宋体"/>
          <w:color w:val="auto"/>
          <w:szCs w:val="24"/>
          <w:highlight w:val="none"/>
        </w:rPr>
        <w:t xml:space="preserve">6.1 </w:t>
      </w:r>
      <w:r>
        <w:rPr>
          <w:rFonts w:hint="eastAsia" w:ascii="宋体" w:hAnsi="宋体" w:eastAsia="宋体" w:cs="宋体"/>
          <w:color w:val="auto"/>
          <w:szCs w:val="24"/>
          <w:highlight w:val="none"/>
        </w:rPr>
        <w:t>评标委员会</w:t>
      </w:r>
      <w:bookmarkEnd w:id="553"/>
      <w:bookmarkEnd w:id="554"/>
      <w:bookmarkEnd w:id="555"/>
      <w:bookmarkEnd w:id="556"/>
      <w:bookmarkEnd w:id="557"/>
      <w:bookmarkEnd w:id="558"/>
      <w:bookmarkEnd w:id="559"/>
      <w:bookmarkEnd w:id="560"/>
      <w:bookmarkEnd w:id="561"/>
      <w:bookmarkEnd w:id="562"/>
      <w:bookmarkEnd w:id="563"/>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6.1.1 </w:t>
      </w:r>
      <w:r>
        <w:rPr>
          <w:rFonts w:hint="eastAsia" w:ascii="宋体" w:hAnsi="宋体" w:cs="宋体"/>
          <w:color w:val="auto"/>
          <w:sz w:val="24"/>
          <w:szCs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6.1.2 </w:t>
      </w:r>
      <w:r>
        <w:rPr>
          <w:rFonts w:hint="eastAsia" w:ascii="宋体" w:hAnsi="宋体" w:cs="宋体"/>
          <w:color w:val="auto"/>
          <w:sz w:val="24"/>
          <w:szCs w:val="24"/>
          <w:highlight w:val="none"/>
        </w:rPr>
        <w:t>评标委员会成员有下列情形之一的，应当回避：</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（4）曾因在招标、评</w:t>
      </w:r>
      <w:bookmarkStart w:id="564" w:name="_Toc369531543"/>
      <w:bookmarkStart w:id="565" w:name="_Toc152045555"/>
      <w:bookmarkStart w:id="566" w:name="_Toc247513979"/>
      <w:bookmarkStart w:id="567" w:name="_Toc247527580"/>
      <w:bookmarkStart w:id="568" w:name="_Toc144974523"/>
      <w:bookmarkStart w:id="569" w:name="_Toc6230"/>
      <w:bookmarkStart w:id="570" w:name="_Toc361508612"/>
      <w:bookmarkStart w:id="571" w:name="_Toc300834976"/>
      <w:bookmarkStart w:id="572" w:name="_Toc152042331"/>
      <w:bookmarkStart w:id="573" w:name="_Toc352691499"/>
      <w:bookmarkStart w:id="574" w:name="_Toc384308237"/>
      <w:r>
        <w:rPr>
          <w:rFonts w:hint="eastAsia" w:ascii="宋体" w:hAnsi="宋体" w:cs="宋体"/>
          <w:color w:val="auto"/>
          <w:sz w:val="24"/>
          <w:szCs w:val="24"/>
          <w:highlight w:val="none"/>
        </w:rPr>
        <w:t>标以及其他</w:t>
      </w:r>
      <w:bookmarkEnd w:id="564"/>
      <w:bookmarkEnd w:id="565"/>
      <w:bookmarkEnd w:id="566"/>
      <w:bookmarkEnd w:id="567"/>
      <w:bookmarkEnd w:id="568"/>
      <w:bookmarkEnd w:id="569"/>
      <w:bookmarkEnd w:id="570"/>
      <w:bookmarkEnd w:id="571"/>
      <w:bookmarkEnd w:id="572"/>
      <w:bookmarkEnd w:id="573"/>
      <w:bookmarkEnd w:id="574"/>
      <w:r>
        <w:rPr>
          <w:rFonts w:hint="eastAsia" w:ascii="宋体" w:hAnsi="宋体" w:cs="宋体"/>
          <w:color w:val="auto"/>
          <w:sz w:val="24"/>
          <w:szCs w:val="24"/>
          <w:highlight w:val="none"/>
        </w:rPr>
        <w:t>与</w:t>
      </w:r>
      <w:bookmarkStart w:id="575" w:name="_Toc300834977"/>
      <w:bookmarkStart w:id="576" w:name="_Toc247527581"/>
      <w:bookmarkStart w:id="577" w:name="_Toc17703"/>
      <w:bookmarkStart w:id="578" w:name="_Toc144974524"/>
      <w:bookmarkStart w:id="579" w:name="_Toc361508613"/>
      <w:bookmarkStart w:id="580" w:name="_Toc152042332"/>
      <w:bookmarkStart w:id="581" w:name="_Toc352691500"/>
      <w:bookmarkStart w:id="582" w:name="_Toc369531544"/>
      <w:bookmarkStart w:id="583" w:name="_Toc152045556"/>
      <w:bookmarkStart w:id="584" w:name="_Toc247513980"/>
      <w:bookmarkStart w:id="585" w:name="_Toc384308238"/>
      <w:r>
        <w:rPr>
          <w:rFonts w:hint="eastAsia" w:ascii="宋体" w:hAnsi="宋体" w:cs="宋体"/>
          <w:color w:val="auto"/>
          <w:sz w:val="24"/>
          <w:szCs w:val="24"/>
          <w:highlight w:val="none"/>
        </w:rPr>
        <w:t>招标投标有关活动中从事违法行</w:t>
      </w:r>
      <w:bookmarkEnd w:id="575"/>
      <w:bookmarkEnd w:id="576"/>
      <w:bookmarkEnd w:id="577"/>
      <w:bookmarkEnd w:id="578"/>
      <w:bookmarkEnd w:id="579"/>
      <w:bookmarkEnd w:id="580"/>
      <w:bookmarkEnd w:id="581"/>
      <w:bookmarkEnd w:id="582"/>
      <w:bookmarkEnd w:id="583"/>
      <w:bookmarkEnd w:id="584"/>
      <w:bookmarkEnd w:id="585"/>
      <w:r>
        <w:rPr>
          <w:rFonts w:hint="eastAsia" w:ascii="宋体" w:hAnsi="宋体" w:cs="宋体"/>
          <w:color w:val="auto"/>
          <w:sz w:val="24"/>
          <w:szCs w:val="24"/>
          <w:highlight w:val="none"/>
        </w:rPr>
        <w:t>为而受过行政处罚或刑事处罚的；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6.1.3 </w:t>
      </w:r>
      <w:r>
        <w:rPr>
          <w:rFonts w:hint="eastAsia" w:ascii="宋体" w:hAnsi="宋体" w:cs="宋体"/>
          <w:color w:val="auto"/>
          <w:sz w:val="24"/>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line="360" w:lineRule="auto"/>
        <w:ind w:firstLine="0" w:firstLineChars="0"/>
        <w:rPr>
          <w:rFonts w:ascii="宋体" w:hAnsi="宋体" w:eastAsia="宋体" w:cs="宋体"/>
          <w:color w:val="auto"/>
          <w:szCs w:val="24"/>
          <w:highlight w:val="none"/>
        </w:rPr>
      </w:pPr>
      <w:bookmarkStart w:id="586" w:name="_Toc13705"/>
      <w:bookmarkStart w:id="587" w:name="_Toc31284"/>
      <w:bookmarkStart w:id="588" w:name="_Toc11730"/>
      <w:bookmarkStart w:id="589" w:name="_Toc23433"/>
      <w:bookmarkStart w:id="590" w:name="_Toc419"/>
      <w:bookmarkStart w:id="591" w:name="_Toc19021"/>
      <w:bookmarkStart w:id="592" w:name="_Toc1118"/>
      <w:bookmarkStart w:id="593" w:name="_Toc492300602"/>
      <w:bookmarkStart w:id="594" w:name="_Toc7627"/>
      <w:bookmarkStart w:id="595" w:name="_Toc32590"/>
      <w:bookmarkStart w:id="596" w:name="_Toc409"/>
      <w:r>
        <w:rPr>
          <w:rFonts w:ascii="宋体" w:hAnsi="宋体" w:eastAsia="宋体" w:cs="宋体"/>
          <w:color w:val="auto"/>
          <w:szCs w:val="24"/>
          <w:highlight w:val="none"/>
        </w:rPr>
        <w:t xml:space="preserve">6.2 </w:t>
      </w:r>
      <w:r>
        <w:rPr>
          <w:rFonts w:hint="eastAsia" w:ascii="宋体" w:hAnsi="宋体" w:eastAsia="宋体" w:cs="宋体"/>
          <w:color w:val="auto"/>
          <w:szCs w:val="24"/>
          <w:highlight w:val="none"/>
        </w:rPr>
        <w:t>评标原则</w:t>
      </w:r>
      <w:bookmarkEnd w:id="586"/>
      <w:bookmarkEnd w:id="587"/>
      <w:bookmarkEnd w:id="588"/>
      <w:bookmarkEnd w:id="589"/>
      <w:bookmarkEnd w:id="590"/>
      <w:bookmarkEnd w:id="591"/>
      <w:bookmarkEnd w:id="592"/>
      <w:bookmarkEnd w:id="593"/>
      <w:bookmarkEnd w:id="594"/>
      <w:bookmarkEnd w:id="595"/>
      <w:bookmarkEnd w:id="59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w:t>
      </w:r>
      <w:bookmarkStart w:id="597" w:name="_Toc247527582"/>
      <w:bookmarkStart w:id="598" w:name="_Toc361508614"/>
      <w:bookmarkStart w:id="599" w:name="_Toc152042333"/>
      <w:bookmarkStart w:id="600" w:name="_Toc300834978"/>
      <w:bookmarkStart w:id="601" w:name="_Toc247513981"/>
      <w:bookmarkStart w:id="602" w:name="_Toc18949"/>
      <w:bookmarkStart w:id="603" w:name="_Toc352691501"/>
      <w:bookmarkStart w:id="604" w:name="_Toc384308239"/>
      <w:bookmarkStart w:id="605" w:name="_Toc152045557"/>
      <w:bookmarkStart w:id="606" w:name="_Toc144974525"/>
      <w:bookmarkStart w:id="607" w:name="_Toc369531545"/>
      <w:r>
        <w:rPr>
          <w:rFonts w:hint="eastAsia" w:ascii="宋体" w:hAnsi="宋体" w:cs="宋体"/>
          <w:color w:val="auto"/>
          <w:sz w:val="24"/>
          <w:szCs w:val="24"/>
          <w:highlight w:val="none"/>
        </w:rPr>
        <w:t>则。</w:t>
      </w:r>
    </w:p>
    <w:p>
      <w:pPr>
        <w:pStyle w:val="5"/>
        <w:spacing w:line="360" w:lineRule="auto"/>
        <w:ind w:firstLine="0" w:firstLineChars="0"/>
        <w:rPr>
          <w:rFonts w:ascii="宋体" w:hAnsi="宋体" w:eastAsia="宋体" w:cs="宋体"/>
          <w:color w:val="auto"/>
          <w:szCs w:val="24"/>
          <w:highlight w:val="none"/>
        </w:rPr>
      </w:pPr>
      <w:bookmarkStart w:id="608" w:name="_Toc29396"/>
      <w:bookmarkStart w:id="609" w:name="_Toc29486"/>
      <w:bookmarkStart w:id="610" w:name="_Toc8640"/>
      <w:bookmarkStart w:id="611" w:name="_Toc8776"/>
      <w:bookmarkStart w:id="612" w:name="_Toc2802"/>
      <w:bookmarkStart w:id="613" w:name="_Toc30279"/>
      <w:bookmarkStart w:id="614" w:name="_Toc10473"/>
      <w:bookmarkStart w:id="615" w:name="_Toc26119"/>
      <w:bookmarkStart w:id="616" w:name="_Toc492300603"/>
      <w:bookmarkStart w:id="617" w:name="_Toc10558"/>
      <w:bookmarkStart w:id="618" w:name="_Toc16296"/>
      <w:r>
        <w:rPr>
          <w:rFonts w:ascii="宋体" w:hAnsi="宋体" w:eastAsia="宋体" w:cs="宋体"/>
          <w:color w:val="auto"/>
          <w:szCs w:val="24"/>
          <w:highlight w:val="none"/>
        </w:rPr>
        <w:t xml:space="preserve">6.3 </w:t>
      </w:r>
      <w:r>
        <w:rPr>
          <w:rFonts w:hint="eastAsia" w:ascii="宋体" w:hAnsi="宋体" w:eastAsia="宋体" w:cs="宋体"/>
          <w:color w:val="auto"/>
          <w:szCs w:val="24"/>
          <w:highlight w:val="none"/>
        </w:rPr>
        <w:t>评标</w:t>
      </w:r>
      <w:bookmarkEnd w:id="608"/>
      <w:bookmarkEnd w:id="609"/>
      <w:bookmarkEnd w:id="610"/>
      <w:bookmarkEnd w:id="611"/>
      <w:bookmarkEnd w:id="612"/>
      <w:bookmarkEnd w:id="613"/>
      <w:bookmarkEnd w:id="614"/>
      <w:bookmarkEnd w:id="615"/>
      <w:bookmarkEnd w:id="616"/>
      <w:bookmarkEnd w:id="617"/>
      <w:bookmarkEnd w:id="618"/>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w:t>
      </w:r>
      <w:bookmarkEnd w:id="597"/>
      <w:bookmarkEnd w:id="598"/>
      <w:bookmarkEnd w:id="599"/>
      <w:bookmarkEnd w:id="600"/>
      <w:bookmarkEnd w:id="601"/>
      <w:bookmarkEnd w:id="602"/>
      <w:bookmarkEnd w:id="603"/>
      <w:bookmarkEnd w:id="604"/>
      <w:bookmarkEnd w:id="605"/>
      <w:bookmarkEnd w:id="606"/>
      <w:bookmarkEnd w:id="607"/>
      <w:r>
        <w:rPr>
          <w:rFonts w:hint="eastAsia" w:ascii="宋体" w:hAnsi="宋体" w:cs="宋体"/>
          <w:color w:val="auto"/>
          <w:sz w:val="24"/>
          <w:szCs w:val="24"/>
          <w:highlight w:val="none"/>
        </w:rPr>
        <w:t>.3.1评标委员会按照第三章“评标办法”规定的方法、评审因素、标准和程序对投标文件进行评审。第三章“评标办法”没有规定的方法、评审因素和标准，不作为评标依据。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6.3.2评标完成后，评标委员会应当向招标人提交书面评标报告和中标候选人名单。评标委员会推荐中标</w:t>
      </w:r>
      <w:bookmarkStart w:id="619" w:name="_Toc152042334"/>
      <w:bookmarkStart w:id="620" w:name="_Toc369531546"/>
      <w:bookmarkStart w:id="621" w:name="_Toc247513982"/>
      <w:bookmarkStart w:id="622" w:name="_Toc361508615"/>
      <w:bookmarkStart w:id="623" w:name="_Toc300834979"/>
      <w:bookmarkStart w:id="624" w:name="_Toc384308240"/>
      <w:bookmarkStart w:id="625" w:name="_Toc352691502"/>
      <w:bookmarkStart w:id="626" w:name="_Toc247527583"/>
      <w:bookmarkStart w:id="627" w:name="_Toc152045558"/>
      <w:bookmarkStart w:id="628" w:name="_Toc12259"/>
      <w:bookmarkStart w:id="629" w:name="_Toc144974526"/>
      <w:r>
        <w:rPr>
          <w:rFonts w:hint="eastAsia" w:ascii="宋体" w:hAnsi="宋体" w:cs="宋体"/>
          <w:color w:val="auto"/>
          <w:sz w:val="24"/>
          <w:szCs w:val="24"/>
          <w:highlight w:val="none"/>
        </w:rPr>
        <w:t>候选人的人数见投标人须知前附</w:t>
      </w:r>
      <w:bookmarkEnd w:id="619"/>
      <w:bookmarkEnd w:id="620"/>
      <w:bookmarkEnd w:id="621"/>
      <w:bookmarkEnd w:id="622"/>
      <w:bookmarkEnd w:id="623"/>
      <w:bookmarkEnd w:id="624"/>
      <w:bookmarkEnd w:id="625"/>
      <w:bookmarkEnd w:id="626"/>
      <w:bookmarkEnd w:id="627"/>
      <w:bookmarkEnd w:id="628"/>
      <w:bookmarkEnd w:id="629"/>
      <w:r>
        <w:rPr>
          <w:rFonts w:hint="eastAsia" w:ascii="宋体" w:hAnsi="宋体" w:cs="宋体"/>
          <w:color w:val="auto"/>
          <w:sz w:val="24"/>
          <w:szCs w:val="24"/>
          <w:highlight w:val="none"/>
        </w:rPr>
        <w:t>表。</w:t>
      </w:r>
    </w:p>
    <w:p>
      <w:pPr>
        <w:pStyle w:val="4"/>
        <w:spacing w:line="360" w:lineRule="auto"/>
        <w:rPr>
          <w:rFonts w:ascii="宋体" w:hAnsi="宋体" w:eastAsia="宋体" w:cs="宋体"/>
          <w:color w:val="auto"/>
          <w:sz w:val="28"/>
          <w:szCs w:val="28"/>
          <w:highlight w:val="none"/>
        </w:rPr>
      </w:pPr>
      <w:bookmarkStart w:id="630" w:name="_Toc5657"/>
      <w:bookmarkStart w:id="631" w:name="_Toc26433"/>
      <w:bookmarkStart w:id="632" w:name="_Toc25633"/>
      <w:bookmarkStart w:id="633" w:name="_Toc16732"/>
      <w:bookmarkStart w:id="634" w:name="_Toc22635"/>
      <w:bookmarkStart w:id="635" w:name="_Toc7020"/>
      <w:bookmarkStart w:id="636" w:name="_Toc10110"/>
      <w:bookmarkStart w:id="637" w:name="_Toc492300604"/>
      <w:bookmarkStart w:id="638" w:name="_Toc15386"/>
      <w:bookmarkStart w:id="639" w:name="_Toc28355"/>
      <w:bookmarkStart w:id="640" w:name="_Toc6397"/>
      <w:r>
        <w:rPr>
          <w:rFonts w:ascii="宋体" w:hAnsi="宋体" w:eastAsia="宋体" w:cs="宋体"/>
          <w:color w:val="auto"/>
          <w:sz w:val="28"/>
          <w:szCs w:val="28"/>
          <w:highlight w:val="none"/>
        </w:rPr>
        <w:t xml:space="preserve">7. </w:t>
      </w:r>
      <w:r>
        <w:rPr>
          <w:rFonts w:hint="eastAsia" w:ascii="宋体" w:hAnsi="宋体" w:eastAsia="宋体" w:cs="宋体"/>
          <w:color w:val="auto"/>
          <w:sz w:val="28"/>
          <w:szCs w:val="28"/>
          <w:highlight w:val="none"/>
        </w:rPr>
        <w:t>合同授予</w:t>
      </w:r>
      <w:bookmarkEnd w:id="630"/>
      <w:bookmarkEnd w:id="631"/>
      <w:bookmarkEnd w:id="632"/>
      <w:bookmarkEnd w:id="633"/>
      <w:bookmarkEnd w:id="634"/>
      <w:bookmarkEnd w:id="635"/>
      <w:bookmarkEnd w:id="636"/>
      <w:bookmarkEnd w:id="637"/>
      <w:bookmarkEnd w:id="638"/>
      <w:bookmarkEnd w:id="639"/>
      <w:bookmarkEnd w:id="640"/>
    </w:p>
    <w:p>
      <w:pPr>
        <w:pStyle w:val="5"/>
        <w:spacing w:line="360" w:lineRule="auto"/>
        <w:ind w:firstLine="0" w:firstLineChars="0"/>
        <w:rPr>
          <w:rFonts w:ascii="宋体" w:hAnsi="宋体" w:eastAsia="宋体" w:cs="宋体"/>
          <w:color w:val="auto"/>
          <w:szCs w:val="24"/>
          <w:highlight w:val="none"/>
        </w:rPr>
      </w:pPr>
      <w:bookmarkStart w:id="641" w:name="_Toc16687"/>
      <w:bookmarkStart w:id="642" w:name="_Toc492300605"/>
      <w:bookmarkStart w:id="643" w:name="_Toc22584"/>
      <w:bookmarkStart w:id="644" w:name="_Toc1924"/>
      <w:bookmarkStart w:id="645" w:name="_Toc30180"/>
      <w:bookmarkStart w:id="646" w:name="_Toc9013"/>
      <w:bookmarkStart w:id="647" w:name="_Toc3854"/>
      <w:bookmarkStart w:id="648" w:name="_Toc19715"/>
      <w:bookmarkStart w:id="649" w:name="_Toc9762"/>
      <w:bookmarkStart w:id="650" w:name="_Toc958"/>
      <w:bookmarkStart w:id="651" w:name="_Toc9125"/>
      <w:r>
        <w:rPr>
          <w:rFonts w:ascii="宋体" w:hAnsi="宋体" w:eastAsia="宋体" w:cs="宋体"/>
          <w:color w:val="auto"/>
          <w:szCs w:val="24"/>
          <w:highlight w:val="none"/>
        </w:rPr>
        <w:t xml:space="preserve">7.1 </w:t>
      </w:r>
      <w:r>
        <w:rPr>
          <w:rFonts w:hint="eastAsia" w:ascii="宋体" w:hAnsi="宋体" w:eastAsia="宋体" w:cs="宋体"/>
          <w:color w:val="auto"/>
          <w:szCs w:val="24"/>
          <w:highlight w:val="none"/>
        </w:rPr>
        <w:t>中标候选人公示</w:t>
      </w:r>
      <w:bookmarkEnd w:id="641"/>
      <w:bookmarkEnd w:id="642"/>
      <w:bookmarkEnd w:id="643"/>
      <w:bookmarkEnd w:id="644"/>
      <w:bookmarkEnd w:id="645"/>
      <w:bookmarkEnd w:id="646"/>
      <w:bookmarkEnd w:id="647"/>
      <w:bookmarkEnd w:id="648"/>
      <w:bookmarkEnd w:id="649"/>
      <w:bookmarkEnd w:id="650"/>
      <w:bookmarkEnd w:id="65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招标人在收到评标报告之日起3日内，按照投标人须知前附表规定的公示媒介和期限公示中标候选人，公示期不得少于3天。</w:t>
      </w:r>
    </w:p>
    <w:p>
      <w:pPr>
        <w:pStyle w:val="5"/>
        <w:spacing w:line="360" w:lineRule="auto"/>
        <w:ind w:firstLine="0" w:firstLineChars="0"/>
        <w:rPr>
          <w:rFonts w:ascii="宋体" w:hAnsi="宋体" w:eastAsia="宋体" w:cs="宋体"/>
          <w:color w:val="auto"/>
          <w:szCs w:val="24"/>
          <w:highlight w:val="none"/>
        </w:rPr>
      </w:pPr>
      <w:bookmarkStart w:id="652" w:name="_Toc2875"/>
      <w:bookmarkStart w:id="653" w:name="_Toc11891"/>
      <w:bookmarkStart w:id="654" w:name="_Toc15404"/>
      <w:bookmarkStart w:id="655" w:name="_Toc19277"/>
      <w:bookmarkStart w:id="656" w:name="_Toc492300606"/>
      <w:bookmarkStart w:id="657" w:name="_Toc15567"/>
      <w:bookmarkStart w:id="658" w:name="_Toc16494"/>
      <w:bookmarkStart w:id="659" w:name="_Toc26910"/>
      <w:bookmarkStart w:id="660" w:name="_Toc1246"/>
      <w:bookmarkStart w:id="661" w:name="_Toc19700"/>
      <w:bookmarkStart w:id="662" w:name="_Toc3108"/>
      <w:r>
        <w:rPr>
          <w:rFonts w:ascii="宋体" w:hAnsi="宋体" w:eastAsia="宋体" w:cs="宋体"/>
          <w:color w:val="auto"/>
          <w:szCs w:val="24"/>
          <w:highlight w:val="none"/>
        </w:rPr>
        <w:t xml:space="preserve">7.2 </w:t>
      </w:r>
      <w:r>
        <w:rPr>
          <w:rFonts w:hint="eastAsia" w:ascii="宋体" w:hAnsi="宋体" w:eastAsia="宋体" w:cs="宋体"/>
          <w:color w:val="auto"/>
          <w:szCs w:val="24"/>
          <w:highlight w:val="none"/>
        </w:rPr>
        <w:t>评标结果异议</w:t>
      </w:r>
      <w:bookmarkEnd w:id="652"/>
      <w:bookmarkEnd w:id="653"/>
      <w:bookmarkEnd w:id="654"/>
      <w:bookmarkEnd w:id="655"/>
      <w:bookmarkEnd w:id="656"/>
      <w:bookmarkEnd w:id="657"/>
      <w:bookmarkEnd w:id="658"/>
      <w:bookmarkEnd w:id="659"/>
      <w:bookmarkEnd w:id="660"/>
      <w:bookmarkEnd w:id="661"/>
      <w:bookmarkEnd w:id="66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投标人或者其他利</w:t>
      </w:r>
      <w:bookmarkStart w:id="663" w:name="_Toc30095"/>
      <w:bookmarkStart w:id="664" w:name="_Toc352691505"/>
      <w:bookmarkStart w:id="665" w:name="_Toc152045561"/>
      <w:bookmarkStart w:id="666" w:name="_Toc247513985"/>
      <w:bookmarkStart w:id="667" w:name="_Toc300834982"/>
      <w:bookmarkStart w:id="668" w:name="_Toc384308243"/>
      <w:bookmarkStart w:id="669" w:name="_Toc247527586"/>
      <w:bookmarkStart w:id="670" w:name="_Toc369531549"/>
      <w:bookmarkStart w:id="671" w:name="_Toc144974529"/>
      <w:bookmarkStart w:id="672" w:name="_Toc361508618"/>
      <w:bookmarkStart w:id="673" w:name="_Toc152042337"/>
      <w:r>
        <w:rPr>
          <w:rFonts w:hint="eastAsia" w:ascii="宋体" w:hAnsi="宋体" w:cs="宋体"/>
          <w:color w:val="auto"/>
          <w:sz w:val="24"/>
          <w:szCs w:val="24"/>
          <w:highlight w:val="none"/>
        </w:rPr>
        <w:t>害关系人对评标结</w:t>
      </w:r>
      <w:bookmarkEnd w:id="663"/>
      <w:bookmarkEnd w:id="664"/>
      <w:bookmarkEnd w:id="665"/>
      <w:bookmarkEnd w:id="666"/>
      <w:bookmarkEnd w:id="667"/>
      <w:bookmarkEnd w:id="668"/>
      <w:bookmarkEnd w:id="669"/>
      <w:bookmarkEnd w:id="670"/>
      <w:bookmarkEnd w:id="671"/>
      <w:bookmarkEnd w:id="672"/>
      <w:bookmarkEnd w:id="673"/>
      <w:r>
        <w:rPr>
          <w:rFonts w:hint="eastAsia" w:ascii="宋体" w:hAnsi="宋体" w:cs="宋体"/>
          <w:color w:val="auto"/>
          <w:sz w:val="24"/>
          <w:szCs w:val="24"/>
          <w:highlight w:val="none"/>
        </w:rPr>
        <w:t>果有异议的，应当在中标候选人公示期间提出。招标人将在收到异议之日起</w:t>
      </w:r>
      <w:r>
        <w:rPr>
          <w:rFonts w:ascii="宋体" w:hAnsi="宋体" w:cs="宋体"/>
          <w:color w:val="auto"/>
          <w:sz w:val="24"/>
          <w:szCs w:val="24"/>
          <w:highlight w:val="none"/>
        </w:rPr>
        <w:t>3日内</w:t>
      </w:r>
      <w:r>
        <w:rPr>
          <w:rFonts w:hint="eastAsia" w:ascii="宋体" w:hAnsi="宋体" w:cs="宋体"/>
          <w:color w:val="auto"/>
          <w:sz w:val="24"/>
          <w:szCs w:val="24"/>
          <w:highlight w:val="none"/>
        </w:rPr>
        <w:t>作出答复；作出答复前，将暂停招标投标活动。</w:t>
      </w:r>
    </w:p>
    <w:p>
      <w:pPr>
        <w:pStyle w:val="5"/>
        <w:spacing w:line="360" w:lineRule="auto"/>
        <w:ind w:firstLine="0" w:firstLineChars="0"/>
        <w:rPr>
          <w:rFonts w:ascii="宋体" w:hAnsi="宋体" w:eastAsia="宋体" w:cs="宋体"/>
          <w:color w:val="auto"/>
          <w:szCs w:val="24"/>
          <w:highlight w:val="none"/>
        </w:rPr>
      </w:pPr>
      <w:bookmarkStart w:id="674" w:name="_Toc4223"/>
      <w:bookmarkStart w:id="675" w:name="_Toc8456"/>
      <w:bookmarkStart w:id="676" w:name="_Toc11242"/>
      <w:bookmarkStart w:id="677" w:name="_Toc7255"/>
      <w:bookmarkStart w:id="678" w:name="_Toc24306"/>
      <w:bookmarkStart w:id="679" w:name="_Toc20125"/>
      <w:bookmarkStart w:id="680" w:name="_Toc12436"/>
      <w:bookmarkStart w:id="681" w:name="_Toc492300607"/>
      <w:bookmarkStart w:id="682" w:name="_Toc10747"/>
      <w:bookmarkStart w:id="683" w:name="_Toc16358"/>
      <w:bookmarkStart w:id="684" w:name="_Toc5106"/>
      <w:r>
        <w:rPr>
          <w:rFonts w:ascii="宋体" w:hAnsi="宋体" w:eastAsia="宋体" w:cs="宋体"/>
          <w:color w:val="auto"/>
          <w:szCs w:val="24"/>
          <w:highlight w:val="none"/>
        </w:rPr>
        <w:t xml:space="preserve">7.3 </w:t>
      </w:r>
      <w:r>
        <w:rPr>
          <w:rFonts w:hint="eastAsia" w:ascii="宋体" w:hAnsi="宋体" w:eastAsia="宋体" w:cs="宋体"/>
          <w:color w:val="auto"/>
          <w:szCs w:val="24"/>
          <w:highlight w:val="none"/>
        </w:rPr>
        <w:t>中标候选人履约能力审查</w:t>
      </w:r>
      <w:bookmarkEnd w:id="674"/>
      <w:bookmarkEnd w:id="675"/>
      <w:bookmarkEnd w:id="676"/>
      <w:bookmarkEnd w:id="677"/>
      <w:bookmarkEnd w:id="678"/>
      <w:bookmarkEnd w:id="679"/>
      <w:bookmarkEnd w:id="680"/>
      <w:bookmarkEnd w:id="681"/>
      <w:bookmarkEnd w:id="682"/>
      <w:bookmarkEnd w:id="683"/>
      <w:bookmarkEnd w:id="68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line="360" w:lineRule="auto"/>
        <w:ind w:firstLine="0" w:firstLineChars="0"/>
        <w:rPr>
          <w:rFonts w:ascii="宋体" w:hAnsi="宋体" w:eastAsia="宋体" w:cs="宋体"/>
          <w:color w:val="auto"/>
          <w:szCs w:val="24"/>
          <w:highlight w:val="none"/>
        </w:rPr>
      </w:pPr>
      <w:bookmarkStart w:id="685" w:name="_Toc16645"/>
      <w:bookmarkStart w:id="686" w:name="_Toc18639"/>
      <w:bookmarkStart w:id="687" w:name="_Toc26023"/>
      <w:bookmarkStart w:id="688" w:name="_Toc9704"/>
      <w:bookmarkStart w:id="689" w:name="_Toc492300608"/>
      <w:bookmarkStart w:id="690" w:name="_Toc25871"/>
      <w:bookmarkStart w:id="691" w:name="_Toc24096"/>
      <w:bookmarkStart w:id="692" w:name="_Toc24755"/>
      <w:bookmarkStart w:id="693" w:name="_Toc13911"/>
      <w:bookmarkStart w:id="694" w:name="_Toc20037"/>
      <w:bookmarkStart w:id="695" w:name="_Toc26774"/>
      <w:r>
        <w:rPr>
          <w:rFonts w:ascii="宋体" w:hAnsi="宋体" w:eastAsia="宋体" w:cs="宋体"/>
          <w:color w:val="auto"/>
          <w:szCs w:val="24"/>
          <w:highlight w:val="none"/>
        </w:rPr>
        <w:t xml:space="preserve">7.4 </w:t>
      </w:r>
      <w:r>
        <w:rPr>
          <w:rFonts w:hint="eastAsia" w:ascii="宋体" w:hAnsi="宋体" w:eastAsia="宋体" w:cs="宋体"/>
          <w:color w:val="auto"/>
          <w:szCs w:val="24"/>
          <w:highlight w:val="none"/>
        </w:rPr>
        <w:t>定标</w:t>
      </w:r>
      <w:bookmarkEnd w:id="685"/>
      <w:bookmarkEnd w:id="686"/>
      <w:bookmarkEnd w:id="687"/>
      <w:bookmarkEnd w:id="688"/>
      <w:bookmarkEnd w:id="689"/>
      <w:bookmarkEnd w:id="690"/>
      <w:bookmarkEnd w:id="691"/>
      <w:bookmarkEnd w:id="692"/>
      <w:bookmarkEnd w:id="693"/>
      <w:bookmarkEnd w:id="694"/>
      <w:bookmarkEnd w:id="69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按照投标人须知前附表的规定，招标人或招标人授权的评标委员会依法确定中标人。</w:t>
      </w:r>
    </w:p>
    <w:p>
      <w:pPr>
        <w:pStyle w:val="5"/>
        <w:spacing w:line="360" w:lineRule="auto"/>
        <w:ind w:firstLine="0" w:firstLineChars="0"/>
        <w:rPr>
          <w:rFonts w:ascii="宋体" w:hAnsi="宋体" w:eastAsia="宋体" w:cs="宋体"/>
          <w:color w:val="auto"/>
          <w:szCs w:val="24"/>
          <w:highlight w:val="none"/>
        </w:rPr>
      </w:pPr>
      <w:bookmarkStart w:id="696" w:name="_Toc20477"/>
      <w:bookmarkStart w:id="697" w:name="_Toc31128"/>
      <w:bookmarkStart w:id="698" w:name="_Toc492300609"/>
      <w:bookmarkStart w:id="699" w:name="_Toc9194"/>
      <w:bookmarkStart w:id="700" w:name="_Toc22074"/>
      <w:bookmarkStart w:id="701" w:name="_Toc28708"/>
      <w:bookmarkStart w:id="702" w:name="_Toc12343"/>
      <w:bookmarkStart w:id="703" w:name="_Toc22955"/>
      <w:bookmarkStart w:id="704" w:name="_Toc2936"/>
      <w:bookmarkStart w:id="705" w:name="_Toc9845"/>
      <w:bookmarkStart w:id="706" w:name="_Toc22192"/>
      <w:r>
        <w:rPr>
          <w:rFonts w:ascii="宋体" w:hAnsi="宋体" w:eastAsia="宋体" w:cs="宋体"/>
          <w:color w:val="auto"/>
          <w:szCs w:val="24"/>
          <w:highlight w:val="none"/>
        </w:rPr>
        <w:t xml:space="preserve">7.5 </w:t>
      </w:r>
      <w:r>
        <w:rPr>
          <w:rFonts w:hint="eastAsia" w:ascii="宋体" w:hAnsi="宋体" w:eastAsia="宋体" w:cs="宋体"/>
          <w:color w:val="auto"/>
          <w:szCs w:val="24"/>
          <w:highlight w:val="none"/>
        </w:rPr>
        <w:t>中标通知</w:t>
      </w:r>
      <w:bookmarkEnd w:id="696"/>
      <w:bookmarkEnd w:id="697"/>
      <w:bookmarkEnd w:id="698"/>
      <w:bookmarkEnd w:id="699"/>
      <w:bookmarkEnd w:id="700"/>
      <w:bookmarkEnd w:id="701"/>
      <w:bookmarkEnd w:id="702"/>
      <w:bookmarkEnd w:id="703"/>
      <w:bookmarkEnd w:id="704"/>
      <w:bookmarkEnd w:id="705"/>
      <w:bookmarkEnd w:id="70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在本章第3.3款规定的投标有效期内，招标人以书面形式向中标人发出中标</w:t>
      </w:r>
      <w:bookmarkStart w:id="707" w:name="_Toc300834983"/>
      <w:bookmarkStart w:id="708" w:name="_Toc384308244"/>
      <w:bookmarkStart w:id="709" w:name="_Toc5668"/>
      <w:bookmarkStart w:id="710" w:name="_Toc369531550"/>
      <w:bookmarkStart w:id="711" w:name="_Toc352691506"/>
      <w:bookmarkStart w:id="712" w:name="_Toc361508619"/>
      <w:r>
        <w:rPr>
          <w:rFonts w:hint="eastAsia" w:ascii="宋体" w:hAnsi="宋体" w:cs="宋体"/>
          <w:color w:val="auto"/>
          <w:sz w:val="24"/>
          <w:szCs w:val="24"/>
          <w:highlight w:val="none"/>
        </w:rPr>
        <w:t>通知书，同时将中</w:t>
      </w:r>
      <w:bookmarkEnd w:id="707"/>
      <w:bookmarkEnd w:id="708"/>
      <w:bookmarkEnd w:id="709"/>
      <w:bookmarkEnd w:id="710"/>
      <w:bookmarkEnd w:id="711"/>
      <w:bookmarkEnd w:id="712"/>
      <w:r>
        <w:rPr>
          <w:rFonts w:hint="eastAsia" w:ascii="宋体" w:hAnsi="宋体" w:cs="宋体"/>
          <w:color w:val="auto"/>
          <w:sz w:val="24"/>
          <w:szCs w:val="24"/>
          <w:highlight w:val="none"/>
        </w:rPr>
        <w:t>标结果通知未中标的投标人。</w:t>
      </w:r>
    </w:p>
    <w:p>
      <w:pPr>
        <w:pStyle w:val="5"/>
        <w:spacing w:line="360" w:lineRule="auto"/>
        <w:ind w:firstLine="0" w:firstLineChars="0"/>
        <w:rPr>
          <w:rFonts w:ascii="宋体" w:hAnsi="宋体" w:eastAsia="宋体" w:cs="宋体"/>
          <w:color w:val="auto"/>
          <w:szCs w:val="24"/>
          <w:highlight w:val="none"/>
        </w:rPr>
      </w:pPr>
      <w:bookmarkStart w:id="713" w:name="_Toc29460"/>
      <w:bookmarkStart w:id="714" w:name="_Toc10579"/>
      <w:bookmarkStart w:id="715" w:name="_Toc11461"/>
      <w:bookmarkStart w:id="716" w:name="_Toc28838"/>
      <w:bookmarkStart w:id="717" w:name="_Toc31786"/>
      <w:bookmarkStart w:id="718" w:name="_Toc7444"/>
      <w:bookmarkStart w:id="719" w:name="_Toc14148"/>
      <w:bookmarkStart w:id="720" w:name="_Toc8209"/>
      <w:bookmarkStart w:id="721" w:name="_Toc2673"/>
      <w:bookmarkStart w:id="722" w:name="_Toc492300610"/>
      <w:bookmarkStart w:id="723" w:name="_Toc30658"/>
      <w:r>
        <w:rPr>
          <w:rFonts w:ascii="宋体" w:hAnsi="宋体" w:eastAsia="宋体" w:cs="宋体"/>
          <w:color w:val="auto"/>
          <w:szCs w:val="24"/>
          <w:highlight w:val="none"/>
        </w:rPr>
        <w:t xml:space="preserve">7.6 </w:t>
      </w:r>
      <w:r>
        <w:rPr>
          <w:rFonts w:hint="eastAsia" w:ascii="宋体" w:hAnsi="宋体" w:eastAsia="宋体" w:cs="宋体"/>
          <w:color w:val="auto"/>
          <w:szCs w:val="24"/>
          <w:highlight w:val="none"/>
        </w:rPr>
        <w:t>履约保证金</w:t>
      </w:r>
      <w:bookmarkEnd w:id="713"/>
      <w:bookmarkEnd w:id="714"/>
      <w:bookmarkEnd w:id="715"/>
      <w:bookmarkEnd w:id="716"/>
      <w:bookmarkEnd w:id="717"/>
      <w:bookmarkEnd w:id="718"/>
      <w:bookmarkEnd w:id="719"/>
      <w:bookmarkEnd w:id="720"/>
      <w:bookmarkEnd w:id="721"/>
      <w:bookmarkEnd w:id="722"/>
      <w:bookmarkEnd w:id="723"/>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7.6.1 </w:t>
      </w:r>
      <w:r>
        <w:rPr>
          <w:rFonts w:hint="eastAsia" w:ascii="宋体" w:hAnsi="宋体" w:cs="宋体"/>
          <w:color w:val="auto"/>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7.6.2 </w:t>
      </w:r>
      <w:r>
        <w:rPr>
          <w:rFonts w:hint="eastAsia" w:ascii="宋体" w:hAnsi="宋体" w:cs="宋体"/>
          <w:color w:val="auto"/>
          <w:sz w:val="24"/>
          <w:szCs w:val="24"/>
          <w:highlight w:val="none"/>
        </w:rPr>
        <w:t>中标人不能按本章第7.6.1项要求提交履约保证金的，视为放弃中标，其投标保证金不予退还，给招标人造成的损失超过投标保证金数额的，中标人还应当对超过部分予以赔偿。</w:t>
      </w:r>
    </w:p>
    <w:p>
      <w:pPr>
        <w:pStyle w:val="5"/>
        <w:spacing w:line="360" w:lineRule="auto"/>
        <w:ind w:firstLine="0" w:firstLineChars="0"/>
        <w:rPr>
          <w:rFonts w:ascii="宋体" w:hAnsi="宋体" w:eastAsia="宋体" w:cs="宋体"/>
          <w:color w:val="auto"/>
          <w:szCs w:val="24"/>
          <w:highlight w:val="none"/>
        </w:rPr>
      </w:pPr>
      <w:bookmarkStart w:id="724" w:name="_Toc21668"/>
      <w:bookmarkStart w:id="725" w:name="_Toc22239"/>
      <w:bookmarkStart w:id="726" w:name="_Toc23355"/>
      <w:bookmarkStart w:id="727" w:name="_Toc25308"/>
      <w:bookmarkStart w:id="728" w:name="_Toc6210"/>
      <w:bookmarkStart w:id="729" w:name="_Toc25434"/>
      <w:bookmarkStart w:id="730" w:name="_Toc18227"/>
      <w:bookmarkStart w:id="731" w:name="_Toc492300611"/>
      <w:bookmarkStart w:id="732" w:name="_Toc4249"/>
      <w:bookmarkStart w:id="733" w:name="_Toc28497"/>
      <w:bookmarkStart w:id="734" w:name="_Toc1050"/>
      <w:r>
        <w:rPr>
          <w:rFonts w:ascii="宋体" w:hAnsi="宋体" w:eastAsia="宋体" w:cs="宋体"/>
          <w:color w:val="auto"/>
          <w:szCs w:val="24"/>
          <w:highlight w:val="none"/>
        </w:rPr>
        <w:t xml:space="preserve">7.7 </w:t>
      </w:r>
      <w:r>
        <w:rPr>
          <w:rFonts w:hint="eastAsia" w:ascii="宋体" w:hAnsi="宋体" w:eastAsia="宋体" w:cs="宋体"/>
          <w:color w:val="auto"/>
          <w:szCs w:val="24"/>
          <w:highlight w:val="none"/>
        </w:rPr>
        <w:t>签订合同</w:t>
      </w:r>
      <w:bookmarkEnd w:id="724"/>
      <w:bookmarkEnd w:id="725"/>
      <w:bookmarkEnd w:id="726"/>
      <w:bookmarkEnd w:id="727"/>
      <w:bookmarkEnd w:id="728"/>
      <w:bookmarkEnd w:id="729"/>
      <w:bookmarkEnd w:id="730"/>
      <w:bookmarkEnd w:id="731"/>
      <w:bookmarkEnd w:id="732"/>
      <w:bookmarkEnd w:id="733"/>
      <w:bookmarkEnd w:id="734"/>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7.7.1 </w:t>
      </w:r>
      <w:r>
        <w:rPr>
          <w:rFonts w:hint="eastAsia" w:ascii="宋体" w:hAnsi="宋体" w:cs="宋体"/>
          <w:color w:val="auto"/>
          <w:sz w:val="24"/>
          <w:szCs w:val="24"/>
          <w:highlight w:val="none"/>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7.7.2 </w:t>
      </w:r>
      <w:r>
        <w:rPr>
          <w:rFonts w:hint="eastAsia" w:ascii="宋体" w:hAnsi="宋体" w:cs="宋体"/>
          <w:color w:val="auto"/>
          <w:sz w:val="24"/>
          <w:szCs w:val="24"/>
          <w:highlight w:val="none"/>
        </w:rPr>
        <w:t>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7.7.3</w:t>
      </w:r>
      <w:r>
        <w:rPr>
          <w:rFonts w:hint="eastAsia" w:ascii="宋体" w:hAnsi="宋体" w:cs="宋体"/>
          <w:color w:val="auto"/>
          <w:sz w:val="24"/>
          <w:szCs w:val="24"/>
          <w:highlight w:val="none"/>
        </w:rPr>
        <w:t>联合体中标的，联合体各方应当</w:t>
      </w:r>
      <w:r>
        <w:rPr>
          <w:rFonts w:ascii="宋体" w:hAnsi="宋体" w:cs="宋体"/>
          <w:color w:val="auto"/>
          <w:sz w:val="24"/>
          <w:szCs w:val="24"/>
          <w:highlight w:val="none"/>
        </w:rPr>
        <w:t>共同</w:t>
      </w:r>
      <w:r>
        <w:rPr>
          <w:rFonts w:hint="eastAsia" w:ascii="宋体" w:hAnsi="宋体" w:cs="宋体"/>
          <w:color w:val="auto"/>
          <w:sz w:val="24"/>
          <w:szCs w:val="24"/>
          <w:highlight w:val="none"/>
        </w:rPr>
        <w:t>与招标人签订合同，就中标项目向招标人承担连带责任。</w:t>
      </w:r>
    </w:p>
    <w:p>
      <w:pPr>
        <w:pStyle w:val="4"/>
        <w:spacing w:line="360" w:lineRule="auto"/>
        <w:rPr>
          <w:rFonts w:ascii="宋体" w:hAnsi="宋体" w:eastAsia="宋体" w:cs="宋体"/>
          <w:color w:val="auto"/>
          <w:sz w:val="28"/>
          <w:szCs w:val="28"/>
          <w:highlight w:val="none"/>
        </w:rPr>
      </w:pPr>
      <w:bookmarkStart w:id="735" w:name="_Toc384308252"/>
      <w:bookmarkStart w:id="736" w:name="_Toc24067"/>
      <w:bookmarkStart w:id="737" w:name="_Toc361508627"/>
      <w:bookmarkStart w:id="738" w:name="_Toc5631"/>
      <w:bookmarkStart w:id="739" w:name="_Toc5519"/>
      <w:bookmarkStart w:id="740" w:name="_Toc14302"/>
      <w:bookmarkStart w:id="741" w:name="_Toc12616"/>
      <w:bookmarkStart w:id="742" w:name="_Toc16626"/>
      <w:bookmarkStart w:id="743" w:name="_Toc492300612"/>
      <w:bookmarkStart w:id="744" w:name="_Toc642"/>
      <w:bookmarkStart w:id="745" w:name="_Toc25547"/>
      <w:bookmarkStart w:id="746" w:name="_Toc31097"/>
      <w:bookmarkStart w:id="747" w:name="_Toc15061"/>
      <w:bookmarkStart w:id="748" w:name="_Toc15194"/>
      <w:bookmarkStart w:id="749" w:name="_Toc247527593"/>
      <w:bookmarkStart w:id="750" w:name="_Toc144974536"/>
      <w:bookmarkStart w:id="751" w:name="_Toc152042344"/>
      <w:bookmarkStart w:id="752" w:name="_Toc247513992"/>
      <w:bookmarkStart w:id="753" w:name="_Toc152045568"/>
      <w:bookmarkStart w:id="754" w:name="_Toc300834991"/>
      <w:r>
        <w:rPr>
          <w:rFonts w:ascii="宋体" w:hAnsi="宋体" w:eastAsia="宋体" w:cs="宋体"/>
          <w:color w:val="auto"/>
          <w:sz w:val="28"/>
          <w:szCs w:val="28"/>
          <w:highlight w:val="none"/>
        </w:rPr>
        <w:t>8.</w:t>
      </w:r>
      <w:bookmarkEnd w:id="735"/>
      <w:bookmarkEnd w:id="736"/>
      <w:bookmarkEnd w:id="737"/>
      <w:r>
        <w:rPr>
          <w:rFonts w:hint="eastAsia" w:ascii="宋体" w:hAnsi="宋体" w:eastAsia="宋体" w:cs="宋体"/>
          <w:color w:val="auto"/>
          <w:sz w:val="28"/>
          <w:szCs w:val="28"/>
          <w:highlight w:val="none"/>
        </w:rPr>
        <w:t>纪律和监督</w:t>
      </w:r>
      <w:bookmarkEnd w:id="738"/>
      <w:bookmarkEnd w:id="739"/>
      <w:bookmarkEnd w:id="740"/>
      <w:bookmarkEnd w:id="741"/>
      <w:bookmarkEnd w:id="742"/>
      <w:bookmarkEnd w:id="743"/>
      <w:bookmarkEnd w:id="744"/>
      <w:bookmarkEnd w:id="745"/>
      <w:bookmarkEnd w:id="746"/>
      <w:bookmarkEnd w:id="747"/>
      <w:bookmarkEnd w:id="748"/>
    </w:p>
    <w:p>
      <w:pPr>
        <w:pStyle w:val="5"/>
        <w:spacing w:line="360" w:lineRule="auto"/>
        <w:ind w:firstLine="0" w:firstLineChars="0"/>
        <w:rPr>
          <w:rFonts w:ascii="宋体" w:hAnsi="宋体" w:eastAsia="宋体" w:cs="宋体"/>
          <w:color w:val="auto"/>
          <w:szCs w:val="24"/>
          <w:highlight w:val="none"/>
        </w:rPr>
      </w:pPr>
      <w:bookmarkStart w:id="755" w:name="_Toc4178"/>
      <w:bookmarkStart w:id="756" w:name="_Toc23120"/>
      <w:bookmarkStart w:id="757" w:name="_Toc21301"/>
      <w:bookmarkStart w:id="758" w:name="_Toc11398"/>
      <w:bookmarkStart w:id="759" w:name="_Toc9299"/>
      <w:bookmarkStart w:id="760" w:name="_Toc15883"/>
      <w:bookmarkStart w:id="761" w:name="_Toc18110"/>
      <w:bookmarkStart w:id="762" w:name="_Toc492300613"/>
      <w:bookmarkStart w:id="763" w:name="_Toc32544"/>
      <w:bookmarkStart w:id="764" w:name="_Toc21921"/>
      <w:bookmarkStart w:id="765" w:name="_Toc16376"/>
      <w:r>
        <w:rPr>
          <w:rFonts w:ascii="宋体" w:hAnsi="宋体" w:eastAsia="宋体" w:cs="宋体"/>
          <w:color w:val="auto"/>
          <w:szCs w:val="24"/>
          <w:highlight w:val="none"/>
        </w:rPr>
        <w:t xml:space="preserve">8.1 </w:t>
      </w:r>
      <w:r>
        <w:rPr>
          <w:rFonts w:hint="eastAsia" w:ascii="宋体" w:hAnsi="宋体" w:eastAsia="宋体" w:cs="宋体"/>
          <w:color w:val="auto"/>
          <w:szCs w:val="24"/>
          <w:highlight w:val="none"/>
        </w:rPr>
        <w:t>对招标人的纪律要求</w:t>
      </w:r>
      <w:bookmarkEnd w:id="755"/>
      <w:bookmarkEnd w:id="756"/>
      <w:bookmarkEnd w:id="757"/>
      <w:bookmarkEnd w:id="758"/>
      <w:bookmarkEnd w:id="759"/>
      <w:bookmarkEnd w:id="760"/>
      <w:bookmarkEnd w:id="761"/>
      <w:bookmarkEnd w:id="762"/>
      <w:bookmarkEnd w:id="763"/>
      <w:bookmarkEnd w:id="764"/>
      <w:bookmarkEnd w:id="76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pPr>
        <w:pStyle w:val="5"/>
        <w:spacing w:line="360" w:lineRule="auto"/>
        <w:ind w:firstLine="0" w:firstLineChars="0"/>
        <w:rPr>
          <w:rFonts w:ascii="宋体" w:hAnsi="宋体" w:eastAsia="宋体" w:cs="宋体"/>
          <w:color w:val="auto"/>
          <w:szCs w:val="24"/>
          <w:highlight w:val="none"/>
        </w:rPr>
      </w:pPr>
      <w:bookmarkStart w:id="766" w:name="_Toc492300614"/>
      <w:bookmarkStart w:id="767" w:name="_Toc7748"/>
      <w:bookmarkStart w:id="768" w:name="_Toc31887"/>
      <w:bookmarkStart w:id="769" w:name="_Toc23526"/>
      <w:bookmarkStart w:id="770" w:name="_Toc6541"/>
      <w:bookmarkStart w:id="771" w:name="_Toc32615"/>
      <w:bookmarkStart w:id="772" w:name="_Toc21145"/>
      <w:bookmarkStart w:id="773" w:name="_Toc8183"/>
      <w:bookmarkStart w:id="774" w:name="_Toc28671"/>
      <w:bookmarkStart w:id="775" w:name="_Toc14517"/>
      <w:bookmarkStart w:id="776" w:name="_Toc13684"/>
      <w:r>
        <w:rPr>
          <w:rFonts w:ascii="宋体" w:hAnsi="宋体" w:eastAsia="宋体" w:cs="宋体"/>
          <w:color w:val="auto"/>
          <w:szCs w:val="24"/>
          <w:highlight w:val="none"/>
        </w:rPr>
        <w:t xml:space="preserve">8.2 </w:t>
      </w:r>
      <w:r>
        <w:rPr>
          <w:rFonts w:hint="eastAsia" w:ascii="宋体" w:hAnsi="宋体" w:eastAsia="宋体" w:cs="宋体"/>
          <w:color w:val="auto"/>
          <w:szCs w:val="24"/>
          <w:highlight w:val="none"/>
        </w:rPr>
        <w:t>对投标人的纪律要求</w:t>
      </w:r>
      <w:bookmarkEnd w:id="766"/>
      <w:bookmarkEnd w:id="767"/>
      <w:bookmarkEnd w:id="768"/>
      <w:bookmarkEnd w:id="769"/>
      <w:bookmarkEnd w:id="770"/>
      <w:bookmarkEnd w:id="771"/>
      <w:bookmarkEnd w:id="772"/>
      <w:bookmarkEnd w:id="773"/>
      <w:bookmarkEnd w:id="774"/>
      <w:bookmarkEnd w:id="775"/>
      <w:bookmarkEnd w:id="77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line="360" w:lineRule="auto"/>
        <w:ind w:firstLine="0" w:firstLineChars="0"/>
        <w:rPr>
          <w:rFonts w:ascii="宋体" w:hAnsi="宋体" w:eastAsia="宋体" w:cs="宋体"/>
          <w:color w:val="auto"/>
          <w:szCs w:val="24"/>
          <w:highlight w:val="none"/>
        </w:rPr>
      </w:pPr>
      <w:bookmarkStart w:id="777" w:name="_Toc6527"/>
      <w:bookmarkStart w:id="778" w:name="_Toc1865"/>
      <w:bookmarkStart w:id="779" w:name="_Toc28223"/>
      <w:bookmarkStart w:id="780" w:name="_Toc7612"/>
      <w:bookmarkStart w:id="781" w:name="_Toc21474"/>
      <w:bookmarkStart w:id="782" w:name="_Toc25078"/>
      <w:bookmarkStart w:id="783" w:name="_Toc492300615"/>
      <w:bookmarkStart w:id="784" w:name="_Toc30851"/>
      <w:bookmarkStart w:id="785" w:name="_Toc10298"/>
      <w:bookmarkStart w:id="786" w:name="_Toc15814"/>
      <w:bookmarkStart w:id="787" w:name="_Toc941"/>
      <w:r>
        <w:rPr>
          <w:rFonts w:ascii="宋体" w:hAnsi="宋体" w:eastAsia="宋体" w:cs="宋体"/>
          <w:color w:val="auto"/>
          <w:szCs w:val="24"/>
          <w:highlight w:val="none"/>
        </w:rPr>
        <w:t xml:space="preserve">8.3 </w:t>
      </w:r>
      <w:r>
        <w:rPr>
          <w:rFonts w:hint="eastAsia" w:ascii="宋体" w:hAnsi="宋体" w:eastAsia="宋体" w:cs="宋体"/>
          <w:color w:val="auto"/>
          <w:szCs w:val="24"/>
          <w:highlight w:val="none"/>
        </w:rPr>
        <w:t>对评标委员会成员的纪律要求</w:t>
      </w:r>
      <w:bookmarkEnd w:id="777"/>
      <w:bookmarkEnd w:id="778"/>
      <w:bookmarkEnd w:id="779"/>
      <w:bookmarkEnd w:id="780"/>
      <w:bookmarkEnd w:id="781"/>
      <w:bookmarkEnd w:id="782"/>
      <w:bookmarkEnd w:id="783"/>
      <w:bookmarkEnd w:id="784"/>
      <w:bookmarkEnd w:id="785"/>
      <w:bookmarkEnd w:id="786"/>
      <w:bookmarkEnd w:id="78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评标委员会成员不得收受他人的财物或者其他好处，不得向他人透露对投标文件的评审</w:t>
      </w:r>
      <w:bookmarkStart w:id="788" w:name="_Toc369531559"/>
      <w:bookmarkStart w:id="789" w:name="_Toc352691515"/>
      <w:bookmarkStart w:id="790" w:name="_Toc384308253"/>
      <w:bookmarkStart w:id="791" w:name="_Toc13644"/>
      <w:bookmarkStart w:id="792" w:name="_Toc361508628"/>
      <w:r>
        <w:rPr>
          <w:rFonts w:hint="eastAsia" w:ascii="宋体" w:hAnsi="宋体" w:cs="宋体"/>
          <w:color w:val="auto"/>
          <w:sz w:val="24"/>
          <w:szCs w:val="24"/>
          <w:highlight w:val="none"/>
        </w:rPr>
        <w:t>和比较、中标候选人</w:t>
      </w:r>
      <w:bookmarkEnd w:id="749"/>
      <w:bookmarkEnd w:id="750"/>
      <w:bookmarkEnd w:id="751"/>
      <w:bookmarkEnd w:id="752"/>
      <w:bookmarkEnd w:id="753"/>
      <w:bookmarkEnd w:id="754"/>
      <w:bookmarkEnd w:id="788"/>
      <w:bookmarkEnd w:id="789"/>
      <w:bookmarkEnd w:id="790"/>
      <w:bookmarkEnd w:id="791"/>
      <w:bookmarkEnd w:id="792"/>
      <w:r>
        <w:rPr>
          <w:rFonts w:hint="eastAsia" w:ascii="宋体" w:hAnsi="宋体" w:cs="宋体"/>
          <w:color w:val="auto"/>
          <w:sz w:val="24"/>
          <w:szCs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line="360" w:lineRule="auto"/>
        <w:ind w:firstLine="0" w:firstLineChars="0"/>
        <w:rPr>
          <w:rFonts w:ascii="宋体" w:hAnsi="宋体" w:eastAsia="宋体" w:cs="宋体"/>
          <w:color w:val="auto"/>
          <w:szCs w:val="24"/>
          <w:highlight w:val="none"/>
        </w:rPr>
      </w:pPr>
      <w:bookmarkStart w:id="793" w:name="_Toc30798"/>
      <w:bookmarkStart w:id="794" w:name="_Toc684"/>
      <w:bookmarkStart w:id="795" w:name="_Toc22625"/>
      <w:bookmarkStart w:id="796" w:name="_Toc5380"/>
      <w:bookmarkStart w:id="797" w:name="_Toc27753"/>
      <w:bookmarkStart w:id="798" w:name="_Toc492300616"/>
      <w:bookmarkStart w:id="799" w:name="_Toc28320"/>
      <w:bookmarkStart w:id="800" w:name="_Toc3593"/>
      <w:bookmarkStart w:id="801" w:name="_Toc282"/>
      <w:bookmarkStart w:id="802" w:name="_Toc13979"/>
      <w:bookmarkStart w:id="803" w:name="_Toc8939"/>
      <w:r>
        <w:rPr>
          <w:rFonts w:ascii="宋体" w:hAnsi="宋体" w:eastAsia="宋体" w:cs="宋体"/>
          <w:color w:val="auto"/>
          <w:szCs w:val="24"/>
          <w:highlight w:val="none"/>
        </w:rPr>
        <w:t xml:space="preserve">8.4 </w:t>
      </w:r>
      <w:r>
        <w:rPr>
          <w:rFonts w:hint="eastAsia" w:ascii="宋体" w:hAnsi="宋体" w:eastAsia="宋体" w:cs="宋体"/>
          <w:color w:val="auto"/>
          <w:szCs w:val="24"/>
          <w:highlight w:val="none"/>
        </w:rPr>
        <w:t>对与评标活动有关的工作人员的纪律要求</w:t>
      </w:r>
      <w:bookmarkEnd w:id="793"/>
      <w:bookmarkEnd w:id="794"/>
      <w:bookmarkEnd w:id="795"/>
      <w:bookmarkEnd w:id="796"/>
      <w:bookmarkEnd w:id="797"/>
      <w:bookmarkEnd w:id="798"/>
      <w:bookmarkEnd w:id="799"/>
      <w:bookmarkEnd w:id="800"/>
      <w:bookmarkEnd w:id="801"/>
      <w:bookmarkEnd w:id="802"/>
      <w:bookmarkEnd w:id="80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与评标活动有关的工作人员不得收受他人的财物或者其他好处，不得向他人透露对投标文件</w:t>
      </w:r>
      <w:bookmarkStart w:id="804" w:name="_Toc369531560"/>
      <w:bookmarkStart w:id="805" w:name="_Toc361508629"/>
      <w:bookmarkStart w:id="806" w:name="_Toc144974537"/>
      <w:bookmarkStart w:id="807" w:name="_Toc152042345"/>
      <w:bookmarkStart w:id="808" w:name="_Toc247513993"/>
      <w:bookmarkStart w:id="809" w:name="_Toc19429"/>
      <w:bookmarkStart w:id="810" w:name="_Toc152045569"/>
      <w:bookmarkStart w:id="811" w:name="_Toc300834992"/>
      <w:bookmarkStart w:id="812" w:name="_Toc247527594"/>
      <w:bookmarkStart w:id="813" w:name="_Toc352691516"/>
      <w:bookmarkStart w:id="814" w:name="_Toc384308254"/>
      <w:r>
        <w:rPr>
          <w:rFonts w:hint="eastAsia" w:ascii="宋体" w:hAnsi="宋体" w:cs="宋体"/>
          <w:color w:val="auto"/>
          <w:sz w:val="24"/>
          <w:szCs w:val="24"/>
          <w:highlight w:val="none"/>
        </w:rPr>
        <w:t>的评审和比较、中标</w:t>
      </w:r>
      <w:bookmarkEnd w:id="804"/>
      <w:bookmarkEnd w:id="805"/>
      <w:bookmarkEnd w:id="806"/>
      <w:bookmarkEnd w:id="807"/>
      <w:bookmarkEnd w:id="808"/>
      <w:bookmarkEnd w:id="809"/>
      <w:bookmarkEnd w:id="810"/>
      <w:bookmarkEnd w:id="811"/>
      <w:bookmarkEnd w:id="812"/>
      <w:bookmarkEnd w:id="813"/>
      <w:bookmarkEnd w:id="814"/>
      <w:r>
        <w:rPr>
          <w:rFonts w:hint="eastAsia" w:ascii="宋体" w:hAnsi="宋体" w:cs="宋体"/>
          <w:color w:val="auto"/>
          <w:sz w:val="24"/>
          <w:szCs w:val="24"/>
          <w:highlight w:val="none"/>
        </w:rPr>
        <w:t>候选人的推荐情况以及评标有关的其他情况。在评标活动中，与评标活动有关的工作人员不得擅离职守，影响评标程序正常进行。</w:t>
      </w:r>
    </w:p>
    <w:p>
      <w:pPr>
        <w:pStyle w:val="5"/>
        <w:spacing w:line="360" w:lineRule="auto"/>
        <w:ind w:firstLine="0" w:firstLineChars="0"/>
        <w:rPr>
          <w:rFonts w:ascii="宋体" w:hAnsi="宋体" w:eastAsia="宋体" w:cs="宋体"/>
          <w:color w:val="auto"/>
          <w:szCs w:val="24"/>
          <w:highlight w:val="none"/>
        </w:rPr>
      </w:pPr>
      <w:bookmarkStart w:id="815" w:name="_Toc24577"/>
      <w:bookmarkStart w:id="816" w:name="_Toc14715"/>
      <w:bookmarkStart w:id="817" w:name="_Toc27306"/>
      <w:bookmarkStart w:id="818" w:name="_Toc22474"/>
      <w:bookmarkStart w:id="819" w:name="_Toc27624"/>
      <w:bookmarkStart w:id="820" w:name="_Toc15494"/>
      <w:bookmarkStart w:id="821" w:name="_Toc19832"/>
      <w:bookmarkStart w:id="822" w:name="_Toc1751"/>
      <w:bookmarkStart w:id="823" w:name="_Toc492300617"/>
      <w:bookmarkStart w:id="824" w:name="_Toc2142"/>
      <w:bookmarkStart w:id="825" w:name="_Toc9633"/>
      <w:r>
        <w:rPr>
          <w:rFonts w:ascii="宋体" w:hAnsi="宋体" w:eastAsia="宋体" w:cs="宋体"/>
          <w:color w:val="auto"/>
          <w:szCs w:val="24"/>
          <w:highlight w:val="none"/>
        </w:rPr>
        <w:t xml:space="preserve">8.5 </w:t>
      </w:r>
      <w:r>
        <w:rPr>
          <w:rFonts w:hint="eastAsia" w:ascii="宋体" w:hAnsi="宋体" w:eastAsia="宋体" w:cs="宋体"/>
          <w:color w:val="auto"/>
          <w:szCs w:val="24"/>
          <w:highlight w:val="none"/>
        </w:rPr>
        <w:t>投诉</w:t>
      </w:r>
      <w:bookmarkEnd w:id="815"/>
      <w:bookmarkEnd w:id="816"/>
      <w:bookmarkEnd w:id="817"/>
      <w:bookmarkEnd w:id="818"/>
      <w:bookmarkEnd w:id="819"/>
      <w:bookmarkEnd w:id="820"/>
      <w:bookmarkEnd w:id="821"/>
      <w:bookmarkEnd w:id="822"/>
      <w:bookmarkEnd w:id="823"/>
      <w:bookmarkEnd w:id="824"/>
      <w:bookmarkEnd w:id="825"/>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8.5.1 </w:t>
      </w:r>
      <w:r>
        <w:rPr>
          <w:rFonts w:hint="eastAsia" w:ascii="宋体" w:hAnsi="宋体" w:cs="宋体"/>
          <w:color w:val="auto"/>
          <w:sz w:val="24"/>
          <w:szCs w:val="24"/>
          <w:highlight w:val="none"/>
        </w:rPr>
        <w:t>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8.5.2 </w:t>
      </w:r>
      <w:r>
        <w:rPr>
          <w:rFonts w:hint="eastAsia" w:ascii="宋体" w:hAnsi="宋体" w:cs="宋体"/>
          <w:color w:val="auto"/>
          <w:sz w:val="24"/>
          <w:szCs w:val="24"/>
          <w:highlight w:val="none"/>
        </w:rPr>
        <w:t>投标人或者其他利害关系人对招标文件、开标和评标结果提出投诉的，应当按照投标人须知第2.4款、第5.3款和第7.2款的规定先向招标人提出异议。异议答复期间</w:t>
      </w:r>
      <w:bookmarkStart w:id="826" w:name="_Toc247527595"/>
      <w:bookmarkStart w:id="827" w:name="_Toc369531561"/>
      <w:bookmarkStart w:id="828" w:name="_Toc300834993"/>
      <w:bookmarkStart w:id="829" w:name="_Toc152042346"/>
      <w:bookmarkStart w:id="830" w:name="_Toc12776"/>
      <w:bookmarkStart w:id="831" w:name="_Toc247513994"/>
      <w:bookmarkStart w:id="832" w:name="_Toc144974538"/>
      <w:bookmarkStart w:id="833" w:name="_Toc152045570"/>
      <w:bookmarkStart w:id="834" w:name="_Toc361508630"/>
      <w:bookmarkStart w:id="835" w:name="_Toc384308255"/>
      <w:bookmarkStart w:id="836" w:name="_Toc352691517"/>
      <w:r>
        <w:rPr>
          <w:rFonts w:hint="eastAsia" w:ascii="宋体" w:hAnsi="宋体" w:cs="宋体"/>
          <w:color w:val="auto"/>
          <w:sz w:val="24"/>
          <w:szCs w:val="24"/>
          <w:highlight w:val="none"/>
        </w:rPr>
        <w:t>不计算在第8.5.</w:t>
      </w:r>
      <w:bookmarkEnd w:id="826"/>
      <w:bookmarkEnd w:id="827"/>
      <w:bookmarkEnd w:id="828"/>
      <w:bookmarkEnd w:id="829"/>
      <w:bookmarkEnd w:id="830"/>
      <w:bookmarkEnd w:id="831"/>
      <w:bookmarkEnd w:id="832"/>
      <w:bookmarkEnd w:id="833"/>
      <w:bookmarkEnd w:id="834"/>
      <w:bookmarkEnd w:id="835"/>
      <w:bookmarkEnd w:id="836"/>
      <w:r>
        <w:rPr>
          <w:rFonts w:hint="eastAsia" w:ascii="宋体" w:hAnsi="宋体" w:cs="宋体"/>
          <w:color w:val="auto"/>
          <w:sz w:val="24"/>
          <w:szCs w:val="24"/>
          <w:highlight w:val="none"/>
        </w:rPr>
        <w:t>1项规定的期限内。</w:t>
      </w:r>
    </w:p>
    <w:p>
      <w:pPr>
        <w:pStyle w:val="4"/>
        <w:spacing w:line="360" w:lineRule="auto"/>
        <w:rPr>
          <w:rFonts w:ascii="宋体" w:hAnsi="宋体" w:eastAsia="宋体" w:cs="宋体"/>
          <w:color w:val="auto"/>
          <w:sz w:val="28"/>
          <w:szCs w:val="28"/>
          <w:highlight w:val="none"/>
        </w:rPr>
      </w:pPr>
      <w:bookmarkStart w:id="837" w:name="_Toc16390"/>
      <w:bookmarkStart w:id="838" w:name="_Toc477134992"/>
      <w:bookmarkStart w:id="839" w:name="_Toc9137"/>
      <w:bookmarkStart w:id="840" w:name="_Toc8988"/>
      <w:bookmarkStart w:id="841" w:name="_Toc21121"/>
      <w:bookmarkStart w:id="842" w:name="_Toc23565"/>
      <w:bookmarkStart w:id="843" w:name="_Toc12204"/>
      <w:bookmarkStart w:id="844" w:name="_Toc492300618"/>
      <w:bookmarkStart w:id="845" w:name="_Toc17880"/>
      <w:bookmarkStart w:id="846" w:name="_Toc21761"/>
      <w:bookmarkStart w:id="847" w:name="_Toc6758"/>
      <w:bookmarkStart w:id="848" w:name="_Toc16792"/>
      <w:r>
        <w:rPr>
          <w:rFonts w:ascii="宋体" w:hAnsi="宋体" w:eastAsia="宋体" w:cs="宋体"/>
          <w:color w:val="auto"/>
          <w:sz w:val="28"/>
          <w:szCs w:val="28"/>
          <w:highlight w:val="none"/>
        </w:rPr>
        <w:t xml:space="preserve">9. </w:t>
      </w:r>
      <w:r>
        <w:rPr>
          <w:rFonts w:hint="eastAsia" w:ascii="宋体" w:hAnsi="宋体" w:eastAsia="宋体" w:cs="宋体"/>
          <w:color w:val="auto"/>
          <w:sz w:val="28"/>
          <w:szCs w:val="28"/>
          <w:highlight w:val="none"/>
        </w:rPr>
        <w:t>是否采用电子招标投标</w:t>
      </w:r>
      <w:bookmarkEnd w:id="837"/>
      <w:bookmarkEnd w:id="838"/>
      <w:bookmarkEnd w:id="839"/>
      <w:bookmarkEnd w:id="840"/>
      <w:bookmarkEnd w:id="841"/>
      <w:bookmarkEnd w:id="842"/>
      <w:bookmarkEnd w:id="843"/>
      <w:bookmarkEnd w:id="844"/>
      <w:bookmarkEnd w:id="845"/>
      <w:bookmarkEnd w:id="846"/>
      <w:bookmarkEnd w:id="847"/>
      <w:bookmarkEnd w:id="84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pPr>
        <w:pStyle w:val="4"/>
        <w:spacing w:line="360" w:lineRule="auto"/>
        <w:rPr>
          <w:rFonts w:ascii="宋体" w:hAnsi="宋体" w:eastAsia="宋体" w:cs="宋体"/>
          <w:color w:val="auto"/>
          <w:sz w:val="28"/>
          <w:szCs w:val="28"/>
          <w:highlight w:val="none"/>
        </w:rPr>
      </w:pPr>
      <w:bookmarkStart w:id="849" w:name="_Toc30975"/>
      <w:bookmarkStart w:id="850" w:name="_Toc14161"/>
      <w:bookmarkStart w:id="851" w:name="_Toc1446"/>
      <w:bookmarkStart w:id="852" w:name="_Toc492300619"/>
      <w:bookmarkStart w:id="853" w:name="_Toc21221"/>
      <w:bookmarkStart w:id="854" w:name="_Toc17964"/>
      <w:bookmarkStart w:id="855" w:name="_Toc12439"/>
      <w:bookmarkStart w:id="856" w:name="_Toc21051"/>
      <w:bookmarkStart w:id="857" w:name="_Toc9413"/>
      <w:bookmarkStart w:id="858" w:name="_Toc583"/>
      <w:bookmarkStart w:id="859" w:name="_Toc28956"/>
      <w:r>
        <w:rPr>
          <w:rFonts w:ascii="宋体" w:hAnsi="宋体" w:eastAsia="宋体" w:cs="宋体"/>
          <w:color w:val="auto"/>
          <w:sz w:val="28"/>
          <w:szCs w:val="28"/>
          <w:highlight w:val="none"/>
        </w:rPr>
        <w:t xml:space="preserve">10. </w:t>
      </w:r>
      <w:r>
        <w:rPr>
          <w:rFonts w:hint="eastAsia" w:ascii="宋体" w:hAnsi="宋体" w:eastAsia="宋体" w:cs="宋体"/>
          <w:color w:val="auto"/>
          <w:sz w:val="28"/>
          <w:szCs w:val="28"/>
          <w:highlight w:val="none"/>
        </w:rPr>
        <w:t>需要补充的其他内容</w:t>
      </w:r>
      <w:bookmarkEnd w:id="849"/>
      <w:bookmarkEnd w:id="850"/>
      <w:bookmarkEnd w:id="851"/>
      <w:bookmarkEnd w:id="852"/>
      <w:bookmarkEnd w:id="853"/>
      <w:bookmarkEnd w:id="854"/>
      <w:bookmarkEnd w:id="855"/>
      <w:bookmarkEnd w:id="856"/>
      <w:bookmarkEnd w:id="857"/>
      <w:bookmarkEnd w:id="858"/>
      <w:bookmarkEnd w:id="85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p>
    <w:p>
      <w:pPr>
        <w:pStyle w:val="4"/>
        <w:keepNext w:val="0"/>
        <w:keepLines w:val="0"/>
        <w:spacing w:before="0" w:after="0" w:line="460" w:lineRule="exact"/>
        <w:rPr>
          <w:rFonts w:ascii="Times New Roman" w:hAnsi="Times New Roman"/>
          <w:color w:val="auto"/>
          <w:sz w:val="24"/>
          <w:szCs w:val="24"/>
          <w:highlight w:val="none"/>
        </w:rPr>
      </w:pPr>
    </w:p>
    <w:bookmarkEnd w:id="27"/>
    <w:bookmarkEnd w:id="28"/>
    <w:bookmarkEnd w:id="29"/>
    <w:bookmarkEnd w:id="30"/>
    <w:p>
      <w:pPr>
        <w:rPr>
          <w:rFonts w:ascii="Times New Roman" w:hAnsi="Times New Roman"/>
          <w:color w:val="auto"/>
          <w:highlight w:val="none"/>
        </w:rPr>
      </w:pPr>
    </w:p>
    <w:p>
      <w:pPr>
        <w:pStyle w:val="5"/>
        <w:keepNext w:val="0"/>
        <w:keepLines w:val="0"/>
        <w:ind w:firstLine="137"/>
        <w:rPr>
          <w:rFonts w:ascii="Times New Roman" w:hAnsi="Times New Roman"/>
          <w:color w:val="auto"/>
          <w:highlight w:val="none"/>
        </w:rPr>
      </w:pPr>
      <w:bookmarkStart w:id="860" w:name="_Toc527028503"/>
      <w:r>
        <w:rPr>
          <w:rFonts w:ascii="Times New Roman" w:hAnsi="Times New Roman"/>
          <w:color w:val="auto"/>
          <w:highlight w:val="none"/>
        </w:rPr>
        <w:br w:type="page"/>
      </w:r>
      <w:bookmarkStart w:id="861" w:name="_Toc15566"/>
      <w:bookmarkStart w:id="862" w:name="_Toc28579"/>
      <w:bookmarkStart w:id="863" w:name="_Toc23876"/>
      <w:bookmarkStart w:id="864" w:name="_Toc13243"/>
      <w:bookmarkStart w:id="865" w:name="_Toc18760"/>
      <w:r>
        <w:rPr>
          <w:rFonts w:ascii="Times New Roman" w:hAnsi="Times New Roman"/>
          <w:color w:val="auto"/>
          <w:highlight w:val="none"/>
        </w:rPr>
        <w:t>附件一：开标记录表</w:t>
      </w:r>
      <w:bookmarkEnd w:id="860"/>
      <w:r>
        <w:rPr>
          <w:rFonts w:hint="eastAsia" w:ascii="Times New Roman" w:hAnsi="Times New Roman"/>
          <w:color w:val="auto"/>
          <w:highlight w:val="none"/>
        </w:rPr>
        <w:t>（按广州公共资源交易中心开标记录表格式）</w:t>
      </w:r>
      <w:bookmarkEnd w:id="861"/>
      <w:bookmarkEnd w:id="862"/>
      <w:bookmarkEnd w:id="863"/>
      <w:bookmarkEnd w:id="864"/>
      <w:bookmarkEnd w:id="865"/>
    </w:p>
    <w:p>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开标记录表</w:t>
      </w:r>
    </w:p>
    <w:tbl>
      <w:tblPr>
        <w:tblStyle w:val="23"/>
        <w:tblpPr w:leftFromText="180" w:rightFromText="180" w:vertAnchor="text" w:horzAnchor="page" w:tblpXSpec="center" w:tblpY="499"/>
        <w:tblOverlap w:val="never"/>
        <w:tblW w:w="9121" w:type="dxa"/>
        <w:jc w:val="center"/>
        <w:tblLayout w:type="fixed"/>
        <w:tblCellMar>
          <w:top w:w="0" w:type="dxa"/>
          <w:left w:w="108" w:type="dxa"/>
          <w:bottom w:w="0" w:type="dxa"/>
          <w:right w:w="108" w:type="dxa"/>
        </w:tblCellMar>
      </w:tblPr>
      <w:tblGrid>
        <w:gridCol w:w="649"/>
        <w:gridCol w:w="1019"/>
        <w:gridCol w:w="992"/>
        <w:gridCol w:w="1194"/>
        <w:gridCol w:w="1275"/>
        <w:gridCol w:w="1025"/>
        <w:gridCol w:w="1042"/>
        <w:gridCol w:w="758"/>
        <w:gridCol w:w="1167"/>
      </w:tblGrid>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highlight w:val="none"/>
              </w:rPr>
            </w:pPr>
            <w:r>
              <w:rPr>
                <w:rFonts w:ascii="Times New Roman" w:hAnsi="Times New Roman"/>
                <w:color w:val="auto"/>
                <w:sz w:val="18"/>
                <w:highlight w:val="none"/>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highlight w:val="none"/>
              </w:rPr>
            </w:pPr>
            <w:r>
              <w:rPr>
                <w:rFonts w:ascii="Times New Roman" w:hAnsi="Times New Roman"/>
                <w:color w:val="auto"/>
                <w:sz w:val="18"/>
                <w:highlight w:val="none"/>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color w:val="auto"/>
                <w:sz w:val="18"/>
                <w:highlight w:val="none"/>
              </w:rPr>
            </w:pPr>
            <w:r>
              <w:rPr>
                <w:rFonts w:ascii="Times New Roman" w:hAnsi="Times New Roman"/>
                <w:color w:val="auto"/>
                <w:sz w:val="18"/>
                <w:highlight w:val="none"/>
              </w:rPr>
              <w:t>密封情况</w:t>
            </w:r>
          </w:p>
        </w:tc>
        <w:tc>
          <w:tcPr>
            <w:tcW w:w="11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highlight w:val="none"/>
              </w:rPr>
            </w:pPr>
            <w:r>
              <w:rPr>
                <w:rFonts w:ascii="Times New Roman" w:hAnsi="Times New Roman"/>
                <w:color w:val="auto"/>
                <w:sz w:val="18"/>
                <w:highlight w:val="none"/>
              </w:rPr>
              <w:t>投标保证金</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highlight w:val="none"/>
              </w:rPr>
            </w:pPr>
            <w:r>
              <w:rPr>
                <w:rFonts w:ascii="Times New Roman" w:hAnsi="Times New Roman"/>
                <w:color w:val="auto"/>
                <w:sz w:val="18"/>
                <w:highlight w:val="none"/>
              </w:rPr>
              <w:t>投标报价</w:t>
            </w:r>
          </w:p>
          <w:p>
            <w:pPr>
              <w:spacing w:line="500" w:lineRule="exact"/>
              <w:jc w:val="center"/>
              <w:rPr>
                <w:rFonts w:ascii="Times New Roman" w:hAnsi="Times New Roman"/>
                <w:color w:val="auto"/>
                <w:sz w:val="18"/>
                <w:highlight w:val="none"/>
              </w:rPr>
            </w:pPr>
            <w:r>
              <w:rPr>
                <w:rFonts w:ascii="Times New Roman" w:hAnsi="Times New Roman"/>
                <w:color w:val="auto"/>
                <w:sz w:val="18"/>
                <w:highlight w:val="none"/>
              </w:rPr>
              <w:t>（元）</w:t>
            </w:r>
          </w:p>
        </w:tc>
        <w:tc>
          <w:tcPr>
            <w:tcW w:w="10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宋体"/>
                <w:color w:val="auto"/>
                <w:sz w:val="18"/>
                <w:highlight w:val="none"/>
                <w:lang w:eastAsia="zh-CN"/>
              </w:rPr>
            </w:pPr>
            <w:r>
              <w:rPr>
                <w:rFonts w:hint="eastAsia" w:ascii="Times New Roman" w:hAnsi="Times New Roman"/>
                <w:color w:val="auto"/>
                <w:sz w:val="18"/>
                <w:highlight w:val="none"/>
                <w:lang w:eastAsia="zh-CN"/>
              </w:rPr>
              <w:t>项目负责人</w:t>
            </w:r>
          </w:p>
        </w:tc>
        <w:tc>
          <w:tcPr>
            <w:tcW w:w="10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highlight w:val="none"/>
              </w:rPr>
            </w:pPr>
            <w:r>
              <w:rPr>
                <w:rFonts w:ascii="Times New Roman" w:hAnsi="Times New Roman"/>
                <w:color w:val="auto"/>
                <w:sz w:val="18"/>
                <w:highlight w:val="none"/>
              </w:rPr>
              <w:t>服务期限</w:t>
            </w:r>
          </w:p>
        </w:tc>
        <w:tc>
          <w:tcPr>
            <w:tcW w:w="7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highlight w:val="none"/>
              </w:rPr>
            </w:pPr>
            <w:r>
              <w:rPr>
                <w:rFonts w:ascii="Times New Roman" w:hAnsi="Times New Roman"/>
                <w:color w:val="auto"/>
                <w:sz w:val="18"/>
                <w:highlight w:val="none"/>
              </w:rPr>
              <w:t>备注</w:t>
            </w:r>
          </w:p>
        </w:tc>
        <w:tc>
          <w:tcPr>
            <w:tcW w:w="11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highlight w:val="none"/>
              </w:rPr>
            </w:pPr>
            <w:r>
              <w:rPr>
                <w:rFonts w:ascii="Times New Roman" w:hAnsi="Times New Roman"/>
                <w:color w:val="auto"/>
                <w:sz w:val="18"/>
                <w:highlight w:val="none"/>
              </w:rPr>
              <w:t>投标人代表签名</w:t>
            </w: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trHeight w:val="502"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bookmarkStart w:id="866" w:name="_Toc17638"/>
          </w:p>
        </w:tc>
      </w:tr>
      <w:tr>
        <w:tblPrEx>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bookmarkEnd w:id="866"/>
      <w:tr>
        <w:tblPrEx>
          <w:tblCellMar>
            <w:top w:w="0" w:type="dxa"/>
            <w:left w:w="108" w:type="dxa"/>
            <w:bottom w:w="0" w:type="dxa"/>
            <w:right w:w="108" w:type="dxa"/>
          </w:tblCellMar>
        </w:tblPrEx>
        <w:trPr>
          <w:jc w:val="center"/>
        </w:trPr>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r>
              <w:rPr>
                <w:rFonts w:ascii="Times New Roman" w:hAnsi="Times New Roman"/>
                <w:color w:val="auto"/>
                <w:highlight w:val="none"/>
              </w:rPr>
              <w:t>最高投标限价：</w:t>
            </w:r>
          </w:p>
        </w:tc>
        <w:tc>
          <w:tcPr>
            <w:tcW w:w="6461"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highlight w:val="none"/>
              </w:rPr>
            </w:pPr>
          </w:p>
        </w:tc>
      </w:tr>
    </w:tbl>
    <w:p>
      <w:pPr>
        <w:spacing w:before="120" w:beforeLines="50" w:after="120" w:afterLines="50" w:line="400" w:lineRule="exact"/>
        <w:ind w:right="420"/>
        <w:jc w:val="right"/>
        <w:rPr>
          <w:rFonts w:ascii="Times New Roman" w:hAnsi="Times New Roman"/>
          <w:color w:val="auto"/>
          <w:highlight w:val="none"/>
        </w:rPr>
      </w:pPr>
      <w:r>
        <w:rPr>
          <w:rFonts w:ascii="Times New Roman" w:hAnsi="Times New Roman"/>
          <w:color w:val="auto"/>
          <w:highlight w:val="none"/>
        </w:rPr>
        <w:t>开标时间：</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w:t>
      </w:r>
      <w:r>
        <w:rPr>
          <w:rFonts w:ascii="Times New Roman" w:hAnsi="Times New Roman"/>
          <w:color w:val="auto"/>
          <w:highlight w:val="none"/>
          <w:u w:val="single"/>
        </w:rPr>
        <w:t xml:space="preserve">         </w:t>
      </w:r>
      <w:r>
        <w:rPr>
          <w:rFonts w:ascii="Times New Roman" w:hAnsi="Times New Roman"/>
          <w:color w:val="auto"/>
          <w:highlight w:val="none"/>
        </w:rPr>
        <w:t>分</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620" w:lineRule="exact"/>
        <w:rPr>
          <w:rFonts w:ascii="Times New Roman" w:hAnsi="Times New Roman"/>
          <w:color w:val="auto"/>
          <w:highlight w:val="none"/>
        </w:rPr>
      </w:pPr>
      <w:r>
        <w:rPr>
          <w:rFonts w:ascii="Times New Roman" w:hAnsi="Times New Roman"/>
          <w:color w:val="auto"/>
          <w:highlight w:val="none"/>
        </w:rPr>
        <w:t>招标人代表：</w:t>
      </w:r>
      <w:r>
        <w:rPr>
          <w:rFonts w:ascii="Times New Roman" w:hAnsi="Times New Roman"/>
          <w:color w:val="auto"/>
          <w:highlight w:val="none"/>
          <w:u w:val="single"/>
        </w:rPr>
        <w:t xml:space="preserve">       </w:t>
      </w:r>
      <w:r>
        <w:rPr>
          <w:rFonts w:ascii="Times New Roman" w:hAnsi="Times New Roman"/>
          <w:color w:val="auto"/>
          <w:highlight w:val="none"/>
        </w:rPr>
        <w:t xml:space="preserve">        记录人：</w:t>
      </w:r>
      <w:r>
        <w:rPr>
          <w:rFonts w:ascii="Times New Roman" w:hAnsi="Times New Roman"/>
          <w:color w:val="auto"/>
          <w:highlight w:val="none"/>
          <w:u w:val="single"/>
        </w:rPr>
        <w:t xml:space="preserve">       </w:t>
      </w:r>
      <w:r>
        <w:rPr>
          <w:rFonts w:ascii="Times New Roman" w:hAnsi="Times New Roman"/>
          <w:color w:val="auto"/>
          <w:highlight w:val="none"/>
        </w:rPr>
        <w:t xml:space="preserve">       监标人：</w:t>
      </w:r>
      <w:r>
        <w:rPr>
          <w:rFonts w:ascii="Times New Roman" w:hAnsi="Times New Roman"/>
          <w:color w:val="auto"/>
          <w:highlight w:val="none"/>
          <w:u w:val="single"/>
        </w:rPr>
        <w:t xml:space="preserve">       </w:t>
      </w:r>
    </w:p>
    <w:p>
      <w:pPr>
        <w:spacing w:line="620" w:lineRule="exact"/>
        <w:jc w:val="right"/>
        <w:rPr>
          <w:rFonts w:ascii="Times New Roman" w:hAnsi="Times New Roman"/>
          <w:color w:val="auto"/>
          <w:sz w:val="20"/>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rPr>
          <w:color w:val="auto"/>
          <w:highlight w:val="none"/>
        </w:rPr>
      </w:pPr>
      <w:bookmarkStart w:id="867" w:name="_Toc527028504"/>
      <w:bookmarkStart w:id="868" w:name="_Toc29985"/>
      <w:bookmarkStart w:id="869" w:name="_Toc14382"/>
      <w:bookmarkStart w:id="870" w:name="_Toc2916"/>
    </w:p>
    <w:p>
      <w:pPr>
        <w:pStyle w:val="5"/>
        <w:keepNext w:val="0"/>
        <w:keepLines w:val="0"/>
        <w:tabs>
          <w:tab w:val="left" w:pos="9240"/>
        </w:tabs>
        <w:ind w:firstLine="137"/>
        <w:rPr>
          <w:rFonts w:ascii="Times New Roman" w:hAnsi="Times New Roman"/>
          <w:color w:val="auto"/>
          <w:highlight w:val="none"/>
        </w:rPr>
      </w:pPr>
      <w:bookmarkStart w:id="871" w:name="_Toc19469"/>
      <w:bookmarkStart w:id="872" w:name="_Toc31175"/>
      <w:r>
        <w:rPr>
          <w:rFonts w:ascii="Times New Roman" w:hAnsi="Times New Roman"/>
          <w:color w:val="auto"/>
          <w:highlight w:val="none"/>
        </w:rPr>
        <w:t>附件二：问题澄清通知</w:t>
      </w:r>
      <w:bookmarkEnd w:id="867"/>
      <w:r>
        <w:rPr>
          <w:rFonts w:hint="eastAsia" w:hAnsi="黑体" w:cs="黑体"/>
          <w:color w:val="auto"/>
          <w:szCs w:val="28"/>
          <w:highlight w:val="none"/>
        </w:rPr>
        <w:t>（按广州公共资源交易中心问题澄清通知格式）</w:t>
      </w:r>
      <w:bookmarkEnd w:id="868"/>
      <w:bookmarkEnd w:id="869"/>
      <w:bookmarkEnd w:id="870"/>
      <w:bookmarkEnd w:id="871"/>
      <w:bookmarkEnd w:id="872"/>
    </w:p>
    <w:p>
      <w:pPr>
        <w:spacing w:line="440" w:lineRule="exact"/>
        <w:jc w:val="center"/>
        <w:rPr>
          <w:rFonts w:ascii="Times New Roman" w:hAnsi="Times New Roman"/>
          <w:color w:val="auto"/>
          <w:highlight w:val="none"/>
        </w:rPr>
      </w:pPr>
    </w:p>
    <w:p>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问题澄清通知</w:t>
      </w:r>
    </w:p>
    <w:p>
      <w:pPr>
        <w:spacing w:line="440" w:lineRule="exact"/>
        <w:jc w:val="center"/>
        <w:rPr>
          <w:rFonts w:ascii="Times New Roman" w:hAnsi="Times New Roman"/>
          <w:color w:val="auto"/>
          <w:highlight w:val="none"/>
        </w:rPr>
      </w:pPr>
      <w:r>
        <w:rPr>
          <w:rFonts w:ascii="Times New Roman" w:hAnsi="Times New Roman"/>
          <w:color w:val="auto"/>
          <w:highlight w:val="none"/>
        </w:rPr>
        <w:t>（编号：</w:t>
      </w:r>
      <w:r>
        <w:rPr>
          <w:rFonts w:ascii="Times New Roman" w:hAnsi="Times New Roman" w:eastAsia="黑体"/>
          <w:color w:val="auto"/>
          <w:sz w:val="28"/>
          <w:highlight w:val="none"/>
          <w:u w:val="single"/>
        </w:rPr>
        <w:t xml:space="preserve">               </w:t>
      </w:r>
      <w:r>
        <w:rPr>
          <w:rFonts w:ascii="Times New Roman" w:hAnsi="Times New Roman"/>
          <w:color w:val="auto"/>
          <w:highlight w:val="none"/>
        </w:rPr>
        <w:t>）</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（投标人名称）：</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　　评标委员会对你方的投标文件进行了仔细的审查，现需你方对下列问题以书</w:t>
      </w:r>
      <w:bookmarkStart w:id="873" w:name="_Toc384308260"/>
      <w:bookmarkStart w:id="874" w:name="_Toc361508634"/>
      <w:bookmarkStart w:id="875" w:name="_Toc247514000"/>
      <w:bookmarkStart w:id="876" w:name="_Toc247527601"/>
      <w:bookmarkStart w:id="877" w:name="_Toc300834996"/>
      <w:bookmarkStart w:id="878" w:name="_Toc152045576"/>
      <w:bookmarkStart w:id="879" w:name="_Toc369531565"/>
      <w:bookmarkStart w:id="880" w:name="_Toc152042352"/>
      <w:bookmarkStart w:id="881" w:name="_Toc144974544"/>
      <w:bookmarkStart w:id="882" w:name="_Toc352691521"/>
      <w:bookmarkStart w:id="883" w:name="_Toc23050"/>
      <w:r>
        <w:rPr>
          <w:rFonts w:ascii="Times New Roman" w:hAnsi="Times New Roman"/>
          <w:color w:val="auto"/>
          <w:highlight w:val="none"/>
        </w:rPr>
        <w:t>面形式予以澄清、说明或补正：</w:t>
      </w:r>
    </w:p>
    <w:p>
      <w:pPr>
        <w:spacing w:line="440" w:lineRule="exact"/>
        <w:rPr>
          <w:rFonts w:ascii="Times New Roman" w:hAnsi="Times New Roman"/>
          <w:color w:val="auto"/>
          <w:highlight w:val="none"/>
        </w:rPr>
      </w:pPr>
      <w:r>
        <w:rPr>
          <w:rFonts w:ascii="Times New Roman" w:hAnsi="Times New Roman"/>
          <w:color w:val="auto"/>
          <w:highlight w:val="none"/>
        </w:rPr>
        <w:t>　　</w:t>
      </w:r>
    </w:p>
    <w:bookmarkEnd w:id="873"/>
    <w:bookmarkEnd w:id="874"/>
    <w:bookmarkEnd w:id="875"/>
    <w:bookmarkEnd w:id="876"/>
    <w:bookmarkEnd w:id="877"/>
    <w:bookmarkEnd w:id="878"/>
    <w:bookmarkEnd w:id="879"/>
    <w:bookmarkEnd w:id="880"/>
    <w:bookmarkEnd w:id="881"/>
    <w:bookmarkEnd w:id="882"/>
    <w:bookmarkEnd w:id="883"/>
    <w:p>
      <w:pPr>
        <w:spacing w:line="440" w:lineRule="exact"/>
        <w:rPr>
          <w:rFonts w:ascii="Times New Roman" w:hAnsi="Times New Roman"/>
          <w:color w:val="auto"/>
          <w:highlight w:val="none"/>
        </w:rPr>
      </w:pPr>
      <w:r>
        <w:rPr>
          <w:rFonts w:ascii="Times New Roman" w:hAnsi="Times New Roman"/>
          <w:color w:val="auto"/>
          <w:highlight w:val="none"/>
        </w:rPr>
        <w:t xml:space="preserve">    1.</w:t>
      </w:r>
    </w:p>
    <w:p>
      <w:pPr>
        <w:spacing w:line="440" w:lineRule="exact"/>
        <w:rPr>
          <w:rFonts w:ascii="Times New Roman" w:hAnsi="Times New Roman"/>
          <w:color w:val="auto"/>
          <w:highlight w:val="none"/>
        </w:rPr>
      </w:pPr>
      <w:r>
        <w:rPr>
          <w:rFonts w:ascii="Times New Roman" w:hAnsi="Times New Roman"/>
          <w:color w:val="auto"/>
          <w:highlight w:val="none"/>
        </w:rPr>
        <w:t xml:space="preserve">    2.</w:t>
      </w:r>
    </w:p>
    <w:p>
      <w:pPr>
        <w:spacing w:line="440" w:lineRule="exact"/>
        <w:rPr>
          <w:rFonts w:ascii="Times New Roman" w:hAnsi="Times New Roman"/>
          <w:color w:val="auto"/>
          <w:highlight w:val="none"/>
        </w:rPr>
      </w:pPr>
      <w:r>
        <w:rPr>
          <w:rFonts w:ascii="Times New Roman" w:hAnsi="Times New Roman"/>
          <w:color w:val="auto"/>
          <w:highlight w:val="none"/>
        </w:rPr>
        <w:t xml:space="preserve">     ......   </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ind w:firstLine="405"/>
        <w:rPr>
          <w:rFonts w:ascii="Times New Roman" w:hAnsi="Times New Roman"/>
          <w:color w:val="auto"/>
          <w:highlight w:val="none"/>
        </w:rPr>
      </w:pPr>
      <w:r>
        <w:rPr>
          <w:rFonts w:ascii="Times New Roman" w:hAnsi="Times New Roman"/>
          <w:color w:val="auto"/>
          <w:highlight w:val="none"/>
        </w:rPr>
        <w:t>请将上述问题的澄清、说明或补正于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时前递交至</w:t>
      </w:r>
      <w:bookmarkStart w:id="884" w:name="_Toc369531566"/>
      <w:bookmarkStart w:id="885" w:name="_Toc352691522"/>
      <w:bookmarkStart w:id="886" w:name="_Toc361508635"/>
      <w:bookmarkStart w:id="887" w:name="_Toc144974545"/>
      <w:bookmarkStart w:id="888" w:name="_Toc384308261"/>
      <w:bookmarkStart w:id="889" w:name="_Toc300834997"/>
      <w:bookmarkStart w:id="890" w:name="_Toc28385"/>
      <w:bookmarkStart w:id="891" w:name="_Toc152042353"/>
      <w:bookmarkStart w:id="892" w:name="_Toc152045577"/>
      <w:bookmarkStart w:id="893" w:name="_Toc247514001"/>
      <w:bookmarkStart w:id="894" w:name="_Toc247527602"/>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（详细地址）或传真至</w:t>
      </w:r>
      <w:bookmarkEnd w:id="884"/>
      <w:bookmarkEnd w:id="885"/>
      <w:bookmarkEnd w:id="886"/>
      <w:bookmarkEnd w:id="887"/>
      <w:bookmarkEnd w:id="888"/>
      <w:bookmarkEnd w:id="889"/>
      <w:bookmarkEnd w:id="890"/>
      <w:bookmarkEnd w:id="891"/>
      <w:bookmarkEnd w:id="892"/>
      <w:bookmarkEnd w:id="893"/>
      <w:bookmarkEnd w:id="894"/>
      <w:r>
        <w:rPr>
          <w:rFonts w:ascii="Times New Roman" w:hAnsi="Times New Roman"/>
          <w:color w:val="auto"/>
          <w:highlight w:val="none"/>
          <w:u w:val="single"/>
        </w:rPr>
        <w:t xml:space="preserve">                     </w:t>
      </w:r>
      <w:r>
        <w:rPr>
          <w:rFonts w:ascii="Times New Roman" w:hAnsi="Times New Roman"/>
          <w:color w:val="auto"/>
          <w:highlight w:val="none"/>
        </w:rPr>
        <w:t>（传真号码）或通过下载招标文件的电子招标交易平台上传。采用传真方式的，应在</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时前将原件递交至</w:t>
      </w:r>
      <w:r>
        <w:rPr>
          <w:rFonts w:ascii="Times New Roman" w:hAnsi="Times New Roman"/>
          <w:color w:val="auto"/>
          <w:highlight w:val="none"/>
          <w:u w:val="single"/>
        </w:rPr>
        <w:t xml:space="preserve">                     </w:t>
      </w:r>
      <w:r>
        <w:rPr>
          <w:rFonts w:ascii="Times New Roman" w:hAnsi="Times New Roman"/>
          <w:color w:val="auto"/>
          <w:highlight w:val="none"/>
        </w:rPr>
        <w:t>（详细地址）。</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spacing w:line="440" w:lineRule="exact"/>
        <w:ind w:firstLine="2100" w:firstLineChars="1000"/>
        <w:rPr>
          <w:rFonts w:ascii="Times New Roman" w:hAnsi="Times New Roman"/>
          <w:color w:val="auto"/>
          <w:highlight w:val="none"/>
        </w:rPr>
      </w:pPr>
      <w:r>
        <w:rPr>
          <w:rFonts w:ascii="Times New Roman" w:hAnsi="Times New Roman"/>
          <w:color w:val="auto"/>
          <w:highlight w:val="none"/>
        </w:rPr>
        <w:t>评标委员会授权的招标人或招标代理机构：</w:t>
      </w:r>
      <w:r>
        <w:rPr>
          <w:rFonts w:ascii="Times New Roman" w:hAnsi="Times New Roman" w:eastAsia="黑体"/>
          <w:color w:val="auto"/>
          <w:sz w:val="28"/>
          <w:highlight w:val="none"/>
          <w:u w:val="single"/>
        </w:rPr>
        <w:t xml:space="preserve">      </w:t>
      </w:r>
      <w:r>
        <w:rPr>
          <w:rFonts w:ascii="Times New Roman" w:hAnsi="Times New Roman"/>
          <w:color w:val="auto"/>
          <w:highlight w:val="none"/>
        </w:rPr>
        <w:t>（签字或盖章）</w:t>
      </w:r>
      <w:bookmarkStart w:id="895" w:name="_Toc152042354"/>
      <w:bookmarkStart w:id="896" w:name="_Toc352691523"/>
      <w:bookmarkStart w:id="897" w:name="_Toc247514002"/>
      <w:bookmarkStart w:id="898" w:name="_Toc300834998"/>
      <w:bookmarkStart w:id="899" w:name="_Toc384308262"/>
      <w:bookmarkStart w:id="900" w:name="_Toc361508636"/>
      <w:bookmarkStart w:id="901" w:name="_Toc152045578"/>
      <w:bookmarkStart w:id="902" w:name="_Toc369531567"/>
      <w:bookmarkStart w:id="903" w:name="_Toc247527603"/>
      <w:bookmarkStart w:id="904" w:name="_Toc6580"/>
      <w:bookmarkStart w:id="905" w:name="_Toc144974546"/>
    </w:p>
    <w:bookmarkEnd w:id="895"/>
    <w:bookmarkEnd w:id="896"/>
    <w:bookmarkEnd w:id="897"/>
    <w:bookmarkEnd w:id="898"/>
    <w:bookmarkEnd w:id="899"/>
    <w:bookmarkEnd w:id="900"/>
    <w:bookmarkEnd w:id="901"/>
    <w:bookmarkEnd w:id="902"/>
    <w:bookmarkEnd w:id="903"/>
    <w:bookmarkEnd w:id="904"/>
    <w:p>
      <w:pPr>
        <w:spacing w:line="440" w:lineRule="exact"/>
        <w:rPr>
          <w:rFonts w:ascii="Times New Roman" w:hAnsi="Times New Roman"/>
          <w:color w:val="auto"/>
          <w:highlight w:val="none"/>
        </w:rPr>
      </w:pPr>
      <w:bookmarkStart w:id="906" w:name="_Toc152042355"/>
    </w:p>
    <w:p>
      <w:pPr>
        <w:spacing w:line="440" w:lineRule="exact"/>
        <w:ind w:right="840"/>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pStyle w:val="5"/>
        <w:keepNext w:val="0"/>
        <w:keepLines w:val="0"/>
        <w:ind w:firstLine="0" w:firstLineChars="0"/>
        <w:rPr>
          <w:rFonts w:ascii="Times New Roman" w:hAnsi="Times New Roman"/>
          <w:color w:val="auto"/>
          <w:highlight w:val="none"/>
        </w:rPr>
      </w:pPr>
    </w:p>
    <w:p>
      <w:pPr>
        <w:rPr>
          <w:color w:val="auto"/>
          <w:highlight w:val="none"/>
        </w:rPr>
      </w:pPr>
    </w:p>
    <w:p>
      <w:pPr>
        <w:pStyle w:val="5"/>
        <w:keepNext w:val="0"/>
        <w:keepLines w:val="0"/>
        <w:ind w:firstLine="0" w:firstLineChars="0"/>
        <w:rPr>
          <w:rFonts w:ascii="Times New Roman" w:hAnsi="Times New Roman"/>
          <w:color w:val="auto"/>
          <w:highlight w:val="none"/>
        </w:rPr>
      </w:pPr>
    </w:p>
    <w:p>
      <w:pPr>
        <w:pStyle w:val="5"/>
        <w:keepNext w:val="0"/>
        <w:keepLines w:val="0"/>
        <w:ind w:firstLine="0" w:firstLineChars="0"/>
        <w:rPr>
          <w:rFonts w:ascii="Times New Roman" w:hAnsi="Times New Roman"/>
          <w:color w:val="auto"/>
          <w:highlight w:val="none"/>
        </w:rPr>
      </w:pPr>
      <w:bookmarkStart w:id="907" w:name="_Toc527028505"/>
      <w:bookmarkStart w:id="908" w:name="_Toc31467"/>
      <w:bookmarkStart w:id="909" w:name="_Toc2491"/>
      <w:bookmarkStart w:id="910" w:name="_Toc28661"/>
      <w:bookmarkStart w:id="911" w:name="_Toc28028"/>
      <w:bookmarkStart w:id="912" w:name="_Toc13746"/>
      <w:r>
        <w:rPr>
          <w:rFonts w:ascii="Times New Roman" w:hAnsi="Times New Roman"/>
          <w:color w:val="auto"/>
          <w:highlight w:val="none"/>
        </w:rPr>
        <w:t>附件三：问题的澄清</w:t>
      </w:r>
      <w:bookmarkEnd w:id="907"/>
      <w:r>
        <w:rPr>
          <w:rFonts w:hint="eastAsia" w:hAnsi="黑体" w:cs="黑体"/>
          <w:color w:val="auto"/>
          <w:szCs w:val="28"/>
          <w:highlight w:val="none"/>
        </w:rPr>
        <w:t>（按广州公共资源交易中心问题澄清格式）</w:t>
      </w:r>
      <w:bookmarkEnd w:id="908"/>
      <w:bookmarkEnd w:id="909"/>
      <w:bookmarkEnd w:id="910"/>
      <w:bookmarkEnd w:id="911"/>
      <w:bookmarkEnd w:id="912"/>
    </w:p>
    <w:p>
      <w:pPr>
        <w:spacing w:line="400" w:lineRule="exact"/>
        <w:jc w:val="center"/>
        <w:rPr>
          <w:rFonts w:ascii="Times New Roman" w:hAnsi="Times New Roman" w:eastAsia="黑体"/>
          <w:color w:val="auto"/>
          <w:sz w:val="28"/>
          <w:highlight w:val="none"/>
        </w:rPr>
      </w:pPr>
    </w:p>
    <w:p>
      <w:pPr>
        <w:spacing w:line="40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问</w:t>
      </w:r>
      <w:bookmarkEnd w:id="906"/>
      <w:r>
        <w:rPr>
          <w:rFonts w:ascii="Times New Roman" w:hAnsi="Times New Roman" w:eastAsia="黑体"/>
          <w:color w:val="auto"/>
          <w:sz w:val="28"/>
          <w:highlight w:val="none"/>
        </w:rPr>
        <w:t>题</w:t>
      </w:r>
      <w:bookmarkStart w:id="913" w:name="_Toc361508637"/>
      <w:bookmarkStart w:id="914" w:name="_Toc369531568"/>
      <w:bookmarkStart w:id="915" w:name="_Toc247527604"/>
      <w:bookmarkStart w:id="916" w:name="_Toc152045579"/>
      <w:bookmarkStart w:id="917" w:name="_Toc152042356"/>
      <w:bookmarkStart w:id="918" w:name="_Toc352691524"/>
      <w:bookmarkStart w:id="919" w:name="_Toc384308263"/>
      <w:bookmarkStart w:id="920" w:name="_Toc247514003"/>
      <w:bookmarkStart w:id="921" w:name="_Toc300834999"/>
      <w:bookmarkStart w:id="922" w:name="_Toc3622"/>
      <w:r>
        <w:rPr>
          <w:rFonts w:ascii="Times New Roman" w:hAnsi="Times New Roman" w:eastAsia="黑体"/>
          <w:color w:val="auto"/>
          <w:sz w:val="28"/>
          <w:highlight w:val="none"/>
        </w:rPr>
        <w:t>的澄清</w:t>
      </w:r>
    </w:p>
    <w:p>
      <w:pPr>
        <w:spacing w:line="400" w:lineRule="exact"/>
        <w:ind w:firstLine="3465" w:firstLineChars="1650"/>
        <w:rPr>
          <w:rFonts w:ascii="Times New Roman" w:hAnsi="Times New Roman"/>
          <w:color w:val="auto"/>
          <w:highlight w:val="none"/>
        </w:rPr>
      </w:pPr>
      <w:r>
        <w:rPr>
          <w:rFonts w:ascii="Times New Roman" w:hAnsi="Times New Roman"/>
          <w:color w:val="auto"/>
          <w:highlight w:val="none"/>
        </w:rPr>
        <w:t>（编号</w:t>
      </w:r>
      <w:bookmarkEnd w:id="905"/>
      <w:bookmarkEnd w:id="913"/>
      <w:bookmarkEnd w:id="914"/>
      <w:bookmarkEnd w:id="915"/>
      <w:bookmarkEnd w:id="916"/>
      <w:bookmarkEnd w:id="917"/>
      <w:bookmarkEnd w:id="918"/>
      <w:bookmarkEnd w:id="919"/>
      <w:bookmarkEnd w:id="920"/>
      <w:bookmarkEnd w:id="921"/>
      <w:bookmarkEnd w:id="922"/>
      <w:r>
        <w:rPr>
          <w:rFonts w:ascii="Times New Roman" w:hAnsi="Times New Roman"/>
          <w:color w:val="auto"/>
          <w:highlight w:val="none"/>
        </w:rPr>
        <w:t>：</w:t>
      </w:r>
      <w:r>
        <w:rPr>
          <w:rFonts w:ascii="Times New Roman" w:hAnsi="Times New Roman" w:eastAsia="黑体"/>
          <w:color w:val="auto"/>
          <w:sz w:val="28"/>
          <w:highlight w:val="none"/>
          <w:u w:val="single"/>
        </w:rPr>
        <w:t xml:space="preserve">           </w:t>
      </w:r>
      <w:r>
        <w:rPr>
          <w:rFonts w:ascii="Times New Roman" w:hAnsi="Times New Roman"/>
          <w:color w:val="auto"/>
          <w:highlight w:val="none"/>
        </w:rPr>
        <w:t>）</w:t>
      </w:r>
    </w:p>
    <w:p>
      <w:pPr>
        <w:spacing w:line="40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评标委员会：</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　　问题澄清通知（编号：</w:t>
      </w:r>
      <w:r>
        <w:rPr>
          <w:rFonts w:ascii="Times New Roman" w:hAnsi="Times New Roman" w:eastAsia="黑体"/>
          <w:color w:val="auto"/>
          <w:sz w:val="28"/>
          <w:highlight w:val="none"/>
          <w:u w:val="single"/>
        </w:rPr>
        <w:t xml:space="preserve">      </w:t>
      </w:r>
      <w:r>
        <w:rPr>
          <w:rFonts w:ascii="Times New Roman" w:hAnsi="Times New Roman"/>
          <w:color w:val="auto"/>
          <w:highlight w:val="none"/>
        </w:rPr>
        <w:t>）已收悉，现澄清、说明或补正如下：</w:t>
      </w:r>
    </w:p>
    <w:p>
      <w:pPr>
        <w:spacing w:line="440" w:lineRule="exact"/>
        <w:rPr>
          <w:rFonts w:ascii="Times New Roman" w:hAnsi="Times New Roman"/>
          <w:color w:val="auto"/>
          <w:highlight w:val="none"/>
        </w:rPr>
      </w:pPr>
      <w:r>
        <w:rPr>
          <w:rFonts w:ascii="Times New Roman" w:hAnsi="Times New Roman"/>
          <w:color w:val="auto"/>
          <w:highlight w:val="none"/>
        </w:rPr>
        <w:t>　     1.</w:t>
      </w:r>
    </w:p>
    <w:p>
      <w:pPr>
        <w:spacing w:line="440" w:lineRule="exact"/>
        <w:rPr>
          <w:rFonts w:ascii="Times New Roman" w:hAnsi="Times New Roman"/>
          <w:color w:val="auto"/>
          <w:highlight w:val="none"/>
        </w:rPr>
      </w:pPr>
      <w:r>
        <w:rPr>
          <w:rFonts w:ascii="Times New Roman" w:hAnsi="Times New Roman"/>
          <w:color w:val="auto"/>
          <w:highlight w:val="none"/>
        </w:rPr>
        <w:t>　     2.</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rPr>
          <w:rFonts w:ascii="Times New Roman" w:hAnsi="Times New Roman"/>
          <w:color w:val="auto"/>
          <w:highlight w:val="none"/>
        </w:rPr>
      </w:pP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上述问题澄清、说明或补正，不改变我方投标文件的实质性内容，构成我方投标文件的组成部分。</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spacing w:line="480" w:lineRule="auto"/>
        <w:rPr>
          <w:rFonts w:ascii="Times New Roman" w:hAnsi="Times New Roman"/>
          <w:color w:val="auto"/>
          <w:highlight w:val="none"/>
        </w:rPr>
      </w:pPr>
      <w:r>
        <w:rPr>
          <w:rFonts w:ascii="Times New Roman" w:hAnsi="Times New Roman"/>
          <w:color w:val="auto"/>
          <w:highlight w:val="none"/>
        </w:rPr>
        <w:t>　　　　　　　　　　　　　　投标人：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（盖单位章）</w:t>
      </w:r>
    </w:p>
    <w:p>
      <w:pPr>
        <w:spacing w:line="480" w:lineRule="auto"/>
        <w:ind w:firstLine="2835" w:firstLineChars="1350"/>
        <w:rPr>
          <w:rFonts w:ascii="Times New Roman" w:hAnsi="Times New Roman"/>
          <w:color w:val="auto"/>
          <w:highlight w:val="none"/>
        </w:rPr>
      </w:pPr>
      <w:r>
        <w:rPr>
          <w:rFonts w:hint="eastAsia" w:ascii="Times New Roman" w:hAnsi="Times New Roman"/>
          <w:color w:val="auto"/>
          <w:highlight w:val="none"/>
        </w:rPr>
        <w:t xml:space="preserve"> </w:t>
      </w:r>
      <w:r>
        <w:rPr>
          <w:rFonts w:ascii="Times New Roman" w:hAnsi="Times New Roman"/>
          <w:color w:val="auto"/>
          <w:highlight w:val="none"/>
        </w:rPr>
        <w:t>法定代表人或其委托代理人：</w:t>
      </w:r>
      <w:r>
        <w:rPr>
          <w:rFonts w:ascii="Times New Roman" w:hAnsi="Times New Roman"/>
          <w:color w:val="auto"/>
          <w:highlight w:val="none"/>
          <w:u w:val="single"/>
        </w:rPr>
        <w:t xml:space="preserve">        </w:t>
      </w:r>
      <w:r>
        <w:rPr>
          <w:rFonts w:ascii="Times New Roman" w:hAnsi="Times New Roman"/>
          <w:color w:val="auto"/>
          <w:highlight w:val="none"/>
        </w:rPr>
        <w:t>（签字）</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jc w:val="right"/>
        <w:rPr>
          <w:rFonts w:ascii="Times New Roman" w:hAnsi="Times New Roman"/>
          <w:color w:val="auto"/>
          <w:highlight w:val="none"/>
        </w:rPr>
      </w:pPr>
      <w:r>
        <w:rPr>
          <w:rFonts w:ascii="Times New Roman" w:hAnsi="Times New Roman"/>
          <w:color w:val="auto"/>
          <w:highlight w:val="none"/>
        </w:rPr>
        <w:t>　　　　　　　　　　　　　　　</w:t>
      </w:r>
      <w:r>
        <w:rPr>
          <w:rFonts w:ascii="Times New Roman" w:hAnsi="Times New Roman"/>
          <w:color w:val="auto"/>
          <w:highlight w:val="none"/>
          <w:u w:val="single"/>
        </w:rPr>
        <w:t xml:space="preserve">        </w:t>
      </w:r>
      <w:r>
        <w:rPr>
          <w:rFonts w:ascii="Times New Roman" w:hAnsi="Times New Roman"/>
          <w:color w:val="auto"/>
          <w:highlight w:val="none"/>
        </w:rPr>
        <w:t>年</w:t>
      </w:r>
      <w:bookmarkStart w:id="923" w:name="_Toc384308266"/>
      <w:bookmarkStart w:id="924" w:name="_Toc152045581"/>
      <w:bookmarkStart w:id="925" w:name="_Toc247514005"/>
      <w:bookmarkStart w:id="926" w:name="_Toc369531571"/>
      <w:bookmarkStart w:id="927" w:name="_Toc352691527"/>
      <w:bookmarkStart w:id="928" w:name="_Toc152042358"/>
      <w:bookmarkStart w:id="929" w:name="_Toc247527606"/>
      <w:bookmarkStart w:id="930" w:name="_Toc361508640"/>
      <w:bookmarkStart w:id="931" w:name="_Toc300835002"/>
      <w:bookmarkStart w:id="932" w:name="_Toc144974548"/>
      <w:bookmarkStart w:id="933" w:name="_Toc15139"/>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bookmarkEnd w:id="923"/>
    <w:bookmarkEnd w:id="924"/>
    <w:bookmarkEnd w:id="925"/>
    <w:bookmarkEnd w:id="926"/>
    <w:bookmarkEnd w:id="927"/>
    <w:bookmarkEnd w:id="928"/>
    <w:bookmarkEnd w:id="929"/>
    <w:bookmarkEnd w:id="930"/>
    <w:bookmarkEnd w:id="931"/>
    <w:bookmarkEnd w:id="932"/>
    <w:bookmarkEnd w:id="933"/>
    <w:p>
      <w:pPr>
        <w:spacing w:line="400" w:lineRule="exact"/>
        <w:rPr>
          <w:rFonts w:ascii="Times New Roman" w:hAnsi="Times New Roman"/>
          <w:color w:val="auto"/>
          <w:highlight w:val="none"/>
        </w:rPr>
      </w:pPr>
    </w:p>
    <w:p>
      <w:pPr>
        <w:pStyle w:val="5"/>
        <w:keepNext w:val="0"/>
        <w:keepLines w:val="0"/>
        <w:ind w:firstLine="137"/>
        <w:rPr>
          <w:rFonts w:ascii="Times New Roman" w:hAnsi="Times New Roman"/>
          <w:color w:val="auto"/>
          <w:highlight w:val="none"/>
        </w:rPr>
      </w:pPr>
      <w:r>
        <w:rPr>
          <w:rFonts w:ascii="Times New Roman" w:hAnsi="Times New Roman"/>
          <w:color w:val="auto"/>
          <w:highlight w:val="none"/>
        </w:rPr>
        <w:br w:type="page"/>
      </w:r>
      <w:bookmarkStart w:id="934" w:name="_Toc13944"/>
      <w:bookmarkStart w:id="935" w:name="_Toc17609"/>
      <w:bookmarkStart w:id="936" w:name="_Toc11668"/>
      <w:bookmarkStart w:id="937" w:name="_Toc17658"/>
      <w:bookmarkStart w:id="938" w:name="_Toc527028506"/>
      <w:bookmarkStart w:id="939" w:name="_Toc28784"/>
      <w:r>
        <w:rPr>
          <w:rFonts w:ascii="Times New Roman" w:hAnsi="Times New Roman"/>
          <w:color w:val="auto"/>
          <w:highlight w:val="none"/>
        </w:rPr>
        <w:t>附件</w:t>
      </w:r>
      <w:r>
        <w:rPr>
          <w:rFonts w:hint="eastAsia" w:ascii="Times New Roman" w:hAnsi="Times New Roman"/>
          <w:color w:val="auto"/>
          <w:highlight w:val="none"/>
        </w:rPr>
        <w:t>四</w:t>
      </w:r>
      <w:r>
        <w:rPr>
          <w:rFonts w:ascii="Times New Roman" w:hAnsi="Times New Roman"/>
          <w:color w:val="auto"/>
          <w:highlight w:val="none"/>
        </w:rPr>
        <w:t>：确认通知</w:t>
      </w:r>
      <w:bookmarkEnd w:id="934"/>
      <w:bookmarkEnd w:id="935"/>
      <w:bookmarkEnd w:id="936"/>
      <w:bookmarkEnd w:id="937"/>
      <w:bookmarkEnd w:id="938"/>
      <w:bookmarkEnd w:id="939"/>
    </w:p>
    <w:p>
      <w:pPr>
        <w:spacing w:line="400" w:lineRule="exact"/>
        <w:rPr>
          <w:rFonts w:ascii="Times New Roman" w:hAnsi="Times New Roman"/>
          <w:color w:val="auto"/>
          <w:highlight w:val="none"/>
        </w:rPr>
      </w:pPr>
    </w:p>
    <w:p>
      <w:pPr>
        <w:spacing w:line="40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确认通知</w:t>
      </w:r>
    </w:p>
    <w:p>
      <w:pPr>
        <w:spacing w:line="40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（招标人名称）：</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你方于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日发出的</w:t>
      </w:r>
      <w:r>
        <w:rPr>
          <w:rFonts w:ascii="Times New Roman" w:hAnsi="Times New Roman"/>
          <w:color w:val="auto"/>
          <w:highlight w:val="none"/>
          <w:u w:val="single"/>
        </w:rPr>
        <w:t xml:space="preserve">         </w:t>
      </w:r>
      <w:r>
        <w:rPr>
          <w:rFonts w:hint="eastAsia" w:ascii="Times New Roman" w:hAnsi="Times New Roman"/>
          <w:color w:val="auto"/>
          <w:highlight w:val="none"/>
        </w:rPr>
        <w:t>（项目名称）</w:t>
      </w:r>
      <w:r>
        <w:rPr>
          <w:rFonts w:ascii="Times New Roman" w:hAnsi="Times New Roman"/>
          <w:color w:val="auto"/>
          <w:highlight w:val="none"/>
        </w:rPr>
        <w:t>招标关于</w:t>
      </w:r>
      <w:r>
        <w:rPr>
          <w:rFonts w:ascii="Times New Roman" w:hAnsi="Times New Roman"/>
          <w:color w:val="auto"/>
          <w:highlight w:val="none"/>
          <w:u w:val="single"/>
        </w:rPr>
        <w:t>招标文件的澄清/修改</w:t>
      </w:r>
      <w:r>
        <w:rPr>
          <w:rFonts w:ascii="Times New Roman" w:hAnsi="Times New Roman"/>
          <w:color w:val="auto"/>
          <w:highlight w:val="none"/>
        </w:rPr>
        <w:t>的通知，我方已于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日收到。</w:t>
      </w:r>
    </w:p>
    <w:p>
      <w:pPr>
        <w:spacing w:line="440" w:lineRule="exact"/>
        <w:rPr>
          <w:rFonts w:ascii="Times New Roman" w:hAnsi="Times New Roman"/>
          <w:color w:val="auto"/>
          <w:highlight w:val="none"/>
        </w:rPr>
      </w:pPr>
      <w:r>
        <w:rPr>
          <w:rFonts w:ascii="Times New Roman" w:hAnsi="Times New Roman"/>
          <w:color w:val="auto"/>
          <w:highlight w:val="none"/>
        </w:rPr>
        <w:t>　　特此确认。</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spacing w:line="480" w:lineRule="auto"/>
        <w:ind w:firstLine="2415" w:firstLineChars="1150"/>
        <w:jc w:val="left"/>
        <w:rPr>
          <w:rFonts w:ascii="Times New Roman" w:hAnsi="Times New Roman"/>
          <w:color w:val="auto"/>
          <w:highlight w:val="none"/>
        </w:rPr>
      </w:pPr>
      <w:r>
        <w:rPr>
          <w:rFonts w:ascii="Times New Roman" w:hAnsi="Times New Roman"/>
          <w:color w:val="auto"/>
          <w:highlight w:val="none"/>
        </w:rPr>
        <w:t>投标人：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（盖单位章）</w:t>
      </w:r>
    </w:p>
    <w:p>
      <w:pPr>
        <w:spacing w:line="480" w:lineRule="auto"/>
        <w:ind w:firstLine="2415" w:firstLineChars="1150"/>
        <w:jc w:val="left"/>
        <w:rPr>
          <w:rFonts w:ascii="Times New Roman" w:hAnsi="Times New Roman"/>
          <w:color w:val="auto"/>
          <w:highlight w:val="none"/>
        </w:rPr>
      </w:pPr>
      <w:r>
        <w:rPr>
          <w:rFonts w:ascii="Times New Roman" w:hAnsi="Times New Roman"/>
          <w:color w:val="auto"/>
          <w:highlight w:val="none"/>
        </w:rPr>
        <w:t>法定代表人或委托代理人：</w:t>
      </w:r>
      <w:r>
        <w:rPr>
          <w:rFonts w:ascii="Times New Roman" w:hAnsi="Times New Roman" w:eastAsia="黑体"/>
          <w:color w:val="auto"/>
          <w:sz w:val="28"/>
          <w:highlight w:val="none"/>
          <w:u w:val="single"/>
        </w:rPr>
        <w:t xml:space="preserve">      </w:t>
      </w:r>
      <w:r>
        <w:rPr>
          <w:rFonts w:ascii="Times New Roman" w:hAnsi="Times New Roman"/>
          <w:color w:val="auto"/>
          <w:highlight w:val="none"/>
        </w:rPr>
        <w:t>（签字）</w:t>
      </w:r>
    </w:p>
    <w:p>
      <w:pPr>
        <w:spacing w:line="440" w:lineRule="exact"/>
        <w:rPr>
          <w:rFonts w:ascii="Times New Roman" w:hAnsi="Times New Roman"/>
          <w:color w:val="auto"/>
          <w:highlight w:val="none"/>
        </w:rPr>
      </w:pPr>
    </w:p>
    <w:p>
      <w:pPr>
        <w:spacing w:line="440" w:lineRule="exact"/>
        <w:ind w:firstLine="105" w:firstLineChars="50"/>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rPr>
          <w:rFonts w:ascii="Times New Roman" w:hAnsi="Times New Roman"/>
          <w:color w:val="auto"/>
          <w:highlight w:val="none"/>
        </w:rPr>
      </w:pPr>
    </w:p>
    <w:p>
      <w:pPr>
        <w:rPr>
          <w:color w:val="auto"/>
          <w:highlight w:val="none"/>
        </w:rPr>
      </w:pPr>
    </w:p>
    <w:p>
      <w:pPr>
        <w:rPr>
          <w:color w:val="auto"/>
          <w:highlight w:val="none"/>
        </w:rPr>
      </w:pPr>
    </w:p>
    <w:p>
      <w:pPr>
        <w:pStyle w:val="3"/>
        <w:keepNext w:val="0"/>
        <w:keepLines w:val="0"/>
        <w:spacing w:line="460" w:lineRule="exact"/>
        <w:jc w:val="center"/>
        <w:rPr>
          <w:color w:val="auto"/>
          <w:highlight w:val="none"/>
        </w:rPr>
      </w:pPr>
      <w:r>
        <w:rPr>
          <w:color w:val="auto"/>
          <w:highlight w:val="none"/>
        </w:rPr>
        <w:br w:type="page"/>
      </w:r>
      <w:bookmarkStart w:id="940" w:name="_Toc12459"/>
      <w:r>
        <w:rPr>
          <w:color w:val="auto"/>
          <w:highlight w:val="none"/>
        </w:rPr>
        <w:t>第三章评标办法（综合评估法）</w:t>
      </w:r>
      <w:bookmarkEnd w:id="940"/>
    </w:p>
    <w:p>
      <w:pPr>
        <w:pStyle w:val="3"/>
        <w:keepNext w:val="0"/>
        <w:keepLines w:val="0"/>
        <w:spacing w:before="0" w:after="0" w:line="240" w:lineRule="auto"/>
        <w:jc w:val="center"/>
        <w:rPr>
          <w:color w:val="auto"/>
          <w:highlight w:val="none"/>
        </w:rPr>
      </w:pPr>
      <w:bookmarkStart w:id="941" w:name="_Toc20958"/>
      <w:bookmarkStart w:id="942" w:name="_Toc15960"/>
      <w:bookmarkStart w:id="943" w:name="_Toc10954"/>
      <w:r>
        <w:rPr>
          <w:color w:val="auto"/>
          <w:highlight w:val="none"/>
        </w:rPr>
        <w:t>评标办法前附表</w:t>
      </w:r>
      <w:bookmarkEnd w:id="941"/>
      <w:bookmarkEnd w:id="942"/>
      <w:bookmarkEnd w:id="943"/>
    </w:p>
    <w:tbl>
      <w:tblPr>
        <w:tblStyle w:val="2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9"/>
        <w:gridCol w:w="1098"/>
        <w:gridCol w:w="2132"/>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snapToGrid w:val="0"/>
              <w:jc w:val="center"/>
              <w:rPr>
                <w:rFonts w:ascii="宋体" w:hAnsi="宋体"/>
                <w:b/>
                <w:color w:val="auto"/>
                <w:szCs w:val="21"/>
                <w:highlight w:val="none"/>
              </w:rPr>
            </w:pPr>
            <w:r>
              <w:rPr>
                <w:rFonts w:ascii="宋体" w:hAnsi="宋体"/>
                <w:b/>
                <w:color w:val="auto"/>
                <w:szCs w:val="21"/>
                <w:highlight w:val="none"/>
              </w:rPr>
              <w:t>条款号</w:t>
            </w:r>
          </w:p>
        </w:tc>
        <w:tc>
          <w:tcPr>
            <w:tcW w:w="2132" w:type="dxa"/>
            <w:vAlign w:val="center"/>
          </w:tcPr>
          <w:p>
            <w:pPr>
              <w:snapToGrid w:val="0"/>
              <w:jc w:val="center"/>
              <w:rPr>
                <w:rFonts w:ascii="宋体" w:hAnsi="宋体"/>
                <w:b/>
                <w:color w:val="auto"/>
                <w:szCs w:val="21"/>
                <w:highlight w:val="none"/>
              </w:rPr>
            </w:pPr>
            <w:r>
              <w:rPr>
                <w:rFonts w:ascii="宋体" w:hAnsi="宋体"/>
                <w:b/>
                <w:color w:val="auto"/>
                <w:szCs w:val="21"/>
                <w:highlight w:val="none"/>
              </w:rPr>
              <w:t>评审因素</w:t>
            </w:r>
          </w:p>
        </w:tc>
        <w:tc>
          <w:tcPr>
            <w:tcW w:w="5252" w:type="dxa"/>
            <w:vAlign w:val="center"/>
          </w:tcPr>
          <w:p>
            <w:pPr>
              <w:snapToGrid w:val="0"/>
              <w:jc w:val="center"/>
              <w:rPr>
                <w:rFonts w:ascii="宋体" w:hAnsi="宋体"/>
                <w:b/>
                <w:color w:val="auto"/>
                <w:szCs w:val="21"/>
                <w:highlight w:val="none"/>
              </w:rPr>
            </w:pPr>
            <w:r>
              <w:rPr>
                <w:rFonts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gridSpan w:val="2"/>
            <w:vAlign w:val="center"/>
          </w:tcPr>
          <w:p>
            <w:pPr>
              <w:jc w:val="center"/>
              <w:rPr>
                <w:rFonts w:ascii="Times New Roman" w:hAnsi="Times New Roman"/>
                <w:color w:val="auto"/>
                <w:highlight w:val="none"/>
              </w:rPr>
            </w:pPr>
            <w:r>
              <w:rPr>
                <w:rFonts w:ascii="Times New Roman" w:hAnsi="Times New Roman"/>
                <w:color w:val="auto"/>
                <w:highlight w:val="none"/>
              </w:rPr>
              <w:t>1</w:t>
            </w:r>
          </w:p>
        </w:tc>
        <w:tc>
          <w:tcPr>
            <w:tcW w:w="1098" w:type="dxa"/>
            <w:vAlign w:val="center"/>
          </w:tcPr>
          <w:p>
            <w:pPr>
              <w:snapToGrid w:val="0"/>
              <w:rPr>
                <w:rFonts w:ascii="宋体" w:hAnsi="宋体"/>
                <w:color w:val="auto"/>
                <w:szCs w:val="21"/>
                <w:highlight w:val="none"/>
              </w:rPr>
            </w:pPr>
            <w:r>
              <w:rPr>
                <w:rFonts w:ascii="宋体" w:hAnsi="宋体"/>
                <w:color w:val="auto"/>
                <w:szCs w:val="21"/>
                <w:highlight w:val="none"/>
              </w:rPr>
              <w:t>评标方法</w:t>
            </w:r>
          </w:p>
        </w:tc>
        <w:tc>
          <w:tcPr>
            <w:tcW w:w="2132" w:type="dxa"/>
            <w:vAlign w:val="center"/>
          </w:tcPr>
          <w:p>
            <w:pPr>
              <w:snapToGrid w:val="0"/>
              <w:rPr>
                <w:rFonts w:ascii="宋体" w:hAnsi="宋体"/>
                <w:color w:val="auto"/>
                <w:szCs w:val="21"/>
                <w:highlight w:val="none"/>
              </w:rPr>
            </w:pPr>
            <w:r>
              <w:rPr>
                <w:rFonts w:ascii="宋体" w:hAnsi="宋体"/>
                <w:color w:val="auto"/>
                <w:szCs w:val="21"/>
                <w:highlight w:val="none"/>
              </w:rPr>
              <w:t>中标候选人排序方法</w:t>
            </w:r>
          </w:p>
        </w:tc>
        <w:tc>
          <w:tcPr>
            <w:tcW w:w="5252" w:type="dxa"/>
          </w:tcPr>
          <w:p>
            <w:pPr>
              <w:snapToGrid w:val="0"/>
              <w:rPr>
                <w:rFonts w:ascii="宋体" w:hAnsi="宋体"/>
                <w:color w:val="auto"/>
                <w:szCs w:val="21"/>
                <w:highlight w:val="none"/>
              </w:rPr>
            </w:pPr>
            <w:r>
              <w:rPr>
                <w:rFonts w:hint="eastAsia" w:ascii="宋体" w:hAnsi="宋体"/>
                <w:color w:val="auto"/>
                <w:szCs w:val="21"/>
                <w:highlight w:val="none"/>
              </w:rPr>
              <w:t>按总得分由高到低顺序推荐中标候选人，若两家或以上的投标人总得分相同时，则投标报价得分高的排前；若投标人总得分和投标报价得分均相同，则</w:t>
            </w:r>
            <w:r>
              <w:rPr>
                <w:rFonts w:hint="eastAsia" w:ascii="宋体" w:hAnsi="宋体"/>
                <w:color w:val="auto"/>
                <w:szCs w:val="21"/>
                <w:highlight w:val="none"/>
                <w:lang w:eastAsia="zh-CN"/>
              </w:rPr>
              <w:t>技术服务方案</w:t>
            </w:r>
            <w:r>
              <w:rPr>
                <w:rFonts w:hint="eastAsia" w:ascii="宋体" w:hAnsi="宋体"/>
                <w:color w:val="auto"/>
                <w:szCs w:val="21"/>
                <w:highlight w:val="none"/>
              </w:rPr>
              <w:t>得分高的排前；若投标人总得分、投标报价得分和</w:t>
            </w:r>
            <w:r>
              <w:rPr>
                <w:rFonts w:hint="eastAsia" w:ascii="宋体" w:hAnsi="宋体"/>
                <w:color w:val="auto"/>
                <w:szCs w:val="21"/>
                <w:highlight w:val="none"/>
                <w:lang w:eastAsia="zh-CN"/>
              </w:rPr>
              <w:t>技术服务方案</w:t>
            </w:r>
            <w:r>
              <w:rPr>
                <w:rFonts w:hint="eastAsia" w:ascii="宋体" w:hAnsi="宋体"/>
                <w:color w:val="auto"/>
                <w:szCs w:val="21"/>
                <w:highlight w:val="none"/>
              </w:rPr>
              <w:t>得分均相同，则由评标委员会投票表决推荐排名优先的投标人。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restart"/>
            <w:vAlign w:val="center"/>
          </w:tcPr>
          <w:p>
            <w:pPr>
              <w:jc w:val="center"/>
              <w:rPr>
                <w:rFonts w:ascii="Times New Roman" w:hAnsi="Times New Roman"/>
                <w:color w:val="auto"/>
                <w:highlight w:val="none"/>
              </w:rPr>
            </w:pPr>
            <w:r>
              <w:rPr>
                <w:rFonts w:ascii="Times New Roman" w:hAnsi="Times New Roman"/>
                <w:color w:val="auto"/>
                <w:highlight w:val="none"/>
              </w:rPr>
              <w:t>2.1.1</w:t>
            </w:r>
          </w:p>
        </w:tc>
        <w:tc>
          <w:tcPr>
            <w:tcW w:w="1098" w:type="dxa"/>
            <w:vMerge w:val="restart"/>
            <w:vAlign w:val="center"/>
          </w:tcPr>
          <w:p>
            <w:pPr>
              <w:snapToGrid w:val="0"/>
              <w:rPr>
                <w:rFonts w:ascii="宋体" w:hAnsi="宋体"/>
                <w:color w:val="auto"/>
                <w:szCs w:val="21"/>
                <w:highlight w:val="none"/>
              </w:rPr>
            </w:pPr>
            <w:r>
              <w:rPr>
                <w:rFonts w:ascii="宋体" w:hAnsi="宋体"/>
                <w:color w:val="auto"/>
                <w:szCs w:val="21"/>
                <w:highlight w:val="none"/>
              </w:rPr>
              <w:t>形式评审标准</w:t>
            </w: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投标人名称</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与营业执照</w:t>
            </w:r>
            <w:r>
              <w:rPr>
                <w:rFonts w:hint="eastAsia" w:ascii="宋体" w:hAnsi="宋体" w:cs="Calibri"/>
                <w:color w:val="auto"/>
                <w:szCs w:val="21"/>
                <w:highlight w:val="none"/>
              </w:rPr>
              <w:t>（或事业单位法人证书）</w:t>
            </w:r>
            <w:r>
              <w:rPr>
                <w:rFonts w:hint="eastAsia" w:ascii="宋体" w:hAnsi="宋体"/>
                <w:color w:val="auto"/>
                <w:szCs w:val="21"/>
                <w:highlight w:val="none"/>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jc w:val="center"/>
              <w:rPr>
                <w:rFonts w:ascii="Times New Roman" w:hAnsi="Times New Roman"/>
                <w:color w:val="auto"/>
                <w:highlight w:val="none"/>
              </w:rPr>
            </w:pPr>
          </w:p>
        </w:tc>
        <w:tc>
          <w:tcPr>
            <w:tcW w:w="1098" w:type="dxa"/>
            <w:vMerge w:val="continue"/>
            <w:vAlign w:val="center"/>
          </w:tcPr>
          <w:p>
            <w:pPr>
              <w:snapToGrid w:val="0"/>
              <w:rPr>
                <w:rFonts w:ascii="宋体" w:hAnsi="宋体"/>
                <w:color w:val="auto"/>
                <w:szCs w:val="21"/>
                <w:highlight w:val="none"/>
              </w:rPr>
            </w:pPr>
          </w:p>
        </w:tc>
        <w:tc>
          <w:tcPr>
            <w:tcW w:w="2132" w:type="dxa"/>
            <w:vAlign w:val="center"/>
          </w:tcPr>
          <w:p>
            <w:pPr>
              <w:adjustRightInd w:val="0"/>
              <w:snapToGrid w:val="0"/>
              <w:spacing w:before="36" w:beforeLines="15" w:after="36" w:afterLines="15"/>
              <w:ind w:left="42" w:leftChars="20" w:right="42" w:rightChars="20"/>
              <w:jc w:val="center"/>
              <w:rPr>
                <w:rFonts w:ascii="宋体" w:hAnsi="宋体"/>
                <w:color w:val="auto"/>
                <w:szCs w:val="21"/>
                <w:highlight w:val="none"/>
              </w:rPr>
            </w:pPr>
            <w:r>
              <w:rPr>
                <w:rFonts w:hint="eastAsia"/>
                <w:color w:val="auto"/>
                <w:szCs w:val="21"/>
                <w:highlight w:val="none"/>
              </w:rPr>
              <w:t>投标文件</w:t>
            </w:r>
          </w:p>
        </w:tc>
        <w:tc>
          <w:tcPr>
            <w:tcW w:w="5252" w:type="dxa"/>
            <w:vAlign w:val="center"/>
          </w:tcPr>
          <w:p>
            <w:pPr>
              <w:adjustRightInd w:val="0"/>
              <w:snapToGrid w:val="0"/>
              <w:spacing w:before="36" w:beforeLines="15" w:after="36" w:afterLines="15"/>
              <w:ind w:left="42" w:leftChars="20" w:right="42" w:rightChars="20"/>
              <w:rPr>
                <w:rFonts w:ascii="宋体" w:hAnsi="宋体"/>
                <w:color w:val="auto"/>
                <w:szCs w:val="21"/>
                <w:highlight w:val="none"/>
              </w:rPr>
            </w:pPr>
            <w:r>
              <w:rPr>
                <w:rFonts w:hint="eastAsia"/>
                <w:color w:val="auto"/>
                <w:szCs w:val="21"/>
                <w:highlight w:val="none"/>
              </w:rPr>
              <w:t>投标文件中的投标人、项目负责人与投标登记时的信息一致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snapToGrid w:val="0"/>
              <w:rPr>
                <w:rFonts w:ascii="宋体" w:hAnsi="宋体"/>
                <w:color w:val="auto"/>
                <w:szCs w:val="21"/>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及投标函附录</w:t>
            </w:r>
            <w:r>
              <w:rPr>
                <w:rFonts w:ascii="宋体" w:hAnsi="宋体"/>
                <w:color w:val="auto"/>
                <w:szCs w:val="21"/>
                <w:highlight w:val="none"/>
              </w:rPr>
              <w:t>签字盖章</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snapToGrid w:val="0"/>
              <w:rPr>
                <w:rFonts w:ascii="宋体" w:hAnsi="宋体"/>
                <w:color w:val="auto"/>
                <w:szCs w:val="21"/>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投标文件格式</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符合第六章“投标文件格式”的规定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snapToGrid w:val="0"/>
              <w:rPr>
                <w:rFonts w:ascii="宋体" w:hAnsi="宋体"/>
                <w:color w:val="auto"/>
                <w:szCs w:val="21"/>
                <w:highlight w:val="none"/>
              </w:rPr>
            </w:pPr>
          </w:p>
        </w:tc>
        <w:tc>
          <w:tcPr>
            <w:tcW w:w="213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投标人机器码</w:t>
            </w:r>
          </w:p>
        </w:tc>
        <w:tc>
          <w:tcPr>
            <w:tcW w:w="525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投标人与其他投标人加密打包投标文件电脑机器特征码一致的(以广州公共资源交易中心评标系统的检索信息为准)将被否决。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snapToGrid w:val="0"/>
              <w:rPr>
                <w:rFonts w:ascii="宋体" w:hAnsi="宋体"/>
                <w:color w:val="auto"/>
                <w:szCs w:val="21"/>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备选投标方案</w:t>
            </w:r>
          </w:p>
        </w:tc>
        <w:tc>
          <w:tcPr>
            <w:tcW w:w="5252" w:type="dxa"/>
            <w:vAlign w:val="center"/>
          </w:tcPr>
          <w:p>
            <w:pPr>
              <w:snapToGrid w:val="0"/>
              <w:rPr>
                <w:rFonts w:ascii="宋体" w:hAnsi="宋体"/>
                <w:color w:val="auto"/>
                <w:szCs w:val="21"/>
                <w:highlight w:val="none"/>
              </w:rPr>
            </w:pPr>
            <w:r>
              <w:rPr>
                <w:rFonts w:hint="eastAsia" w:ascii="宋体" w:hAnsi="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restart"/>
            <w:vAlign w:val="center"/>
          </w:tcPr>
          <w:p>
            <w:pPr>
              <w:jc w:val="center"/>
              <w:rPr>
                <w:rFonts w:ascii="Times New Roman" w:hAnsi="Times New Roman"/>
                <w:color w:val="auto"/>
                <w:highlight w:val="none"/>
              </w:rPr>
            </w:pPr>
            <w:r>
              <w:rPr>
                <w:rFonts w:ascii="Times New Roman" w:hAnsi="Times New Roman"/>
                <w:color w:val="auto"/>
                <w:highlight w:val="none"/>
              </w:rPr>
              <w:t>2.1.2</w:t>
            </w:r>
          </w:p>
        </w:tc>
        <w:tc>
          <w:tcPr>
            <w:tcW w:w="1098" w:type="dxa"/>
            <w:vMerge w:val="restart"/>
            <w:vAlign w:val="center"/>
          </w:tcPr>
          <w:p>
            <w:pPr>
              <w:snapToGrid w:val="0"/>
              <w:rPr>
                <w:rFonts w:ascii="宋体" w:hAnsi="宋体"/>
                <w:color w:val="auto"/>
                <w:szCs w:val="21"/>
                <w:highlight w:val="none"/>
              </w:rPr>
            </w:pPr>
            <w:r>
              <w:rPr>
                <w:rFonts w:hint="eastAsia" w:ascii="宋体" w:hAnsi="宋体"/>
                <w:color w:val="auto"/>
                <w:szCs w:val="21"/>
                <w:highlight w:val="none"/>
              </w:rPr>
              <w:t xml:space="preserve">资格评审标准  </w:t>
            </w: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营业执照和组织机构代码证</w:t>
            </w:r>
          </w:p>
        </w:tc>
        <w:tc>
          <w:tcPr>
            <w:tcW w:w="5252" w:type="dxa"/>
            <w:vAlign w:val="center"/>
          </w:tcPr>
          <w:p>
            <w:pPr>
              <w:snapToGrid w:val="0"/>
              <w:rPr>
                <w:rFonts w:ascii="宋体" w:hAnsi="宋体"/>
                <w:color w:val="auto"/>
                <w:szCs w:val="21"/>
                <w:highlight w:val="none"/>
              </w:rPr>
            </w:pPr>
            <w:r>
              <w:rPr>
                <w:rFonts w:hint="eastAsia" w:ascii="宋体" w:hAnsi="宋体" w:cs="Calibri"/>
                <w:color w:val="auto"/>
                <w:szCs w:val="21"/>
                <w:highlight w:val="none"/>
              </w:rPr>
              <w:t>投标人均具有独立法人资格，持有事业单位登记管理部门核发的事业单位法人证书或工商行政管理部门核发的企业法人营业执照，且在营业期限内。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snapToGrid w:val="0"/>
              <w:rPr>
                <w:rFonts w:ascii="宋体" w:hAnsi="宋体"/>
                <w:color w:val="auto"/>
                <w:szCs w:val="21"/>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资质要求</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符合第二章“投标人须知”第1.4.1项规定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snapToGrid w:val="0"/>
              <w:rPr>
                <w:rFonts w:ascii="宋体" w:hAnsi="宋体"/>
                <w:color w:val="auto"/>
                <w:szCs w:val="21"/>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其他要求</w:t>
            </w:r>
          </w:p>
        </w:tc>
        <w:tc>
          <w:tcPr>
            <w:tcW w:w="5252" w:type="dxa"/>
            <w:vAlign w:val="center"/>
          </w:tcPr>
          <w:p>
            <w:pPr>
              <w:pStyle w:val="12"/>
              <w:rPr>
                <w:color w:val="auto"/>
                <w:highlight w:val="none"/>
              </w:rPr>
            </w:pPr>
            <w:r>
              <w:rPr>
                <w:rFonts w:hint="eastAsia" w:hAnsi="宋体"/>
                <w:color w:val="auto"/>
                <w:highlight w:val="none"/>
              </w:rPr>
              <w:t>符合第二章</w:t>
            </w:r>
            <w:r>
              <w:rPr>
                <w:rFonts w:hint="eastAsia"/>
                <w:color w:val="auto"/>
                <w:highlight w:val="none"/>
              </w:rPr>
              <w:t>“</w:t>
            </w:r>
            <w:r>
              <w:rPr>
                <w:rFonts w:hint="eastAsia" w:hAnsi="宋体"/>
                <w:color w:val="auto"/>
                <w:highlight w:val="none"/>
              </w:rPr>
              <w:t>投标人须知</w:t>
            </w:r>
            <w:r>
              <w:rPr>
                <w:rFonts w:hint="eastAsia"/>
                <w:color w:val="auto"/>
                <w:highlight w:val="none"/>
              </w:rPr>
              <w:t>”</w:t>
            </w:r>
            <w:r>
              <w:rPr>
                <w:rFonts w:hint="eastAsia" w:hAnsi="宋体"/>
                <w:color w:val="auto"/>
                <w:highlight w:val="none"/>
              </w:rPr>
              <w:t>第</w:t>
            </w:r>
            <w:r>
              <w:rPr>
                <w:rFonts w:hAnsi="宋体"/>
                <w:color w:val="auto"/>
                <w:highlight w:val="none"/>
              </w:rPr>
              <w:t>1.4.1</w:t>
            </w:r>
            <w:r>
              <w:rPr>
                <w:rFonts w:hint="eastAsia" w:hAnsi="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snapToGrid w:val="0"/>
              <w:rPr>
                <w:rFonts w:ascii="宋体" w:hAnsi="宋体"/>
                <w:color w:val="auto"/>
                <w:szCs w:val="21"/>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联合体投标人</w:t>
            </w:r>
          </w:p>
        </w:tc>
        <w:tc>
          <w:tcPr>
            <w:tcW w:w="5252" w:type="dxa"/>
            <w:vAlign w:val="center"/>
          </w:tcPr>
          <w:p>
            <w:pPr>
              <w:snapToGrid w:val="0"/>
              <w:rPr>
                <w:rFonts w:hAnsi="Courier New" w:cs="Arial"/>
                <w:color w:val="auto"/>
                <w:szCs w:val="21"/>
                <w:highlight w:val="none"/>
              </w:rPr>
            </w:pPr>
            <w:r>
              <w:rPr>
                <w:rFonts w:hint="eastAsia"/>
                <w:color w:val="auto"/>
                <w:szCs w:val="21"/>
                <w:highlight w:val="none"/>
              </w:rPr>
              <w:t>本项目</w:t>
            </w:r>
            <w:r>
              <w:rPr>
                <w:rFonts w:hint="eastAsia"/>
                <w:b/>
                <w:bCs/>
                <w:color w:val="auto"/>
                <w:szCs w:val="21"/>
                <w:highlight w:val="none"/>
                <w:u w:val="single"/>
              </w:rPr>
              <w:t>接受</w:t>
            </w:r>
            <w:r>
              <w:rPr>
                <w:rFonts w:hint="eastAsia"/>
                <w:color w:val="auto"/>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rPr>
                <w:rFonts w:ascii="Times New Roman" w:hAnsi="Times New Roman"/>
                <w:color w:val="auto"/>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不存在禁止投标的情形</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不存在第二章“投标人须知”第1.4.3项规定的任何一种情形</w:t>
            </w:r>
            <w:r>
              <w:rPr>
                <w:rFonts w:hint="eastAsia" w:ascii="宋体" w:hAnsi="宋体" w:cs="宋体"/>
                <w:color w:val="auto"/>
                <w:highlight w:val="none"/>
              </w:rPr>
              <w:t>（以《投标人声明》为准）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rPr>
                <w:rFonts w:ascii="Times New Roman" w:hAnsi="Times New Roman"/>
                <w:color w:val="auto"/>
                <w:highlight w:val="none"/>
              </w:rPr>
            </w:pPr>
          </w:p>
        </w:tc>
        <w:tc>
          <w:tcPr>
            <w:tcW w:w="2132" w:type="dxa"/>
            <w:vAlign w:val="center"/>
          </w:tcPr>
          <w:p>
            <w:pPr>
              <w:adjustRightInd w:val="0"/>
              <w:snapToGrid w:val="0"/>
              <w:spacing w:before="36" w:beforeLines="15" w:after="36" w:afterLines="15"/>
              <w:ind w:left="42" w:leftChars="20" w:right="42" w:rightChars="20"/>
              <w:jc w:val="center"/>
              <w:rPr>
                <w:rFonts w:ascii="宋体" w:hAnsi="宋体"/>
                <w:color w:val="auto"/>
                <w:szCs w:val="21"/>
                <w:highlight w:val="none"/>
              </w:rPr>
            </w:pPr>
            <w:r>
              <w:rPr>
                <w:rFonts w:hint="default" w:ascii="宋体" w:hAnsi="宋体" w:cs="Times New Roman"/>
                <w:color w:val="auto"/>
                <w:sz w:val="21"/>
                <w:szCs w:val="21"/>
                <w:highlight w:val="none"/>
              </w:rPr>
              <w:t>未被列入拖欠农民工工资失信联合惩戒对象名单</w:t>
            </w:r>
          </w:p>
        </w:tc>
        <w:tc>
          <w:tcPr>
            <w:tcW w:w="5252" w:type="dxa"/>
            <w:vAlign w:val="center"/>
          </w:tcPr>
          <w:p>
            <w:pPr>
              <w:adjustRightInd w:val="0"/>
              <w:snapToGrid w:val="0"/>
              <w:spacing w:before="36" w:beforeLines="15" w:after="36" w:afterLines="15"/>
              <w:ind w:left="42" w:leftChars="20" w:right="42" w:rightChars="20"/>
              <w:rPr>
                <w:rFonts w:ascii="宋体" w:hAnsi="宋体"/>
                <w:color w:val="auto"/>
                <w:szCs w:val="21"/>
                <w:highlight w:val="none"/>
              </w:rPr>
            </w:pPr>
            <w:r>
              <w:rPr>
                <w:rFonts w:hint="eastAsia"/>
                <w:color w:val="auto"/>
                <w:szCs w:val="21"/>
                <w:highlight w:val="none"/>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restart"/>
            <w:vAlign w:val="center"/>
          </w:tcPr>
          <w:p>
            <w:pPr>
              <w:jc w:val="center"/>
              <w:rPr>
                <w:rFonts w:ascii="Times New Roman" w:hAnsi="Times New Roman"/>
                <w:color w:val="auto"/>
                <w:highlight w:val="none"/>
              </w:rPr>
            </w:pPr>
            <w:r>
              <w:rPr>
                <w:rFonts w:ascii="Times New Roman" w:hAnsi="Times New Roman"/>
                <w:color w:val="auto"/>
                <w:highlight w:val="none"/>
              </w:rPr>
              <w:t>2.1.3</w:t>
            </w:r>
          </w:p>
        </w:tc>
        <w:tc>
          <w:tcPr>
            <w:tcW w:w="1098" w:type="dxa"/>
            <w:vMerge w:val="restart"/>
            <w:vAlign w:val="center"/>
          </w:tcPr>
          <w:p>
            <w:pPr>
              <w:jc w:val="center"/>
              <w:rPr>
                <w:rFonts w:ascii="Times New Roman" w:hAnsi="Times New Roman"/>
                <w:color w:val="auto"/>
                <w:highlight w:val="none"/>
              </w:rPr>
            </w:pPr>
            <w:r>
              <w:rPr>
                <w:rFonts w:ascii="Times New Roman" w:hAnsi="Times New Roman"/>
                <w:color w:val="auto"/>
                <w:highlight w:val="none"/>
              </w:rPr>
              <w:t>响应性评审标准</w:t>
            </w: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投标报价</w:t>
            </w:r>
          </w:p>
        </w:tc>
        <w:tc>
          <w:tcPr>
            <w:tcW w:w="5252" w:type="dxa"/>
            <w:vAlign w:val="center"/>
          </w:tcPr>
          <w:p>
            <w:pPr>
              <w:snapToGrid w:val="0"/>
              <w:rPr>
                <w:rFonts w:ascii="宋体" w:hAnsi="宋体"/>
                <w:color w:val="auto"/>
                <w:szCs w:val="21"/>
                <w:highlight w:val="none"/>
              </w:rPr>
            </w:pPr>
            <w:r>
              <w:rPr>
                <w:rFonts w:ascii="宋体" w:hAnsi="宋体"/>
                <w:color w:val="auto"/>
                <w:szCs w:val="21"/>
                <w:highlight w:val="none"/>
              </w:rPr>
              <w:t>符合第二章“投标人须知”第3.2款规定</w:t>
            </w:r>
            <w:r>
              <w:rPr>
                <w:rFonts w:hint="eastAsia" w:ascii="宋体" w:hAnsi="宋体"/>
                <w:color w:val="auto"/>
                <w:szCs w:val="21"/>
                <w:highlight w:val="none"/>
              </w:rPr>
              <w:t>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jc w:val="center"/>
              <w:rPr>
                <w:rFonts w:ascii="Times New Roman" w:hAnsi="Times New Roman"/>
                <w:color w:val="auto"/>
                <w:highlight w:val="none"/>
              </w:rPr>
            </w:pPr>
          </w:p>
        </w:tc>
        <w:tc>
          <w:tcPr>
            <w:tcW w:w="1098" w:type="dxa"/>
            <w:vMerge w:val="continue"/>
            <w:vAlign w:val="center"/>
          </w:tcPr>
          <w:p>
            <w:pPr>
              <w:jc w:val="center"/>
              <w:rPr>
                <w:rFonts w:ascii="Times New Roman" w:hAnsi="Times New Roman"/>
                <w:color w:val="auto"/>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投标内容</w:t>
            </w:r>
          </w:p>
        </w:tc>
        <w:tc>
          <w:tcPr>
            <w:tcW w:w="5252"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jc w:val="center"/>
              <w:rPr>
                <w:rFonts w:ascii="Times New Roman" w:hAnsi="Times New Roman"/>
                <w:color w:val="auto"/>
                <w:highlight w:val="none"/>
              </w:rPr>
            </w:pPr>
          </w:p>
        </w:tc>
        <w:tc>
          <w:tcPr>
            <w:tcW w:w="1098" w:type="dxa"/>
            <w:vMerge w:val="continue"/>
            <w:vAlign w:val="center"/>
          </w:tcPr>
          <w:p>
            <w:pPr>
              <w:jc w:val="center"/>
              <w:rPr>
                <w:rFonts w:ascii="Times New Roman" w:hAnsi="Times New Roman"/>
                <w:color w:val="auto"/>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服务期限</w:t>
            </w:r>
          </w:p>
        </w:tc>
        <w:tc>
          <w:tcPr>
            <w:tcW w:w="5252" w:type="dxa"/>
            <w:vAlign w:val="center"/>
          </w:tcPr>
          <w:p>
            <w:pPr>
              <w:snapToGrid w:val="0"/>
              <w:jc w:val="left"/>
              <w:rPr>
                <w:rFonts w:ascii="宋体" w:hAnsi="宋体"/>
                <w:color w:val="auto"/>
                <w:szCs w:val="21"/>
                <w:highlight w:val="none"/>
              </w:rPr>
            </w:pPr>
            <w:r>
              <w:rPr>
                <w:rFonts w:ascii="宋体" w:hAnsi="宋体"/>
                <w:color w:val="auto"/>
                <w:szCs w:val="21"/>
                <w:highlight w:val="none"/>
              </w:rPr>
              <w:t>符合第二章“投标人须知”第1.3.2项规定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jc w:val="center"/>
              <w:rPr>
                <w:rFonts w:ascii="Times New Roman" w:hAnsi="Times New Roman"/>
                <w:color w:val="auto"/>
                <w:highlight w:val="none"/>
              </w:rPr>
            </w:pPr>
          </w:p>
        </w:tc>
        <w:tc>
          <w:tcPr>
            <w:tcW w:w="1098" w:type="dxa"/>
            <w:vMerge w:val="continue"/>
            <w:vAlign w:val="center"/>
          </w:tcPr>
          <w:p>
            <w:pPr>
              <w:jc w:val="center"/>
              <w:rPr>
                <w:rFonts w:ascii="Times New Roman" w:hAnsi="Times New Roman"/>
                <w:color w:val="auto"/>
                <w:highlight w:val="none"/>
              </w:rPr>
            </w:pPr>
          </w:p>
        </w:tc>
        <w:tc>
          <w:tcPr>
            <w:tcW w:w="2132"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质量标准</w:t>
            </w:r>
          </w:p>
        </w:tc>
        <w:tc>
          <w:tcPr>
            <w:tcW w:w="5252" w:type="dxa"/>
            <w:vAlign w:val="center"/>
          </w:tcPr>
          <w:p>
            <w:pPr>
              <w:snapToGrid w:val="0"/>
              <w:jc w:val="left"/>
              <w:rPr>
                <w:rFonts w:ascii="宋体" w:hAnsi="宋体"/>
                <w:color w:val="auto"/>
                <w:szCs w:val="21"/>
                <w:highlight w:val="none"/>
              </w:rPr>
            </w:pPr>
            <w:r>
              <w:rPr>
                <w:rFonts w:hint="eastAsia" w:ascii="宋体" w:hAnsi="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jc w:val="center"/>
              <w:rPr>
                <w:rFonts w:ascii="Times New Roman" w:hAnsi="Times New Roman"/>
                <w:color w:val="auto"/>
                <w:highlight w:val="none"/>
              </w:rPr>
            </w:pPr>
          </w:p>
        </w:tc>
        <w:tc>
          <w:tcPr>
            <w:tcW w:w="1098" w:type="dxa"/>
            <w:vMerge w:val="continue"/>
            <w:vAlign w:val="center"/>
          </w:tcPr>
          <w:p>
            <w:pPr>
              <w:jc w:val="center"/>
              <w:rPr>
                <w:rFonts w:ascii="Times New Roman" w:hAnsi="Times New Roman"/>
                <w:color w:val="auto"/>
                <w:highlight w:val="none"/>
              </w:rPr>
            </w:pPr>
          </w:p>
        </w:tc>
        <w:tc>
          <w:tcPr>
            <w:tcW w:w="2132" w:type="dxa"/>
          </w:tcPr>
          <w:p>
            <w:pPr>
              <w:snapToGrid w:val="0"/>
              <w:jc w:val="center"/>
              <w:rPr>
                <w:rFonts w:ascii="宋体" w:hAnsi="宋体"/>
                <w:color w:val="auto"/>
                <w:szCs w:val="21"/>
                <w:highlight w:val="none"/>
              </w:rPr>
            </w:pPr>
            <w:r>
              <w:rPr>
                <w:rFonts w:ascii="宋体" w:hAnsi="宋体"/>
                <w:color w:val="auto"/>
                <w:szCs w:val="21"/>
                <w:highlight w:val="none"/>
              </w:rPr>
              <w:t>投标有效期</w:t>
            </w:r>
          </w:p>
        </w:tc>
        <w:tc>
          <w:tcPr>
            <w:tcW w:w="5252" w:type="dxa"/>
          </w:tcPr>
          <w:p>
            <w:pPr>
              <w:snapToGrid w:val="0"/>
              <w:rPr>
                <w:rFonts w:ascii="宋体" w:hAnsi="宋体"/>
                <w:color w:val="auto"/>
                <w:szCs w:val="21"/>
                <w:highlight w:val="none"/>
              </w:rPr>
            </w:pPr>
            <w:r>
              <w:rPr>
                <w:rFonts w:hint="eastAsia" w:ascii="宋体" w:hAnsi="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rPr>
                <w:rFonts w:ascii="Times New Roman" w:hAnsi="Times New Roman"/>
                <w:color w:val="auto"/>
                <w:highlight w:val="none"/>
              </w:rPr>
            </w:pP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投标保证金</w:t>
            </w:r>
          </w:p>
        </w:tc>
        <w:tc>
          <w:tcPr>
            <w:tcW w:w="5252" w:type="dxa"/>
          </w:tcPr>
          <w:p>
            <w:pPr>
              <w:snapToGrid w:val="0"/>
              <w:jc w:val="left"/>
              <w:rPr>
                <w:rFonts w:ascii="宋体" w:hAnsi="宋体"/>
                <w:color w:val="auto"/>
                <w:szCs w:val="21"/>
                <w:highlight w:val="none"/>
              </w:rPr>
            </w:pPr>
            <w:r>
              <w:rPr>
                <w:rFonts w:hint="eastAsia" w:ascii="宋体" w:hAnsi="宋体"/>
                <w:color w:val="auto"/>
                <w:szCs w:val="21"/>
                <w:highlight w:val="none"/>
              </w:rPr>
              <w:t>符合第二章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0" w:type="dxa"/>
            <w:gridSpan w:val="2"/>
            <w:vMerge w:val="continue"/>
            <w:vAlign w:val="center"/>
          </w:tcPr>
          <w:p>
            <w:pPr>
              <w:rPr>
                <w:rFonts w:ascii="Times New Roman" w:hAnsi="Times New Roman"/>
                <w:color w:val="auto"/>
                <w:highlight w:val="none"/>
              </w:rPr>
            </w:pPr>
          </w:p>
        </w:tc>
        <w:tc>
          <w:tcPr>
            <w:tcW w:w="1098" w:type="dxa"/>
            <w:vMerge w:val="continue"/>
            <w:vAlign w:val="center"/>
          </w:tcPr>
          <w:p>
            <w:pPr>
              <w:rPr>
                <w:rFonts w:ascii="Times New Roman" w:hAnsi="Times New Roman"/>
                <w:color w:val="auto"/>
                <w:highlight w:val="none"/>
              </w:rPr>
            </w:pPr>
          </w:p>
        </w:tc>
        <w:tc>
          <w:tcPr>
            <w:tcW w:w="2132" w:type="dxa"/>
          </w:tcPr>
          <w:p>
            <w:pPr>
              <w:snapToGrid w:val="0"/>
              <w:jc w:val="center"/>
              <w:rPr>
                <w:rFonts w:ascii="宋体" w:hAnsi="宋体"/>
                <w:color w:val="auto"/>
                <w:szCs w:val="21"/>
                <w:highlight w:val="none"/>
              </w:rPr>
            </w:pPr>
            <w:r>
              <w:rPr>
                <w:rFonts w:hint="eastAsia" w:ascii="宋体" w:hAnsi="宋体"/>
                <w:color w:val="auto"/>
                <w:szCs w:val="21"/>
                <w:highlight w:val="none"/>
              </w:rPr>
              <w:t>串通投标情形</w:t>
            </w:r>
          </w:p>
        </w:tc>
        <w:tc>
          <w:tcPr>
            <w:tcW w:w="5252" w:type="dxa"/>
          </w:tcPr>
          <w:p>
            <w:pPr>
              <w:snapToGrid w:val="0"/>
              <w:jc w:val="left"/>
              <w:rPr>
                <w:rFonts w:ascii="宋体" w:hAnsi="宋体"/>
                <w:color w:val="auto"/>
                <w:szCs w:val="21"/>
                <w:highlight w:val="none"/>
              </w:rPr>
            </w:pPr>
            <w:r>
              <w:rPr>
                <w:rFonts w:hint="eastAsia" w:ascii="宋体" w:hAnsi="宋体"/>
                <w:color w:val="auto"/>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snapToGrid w:val="0"/>
              <w:jc w:val="center"/>
              <w:rPr>
                <w:rFonts w:ascii="宋体" w:hAnsi="宋体"/>
                <w:b/>
                <w:color w:val="auto"/>
                <w:szCs w:val="21"/>
                <w:highlight w:val="none"/>
              </w:rPr>
            </w:pPr>
            <w:r>
              <w:rPr>
                <w:rFonts w:ascii="宋体" w:hAnsi="宋体"/>
                <w:b/>
                <w:color w:val="auto"/>
                <w:szCs w:val="21"/>
                <w:highlight w:val="none"/>
              </w:rPr>
              <w:t>条款号</w:t>
            </w:r>
          </w:p>
        </w:tc>
        <w:tc>
          <w:tcPr>
            <w:tcW w:w="2132" w:type="dxa"/>
            <w:vAlign w:val="center"/>
          </w:tcPr>
          <w:p>
            <w:pPr>
              <w:snapToGrid w:val="0"/>
              <w:jc w:val="center"/>
              <w:rPr>
                <w:rFonts w:ascii="宋体" w:hAnsi="宋体"/>
                <w:b/>
                <w:color w:val="auto"/>
                <w:szCs w:val="21"/>
                <w:highlight w:val="none"/>
              </w:rPr>
            </w:pPr>
            <w:r>
              <w:rPr>
                <w:rFonts w:ascii="宋体" w:hAnsi="宋体"/>
                <w:b/>
                <w:color w:val="auto"/>
                <w:szCs w:val="21"/>
                <w:highlight w:val="none"/>
              </w:rPr>
              <w:t>条款内容</w:t>
            </w:r>
          </w:p>
        </w:tc>
        <w:tc>
          <w:tcPr>
            <w:tcW w:w="5252" w:type="dxa"/>
            <w:vAlign w:val="center"/>
          </w:tcPr>
          <w:p>
            <w:pPr>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jc w:val="center"/>
              <w:rPr>
                <w:rFonts w:ascii="Times New Roman" w:hAnsi="Times New Roman"/>
                <w:color w:val="auto"/>
                <w:highlight w:val="none"/>
              </w:rPr>
            </w:pPr>
            <w:bookmarkStart w:id="944" w:name="_Hlk136184014"/>
            <w:r>
              <w:rPr>
                <w:rFonts w:ascii="Times New Roman" w:hAnsi="Times New Roman"/>
                <w:color w:val="auto"/>
                <w:highlight w:val="none"/>
              </w:rPr>
              <w:t>2.2.1</w:t>
            </w:r>
          </w:p>
        </w:tc>
        <w:tc>
          <w:tcPr>
            <w:tcW w:w="2132" w:type="dxa"/>
            <w:vAlign w:val="center"/>
          </w:tcPr>
          <w:p>
            <w:pPr>
              <w:snapToGrid w:val="0"/>
              <w:jc w:val="center"/>
              <w:rPr>
                <w:rFonts w:ascii="宋体" w:hAnsi="宋体"/>
                <w:color w:val="auto"/>
                <w:szCs w:val="21"/>
                <w:highlight w:val="none"/>
              </w:rPr>
            </w:pPr>
            <w:r>
              <w:rPr>
                <w:rFonts w:ascii="宋体" w:hAnsi="宋体"/>
                <w:color w:val="auto"/>
                <w:szCs w:val="21"/>
                <w:highlight w:val="none"/>
              </w:rPr>
              <w:t>分值构成</w:t>
            </w:r>
          </w:p>
          <w:p>
            <w:pPr>
              <w:snapToGrid w:val="0"/>
              <w:jc w:val="center"/>
              <w:rPr>
                <w:rFonts w:ascii="宋体" w:hAnsi="宋体"/>
                <w:color w:val="auto"/>
                <w:szCs w:val="21"/>
                <w:highlight w:val="none"/>
              </w:rPr>
            </w:pPr>
            <w:r>
              <w:rPr>
                <w:rFonts w:ascii="宋体" w:hAnsi="宋体"/>
                <w:color w:val="auto"/>
                <w:szCs w:val="21"/>
                <w:highlight w:val="none"/>
              </w:rPr>
              <w:t>(总分100分)</w:t>
            </w:r>
          </w:p>
        </w:tc>
        <w:tc>
          <w:tcPr>
            <w:tcW w:w="5252" w:type="dxa"/>
            <w:vAlign w:val="center"/>
          </w:tcPr>
          <w:p>
            <w:pPr>
              <w:jc w:val="left"/>
              <w:rPr>
                <w:color w:val="auto"/>
                <w:highlight w:val="none"/>
              </w:rPr>
            </w:pPr>
            <w:r>
              <w:rPr>
                <w:color w:val="auto"/>
                <w:highlight w:val="none"/>
              </w:rPr>
              <w:t>资信业绩部分：</w:t>
            </w:r>
            <w:r>
              <w:rPr>
                <w:rFonts w:hint="eastAsia"/>
                <w:color w:val="auto"/>
                <w:highlight w:val="none"/>
                <w:lang w:val="en-US" w:eastAsia="zh-CN"/>
              </w:rPr>
              <w:t>40</w:t>
            </w:r>
            <w:r>
              <w:rPr>
                <w:color w:val="auto"/>
                <w:highlight w:val="none"/>
              </w:rPr>
              <w:t>分</w:t>
            </w:r>
          </w:p>
          <w:p>
            <w:pPr>
              <w:jc w:val="left"/>
              <w:rPr>
                <w:color w:val="auto"/>
                <w:highlight w:val="none"/>
              </w:rPr>
            </w:pPr>
            <w:r>
              <w:rPr>
                <w:rFonts w:hint="eastAsia"/>
                <w:color w:val="auto"/>
                <w:highlight w:val="none"/>
                <w:lang w:eastAsia="zh-CN"/>
              </w:rPr>
              <w:t>技术服务方案</w:t>
            </w:r>
            <w:r>
              <w:rPr>
                <w:rFonts w:hint="eastAsia"/>
                <w:color w:val="auto"/>
                <w:highlight w:val="none"/>
              </w:rPr>
              <w:t>部分</w:t>
            </w:r>
            <w:r>
              <w:rPr>
                <w:color w:val="auto"/>
                <w:highlight w:val="none"/>
              </w:rPr>
              <w:t>：</w:t>
            </w:r>
            <w:r>
              <w:rPr>
                <w:rFonts w:hint="eastAsia"/>
                <w:color w:val="auto"/>
                <w:highlight w:val="none"/>
                <w:lang w:val="en-US" w:eastAsia="zh-CN"/>
              </w:rPr>
              <w:t>50</w:t>
            </w:r>
            <w:r>
              <w:rPr>
                <w:color w:val="auto"/>
                <w:highlight w:val="none"/>
              </w:rPr>
              <w:t>分</w:t>
            </w:r>
          </w:p>
          <w:p>
            <w:pPr>
              <w:jc w:val="left"/>
              <w:rPr>
                <w:color w:val="auto"/>
                <w:highlight w:val="none"/>
              </w:rPr>
            </w:pPr>
            <w:r>
              <w:rPr>
                <w:color w:val="auto"/>
                <w:highlight w:val="none"/>
              </w:rPr>
              <w:t>投标报价：</w:t>
            </w:r>
            <w:r>
              <w:rPr>
                <w:rFonts w:hint="eastAsia"/>
                <w:color w:val="auto"/>
                <w:highlight w:val="none"/>
              </w:rPr>
              <w:t>10</w:t>
            </w:r>
            <w:r>
              <w:rPr>
                <w:color w:val="auto"/>
                <w:highlight w:val="none"/>
              </w:rPr>
              <w:t>分</w:t>
            </w:r>
          </w:p>
          <w:p>
            <w:pPr>
              <w:jc w:val="left"/>
              <w:rPr>
                <w:color w:val="auto"/>
                <w:highlight w:val="none"/>
              </w:rPr>
            </w:pPr>
            <w:r>
              <w:rPr>
                <w:rFonts w:hint="eastAsia"/>
                <w:color w:val="auto"/>
                <w:highlight w:val="none"/>
              </w:rPr>
              <w:t>投标人得分＝资信业绩部分+</w:t>
            </w:r>
            <w:r>
              <w:rPr>
                <w:rFonts w:hint="eastAsia"/>
                <w:color w:val="auto"/>
                <w:highlight w:val="none"/>
                <w:lang w:eastAsia="zh-CN"/>
              </w:rPr>
              <w:t>技术服务方案</w:t>
            </w:r>
            <w:r>
              <w:rPr>
                <w:rFonts w:hint="eastAsia"/>
                <w:color w:val="auto"/>
                <w:highlight w:val="none"/>
              </w:rPr>
              <w:t>部分+投标报价</w:t>
            </w:r>
          </w:p>
          <w:p>
            <w:pPr>
              <w:jc w:val="left"/>
              <w:rPr>
                <w:color w:val="auto"/>
                <w:highlight w:val="none"/>
              </w:rPr>
            </w:pPr>
            <w:r>
              <w:rPr>
                <w:rFonts w:hint="eastAsia"/>
                <w:color w:val="auto"/>
                <w:highlight w:val="none"/>
              </w:rPr>
              <w:t>资信业绩、</w:t>
            </w:r>
            <w:r>
              <w:rPr>
                <w:rFonts w:hint="eastAsia"/>
                <w:color w:val="auto"/>
                <w:highlight w:val="none"/>
                <w:lang w:eastAsia="zh-CN"/>
              </w:rPr>
              <w:t>技术服务方案</w:t>
            </w:r>
            <w:r>
              <w:rPr>
                <w:rFonts w:hint="eastAsia"/>
                <w:color w:val="auto"/>
                <w:highlight w:val="none"/>
              </w:rPr>
              <w:t>部分得分为</w:t>
            </w:r>
            <w:r>
              <w:rPr>
                <w:rFonts w:hint="eastAsia" w:ascii="宋体" w:hAnsi="宋体" w:cs="宋体"/>
                <w:color w:val="auto"/>
                <w:szCs w:val="21"/>
                <w:highlight w:val="none"/>
              </w:rPr>
              <w:t>各评委的评分</w:t>
            </w:r>
            <w:r>
              <w:rPr>
                <w:rFonts w:hint="eastAsia"/>
                <w:color w:val="auto"/>
                <w:highlight w:val="none"/>
              </w:rPr>
              <w:t>的算术平均分（分数出现小数点时，保留小数点后二位，第三位小数四舍五入）。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jc w:val="center"/>
              <w:rPr>
                <w:rFonts w:ascii="Times New Roman" w:hAnsi="Times New Roman"/>
                <w:color w:val="auto"/>
                <w:highlight w:val="none"/>
              </w:rPr>
            </w:pPr>
            <w:r>
              <w:rPr>
                <w:rFonts w:ascii="Times New Roman" w:hAnsi="Times New Roman"/>
                <w:color w:val="auto"/>
                <w:highlight w:val="none"/>
              </w:rPr>
              <w:t>2.2.2</w:t>
            </w:r>
          </w:p>
        </w:tc>
        <w:tc>
          <w:tcPr>
            <w:tcW w:w="2132" w:type="dxa"/>
            <w:vAlign w:val="center"/>
          </w:tcPr>
          <w:p>
            <w:pPr>
              <w:snapToGrid w:val="0"/>
              <w:jc w:val="left"/>
              <w:rPr>
                <w:rFonts w:ascii="宋体" w:hAnsi="宋体"/>
                <w:color w:val="auto"/>
                <w:szCs w:val="21"/>
                <w:highlight w:val="none"/>
              </w:rPr>
            </w:pPr>
            <w:r>
              <w:rPr>
                <w:rFonts w:ascii="宋体" w:hAnsi="宋体"/>
                <w:color w:val="auto"/>
                <w:szCs w:val="21"/>
                <w:highlight w:val="none"/>
              </w:rPr>
              <w:t>评标基准价计算方法</w:t>
            </w:r>
          </w:p>
        </w:tc>
        <w:tc>
          <w:tcPr>
            <w:tcW w:w="5252" w:type="dxa"/>
            <w:vAlign w:val="center"/>
          </w:tcPr>
          <w:p>
            <w:pPr>
              <w:snapToGrid w:val="0"/>
              <w:jc w:val="left"/>
              <w:rPr>
                <w:rFonts w:ascii="宋体" w:hAnsi="宋体"/>
                <w:color w:val="auto"/>
                <w:spacing w:val="-3"/>
                <w:highlight w:val="none"/>
              </w:rPr>
            </w:pPr>
            <w:r>
              <w:rPr>
                <w:rFonts w:hint="eastAsia" w:ascii="宋体" w:hAnsi="宋体"/>
                <w:color w:val="auto"/>
                <w:spacing w:val="-3"/>
                <w:highlight w:val="none"/>
              </w:rPr>
              <w:t>1、当通过形式评审、资格评审、响应性评审的投标人大于或等于5名时，所有合格的投标报价中去掉一个最高价和一个最低价，取余下投标报价的算术平均值的作为评标基准价。</w:t>
            </w:r>
          </w:p>
          <w:p>
            <w:pPr>
              <w:snapToGrid w:val="0"/>
              <w:jc w:val="left"/>
              <w:rPr>
                <w:rFonts w:ascii="宋体" w:hAnsi="宋体"/>
                <w:color w:val="auto"/>
                <w:spacing w:val="-3"/>
                <w:highlight w:val="none"/>
              </w:rPr>
            </w:pPr>
            <w:r>
              <w:rPr>
                <w:rFonts w:hint="eastAsia" w:ascii="宋体" w:hAnsi="宋体"/>
                <w:color w:val="auto"/>
                <w:spacing w:val="-3"/>
                <w:highlight w:val="none"/>
              </w:rPr>
              <w:t>2、当通过形式评审、资格评审、响应性评审的投标人小于5名时，取所有合格的投标报价的算术平均值的作为评标基准价。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8" w:type="dxa"/>
            <w:gridSpan w:val="3"/>
            <w:vAlign w:val="center"/>
          </w:tcPr>
          <w:p>
            <w:pPr>
              <w:jc w:val="center"/>
              <w:rPr>
                <w:rFonts w:ascii="Times New Roman" w:hAnsi="Times New Roman"/>
                <w:color w:val="auto"/>
                <w:highlight w:val="none"/>
              </w:rPr>
            </w:pPr>
            <w:r>
              <w:rPr>
                <w:rFonts w:ascii="Times New Roman" w:hAnsi="Times New Roman"/>
                <w:color w:val="auto"/>
                <w:highlight w:val="none"/>
              </w:rPr>
              <w:t>2.2.3</w:t>
            </w:r>
          </w:p>
        </w:tc>
        <w:tc>
          <w:tcPr>
            <w:tcW w:w="2132" w:type="dxa"/>
            <w:vAlign w:val="center"/>
          </w:tcPr>
          <w:p>
            <w:pPr>
              <w:snapToGrid w:val="0"/>
              <w:jc w:val="center"/>
              <w:rPr>
                <w:rFonts w:ascii="Times New Roman" w:hAnsi="Times New Roman"/>
                <w:color w:val="auto"/>
                <w:highlight w:val="none"/>
              </w:rPr>
            </w:pPr>
            <w:r>
              <w:rPr>
                <w:rFonts w:ascii="宋体" w:hAnsi="宋体"/>
                <w:color w:val="auto"/>
                <w:szCs w:val="21"/>
                <w:highlight w:val="none"/>
              </w:rPr>
              <w:t>投标报价的偏差率计算公式</w:t>
            </w:r>
          </w:p>
        </w:tc>
        <w:tc>
          <w:tcPr>
            <w:tcW w:w="5252" w:type="dxa"/>
            <w:vAlign w:val="center"/>
          </w:tcPr>
          <w:p>
            <w:pPr>
              <w:snapToGrid w:val="0"/>
              <w:jc w:val="left"/>
              <w:rPr>
                <w:rFonts w:ascii="宋体" w:hAnsi="宋体"/>
                <w:color w:val="auto"/>
                <w:spacing w:val="-3"/>
                <w:highlight w:val="none"/>
              </w:rPr>
            </w:pPr>
            <w:r>
              <w:rPr>
                <w:rFonts w:ascii="宋体" w:hAnsi="宋体"/>
                <w:color w:val="auto"/>
                <w:spacing w:val="-3"/>
                <w:highlight w:val="none"/>
              </w:rPr>
              <w:t>偏差率=100% ×|（投标人报价-评标基准价）|/评标基准价（偏差率出现小数点时，保留小数点后2位，第三位小数四舍五入。</w:t>
            </w:r>
            <w:r>
              <w:rPr>
                <w:rFonts w:hint="eastAsia" w:ascii="宋体" w:hAnsi="宋体"/>
                <w:color w:val="auto"/>
                <w:spacing w:val="-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978" w:type="dxa"/>
            <w:gridSpan w:val="3"/>
          </w:tcPr>
          <w:p>
            <w:pPr>
              <w:pStyle w:val="29"/>
              <w:kinsoku w:val="0"/>
              <w:overflowPunct w:val="0"/>
              <w:spacing w:before="71"/>
              <w:ind w:right="309"/>
              <w:jc w:val="center"/>
              <w:rPr>
                <w:rFonts w:hint="default"/>
                <w:color w:val="auto"/>
                <w:highlight w:val="none"/>
              </w:rPr>
            </w:pPr>
            <w:r>
              <w:rPr>
                <w:rFonts w:ascii="宋体" w:hAnsi="宋体"/>
                <w:color w:val="auto"/>
                <w:highlight w:val="none"/>
              </w:rPr>
              <w:t>条款号</w:t>
            </w:r>
          </w:p>
        </w:tc>
        <w:tc>
          <w:tcPr>
            <w:tcW w:w="2132" w:type="dxa"/>
          </w:tcPr>
          <w:p>
            <w:pPr>
              <w:pStyle w:val="29"/>
              <w:kinsoku w:val="0"/>
              <w:overflowPunct w:val="0"/>
              <w:spacing w:before="71"/>
              <w:rPr>
                <w:rFonts w:hint="default"/>
                <w:color w:val="auto"/>
                <w:highlight w:val="none"/>
              </w:rPr>
            </w:pPr>
            <w:r>
              <w:rPr>
                <w:rFonts w:ascii="宋体" w:hAnsi="宋体"/>
                <w:color w:val="auto"/>
                <w:highlight w:val="none"/>
              </w:rPr>
              <w:t>评分因素（偏差率）</w:t>
            </w:r>
          </w:p>
        </w:tc>
        <w:tc>
          <w:tcPr>
            <w:tcW w:w="5252" w:type="dxa"/>
          </w:tcPr>
          <w:p>
            <w:pPr>
              <w:pStyle w:val="29"/>
              <w:kinsoku w:val="0"/>
              <w:overflowPunct w:val="0"/>
              <w:spacing w:before="71"/>
              <w:ind w:left="1895" w:right="1655"/>
              <w:jc w:val="center"/>
              <w:rPr>
                <w:rFonts w:hint="default"/>
                <w:color w:val="auto"/>
                <w:highlight w:val="none"/>
              </w:rPr>
            </w:pPr>
            <w:r>
              <w:rPr>
                <w:rFonts w:ascii="宋体" w:hAnsi="宋体"/>
                <w:color w:val="auto"/>
                <w:highlight w:val="none"/>
              </w:rPr>
              <w:t xml:space="preserve">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91" w:type="dxa"/>
            <w:vMerge w:val="restart"/>
            <w:vAlign w:val="center"/>
          </w:tcPr>
          <w:p>
            <w:pPr>
              <w:pStyle w:val="29"/>
              <w:kinsoku w:val="0"/>
              <w:overflowPunct w:val="0"/>
              <w:ind w:left="-63" w:leftChars="-30" w:right="-111" w:rightChars="-53" w:firstLine="63" w:firstLineChars="30"/>
              <w:jc w:val="center"/>
              <w:rPr>
                <w:rFonts w:hint="default" w:eastAsia="Times New Roman"/>
                <w:color w:val="auto"/>
                <w:highlight w:val="none"/>
              </w:rPr>
            </w:pPr>
            <w:r>
              <w:rPr>
                <w:rFonts w:eastAsia="Times New Roman"/>
                <w:color w:val="auto"/>
                <w:highlight w:val="none"/>
              </w:rPr>
              <w:t>2.2.4</w:t>
            </w:r>
          </w:p>
          <w:p>
            <w:pPr>
              <w:pStyle w:val="29"/>
              <w:kinsoku w:val="0"/>
              <w:overflowPunct w:val="0"/>
              <w:spacing w:before="6" w:line="110" w:lineRule="exact"/>
              <w:ind w:left="-63" w:leftChars="-30" w:right="-111" w:rightChars="-53" w:firstLine="33" w:firstLineChars="30"/>
              <w:jc w:val="center"/>
              <w:rPr>
                <w:rFonts w:hint="default"/>
                <w:color w:val="auto"/>
                <w:sz w:val="11"/>
                <w:highlight w:val="none"/>
              </w:rPr>
            </w:pPr>
          </w:p>
          <w:p>
            <w:pPr>
              <w:pStyle w:val="29"/>
              <w:kinsoku w:val="0"/>
              <w:overflowPunct w:val="0"/>
              <w:ind w:left="-63" w:leftChars="-30" w:right="-111" w:rightChars="-53" w:firstLine="62" w:firstLineChars="30"/>
              <w:jc w:val="center"/>
              <w:rPr>
                <w:rFonts w:hint="default"/>
                <w:color w:val="auto"/>
                <w:highlight w:val="none"/>
              </w:rPr>
            </w:pPr>
            <w:r>
              <w:rPr>
                <w:rFonts w:ascii="宋体" w:hAnsi="宋体"/>
                <w:color w:val="auto"/>
                <w:spacing w:val="-1"/>
                <w:highlight w:val="none"/>
              </w:rPr>
              <w:t>（</w:t>
            </w:r>
            <w:r>
              <w:rPr>
                <w:rFonts w:eastAsia="Times New Roman"/>
                <w:color w:val="auto"/>
                <w:highlight w:val="none"/>
              </w:rPr>
              <w:t>1</w:t>
            </w:r>
            <w:r>
              <w:rPr>
                <w:rFonts w:ascii="宋体" w:hAnsi="宋体"/>
                <w:color w:val="auto"/>
                <w:highlight w:val="none"/>
              </w:rPr>
              <w:t>）</w:t>
            </w:r>
          </w:p>
        </w:tc>
        <w:tc>
          <w:tcPr>
            <w:tcW w:w="1287" w:type="dxa"/>
            <w:gridSpan w:val="2"/>
            <w:vMerge w:val="restart"/>
            <w:vAlign w:val="center"/>
          </w:tcPr>
          <w:p>
            <w:pPr>
              <w:ind w:left="315" w:hanging="315" w:hangingChars="150"/>
              <w:jc w:val="center"/>
              <w:rPr>
                <w:rFonts w:ascii="宋体" w:hAnsi="宋体"/>
                <w:color w:val="auto"/>
                <w:highlight w:val="none"/>
              </w:rPr>
            </w:pPr>
            <w:r>
              <w:rPr>
                <w:rFonts w:hint="eastAsia" w:ascii="宋体" w:hAnsi="宋体"/>
                <w:color w:val="auto"/>
                <w:highlight w:val="none"/>
              </w:rPr>
              <w:t>资信</w:t>
            </w:r>
            <w:r>
              <w:rPr>
                <w:rFonts w:hint="eastAsia" w:ascii="宋体" w:hAnsi="宋体"/>
                <w:color w:val="auto"/>
                <w:spacing w:val="-3"/>
                <w:highlight w:val="none"/>
              </w:rPr>
              <w:t>业</w:t>
            </w:r>
            <w:r>
              <w:rPr>
                <w:rFonts w:hint="eastAsia" w:ascii="宋体" w:hAnsi="宋体"/>
                <w:color w:val="auto"/>
                <w:highlight w:val="none"/>
              </w:rPr>
              <w:t>绩</w:t>
            </w:r>
          </w:p>
          <w:p>
            <w:pPr>
              <w:ind w:left="315" w:hanging="315" w:hangingChars="150"/>
              <w:jc w:val="center"/>
              <w:rPr>
                <w:rFonts w:ascii="宋体" w:hAnsi="宋体"/>
                <w:color w:val="auto"/>
                <w:highlight w:val="none"/>
              </w:rPr>
            </w:pPr>
            <w:r>
              <w:rPr>
                <w:rFonts w:hint="eastAsia" w:ascii="宋体" w:hAnsi="宋体"/>
                <w:color w:val="auto"/>
                <w:highlight w:val="none"/>
              </w:rPr>
              <w:t>评分</w:t>
            </w:r>
            <w:r>
              <w:rPr>
                <w:rFonts w:hint="eastAsia" w:ascii="宋体" w:hAnsi="宋体"/>
                <w:color w:val="auto"/>
                <w:spacing w:val="-3"/>
                <w:highlight w:val="none"/>
              </w:rPr>
              <w:t>标</w:t>
            </w:r>
            <w:r>
              <w:rPr>
                <w:rFonts w:hint="eastAsia" w:ascii="宋体" w:hAnsi="宋体"/>
                <w:color w:val="auto"/>
                <w:highlight w:val="none"/>
              </w:rPr>
              <w:t>准</w:t>
            </w:r>
          </w:p>
          <w:p>
            <w:pPr>
              <w:pStyle w:val="29"/>
              <w:kinsoku w:val="0"/>
              <w:overflowPunct w:val="0"/>
              <w:spacing w:line="342" w:lineRule="auto"/>
              <w:ind w:left="-115" w:leftChars="-55" w:right="-122" w:rightChars="-58"/>
              <w:jc w:val="center"/>
              <w:rPr>
                <w:rFonts w:hint="default"/>
                <w:color w:val="auto"/>
                <w:highlight w:val="none"/>
              </w:rPr>
            </w:pPr>
            <w:r>
              <w:rPr>
                <w:rFonts w:ascii="宋体" w:hAnsi="宋体"/>
                <w:color w:val="auto"/>
                <w:highlight w:val="none"/>
              </w:rPr>
              <w:t>（</w:t>
            </w:r>
            <w:r>
              <w:rPr>
                <w:rFonts w:hint="eastAsia" w:ascii="宋体" w:hAnsi="宋体"/>
                <w:color w:val="auto"/>
                <w:highlight w:val="none"/>
                <w:lang w:val="en-US" w:eastAsia="zh-CN"/>
              </w:rPr>
              <w:t>40</w:t>
            </w:r>
            <w:r>
              <w:rPr>
                <w:rFonts w:ascii="宋体" w:hAnsi="宋体"/>
                <w:color w:val="auto"/>
                <w:highlight w:val="none"/>
              </w:rPr>
              <w:t>分）</w:t>
            </w:r>
          </w:p>
        </w:tc>
        <w:tc>
          <w:tcPr>
            <w:tcW w:w="2132" w:type="dxa"/>
            <w:vMerge w:val="restart"/>
            <w:shd w:val="clear" w:color="auto" w:fill="FFFFFF" w:themeFill="background1"/>
            <w:vAlign w:val="center"/>
          </w:tcPr>
          <w:p>
            <w:pPr>
              <w:topLinePunct/>
              <w:spacing w:line="320" w:lineRule="exact"/>
              <w:jc w:val="center"/>
              <w:rPr>
                <w:rFonts w:ascii="宋体" w:hAnsi="宋体" w:cs="宋体"/>
                <w:color w:val="auto"/>
                <w:szCs w:val="21"/>
                <w:highlight w:val="none"/>
              </w:rPr>
            </w:pPr>
            <w:r>
              <w:rPr>
                <w:rFonts w:hint="eastAsia" w:ascii="Calibri" w:hAnsi="Calibri"/>
                <w:color w:val="auto"/>
                <w:highlight w:val="none"/>
              </w:rPr>
              <w:t>综合实力（1</w:t>
            </w:r>
            <w:r>
              <w:rPr>
                <w:rFonts w:hint="eastAsia"/>
                <w:color w:val="auto"/>
                <w:highlight w:val="none"/>
                <w:lang w:val="en-US" w:eastAsia="zh-CN"/>
              </w:rPr>
              <w:t>0</w:t>
            </w:r>
            <w:r>
              <w:rPr>
                <w:rFonts w:hint="eastAsia" w:ascii="Calibri" w:hAnsi="Calibri"/>
                <w:color w:val="auto"/>
                <w:highlight w:val="none"/>
              </w:rPr>
              <w:t>.0分）</w:t>
            </w:r>
          </w:p>
        </w:tc>
        <w:tc>
          <w:tcPr>
            <w:tcW w:w="5252" w:type="dxa"/>
            <w:shd w:val="clear" w:color="auto" w:fill="FFFFFF" w:themeFill="background1"/>
            <w:vAlign w:val="center"/>
          </w:tcPr>
          <w:p>
            <w:pPr>
              <w:numPr>
                <w:ilvl w:val="0"/>
                <w:numId w:val="2"/>
              </w:numPr>
              <w:snapToGrid w:val="0"/>
              <w:rPr>
                <w:color w:val="auto"/>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lang w:eastAsia="zh-CN"/>
              </w:rPr>
              <w:t>（联合体投标的，指主办方）</w:t>
            </w: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污染场地</w:t>
            </w:r>
            <w:r>
              <w:rPr>
                <w:rFonts w:hint="eastAsia" w:ascii="宋体" w:hAnsi="宋体" w:cs="宋体"/>
                <w:color w:val="auto"/>
                <w:szCs w:val="21"/>
                <w:highlight w:val="none"/>
              </w:rPr>
              <w:t>修复技术与装备相关的工程技术研究中心，得4分；（需要提供由广东省科学技术厅发文的《关于认定广东省工程技术研究中心的通知》附件中的认定单位名单，提供红头文件盖章截图和认定单位名单截图。）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1" w:type="dxa"/>
            <w:vMerge w:val="continue"/>
            <w:vAlign w:val="center"/>
          </w:tcPr>
          <w:p>
            <w:pPr>
              <w:snapToGrid w:val="0"/>
              <w:jc w:val="left"/>
              <w:rPr>
                <w:color w:val="auto"/>
                <w:highlight w:val="none"/>
              </w:rPr>
            </w:pPr>
          </w:p>
        </w:tc>
        <w:tc>
          <w:tcPr>
            <w:tcW w:w="1287" w:type="dxa"/>
            <w:gridSpan w:val="2"/>
            <w:vMerge w:val="continue"/>
            <w:vAlign w:val="center"/>
          </w:tcPr>
          <w:p>
            <w:pPr>
              <w:snapToGrid w:val="0"/>
              <w:jc w:val="left"/>
              <w:rPr>
                <w:color w:val="auto"/>
                <w:highlight w:val="none"/>
              </w:rPr>
            </w:pPr>
          </w:p>
        </w:tc>
        <w:tc>
          <w:tcPr>
            <w:tcW w:w="2132" w:type="dxa"/>
            <w:vMerge w:val="continue"/>
            <w:shd w:val="clear" w:color="auto" w:fill="FFFFFF" w:themeFill="background1"/>
            <w:vAlign w:val="center"/>
          </w:tcPr>
          <w:p>
            <w:pPr>
              <w:snapToGrid w:val="0"/>
              <w:jc w:val="left"/>
              <w:rPr>
                <w:color w:val="auto"/>
                <w:highlight w:val="none"/>
              </w:rPr>
            </w:pPr>
          </w:p>
        </w:tc>
        <w:tc>
          <w:tcPr>
            <w:tcW w:w="5252" w:type="dxa"/>
            <w:shd w:val="clear" w:color="auto" w:fill="FFFFFF" w:themeFill="background1"/>
            <w:vAlign w:val="center"/>
          </w:tcPr>
          <w:p>
            <w:pPr>
              <w:widowControl/>
              <w:numPr>
                <w:ilvl w:val="0"/>
                <w:numId w:val="2"/>
              </w:numPr>
              <w:ind w:firstLine="0" w:firstLineChars="0"/>
              <w:rPr>
                <w:color w:val="auto"/>
                <w:highlight w:val="none"/>
              </w:rPr>
            </w:pPr>
            <w:r>
              <w:rPr>
                <w:rFonts w:hint="eastAsia" w:ascii="宋体" w:hAnsi="宋体" w:cs="宋体"/>
                <w:color w:val="auto"/>
                <w:kern w:val="0"/>
                <w:szCs w:val="21"/>
                <w:highlight w:val="none"/>
                <w:lang w:bidi="ar"/>
              </w:rPr>
              <w:t>投标人</w:t>
            </w:r>
            <w:r>
              <w:rPr>
                <w:rFonts w:hint="eastAsia" w:ascii="宋体" w:hAnsi="宋体" w:cs="宋体"/>
                <w:color w:val="auto"/>
                <w:szCs w:val="21"/>
                <w:highlight w:val="none"/>
                <w:lang w:eastAsia="zh-CN"/>
              </w:rPr>
              <w:t>（联合体投标的，指主办方）</w:t>
            </w:r>
            <w:r>
              <w:rPr>
                <w:rFonts w:hint="eastAsia" w:ascii="宋体" w:hAnsi="宋体" w:cs="宋体"/>
                <w:color w:val="auto"/>
                <w:kern w:val="0"/>
                <w:szCs w:val="21"/>
                <w:highlight w:val="none"/>
                <w:lang w:bidi="ar"/>
              </w:rPr>
              <w:t>获得过污染地块土壤环境调查、风险监管、土壤修复的科学技术奖项，省部级及其以上得</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分，地市级得</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分。最高得</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分</w:t>
            </w:r>
            <w:r>
              <w:rPr>
                <w:rFonts w:hint="eastAsia" w:ascii="宋体" w:hAnsi="宋体" w:cs="宋体"/>
                <w:color w:val="auto"/>
                <w:kern w:val="0"/>
                <w:sz w:val="18"/>
                <w:szCs w:val="18"/>
                <w:highlight w:val="none"/>
                <w:lang w:bidi="ar"/>
              </w:rPr>
              <w:t>。</w:t>
            </w:r>
            <w:r>
              <w:rPr>
                <w:rFonts w:hint="eastAsia" w:ascii="宋体" w:hAnsi="宋体" w:cs="宋体"/>
                <w:color w:val="auto"/>
                <w:kern w:val="0"/>
                <w:szCs w:val="21"/>
                <w:highlight w:val="none"/>
                <w:lang w:bidi="ar"/>
              </w:rPr>
              <w:t>（科学技术奖项指国家、省、市级人民政府或国家、省、市级环境科学学会颁发的科学技术奖，需提供证书</w:t>
            </w:r>
            <w:r>
              <w:rPr>
                <w:rFonts w:hint="eastAsia" w:ascii="宋体" w:hAnsi="宋体" w:cs="宋体"/>
                <w:color w:val="auto"/>
                <w:kern w:val="0"/>
                <w:szCs w:val="21"/>
                <w:highlight w:val="none"/>
                <w:lang w:eastAsia="zh-CN" w:bidi="ar"/>
              </w:rPr>
              <w:t>扫描</w:t>
            </w:r>
            <w:r>
              <w:rPr>
                <w:rFonts w:hint="eastAsia" w:ascii="宋体" w:hAnsi="宋体" w:cs="宋体"/>
                <w:color w:val="auto"/>
                <w:kern w:val="0"/>
                <w:szCs w:val="21"/>
                <w:highlight w:val="none"/>
                <w:lang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1" w:type="dxa"/>
            <w:vMerge w:val="continue"/>
            <w:vAlign w:val="center"/>
          </w:tcPr>
          <w:p>
            <w:pPr>
              <w:snapToGrid w:val="0"/>
              <w:jc w:val="left"/>
              <w:rPr>
                <w:rFonts w:ascii="宋体" w:hAnsi="宋体" w:cs="宋体"/>
                <w:color w:val="auto"/>
                <w:szCs w:val="21"/>
                <w:highlight w:val="none"/>
              </w:rPr>
            </w:pPr>
          </w:p>
        </w:tc>
        <w:tc>
          <w:tcPr>
            <w:tcW w:w="1287" w:type="dxa"/>
            <w:gridSpan w:val="2"/>
            <w:vMerge w:val="continue"/>
            <w:vAlign w:val="center"/>
          </w:tcPr>
          <w:p>
            <w:pPr>
              <w:snapToGrid w:val="0"/>
              <w:jc w:val="left"/>
              <w:rPr>
                <w:rFonts w:ascii="宋体" w:hAnsi="宋体" w:cs="宋体"/>
                <w:color w:val="auto"/>
                <w:szCs w:val="21"/>
                <w:highlight w:val="none"/>
              </w:rPr>
            </w:pPr>
          </w:p>
        </w:tc>
        <w:tc>
          <w:tcPr>
            <w:tcW w:w="2132" w:type="dxa"/>
            <w:vMerge w:val="continue"/>
            <w:shd w:val="clear" w:color="auto" w:fill="FFFFFF" w:themeFill="background1"/>
            <w:vAlign w:val="center"/>
          </w:tcPr>
          <w:p>
            <w:pPr>
              <w:snapToGrid w:val="0"/>
              <w:jc w:val="left"/>
              <w:rPr>
                <w:rFonts w:ascii="宋体" w:hAnsi="宋体" w:cs="宋体"/>
                <w:color w:val="auto"/>
                <w:szCs w:val="21"/>
                <w:highlight w:val="none"/>
              </w:rPr>
            </w:pPr>
          </w:p>
        </w:tc>
        <w:tc>
          <w:tcPr>
            <w:tcW w:w="5252" w:type="dxa"/>
            <w:shd w:val="clear" w:color="auto" w:fill="FFFFFF" w:themeFill="background1"/>
            <w:vAlign w:val="center"/>
          </w:tcPr>
          <w:p>
            <w:pPr>
              <w:widowControl/>
              <w:numPr>
                <w:ilvl w:val="0"/>
                <w:numId w:val="2"/>
              </w:numPr>
              <w:ind w:left="0" w:leftChars="0" w:firstLine="0" w:firstLineChars="0"/>
              <w:jc w:val="left"/>
              <w:rPr>
                <w:rFonts w:ascii="宋体" w:hAnsi="宋体" w:cs="宋体"/>
                <w:color w:val="auto"/>
                <w:szCs w:val="21"/>
                <w:highlight w:val="none"/>
              </w:rPr>
            </w:pPr>
            <w:r>
              <w:rPr>
                <w:rFonts w:hint="eastAsia" w:ascii="宋体" w:hAnsi="宋体" w:cs="宋体"/>
                <w:color w:val="auto"/>
                <w:kern w:val="0"/>
                <w:szCs w:val="21"/>
                <w:highlight w:val="none"/>
                <w:lang w:bidi="ar"/>
              </w:rPr>
              <w:t>投标人</w:t>
            </w:r>
            <w:r>
              <w:rPr>
                <w:rFonts w:hint="eastAsia" w:ascii="宋体" w:hAnsi="宋体" w:cs="宋体"/>
                <w:color w:val="auto"/>
                <w:szCs w:val="21"/>
                <w:highlight w:val="none"/>
                <w:lang w:eastAsia="zh-CN"/>
              </w:rPr>
              <w:t>（联合体投标的，指主办方）</w:t>
            </w:r>
            <w:r>
              <w:rPr>
                <w:rFonts w:hint="eastAsia" w:ascii="宋体" w:hAnsi="宋体" w:cs="宋体"/>
                <w:color w:val="auto"/>
                <w:kern w:val="0"/>
                <w:szCs w:val="21"/>
                <w:highlight w:val="none"/>
                <w:lang w:bidi="ar"/>
              </w:rPr>
              <w:t>在全国土壤环境信息平台建设用地土壤污染风险管控和修复从业单位和个人执业情况信用记录系统信息录入情况：①投标人在</w:t>
            </w:r>
            <w:r>
              <w:rPr>
                <w:rFonts w:ascii="Lucida Sans" w:hAnsi="Lucida Sans" w:eastAsia="Lucida Sans" w:cs="Lucida Sans"/>
                <w:color w:val="auto"/>
                <w:kern w:val="0"/>
                <w:szCs w:val="21"/>
                <w:highlight w:val="none"/>
                <w:lang w:bidi="ar"/>
              </w:rPr>
              <w:t>“</w:t>
            </w:r>
            <w:r>
              <w:rPr>
                <w:rFonts w:hint="eastAsia" w:ascii="宋体" w:hAnsi="宋体" w:cs="宋体"/>
                <w:color w:val="auto"/>
                <w:kern w:val="0"/>
                <w:szCs w:val="21"/>
                <w:highlight w:val="none"/>
                <w:lang w:bidi="ar"/>
              </w:rPr>
              <w:t>全国土壤环境信息平台建设用地土壤污染风险管控和修复从业单位和个人执业情况信用记录系统</w:t>
            </w:r>
            <w:r>
              <w:rPr>
                <w:rFonts w:ascii="Lucida Sans" w:hAnsi="Lucida Sans" w:eastAsia="Lucida Sans" w:cs="Lucida Sans"/>
                <w:color w:val="auto"/>
                <w:kern w:val="0"/>
                <w:szCs w:val="21"/>
                <w:highlight w:val="none"/>
                <w:lang w:bidi="ar"/>
              </w:rPr>
              <w:t>”</w:t>
            </w:r>
            <w:r>
              <w:rPr>
                <w:rFonts w:hint="eastAsia" w:ascii="宋体" w:hAnsi="宋体" w:cs="宋体"/>
                <w:color w:val="auto"/>
                <w:kern w:val="0"/>
                <w:szCs w:val="21"/>
                <w:highlight w:val="none"/>
                <w:lang w:bidi="ar"/>
              </w:rPr>
              <w:t>办理并通过信用信息录入得</w:t>
            </w:r>
            <w:r>
              <w:rPr>
                <w:rFonts w:hint="eastAsia" w:ascii="Lucida Sans" w:hAnsi="Lucida Sans" w:eastAsia="宋体" w:cs="Lucida Sans"/>
                <w:color w:val="auto"/>
                <w:kern w:val="0"/>
                <w:szCs w:val="21"/>
                <w:highlight w:val="none"/>
                <w:lang w:val="en-US" w:eastAsia="zh-CN" w:bidi="ar"/>
              </w:rPr>
              <w:t>1</w:t>
            </w:r>
            <w:r>
              <w:rPr>
                <w:rFonts w:hint="eastAsia" w:ascii="宋体" w:hAnsi="宋体" w:cs="宋体"/>
                <w:color w:val="auto"/>
                <w:kern w:val="0"/>
                <w:szCs w:val="21"/>
                <w:highlight w:val="none"/>
                <w:lang w:bidi="ar"/>
              </w:rPr>
              <w:t>分，无录入不得分；②</w:t>
            </w:r>
            <w:r>
              <w:rPr>
                <w:color w:val="auto"/>
                <w:highlight w:val="none"/>
              </w:rPr>
              <w:t>投标人在系统上登记的“业绩情况信息”有</w:t>
            </w:r>
            <w:r>
              <w:rPr>
                <w:rFonts w:hint="eastAsia"/>
                <w:color w:val="auto"/>
                <w:highlight w:val="none"/>
              </w:rPr>
              <w:t>修复效果评估</w:t>
            </w:r>
            <w:r>
              <w:rPr>
                <w:color w:val="auto"/>
                <w:highlight w:val="none"/>
              </w:rPr>
              <w:t>业绩信息录入的得2分，无录入不得分</w:t>
            </w:r>
            <w:r>
              <w:rPr>
                <w:rFonts w:hint="eastAsia" w:ascii="宋体" w:hAnsi="宋体" w:cs="宋体"/>
                <w:color w:val="auto"/>
                <w:kern w:val="0"/>
                <w:szCs w:val="21"/>
                <w:highlight w:val="none"/>
                <w:lang w:bidi="ar"/>
              </w:rPr>
              <w:t>。（提供查询网址</w:t>
            </w:r>
            <w:r>
              <w:rPr>
                <w:rFonts w:ascii="Lucida Sans" w:hAnsi="Lucida Sans" w:eastAsia="Lucida Sans" w:cs="Lucida Sans"/>
                <w:color w:val="auto"/>
                <w:kern w:val="0"/>
                <w:szCs w:val="21"/>
                <w:highlight w:val="none"/>
                <w:lang w:bidi="ar"/>
              </w:rPr>
              <w:t>http://soilcredit.mee.gov.cn/?7jeMyH04HYxl=1658990223997#/XYJL</w:t>
            </w:r>
            <w:r>
              <w:rPr>
                <w:rFonts w:hint="eastAsia" w:ascii="宋体" w:hAnsi="宋体" w:cs="宋体"/>
                <w:color w:val="auto"/>
                <w:kern w:val="0"/>
                <w:szCs w:val="21"/>
                <w:highlight w:val="none"/>
                <w:lang w:bidi="ar"/>
              </w:rPr>
              <w:t>相关网页截图及查询网址，按</w:t>
            </w:r>
            <w:r>
              <w:rPr>
                <w:rFonts w:hint="eastAsia" w:ascii="宋体" w:hAnsi="宋体" w:cs="宋体"/>
                <w:color w:val="auto"/>
                <w:kern w:val="0"/>
                <w:szCs w:val="21"/>
                <w:highlight w:val="none"/>
                <w:lang w:val="en-US" w:eastAsia="zh-CN" w:bidi="ar"/>
              </w:rPr>
              <w:t>系统查询</w:t>
            </w:r>
            <w:r>
              <w:rPr>
                <w:rFonts w:hint="eastAsia" w:ascii="宋体" w:hAnsi="宋体" w:cs="宋体"/>
                <w:color w:val="auto"/>
                <w:kern w:val="0"/>
                <w:szCs w:val="21"/>
                <w:highlight w:val="none"/>
                <w:lang w:bidi="ar"/>
              </w:rPr>
              <w:t>的结果进行</w:t>
            </w:r>
            <w:r>
              <w:rPr>
                <w:rFonts w:hint="eastAsia" w:ascii="宋体" w:hAnsi="宋体" w:cs="宋体"/>
                <w:color w:val="auto"/>
                <w:kern w:val="0"/>
                <w:szCs w:val="21"/>
                <w:highlight w:val="none"/>
                <w:lang w:val="en-US" w:eastAsia="zh-CN" w:bidi="ar"/>
              </w:rPr>
              <w:t>验证</w:t>
            </w:r>
            <w:r>
              <w:rPr>
                <w:rFonts w:hint="eastAsia" w:ascii="宋体" w:hAnsi="宋体" w:cs="宋体"/>
                <w:color w:val="auto"/>
                <w:kern w:val="0"/>
                <w:szCs w:val="21"/>
                <w:highlight w:val="none"/>
                <w:lang w:bidi="ar"/>
              </w:rPr>
              <w:t>，否则不得分。）合计最高得</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jc w:val="center"/>
        </w:trPr>
        <w:tc>
          <w:tcPr>
            <w:tcW w:w="691" w:type="dxa"/>
            <w:vMerge w:val="continue"/>
          </w:tcPr>
          <w:p>
            <w:pPr>
              <w:pStyle w:val="29"/>
              <w:kinsoku w:val="0"/>
              <w:overflowPunct w:val="0"/>
              <w:ind w:left="-63" w:leftChars="-30" w:right="-111" w:rightChars="-53" w:firstLine="63" w:firstLineChars="30"/>
              <w:jc w:val="center"/>
              <w:rPr>
                <w:rFonts w:hint="default"/>
                <w:color w:val="auto"/>
                <w:highlight w:val="none"/>
              </w:rPr>
            </w:pPr>
          </w:p>
        </w:tc>
        <w:tc>
          <w:tcPr>
            <w:tcW w:w="1287" w:type="dxa"/>
            <w:gridSpan w:val="2"/>
            <w:vMerge w:val="continue"/>
          </w:tcPr>
          <w:p>
            <w:pPr>
              <w:pStyle w:val="29"/>
              <w:kinsoku w:val="0"/>
              <w:overflowPunct w:val="0"/>
              <w:ind w:left="-115" w:leftChars="-55" w:right="-122" w:rightChars="-58"/>
              <w:jc w:val="center"/>
              <w:rPr>
                <w:rFonts w:hint="default"/>
                <w:color w:val="auto"/>
                <w:highlight w:val="none"/>
              </w:rPr>
            </w:pPr>
          </w:p>
        </w:tc>
        <w:tc>
          <w:tcPr>
            <w:tcW w:w="2132" w:type="dxa"/>
            <w:vAlign w:val="center"/>
          </w:tcPr>
          <w:p>
            <w:pPr>
              <w:topLinePunct/>
              <w:spacing w:line="320" w:lineRule="exact"/>
              <w:jc w:val="center"/>
              <w:rPr>
                <w:rFonts w:ascii="宋体" w:hAnsi="宋体"/>
                <w:color w:val="auto"/>
                <w:highlight w:val="none"/>
              </w:rPr>
            </w:pPr>
            <w:r>
              <w:rPr>
                <w:rFonts w:ascii="Calibri" w:hAnsi="Calibri"/>
                <w:color w:val="auto"/>
                <w:highlight w:val="none"/>
              </w:rPr>
              <w:t>项目负责人(</w:t>
            </w:r>
            <w:r>
              <w:rPr>
                <w:rFonts w:hint="eastAsia" w:ascii="Calibri" w:hAnsi="Calibri"/>
                <w:color w:val="auto"/>
                <w:highlight w:val="none"/>
              </w:rPr>
              <w:t>8</w:t>
            </w:r>
            <w:r>
              <w:rPr>
                <w:rFonts w:ascii="Calibri" w:hAnsi="Calibri"/>
                <w:color w:val="auto"/>
                <w:highlight w:val="none"/>
              </w:rPr>
              <w:t>.0分)</w:t>
            </w:r>
          </w:p>
        </w:tc>
        <w:tc>
          <w:tcPr>
            <w:tcW w:w="5252" w:type="dxa"/>
            <w:vAlign w:val="center"/>
          </w:tcPr>
          <w:p>
            <w:pPr>
              <w:snapToGrid w:val="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、投标人</w:t>
            </w:r>
            <w:r>
              <w:rPr>
                <w:rFonts w:hint="eastAsia" w:ascii="宋体" w:hAnsi="宋体" w:cs="宋体"/>
                <w:color w:val="auto"/>
                <w:szCs w:val="21"/>
                <w:highlight w:val="none"/>
                <w:lang w:eastAsia="zh-CN"/>
              </w:rPr>
              <w:t>（联合体投标的，指主办方）</w:t>
            </w:r>
            <w:r>
              <w:rPr>
                <w:rFonts w:hint="eastAsia" w:ascii="宋体" w:hAnsi="宋体" w:cs="宋体"/>
                <w:color w:val="auto"/>
                <w:szCs w:val="21"/>
                <w:highlight w:val="none"/>
              </w:rPr>
              <w:t>拟派的项目负责人具有环境工程或环境科学相关专业教授级高级工程师或教授职称，得3分；高级工程师得2分；中级工程师得1分，本小项最高得3分。</w:t>
            </w:r>
          </w:p>
          <w:p>
            <w:pPr>
              <w:snapToGrid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2、项目负责人承担过土壤修复相关的国家自然科学基金、国家重点研发计划项目或课题，每提供一个证明材料的得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分，本小项最高得3分。</w:t>
            </w:r>
            <w:r>
              <w:rPr>
                <w:rFonts w:hint="eastAsia" w:ascii="宋体" w:hAnsi="宋体" w:cs="宋体"/>
                <w:color w:val="auto"/>
                <w:szCs w:val="21"/>
                <w:highlight w:val="none"/>
                <w:lang w:eastAsia="zh-CN"/>
              </w:rPr>
              <w:t>（提供</w:t>
            </w:r>
            <w:r>
              <w:rPr>
                <w:rFonts w:hint="eastAsia" w:ascii="宋体" w:hAnsi="宋体" w:cs="宋体"/>
                <w:color w:val="auto"/>
                <w:szCs w:val="21"/>
                <w:highlight w:val="none"/>
                <w:lang w:val="en-US" w:eastAsia="zh-CN"/>
              </w:rPr>
              <w:t>合同关键页作为证明材料）</w:t>
            </w:r>
          </w:p>
          <w:p>
            <w:pPr>
              <w:snapToGrid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3、项目负责人获得过污染地块土壤环境调查、风险监管、土壤修复相关的科学技术奖项，省部级及其以上得2分；市级的得1分，本小项最高得2分。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提供科学技术奖项指国家、省、市级人民政府或国家、省、市级环境科学学会颁发的科学技术奖，需提供证书扫描件。）</w:t>
            </w:r>
          </w:p>
          <w:p>
            <w:pPr>
              <w:snapToGrid w:val="0"/>
              <w:jc w:val="left"/>
              <w:rPr>
                <w:rFonts w:ascii="宋体" w:hAnsi="宋体" w:cs="宋体"/>
                <w:color w:val="auto"/>
                <w:szCs w:val="21"/>
                <w:highlight w:val="none"/>
              </w:rPr>
            </w:pPr>
            <w:r>
              <w:rPr>
                <w:rFonts w:hint="eastAsia" w:ascii="宋体" w:hAnsi="宋体" w:cs="宋体"/>
                <w:color w:val="auto"/>
                <w:szCs w:val="21"/>
                <w:highlight w:val="none"/>
              </w:rPr>
              <w:t>备注：投标人须提供项目负责人的职称证书、学历证书、2023年6月至2023年12月内任意连续</w:t>
            </w:r>
            <w:r>
              <w:rPr>
                <w:rFonts w:ascii="宋体" w:hAnsi="宋体" w:cs="宋体"/>
                <w:color w:val="auto"/>
                <w:szCs w:val="21"/>
                <w:highlight w:val="none"/>
              </w:rPr>
              <w:t>3</w:t>
            </w:r>
            <w:r>
              <w:rPr>
                <w:rFonts w:hint="eastAsia" w:ascii="宋体" w:hAnsi="宋体" w:cs="宋体"/>
                <w:color w:val="auto"/>
                <w:szCs w:val="21"/>
                <w:highlight w:val="none"/>
              </w:rPr>
              <w:t>个月在投标单位的社保明细证明扫描件</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continue"/>
          </w:tcPr>
          <w:p>
            <w:pPr>
              <w:pStyle w:val="29"/>
              <w:kinsoku w:val="0"/>
              <w:overflowPunct w:val="0"/>
              <w:ind w:left="-63" w:leftChars="-30" w:right="-111" w:rightChars="-53" w:firstLine="63" w:firstLineChars="30"/>
              <w:jc w:val="center"/>
              <w:rPr>
                <w:rFonts w:hint="default"/>
                <w:color w:val="auto"/>
                <w:highlight w:val="none"/>
              </w:rPr>
            </w:pPr>
          </w:p>
        </w:tc>
        <w:tc>
          <w:tcPr>
            <w:tcW w:w="1287" w:type="dxa"/>
            <w:gridSpan w:val="2"/>
            <w:vMerge w:val="continue"/>
          </w:tcPr>
          <w:p>
            <w:pPr>
              <w:pStyle w:val="29"/>
              <w:kinsoku w:val="0"/>
              <w:overflowPunct w:val="0"/>
              <w:ind w:left="-115" w:leftChars="-55" w:right="-122" w:rightChars="-58"/>
              <w:jc w:val="center"/>
              <w:rPr>
                <w:rFonts w:hint="default"/>
                <w:color w:val="auto"/>
                <w:highlight w:val="none"/>
              </w:rPr>
            </w:pPr>
          </w:p>
        </w:tc>
        <w:tc>
          <w:tcPr>
            <w:tcW w:w="2132" w:type="dxa"/>
            <w:vAlign w:val="center"/>
          </w:tcPr>
          <w:p>
            <w:pPr>
              <w:topLinePunct/>
              <w:spacing w:line="320" w:lineRule="exact"/>
              <w:jc w:val="center"/>
              <w:rPr>
                <w:rFonts w:ascii="宋体" w:hAnsi="宋体"/>
                <w:color w:val="auto"/>
                <w:highlight w:val="none"/>
              </w:rPr>
            </w:pPr>
            <w:r>
              <w:rPr>
                <w:rFonts w:ascii="Calibri" w:hAnsi="Calibri"/>
                <w:color w:val="auto"/>
                <w:highlight w:val="none"/>
              </w:rPr>
              <w:t>拟投入本项目其他技术人员(10.0分)</w:t>
            </w:r>
          </w:p>
        </w:tc>
        <w:tc>
          <w:tcPr>
            <w:tcW w:w="5252"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lang w:eastAsia="zh-CN"/>
              </w:rPr>
              <w:t>（联合体投标的，各成员方）</w:t>
            </w:r>
            <w:r>
              <w:rPr>
                <w:rFonts w:hint="eastAsia" w:ascii="宋体" w:hAnsi="宋体" w:cs="宋体"/>
                <w:color w:val="auto"/>
                <w:szCs w:val="21"/>
                <w:highlight w:val="none"/>
              </w:rPr>
              <w:t>拟派本项目其他技术人员（不包含项目负责人）具备环境科学与工程、土壤学相关专业高级职称</w:t>
            </w:r>
            <w:r>
              <w:rPr>
                <w:rFonts w:hint="eastAsia" w:ascii="宋体" w:hAnsi="宋体" w:cs="宋体"/>
                <w:color w:val="auto"/>
                <w:szCs w:val="21"/>
                <w:highlight w:val="none"/>
                <w:lang w:val="en-US" w:eastAsia="zh-CN"/>
              </w:rPr>
              <w:t>和硕士学历以上的</w:t>
            </w:r>
            <w:r>
              <w:rPr>
                <w:rFonts w:hint="eastAsia" w:ascii="宋体" w:hAnsi="宋体" w:cs="宋体"/>
                <w:color w:val="auto"/>
                <w:szCs w:val="21"/>
                <w:highlight w:val="none"/>
              </w:rPr>
              <w:t>每一人得2分，</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级职称和</w:t>
            </w:r>
            <w:r>
              <w:rPr>
                <w:rFonts w:hint="eastAsia" w:ascii="宋体" w:hAnsi="宋体" w:cs="宋体"/>
                <w:color w:val="auto"/>
                <w:szCs w:val="21"/>
                <w:highlight w:val="none"/>
                <w:lang w:val="en-US" w:eastAsia="zh-CN"/>
              </w:rPr>
              <w:t>本科</w:t>
            </w:r>
            <w:r>
              <w:rPr>
                <w:rFonts w:hint="eastAsia" w:ascii="宋体" w:hAnsi="宋体" w:cs="宋体"/>
                <w:color w:val="auto"/>
                <w:szCs w:val="21"/>
                <w:highlight w:val="none"/>
              </w:rPr>
              <w:t>学历</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的每一人得1分，本小项最高得10分。合计最高得10分。备注：投标人须提供人员的职称证书、学历证书、2023年6月至2023年12月内任意连续3个月在投标单位的社保明细证明扫描件，否则不得分。联合体投标的，联合体任何一方提供有效文件均可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1" w:type="dxa"/>
            <w:vMerge w:val="continue"/>
          </w:tcPr>
          <w:p>
            <w:pPr>
              <w:pStyle w:val="29"/>
              <w:kinsoku w:val="0"/>
              <w:overflowPunct w:val="0"/>
              <w:ind w:left="-63" w:leftChars="-30" w:right="-111" w:rightChars="-53" w:firstLine="63" w:firstLineChars="30"/>
              <w:jc w:val="center"/>
              <w:rPr>
                <w:rFonts w:hint="default"/>
                <w:color w:val="auto"/>
                <w:highlight w:val="none"/>
              </w:rPr>
            </w:pPr>
          </w:p>
        </w:tc>
        <w:tc>
          <w:tcPr>
            <w:tcW w:w="1287" w:type="dxa"/>
            <w:gridSpan w:val="2"/>
            <w:vMerge w:val="continue"/>
          </w:tcPr>
          <w:p>
            <w:pPr>
              <w:pStyle w:val="29"/>
              <w:kinsoku w:val="0"/>
              <w:overflowPunct w:val="0"/>
              <w:ind w:left="-115" w:leftChars="-55" w:right="-122" w:rightChars="-58"/>
              <w:jc w:val="center"/>
              <w:rPr>
                <w:rFonts w:hint="default"/>
                <w:color w:val="auto"/>
                <w:highlight w:val="none"/>
              </w:rPr>
            </w:pPr>
          </w:p>
        </w:tc>
        <w:tc>
          <w:tcPr>
            <w:tcW w:w="2132" w:type="dxa"/>
            <w:vAlign w:val="center"/>
          </w:tcPr>
          <w:p>
            <w:pPr>
              <w:topLinePunct/>
              <w:spacing w:line="320" w:lineRule="exact"/>
              <w:jc w:val="center"/>
              <w:rPr>
                <w:rFonts w:ascii="宋体" w:hAnsi="宋体"/>
                <w:color w:val="auto"/>
                <w:highlight w:val="none"/>
              </w:rPr>
            </w:pPr>
            <w:r>
              <w:rPr>
                <w:rFonts w:ascii="Calibri" w:hAnsi="Calibri"/>
                <w:color w:val="auto"/>
                <w:highlight w:val="none"/>
              </w:rPr>
              <w:t>类似业绩(</w:t>
            </w:r>
            <w:r>
              <w:rPr>
                <w:rFonts w:hint="eastAsia" w:ascii="Calibri" w:hAnsi="Calibri"/>
                <w:color w:val="auto"/>
                <w:highlight w:val="none"/>
              </w:rPr>
              <w:t>1</w:t>
            </w:r>
            <w:r>
              <w:rPr>
                <w:rFonts w:hint="eastAsia"/>
                <w:color w:val="auto"/>
                <w:highlight w:val="none"/>
                <w:lang w:val="en-US" w:eastAsia="zh-CN"/>
              </w:rPr>
              <w:t>2</w:t>
            </w:r>
            <w:r>
              <w:rPr>
                <w:rFonts w:ascii="Calibri" w:hAnsi="Calibri"/>
                <w:color w:val="auto"/>
                <w:highlight w:val="none"/>
              </w:rPr>
              <w:t>.0分)</w:t>
            </w:r>
          </w:p>
        </w:tc>
        <w:tc>
          <w:tcPr>
            <w:tcW w:w="5252" w:type="dxa"/>
            <w:vAlign w:val="center"/>
          </w:tcPr>
          <w:p>
            <w:pPr>
              <w:numPr>
                <w:ilvl w:val="0"/>
                <w:numId w:val="3"/>
              </w:numPr>
              <w:jc w:val="left"/>
              <w:rPr>
                <w:color w:val="auto"/>
                <w:highlight w:val="none"/>
              </w:rPr>
            </w:pPr>
            <w:r>
              <w:rPr>
                <w:rFonts w:hint="eastAsia" w:ascii="Calibri" w:hAnsi="Calibri"/>
                <w:color w:val="auto"/>
                <w:highlight w:val="none"/>
              </w:rPr>
              <w:t>投标人</w:t>
            </w:r>
            <w:r>
              <w:rPr>
                <w:rFonts w:hint="eastAsia" w:ascii="宋体" w:hAnsi="宋体" w:cs="宋体"/>
                <w:color w:val="auto"/>
                <w:szCs w:val="21"/>
                <w:highlight w:val="none"/>
                <w:lang w:eastAsia="zh-CN"/>
              </w:rPr>
              <w:t>（联合体投标的，各成员方）</w:t>
            </w:r>
            <w:r>
              <w:rPr>
                <w:rFonts w:hint="eastAsia" w:ascii="Calibri" w:hAnsi="Calibri"/>
                <w:color w:val="auto"/>
                <w:highlight w:val="none"/>
              </w:rPr>
              <w:t>自</w:t>
            </w:r>
            <w:r>
              <w:rPr>
                <w:rFonts w:ascii="Calibri" w:hAnsi="Calibri"/>
                <w:color w:val="auto"/>
                <w:highlight w:val="none"/>
              </w:rPr>
              <w:t>20</w:t>
            </w:r>
            <w:r>
              <w:rPr>
                <w:rFonts w:hint="eastAsia" w:ascii="Calibri" w:hAnsi="Calibri"/>
                <w:color w:val="auto"/>
                <w:highlight w:val="none"/>
              </w:rPr>
              <w:t>19年</w:t>
            </w:r>
            <w:r>
              <w:rPr>
                <w:rFonts w:ascii="Calibri" w:hAnsi="Calibri"/>
                <w:color w:val="auto"/>
                <w:highlight w:val="none"/>
              </w:rPr>
              <w:t>1</w:t>
            </w:r>
            <w:r>
              <w:rPr>
                <w:rFonts w:hint="eastAsia" w:ascii="Calibri" w:hAnsi="Calibri"/>
                <w:color w:val="auto"/>
                <w:highlight w:val="none"/>
              </w:rPr>
              <w:t>月</w:t>
            </w:r>
            <w:r>
              <w:rPr>
                <w:rFonts w:ascii="Calibri" w:hAnsi="Calibri"/>
                <w:color w:val="auto"/>
                <w:highlight w:val="none"/>
              </w:rPr>
              <w:t>1</w:t>
            </w:r>
            <w:r>
              <w:rPr>
                <w:rFonts w:hint="eastAsia" w:ascii="Calibri" w:hAnsi="Calibri"/>
                <w:color w:val="auto"/>
                <w:highlight w:val="none"/>
              </w:rPr>
              <w:t>日以来完成过土壤污染修复效果评估项目业绩或土壤污染修复验收评估项目业绩每提供一项得</w:t>
            </w:r>
            <w:r>
              <w:rPr>
                <w:rFonts w:ascii="Calibri" w:hAnsi="Calibri"/>
                <w:color w:val="auto"/>
                <w:highlight w:val="none"/>
              </w:rPr>
              <w:t>2</w:t>
            </w:r>
            <w:r>
              <w:rPr>
                <w:rFonts w:hint="eastAsia" w:ascii="Calibri" w:hAnsi="Calibri"/>
                <w:color w:val="auto"/>
                <w:highlight w:val="none"/>
              </w:rPr>
              <w:t>分，本小项最高得6分。（提供合同关键页（合同关键页信息须体现签订合同双方的单位名称、合同项目名称、含签订合同双方的落款盖章、签订日期的关键页）；同时提供项目通过证明材料（生态环境主管部门出具的备案函或专家评审意见（签字版）））。</w:t>
            </w:r>
          </w:p>
          <w:p>
            <w:pPr>
              <w:numPr>
                <w:ilvl w:val="0"/>
                <w:numId w:val="3"/>
              </w:numPr>
              <w:jc w:val="left"/>
              <w:rPr>
                <w:rFonts w:ascii="宋体" w:hAnsi="宋体"/>
                <w:color w:val="auto"/>
                <w:highlight w:val="none"/>
              </w:rPr>
            </w:pPr>
            <w:r>
              <w:rPr>
                <w:rFonts w:ascii="Calibri" w:hAnsi="Calibri"/>
                <w:color w:val="auto"/>
                <w:highlight w:val="none"/>
              </w:rPr>
              <w:t>投标人</w:t>
            </w:r>
            <w:r>
              <w:rPr>
                <w:rFonts w:hint="eastAsia" w:ascii="宋体" w:hAnsi="宋体" w:cs="宋体"/>
                <w:color w:val="auto"/>
                <w:szCs w:val="21"/>
                <w:highlight w:val="none"/>
                <w:lang w:eastAsia="zh-CN"/>
              </w:rPr>
              <w:t>（联合体投标的，各成员方）</w:t>
            </w:r>
            <w:r>
              <w:rPr>
                <w:rFonts w:ascii="Calibri" w:hAnsi="Calibri"/>
                <w:color w:val="auto"/>
                <w:highlight w:val="none"/>
              </w:rPr>
              <w:t>自20</w:t>
            </w:r>
            <w:r>
              <w:rPr>
                <w:rFonts w:hint="eastAsia" w:ascii="Calibri" w:hAnsi="Calibri"/>
                <w:color w:val="auto"/>
                <w:highlight w:val="none"/>
              </w:rPr>
              <w:t>19</w:t>
            </w:r>
            <w:r>
              <w:rPr>
                <w:rFonts w:ascii="Calibri" w:hAnsi="Calibri"/>
                <w:color w:val="auto"/>
                <w:highlight w:val="none"/>
              </w:rPr>
              <w:t>年1月1日以来完成过土壤污染状况初步调查或详细调查项目</w:t>
            </w:r>
            <w:r>
              <w:rPr>
                <w:rFonts w:hint="eastAsia" w:ascii="Calibri" w:hAnsi="Calibri"/>
                <w:color w:val="auto"/>
                <w:highlight w:val="none"/>
              </w:rPr>
              <w:t>或风险评估</w:t>
            </w:r>
            <w:r>
              <w:rPr>
                <w:rFonts w:ascii="Calibri" w:hAnsi="Calibri"/>
                <w:color w:val="auto"/>
                <w:highlight w:val="none"/>
              </w:rPr>
              <w:t>业绩每一项得</w:t>
            </w:r>
            <w:r>
              <w:rPr>
                <w:rFonts w:hint="eastAsia" w:ascii="Calibri" w:hAnsi="Calibri"/>
                <w:color w:val="auto"/>
                <w:highlight w:val="none"/>
              </w:rPr>
              <w:t>1</w:t>
            </w:r>
            <w:r>
              <w:rPr>
                <w:rFonts w:ascii="Calibri" w:hAnsi="Calibri"/>
                <w:color w:val="auto"/>
                <w:highlight w:val="none"/>
              </w:rPr>
              <w:t>分。本小项最高得</w:t>
            </w:r>
            <w:r>
              <w:rPr>
                <w:rFonts w:hint="eastAsia"/>
                <w:color w:val="auto"/>
                <w:highlight w:val="none"/>
                <w:lang w:val="en-US" w:eastAsia="zh-CN"/>
              </w:rPr>
              <w:t>6</w:t>
            </w:r>
            <w:r>
              <w:rPr>
                <w:rFonts w:ascii="Calibri" w:hAnsi="Calibri"/>
                <w:color w:val="auto"/>
                <w:highlight w:val="none"/>
              </w:rPr>
              <w:t>分。</w:t>
            </w:r>
            <w:r>
              <w:rPr>
                <w:rFonts w:hint="eastAsia" w:ascii="Calibri" w:hAnsi="Calibri"/>
                <w:color w:val="auto"/>
                <w:highlight w:val="none"/>
              </w:rPr>
              <w:t>（提供合同关键页（合同关键页信息须体现签订合同双方的单位名称、合同项目名称、含签订合同双方的落款盖章、签订日期的关键页）；同时提供项目通过证明材料（生态环境主管部门出具的备案函或专家评审意见（签字版））。</w:t>
            </w:r>
          </w:p>
          <w:p>
            <w:pPr>
              <w:numPr>
                <w:ilvl w:val="-1"/>
                <w:numId w:val="0"/>
              </w:numPr>
              <w:jc w:val="left"/>
              <w:rPr>
                <w:rFonts w:ascii="宋体" w:hAnsi="宋体"/>
                <w:color w:val="auto"/>
                <w:highlight w:val="none"/>
              </w:rPr>
            </w:pPr>
            <w:r>
              <w:rPr>
                <w:rFonts w:hint="eastAsia"/>
                <w:color w:val="auto"/>
                <w:highlight w:val="none"/>
                <w:lang w:eastAsia="zh-CN"/>
              </w:rPr>
              <w:t>注：以上联合体投标的，各成员方得分可累计，</w:t>
            </w:r>
            <w:r>
              <w:rPr>
                <w:rFonts w:hint="eastAsia" w:ascii="宋体" w:hAnsi="宋体" w:cs="宋体"/>
                <w:color w:val="auto"/>
                <w:kern w:val="0"/>
                <w:szCs w:val="21"/>
                <w:highlight w:val="none"/>
                <w:lang w:bidi="ar"/>
              </w:rPr>
              <w:t>合计最高得</w:t>
            </w:r>
            <w:r>
              <w:rPr>
                <w:rFonts w:hint="eastAsia" w:ascii="宋体" w:hAnsi="宋体" w:cs="宋体"/>
                <w:color w:val="auto"/>
                <w:kern w:val="0"/>
                <w:szCs w:val="21"/>
                <w:highlight w:val="none"/>
                <w:lang w:val="en-US" w:eastAsia="zh-CN" w:bidi="ar"/>
              </w:rPr>
              <w:t>12</w:t>
            </w:r>
            <w:r>
              <w:rPr>
                <w:rFonts w:hint="eastAsia" w:ascii="宋体" w:hAnsi="宋体" w:cs="宋体"/>
                <w:color w:val="auto"/>
                <w:kern w:val="0"/>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restart"/>
            <w:vAlign w:val="center"/>
          </w:tcPr>
          <w:p>
            <w:pPr>
              <w:pStyle w:val="29"/>
              <w:kinsoku w:val="0"/>
              <w:overflowPunct w:val="0"/>
              <w:ind w:left="-63" w:leftChars="-30" w:right="-111" w:rightChars="-53" w:firstLine="63" w:firstLineChars="30"/>
              <w:jc w:val="center"/>
              <w:rPr>
                <w:rFonts w:hint="default" w:eastAsia="Times New Roman"/>
                <w:color w:val="auto"/>
                <w:highlight w:val="none"/>
              </w:rPr>
            </w:pPr>
            <w:r>
              <w:rPr>
                <w:rFonts w:eastAsia="Times New Roman"/>
                <w:color w:val="auto"/>
                <w:highlight w:val="none"/>
              </w:rPr>
              <w:t>2.2.4（2）</w:t>
            </w:r>
          </w:p>
        </w:tc>
        <w:tc>
          <w:tcPr>
            <w:tcW w:w="1287" w:type="dxa"/>
            <w:gridSpan w:val="2"/>
            <w:vMerge w:val="restart"/>
            <w:vAlign w:val="center"/>
          </w:tcPr>
          <w:p>
            <w:pPr>
              <w:jc w:val="both"/>
              <w:rPr>
                <w:rFonts w:ascii="宋体" w:hAnsi="宋体"/>
                <w:color w:val="auto"/>
                <w:highlight w:val="none"/>
              </w:rPr>
            </w:pPr>
            <w:r>
              <w:rPr>
                <w:rFonts w:hint="eastAsia" w:ascii="宋体" w:hAnsi="宋体"/>
                <w:color w:val="auto"/>
                <w:highlight w:val="none"/>
                <w:lang w:eastAsia="zh-CN"/>
              </w:rPr>
              <w:t>技术服务方案</w:t>
            </w:r>
            <w:r>
              <w:rPr>
                <w:rFonts w:hint="eastAsia" w:ascii="宋体" w:hAnsi="宋体"/>
                <w:color w:val="auto"/>
                <w:highlight w:val="none"/>
              </w:rPr>
              <w:t>评分标准</w:t>
            </w:r>
          </w:p>
          <w:p>
            <w:pPr>
              <w:ind w:left="315" w:hanging="315" w:hangingChars="150"/>
              <w:jc w:val="center"/>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50</w:t>
            </w:r>
            <w:r>
              <w:rPr>
                <w:rFonts w:hint="eastAsia" w:ascii="宋体" w:hAnsi="宋体"/>
                <w:color w:val="auto"/>
                <w:highlight w:val="none"/>
              </w:rPr>
              <w:t>分）</w:t>
            </w:r>
          </w:p>
        </w:tc>
        <w:tc>
          <w:tcPr>
            <w:tcW w:w="2132" w:type="dxa"/>
            <w:vAlign w:val="center"/>
          </w:tcPr>
          <w:p>
            <w:pPr>
              <w:jc w:val="center"/>
              <w:rPr>
                <w:rFonts w:ascii="宋体" w:hAnsi="宋体"/>
                <w:color w:val="auto"/>
                <w:highlight w:val="none"/>
              </w:rPr>
            </w:pPr>
            <w:r>
              <w:rPr>
                <w:rFonts w:ascii="Calibri" w:hAnsi="Calibri"/>
                <w:color w:val="auto"/>
                <w:highlight w:val="none"/>
              </w:rPr>
              <w:t>项目理解(</w:t>
            </w:r>
            <w:r>
              <w:rPr>
                <w:rFonts w:hint="eastAsia" w:ascii="Calibri" w:hAnsi="Calibri"/>
                <w:color w:val="auto"/>
                <w:highlight w:val="none"/>
              </w:rPr>
              <w:t>10</w:t>
            </w:r>
            <w:r>
              <w:rPr>
                <w:rFonts w:ascii="Calibri" w:hAnsi="Calibri"/>
                <w:color w:val="auto"/>
                <w:highlight w:val="none"/>
              </w:rPr>
              <w:t>.0分)</w:t>
            </w:r>
          </w:p>
        </w:tc>
        <w:tc>
          <w:tcPr>
            <w:tcW w:w="5252" w:type="dxa"/>
            <w:vAlign w:val="top"/>
          </w:tcPr>
          <w:p>
            <w:pPr>
              <w:jc w:val="left"/>
              <w:rPr>
                <w:rFonts w:ascii="Calibri" w:hAnsi="Calibri"/>
                <w:color w:val="auto"/>
                <w:highlight w:val="none"/>
              </w:rPr>
            </w:pPr>
            <w:r>
              <w:rPr>
                <w:rFonts w:ascii="Calibri" w:hAnsi="Calibri"/>
                <w:color w:val="auto"/>
                <w:highlight w:val="none"/>
              </w:rPr>
              <w:t>针对投标人对本项目需求理解和情况熟悉程度进行评比：</w:t>
            </w:r>
          </w:p>
          <w:p>
            <w:pPr>
              <w:numPr>
                <w:ilvl w:val="0"/>
                <w:numId w:val="4"/>
              </w:numPr>
              <w:jc w:val="left"/>
              <w:rPr>
                <w:rFonts w:ascii="Calibri" w:hAnsi="Calibri"/>
                <w:color w:val="auto"/>
                <w:highlight w:val="none"/>
              </w:rPr>
            </w:pPr>
            <w:r>
              <w:rPr>
                <w:rFonts w:ascii="Calibri" w:hAnsi="Calibri"/>
                <w:color w:val="auto"/>
                <w:highlight w:val="none"/>
              </w:rPr>
              <w:t>熟悉本项目的背景，对项目需求理解透彻，得</w:t>
            </w:r>
            <w:r>
              <w:rPr>
                <w:rFonts w:hint="eastAsia"/>
                <w:color w:val="auto"/>
                <w:highlight w:val="none"/>
                <w:lang w:val="en-US" w:eastAsia="zh-CN"/>
              </w:rPr>
              <w:t>9-</w:t>
            </w:r>
            <w:r>
              <w:rPr>
                <w:rFonts w:hint="eastAsia" w:ascii="Calibri" w:hAnsi="Calibri"/>
                <w:color w:val="auto"/>
                <w:highlight w:val="none"/>
              </w:rPr>
              <w:t>10</w:t>
            </w:r>
            <w:r>
              <w:rPr>
                <w:rFonts w:ascii="Calibri" w:hAnsi="Calibri"/>
                <w:color w:val="auto"/>
                <w:highlight w:val="none"/>
              </w:rPr>
              <w:t>分；</w:t>
            </w:r>
          </w:p>
          <w:p>
            <w:pPr>
              <w:numPr>
                <w:ilvl w:val="0"/>
                <w:numId w:val="4"/>
              </w:numPr>
              <w:jc w:val="left"/>
              <w:rPr>
                <w:rFonts w:ascii="Calibri" w:hAnsi="Calibri"/>
                <w:color w:val="auto"/>
                <w:highlight w:val="none"/>
              </w:rPr>
            </w:pPr>
            <w:r>
              <w:rPr>
                <w:rFonts w:ascii="Calibri" w:hAnsi="Calibri"/>
                <w:color w:val="auto"/>
                <w:highlight w:val="none"/>
              </w:rPr>
              <w:t>基本熟悉本项目的背景，对项目需求理解较好，得</w:t>
            </w:r>
            <w:r>
              <w:rPr>
                <w:rFonts w:hint="eastAsia"/>
                <w:color w:val="auto"/>
                <w:highlight w:val="none"/>
                <w:lang w:val="en-US" w:eastAsia="zh-CN"/>
              </w:rPr>
              <w:t>7-</w:t>
            </w:r>
            <w:r>
              <w:rPr>
                <w:rFonts w:hint="eastAsia" w:ascii="Calibri" w:hAnsi="Calibri"/>
                <w:color w:val="auto"/>
                <w:highlight w:val="none"/>
              </w:rPr>
              <w:t>8</w:t>
            </w:r>
            <w:r>
              <w:rPr>
                <w:rFonts w:ascii="Calibri" w:hAnsi="Calibri"/>
                <w:color w:val="auto"/>
                <w:highlight w:val="none"/>
              </w:rPr>
              <w:t>分；</w:t>
            </w:r>
          </w:p>
          <w:p>
            <w:pPr>
              <w:numPr>
                <w:ilvl w:val="0"/>
                <w:numId w:val="4"/>
              </w:numPr>
              <w:jc w:val="left"/>
              <w:rPr>
                <w:rFonts w:ascii="宋体" w:hAnsi="宋体"/>
                <w:color w:val="auto"/>
                <w:highlight w:val="none"/>
              </w:rPr>
            </w:pPr>
            <w:r>
              <w:rPr>
                <w:rFonts w:ascii="Calibri" w:hAnsi="Calibri"/>
                <w:color w:val="auto"/>
                <w:highlight w:val="none"/>
              </w:rPr>
              <w:t>粗略理解本项目的背景，对项目需求理解一般，得</w:t>
            </w:r>
            <w:r>
              <w:rPr>
                <w:rFonts w:hint="eastAsia"/>
                <w:color w:val="auto"/>
                <w:highlight w:val="none"/>
                <w:lang w:val="en-US" w:eastAsia="zh-CN"/>
              </w:rPr>
              <w:t>5-</w:t>
            </w:r>
            <w:r>
              <w:rPr>
                <w:rFonts w:hint="eastAsia" w:ascii="Calibri" w:hAnsi="Calibri"/>
                <w:color w:val="auto"/>
                <w:highlight w:val="none"/>
              </w:rPr>
              <w:t>6</w:t>
            </w:r>
            <w:r>
              <w:rPr>
                <w:rFonts w:ascii="Calibri" w:hAnsi="Calibri"/>
                <w:color w:val="auto"/>
                <w:highlight w:val="none"/>
              </w:rPr>
              <w:t>分。注：不提供方案不得分。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continue"/>
          </w:tcPr>
          <w:p>
            <w:pPr>
              <w:spacing w:line="440" w:lineRule="exact"/>
              <w:jc w:val="center"/>
              <w:rPr>
                <w:rFonts w:eastAsia="Times New Roman"/>
                <w:color w:val="auto"/>
                <w:highlight w:val="none"/>
              </w:rPr>
            </w:pPr>
          </w:p>
        </w:tc>
        <w:tc>
          <w:tcPr>
            <w:tcW w:w="1287" w:type="dxa"/>
            <w:gridSpan w:val="2"/>
            <w:vMerge w:val="continue"/>
          </w:tcPr>
          <w:p>
            <w:pPr>
              <w:spacing w:line="440" w:lineRule="exact"/>
              <w:jc w:val="center"/>
              <w:rPr>
                <w:color w:val="auto"/>
                <w:highlight w:val="none"/>
              </w:rPr>
            </w:pPr>
          </w:p>
        </w:tc>
        <w:tc>
          <w:tcPr>
            <w:tcW w:w="2132" w:type="dxa"/>
            <w:vAlign w:val="center"/>
          </w:tcPr>
          <w:p>
            <w:pPr>
              <w:jc w:val="center"/>
              <w:rPr>
                <w:rFonts w:ascii="宋体" w:hAnsi="宋体"/>
                <w:color w:val="auto"/>
                <w:highlight w:val="none"/>
              </w:rPr>
            </w:pPr>
            <w:r>
              <w:rPr>
                <w:rFonts w:ascii="Calibri" w:hAnsi="Calibri"/>
                <w:color w:val="auto"/>
                <w:highlight w:val="none"/>
              </w:rPr>
              <w:t>实施方案(</w:t>
            </w:r>
            <w:r>
              <w:rPr>
                <w:rFonts w:hint="eastAsia" w:ascii="Calibri" w:hAnsi="Calibri"/>
                <w:color w:val="auto"/>
                <w:highlight w:val="none"/>
              </w:rPr>
              <w:t>1</w:t>
            </w:r>
            <w:r>
              <w:rPr>
                <w:rFonts w:hint="eastAsia"/>
                <w:color w:val="auto"/>
                <w:highlight w:val="none"/>
                <w:lang w:val="en-US" w:eastAsia="zh-CN"/>
              </w:rPr>
              <w:t>5</w:t>
            </w:r>
            <w:r>
              <w:rPr>
                <w:rFonts w:ascii="Calibri" w:hAnsi="Calibri"/>
                <w:color w:val="auto"/>
                <w:highlight w:val="none"/>
              </w:rPr>
              <w:t>.0分)</w:t>
            </w:r>
          </w:p>
        </w:tc>
        <w:tc>
          <w:tcPr>
            <w:tcW w:w="5252" w:type="dxa"/>
            <w:vAlign w:val="top"/>
          </w:tcPr>
          <w:p>
            <w:pPr>
              <w:jc w:val="left"/>
              <w:rPr>
                <w:rFonts w:ascii="Calibri" w:hAnsi="Calibri"/>
                <w:color w:val="auto"/>
                <w:highlight w:val="none"/>
              </w:rPr>
            </w:pPr>
            <w:r>
              <w:rPr>
                <w:rFonts w:ascii="Calibri" w:hAnsi="Calibri"/>
                <w:color w:val="auto"/>
                <w:highlight w:val="none"/>
              </w:rPr>
              <w:t>针对投标人的实施方案科学性、合理性进行评审：</w:t>
            </w:r>
          </w:p>
          <w:p>
            <w:pPr>
              <w:numPr>
                <w:ilvl w:val="0"/>
                <w:numId w:val="5"/>
              </w:numPr>
              <w:jc w:val="left"/>
              <w:rPr>
                <w:rFonts w:ascii="Calibri" w:hAnsi="Calibri"/>
                <w:color w:val="auto"/>
                <w:highlight w:val="none"/>
              </w:rPr>
            </w:pPr>
            <w:r>
              <w:rPr>
                <w:rFonts w:ascii="Calibri" w:hAnsi="Calibri"/>
                <w:color w:val="auto"/>
                <w:highlight w:val="none"/>
              </w:rPr>
              <w:t>总体实施方案思路清晰，项目重点难点问题分析及应对措施合理、针对性强，内容详细，得</w:t>
            </w:r>
            <w:r>
              <w:rPr>
                <w:rFonts w:hint="eastAsia"/>
                <w:color w:val="auto"/>
                <w:highlight w:val="none"/>
                <w:lang w:val="en-US" w:eastAsia="zh-CN"/>
              </w:rPr>
              <w:t>13-15</w:t>
            </w:r>
            <w:r>
              <w:rPr>
                <w:rFonts w:ascii="Calibri" w:hAnsi="Calibri"/>
                <w:color w:val="auto"/>
                <w:highlight w:val="none"/>
              </w:rPr>
              <w:t>分；</w:t>
            </w:r>
          </w:p>
          <w:p>
            <w:pPr>
              <w:numPr>
                <w:ilvl w:val="0"/>
                <w:numId w:val="5"/>
              </w:numPr>
              <w:jc w:val="left"/>
              <w:rPr>
                <w:rFonts w:ascii="Calibri" w:hAnsi="Calibri"/>
                <w:color w:val="auto"/>
                <w:highlight w:val="none"/>
              </w:rPr>
            </w:pPr>
            <w:r>
              <w:rPr>
                <w:rFonts w:ascii="Calibri" w:hAnsi="Calibri"/>
                <w:color w:val="auto"/>
                <w:highlight w:val="none"/>
              </w:rPr>
              <w:t>总体实施方案思路基本清晰，项目重点难点问题分析及应对措施基本合理、针对性较强，内容基本详细，得</w:t>
            </w:r>
            <w:r>
              <w:rPr>
                <w:rFonts w:hint="eastAsia"/>
                <w:color w:val="auto"/>
                <w:highlight w:val="none"/>
                <w:lang w:val="en-US" w:eastAsia="zh-CN"/>
              </w:rPr>
              <w:t>10-12</w:t>
            </w:r>
            <w:r>
              <w:rPr>
                <w:rFonts w:ascii="Calibri" w:hAnsi="Calibri"/>
                <w:color w:val="auto"/>
                <w:highlight w:val="none"/>
              </w:rPr>
              <w:t>分；</w:t>
            </w:r>
          </w:p>
          <w:p>
            <w:pPr>
              <w:numPr>
                <w:ilvl w:val="0"/>
                <w:numId w:val="5"/>
              </w:numPr>
              <w:jc w:val="left"/>
              <w:rPr>
                <w:rFonts w:ascii="宋体" w:hAnsi="宋体"/>
                <w:color w:val="auto"/>
                <w:highlight w:val="none"/>
              </w:rPr>
            </w:pPr>
            <w:r>
              <w:rPr>
                <w:rFonts w:ascii="Calibri" w:hAnsi="Calibri"/>
                <w:color w:val="auto"/>
                <w:highlight w:val="none"/>
              </w:rPr>
              <w:t>总体实施方案思路不清晰，项目重点难点问题分析及应对措施不合理、针对性弱，内容粗略，得</w:t>
            </w:r>
            <w:r>
              <w:rPr>
                <w:rFonts w:hint="eastAsia"/>
                <w:color w:val="auto"/>
                <w:highlight w:val="none"/>
                <w:lang w:val="en-US" w:eastAsia="zh-CN"/>
              </w:rPr>
              <w:t>7-9</w:t>
            </w:r>
            <w:r>
              <w:rPr>
                <w:rFonts w:ascii="Calibri" w:hAnsi="Calibri"/>
                <w:color w:val="auto"/>
                <w:highlight w:val="none"/>
              </w:rPr>
              <w:t>分。注：不提供方案不得分。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91" w:type="dxa"/>
            <w:vMerge w:val="continue"/>
          </w:tcPr>
          <w:p>
            <w:pPr>
              <w:spacing w:line="440" w:lineRule="exact"/>
              <w:jc w:val="center"/>
              <w:rPr>
                <w:rFonts w:ascii="宋体" w:hAnsi="宋体"/>
                <w:color w:val="auto"/>
                <w:spacing w:val="-1"/>
                <w:highlight w:val="none"/>
              </w:rPr>
            </w:pPr>
          </w:p>
        </w:tc>
        <w:tc>
          <w:tcPr>
            <w:tcW w:w="1287" w:type="dxa"/>
            <w:gridSpan w:val="2"/>
            <w:vMerge w:val="continue"/>
          </w:tcPr>
          <w:p>
            <w:pPr>
              <w:spacing w:line="440" w:lineRule="exact"/>
              <w:jc w:val="center"/>
              <w:rPr>
                <w:rFonts w:ascii="宋体" w:hAnsi="宋体"/>
                <w:color w:val="auto"/>
                <w:highlight w:val="none"/>
              </w:rPr>
            </w:pPr>
          </w:p>
        </w:tc>
        <w:tc>
          <w:tcPr>
            <w:tcW w:w="2132" w:type="dxa"/>
            <w:vAlign w:val="center"/>
          </w:tcPr>
          <w:p>
            <w:pPr>
              <w:jc w:val="center"/>
              <w:rPr>
                <w:rFonts w:ascii="宋体" w:hAnsi="宋体"/>
                <w:color w:val="auto"/>
                <w:highlight w:val="none"/>
              </w:rPr>
            </w:pPr>
            <w:r>
              <w:rPr>
                <w:rFonts w:ascii="Calibri" w:hAnsi="Calibri"/>
                <w:color w:val="auto"/>
                <w:highlight w:val="none"/>
              </w:rPr>
              <w:t>效果评估采样检测方案及程序(</w:t>
            </w:r>
            <w:r>
              <w:rPr>
                <w:rFonts w:hint="eastAsia" w:ascii="Calibri" w:hAnsi="Calibri"/>
                <w:color w:val="auto"/>
                <w:highlight w:val="none"/>
              </w:rPr>
              <w:t>15</w:t>
            </w:r>
            <w:r>
              <w:rPr>
                <w:rFonts w:ascii="Calibri" w:hAnsi="Calibri"/>
                <w:color w:val="auto"/>
                <w:highlight w:val="none"/>
              </w:rPr>
              <w:t>.0分)</w:t>
            </w:r>
          </w:p>
        </w:tc>
        <w:tc>
          <w:tcPr>
            <w:tcW w:w="5252" w:type="dxa"/>
            <w:vAlign w:val="top"/>
          </w:tcPr>
          <w:p>
            <w:pPr>
              <w:jc w:val="left"/>
              <w:rPr>
                <w:rFonts w:ascii="Calibri" w:hAnsi="Calibri"/>
                <w:color w:val="auto"/>
                <w:highlight w:val="none"/>
              </w:rPr>
            </w:pPr>
            <w:r>
              <w:rPr>
                <w:rFonts w:ascii="Calibri" w:hAnsi="Calibri"/>
                <w:color w:val="auto"/>
                <w:highlight w:val="none"/>
              </w:rPr>
              <w:t>针对投标人的效果评估采样检测方案、采样布点图、采样工作量清单、检测指标、工作准则等内容进行评审：</w:t>
            </w:r>
          </w:p>
          <w:p>
            <w:pPr>
              <w:numPr>
                <w:ilvl w:val="0"/>
                <w:numId w:val="6"/>
              </w:numPr>
              <w:jc w:val="left"/>
              <w:rPr>
                <w:rFonts w:ascii="Calibri" w:hAnsi="Calibri"/>
                <w:color w:val="auto"/>
                <w:highlight w:val="none"/>
              </w:rPr>
            </w:pPr>
            <w:r>
              <w:rPr>
                <w:rFonts w:ascii="Calibri" w:hAnsi="Calibri"/>
                <w:color w:val="auto"/>
                <w:highlight w:val="none"/>
              </w:rPr>
              <w:t>对项目的效果评估采样检测方案、采样布点图、采样工作量清单、检测指标、工作准则等内容清晰、科学、严谨、针对性强，内容详细，得</w:t>
            </w:r>
            <w:r>
              <w:rPr>
                <w:rFonts w:hint="eastAsia"/>
                <w:color w:val="auto"/>
                <w:highlight w:val="none"/>
                <w:lang w:val="en-US" w:eastAsia="zh-CN"/>
              </w:rPr>
              <w:t>13-</w:t>
            </w:r>
            <w:r>
              <w:rPr>
                <w:rFonts w:ascii="Calibri" w:hAnsi="Calibri"/>
                <w:color w:val="auto"/>
                <w:highlight w:val="none"/>
              </w:rPr>
              <w:t>1</w:t>
            </w:r>
            <w:r>
              <w:rPr>
                <w:rFonts w:hint="eastAsia" w:ascii="Calibri" w:hAnsi="Calibri"/>
                <w:color w:val="auto"/>
                <w:highlight w:val="none"/>
              </w:rPr>
              <w:t>5</w:t>
            </w:r>
            <w:r>
              <w:rPr>
                <w:rFonts w:ascii="Calibri" w:hAnsi="Calibri"/>
                <w:color w:val="auto"/>
                <w:highlight w:val="none"/>
              </w:rPr>
              <w:t>分；</w:t>
            </w:r>
          </w:p>
          <w:p>
            <w:pPr>
              <w:numPr>
                <w:ilvl w:val="0"/>
                <w:numId w:val="6"/>
              </w:numPr>
              <w:jc w:val="left"/>
              <w:rPr>
                <w:rFonts w:ascii="Calibri" w:hAnsi="Calibri"/>
                <w:color w:val="auto"/>
                <w:highlight w:val="none"/>
              </w:rPr>
            </w:pPr>
            <w:r>
              <w:rPr>
                <w:rFonts w:ascii="Calibri" w:hAnsi="Calibri"/>
                <w:color w:val="auto"/>
                <w:highlight w:val="none"/>
              </w:rPr>
              <w:t>对项目的效果评估采样检测方案、采样布点图、采样工作量清单、检测指标、工作准则等内容基本清晰、科学、严谨、针对性较强，内容基本详细，得</w:t>
            </w:r>
            <w:r>
              <w:rPr>
                <w:rFonts w:hint="eastAsia"/>
                <w:color w:val="auto"/>
                <w:highlight w:val="none"/>
                <w:lang w:val="en-US" w:eastAsia="zh-CN"/>
              </w:rPr>
              <w:t>10-</w:t>
            </w:r>
            <w:r>
              <w:rPr>
                <w:rFonts w:hint="eastAsia" w:ascii="Calibri" w:hAnsi="Calibri"/>
                <w:color w:val="auto"/>
                <w:highlight w:val="none"/>
              </w:rPr>
              <w:t>12</w:t>
            </w:r>
            <w:r>
              <w:rPr>
                <w:rFonts w:ascii="Calibri" w:hAnsi="Calibri"/>
                <w:color w:val="auto"/>
                <w:highlight w:val="none"/>
              </w:rPr>
              <w:t>分；</w:t>
            </w:r>
          </w:p>
          <w:p>
            <w:pPr>
              <w:numPr>
                <w:ilvl w:val="0"/>
                <w:numId w:val="6"/>
              </w:numPr>
              <w:jc w:val="left"/>
              <w:rPr>
                <w:rFonts w:ascii="宋体" w:hAnsi="宋体"/>
                <w:color w:val="auto"/>
                <w:highlight w:val="none"/>
              </w:rPr>
            </w:pPr>
            <w:r>
              <w:rPr>
                <w:rFonts w:ascii="Calibri" w:hAnsi="Calibri"/>
                <w:color w:val="auto"/>
                <w:highlight w:val="none"/>
              </w:rPr>
              <w:t>对项目的效果评估采样检测方案、采样布点图、采样工作量清单、检测指标、工作准则等内容不清晰、不科学、不严谨、针对性弱，内容粗略，得</w:t>
            </w:r>
            <w:r>
              <w:rPr>
                <w:rFonts w:hint="eastAsia"/>
                <w:color w:val="auto"/>
                <w:highlight w:val="none"/>
                <w:lang w:val="en-US" w:eastAsia="zh-CN"/>
              </w:rPr>
              <w:t>7-</w:t>
            </w:r>
            <w:r>
              <w:rPr>
                <w:rFonts w:hint="eastAsia" w:ascii="Calibri" w:hAnsi="Calibri"/>
                <w:color w:val="auto"/>
                <w:highlight w:val="none"/>
              </w:rPr>
              <w:t>9</w:t>
            </w:r>
            <w:r>
              <w:rPr>
                <w:rFonts w:ascii="Calibri" w:hAnsi="Calibri"/>
                <w:color w:val="auto"/>
                <w:highlight w:val="none"/>
              </w:rPr>
              <w:t>分；注：不提供方案不得分。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91" w:type="dxa"/>
            <w:vMerge w:val="continue"/>
          </w:tcPr>
          <w:p>
            <w:pPr>
              <w:spacing w:line="440" w:lineRule="exact"/>
              <w:jc w:val="center"/>
              <w:rPr>
                <w:rFonts w:ascii="宋体" w:hAnsi="宋体"/>
                <w:color w:val="auto"/>
                <w:spacing w:val="-1"/>
                <w:highlight w:val="none"/>
              </w:rPr>
            </w:pPr>
          </w:p>
        </w:tc>
        <w:tc>
          <w:tcPr>
            <w:tcW w:w="1287" w:type="dxa"/>
            <w:gridSpan w:val="2"/>
            <w:vMerge w:val="continue"/>
          </w:tcPr>
          <w:p>
            <w:pPr>
              <w:spacing w:line="440" w:lineRule="exact"/>
              <w:jc w:val="center"/>
              <w:rPr>
                <w:rFonts w:ascii="宋体" w:hAnsi="宋体"/>
                <w:color w:val="auto"/>
                <w:highlight w:val="none"/>
              </w:rPr>
            </w:pPr>
          </w:p>
        </w:tc>
        <w:tc>
          <w:tcPr>
            <w:tcW w:w="2132" w:type="dxa"/>
            <w:vAlign w:val="center"/>
          </w:tcPr>
          <w:p>
            <w:pPr>
              <w:jc w:val="center"/>
              <w:rPr>
                <w:rFonts w:ascii="宋体" w:hAnsi="宋体"/>
                <w:color w:val="auto"/>
                <w:highlight w:val="none"/>
              </w:rPr>
            </w:pPr>
            <w:r>
              <w:rPr>
                <w:rFonts w:ascii="Calibri" w:hAnsi="Calibri"/>
                <w:color w:val="auto"/>
                <w:highlight w:val="none"/>
              </w:rPr>
              <w:t>质量管理(</w:t>
            </w:r>
            <w:r>
              <w:rPr>
                <w:rFonts w:hint="eastAsia" w:ascii="Calibri" w:hAnsi="Calibri"/>
                <w:color w:val="auto"/>
                <w:highlight w:val="none"/>
              </w:rPr>
              <w:t>5</w:t>
            </w:r>
            <w:r>
              <w:rPr>
                <w:rFonts w:ascii="Calibri" w:hAnsi="Calibri"/>
                <w:color w:val="auto"/>
                <w:highlight w:val="none"/>
              </w:rPr>
              <w:t>.0分)</w:t>
            </w:r>
          </w:p>
        </w:tc>
        <w:tc>
          <w:tcPr>
            <w:tcW w:w="5252" w:type="dxa"/>
            <w:vAlign w:val="top"/>
          </w:tcPr>
          <w:p>
            <w:pPr>
              <w:jc w:val="left"/>
              <w:rPr>
                <w:rFonts w:ascii="Calibri" w:hAnsi="Calibri"/>
                <w:color w:val="auto"/>
                <w:highlight w:val="none"/>
              </w:rPr>
            </w:pPr>
            <w:r>
              <w:rPr>
                <w:rFonts w:ascii="Calibri" w:hAnsi="Calibri"/>
                <w:color w:val="auto"/>
                <w:highlight w:val="none"/>
              </w:rPr>
              <w:t>针对投标人结合本项目特点，从质量管理、环境保护管理措施、结果评价方法、评估流程及评估组织管理等方面提出相应的质量保障办法进行评审：</w:t>
            </w:r>
          </w:p>
          <w:p>
            <w:pPr>
              <w:numPr>
                <w:ilvl w:val="0"/>
                <w:numId w:val="7"/>
              </w:numPr>
              <w:jc w:val="left"/>
              <w:rPr>
                <w:rFonts w:ascii="Calibri" w:hAnsi="Calibri"/>
                <w:color w:val="auto"/>
                <w:highlight w:val="none"/>
              </w:rPr>
            </w:pPr>
            <w:r>
              <w:rPr>
                <w:rFonts w:ascii="Calibri" w:hAnsi="Calibri"/>
                <w:color w:val="auto"/>
                <w:highlight w:val="none"/>
              </w:rPr>
              <w:t>方案详细完整，可操作性强，与项目修复工程紧密结合，得</w:t>
            </w:r>
            <w:r>
              <w:rPr>
                <w:rFonts w:hint="eastAsia"/>
                <w:color w:val="auto"/>
                <w:highlight w:val="none"/>
                <w:lang w:val="en-US" w:eastAsia="zh-CN"/>
              </w:rPr>
              <w:t>4-</w:t>
            </w:r>
            <w:r>
              <w:rPr>
                <w:rFonts w:hint="eastAsia" w:ascii="Calibri" w:hAnsi="Calibri"/>
                <w:color w:val="auto"/>
                <w:highlight w:val="none"/>
              </w:rPr>
              <w:t>5</w:t>
            </w:r>
            <w:r>
              <w:rPr>
                <w:rFonts w:ascii="Calibri" w:hAnsi="Calibri"/>
                <w:color w:val="auto"/>
                <w:highlight w:val="none"/>
              </w:rPr>
              <w:t>分；</w:t>
            </w:r>
          </w:p>
          <w:p>
            <w:pPr>
              <w:numPr>
                <w:ilvl w:val="0"/>
                <w:numId w:val="7"/>
              </w:numPr>
              <w:jc w:val="left"/>
              <w:rPr>
                <w:rFonts w:ascii="Calibri" w:hAnsi="Calibri"/>
                <w:color w:val="auto"/>
                <w:highlight w:val="none"/>
              </w:rPr>
            </w:pPr>
            <w:r>
              <w:rPr>
                <w:rFonts w:ascii="Calibri" w:hAnsi="Calibri"/>
                <w:color w:val="auto"/>
                <w:highlight w:val="none"/>
              </w:rPr>
              <w:t>方案大部分有描述，具备一定可操作性，与项目修复工程结合基本紧密，得</w:t>
            </w:r>
            <w:r>
              <w:rPr>
                <w:rFonts w:hint="eastAsia"/>
                <w:color w:val="auto"/>
                <w:highlight w:val="none"/>
                <w:lang w:val="en-US" w:eastAsia="zh-CN"/>
              </w:rPr>
              <w:t>2-</w:t>
            </w:r>
            <w:r>
              <w:rPr>
                <w:rFonts w:hint="eastAsia" w:ascii="Calibri" w:hAnsi="Calibri"/>
                <w:color w:val="auto"/>
                <w:highlight w:val="none"/>
              </w:rPr>
              <w:t>3</w:t>
            </w:r>
            <w:r>
              <w:rPr>
                <w:rFonts w:ascii="Calibri" w:hAnsi="Calibri"/>
                <w:color w:val="auto"/>
                <w:highlight w:val="none"/>
              </w:rPr>
              <w:t>分；</w:t>
            </w:r>
          </w:p>
          <w:p>
            <w:pPr>
              <w:numPr>
                <w:ilvl w:val="0"/>
                <w:numId w:val="7"/>
              </w:numPr>
              <w:jc w:val="left"/>
              <w:rPr>
                <w:rFonts w:ascii="宋体" w:hAnsi="宋体"/>
                <w:color w:val="auto"/>
                <w:highlight w:val="none"/>
              </w:rPr>
            </w:pPr>
            <w:r>
              <w:rPr>
                <w:rFonts w:ascii="Calibri" w:hAnsi="Calibri"/>
                <w:color w:val="auto"/>
                <w:highlight w:val="none"/>
              </w:rPr>
              <w:t>方案有缺漏，可操作性一般，与项目修复工程结合松散，</w:t>
            </w:r>
            <w:r>
              <w:rPr>
                <w:rFonts w:hint="eastAsia"/>
                <w:color w:val="auto"/>
                <w:highlight w:val="none"/>
                <w:lang w:val="en-US" w:eastAsia="zh-CN"/>
              </w:rPr>
              <w:t>1</w:t>
            </w:r>
            <w:r>
              <w:rPr>
                <w:rFonts w:ascii="Calibri" w:hAnsi="Calibri"/>
                <w:color w:val="auto"/>
                <w:highlight w:val="none"/>
              </w:rPr>
              <w:t>分。注：不提供方案不得分。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Merge w:val="continue"/>
          </w:tcPr>
          <w:p>
            <w:pPr>
              <w:spacing w:line="440" w:lineRule="exact"/>
              <w:jc w:val="center"/>
              <w:rPr>
                <w:rFonts w:ascii="宋体" w:hAnsi="宋体"/>
                <w:color w:val="auto"/>
                <w:spacing w:val="-1"/>
                <w:highlight w:val="none"/>
              </w:rPr>
            </w:pPr>
          </w:p>
        </w:tc>
        <w:tc>
          <w:tcPr>
            <w:tcW w:w="1287" w:type="dxa"/>
            <w:gridSpan w:val="2"/>
            <w:vMerge w:val="continue"/>
          </w:tcPr>
          <w:p>
            <w:pPr>
              <w:spacing w:line="440" w:lineRule="exact"/>
              <w:jc w:val="center"/>
              <w:rPr>
                <w:rFonts w:ascii="宋体" w:hAnsi="宋体"/>
                <w:color w:val="auto"/>
                <w:highlight w:val="none"/>
              </w:rPr>
            </w:pPr>
          </w:p>
        </w:tc>
        <w:tc>
          <w:tcPr>
            <w:tcW w:w="2132" w:type="dxa"/>
            <w:vAlign w:val="center"/>
          </w:tcPr>
          <w:p>
            <w:pPr>
              <w:jc w:val="center"/>
              <w:rPr>
                <w:rFonts w:ascii="宋体" w:hAnsi="宋体"/>
                <w:color w:val="auto"/>
                <w:highlight w:val="none"/>
              </w:rPr>
            </w:pPr>
            <w:r>
              <w:rPr>
                <w:rFonts w:ascii="Calibri" w:hAnsi="Calibri"/>
                <w:color w:val="auto"/>
                <w:highlight w:val="none"/>
              </w:rPr>
              <w:t>进度控制</w:t>
            </w:r>
            <w:r>
              <w:rPr>
                <w:color w:val="auto"/>
                <w:highlight w:val="none"/>
              </w:rPr>
              <w:t>、保证措施</w:t>
            </w:r>
            <w:r>
              <w:rPr>
                <w:rFonts w:ascii="Calibri" w:hAnsi="Calibri"/>
                <w:color w:val="auto"/>
                <w:highlight w:val="none"/>
              </w:rPr>
              <w:t>(</w:t>
            </w:r>
            <w:r>
              <w:rPr>
                <w:rFonts w:hint="eastAsia" w:ascii="Calibri" w:hAnsi="Calibri"/>
                <w:color w:val="auto"/>
                <w:highlight w:val="none"/>
              </w:rPr>
              <w:t>5</w:t>
            </w:r>
            <w:r>
              <w:rPr>
                <w:rFonts w:ascii="Calibri" w:hAnsi="Calibri"/>
                <w:color w:val="auto"/>
                <w:highlight w:val="none"/>
              </w:rPr>
              <w:t>.0分)</w:t>
            </w:r>
          </w:p>
        </w:tc>
        <w:tc>
          <w:tcPr>
            <w:tcW w:w="5252" w:type="dxa"/>
            <w:vAlign w:val="top"/>
          </w:tcPr>
          <w:p>
            <w:pPr>
              <w:jc w:val="left"/>
              <w:rPr>
                <w:rFonts w:ascii="Calibri" w:hAnsi="Calibri"/>
                <w:color w:val="auto"/>
                <w:highlight w:val="none"/>
              </w:rPr>
            </w:pPr>
            <w:r>
              <w:rPr>
                <w:rFonts w:ascii="Calibri" w:hAnsi="Calibri"/>
                <w:color w:val="auto"/>
                <w:highlight w:val="none"/>
              </w:rPr>
              <w:t>针对投标人的组织实施计划、进度计划、各指标的检测周期、对工期要求的保障措施、与地块修复相关的单位配合协调措施进行评审：</w:t>
            </w:r>
          </w:p>
          <w:p>
            <w:pPr>
              <w:numPr>
                <w:ilvl w:val="0"/>
                <w:numId w:val="8"/>
              </w:numPr>
              <w:jc w:val="left"/>
              <w:rPr>
                <w:rFonts w:ascii="Calibri" w:hAnsi="Calibri"/>
                <w:color w:val="auto"/>
                <w:highlight w:val="none"/>
              </w:rPr>
            </w:pPr>
            <w:r>
              <w:rPr>
                <w:rFonts w:ascii="Calibri" w:hAnsi="Calibri"/>
                <w:color w:val="auto"/>
                <w:highlight w:val="none"/>
              </w:rPr>
              <w:t>方案措施先进合理、针对性强，能与土壤修复单位配合协调，能及时提供效果评估报告，得</w:t>
            </w:r>
            <w:r>
              <w:rPr>
                <w:rFonts w:hint="eastAsia"/>
                <w:color w:val="auto"/>
                <w:highlight w:val="none"/>
                <w:lang w:val="en-US" w:eastAsia="zh-CN"/>
              </w:rPr>
              <w:t>4-</w:t>
            </w:r>
            <w:r>
              <w:rPr>
                <w:rFonts w:hint="eastAsia" w:ascii="Calibri" w:hAnsi="Calibri"/>
                <w:color w:val="auto"/>
                <w:highlight w:val="none"/>
              </w:rPr>
              <w:t>5</w:t>
            </w:r>
            <w:r>
              <w:rPr>
                <w:rFonts w:ascii="Calibri" w:hAnsi="Calibri"/>
                <w:color w:val="auto"/>
                <w:highlight w:val="none"/>
              </w:rPr>
              <w:t>分；</w:t>
            </w:r>
          </w:p>
          <w:p>
            <w:pPr>
              <w:numPr>
                <w:ilvl w:val="0"/>
                <w:numId w:val="8"/>
              </w:numPr>
              <w:jc w:val="left"/>
              <w:rPr>
                <w:rFonts w:ascii="Calibri" w:hAnsi="Calibri"/>
                <w:color w:val="auto"/>
                <w:highlight w:val="none"/>
              </w:rPr>
            </w:pPr>
            <w:r>
              <w:rPr>
                <w:rFonts w:ascii="Calibri" w:hAnsi="Calibri"/>
                <w:color w:val="auto"/>
                <w:highlight w:val="none"/>
              </w:rPr>
              <w:t>方案措施较合理、针对性较好，与土壤修复单位配合协调一般，能按要求提供效果评估报告，得</w:t>
            </w:r>
            <w:r>
              <w:rPr>
                <w:rFonts w:hint="eastAsia"/>
                <w:color w:val="auto"/>
                <w:highlight w:val="none"/>
                <w:lang w:val="en-US" w:eastAsia="zh-CN"/>
              </w:rPr>
              <w:t>2-</w:t>
            </w:r>
            <w:r>
              <w:rPr>
                <w:rFonts w:hint="eastAsia" w:ascii="Calibri" w:hAnsi="Calibri"/>
                <w:color w:val="auto"/>
                <w:highlight w:val="none"/>
              </w:rPr>
              <w:t>3</w:t>
            </w:r>
            <w:r>
              <w:rPr>
                <w:rFonts w:ascii="Calibri" w:hAnsi="Calibri"/>
                <w:color w:val="auto"/>
                <w:highlight w:val="none"/>
              </w:rPr>
              <w:t>分；</w:t>
            </w:r>
          </w:p>
          <w:p>
            <w:pPr>
              <w:numPr>
                <w:ilvl w:val="0"/>
                <w:numId w:val="8"/>
              </w:numPr>
              <w:jc w:val="left"/>
              <w:rPr>
                <w:rFonts w:ascii="宋体" w:hAnsi="宋体"/>
                <w:color w:val="auto"/>
                <w:highlight w:val="none"/>
              </w:rPr>
            </w:pPr>
            <w:r>
              <w:rPr>
                <w:rFonts w:ascii="Calibri" w:hAnsi="Calibri"/>
                <w:color w:val="auto"/>
                <w:highlight w:val="none"/>
              </w:rPr>
              <w:t>方案措施一般，措施部分可行，与土壤修复单位配合协调查，不能及时提供效果评估报告，得</w:t>
            </w:r>
            <w:r>
              <w:rPr>
                <w:rFonts w:hint="eastAsia"/>
                <w:color w:val="auto"/>
                <w:highlight w:val="none"/>
                <w:lang w:val="en-US" w:eastAsia="zh-CN"/>
              </w:rPr>
              <w:t>1</w:t>
            </w:r>
            <w:r>
              <w:rPr>
                <w:rFonts w:ascii="Calibri" w:hAnsi="Calibri"/>
                <w:color w:val="auto"/>
                <w:highlight w:val="none"/>
              </w:rPr>
              <w:t>分。注：不提供方案不得分。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vAlign w:val="center"/>
          </w:tcPr>
          <w:p>
            <w:pPr>
              <w:pStyle w:val="29"/>
              <w:kinsoku w:val="0"/>
              <w:overflowPunct w:val="0"/>
              <w:spacing w:before="1" w:line="160" w:lineRule="exact"/>
              <w:ind w:left="-63" w:leftChars="-30" w:right="-111" w:rightChars="-53" w:firstLine="48" w:firstLineChars="30"/>
              <w:jc w:val="center"/>
              <w:rPr>
                <w:rFonts w:hint="default"/>
                <w:color w:val="auto"/>
                <w:sz w:val="16"/>
                <w:highlight w:val="none"/>
              </w:rPr>
            </w:pPr>
          </w:p>
          <w:p>
            <w:pPr>
              <w:pStyle w:val="29"/>
              <w:kinsoku w:val="0"/>
              <w:overflowPunct w:val="0"/>
              <w:ind w:left="-63" w:leftChars="-30" w:right="-111" w:rightChars="-53" w:firstLine="63" w:firstLineChars="30"/>
              <w:jc w:val="center"/>
              <w:rPr>
                <w:rFonts w:hint="default" w:eastAsia="Times New Roman"/>
                <w:color w:val="auto"/>
                <w:highlight w:val="none"/>
              </w:rPr>
            </w:pPr>
            <w:r>
              <w:rPr>
                <w:rFonts w:eastAsia="Times New Roman"/>
                <w:color w:val="auto"/>
                <w:highlight w:val="none"/>
              </w:rPr>
              <w:t>2.2.4</w:t>
            </w:r>
          </w:p>
          <w:p>
            <w:pPr>
              <w:pStyle w:val="29"/>
              <w:kinsoku w:val="0"/>
              <w:overflowPunct w:val="0"/>
              <w:spacing w:before="6" w:line="110" w:lineRule="exact"/>
              <w:ind w:left="-63" w:leftChars="-30" w:right="-111" w:rightChars="-53" w:firstLine="33" w:firstLineChars="30"/>
              <w:jc w:val="center"/>
              <w:rPr>
                <w:rFonts w:hint="default"/>
                <w:color w:val="auto"/>
                <w:sz w:val="11"/>
                <w:highlight w:val="none"/>
              </w:rPr>
            </w:pPr>
          </w:p>
          <w:p>
            <w:pPr>
              <w:pStyle w:val="29"/>
              <w:kinsoku w:val="0"/>
              <w:overflowPunct w:val="0"/>
              <w:ind w:left="-63" w:leftChars="-30" w:right="-111" w:rightChars="-53" w:firstLine="62" w:firstLineChars="30"/>
              <w:jc w:val="center"/>
              <w:rPr>
                <w:rFonts w:hint="default"/>
                <w:color w:val="auto"/>
                <w:highlight w:val="none"/>
              </w:rPr>
            </w:pPr>
            <w:r>
              <w:rPr>
                <w:rFonts w:ascii="宋体" w:hAnsi="宋体"/>
                <w:color w:val="auto"/>
                <w:spacing w:val="-1"/>
                <w:highlight w:val="none"/>
              </w:rPr>
              <w:t>（</w:t>
            </w:r>
            <w:r>
              <w:rPr>
                <w:rFonts w:eastAsia="Times New Roman"/>
                <w:color w:val="auto"/>
                <w:highlight w:val="none"/>
              </w:rPr>
              <w:t>3</w:t>
            </w:r>
            <w:r>
              <w:rPr>
                <w:rFonts w:ascii="宋体" w:hAnsi="宋体"/>
                <w:color w:val="auto"/>
                <w:highlight w:val="none"/>
              </w:rPr>
              <w:t>）</w:t>
            </w:r>
          </w:p>
        </w:tc>
        <w:tc>
          <w:tcPr>
            <w:tcW w:w="1287" w:type="dxa"/>
            <w:gridSpan w:val="2"/>
            <w:vAlign w:val="center"/>
          </w:tcPr>
          <w:p>
            <w:pPr>
              <w:ind w:left="315" w:hanging="315" w:hangingChars="150"/>
              <w:jc w:val="center"/>
              <w:rPr>
                <w:rFonts w:ascii="宋体" w:hAnsi="Courier New"/>
                <w:color w:val="auto"/>
                <w:szCs w:val="21"/>
                <w:highlight w:val="none"/>
              </w:rPr>
            </w:pPr>
            <w:r>
              <w:rPr>
                <w:rFonts w:hint="eastAsia" w:ascii="宋体" w:hAnsi="宋体"/>
                <w:color w:val="auto"/>
                <w:highlight w:val="none"/>
              </w:rPr>
              <w:t>投标</w:t>
            </w:r>
            <w:r>
              <w:rPr>
                <w:rFonts w:hint="eastAsia" w:ascii="宋体" w:hAnsi="Courier New"/>
                <w:color w:val="auto"/>
                <w:szCs w:val="21"/>
                <w:highlight w:val="none"/>
              </w:rPr>
              <w:t>报价</w:t>
            </w:r>
          </w:p>
          <w:p>
            <w:pPr>
              <w:ind w:left="315" w:hanging="315" w:hangingChars="150"/>
              <w:jc w:val="center"/>
              <w:rPr>
                <w:rFonts w:ascii="宋体" w:hAnsi="宋体"/>
                <w:color w:val="auto"/>
                <w:highlight w:val="none"/>
              </w:rPr>
            </w:pPr>
            <w:r>
              <w:rPr>
                <w:rFonts w:hint="eastAsia" w:ascii="宋体" w:hAnsi="宋体"/>
                <w:color w:val="auto"/>
                <w:highlight w:val="none"/>
              </w:rPr>
              <w:t>评分</w:t>
            </w:r>
            <w:r>
              <w:rPr>
                <w:rFonts w:hint="eastAsia" w:ascii="宋体" w:hAnsi="宋体"/>
                <w:color w:val="auto"/>
                <w:spacing w:val="-3"/>
                <w:highlight w:val="none"/>
              </w:rPr>
              <w:t>标</w:t>
            </w:r>
            <w:r>
              <w:rPr>
                <w:rFonts w:hint="eastAsia" w:ascii="宋体" w:hAnsi="宋体"/>
                <w:color w:val="auto"/>
                <w:highlight w:val="none"/>
              </w:rPr>
              <w:t>准</w:t>
            </w:r>
          </w:p>
          <w:p>
            <w:pPr>
              <w:ind w:left="315" w:hanging="315" w:hangingChars="150"/>
              <w:jc w:val="center"/>
              <w:rPr>
                <w:rFonts w:ascii="宋体" w:hAnsi="宋体"/>
                <w:color w:val="auto"/>
                <w:highlight w:val="none"/>
              </w:rPr>
            </w:pPr>
            <w:r>
              <w:rPr>
                <w:rFonts w:hint="eastAsia" w:ascii="宋体" w:hAnsi="宋体"/>
                <w:color w:val="auto"/>
                <w:highlight w:val="none"/>
              </w:rPr>
              <w:t>（10分）</w:t>
            </w:r>
          </w:p>
        </w:tc>
        <w:tc>
          <w:tcPr>
            <w:tcW w:w="2132" w:type="dxa"/>
            <w:vAlign w:val="center"/>
          </w:tcPr>
          <w:p>
            <w:pPr>
              <w:pStyle w:val="29"/>
              <w:kinsoku w:val="0"/>
              <w:overflowPunct w:val="0"/>
              <w:spacing w:before="14"/>
              <w:ind w:left="-102" w:leftChars="-49" w:hanging="1"/>
              <w:jc w:val="center"/>
              <w:rPr>
                <w:rFonts w:hint="default" w:ascii="宋体" w:hAnsi="宋体"/>
                <w:color w:val="auto"/>
                <w:highlight w:val="none"/>
              </w:rPr>
            </w:pPr>
            <w:r>
              <w:rPr>
                <w:rFonts w:ascii="宋体" w:hAnsi="宋体"/>
                <w:color w:val="auto"/>
                <w:highlight w:val="none"/>
              </w:rPr>
              <w:t>报价得分</w:t>
            </w:r>
            <w:r>
              <w:rPr>
                <w:rFonts w:ascii="宋体" w:hAnsi="宋体" w:cs="宋体"/>
                <w:color w:val="auto"/>
                <w:szCs w:val="21"/>
                <w:highlight w:val="none"/>
              </w:rPr>
              <w:t>(10分)</w:t>
            </w:r>
          </w:p>
        </w:tc>
        <w:tc>
          <w:tcPr>
            <w:tcW w:w="5252" w:type="dxa"/>
          </w:tcPr>
          <w:p>
            <w:pPr>
              <w:rPr>
                <w:rFonts w:ascii="宋体" w:hAnsi="宋体"/>
                <w:color w:val="auto"/>
                <w:highlight w:val="none"/>
              </w:rPr>
            </w:pPr>
            <w:r>
              <w:rPr>
                <w:rFonts w:hint="eastAsia" w:ascii="宋体" w:hAnsi="宋体"/>
                <w:color w:val="auto"/>
                <w:highlight w:val="none"/>
              </w:rPr>
              <w:t>以评标基准价作为计算各有效投标价得分的基础，当有效投标报价等于评标基准价时得10分；投标有效报价与评标基准价之差，每上偏1%扣</w:t>
            </w:r>
            <w:r>
              <w:rPr>
                <w:rFonts w:hint="eastAsia" w:ascii="宋体" w:hAnsi="宋体"/>
                <w:color w:val="auto"/>
                <w:highlight w:val="none"/>
                <w:lang w:val="en-US" w:eastAsia="zh-CN"/>
              </w:rPr>
              <w:t>0.5</w:t>
            </w:r>
            <w:r>
              <w:rPr>
                <w:rFonts w:hint="eastAsia" w:ascii="宋体" w:hAnsi="宋体"/>
                <w:color w:val="auto"/>
                <w:highlight w:val="none"/>
              </w:rPr>
              <w:t>分，下偏1%扣</w:t>
            </w:r>
            <w:r>
              <w:rPr>
                <w:rFonts w:hint="eastAsia" w:ascii="宋体" w:hAnsi="宋体"/>
                <w:color w:val="auto"/>
                <w:highlight w:val="none"/>
                <w:lang w:val="en-US" w:eastAsia="zh-CN"/>
              </w:rPr>
              <w:t>0.3</w:t>
            </w:r>
            <w:r>
              <w:rPr>
                <w:rFonts w:hint="eastAsia" w:ascii="宋体" w:hAnsi="宋体"/>
                <w:color w:val="auto"/>
                <w:highlight w:val="none"/>
              </w:rPr>
              <w:t>分。（得分扣至0分止）</w:t>
            </w:r>
          </w:p>
        </w:tc>
      </w:tr>
      <w:bookmarkEnd w:id="944"/>
    </w:tbl>
    <w:p>
      <w:pPr>
        <w:topLinePunct/>
        <w:spacing w:line="300" w:lineRule="auto"/>
        <w:rPr>
          <w:color w:val="auto"/>
          <w:highlight w:val="none"/>
        </w:rPr>
      </w:pPr>
      <w:r>
        <w:rPr>
          <w:rFonts w:hint="eastAsia"/>
          <w:color w:val="auto"/>
          <w:highlight w:val="none"/>
        </w:rPr>
        <w:t>说明：（1）须提供评分标准中的相关证明文件或证书作为评审依据，否则不得分。</w:t>
      </w:r>
    </w:p>
    <w:p>
      <w:pPr>
        <w:topLinePunct/>
        <w:spacing w:line="300" w:lineRule="auto"/>
        <w:ind w:firstLine="630" w:firstLineChars="3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）评分如出现小数点，则保留小数点后两位，第三位四舍五入。</w:t>
      </w:r>
    </w:p>
    <w:p>
      <w:pPr>
        <w:topLinePunct/>
        <w:spacing w:line="300" w:lineRule="auto"/>
        <w:ind w:firstLine="630" w:firstLineChars="300"/>
        <w:rPr>
          <w:rFonts w:ascii="Times New Roman" w:hAnsi="Times New Roman"/>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宋体" w:hAnsi="宋体" w:cs="宋体"/>
          <w:color w:val="auto"/>
          <w:szCs w:val="21"/>
          <w:highlight w:val="none"/>
        </w:rPr>
        <w:t>投标人的综合得分为各评委的评分的算术平均分（分数出现小数点时，保留小数点后二位，第三位小数四舍五入）</w:t>
      </w:r>
      <w:r>
        <w:rPr>
          <w:rFonts w:hint="eastAsia"/>
          <w:color w:val="auto"/>
          <w:highlight w:val="none"/>
        </w:rPr>
        <w:t>。</w:t>
      </w:r>
    </w:p>
    <w:p>
      <w:pPr>
        <w:pStyle w:val="4"/>
        <w:keepNext w:val="0"/>
        <w:keepLines w:val="0"/>
        <w:spacing w:before="200" w:after="100" w:line="360" w:lineRule="auto"/>
        <w:rPr>
          <w:rFonts w:ascii="Times New Roman" w:hAnsi="Times New Roman"/>
          <w:color w:val="auto"/>
          <w:highlight w:val="none"/>
        </w:rPr>
      </w:pPr>
      <w:r>
        <w:rPr>
          <w:rFonts w:ascii="Times New Roman" w:hAnsi="Times New Roman"/>
          <w:color w:val="auto"/>
          <w:highlight w:val="none"/>
        </w:rPr>
        <w:br w:type="page"/>
      </w:r>
      <w:bookmarkStart w:id="945" w:name="_Toc7846"/>
      <w:bookmarkStart w:id="946" w:name="_Toc4585"/>
      <w:bookmarkStart w:id="947" w:name="_Toc10091"/>
      <w:r>
        <w:rPr>
          <w:rFonts w:ascii="Times New Roman" w:hAnsi="Times New Roman"/>
          <w:color w:val="auto"/>
          <w:highlight w:val="none"/>
        </w:rPr>
        <w:t>1. 评标方法</w:t>
      </w:r>
      <w:bookmarkEnd w:id="945"/>
      <w:bookmarkEnd w:id="946"/>
      <w:bookmarkEnd w:id="947"/>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本次评标采用综合评估法。评标委员会对满足招标文件实质性要求的投标文件，按照本章第2.2款规定的评分标准进行打分，并</w:t>
      </w:r>
      <w:r>
        <w:rPr>
          <w:rFonts w:hint="eastAsia" w:ascii="Times New Roman" w:hAnsi="Times New Roman"/>
          <w:color w:val="auto"/>
          <w:sz w:val="24"/>
          <w:szCs w:val="24"/>
          <w:highlight w:val="none"/>
        </w:rPr>
        <w:t>按总得分由高到低顺序推荐中标候选人，若两家或以上的投标人总得分相同时，则投标报价得分高的排前；若投标人总得分和投标报价得分均相同，则</w:t>
      </w:r>
      <w:r>
        <w:rPr>
          <w:rFonts w:hint="eastAsia" w:ascii="Times New Roman" w:hAnsi="Times New Roman"/>
          <w:color w:val="auto"/>
          <w:sz w:val="24"/>
          <w:szCs w:val="24"/>
          <w:highlight w:val="none"/>
          <w:lang w:eastAsia="zh-CN"/>
        </w:rPr>
        <w:t>技术服务方案</w:t>
      </w:r>
      <w:r>
        <w:rPr>
          <w:rFonts w:hint="eastAsia" w:ascii="Times New Roman" w:hAnsi="Times New Roman"/>
          <w:color w:val="auto"/>
          <w:sz w:val="24"/>
          <w:szCs w:val="24"/>
          <w:highlight w:val="none"/>
        </w:rPr>
        <w:t>得分高的排前；若投标人总得分、投标报价得分和</w:t>
      </w:r>
      <w:r>
        <w:rPr>
          <w:rFonts w:hint="eastAsia" w:ascii="Times New Roman" w:hAnsi="Times New Roman"/>
          <w:color w:val="auto"/>
          <w:sz w:val="24"/>
          <w:szCs w:val="24"/>
          <w:highlight w:val="none"/>
          <w:lang w:eastAsia="zh-CN"/>
        </w:rPr>
        <w:t>技术服务方案</w:t>
      </w:r>
      <w:r>
        <w:rPr>
          <w:rFonts w:hint="eastAsia" w:ascii="Times New Roman" w:hAnsi="Times New Roman"/>
          <w:color w:val="auto"/>
          <w:sz w:val="24"/>
          <w:szCs w:val="24"/>
          <w:highlight w:val="none"/>
        </w:rPr>
        <w:t>得分均相同，则由评标委员会投票表决推荐排名优先的投标人。</w:t>
      </w:r>
    </w:p>
    <w:p>
      <w:pPr>
        <w:pStyle w:val="4"/>
        <w:keepNext w:val="0"/>
        <w:keepLines w:val="0"/>
        <w:spacing w:line="260" w:lineRule="exact"/>
        <w:rPr>
          <w:rFonts w:ascii="Times New Roman" w:hAnsi="Times New Roman"/>
          <w:color w:val="auto"/>
          <w:highlight w:val="none"/>
        </w:rPr>
      </w:pPr>
      <w:bookmarkStart w:id="948" w:name="_Toc10040"/>
      <w:bookmarkStart w:id="949" w:name="_Toc15812"/>
      <w:bookmarkStart w:id="950" w:name="_Toc24121"/>
      <w:r>
        <w:rPr>
          <w:rFonts w:ascii="Times New Roman" w:hAnsi="Times New Roman"/>
          <w:color w:val="auto"/>
          <w:highlight w:val="none"/>
        </w:rPr>
        <w:t>2. 评审标准</w:t>
      </w:r>
      <w:bookmarkEnd w:id="948"/>
      <w:bookmarkEnd w:id="949"/>
      <w:bookmarkEnd w:id="950"/>
    </w:p>
    <w:p>
      <w:pPr>
        <w:pStyle w:val="5"/>
        <w:keepNext w:val="0"/>
        <w:keepLines w:val="0"/>
        <w:spacing w:line="240" w:lineRule="auto"/>
        <w:ind w:firstLine="137"/>
        <w:rPr>
          <w:rFonts w:ascii="Times New Roman" w:hAnsi="Times New Roman"/>
          <w:color w:val="auto"/>
          <w:highlight w:val="none"/>
        </w:rPr>
      </w:pPr>
      <w:bookmarkStart w:id="951" w:name="_Toc13429"/>
      <w:bookmarkStart w:id="952" w:name="_Toc30338"/>
      <w:bookmarkStart w:id="953" w:name="_Toc10925"/>
      <w:r>
        <w:rPr>
          <w:rFonts w:ascii="Times New Roman" w:hAnsi="Times New Roman"/>
          <w:color w:val="auto"/>
          <w:highlight w:val="none"/>
        </w:rPr>
        <w:t>2.1 初步评审标准</w:t>
      </w:r>
      <w:bookmarkEnd w:id="951"/>
      <w:bookmarkEnd w:id="952"/>
      <w:bookmarkEnd w:id="953"/>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 形式评审标准：见评标办法前附表。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 资格评审标准：见评标办法前附表。</w:t>
      </w:r>
    </w:p>
    <w:p>
      <w:pPr>
        <w:spacing w:line="400" w:lineRule="exact"/>
        <w:ind w:firstLine="480" w:firstLineChars="200"/>
        <w:rPr>
          <w:rFonts w:ascii="Times New Roman" w:hAnsi="Times New Roman"/>
          <w:color w:val="auto"/>
          <w:highlight w:val="none"/>
        </w:rPr>
      </w:pPr>
      <w:r>
        <w:rPr>
          <w:rFonts w:ascii="Times New Roman" w:hAnsi="Times New Roman"/>
          <w:color w:val="auto"/>
          <w:sz w:val="24"/>
          <w:szCs w:val="24"/>
          <w:highlight w:val="none"/>
        </w:rPr>
        <w:t>2.1.3 响应性评审标准：见评标办法前附表。</w:t>
      </w:r>
    </w:p>
    <w:p>
      <w:pPr>
        <w:pStyle w:val="5"/>
        <w:keepNext w:val="0"/>
        <w:keepLines w:val="0"/>
        <w:spacing w:line="240" w:lineRule="auto"/>
        <w:ind w:firstLine="137"/>
        <w:rPr>
          <w:rFonts w:ascii="Times New Roman" w:hAnsi="Times New Roman"/>
          <w:color w:val="auto"/>
          <w:highlight w:val="none"/>
        </w:rPr>
      </w:pPr>
      <w:bookmarkStart w:id="954" w:name="_Toc23891"/>
      <w:bookmarkStart w:id="955" w:name="_Toc26377"/>
      <w:bookmarkStart w:id="956" w:name="_Toc19945"/>
      <w:r>
        <w:rPr>
          <w:rFonts w:ascii="Times New Roman" w:hAnsi="Times New Roman"/>
          <w:color w:val="auto"/>
          <w:highlight w:val="none"/>
        </w:rPr>
        <w:t>2.2 分值构成与评分标准</w:t>
      </w:r>
      <w:bookmarkEnd w:id="954"/>
      <w:bookmarkEnd w:id="955"/>
      <w:bookmarkEnd w:id="956"/>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2.2.1 分值构成</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（1）资信业绩部分：见评标办法前附表；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lang w:eastAsia="zh-CN"/>
        </w:rPr>
        <w:t>技术服务方案</w:t>
      </w:r>
      <w:r>
        <w:rPr>
          <w:rFonts w:hint="eastAsia" w:ascii="Times New Roman" w:hAnsi="Times New Roman"/>
          <w:color w:val="auto"/>
          <w:sz w:val="24"/>
          <w:szCs w:val="24"/>
          <w:highlight w:val="none"/>
        </w:rPr>
        <w:t>部分</w:t>
      </w:r>
      <w:r>
        <w:rPr>
          <w:rFonts w:ascii="Times New Roman" w:hAnsi="Times New Roman"/>
          <w:color w:val="auto"/>
          <w:sz w:val="24"/>
          <w:szCs w:val="24"/>
          <w:highlight w:val="none"/>
        </w:rPr>
        <w:t>：见评标办法前附表；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（3）投标报价：见评标办法前附表；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2.2.2 评标基准价计算</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评标基准价计算方法：见评标办法前附表。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2.2.3 投标报价的偏差率计算</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投标报价的偏差率计算公式：见评标办法前附表。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2.2.4 评分标准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（1）资信业绩评分标准：见评标办法前附表；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lang w:eastAsia="zh-CN"/>
        </w:rPr>
        <w:t>技术服务方案</w:t>
      </w:r>
      <w:r>
        <w:rPr>
          <w:rFonts w:ascii="Times New Roman" w:hAnsi="Times New Roman"/>
          <w:color w:val="auto"/>
          <w:sz w:val="24"/>
          <w:szCs w:val="24"/>
          <w:highlight w:val="none"/>
        </w:rPr>
        <w:t>评分标准：见评标办法前附表；</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（3）投标报价评分标准：见评标办法前附表；</w:t>
      </w:r>
    </w:p>
    <w:p>
      <w:pPr>
        <w:pStyle w:val="4"/>
        <w:keepNext w:val="0"/>
        <w:keepLines w:val="0"/>
        <w:spacing w:line="260" w:lineRule="exact"/>
        <w:rPr>
          <w:rFonts w:ascii="Times New Roman" w:hAnsi="Times New Roman"/>
          <w:color w:val="auto"/>
          <w:highlight w:val="none"/>
        </w:rPr>
      </w:pPr>
      <w:bookmarkStart w:id="957" w:name="_Toc15297"/>
    </w:p>
    <w:p>
      <w:pPr>
        <w:pStyle w:val="4"/>
        <w:keepNext w:val="0"/>
        <w:keepLines w:val="0"/>
        <w:spacing w:line="260" w:lineRule="exact"/>
        <w:rPr>
          <w:rFonts w:ascii="Times New Roman" w:hAnsi="Times New Roman"/>
          <w:color w:val="auto"/>
          <w:highlight w:val="none"/>
        </w:rPr>
      </w:pPr>
    </w:p>
    <w:p>
      <w:pPr>
        <w:pStyle w:val="4"/>
        <w:keepNext w:val="0"/>
        <w:keepLines w:val="0"/>
        <w:spacing w:line="260" w:lineRule="exact"/>
        <w:rPr>
          <w:rFonts w:ascii="Times New Roman" w:hAnsi="Times New Roman"/>
          <w:color w:val="auto"/>
          <w:highlight w:val="none"/>
        </w:rPr>
      </w:pPr>
    </w:p>
    <w:p>
      <w:pPr>
        <w:pStyle w:val="4"/>
        <w:keepNext w:val="0"/>
        <w:keepLines w:val="0"/>
        <w:spacing w:line="360" w:lineRule="auto"/>
        <w:rPr>
          <w:rFonts w:ascii="Times New Roman" w:hAnsi="Times New Roman"/>
          <w:color w:val="auto"/>
          <w:highlight w:val="none"/>
        </w:rPr>
      </w:pPr>
      <w:bookmarkStart w:id="958" w:name="_Toc15108"/>
      <w:bookmarkStart w:id="959" w:name="_Toc30938"/>
      <w:r>
        <w:rPr>
          <w:rFonts w:ascii="Times New Roman" w:hAnsi="Times New Roman"/>
          <w:color w:val="auto"/>
          <w:highlight w:val="none"/>
        </w:rPr>
        <w:t>3. 评标程序</w:t>
      </w:r>
      <w:bookmarkEnd w:id="957"/>
      <w:bookmarkEnd w:id="958"/>
      <w:bookmarkEnd w:id="959"/>
    </w:p>
    <w:p>
      <w:pPr>
        <w:pStyle w:val="5"/>
        <w:keepNext w:val="0"/>
        <w:keepLines w:val="0"/>
        <w:spacing w:line="240" w:lineRule="auto"/>
        <w:ind w:firstLine="0" w:firstLineChars="0"/>
        <w:rPr>
          <w:rFonts w:ascii="Times New Roman" w:hAnsi="Times New Roman"/>
          <w:color w:val="auto"/>
          <w:highlight w:val="none"/>
        </w:rPr>
      </w:pPr>
      <w:bookmarkStart w:id="960" w:name="_Toc25610"/>
      <w:bookmarkStart w:id="961" w:name="_Toc11485"/>
      <w:bookmarkStart w:id="962" w:name="_Toc28359"/>
      <w:r>
        <w:rPr>
          <w:rFonts w:ascii="Times New Roman" w:hAnsi="Times New Roman"/>
          <w:color w:val="auto"/>
          <w:highlight w:val="none"/>
        </w:rPr>
        <w:t>3.1 初步评审</w:t>
      </w:r>
      <w:bookmarkEnd w:id="960"/>
      <w:bookmarkEnd w:id="961"/>
      <w:bookmarkEnd w:id="962"/>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 投标人有以下情形之一的，评标委员会应当否决其投标：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（1）投标文件没有对招标文件的实质性要求和条件作出响应，或者对招标文件的偏差超出招标文件规定的偏差范围或最高项数；</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（2）有串通投标、弄虚作假、行贿等违法行为。</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投标报价有算术错误及其他错误的，评标委员会按以下原则要求投标人对投标报价进</w:t>
      </w:r>
      <w:bookmarkStart w:id="963" w:name="_Toc361508651"/>
      <w:bookmarkStart w:id="964" w:name="_Toc300835013"/>
      <w:bookmarkStart w:id="965" w:name="_Toc384308277"/>
      <w:bookmarkStart w:id="966" w:name="_Toc152042380"/>
      <w:bookmarkStart w:id="967" w:name="_Toc352691538"/>
      <w:bookmarkStart w:id="968" w:name="_Toc152045603"/>
      <w:bookmarkStart w:id="969" w:name="_Toc369531582"/>
      <w:bookmarkStart w:id="970" w:name="_Toc247527628"/>
      <w:bookmarkStart w:id="971" w:name="_Toc247514027"/>
      <w:bookmarkStart w:id="972" w:name="_Toc144974570"/>
      <w:bookmarkStart w:id="973" w:name="_Toc2907"/>
      <w:r>
        <w:rPr>
          <w:rFonts w:ascii="Times New Roman" w:hAnsi="Times New Roman"/>
          <w:color w:val="auto"/>
          <w:sz w:val="24"/>
          <w:szCs w:val="24"/>
          <w:highlight w:val="none"/>
        </w:rPr>
        <w:t>行修正，并要求投标人书面澄清确认。</w:t>
      </w:r>
      <w:bookmarkEnd w:id="963"/>
      <w:bookmarkEnd w:id="964"/>
      <w:bookmarkEnd w:id="965"/>
      <w:bookmarkEnd w:id="966"/>
      <w:bookmarkEnd w:id="967"/>
      <w:bookmarkEnd w:id="968"/>
      <w:bookmarkEnd w:id="969"/>
      <w:bookmarkEnd w:id="970"/>
      <w:bookmarkEnd w:id="971"/>
      <w:bookmarkEnd w:id="972"/>
      <w:bookmarkEnd w:id="973"/>
      <w:r>
        <w:rPr>
          <w:rFonts w:ascii="Times New Roman" w:hAnsi="Times New Roman"/>
          <w:color w:val="auto"/>
          <w:sz w:val="24"/>
          <w:szCs w:val="24"/>
          <w:highlight w:val="none"/>
        </w:rPr>
        <w:t>投标人拒不澄清确认的，评标委员会应当否决其投标：</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（1）投标文件中的大写金额与小写金额不一致的，以大写金额为准；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（2）总价金额与单价金额不一致的，以单价金额为准，但单价金额小数点有明显错误的除外</w:t>
      </w:r>
      <w:r>
        <w:rPr>
          <w:rFonts w:hint="eastAsia" w:ascii="Times New Roman" w:hAnsi="Times New Roman"/>
          <w:color w:val="auto"/>
          <w:sz w:val="24"/>
          <w:szCs w:val="24"/>
          <w:highlight w:val="none"/>
        </w:rPr>
        <w:t>。</w:t>
      </w:r>
    </w:p>
    <w:p>
      <w:pPr>
        <w:pStyle w:val="5"/>
        <w:keepNext w:val="0"/>
        <w:keepLines w:val="0"/>
        <w:spacing w:line="260" w:lineRule="exact"/>
        <w:ind w:firstLine="137"/>
        <w:rPr>
          <w:rFonts w:ascii="Times New Roman" w:hAnsi="Times New Roman"/>
          <w:color w:val="auto"/>
          <w:highlight w:val="none"/>
        </w:rPr>
      </w:pPr>
      <w:bookmarkStart w:id="974" w:name="_Toc15142"/>
      <w:bookmarkStart w:id="975" w:name="_Toc15678"/>
      <w:bookmarkStart w:id="976" w:name="_Toc19120"/>
      <w:r>
        <w:rPr>
          <w:rFonts w:ascii="Times New Roman" w:hAnsi="Times New Roman"/>
          <w:color w:val="auto"/>
          <w:highlight w:val="none"/>
        </w:rPr>
        <w:t>3.2 详细评审</w:t>
      </w:r>
      <w:bookmarkEnd w:id="974"/>
      <w:bookmarkEnd w:id="975"/>
      <w:bookmarkEnd w:id="976"/>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3.2.1 评标委员会按本章第2.2款规定的量化因素和分值进行打分，并计算出综合评估得分。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（1）按本章第2.2.4（1）目规定的评审因素和分值对资信业绩部分计算出得分A；</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（2）按本章第2.2.4（2）目规定的评审因素和分值对</w:t>
      </w:r>
      <w:r>
        <w:rPr>
          <w:rFonts w:hint="eastAsia" w:ascii="Times New Roman" w:hAnsi="Times New Roman"/>
          <w:color w:val="auto"/>
          <w:sz w:val="24"/>
          <w:szCs w:val="24"/>
          <w:highlight w:val="none"/>
          <w:lang w:eastAsia="zh-CN"/>
        </w:rPr>
        <w:t>技术服务方案</w:t>
      </w:r>
      <w:r>
        <w:rPr>
          <w:rFonts w:hint="eastAsia" w:ascii="Times New Roman" w:hAnsi="Times New Roman"/>
          <w:color w:val="auto"/>
          <w:sz w:val="24"/>
          <w:szCs w:val="24"/>
          <w:highlight w:val="none"/>
        </w:rPr>
        <w:t>部分</w:t>
      </w:r>
      <w:r>
        <w:rPr>
          <w:rFonts w:ascii="Times New Roman" w:hAnsi="Times New Roman"/>
          <w:color w:val="auto"/>
          <w:sz w:val="24"/>
          <w:szCs w:val="24"/>
          <w:highlight w:val="none"/>
        </w:rPr>
        <w:t>计算出得分B；</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（3）按本章第2.2.4（3）目规定的评审因素和</w:t>
      </w:r>
      <w:bookmarkStart w:id="977" w:name="_Toc369531583"/>
      <w:bookmarkStart w:id="978" w:name="_Toc24330"/>
      <w:bookmarkStart w:id="979" w:name="_Toc247527629"/>
      <w:bookmarkStart w:id="980" w:name="_Toc152042381"/>
      <w:bookmarkStart w:id="981" w:name="_Toc384308278"/>
      <w:bookmarkStart w:id="982" w:name="_Toc352691539"/>
      <w:bookmarkStart w:id="983" w:name="_Toc144974571"/>
      <w:bookmarkStart w:id="984" w:name="_Toc361508652"/>
      <w:bookmarkStart w:id="985" w:name="_Toc247514028"/>
      <w:bookmarkStart w:id="986" w:name="_Toc300835014"/>
      <w:bookmarkStart w:id="987" w:name="_Toc152045604"/>
      <w:r>
        <w:rPr>
          <w:rFonts w:ascii="Times New Roman" w:hAnsi="Times New Roman"/>
          <w:color w:val="auto"/>
          <w:sz w:val="24"/>
          <w:szCs w:val="24"/>
          <w:highlight w:val="none"/>
        </w:rPr>
        <w:t>分值对投标报价</w:t>
      </w:r>
      <w:bookmarkEnd w:id="977"/>
      <w:bookmarkEnd w:id="978"/>
      <w:bookmarkEnd w:id="979"/>
      <w:bookmarkEnd w:id="980"/>
      <w:bookmarkEnd w:id="981"/>
      <w:bookmarkEnd w:id="982"/>
      <w:bookmarkEnd w:id="983"/>
      <w:bookmarkEnd w:id="984"/>
      <w:bookmarkEnd w:id="985"/>
      <w:bookmarkEnd w:id="986"/>
      <w:bookmarkEnd w:id="987"/>
      <w:r>
        <w:rPr>
          <w:rFonts w:ascii="Times New Roman" w:hAnsi="Times New Roman"/>
          <w:color w:val="auto"/>
          <w:sz w:val="24"/>
          <w:szCs w:val="24"/>
          <w:highlight w:val="none"/>
        </w:rPr>
        <w:t>计</w:t>
      </w:r>
      <w:bookmarkStart w:id="988" w:name="_Toc384308279"/>
      <w:bookmarkStart w:id="989" w:name="_Toc247514029"/>
      <w:bookmarkStart w:id="990" w:name="_Toc300835015"/>
      <w:bookmarkStart w:id="991" w:name="_Toc18141"/>
      <w:bookmarkStart w:id="992" w:name="_Toc144974572"/>
      <w:bookmarkStart w:id="993" w:name="_Toc361508653"/>
      <w:bookmarkStart w:id="994" w:name="_Toc152042382"/>
      <w:bookmarkStart w:id="995" w:name="_Toc152045605"/>
      <w:bookmarkStart w:id="996" w:name="_Toc352691540"/>
      <w:bookmarkStart w:id="997" w:name="_Toc369531584"/>
      <w:bookmarkStart w:id="998" w:name="_Toc247527630"/>
      <w:r>
        <w:rPr>
          <w:rFonts w:ascii="Times New Roman" w:hAnsi="Times New Roman"/>
          <w:color w:val="auto"/>
          <w:sz w:val="24"/>
          <w:szCs w:val="24"/>
          <w:highlight w:val="none"/>
        </w:rPr>
        <w:t>算出得分C；</w:t>
      </w:r>
    </w:p>
    <w:bookmarkEnd w:id="988"/>
    <w:bookmarkEnd w:id="989"/>
    <w:bookmarkEnd w:id="990"/>
    <w:bookmarkEnd w:id="991"/>
    <w:bookmarkEnd w:id="992"/>
    <w:bookmarkEnd w:id="993"/>
    <w:bookmarkEnd w:id="994"/>
    <w:bookmarkEnd w:id="995"/>
    <w:bookmarkEnd w:id="996"/>
    <w:bookmarkEnd w:id="997"/>
    <w:bookmarkEnd w:id="998"/>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3.2.2 评分分值计算保留小数点后两位，小数点后第三位“四舍五入”。</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3.2.3 投标人得分=A+B+C。</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keepNext w:val="0"/>
        <w:keepLines w:val="0"/>
        <w:spacing w:line="240" w:lineRule="auto"/>
        <w:ind w:firstLine="137"/>
        <w:rPr>
          <w:rFonts w:ascii="Times New Roman" w:hAnsi="Times New Roman"/>
          <w:color w:val="auto"/>
          <w:highlight w:val="none"/>
        </w:rPr>
      </w:pPr>
      <w:bookmarkStart w:id="999" w:name="_Toc6847"/>
      <w:bookmarkStart w:id="1000" w:name="_Toc7489"/>
      <w:bookmarkStart w:id="1001" w:name="_Toc22547"/>
      <w:r>
        <w:rPr>
          <w:rFonts w:ascii="Times New Roman" w:hAnsi="Times New Roman"/>
          <w:color w:val="auto"/>
          <w:highlight w:val="none"/>
        </w:rPr>
        <w:t>3.3 投标文件的澄清</w:t>
      </w:r>
      <w:bookmarkEnd w:id="999"/>
      <w:bookmarkEnd w:id="1000"/>
      <w:bookmarkEnd w:id="1001"/>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3.3.2 澄清、说明或补正不得超出投标文件的范围且不得改变投标文件的实质性内容，并构成投标文件的组成部分。</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3.3.3 评标委员会对投标人提交的澄清、说明或补正有疑问的，可以要求投标人进一步澄清、说明或补正，直至满足评标委员会的要求。</w:t>
      </w:r>
    </w:p>
    <w:p>
      <w:pPr>
        <w:pStyle w:val="5"/>
        <w:keepNext w:val="0"/>
        <w:keepLines w:val="0"/>
        <w:spacing w:line="240" w:lineRule="auto"/>
        <w:ind w:firstLine="137"/>
        <w:rPr>
          <w:rFonts w:ascii="Times New Roman" w:hAnsi="Times New Roman"/>
          <w:color w:val="auto"/>
          <w:highlight w:val="none"/>
        </w:rPr>
      </w:pPr>
      <w:bookmarkStart w:id="1002" w:name="_Toc21242"/>
      <w:bookmarkStart w:id="1003" w:name="_Toc26303"/>
      <w:bookmarkStart w:id="1004" w:name="_Toc32259"/>
      <w:r>
        <w:rPr>
          <w:rFonts w:ascii="Times New Roman" w:hAnsi="Times New Roman"/>
          <w:color w:val="auto"/>
          <w:highlight w:val="none"/>
        </w:rPr>
        <w:t>3.4 评标结果</w:t>
      </w:r>
      <w:bookmarkEnd w:id="1002"/>
      <w:bookmarkEnd w:id="1003"/>
      <w:bookmarkEnd w:id="1004"/>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3.4.1 除第二章“投标人须知”前附表授权直接确定中标人外，评标委员会按照得分由高到低的顺序推荐中标候选人，并标明排序。</w:t>
      </w:r>
    </w:p>
    <w:p>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3.4.2 评标委员会完成评标后，应当向招标人提交书面评标报告和中标候选人名单。</w:t>
      </w:r>
    </w:p>
    <w:p>
      <w:pPr>
        <w:rPr>
          <w:rFonts w:ascii="Times New Roman" w:hAnsi="Times New Roman"/>
          <w:b/>
          <w:color w:val="auto"/>
          <w:kern w:val="44"/>
          <w:sz w:val="44"/>
          <w:szCs w:val="20"/>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keepNext w:val="0"/>
        <w:keepLines w:val="0"/>
        <w:jc w:val="center"/>
        <w:rPr>
          <w:color w:val="auto"/>
          <w:highlight w:val="none"/>
        </w:rPr>
      </w:pPr>
      <w:r>
        <w:rPr>
          <w:color w:val="auto"/>
          <w:highlight w:val="none"/>
        </w:rPr>
        <w:br w:type="page"/>
      </w:r>
      <w:bookmarkStart w:id="1005" w:name="_Toc19869"/>
      <w:r>
        <w:rPr>
          <w:color w:val="auto"/>
          <w:highlight w:val="none"/>
        </w:rPr>
        <w:t>第四章合同条款及格式</w:t>
      </w:r>
      <w:bookmarkEnd w:id="1005"/>
    </w:p>
    <w:p>
      <w:pPr>
        <w:pStyle w:val="26"/>
        <w:spacing w:line="640" w:lineRule="exact"/>
        <w:jc w:val="center"/>
        <w:rPr>
          <w:rFonts w:ascii="宋体"/>
          <w:color w:val="auto"/>
          <w:highlight w:val="none"/>
        </w:rPr>
      </w:pPr>
      <w:r>
        <w:rPr>
          <w:rFonts w:hint="eastAsia"/>
          <w:color w:val="auto"/>
          <w:highlight w:val="none"/>
        </w:rPr>
        <w:t>（</w:t>
      </w:r>
      <w:r>
        <w:rPr>
          <w:rFonts w:hint="eastAsia" w:ascii="宋体" w:hAnsi="宋体"/>
          <w:color w:val="auto"/>
          <w:highlight w:val="none"/>
        </w:rPr>
        <w:t>合同另册）。</w:t>
      </w:r>
    </w:p>
    <w:p>
      <w:pPr>
        <w:pStyle w:val="10"/>
        <w:snapToGrid w:val="0"/>
        <w:spacing w:line="400" w:lineRule="atLeast"/>
        <w:ind w:left="0" w:leftChars="0" w:firstLine="420" w:firstLineChars="200"/>
        <w:rPr>
          <w:color w:val="auto"/>
          <w:szCs w:val="21"/>
          <w:highlight w:val="none"/>
        </w:rPr>
      </w:pPr>
    </w:p>
    <w:p>
      <w:pPr>
        <w:rPr>
          <w:color w:val="auto"/>
          <w:highlight w:val="none"/>
        </w:rPr>
      </w:pPr>
    </w:p>
    <w:p>
      <w:pPr>
        <w:rPr>
          <w:rFonts w:ascii="Times New Roman" w:hAnsi="Times New Roman"/>
          <w:b/>
          <w:color w:val="auto"/>
          <w:kern w:val="44"/>
          <w:sz w:val="44"/>
          <w:szCs w:val="20"/>
          <w:highlight w:val="none"/>
        </w:rPr>
      </w:pPr>
      <w:bookmarkStart w:id="1006" w:name="_Toc246997081"/>
      <w:bookmarkStart w:id="1007" w:name="_Toc179632787"/>
      <w:bookmarkStart w:id="1008" w:name="_Toc247085853"/>
      <w:bookmarkStart w:id="1009" w:name="_Toc246996338"/>
      <w:bookmarkStart w:id="1010" w:name="_Toc152045610"/>
      <w:bookmarkStart w:id="1011" w:name="_Toc144974578"/>
      <w:bookmarkStart w:id="1012" w:name="_Toc152042388"/>
      <w:bookmarkStart w:id="1013" w:name="_Toc247514197"/>
      <w:bookmarkStart w:id="1014" w:name="_Toc144974829"/>
      <w:bookmarkStart w:id="1015" w:name="_Toc152042549"/>
      <w:bookmarkStart w:id="1016" w:name="_Toc300835199"/>
      <w:bookmarkStart w:id="1017" w:name="_Toc184635122"/>
      <w:bookmarkStart w:id="1018" w:name="_Toc247527798"/>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rFonts w:ascii="Times New Roman" w:hAnsi="Times New Roman"/>
          <w:b/>
          <w:color w:val="auto"/>
          <w:kern w:val="44"/>
          <w:sz w:val="44"/>
          <w:szCs w:val="20"/>
          <w:highlight w:val="none"/>
        </w:rPr>
      </w:pPr>
    </w:p>
    <w:p>
      <w:pPr>
        <w:rPr>
          <w:color w:val="auto"/>
          <w:highlight w:val="none"/>
        </w:rPr>
      </w:pPr>
    </w:p>
    <w:p>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olor w:val="auto"/>
          <w:highlight w:val="none"/>
          <w:lang w:eastAsia="zh-CN"/>
        </w:rPr>
      </w:pPr>
      <w:bookmarkStart w:id="1019" w:name="_Toc3400"/>
      <w:bookmarkStart w:id="1020" w:name="_Toc22398"/>
      <w:r>
        <w:rPr>
          <w:rFonts w:hint="eastAsia" w:ascii="方正小标宋简体" w:hAnsi="方正小标宋简体" w:eastAsia="方正小标宋简体" w:cs="方正小标宋简体"/>
          <w:b w:val="0"/>
          <w:bCs/>
          <w:color w:val="auto"/>
          <w:sz w:val="44"/>
          <w:szCs w:val="44"/>
          <w:highlight w:val="none"/>
          <w:lang w:val="en-US" w:eastAsia="zh-CN"/>
        </w:rPr>
        <w:t>第二卷</w:t>
      </w:r>
      <w:bookmarkEnd w:id="1006"/>
      <w:bookmarkEnd w:id="1007"/>
      <w:bookmarkEnd w:id="1008"/>
      <w:bookmarkEnd w:id="1009"/>
      <w:bookmarkEnd w:id="1019"/>
      <w:bookmarkEnd w:id="1020"/>
      <w:bookmarkStart w:id="1021" w:name="_Toc22777"/>
      <w:r>
        <w:rPr>
          <w:rFonts w:hint="eastAsia" w:ascii="方正小标宋简体" w:hAnsi="方正小标宋简体" w:eastAsia="方正小标宋简体" w:cs="方正小标宋简体"/>
          <w:b w:val="0"/>
          <w:bCs/>
          <w:color w:val="auto"/>
          <w:sz w:val="44"/>
          <w:szCs w:val="44"/>
          <w:highlight w:val="none"/>
          <w:lang w:val="en-US" w:eastAsia="zh-CN"/>
        </w:rPr>
        <w:t xml:space="preserve"> </w:t>
      </w:r>
      <w:bookmarkStart w:id="1177" w:name="_GoBack"/>
      <w:bookmarkEnd w:id="1177"/>
      <w:r>
        <w:rPr>
          <w:color w:val="auto"/>
          <w:highlight w:val="none"/>
        </w:rPr>
        <w:t>第</w:t>
      </w:r>
      <w:r>
        <w:rPr>
          <w:rFonts w:hint="eastAsia"/>
          <w:color w:val="auto"/>
          <w:highlight w:val="none"/>
          <w:lang w:eastAsia="zh-CN"/>
        </w:rPr>
        <w:t>五</w:t>
      </w:r>
      <w:r>
        <w:rPr>
          <w:color w:val="auto"/>
          <w:highlight w:val="none"/>
        </w:rPr>
        <w:t>章</w:t>
      </w:r>
      <w:r>
        <w:rPr>
          <w:rFonts w:hint="eastAsia"/>
          <w:color w:val="auto"/>
          <w:highlight w:val="none"/>
          <w:lang w:eastAsia="zh-CN"/>
        </w:rPr>
        <w:t>委托人要求</w:t>
      </w:r>
      <w:bookmarkEnd w:id="1021"/>
    </w:p>
    <w:p>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bookmarkStart w:id="1022" w:name="_Toc7069"/>
      <w:r>
        <w:rPr>
          <w:rFonts w:hint="eastAsia" w:ascii="方正小标宋简体" w:hAnsi="方正小标宋简体" w:eastAsia="方正小标宋简体" w:cs="方正小标宋简体"/>
          <w:b w:val="0"/>
          <w:bCs/>
          <w:color w:val="auto"/>
          <w:sz w:val="44"/>
          <w:szCs w:val="44"/>
          <w:highlight w:val="none"/>
          <w:lang w:val="en-US" w:eastAsia="zh-CN"/>
        </w:rPr>
        <w:t>项目需求书</w:t>
      </w:r>
      <w:bookmarkEnd w:id="1022"/>
    </w:p>
    <w:p>
      <w:pPr>
        <w:spacing w:line="360" w:lineRule="auto"/>
        <w:ind w:left="0" w:leftChars="0" w:firstLine="562" w:firstLineChars="200"/>
        <w:jc w:val="center"/>
        <w:rPr>
          <w:rFonts w:hint="eastAsia" w:ascii="Times New Roman" w:hAnsi="Times New Roman" w:eastAsia="宋体"/>
          <w:b/>
          <w:color w:val="auto"/>
          <w:sz w:val="28"/>
          <w:szCs w:val="28"/>
          <w:highlight w:val="none"/>
          <w:lang w:val="en-US" w:eastAsia="zh-CN"/>
        </w:rPr>
      </w:pPr>
      <w:r>
        <w:rPr>
          <w:rFonts w:hint="eastAsia"/>
          <w:b/>
          <w:color w:val="auto"/>
          <w:sz w:val="28"/>
          <w:szCs w:val="28"/>
          <w:highlight w:val="none"/>
          <w:lang w:val="en-US" w:eastAsia="zh-CN"/>
        </w:rPr>
        <w:t xml:space="preserve">第一部分 </w:t>
      </w:r>
      <w:r>
        <w:rPr>
          <w:rFonts w:hint="eastAsia" w:ascii="Times New Roman" w:hAnsi="Times New Roman"/>
          <w:b/>
          <w:color w:val="auto"/>
          <w:sz w:val="28"/>
          <w:szCs w:val="28"/>
          <w:highlight w:val="none"/>
        </w:rPr>
        <w:t>新造油库地块土壤修复项目</w:t>
      </w:r>
      <w:r>
        <w:rPr>
          <w:rFonts w:hint="eastAsia" w:ascii="Times New Roman" w:hAnsi="Times New Roman"/>
          <w:b/>
          <w:color w:val="auto"/>
          <w:sz w:val="28"/>
          <w:szCs w:val="28"/>
          <w:highlight w:val="none"/>
          <w:lang w:val="en-US" w:eastAsia="zh-CN"/>
        </w:rPr>
        <w:t>实施内容</w:t>
      </w:r>
    </w:p>
    <w:p>
      <w:pPr>
        <w:adjustRightInd w:val="0"/>
        <w:snapToGrid w:val="0"/>
        <w:spacing w:line="300" w:lineRule="auto"/>
        <w:ind w:left="707" w:leftChars="229" w:hanging="226" w:hangingChars="94"/>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1.项目概况：</w:t>
      </w:r>
    </w:p>
    <w:p>
      <w:pPr>
        <w:spacing w:line="360" w:lineRule="auto"/>
        <w:ind w:left="0" w:leftChars="0" w:firstLine="480" w:firstLineChars="200"/>
        <w:rPr>
          <w:rFonts w:hint="eastAsia" w:ascii="宋体" w:hAnsi="宋体"/>
          <w:color w:val="auto"/>
          <w:sz w:val="24"/>
          <w:highlight w:val="none"/>
        </w:rPr>
      </w:pPr>
      <w:r>
        <w:rPr>
          <w:rFonts w:hint="default" w:ascii="宋体" w:hAnsi="宋体"/>
          <w:color w:val="auto"/>
          <w:sz w:val="24"/>
          <w:highlight w:val="none"/>
          <w:lang w:val="en-US"/>
        </w:rPr>
        <w:t>项目</w:t>
      </w:r>
      <w:r>
        <w:rPr>
          <w:rFonts w:hint="eastAsia" w:ascii="宋体" w:hAnsi="宋体"/>
          <w:color w:val="auto"/>
          <w:sz w:val="24"/>
          <w:highlight w:val="none"/>
        </w:rPr>
        <w:t>名称：新造油库地块土壤修复项目</w:t>
      </w:r>
    </w:p>
    <w:p>
      <w:pPr>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建设单位：广东省物资产业（集团）有限公司</w:t>
      </w:r>
    </w:p>
    <w:p>
      <w:pPr>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地块规模：地块拟征地红线面积95440.11㎡</w:t>
      </w:r>
    </w:p>
    <w:p>
      <w:pPr>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地块位置：广州市番禺区新造镇景秀路81号省油大院，地块位于番禺区北部，新化快速路以南，与大学城隔江相望。</w:t>
      </w:r>
    </w:p>
    <w:p>
      <w:pPr>
        <w:spacing w:line="360" w:lineRule="auto"/>
        <w:ind w:left="0" w:leftChars="0" w:firstLine="480" w:firstLineChars="200"/>
        <w:rPr>
          <w:rFonts w:hint="default" w:ascii="宋体" w:hAnsi="宋体"/>
          <w:color w:val="auto"/>
          <w:sz w:val="24"/>
          <w:highlight w:val="none"/>
          <w:lang w:val="en-US"/>
        </w:rPr>
      </w:pPr>
      <w:r>
        <w:rPr>
          <w:rFonts w:hint="default" w:ascii="宋体" w:hAnsi="宋体"/>
          <w:color w:val="auto"/>
          <w:sz w:val="24"/>
          <w:highlight w:val="none"/>
          <w:lang w:val="en-US"/>
        </w:rPr>
        <w:t>项目规模：对新造油库地块污染土壤进行修复治理达标，地块占地面积95440.11平方米。本地块需修复范围总面积为10177.19平方米，修复深度区间为0~6.0米，修复总方量29395.54立方米；环境管理范围面积约为44055.17 平方米，深度区间为0~16.0米，总超一不超二环境管理土壤方量为148533.19立方米。</w:t>
      </w:r>
    </w:p>
    <w:p>
      <w:pPr>
        <w:spacing w:line="360" w:lineRule="auto"/>
        <w:ind w:left="0" w:leftChars="0" w:firstLine="480" w:firstLineChars="200"/>
        <w:rPr>
          <w:rFonts w:hint="default" w:ascii="宋体" w:hAnsi="宋体"/>
          <w:color w:val="auto"/>
          <w:sz w:val="24"/>
          <w:highlight w:val="none"/>
          <w:lang w:val="en-US"/>
        </w:rPr>
      </w:pPr>
      <w:r>
        <w:rPr>
          <w:rFonts w:hint="default" w:ascii="宋体" w:hAnsi="宋体"/>
          <w:color w:val="auto"/>
          <w:sz w:val="24"/>
          <w:highlight w:val="none"/>
          <w:lang w:val="en-US"/>
        </w:rPr>
        <w:t>项目计划开展土壤修复工作，工作范围和工作量暂按《新造油库地块土壤修复技术方案（简版）》（下称“修复技术方案”），最终以通过生态环境主管部门备案的修复方案工作量为准。</w:t>
      </w:r>
    </w:p>
    <w:p>
      <w:pPr>
        <w:pStyle w:val="42"/>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left"/>
        <w:textAlignment w:val="auto"/>
        <w:rPr>
          <w:rFonts w:hint="eastAsia" w:ascii="宋体" w:hAnsi="宋体" w:eastAsia="宋体"/>
          <w:color w:val="auto"/>
          <w:sz w:val="24"/>
          <w:highlight w:val="none"/>
          <w:lang w:val="en-US" w:eastAsia="zh-CN"/>
        </w:rPr>
      </w:pPr>
      <w:r>
        <w:rPr>
          <w:rFonts w:hint="default" w:ascii="宋体" w:hAnsi="宋体"/>
          <w:color w:val="auto"/>
          <w:sz w:val="24"/>
          <w:highlight w:val="none"/>
          <w:lang w:val="en-US"/>
        </w:rPr>
        <w:t>工期</w:t>
      </w:r>
      <w:r>
        <w:rPr>
          <w:rFonts w:hint="eastAsia" w:ascii="宋体" w:hAnsi="宋体"/>
          <w:color w:val="auto"/>
          <w:sz w:val="24"/>
          <w:highlight w:val="none"/>
        </w:rPr>
        <w:t>要求：</w:t>
      </w:r>
      <w:r>
        <w:rPr>
          <w:rFonts w:hint="eastAsia" w:ascii="宋体" w:hAnsi="宋体" w:eastAsia="宋体" w:cs="宋体"/>
          <w:color w:val="auto"/>
          <w:sz w:val="24"/>
          <w:szCs w:val="24"/>
          <w:highlight w:val="none"/>
        </w:rPr>
        <w:t>中标之日起计，</w:t>
      </w:r>
      <w:r>
        <w:rPr>
          <w:rFonts w:hint="eastAsia" w:eastAsia="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val="en-US" w:eastAsia="zh-CN"/>
        </w:rPr>
        <w:t>180</w:t>
      </w:r>
      <w:r>
        <w:rPr>
          <w:rFonts w:hint="eastAsia" w:ascii="宋体" w:hAnsi="宋体" w:eastAsia="宋体" w:cs="宋体"/>
          <w:color w:val="auto"/>
          <w:sz w:val="24"/>
          <w:szCs w:val="24"/>
          <w:highlight w:val="none"/>
        </w:rPr>
        <w:t>日历天内完成项目所有土壤污染治理与修复，并经省（市）生态环境主管部门对修复效果评估报告组织评审通过并取得验收合格批复文件且移出广东省建设用地土壤污染风险管控和修复名录。中标人须无条件配合各方的监督、检查、监测、检测、验收等工作，各项配合工作所需时间均已包含在上述工期范围内。</w:t>
      </w:r>
      <w:r>
        <w:rPr>
          <w:rFonts w:hint="eastAsia" w:ascii="宋体" w:hAnsi="宋体" w:eastAsia="宋体" w:cs="宋体"/>
          <w:color w:val="auto"/>
          <w:sz w:val="24"/>
          <w:szCs w:val="24"/>
          <w:highlight w:val="none"/>
          <w:lang w:val="en-US" w:eastAsia="zh-CN"/>
        </w:rPr>
        <w:t>服务期自中标之日起，至移出土壤污染地块名录、监测检测完毕、地块管理移交</w:t>
      </w:r>
      <w:r>
        <w:rPr>
          <w:rFonts w:hint="eastAsia" w:cs="宋体"/>
          <w:color w:val="auto"/>
          <w:sz w:val="24"/>
          <w:szCs w:val="24"/>
          <w:highlight w:val="none"/>
          <w:lang w:val="en-US" w:eastAsia="zh-CN"/>
        </w:rPr>
        <w:t>、完成结算审核</w:t>
      </w:r>
      <w:r>
        <w:rPr>
          <w:rFonts w:hint="eastAsia" w:ascii="宋体" w:hAnsi="宋体" w:eastAsia="宋体" w:cs="宋体"/>
          <w:color w:val="auto"/>
          <w:sz w:val="24"/>
          <w:szCs w:val="24"/>
          <w:highlight w:val="none"/>
          <w:lang w:val="en-US" w:eastAsia="zh-CN"/>
        </w:rPr>
        <w:t>之日止。</w:t>
      </w:r>
    </w:p>
    <w:p>
      <w:pPr>
        <w:spacing w:line="360" w:lineRule="auto"/>
        <w:ind w:left="1998" w:leftChars="300" w:hanging="1368" w:hangingChars="570"/>
        <w:rPr>
          <w:rFonts w:hint="eastAsia" w:ascii="宋体" w:hAnsi="宋体"/>
          <w:color w:val="auto"/>
          <w:sz w:val="24"/>
          <w:highlight w:val="none"/>
        </w:rPr>
      </w:pPr>
      <w:r>
        <w:rPr>
          <w:rFonts w:hint="eastAsia" w:ascii="宋体" w:hAnsi="宋体"/>
          <w:color w:val="auto"/>
          <w:sz w:val="24"/>
          <w:highlight w:val="none"/>
          <w:lang w:val="en-US" w:eastAsia="zh-CN"/>
        </w:rPr>
        <w:t>项目招标控制价</w:t>
      </w:r>
      <w:r>
        <w:rPr>
          <w:rFonts w:hint="eastAsia" w:ascii="宋体" w:hAnsi="宋体"/>
          <w:color w:val="auto"/>
          <w:sz w:val="24"/>
          <w:highlight w:val="none"/>
        </w:rPr>
        <w:t>：</w:t>
      </w:r>
      <w:r>
        <w:rPr>
          <w:rFonts w:hint="eastAsia" w:ascii="宋体" w:hAnsi="宋体"/>
          <w:color w:val="auto"/>
          <w:sz w:val="24"/>
          <w:highlight w:val="none"/>
          <w:lang w:val="en-US" w:eastAsia="zh-CN"/>
        </w:rPr>
        <w:t>3618.58</w:t>
      </w:r>
      <w:r>
        <w:rPr>
          <w:rFonts w:hint="eastAsia" w:ascii="宋体" w:hAnsi="宋体"/>
          <w:color w:val="auto"/>
          <w:sz w:val="24"/>
          <w:highlight w:val="none"/>
        </w:rPr>
        <w:t>万元</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2.项目承包范围及内容：</w:t>
      </w:r>
    </w:p>
    <w:p>
      <w:pPr>
        <w:pStyle w:val="43"/>
        <w:bidi w:val="0"/>
        <w:adjustRightInd w:val="0"/>
        <w:snapToGrid w:val="0"/>
        <w:spacing w:line="360" w:lineRule="auto"/>
        <w:ind w:firstLine="480" w:firstLineChars="200"/>
        <w:jc w:val="left"/>
        <w:rPr>
          <w:rStyle w:val="24"/>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rPr>
        <w:t>2.1工作内容：</w:t>
      </w:r>
    </w:p>
    <w:p>
      <w:pPr>
        <w:numPr>
          <w:ilvl w:val="0"/>
          <w:numId w:val="0"/>
        </w:numPr>
        <w:shd w:val="clear" w:color="auto" w:fill="FFFFFF"/>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实施</w:t>
      </w:r>
      <w:r>
        <w:rPr>
          <w:rFonts w:hint="eastAsia" w:ascii="宋体" w:hAnsi="宋体" w:eastAsia="宋体" w:cs="宋体"/>
          <w:color w:val="auto"/>
          <w:sz w:val="24"/>
          <w:szCs w:val="24"/>
          <w:highlight w:val="none"/>
          <w:u w:val="single"/>
        </w:rPr>
        <w:t>投标人须依据《</w:t>
      </w:r>
      <w:r>
        <w:rPr>
          <w:rFonts w:hint="eastAsia" w:ascii="宋体" w:hAnsi="宋体" w:eastAsia="宋体" w:cs="宋体"/>
          <w:color w:val="auto"/>
          <w:sz w:val="24"/>
          <w:szCs w:val="24"/>
          <w:highlight w:val="none"/>
          <w:u w:val="single"/>
          <w:lang w:val="en-US" w:eastAsia="zh-CN"/>
        </w:rPr>
        <w:t>新造油库地块</w:t>
      </w:r>
      <w:r>
        <w:rPr>
          <w:rFonts w:hint="eastAsia" w:ascii="宋体" w:hAnsi="宋体" w:eastAsia="宋体" w:cs="宋体"/>
          <w:color w:val="auto"/>
          <w:sz w:val="24"/>
          <w:szCs w:val="24"/>
          <w:highlight w:val="none"/>
          <w:u w:val="single"/>
        </w:rPr>
        <w:t>土壤修复项目</w:t>
      </w:r>
      <w:r>
        <w:rPr>
          <w:rFonts w:hint="eastAsia" w:ascii="宋体" w:hAnsi="宋体" w:eastAsia="宋体" w:cs="宋体"/>
          <w:color w:val="auto"/>
          <w:sz w:val="24"/>
          <w:szCs w:val="24"/>
          <w:highlight w:val="none"/>
          <w:u w:val="single"/>
          <w:lang w:val="en-US" w:eastAsia="zh-CN"/>
        </w:rPr>
        <w:t>技术</w:t>
      </w:r>
      <w:r>
        <w:rPr>
          <w:rFonts w:hint="eastAsia" w:ascii="宋体" w:hAnsi="宋体" w:eastAsia="宋体" w:cs="宋体"/>
          <w:color w:val="auto"/>
          <w:sz w:val="24"/>
          <w:szCs w:val="24"/>
          <w:highlight w:val="none"/>
          <w:u w:val="single"/>
        </w:rPr>
        <w:t>方案》内容，结合本地块实际情况进行</w:t>
      </w:r>
      <w:r>
        <w:rPr>
          <w:rFonts w:hint="eastAsia" w:ascii="宋体" w:hAnsi="宋体" w:eastAsia="宋体" w:cs="宋体"/>
          <w:color w:val="auto"/>
          <w:sz w:val="24"/>
          <w:szCs w:val="24"/>
          <w:highlight w:val="none"/>
          <w:u w:val="single"/>
          <w:lang w:val="en-US" w:eastAsia="zh-CN"/>
        </w:rPr>
        <w:t>投标价限额</w:t>
      </w:r>
      <w:r>
        <w:rPr>
          <w:rFonts w:hint="eastAsia" w:ascii="宋体" w:hAnsi="宋体" w:eastAsia="宋体" w:cs="宋体"/>
          <w:color w:val="auto"/>
          <w:sz w:val="24"/>
          <w:szCs w:val="24"/>
          <w:highlight w:val="none"/>
          <w:u w:val="single"/>
        </w:rPr>
        <w:t>深化设计,</w:t>
      </w:r>
      <w:r>
        <w:rPr>
          <w:rFonts w:hint="eastAsia" w:ascii="宋体" w:hAnsi="宋体" w:eastAsia="宋体" w:cs="宋体"/>
          <w:color w:val="auto"/>
          <w:sz w:val="24"/>
          <w:szCs w:val="24"/>
          <w:highlight w:val="none"/>
          <w:u w:val="single"/>
          <w:lang w:val="en-US" w:eastAsia="zh-CN"/>
        </w:rPr>
        <w:t>对基坑进行专项设计，编制《实施方案》，组织通过专家评审后向生态环境部门报审备案。根据方案</w:t>
      </w:r>
      <w:r>
        <w:rPr>
          <w:rFonts w:hint="eastAsia" w:ascii="宋体" w:hAnsi="宋体" w:eastAsia="宋体" w:cs="宋体"/>
          <w:color w:val="auto"/>
          <w:sz w:val="24"/>
          <w:szCs w:val="24"/>
          <w:highlight w:val="none"/>
          <w:u w:val="single"/>
        </w:rPr>
        <w:t>对本项目地块内全部污染土壤进行清挖、修复、处置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地貌恢复</w:t>
      </w:r>
      <w:r>
        <w:rPr>
          <w:rFonts w:hint="eastAsia" w:ascii="宋体" w:hAnsi="宋体" w:eastAsia="宋体" w:cs="宋体"/>
          <w:color w:val="auto"/>
          <w:sz w:val="24"/>
          <w:szCs w:val="24"/>
          <w:highlight w:val="none"/>
          <w:u w:val="single"/>
          <w:lang w:val="en-US" w:eastAsia="zh-CN"/>
        </w:rPr>
        <w:t>及场地平整</w:t>
      </w:r>
      <w:r>
        <w:rPr>
          <w:rFonts w:hint="eastAsia" w:ascii="宋体" w:hAnsi="宋体" w:eastAsia="宋体" w:cs="宋体"/>
          <w:color w:val="auto"/>
          <w:sz w:val="24"/>
          <w:szCs w:val="24"/>
          <w:highlight w:val="none"/>
          <w:u w:val="single"/>
        </w:rPr>
        <w:t>、妥善设置二次污染防控措施，</w:t>
      </w:r>
      <w:r>
        <w:rPr>
          <w:rFonts w:hint="eastAsia" w:ascii="宋体" w:hAnsi="宋体" w:eastAsia="宋体" w:cs="宋体"/>
          <w:color w:val="auto"/>
          <w:sz w:val="24"/>
          <w:szCs w:val="24"/>
          <w:highlight w:val="none"/>
          <w:u w:val="single"/>
          <w:lang w:val="en-US" w:eastAsia="zh-CN"/>
        </w:rPr>
        <w:t>是土壤</w:t>
      </w:r>
      <w:r>
        <w:rPr>
          <w:rFonts w:hint="eastAsia" w:ascii="宋体" w:hAnsi="宋体" w:eastAsia="宋体" w:cs="宋体"/>
          <w:color w:val="auto"/>
          <w:sz w:val="24"/>
          <w:szCs w:val="24"/>
          <w:highlight w:val="none"/>
          <w:u w:val="single"/>
        </w:rPr>
        <w:t>达到修复目标值。确保修复场地内无残留污染超标土壤，《修复效果评估报告》达到省、市生态环境主管部门的验收备案条件，最终完成广东省建设用地土壤污染风险管控和修复名录移除工作</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以及</w:t>
      </w:r>
      <w:r>
        <w:rPr>
          <w:rFonts w:hint="eastAsia" w:ascii="宋体" w:hAnsi="宋体" w:eastAsia="宋体" w:cs="宋体"/>
          <w:color w:val="auto"/>
          <w:sz w:val="24"/>
          <w:szCs w:val="24"/>
          <w:highlight w:val="none"/>
          <w:u w:val="single"/>
        </w:rPr>
        <w:t>项目完工后内外所需的各项协调事宜，并顺利通过各级主管部门验收。（具体验收程序及验收部门，以现行生态环境主管部门规定为准。）</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2.2工作要求</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具体工作内容包括但不限于：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1实施方案</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根据甲方提供的《新造油库地块土壤修复技术方案》、《新造油库地块土壤污染状况风险评估报告》等相关资料，</w:t>
      </w:r>
      <w:r>
        <w:rPr>
          <w:rFonts w:hint="eastAsia" w:ascii="宋体" w:hAnsi="宋体" w:eastAsia="宋体" w:cs="宋体"/>
          <w:color w:val="auto"/>
          <w:sz w:val="24"/>
          <w:szCs w:val="24"/>
          <w:highlight w:val="none"/>
        </w:rPr>
        <w:t>按规范及要求编制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新造油库地块土壤修复</w:t>
      </w:r>
      <w:r>
        <w:rPr>
          <w:rFonts w:hint="eastAsia" w:ascii="宋体" w:hAnsi="宋体" w:eastAsia="宋体" w:cs="宋体"/>
          <w:color w:val="auto"/>
          <w:sz w:val="24"/>
          <w:szCs w:val="24"/>
          <w:highlight w:val="none"/>
        </w:rPr>
        <w:t>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及相关专项方案，根据</w:t>
      </w:r>
      <w:r>
        <w:rPr>
          <w:rFonts w:hint="eastAsia" w:ascii="宋体" w:hAnsi="宋体" w:eastAsia="宋体" w:cs="宋体"/>
          <w:color w:val="auto"/>
          <w:sz w:val="24"/>
          <w:szCs w:val="24"/>
          <w:highlight w:val="none"/>
          <w:lang w:eastAsia="zh-CN"/>
        </w:rPr>
        <w:t>委托人</w:t>
      </w:r>
      <w:r>
        <w:rPr>
          <w:rFonts w:hint="eastAsia" w:ascii="宋体" w:hAnsi="宋体" w:eastAsia="宋体" w:cs="宋体"/>
          <w:color w:val="auto"/>
          <w:sz w:val="24"/>
          <w:szCs w:val="24"/>
          <w:highlight w:val="none"/>
        </w:rPr>
        <w:t>需求对污染修复工程方案进行</w:t>
      </w:r>
      <w:r>
        <w:rPr>
          <w:rFonts w:hint="eastAsia" w:ascii="宋体" w:hAnsi="宋体" w:eastAsia="宋体" w:cs="宋体"/>
          <w:color w:val="auto"/>
          <w:sz w:val="24"/>
          <w:szCs w:val="24"/>
          <w:highlight w:val="none"/>
          <w:lang w:val="en-US" w:eastAsia="zh-CN"/>
        </w:rPr>
        <w:t>投标价限额</w:t>
      </w:r>
      <w:r>
        <w:rPr>
          <w:rFonts w:hint="eastAsia" w:ascii="宋体" w:hAnsi="宋体" w:eastAsia="宋体" w:cs="宋体"/>
          <w:color w:val="auto"/>
          <w:sz w:val="24"/>
          <w:szCs w:val="24"/>
          <w:highlight w:val="none"/>
        </w:rPr>
        <w:t>深化</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val="en-US" w:eastAsia="zh-CN"/>
        </w:rPr>
        <w:t>通过专家</w:t>
      </w:r>
      <w:r>
        <w:rPr>
          <w:rFonts w:hint="eastAsia" w:ascii="宋体" w:hAnsi="宋体" w:eastAsia="宋体" w:cs="宋体"/>
          <w:color w:val="auto"/>
          <w:sz w:val="24"/>
          <w:szCs w:val="24"/>
          <w:highlight w:val="none"/>
        </w:rPr>
        <w:t>论证</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完成生态环境主管部门备案工作</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实施方案</w:t>
      </w:r>
      <w:r>
        <w:rPr>
          <w:rFonts w:hint="eastAsia" w:ascii="宋体" w:hAnsi="宋体" w:eastAsia="宋体" w:cs="宋体"/>
          <w:color w:val="auto"/>
          <w:sz w:val="24"/>
          <w:szCs w:val="24"/>
          <w:highlight w:val="none"/>
        </w:rPr>
        <w:t xml:space="preserve">包括但不限于：组织实施方案、土方开挖方案、基坑支护方案、修复技术方案、环境管理与二次污染防治措施、污染废弃物外运方案、安全文明管理保证措施、环境监测及自验收方案、工作进度计划与保证措施、修复现场平面布置图、投入设备及人员及材料等资源保障措施质量管理保证措施、拟投入本项目的团队成员（包括但不限于工作职责及相关人员资质）及其他相关设计图纸等；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土壤开挖深度达6m，如涉及深基坑专项方案与图纸，由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组织通过专家评审会，并办理相关报建手续（如有）。</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实施预算</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根据中标的投标清单进行限额深化设计，根据评审通过的实施方案与图纸，进行实施预算编制，采用工程量清单计价方式，可直接采用《建设工程工程量清单计价规范》（GB 50500-2013）及《广东省建设工程计价依据（2018）》进行组价的工程量清单及内容，按照相关计价规范及标准执行，不可直接采用的部分参照广东省土壤修复工程量清单编制指引执行，由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深化清单各项组成，报甲方审定，除去暂列金额的实施预算总价不得超过除去暂列金额的投标报价，如超过则按除去暂列金额的投标报价执行。</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负责场地清理、</w:t>
      </w:r>
      <w:r>
        <w:rPr>
          <w:rFonts w:hint="eastAsia" w:ascii="宋体" w:hAnsi="宋体" w:eastAsia="宋体" w:cs="宋体"/>
          <w:color w:val="auto"/>
          <w:sz w:val="24"/>
          <w:szCs w:val="24"/>
          <w:highlight w:val="none"/>
          <w:lang w:val="en-US" w:eastAsia="zh-CN"/>
        </w:rPr>
        <w:t>三通一平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各项施工条件准备及办理各项必须的开工报审、报批手续并负责相关费用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包括但不限于基坑开挖报建、河道管理范围内报建、污染土外运处置等手续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场地施工的水、电、用房、通路等均由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负责准备，费用已含在清单中，该部分不再增加。</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根据经评审、论证并通过生态环境主管部门备案的土壤污染修复工程实施方案，按照相关标准规范有序开展污染治理与修复及其他配套工作，相关地质勘探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开挖支护、</w:t>
      </w:r>
      <w:r>
        <w:rPr>
          <w:rFonts w:hint="eastAsia" w:ascii="宋体" w:hAnsi="宋体" w:eastAsia="宋体" w:cs="宋体"/>
          <w:color w:val="auto"/>
          <w:sz w:val="24"/>
          <w:szCs w:val="24"/>
          <w:highlight w:val="none"/>
          <w:lang w:val="en-US" w:eastAsia="zh-CN"/>
        </w:rPr>
        <w:t>基坑监测检测、</w:t>
      </w:r>
      <w:r>
        <w:rPr>
          <w:rFonts w:hint="eastAsia" w:ascii="宋体" w:hAnsi="宋体" w:eastAsia="宋体" w:cs="宋体"/>
          <w:color w:val="auto"/>
          <w:sz w:val="24"/>
          <w:szCs w:val="24"/>
          <w:highlight w:val="none"/>
        </w:rPr>
        <w:t>土壤堆放区防雨、污水处理的措施费用等均由中标人负责；</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按照法律法规、环保批文、生态环境主管部门要求等及时做好信息公开工作</w:t>
      </w:r>
      <w:r>
        <w:rPr>
          <w:rFonts w:hint="eastAsia" w:ascii="宋体" w:hAnsi="宋体" w:eastAsia="宋体" w:cs="宋体"/>
          <w:color w:val="auto"/>
          <w:sz w:val="24"/>
          <w:szCs w:val="24"/>
          <w:highlight w:val="none"/>
          <w:lang w:eastAsia="zh-CN"/>
        </w:rPr>
        <w:t>，办理地块移除污染地块名录信息系统</w:t>
      </w:r>
      <w:r>
        <w:rPr>
          <w:rFonts w:hint="eastAsia" w:ascii="宋体" w:hAnsi="宋体" w:eastAsia="宋体" w:cs="宋体"/>
          <w:color w:val="auto"/>
          <w:sz w:val="24"/>
          <w:szCs w:val="24"/>
          <w:highlight w:val="none"/>
          <w:lang w:val="en-US" w:eastAsia="zh-CN"/>
        </w:rPr>
        <w:t>相关手续</w:t>
      </w:r>
      <w:r>
        <w:rPr>
          <w:rFonts w:hint="eastAsia" w:ascii="宋体" w:hAnsi="宋体" w:eastAsia="宋体" w:cs="宋体"/>
          <w:color w:val="auto"/>
          <w:sz w:val="24"/>
          <w:szCs w:val="24"/>
          <w:highlight w:val="none"/>
        </w:rPr>
        <w:t>；</w:t>
      </w:r>
    </w:p>
    <w:p>
      <w:pPr>
        <w:autoSpaceDE w:val="0"/>
        <w:snapToGrid w:val="0"/>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 xml:space="preserve">6 </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应建立健全安全生产组织机构和安全保证体系，落实安全生产责任制，按照项目安全生产的有关管理规定，采取相应措施，负责现场全部作业的安全，并对此承担全部责任；</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接受并配合</w:t>
      </w:r>
      <w:r>
        <w:rPr>
          <w:rFonts w:hint="eastAsia" w:ascii="宋体" w:hAnsi="宋体" w:eastAsia="宋体" w:cs="宋体"/>
          <w:color w:val="auto"/>
          <w:sz w:val="24"/>
          <w:szCs w:val="24"/>
          <w:highlight w:val="none"/>
          <w:lang w:eastAsia="zh-CN"/>
        </w:rPr>
        <w:t>委托人</w:t>
      </w:r>
      <w:r>
        <w:rPr>
          <w:rFonts w:hint="eastAsia" w:ascii="宋体" w:hAnsi="宋体" w:eastAsia="宋体" w:cs="宋体"/>
          <w:color w:val="auto"/>
          <w:sz w:val="24"/>
          <w:szCs w:val="24"/>
          <w:highlight w:val="none"/>
        </w:rPr>
        <w:t>委托的监理单位、修复效果评估单位，开展各项监督、检查、监测、检测等工作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编制施工总结报告，配合</w:t>
      </w:r>
      <w:r>
        <w:rPr>
          <w:rFonts w:hint="eastAsia" w:ascii="宋体" w:hAnsi="宋体" w:eastAsia="宋体" w:cs="宋体"/>
          <w:color w:val="auto"/>
          <w:sz w:val="24"/>
          <w:szCs w:val="24"/>
          <w:highlight w:val="none"/>
        </w:rPr>
        <w:t>监理单位、修复效果评估单位</w:t>
      </w:r>
      <w:r>
        <w:rPr>
          <w:rFonts w:hint="eastAsia" w:ascii="宋体" w:hAnsi="宋体" w:eastAsia="宋体" w:cs="宋体"/>
          <w:color w:val="auto"/>
          <w:sz w:val="24"/>
          <w:szCs w:val="24"/>
          <w:highlight w:val="none"/>
          <w:lang w:val="en-US" w:eastAsia="zh-CN"/>
        </w:rPr>
        <w:t>编制监理总结报告、效果修复报告；</w:t>
      </w:r>
      <w:r>
        <w:rPr>
          <w:rFonts w:hint="eastAsia" w:ascii="宋体" w:hAnsi="宋体" w:eastAsia="宋体" w:cs="宋体"/>
          <w:color w:val="auto"/>
          <w:sz w:val="24"/>
          <w:szCs w:val="24"/>
          <w:highlight w:val="none"/>
        </w:rPr>
        <w:t xml:space="preserve">对不符合要求的工程内容和项目，必须无条件返工，确保符合质量、安全要求及治理达标；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负责各项验收准备，配合各方组织的各项检查、验收工作，确保治理与修复工程规范、文明施工，确保治理成果一次性通过环保主管部门验收；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负责整理项目竣工资料（包括离开原场地的污染物、固废物等的处理、处置及其去向的相关证明材料），并在验收合格后14个日历天内移交给委托人；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 xml:space="preserve">0 </w:t>
      </w:r>
      <w:r>
        <w:rPr>
          <w:rFonts w:hint="eastAsia" w:ascii="宋体" w:hAnsi="宋体" w:eastAsia="宋体" w:cs="宋体"/>
          <w:color w:val="auto"/>
          <w:sz w:val="24"/>
          <w:szCs w:val="24"/>
          <w:highlight w:val="none"/>
        </w:rPr>
        <w:t>配合项目结算的各项评审工作，包括但不限于按要求提供材料、及时补充材料和说明解释、确认评审结果等；</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负责修复项目工作的质保、长期监测（如有，服务期限为中标之日起三年内）等后续服务工作；</w:t>
      </w:r>
      <w:r>
        <w:rPr>
          <w:rFonts w:hint="eastAsia" w:ascii="宋体" w:hAnsi="宋体" w:eastAsia="宋体" w:cs="宋体"/>
          <w:color w:val="auto"/>
          <w:sz w:val="24"/>
          <w:szCs w:val="24"/>
          <w:highlight w:val="none"/>
          <w:lang w:val="en-US" w:eastAsia="zh-CN"/>
        </w:rPr>
        <w:t>如有需要环境管理的土壤及地下水，如有要求工程管理措施的配合甲方将管理信息移交广州市土地开发中心收储相关要求并为甲方提供相应的技术及其他服务；</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负责修复</w:t>
      </w:r>
      <w:r>
        <w:rPr>
          <w:rFonts w:hint="eastAsia" w:ascii="宋体" w:hAnsi="宋体" w:eastAsia="宋体" w:cs="宋体"/>
          <w:color w:val="auto"/>
          <w:sz w:val="24"/>
          <w:szCs w:val="24"/>
          <w:highlight w:val="none"/>
          <w:lang w:val="en-US" w:eastAsia="zh-CN"/>
        </w:rPr>
        <w:t>后的回填、场地平整、山体放坡等工作，除原山体部分不得出现较大高差，场地需符合广州市土地开发中心收储相关要求；</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污染物与土壤外运；</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（1）如需将污染废弃物外运的，由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 xml:space="preserve">须承诺具有运输污染废弃物的相关资质，或委托给有资质的第三方运输污染废弃物，运距自行考虑，并确保安全运输、环保处置，并负责完成修复验收后的土壤回填、地面平整工作；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（2）如因更换修复方式</w:t>
      </w:r>
      <w:r>
        <w:rPr>
          <w:rFonts w:hint="eastAsia" w:ascii="宋体" w:hAnsi="宋体" w:eastAsia="宋体" w:cs="宋体"/>
          <w:color w:val="auto"/>
          <w:sz w:val="24"/>
          <w:szCs w:val="24"/>
          <w:highlight w:val="none"/>
          <w:lang w:val="en-US" w:eastAsia="zh-CN"/>
        </w:rPr>
        <w:t>变化</w:t>
      </w:r>
      <w:r>
        <w:rPr>
          <w:rFonts w:hint="eastAsia" w:ascii="宋体" w:hAnsi="宋体" w:eastAsia="宋体" w:cs="宋体"/>
          <w:color w:val="auto"/>
          <w:sz w:val="24"/>
          <w:szCs w:val="24"/>
          <w:highlight w:val="none"/>
        </w:rPr>
        <w:t>导致增加的危废鉴定由</w:t>
      </w:r>
      <w:r>
        <w:rPr>
          <w:rFonts w:hint="eastAsia" w:ascii="宋体" w:hAnsi="宋体" w:cs="宋体"/>
          <w:color w:val="auto"/>
          <w:sz w:val="24"/>
          <w:szCs w:val="24"/>
          <w:highlight w:val="none"/>
          <w:lang w:eastAsia="zh-CN"/>
        </w:rPr>
        <w:t>施工单位</w:t>
      </w:r>
      <w:r>
        <w:rPr>
          <w:rFonts w:hint="eastAsia" w:ascii="宋体" w:hAnsi="宋体" w:eastAsia="宋体" w:cs="宋体"/>
          <w:color w:val="auto"/>
          <w:sz w:val="24"/>
          <w:szCs w:val="24"/>
          <w:highlight w:val="none"/>
        </w:rPr>
        <w:t>自行组织</w:t>
      </w:r>
      <w:r>
        <w:rPr>
          <w:rFonts w:hint="eastAsia" w:ascii="宋体" w:hAnsi="宋体" w:eastAsia="宋体" w:cs="宋体"/>
          <w:color w:val="auto"/>
          <w:sz w:val="24"/>
          <w:szCs w:val="24"/>
          <w:highlight w:val="none"/>
          <w:lang w:val="en-US" w:eastAsia="zh-CN"/>
        </w:rPr>
        <w:t>鉴定、评审、报备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费用由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自行承担，甲方</w:t>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再另行</w:t>
      </w:r>
      <w:r>
        <w:rPr>
          <w:rFonts w:hint="eastAsia" w:ascii="宋体" w:hAnsi="宋体" w:eastAsia="宋体" w:cs="宋体"/>
          <w:color w:val="auto"/>
          <w:sz w:val="24"/>
          <w:szCs w:val="24"/>
          <w:highlight w:val="none"/>
        </w:rPr>
        <w:t>增加该部分费用</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（3）如需将污染废弃物外运的，</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 xml:space="preserve">负责前往生态环境主管部门办理相关审批备案手续； </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 xml:space="preserve">负责自行联系有污染土壤处置能力的污染废弃物接收点进行污染废弃物处理； </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（4）如需将污染废弃物外运的，</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须承诺在运输过程中不能造成二次污染。若在此过程中受到相关单位处罚及产生的一切后果，由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自行承担。</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负责实施对周边环境、建筑（构）筑物及附属设备、设施的保护，协调处理周边居民、单位的投诉，处理好各方的关系等。因保护、协调、处理不当而造成的任何损失由中标人负责赔偿；</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按委托人要求对场地的</w:t>
      </w:r>
      <w:r>
        <w:rPr>
          <w:rFonts w:hint="eastAsia" w:ascii="宋体" w:hAnsi="宋体" w:eastAsia="宋体" w:cs="宋体"/>
          <w:color w:val="auto"/>
          <w:sz w:val="24"/>
          <w:szCs w:val="24"/>
          <w:highlight w:val="none"/>
          <w:lang w:val="en-US" w:eastAsia="zh-CN"/>
        </w:rPr>
        <w:t>通行、</w:t>
      </w:r>
      <w:r>
        <w:rPr>
          <w:rFonts w:hint="eastAsia" w:ascii="宋体" w:hAnsi="宋体" w:eastAsia="宋体" w:cs="宋体"/>
          <w:color w:val="auto"/>
          <w:sz w:val="24"/>
          <w:szCs w:val="24"/>
          <w:highlight w:val="none"/>
        </w:rPr>
        <w:t>围蔽、保护、加固等费用含在合同综合单价中；</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为完成本工程而提供工程施工所需的一切附带杂项工作及所需劳动，所有费用含在合同综合单价中；</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 xml:space="preserve">应对污染土壤运输采用陆路运输。首先污染土壤经破碎筛分后装车，然后通过陆路运输至水泥厂。运输汽车采用载重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0t 的全封闭自卸车，在运输车底部和四周铺设高密度聚乙烯膜，运输车辆装载 4/5，避免装载过满；运输全程采用 GPS 监测，实行 24 小时人员全天候押运监控；污染土壤转运过程每运输一车，填写一份转运联单，达到目的地后，接收负责人将按联单填写内容对污染土壤进行验收。</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负责完成招标范围内污染土壤修复工作、确保达到生态环境主管部门验收备案标准。如果修复效果评估阶段如果出现验收不合格需再修复、验收的，以及修复效果评估阶段，由于</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责任造成需要重新修复，验收的，发生的所有费用由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负责，直至顺利通过各级主管部门验收。</w:t>
      </w:r>
    </w:p>
    <w:p>
      <w:pPr>
        <w:autoSpaceDE w:val="0"/>
        <w:snapToGrid w:val="0"/>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 质量目标</w:t>
      </w:r>
    </w:p>
    <w:p>
      <w:pPr>
        <w:autoSpaceDE w:val="0"/>
        <w:snapToGrid w:val="0"/>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2.3.1 </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须确保完成土壤污染治理与修复的各项工作，在合同时间内通过生态环境主管部门组织的专家评审会，通过生态环境主管部门审核审查，移出省污染土壤名录，如因检查增加的工程量，费用由</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承担，甲方</w:t>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再另行</w:t>
      </w:r>
      <w:r>
        <w:rPr>
          <w:rFonts w:hint="eastAsia" w:ascii="宋体" w:hAnsi="宋体" w:eastAsia="宋体" w:cs="宋体"/>
          <w:color w:val="auto"/>
          <w:sz w:val="24"/>
          <w:szCs w:val="24"/>
          <w:highlight w:val="none"/>
        </w:rPr>
        <w:t>增加该部分费用</w:t>
      </w:r>
      <w:r>
        <w:rPr>
          <w:rFonts w:hint="eastAsia" w:ascii="宋体" w:hAnsi="宋体" w:eastAsia="宋体" w:cs="宋体"/>
          <w:color w:val="auto"/>
          <w:sz w:val="24"/>
          <w:szCs w:val="24"/>
          <w:highlight w:val="none"/>
          <w:lang w:eastAsia="zh-CN"/>
        </w:rPr>
        <w:t>；</w:t>
      </w:r>
    </w:p>
    <w:p>
      <w:pPr>
        <w:autoSpaceDE w:val="0"/>
        <w:snapToGrid w:val="0"/>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2.3.2 </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应遵守政府有关主管部门对项目场地交通、工作噪音以及环境保护和安全生产等的管理规定，在治理与修复工程实施过程中不得对周边环境造成不良影响及产生二次污染。如产生不良影响或二次污染，</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须自行承担一切责任及法律后果。</w:t>
      </w:r>
    </w:p>
    <w:p>
      <w:pPr>
        <w:pStyle w:val="43"/>
        <w:bidi w:val="0"/>
        <w:adjustRightInd w:val="0"/>
        <w:snapToGrid w:val="0"/>
        <w:spacing w:line="360" w:lineRule="auto"/>
        <w:ind w:firstLine="482" w:firstLineChars="200"/>
        <w:jc w:val="left"/>
        <w:rPr>
          <w:rStyle w:val="24"/>
          <w:rFonts w:hint="eastAsia" w:ascii="宋体" w:hAnsi="宋体" w:eastAsia="宋体" w:cs="宋体"/>
          <w:color w:val="auto"/>
          <w:sz w:val="24"/>
          <w:szCs w:val="24"/>
          <w:highlight w:val="none"/>
        </w:rPr>
      </w:pPr>
      <w:r>
        <w:rPr>
          <w:rStyle w:val="24"/>
          <w:rFonts w:hint="eastAsia" w:ascii="宋体" w:hAnsi="宋体" w:eastAsia="宋体" w:cs="宋体"/>
          <w:b/>
          <w:color w:val="auto"/>
          <w:sz w:val="24"/>
          <w:szCs w:val="24"/>
          <w:highlight w:val="none"/>
        </w:rPr>
        <w:t>第三条 工作期限</w:t>
      </w:r>
    </w:p>
    <w:p>
      <w:pPr>
        <w:pStyle w:val="42"/>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项目总工期为自中标之日起180个日历天，</w:t>
      </w:r>
      <w:r>
        <w:rPr>
          <w:rFonts w:hint="eastAsia" w:ascii="宋体" w:hAnsi="宋体" w:eastAsia="宋体" w:cs="宋体"/>
          <w:color w:val="auto"/>
          <w:sz w:val="24"/>
          <w:szCs w:val="24"/>
          <w:highlight w:val="none"/>
        </w:rPr>
        <w:t>自中标之日起计，</w:t>
      </w:r>
      <w:r>
        <w:rPr>
          <w:rFonts w:hint="eastAsia" w:cs="宋体"/>
          <w:color w:val="auto"/>
          <w:sz w:val="24"/>
          <w:szCs w:val="24"/>
          <w:highlight w:val="none"/>
          <w:lang w:val="en-US" w:eastAsia="zh-CN"/>
        </w:rPr>
        <w:t>施工单位</w:t>
      </w:r>
      <w:r>
        <w:rPr>
          <w:rFonts w:hint="eastAsia"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val="en-US" w:eastAsia="zh-CN"/>
        </w:rPr>
        <w:t>180</w:t>
      </w:r>
      <w:r>
        <w:rPr>
          <w:rFonts w:hint="eastAsia" w:ascii="宋体" w:hAnsi="宋体" w:eastAsia="宋体" w:cs="宋体"/>
          <w:color w:val="auto"/>
          <w:sz w:val="24"/>
          <w:szCs w:val="24"/>
          <w:highlight w:val="none"/>
        </w:rPr>
        <w:t>日历天内完成项目所有土壤污染治理与修复，并经省（市）生态环境主管部门对修复效果评估报告组织评审通过并取得验收合格批复文件且移出广东省建设用地土壤污染风险管控和修复名录。中标人须无条件配合各方的监督、检查、监测、检测、验收等工作，各项配合工作所需时间均已包含在上述工期范围内。</w:t>
      </w:r>
      <w:r>
        <w:rPr>
          <w:rFonts w:hint="eastAsia" w:ascii="宋体" w:hAnsi="宋体" w:eastAsia="宋体" w:cs="宋体"/>
          <w:color w:val="auto"/>
          <w:sz w:val="24"/>
          <w:szCs w:val="24"/>
          <w:highlight w:val="none"/>
          <w:lang w:val="en-US" w:eastAsia="zh-CN"/>
        </w:rPr>
        <w:t>服务期自中标之日起，至移出土壤污染地块名录、监测检测完毕、地块管理移交之日止。</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日历天完成修复方案备案，期间同步开展危废鉴定；</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日历天完成现场基坑开挖、土壤筛分及运输；30日历天完成效果评估采样检测及报告编制；30日历天通过市生态环境主管部门组织的专家评审会</w:t>
      </w:r>
      <w:r>
        <w:rPr>
          <w:rFonts w:hint="eastAsia" w:ascii="宋体" w:hAnsi="宋体" w:eastAsia="宋体" w:cs="宋体"/>
          <w:color w:val="auto"/>
          <w:sz w:val="24"/>
          <w:szCs w:val="24"/>
          <w:highlight w:val="none"/>
          <w:lang w:val="en-US" w:eastAsia="zh-CN"/>
        </w:rPr>
        <w:t>并移出土壤污染名录</w:t>
      </w:r>
      <w:r>
        <w:rPr>
          <w:rFonts w:hint="eastAsia" w:ascii="宋体" w:hAnsi="宋体" w:eastAsia="宋体" w:cs="宋体"/>
          <w:color w:val="auto"/>
          <w:sz w:val="24"/>
          <w:szCs w:val="24"/>
          <w:highlight w:val="none"/>
        </w:rPr>
        <w:t>，以上分段工期若由延误，</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应采取合理补救措施，在后续阶段中缩短工期，务必在总工期内完成各项工作</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val="0"/>
        <w:autoSpaceDN/>
        <w:bidi w:val="0"/>
        <w:adjustRightInd/>
        <w:snapToGrid w:val="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应在180个日历天内</w:t>
      </w:r>
      <w:r>
        <w:rPr>
          <w:rFonts w:hint="eastAsia" w:ascii="宋体" w:hAnsi="宋体" w:eastAsia="宋体" w:cs="宋体"/>
          <w:color w:val="auto"/>
          <w:sz w:val="24"/>
          <w:szCs w:val="24"/>
          <w:highlight w:val="none"/>
        </w:rPr>
        <w:t>完成所有场地环境污染治理与修复，并通过市生态环境主管部门组织的专家评审会。</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rPr>
        <w:t>须无条件配合各方的监督、检查、监测、检测、验收等工作，各项配合工作所需时间均已包含在上述工期范围内。具体工期计划由中标人负责编制并须经监理方及采购人审查、批准。</w:t>
      </w:r>
    </w:p>
    <w:p>
      <w:pPr>
        <w:keepNext w:val="0"/>
        <w:keepLines w:val="0"/>
        <w:pageBreakBefore w:val="0"/>
        <w:widowControl/>
        <w:kinsoku/>
        <w:wordWrap/>
        <w:overflowPunct/>
        <w:topLinePunct w:val="0"/>
        <w:autoSpaceDE w:val="0"/>
        <w:autoSpaceDN/>
        <w:bidi w:val="0"/>
        <w:adjustRightInd/>
        <w:snapToGrid/>
        <w:ind w:left="0" w:right="0"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施工单位</w:t>
      </w:r>
      <w:r>
        <w:rPr>
          <w:rFonts w:hint="eastAsia" w:ascii="宋体" w:hAnsi="宋体" w:eastAsia="宋体" w:cs="宋体"/>
          <w:color w:val="auto"/>
          <w:sz w:val="24"/>
          <w:szCs w:val="24"/>
          <w:highlight w:val="none"/>
        </w:rPr>
        <w:t>不得以变更或签证未审核为由延误执行，否则</w:t>
      </w:r>
      <w:r>
        <w:rPr>
          <w:rFonts w:hint="eastAsia" w:ascii="宋体" w:hAnsi="宋体" w:cs="宋体"/>
          <w:color w:val="auto"/>
          <w:sz w:val="24"/>
          <w:szCs w:val="24"/>
          <w:highlight w:val="none"/>
          <w:lang w:eastAsia="zh-CN"/>
        </w:rPr>
        <w:t>施工单位</w:t>
      </w:r>
      <w:r>
        <w:rPr>
          <w:rFonts w:hint="eastAsia" w:ascii="宋体" w:hAnsi="宋体" w:eastAsia="宋体" w:cs="宋体"/>
          <w:color w:val="auto"/>
          <w:sz w:val="24"/>
          <w:szCs w:val="24"/>
          <w:highlight w:val="none"/>
        </w:rPr>
        <w:t>承担由此产生的损失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凡由于</w:t>
      </w:r>
      <w:r>
        <w:rPr>
          <w:rFonts w:hint="eastAsia" w:ascii="宋体" w:hAnsi="宋体" w:cs="宋体"/>
          <w:color w:val="auto"/>
          <w:sz w:val="24"/>
          <w:szCs w:val="24"/>
          <w:highlight w:val="none"/>
          <w:lang w:eastAsia="zh-CN"/>
        </w:rPr>
        <w:t>施工单位</w:t>
      </w:r>
      <w:r>
        <w:rPr>
          <w:rFonts w:hint="eastAsia" w:ascii="宋体" w:hAnsi="宋体" w:eastAsia="宋体" w:cs="宋体"/>
          <w:color w:val="auto"/>
          <w:sz w:val="24"/>
          <w:szCs w:val="24"/>
          <w:highlight w:val="none"/>
        </w:rPr>
        <w:t>造成的工期延误，则工期不能顺延，由此引起的赶工措施等费用增加均由</w:t>
      </w:r>
      <w:r>
        <w:rPr>
          <w:rFonts w:hint="eastAsia" w:ascii="宋体" w:hAnsi="宋体" w:cs="宋体"/>
          <w:color w:val="auto"/>
          <w:sz w:val="24"/>
          <w:szCs w:val="24"/>
          <w:highlight w:val="none"/>
          <w:lang w:eastAsia="zh-CN"/>
        </w:rPr>
        <w:t>施工单位</w:t>
      </w:r>
      <w:r>
        <w:rPr>
          <w:rFonts w:hint="eastAsia" w:ascii="宋体" w:hAnsi="宋体" w:eastAsia="宋体" w:cs="宋体"/>
          <w:color w:val="auto"/>
          <w:sz w:val="24"/>
          <w:szCs w:val="24"/>
          <w:highlight w:val="none"/>
        </w:rPr>
        <w:t>自行承担。</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widowControl/>
        <w:spacing w:line="360" w:lineRule="auto"/>
        <w:ind w:firstLine="480" w:firstLineChars="0"/>
        <w:rPr>
          <w:rFonts w:hint="eastAsia"/>
          <w:b/>
          <w:color w:val="auto"/>
          <w:sz w:val="28"/>
          <w:szCs w:val="28"/>
          <w:highlight w:val="none"/>
          <w:lang w:val="en-US" w:eastAsia="zh-CN"/>
        </w:rPr>
      </w:pPr>
      <w:r>
        <w:rPr>
          <w:rFonts w:hint="eastAsia"/>
          <w:b/>
          <w:color w:val="auto"/>
          <w:sz w:val="28"/>
          <w:szCs w:val="28"/>
          <w:highlight w:val="none"/>
          <w:lang w:val="en-US" w:eastAsia="zh-CN"/>
        </w:rPr>
        <w:t xml:space="preserve"> 第二部分  </w:t>
      </w:r>
      <w:r>
        <w:rPr>
          <w:rFonts w:hint="eastAsia" w:ascii="Times New Roman" w:hAnsi="Times New Roman"/>
          <w:b/>
          <w:color w:val="auto"/>
          <w:sz w:val="28"/>
          <w:szCs w:val="28"/>
          <w:highlight w:val="none"/>
        </w:rPr>
        <w:t>新造油库地块土壤修复项目</w:t>
      </w:r>
      <w:r>
        <w:rPr>
          <w:rFonts w:hint="eastAsia"/>
          <w:b/>
          <w:color w:val="auto"/>
          <w:sz w:val="28"/>
          <w:szCs w:val="28"/>
          <w:highlight w:val="none"/>
          <w:lang w:val="en-US" w:eastAsia="zh-CN"/>
        </w:rPr>
        <w:t>效果评估</w:t>
      </w:r>
    </w:p>
    <w:p>
      <w:pPr>
        <w:widowControl/>
        <w:spacing w:line="360" w:lineRule="auto"/>
        <w:ind w:firstLine="480" w:firstLineChars="0"/>
        <w:rPr>
          <w:rFonts w:hint="eastAsia" w:cs="Microsoft JhengHei"/>
          <w:b/>
          <w:bCs/>
          <w:color w:val="auto"/>
          <w:sz w:val="24"/>
          <w:szCs w:val="24"/>
          <w:highlight w:val="none"/>
          <w:lang w:val="en-US" w:eastAsia="zh-CN"/>
        </w:rPr>
      </w:pPr>
      <w:r>
        <w:rPr>
          <w:rFonts w:hint="eastAsia" w:ascii="宋体" w:hAnsi="宋体" w:cs="Times New Roman"/>
          <w:b/>
          <w:bCs/>
          <w:color w:val="auto"/>
          <w:sz w:val="24"/>
          <w:highlight w:val="none"/>
          <w:lang w:val="en-US" w:eastAsia="zh-CN"/>
        </w:rPr>
        <w:t>1.服务</w:t>
      </w:r>
      <w:r>
        <w:rPr>
          <w:rFonts w:hint="eastAsia" w:cs="Microsoft JhengHei"/>
          <w:b/>
          <w:bCs/>
          <w:color w:val="auto"/>
          <w:sz w:val="24"/>
          <w:szCs w:val="24"/>
          <w:highlight w:val="none"/>
          <w:lang w:val="en-US" w:eastAsia="zh-CN"/>
        </w:rPr>
        <w:t>目标：</w:t>
      </w:r>
    </w:p>
    <w:p>
      <w:pPr>
        <w:widowControl/>
        <w:spacing w:line="360" w:lineRule="auto"/>
        <w:ind w:firstLine="480" w:firstLineChars="0"/>
        <w:jc w:val="left"/>
        <w:rPr>
          <w:rFonts w:hint="eastAsia" w:cs="Microsoft JhengHei"/>
          <w:color w:val="auto"/>
          <w:kern w:val="2"/>
          <w:sz w:val="24"/>
          <w:szCs w:val="24"/>
          <w:highlight w:val="none"/>
          <w:u w:val="none"/>
          <w:lang w:val="en-US" w:eastAsia="zh-CN"/>
        </w:rPr>
      </w:pPr>
      <w:r>
        <w:rPr>
          <w:rFonts w:hint="eastAsia" w:ascii="Times New Roman" w:hAnsi="Times New Roman" w:eastAsia="宋体" w:cs="Microsoft JhengHei"/>
          <w:color w:val="auto"/>
          <w:sz w:val="24"/>
          <w:szCs w:val="24"/>
          <w:highlight w:val="none"/>
          <w:lang w:val="en-US" w:eastAsia="zh-CN"/>
        </w:rPr>
        <w:t>须确保完成土壤污染治理与修复的各项工作，《效果评估报告》在合同时间内通过生态环境主管部门组织的专家评审会，通过生态环境主管部门审核审查，移出省污染土壤名录</w:t>
      </w:r>
      <w:r>
        <w:rPr>
          <w:rFonts w:hint="eastAsia" w:ascii="Times New Roman" w:hAnsi="Times New Roman" w:eastAsia="宋体" w:cs="Microsoft JhengHei"/>
          <w:color w:val="auto"/>
          <w:sz w:val="24"/>
          <w:szCs w:val="24"/>
          <w:highlight w:val="none"/>
          <w:lang w:eastAsia="zh-CN"/>
        </w:rPr>
        <w:t>；</w:t>
      </w:r>
      <w:r>
        <w:rPr>
          <w:rFonts w:hint="eastAsia" w:ascii="Times New Roman" w:hAnsi="Times New Roman" w:eastAsia="宋体" w:cs="Microsoft JhengHei"/>
          <w:color w:val="auto"/>
          <w:sz w:val="24"/>
          <w:szCs w:val="24"/>
          <w:highlight w:val="none"/>
          <w:lang w:val="en-US" w:eastAsia="zh-CN"/>
        </w:rPr>
        <w:t>在治理与修复工程实施过程中不得对周边环境造成不良影响及产生二次污染。如产生不良影响或二次污染，，</w:t>
      </w:r>
      <w:r>
        <w:rPr>
          <w:rFonts w:hint="eastAsia" w:cs="Microsoft JhengHei"/>
          <w:color w:val="auto"/>
          <w:sz w:val="24"/>
          <w:szCs w:val="24"/>
          <w:highlight w:val="none"/>
          <w:lang w:val="en-US" w:eastAsia="zh-CN"/>
        </w:rPr>
        <w:t>即时上报并责令、监督实施单位整改。</w:t>
      </w:r>
      <w:r>
        <w:rPr>
          <w:rFonts w:hint="eastAsia" w:ascii="Times New Roman" w:hAnsi="Times New Roman" w:eastAsia="宋体" w:cs="Microsoft JhengHei"/>
          <w:color w:val="auto"/>
          <w:sz w:val="24"/>
          <w:szCs w:val="24"/>
          <w:highlight w:val="none"/>
          <w:lang w:val="en-US" w:eastAsia="zh-CN"/>
        </w:rPr>
        <w:t>。</w:t>
      </w:r>
    </w:p>
    <w:p>
      <w:pPr>
        <w:pStyle w:val="10"/>
        <w:ind w:firstLine="480" w:firstLineChars="200"/>
        <w:rPr>
          <w:rFonts w:ascii="宋体" w:hAnsi="宋体"/>
          <w:color w:val="auto"/>
          <w:sz w:val="24"/>
          <w:highlight w:val="none"/>
        </w:rPr>
      </w:pPr>
      <w:r>
        <w:rPr>
          <w:rFonts w:hint="eastAsia" w:ascii="宋体" w:hAnsi="宋体"/>
          <w:color w:val="auto"/>
          <w:sz w:val="24"/>
          <w:highlight w:val="none"/>
        </w:rPr>
        <w:t>2.1工作范围：</w:t>
      </w:r>
    </w:p>
    <w:p>
      <w:pPr>
        <w:pStyle w:val="10"/>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针对新造油库地块红线范围内的污染土壤，</w:t>
      </w:r>
      <w:r>
        <w:rPr>
          <w:rFonts w:hint="eastAsia" w:ascii="宋体" w:hAnsi="宋体"/>
          <w:color w:val="auto"/>
          <w:sz w:val="24"/>
          <w:highlight w:val="none"/>
        </w:rPr>
        <w:t>依据法律法规及环保治理相关规定，编制修复效果评估工作方案</w:t>
      </w:r>
      <w:r>
        <w:rPr>
          <w:rFonts w:hint="eastAsia" w:ascii="宋体" w:hAnsi="宋体"/>
          <w:color w:val="auto"/>
          <w:sz w:val="24"/>
          <w:highlight w:val="none"/>
          <w:lang w:eastAsia="zh-CN"/>
        </w:rPr>
        <w:t>；</w:t>
      </w:r>
      <w:r>
        <w:rPr>
          <w:rFonts w:hint="eastAsia" w:ascii="宋体" w:hAnsi="宋体"/>
          <w:color w:val="auto"/>
          <w:sz w:val="24"/>
          <w:highlight w:val="none"/>
        </w:rPr>
        <w:t>根据要求的修复目标值，对施工单位进行施工的修复区域和修复后的土壤开展第三方检测评价和验收报告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新造油库地块土壤修复效果评估报告</w:t>
      </w:r>
      <w:r>
        <w:rPr>
          <w:rFonts w:hint="eastAsia" w:ascii="宋体" w:hAnsi="宋体"/>
          <w:color w:val="auto"/>
          <w:sz w:val="24"/>
          <w:highlight w:val="none"/>
          <w:lang w:eastAsia="zh-CN"/>
        </w:rPr>
        <w:t>》</w:t>
      </w:r>
      <w:r>
        <w:rPr>
          <w:rFonts w:hint="eastAsia" w:ascii="宋体" w:hAnsi="宋体"/>
          <w:color w:val="auto"/>
          <w:sz w:val="24"/>
          <w:highlight w:val="none"/>
        </w:rPr>
        <w:t>编制</w:t>
      </w:r>
      <w:r>
        <w:rPr>
          <w:rFonts w:hint="eastAsia" w:ascii="宋体" w:hAnsi="宋体"/>
          <w:color w:val="auto"/>
          <w:sz w:val="24"/>
          <w:highlight w:val="none"/>
          <w:lang w:eastAsia="zh-CN"/>
        </w:rPr>
        <w:t>；</w:t>
      </w:r>
      <w:r>
        <w:rPr>
          <w:rFonts w:hint="eastAsia" w:ascii="宋体" w:hAnsi="宋体"/>
          <w:color w:val="auto"/>
          <w:sz w:val="24"/>
          <w:highlight w:val="none"/>
        </w:rPr>
        <w:t>包括但不限于:污染土壤开挖后遗留基坑的清挖效果监测;修复后土壤修复效果监测，确保修复地块污染土壤污染物达到修复目标值;与招标人、修复实施单位、监理单位共同配合项目推进，在项目实施过程中提供咨询、指导意见;编制土壤治理与修复效果评估报告，评估报告编制的质量与深度应符合广州市生态环境局等相关部门的技术要求，能满足</w:t>
      </w:r>
      <w:r>
        <w:rPr>
          <w:rFonts w:hint="eastAsia" w:ascii="宋体" w:hAnsi="宋体"/>
          <w:color w:val="auto"/>
          <w:sz w:val="24"/>
          <w:highlight w:val="none"/>
          <w:lang w:val="en-US" w:eastAsia="zh-CN"/>
        </w:rPr>
        <w:t>通过</w:t>
      </w:r>
      <w:r>
        <w:rPr>
          <w:rFonts w:hint="eastAsia" w:ascii="宋体" w:hAnsi="宋体"/>
          <w:color w:val="auto"/>
          <w:sz w:val="24"/>
          <w:highlight w:val="none"/>
        </w:rPr>
        <w:t>生态环境主管部门组织的专家评审</w:t>
      </w:r>
      <w:r>
        <w:rPr>
          <w:rFonts w:hint="eastAsia" w:ascii="宋体" w:hAnsi="宋体"/>
          <w:color w:val="auto"/>
          <w:sz w:val="24"/>
          <w:highlight w:val="none"/>
          <w:lang w:val="en-US" w:eastAsia="zh-CN"/>
        </w:rPr>
        <w:t>并</w:t>
      </w:r>
      <w:r>
        <w:rPr>
          <w:rFonts w:hint="eastAsia" w:ascii="宋体" w:hAnsi="宋体"/>
          <w:color w:val="auto"/>
          <w:sz w:val="24"/>
          <w:highlight w:val="none"/>
        </w:rPr>
        <w:t>上报</w:t>
      </w:r>
      <w:r>
        <w:rPr>
          <w:rFonts w:hint="eastAsia" w:ascii="宋体" w:hAnsi="宋体"/>
          <w:color w:val="auto"/>
          <w:sz w:val="24"/>
          <w:highlight w:val="none"/>
          <w:lang w:val="en-US" w:eastAsia="zh-CN"/>
        </w:rPr>
        <w:t>生态管理部门</w:t>
      </w:r>
      <w:r>
        <w:rPr>
          <w:rFonts w:hint="eastAsia" w:ascii="宋体" w:hAnsi="宋体"/>
          <w:color w:val="auto"/>
          <w:sz w:val="24"/>
          <w:highlight w:val="none"/>
        </w:rPr>
        <w:t>备案的条件，</w:t>
      </w:r>
      <w:r>
        <w:rPr>
          <w:rFonts w:hint="eastAsia" w:ascii="宋体" w:hAnsi="宋体"/>
          <w:color w:val="auto"/>
          <w:sz w:val="24"/>
          <w:highlight w:val="none"/>
          <w:lang w:val="en-US" w:eastAsia="zh-CN"/>
        </w:rPr>
        <w:t>地块移出土壤污染名录</w:t>
      </w:r>
      <w:r>
        <w:rPr>
          <w:rFonts w:hint="eastAsia" w:ascii="宋体" w:hAnsi="宋体"/>
          <w:color w:val="auto"/>
          <w:sz w:val="24"/>
          <w:highlight w:val="none"/>
        </w:rPr>
        <w:t>。</w:t>
      </w:r>
    </w:p>
    <w:p>
      <w:pPr>
        <w:pStyle w:val="10"/>
        <w:ind w:firstLine="480" w:firstLineChars="200"/>
        <w:rPr>
          <w:rFonts w:hint="eastAsia" w:ascii="宋体" w:hAnsi="宋体"/>
          <w:color w:val="auto"/>
          <w:sz w:val="24"/>
          <w:highlight w:val="none"/>
        </w:rPr>
      </w:pPr>
      <w:r>
        <w:rPr>
          <w:rFonts w:hint="eastAsia" w:ascii="宋体" w:hAnsi="宋体"/>
          <w:color w:val="auto"/>
          <w:sz w:val="24"/>
          <w:highlight w:val="none"/>
        </w:rPr>
        <w:t>2.2工作内容：</w:t>
      </w:r>
    </w:p>
    <w:p>
      <w:pPr>
        <w:pStyle w:val="10"/>
        <w:ind w:firstLine="480" w:firstLineChars="200"/>
        <w:rPr>
          <w:rFonts w:hint="eastAsia" w:ascii="宋体" w:hAnsi="宋体"/>
          <w:color w:val="auto"/>
          <w:sz w:val="24"/>
          <w:highlight w:val="none"/>
        </w:rPr>
      </w:pPr>
      <w:r>
        <w:rPr>
          <w:rFonts w:hint="eastAsia" w:ascii="宋体" w:hAnsi="宋体"/>
          <w:color w:val="auto"/>
          <w:sz w:val="24"/>
          <w:highlight w:val="none"/>
        </w:rPr>
        <w:t>按国家、广东省、广州市现行有关标准、规范、规程和</w:t>
      </w:r>
      <w:r>
        <w:rPr>
          <w:rFonts w:hint="eastAsia" w:ascii="宋体" w:hAnsi="宋体"/>
          <w:color w:val="auto"/>
          <w:sz w:val="24"/>
          <w:highlight w:val="none"/>
          <w:lang w:eastAsia="zh-CN"/>
        </w:rPr>
        <w:t>委托方</w:t>
      </w:r>
      <w:r>
        <w:rPr>
          <w:rFonts w:hint="eastAsia" w:ascii="宋体" w:hAnsi="宋体"/>
          <w:color w:val="auto"/>
          <w:sz w:val="24"/>
          <w:highlight w:val="none"/>
        </w:rPr>
        <w:t>的相关要求，包括但不限于按照国家及地方环保法律法规、技术规范开展本项目的修复效果评估工作、编制修复效果评估工作方案、提供技术咨询、治理与修复效果评估报告、统筹配合处置项目验收等工作。具体工作内容包括但不限于：</w:t>
      </w:r>
    </w:p>
    <w:p>
      <w:pPr>
        <w:spacing w:line="360" w:lineRule="auto"/>
        <w:ind w:firstLine="484" w:firstLineChars="202"/>
        <w:rPr>
          <w:rFonts w:hint="eastAsia" w:ascii="宋体" w:hAnsi="宋体"/>
          <w:color w:val="auto"/>
          <w:sz w:val="24"/>
          <w:szCs w:val="20"/>
          <w:highlight w:val="none"/>
        </w:rPr>
      </w:pPr>
      <w:r>
        <w:rPr>
          <w:rFonts w:hint="eastAsia" w:ascii="宋体" w:hAnsi="宋体"/>
          <w:color w:val="auto"/>
          <w:sz w:val="24"/>
          <w:szCs w:val="20"/>
          <w:highlight w:val="none"/>
        </w:rPr>
        <w:t>（1）负责项目修复效果现场采样、检测分析、修复效果评估、报告编制、专家评审等各项工作。</w:t>
      </w:r>
    </w:p>
    <w:p>
      <w:pPr>
        <w:spacing w:line="360" w:lineRule="auto"/>
        <w:ind w:firstLine="484" w:firstLineChars="202"/>
        <w:rPr>
          <w:rFonts w:hint="eastAsia" w:ascii="宋体" w:hAnsi="宋体"/>
          <w:color w:val="auto"/>
          <w:sz w:val="24"/>
          <w:szCs w:val="20"/>
          <w:highlight w:val="none"/>
        </w:rPr>
      </w:pPr>
      <w:r>
        <w:rPr>
          <w:rFonts w:hint="eastAsia" w:ascii="宋体" w:hAnsi="宋体"/>
          <w:color w:val="auto"/>
          <w:sz w:val="24"/>
          <w:szCs w:val="20"/>
          <w:highlight w:val="none"/>
        </w:rPr>
        <w:t>（2）负责编写修复效果评估工作方案，负责效果评估相关工作的</w:t>
      </w:r>
      <w:r>
        <w:rPr>
          <w:rFonts w:hint="eastAsia" w:ascii="宋体" w:hAnsi="宋体"/>
          <w:color w:val="auto"/>
          <w:sz w:val="24"/>
          <w:szCs w:val="20"/>
          <w:highlight w:val="none"/>
          <w:lang w:val="en-US" w:eastAsia="zh-CN"/>
        </w:rPr>
        <w:t>评审、</w:t>
      </w:r>
      <w:r>
        <w:rPr>
          <w:rFonts w:hint="eastAsia" w:ascii="宋体" w:hAnsi="宋体"/>
          <w:color w:val="auto"/>
          <w:sz w:val="24"/>
          <w:szCs w:val="20"/>
          <w:highlight w:val="none"/>
        </w:rPr>
        <w:t>报审、报批</w:t>
      </w:r>
      <w:r>
        <w:rPr>
          <w:rFonts w:hint="eastAsia" w:ascii="宋体" w:hAnsi="宋体"/>
          <w:color w:val="auto"/>
          <w:sz w:val="24"/>
          <w:szCs w:val="20"/>
          <w:highlight w:val="none"/>
          <w:lang w:eastAsia="zh-CN"/>
        </w:rPr>
        <w:t>（</w:t>
      </w:r>
      <w:r>
        <w:rPr>
          <w:rFonts w:hint="eastAsia" w:ascii="宋体" w:hAnsi="宋体"/>
          <w:color w:val="auto"/>
          <w:sz w:val="24"/>
          <w:szCs w:val="20"/>
          <w:highlight w:val="none"/>
          <w:lang w:val="en-US" w:eastAsia="zh-CN"/>
        </w:rPr>
        <w:t>如有</w:t>
      </w:r>
      <w:r>
        <w:rPr>
          <w:rFonts w:hint="eastAsia" w:ascii="宋体" w:hAnsi="宋体"/>
          <w:color w:val="auto"/>
          <w:sz w:val="24"/>
          <w:szCs w:val="20"/>
          <w:highlight w:val="none"/>
          <w:lang w:eastAsia="zh-CN"/>
        </w:rPr>
        <w:t>）</w:t>
      </w:r>
      <w:r>
        <w:rPr>
          <w:rFonts w:hint="eastAsia" w:ascii="宋体" w:hAnsi="宋体"/>
          <w:color w:val="auto"/>
          <w:sz w:val="24"/>
          <w:szCs w:val="20"/>
          <w:highlight w:val="none"/>
        </w:rPr>
        <w:t>。</w:t>
      </w:r>
    </w:p>
    <w:p>
      <w:pPr>
        <w:spacing w:line="360" w:lineRule="auto"/>
        <w:ind w:firstLine="480"/>
        <w:rPr>
          <w:rFonts w:ascii="宋体" w:hAnsi="宋体"/>
          <w:color w:val="auto"/>
          <w:sz w:val="24"/>
          <w:szCs w:val="20"/>
          <w:highlight w:val="none"/>
        </w:rPr>
      </w:pPr>
      <w:r>
        <w:rPr>
          <w:rFonts w:hint="eastAsia" w:ascii="宋体" w:hAnsi="宋体"/>
          <w:color w:val="auto"/>
          <w:sz w:val="24"/>
          <w:szCs w:val="20"/>
          <w:highlight w:val="none"/>
        </w:rPr>
        <w:t>（3）根据国家、省、市生态环境等部门的有关要求，对本地块的治理与修复项目实施情况、二次污染控制情况、环保/监测措施落实情况、治理与修复范围与工程量核定、现场遗留污染识别及处理等，进行达标验收；</w:t>
      </w:r>
    </w:p>
    <w:p>
      <w:pPr>
        <w:spacing w:line="360" w:lineRule="auto"/>
        <w:ind w:firstLine="480"/>
        <w:rPr>
          <w:rFonts w:ascii="宋体" w:hAnsi="宋体"/>
          <w:color w:val="auto"/>
          <w:sz w:val="24"/>
          <w:szCs w:val="20"/>
          <w:highlight w:val="none"/>
        </w:rPr>
      </w:pPr>
      <w:r>
        <w:rPr>
          <w:rFonts w:hint="eastAsia" w:ascii="宋体" w:hAnsi="宋体"/>
          <w:color w:val="auto"/>
          <w:sz w:val="24"/>
          <w:szCs w:val="20"/>
          <w:highlight w:val="none"/>
        </w:rPr>
        <w:t>（4）根据《污染地块风险管控与土壤修复效果评估技术导则》(试行)(HJ25.5-2018)、《建设用地土壤污染风险管控和修复监测技术导则》(HJ25.2-2019)、《污染地块地下水修复和风险管控技术导则》(HJ25.6-2019)、《场地环境监测技术导则》、《广东省建设用地土壤污染状况调查、风险评估及效果评估报告技术审查要点(试行)》(粤环办(2020)67号)等相关规定进行全过程现场采样、记录、质控及验室分析，并保存完整的资料，及时出具质量合格的检测报告，并对其负责。</w:t>
      </w:r>
    </w:p>
    <w:p>
      <w:pPr>
        <w:spacing w:line="360" w:lineRule="auto"/>
        <w:ind w:firstLine="480"/>
        <w:rPr>
          <w:rFonts w:hint="eastAsia" w:ascii="宋体" w:hAnsi="宋体"/>
          <w:color w:val="auto"/>
          <w:sz w:val="24"/>
          <w:szCs w:val="20"/>
          <w:highlight w:val="none"/>
        </w:rPr>
      </w:pPr>
      <w:r>
        <w:rPr>
          <w:rFonts w:hint="eastAsia" w:ascii="宋体" w:hAnsi="宋体"/>
          <w:color w:val="auto"/>
          <w:sz w:val="24"/>
          <w:szCs w:val="20"/>
          <w:highlight w:val="none"/>
        </w:rPr>
        <w:t>（5）结合治理与修复项目的完成情况，在符合效果评估技术方案要求后收集项目验收材料，包括施工竣工报告、环境监理报告、工程监理报告等，编制《新造油库地块土壤修复效果评估报告》，并协调省、市生态环境部门组织专家评审会，通过专家评审会，取得专家评审意见。</w:t>
      </w:r>
    </w:p>
    <w:p>
      <w:pPr>
        <w:spacing w:line="360" w:lineRule="auto"/>
        <w:ind w:firstLine="480"/>
        <w:rPr>
          <w:rFonts w:hint="eastAsia" w:ascii="宋体" w:hAnsi="宋体"/>
          <w:color w:val="auto"/>
          <w:sz w:val="24"/>
          <w:highlight w:val="none"/>
        </w:rPr>
      </w:pPr>
      <w:r>
        <w:rPr>
          <w:rFonts w:hint="eastAsia" w:ascii="宋体" w:hAnsi="宋体"/>
          <w:color w:val="auto"/>
          <w:sz w:val="24"/>
          <w:szCs w:val="20"/>
          <w:highlight w:val="none"/>
        </w:rPr>
        <w:t>（6）负责整理项目全过程资料，并在验收合格，取得生态环境部门备案批复文件</w:t>
      </w:r>
      <w:r>
        <w:rPr>
          <w:rFonts w:hint="eastAsia" w:ascii="宋体" w:hAnsi="宋体"/>
          <w:color w:val="auto"/>
          <w:sz w:val="24"/>
          <w:szCs w:val="20"/>
          <w:highlight w:val="none"/>
          <w:lang w:eastAsia="zh-CN"/>
        </w:rPr>
        <w:t>（</w:t>
      </w:r>
      <w:r>
        <w:rPr>
          <w:rFonts w:hint="eastAsia" w:ascii="宋体" w:hAnsi="宋体"/>
          <w:color w:val="auto"/>
          <w:sz w:val="24"/>
          <w:szCs w:val="20"/>
          <w:highlight w:val="none"/>
          <w:lang w:val="en-US" w:eastAsia="zh-CN"/>
        </w:rPr>
        <w:t>如有</w:t>
      </w:r>
      <w:r>
        <w:rPr>
          <w:rFonts w:hint="eastAsia" w:ascii="宋体" w:hAnsi="宋体"/>
          <w:color w:val="auto"/>
          <w:sz w:val="24"/>
          <w:szCs w:val="20"/>
          <w:highlight w:val="none"/>
          <w:lang w:eastAsia="zh-CN"/>
        </w:rPr>
        <w:t>）</w:t>
      </w:r>
      <w:r>
        <w:rPr>
          <w:rFonts w:hint="eastAsia" w:ascii="宋体" w:hAnsi="宋体"/>
          <w:color w:val="auto"/>
          <w:sz w:val="24"/>
          <w:szCs w:val="20"/>
          <w:highlight w:val="none"/>
        </w:rPr>
        <w:t>后15个日历天内移交给甲方</w:t>
      </w:r>
      <w:r>
        <w:rPr>
          <w:rFonts w:hint="eastAsia" w:ascii="宋体" w:hAnsi="宋体"/>
          <w:color w:val="auto"/>
          <w:sz w:val="24"/>
          <w:highlight w:val="none"/>
        </w:rPr>
        <w:t>。</w:t>
      </w:r>
    </w:p>
    <w:p>
      <w:pPr>
        <w:pStyle w:val="19"/>
        <w:jc w:val="left"/>
        <w:rPr>
          <w:rFonts w:hint="eastAsia"/>
          <w:color w:val="auto"/>
          <w:sz w:val="24"/>
          <w:highlight w:val="none"/>
        </w:rPr>
      </w:pPr>
      <w:bookmarkStart w:id="1023" w:name="_Toc20771"/>
      <w:r>
        <w:rPr>
          <w:rFonts w:hint="eastAsia"/>
          <w:color w:val="auto"/>
          <w:sz w:val="24"/>
          <w:highlight w:val="none"/>
        </w:rPr>
        <w:t>三、提交成果及验收标准</w:t>
      </w:r>
      <w:bookmarkEnd w:id="1023"/>
    </w:p>
    <w:p>
      <w:pPr>
        <w:spacing w:line="360" w:lineRule="auto"/>
        <w:ind w:firstLine="484" w:firstLineChars="202"/>
        <w:rPr>
          <w:rFonts w:hint="eastAsia" w:ascii="宋体" w:hAnsi="宋体"/>
          <w:color w:val="auto"/>
          <w:sz w:val="24"/>
          <w:szCs w:val="20"/>
          <w:highlight w:val="none"/>
        </w:rPr>
      </w:pPr>
      <w:r>
        <w:rPr>
          <w:rFonts w:hint="eastAsia" w:ascii="宋体" w:hAnsi="宋体"/>
          <w:color w:val="auto"/>
          <w:sz w:val="24"/>
          <w:szCs w:val="20"/>
          <w:highlight w:val="none"/>
        </w:rPr>
        <w:t>3.1乙方应按如下要求提供相关工作成果：</w:t>
      </w:r>
    </w:p>
    <w:p>
      <w:pPr>
        <w:spacing w:line="360" w:lineRule="auto"/>
        <w:ind w:firstLine="484" w:firstLineChars="202"/>
        <w:rPr>
          <w:rFonts w:hint="eastAsia" w:ascii="宋体" w:hAnsi="宋体"/>
          <w:color w:val="auto"/>
          <w:sz w:val="24"/>
          <w:szCs w:val="20"/>
          <w:highlight w:val="none"/>
        </w:rPr>
      </w:pPr>
      <w:r>
        <w:rPr>
          <w:rFonts w:hint="eastAsia" w:ascii="宋体" w:hAnsi="宋体"/>
          <w:color w:val="auto"/>
          <w:sz w:val="24"/>
          <w:szCs w:val="20"/>
          <w:highlight w:val="none"/>
        </w:rPr>
        <w:t>（1）乙方提交技术咨询工作成果的形式：《新造油库地块土壤修复效果评估报告》一式</w:t>
      </w:r>
      <w:r>
        <w:rPr>
          <w:rFonts w:hint="eastAsia" w:ascii="宋体" w:hAnsi="宋体"/>
          <w:color w:val="auto"/>
          <w:sz w:val="24"/>
          <w:szCs w:val="20"/>
          <w:highlight w:val="none"/>
          <w:lang w:val="en-US" w:eastAsia="zh-CN"/>
        </w:rPr>
        <w:t>陆</w:t>
      </w:r>
      <w:r>
        <w:rPr>
          <w:rFonts w:hint="eastAsia" w:ascii="宋体" w:hAnsi="宋体"/>
          <w:color w:val="auto"/>
          <w:sz w:val="24"/>
          <w:szCs w:val="20"/>
          <w:highlight w:val="none"/>
        </w:rPr>
        <w:t>份和电子版壹份。</w:t>
      </w:r>
    </w:p>
    <w:p>
      <w:pPr>
        <w:spacing w:line="360" w:lineRule="auto"/>
        <w:ind w:firstLine="484" w:firstLineChars="202"/>
        <w:rPr>
          <w:rFonts w:ascii="宋体" w:hAnsi="宋体"/>
          <w:color w:val="auto"/>
          <w:sz w:val="24"/>
          <w:szCs w:val="20"/>
          <w:highlight w:val="none"/>
        </w:rPr>
      </w:pPr>
      <w:r>
        <w:rPr>
          <w:rFonts w:hint="eastAsia" w:ascii="宋体" w:hAnsi="宋体"/>
          <w:color w:val="auto"/>
          <w:sz w:val="24"/>
          <w:szCs w:val="20"/>
          <w:highlight w:val="none"/>
        </w:rPr>
        <w:t>（2）技术咨询工作成果的验收标准：乙方保证按照国家、广东省和广州市的相关要求，编制本项目土壤修复修复效果评估报告，通过生态环境主管部门组织的专家评审，本地块移出广东省建设用地土壤污染风险管控和修复名录即为验收通过为项目成果的最终验收依据</w:t>
      </w:r>
      <w:r>
        <w:rPr>
          <w:rFonts w:hint="eastAsia" w:ascii="宋体" w:hAnsi="宋体"/>
          <w:color w:val="auto"/>
          <w:sz w:val="24"/>
          <w:highlight w:val="none"/>
        </w:rPr>
        <w:t>。</w:t>
      </w:r>
    </w:p>
    <w:p>
      <w:pPr>
        <w:spacing w:line="360" w:lineRule="auto"/>
        <w:ind w:firstLine="484" w:firstLineChars="202"/>
        <w:rPr>
          <w:rFonts w:hint="eastAsia" w:ascii="宋体" w:hAnsi="宋体"/>
          <w:color w:val="auto"/>
          <w:sz w:val="24"/>
          <w:szCs w:val="20"/>
          <w:highlight w:val="none"/>
        </w:rPr>
      </w:pPr>
      <w:r>
        <w:rPr>
          <w:rFonts w:hint="eastAsia" w:ascii="宋体" w:hAnsi="宋体"/>
          <w:color w:val="auto"/>
          <w:sz w:val="24"/>
          <w:szCs w:val="20"/>
          <w:highlight w:val="none"/>
        </w:rPr>
        <w:t>3.2验收的时间和地点：由甲方和乙方共同确定。</w:t>
      </w:r>
    </w:p>
    <w:p>
      <w:pPr>
        <w:pStyle w:val="19"/>
        <w:jc w:val="left"/>
        <w:rPr>
          <w:rFonts w:hint="eastAsia"/>
          <w:color w:val="auto"/>
          <w:sz w:val="24"/>
          <w:highlight w:val="none"/>
        </w:rPr>
      </w:pPr>
      <w:bookmarkStart w:id="1024" w:name="_Toc46"/>
      <w:r>
        <w:rPr>
          <w:rFonts w:hint="eastAsia"/>
          <w:color w:val="auto"/>
          <w:sz w:val="24"/>
          <w:highlight w:val="none"/>
        </w:rPr>
        <w:t>四、技术要求</w:t>
      </w:r>
      <w:bookmarkEnd w:id="1024"/>
    </w:p>
    <w:p>
      <w:pPr>
        <w:pStyle w:val="10"/>
        <w:ind w:firstLine="480" w:firstLineChars="200"/>
        <w:rPr>
          <w:rFonts w:hint="eastAsia" w:ascii="宋体" w:hAnsi="宋体"/>
          <w:color w:val="auto"/>
          <w:sz w:val="24"/>
          <w:highlight w:val="none"/>
        </w:rPr>
      </w:pPr>
      <w:r>
        <w:rPr>
          <w:rFonts w:hint="eastAsia" w:ascii="宋体" w:hAnsi="宋体"/>
          <w:color w:val="auto"/>
          <w:sz w:val="24"/>
          <w:highlight w:val="none"/>
        </w:rPr>
        <w:t>本项目方案成果必须执行中华人民共和国现行规范、规定、规程、条例、标准等。</w:t>
      </w:r>
    </w:p>
    <w:p>
      <w:pPr>
        <w:pStyle w:val="10"/>
        <w:ind w:firstLine="480" w:firstLineChars="200"/>
        <w:rPr>
          <w:rFonts w:hint="eastAsia" w:ascii="宋体" w:hAnsi="宋体"/>
          <w:color w:val="auto"/>
          <w:sz w:val="24"/>
          <w:highlight w:val="none"/>
        </w:rPr>
      </w:pPr>
      <w:r>
        <w:rPr>
          <w:rFonts w:hint="eastAsia" w:ascii="宋体" w:hAnsi="宋体"/>
          <w:color w:val="auto"/>
          <w:sz w:val="24"/>
          <w:highlight w:val="none"/>
        </w:rPr>
        <w:t>本项目方案成果应符合行业及地方通用标准和惯例，符合《污染地块风险管控与土壤修复效果评估技术导则》(试行)(HJ25.5-2018)、《建设用地土壤污染风险管控和修复监测技术导则》(HJ25.2-2019)、《污染地块地下水修复和风险管控技术导则》(HJ25.6-2019)、《场地环境监测技术导则》、《广东省建设用地土壤污染状况调查、风险评估及效果评估报告技术审查要点(试行)》(粤环办(2020)67号)、《广州市工业企业场地环境调查、修复、效果评估技术文件审查要点》等文件的要求。</w:t>
      </w:r>
    </w:p>
    <w:p>
      <w:pPr>
        <w:pStyle w:val="19"/>
        <w:jc w:val="left"/>
        <w:rPr>
          <w:rFonts w:hint="eastAsia"/>
          <w:color w:val="auto"/>
          <w:sz w:val="24"/>
          <w:highlight w:val="none"/>
        </w:rPr>
      </w:pPr>
      <w:bookmarkStart w:id="1025" w:name="_Toc27752"/>
      <w:r>
        <w:rPr>
          <w:rFonts w:hint="eastAsia"/>
          <w:color w:val="auto"/>
          <w:sz w:val="24"/>
          <w:highlight w:val="none"/>
        </w:rPr>
        <w:t>五、工作期限</w:t>
      </w:r>
      <w:bookmarkEnd w:id="1025"/>
    </w:p>
    <w:p>
      <w:pPr>
        <w:pStyle w:val="10"/>
        <w:ind w:firstLine="480"/>
        <w:rPr>
          <w:rFonts w:hint="eastAsia" w:ascii="宋体" w:hAnsi="宋体"/>
          <w:color w:val="auto"/>
          <w:sz w:val="24"/>
          <w:highlight w:val="none"/>
        </w:rPr>
      </w:pPr>
      <w:r>
        <w:rPr>
          <w:rFonts w:hint="eastAsia"/>
          <w:color w:val="auto"/>
          <w:szCs w:val="21"/>
          <w:highlight w:val="none"/>
          <w:lang w:val="en-US" w:eastAsia="zh-CN"/>
        </w:rPr>
        <w:t>自中标之日起，180个日历天内</w:t>
      </w:r>
      <w:r>
        <w:rPr>
          <w:rFonts w:hint="eastAsia" w:ascii="宋体" w:hAnsi="宋体"/>
          <w:color w:val="auto"/>
          <w:sz w:val="24"/>
          <w:szCs w:val="20"/>
          <w:highlight w:val="none"/>
        </w:rPr>
        <w:t>本地块移出广东省建设用地土壤污染风险管控和修复名</w:t>
      </w:r>
      <w:r>
        <w:rPr>
          <w:rFonts w:hint="eastAsia" w:ascii="宋体" w:hAnsi="宋体"/>
          <w:color w:val="auto"/>
          <w:sz w:val="24"/>
          <w:szCs w:val="20"/>
          <w:highlight w:val="none"/>
          <w:lang w:eastAsia="zh-CN"/>
        </w:rPr>
        <w:t>。</w:t>
      </w:r>
      <w:r>
        <w:rPr>
          <w:rFonts w:hint="eastAsia"/>
          <w:color w:val="auto"/>
          <w:szCs w:val="21"/>
          <w:highlight w:val="none"/>
        </w:rPr>
        <w:t>效果评估服务期为自合同签订之日起，至完成全部治理与修复工作、经生态环境部门验收合格、完成移交（含资料移交）、且完成风险管控及后续服务、项目结算以及保修期满之日止。</w:t>
      </w:r>
    </w:p>
    <w:p>
      <w:pPr>
        <w:pStyle w:val="21"/>
        <w:spacing w:after="0" w:line="360" w:lineRule="exact"/>
        <w:ind w:firstLineChars="200"/>
        <w:rPr>
          <w:rFonts w:hint="eastAsia" w:ascii="宋体" w:hAnsi="宋体" w:eastAsia="宋体" w:cs="宋体"/>
          <w:color w:val="auto"/>
          <w:szCs w:val="21"/>
          <w:highlight w:val="none"/>
        </w:rPr>
      </w:pPr>
      <w:r>
        <w:rPr>
          <w:rFonts w:hint="eastAsia" w:ascii="仿宋" w:hAnsi="仿宋" w:eastAsia="仿宋" w:cs="仿宋"/>
          <w:b/>
          <w:bCs/>
          <w:color w:val="auto"/>
          <w:sz w:val="24"/>
          <w:szCs w:val="24"/>
          <w:highlight w:val="none"/>
          <w:lang w:val="en-US" w:eastAsia="zh-CN"/>
        </w:rPr>
        <w:br w:type="page"/>
      </w:r>
    </w:p>
    <w:p>
      <w:pPr>
        <w:rPr>
          <w:color w:val="auto"/>
          <w:highlight w:val="none"/>
        </w:rPr>
      </w:pPr>
    </w:p>
    <w:p>
      <w:pPr>
        <w:pStyle w:val="2"/>
        <w:rPr>
          <w:color w:val="auto"/>
          <w:highlight w:val="none"/>
        </w:rPr>
      </w:pPr>
    </w:p>
    <w:p>
      <w:pPr>
        <w:pStyle w:val="3"/>
        <w:keepNext w:val="0"/>
        <w:keepLines w:val="0"/>
        <w:jc w:val="center"/>
        <w:rPr>
          <w:color w:val="auto"/>
          <w:highlight w:val="none"/>
        </w:rPr>
      </w:pPr>
      <w:bookmarkStart w:id="1026" w:name="_Toc7194"/>
      <w:bookmarkStart w:id="1027" w:name="_Toc17177"/>
      <w:r>
        <w:rPr>
          <w:color w:val="auto"/>
          <w:highlight w:val="none"/>
        </w:rPr>
        <w:t>第</w:t>
      </w:r>
      <w:r>
        <w:rPr>
          <w:rFonts w:hint="eastAsia"/>
          <w:color w:val="auto"/>
          <w:highlight w:val="none"/>
        </w:rPr>
        <w:t>三</w:t>
      </w:r>
      <w:r>
        <w:rPr>
          <w:color w:val="auto"/>
          <w:highlight w:val="none"/>
        </w:rPr>
        <w:t>卷</w:t>
      </w:r>
      <w:bookmarkEnd w:id="1026"/>
      <w:bookmarkEnd w:id="1027"/>
    </w:p>
    <w:p>
      <w:pPr>
        <w:rPr>
          <w:color w:val="auto"/>
          <w:highlight w:val="none"/>
        </w:rPr>
      </w:pPr>
    </w:p>
    <w:p>
      <w:pPr>
        <w:spacing w:line="400" w:lineRule="exact"/>
        <w:jc w:val="center"/>
        <w:rPr>
          <w:rFonts w:ascii="Times New Roman" w:hAnsi="Times New Roman"/>
          <w:color w:val="auto"/>
          <w:highlight w:val="none"/>
        </w:rPr>
      </w:pPr>
    </w:p>
    <w:p>
      <w:pPr>
        <w:pStyle w:val="2"/>
        <w:rPr>
          <w:color w:val="auto"/>
          <w:highlight w:val="none"/>
        </w:rPr>
      </w:pPr>
    </w:p>
    <w:p>
      <w:pPr>
        <w:pStyle w:val="2"/>
        <w:rPr>
          <w:color w:val="auto"/>
          <w:highlight w:val="none"/>
        </w:rPr>
      </w:pPr>
    </w:p>
    <w:p>
      <w:pPr>
        <w:pStyle w:val="3"/>
        <w:keepNext w:val="0"/>
        <w:keepLines w:val="0"/>
        <w:jc w:val="center"/>
        <w:rPr>
          <w:color w:val="auto"/>
          <w:highlight w:val="none"/>
        </w:rPr>
      </w:pPr>
      <w:bookmarkStart w:id="1028" w:name="_Toc5787"/>
      <w:r>
        <w:rPr>
          <w:color w:val="auto"/>
          <w:highlight w:val="none"/>
        </w:rPr>
        <w:t>第六章</w:t>
      </w:r>
      <w:r>
        <w:rPr>
          <w:rFonts w:hint="eastAsia"/>
          <w:color w:val="auto"/>
          <w:highlight w:val="none"/>
        </w:rPr>
        <w:t xml:space="preserve"> </w:t>
      </w:r>
      <w:r>
        <w:rPr>
          <w:color w:val="auto"/>
          <w:highlight w:val="none"/>
        </w:rPr>
        <w:t>投标文件格式</w:t>
      </w:r>
      <w:bookmarkEnd w:id="1028"/>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pStyle w:val="12"/>
        <w:rPr>
          <w:rFonts w:ascii="Times New Roman" w:hAnsi="Times New Roman"/>
          <w:color w:val="auto"/>
          <w:highlight w:val="none"/>
        </w:rPr>
      </w:pPr>
    </w:p>
    <w:p>
      <w:pPr>
        <w:rPr>
          <w:rFonts w:ascii="Times New Roman" w:hAnsi="Times New Roman"/>
          <w:color w:val="auto"/>
          <w:highlight w:val="none"/>
        </w:rPr>
      </w:pPr>
    </w:p>
    <w:p>
      <w:pPr>
        <w:autoSpaceDE w:val="0"/>
        <w:autoSpaceDN w:val="0"/>
        <w:adjustRightInd w:val="0"/>
        <w:jc w:val="center"/>
        <w:rPr>
          <w:b/>
          <w:color w:val="auto"/>
          <w:sz w:val="44"/>
          <w:szCs w:val="44"/>
          <w:highlight w:val="none"/>
        </w:rPr>
      </w:pPr>
    </w:p>
    <w:p>
      <w:pPr>
        <w:autoSpaceDE w:val="0"/>
        <w:autoSpaceDN w:val="0"/>
        <w:adjustRightInd w:val="0"/>
        <w:jc w:val="center"/>
        <w:rPr>
          <w:rFonts w:hint="eastAsia" w:eastAsia="宋体"/>
          <w:b/>
          <w:color w:val="auto"/>
          <w:sz w:val="44"/>
          <w:szCs w:val="44"/>
          <w:highlight w:val="none"/>
          <w:lang w:eastAsia="zh-CN"/>
        </w:rPr>
      </w:pPr>
      <w:r>
        <w:rPr>
          <w:rFonts w:hint="eastAsia"/>
          <w:b/>
          <w:color w:val="auto"/>
          <w:sz w:val="44"/>
          <w:szCs w:val="44"/>
          <w:highlight w:val="none"/>
          <w:lang w:eastAsia="zh-CN"/>
        </w:rPr>
        <w:t>新造油库地块土壤修复项目效果评估</w:t>
      </w:r>
    </w:p>
    <w:p>
      <w:pPr>
        <w:autoSpaceDE w:val="0"/>
        <w:autoSpaceDN w:val="0"/>
        <w:adjustRightInd w:val="0"/>
        <w:jc w:val="center"/>
        <w:rPr>
          <w:b/>
          <w:color w:val="auto"/>
          <w:sz w:val="44"/>
          <w:szCs w:val="44"/>
          <w:highlight w:val="none"/>
        </w:rPr>
      </w:pPr>
    </w:p>
    <w:p>
      <w:pPr>
        <w:pStyle w:val="12"/>
        <w:rPr>
          <w:color w:val="auto"/>
          <w:highlight w:val="none"/>
        </w:rPr>
      </w:pPr>
    </w:p>
    <w:p>
      <w:pPr>
        <w:rPr>
          <w:rFonts w:ascii="Times New Roman" w:hAnsi="Times New Roman" w:eastAsia="黑体"/>
          <w:color w:val="auto"/>
          <w:sz w:val="20"/>
          <w:highlight w:val="none"/>
        </w:rPr>
      </w:pPr>
    </w:p>
    <w:p>
      <w:pPr>
        <w:rPr>
          <w:rFonts w:ascii="Times New Roman" w:hAnsi="Times New Roman" w:eastAsia="黑体"/>
          <w:color w:val="auto"/>
          <w:sz w:val="20"/>
          <w:highlight w:val="none"/>
        </w:rPr>
      </w:pPr>
    </w:p>
    <w:p>
      <w:pPr>
        <w:rPr>
          <w:rFonts w:ascii="Times New Roman" w:hAnsi="Times New Roman" w:eastAsia="黑体"/>
          <w:color w:val="auto"/>
          <w:sz w:val="20"/>
          <w:highlight w:val="none"/>
        </w:rPr>
      </w:pPr>
    </w:p>
    <w:p>
      <w:pPr>
        <w:rPr>
          <w:rFonts w:ascii="Times New Roman" w:hAnsi="Times New Roman" w:eastAsia="黑体"/>
          <w:color w:val="auto"/>
          <w:sz w:val="20"/>
          <w:highlight w:val="none"/>
        </w:rPr>
      </w:pPr>
    </w:p>
    <w:p>
      <w:pPr>
        <w:rPr>
          <w:rFonts w:ascii="Times New Roman" w:hAnsi="Times New Roman" w:eastAsia="黑体"/>
          <w:color w:val="auto"/>
          <w:sz w:val="20"/>
          <w:highlight w:val="none"/>
        </w:rPr>
      </w:pPr>
    </w:p>
    <w:p>
      <w:pPr>
        <w:jc w:val="center"/>
        <w:rPr>
          <w:rFonts w:ascii="Times New Roman" w:hAnsi="Times New Roman" w:eastAsia="黑体"/>
          <w:color w:val="auto"/>
          <w:sz w:val="84"/>
          <w:szCs w:val="84"/>
          <w:highlight w:val="none"/>
        </w:rPr>
      </w:pPr>
    </w:p>
    <w:p>
      <w:pPr>
        <w:jc w:val="center"/>
        <w:rPr>
          <w:rFonts w:ascii="Times New Roman" w:hAnsi="Times New Roman" w:eastAsia="黑体"/>
          <w:color w:val="auto"/>
          <w:sz w:val="84"/>
          <w:szCs w:val="84"/>
          <w:highlight w:val="none"/>
        </w:rPr>
      </w:pPr>
      <w:r>
        <w:rPr>
          <w:rFonts w:ascii="Times New Roman" w:hAnsi="Times New Roman" w:eastAsia="黑体"/>
          <w:color w:val="auto"/>
          <w:sz w:val="84"/>
          <w:szCs w:val="84"/>
          <w:highlight w:val="none"/>
        </w:rPr>
        <w:t>投 标 文 件</w:t>
      </w:r>
    </w:p>
    <w:p>
      <w:pPr>
        <w:jc w:val="center"/>
        <w:rPr>
          <w:rFonts w:ascii="Times New Roman" w:hAnsi="Times New Roman" w:eastAsia="黑体"/>
          <w:color w:val="auto"/>
          <w:sz w:val="44"/>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rPr>
          <w:rFonts w:ascii="Times New Roman" w:hAnsi="Times New Roman" w:eastAsia="黑体"/>
          <w:color w:val="auto"/>
          <w:sz w:val="28"/>
          <w:highlight w:val="none"/>
        </w:rPr>
      </w:pPr>
    </w:p>
    <w:p>
      <w:pPr>
        <w:spacing w:line="360" w:lineRule="auto"/>
        <w:rPr>
          <w:rFonts w:ascii="Times New Roman" w:hAnsi="Times New Roman" w:eastAsia="黑体"/>
          <w:color w:val="auto"/>
          <w:sz w:val="28"/>
          <w:highlight w:val="none"/>
        </w:rPr>
      </w:pPr>
    </w:p>
    <w:p>
      <w:pPr>
        <w:spacing w:line="360" w:lineRule="auto"/>
        <w:ind w:firstLine="1120" w:firstLineChars="400"/>
        <w:rPr>
          <w:rFonts w:ascii="Times New Roman" w:hAnsi="Times New Roman" w:eastAsia="黑体"/>
          <w:color w:val="auto"/>
          <w:sz w:val="28"/>
          <w:highlight w:val="none"/>
          <w:u w:val="single"/>
        </w:rPr>
      </w:pPr>
      <w:r>
        <w:rPr>
          <w:rFonts w:ascii="Times New Roman" w:hAnsi="Times New Roman" w:eastAsia="黑体"/>
          <w:color w:val="auto"/>
          <w:sz w:val="28"/>
          <w:highlight w:val="none"/>
        </w:rPr>
        <w:t>投标人：</w:t>
      </w:r>
      <w:r>
        <w:rPr>
          <w:rFonts w:ascii="Times New Roman" w:hAnsi="Times New Roman"/>
          <w:color w:val="auto"/>
          <w:highlight w:val="none"/>
          <w:u w:val="single"/>
        </w:rPr>
        <w:t xml:space="preserve">                                            </w:t>
      </w:r>
      <w:r>
        <w:rPr>
          <w:rFonts w:ascii="Times New Roman" w:hAnsi="Times New Roman" w:eastAsia="黑体"/>
          <w:color w:val="auto"/>
          <w:sz w:val="28"/>
          <w:highlight w:val="none"/>
        </w:rPr>
        <w:t>（盖单位章）</w:t>
      </w:r>
    </w:p>
    <w:p>
      <w:pPr>
        <w:spacing w:line="360" w:lineRule="auto"/>
        <w:ind w:firstLine="1120" w:firstLineChars="400"/>
        <w:jc w:val="left"/>
        <w:rPr>
          <w:rFonts w:ascii="Times New Roman" w:hAnsi="Times New Roman" w:eastAsia="黑体"/>
          <w:color w:val="auto"/>
          <w:sz w:val="28"/>
          <w:highlight w:val="none"/>
        </w:rPr>
      </w:pPr>
      <w:r>
        <w:rPr>
          <w:rFonts w:ascii="Times New Roman" w:hAnsi="Times New Roman" w:eastAsia="黑体"/>
          <w:color w:val="auto"/>
          <w:sz w:val="28"/>
          <w:highlight w:val="none"/>
        </w:rPr>
        <w:t>法定代表人或其委托代理人：</w:t>
      </w:r>
      <w:r>
        <w:rPr>
          <w:rFonts w:ascii="Times New Roman" w:hAnsi="Times New Roman"/>
          <w:color w:val="auto"/>
          <w:highlight w:val="none"/>
          <w:u w:val="single"/>
        </w:rPr>
        <w:t xml:space="preserve">       </w:t>
      </w:r>
      <w:r>
        <w:rPr>
          <w:rFonts w:ascii="Times New Roman" w:hAnsi="Times New Roman" w:eastAsia="黑体"/>
          <w:color w:val="auto"/>
          <w:sz w:val="28"/>
          <w:highlight w:val="none"/>
        </w:rPr>
        <w:t>（</w:t>
      </w:r>
      <w:r>
        <w:rPr>
          <w:rFonts w:hint="eastAsia" w:ascii="Times New Roman" w:hAnsi="Times New Roman" w:eastAsia="黑体"/>
          <w:color w:val="auto"/>
          <w:sz w:val="28"/>
          <w:highlight w:val="none"/>
        </w:rPr>
        <w:t>签字或盖章</w:t>
      </w:r>
      <w:r>
        <w:rPr>
          <w:rFonts w:ascii="Times New Roman" w:hAnsi="Times New Roman" w:eastAsia="黑体"/>
          <w:color w:val="auto"/>
          <w:sz w:val="28"/>
          <w:highlight w:val="none"/>
        </w:rPr>
        <w:t>）</w:t>
      </w:r>
    </w:p>
    <w:p>
      <w:pPr>
        <w:jc w:val="center"/>
        <w:rPr>
          <w:rFonts w:ascii="Times New Roman" w:hAnsi="Times New Roman" w:eastAsia="黑体"/>
          <w:color w:val="auto"/>
          <w:sz w:val="28"/>
          <w:highlight w:val="none"/>
        </w:rPr>
      </w:pPr>
    </w:p>
    <w:p>
      <w:pPr>
        <w:spacing w:line="400" w:lineRule="exact"/>
        <w:jc w:val="center"/>
        <w:rPr>
          <w:rFonts w:ascii="Times New Roman" w:hAnsi="Times New Roman" w:eastAsia="黑体"/>
          <w:color w:val="auto"/>
          <w:sz w:val="28"/>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p>
    <w:p>
      <w:pPr>
        <w:pStyle w:val="4"/>
        <w:keepNext w:val="0"/>
        <w:keepLines w:val="0"/>
        <w:jc w:val="center"/>
        <w:rPr>
          <w:rFonts w:ascii="Times New Roman" w:hAnsi="Times New Roman"/>
          <w:color w:val="auto"/>
          <w:highlight w:val="none"/>
        </w:rPr>
      </w:pPr>
    </w:p>
    <w:p>
      <w:pPr>
        <w:pStyle w:val="4"/>
        <w:keepNext w:val="0"/>
        <w:keepLines w:val="0"/>
        <w:jc w:val="center"/>
        <w:rPr>
          <w:rFonts w:ascii="Times New Roman" w:hAnsi="Times New Roman"/>
          <w:color w:val="auto"/>
          <w:highlight w:val="none"/>
        </w:rPr>
      </w:pPr>
      <w:bookmarkStart w:id="1029" w:name="_Toc29071"/>
      <w:bookmarkStart w:id="1030" w:name="_Toc15880"/>
      <w:bookmarkStart w:id="1031" w:name="_Toc2862"/>
      <w:bookmarkStart w:id="1032" w:name="_Toc22600"/>
      <w:r>
        <w:rPr>
          <w:rFonts w:ascii="Times New Roman" w:hAnsi="Times New Roman"/>
          <w:color w:val="auto"/>
          <w:highlight w:val="none"/>
        </w:rPr>
        <w:t>目</w:t>
      </w:r>
      <w:r>
        <w:rPr>
          <w:rFonts w:hint="eastAsia" w:ascii="Times New Roman" w:hAnsi="Times New Roman"/>
          <w:color w:val="auto"/>
          <w:highlight w:val="none"/>
        </w:rPr>
        <w:t xml:space="preserve">  </w:t>
      </w:r>
      <w:r>
        <w:rPr>
          <w:rFonts w:ascii="Times New Roman" w:hAnsi="Times New Roman"/>
          <w:color w:val="auto"/>
          <w:highlight w:val="none"/>
        </w:rPr>
        <w:t>录</w:t>
      </w:r>
      <w:bookmarkEnd w:id="1029"/>
      <w:bookmarkEnd w:id="1030"/>
      <w:bookmarkEnd w:id="1031"/>
      <w:bookmarkEnd w:id="1032"/>
    </w:p>
    <w:p>
      <w:pPr>
        <w:spacing w:line="540" w:lineRule="exact"/>
        <w:rPr>
          <w:rFonts w:ascii="Times New Roman" w:hAnsi="Times New Roman"/>
          <w:color w:val="auto"/>
          <w:highlight w:val="none"/>
        </w:rPr>
      </w:pPr>
      <w:r>
        <w:rPr>
          <w:rFonts w:ascii="Times New Roman" w:hAnsi="Times New Roman"/>
          <w:color w:val="auto"/>
          <w:highlight w:val="none"/>
        </w:rPr>
        <w:t>一、投标函及投标函附录</w:t>
      </w:r>
    </w:p>
    <w:p>
      <w:pPr>
        <w:spacing w:line="540" w:lineRule="exact"/>
        <w:rPr>
          <w:rFonts w:ascii="Times New Roman" w:hAnsi="Times New Roman"/>
          <w:color w:val="auto"/>
          <w:highlight w:val="none"/>
        </w:rPr>
      </w:pPr>
      <w:r>
        <w:rPr>
          <w:rFonts w:ascii="Times New Roman" w:hAnsi="Times New Roman"/>
          <w:color w:val="auto"/>
          <w:highlight w:val="none"/>
        </w:rPr>
        <w:t>二、法定代表人身份证明（适用于无委托代理人的情况）</w:t>
      </w:r>
      <w:r>
        <w:rPr>
          <w:rFonts w:hint="eastAsia" w:ascii="Times New Roman" w:hAnsi="Times New Roman"/>
          <w:color w:val="auto"/>
          <w:highlight w:val="none"/>
        </w:rPr>
        <w:t>、</w:t>
      </w:r>
      <w:r>
        <w:rPr>
          <w:rFonts w:ascii="Times New Roman" w:hAnsi="Times New Roman"/>
          <w:color w:val="auto"/>
          <w:highlight w:val="none"/>
        </w:rPr>
        <w:t>授权委托书（适用于有委托代理人的情况）</w:t>
      </w:r>
    </w:p>
    <w:p>
      <w:pPr>
        <w:spacing w:line="540" w:lineRule="exact"/>
        <w:rPr>
          <w:rFonts w:ascii="Times New Roman" w:hAnsi="Times New Roman"/>
          <w:color w:val="auto"/>
          <w:highlight w:val="none"/>
        </w:rPr>
      </w:pPr>
      <w:r>
        <w:rPr>
          <w:rFonts w:hint="eastAsia" w:ascii="Times New Roman" w:hAnsi="Times New Roman"/>
          <w:color w:val="auto"/>
          <w:highlight w:val="none"/>
        </w:rPr>
        <w:t>三</w:t>
      </w:r>
      <w:r>
        <w:rPr>
          <w:rFonts w:ascii="Times New Roman" w:hAnsi="Times New Roman"/>
          <w:color w:val="auto"/>
          <w:highlight w:val="none"/>
        </w:rPr>
        <w:t>、投标保证金</w:t>
      </w:r>
    </w:p>
    <w:p>
      <w:pPr>
        <w:spacing w:line="540" w:lineRule="exact"/>
        <w:rPr>
          <w:rFonts w:ascii="Times New Roman" w:hAnsi="Times New Roman"/>
          <w:color w:val="auto"/>
          <w:highlight w:val="none"/>
        </w:rPr>
      </w:pPr>
      <w:r>
        <w:rPr>
          <w:rFonts w:hint="eastAsia" w:ascii="Times New Roman" w:hAnsi="Times New Roman"/>
          <w:color w:val="auto"/>
          <w:highlight w:val="none"/>
        </w:rPr>
        <w:t>四</w:t>
      </w:r>
      <w:r>
        <w:rPr>
          <w:rFonts w:ascii="Times New Roman" w:hAnsi="Times New Roman"/>
          <w:color w:val="auto"/>
          <w:highlight w:val="none"/>
        </w:rPr>
        <w:t>、</w:t>
      </w:r>
      <w:r>
        <w:rPr>
          <w:rFonts w:hint="eastAsia" w:ascii="Times New Roman" w:hAnsi="Times New Roman"/>
          <w:color w:val="auto"/>
          <w:highlight w:val="none"/>
        </w:rPr>
        <w:t>投标报价表</w:t>
      </w:r>
    </w:p>
    <w:p>
      <w:pPr>
        <w:spacing w:line="540" w:lineRule="exact"/>
        <w:rPr>
          <w:rFonts w:ascii="Times New Roman" w:hAnsi="Times New Roman"/>
          <w:color w:val="auto"/>
          <w:highlight w:val="none"/>
        </w:rPr>
      </w:pPr>
      <w:r>
        <w:rPr>
          <w:rFonts w:hint="eastAsia" w:ascii="Times New Roman" w:hAnsi="Times New Roman"/>
          <w:color w:val="auto"/>
          <w:highlight w:val="none"/>
        </w:rPr>
        <w:t>五</w:t>
      </w:r>
      <w:r>
        <w:rPr>
          <w:rFonts w:ascii="Times New Roman" w:hAnsi="Times New Roman"/>
          <w:color w:val="auto"/>
          <w:highlight w:val="none"/>
        </w:rPr>
        <w:t>、资格审查资料</w:t>
      </w:r>
    </w:p>
    <w:p>
      <w:pPr>
        <w:spacing w:line="540" w:lineRule="exact"/>
        <w:rPr>
          <w:rFonts w:hint="eastAsia" w:ascii="Times New Roman" w:hAnsi="Times New Roman" w:eastAsia="宋体"/>
          <w:color w:val="auto"/>
          <w:highlight w:val="none"/>
          <w:lang w:eastAsia="zh-CN"/>
        </w:rPr>
      </w:pPr>
      <w:r>
        <w:rPr>
          <w:rFonts w:hint="eastAsia" w:ascii="Times New Roman" w:hAnsi="Times New Roman"/>
          <w:color w:val="auto"/>
          <w:highlight w:val="none"/>
        </w:rPr>
        <w:t>六</w:t>
      </w:r>
      <w:r>
        <w:rPr>
          <w:rFonts w:ascii="Times New Roman" w:hAnsi="Times New Roman"/>
          <w:color w:val="auto"/>
          <w:highlight w:val="none"/>
        </w:rPr>
        <w:t>、</w:t>
      </w:r>
      <w:r>
        <w:rPr>
          <w:rFonts w:hint="eastAsia" w:ascii="Times New Roman" w:hAnsi="Times New Roman"/>
          <w:color w:val="auto"/>
          <w:highlight w:val="none"/>
          <w:lang w:eastAsia="zh-CN"/>
        </w:rPr>
        <w:t>技术服务方案</w:t>
      </w:r>
    </w:p>
    <w:p>
      <w:pPr>
        <w:spacing w:line="540" w:lineRule="exact"/>
        <w:rPr>
          <w:rFonts w:ascii="Times New Roman" w:hAnsi="Times New Roman"/>
          <w:color w:val="auto"/>
          <w:highlight w:val="none"/>
        </w:rPr>
      </w:pPr>
      <w:bookmarkStart w:id="1033" w:name="_Toc352691655"/>
      <w:bookmarkStart w:id="1034" w:name="_Toc7039"/>
      <w:bookmarkStart w:id="1035" w:name="_Toc369531691"/>
      <w:r>
        <w:rPr>
          <w:rFonts w:hint="eastAsia" w:ascii="Times New Roman" w:hAnsi="Times New Roman"/>
          <w:color w:val="auto"/>
          <w:highlight w:val="none"/>
        </w:rPr>
        <w:t>七</w:t>
      </w:r>
      <w:r>
        <w:rPr>
          <w:rFonts w:ascii="Times New Roman" w:hAnsi="Times New Roman"/>
          <w:color w:val="auto"/>
          <w:highlight w:val="none"/>
        </w:rPr>
        <w:t>、其他资料</w:t>
      </w: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p>
      <w:pPr>
        <w:spacing w:line="540" w:lineRule="exact"/>
        <w:rPr>
          <w:rFonts w:ascii="Times New Roman" w:hAnsi="Times New Roman" w:eastAsia="黑体"/>
          <w:color w:val="auto"/>
          <w:sz w:val="20"/>
          <w:highlight w:val="none"/>
        </w:rPr>
      </w:pPr>
    </w:p>
    <w:bookmarkEnd w:id="1033"/>
    <w:bookmarkEnd w:id="1034"/>
    <w:bookmarkEnd w:id="1035"/>
    <w:p>
      <w:pPr>
        <w:pStyle w:val="4"/>
        <w:keepNext w:val="0"/>
        <w:keepLines w:val="0"/>
        <w:jc w:val="center"/>
        <w:rPr>
          <w:rFonts w:ascii="Times New Roman" w:hAnsi="Times New Roman"/>
          <w:color w:val="auto"/>
          <w:highlight w:val="none"/>
        </w:rPr>
      </w:pPr>
      <w:r>
        <w:rPr>
          <w:rFonts w:ascii="Times New Roman" w:hAnsi="Times New Roman"/>
          <w:color w:val="auto"/>
          <w:highlight w:val="none"/>
        </w:rPr>
        <w:br w:type="page"/>
      </w:r>
      <w:bookmarkStart w:id="1036" w:name="_Toc27562"/>
      <w:bookmarkStart w:id="1037" w:name="_Toc30909"/>
      <w:bookmarkStart w:id="1038" w:name="_Toc21974"/>
      <w:r>
        <w:rPr>
          <w:rFonts w:ascii="Times New Roman" w:hAnsi="Times New Roman"/>
          <w:color w:val="auto"/>
          <w:highlight w:val="none"/>
        </w:rPr>
        <w:t>一、投标</w:t>
      </w:r>
      <w:bookmarkStart w:id="1039" w:name="_Toc352691656"/>
      <w:bookmarkStart w:id="1040" w:name="_Toc6931"/>
      <w:bookmarkStart w:id="1041" w:name="_Toc369531692"/>
      <w:r>
        <w:rPr>
          <w:rFonts w:ascii="Times New Roman" w:hAnsi="Times New Roman"/>
          <w:color w:val="auto"/>
          <w:highlight w:val="none"/>
        </w:rPr>
        <w:t>函及投标函附录</w:t>
      </w:r>
      <w:bookmarkEnd w:id="1036"/>
      <w:bookmarkEnd w:id="1037"/>
      <w:bookmarkEnd w:id="1038"/>
    </w:p>
    <w:bookmarkEnd w:id="1039"/>
    <w:bookmarkEnd w:id="1040"/>
    <w:bookmarkEnd w:id="1041"/>
    <w:p>
      <w:pPr>
        <w:pStyle w:val="5"/>
        <w:keepNext w:val="0"/>
        <w:keepLines w:val="0"/>
        <w:ind w:firstLine="137"/>
        <w:rPr>
          <w:rFonts w:ascii="Times New Roman" w:hAnsi="Times New Roman"/>
          <w:color w:val="auto"/>
          <w:highlight w:val="none"/>
        </w:rPr>
      </w:pPr>
      <w:bookmarkStart w:id="1042" w:name="_Toc391394111"/>
      <w:bookmarkStart w:id="1043" w:name="_Toc482188651"/>
      <w:bookmarkStart w:id="1044" w:name="_Toc16357"/>
      <w:bookmarkStart w:id="1045" w:name="_Toc3971"/>
      <w:bookmarkStart w:id="1046" w:name="_Toc370676426"/>
      <w:bookmarkStart w:id="1047" w:name="_Toc31957"/>
      <w:bookmarkStart w:id="1048" w:name="_Toc385943065"/>
      <w:bookmarkStart w:id="1049" w:name="_Toc359594235"/>
      <w:bookmarkStart w:id="1050" w:name="_Toc28639"/>
      <w:r>
        <w:rPr>
          <w:rFonts w:ascii="Times New Roman" w:hAnsi="Times New Roman"/>
          <w:color w:val="auto"/>
          <w:highlight w:val="none"/>
        </w:rPr>
        <w:t>（一）投标函</w:t>
      </w:r>
      <w:bookmarkEnd w:id="1042"/>
      <w:bookmarkEnd w:id="1043"/>
      <w:bookmarkEnd w:id="1044"/>
      <w:bookmarkEnd w:id="1045"/>
      <w:bookmarkEnd w:id="1046"/>
      <w:bookmarkEnd w:id="1047"/>
      <w:bookmarkEnd w:id="1048"/>
      <w:bookmarkEnd w:id="1049"/>
      <w:bookmarkEnd w:id="1050"/>
    </w:p>
    <w:p>
      <w:pPr>
        <w:spacing w:line="440" w:lineRule="exact"/>
        <w:rPr>
          <w:rFonts w:ascii="Times New Roman" w:hAnsi="Times New Roman"/>
          <w:color w:val="auto"/>
          <w:szCs w:val="21"/>
          <w:highlight w:val="none"/>
        </w:rPr>
      </w:pPr>
      <w:r>
        <w:rPr>
          <w:rFonts w:hint="eastAsia" w:ascii="Times New Roman" w:hAnsi="Times New Roman"/>
          <w:color w:val="auto"/>
          <w:szCs w:val="21"/>
          <w:highlight w:val="none"/>
          <w:u w:val="single"/>
          <w:lang w:eastAsia="zh-CN"/>
        </w:rPr>
        <w:t>广东省物资产业（集团）有限公司</w:t>
      </w:r>
      <w:r>
        <w:rPr>
          <w:rFonts w:ascii="Times New Roman" w:hAnsi="Times New Roman"/>
          <w:color w:val="auto"/>
          <w:szCs w:val="21"/>
          <w:highlight w:val="none"/>
        </w:rPr>
        <w:t>（招标人名称）：</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1．我方已仔细研究了</w:t>
      </w:r>
      <w:r>
        <w:rPr>
          <w:rFonts w:hint="eastAsia" w:ascii="Times New Roman" w:hAnsi="Times New Roman"/>
          <w:color w:val="auto"/>
          <w:szCs w:val="21"/>
          <w:highlight w:val="none"/>
          <w:u w:val="single"/>
          <w:lang w:eastAsia="zh-CN"/>
        </w:rPr>
        <w:t>新造油库地块土壤修复项目效果评估</w:t>
      </w:r>
      <w:r>
        <w:rPr>
          <w:rFonts w:ascii="Times New Roman" w:hAnsi="Times New Roman"/>
          <w:color w:val="auto"/>
          <w:szCs w:val="21"/>
          <w:highlight w:val="none"/>
        </w:rPr>
        <w:t>招标项目招标文件的全部内容，愿意以人民币（大写）</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）的投标报价</w:t>
      </w:r>
      <w:r>
        <w:rPr>
          <w:rFonts w:ascii="Times New Roman" w:hAnsi="Times New Roman" w:eastAsia="黑体"/>
          <w:color w:val="auto"/>
          <w:szCs w:val="21"/>
          <w:highlight w:val="none"/>
        </w:rPr>
        <w:t>，</w:t>
      </w:r>
      <w:r>
        <w:rPr>
          <w:rFonts w:ascii="Times New Roman" w:hAnsi="Times New Roman"/>
          <w:color w:val="auto"/>
          <w:szCs w:val="21"/>
          <w:highlight w:val="none"/>
        </w:rPr>
        <w:t>服务期限：</w:t>
      </w:r>
      <w:r>
        <w:rPr>
          <w:rFonts w:hint="eastAsia" w:ascii="Times New Roman" w:hAnsi="Times New Roman"/>
          <w:color w:val="auto"/>
          <w:szCs w:val="21"/>
          <w:highlight w:val="none"/>
          <w:u w:val="single"/>
        </w:rPr>
        <w:t>按招标文件要求</w:t>
      </w:r>
      <w:r>
        <w:rPr>
          <w:rFonts w:ascii="Times New Roman" w:hAnsi="Times New Roman"/>
          <w:color w:val="auto"/>
          <w:szCs w:val="21"/>
          <w:highlight w:val="none"/>
        </w:rPr>
        <w:t>，按合同约定完成</w:t>
      </w:r>
      <w:r>
        <w:rPr>
          <w:rFonts w:hint="eastAsia" w:ascii="Times New Roman" w:hAnsi="Times New Roman"/>
          <w:color w:val="auto"/>
          <w:szCs w:val="21"/>
          <w:highlight w:val="none"/>
          <w:u w:val="single"/>
        </w:rPr>
        <w:t>效果评估</w:t>
      </w:r>
      <w:r>
        <w:rPr>
          <w:rFonts w:ascii="Times New Roman" w:hAnsi="Times New Roman"/>
          <w:color w:val="auto"/>
          <w:szCs w:val="21"/>
          <w:highlight w:val="none"/>
        </w:rPr>
        <w:t>工作。</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 我方的投标文件包括下列内容：</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（1）投标函</w:t>
      </w:r>
      <w:r>
        <w:rPr>
          <w:rFonts w:ascii="Times New Roman" w:hAnsi="Times New Roman"/>
          <w:color w:val="auto"/>
          <w:highlight w:val="none"/>
        </w:rPr>
        <w:t>及投标函附录</w:t>
      </w:r>
      <w:r>
        <w:rPr>
          <w:rFonts w:ascii="Times New Roman" w:hAnsi="Times New Roman"/>
          <w:color w:val="auto"/>
          <w:szCs w:val="21"/>
          <w:highlight w:val="none"/>
        </w:rPr>
        <w:t>；</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（2）法定代表人身份证明或授权委托书；</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3</w:t>
      </w:r>
      <w:r>
        <w:rPr>
          <w:rFonts w:ascii="Times New Roman" w:hAnsi="Times New Roman"/>
          <w:color w:val="auto"/>
          <w:szCs w:val="21"/>
          <w:highlight w:val="none"/>
        </w:rPr>
        <w:t>）投标保证金；</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4</w:t>
      </w:r>
      <w:r>
        <w:rPr>
          <w:rFonts w:ascii="Times New Roman" w:hAnsi="Times New Roman"/>
          <w:color w:val="auto"/>
          <w:szCs w:val="21"/>
          <w:highlight w:val="none"/>
        </w:rPr>
        <w:t>）</w:t>
      </w:r>
      <w:r>
        <w:rPr>
          <w:rFonts w:hint="eastAsia" w:ascii="Times New Roman" w:hAnsi="Times New Roman"/>
          <w:color w:val="auto"/>
          <w:szCs w:val="21"/>
          <w:highlight w:val="none"/>
        </w:rPr>
        <w:t>投标报价表</w:t>
      </w:r>
      <w:r>
        <w:rPr>
          <w:rFonts w:ascii="Times New Roman" w:hAnsi="Times New Roman"/>
          <w:color w:val="auto"/>
          <w:szCs w:val="21"/>
          <w:highlight w:val="none"/>
        </w:rPr>
        <w:t>；</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5</w:t>
      </w:r>
      <w:r>
        <w:rPr>
          <w:rFonts w:ascii="Times New Roman" w:hAnsi="Times New Roman"/>
          <w:color w:val="auto"/>
          <w:szCs w:val="21"/>
          <w:highlight w:val="none"/>
        </w:rPr>
        <w:t>）资格审查资料；</w:t>
      </w:r>
    </w:p>
    <w:p>
      <w:pPr>
        <w:spacing w:line="400" w:lineRule="exact"/>
        <w:ind w:firstLine="405"/>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6</w:t>
      </w:r>
      <w:r>
        <w:rPr>
          <w:rFonts w:ascii="Times New Roman" w:hAnsi="Times New Roman"/>
          <w:color w:val="auto"/>
          <w:szCs w:val="21"/>
          <w:highlight w:val="none"/>
        </w:rPr>
        <w:t>）</w:t>
      </w:r>
      <w:r>
        <w:rPr>
          <w:rFonts w:hint="eastAsia" w:ascii="Times New Roman" w:hAnsi="Times New Roman"/>
          <w:color w:val="auto"/>
          <w:szCs w:val="21"/>
          <w:highlight w:val="none"/>
          <w:lang w:eastAsia="zh-CN"/>
        </w:rPr>
        <w:t>技术服务方案</w:t>
      </w:r>
      <w:r>
        <w:rPr>
          <w:rFonts w:ascii="Times New Roman" w:hAnsi="Times New Roman"/>
          <w:color w:val="auto"/>
          <w:szCs w:val="21"/>
          <w:highlight w:val="none"/>
        </w:rPr>
        <w:t>；</w:t>
      </w:r>
    </w:p>
    <w:p>
      <w:pPr>
        <w:spacing w:line="44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（7）其他资料。</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投标文件的上述组成部分如存在内容不一致的，以投标函为准。</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3．我方承诺在招标文件规定的投标有效期内不撤销投标文件。</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4．如我方中标，我方承诺：</w:t>
      </w:r>
    </w:p>
    <w:p>
      <w:pPr>
        <w:spacing w:line="440" w:lineRule="exact"/>
        <w:ind w:left="945" w:leftChars="400" w:hanging="105" w:hangingChars="50"/>
        <w:rPr>
          <w:rFonts w:ascii="Times New Roman" w:hAnsi="Times New Roman"/>
          <w:color w:val="auto"/>
          <w:szCs w:val="21"/>
          <w:highlight w:val="none"/>
        </w:rPr>
      </w:pPr>
      <w:r>
        <w:rPr>
          <w:rFonts w:ascii="Times New Roman" w:hAnsi="Times New Roman"/>
          <w:color w:val="auto"/>
          <w:szCs w:val="21"/>
          <w:highlight w:val="none"/>
        </w:rPr>
        <w:t>（1）在收到中标通知书后，在中标通知书规定的期限内与你方签订合同；</w:t>
      </w:r>
    </w:p>
    <w:p>
      <w:pPr>
        <w:spacing w:line="440" w:lineRule="exact"/>
        <w:ind w:left="945" w:leftChars="400" w:hanging="105" w:hangingChars="50"/>
        <w:rPr>
          <w:rFonts w:ascii="Times New Roman" w:hAnsi="Times New Roman"/>
          <w:color w:val="auto"/>
          <w:szCs w:val="21"/>
          <w:highlight w:val="none"/>
        </w:rPr>
      </w:pPr>
      <w:r>
        <w:rPr>
          <w:rFonts w:ascii="Times New Roman" w:hAnsi="Times New Roman"/>
          <w:color w:val="auto"/>
          <w:szCs w:val="21"/>
          <w:highlight w:val="none"/>
        </w:rPr>
        <w:t>（2）在签订合同时不向你方提出附加条件；</w:t>
      </w:r>
    </w:p>
    <w:p>
      <w:pPr>
        <w:spacing w:line="440" w:lineRule="exact"/>
        <w:ind w:left="945" w:leftChars="400" w:hanging="105" w:hangingChars="50"/>
        <w:rPr>
          <w:rFonts w:ascii="Times New Roman" w:hAnsi="Times New Roman"/>
          <w:color w:val="auto"/>
          <w:szCs w:val="21"/>
          <w:highlight w:val="none"/>
        </w:rPr>
      </w:pPr>
      <w:r>
        <w:rPr>
          <w:rFonts w:ascii="Times New Roman" w:hAnsi="Times New Roman"/>
          <w:color w:val="auto"/>
          <w:szCs w:val="21"/>
          <w:highlight w:val="none"/>
        </w:rPr>
        <w:t>（3）按照招标文件要求提交履约保证金；</w:t>
      </w:r>
      <w:bookmarkStart w:id="1051" w:name="_Toc352691658"/>
      <w:bookmarkStart w:id="1052" w:name="_Toc369531694"/>
      <w:bookmarkStart w:id="1053" w:name="_Toc1187"/>
    </w:p>
    <w:p>
      <w:pPr>
        <w:spacing w:line="440" w:lineRule="exact"/>
        <w:ind w:left="945" w:leftChars="400" w:hanging="105" w:hangingChars="50"/>
        <w:rPr>
          <w:rFonts w:ascii="Times New Roman" w:hAnsi="Times New Roman"/>
          <w:color w:val="auto"/>
          <w:szCs w:val="21"/>
          <w:highlight w:val="none"/>
        </w:rPr>
      </w:pPr>
      <w:r>
        <w:rPr>
          <w:rFonts w:ascii="Times New Roman" w:hAnsi="Times New Roman"/>
          <w:color w:val="auto"/>
          <w:szCs w:val="21"/>
          <w:highlight w:val="none"/>
        </w:rPr>
        <w:t>（4）在合</w:t>
      </w:r>
      <w:bookmarkEnd w:id="1051"/>
      <w:bookmarkEnd w:id="1052"/>
      <w:bookmarkEnd w:id="1053"/>
      <w:r>
        <w:rPr>
          <w:rFonts w:ascii="Times New Roman" w:hAnsi="Times New Roman"/>
          <w:color w:val="auto"/>
          <w:szCs w:val="21"/>
          <w:highlight w:val="none"/>
        </w:rPr>
        <w:t>同约定的期限内完成合同规定的全部义务。</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6</w:t>
      </w:r>
      <w:r>
        <w:rPr>
          <w:rFonts w:ascii="Times New Roman" w:hAnsi="Times New Roman"/>
          <w:color w:val="auto"/>
          <w:szCs w:val="21"/>
          <w:highlight w:val="none"/>
        </w:rPr>
        <w:t>．如我方中标，我方承诺：我司提交的所有投标资料真实可靠，并</w:t>
      </w:r>
      <w:r>
        <w:rPr>
          <w:rFonts w:hint="eastAsia" w:ascii="Times New Roman" w:hAnsi="Times New Roman"/>
          <w:color w:val="auto"/>
          <w:szCs w:val="21"/>
          <w:highlight w:val="none"/>
        </w:rPr>
        <w:t>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没收投标保证金、接受行政监督部门的行政处罚等。</w:t>
      </w:r>
    </w:p>
    <w:p>
      <w:pPr>
        <w:spacing w:line="44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7</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（其他补充说明）。</w:t>
      </w:r>
    </w:p>
    <w:bookmarkEnd w:id="1010"/>
    <w:bookmarkEnd w:id="1011"/>
    <w:bookmarkEnd w:id="1012"/>
    <w:bookmarkEnd w:id="1013"/>
    <w:bookmarkEnd w:id="1014"/>
    <w:bookmarkEnd w:id="1015"/>
    <w:bookmarkEnd w:id="1016"/>
    <w:bookmarkEnd w:id="1017"/>
    <w:bookmarkEnd w:id="1018"/>
    <w:p>
      <w:pPr>
        <w:spacing w:line="440" w:lineRule="exact"/>
        <w:ind w:firstLine="2520" w:firstLineChars="1200"/>
        <w:jc w:val="left"/>
        <w:rPr>
          <w:rFonts w:ascii="Times New Roman" w:hAnsi="Times New Roman"/>
          <w:color w:val="auto"/>
          <w:szCs w:val="21"/>
          <w:highlight w:val="none"/>
        </w:rPr>
      </w:pPr>
      <w:bookmarkStart w:id="1054" w:name="_Toc352691660"/>
      <w:bookmarkEnd w:id="1054"/>
      <w:bookmarkStart w:id="1055" w:name="_Toc16568"/>
      <w:bookmarkEnd w:id="1055"/>
      <w:bookmarkStart w:id="1056" w:name="_Toc369531696"/>
      <w:bookmarkEnd w:id="1056"/>
      <w:bookmarkStart w:id="1057" w:name="_Toc369531695"/>
      <w:bookmarkEnd w:id="1057"/>
      <w:bookmarkStart w:id="1058" w:name="_Toc16824"/>
      <w:bookmarkEnd w:id="1058"/>
      <w:bookmarkStart w:id="1059" w:name="_Toc352691659"/>
      <w:bookmarkEnd w:id="1059"/>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440" w:lineRule="exact"/>
        <w:jc w:val="left"/>
        <w:rPr>
          <w:rFonts w:ascii="Times New Roman" w:hAnsi="Times New Roman"/>
          <w:color w:val="auto"/>
          <w:szCs w:val="21"/>
          <w:highlight w:val="none"/>
        </w:rPr>
      </w:pPr>
      <w:r>
        <w:rPr>
          <w:rFonts w:ascii="Times New Roman" w:hAnsi="Times New Roman"/>
          <w:color w:val="auto"/>
          <w:highlight w:val="none"/>
        </w:rPr>
        <w:t xml:space="preserve">                        法定代表人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w:t>
      </w:r>
      <w:r>
        <w:rPr>
          <w:rFonts w:hint="eastAsia" w:ascii="Times New Roman" w:hAnsi="Times New Roman"/>
          <w:color w:val="auto"/>
          <w:szCs w:val="21"/>
          <w:highlight w:val="none"/>
        </w:rPr>
        <w:t>签名或盖章</w:t>
      </w:r>
      <w:r>
        <w:rPr>
          <w:rFonts w:ascii="Times New Roman" w:hAnsi="Times New Roman"/>
          <w:color w:val="auto"/>
          <w:szCs w:val="21"/>
          <w:highlight w:val="none"/>
        </w:rPr>
        <w:t>）</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网    址：</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电    话：</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传    真：</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邮政编码：</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4725" w:firstLineChars="2250"/>
        <w:jc w:val="right"/>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p>
      <w:pPr>
        <w:spacing w:line="440" w:lineRule="exact"/>
        <w:rPr>
          <w:rFonts w:ascii="Times New Roman" w:hAnsi="Times New Roman" w:eastAsia="黑体"/>
          <w:color w:val="auto"/>
          <w:sz w:val="20"/>
          <w:highlight w:val="none"/>
        </w:rPr>
      </w:pPr>
      <w:bookmarkStart w:id="1060" w:name="_Toc369531697"/>
      <w:bookmarkStart w:id="1061" w:name="_Toc361508752"/>
      <w:bookmarkStart w:id="1062" w:name="_Toc352691661"/>
      <w:bookmarkStart w:id="1063" w:name="_Toc17960"/>
      <w:bookmarkStart w:id="1064" w:name="_Toc384308375"/>
      <w:bookmarkStart w:id="1065" w:name="_Toc144974856"/>
      <w:bookmarkStart w:id="1066" w:name="_Toc152045787"/>
      <w:bookmarkStart w:id="1067" w:name="_Toc247527827"/>
      <w:bookmarkStart w:id="1068" w:name="_Toc247514246"/>
      <w:bookmarkStart w:id="1069" w:name="_Toc300835209"/>
      <w:bookmarkStart w:id="1070" w:name="_Toc152042576"/>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pStyle w:val="5"/>
        <w:keepNext w:val="0"/>
        <w:keepLines w:val="0"/>
        <w:ind w:firstLine="137"/>
        <w:jc w:val="center"/>
        <w:rPr>
          <w:rFonts w:ascii="Times New Roman" w:hAnsi="Times New Roman"/>
          <w:color w:val="auto"/>
          <w:highlight w:val="none"/>
        </w:rPr>
      </w:pPr>
      <w:bookmarkStart w:id="1071" w:name="_Toc31792"/>
      <w:bookmarkStart w:id="1072" w:name="_Toc12614"/>
      <w:bookmarkStart w:id="1073" w:name="_Toc482188652"/>
      <w:bookmarkStart w:id="1074" w:name="_Toc385943066"/>
      <w:bookmarkStart w:id="1075" w:name="_Toc391394112"/>
      <w:bookmarkStart w:id="1076" w:name="_Toc23827"/>
      <w:bookmarkStart w:id="1077" w:name="_Toc359594236"/>
      <w:bookmarkStart w:id="1078" w:name="_Toc370676427"/>
      <w:bookmarkStart w:id="1079" w:name="_Toc6742"/>
      <w:r>
        <w:rPr>
          <w:rFonts w:ascii="Times New Roman" w:hAnsi="Times New Roman"/>
          <w:color w:val="auto"/>
          <w:highlight w:val="none"/>
        </w:rPr>
        <w:t>（二）投标函附录</w:t>
      </w:r>
      <w:bookmarkEnd w:id="1071"/>
      <w:bookmarkEnd w:id="1072"/>
      <w:bookmarkEnd w:id="1073"/>
      <w:bookmarkEnd w:id="1074"/>
      <w:bookmarkEnd w:id="1075"/>
      <w:bookmarkEnd w:id="1076"/>
      <w:bookmarkEnd w:id="1077"/>
      <w:bookmarkEnd w:id="1078"/>
      <w:bookmarkEnd w:id="1079"/>
    </w:p>
    <w:tbl>
      <w:tblPr>
        <w:tblStyle w:val="2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456"/>
        <w:gridCol w:w="522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8"/>
                <w:highlight w:val="none"/>
              </w:rPr>
            </w:pPr>
            <w:r>
              <w:rPr>
                <w:rFonts w:hint="eastAsia" w:ascii="Times New Roman" w:hAnsi="Times New Roman"/>
                <w:b/>
                <w:color w:val="auto"/>
                <w:sz w:val="24"/>
                <w:szCs w:val="28"/>
                <w:highlight w:val="none"/>
              </w:rPr>
              <w:t>序号</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8"/>
                <w:highlight w:val="none"/>
              </w:rPr>
            </w:pPr>
            <w:r>
              <w:rPr>
                <w:rFonts w:hint="eastAsia" w:ascii="Times New Roman" w:hAnsi="Times New Roman"/>
                <w:b/>
                <w:color w:val="auto"/>
                <w:sz w:val="24"/>
                <w:szCs w:val="28"/>
                <w:highlight w:val="none"/>
              </w:rPr>
              <w:t>条款名称</w:t>
            </w:r>
          </w:p>
        </w:tc>
        <w:tc>
          <w:tcPr>
            <w:tcW w:w="52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8"/>
                <w:highlight w:val="none"/>
              </w:rPr>
            </w:pPr>
            <w:r>
              <w:rPr>
                <w:rFonts w:hint="eastAsia" w:ascii="Times New Roman" w:hAnsi="Times New Roman"/>
                <w:b/>
                <w:color w:val="auto"/>
                <w:sz w:val="24"/>
                <w:szCs w:val="28"/>
                <w:highlight w:val="none"/>
              </w:rPr>
              <w:t>约定内容</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8"/>
                <w:highlight w:val="none"/>
              </w:rPr>
            </w:pPr>
            <w:r>
              <w:rPr>
                <w:rFonts w:hint="eastAsia" w:ascii="Times New Roman" w:hAnsi="Times New Roman"/>
                <w:b/>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1</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bCs/>
                <w:color w:val="auto"/>
                <w:sz w:val="24"/>
                <w:szCs w:val="28"/>
                <w:highlight w:val="none"/>
                <w:lang w:val="en-US" w:eastAsia="zh-CN"/>
              </w:rPr>
            </w:pPr>
            <w:r>
              <w:rPr>
                <w:rFonts w:hint="eastAsia" w:ascii="Times New Roman" w:hAnsi="Times New Roman"/>
                <w:bCs/>
                <w:color w:val="auto"/>
                <w:sz w:val="24"/>
                <w:szCs w:val="28"/>
                <w:highlight w:val="none"/>
                <w:lang w:val="en-US" w:eastAsia="zh-CN"/>
              </w:rPr>
              <w:t>项目负责人</w:t>
            </w:r>
          </w:p>
        </w:tc>
        <w:tc>
          <w:tcPr>
            <w:tcW w:w="52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color w:val="auto"/>
                <w:sz w:val="24"/>
                <w:szCs w:val="28"/>
                <w:highlight w:val="none"/>
              </w:rPr>
            </w:pPr>
            <w:r>
              <w:rPr>
                <w:rFonts w:hint="eastAsia" w:ascii="Times New Roman" w:hAnsi="Times New Roman"/>
                <w:bCs/>
                <w:color w:val="auto"/>
                <w:sz w:val="24"/>
                <w:szCs w:val="28"/>
                <w:highlight w:val="none"/>
              </w:rPr>
              <w:t>姓名：</w:t>
            </w:r>
            <w:r>
              <w:rPr>
                <w:rFonts w:ascii="Times New Roman" w:hAnsi="Times New Roman"/>
                <w:bCs/>
                <w:color w:val="auto"/>
                <w:sz w:val="24"/>
                <w:szCs w:val="28"/>
                <w:highlight w:val="none"/>
              </w:rPr>
              <w:t xml:space="preserve"> </w:t>
            </w:r>
          </w:p>
          <w:p>
            <w:pPr>
              <w:spacing w:line="360" w:lineRule="auto"/>
              <w:jc w:val="left"/>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技术职称：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2</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服务期限</w:t>
            </w:r>
          </w:p>
        </w:tc>
        <w:tc>
          <w:tcPr>
            <w:tcW w:w="52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按招标文件要求</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ascii="Times New Roman" w:hAnsi="Times New Roman"/>
                <w:bCs/>
                <w:color w:val="auto"/>
                <w:sz w:val="24"/>
                <w:szCs w:val="28"/>
                <w:highlight w:val="none"/>
              </w:rPr>
              <w:t>3</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合同价款确定方式</w:t>
            </w:r>
          </w:p>
        </w:tc>
        <w:tc>
          <w:tcPr>
            <w:tcW w:w="52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按合同约定</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4</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ascii="Times New Roman" w:hAnsi="Times New Roman"/>
                <w:bCs/>
                <w:color w:val="auto"/>
                <w:sz w:val="24"/>
                <w:szCs w:val="28"/>
                <w:highlight w:val="none"/>
              </w:rPr>
              <w:t>质量</w:t>
            </w:r>
            <w:r>
              <w:rPr>
                <w:rFonts w:hint="eastAsia" w:ascii="Times New Roman" w:hAnsi="Times New Roman"/>
                <w:bCs/>
                <w:color w:val="auto"/>
                <w:sz w:val="24"/>
                <w:szCs w:val="28"/>
                <w:highlight w:val="none"/>
              </w:rPr>
              <w:t>标准</w:t>
            </w:r>
          </w:p>
        </w:tc>
        <w:tc>
          <w:tcPr>
            <w:tcW w:w="52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按招标文件要求</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5</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投标报价</w:t>
            </w:r>
          </w:p>
        </w:tc>
        <w:tc>
          <w:tcPr>
            <w:tcW w:w="52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color w:val="auto"/>
                <w:sz w:val="24"/>
                <w:szCs w:val="28"/>
                <w:highlight w:val="none"/>
                <w:u w:val="single"/>
              </w:rPr>
            </w:pPr>
            <w:r>
              <w:rPr>
                <w:rFonts w:hint="eastAsia" w:ascii="Times New Roman" w:hAnsi="Times New Roman"/>
                <w:bCs/>
                <w:color w:val="auto"/>
                <w:sz w:val="24"/>
                <w:szCs w:val="28"/>
                <w:highlight w:val="none"/>
              </w:rPr>
              <w:t>投标报价：（大写）</w:t>
            </w:r>
            <w:r>
              <w:rPr>
                <w:rFonts w:hint="eastAsia" w:ascii="Times New Roman" w:hAnsi="Times New Roman"/>
                <w:bCs/>
                <w:color w:val="auto"/>
                <w:sz w:val="24"/>
                <w:szCs w:val="28"/>
                <w:highlight w:val="none"/>
                <w:u w:val="single"/>
              </w:rPr>
              <w:t xml:space="preserve">              </w:t>
            </w:r>
          </w:p>
          <w:p>
            <w:pPr>
              <w:spacing w:line="360" w:lineRule="auto"/>
              <w:ind w:firstLine="1200" w:firstLineChars="500"/>
              <w:jc w:val="left"/>
              <w:rPr>
                <w:rFonts w:ascii="Times New Roman" w:hAnsi="Times New Roman"/>
                <w:bCs/>
                <w:color w:val="auto"/>
                <w:sz w:val="24"/>
                <w:szCs w:val="28"/>
                <w:highlight w:val="none"/>
              </w:rPr>
            </w:pPr>
            <w:r>
              <w:rPr>
                <w:rFonts w:hint="eastAsia" w:ascii="Times New Roman" w:hAnsi="Times New Roman"/>
                <w:bCs/>
                <w:color w:val="auto"/>
                <w:sz w:val="24"/>
                <w:szCs w:val="28"/>
                <w:highlight w:val="none"/>
              </w:rPr>
              <w:t xml:space="preserve">（小写）¥ </w:t>
            </w:r>
            <w:r>
              <w:rPr>
                <w:rFonts w:hint="eastAsia" w:ascii="Times New Roman" w:hAnsi="Times New Roman"/>
                <w:bCs/>
                <w:color w:val="auto"/>
                <w:sz w:val="24"/>
                <w:szCs w:val="28"/>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6</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投标有效期</w:t>
            </w:r>
          </w:p>
        </w:tc>
        <w:tc>
          <w:tcPr>
            <w:tcW w:w="52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color w:val="auto"/>
                <w:sz w:val="24"/>
                <w:szCs w:val="28"/>
                <w:highlight w:val="none"/>
              </w:rPr>
            </w:pPr>
            <w:r>
              <w:rPr>
                <w:rFonts w:hint="eastAsia" w:ascii="Times New Roman" w:hAnsi="Times New Roman"/>
                <w:bCs/>
                <w:color w:val="auto"/>
                <w:sz w:val="24"/>
                <w:szCs w:val="28"/>
                <w:highlight w:val="none"/>
              </w:rPr>
              <w:t>90日历天（从投标截止之日算起）</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7</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法 人 营 业</w:t>
            </w:r>
          </w:p>
          <w:p>
            <w:pPr>
              <w:spacing w:line="360" w:lineRule="auto"/>
              <w:jc w:val="center"/>
              <w:rPr>
                <w:rFonts w:ascii="Times New Roman" w:hAnsi="Times New Roman"/>
                <w:bCs/>
                <w:color w:val="auto"/>
                <w:sz w:val="24"/>
                <w:szCs w:val="28"/>
                <w:highlight w:val="none"/>
              </w:rPr>
            </w:pPr>
            <w:r>
              <w:rPr>
                <w:rFonts w:hint="eastAsia" w:ascii="Times New Roman" w:hAnsi="Times New Roman"/>
                <w:bCs/>
                <w:color w:val="auto"/>
                <w:sz w:val="24"/>
                <w:szCs w:val="28"/>
                <w:highlight w:val="none"/>
              </w:rPr>
              <w:t>执 照 证 号</w:t>
            </w:r>
          </w:p>
        </w:tc>
        <w:tc>
          <w:tcPr>
            <w:tcW w:w="5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color w:val="auto"/>
                <w:sz w:val="24"/>
                <w:szCs w:val="28"/>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auto"/>
                <w:sz w:val="24"/>
                <w:szCs w:val="28"/>
                <w:highlight w:val="none"/>
              </w:rPr>
            </w:pPr>
          </w:p>
        </w:tc>
      </w:tr>
    </w:tbl>
    <w:p>
      <w:pPr>
        <w:spacing w:line="440" w:lineRule="exact"/>
        <w:ind w:firstLine="2520" w:firstLineChars="1200"/>
        <w:jc w:val="left"/>
        <w:rPr>
          <w:rFonts w:ascii="Times New Roman" w:hAnsi="Times New Roman"/>
          <w:color w:val="auto"/>
          <w:szCs w:val="21"/>
          <w:highlight w:val="none"/>
        </w:rPr>
      </w:pP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440" w:lineRule="exact"/>
        <w:jc w:val="left"/>
        <w:rPr>
          <w:rFonts w:ascii="Times New Roman" w:hAnsi="Times New Roman"/>
          <w:color w:val="auto"/>
          <w:szCs w:val="21"/>
          <w:highlight w:val="none"/>
        </w:rPr>
      </w:pPr>
      <w:r>
        <w:rPr>
          <w:rFonts w:ascii="Times New Roman" w:hAnsi="Times New Roman"/>
          <w:color w:val="auto"/>
          <w:highlight w:val="none"/>
        </w:rPr>
        <w:t xml:space="preserve">                        法定代表人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（签字</w:t>
      </w:r>
      <w:r>
        <w:rPr>
          <w:rFonts w:hint="eastAsia" w:ascii="Times New Roman" w:hAnsi="Times New Roman"/>
          <w:color w:val="auto"/>
          <w:szCs w:val="21"/>
          <w:highlight w:val="none"/>
        </w:rPr>
        <w:t>或盖章</w:t>
      </w:r>
      <w:r>
        <w:rPr>
          <w:rFonts w:ascii="Times New Roman" w:hAnsi="Times New Roman"/>
          <w:color w:val="auto"/>
          <w:szCs w:val="21"/>
          <w:highlight w:val="none"/>
        </w:rPr>
        <w:t>）</w:t>
      </w:r>
    </w:p>
    <w:p>
      <w:pPr>
        <w:spacing w:line="440" w:lineRule="exact"/>
        <w:ind w:firstLine="4725" w:firstLineChars="2250"/>
        <w:jc w:val="right"/>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p>
      <w:pPr>
        <w:pStyle w:val="12"/>
        <w:rPr>
          <w:rFonts w:ascii="Times New Roman" w:hAnsi="Times New Roman"/>
          <w:color w:val="auto"/>
          <w:szCs w:val="21"/>
          <w:highlight w:val="none"/>
        </w:rPr>
      </w:pPr>
    </w:p>
    <w:p>
      <w:pPr>
        <w:rPr>
          <w:rFonts w:ascii="Times New Roman" w:hAnsi="Times New Roman"/>
          <w:color w:val="auto"/>
          <w:szCs w:val="21"/>
          <w:highlight w:val="none"/>
        </w:rPr>
      </w:pPr>
    </w:p>
    <w:p>
      <w:pPr>
        <w:pStyle w:val="12"/>
        <w:rPr>
          <w:rFonts w:ascii="Times New Roman" w:hAnsi="Times New Roman"/>
          <w:color w:val="auto"/>
          <w:szCs w:val="21"/>
          <w:highlight w:val="none"/>
        </w:rPr>
      </w:pPr>
    </w:p>
    <w:p>
      <w:pPr>
        <w:rPr>
          <w:rFonts w:ascii="Times New Roman" w:hAnsi="Times New Roman"/>
          <w:color w:val="auto"/>
          <w:szCs w:val="21"/>
          <w:highlight w:val="none"/>
        </w:rPr>
      </w:pPr>
    </w:p>
    <w:p>
      <w:pPr>
        <w:pStyle w:val="12"/>
        <w:rPr>
          <w:rFonts w:ascii="Times New Roman" w:hAnsi="Times New Roman"/>
          <w:color w:val="auto"/>
          <w:szCs w:val="21"/>
          <w:highlight w:val="none"/>
        </w:rPr>
      </w:pPr>
    </w:p>
    <w:p>
      <w:pPr>
        <w:rPr>
          <w:color w:val="auto"/>
          <w:highlight w:val="none"/>
        </w:rPr>
      </w:pPr>
    </w:p>
    <w:p>
      <w:pPr>
        <w:pStyle w:val="4"/>
        <w:keepNext w:val="0"/>
        <w:keepLines w:val="0"/>
        <w:jc w:val="center"/>
        <w:rPr>
          <w:rFonts w:ascii="Times New Roman" w:hAnsi="Times New Roman"/>
          <w:color w:val="auto"/>
          <w:highlight w:val="none"/>
        </w:rPr>
      </w:pPr>
    </w:p>
    <w:p>
      <w:pPr>
        <w:rPr>
          <w:rFonts w:ascii="Times New Roman" w:hAnsi="Times New Roman"/>
          <w:color w:val="auto"/>
          <w:highlight w:val="none"/>
        </w:rPr>
      </w:pPr>
    </w:p>
    <w:p>
      <w:pPr>
        <w:pStyle w:val="9"/>
        <w:rPr>
          <w:rFonts w:ascii="Times New Roman" w:hAnsi="Times New Roman"/>
          <w:color w:val="auto"/>
          <w:highlight w:val="none"/>
        </w:rPr>
      </w:pPr>
    </w:p>
    <w:p>
      <w:pPr>
        <w:rPr>
          <w:rFonts w:ascii="Times New Roman" w:hAnsi="Times New Roman"/>
          <w:color w:val="auto"/>
          <w:highlight w:val="none"/>
        </w:rPr>
      </w:pPr>
    </w:p>
    <w:p>
      <w:pPr>
        <w:pStyle w:val="9"/>
        <w:rPr>
          <w:color w:val="auto"/>
          <w:highlight w:val="none"/>
        </w:rPr>
      </w:pPr>
    </w:p>
    <w:p>
      <w:pPr>
        <w:pStyle w:val="4"/>
        <w:keepNext w:val="0"/>
        <w:keepLines w:val="0"/>
        <w:jc w:val="center"/>
        <w:rPr>
          <w:rFonts w:ascii="Times New Roman" w:hAnsi="Times New Roman"/>
          <w:color w:val="auto"/>
          <w:sz w:val="20"/>
          <w:highlight w:val="none"/>
        </w:rPr>
      </w:pPr>
      <w:bookmarkStart w:id="1080" w:name="_Toc6982"/>
      <w:bookmarkStart w:id="1081" w:name="_Toc12745"/>
      <w:bookmarkStart w:id="1082" w:name="_Toc24361"/>
      <w:r>
        <w:rPr>
          <w:rFonts w:ascii="Times New Roman" w:hAnsi="Times New Roman"/>
          <w:color w:val="auto"/>
          <w:highlight w:val="none"/>
        </w:rPr>
        <w:t>二</w:t>
      </w:r>
      <w:bookmarkEnd w:id="1060"/>
      <w:bookmarkEnd w:id="1061"/>
      <w:bookmarkEnd w:id="1062"/>
      <w:bookmarkEnd w:id="1063"/>
      <w:bookmarkEnd w:id="1064"/>
      <w:bookmarkEnd w:id="1065"/>
      <w:bookmarkEnd w:id="1066"/>
      <w:bookmarkEnd w:id="1067"/>
      <w:bookmarkEnd w:id="1068"/>
      <w:bookmarkEnd w:id="1069"/>
      <w:bookmarkEnd w:id="1070"/>
      <w:r>
        <w:rPr>
          <w:rFonts w:ascii="Times New Roman" w:hAnsi="Times New Roman"/>
          <w:color w:val="auto"/>
          <w:highlight w:val="none"/>
        </w:rPr>
        <w:t>、法定代表人身份证明</w:t>
      </w:r>
      <w:r>
        <w:rPr>
          <w:rFonts w:hint="eastAsia" w:ascii="Times New Roman" w:hAnsi="Times New Roman"/>
          <w:color w:val="auto"/>
          <w:highlight w:val="none"/>
        </w:rPr>
        <w:t>或授权委托书（格式可自定）</w:t>
      </w:r>
      <w:bookmarkEnd w:id="1080"/>
      <w:bookmarkEnd w:id="1081"/>
      <w:bookmarkEnd w:id="1082"/>
    </w:p>
    <w:p>
      <w:pPr>
        <w:spacing w:line="440" w:lineRule="exact"/>
        <w:jc w:val="center"/>
        <w:rPr>
          <w:rFonts w:ascii="宋体" w:hAnsi="宋体"/>
          <w:b/>
          <w:color w:val="auto"/>
          <w:sz w:val="28"/>
          <w:szCs w:val="28"/>
          <w:highlight w:val="none"/>
        </w:rPr>
      </w:pPr>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法定代表人身份证明</w:t>
      </w:r>
    </w:p>
    <w:p>
      <w:pPr>
        <w:pStyle w:val="21"/>
        <w:rPr>
          <w:color w:val="auto"/>
          <w:highlight w:val="none"/>
        </w:rPr>
      </w:pP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投标人名称：</w:t>
      </w:r>
      <w:r>
        <w:rPr>
          <w:rFonts w:ascii="Times New Roman" w:hAnsi="Times New Roman"/>
          <w:color w:val="auto"/>
          <w:sz w:val="24"/>
          <w:szCs w:val="24"/>
          <w:highlight w:val="none"/>
          <w:u w:val="single"/>
        </w:rPr>
        <w:t xml:space="preserve">                        </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姓名：</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性别：</w:t>
      </w:r>
      <w:bookmarkStart w:id="1083" w:name="_Toc352691662"/>
      <w:bookmarkStart w:id="1084" w:name="_Toc27897"/>
      <w:bookmarkStart w:id="1085" w:name="_Toc369531698"/>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bookmarkEnd w:id="1083"/>
      <w:bookmarkEnd w:id="1084"/>
      <w:bookmarkEnd w:id="1085"/>
      <w:r>
        <w:rPr>
          <w:rFonts w:ascii="Times New Roman" w:hAnsi="Times New Roman"/>
          <w:color w:val="auto"/>
          <w:sz w:val="24"/>
          <w:szCs w:val="24"/>
          <w:highlight w:val="none"/>
        </w:rPr>
        <w:t>龄</w:t>
      </w:r>
      <w:bookmarkStart w:id="1086" w:name="_Toc15573"/>
      <w:bookmarkStart w:id="1087" w:name="_Toc369531699"/>
      <w:bookmarkStart w:id="1088" w:name="_Toc247514248"/>
      <w:bookmarkStart w:id="1089" w:name="_Toc384308377"/>
      <w:bookmarkStart w:id="1090" w:name="_Toc361508754"/>
      <w:bookmarkStart w:id="1091" w:name="_Toc247527829"/>
      <w:bookmarkStart w:id="1092" w:name="_Toc144974858"/>
      <w:bookmarkStart w:id="1093" w:name="_Toc300835211"/>
      <w:bookmarkStart w:id="1094" w:name="_Toc152045789"/>
      <w:bookmarkStart w:id="1095" w:name="_Toc152042578"/>
      <w:bookmarkStart w:id="1096" w:name="_Toc352691663"/>
      <w:r>
        <w:rPr>
          <w:rFonts w:ascii="Times New Roman" w:hAnsi="Times New Roman"/>
          <w:color w:val="auto"/>
          <w:sz w:val="24"/>
          <w:szCs w:val="24"/>
          <w:highlight w:val="none"/>
        </w:rPr>
        <w:t>：</w:t>
      </w:r>
      <w:bookmarkEnd w:id="1086"/>
      <w:bookmarkEnd w:id="1087"/>
      <w:bookmarkEnd w:id="1088"/>
      <w:bookmarkEnd w:id="1089"/>
      <w:bookmarkEnd w:id="1090"/>
      <w:bookmarkEnd w:id="1091"/>
      <w:bookmarkEnd w:id="1092"/>
      <w:bookmarkEnd w:id="1093"/>
      <w:bookmarkEnd w:id="1094"/>
      <w:bookmarkEnd w:id="1095"/>
      <w:bookmarkEnd w:id="1096"/>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职务：</w:t>
      </w:r>
      <w:r>
        <w:rPr>
          <w:rFonts w:ascii="Times New Roman" w:hAnsi="Times New Roman"/>
          <w:color w:val="auto"/>
          <w:sz w:val="24"/>
          <w:szCs w:val="24"/>
          <w:highlight w:val="none"/>
          <w:u w:val="single"/>
        </w:rPr>
        <w:t xml:space="preserve">        </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系</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（投标人名称）的法定代表人。</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特此证明。</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附：法定代表人身份证</w:t>
      </w:r>
      <w:r>
        <w:rPr>
          <w:rFonts w:hint="eastAsia" w:ascii="Times New Roman" w:hAnsi="Times New Roman"/>
          <w:color w:val="auto"/>
          <w:sz w:val="24"/>
          <w:szCs w:val="24"/>
          <w:highlight w:val="none"/>
        </w:rPr>
        <w:t>扫描件</w:t>
      </w:r>
      <w:r>
        <w:rPr>
          <w:rFonts w:ascii="Times New Roman" w:hAnsi="Times New Roman"/>
          <w:color w:val="auto"/>
          <w:sz w:val="24"/>
          <w:szCs w:val="24"/>
          <w:highlight w:val="none"/>
        </w:rPr>
        <w:t>。</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注：本身份证明需由投标人加盖单位公章。</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p>
    <w:p>
      <w:pPr>
        <w:spacing w:line="44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 xml:space="preserve">                              投标人</w:t>
      </w:r>
      <w:r>
        <w:rPr>
          <w:rFonts w:hint="eastAsia" w:ascii="Times New Roman" w:hAnsi="Times New Roman"/>
          <w:color w:val="auto"/>
          <w:sz w:val="24"/>
          <w:szCs w:val="24"/>
          <w:highlight w:val="none"/>
        </w:rPr>
        <w:t>名称</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ab/>
      </w:r>
      <w:r>
        <w:rPr>
          <w:rFonts w:ascii="Times New Roman" w:hAnsi="Times New Roman"/>
          <w:color w:val="auto"/>
          <w:sz w:val="24"/>
          <w:szCs w:val="24"/>
          <w:highlight w:val="none"/>
        </w:rPr>
        <w:t>（</w:t>
      </w:r>
      <w:r>
        <w:rPr>
          <w:rFonts w:hint="eastAsia" w:ascii="Times New Roman" w:hAnsi="Times New Roman"/>
          <w:color w:val="auto"/>
          <w:sz w:val="24"/>
          <w:szCs w:val="24"/>
          <w:highlight w:val="none"/>
        </w:rPr>
        <w:t>盖</w:t>
      </w:r>
      <w:r>
        <w:rPr>
          <w:rFonts w:ascii="Times New Roman" w:hAnsi="Times New Roman"/>
          <w:color w:val="auto"/>
          <w:sz w:val="24"/>
          <w:szCs w:val="24"/>
          <w:highlight w:val="none"/>
        </w:rPr>
        <w:t>单位</w:t>
      </w:r>
      <w:r>
        <w:rPr>
          <w:rFonts w:hint="eastAsia" w:ascii="Times New Roman" w:hAnsi="Times New Roman"/>
          <w:color w:val="auto"/>
          <w:sz w:val="24"/>
          <w:szCs w:val="24"/>
          <w:highlight w:val="none"/>
        </w:rPr>
        <w:t>章</w:t>
      </w:r>
      <w:r>
        <w:rPr>
          <w:rFonts w:ascii="Times New Roman" w:hAnsi="Times New Roman"/>
          <w:color w:val="auto"/>
          <w:sz w:val="24"/>
          <w:szCs w:val="24"/>
          <w:highlight w:val="none"/>
        </w:rPr>
        <w:t>）</w:t>
      </w:r>
    </w:p>
    <w:p>
      <w:pPr>
        <w:spacing w:line="440" w:lineRule="exact"/>
        <w:rPr>
          <w:rFonts w:ascii="Times New Roman" w:hAnsi="Times New Roman"/>
          <w:color w:val="auto"/>
          <w:sz w:val="24"/>
          <w:szCs w:val="24"/>
          <w:highlight w:val="none"/>
        </w:rPr>
      </w:pPr>
    </w:p>
    <w:p>
      <w:pPr>
        <w:spacing w:line="440" w:lineRule="exact"/>
        <w:ind w:firstLine="5280" w:firstLineChars="2200"/>
        <w:rPr>
          <w:rFonts w:ascii="Times New Roman" w:hAnsi="Times New Roman"/>
          <w:color w:val="auto"/>
          <w:sz w:val="24"/>
          <w:szCs w:val="24"/>
          <w:highlight w:val="none"/>
        </w:rPr>
      </w:pP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spacing w:line="440" w:lineRule="exact"/>
        <w:rPr>
          <w:rFonts w:ascii="Times New Roman" w:hAnsi="Times New Roman" w:eastAsia="黑体"/>
          <w:color w:val="auto"/>
          <w:sz w:val="24"/>
          <w:szCs w:val="24"/>
          <w:highlight w:val="none"/>
        </w:rPr>
      </w:pPr>
    </w:p>
    <w:p>
      <w:pPr>
        <w:pStyle w:val="2"/>
        <w:rPr>
          <w:color w:val="auto"/>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spacing w:line="440" w:lineRule="exact"/>
        <w:rPr>
          <w:rFonts w:ascii="Times New Roman" w:hAnsi="Times New Roman" w:eastAsia="黑体"/>
          <w:color w:val="auto"/>
          <w:sz w:val="20"/>
          <w:highlight w:val="none"/>
        </w:rPr>
      </w:pPr>
    </w:p>
    <w:p>
      <w:pPr>
        <w:pStyle w:val="4"/>
        <w:keepNext w:val="0"/>
        <w:keepLines w:val="0"/>
        <w:jc w:val="center"/>
        <w:rPr>
          <w:rFonts w:ascii="宋体" w:hAnsi="宋体" w:eastAsia="宋体"/>
          <w:color w:val="auto"/>
          <w:sz w:val="28"/>
          <w:szCs w:val="28"/>
          <w:highlight w:val="none"/>
        </w:rPr>
      </w:pPr>
      <w:r>
        <w:rPr>
          <w:rFonts w:ascii="Times New Roman" w:hAnsi="Times New Roman"/>
          <w:color w:val="auto"/>
          <w:highlight w:val="none"/>
        </w:rPr>
        <w:br w:type="page"/>
      </w:r>
      <w:bookmarkStart w:id="1097" w:name="_Toc30395"/>
      <w:bookmarkStart w:id="1098" w:name="_Toc19566"/>
      <w:bookmarkStart w:id="1099" w:name="_Toc13653"/>
      <w:bookmarkStart w:id="1100" w:name="_Toc24470"/>
      <w:bookmarkStart w:id="1101" w:name="_Toc31291"/>
      <w:r>
        <w:rPr>
          <w:rFonts w:hint="eastAsia" w:ascii="宋体" w:hAnsi="宋体" w:eastAsia="宋体"/>
          <w:color w:val="auto"/>
          <w:sz w:val="28"/>
          <w:szCs w:val="28"/>
          <w:highlight w:val="none"/>
        </w:rPr>
        <w:t>授权委托书</w:t>
      </w:r>
      <w:bookmarkEnd w:id="1097"/>
      <w:bookmarkEnd w:id="1098"/>
      <w:bookmarkEnd w:id="1099"/>
      <w:bookmarkEnd w:id="1100"/>
      <w:bookmarkEnd w:id="1101"/>
    </w:p>
    <w:p>
      <w:pPr>
        <w:topLinePunct/>
        <w:spacing w:line="440" w:lineRule="exact"/>
        <w:ind w:firstLine="420" w:firstLineChars="200"/>
        <w:rPr>
          <w:rFonts w:ascii="Times New Roman" w:hAnsi="Times New Roman"/>
          <w:color w:val="auto"/>
          <w:highlight w:val="none"/>
        </w:rPr>
      </w:pPr>
      <w:r>
        <w:rPr>
          <w:rFonts w:ascii="Times New Roman" w:hAnsi="Times New Roman"/>
          <w:color w:val="auto"/>
          <w:highlight w:val="none"/>
        </w:rPr>
        <w:t>本人</w:t>
      </w:r>
      <w:r>
        <w:rPr>
          <w:rFonts w:ascii="Times New Roman" w:hAnsi="Times New Roman"/>
          <w:color w:val="auto"/>
          <w:highlight w:val="none"/>
          <w:u w:val="single"/>
        </w:rPr>
        <w:t xml:space="preserve">              </w:t>
      </w:r>
      <w:r>
        <w:rPr>
          <w:rFonts w:ascii="Times New Roman" w:hAnsi="Times New Roman"/>
          <w:color w:val="auto"/>
          <w:highlight w:val="none"/>
        </w:rPr>
        <w:t>（姓名）系</w:t>
      </w:r>
      <w:r>
        <w:rPr>
          <w:rFonts w:ascii="Times New Roman" w:hAnsi="Times New Roman"/>
          <w:color w:val="auto"/>
          <w:highlight w:val="none"/>
          <w:u w:val="single"/>
        </w:rPr>
        <w:t xml:space="preserve">                    </w:t>
      </w:r>
      <w:r>
        <w:rPr>
          <w:rFonts w:ascii="Times New Roman" w:hAnsi="Times New Roman"/>
          <w:color w:val="auto"/>
          <w:highlight w:val="none"/>
        </w:rPr>
        <w:t>（投标人名称）的法定代表人，现委托</w:t>
      </w:r>
      <w:r>
        <w:rPr>
          <w:rFonts w:ascii="Times New Roman" w:hAnsi="Times New Roman"/>
          <w:color w:val="auto"/>
          <w:highlight w:val="none"/>
          <w:u w:val="single"/>
        </w:rPr>
        <w:t xml:space="preserve">            （姓名）</w:t>
      </w:r>
      <w:r>
        <w:rPr>
          <w:rFonts w:ascii="Times New Roman" w:hAnsi="Times New Roman"/>
          <w:color w:val="auto"/>
          <w:highlight w:val="none"/>
        </w:rPr>
        <w:t>为我方代理人。代理人根据授权，以我方名义签署、澄清确认、递交、撤回、修改</w:t>
      </w:r>
      <w:r>
        <w:rPr>
          <w:rFonts w:hint="eastAsia" w:ascii="Times New Roman" w:hAnsi="Times New Roman"/>
          <w:color w:val="auto"/>
          <w:highlight w:val="none"/>
          <w:lang w:val="en-US" w:eastAsia="zh-CN"/>
        </w:rPr>
        <w:t>本</w:t>
      </w:r>
      <w:r>
        <w:rPr>
          <w:rFonts w:ascii="Times New Roman" w:hAnsi="Times New Roman"/>
          <w:color w:val="auto"/>
          <w:highlight w:val="none"/>
        </w:rPr>
        <w:t>项目投标文件、签订合同和处理有关事宜，其法律后果由我方承担。</w:t>
      </w:r>
    </w:p>
    <w:p>
      <w:pPr>
        <w:spacing w:line="440" w:lineRule="exact"/>
        <w:rPr>
          <w:rFonts w:ascii="Times New Roman" w:hAnsi="Times New Roman"/>
          <w:color w:val="auto"/>
          <w:highlight w:val="none"/>
        </w:rPr>
      </w:pPr>
      <w:r>
        <w:rPr>
          <w:rFonts w:ascii="Times New Roman" w:hAnsi="Times New Roman"/>
          <w:color w:val="auto"/>
          <w:highlight w:val="none"/>
        </w:rPr>
        <w:t>委托期限：</w:t>
      </w:r>
      <w:r>
        <w:rPr>
          <w:rFonts w:ascii="Times New Roman" w:hAnsi="Times New Roman"/>
          <w:color w:val="auto"/>
          <w:highlight w:val="none"/>
          <w:u w:val="single"/>
        </w:rPr>
        <w:t xml:space="preserve">                       </w:t>
      </w:r>
      <w:r>
        <w:rPr>
          <w:rFonts w:ascii="Times New Roman" w:hAnsi="Times New Roman"/>
          <w:color w:val="auto"/>
          <w:highlight w:val="none"/>
        </w:rPr>
        <w:t>。</w:t>
      </w:r>
    </w:p>
    <w:p>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代理人无转委托权。</w:t>
      </w:r>
    </w:p>
    <w:p>
      <w:pPr>
        <w:spacing w:line="440" w:lineRule="exact"/>
        <w:ind w:firstLine="420" w:firstLineChars="200"/>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附：法定代表人身份证</w:t>
      </w:r>
      <w:r>
        <w:rPr>
          <w:rFonts w:hint="eastAsia" w:ascii="Times New Roman" w:hAnsi="Times New Roman"/>
          <w:color w:val="auto"/>
          <w:highlight w:val="none"/>
        </w:rPr>
        <w:t>扫描件</w:t>
      </w:r>
      <w:r>
        <w:rPr>
          <w:rFonts w:ascii="Times New Roman" w:hAnsi="Times New Roman"/>
          <w:color w:val="auto"/>
          <w:highlight w:val="none"/>
        </w:rPr>
        <w:t>及委托代理人身份证</w:t>
      </w:r>
      <w:r>
        <w:rPr>
          <w:rFonts w:hint="eastAsia" w:ascii="Times New Roman" w:hAnsi="Times New Roman"/>
          <w:color w:val="auto"/>
          <w:highlight w:val="none"/>
        </w:rPr>
        <w:t>扫描件</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注：本授权委托书需由投标人加盖单位公章并由其法定代表人和委托代理人签字。</w:t>
      </w:r>
    </w:p>
    <w:p>
      <w:pPr>
        <w:spacing w:line="440" w:lineRule="exact"/>
        <w:rPr>
          <w:rFonts w:ascii="Times New Roman" w:hAnsi="Times New Roman"/>
          <w:color w:val="auto"/>
          <w:highlight w:val="none"/>
        </w:rPr>
      </w:pPr>
    </w:p>
    <w:p>
      <w:pPr>
        <w:spacing w:line="440" w:lineRule="exact"/>
        <w:ind w:firstLine="2692" w:firstLineChars="1282"/>
        <w:rPr>
          <w:rFonts w:ascii="Times New Roman" w:hAnsi="Times New Roman"/>
          <w:color w:val="auto"/>
          <w:highlight w:val="none"/>
        </w:rPr>
      </w:pPr>
      <w:r>
        <w:rPr>
          <w:rFonts w:ascii="Times New Roman" w:hAnsi="Times New Roman"/>
          <w:color w:val="auto"/>
          <w:highlight w:val="none"/>
        </w:rPr>
        <w:t>投标人</w:t>
      </w:r>
      <w:r>
        <w:rPr>
          <w:rFonts w:hint="eastAsia" w:ascii="Times New Roman" w:hAnsi="Times New Roman"/>
          <w:color w:val="auto"/>
          <w:highlight w:val="none"/>
        </w:rPr>
        <w:t>名称</w:t>
      </w:r>
      <w:r>
        <w:rPr>
          <w:rFonts w:ascii="Times New Roman" w:hAnsi="Times New Roman"/>
          <w:color w:val="auto"/>
          <w:highlight w:val="none"/>
        </w:rPr>
        <w:t>：</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highlight w:val="none"/>
        </w:rPr>
        <w:t>（</w:t>
      </w:r>
      <w:r>
        <w:rPr>
          <w:rFonts w:hint="eastAsia" w:ascii="Times New Roman" w:hAnsi="Times New Roman"/>
          <w:color w:val="auto"/>
          <w:highlight w:val="none"/>
        </w:rPr>
        <w:t>盖</w:t>
      </w:r>
      <w:r>
        <w:rPr>
          <w:rFonts w:ascii="Times New Roman" w:hAnsi="Times New Roman"/>
          <w:color w:val="auto"/>
          <w:highlight w:val="none"/>
        </w:rPr>
        <w:t>单位</w:t>
      </w:r>
      <w:r>
        <w:rPr>
          <w:rFonts w:hint="eastAsia" w:ascii="Times New Roman" w:hAnsi="Times New Roman"/>
          <w:color w:val="auto"/>
          <w:highlight w:val="none"/>
        </w:rPr>
        <w:t>章</w:t>
      </w:r>
      <w:r>
        <w:rPr>
          <w:rFonts w:ascii="Times New Roman" w:hAnsi="Times New Roman"/>
          <w:color w:val="auto"/>
          <w:highlight w:val="none"/>
        </w:rPr>
        <w:t>）</w:t>
      </w:r>
    </w:p>
    <w:p>
      <w:pPr>
        <w:spacing w:line="440" w:lineRule="exact"/>
        <w:ind w:firstLine="2690" w:firstLineChars="1281"/>
        <w:jc w:val="left"/>
        <w:rPr>
          <w:rFonts w:ascii="Times New Roman" w:hAnsi="Times New Roman"/>
          <w:color w:val="auto"/>
          <w:highlight w:val="none"/>
        </w:rPr>
      </w:pPr>
      <w:r>
        <w:rPr>
          <w:rFonts w:ascii="Times New Roman" w:hAnsi="Times New Roman"/>
          <w:color w:val="auto"/>
          <w:highlight w:val="none"/>
        </w:rPr>
        <w:t>法定代表人：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highlight w:val="none"/>
        </w:rPr>
        <w:t>（</w:t>
      </w:r>
      <w:r>
        <w:rPr>
          <w:rFonts w:ascii="Times New Roman" w:hAnsi="Times New Roman"/>
          <w:color w:val="auto"/>
          <w:szCs w:val="21"/>
          <w:highlight w:val="none"/>
        </w:rPr>
        <w:t>签字</w:t>
      </w:r>
      <w:r>
        <w:rPr>
          <w:rFonts w:hint="eastAsia" w:ascii="Times New Roman" w:hAnsi="Times New Roman"/>
          <w:color w:val="auto"/>
          <w:szCs w:val="21"/>
          <w:highlight w:val="none"/>
        </w:rPr>
        <w:t>或盖章</w:t>
      </w:r>
      <w:r>
        <w:rPr>
          <w:rFonts w:ascii="Times New Roman" w:hAnsi="Times New Roman"/>
          <w:color w:val="auto"/>
          <w:highlight w:val="none"/>
        </w:rPr>
        <w:t>）</w:t>
      </w:r>
    </w:p>
    <w:p>
      <w:pPr>
        <w:spacing w:line="440" w:lineRule="exact"/>
        <w:ind w:firstLine="2692" w:firstLineChars="1282"/>
        <w:rPr>
          <w:rFonts w:ascii="Times New Roman" w:hAnsi="Times New Roman"/>
          <w:color w:val="auto"/>
          <w:highlight w:val="none"/>
        </w:rPr>
      </w:pP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440" w:lineRule="exact"/>
        <w:ind w:firstLine="2692" w:firstLineChars="1282"/>
        <w:rPr>
          <w:rFonts w:ascii="Times New Roman" w:hAnsi="Times New Roman"/>
          <w:color w:val="auto"/>
          <w:highlight w:val="none"/>
        </w:rPr>
      </w:pPr>
      <w:r>
        <w:rPr>
          <w:rFonts w:ascii="Times New Roman" w:hAnsi="Times New Roman"/>
          <w:color w:val="auto"/>
          <w:highlight w:val="none"/>
        </w:rPr>
        <w:t>委托代理人：</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highlight w:val="none"/>
        </w:rPr>
        <w:t>（</w:t>
      </w:r>
      <w:r>
        <w:rPr>
          <w:rFonts w:ascii="Times New Roman" w:hAnsi="Times New Roman"/>
          <w:color w:val="auto"/>
          <w:szCs w:val="21"/>
          <w:highlight w:val="none"/>
        </w:rPr>
        <w:t>签字</w:t>
      </w:r>
      <w:r>
        <w:rPr>
          <w:rFonts w:hint="eastAsia" w:ascii="Times New Roman" w:hAnsi="Times New Roman"/>
          <w:color w:val="auto"/>
          <w:szCs w:val="21"/>
          <w:highlight w:val="none"/>
        </w:rPr>
        <w:t>或盖章</w:t>
      </w:r>
      <w:r>
        <w:rPr>
          <w:rFonts w:ascii="Times New Roman" w:hAnsi="Times New Roman"/>
          <w:color w:val="auto"/>
          <w:highlight w:val="none"/>
        </w:rPr>
        <w:t>）</w:t>
      </w:r>
    </w:p>
    <w:p>
      <w:pPr>
        <w:spacing w:line="440" w:lineRule="exact"/>
        <w:ind w:firstLine="2692" w:firstLineChars="1282"/>
        <w:rPr>
          <w:rFonts w:ascii="Times New Roman" w:hAnsi="Times New Roman"/>
          <w:color w:val="auto"/>
          <w:highlight w:val="none"/>
        </w:rPr>
      </w:pP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692" w:firstLineChars="1282"/>
        <w:rPr>
          <w:rFonts w:ascii="Times New Roman" w:hAnsi="Times New Roman"/>
          <w:color w:val="auto"/>
          <w:highlight w:val="none"/>
        </w:rPr>
      </w:pPr>
    </w:p>
    <w:p>
      <w:pPr>
        <w:spacing w:line="440" w:lineRule="exact"/>
        <w:ind w:firstLine="2692" w:firstLineChars="1282"/>
        <w:rPr>
          <w:rFonts w:ascii="Times New Roman" w:hAnsi="Times New Roman"/>
          <w:color w:val="auto"/>
          <w:highlight w:val="none"/>
        </w:rPr>
      </w:pPr>
    </w:p>
    <w:p>
      <w:pPr>
        <w:spacing w:line="440" w:lineRule="exact"/>
        <w:ind w:firstLine="4057" w:firstLineChars="1932"/>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spacing w:line="440" w:lineRule="exact"/>
        <w:ind w:firstLine="4057" w:firstLineChars="1932"/>
        <w:jc w:val="right"/>
        <w:rPr>
          <w:rFonts w:ascii="Times New Roman" w:hAnsi="Times New Roman"/>
          <w:color w:val="auto"/>
          <w:highlight w:val="none"/>
        </w:rPr>
      </w:pPr>
    </w:p>
    <w:p>
      <w:pPr>
        <w:spacing w:line="440" w:lineRule="exact"/>
        <w:rPr>
          <w:rFonts w:ascii="Times New Roman" w:hAnsi="Times New Roman"/>
          <w:color w:val="auto"/>
          <w:highlight w:val="none"/>
        </w:rPr>
      </w:pPr>
    </w:p>
    <w:p>
      <w:pPr>
        <w:pStyle w:val="4"/>
        <w:keepNext w:val="0"/>
        <w:keepLines w:val="0"/>
        <w:jc w:val="center"/>
        <w:rPr>
          <w:rFonts w:ascii="Times New Roman" w:hAnsi="Times New Roman" w:eastAsia="宋体"/>
          <w:b w:val="0"/>
          <w:color w:val="auto"/>
          <w:sz w:val="21"/>
          <w:szCs w:val="22"/>
          <w:highlight w:val="none"/>
        </w:rPr>
      </w:pPr>
      <w:r>
        <w:rPr>
          <w:rFonts w:ascii="Times New Roman" w:hAnsi="Times New Roman"/>
          <w:color w:val="auto"/>
          <w:highlight w:val="none"/>
        </w:rPr>
        <w:br w:type="page"/>
      </w:r>
    </w:p>
    <w:p>
      <w:pPr>
        <w:rPr>
          <w:rFonts w:ascii="Times New Roman" w:hAnsi="Times New Roman"/>
          <w:color w:val="auto"/>
          <w:highlight w:val="none"/>
        </w:rPr>
      </w:pPr>
    </w:p>
    <w:p>
      <w:pPr>
        <w:pStyle w:val="4"/>
        <w:keepNext w:val="0"/>
        <w:keepLines w:val="0"/>
        <w:jc w:val="center"/>
        <w:rPr>
          <w:rFonts w:ascii="Times New Roman" w:hAnsi="Times New Roman"/>
          <w:color w:val="auto"/>
          <w:highlight w:val="none"/>
        </w:rPr>
      </w:pPr>
      <w:bookmarkStart w:id="1102" w:name="_Toc21731"/>
      <w:bookmarkStart w:id="1103" w:name="_Toc18207"/>
      <w:bookmarkStart w:id="1104" w:name="_Toc2523"/>
      <w:r>
        <w:rPr>
          <w:rFonts w:hint="eastAsia" w:ascii="Times New Roman" w:hAnsi="Times New Roman"/>
          <w:color w:val="auto"/>
          <w:highlight w:val="none"/>
        </w:rPr>
        <w:t>三</w:t>
      </w:r>
      <w:r>
        <w:rPr>
          <w:rFonts w:ascii="Times New Roman" w:hAnsi="Times New Roman"/>
          <w:color w:val="auto"/>
          <w:highlight w:val="none"/>
        </w:rPr>
        <w:t>、</w:t>
      </w:r>
      <w:bookmarkStart w:id="1105" w:name="_Toc152042581"/>
      <w:bookmarkStart w:id="1106" w:name="_Toc300835214"/>
      <w:bookmarkStart w:id="1107" w:name="_Toc384308381"/>
      <w:bookmarkStart w:id="1108" w:name="_Toc369531702"/>
      <w:bookmarkStart w:id="1109" w:name="_Toc144974861"/>
      <w:bookmarkStart w:id="1110" w:name="_Toc152045792"/>
      <w:bookmarkStart w:id="1111" w:name="_Toc247514284"/>
      <w:bookmarkStart w:id="1112" w:name="_Toc352691666"/>
      <w:bookmarkStart w:id="1113" w:name="_Toc247527832"/>
      <w:bookmarkStart w:id="1114" w:name="_Toc13469"/>
      <w:bookmarkStart w:id="1115" w:name="_Toc361508757"/>
      <w:r>
        <w:rPr>
          <w:rFonts w:ascii="Times New Roman" w:hAnsi="Times New Roman"/>
          <w:color w:val="auto"/>
          <w:highlight w:val="none"/>
        </w:rPr>
        <w:t>投标保证金</w:t>
      </w:r>
      <w:r>
        <w:rPr>
          <w:rFonts w:hint="eastAsia" w:ascii="Times New Roman" w:hAnsi="Times New Roman"/>
          <w:color w:val="auto"/>
          <w:highlight w:val="none"/>
        </w:rPr>
        <w:t>（格式可自定）</w:t>
      </w:r>
      <w:bookmarkEnd w:id="1102"/>
      <w:bookmarkEnd w:id="1103"/>
      <w:bookmarkEnd w:id="1104"/>
    </w:p>
    <w:bookmarkEnd w:id="1105"/>
    <w:bookmarkEnd w:id="1106"/>
    <w:bookmarkEnd w:id="1107"/>
    <w:bookmarkEnd w:id="1108"/>
    <w:bookmarkEnd w:id="1109"/>
    <w:bookmarkEnd w:id="1110"/>
    <w:bookmarkEnd w:id="1111"/>
    <w:bookmarkEnd w:id="1112"/>
    <w:bookmarkEnd w:id="1113"/>
    <w:bookmarkEnd w:id="1114"/>
    <w:bookmarkEnd w:id="1115"/>
    <w:p>
      <w:pPr>
        <w:pStyle w:val="4"/>
        <w:keepNext w:val="0"/>
        <w:keepLines w:val="0"/>
        <w:jc w:val="center"/>
        <w:rPr>
          <w:rFonts w:ascii="Times New Roman" w:hAnsi="Times New Roman"/>
          <w:color w:val="auto"/>
          <w:highlight w:val="none"/>
        </w:rPr>
      </w:pPr>
      <w:bookmarkStart w:id="1116" w:name="_Toc10745"/>
      <w:bookmarkStart w:id="1117" w:name="_Toc24631"/>
      <w:bookmarkStart w:id="1118" w:name="_Toc8232"/>
      <w:r>
        <w:rPr>
          <w:rFonts w:hint="eastAsia" w:ascii="Times New Roman" w:hAnsi="Times New Roman"/>
          <w:color w:val="auto"/>
          <w:highlight w:val="none"/>
        </w:rPr>
        <w:t>四</w:t>
      </w:r>
      <w:r>
        <w:rPr>
          <w:rFonts w:ascii="Times New Roman" w:hAnsi="Times New Roman"/>
          <w:color w:val="auto"/>
          <w:highlight w:val="none"/>
        </w:rPr>
        <w:t>、</w:t>
      </w:r>
      <w:bookmarkStart w:id="1119" w:name="_Toc361508760"/>
      <w:r>
        <w:rPr>
          <w:rFonts w:hint="eastAsia" w:ascii="Times New Roman" w:hAnsi="Times New Roman"/>
          <w:color w:val="auto"/>
          <w:highlight w:val="none"/>
        </w:rPr>
        <w:t>投标报价表</w:t>
      </w:r>
      <w:bookmarkEnd w:id="1116"/>
      <w:bookmarkEnd w:id="1117"/>
      <w:bookmarkEnd w:id="1118"/>
    </w:p>
    <w:p>
      <w:pPr>
        <w:jc w:val="center"/>
        <w:rPr>
          <w:rFonts w:ascii="Times New Roman" w:hAnsi="Times New Roman"/>
          <w:color w:val="auto"/>
          <w:highlight w:val="none"/>
        </w:rPr>
      </w:pPr>
    </w:p>
    <w:p>
      <w:pPr>
        <w:spacing w:line="360" w:lineRule="auto"/>
        <w:ind w:left="1680" w:hanging="1680" w:hangingChars="800"/>
        <w:rPr>
          <w:color w:val="auto"/>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tbl>
      <w:tblPr>
        <w:tblStyle w:val="23"/>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8"/>
        <w:gridCol w:w="1836"/>
        <w:gridCol w:w="35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75"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8"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836"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最高投标限价</w:t>
            </w:r>
          </w:p>
          <w:p>
            <w:pPr>
              <w:jc w:val="center"/>
              <w:rPr>
                <w:rFonts w:ascii="宋体" w:hAnsi="宋体" w:cs="宋体"/>
                <w:color w:val="auto"/>
                <w:szCs w:val="21"/>
                <w:highlight w:val="none"/>
              </w:rPr>
            </w:pPr>
            <w:r>
              <w:rPr>
                <w:rFonts w:hint="eastAsia" w:ascii="宋体" w:hAnsi="宋体" w:cs="宋体"/>
                <w:color w:val="auto"/>
                <w:szCs w:val="21"/>
                <w:highlight w:val="none"/>
              </w:rPr>
              <w:t>（元）</w:t>
            </w:r>
          </w:p>
        </w:tc>
        <w:tc>
          <w:tcPr>
            <w:tcW w:w="3543"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投标报价</w:t>
            </w:r>
          </w:p>
          <w:p>
            <w:pPr>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559"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75"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08"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效果评估</w:t>
            </w:r>
          </w:p>
        </w:tc>
        <w:tc>
          <w:tcPr>
            <w:tcW w:w="1836"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1391233.63</w:t>
            </w:r>
          </w:p>
        </w:tc>
        <w:tc>
          <w:tcPr>
            <w:tcW w:w="3543" w:type="dxa"/>
            <w:noWrap w:val="0"/>
            <w:vAlign w:val="center"/>
          </w:tcPr>
          <w:p>
            <w:pPr>
              <w:jc w:val="center"/>
              <w:rPr>
                <w:rFonts w:ascii="宋体" w:hAnsi="宋体" w:cs="宋体"/>
                <w:color w:val="auto"/>
                <w:szCs w:val="21"/>
                <w:highlight w:val="none"/>
              </w:rPr>
            </w:pPr>
          </w:p>
        </w:tc>
        <w:tc>
          <w:tcPr>
            <w:tcW w:w="1559" w:type="dxa"/>
            <w:noWrap w:val="0"/>
            <w:vAlign w:val="center"/>
          </w:tcPr>
          <w:p>
            <w:pPr>
              <w:jc w:val="cente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备注：（1）投标报价以元为单位，投标报价小数点后保留二位小数，第三位小数四舍五入。</w:t>
      </w:r>
    </w:p>
    <w:p>
      <w:pPr>
        <w:rPr>
          <w:rFonts w:ascii="宋体" w:hAnsi="宋体" w:cs="宋体"/>
          <w:color w:val="auto"/>
          <w:highlight w:val="none"/>
        </w:rPr>
      </w:pPr>
      <w:r>
        <w:rPr>
          <w:rFonts w:hint="eastAsia" w:ascii="宋体" w:hAnsi="宋体" w:cs="宋体"/>
          <w:color w:val="auto"/>
          <w:szCs w:val="21"/>
          <w:highlight w:val="none"/>
        </w:rPr>
        <w:t>（2）各投标人的投标报价不得超过最高投标限价。</w:t>
      </w: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spacing w:line="440" w:lineRule="exact"/>
        <w:ind w:firstLine="2520" w:firstLineChars="1200"/>
        <w:jc w:val="left"/>
        <w:rPr>
          <w:rFonts w:ascii="Times New Roman" w:hAnsi="Times New Roman"/>
          <w:color w:val="auto"/>
          <w:szCs w:val="21"/>
          <w:highlight w:val="none"/>
        </w:rPr>
      </w:pPr>
      <w:bookmarkStart w:id="1120" w:name="_Toc527028748"/>
      <w:bookmarkStart w:id="1121" w:name="_Toc527028920"/>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440" w:lineRule="exact"/>
        <w:jc w:val="left"/>
        <w:rPr>
          <w:rFonts w:ascii="Times New Roman" w:hAnsi="Times New Roman"/>
          <w:color w:val="auto"/>
          <w:szCs w:val="21"/>
          <w:highlight w:val="none"/>
        </w:rPr>
      </w:pPr>
      <w:r>
        <w:rPr>
          <w:rFonts w:ascii="Times New Roman" w:hAnsi="Times New Roman"/>
          <w:color w:val="auto"/>
          <w:highlight w:val="none"/>
        </w:rPr>
        <w:t xml:space="preserve">                        法定代表人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（签字</w:t>
      </w:r>
      <w:r>
        <w:rPr>
          <w:rFonts w:hint="eastAsia" w:ascii="Times New Roman" w:hAnsi="Times New Roman"/>
          <w:color w:val="auto"/>
          <w:szCs w:val="21"/>
          <w:highlight w:val="none"/>
        </w:rPr>
        <w:t>或盖章</w:t>
      </w:r>
      <w:r>
        <w:rPr>
          <w:rFonts w:ascii="Times New Roman" w:hAnsi="Times New Roman"/>
          <w:color w:val="auto"/>
          <w:szCs w:val="21"/>
          <w:highlight w:val="none"/>
        </w:rPr>
        <w:t>）</w:t>
      </w:r>
    </w:p>
    <w:p>
      <w:pPr>
        <w:spacing w:line="440" w:lineRule="exact"/>
        <w:ind w:firstLine="4725" w:firstLineChars="2250"/>
        <w:jc w:val="right"/>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p>
      <w:pPr>
        <w:rPr>
          <w:color w:val="auto"/>
          <w:highlight w:val="none"/>
        </w:rPr>
      </w:pPr>
    </w:p>
    <w:p>
      <w:pPr>
        <w:tabs>
          <w:tab w:val="left" w:pos="4842"/>
        </w:tabs>
        <w:jc w:val="center"/>
        <w:rPr>
          <w:color w:val="auto"/>
          <w:highlight w:val="none"/>
        </w:rPr>
        <w:sectPr>
          <w:footerReference r:id="rId4" w:type="default"/>
          <w:pgSz w:w="12240" w:h="15840"/>
          <w:pgMar w:top="1627" w:right="1373" w:bottom="1393" w:left="1627" w:header="720" w:footer="720" w:gutter="0"/>
          <w:cols w:space="720" w:num="1"/>
          <w:docGrid w:linePitch="285" w:charSpace="0"/>
        </w:sectPr>
      </w:pPr>
    </w:p>
    <w:bookmarkEnd w:id="1120"/>
    <w:bookmarkEnd w:id="1121"/>
    <w:p>
      <w:pPr>
        <w:ind w:firstLine="2570" w:firstLineChars="800"/>
        <w:rPr>
          <w:rFonts w:hint="default" w:ascii="Times New Roman" w:hAnsi="Times New Roman" w:eastAsia="宋体"/>
          <w:color w:val="auto"/>
          <w:highlight w:val="none"/>
          <w:lang w:val="en-US" w:eastAsia="zh-CN"/>
        </w:rPr>
      </w:pPr>
      <w:bookmarkStart w:id="1122" w:name="_Toc32340"/>
      <w:r>
        <w:rPr>
          <w:rFonts w:hint="eastAsia" w:ascii="Times New Roman" w:hAnsi="Times New Roman" w:eastAsia="黑体" w:cs="Times New Roman"/>
          <w:b/>
          <w:color w:val="auto"/>
          <w:sz w:val="32"/>
          <w:szCs w:val="20"/>
          <w:highlight w:val="none"/>
          <w:lang w:eastAsia="zh-CN"/>
        </w:rPr>
        <w:t>后附：已标价工程量清单</w:t>
      </w:r>
      <w:r>
        <w:rPr>
          <w:rFonts w:hint="eastAsia" w:ascii="Times New Roman" w:hAnsi="Times New Roman"/>
          <w:color w:val="auto"/>
          <w:highlight w:val="none"/>
        </w:rPr>
        <w:br w:type="page"/>
      </w:r>
    </w:p>
    <w:p>
      <w:pPr>
        <w:pStyle w:val="4"/>
        <w:keepNext w:val="0"/>
        <w:keepLines w:val="0"/>
        <w:spacing w:after="0"/>
        <w:jc w:val="center"/>
        <w:rPr>
          <w:rFonts w:ascii="Times New Roman" w:hAnsi="Times New Roman"/>
          <w:color w:val="auto"/>
          <w:highlight w:val="none"/>
        </w:rPr>
      </w:pPr>
      <w:bookmarkStart w:id="1123" w:name="_Toc22692"/>
      <w:bookmarkStart w:id="1124" w:name="_Toc5800"/>
      <w:r>
        <w:rPr>
          <w:rFonts w:hint="eastAsia" w:ascii="Times New Roman" w:hAnsi="Times New Roman"/>
          <w:color w:val="auto"/>
          <w:highlight w:val="none"/>
        </w:rPr>
        <w:t>五</w:t>
      </w:r>
      <w:r>
        <w:rPr>
          <w:rFonts w:ascii="Times New Roman" w:hAnsi="Times New Roman"/>
          <w:color w:val="auto"/>
          <w:highlight w:val="none"/>
        </w:rPr>
        <w:t>、资格审查资料</w:t>
      </w:r>
      <w:bookmarkEnd w:id="1122"/>
      <w:bookmarkEnd w:id="1123"/>
      <w:bookmarkEnd w:id="1124"/>
    </w:p>
    <w:p>
      <w:pPr>
        <w:pStyle w:val="5"/>
        <w:keepNext w:val="0"/>
        <w:keepLines w:val="0"/>
        <w:spacing w:before="20" w:after="0"/>
        <w:ind w:firstLine="137"/>
        <w:jc w:val="center"/>
        <w:rPr>
          <w:rFonts w:ascii="Times New Roman" w:hAnsi="Times New Roman"/>
          <w:color w:val="auto"/>
          <w:highlight w:val="none"/>
        </w:rPr>
      </w:pPr>
      <w:bookmarkStart w:id="1125" w:name="_Toc10057"/>
      <w:bookmarkStart w:id="1126" w:name="_Toc31262"/>
      <w:bookmarkStart w:id="1127" w:name="_Toc25680"/>
      <w:bookmarkStart w:id="1128" w:name="_Toc11298"/>
      <w:r>
        <w:rPr>
          <w:rFonts w:ascii="Times New Roman" w:hAnsi="Times New Roman"/>
          <w:color w:val="auto"/>
          <w:highlight w:val="none"/>
        </w:rPr>
        <w:t>（一）基本情况表（格式可自定）</w:t>
      </w:r>
      <w:bookmarkEnd w:id="1125"/>
      <w:bookmarkEnd w:id="1126"/>
      <w:bookmarkEnd w:id="1127"/>
      <w:bookmarkEnd w:id="1128"/>
    </w:p>
    <w:tbl>
      <w:tblPr>
        <w:tblStyle w:val="23"/>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ascii="Times New Roman" w:hAnsi="Times New Roman"/>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ascii="Times New Roman" w:hAnsi="Times New Roman"/>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ascii="Times New Roman" w:hAnsi="Times New Roman"/>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ascii="Times New Roman" w:hAnsi="Times New Roman"/>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highlight w:val="none"/>
              </w:rPr>
            </w:pPr>
            <w:r>
              <w:rPr>
                <w:rFonts w:ascii="Times New Roman" w:hAnsi="Times New Roman"/>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color w:val="auto"/>
                <w:highlight w:val="none"/>
              </w:rPr>
            </w:pPr>
            <w:r>
              <w:rPr>
                <w:rFonts w:ascii="Times New Roman" w:hAnsi="Times New Roman"/>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p>
        </w:tc>
      </w:tr>
    </w:tbl>
    <w:p>
      <w:pPr>
        <w:spacing w:line="400" w:lineRule="exact"/>
        <w:rPr>
          <w:rFonts w:ascii="Times New Roman" w:hAnsi="Times New Roman"/>
          <w:color w:val="auto"/>
          <w:highlight w:val="none"/>
        </w:rPr>
      </w:pPr>
      <w:r>
        <w:rPr>
          <w:rFonts w:ascii="Times New Roman" w:hAnsi="Times New Roman"/>
          <w:color w:val="auto"/>
          <w:highlight w:val="none"/>
        </w:rPr>
        <w:t>注：</w:t>
      </w:r>
      <w:r>
        <w:rPr>
          <w:rFonts w:hint="eastAsia" w:ascii="宋体" w:hAnsi="宋体" w:cs="宋体"/>
          <w:color w:val="auto"/>
          <w:szCs w:val="20"/>
          <w:highlight w:val="none"/>
        </w:rPr>
        <w:t>在本表后附相关证</w:t>
      </w:r>
      <w:bookmarkStart w:id="1129" w:name="_Toc520184752"/>
      <w:r>
        <w:rPr>
          <w:rFonts w:hint="eastAsia" w:ascii="宋体" w:hAnsi="宋体" w:cs="宋体"/>
          <w:color w:val="auto"/>
          <w:szCs w:val="20"/>
          <w:highlight w:val="none"/>
        </w:rPr>
        <w:t>明材料。</w:t>
      </w:r>
      <w:bookmarkEnd w:id="1129"/>
    </w:p>
    <w:p>
      <w:pPr>
        <w:pStyle w:val="5"/>
        <w:keepNext w:val="0"/>
        <w:keepLines w:val="0"/>
        <w:ind w:firstLine="137"/>
        <w:rPr>
          <w:rFonts w:ascii="Times New Roman" w:hAnsi="Times New Roman"/>
          <w:color w:val="auto"/>
          <w:highlight w:val="none"/>
        </w:rPr>
      </w:pPr>
    </w:p>
    <w:p>
      <w:pPr>
        <w:rPr>
          <w:rFonts w:ascii="Times New Roman" w:hAnsi="Times New Roman"/>
          <w:color w:val="auto"/>
          <w:highlight w:val="none"/>
        </w:rPr>
      </w:pPr>
    </w:p>
    <w:p>
      <w:pPr>
        <w:pStyle w:val="12"/>
        <w:rPr>
          <w:color w:val="auto"/>
          <w:highlight w:val="none"/>
        </w:rPr>
      </w:pPr>
    </w:p>
    <w:bookmarkEnd w:id="1119"/>
    <w:p>
      <w:pPr>
        <w:pStyle w:val="5"/>
        <w:keepNext w:val="0"/>
        <w:keepLines w:val="0"/>
        <w:spacing w:before="20" w:after="0"/>
        <w:ind w:firstLine="137"/>
        <w:jc w:val="center"/>
        <w:rPr>
          <w:rFonts w:ascii="Times New Roman" w:hAnsi="Times New Roman"/>
          <w:color w:val="auto"/>
          <w:highlight w:val="none"/>
        </w:rPr>
      </w:pPr>
      <w:bookmarkStart w:id="1130" w:name="_Toc384308390"/>
      <w:bookmarkStart w:id="1131" w:name="_Toc300835232"/>
      <w:bookmarkStart w:id="1132" w:name="_Toc144974873"/>
      <w:bookmarkStart w:id="1133" w:name="_Toc152045805"/>
      <w:bookmarkStart w:id="1134" w:name="_Toc179632825"/>
      <w:bookmarkStart w:id="1135" w:name="_Toc391394125"/>
      <w:bookmarkStart w:id="1136" w:name="_Toc152042594"/>
      <w:bookmarkStart w:id="1137" w:name="_Toc482188668"/>
      <w:bookmarkStart w:id="1138" w:name="_Toc385943079"/>
      <w:bookmarkStart w:id="1139" w:name="_Toc9737"/>
      <w:bookmarkStart w:id="1140" w:name="_Toc370676440"/>
      <w:bookmarkStart w:id="1141" w:name="_Toc359594249"/>
      <w:bookmarkStart w:id="1142" w:name="_Toc29422"/>
      <w:bookmarkStart w:id="1143" w:name="_Toc12423"/>
      <w:bookmarkStart w:id="1144" w:name="_Toc15900"/>
      <w:bookmarkStart w:id="1145" w:name="_Toc20792"/>
      <w:r>
        <w:rPr>
          <w:rFonts w:ascii="Times New Roman" w:hAnsi="Times New Roman"/>
          <w:color w:val="auto"/>
          <w:highlight w:val="none"/>
        </w:rPr>
        <w:t>（</w:t>
      </w:r>
      <w:r>
        <w:rPr>
          <w:rFonts w:hint="eastAsia" w:ascii="Times New Roman" w:hAnsi="Times New Roman"/>
          <w:color w:val="auto"/>
          <w:highlight w:val="none"/>
        </w:rPr>
        <w:t>二</w:t>
      </w:r>
      <w:r>
        <w:rPr>
          <w:rFonts w:ascii="Times New Roman" w:hAnsi="Times New Roman"/>
          <w:color w:val="auto"/>
          <w:highlight w:val="none"/>
        </w:rPr>
        <w:t>）</w:t>
      </w:r>
      <w:r>
        <w:rPr>
          <w:rFonts w:hint="eastAsia" w:ascii="Times New Roman" w:hAnsi="Times New Roman"/>
          <w:color w:val="auto"/>
          <w:highlight w:val="none"/>
          <w:lang w:val="en-US" w:eastAsia="zh-CN"/>
        </w:rPr>
        <w:t>项目负责人</w:t>
      </w:r>
      <w:r>
        <w:rPr>
          <w:rFonts w:ascii="Times New Roman" w:hAnsi="Times New Roman"/>
          <w:color w:val="auto"/>
          <w:highlight w:val="none"/>
        </w:rPr>
        <w:t>简历表</w:t>
      </w:r>
      <w:bookmarkEnd w:id="1130"/>
      <w:bookmarkEnd w:id="1131"/>
      <w:bookmarkEnd w:id="1132"/>
      <w:bookmarkEnd w:id="1133"/>
      <w:bookmarkEnd w:id="1134"/>
      <w:bookmarkEnd w:id="1135"/>
      <w:bookmarkEnd w:id="1136"/>
      <w:bookmarkEnd w:id="1137"/>
      <w:bookmarkEnd w:id="1138"/>
      <w:bookmarkEnd w:id="1139"/>
      <w:bookmarkEnd w:id="1140"/>
      <w:bookmarkEnd w:id="1141"/>
      <w:r>
        <w:rPr>
          <w:rFonts w:ascii="Times New Roman" w:hAnsi="Times New Roman"/>
          <w:color w:val="auto"/>
          <w:highlight w:val="none"/>
        </w:rPr>
        <w:t>（格式可自定）</w:t>
      </w:r>
      <w:bookmarkEnd w:id="1142"/>
      <w:bookmarkEnd w:id="1143"/>
      <w:bookmarkEnd w:id="1144"/>
      <w:bookmarkEnd w:id="1145"/>
    </w:p>
    <w:p>
      <w:pPr>
        <w:topLinePunct/>
        <w:spacing w:line="440" w:lineRule="exact"/>
        <w:jc w:val="center"/>
        <w:rPr>
          <w:rFonts w:ascii="Times New Roman" w:hAnsi="Times New Roman"/>
          <w:color w:val="auto"/>
          <w:sz w:val="23"/>
          <w:highlight w:val="none"/>
        </w:rPr>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姓  名</w:t>
            </w:r>
          </w:p>
        </w:tc>
        <w:tc>
          <w:tcPr>
            <w:tcW w:w="1048" w:type="dxa"/>
            <w:gridSpan w:val="2"/>
            <w:vAlign w:val="center"/>
          </w:tcPr>
          <w:p>
            <w:pPr>
              <w:spacing w:line="440" w:lineRule="exact"/>
              <w:jc w:val="center"/>
              <w:rPr>
                <w:rFonts w:ascii="Times New Roman" w:hAnsi="Times New Roman"/>
                <w:color w:val="auto"/>
                <w:highlight w:val="none"/>
              </w:rPr>
            </w:pPr>
          </w:p>
        </w:tc>
        <w:tc>
          <w:tcPr>
            <w:tcW w:w="958"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年龄</w:t>
            </w:r>
          </w:p>
        </w:tc>
        <w:tc>
          <w:tcPr>
            <w:tcW w:w="1065" w:type="dxa"/>
            <w:vAlign w:val="center"/>
          </w:tcPr>
          <w:p>
            <w:pPr>
              <w:spacing w:line="440" w:lineRule="exact"/>
              <w:jc w:val="center"/>
              <w:rPr>
                <w:rFonts w:ascii="Times New Roman" w:hAnsi="Times New Roman"/>
                <w:color w:val="auto"/>
                <w:highlight w:val="none"/>
              </w:rPr>
            </w:pPr>
          </w:p>
        </w:tc>
        <w:tc>
          <w:tcPr>
            <w:tcW w:w="2368" w:type="dxa"/>
            <w:gridSpan w:val="3"/>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执业资格证书（或上岗证书）名称</w:t>
            </w:r>
          </w:p>
        </w:tc>
        <w:tc>
          <w:tcPr>
            <w:tcW w:w="189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职  称</w:t>
            </w:r>
          </w:p>
        </w:tc>
        <w:tc>
          <w:tcPr>
            <w:tcW w:w="1048" w:type="dxa"/>
            <w:gridSpan w:val="2"/>
            <w:vAlign w:val="center"/>
          </w:tcPr>
          <w:p>
            <w:pPr>
              <w:spacing w:line="440" w:lineRule="exact"/>
              <w:jc w:val="center"/>
              <w:rPr>
                <w:rFonts w:ascii="Times New Roman" w:hAnsi="Times New Roman"/>
                <w:color w:val="auto"/>
                <w:highlight w:val="none"/>
              </w:rPr>
            </w:pPr>
          </w:p>
        </w:tc>
        <w:tc>
          <w:tcPr>
            <w:tcW w:w="958"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学历</w:t>
            </w:r>
          </w:p>
        </w:tc>
        <w:tc>
          <w:tcPr>
            <w:tcW w:w="1065" w:type="dxa"/>
            <w:vAlign w:val="center"/>
          </w:tcPr>
          <w:p>
            <w:pPr>
              <w:spacing w:line="440" w:lineRule="exact"/>
              <w:jc w:val="center"/>
              <w:rPr>
                <w:rFonts w:ascii="Times New Roman" w:hAnsi="Times New Roman"/>
                <w:color w:val="auto"/>
                <w:highlight w:val="none"/>
              </w:rPr>
            </w:pPr>
          </w:p>
        </w:tc>
        <w:tc>
          <w:tcPr>
            <w:tcW w:w="2368" w:type="dxa"/>
            <w:gridSpan w:val="3"/>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拟在本项目任职</w:t>
            </w:r>
          </w:p>
        </w:tc>
        <w:tc>
          <w:tcPr>
            <w:tcW w:w="189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工作年限</w:t>
            </w:r>
          </w:p>
        </w:tc>
        <w:tc>
          <w:tcPr>
            <w:tcW w:w="3071" w:type="dxa"/>
            <w:gridSpan w:val="4"/>
            <w:vAlign w:val="center"/>
          </w:tcPr>
          <w:p>
            <w:pPr>
              <w:spacing w:line="440" w:lineRule="exact"/>
              <w:jc w:val="center"/>
              <w:rPr>
                <w:rFonts w:ascii="Times New Roman" w:hAnsi="Times New Roman"/>
                <w:color w:val="auto"/>
                <w:highlight w:val="none"/>
              </w:rPr>
            </w:pPr>
          </w:p>
        </w:tc>
        <w:tc>
          <w:tcPr>
            <w:tcW w:w="2368" w:type="dxa"/>
            <w:gridSpan w:val="3"/>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从事工作年限</w:t>
            </w:r>
          </w:p>
        </w:tc>
        <w:tc>
          <w:tcPr>
            <w:tcW w:w="189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color w:val="auto"/>
                <w:highlight w:val="none"/>
              </w:rPr>
            </w:pPr>
            <w:r>
              <w:rPr>
                <w:rFonts w:ascii="Times New Roman" w:hAnsi="Times New Roman"/>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color w:val="auto"/>
                <w:highlight w:val="none"/>
              </w:rPr>
            </w:pPr>
            <w:r>
              <w:rPr>
                <w:rFonts w:ascii="Times New Roman" w:hAnsi="Times New Roman"/>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时  间</w:t>
            </w:r>
          </w:p>
        </w:tc>
        <w:tc>
          <w:tcPr>
            <w:tcW w:w="3420" w:type="dxa"/>
            <w:gridSpan w:val="4"/>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参加过的类似项目</w:t>
            </w:r>
          </w:p>
        </w:tc>
        <w:tc>
          <w:tcPr>
            <w:tcW w:w="1261"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担任职务</w:t>
            </w:r>
          </w:p>
        </w:tc>
        <w:tc>
          <w:tcPr>
            <w:tcW w:w="2297" w:type="dxa"/>
            <w:gridSpan w:val="2"/>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highlight w:val="none"/>
              </w:rPr>
            </w:pPr>
          </w:p>
        </w:tc>
        <w:tc>
          <w:tcPr>
            <w:tcW w:w="3420" w:type="dxa"/>
            <w:gridSpan w:val="4"/>
          </w:tcPr>
          <w:p>
            <w:pPr>
              <w:spacing w:line="440" w:lineRule="exact"/>
              <w:rPr>
                <w:rFonts w:ascii="Times New Roman" w:hAnsi="Times New Roman"/>
                <w:color w:val="auto"/>
                <w:highlight w:val="none"/>
              </w:rPr>
            </w:pPr>
          </w:p>
        </w:tc>
        <w:tc>
          <w:tcPr>
            <w:tcW w:w="1261" w:type="dxa"/>
          </w:tcPr>
          <w:p>
            <w:pPr>
              <w:spacing w:line="440" w:lineRule="exact"/>
              <w:rPr>
                <w:rFonts w:ascii="Times New Roman" w:hAnsi="Times New Roman"/>
                <w:color w:val="auto"/>
                <w:highlight w:val="none"/>
              </w:rPr>
            </w:pPr>
          </w:p>
        </w:tc>
        <w:tc>
          <w:tcPr>
            <w:tcW w:w="229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highlight w:val="none"/>
              </w:rPr>
            </w:pPr>
          </w:p>
        </w:tc>
        <w:tc>
          <w:tcPr>
            <w:tcW w:w="3420" w:type="dxa"/>
            <w:gridSpan w:val="4"/>
          </w:tcPr>
          <w:p>
            <w:pPr>
              <w:spacing w:line="440" w:lineRule="exact"/>
              <w:rPr>
                <w:rFonts w:ascii="Times New Roman" w:hAnsi="Times New Roman"/>
                <w:color w:val="auto"/>
                <w:highlight w:val="none"/>
              </w:rPr>
            </w:pPr>
          </w:p>
        </w:tc>
        <w:tc>
          <w:tcPr>
            <w:tcW w:w="1261" w:type="dxa"/>
          </w:tcPr>
          <w:p>
            <w:pPr>
              <w:spacing w:line="440" w:lineRule="exact"/>
              <w:rPr>
                <w:rFonts w:ascii="Times New Roman" w:hAnsi="Times New Roman"/>
                <w:color w:val="auto"/>
                <w:highlight w:val="none"/>
              </w:rPr>
            </w:pPr>
          </w:p>
        </w:tc>
        <w:tc>
          <w:tcPr>
            <w:tcW w:w="229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highlight w:val="none"/>
              </w:rPr>
            </w:pPr>
          </w:p>
        </w:tc>
        <w:tc>
          <w:tcPr>
            <w:tcW w:w="3420" w:type="dxa"/>
            <w:gridSpan w:val="4"/>
          </w:tcPr>
          <w:p>
            <w:pPr>
              <w:spacing w:line="440" w:lineRule="exact"/>
              <w:rPr>
                <w:rFonts w:ascii="Times New Roman" w:hAnsi="Times New Roman"/>
                <w:color w:val="auto"/>
                <w:highlight w:val="none"/>
              </w:rPr>
            </w:pPr>
          </w:p>
        </w:tc>
        <w:tc>
          <w:tcPr>
            <w:tcW w:w="1261" w:type="dxa"/>
          </w:tcPr>
          <w:p>
            <w:pPr>
              <w:spacing w:line="440" w:lineRule="exact"/>
              <w:rPr>
                <w:rFonts w:ascii="Times New Roman" w:hAnsi="Times New Roman"/>
                <w:color w:val="auto"/>
                <w:highlight w:val="none"/>
              </w:rPr>
            </w:pPr>
          </w:p>
        </w:tc>
        <w:tc>
          <w:tcPr>
            <w:tcW w:w="229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highlight w:val="none"/>
              </w:rPr>
            </w:pPr>
          </w:p>
        </w:tc>
        <w:tc>
          <w:tcPr>
            <w:tcW w:w="3420" w:type="dxa"/>
            <w:gridSpan w:val="4"/>
            <w:vAlign w:val="center"/>
          </w:tcPr>
          <w:p>
            <w:pPr>
              <w:spacing w:line="440" w:lineRule="exact"/>
              <w:rPr>
                <w:rFonts w:ascii="Times New Roman" w:hAnsi="Times New Roman"/>
                <w:color w:val="auto"/>
                <w:highlight w:val="none"/>
              </w:rPr>
            </w:pPr>
          </w:p>
        </w:tc>
        <w:tc>
          <w:tcPr>
            <w:tcW w:w="1261" w:type="dxa"/>
            <w:vAlign w:val="center"/>
          </w:tcPr>
          <w:p>
            <w:pPr>
              <w:spacing w:line="440" w:lineRule="exact"/>
              <w:rPr>
                <w:rFonts w:ascii="Times New Roman" w:hAnsi="Times New Roman"/>
                <w:color w:val="auto"/>
                <w:highlight w:val="none"/>
              </w:rPr>
            </w:pPr>
          </w:p>
        </w:tc>
        <w:tc>
          <w:tcPr>
            <w:tcW w:w="229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highlight w:val="none"/>
              </w:rPr>
            </w:pPr>
          </w:p>
        </w:tc>
        <w:tc>
          <w:tcPr>
            <w:tcW w:w="3420" w:type="dxa"/>
            <w:gridSpan w:val="4"/>
            <w:vAlign w:val="center"/>
          </w:tcPr>
          <w:p>
            <w:pPr>
              <w:spacing w:line="440" w:lineRule="exact"/>
              <w:rPr>
                <w:rFonts w:ascii="Times New Roman" w:hAnsi="Times New Roman"/>
                <w:color w:val="auto"/>
                <w:highlight w:val="none"/>
              </w:rPr>
            </w:pPr>
          </w:p>
        </w:tc>
        <w:tc>
          <w:tcPr>
            <w:tcW w:w="1261" w:type="dxa"/>
            <w:vAlign w:val="center"/>
          </w:tcPr>
          <w:p>
            <w:pPr>
              <w:spacing w:line="440" w:lineRule="exact"/>
              <w:rPr>
                <w:rFonts w:ascii="Times New Roman" w:hAnsi="Times New Roman"/>
                <w:color w:val="auto"/>
                <w:highlight w:val="none"/>
              </w:rPr>
            </w:pPr>
          </w:p>
        </w:tc>
        <w:tc>
          <w:tcPr>
            <w:tcW w:w="229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highlight w:val="none"/>
              </w:rPr>
            </w:pPr>
          </w:p>
        </w:tc>
        <w:tc>
          <w:tcPr>
            <w:tcW w:w="3420" w:type="dxa"/>
            <w:gridSpan w:val="4"/>
            <w:vAlign w:val="center"/>
          </w:tcPr>
          <w:p>
            <w:pPr>
              <w:spacing w:line="440" w:lineRule="exact"/>
              <w:rPr>
                <w:rFonts w:ascii="Times New Roman" w:hAnsi="Times New Roman"/>
                <w:color w:val="auto"/>
                <w:highlight w:val="none"/>
              </w:rPr>
            </w:pPr>
          </w:p>
        </w:tc>
        <w:tc>
          <w:tcPr>
            <w:tcW w:w="1261" w:type="dxa"/>
            <w:vAlign w:val="center"/>
          </w:tcPr>
          <w:p>
            <w:pPr>
              <w:spacing w:line="440" w:lineRule="exact"/>
              <w:rPr>
                <w:rFonts w:ascii="Times New Roman" w:hAnsi="Times New Roman"/>
                <w:color w:val="auto"/>
                <w:highlight w:val="none"/>
              </w:rPr>
            </w:pPr>
          </w:p>
        </w:tc>
        <w:tc>
          <w:tcPr>
            <w:tcW w:w="229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highlight w:val="none"/>
              </w:rPr>
            </w:pPr>
          </w:p>
        </w:tc>
        <w:tc>
          <w:tcPr>
            <w:tcW w:w="3420" w:type="dxa"/>
            <w:gridSpan w:val="4"/>
            <w:vAlign w:val="center"/>
          </w:tcPr>
          <w:p>
            <w:pPr>
              <w:spacing w:line="440" w:lineRule="exact"/>
              <w:rPr>
                <w:rFonts w:ascii="Times New Roman" w:hAnsi="Times New Roman"/>
                <w:color w:val="auto"/>
                <w:highlight w:val="none"/>
              </w:rPr>
            </w:pPr>
          </w:p>
        </w:tc>
        <w:tc>
          <w:tcPr>
            <w:tcW w:w="1261" w:type="dxa"/>
            <w:vAlign w:val="center"/>
          </w:tcPr>
          <w:p>
            <w:pPr>
              <w:spacing w:line="440" w:lineRule="exact"/>
              <w:rPr>
                <w:rFonts w:ascii="Times New Roman" w:hAnsi="Times New Roman"/>
                <w:color w:val="auto"/>
                <w:highlight w:val="none"/>
              </w:rPr>
            </w:pPr>
          </w:p>
        </w:tc>
        <w:tc>
          <w:tcPr>
            <w:tcW w:w="2297" w:type="dxa"/>
            <w:gridSpan w:val="2"/>
            <w:vAlign w:val="center"/>
          </w:tcPr>
          <w:p>
            <w:pPr>
              <w:spacing w:line="440" w:lineRule="exact"/>
              <w:rPr>
                <w:rFonts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w:t>
      </w:r>
      <w:r>
        <w:rPr>
          <w:rFonts w:hint="eastAsia" w:ascii="Times New Roman" w:hAnsi="Times New Roman"/>
          <w:color w:val="auto"/>
          <w:highlight w:val="none"/>
        </w:rPr>
        <w:t>在本表后附相关证明材料。</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bookmarkStart w:id="1146" w:name="_Toc352703741"/>
      <w:bookmarkStart w:id="1147" w:name="_Toc300835229"/>
    </w:p>
    <w:p>
      <w:pPr>
        <w:spacing w:line="440" w:lineRule="exact"/>
        <w:jc w:val="center"/>
        <w:rPr>
          <w:rFonts w:ascii="Times New Roman" w:hAnsi="Times New Roman" w:eastAsia="黑体"/>
          <w:color w:val="auto"/>
          <w:sz w:val="28"/>
          <w:szCs w:val="20"/>
          <w:highlight w:val="none"/>
        </w:rPr>
      </w:pPr>
    </w:p>
    <w:p>
      <w:pPr>
        <w:pStyle w:val="21"/>
        <w:rPr>
          <w:color w:val="auto"/>
          <w:highlight w:val="none"/>
        </w:rPr>
      </w:pPr>
    </w:p>
    <w:p>
      <w:pPr>
        <w:spacing w:line="440" w:lineRule="exact"/>
        <w:jc w:val="center"/>
        <w:rPr>
          <w:rFonts w:ascii="Times New Roman" w:hAnsi="Times New Roman" w:eastAsia="黑体"/>
          <w:color w:val="auto"/>
          <w:sz w:val="28"/>
          <w:szCs w:val="20"/>
          <w:highlight w:val="none"/>
        </w:rPr>
      </w:pPr>
    </w:p>
    <w:bookmarkEnd w:id="1146"/>
    <w:bookmarkEnd w:id="1147"/>
    <w:p>
      <w:pPr>
        <w:pStyle w:val="5"/>
        <w:keepNext w:val="0"/>
        <w:keepLines w:val="0"/>
        <w:spacing w:before="20" w:after="0"/>
        <w:ind w:firstLine="137"/>
        <w:jc w:val="center"/>
        <w:rPr>
          <w:rFonts w:ascii="Times New Roman" w:hAnsi="Times New Roman"/>
          <w:color w:val="auto"/>
          <w:highlight w:val="none"/>
        </w:rPr>
      </w:pPr>
      <w:bookmarkStart w:id="1148" w:name="_Toc482188666"/>
      <w:r>
        <w:rPr>
          <w:rFonts w:ascii="Times New Roman" w:hAnsi="Times New Roman"/>
          <w:color w:val="auto"/>
          <w:highlight w:val="none"/>
        </w:rPr>
        <w:br w:type="page"/>
      </w:r>
      <w:bookmarkEnd w:id="1148"/>
      <w:bookmarkStart w:id="1149" w:name="_Toc27871"/>
      <w:bookmarkStart w:id="1150" w:name="_Toc31056"/>
      <w:bookmarkStart w:id="1151" w:name="_Toc24618"/>
      <w:bookmarkStart w:id="1152" w:name="_Toc25"/>
      <w:r>
        <w:rPr>
          <w:rFonts w:ascii="Times New Roman" w:hAnsi="Times New Roman"/>
          <w:color w:val="auto"/>
          <w:highlight w:val="none"/>
        </w:rPr>
        <w:t>（</w:t>
      </w:r>
      <w:r>
        <w:rPr>
          <w:rFonts w:hint="eastAsia" w:ascii="Times New Roman" w:hAnsi="Times New Roman"/>
          <w:color w:val="auto"/>
          <w:highlight w:val="none"/>
          <w:lang w:val="en-US" w:eastAsia="zh-CN"/>
        </w:rPr>
        <w:t>三</w:t>
      </w:r>
      <w:r>
        <w:rPr>
          <w:rFonts w:ascii="Times New Roman" w:hAnsi="Times New Roman"/>
          <w:color w:val="auto"/>
          <w:highlight w:val="none"/>
        </w:rPr>
        <w:t>）</w:t>
      </w:r>
      <w:r>
        <w:rPr>
          <w:rFonts w:hint="eastAsia" w:ascii="Times New Roman" w:hAnsi="Times New Roman"/>
          <w:color w:val="auto"/>
          <w:highlight w:val="none"/>
        </w:rPr>
        <w:t>投标人声明</w:t>
      </w:r>
      <w:bookmarkEnd w:id="1149"/>
      <w:bookmarkEnd w:id="1150"/>
      <w:bookmarkEnd w:id="1151"/>
      <w:bookmarkEnd w:id="1152"/>
    </w:p>
    <w:p>
      <w:pPr>
        <w:pStyle w:val="4"/>
        <w:keepNext w:val="0"/>
        <w:keepLines w:val="0"/>
        <w:jc w:val="center"/>
        <w:rPr>
          <w:rFonts w:ascii="Times New Roman" w:hAnsi="Times New Roman" w:eastAsia="宋体"/>
          <w:b w:val="0"/>
          <w:color w:val="auto"/>
          <w:sz w:val="21"/>
          <w:szCs w:val="22"/>
          <w:highlight w:val="none"/>
        </w:rPr>
      </w:pPr>
      <w:bookmarkStart w:id="1153" w:name="_Toc23748"/>
      <w:bookmarkStart w:id="1154" w:name="_Toc28893"/>
      <w:bookmarkStart w:id="1155" w:name="_Toc5124"/>
      <w:bookmarkStart w:id="1156" w:name="_Toc30285"/>
      <w:bookmarkStart w:id="1157" w:name="_Toc32255"/>
      <w:r>
        <w:rPr>
          <w:rFonts w:hint="eastAsia" w:ascii="Times New Roman" w:hAnsi="Times New Roman" w:eastAsia="宋体"/>
          <w:b w:val="0"/>
          <w:color w:val="auto"/>
          <w:sz w:val="21"/>
          <w:szCs w:val="22"/>
          <w:highlight w:val="none"/>
        </w:rPr>
        <w:t>格式详见招标公告附件一</w:t>
      </w:r>
      <w:bookmarkEnd w:id="1153"/>
      <w:bookmarkEnd w:id="1154"/>
      <w:bookmarkEnd w:id="1155"/>
      <w:bookmarkEnd w:id="1156"/>
      <w:bookmarkEnd w:id="1157"/>
    </w:p>
    <w:p>
      <w:pPr>
        <w:spacing w:line="360" w:lineRule="auto"/>
        <w:ind w:firstLine="4920" w:firstLineChars="2050"/>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pStyle w:val="9"/>
        <w:rPr>
          <w:rFonts w:ascii="宋体" w:hAnsi="宋体" w:cs="宋体"/>
          <w:color w:val="auto"/>
          <w:kern w:val="0"/>
          <w:sz w:val="24"/>
          <w:szCs w:val="24"/>
          <w:highlight w:val="none"/>
        </w:rPr>
      </w:pPr>
    </w:p>
    <w:p>
      <w:pPr>
        <w:jc w:val="right"/>
        <w:rPr>
          <w:rFonts w:ascii="宋体" w:hAnsi="宋体" w:cs="宋体"/>
          <w:color w:val="auto"/>
          <w:kern w:val="0"/>
          <w:sz w:val="24"/>
          <w:highlight w:val="none"/>
        </w:rPr>
      </w:pPr>
    </w:p>
    <w:p>
      <w:pPr>
        <w:rPr>
          <w:rFonts w:ascii="宋体" w:hAnsi="宋体" w:cs="宋体"/>
          <w:color w:val="auto"/>
          <w:kern w:val="0"/>
          <w:sz w:val="24"/>
          <w:highlight w:val="none"/>
        </w:rPr>
      </w:pPr>
    </w:p>
    <w:p>
      <w:pPr>
        <w:rPr>
          <w:rFonts w:ascii="Times New Roman" w:hAnsi="Times New Roman"/>
          <w:color w:val="auto"/>
          <w:sz w:val="28"/>
          <w:szCs w:val="28"/>
          <w:highlight w:val="none"/>
        </w:rPr>
      </w:pPr>
    </w:p>
    <w:p>
      <w:pPr>
        <w:rPr>
          <w:rFonts w:ascii="Times New Roman" w:hAnsi="Times New Roman"/>
          <w:color w:val="auto"/>
          <w:sz w:val="28"/>
          <w:szCs w:val="28"/>
          <w:highlight w:val="none"/>
        </w:rPr>
      </w:pPr>
    </w:p>
    <w:p>
      <w:pPr>
        <w:jc w:val="center"/>
        <w:rPr>
          <w:rFonts w:ascii="Times New Roman" w:hAnsi="Times New Roman" w:eastAsia="黑体"/>
          <w:color w:val="auto"/>
          <w:sz w:val="28"/>
          <w:szCs w:val="20"/>
          <w:highlight w:val="none"/>
        </w:rPr>
      </w:pPr>
    </w:p>
    <w:p>
      <w:pPr>
        <w:jc w:val="center"/>
        <w:rPr>
          <w:rFonts w:ascii="Times New Roman" w:hAnsi="Times New Roman" w:eastAsia="黑体"/>
          <w:color w:val="auto"/>
          <w:sz w:val="28"/>
          <w:szCs w:val="20"/>
          <w:highlight w:val="none"/>
        </w:rPr>
      </w:pPr>
    </w:p>
    <w:p>
      <w:pPr>
        <w:jc w:val="center"/>
        <w:rPr>
          <w:rFonts w:ascii="Times New Roman" w:hAnsi="Times New Roman" w:eastAsia="黑体"/>
          <w:color w:val="auto"/>
          <w:sz w:val="28"/>
          <w:szCs w:val="20"/>
          <w:highlight w:val="none"/>
        </w:rPr>
      </w:pPr>
    </w:p>
    <w:p>
      <w:pPr>
        <w:jc w:val="center"/>
        <w:rPr>
          <w:rFonts w:ascii="Times New Roman" w:hAnsi="Times New Roman" w:eastAsia="黑体"/>
          <w:color w:val="auto"/>
          <w:sz w:val="28"/>
          <w:szCs w:val="20"/>
          <w:highlight w:val="none"/>
        </w:rPr>
      </w:pPr>
    </w:p>
    <w:p>
      <w:pPr>
        <w:jc w:val="center"/>
        <w:rPr>
          <w:rFonts w:ascii="Times New Roman" w:hAnsi="Times New Roman" w:eastAsia="黑体"/>
          <w:color w:val="auto"/>
          <w:sz w:val="28"/>
          <w:szCs w:val="20"/>
          <w:highlight w:val="none"/>
        </w:rPr>
      </w:pPr>
    </w:p>
    <w:p>
      <w:pPr>
        <w:pStyle w:val="30"/>
        <w:rPr>
          <w:color w:val="auto"/>
          <w:highlight w:val="none"/>
        </w:rPr>
      </w:pPr>
    </w:p>
    <w:p>
      <w:pPr>
        <w:pStyle w:val="4"/>
        <w:keepNext w:val="0"/>
        <w:keepLines w:val="0"/>
        <w:spacing w:after="0"/>
        <w:jc w:val="center"/>
        <w:rPr>
          <w:rFonts w:hint="eastAsia" w:ascii="Times New Roman" w:hAnsi="Times New Roman" w:eastAsia="黑体"/>
          <w:color w:val="auto"/>
          <w:highlight w:val="none"/>
          <w:lang w:eastAsia="zh-CN"/>
        </w:rPr>
      </w:pPr>
      <w:r>
        <w:rPr>
          <w:rFonts w:hint="eastAsia" w:ascii="Times New Roman" w:hAnsi="Times New Roman"/>
          <w:color w:val="auto"/>
          <w:sz w:val="28"/>
          <w:highlight w:val="none"/>
        </w:rPr>
        <w:br w:type="page"/>
      </w:r>
      <w:bookmarkStart w:id="1158" w:name="_Toc148"/>
      <w:bookmarkStart w:id="1159" w:name="_Toc22053"/>
      <w:bookmarkStart w:id="1160" w:name="_Toc14187"/>
      <w:r>
        <w:rPr>
          <w:rFonts w:hint="eastAsia" w:ascii="Times New Roman" w:hAnsi="Times New Roman"/>
          <w:color w:val="auto"/>
          <w:highlight w:val="none"/>
        </w:rPr>
        <w:t>六</w:t>
      </w:r>
      <w:r>
        <w:rPr>
          <w:rFonts w:ascii="Times New Roman" w:hAnsi="Times New Roman"/>
          <w:color w:val="auto"/>
          <w:highlight w:val="none"/>
        </w:rPr>
        <w:t>、</w:t>
      </w:r>
      <w:bookmarkEnd w:id="1158"/>
      <w:r>
        <w:rPr>
          <w:rFonts w:hint="eastAsia" w:ascii="Times New Roman" w:hAnsi="Times New Roman"/>
          <w:b w:val="0"/>
          <w:color w:val="auto"/>
          <w:highlight w:val="none"/>
          <w:lang w:eastAsia="zh-CN"/>
        </w:rPr>
        <w:t>技术服务方案</w:t>
      </w:r>
      <w:bookmarkEnd w:id="1159"/>
      <w:bookmarkEnd w:id="1160"/>
    </w:p>
    <w:p>
      <w:pPr>
        <w:spacing w:line="360" w:lineRule="auto"/>
        <w:ind w:firstLine="474" w:firstLineChars="226"/>
        <w:rPr>
          <w:rFonts w:ascii="Times New Roman" w:hAnsi="Times New Roman"/>
          <w:color w:val="auto"/>
          <w:szCs w:val="21"/>
          <w:highlight w:val="none"/>
        </w:rPr>
      </w:pPr>
      <w:r>
        <w:rPr>
          <w:rFonts w:hint="eastAsia" w:ascii="Times New Roman" w:hAnsi="Times New Roman"/>
          <w:color w:val="auto"/>
          <w:szCs w:val="21"/>
          <w:highlight w:val="none"/>
        </w:rPr>
        <w:t>按</w:t>
      </w:r>
      <w:r>
        <w:rPr>
          <w:rFonts w:hint="eastAsia" w:ascii="Times New Roman" w:hAnsi="Times New Roman"/>
          <w:color w:val="auto"/>
          <w:szCs w:val="21"/>
          <w:highlight w:val="none"/>
          <w:lang w:eastAsia="zh-CN"/>
        </w:rPr>
        <w:t>技术服务方案</w:t>
      </w:r>
      <w:r>
        <w:rPr>
          <w:rFonts w:hint="eastAsia" w:ascii="Times New Roman" w:hAnsi="Times New Roman"/>
          <w:color w:val="auto"/>
          <w:szCs w:val="21"/>
          <w:highlight w:val="none"/>
        </w:rPr>
        <w:t>评分标准的要求提供相关内容。</w:t>
      </w:r>
    </w:p>
    <w:p>
      <w:pPr>
        <w:rPr>
          <w:rFonts w:ascii="Times New Roman" w:hAnsi="Times New Roman"/>
          <w:color w:val="auto"/>
          <w:highlight w:val="none"/>
        </w:rPr>
      </w:pPr>
    </w:p>
    <w:p>
      <w:pPr>
        <w:pStyle w:val="4"/>
        <w:keepNext w:val="0"/>
        <w:keepLines w:val="0"/>
        <w:spacing w:line="400" w:lineRule="exact"/>
        <w:jc w:val="center"/>
        <w:rPr>
          <w:rFonts w:ascii="Times New Roman" w:hAnsi="Times New Roman"/>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keepNext w:val="0"/>
        <w:keepLines w:val="0"/>
        <w:spacing w:after="0"/>
        <w:jc w:val="center"/>
        <w:rPr>
          <w:color w:val="auto"/>
          <w:highlight w:val="none"/>
        </w:rPr>
      </w:pPr>
      <w:r>
        <w:rPr>
          <w:rFonts w:hint="eastAsia"/>
          <w:color w:val="auto"/>
          <w:highlight w:val="none"/>
        </w:rPr>
        <w:br w:type="page"/>
      </w:r>
      <w:bookmarkStart w:id="1161" w:name="_Toc11133"/>
      <w:bookmarkStart w:id="1162" w:name="_Toc11314"/>
      <w:bookmarkStart w:id="1163" w:name="_Toc11101"/>
      <w:r>
        <w:rPr>
          <w:rFonts w:hint="eastAsia"/>
          <w:color w:val="auto"/>
          <w:highlight w:val="none"/>
        </w:rPr>
        <w:t>七、其他资料</w:t>
      </w:r>
      <w:bookmarkEnd w:id="1161"/>
      <w:bookmarkEnd w:id="1162"/>
      <w:bookmarkEnd w:id="1163"/>
    </w:p>
    <w:p>
      <w:pPr>
        <w:rPr>
          <w:color w:val="auto"/>
          <w:highlight w:val="none"/>
        </w:rPr>
      </w:pPr>
    </w:p>
    <w:p>
      <w:pPr>
        <w:pStyle w:val="5"/>
        <w:keepNext w:val="0"/>
        <w:keepLines w:val="0"/>
        <w:ind w:firstLine="137"/>
        <w:jc w:val="center"/>
        <w:rPr>
          <w:rFonts w:ascii="Times New Roman" w:hAnsi="Times New Roman"/>
          <w:color w:val="auto"/>
          <w:highlight w:val="none"/>
        </w:rPr>
      </w:pPr>
      <w:bookmarkStart w:id="1164" w:name="_Toc4532"/>
      <w:bookmarkStart w:id="1165" w:name="_Toc6992"/>
      <w:bookmarkStart w:id="1166" w:name="_Toc32210"/>
      <w:r>
        <w:rPr>
          <w:rFonts w:hint="eastAsia" w:ascii="Times New Roman" w:hAnsi="Times New Roman"/>
          <w:color w:val="auto"/>
          <w:highlight w:val="none"/>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rPr>
        <w:t>）</w:t>
      </w:r>
      <w:r>
        <w:rPr>
          <w:rFonts w:ascii="Times New Roman" w:hAnsi="Times New Roman"/>
          <w:color w:val="auto"/>
          <w:highlight w:val="none"/>
        </w:rPr>
        <w:t>近年</w:t>
      </w:r>
      <w:r>
        <w:rPr>
          <w:rFonts w:hint="eastAsia" w:ascii="Times New Roman" w:hAnsi="Times New Roman"/>
          <w:color w:val="auto"/>
          <w:highlight w:val="none"/>
        </w:rPr>
        <w:t>承接</w:t>
      </w:r>
      <w:r>
        <w:rPr>
          <w:rFonts w:ascii="Times New Roman" w:hAnsi="Times New Roman"/>
          <w:color w:val="auto"/>
          <w:highlight w:val="none"/>
        </w:rPr>
        <w:t>的类似项目情况表（格式可自定）</w:t>
      </w:r>
      <w:bookmarkEnd w:id="1164"/>
      <w:bookmarkEnd w:id="1165"/>
      <w:bookmarkEnd w:id="1166"/>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委托人名称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委托人地址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委托人电话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lang w:val="en-US" w:eastAsia="zh-CN"/>
              </w:rPr>
              <w:t>服务</w:t>
            </w:r>
            <w:r>
              <w:rPr>
                <w:rFonts w:hint="eastAsia" w:ascii="宋体" w:hAnsi="宋体" w:cs="宋体"/>
                <w:color w:val="auto"/>
                <w:highlight w:val="none"/>
              </w:rPr>
              <w:t>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Times New Roman" w:hAnsi="Times New Roman" w:eastAsia="宋体"/>
                <w:color w:val="auto"/>
                <w:highlight w:val="none"/>
                <w:lang w:val="en-US" w:eastAsia="zh-CN"/>
              </w:rPr>
            </w:pPr>
            <w:r>
              <w:rPr>
                <w:rFonts w:hint="eastAsia" w:ascii="宋体" w:hAnsi="宋体" w:cs="宋体"/>
                <w:color w:val="auto"/>
                <w:highlight w:val="none"/>
                <w:lang w:val="en-US" w:eastAsia="zh-CN"/>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highlight w:val="none"/>
              </w:rPr>
            </w:pPr>
            <w:r>
              <w:rPr>
                <w:rFonts w:hint="eastAsia" w:ascii="宋体" w:hAnsi="宋体" w:cs="宋体"/>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注：在本表后附相关证明材料。</w:t>
      </w:r>
    </w:p>
    <w:p>
      <w:pPr>
        <w:spacing w:line="440" w:lineRule="exact"/>
        <w:rPr>
          <w:rFonts w:ascii="Times New Roman" w:hAnsi="Times New Roman"/>
          <w:color w:val="auto"/>
          <w:highlight w:val="none"/>
        </w:rPr>
      </w:pPr>
    </w:p>
    <w:p>
      <w:pPr>
        <w:pStyle w:val="5"/>
        <w:keepNext w:val="0"/>
        <w:keepLines w:val="0"/>
        <w:ind w:firstLine="137"/>
        <w:jc w:val="center"/>
        <w:rPr>
          <w:rFonts w:ascii="Times New Roman" w:hAnsi="Times New Roman"/>
          <w:color w:val="auto"/>
          <w:highlight w:val="none"/>
        </w:rPr>
      </w:pPr>
      <w:bookmarkStart w:id="1167" w:name="_Toc12633"/>
      <w:bookmarkStart w:id="1168" w:name="_Toc79"/>
      <w:bookmarkStart w:id="1169" w:name="_Toc3779"/>
      <w:r>
        <w:rPr>
          <w:rFonts w:hint="eastAsia" w:ascii="Times New Roman" w:hAnsi="Times New Roman"/>
          <w:color w:val="auto"/>
          <w:highlight w:val="none"/>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rPr>
        <w:t>）</w:t>
      </w:r>
      <w:r>
        <w:rPr>
          <w:rFonts w:ascii="Times New Roman" w:hAnsi="Times New Roman"/>
          <w:color w:val="auto"/>
          <w:highlight w:val="none"/>
        </w:rPr>
        <w:t>主要人员简历表（格式可自定）</w:t>
      </w:r>
      <w:bookmarkEnd w:id="1167"/>
      <w:bookmarkEnd w:id="1168"/>
      <w:bookmarkEnd w:id="116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姓  名</w:t>
            </w:r>
          </w:p>
        </w:tc>
        <w:tc>
          <w:tcPr>
            <w:tcW w:w="1048" w:type="dxa"/>
            <w:gridSpan w:val="2"/>
            <w:vAlign w:val="center"/>
          </w:tcPr>
          <w:p>
            <w:pPr>
              <w:spacing w:line="440" w:lineRule="exact"/>
              <w:jc w:val="center"/>
              <w:rPr>
                <w:rFonts w:ascii="Times New Roman" w:hAnsi="Times New Roman"/>
                <w:color w:val="auto"/>
                <w:highlight w:val="none"/>
              </w:rPr>
            </w:pPr>
          </w:p>
        </w:tc>
        <w:tc>
          <w:tcPr>
            <w:tcW w:w="958"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年龄</w:t>
            </w:r>
          </w:p>
        </w:tc>
        <w:tc>
          <w:tcPr>
            <w:tcW w:w="1065" w:type="dxa"/>
            <w:vAlign w:val="center"/>
          </w:tcPr>
          <w:p>
            <w:pPr>
              <w:spacing w:line="440" w:lineRule="exact"/>
              <w:jc w:val="center"/>
              <w:rPr>
                <w:rFonts w:ascii="Times New Roman" w:hAnsi="Times New Roman"/>
                <w:color w:val="auto"/>
                <w:highlight w:val="none"/>
              </w:rPr>
            </w:pPr>
          </w:p>
        </w:tc>
        <w:tc>
          <w:tcPr>
            <w:tcW w:w="2368" w:type="dxa"/>
            <w:gridSpan w:val="3"/>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执业资格证书（或上岗证书）名称</w:t>
            </w:r>
          </w:p>
        </w:tc>
        <w:tc>
          <w:tcPr>
            <w:tcW w:w="189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color w:val="auto"/>
                <w:highlight w:val="none"/>
              </w:rPr>
            </w:pPr>
            <w:r>
              <w:rPr>
                <w:rFonts w:ascii="Times New Roman" w:hAnsi="Times New Roman"/>
                <w:color w:val="auto"/>
                <w:highlight w:val="none"/>
              </w:rPr>
              <w:t>职  称</w:t>
            </w:r>
          </w:p>
        </w:tc>
        <w:tc>
          <w:tcPr>
            <w:tcW w:w="1048" w:type="dxa"/>
            <w:gridSpan w:val="2"/>
            <w:vAlign w:val="center"/>
          </w:tcPr>
          <w:p>
            <w:pPr>
              <w:spacing w:line="440" w:lineRule="exact"/>
              <w:jc w:val="center"/>
              <w:rPr>
                <w:rFonts w:ascii="Times New Roman" w:hAnsi="Times New Roman"/>
                <w:color w:val="auto"/>
                <w:highlight w:val="none"/>
              </w:rPr>
            </w:pPr>
          </w:p>
        </w:tc>
        <w:tc>
          <w:tcPr>
            <w:tcW w:w="958"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学历</w:t>
            </w:r>
          </w:p>
        </w:tc>
        <w:tc>
          <w:tcPr>
            <w:tcW w:w="1065" w:type="dxa"/>
            <w:vAlign w:val="center"/>
          </w:tcPr>
          <w:p>
            <w:pPr>
              <w:spacing w:line="440" w:lineRule="exact"/>
              <w:jc w:val="center"/>
              <w:rPr>
                <w:rFonts w:ascii="Times New Roman" w:hAnsi="Times New Roman"/>
                <w:color w:val="auto"/>
                <w:highlight w:val="none"/>
              </w:rPr>
            </w:pPr>
          </w:p>
        </w:tc>
        <w:tc>
          <w:tcPr>
            <w:tcW w:w="2368" w:type="dxa"/>
            <w:gridSpan w:val="3"/>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拟在本项目任职</w:t>
            </w:r>
          </w:p>
        </w:tc>
        <w:tc>
          <w:tcPr>
            <w:tcW w:w="189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工作年限</w:t>
            </w:r>
          </w:p>
        </w:tc>
        <w:tc>
          <w:tcPr>
            <w:tcW w:w="3071" w:type="dxa"/>
            <w:gridSpan w:val="4"/>
            <w:vAlign w:val="center"/>
          </w:tcPr>
          <w:p>
            <w:pPr>
              <w:spacing w:line="440" w:lineRule="exact"/>
              <w:jc w:val="center"/>
              <w:rPr>
                <w:rFonts w:ascii="Times New Roman" w:hAnsi="Times New Roman"/>
                <w:color w:val="auto"/>
                <w:highlight w:val="none"/>
              </w:rPr>
            </w:pPr>
          </w:p>
        </w:tc>
        <w:tc>
          <w:tcPr>
            <w:tcW w:w="2368" w:type="dxa"/>
            <w:gridSpan w:val="3"/>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从事工作年限</w:t>
            </w:r>
          </w:p>
        </w:tc>
        <w:tc>
          <w:tcPr>
            <w:tcW w:w="1896" w:type="dxa"/>
            <w:vAlign w:val="center"/>
          </w:tcPr>
          <w:p>
            <w:pPr>
              <w:spacing w:line="44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color w:val="auto"/>
                <w:highlight w:val="none"/>
              </w:rPr>
            </w:pPr>
            <w:r>
              <w:rPr>
                <w:rFonts w:ascii="Times New Roman" w:hAnsi="Times New Roman"/>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color w:val="auto"/>
                <w:highlight w:val="none"/>
              </w:rPr>
            </w:pPr>
            <w:r>
              <w:rPr>
                <w:rFonts w:ascii="Times New Roman" w:hAnsi="Times New Roman"/>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时  间</w:t>
            </w:r>
          </w:p>
        </w:tc>
        <w:tc>
          <w:tcPr>
            <w:tcW w:w="3420" w:type="dxa"/>
            <w:gridSpan w:val="4"/>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参加过的类似项目</w:t>
            </w:r>
          </w:p>
        </w:tc>
        <w:tc>
          <w:tcPr>
            <w:tcW w:w="1261" w:type="dxa"/>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担任职务</w:t>
            </w:r>
          </w:p>
        </w:tc>
        <w:tc>
          <w:tcPr>
            <w:tcW w:w="2297" w:type="dxa"/>
            <w:gridSpan w:val="2"/>
            <w:vAlign w:val="center"/>
          </w:tcPr>
          <w:p>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highlight w:val="none"/>
              </w:rPr>
            </w:pPr>
          </w:p>
        </w:tc>
        <w:tc>
          <w:tcPr>
            <w:tcW w:w="3420" w:type="dxa"/>
            <w:gridSpan w:val="4"/>
          </w:tcPr>
          <w:p>
            <w:pPr>
              <w:spacing w:line="440" w:lineRule="exact"/>
              <w:rPr>
                <w:rFonts w:ascii="Times New Roman" w:hAnsi="Times New Roman"/>
                <w:color w:val="auto"/>
                <w:highlight w:val="none"/>
              </w:rPr>
            </w:pPr>
          </w:p>
        </w:tc>
        <w:tc>
          <w:tcPr>
            <w:tcW w:w="1261" w:type="dxa"/>
          </w:tcPr>
          <w:p>
            <w:pPr>
              <w:spacing w:line="440" w:lineRule="exact"/>
              <w:rPr>
                <w:rFonts w:ascii="Times New Roman" w:hAnsi="Times New Roman"/>
                <w:color w:val="auto"/>
                <w:highlight w:val="none"/>
              </w:rPr>
            </w:pPr>
          </w:p>
        </w:tc>
        <w:tc>
          <w:tcPr>
            <w:tcW w:w="229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highlight w:val="none"/>
              </w:rPr>
            </w:pPr>
          </w:p>
        </w:tc>
        <w:tc>
          <w:tcPr>
            <w:tcW w:w="3420" w:type="dxa"/>
            <w:gridSpan w:val="4"/>
          </w:tcPr>
          <w:p>
            <w:pPr>
              <w:spacing w:line="440" w:lineRule="exact"/>
              <w:rPr>
                <w:rFonts w:ascii="Times New Roman" w:hAnsi="Times New Roman"/>
                <w:color w:val="auto"/>
                <w:highlight w:val="none"/>
              </w:rPr>
            </w:pPr>
          </w:p>
        </w:tc>
        <w:tc>
          <w:tcPr>
            <w:tcW w:w="1261" w:type="dxa"/>
          </w:tcPr>
          <w:p>
            <w:pPr>
              <w:spacing w:line="440" w:lineRule="exact"/>
              <w:rPr>
                <w:rFonts w:ascii="Times New Roman" w:hAnsi="Times New Roman"/>
                <w:color w:val="auto"/>
                <w:highlight w:val="none"/>
              </w:rPr>
            </w:pPr>
          </w:p>
        </w:tc>
        <w:tc>
          <w:tcPr>
            <w:tcW w:w="229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highlight w:val="none"/>
              </w:rPr>
            </w:pPr>
          </w:p>
        </w:tc>
        <w:tc>
          <w:tcPr>
            <w:tcW w:w="3420" w:type="dxa"/>
            <w:gridSpan w:val="4"/>
          </w:tcPr>
          <w:p>
            <w:pPr>
              <w:spacing w:line="440" w:lineRule="exact"/>
              <w:rPr>
                <w:rFonts w:ascii="Times New Roman" w:hAnsi="Times New Roman"/>
                <w:color w:val="auto"/>
                <w:highlight w:val="none"/>
              </w:rPr>
            </w:pPr>
          </w:p>
        </w:tc>
        <w:tc>
          <w:tcPr>
            <w:tcW w:w="1261" w:type="dxa"/>
          </w:tcPr>
          <w:p>
            <w:pPr>
              <w:spacing w:line="440" w:lineRule="exact"/>
              <w:rPr>
                <w:rFonts w:ascii="Times New Roman" w:hAnsi="Times New Roman"/>
                <w:color w:val="auto"/>
                <w:highlight w:val="none"/>
              </w:rPr>
            </w:pPr>
          </w:p>
        </w:tc>
        <w:tc>
          <w:tcPr>
            <w:tcW w:w="2297" w:type="dxa"/>
            <w:gridSpan w:val="2"/>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highlight w:val="none"/>
              </w:rPr>
            </w:pPr>
          </w:p>
        </w:tc>
        <w:tc>
          <w:tcPr>
            <w:tcW w:w="3420" w:type="dxa"/>
            <w:gridSpan w:val="4"/>
            <w:vAlign w:val="center"/>
          </w:tcPr>
          <w:p>
            <w:pPr>
              <w:spacing w:line="440" w:lineRule="exact"/>
              <w:rPr>
                <w:rFonts w:ascii="Times New Roman" w:hAnsi="Times New Roman"/>
                <w:color w:val="auto"/>
                <w:highlight w:val="none"/>
              </w:rPr>
            </w:pPr>
          </w:p>
        </w:tc>
        <w:tc>
          <w:tcPr>
            <w:tcW w:w="1261" w:type="dxa"/>
            <w:vAlign w:val="center"/>
          </w:tcPr>
          <w:p>
            <w:pPr>
              <w:spacing w:line="440" w:lineRule="exact"/>
              <w:rPr>
                <w:rFonts w:ascii="Times New Roman" w:hAnsi="Times New Roman"/>
                <w:color w:val="auto"/>
                <w:highlight w:val="none"/>
              </w:rPr>
            </w:pPr>
          </w:p>
        </w:tc>
        <w:tc>
          <w:tcPr>
            <w:tcW w:w="229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highlight w:val="none"/>
              </w:rPr>
            </w:pPr>
          </w:p>
        </w:tc>
        <w:tc>
          <w:tcPr>
            <w:tcW w:w="3420" w:type="dxa"/>
            <w:gridSpan w:val="4"/>
            <w:vAlign w:val="center"/>
          </w:tcPr>
          <w:p>
            <w:pPr>
              <w:spacing w:line="440" w:lineRule="exact"/>
              <w:rPr>
                <w:rFonts w:ascii="Times New Roman" w:hAnsi="Times New Roman"/>
                <w:color w:val="auto"/>
                <w:highlight w:val="none"/>
              </w:rPr>
            </w:pPr>
          </w:p>
        </w:tc>
        <w:tc>
          <w:tcPr>
            <w:tcW w:w="1261" w:type="dxa"/>
            <w:vAlign w:val="center"/>
          </w:tcPr>
          <w:p>
            <w:pPr>
              <w:spacing w:line="440" w:lineRule="exact"/>
              <w:rPr>
                <w:rFonts w:ascii="Times New Roman" w:hAnsi="Times New Roman"/>
                <w:color w:val="auto"/>
                <w:highlight w:val="none"/>
              </w:rPr>
            </w:pPr>
          </w:p>
        </w:tc>
        <w:tc>
          <w:tcPr>
            <w:tcW w:w="229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highlight w:val="none"/>
              </w:rPr>
            </w:pPr>
          </w:p>
        </w:tc>
        <w:tc>
          <w:tcPr>
            <w:tcW w:w="3420" w:type="dxa"/>
            <w:gridSpan w:val="4"/>
            <w:vAlign w:val="center"/>
          </w:tcPr>
          <w:p>
            <w:pPr>
              <w:spacing w:line="440" w:lineRule="exact"/>
              <w:rPr>
                <w:rFonts w:ascii="Times New Roman" w:hAnsi="Times New Roman"/>
                <w:color w:val="auto"/>
                <w:highlight w:val="none"/>
              </w:rPr>
            </w:pPr>
          </w:p>
        </w:tc>
        <w:tc>
          <w:tcPr>
            <w:tcW w:w="1261" w:type="dxa"/>
            <w:vAlign w:val="center"/>
          </w:tcPr>
          <w:p>
            <w:pPr>
              <w:spacing w:line="440" w:lineRule="exact"/>
              <w:rPr>
                <w:rFonts w:ascii="Times New Roman" w:hAnsi="Times New Roman"/>
                <w:color w:val="auto"/>
                <w:highlight w:val="none"/>
              </w:rPr>
            </w:pPr>
          </w:p>
        </w:tc>
        <w:tc>
          <w:tcPr>
            <w:tcW w:w="2297" w:type="dxa"/>
            <w:gridSpan w:val="2"/>
            <w:vAlign w:val="center"/>
          </w:tcPr>
          <w:p>
            <w:pPr>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highlight w:val="none"/>
              </w:rPr>
            </w:pPr>
          </w:p>
        </w:tc>
        <w:tc>
          <w:tcPr>
            <w:tcW w:w="3420" w:type="dxa"/>
            <w:gridSpan w:val="4"/>
            <w:vAlign w:val="center"/>
          </w:tcPr>
          <w:p>
            <w:pPr>
              <w:spacing w:line="440" w:lineRule="exact"/>
              <w:rPr>
                <w:rFonts w:ascii="Times New Roman" w:hAnsi="Times New Roman"/>
                <w:color w:val="auto"/>
                <w:highlight w:val="none"/>
              </w:rPr>
            </w:pPr>
          </w:p>
        </w:tc>
        <w:tc>
          <w:tcPr>
            <w:tcW w:w="1261" w:type="dxa"/>
            <w:vAlign w:val="center"/>
          </w:tcPr>
          <w:p>
            <w:pPr>
              <w:spacing w:line="440" w:lineRule="exact"/>
              <w:rPr>
                <w:rFonts w:ascii="Times New Roman" w:hAnsi="Times New Roman"/>
                <w:color w:val="auto"/>
                <w:highlight w:val="none"/>
              </w:rPr>
            </w:pPr>
          </w:p>
        </w:tc>
        <w:tc>
          <w:tcPr>
            <w:tcW w:w="2297" w:type="dxa"/>
            <w:gridSpan w:val="2"/>
            <w:vAlign w:val="center"/>
          </w:tcPr>
          <w:p>
            <w:pPr>
              <w:spacing w:line="440" w:lineRule="exact"/>
              <w:rPr>
                <w:rFonts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注：在本表后附相关证明材料。</w:t>
      </w:r>
    </w:p>
    <w:p>
      <w:pPr>
        <w:pStyle w:val="5"/>
        <w:keepNext w:val="0"/>
        <w:keepLines w:val="0"/>
        <w:ind w:firstLine="137"/>
        <w:rPr>
          <w:rFonts w:ascii="Times New Roman" w:hAnsi="Times New Roman"/>
          <w:color w:val="auto"/>
          <w:highlight w:val="none"/>
        </w:rPr>
      </w:pPr>
    </w:p>
    <w:p>
      <w:pPr>
        <w:rPr>
          <w:rFonts w:ascii="Times New Roman" w:hAnsi="Times New Roman"/>
          <w:color w:val="auto"/>
          <w:highlight w:val="none"/>
        </w:rPr>
      </w:pPr>
    </w:p>
    <w:p>
      <w:pPr>
        <w:pStyle w:val="12"/>
        <w:rPr>
          <w:rFonts w:ascii="Times New Roman" w:hAnsi="Times New Roman"/>
          <w:color w:val="auto"/>
          <w:highlight w:val="none"/>
        </w:rPr>
      </w:pPr>
    </w:p>
    <w:p>
      <w:pPr>
        <w:rPr>
          <w:rFonts w:ascii="Times New Roman" w:hAnsi="Times New Roman"/>
          <w:color w:val="auto"/>
          <w:highlight w:val="none"/>
        </w:rPr>
      </w:pPr>
    </w:p>
    <w:p>
      <w:pPr>
        <w:pStyle w:val="12"/>
        <w:rPr>
          <w:color w:val="auto"/>
          <w:highlight w:val="none"/>
        </w:rPr>
      </w:pPr>
    </w:p>
    <w:p>
      <w:pPr>
        <w:pStyle w:val="5"/>
        <w:keepNext w:val="0"/>
        <w:keepLines w:val="0"/>
        <w:ind w:firstLine="137"/>
        <w:rPr>
          <w:rFonts w:ascii="Times New Roman" w:hAnsi="Times New Roman"/>
          <w:color w:val="auto"/>
          <w:highlight w:val="none"/>
        </w:rPr>
      </w:pPr>
      <w:bookmarkStart w:id="1170" w:name="_Toc24451"/>
      <w:bookmarkStart w:id="1171" w:name="_Toc388"/>
      <w:bookmarkStart w:id="1172" w:name="_Toc18804"/>
      <w:r>
        <w:rPr>
          <w:rFonts w:hint="eastAsia" w:ascii="Times New Roman" w:hAnsi="Times New Roman"/>
          <w:color w:val="auto"/>
          <w:highlight w:val="none"/>
        </w:rPr>
        <w:t>（</w:t>
      </w:r>
      <w:r>
        <w:rPr>
          <w:rFonts w:hint="eastAsia" w:ascii="Times New Roman" w:hAnsi="Times New Roman"/>
          <w:color w:val="auto"/>
          <w:highlight w:val="none"/>
          <w:lang w:val="en-US" w:eastAsia="zh-CN"/>
        </w:rPr>
        <w:t>三</w:t>
      </w:r>
      <w:r>
        <w:rPr>
          <w:rFonts w:hint="eastAsia" w:ascii="Times New Roman" w:hAnsi="Times New Roman"/>
          <w:color w:val="auto"/>
          <w:highlight w:val="none"/>
        </w:rPr>
        <w:t>）拟投入本项目的通讯、办公、检测设备清单</w:t>
      </w:r>
      <w:r>
        <w:rPr>
          <w:rFonts w:ascii="Times New Roman" w:hAnsi="Times New Roman"/>
          <w:color w:val="auto"/>
          <w:highlight w:val="none"/>
        </w:rPr>
        <w:t>（格式可自定）</w:t>
      </w:r>
      <w:bookmarkEnd w:id="1170"/>
      <w:bookmarkEnd w:id="1171"/>
      <w:bookmarkEnd w:id="1172"/>
    </w:p>
    <w:tbl>
      <w:tblPr>
        <w:tblStyle w:val="23"/>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5"/>
        <w:gridCol w:w="936"/>
        <w:gridCol w:w="747"/>
        <w:gridCol w:w="850"/>
        <w:gridCol w:w="992"/>
        <w:gridCol w:w="141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28" w:type="dxa"/>
            <w:vAlign w:val="center"/>
          </w:tcPr>
          <w:p>
            <w:pPr>
              <w:spacing w:line="440" w:lineRule="exact"/>
              <w:rPr>
                <w:rFonts w:ascii="Times New Roman" w:hAnsi="Times New Roman"/>
                <w:color w:val="auto"/>
                <w:szCs w:val="21"/>
                <w:highlight w:val="none"/>
              </w:rPr>
            </w:pPr>
            <w:r>
              <w:rPr>
                <w:rFonts w:ascii="Times New Roman" w:hAnsi="Times New Roman"/>
                <w:color w:val="auto"/>
                <w:szCs w:val="21"/>
                <w:highlight w:val="none"/>
              </w:rPr>
              <w:t>序号</w:t>
            </w:r>
          </w:p>
        </w:tc>
        <w:tc>
          <w:tcPr>
            <w:tcW w:w="1275"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仪器设备</w:t>
            </w:r>
          </w:p>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名称</w:t>
            </w:r>
          </w:p>
        </w:tc>
        <w:tc>
          <w:tcPr>
            <w:tcW w:w="936"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型号</w:t>
            </w:r>
          </w:p>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规格</w:t>
            </w:r>
          </w:p>
        </w:tc>
        <w:tc>
          <w:tcPr>
            <w:tcW w:w="747"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数量</w:t>
            </w:r>
          </w:p>
        </w:tc>
        <w:tc>
          <w:tcPr>
            <w:tcW w:w="850"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国别</w:t>
            </w:r>
          </w:p>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产地</w:t>
            </w:r>
          </w:p>
        </w:tc>
        <w:tc>
          <w:tcPr>
            <w:tcW w:w="992"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制造</w:t>
            </w:r>
          </w:p>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年份</w:t>
            </w:r>
          </w:p>
        </w:tc>
        <w:tc>
          <w:tcPr>
            <w:tcW w:w="1419"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用途</w:t>
            </w:r>
          </w:p>
        </w:tc>
        <w:tc>
          <w:tcPr>
            <w:tcW w:w="1162" w:type="dxa"/>
            <w:vAlign w:val="center"/>
          </w:tcPr>
          <w:p>
            <w:pPr>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spacing w:line="440" w:lineRule="exact"/>
              <w:jc w:val="center"/>
              <w:rPr>
                <w:rFonts w:ascii="Times New Roman" w:hAnsi="Times New Roman"/>
                <w:color w:val="auto"/>
                <w:szCs w:val="21"/>
                <w:highlight w:val="none"/>
              </w:rPr>
            </w:pPr>
          </w:p>
        </w:tc>
        <w:tc>
          <w:tcPr>
            <w:tcW w:w="1275" w:type="dxa"/>
            <w:vAlign w:val="center"/>
          </w:tcPr>
          <w:p>
            <w:pPr>
              <w:spacing w:line="440" w:lineRule="exact"/>
              <w:jc w:val="center"/>
              <w:rPr>
                <w:rFonts w:ascii="Times New Roman" w:hAnsi="Times New Roman"/>
                <w:color w:val="auto"/>
                <w:szCs w:val="21"/>
                <w:highlight w:val="none"/>
              </w:rPr>
            </w:pPr>
          </w:p>
        </w:tc>
        <w:tc>
          <w:tcPr>
            <w:tcW w:w="936" w:type="dxa"/>
            <w:vAlign w:val="center"/>
          </w:tcPr>
          <w:p>
            <w:pPr>
              <w:spacing w:line="440" w:lineRule="exact"/>
              <w:jc w:val="center"/>
              <w:rPr>
                <w:rFonts w:ascii="Times New Roman" w:hAnsi="Times New Roman"/>
                <w:color w:val="auto"/>
                <w:szCs w:val="21"/>
                <w:highlight w:val="none"/>
              </w:rPr>
            </w:pPr>
          </w:p>
        </w:tc>
        <w:tc>
          <w:tcPr>
            <w:tcW w:w="747" w:type="dxa"/>
            <w:vAlign w:val="center"/>
          </w:tcPr>
          <w:p>
            <w:pPr>
              <w:spacing w:line="440" w:lineRule="exact"/>
              <w:jc w:val="center"/>
              <w:rPr>
                <w:rFonts w:ascii="Times New Roman" w:hAnsi="Times New Roman"/>
                <w:color w:val="auto"/>
                <w:szCs w:val="21"/>
                <w:highlight w:val="none"/>
              </w:rPr>
            </w:pPr>
          </w:p>
        </w:tc>
        <w:tc>
          <w:tcPr>
            <w:tcW w:w="850" w:type="dxa"/>
            <w:vAlign w:val="center"/>
          </w:tcPr>
          <w:p>
            <w:pPr>
              <w:spacing w:line="440" w:lineRule="exact"/>
              <w:jc w:val="center"/>
              <w:rPr>
                <w:rFonts w:ascii="Times New Roman" w:hAnsi="Times New Roman"/>
                <w:color w:val="auto"/>
                <w:szCs w:val="21"/>
                <w:highlight w:val="none"/>
              </w:rPr>
            </w:pPr>
          </w:p>
        </w:tc>
        <w:tc>
          <w:tcPr>
            <w:tcW w:w="992" w:type="dxa"/>
            <w:vAlign w:val="center"/>
          </w:tcPr>
          <w:p>
            <w:pPr>
              <w:spacing w:line="440" w:lineRule="exact"/>
              <w:jc w:val="center"/>
              <w:rPr>
                <w:rFonts w:ascii="Times New Roman" w:hAnsi="Times New Roman"/>
                <w:color w:val="auto"/>
                <w:szCs w:val="21"/>
                <w:highlight w:val="none"/>
              </w:rPr>
            </w:pPr>
          </w:p>
        </w:tc>
        <w:tc>
          <w:tcPr>
            <w:tcW w:w="1419" w:type="dxa"/>
            <w:vAlign w:val="center"/>
          </w:tcPr>
          <w:p>
            <w:pPr>
              <w:spacing w:line="440" w:lineRule="exact"/>
              <w:jc w:val="center"/>
              <w:rPr>
                <w:rFonts w:ascii="Times New Roman" w:hAnsi="Times New Roman"/>
                <w:color w:val="auto"/>
                <w:szCs w:val="21"/>
                <w:highlight w:val="none"/>
              </w:rPr>
            </w:pPr>
          </w:p>
        </w:tc>
        <w:tc>
          <w:tcPr>
            <w:tcW w:w="1162" w:type="dxa"/>
            <w:vAlign w:val="center"/>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spacing w:line="440" w:lineRule="exact"/>
              <w:jc w:val="center"/>
              <w:rPr>
                <w:rFonts w:ascii="Times New Roman" w:hAnsi="Times New Roman"/>
                <w:color w:val="auto"/>
                <w:szCs w:val="21"/>
                <w:highlight w:val="none"/>
              </w:rPr>
            </w:pPr>
          </w:p>
        </w:tc>
        <w:tc>
          <w:tcPr>
            <w:tcW w:w="1275" w:type="dxa"/>
            <w:vAlign w:val="center"/>
          </w:tcPr>
          <w:p>
            <w:pPr>
              <w:spacing w:line="440" w:lineRule="exact"/>
              <w:jc w:val="center"/>
              <w:rPr>
                <w:rFonts w:ascii="Times New Roman" w:hAnsi="Times New Roman"/>
                <w:color w:val="auto"/>
                <w:szCs w:val="21"/>
                <w:highlight w:val="none"/>
              </w:rPr>
            </w:pPr>
          </w:p>
        </w:tc>
        <w:tc>
          <w:tcPr>
            <w:tcW w:w="936" w:type="dxa"/>
            <w:vAlign w:val="center"/>
          </w:tcPr>
          <w:p>
            <w:pPr>
              <w:spacing w:line="440" w:lineRule="exact"/>
              <w:jc w:val="center"/>
              <w:rPr>
                <w:rFonts w:ascii="Times New Roman" w:hAnsi="Times New Roman"/>
                <w:color w:val="auto"/>
                <w:szCs w:val="21"/>
                <w:highlight w:val="none"/>
              </w:rPr>
            </w:pPr>
          </w:p>
        </w:tc>
        <w:tc>
          <w:tcPr>
            <w:tcW w:w="747" w:type="dxa"/>
            <w:vAlign w:val="center"/>
          </w:tcPr>
          <w:p>
            <w:pPr>
              <w:spacing w:line="440" w:lineRule="exact"/>
              <w:jc w:val="center"/>
              <w:rPr>
                <w:rFonts w:ascii="Times New Roman" w:hAnsi="Times New Roman"/>
                <w:color w:val="auto"/>
                <w:szCs w:val="21"/>
                <w:highlight w:val="none"/>
              </w:rPr>
            </w:pPr>
          </w:p>
        </w:tc>
        <w:tc>
          <w:tcPr>
            <w:tcW w:w="850" w:type="dxa"/>
            <w:vAlign w:val="center"/>
          </w:tcPr>
          <w:p>
            <w:pPr>
              <w:spacing w:line="440" w:lineRule="exact"/>
              <w:jc w:val="center"/>
              <w:rPr>
                <w:rFonts w:ascii="Times New Roman" w:hAnsi="Times New Roman"/>
                <w:color w:val="auto"/>
                <w:szCs w:val="21"/>
                <w:highlight w:val="none"/>
              </w:rPr>
            </w:pPr>
          </w:p>
        </w:tc>
        <w:tc>
          <w:tcPr>
            <w:tcW w:w="992" w:type="dxa"/>
            <w:vAlign w:val="center"/>
          </w:tcPr>
          <w:p>
            <w:pPr>
              <w:spacing w:line="440" w:lineRule="exact"/>
              <w:jc w:val="center"/>
              <w:rPr>
                <w:rFonts w:ascii="Times New Roman" w:hAnsi="Times New Roman"/>
                <w:color w:val="auto"/>
                <w:szCs w:val="21"/>
                <w:highlight w:val="none"/>
              </w:rPr>
            </w:pPr>
          </w:p>
        </w:tc>
        <w:tc>
          <w:tcPr>
            <w:tcW w:w="1419" w:type="dxa"/>
            <w:vAlign w:val="center"/>
          </w:tcPr>
          <w:p>
            <w:pPr>
              <w:spacing w:line="440" w:lineRule="exact"/>
              <w:jc w:val="center"/>
              <w:rPr>
                <w:rFonts w:ascii="Times New Roman" w:hAnsi="Times New Roman"/>
                <w:color w:val="auto"/>
                <w:szCs w:val="21"/>
                <w:highlight w:val="none"/>
              </w:rPr>
            </w:pPr>
          </w:p>
        </w:tc>
        <w:tc>
          <w:tcPr>
            <w:tcW w:w="1162" w:type="dxa"/>
            <w:vAlign w:val="center"/>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color w:val="auto"/>
                <w:szCs w:val="21"/>
                <w:highlight w:val="none"/>
              </w:rPr>
            </w:pPr>
          </w:p>
        </w:tc>
        <w:tc>
          <w:tcPr>
            <w:tcW w:w="1275" w:type="dxa"/>
          </w:tcPr>
          <w:p>
            <w:pPr>
              <w:spacing w:line="440" w:lineRule="exact"/>
              <w:jc w:val="center"/>
              <w:rPr>
                <w:rFonts w:ascii="Times New Roman" w:hAnsi="Times New Roman"/>
                <w:color w:val="auto"/>
                <w:szCs w:val="21"/>
                <w:highlight w:val="none"/>
              </w:rPr>
            </w:pPr>
          </w:p>
        </w:tc>
        <w:tc>
          <w:tcPr>
            <w:tcW w:w="936" w:type="dxa"/>
          </w:tcPr>
          <w:p>
            <w:pPr>
              <w:spacing w:line="440" w:lineRule="exact"/>
              <w:jc w:val="center"/>
              <w:rPr>
                <w:rFonts w:ascii="Times New Roman" w:hAnsi="Times New Roman"/>
                <w:color w:val="auto"/>
                <w:szCs w:val="21"/>
                <w:highlight w:val="none"/>
              </w:rPr>
            </w:pPr>
          </w:p>
        </w:tc>
        <w:tc>
          <w:tcPr>
            <w:tcW w:w="747" w:type="dxa"/>
          </w:tcPr>
          <w:p>
            <w:pPr>
              <w:spacing w:line="440" w:lineRule="exact"/>
              <w:jc w:val="center"/>
              <w:rPr>
                <w:rFonts w:ascii="Times New Roman" w:hAnsi="Times New Roman"/>
                <w:color w:val="auto"/>
                <w:szCs w:val="21"/>
                <w:highlight w:val="none"/>
              </w:rPr>
            </w:pPr>
          </w:p>
        </w:tc>
        <w:tc>
          <w:tcPr>
            <w:tcW w:w="850" w:type="dxa"/>
          </w:tcPr>
          <w:p>
            <w:pPr>
              <w:spacing w:line="440" w:lineRule="exact"/>
              <w:jc w:val="center"/>
              <w:rPr>
                <w:rFonts w:ascii="Times New Roman" w:hAnsi="Times New Roman"/>
                <w:color w:val="auto"/>
                <w:szCs w:val="21"/>
                <w:highlight w:val="none"/>
              </w:rPr>
            </w:pPr>
          </w:p>
        </w:tc>
        <w:tc>
          <w:tcPr>
            <w:tcW w:w="992" w:type="dxa"/>
          </w:tcPr>
          <w:p>
            <w:pPr>
              <w:spacing w:line="440" w:lineRule="exact"/>
              <w:jc w:val="center"/>
              <w:rPr>
                <w:rFonts w:ascii="Times New Roman" w:hAnsi="Times New Roman"/>
                <w:color w:val="auto"/>
                <w:szCs w:val="21"/>
                <w:highlight w:val="none"/>
              </w:rPr>
            </w:pPr>
          </w:p>
        </w:tc>
        <w:tc>
          <w:tcPr>
            <w:tcW w:w="1419" w:type="dxa"/>
          </w:tcPr>
          <w:p>
            <w:pPr>
              <w:spacing w:line="440" w:lineRule="exact"/>
              <w:jc w:val="center"/>
              <w:rPr>
                <w:rFonts w:ascii="Times New Roman" w:hAnsi="Times New Roman"/>
                <w:color w:val="auto"/>
                <w:szCs w:val="21"/>
                <w:highlight w:val="none"/>
              </w:rPr>
            </w:pPr>
          </w:p>
        </w:tc>
        <w:tc>
          <w:tcPr>
            <w:tcW w:w="1162" w:type="dxa"/>
          </w:tcPr>
          <w:p>
            <w:pPr>
              <w:spacing w:line="440" w:lineRule="exact"/>
              <w:jc w:val="center"/>
              <w:rPr>
                <w:rFonts w:ascii="Times New Roman" w:hAnsi="Times New Roman"/>
                <w:color w:val="auto"/>
                <w:szCs w:val="21"/>
                <w:highlight w:val="none"/>
              </w:rPr>
            </w:pPr>
          </w:p>
        </w:tc>
      </w:tr>
    </w:tbl>
    <w:p>
      <w:pPr>
        <w:rPr>
          <w:rFonts w:ascii="Times New Roman" w:hAnsi="Times New Roman"/>
          <w:color w:val="auto"/>
          <w:highlight w:val="none"/>
        </w:rPr>
      </w:pPr>
    </w:p>
    <w:p>
      <w:pPr>
        <w:pStyle w:val="4"/>
        <w:keepNext w:val="0"/>
        <w:keepLines w:val="0"/>
        <w:spacing w:after="0"/>
        <w:jc w:val="center"/>
        <w:rPr>
          <w:color w:val="auto"/>
          <w:highlight w:val="none"/>
        </w:rPr>
      </w:pPr>
    </w:p>
    <w:p>
      <w:pPr>
        <w:rPr>
          <w:color w:val="auto"/>
          <w:highlight w:val="none"/>
        </w:rPr>
      </w:pPr>
    </w:p>
    <w:p>
      <w:pPr>
        <w:rPr>
          <w:color w:val="auto"/>
          <w:highlight w:val="none"/>
        </w:rPr>
      </w:pPr>
    </w:p>
    <w:p>
      <w:pPr>
        <w:pStyle w:val="21"/>
        <w:rPr>
          <w:color w:val="auto"/>
          <w:highlight w:val="none"/>
        </w:rPr>
      </w:pPr>
    </w:p>
    <w:p>
      <w:pPr>
        <w:pStyle w:val="5"/>
        <w:keepNext w:val="0"/>
        <w:keepLines w:val="0"/>
        <w:ind w:firstLine="1254" w:firstLineChars="448"/>
        <w:rPr>
          <w:rFonts w:hint="eastAsia" w:ascii="Times New Roman" w:hAnsi="Times New Roman"/>
          <w:color w:val="auto"/>
          <w:highlight w:val="none"/>
        </w:rPr>
        <w:sectPr>
          <w:pgSz w:w="12240" w:h="15840"/>
          <w:pgMar w:top="1440" w:right="1425" w:bottom="1160" w:left="1800" w:header="720" w:footer="720" w:gutter="0"/>
          <w:cols w:space="720" w:num="1"/>
          <w:docGrid w:linePitch="285" w:charSpace="0"/>
        </w:sectPr>
      </w:pPr>
      <w:bookmarkStart w:id="1173" w:name="_Toc29926"/>
      <w:bookmarkStart w:id="1174" w:name="_Toc3146"/>
      <w:bookmarkStart w:id="1175" w:name="_Toc32135"/>
      <w:r>
        <w:rPr>
          <w:rFonts w:hint="eastAsia" w:ascii="Times New Roman" w:hAnsi="Times New Roman"/>
          <w:color w:val="auto"/>
          <w:highlight w:val="none"/>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rPr>
        <w:t>）投标人认为需要提供的资料（如有）</w:t>
      </w:r>
      <w:bookmarkEnd w:id="1173"/>
      <w:bookmarkEnd w:id="1174"/>
      <w:bookmarkEnd w:id="1175"/>
    </w:p>
    <w:p>
      <w:pPr>
        <w:pStyle w:val="3"/>
        <w:keepNext w:val="0"/>
        <w:keepLines w:val="0"/>
        <w:jc w:val="center"/>
        <w:rPr>
          <w:rFonts w:hint="eastAsia" w:eastAsia="宋体"/>
          <w:color w:val="auto"/>
          <w:highlight w:val="none"/>
          <w:lang w:eastAsia="zh-CN"/>
        </w:rPr>
      </w:pPr>
      <w:bookmarkStart w:id="1176" w:name="_Toc28365"/>
      <w:r>
        <w:rPr>
          <w:color w:val="auto"/>
          <w:highlight w:val="none"/>
        </w:rPr>
        <w:t>第</w:t>
      </w:r>
      <w:r>
        <w:rPr>
          <w:rFonts w:hint="eastAsia"/>
          <w:color w:val="auto"/>
          <w:highlight w:val="none"/>
          <w:lang w:eastAsia="zh-CN"/>
        </w:rPr>
        <w:t>七</w:t>
      </w:r>
      <w:r>
        <w:rPr>
          <w:color w:val="auto"/>
          <w:highlight w:val="none"/>
        </w:rPr>
        <w:t>章</w:t>
      </w:r>
      <w:r>
        <w:rPr>
          <w:rFonts w:hint="eastAsia"/>
          <w:color w:val="auto"/>
          <w:highlight w:val="none"/>
        </w:rPr>
        <w:t xml:space="preserve"> </w:t>
      </w:r>
      <w:r>
        <w:rPr>
          <w:rFonts w:hint="eastAsia"/>
          <w:color w:val="auto"/>
          <w:highlight w:val="none"/>
          <w:lang w:eastAsia="zh-CN"/>
        </w:rPr>
        <w:t>工程量清单（另册）</w:t>
      </w:r>
      <w:bookmarkEnd w:id="1176"/>
    </w:p>
    <w:p>
      <w:pPr>
        <w:rPr>
          <w:color w:val="auto"/>
          <w:highlight w:val="none"/>
        </w:rPr>
      </w:pPr>
    </w:p>
    <w:p>
      <w:pPr>
        <w:pStyle w:val="21"/>
        <w:rPr>
          <w:color w:val="auto"/>
          <w:highlight w:val="none"/>
        </w:rPr>
      </w:pPr>
    </w:p>
    <w:p>
      <w:pPr>
        <w:rPr>
          <w:color w:val="auto"/>
          <w:highlight w:val="none"/>
        </w:rPr>
      </w:pPr>
    </w:p>
    <w:p>
      <w:pPr>
        <w:rPr>
          <w:color w:val="auto"/>
          <w:highlight w:val="none"/>
        </w:rPr>
      </w:pPr>
    </w:p>
    <w:sectPr>
      <w:pgSz w:w="12240" w:h="15840"/>
      <w:pgMar w:top="1440" w:right="1425" w:bottom="116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Lucida Sans">
    <w:altName w:val="Lucida Sans Unicode"/>
    <w:panose1 w:val="020B0602030504020204"/>
    <w:charset w:val="00"/>
    <w:family w:val="swiss"/>
    <w:pitch w:val="default"/>
    <w:sig w:usb0="00000000" w:usb1="00000000" w:usb2="00000000" w:usb3="00000000" w:csb0="20000001" w:csb1="00000000"/>
  </w:font>
  <w:font w:name="方正小标宋简体">
    <w:altName w:val="黑体"/>
    <w:panose1 w:val="03000509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1770" cy="149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1770" cy="149225"/>
                      </a:xfrm>
                      <a:prstGeom prst="rect">
                        <a:avLst/>
                      </a:prstGeom>
                      <a:noFill/>
                      <a:ln>
                        <a:noFill/>
                      </a:ln>
                    </wps:spPr>
                    <wps:txbx>
                      <w:txbxContent>
                        <w:p>
                          <w:pPr>
                            <w:pStyle w:val="13"/>
                            <w:jc w:val="center"/>
                          </w:pPr>
                          <w:r>
                            <w:fldChar w:fldCharType="begin"/>
                          </w:r>
                          <w:r>
                            <w:instrText xml:space="preserve"> PAGE   \* MERGEFORMAT </w:instrText>
                          </w:r>
                          <w:r>
                            <w:fldChar w:fldCharType="separate"/>
                          </w:r>
                          <w:r>
                            <w:rPr>
                              <w:lang w:val="zh-CN"/>
                            </w:rPr>
                            <w:t>36</w:t>
                          </w:r>
                          <w:r>
                            <w:rPr>
                              <w:lang w:val="zh-CN"/>
                            </w:rPr>
                            <w:fldChar w:fldCharType="end"/>
                          </w:r>
                        </w:p>
                      </w:txbxContent>
                    </wps:txbx>
                    <wps:bodyPr lIns="0" tIns="0" rIns="0" bIns="0"/>
                  </wps:wsp>
                </a:graphicData>
              </a:graphic>
            </wp:anchor>
          </w:drawing>
        </mc:Choice>
        <mc:Fallback>
          <w:pict>
            <v:shape id="_x0000_s1026" o:spid="_x0000_s1026" o:spt="202" type="#_x0000_t202" style="position:absolute;left:0pt;margin-top:0pt;height:11.75pt;width:15.1pt;mso-position-horizontal:center;mso-position-horizontal-relative:margin;z-index:251659264;mso-width-relative:page;mso-height-relative:page;" filled="f" stroked="f" coordsize="21600,21600" o:gfxdata="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s+U7&#10;1AAAAAMBAAAPAAAAAAAAAAEAIAAAACIAAABkcnMvZG93bnJldi54bWxQSwECFAAUAAAACACHTuJA&#10;aMB08bMBAABlAwAADgAAAAAAAAABACAAAAAjAQAAZHJzL2Uyb0RvYy54bWxQSwUGAAAAAAYABgBZ&#10;AQAASAUAAAAA&#10;">
              <v:fill on="f" focussize="0,0"/>
              <v:stroke on="f"/>
              <v:imagedata o:title=""/>
              <o:lock v:ext="edit" aspectratio="f"/>
              <v:textbox inset="0mm,0mm,0mm,0mm">
                <w:txbxContent>
                  <w:p>
                    <w:pPr>
                      <w:pStyle w:val="13"/>
                      <w:jc w:val="center"/>
                    </w:pPr>
                    <w:r>
                      <w:fldChar w:fldCharType="begin"/>
                    </w:r>
                    <w:r>
                      <w:instrText xml:space="preserve"> PAGE   \* MERGEFORMAT </w:instrText>
                    </w:r>
                    <w:r>
                      <w:fldChar w:fldCharType="separate"/>
                    </w:r>
                    <w:r>
                      <w:rPr>
                        <w:lang w:val="zh-CN"/>
                      </w:rPr>
                      <w:t>36</w:t>
                    </w:r>
                    <w:r>
                      <w:rPr>
                        <w:lang w:val="zh-CN"/>
                      </w:rP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74015"/>
    <w:multiLevelType w:val="singleLevel"/>
    <w:tmpl w:val="A0B74015"/>
    <w:lvl w:ilvl="0" w:tentative="0">
      <w:start w:val="1"/>
      <w:numFmt w:val="decimal"/>
      <w:suff w:val="nothing"/>
      <w:lvlText w:val="%1、"/>
      <w:lvlJc w:val="left"/>
    </w:lvl>
  </w:abstractNum>
  <w:abstractNum w:abstractNumId="1">
    <w:nsid w:val="071CE339"/>
    <w:multiLevelType w:val="singleLevel"/>
    <w:tmpl w:val="071CE339"/>
    <w:lvl w:ilvl="0" w:tentative="0">
      <w:start w:val="1"/>
      <w:numFmt w:val="decimal"/>
      <w:suff w:val="nothing"/>
      <w:lvlText w:val="%1、"/>
      <w:lvlJc w:val="left"/>
    </w:lvl>
  </w:abstractNum>
  <w:abstractNum w:abstractNumId="2">
    <w:nsid w:val="1B7C4C2B"/>
    <w:multiLevelType w:val="singleLevel"/>
    <w:tmpl w:val="1B7C4C2B"/>
    <w:lvl w:ilvl="0" w:tentative="0">
      <w:start w:val="1"/>
      <w:numFmt w:val="decimal"/>
      <w:suff w:val="nothing"/>
      <w:lvlText w:val="%1、"/>
      <w:lvlJc w:val="left"/>
    </w:lvl>
  </w:abstractNum>
  <w:abstractNum w:abstractNumId="3">
    <w:nsid w:val="244756CB"/>
    <w:multiLevelType w:val="singleLevel"/>
    <w:tmpl w:val="244756CB"/>
    <w:lvl w:ilvl="0" w:tentative="0">
      <w:start w:val="1"/>
      <w:numFmt w:val="decimal"/>
      <w:suff w:val="nothing"/>
      <w:lvlText w:val="%1、"/>
      <w:lvlJc w:val="left"/>
    </w:lvl>
  </w:abstractNum>
  <w:abstractNum w:abstractNumId="4">
    <w:nsid w:val="2798B393"/>
    <w:multiLevelType w:val="singleLevel"/>
    <w:tmpl w:val="2798B393"/>
    <w:lvl w:ilvl="0" w:tentative="0">
      <w:start w:val="1"/>
      <w:numFmt w:val="decimal"/>
      <w:suff w:val="nothing"/>
      <w:lvlText w:val="%1、"/>
      <w:lvlJc w:val="left"/>
    </w:lvl>
  </w:abstractNum>
  <w:abstractNum w:abstractNumId="5">
    <w:nsid w:val="3CB079B0"/>
    <w:multiLevelType w:val="singleLevel"/>
    <w:tmpl w:val="3CB079B0"/>
    <w:lvl w:ilvl="0" w:tentative="0">
      <w:start w:val="1"/>
      <w:numFmt w:val="decimal"/>
      <w:suff w:val="nothing"/>
      <w:lvlText w:val="%1、"/>
      <w:lvlJc w:val="left"/>
    </w:lvl>
  </w:abstractNum>
  <w:abstractNum w:abstractNumId="6">
    <w:nsid w:val="59E2B9C4"/>
    <w:multiLevelType w:val="singleLevel"/>
    <w:tmpl w:val="59E2B9C4"/>
    <w:lvl w:ilvl="0" w:tentative="0">
      <w:start w:val="1"/>
      <w:numFmt w:val="decimal"/>
      <w:suff w:val="nothing"/>
      <w:lvlText w:val="%1、"/>
      <w:lvlJc w:val="left"/>
    </w:lvl>
  </w:abstractNum>
  <w:abstractNum w:abstractNumId="7">
    <w:nsid w:val="6FAA44F7"/>
    <w:multiLevelType w:val="singleLevel"/>
    <w:tmpl w:val="6FAA44F7"/>
    <w:lvl w:ilvl="0" w:tentative="0">
      <w:start w:val="1"/>
      <w:numFmt w:val="decimal"/>
      <w:suff w:val="nothing"/>
      <w:lvlText w:val="%1、"/>
      <w:lvlJc w:val="left"/>
    </w:lvl>
  </w:abstractNum>
  <w:num w:numId="1">
    <w:abstractNumId w:val="7"/>
  </w:num>
  <w:num w:numId="2">
    <w:abstractNumId w:val="3"/>
  </w:num>
  <w:num w:numId="3">
    <w:abstractNumId w:val="1"/>
  </w:num>
  <w:num w:numId="4">
    <w:abstractNumId w:val="2"/>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NjAwOTczYzEzZGEzZDgwZWE1ZWM5Mzg2ODc5NWUifQ=="/>
  </w:docVars>
  <w:rsids>
    <w:rsidRoot w:val="45090BCC"/>
    <w:rsid w:val="00027223"/>
    <w:rsid w:val="00090B11"/>
    <w:rsid w:val="000E03E7"/>
    <w:rsid w:val="000F2884"/>
    <w:rsid w:val="0020502B"/>
    <w:rsid w:val="002F2B44"/>
    <w:rsid w:val="00567ED0"/>
    <w:rsid w:val="005E6484"/>
    <w:rsid w:val="00640C3D"/>
    <w:rsid w:val="0066205C"/>
    <w:rsid w:val="00771FA5"/>
    <w:rsid w:val="007F3045"/>
    <w:rsid w:val="00807D3D"/>
    <w:rsid w:val="008804A2"/>
    <w:rsid w:val="0089260E"/>
    <w:rsid w:val="009255A3"/>
    <w:rsid w:val="00963288"/>
    <w:rsid w:val="009F7EF2"/>
    <w:rsid w:val="00A70F8C"/>
    <w:rsid w:val="00AA1531"/>
    <w:rsid w:val="00B3451A"/>
    <w:rsid w:val="00D815BA"/>
    <w:rsid w:val="00DB0181"/>
    <w:rsid w:val="00DF7E6B"/>
    <w:rsid w:val="00E47CB7"/>
    <w:rsid w:val="00F349DD"/>
    <w:rsid w:val="017B11E4"/>
    <w:rsid w:val="02F43BCF"/>
    <w:rsid w:val="06550197"/>
    <w:rsid w:val="06FE3A69"/>
    <w:rsid w:val="0769444D"/>
    <w:rsid w:val="07B74F40"/>
    <w:rsid w:val="0B204882"/>
    <w:rsid w:val="0B471E37"/>
    <w:rsid w:val="0C405504"/>
    <w:rsid w:val="0E337AF0"/>
    <w:rsid w:val="0F353DAA"/>
    <w:rsid w:val="11CC15E8"/>
    <w:rsid w:val="12633CFA"/>
    <w:rsid w:val="13B072D3"/>
    <w:rsid w:val="157A5D4B"/>
    <w:rsid w:val="17D40393"/>
    <w:rsid w:val="190764D9"/>
    <w:rsid w:val="1A7F5338"/>
    <w:rsid w:val="1AD53A6F"/>
    <w:rsid w:val="1BF9537E"/>
    <w:rsid w:val="1EBA6A7D"/>
    <w:rsid w:val="20241274"/>
    <w:rsid w:val="215D04AF"/>
    <w:rsid w:val="244B2840"/>
    <w:rsid w:val="253C4B7A"/>
    <w:rsid w:val="257F7399"/>
    <w:rsid w:val="26B8706F"/>
    <w:rsid w:val="28655571"/>
    <w:rsid w:val="2C8770EB"/>
    <w:rsid w:val="2F7075FF"/>
    <w:rsid w:val="30BF5B45"/>
    <w:rsid w:val="31EA3699"/>
    <w:rsid w:val="32416951"/>
    <w:rsid w:val="34EF17A4"/>
    <w:rsid w:val="35855EE2"/>
    <w:rsid w:val="36D53206"/>
    <w:rsid w:val="37E42190"/>
    <w:rsid w:val="38CF1FF7"/>
    <w:rsid w:val="3F382393"/>
    <w:rsid w:val="3F6C1326"/>
    <w:rsid w:val="42CB4E20"/>
    <w:rsid w:val="442B1E0B"/>
    <w:rsid w:val="444034AC"/>
    <w:rsid w:val="44812A0E"/>
    <w:rsid w:val="45090BCC"/>
    <w:rsid w:val="4631451A"/>
    <w:rsid w:val="47480808"/>
    <w:rsid w:val="48327EEA"/>
    <w:rsid w:val="4A1900E8"/>
    <w:rsid w:val="4AA91EEB"/>
    <w:rsid w:val="4B313C8F"/>
    <w:rsid w:val="4C2D00BF"/>
    <w:rsid w:val="4E491EC7"/>
    <w:rsid w:val="50E27F05"/>
    <w:rsid w:val="536F5D00"/>
    <w:rsid w:val="567D422C"/>
    <w:rsid w:val="5B57329D"/>
    <w:rsid w:val="5D5932FD"/>
    <w:rsid w:val="5DD874B9"/>
    <w:rsid w:val="5DF047DF"/>
    <w:rsid w:val="5EC61C02"/>
    <w:rsid w:val="60087385"/>
    <w:rsid w:val="60CD700E"/>
    <w:rsid w:val="613876CD"/>
    <w:rsid w:val="668F5FE1"/>
    <w:rsid w:val="6761606E"/>
    <w:rsid w:val="68BF1E69"/>
    <w:rsid w:val="6AEC33EB"/>
    <w:rsid w:val="6F765042"/>
    <w:rsid w:val="705A3A20"/>
    <w:rsid w:val="715D1BDE"/>
    <w:rsid w:val="728338BD"/>
    <w:rsid w:val="75CA3AE8"/>
    <w:rsid w:val="791B1956"/>
    <w:rsid w:val="7B9E67A2"/>
    <w:rsid w:val="7BE1342B"/>
    <w:rsid w:val="7CFB5700"/>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autoRedefine/>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next w:val="1"/>
    <w:autoRedefine/>
    <w:qFormat/>
    <w:uiPriority w:val="0"/>
    <w:pPr>
      <w:ind w:firstLine="420"/>
    </w:pPr>
    <w:rPr>
      <w:kern w:val="0"/>
      <w:sz w:val="20"/>
      <w:szCs w:val="20"/>
    </w:rPr>
  </w:style>
  <w:style w:type="paragraph" w:styleId="7">
    <w:name w:val="annotation text"/>
    <w:basedOn w:val="1"/>
    <w:link w:val="36"/>
    <w:autoRedefine/>
    <w:qFormat/>
    <w:uiPriority w:val="0"/>
    <w:pPr>
      <w:jc w:val="left"/>
    </w:pPr>
  </w:style>
  <w:style w:type="paragraph" w:styleId="8">
    <w:name w:val="Body Text 3"/>
    <w:basedOn w:val="1"/>
    <w:autoRedefine/>
    <w:qFormat/>
    <w:uiPriority w:val="0"/>
    <w:rPr>
      <w:rFonts w:ascii="宋体"/>
      <w:sz w:val="24"/>
      <w:szCs w:val="20"/>
    </w:rPr>
  </w:style>
  <w:style w:type="paragraph" w:styleId="9">
    <w:name w:val="Body Text"/>
    <w:basedOn w:val="1"/>
    <w:next w:val="1"/>
    <w:autoRedefine/>
    <w:unhideWhenUsed/>
    <w:qFormat/>
    <w:uiPriority w:val="0"/>
    <w:pPr>
      <w:spacing w:after="120"/>
    </w:pPr>
    <w:rPr>
      <w:rFonts w:ascii="Times New Roman" w:hAnsi="Times New Roman"/>
      <w:szCs w:val="20"/>
    </w:rPr>
  </w:style>
  <w:style w:type="paragraph" w:styleId="10">
    <w:name w:val="Body Text Indent"/>
    <w:basedOn w:val="1"/>
    <w:next w:val="1"/>
    <w:link w:val="39"/>
    <w:autoRedefine/>
    <w:qFormat/>
    <w:uiPriority w:val="0"/>
    <w:pPr>
      <w:spacing w:after="120"/>
      <w:ind w:left="420" w:leftChars="200"/>
    </w:pPr>
    <w:rPr>
      <w:rFonts w:ascii="Times New Roman" w:hAnsi="Times New Roman"/>
      <w:szCs w:val="20"/>
    </w:rPr>
  </w:style>
  <w:style w:type="paragraph" w:styleId="11">
    <w:name w:val="toc 3"/>
    <w:basedOn w:val="1"/>
    <w:next w:val="1"/>
    <w:autoRedefine/>
    <w:qFormat/>
    <w:uiPriority w:val="39"/>
    <w:pPr>
      <w:ind w:left="400" w:leftChars="400"/>
    </w:pPr>
  </w:style>
  <w:style w:type="paragraph" w:styleId="12">
    <w:name w:val="Plain Text"/>
    <w:basedOn w:val="1"/>
    <w:next w:val="1"/>
    <w:autoRedefine/>
    <w:qFormat/>
    <w:uiPriority w:val="99"/>
    <w:rPr>
      <w:rFonts w:ascii="宋体"/>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link w:val="38"/>
    <w:qFormat/>
    <w:uiPriority w:val="0"/>
    <w:pP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ind w:left="200" w:leftChars="200"/>
    </w:pPr>
  </w:style>
  <w:style w:type="paragraph" w:styleId="17">
    <w:name w:val="Body Text 2"/>
    <w:qFormat/>
    <w:uiPriority w:val="0"/>
    <w:pPr>
      <w:widowControl w:val="0"/>
      <w:ind w:firstLine="420" w:firstLineChars="200"/>
    </w:pPr>
    <w:rPr>
      <w:rFonts w:ascii="宋体" w:hAnsi="宋体" w:eastAsia="宋体" w:cs="Times New Roman"/>
      <w:kern w:val="2"/>
      <w:sz w:val="21"/>
      <w:szCs w:val="24"/>
      <w:lang w:val="en-US" w:eastAsia="zh-CN" w:bidi="ar-SA"/>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szCs w:val="20"/>
    </w:rPr>
  </w:style>
  <w:style w:type="paragraph" w:styleId="19">
    <w:name w:val="Title"/>
    <w:basedOn w:val="1"/>
    <w:next w:val="1"/>
    <w:autoRedefine/>
    <w:qFormat/>
    <w:uiPriority w:val="0"/>
    <w:pPr>
      <w:spacing w:before="240" w:after="60"/>
      <w:jc w:val="center"/>
      <w:outlineLvl w:val="0"/>
    </w:pPr>
    <w:rPr>
      <w:rFonts w:ascii="Calibri Light" w:hAnsi="Calibri Light"/>
      <w:b/>
      <w:bCs/>
      <w:sz w:val="32"/>
      <w:szCs w:val="32"/>
    </w:rPr>
  </w:style>
  <w:style w:type="paragraph" w:styleId="20">
    <w:name w:val="annotation subject"/>
    <w:basedOn w:val="7"/>
    <w:next w:val="7"/>
    <w:link w:val="37"/>
    <w:autoRedefine/>
    <w:qFormat/>
    <w:uiPriority w:val="0"/>
    <w:rPr>
      <w:b/>
      <w:bCs/>
    </w:rPr>
  </w:style>
  <w:style w:type="paragraph" w:styleId="21">
    <w:name w:val="Body Text First Indent"/>
    <w:basedOn w:val="9"/>
    <w:autoRedefine/>
    <w:qFormat/>
    <w:uiPriority w:val="0"/>
    <w:pPr>
      <w:spacing w:line="312" w:lineRule="auto"/>
      <w:ind w:firstLine="420"/>
    </w:pPr>
    <w:rPr>
      <w:szCs w:val="24"/>
    </w:rPr>
  </w:style>
  <w:style w:type="paragraph" w:styleId="22">
    <w:name w:val="Body Text First Indent 2"/>
    <w:basedOn w:val="10"/>
    <w:link w:val="40"/>
    <w:autoRedefine/>
    <w:qFormat/>
    <w:uiPriority w:val="0"/>
    <w:pPr>
      <w:ind w:firstLine="420" w:firstLineChars="200"/>
    </w:pPr>
    <w:rPr>
      <w:rFonts w:ascii="Calibri" w:hAnsi="Calibri"/>
      <w:szCs w:val="22"/>
    </w:rPr>
  </w:style>
  <w:style w:type="character" w:styleId="25">
    <w:name w:val="annotation reference"/>
    <w:autoRedefine/>
    <w:qFormat/>
    <w:uiPriority w:val="0"/>
    <w:rPr>
      <w:sz w:val="21"/>
    </w:rPr>
  </w:style>
  <w:style w:type="paragraph" w:customStyle="1" w:styleId="26">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rPr>
  </w:style>
  <w:style w:type="character" w:customStyle="1" w:styleId="28">
    <w:name w:val="NormalCharacter"/>
    <w:semiHidden/>
    <w:qFormat/>
    <w:uiPriority w:val="0"/>
  </w:style>
  <w:style w:type="paragraph" w:customStyle="1" w:styleId="29">
    <w:name w:val="Table Paragraph"/>
    <w:basedOn w:val="1"/>
    <w:autoRedefine/>
    <w:unhideWhenUsed/>
    <w:qFormat/>
    <w:uiPriority w:val="99"/>
    <w:rPr>
      <w:rFonts w:hint="eastAsia"/>
    </w:rPr>
  </w:style>
  <w:style w:type="paragraph" w:customStyle="1" w:styleId="30">
    <w:name w:val="样式 宋体 行距: 1.5 倍行距"/>
    <w:basedOn w:val="1"/>
    <w:autoRedefine/>
    <w:qFormat/>
    <w:uiPriority w:val="99"/>
    <w:pPr>
      <w:jc w:val="center"/>
    </w:pPr>
    <w:rPr>
      <w:b/>
      <w:bCs/>
    </w:rPr>
  </w:style>
  <w:style w:type="paragraph" w:customStyle="1" w:styleId="31">
    <w:name w:val="p0"/>
    <w:basedOn w:val="1"/>
    <w:autoRedefine/>
    <w:qFormat/>
    <w:uiPriority w:val="0"/>
    <w:pPr>
      <w:widowControl/>
      <w:spacing w:before="75" w:after="75"/>
      <w:jc w:val="left"/>
    </w:pPr>
    <w:rPr>
      <w:rFonts w:ascii="宋体" w:hAnsi="宋体" w:cs="宋体"/>
      <w:kern w:val="0"/>
      <w:sz w:val="24"/>
      <w:szCs w:val="24"/>
    </w:rPr>
  </w:style>
  <w:style w:type="character" w:customStyle="1" w:styleId="32">
    <w:name w:val="font31"/>
    <w:basedOn w:val="24"/>
    <w:autoRedefine/>
    <w:qFormat/>
    <w:uiPriority w:val="0"/>
    <w:rPr>
      <w:rFonts w:hint="eastAsia" w:ascii="仿宋" w:hAnsi="仿宋" w:eastAsia="仿宋" w:cs="仿宋"/>
      <w:color w:val="000000"/>
      <w:sz w:val="28"/>
      <w:szCs w:val="28"/>
      <w:u w:val="none"/>
    </w:rPr>
  </w:style>
  <w:style w:type="character" w:customStyle="1" w:styleId="33">
    <w:name w:val="font01"/>
    <w:basedOn w:val="24"/>
    <w:autoRedefine/>
    <w:qFormat/>
    <w:uiPriority w:val="0"/>
    <w:rPr>
      <w:rFonts w:hint="eastAsia" w:ascii="仿宋" w:hAnsi="仿宋" w:eastAsia="仿宋" w:cs="仿宋"/>
      <w:b/>
      <w:color w:val="000000"/>
      <w:sz w:val="28"/>
      <w:szCs w:val="28"/>
      <w:u w:val="none"/>
    </w:rPr>
  </w:style>
  <w:style w:type="paragraph" w:customStyle="1" w:styleId="34">
    <w:name w:val="表格文字"/>
    <w:basedOn w:val="1"/>
    <w:next w:val="1"/>
    <w:autoRedefine/>
    <w:qFormat/>
    <w:uiPriority w:val="0"/>
    <w:pPr>
      <w:adjustRightInd w:val="0"/>
      <w:spacing w:line="420" w:lineRule="atLeast"/>
      <w:jc w:val="left"/>
    </w:pPr>
    <w:rPr>
      <w:rFonts w:ascii="Times New Roman" w:hAnsi="Times New Roman" w:cs="Calibri"/>
      <w:kern w:val="0"/>
      <w:szCs w:val="20"/>
    </w:rPr>
  </w:style>
  <w:style w:type="paragraph" w:customStyle="1" w:styleId="35">
    <w:name w:val="Revision"/>
    <w:autoRedefine/>
    <w:hidden/>
    <w:semiHidden/>
    <w:qFormat/>
    <w:uiPriority w:val="99"/>
    <w:rPr>
      <w:rFonts w:ascii="Calibri" w:hAnsi="Calibri" w:eastAsia="宋体" w:cs="Times New Roman"/>
      <w:kern w:val="2"/>
      <w:sz w:val="21"/>
      <w:szCs w:val="22"/>
      <w:lang w:val="en-US" w:eastAsia="zh-CN" w:bidi="ar-SA"/>
    </w:rPr>
  </w:style>
  <w:style w:type="character" w:customStyle="1" w:styleId="36">
    <w:name w:val="批注文字 字符"/>
    <w:basedOn w:val="24"/>
    <w:link w:val="7"/>
    <w:autoRedefine/>
    <w:qFormat/>
    <w:uiPriority w:val="0"/>
    <w:rPr>
      <w:rFonts w:ascii="Calibri" w:hAnsi="Calibri"/>
      <w:kern w:val="2"/>
      <w:sz w:val="21"/>
      <w:szCs w:val="22"/>
    </w:rPr>
  </w:style>
  <w:style w:type="character" w:customStyle="1" w:styleId="37">
    <w:name w:val="批注主题 字符"/>
    <w:basedOn w:val="36"/>
    <w:link w:val="20"/>
    <w:autoRedefine/>
    <w:qFormat/>
    <w:uiPriority w:val="0"/>
    <w:rPr>
      <w:rFonts w:ascii="Calibri" w:hAnsi="Calibri"/>
      <w:b/>
      <w:bCs/>
      <w:kern w:val="2"/>
      <w:sz w:val="21"/>
      <w:szCs w:val="22"/>
    </w:rPr>
  </w:style>
  <w:style w:type="character" w:customStyle="1" w:styleId="38">
    <w:name w:val="页眉 字符"/>
    <w:basedOn w:val="24"/>
    <w:link w:val="14"/>
    <w:qFormat/>
    <w:uiPriority w:val="0"/>
    <w:rPr>
      <w:rFonts w:ascii="Calibri" w:hAnsi="Calibri"/>
      <w:kern w:val="2"/>
      <w:sz w:val="18"/>
      <w:szCs w:val="18"/>
    </w:rPr>
  </w:style>
  <w:style w:type="character" w:customStyle="1" w:styleId="39">
    <w:name w:val="正文文本缩进 字符"/>
    <w:basedOn w:val="24"/>
    <w:link w:val="10"/>
    <w:autoRedefine/>
    <w:qFormat/>
    <w:uiPriority w:val="0"/>
    <w:rPr>
      <w:kern w:val="2"/>
      <w:sz w:val="21"/>
    </w:rPr>
  </w:style>
  <w:style w:type="character" w:customStyle="1" w:styleId="40">
    <w:name w:val="正文文本首行缩进 2 字符"/>
    <w:basedOn w:val="39"/>
    <w:link w:val="22"/>
    <w:autoRedefine/>
    <w:qFormat/>
    <w:uiPriority w:val="0"/>
    <w:rPr>
      <w:rFonts w:ascii="Calibri" w:hAnsi="Calibri"/>
      <w:kern w:val="2"/>
      <w:sz w:val="21"/>
      <w:szCs w:val="22"/>
    </w:rPr>
  </w:style>
  <w:style w:type="paragraph" w:styleId="41">
    <w:name w:val="List Paragraph"/>
    <w:basedOn w:val="1"/>
    <w:qFormat/>
    <w:uiPriority w:val="99"/>
    <w:pPr>
      <w:ind w:firstLine="420" w:firstLineChars="200"/>
    </w:pPr>
  </w:style>
  <w:style w:type="paragraph" w:customStyle="1" w:styleId="42">
    <w:name w:val="表格"/>
    <w:basedOn w:val="1"/>
    <w:autoRedefine/>
    <w:qFormat/>
    <w:uiPriority w:val="0"/>
    <w:pPr>
      <w:spacing w:line="240" w:lineRule="auto"/>
      <w:ind w:firstLine="0" w:firstLineChars="0"/>
      <w:jc w:val="center"/>
      <w:textAlignment w:val="center"/>
    </w:pPr>
    <w:rPr>
      <w:rFonts w:ascii="宋体" w:hAnsi="宋体" w:cs="宋体"/>
      <w:color w:val="000000"/>
    </w:rPr>
  </w:style>
  <w:style w:type="paragraph" w:customStyle="1" w:styleId="43">
    <w:name w:val="正文_1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FCB77-5BFA-4F1E-A01F-8619C3FC2544}">
  <ds:schemaRefs/>
</ds:datastoreItem>
</file>

<file path=docProps/app.xml><?xml version="1.0" encoding="utf-8"?>
<Properties xmlns="http://schemas.openxmlformats.org/officeDocument/2006/extended-properties" xmlns:vt="http://schemas.openxmlformats.org/officeDocument/2006/docPropsVTypes">
  <Template>Normal</Template>
  <Pages>64</Pages>
  <Words>27998</Words>
  <Characters>29642</Characters>
  <Lines>267</Lines>
  <Paragraphs>75</Paragraphs>
  <TotalTime>8</TotalTime>
  <ScaleCrop>false</ScaleCrop>
  <LinksUpToDate>false</LinksUpToDate>
  <CharactersWithSpaces>31691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2022-12-09T09:10:00Z</dcterms:created>
  <dc:creator>G</dc:creator>
  <cp:lastModifiedBy>fang</cp:lastModifiedBy>
  <cp:lastPrinted>2024-02-06T05:36:19Z</cp:lastPrinted>
  <dcterms:modified xsi:type="dcterms:W3CDTF">2024-02-06T05:48:55Z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B37FD7D122904F03B7ED8BCB03D8A4B4_13</vt:lpwstr>
  </property>
</Properties>
</file>