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color w:val="auto"/>
        </w:rPr>
      </w:pPr>
    </w:p>
    <w:p>
      <w:pPr>
        <w:pStyle w:val="7"/>
        <w:spacing w:before="240" w:line="360" w:lineRule="auto"/>
        <w:rPr>
          <w:rFonts w:ascii="宋体" w:hAnsi="宋体" w:eastAsia="宋体" w:cs="宋体"/>
          <w:color w:val="auto"/>
          <w:sz w:val="30"/>
          <w:szCs w:val="30"/>
        </w:rPr>
      </w:pPr>
      <w:bookmarkStart w:id="0" w:name="_Toc262229174"/>
      <w:bookmarkStart w:id="1" w:name="_Toc398730716"/>
      <w:r>
        <w:rPr>
          <w:rFonts w:hint="eastAsia" w:ascii="宋体" w:hAnsi="宋体" w:eastAsia="宋体" w:cs="宋体"/>
          <w:color w:val="auto"/>
          <w:sz w:val="30"/>
          <w:szCs w:val="30"/>
        </w:rPr>
        <w:t xml:space="preserve"> </w:t>
      </w:r>
      <w:bookmarkEnd w:id="0"/>
      <w:bookmarkEnd w:id="1"/>
    </w:p>
    <w:p>
      <w:pPr>
        <w:spacing w:line="500" w:lineRule="exact"/>
        <w:jc w:val="left"/>
        <w:rPr>
          <w:rFonts w:ascii="宋体" w:hAnsi="宋体" w:eastAsia="宋体" w:cs="宋体"/>
          <w:b/>
          <w:color w:val="auto"/>
          <w:sz w:val="24"/>
          <w:szCs w:val="24"/>
        </w:rPr>
      </w:pPr>
      <w:bookmarkStart w:id="2" w:name="_Toc32643"/>
    </w:p>
    <w:p>
      <w:pPr>
        <w:pStyle w:val="3"/>
        <w:rPr>
          <w:rFonts w:ascii="宋体" w:eastAsia="宋体"/>
          <w:color w:val="auto"/>
          <w:szCs w:val="72"/>
        </w:rPr>
      </w:pPr>
      <w:bookmarkStart w:id="3" w:name="_Toc354405348"/>
      <w:r>
        <w:rPr>
          <w:rFonts w:hint="eastAsia" w:ascii="宋体" w:eastAsia="宋体"/>
          <w:color w:val="auto"/>
          <w:sz w:val="72"/>
          <w:szCs w:val="72"/>
        </w:rPr>
        <w:t>建设工程勘察设计合同</w:t>
      </w:r>
      <w:bookmarkEnd w:id="3"/>
    </w:p>
    <w:p>
      <w:pPr>
        <w:spacing w:line="720" w:lineRule="auto"/>
        <w:jc w:val="center"/>
        <w:rPr>
          <w:rFonts w:ascii="宋体" w:hAnsi="宋体" w:eastAsia="宋体" w:cs="宋体"/>
          <w:b/>
          <w:color w:val="auto"/>
          <w:sz w:val="24"/>
          <w:szCs w:val="24"/>
        </w:rPr>
      </w:pPr>
      <w:bookmarkStart w:id="4" w:name="_Toc354405349"/>
      <w:r>
        <w:rPr>
          <w:rFonts w:hint="eastAsia" w:ascii="宋体" w:hAnsi="宋体" w:eastAsia="宋体" w:cs="宋体"/>
          <w:color w:val="auto"/>
          <w:sz w:val="36"/>
          <w:szCs w:val="36"/>
        </w:rPr>
        <w:t>（专业建设工程合同勘察、设计）</w:t>
      </w:r>
      <w:bookmarkEnd w:id="4"/>
    </w:p>
    <w:p>
      <w:pPr>
        <w:spacing w:line="500" w:lineRule="exact"/>
        <w:jc w:val="left"/>
        <w:rPr>
          <w:rFonts w:ascii="宋体" w:hAnsi="宋体" w:eastAsia="宋体" w:cs="宋体"/>
          <w:b/>
          <w:color w:val="auto"/>
          <w:sz w:val="24"/>
          <w:szCs w:val="24"/>
        </w:rPr>
      </w:pPr>
    </w:p>
    <w:p>
      <w:pPr>
        <w:spacing w:line="500" w:lineRule="exact"/>
        <w:jc w:val="left"/>
        <w:rPr>
          <w:rFonts w:ascii="宋体" w:hAnsi="宋体" w:eastAsia="宋体" w:cs="宋体"/>
          <w:b/>
          <w:color w:val="auto"/>
          <w:sz w:val="24"/>
          <w:szCs w:val="24"/>
        </w:rPr>
      </w:pPr>
    </w:p>
    <w:p>
      <w:pPr>
        <w:tabs>
          <w:tab w:val="left" w:pos="6930"/>
        </w:tabs>
        <w:ind w:left="2127" w:hanging="2127" w:hangingChars="709"/>
        <w:rPr>
          <w:rFonts w:ascii="宋体" w:hAnsi="宋体" w:eastAsia="宋体" w:cs="宋体"/>
          <w:color w:val="auto"/>
          <w:spacing w:val="23"/>
          <w:sz w:val="30"/>
          <w:u w:val="single"/>
        </w:rPr>
      </w:pPr>
      <w:r>
        <w:rPr>
          <w:rFonts w:hint="eastAsia" w:ascii="宋体" w:hAnsi="宋体" w:eastAsia="宋体" w:cs="宋体"/>
          <w:color w:val="auto"/>
          <w:sz w:val="30"/>
        </w:rPr>
        <w:t>工  程  名  称：</w:t>
      </w:r>
      <w:r>
        <w:rPr>
          <w:rFonts w:hint="eastAsia" w:ascii="宋体" w:hAnsi="宋体" w:eastAsia="宋体" w:cs="宋体"/>
          <w:color w:val="auto"/>
          <w:spacing w:val="23"/>
          <w:sz w:val="30"/>
          <w:u w:val="single"/>
          <w:lang w:val="en-US" w:eastAsia="zh-CN"/>
        </w:rPr>
        <w:t xml:space="preserve">     </w:t>
      </w:r>
      <w:r>
        <w:rPr>
          <w:rFonts w:hint="eastAsia" w:ascii="宋体" w:hAnsi="宋体" w:eastAsia="宋体" w:cs="宋体"/>
          <w:color w:val="auto"/>
          <w:spacing w:val="23"/>
          <w:sz w:val="30"/>
          <w:u w:val="single"/>
        </w:rPr>
        <w:t xml:space="preserve"> </w:t>
      </w:r>
    </w:p>
    <w:p>
      <w:pPr>
        <w:tabs>
          <w:tab w:val="left" w:pos="6930"/>
        </w:tabs>
        <w:ind w:left="3825" w:hanging="3825" w:hangingChars="1275"/>
        <w:rPr>
          <w:rFonts w:ascii="宋体" w:hAnsi="宋体" w:eastAsia="宋体" w:cs="宋体"/>
          <w:color w:val="auto"/>
          <w:spacing w:val="23"/>
          <w:sz w:val="30"/>
          <w:u w:val="single"/>
        </w:rPr>
      </w:pPr>
      <w:r>
        <w:rPr>
          <w:rFonts w:hint="eastAsia" w:ascii="宋体" w:hAnsi="宋体" w:eastAsia="宋体" w:cs="宋体"/>
          <w:color w:val="auto"/>
          <w:sz w:val="30"/>
        </w:rPr>
        <w:t>工  程　地　点：</w:t>
      </w:r>
      <w:r>
        <w:rPr>
          <w:rFonts w:hint="eastAsia" w:ascii="宋体" w:hAnsi="宋体" w:eastAsia="宋体" w:cs="宋体"/>
          <w:color w:val="auto"/>
          <w:spacing w:val="23"/>
          <w:sz w:val="30"/>
          <w:u w:val="single"/>
          <w:lang w:val="en-US" w:eastAsia="zh-CN"/>
        </w:rPr>
        <w:t xml:space="preserve">     </w:t>
      </w:r>
      <w:r>
        <w:rPr>
          <w:rFonts w:hint="eastAsia" w:ascii="宋体" w:hAnsi="宋体" w:eastAsia="宋体" w:cs="宋体"/>
          <w:color w:val="auto"/>
          <w:spacing w:val="23"/>
          <w:sz w:val="30"/>
          <w:u w:val="single"/>
        </w:rPr>
        <w:t xml:space="preserve"> </w:t>
      </w:r>
    </w:p>
    <w:p>
      <w:pPr>
        <w:tabs>
          <w:tab w:val="left" w:pos="6930"/>
        </w:tabs>
        <w:ind w:left="3825" w:hanging="3825" w:hangingChars="1275"/>
        <w:rPr>
          <w:rFonts w:ascii="宋体" w:hAnsi="宋体" w:eastAsia="宋体" w:cs="宋体"/>
          <w:color w:val="auto"/>
          <w:spacing w:val="23"/>
          <w:sz w:val="30"/>
        </w:rPr>
      </w:pPr>
      <w:r>
        <w:rPr>
          <w:rFonts w:hint="eastAsia" w:ascii="宋体" w:hAnsi="宋体" w:eastAsia="宋体" w:cs="宋体"/>
          <w:color w:val="auto"/>
          <w:sz w:val="30"/>
        </w:rPr>
        <w:t>合  同  编  号：</w:t>
      </w:r>
      <w:r>
        <w:rPr>
          <w:rFonts w:hint="eastAsia" w:ascii="宋体" w:hAnsi="宋体" w:eastAsia="宋体" w:cs="宋体"/>
          <w:color w:val="auto"/>
          <w:spacing w:val="23"/>
          <w:sz w:val="30"/>
          <w:u w:val="single"/>
          <w:lang w:val="en-US" w:eastAsia="zh-CN"/>
        </w:rPr>
        <w:t xml:space="preserve">     </w:t>
      </w:r>
      <w:r>
        <w:rPr>
          <w:rFonts w:hint="eastAsia" w:ascii="宋体" w:hAnsi="宋体" w:eastAsia="宋体" w:cs="宋体"/>
          <w:color w:val="auto"/>
          <w:spacing w:val="23"/>
          <w:sz w:val="30"/>
          <w:u w:val="single"/>
        </w:rPr>
        <w:t xml:space="preserve"> </w:t>
      </w:r>
    </w:p>
    <w:p>
      <w:pPr>
        <w:tabs>
          <w:tab w:val="left" w:pos="6930"/>
        </w:tabs>
        <w:spacing w:line="360" w:lineRule="auto"/>
        <w:jc w:val="left"/>
        <w:rPr>
          <w:rFonts w:ascii="宋体" w:hAnsi="宋体" w:eastAsia="宋体" w:cs="宋体"/>
          <w:color w:val="auto"/>
          <w:spacing w:val="23"/>
          <w:sz w:val="30"/>
          <w:u w:val="single"/>
        </w:rPr>
      </w:pPr>
      <w:r>
        <w:rPr>
          <w:rFonts w:hint="eastAsia" w:ascii="宋体" w:hAnsi="宋体" w:eastAsia="宋体" w:cs="宋体"/>
          <w:color w:val="auto"/>
          <w:spacing w:val="23"/>
          <w:sz w:val="30"/>
        </w:rPr>
        <w:t>设计证书等级：</w:t>
      </w:r>
      <w:r>
        <w:rPr>
          <w:rFonts w:hint="eastAsia" w:ascii="宋体" w:hAnsi="宋体" w:eastAsia="宋体" w:cs="宋体"/>
          <w:color w:val="auto"/>
          <w:spacing w:val="23"/>
          <w:sz w:val="30"/>
          <w:u w:val="single"/>
          <w:lang w:val="en-US" w:eastAsia="zh-CN"/>
        </w:rPr>
        <w:t xml:space="preserve">     </w:t>
      </w:r>
      <w:r>
        <w:rPr>
          <w:rFonts w:hint="eastAsia" w:ascii="宋体" w:hAnsi="宋体" w:eastAsia="宋体" w:cs="宋体"/>
          <w:color w:val="auto"/>
          <w:spacing w:val="23"/>
          <w:sz w:val="30"/>
          <w:u w:val="single"/>
        </w:rPr>
        <w:t xml:space="preserve"> </w:t>
      </w:r>
    </w:p>
    <w:p>
      <w:pPr>
        <w:tabs>
          <w:tab w:val="left" w:pos="6930"/>
        </w:tabs>
        <w:spacing w:line="360" w:lineRule="auto"/>
        <w:rPr>
          <w:rFonts w:ascii="宋体" w:hAnsi="宋体" w:eastAsia="宋体" w:cs="宋体"/>
          <w:color w:val="auto"/>
          <w:spacing w:val="23"/>
          <w:sz w:val="30"/>
          <w:u w:val="single"/>
        </w:rPr>
      </w:pPr>
      <w:r>
        <w:rPr>
          <w:rFonts w:hint="eastAsia" w:ascii="宋体" w:hAnsi="宋体" w:eastAsia="宋体" w:cs="宋体"/>
          <w:color w:val="auto"/>
          <w:spacing w:val="23"/>
          <w:sz w:val="30"/>
        </w:rPr>
        <w:t>勘察证书等级：</w:t>
      </w:r>
      <w:r>
        <w:rPr>
          <w:rFonts w:hint="eastAsia" w:ascii="宋体" w:hAnsi="宋体" w:eastAsia="宋体" w:cs="宋体"/>
          <w:color w:val="auto"/>
          <w:spacing w:val="23"/>
          <w:sz w:val="30"/>
          <w:u w:val="single"/>
          <w:lang w:val="en-US" w:eastAsia="zh-CN"/>
        </w:rPr>
        <w:t xml:space="preserve">     </w:t>
      </w:r>
      <w:r>
        <w:rPr>
          <w:rFonts w:hint="eastAsia" w:ascii="宋体" w:hAnsi="宋体" w:eastAsia="宋体" w:cs="宋体"/>
          <w:color w:val="auto"/>
          <w:spacing w:val="23"/>
          <w:sz w:val="30"/>
          <w:u w:val="single"/>
        </w:rPr>
        <w:t xml:space="preserve">  </w:t>
      </w:r>
    </w:p>
    <w:p>
      <w:pPr>
        <w:tabs>
          <w:tab w:val="left" w:pos="6930"/>
        </w:tabs>
        <w:ind w:left="3825" w:hanging="3825" w:hangingChars="1275"/>
        <w:rPr>
          <w:rFonts w:ascii="宋体" w:hAnsi="宋体" w:eastAsia="宋体" w:cs="宋体"/>
          <w:color w:val="auto"/>
          <w:sz w:val="30"/>
        </w:rPr>
      </w:pPr>
      <w:r>
        <w:rPr>
          <w:rFonts w:hint="eastAsia" w:ascii="宋体" w:hAnsi="宋体" w:eastAsia="宋体" w:cs="宋体"/>
          <w:color w:val="auto"/>
          <w:sz w:val="30"/>
        </w:rPr>
        <w:t>发　　包　　人：</w:t>
      </w:r>
      <w:r>
        <w:rPr>
          <w:rFonts w:hint="eastAsia" w:ascii="宋体" w:hAnsi="宋体" w:eastAsia="宋体" w:cs="宋体"/>
          <w:color w:val="auto"/>
          <w:spacing w:val="23"/>
          <w:sz w:val="30"/>
          <w:u w:val="single"/>
        </w:rPr>
        <w:t>广州市花都区水务建设管理中心</w:t>
      </w:r>
    </w:p>
    <w:p>
      <w:pPr>
        <w:tabs>
          <w:tab w:val="left" w:pos="6930"/>
        </w:tabs>
        <w:ind w:left="3825" w:hanging="3825" w:hangingChars="1275"/>
        <w:rPr>
          <w:rFonts w:ascii="宋体" w:hAnsi="宋体" w:eastAsia="宋体" w:cs="宋体"/>
          <w:color w:val="auto"/>
          <w:spacing w:val="23"/>
          <w:sz w:val="30"/>
          <w:u w:val="single"/>
        </w:rPr>
      </w:pPr>
      <w:r>
        <w:rPr>
          <w:rFonts w:hint="eastAsia" w:ascii="宋体" w:hAnsi="宋体" w:eastAsia="宋体" w:cs="宋体"/>
          <w:color w:val="auto"/>
          <w:sz w:val="30"/>
        </w:rPr>
        <w:t>承    包　　人：</w:t>
      </w:r>
      <w:r>
        <w:rPr>
          <w:rFonts w:hint="eastAsia" w:ascii="宋体" w:hAnsi="宋体" w:eastAsia="宋体" w:cs="宋体"/>
          <w:color w:val="auto"/>
          <w:spacing w:val="23"/>
          <w:sz w:val="30"/>
          <w:u w:val="single"/>
          <w:lang w:val="en-US" w:eastAsia="zh-CN"/>
        </w:rPr>
        <w:t xml:space="preserve">     </w:t>
      </w:r>
      <w:r>
        <w:rPr>
          <w:rFonts w:hint="eastAsia" w:ascii="宋体" w:hAnsi="宋体" w:eastAsia="宋体" w:cs="宋体"/>
          <w:color w:val="auto"/>
          <w:spacing w:val="23"/>
          <w:sz w:val="30"/>
          <w:u w:val="single"/>
        </w:rPr>
        <w:t xml:space="preserve">                          </w:t>
      </w:r>
    </w:p>
    <w:p>
      <w:pPr>
        <w:tabs>
          <w:tab w:val="left" w:pos="6930"/>
        </w:tabs>
        <w:ind w:left="3825" w:hanging="3825" w:hangingChars="1275"/>
        <w:rPr>
          <w:rFonts w:ascii="宋体" w:hAnsi="宋体" w:eastAsia="宋体" w:cs="宋体"/>
          <w:color w:val="auto"/>
          <w:spacing w:val="23"/>
          <w:sz w:val="30"/>
          <w:u w:val="single"/>
        </w:rPr>
      </w:pPr>
      <w:r>
        <w:rPr>
          <w:rFonts w:hint="eastAsia" w:ascii="宋体" w:hAnsi="宋体" w:eastAsia="宋体" w:cs="宋体"/>
          <w:color w:val="auto"/>
          <w:sz w:val="30"/>
        </w:rPr>
        <w:t>签　订　日　期：</w:t>
      </w:r>
      <w:r>
        <w:rPr>
          <w:rFonts w:hint="eastAsia" w:ascii="宋体" w:hAnsi="宋体" w:eastAsia="宋体" w:cs="宋体"/>
          <w:color w:val="auto"/>
          <w:sz w:val="30"/>
          <w:u w:val="single"/>
        </w:rPr>
        <w:t xml:space="preserve">        年   月   日               </w:t>
      </w:r>
    </w:p>
    <w:p>
      <w:pPr>
        <w:tabs>
          <w:tab w:val="left" w:pos="6930"/>
        </w:tabs>
        <w:ind w:left="3825" w:hanging="3825" w:hangingChars="1275"/>
        <w:rPr>
          <w:rFonts w:ascii="宋体" w:hAnsi="宋体" w:eastAsia="宋体" w:cs="宋体"/>
          <w:color w:val="auto"/>
          <w:sz w:val="30"/>
          <w:u w:val="single"/>
        </w:rPr>
      </w:pPr>
    </w:p>
    <w:p>
      <w:pPr>
        <w:pStyle w:val="26"/>
        <w:tabs>
          <w:tab w:val="right" w:leader="dot" w:pos="8296"/>
        </w:tabs>
        <w:rPr>
          <w:rFonts w:eastAsia="宋体" w:cs="宋体"/>
          <w:color w:val="auto"/>
        </w:rPr>
      </w:pPr>
    </w:p>
    <w:tbl>
      <w:tblPr>
        <w:tblStyle w:val="32"/>
        <w:tblpPr w:leftFromText="180" w:rightFromText="180" w:vertAnchor="text" w:horzAnchor="page" w:tblpX="3426" w:tblpY="145"/>
        <w:tblOverlap w:val="never"/>
        <w:tblW w:w="4875" w:type="dxa"/>
        <w:tblInd w:w="0" w:type="dxa"/>
        <w:tblLayout w:type="fixed"/>
        <w:tblCellMar>
          <w:top w:w="0" w:type="dxa"/>
          <w:left w:w="108" w:type="dxa"/>
          <w:bottom w:w="0" w:type="dxa"/>
          <w:right w:w="108" w:type="dxa"/>
        </w:tblCellMar>
      </w:tblPr>
      <w:tblGrid>
        <w:gridCol w:w="3825"/>
        <w:gridCol w:w="1050"/>
      </w:tblGrid>
      <w:tr>
        <w:trPr>
          <w:cantSplit/>
          <w:trHeight w:val="90" w:hRule="atLeast"/>
        </w:trPr>
        <w:tc>
          <w:tcPr>
            <w:tcW w:w="3825" w:type="dxa"/>
            <w:vAlign w:val="center"/>
          </w:tcPr>
          <w:p>
            <w:pPr>
              <w:tabs>
                <w:tab w:val="left" w:pos="6930"/>
              </w:tabs>
              <w:ind w:left="4080" w:hanging="4080" w:hangingChars="1275"/>
              <w:rPr>
                <w:rFonts w:ascii="宋体" w:hAnsi="宋体" w:eastAsia="宋体" w:cs="宋体"/>
                <w:color w:val="auto"/>
                <w:sz w:val="32"/>
              </w:rPr>
            </w:pPr>
            <w:r>
              <w:rPr>
                <w:rFonts w:hint="eastAsia" w:ascii="宋体" w:hAnsi="宋体" w:eastAsia="宋体" w:cs="宋体"/>
                <w:color w:val="auto"/>
                <w:sz w:val="32"/>
              </w:rPr>
              <w:t xml:space="preserve"> 中华人民共和国建设部</w:t>
            </w:r>
          </w:p>
        </w:tc>
        <w:tc>
          <w:tcPr>
            <w:tcW w:w="1050" w:type="dxa"/>
            <w:vMerge w:val="restart"/>
            <w:vAlign w:val="center"/>
          </w:tcPr>
          <w:p>
            <w:pPr>
              <w:tabs>
                <w:tab w:val="left" w:pos="6930"/>
              </w:tabs>
              <w:ind w:left="4080" w:hanging="4080" w:hangingChars="1275"/>
              <w:rPr>
                <w:rFonts w:ascii="宋体" w:hAnsi="宋体" w:eastAsia="宋体" w:cs="宋体"/>
                <w:color w:val="auto"/>
                <w:sz w:val="32"/>
              </w:rPr>
            </w:pPr>
            <w:r>
              <w:rPr>
                <w:rFonts w:hint="eastAsia" w:ascii="宋体" w:hAnsi="宋体" w:eastAsia="宋体" w:cs="宋体"/>
                <w:color w:val="auto"/>
                <w:sz w:val="32"/>
              </w:rPr>
              <w:t>监制</w:t>
            </w:r>
          </w:p>
        </w:tc>
      </w:tr>
      <w:tr>
        <w:tblPrEx>
          <w:tblCellMar>
            <w:top w:w="0" w:type="dxa"/>
            <w:left w:w="108" w:type="dxa"/>
            <w:bottom w:w="0" w:type="dxa"/>
            <w:right w:w="108" w:type="dxa"/>
          </w:tblCellMar>
        </w:tblPrEx>
        <w:trPr>
          <w:cantSplit/>
          <w:trHeight w:val="675" w:hRule="atLeast"/>
        </w:trPr>
        <w:tc>
          <w:tcPr>
            <w:tcW w:w="3825" w:type="dxa"/>
            <w:vAlign w:val="center"/>
          </w:tcPr>
          <w:p>
            <w:pPr>
              <w:snapToGrid w:val="0"/>
              <w:jc w:val="center"/>
              <w:rPr>
                <w:rFonts w:ascii="宋体" w:hAnsi="宋体" w:eastAsia="宋体" w:cs="宋体"/>
                <w:color w:val="auto"/>
                <w:spacing w:val="20"/>
                <w:sz w:val="32"/>
              </w:rPr>
            </w:pPr>
            <w:r>
              <w:rPr>
                <w:rFonts w:hint="eastAsia" w:ascii="宋体" w:hAnsi="宋体" w:eastAsia="宋体" w:cs="宋体"/>
                <w:color w:val="auto"/>
                <w:spacing w:val="20"/>
                <w:sz w:val="32"/>
              </w:rPr>
              <w:t>国家工商行政管理局</w:t>
            </w:r>
          </w:p>
        </w:tc>
        <w:tc>
          <w:tcPr>
            <w:tcW w:w="1050" w:type="dxa"/>
            <w:vMerge w:val="continue"/>
            <w:vAlign w:val="center"/>
          </w:tcPr>
          <w:p>
            <w:pPr>
              <w:snapToGrid w:val="0"/>
              <w:jc w:val="center"/>
              <w:rPr>
                <w:rFonts w:ascii="宋体" w:hAnsi="宋体" w:eastAsia="宋体" w:cs="宋体"/>
                <w:color w:val="auto"/>
                <w:sz w:val="32"/>
              </w:rPr>
            </w:pPr>
          </w:p>
        </w:tc>
      </w:tr>
      <w:tr>
        <w:tblPrEx>
          <w:tblCellMar>
            <w:top w:w="0" w:type="dxa"/>
            <w:left w:w="108" w:type="dxa"/>
            <w:bottom w:w="0" w:type="dxa"/>
            <w:right w:w="108" w:type="dxa"/>
          </w:tblCellMar>
        </w:tblPrEx>
        <w:trPr>
          <w:trHeight w:val="675" w:hRule="atLeast"/>
        </w:trPr>
        <w:tc>
          <w:tcPr>
            <w:tcW w:w="3825" w:type="dxa"/>
            <w:vAlign w:val="center"/>
          </w:tcPr>
          <w:p>
            <w:pPr>
              <w:snapToGrid w:val="0"/>
              <w:jc w:val="center"/>
              <w:rPr>
                <w:rFonts w:ascii="宋体" w:hAnsi="宋体" w:eastAsia="宋体" w:cs="宋体"/>
                <w:color w:val="auto"/>
                <w:spacing w:val="40"/>
                <w:sz w:val="32"/>
              </w:rPr>
            </w:pPr>
            <w:r>
              <w:rPr>
                <w:rFonts w:hint="eastAsia" w:ascii="宋体" w:hAnsi="宋体" w:eastAsia="宋体" w:cs="宋体"/>
                <w:color w:val="auto"/>
                <w:spacing w:val="40"/>
                <w:sz w:val="32"/>
              </w:rPr>
              <w:t>广州市建设委员会</w:t>
            </w:r>
          </w:p>
        </w:tc>
        <w:tc>
          <w:tcPr>
            <w:tcW w:w="1050" w:type="dxa"/>
            <w:vAlign w:val="center"/>
          </w:tcPr>
          <w:p>
            <w:pPr>
              <w:snapToGrid w:val="0"/>
              <w:rPr>
                <w:rFonts w:ascii="宋体" w:hAnsi="宋体" w:eastAsia="宋体" w:cs="宋体"/>
                <w:color w:val="auto"/>
                <w:sz w:val="32"/>
              </w:rPr>
            </w:pPr>
            <w:r>
              <w:rPr>
                <w:rFonts w:hint="eastAsia" w:ascii="宋体" w:hAnsi="宋体" w:eastAsia="宋体" w:cs="宋体"/>
                <w:color w:val="auto"/>
                <w:sz w:val="32"/>
              </w:rPr>
              <w:t>印制</w:t>
            </w:r>
          </w:p>
        </w:tc>
      </w:tr>
    </w:tbl>
    <w:p>
      <w:pPr>
        <w:pStyle w:val="26"/>
        <w:tabs>
          <w:tab w:val="right" w:leader="dot" w:pos="8296"/>
        </w:tabs>
        <w:rPr>
          <w:rFonts w:eastAsia="宋体" w:cs="宋体"/>
          <w:color w:val="auto"/>
          <w:sz w:val="32"/>
        </w:rPr>
      </w:pPr>
    </w:p>
    <w:p>
      <w:pPr>
        <w:pStyle w:val="26"/>
        <w:tabs>
          <w:tab w:val="right" w:leader="dot" w:pos="8296"/>
        </w:tabs>
        <w:rPr>
          <w:rFonts w:eastAsia="宋体" w:cs="宋体"/>
          <w:color w:val="auto"/>
          <w:sz w:val="32"/>
        </w:rPr>
      </w:pPr>
    </w:p>
    <w:p>
      <w:pPr>
        <w:pStyle w:val="26"/>
        <w:tabs>
          <w:tab w:val="right" w:leader="dot" w:pos="8296"/>
        </w:tabs>
        <w:rPr>
          <w:rFonts w:eastAsia="宋体" w:cs="宋体"/>
          <w:color w:val="auto"/>
          <w:sz w:val="32"/>
        </w:rPr>
      </w:pPr>
    </w:p>
    <w:p>
      <w:pPr>
        <w:spacing w:before="156" w:beforeLines="50" w:after="156" w:afterLines="50" w:line="360" w:lineRule="auto"/>
        <w:jc w:val="left"/>
        <w:rPr>
          <w:rFonts w:ascii="宋体" w:hAnsi="宋体" w:eastAsia="宋体" w:cs="宋体"/>
          <w:b/>
          <w:color w:val="auto"/>
          <w:sz w:val="24"/>
          <w:szCs w:val="24"/>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p>
    <w:p>
      <w:pPr>
        <w:pStyle w:val="3"/>
        <w:rPr>
          <w:rFonts w:ascii="宋体" w:eastAsia="宋体"/>
          <w:color w:val="auto"/>
        </w:rPr>
      </w:pPr>
      <w:bookmarkStart w:id="5" w:name="_Toc354405360"/>
      <w:r>
        <w:rPr>
          <w:rFonts w:hint="eastAsia" w:ascii="宋体" w:eastAsia="宋体"/>
          <w:color w:val="auto"/>
        </w:rPr>
        <w:t>第一部分 合同协议书</w:t>
      </w:r>
    </w:p>
    <w:p>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发包人：</w:t>
      </w:r>
      <w:r>
        <w:rPr>
          <w:rFonts w:hint="eastAsia" w:ascii="宋体" w:hAnsi="宋体" w:eastAsia="宋体" w:cs="宋体"/>
          <w:color w:val="auto"/>
          <w:sz w:val="24"/>
          <w:u w:val="single"/>
        </w:rPr>
        <w:t xml:space="preserve">广州市花都区水务建设管理中心      </w:t>
      </w:r>
    </w:p>
    <w:p>
      <w:pPr>
        <w:spacing w:line="500" w:lineRule="exact"/>
        <w:rPr>
          <w:rFonts w:ascii="宋体" w:hAnsi="宋体" w:eastAsia="宋体" w:cs="宋体"/>
          <w:color w:val="auto"/>
          <w:sz w:val="24"/>
          <w:szCs w:val="24"/>
          <w:u w:val="single"/>
        </w:rPr>
      </w:pPr>
      <w:r>
        <w:rPr>
          <w:rFonts w:hint="eastAsia" w:ascii="宋体" w:hAnsi="宋体" w:eastAsia="宋体" w:cs="宋体"/>
          <w:color w:val="auto"/>
          <w:sz w:val="24"/>
          <w:szCs w:val="24"/>
        </w:rPr>
        <w:t>承包人：</w:t>
      </w:r>
      <w:r>
        <w:rPr>
          <w:rFonts w:hint="eastAsia" w:ascii="宋体" w:hAnsi="宋体" w:eastAsia="宋体" w:cs="宋体"/>
          <w:color w:val="auto"/>
          <w:spacing w:val="23"/>
          <w:sz w:val="30"/>
          <w:u w:val="single"/>
          <w:lang w:val="en-US" w:eastAsia="zh-CN"/>
        </w:rPr>
        <w:t xml:space="preserve">     </w:t>
      </w:r>
      <w:r>
        <w:rPr>
          <w:rFonts w:hint="eastAsia" w:ascii="宋体" w:hAnsi="宋体" w:eastAsia="宋体" w:cs="宋体"/>
          <w:color w:val="auto"/>
          <w:spacing w:val="23"/>
          <w:sz w:val="30"/>
          <w:u w:val="single"/>
        </w:rPr>
        <w:t xml:space="preserve"> </w:t>
      </w:r>
      <w:r>
        <w:rPr>
          <w:rFonts w:hint="eastAsia" w:ascii="宋体" w:hAnsi="宋体" w:eastAsia="宋体" w:cs="宋体"/>
          <w:color w:val="auto"/>
          <w:sz w:val="24"/>
          <w:u w:val="single"/>
        </w:rPr>
        <w:t xml:space="preserve"> </w:t>
      </w:r>
    </w:p>
    <w:p>
      <w:pPr>
        <w:spacing w:line="500" w:lineRule="exact"/>
        <w:rPr>
          <w:rFonts w:ascii="宋体" w:hAnsi="宋体" w:eastAsia="宋体" w:cs="宋体"/>
          <w:color w:val="auto"/>
          <w:sz w:val="24"/>
          <w:szCs w:val="24"/>
          <w:u w:val="single"/>
        </w:rPr>
      </w:pPr>
      <w:r>
        <w:rPr>
          <w:rFonts w:hint="eastAsia" w:ascii="宋体" w:hAnsi="宋体" w:eastAsia="宋体" w:cs="宋体"/>
          <w:color w:val="auto"/>
          <w:sz w:val="24"/>
          <w:szCs w:val="24"/>
        </w:rPr>
        <w:t>工程名称：</w:t>
      </w:r>
      <w:r>
        <w:rPr>
          <w:rFonts w:hint="eastAsia" w:ascii="宋体" w:hAnsi="宋体" w:eastAsia="宋体" w:cs="宋体"/>
          <w:color w:val="auto"/>
          <w:spacing w:val="23"/>
          <w:sz w:val="30"/>
          <w:u w:val="single"/>
          <w:lang w:val="en-US" w:eastAsia="zh-CN"/>
        </w:rPr>
        <w:t xml:space="preserve">     </w:t>
      </w:r>
      <w:r>
        <w:rPr>
          <w:rFonts w:hint="eastAsia" w:ascii="宋体" w:hAnsi="宋体" w:eastAsia="宋体" w:cs="宋体"/>
          <w:color w:val="auto"/>
          <w:spacing w:val="23"/>
          <w:sz w:val="30"/>
          <w:u w:val="single"/>
        </w:rPr>
        <w:t xml:space="preserve"> </w:t>
      </w:r>
    </w:p>
    <w:p>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发包人合同编号：</w:t>
      </w:r>
      <w:r>
        <w:rPr>
          <w:rFonts w:hint="eastAsia" w:ascii="宋体" w:hAnsi="宋体" w:eastAsia="宋体" w:cs="宋体"/>
          <w:color w:val="auto"/>
          <w:spacing w:val="23"/>
          <w:sz w:val="30"/>
          <w:u w:val="single"/>
          <w:lang w:val="en-US" w:eastAsia="zh-CN"/>
        </w:rPr>
        <w:t xml:space="preserve">     </w:t>
      </w:r>
      <w:r>
        <w:rPr>
          <w:rFonts w:hint="eastAsia" w:ascii="宋体" w:hAnsi="宋体" w:eastAsia="宋体" w:cs="宋体"/>
          <w:color w:val="auto"/>
          <w:spacing w:val="23"/>
          <w:sz w:val="30"/>
          <w:u w:val="single"/>
        </w:rPr>
        <w:t xml:space="preserve"> </w:t>
      </w:r>
    </w:p>
    <w:p>
      <w:pPr>
        <w:spacing w:line="500" w:lineRule="exact"/>
        <w:rPr>
          <w:rFonts w:ascii="宋体" w:hAnsi="宋体" w:eastAsia="宋体" w:cs="宋体"/>
          <w:color w:val="auto"/>
          <w:sz w:val="24"/>
          <w:szCs w:val="24"/>
          <w:u w:val="single"/>
        </w:rPr>
      </w:pPr>
      <w:r>
        <w:rPr>
          <w:rFonts w:hint="eastAsia" w:ascii="宋体" w:hAnsi="宋体" w:eastAsia="宋体" w:cs="宋体"/>
          <w:color w:val="auto"/>
          <w:sz w:val="24"/>
          <w:szCs w:val="24"/>
        </w:rPr>
        <w:t>签订地点：</w:t>
      </w:r>
      <w:r>
        <w:rPr>
          <w:rFonts w:hint="eastAsia" w:ascii="宋体" w:hAnsi="宋体" w:eastAsia="宋体" w:cs="宋体"/>
          <w:color w:val="auto"/>
          <w:spacing w:val="23"/>
          <w:sz w:val="30"/>
          <w:u w:val="single"/>
          <w:lang w:val="en-US" w:eastAsia="zh-CN"/>
        </w:rPr>
        <w:t xml:space="preserve">     </w:t>
      </w:r>
      <w:r>
        <w:rPr>
          <w:rFonts w:hint="eastAsia" w:ascii="宋体" w:hAnsi="宋体" w:eastAsia="宋体" w:cs="宋体"/>
          <w:color w:val="auto"/>
          <w:spacing w:val="23"/>
          <w:sz w:val="30"/>
          <w:u w:val="single"/>
        </w:rPr>
        <w:t xml:space="preserve"> </w:t>
      </w:r>
    </w:p>
    <w:p>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签订时间：</w:t>
      </w:r>
      <w:r>
        <w:rPr>
          <w:rFonts w:hint="eastAsia" w:ascii="宋体" w:hAnsi="宋体" w:eastAsia="宋体" w:cs="宋体"/>
          <w:color w:val="auto"/>
          <w:sz w:val="24"/>
          <w:szCs w:val="24"/>
          <w:u w:val="single"/>
        </w:rPr>
        <w:t xml:space="preserve">  </w:t>
      </w:r>
      <w:r>
        <w:rPr>
          <w:rFonts w:ascii="宋体" w:hAnsi="宋体" w:eastAsia="宋体" w:cs="宋体"/>
          <w:color w:val="auto"/>
          <w:sz w:val="24"/>
          <w:szCs w:val="24"/>
          <w:u w:val="single"/>
        </w:rPr>
        <w:t>202</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spacing w:line="500" w:lineRule="exact"/>
        <w:ind w:left="-48" w:leftChars="-23" w:firstLine="480" w:firstLineChars="200"/>
        <w:rPr>
          <w:rFonts w:hAnsi="宋体" w:eastAsia="宋体" w:cs="宋体"/>
          <w:color w:val="auto"/>
          <w:sz w:val="24"/>
        </w:rPr>
      </w:pPr>
      <w:r>
        <w:rPr>
          <w:rFonts w:hint="eastAsia" w:hAnsi="宋体" w:eastAsia="宋体" w:cs="宋体"/>
          <w:color w:val="auto"/>
          <w:sz w:val="24"/>
          <w:u w:val="single"/>
        </w:rPr>
        <w:t>广州市花都区水务建设管理中心</w:t>
      </w:r>
      <w:r>
        <w:rPr>
          <w:rFonts w:hint="eastAsia" w:hAnsi="宋体" w:eastAsia="宋体" w:cs="宋体"/>
          <w:color w:val="auto"/>
          <w:sz w:val="24"/>
        </w:rPr>
        <w:t>（以下简称发包人）拟进行</w:t>
      </w:r>
      <w:r>
        <w:rPr>
          <w:rFonts w:hint="eastAsia" w:ascii="宋体" w:hAnsi="宋体" w:eastAsia="宋体" w:cs="宋体"/>
          <w:color w:val="auto"/>
          <w:spacing w:val="23"/>
          <w:sz w:val="30"/>
          <w:u w:val="single"/>
          <w:lang w:val="en-US" w:eastAsia="zh-CN"/>
        </w:rPr>
        <w:t xml:space="preserve">     </w:t>
      </w:r>
      <w:r>
        <w:rPr>
          <w:rFonts w:hint="eastAsia" w:ascii="宋体" w:hAnsi="宋体" w:eastAsia="宋体" w:cs="宋体"/>
          <w:color w:val="auto"/>
          <w:spacing w:val="23"/>
          <w:sz w:val="30"/>
          <w:u w:val="single"/>
        </w:rPr>
        <w:t xml:space="preserve"> </w:t>
      </w:r>
      <w:r>
        <w:rPr>
          <w:rFonts w:hint="eastAsia" w:hAnsi="宋体" w:eastAsia="宋体" w:cs="宋体"/>
          <w:bCs/>
          <w:color w:val="auto"/>
          <w:sz w:val="24"/>
        </w:rPr>
        <w:t>勘察</w:t>
      </w:r>
      <w:r>
        <w:rPr>
          <w:rFonts w:hint="eastAsia" w:hAnsi="宋体" w:eastAsia="宋体" w:cs="宋体"/>
          <w:color w:val="auto"/>
          <w:sz w:val="24"/>
        </w:rPr>
        <w:t>设计工作，接受了</w:t>
      </w:r>
      <w:r>
        <w:rPr>
          <w:rFonts w:hint="eastAsia" w:ascii="宋体" w:hAnsi="宋体" w:eastAsia="宋体" w:cs="宋体"/>
          <w:color w:val="auto"/>
          <w:spacing w:val="23"/>
          <w:sz w:val="30"/>
          <w:u w:val="single"/>
          <w:lang w:val="en-US" w:eastAsia="zh-CN"/>
        </w:rPr>
        <w:t xml:space="preserve">     </w:t>
      </w:r>
      <w:r>
        <w:rPr>
          <w:rFonts w:hint="eastAsia" w:ascii="宋体" w:hAnsi="宋体" w:eastAsia="宋体" w:cs="宋体"/>
          <w:color w:val="auto"/>
          <w:spacing w:val="23"/>
          <w:sz w:val="30"/>
          <w:u w:val="single"/>
        </w:rPr>
        <w:t xml:space="preserve"> </w:t>
      </w:r>
      <w:r>
        <w:rPr>
          <w:rFonts w:hint="eastAsia" w:hAnsi="宋体" w:eastAsia="宋体" w:cs="宋体"/>
          <w:color w:val="auto"/>
          <w:sz w:val="24"/>
          <w:u w:val="single"/>
        </w:rPr>
        <w:t xml:space="preserve">  </w:t>
      </w:r>
      <w:r>
        <w:rPr>
          <w:rFonts w:hint="eastAsia" w:hAnsi="宋体" w:eastAsia="宋体" w:cs="宋体"/>
          <w:color w:val="auto"/>
          <w:sz w:val="24"/>
        </w:rPr>
        <w:t>（以下简称承包人）的投标，双方就本项工程设计有关事项，达成如下协议。</w:t>
      </w:r>
    </w:p>
    <w:p>
      <w:pPr>
        <w:numPr>
          <w:ilvl w:val="0"/>
          <w:numId w:val="3"/>
        </w:numPr>
        <w:spacing w:line="360" w:lineRule="auto"/>
        <w:ind w:firstLine="480" w:firstLineChars="200"/>
        <w:jc w:val="left"/>
        <w:rPr>
          <w:rFonts w:hint="eastAsia" w:hAnsi="宋体" w:eastAsia="宋体" w:cs="宋体"/>
          <w:color w:val="auto"/>
          <w:sz w:val="24"/>
        </w:rPr>
      </w:pPr>
      <w:r>
        <w:rPr>
          <w:rFonts w:hint="eastAsia" w:hAnsi="宋体" w:eastAsia="宋体" w:cs="宋体"/>
          <w:color w:val="auto"/>
          <w:sz w:val="24"/>
        </w:rPr>
        <w:t>工程概况</w:t>
      </w:r>
    </w:p>
    <w:p>
      <w:pPr>
        <w:pStyle w:val="2"/>
        <w:numPr>
          <w:ilvl w:val="0"/>
          <w:numId w:val="0"/>
        </w:numPr>
        <w:jc w:val="both"/>
        <w:rPr>
          <w:rFonts w:hint="default" w:eastAsia="楷体_GB2312"/>
          <w:u w:val="single"/>
          <w:lang w:val="en-US" w:eastAsia="zh-CN"/>
        </w:rPr>
      </w:pPr>
      <w:r>
        <w:rPr>
          <w:rFonts w:hint="eastAsia"/>
          <w:u w:val="single"/>
          <w:lang w:val="en-US" w:eastAsia="zh-CN"/>
        </w:rPr>
        <w:t xml:space="preserve">                       </w:t>
      </w:r>
    </w:p>
    <w:p>
      <w:pPr>
        <w:pStyle w:val="2"/>
        <w:numPr>
          <w:ilvl w:val="0"/>
          <w:numId w:val="0"/>
        </w:numPr>
        <w:jc w:val="both"/>
      </w:pPr>
    </w:p>
    <w:p>
      <w:pPr>
        <w:spacing w:line="500" w:lineRule="exact"/>
        <w:ind w:left="-48" w:leftChars="-23"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2.本协议书中的词语涵义与下述第二</w:t>
      </w:r>
      <w:r>
        <w:rPr>
          <w:rFonts w:ascii="宋体" w:hAnsi="宋体" w:eastAsia="宋体" w:cs="宋体"/>
          <w:color w:val="auto"/>
          <w:sz w:val="24"/>
          <w:szCs w:val="24"/>
        </w:rPr>
        <w:t>部分</w:t>
      </w:r>
      <w:r>
        <w:rPr>
          <w:rFonts w:hint="eastAsia" w:ascii="宋体" w:hAnsi="宋体" w:eastAsia="宋体" w:cs="宋体"/>
          <w:color w:val="auto"/>
          <w:sz w:val="24"/>
          <w:szCs w:val="24"/>
        </w:rPr>
        <w:t>合同</w:t>
      </w:r>
      <w:r>
        <w:rPr>
          <w:rFonts w:ascii="宋体" w:hAnsi="宋体" w:eastAsia="宋体" w:cs="宋体"/>
          <w:color w:val="auto"/>
          <w:sz w:val="24"/>
          <w:szCs w:val="24"/>
        </w:rPr>
        <w:t>条款</w:t>
      </w:r>
      <w:r>
        <w:rPr>
          <w:rFonts w:hint="eastAsia" w:ascii="宋体" w:hAnsi="宋体" w:eastAsia="宋体" w:cs="宋体"/>
          <w:color w:val="auto"/>
          <w:sz w:val="24"/>
          <w:szCs w:val="24"/>
        </w:rPr>
        <w:t>所列合同条件中的词语涵义相同。</w:t>
      </w:r>
    </w:p>
    <w:p>
      <w:pPr>
        <w:spacing w:line="500" w:lineRule="exact"/>
        <w:ind w:left="-48" w:leftChars="-23" w:firstLine="480" w:firstLineChars="200"/>
        <w:rPr>
          <w:rFonts w:ascii="宋体" w:hAnsi="宋体" w:eastAsia="宋体" w:cs="宋体"/>
          <w:color w:val="auto"/>
          <w:sz w:val="24"/>
        </w:rPr>
      </w:pPr>
      <w:r>
        <w:rPr>
          <w:rFonts w:hint="eastAsia" w:ascii="宋体" w:hAnsi="宋体" w:eastAsia="宋体" w:cs="宋体"/>
          <w:color w:val="auto"/>
          <w:sz w:val="24"/>
          <w:szCs w:val="24"/>
        </w:rPr>
        <w:t>3.</w:t>
      </w:r>
      <w:r>
        <w:rPr>
          <w:rFonts w:hint="eastAsia" w:ascii="宋体" w:hAnsi="宋体" w:eastAsia="宋体" w:cs="宋体"/>
          <w:color w:val="auto"/>
          <w:sz w:val="24"/>
        </w:rPr>
        <w:t>下列文件应看成本协议的组成部分，并按此以理解和解释：</w:t>
      </w:r>
    </w:p>
    <w:p>
      <w:pPr>
        <w:numPr>
          <w:ilvl w:val="0"/>
          <w:numId w:val="4"/>
        </w:numPr>
        <w:spacing w:line="360" w:lineRule="auto"/>
        <w:rPr>
          <w:rFonts w:ascii="宋体" w:hAnsi="宋体" w:eastAsia="宋体" w:cs="宋体"/>
          <w:color w:val="auto"/>
          <w:sz w:val="24"/>
        </w:rPr>
      </w:pPr>
      <w:r>
        <w:rPr>
          <w:rFonts w:hint="eastAsia" w:ascii="宋体" w:hAnsi="宋体" w:eastAsia="宋体" w:cs="宋体"/>
          <w:color w:val="auto"/>
          <w:sz w:val="24"/>
        </w:rPr>
        <w:t>中标通知书</w:t>
      </w:r>
    </w:p>
    <w:p>
      <w:pPr>
        <w:numPr>
          <w:ilvl w:val="0"/>
          <w:numId w:val="4"/>
        </w:numPr>
        <w:spacing w:line="360" w:lineRule="auto"/>
        <w:rPr>
          <w:rFonts w:ascii="宋体" w:hAnsi="宋体" w:eastAsia="宋体" w:cs="宋体"/>
          <w:color w:val="auto"/>
          <w:sz w:val="24"/>
        </w:rPr>
      </w:pPr>
      <w:r>
        <w:rPr>
          <w:rFonts w:hint="eastAsia" w:ascii="宋体" w:hAnsi="宋体" w:eastAsia="宋体" w:cs="宋体"/>
          <w:color w:val="auto"/>
          <w:sz w:val="24"/>
        </w:rPr>
        <w:t>协议书（包括协议书备忘录）</w:t>
      </w:r>
    </w:p>
    <w:p>
      <w:pPr>
        <w:numPr>
          <w:ilvl w:val="0"/>
          <w:numId w:val="4"/>
        </w:numPr>
        <w:spacing w:line="360" w:lineRule="auto"/>
        <w:rPr>
          <w:rFonts w:ascii="宋体" w:hAnsi="宋体" w:eastAsia="宋体" w:cs="宋体"/>
          <w:color w:val="auto"/>
          <w:sz w:val="24"/>
        </w:rPr>
      </w:pPr>
      <w:r>
        <w:rPr>
          <w:rFonts w:hint="eastAsia" w:ascii="宋体" w:hAnsi="宋体" w:eastAsia="宋体" w:cs="宋体"/>
          <w:color w:val="auto"/>
          <w:sz w:val="24"/>
        </w:rPr>
        <w:t>勘察设计合同条款</w:t>
      </w:r>
    </w:p>
    <w:p>
      <w:pPr>
        <w:spacing w:line="360" w:lineRule="auto"/>
        <w:ind w:left="459"/>
        <w:rPr>
          <w:rFonts w:ascii="宋体" w:hAnsi="宋体" w:eastAsia="宋体" w:cs="宋体"/>
          <w:b/>
          <w:color w:val="auto"/>
          <w:sz w:val="24"/>
          <w:szCs w:val="24"/>
        </w:rPr>
      </w:pPr>
      <w:r>
        <w:rPr>
          <w:rFonts w:hint="eastAsia" w:ascii="宋体" w:hAnsi="宋体" w:eastAsia="宋体" w:cs="宋体"/>
          <w:color w:val="auto"/>
          <w:sz w:val="24"/>
        </w:rPr>
        <w:t>4）组成合同的其它文件</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4.上述文件应认为是互为补充和解释的。但如果有模棱两可或互相矛盾之处，应按上面所列顺序在前的为准。</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5．鉴于甲方将按合同所述的方式和时间向乙方付款，因此，乙方在此与甲方签约，保证全面按本合同规定完成勘察设计工作。</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6．鉴于乙方履行上述合同，甲方签约保证按合同所述的方式和时间向乙方支付合同金额或其它应支付的款项。</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7．甲方和乙方双方同意，本协议书（包括合同文件）表达了双方所有的协议、谅解、许诺和契约，并同意本合同汇集、综合和取代了所有以往的协商、谅解与协议（无论是口头的还是书面的形式），双方还同意，除了在本合同中有特别规定或用书面阐明并履行了与该合同相同手续外，该合同的修改或变动均为无效或对双方不具有约束力。</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8．本合同协议书签订时，甲方和乙方双方还应签定《工程勘察设计廉政责任书》。</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9．本建设工程设计合同在履行过程中发生纠纷，甲方与乙方应及时协商解决。协商不成时，双方同意由</w:t>
      </w:r>
      <w:r>
        <w:rPr>
          <w:rFonts w:hint="eastAsia" w:ascii="宋体" w:hAnsi="宋体" w:eastAsia="宋体" w:cs="宋体"/>
          <w:color w:val="auto"/>
          <w:sz w:val="24"/>
          <w:u w:val="single"/>
        </w:rPr>
        <w:t xml:space="preserve">  广州 </w:t>
      </w:r>
      <w:r>
        <w:rPr>
          <w:rFonts w:hint="eastAsia" w:ascii="宋体" w:hAnsi="宋体" w:eastAsia="宋体" w:cs="宋体"/>
          <w:color w:val="auto"/>
          <w:sz w:val="24"/>
        </w:rPr>
        <w:t>仲裁委员会仲裁（双方不约定仲裁机构，事后又没有达成书面仲裁协议的，可向人民法院起诉）。</w:t>
      </w:r>
    </w:p>
    <w:p>
      <w:pPr>
        <w:spacing w:line="500" w:lineRule="exact"/>
        <w:ind w:left="-48" w:leftChars="-23" w:firstLine="480" w:firstLineChars="200"/>
        <w:rPr>
          <w:rFonts w:ascii="宋体" w:hAnsi="宋体" w:eastAsia="宋体" w:cs="宋体"/>
          <w:color w:val="auto"/>
          <w:sz w:val="24"/>
          <w:szCs w:val="24"/>
        </w:rPr>
      </w:pPr>
      <w:r>
        <w:rPr>
          <w:rFonts w:hint="eastAsia" w:ascii="宋体" w:hAnsi="宋体" w:eastAsia="宋体" w:cs="宋体"/>
          <w:color w:val="auto"/>
          <w:sz w:val="24"/>
        </w:rPr>
        <w:t>10．</w:t>
      </w:r>
      <w:r>
        <w:rPr>
          <w:rFonts w:hint="eastAsia" w:ascii="宋体" w:hAnsi="宋体" w:eastAsia="宋体" w:cs="宋体"/>
          <w:color w:val="auto"/>
          <w:sz w:val="24"/>
          <w:szCs w:val="24"/>
        </w:rPr>
        <w:t>本合同书正本一式两份，具有同等法律效力，由双方各执一份；副本六份，双方各执三份。</w:t>
      </w:r>
    </w:p>
    <w:p>
      <w:pPr>
        <w:spacing w:line="360" w:lineRule="auto"/>
        <w:ind w:firstLine="4200" w:firstLineChars="1750"/>
        <w:rPr>
          <w:rFonts w:ascii="宋体" w:hAnsi="宋体" w:eastAsia="宋体" w:cs="宋体"/>
          <w:color w:val="auto"/>
          <w:sz w:val="24"/>
        </w:rPr>
      </w:pPr>
    </w:p>
    <w:p>
      <w:pPr>
        <w:spacing w:line="240" w:lineRule="auto"/>
        <w:ind w:firstLine="0" w:firstLineChars="0"/>
        <w:rPr>
          <w:rFonts w:ascii="宋体" w:hAnsi="宋体" w:eastAsia="宋体" w:cs="宋体"/>
          <w:color w:val="auto"/>
          <w:sz w:val="24"/>
        </w:rPr>
      </w:pPr>
      <w:r>
        <w:rPr>
          <w:rFonts w:ascii="宋体" w:hAnsi="宋体" w:eastAsia="宋体" w:cs="宋体"/>
          <w:color w:val="auto"/>
          <w:sz w:val="24"/>
        </w:rPr>
        <w:br w:type="page"/>
      </w:r>
    </w:p>
    <w:p>
      <w:pPr>
        <w:pStyle w:val="2"/>
        <w:rPr>
          <w:color w:val="auto"/>
        </w:rPr>
      </w:pPr>
    </w:p>
    <w:tbl>
      <w:tblPr>
        <w:tblStyle w:val="32"/>
        <w:tblW w:w="8835" w:type="dxa"/>
        <w:tblInd w:w="0" w:type="dxa"/>
        <w:tblLayout w:type="fixed"/>
        <w:tblCellMar>
          <w:top w:w="0" w:type="dxa"/>
          <w:left w:w="0" w:type="dxa"/>
          <w:bottom w:w="0" w:type="dxa"/>
          <w:right w:w="0" w:type="dxa"/>
        </w:tblCellMar>
      </w:tblPr>
      <w:tblGrid>
        <w:gridCol w:w="4275"/>
        <w:gridCol w:w="285"/>
        <w:gridCol w:w="4275"/>
      </w:tblGrid>
      <w:tr>
        <w:tblPrEx>
          <w:tblCellMar>
            <w:top w:w="0" w:type="dxa"/>
            <w:left w:w="0" w:type="dxa"/>
            <w:bottom w:w="0" w:type="dxa"/>
            <w:right w:w="0" w:type="dxa"/>
          </w:tblCellMar>
        </w:tblPrEx>
        <w:trPr>
          <w:trHeight w:val="1060" w:hRule="atLeast"/>
        </w:trPr>
        <w:tc>
          <w:tcPr>
            <w:tcW w:w="4275" w:type="dxa"/>
            <w:tcBorders>
              <w:top w:val="nil"/>
              <w:left w:val="nil"/>
              <w:bottom w:val="nil"/>
              <w:right w:val="nil"/>
            </w:tcBorders>
            <w:shd w:val="clear" w:color="auto" w:fill="auto"/>
            <w:tcMar>
              <w:top w:w="15" w:type="dxa"/>
              <w:left w:w="15" w:type="dxa"/>
              <w:right w:w="15" w:type="dxa"/>
            </w:tcMar>
          </w:tcPr>
          <w:p>
            <w:pPr>
              <w:widowControl/>
              <w:textAlignment w:val="top"/>
              <w:rPr>
                <w:rStyle w:val="60"/>
                <w:rFonts w:hint="default"/>
                <w:color w:val="auto"/>
                <w:lang w:bidi="ar"/>
              </w:rPr>
            </w:pPr>
            <w:r>
              <w:rPr>
                <w:rStyle w:val="59"/>
                <w:rFonts w:hint="default"/>
                <w:color w:val="auto"/>
                <w:lang w:bidi="ar"/>
              </w:rPr>
              <w:t>发包人</w:t>
            </w:r>
            <w:r>
              <w:rPr>
                <w:rStyle w:val="60"/>
                <w:rFonts w:hint="default"/>
                <w:color w:val="auto"/>
                <w:lang w:bidi="ar"/>
              </w:rPr>
              <w:t>：（盖章）</w:t>
            </w:r>
          </w:p>
          <w:p>
            <w:pPr>
              <w:widowControl/>
              <w:textAlignment w:val="top"/>
              <w:rPr>
                <w:rFonts w:ascii="宋体" w:hAnsi="宋体" w:eastAsia="宋体" w:cs="宋体"/>
                <w:b/>
                <w:color w:val="auto"/>
                <w:sz w:val="24"/>
                <w:szCs w:val="24"/>
              </w:rPr>
            </w:pPr>
            <w:r>
              <w:rPr>
                <w:rStyle w:val="59"/>
                <w:rFonts w:hint="default"/>
                <w:color w:val="auto"/>
                <w:lang w:bidi="ar"/>
              </w:rPr>
              <w:t xml:space="preserve">广州市花都区水务建设管理中心                               </w:t>
            </w:r>
          </w:p>
        </w:tc>
        <w:tc>
          <w:tcPr>
            <w:tcW w:w="285" w:type="dxa"/>
            <w:tcBorders>
              <w:top w:val="nil"/>
              <w:left w:val="nil"/>
              <w:bottom w:val="nil"/>
              <w:right w:val="nil"/>
            </w:tcBorders>
            <w:shd w:val="clear" w:color="auto" w:fill="auto"/>
            <w:tcMar>
              <w:top w:w="15" w:type="dxa"/>
              <w:left w:w="15" w:type="dxa"/>
              <w:right w:w="15" w:type="dxa"/>
            </w:tcMar>
          </w:tcPr>
          <w:p>
            <w:pPr>
              <w:rPr>
                <w:rFonts w:ascii="宋体" w:hAnsi="宋体" w:eastAsia="宋体" w:cs="宋体"/>
                <w:b/>
                <w:color w:val="auto"/>
                <w:sz w:val="24"/>
                <w:szCs w:val="24"/>
              </w:rPr>
            </w:pPr>
          </w:p>
        </w:tc>
        <w:tc>
          <w:tcPr>
            <w:tcW w:w="4275" w:type="dxa"/>
            <w:tcBorders>
              <w:top w:val="nil"/>
              <w:left w:val="nil"/>
              <w:bottom w:val="nil"/>
              <w:right w:val="nil"/>
            </w:tcBorders>
            <w:shd w:val="clear" w:color="auto" w:fill="auto"/>
            <w:tcMar>
              <w:top w:w="15" w:type="dxa"/>
              <w:left w:w="15" w:type="dxa"/>
              <w:right w:w="15" w:type="dxa"/>
            </w:tcMar>
          </w:tcPr>
          <w:p>
            <w:pPr>
              <w:widowControl/>
              <w:textAlignment w:val="top"/>
              <w:rPr>
                <w:rStyle w:val="59"/>
                <w:rFonts w:hint="default"/>
                <w:color w:val="auto"/>
              </w:rPr>
            </w:pPr>
            <w:r>
              <w:rPr>
                <w:rStyle w:val="59"/>
                <w:rFonts w:hint="default"/>
                <w:color w:val="auto"/>
                <w:lang w:bidi="ar"/>
              </w:rPr>
              <w:t>承包人</w:t>
            </w:r>
            <w:r>
              <w:rPr>
                <w:rStyle w:val="59"/>
                <w:rFonts w:hint="default"/>
                <w:color w:val="auto"/>
              </w:rPr>
              <w:t>：（盖章）</w:t>
            </w:r>
          </w:p>
          <w:p>
            <w:pPr>
              <w:pStyle w:val="7"/>
              <w:rPr>
                <w:rStyle w:val="59"/>
                <w:rFonts w:hint="eastAsia" w:eastAsia="宋体"/>
                <w:b/>
                <w:color w:val="auto"/>
                <w:lang w:eastAsia="zh-CN"/>
              </w:rPr>
            </w:pPr>
            <w:r>
              <w:rPr>
                <w:rStyle w:val="59"/>
                <w:rFonts w:hint="eastAsia" w:eastAsia="宋体"/>
                <w:b/>
                <w:color w:val="auto"/>
                <w:lang w:val="en-US" w:eastAsia="zh-CN"/>
              </w:rPr>
              <w:t xml:space="preserve"> </w:t>
            </w:r>
          </w:p>
        </w:tc>
      </w:tr>
      <w:tr>
        <w:tblPrEx>
          <w:tblCellMar>
            <w:top w:w="0" w:type="dxa"/>
            <w:left w:w="0" w:type="dxa"/>
            <w:bottom w:w="0" w:type="dxa"/>
            <w:right w:w="0" w:type="dxa"/>
          </w:tblCellMar>
        </w:tblPrEx>
        <w:trPr>
          <w:trHeight w:val="900" w:hRule="atLeast"/>
        </w:trPr>
        <w:tc>
          <w:tcPr>
            <w:tcW w:w="4275" w:type="dxa"/>
            <w:tcBorders>
              <w:top w:val="nil"/>
              <w:left w:val="nil"/>
              <w:bottom w:val="nil"/>
              <w:right w:val="nil"/>
            </w:tcBorders>
            <w:shd w:val="clear" w:color="auto" w:fill="auto"/>
            <w:tcMar>
              <w:top w:w="15" w:type="dxa"/>
              <w:left w:w="15" w:type="dxa"/>
              <w:right w:w="15" w:type="dxa"/>
            </w:tcMar>
          </w:tcPr>
          <w:p>
            <w:pPr>
              <w:widowControl/>
              <w:textAlignment w:val="top"/>
              <w:rPr>
                <w:rFonts w:ascii="宋体" w:hAnsi="宋体" w:eastAsia="宋体" w:cs="宋体"/>
                <w:b/>
                <w:color w:val="auto"/>
                <w:sz w:val="24"/>
                <w:szCs w:val="24"/>
              </w:rPr>
            </w:pPr>
            <w:r>
              <w:rPr>
                <w:rStyle w:val="59"/>
                <w:rFonts w:hint="default"/>
                <w:color w:val="auto"/>
                <w:lang w:bidi="ar"/>
              </w:rPr>
              <w:t>法定代表人</w:t>
            </w:r>
            <w:r>
              <w:rPr>
                <w:rStyle w:val="60"/>
                <w:rFonts w:hint="default"/>
                <w:color w:val="auto"/>
                <w:lang w:bidi="ar"/>
              </w:rPr>
              <w:t>：（签字或签章）</w:t>
            </w:r>
          </w:p>
        </w:tc>
        <w:tc>
          <w:tcPr>
            <w:tcW w:w="285" w:type="dxa"/>
            <w:tcBorders>
              <w:top w:val="nil"/>
              <w:left w:val="nil"/>
              <w:bottom w:val="nil"/>
              <w:right w:val="nil"/>
            </w:tcBorders>
            <w:shd w:val="clear" w:color="auto" w:fill="auto"/>
            <w:tcMar>
              <w:top w:w="15" w:type="dxa"/>
              <w:left w:w="15" w:type="dxa"/>
              <w:right w:w="15" w:type="dxa"/>
            </w:tcMar>
          </w:tcPr>
          <w:p>
            <w:pPr>
              <w:rPr>
                <w:rFonts w:ascii="宋体" w:hAnsi="宋体" w:eastAsia="宋体" w:cs="宋体"/>
                <w:b/>
                <w:color w:val="auto"/>
                <w:sz w:val="24"/>
                <w:szCs w:val="24"/>
              </w:rPr>
            </w:pPr>
          </w:p>
        </w:tc>
        <w:tc>
          <w:tcPr>
            <w:tcW w:w="4275" w:type="dxa"/>
            <w:tcBorders>
              <w:top w:val="nil"/>
              <w:left w:val="nil"/>
              <w:bottom w:val="nil"/>
              <w:right w:val="nil"/>
            </w:tcBorders>
            <w:shd w:val="clear" w:color="auto" w:fill="auto"/>
            <w:tcMar>
              <w:top w:w="15" w:type="dxa"/>
              <w:left w:w="15" w:type="dxa"/>
              <w:right w:w="15" w:type="dxa"/>
            </w:tcMar>
          </w:tcPr>
          <w:p>
            <w:pPr>
              <w:widowControl/>
              <w:textAlignment w:val="top"/>
              <w:rPr>
                <w:rFonts w:ascii="宋体" w:hAnsi="宋体" w:eastAsia="宋体" w:cs="宋体"/>
                <w:b/>
                <w:color w:val="auto"/>
                <w:sz w:val="24"/>
                <w:szCs w:val="24"/>
              </w:rPr>
            </w:pPr>
            <w:r>
              <w:rPr>
                <w:rStyle w:val="59"/>
                <w:rFonts w:hint="default"/>
                <w:color w:val="auto"/>
                <w:lang w:bidi="ar"/>
              </w:rPr>
              <w:t>法定代表人</w:t>
            </w:r>
            <w:r>
              <w:rPr>
                <w:rStyle w:val="60"/>
                <w:rFonts w:hint="default"/>
                <w:color w:val="auto"/>
                <w:lang w:bidi="ar"/>
              </w:rPr>
              <w:t>：（签字或签章）</w:t>
            </w:r>
          </w:p>
        </w:tc>
      </w:tr>
      <w:tr>
        <w:tblPrEx>
          <w:tblCellMar>
            <w:top w:w="0" w:type="dxa"/>
            <w:left w:w="0" w:type="dxa"/>
            <w:bottom w:w="0" w:type="dxa"/>
            <w:right w:w="0" w:type="dxa"/>
          </w:tblCellMar>
        </w:tblPrEx>
        <w:trPr>
          <w:trHeight w:val="900" w:hRule="atLeast"/>
        </w:trPr>
        <w:tc>
          <w:tcPr>
            <w:tcW w:w="4275" w:type="dxa"/>
            <w:tcBorders>
              <w:top w:val="nil"/>
              <w:left w:val="nil"/>
              <w:bottom w:val="nil"/>
              <w:right w:val="nil"/>
            </w:tcBorders>
            <w:shd w:val="clear" w:color="auto" w:fill="auto"/>
            <w:tcMar>
              <w:top w:w="15" w:type="dxa"/>
              <w:left w:w="15" w:type="dxa"/>
              <w:right w:w="15" w:type="dxa"/>
            </w:tcMar>
          </w:tcPr>
          <w:p>
            <w:pPr>
              <w:widowControl/>
              <w:textAlignment w:val="top"/>
              <w:rPr>
                <w:rFonts w:ascii="宋体" w:hAnsi="宋体" w:eastAsia="宋体" w:cs="宋体"/>
                <w:b/>
                <w:color w:val="auto"/>
                <w:sz w:val="24"/>
                <w:szCs w:val="24"/>
              </w:rPr>
            </w:pPr>
            <w:r>
              <w:rPr>
                <w:rStyle w:val="59"/>
                <w:rFonts w:hint="default"/>
                <w:color w:val="auto"/>
                <w:lang w:bidi="ar"/>
              </w:rPr>
              <w:t>或委托代理人：</w:t>
            </w:r>
            <w:r>
              <w:rPr>
                <w:rStyle w:val="60"/>
                <w:rFonts w:hint="default"/>
                <w:color w:val="auto"/>
                <w:lang w:bidi="ar"/>
              </w:rPr>
              <w:t>（签字或签章）</w:t>
            </w:r>
          </w:p>
        </w:tc>
        <w:tc>
          <w:tcPr>
            <w:tcW w:w="285" w:type="dxa"/>
            <w:tcBorders>
              <w:top w:val="nil"/>
              <w:left w:val="nil"/>
              <w:bottom w:val="nil"/>
              <w:right w:val="nil"/>
            </w:tcBorders>
            <w:shd w:val="clear" w:color="auto" w:fill="auto"/>
            <w:tcMar>
              <w:top w:w="15" w:type="dxa"/>
              <w:left w:w="15" w:type="dxa"/>
              <w:right w:w="15" w:type="dxa"/>
            </w:tcMar>
          </w:tcPr>
          <w:p>
            <w:pPr>
              <w:rPr>
                <w:rFonts w:ascii="宋体" w:hAnsi="宋体" w:eastAsia="宋体" w:cs="宋体"/>
                <w:b/>
                <w:color w:val="auto"/>
                <w:sz w:val="24"/>
                <w:szCs w:val="24"/>
              </w:rPr>
            </w:pPr>
          </w:p>
        </w:tc>
        <w:tc>
          <w:tcPr>
            <w:tcW w:w="4275" w:type="dxa"/>
            <w:tcBorders>
              <w:top w:val="nil"/>
              <w:left w:val="nil"/>
              <w:bottom w:val="nil"/>
              <w:right w:val="nil"/>
            </w:tcBorders>
            <w:shd w:val="clear" w:color="auto" w:fill="auto"/>
            <w:tcMar>
              <w:top w:w="15" w:type="dxa"/>
              <w:left w:w="15" w:type="dxa"/>
              <w:right w:w="15" w:type="dxa"/>
            </w:tcMar>
          </w:tcPr>
          <w:p>
            <w:pPr>
              <w:widowControl/>
              <w:textAlignment w:val="top"/>
              <w:rPr>
                <w:rFonts w:ascii="宋体" w:hAnsi="宋体" w:eastAsia="宋体" w:cs="宋体"/>
                <w:b/>
                <w:color w:val="auto"/>
                <w:sz w:val="24"/>
                <w:szCs w:val="24"/>
              </w:rPr>
            </w:pPr>
            <w:r>
              <w:rPr>
                <w:rStyle w:val="59"/>
                <w:rFonts w:hint="default"/>
                <w:color w:val="auto"/>
                <w:lang w:bidi="ar"/>
              </w:rPr>
              <w:t>或委托代理人：</w:t>
            </w:r>
            <w:r>
              <w:rPr>
                <w:rStyle w:val="60"/>
                <w:rFonts w:hint="default"/>
                <w:color w:val="auto"/>
                <w:lang w:bidi="ar"/>
              </w:rPr>
              <w:t>（签字或签章）</w:t>
            </w:r>
          </w:p>
        </w:tc>
      </w:tr>
      <w:tr>
        <w:tblPrEx>
          <w:tblCellMar>
            <w:top w:w="0" w:type="dxa"/>
            <w:left w:w="0" w:type="dxa"/>
            <w:bottom w:w="0" w:type="dxa"/>
            <w:right w:w="0" w:type="dxa"/>
          </w:tblCellMar>
        </w:tblPrEx>
        <w:trPr>
          <w:trHeight w:val="960" w:hRule="atLeast"/>
        </w:trPr>
        <w:tc>
          <w:tcPr>
            <w:tcW w:w="4275" w:type="dxa"/>
            <w:tcBorders>
              <w:top w:val="nil"/>
              <w:left w:val="nil"/>
              <w:bottom w:val="nil"/>
              <w:right w:val="nil"/>
            </w:tcBorders>
            <w:shd w:val="clear" w:color="auto" w:fill="auto"/>
            <w:tcMar>
              <w:top w:w="15" w:type="dxa"/>
              <w:left w:w="15" w:type="dxa"/>
              <w:right w:w="15" w:type="dxa"/>
            </w:tcMar>
          </w:tcPr>
          <w:p>
            <w:pPr>
              <w:widowControl/>
              <w:textAlignment w:val="top"/>
              <w:rPr>
                <w:rFonts w:ascii="宋体" w:hAnsi="宋体" w:eastAsia="宋体" w:cs="宋体"/>
                <w:b/>
                <w:color w:val="auto"/>
                <w:sz w:val="24"/>
                <w:szCs w:val="24"/>
              </w:rPr>
            </w:pPr>
            <w:r>
              <w:rPr>
                <w:rStyle w:val="59"/>
                <w:rFonts w:hint="default"/>
                <w:color w:val="auto"/>
                <w:lang w:bidi="ar"/>
              </w:rPr>
              <w:t>地址：</w:t>
            </w:r>
            <w:r>
              <w:rPr>
                <w:rStyle w:val="60"/>
                <w:rFonts w:hint="default"/>
                <w:b/>
                <w:bCs/>
                <w:color w:val="auto"/>
                <w:lang w:bidi="ar"/>
              </w:rPr>
              <w:t>广州市花都区新华街宝华路</w:t>
            </w:r>
            <w:r>
              <w:rPr>
                <w:rStyle w:val="61"/>
                <w:rFonts w:eastAsia="宋体"/>
                <w:b/>
                <w:bCs/>
                <w:color w:val="auto"/>
                <w:lang w:bidi="ar"/>
              </w:rPr>
              <w:t>34</w:t>
            </w:r>
            <w:r>
              <w:rPr>
                <w:rStyle w:val="60"/>
                <w:rFonts w:hint="default"/>
                <w:b/>
                <w:bCs/>
                <w:color w:val="auto"/>
                <w:lang w:bidi="ar"/>
              </w:rPr>
              <w:t>号</w:t>
            </w:r>
          </w:p>
        </w:tc>
        <w:tc>
          <w:tcPr>
            <w:tcW w:w="285" w:type="dxa"/>
            <w:tcBorders>
              <w:top w:val="nil"/>
              <w:left w:val="nil"/>
              <w:bottom w:val="nil"/>
              <w:right w:val="nil"/>
            </w:tcBorders>
            <w:shd w:val="clear" w:color="auto" w:fill="auto"/>
            <w:tcMar>
              <w:top w:w="15" w:type="dxa"/>
              <w:left w:w="15" w:type="dxa"/>
              <w:right w:w="15" w:type="dxa"/>
            </w:tcMar>
          </w:tcPr>
          <w:p>
            <w:pPr>
              <w:rPr>
                <w:rFonts w:ascii="宋体" w:hAnsi="宋体" w:eastAsia="宋体" w:cs="宋体"/>
                <w:b/>
                <w:color w:val="auto"/>
                <w:sz w:val="24"/>
                <w:szCs w:val="24"/>
              </w:rPr>
            </w:pPr>
          </w:p>
        </w:tc>
        <w:tc>
          <w:tcPr>
            <w:tcW w:w="4275" w:type="dxa"/>
            <w:tcBorders>
              <w:top w:val="nil"/>
              <w:left w:val="nil"/>
              <w:bottom w:val="nil"/>
              <w:right w:val="nil"/>
            </w:tcBorders>
            <w:shd w:val="clear" w:color="auto" w:fill="auto"/>
            <w:tcMar>
              <w:top w:w="15" w:type="dxa"/>
              <w:left w:w="15" w:type="dxa"/>
              <w:right w:w="15" w:type="dxa"/>
            </w:tcMar>
          </w:tcPr>
          <w:p>
            <w:pPr>
              <w:widowControl/>
              <w:textAlignment w:val="top"/>
              <w:rPr>
                <w:rFonts w:hint="eastAsia" w:ascii="宋体" w:hAnsi="宋体" w:eastAsia="宋体" w:cs="宋体"/>
                <w:b/>
                <w:color w:val="auto"/>
                <w:sz w:val="24"/>
                <w:szCs w:val="24"/>
                <w:lang w:eastAsia="zh-CN"/>
              </w:rPr>
            </w:pPr>
            <w:r>
              <w:rPr>
                <w:rFonts w:hint="eastAsia" w:ascii="宋体" w:hAnsi="宋体" w:eastAsia="宋体" w:cs="宋体"/>
                <w:b/>
                <w:color w:val="auto"/>
                <w:kern w:val="0"/>
                <w:sz w:val="24"/>
                <w:szCs w:val="24"/>
                <w:lang w:bidi="ar"/>
              </w:rPr>
              <w:t>地址：</w:t>
            </w:r>
            <w:r>
              <w:rPr>
                <w:rFonts w:hint="eastAsia" w:ascii="宋体" w:hAnsi="宋体" w:eastAsia="宋体" w:cs="宋体"/>
                <w:b/>
                <w:color w:val="auto"/>
                <w:kern w:val="0"/>
                <w:sz w:val="24"/>
                <w:szCs w:val="24"/>
                <w:lang w:val="en-US" w:eastAsia="zh-CN"/>
              </w:rPr>
              <w:t xml:space="preserve"> </w:t>
            </w:r>
          </w:p>
        </w:tc>
      </w:tr>
      <w:tr>
        <w:tblPrEx>
          <w:tblCellMar>
            <w:top w:w="0" w:type="dxa"/>
            <w:left w:w="0" w:type="dxa"/>
            <w:bottom w:w="0" w:type="dxa"/>
            <w:right w:w="0" w:type="dxa"/>
          </w:tblCellMar>
        </w:tblPrEx>
        <w:trPr>
          <w:trHeight w:val="780" w:hRule="atLeast"/>
        </w:trPr>
        <w:tc>
          <w:tcPr>
            <w:tcW w:w="4275" w:type="dxa"/>
            <w:tcBorders>
              <w:top w:val="nil"/>
              <w:left w:val="nil"/>
              <w:bottom w:val="nil"/>
              <w:right w:val="nil"/>
            </w:tcBorders>
            <w:shd w:val="clear" w:color="auto" w:fill="auto"/>
            <w:tcMar>
              <w:top w:w="15" w:type="dxa"/>
              <w:left w:w="15" w:type="dxa"/>
              <w:right w:w="15" w:type="dxa"/>
            </w:tcMar>
          </w:tcPr>
          <w:p>
            <w:pPr>
              <w:widowControl/>
              <w:textAlignment w:val="top"/>
              <w:rPr>
                <w:rFonts w:ascii="宋体" w:hAnsi="宋体" w:eastAsia="宋体" w:cs="宋体"/>
                <w:b/>
                <w:color w:val="auto"/>
                <w:sz w:val="24"/>
                <w:szCs w:val="24"/>
              </w:rPr>
            </w:pPr>
            <w:r>
              <w:rPr>
                <w:rFonts w:hint="eastAsia" w:ascii="宋体" w:hAnsi="宋体" w:eastAsia="宋体" w:cs="宋体"/>
                <w:b/>
                <w:color w:val="auto"/>
                <w:kern w:val="0"/>
                <w:sz w:val="24"/>
                <w:szCs w:val="24"/>
                <w:lang w:bidi="ar"/>
              </w:rPr>
              <w:t>开户银行：</w:t>
            </w:r>
          </w:p>
        </w:tc>
        <w:tc>
          <w:tcPr>
            <w:tcW w:w="285" w:type="dxa"/>
            <w:tcBorders>
              <w:top w:val="nil"/>
              <w:left w:val="nil"/>
              <w:bottom w:val="nil"/>
              <w:right w:val="nil"/>
            </w:tcBorders>
            <w:shd w:val="clear" w:color="auto" w:fill="auto"/>
            <w:tcMar>
              <w:top w:w="15" w:type="dxa"/>
              <w:left w:w="15" w:type="dxa"/>
              <w:right w:w="15" w:type="dxa"/>
            </w:tcMar>
          </w:tcPr>
          <w:p>
            <w:pPr>
              <w:rPr>
                <w:rFonts w:ascii="宋体" w:hAnsi="宋体" w:eastAsia="宋体" w:cs="宋体"/>
                <w:b/>
                <w:color w:val="auto"/>
                <w:sz w:val="24"/>
                <w:szCs w:val="24"/>
              </w:rPr>
            </w:pPr>
          </w:p>
        </w:tc>
        <w:tc>
          <w:tcPr>
            <w:tcW w:w="4275" w:type="dxa"/>
            <w:tcBorders>
              <w:top w:val="nil"/>
              <w:left w:val="nil"/>
              <w:bottom w:val="nil"/>
              <w:right w:val="nil"/>
            </w:tcBorders>
            <w:shd w:val="clear" w:color="auto" w:fill="auto"/>
            <w:tcMar>
              <w:top w:w="15" w:type="dxa"/>
              <w:left w:w="15" w:type="dxa"/>
              <w:right w:w="15" w:type="dxa"/>
            </w:tcMar>
          </w:tcPr>
          <w:p>
            <w:pPr>
              <w:widowControl/>
              <w:ind w:left="1205" w:hanging="1205" w:hangingChars="500"/>
              <w:textAlignment w:val="top"/>
              <w:rPr>
                <w:rFonts w:hint="eastAsia"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bidi="ar"/>
              </w:rPr>
              <w:t>开户银行：</w:t>
            </w:r>
            <w:r>
              <w:rPr>
                <w:rFonts w:hint="eastAsia" w:ascii="宋体" w:hAnsi="宋体" w:eastAsia="宋体" w:cs="宋体"/>
                <w:b/>
                <w:color w:val="auto"/>
                <w:kern w:val="0"/>
                <w:sz w:val="24"/>
                <w:szCs w:val="24"/>
                <w:lang w:val="en-US" w:eastAsia="zh-CN"/>
              </w:rPr>
              <w:t xml:space="preserve"> </w:t>
            </w:r>
          </w:p>
          <w:p>
            <w:pPr>
              <w:widowControl/>
              <w:textAlignment w:val="top"/>
              <w:rPr>
                <w:rFonts w:ascii="宋体" w:hAnsi="宋体" w:eastAsia="宋体" w:cs="宋体"/>
                <w:b/>
                <w:color w:val="auto"/>
                <w:sz w:val="24"/>
                <w:szCs w:val="24"/>
              </w:rPr>
            </w:pPr>
          </w:p>
        </w:tc>
      </w:tr>
      <w:tr>
        <w:tblPrEx>
          <w:tblCellMar>
            <w:top w:w="0" w:type="dxa"/>
            <w:left w:w="0" w:type="dxa"/>
            <w:bottom w:w="0" w:type="dxa"/>
            <w:right w:w="0" w:type="dxa"/>
          </w:tblCellMar>
        </w:tblPrEx>
        <w:trPr>
          <w:trHeight w:val="780" w:hRule="atLeast"/>
        </w:trPr>
        <w:tc>
          <w:tcPr>
            <w:tcW w:w="4275" w:type="dxa"/>
            <w:tcBorders>
              <w:top w:val="nil"/>
              <w:left w:val="nil"/>
              <w:bottom w:val="nil"/>
              <w:right w:val="nil"/>
            </w:tcBorders>
            <w:shd w:val="clear" w:color="auto" w:fill="auto"/>
            <w:tcMar>
              <w:top w:w="15" w:type="dxa"/>
              <w:left w:w="15" w:type="dxa"/>
              <w:right w:w="15" w:type="dxa"/>
            </w:tcMar>
          </w:tcPr>
          <w:p>
            <w:pPr>
              <w:widowControl/>
              <w:textAlignment w:val="top"/>
              <w:rPr>
                <w:rFonts w:ascii="宋体" w:hAnsi="宋体" w:eastAsia="宋体" w:cs="宋体"/>
                <w:b/>
                <w:color w:val="auto"/>
                <w:sz w:val="24"/>
                <w:szCs w:val="24"/>
              </w:rPr>
            </w:pPr>
            <w:r>
              <w:rPr>
                <w:rFonts w:hint="eastAsia" w:ascii="宋体" w:hAnsi="宋体" w:eastAsia="宋体" w:cs="宋体"/>
                <w:b/>
                <w:color w:val="auto"/>
                <w:kern w:val="0"/>
                <w:sz w:val="24"/>
                <w:szCs w:val="24"/>
                <w:lang w:bidi="ar"/>
              </w:rPr>
              <w:t>账   户：</w:t>
            </w:r>
          </w:p>
        </w:tc>
        <w:tc>
          <w:tcPr>
            <w:tcW w:w="285" w:type="dxa"/>
            <w:tcBorders>
              <w:top w:val="nil"/>
              <w:left w:val="nil"/>
              <w:bottom w:val="nil"/>
              <w:right w:val="nil"/>
            </w:tcBorders>
            <w:shd w:val="clear" w:color="auto" w:fill="auto"/>
            <w:tcMar>
              <w:top w:w="15" w:type="dxa"/>
              <w:left w:w="15" w:type="dxa"/>
              <w:right w:w="15" w:type="dxa"/>
            </w:tcMar>
          </w:tcPr>
          <w:p>
            <w:pPr>
              <w:rPr>
                <w:rFonts w:ascii="宋体" w:hAnsi="宋体" w:eastAsia="宋体" w:cs="宋体"/>
                <w:b/>
                <w:color w:val="auto"/>
                <w:sz w:val="24"/>
                <w:szCs w:val="24"/>
              </w:rPr>
            </w:pPr>
          </w:p>
        </w:tc>
        <w:tc>
          <w:tcPr>
            <w:tcW w:w="4275" w:type="dxa"/>
            <w:tcBorders>
              <w:top w:val="nil"/>
              <w:left w:val="nil"/>
              <w:bottom w:val="nil"/>
              <w:right w:val="nil"/>
            </w:tcBorders>
            <w:shd w:val="clear" w:color="auto" w:fill="auto"/>
            <w:tcMar>
              <w:top w:w="15" w:type="dxa"/>
              <w:left w:w="15" w:type="dxa"/>
              <w:right w:w="15" w:type="dxa"/>
            </w:tcMar>
          </w:tcPr>
          <w:p>
            <w:pPr>
              <w:widowControl/>
              <w:textAlignment w:val="top"/>
              <w:rPr>
                <w:rFonts w:hint="eastAsia" w:ascii="宋体" w:hAnsi="宋体" w:eastAsia="宋体" w:cs="宋体"/>
                <w:b/>
                <w:color w:val="auto"/>
                <w:sz w:val="24"/>
                <w:szCs w:val="24"/>
                <w:lang w:eastAsia="zh-CN"/>
              </w:rPr>
            </w:pPr>
            <w:r>
              <w:rPr>
                <w:rFonts w:hint="eastAsia" w:ascii="宋体" w:hAnsi="宋体" w:eastAsia="宋体" w:cs="宋体"/>
                <w:b/>
                <w:color w:val="auto"/>
                <w:kern w:val="0"/>
                <w:sz w:val="24"/>
                <w:szCs w:val="24"/>
                <w:lang w:bidi="ar"/>
              </w:rPr>
              <w:t>账   户：</w:t>
            </w:r>
            <w:r>
              <w:rPr>
                <w:rFonts w:hint="eastAsia" w:ascii="宋体" w:hAnsi="宋体" w:eastAsia="宋体" w:cs="宋体"/>
                <w:color w:val="auto"/>
                <w:sz w:val="24"/>
                <w:lang w:val="en-US" w:eastAsia="zh-CN"/>
              </w:rPr>
              <w:t xml:space="preserve"> </w:t>
            </w:r>
          </w:p>
        </w:tc>
      </w:tr>
      <w:tr>
        <w:tblPrEx>
          <w:tblCellMar>
            <w:top w:w="0" w:type="dxa"/>
            <w:left w:w="0" w:type="dxa"/>
            <w:bottom w:w="0" w:type="dxa"/>
            <w:right w:w="0" w:type="dxa"/>
          </w:tblCellMar>
        </w:tblPrEx>
        <w:trPr>
          <w:trHeight w:val="780" w:hRule="atLeast"/>
        </w:trPr>
        <w:tc>
          <w:tcPr>
            <w:tcW w:w="4275" w:type="dxa"/>
            <w:tcBorders>
              <w:top w:val="nil"/>
              <w:left w:val="nil"/>
              <w:bottom w:val="nil"/>
              <w:right w:val="nil"/>
            </w:tcBorders>
            <w:shd w:val="clear" w:color="auto" w:fill="auto"/>
            <w:tcMar>
              <w:top w:w="15" w:type="dxa"/>
              <w:left w:w="15" w:type="dxa"/>
              <w:right w:w="15" w:type="dxa"/>
            </w:tcMar>
          </w:tcPr>
          <w:p>
            <w:pPr>
              <w:widowControl/>
              <w:textAlignment w:val="top"/>
              <w:rPr>
                <w:rFonts w:ascii="宋体" w:hAnsi="宋体" w:eastAsia="宋体" w:cs="宋体"/>
                <w:b/>
                <w:color w:val="auto"/>
                <w:sz w:val="24"/>
                <w:szCs w:val="24"/>
              </w:rPr>
            </w:pPr>
            <w:r>
              <w:rPr>
                <w:rFonts w:hint="eastAsia" w:ascii="宋体" w:hAnsi="宋体" w:eastAsia="宋体" w:cs="宋体"/>
                <w:b/>
                <w:color w:val="auto"/>
                <w:kern w:val="0"/>
                <w:sz w:val="24"/>
                <w:szCs w:val="24"/>
                <w:lang w:bidi="ar"/>
              </w:rPr>
              <w:t>统一社会信用</w:t>
            </w:r>
            <w:r>
              <w:rPr>
                <w:rFonts w:ascii="宋体" w:hAnsi="宋体" w:eastAsia="宋体" w:cs="宋体"/>
                <w:b/>
                <w:color w:val="auto"/>
                <w:kern w:val="0"/>
                <w:sz w:val="24"/>
                <w:szCs w:val="24"/>
                <w:lang w:bidi="ar"/>
              </w:rPr>
              <w:t>代码</w:t>
            </w:r>
            <w:r>
              <w:rPr>
                <w:rFonts w:hint="eastAsia" w:ascii="宋体" w:hAnsi="宋体" w:eastAsia="宋体" w:cs="宋体"/>
                <w:b/>
                <w:color w:val="auto"/>
                <w:kern w:val="0"/>
                <w:sz w:val="24"/>
                <w:szCs w:val="24"/>
                <w:lang w:bidi="ar"/>
              </w:rPr>
              <w:t>：</w:t>
            </w:r>
          </w:p>
        </w:tc>
        <w:tc>
          <w:tcPr>
            <w:tcW w:w="285" w:type="dxa"/>
            <w:tcBorders>
              <w:top w:val="nil"/>
              <w:left w:val="nil"/>
              <w:bottom w:val="nil"/>
              <w:right w:val="nil"/>
            </w:tcBorders>
            <w:shd w:val="clear" w:color="auto" w:fill="auto"/>
            <w:tcMar>
              <w:top w:w="15" w:type="dxa"/>
              <w:left w:w="15" w:type="dxa"/>
              <w:right w:w="15" w:type="dxa"/>
            </w:tcMar>
          </w:tcPr>
          <w:p>
            <w:pPr>
              <w:rPr>
                <w:rFonts w:ascii="宋体" w:hAnsi="宋体" w:eastAsia="宋体" w:cs="宋体"/>
                <w:b/>
                <w:color w:val="auto"/>
                <w:sz w:val="24"/>
                <w:szCs w:val="24"/>
              </w:rPr>
            </w:pPr>
          </w:p>
        </w:tc>
        <w:tc>
          <w:tcPr>
            <w:tcW w:w="4275" w:type="dxa"/>
            <w:tcBorders>
              <w:top w:val="nil"/>
              <w:left w:val="nil"/>
              <w:bottom w:val="nil"/>
              <w:right w:val="nil"/>
            </w:tcBorders>
            <w:shd w:val="clear" w:color="auto" w:fill="auto"/>
            <w:tcMar>
              <w:top w:w="15" w:type="dxa"/>
              <w:left w:w="15" w:type="dxa"/>
              <w:right w:w="15" w:type="dxa"/>
            </w:tcMar>
          </w:tcPr>
          <w:p>
            <w:pPr>
              <w:widowControl/>
              <w:textAlignment w:val="top"/>
              <w:rPr>
                <w:rFonts w:hint="eastAsia" w:ascii="宋体" w:hAnsi="宋体" w:eastAsia="宋体" w:cs="宋体"/>
                <w:b/>
                <w:color w:val="auto"/>
                <w:sz w:val="24"/>
                <w:szCs w:val="24"/>
                <w:lang w:eastAsia="zh-CN"/>
              </w:rPr>
            </w:pPr>
            <w:r>
              <w:rPr>
                <w:rFonts w:hint="eastAsia" w:ascii="宋体" w:hAnsi="宋体" w:eastAsia="宋体" w:cs="宋体"/>
                <w:b/>
                <w:color w:val="auto"/>
                <w:kern w:val="0"/>
                <w:sz w:val="24"/>
                <w:szCs w:val="24"/>
                <w:lang w:bidi="ar"/>
              </w:rPr>
              <w:t>统一社会</w:t>
            </w:r>
            <w:r>
              <w:rPr>
                <w:rFonts w:ascii="宋体" w:hAnsi="宋体" w:eastAsia="宋体" w:cs="宋体"/>
                <w:b/>
                <w:color w:val="auto"/>
                <w:kern w:val="0"/>
                <w:sz w:val="24"/>
                <w:szCs w:val="24"/>
                <w:lang w:bidi="ar"/>
              </w:rPr>
              <w:t>信用代码</w:t>
            </w:r>
            <w:r>
              <w:rPr>
                <w:rFonts w:hint="eastAsia" w:ascii="宋体" w:hAnsi="宋体" w:eastAsia="宋体" w:cs="宋体"/>
                <w:b/>
                <w:color w:val="auto"/>
                <w:kern w:val="0"/>
                <w:sz w:val="24"/>
                <w:szCs w:val="24"/>
                <w:lang w:bidi="ar"/>
              </w:rPr>
              <w:t>：</w:t>
            </w:r>
            <w:r>
              <w:rPr>
                <w:rFonts w:hint="eastAsia" w:ascii="宋体" w:hAnsi="宋体" w:eastAsia="宋体" w:cs="宋体"/>
                <w:color w:val="auto"/>
                <w:sz w:val="24"/>
                <w:lang w:val="en-US" w:eastAsia="zh-CN"/>
              </w:rPr>
              <w:t xml:space="preserve"> </w:t>
            </w:r>
          </w:p>
        </w:tc>
      </w:tr>
      <w:tr>
        <w:tblPrEx>
          <w:tblCellMar>
            <w:top w:w="0" w:type="dxa"/>
            <w:left w:w="0" w:type="dxa"/>
            <w:bottom w:w="0" w:type="dxa"/>
            <w:right w:w="0" w:type="dxa"/>
          </w:tblCellMar>
        </w:tblPrEx>
        <w:trPr>
          <w:trHeight w:val="780" w:hRule="atLeast"/>
        </w:trPr>
        <w:tc>
          <w:tcPr>
            <w:tcW w:w="4275" w:type="dxa"/>
            <w:tcBorders>
              <w:top w:val="nil"/>
              <w:left w:val="nil"/>
              <w:bottom w:val="nil"/>
              <w:right w:val="nil"/>
            </w:tcBorders>
            <w:shd w:val="clear" w:color="auto" w:fill="auto"/>
            <w:tcMar>
              <w:top w:w="15" w:type="dxa"/>
              <w:left w:w="15" w:type="dxa"/>
              <w:right w:w="15" w:type="dxa"/>
            </w:tcMar>
          </w:tcPr>
          <w:p>
            <w:pPr>
              <w:widowControl/>
              <w:textAlignment w:val="top"/>
              <w:rPr>
                <w:rFonts w:ascii="宋体" w:hAnsi="宋体" w:eastAsia="宋体" w:cs="宋体"/>
                <w:b/>
                <w:color w:val="auto"/>
                <w:sz w:val="24"/>
                <w:szCs w:val="24"/>
              </w:rPr>
            </w:pPr>
            <w:r>
              <w:rPr>
                <w:rStyle w:val="59"/>
                <w:rFonts w:hint="default"/>
                <w:color w:val="auto"/>
                <w:lang w:bidi="ar"/>
              </w:rPr>
              <w:t>电话：</w:t>
            </w:r>
            <w:r>
              <w:rPr>
                <w:rStyle w:val="61"/>
                <w:rFonts w:eastAsia="宋体"/>
                <w:color w:val="auto"/>
                <w:lang w:bidi="ar"/>
              </w:rPr>
              <w:t>020-36810121</w:t>
            </w:r>
          </w:p>
        </w:tc>
        <w:tc>
          <w:tcPr>
            <w:tcW w:w="285" w:type="dxa"/>
            <w:tcBorders>
              <w:top w:val="nil"/>
              <w:left w:val="nil"/>
              <w:bottom w:val="nil"/>
              <w:right w:val="nil"/>
            </w:tcBorders>
            <w:shd w:val="clear" w:color="auto" w:fill="auto"/>
            <w:tcMar>
              <w:top w:w="15" w:type="dxa"/>
              <w:left w:w="15" w:type="dxa"/>
              <w:right w:w="15" w:type="dxa"/>
            </w:tcMar>
          </w:tcPr>
          <w:p>
            <w:pPr>
              <w:rPr>
                <w:rFonts w:ascii="宋体" w:hAnsi="宋体" w:eastAsia="宋体" w:cs="宋体"/>
                <w:b/>
                <w:color w:val="auto"/>
                <w:sz w:val="24"/>
                <w:szCs w:val="24"/>
              </w:rPr>
            </w:pPr>
          </w:p>
        </w:tc>
        <w:tc>
          <w:tcPr>
            <w:tcW w:w="4275" w:type="dxa"/>
            <w:tcBorders>
              <w:top w:val="nil"/>
              <w:left w:val="nil"/>
              <w:bottom w:val="nil"/>
              <w:right w:val="nil"/>
            </w:tcBorders>
            <w:shd w:val="clear" w:color="auto" w:fill="auto"/>
            <w:tcMar>
              <w:top w:w="15" w:type="dxa"/>
              <w:left w:w="15" w:type="dxa"/>
              <w:right w:w="15" w:type="dxa"/>
            </w:tcMar>
          </w:tcPr>
          <w:p>
            <w:pPr>
              <w:widowControl/>
              <w:textAlignment w:val="top"/>
              <w:rPr>
                <w:rFonts w:hint="eastAsia" w:ascii="宋体" w:hAnsi="宋体" w:eastAsia="宋体" w:cs="宋体"/>
                <w:b/>
                <w:color w:val="auto"/>
                <w:sz w:val="24"/>
                <w:szCs w:val="24"/>
                <w:lang w:eastAsia="zh-CN"/>
              </w:rPr>
            </w:pPr>
            <w:r>
              <w:rPr>
                <w:rFonts w:hint="eastAsia" w:ascii="宋体" w:hAnsi="宋体" w:eastAsia="宋体" w:cs="宋体"/>
                <w:b/>
                <w:color w:val="auto"/>
                <w:kern w:val="0"/>
                <w:sz w:val="24"/>
                <w:szCs w:val="24"/>
                <w:lang w:bidi="ar"/>
              </w:rPr>
              <w:t>电话：</w:t>
            </w:r>
            <w:r>
              <w:rPr>
                <w:rFonts w:hint="eastAsia" w:ascii="宋体" w:hAnsi="宋体" w:eastAsia="宋体" w:cs="宋体"/>
                <w:color w:val="auto"/>
                <w:sz w:val="24"/>
                <w:lang w:val="en-US" w:eastAsia="zh-CN"/>
              </w:rPr>
              <w:t xml:space="preserve"> </w:t>
            </w:r>
          </w:p>
        </w:tc>
      </w:tr>
      <w:tr>
        <w:tblPrEx>
          <w:tblCellMar>
            <w:top w:w="0" w:type="dxa"/>
            <w:left w:w="0" w:type="dxa"/>
            <w:bottom w:w="0" w:type="dxa"/>
            <w:right w:w="0" w:type="dxa"/>
          </w:tblCellMar>
        </w:tblPrEx>
        <w:trPr>
          <w:trHeight w:val="780" w:hRule="atLeast"/>
        </w:trPr>
        <w:tc>
          <w:tcPr>
            <w:tcW w:w="8835" w:type="dxa"/>
            <w:gridSpan w:val="3"/>
            <w:tcBorders>
              <w:top w:val="nil"/>
              <w:left w:val="nil"/>
              <w:bottom w:val="nil"/>
              <w:right w:val="nil"/>
            </w:tcBorders>
            <w:shd w:val="clear" w:color="auto" w:fill="auto"/>
            <w:tcMar>
              <w:top w:w="15" w:type="dxa"/>
              <w:left w:w="15" w:type="dxa"/>
              <w:right w:w="15" w:type="dxa"/>
            </w:tcMar>
          </w:tcPr>
          <w:p>
            <w:pPr>
              <w:widowControl/>
              <w:jc w:val="left"/>
              <w:textAlignment w:val="top"/>
              <w:rPr>
                <w:rStyle w:val="59"/>
                <w:rFonts w:hint="default"/>
                <w:color w:val="auto"/>
                <w:lang w:bidi="ar"/>
              </w:rPr>
            </w:pPr>
          </w:p>
          <w:p>
            <w:pPr>
              <w:widowControl/>
              <w:jc w:val="left"/>
              <w:textAlignment w:val="top"/>
              <w:rPr>
                <w:rFonts w:ascii="宋体" w:hAnsi="宋体" w:eastAsia="宋体" w:cs="宋体"/>
                <w:b/>
                <w:color w:val="auto"/>
                <w:sz w:val="24"/>
                <w:szCs w:val="24"/>
              </w:rPr>
            </w:pPr>
            <w:r>
              <w:rPr>
                <w:rStyle w:val="59"/>
                <w:rFonts w:hint="default"/>
                <w:color w:val="auto"/>
                <w:lang w:bidi="ar"/>
              </w:rPr>
              <w:t>签订时间：</w:t>
            </w:r>
            <w:r>
              <w:rPr>
                <w:rStyle w:val="62"/>
                <w:rFonts w:hint="default"/>
                <w:color w:val="auto"/>
                <w:lang w:bidi="ar"/>
              </w:rPr>
              <w:t xml:space="preserve">     </w:t>
            </w:r>
            <w:r>
              <w:rPr>
                <w:rStyle w:val="59"/>
                <w:rFonts w:hint="default"/>
                <w:color w:val="auto"/>
                <w:lang w:bidi="ar"/>
              </w:rPr>
              <w:t>年</w:t>
            </w:r>
            <w:r>
              <w:rPr>
                <w:rStyle w:val="62"/>
                <w:rFonts w:hint="default"/>
                <w:color w:val="auto"/>
                <w:lang w:bidi="ar"/>
              </w:rPr>
              <w:t xml:space="preserve">   </w:t>
            </w:r>
            <w:r>
              <w:rPr>
                <w:rStyle w:val="59"/>
                <w:rFonts w:hint="default"/>
                <w:color w:val="auto"/>
                <w:lang w:bidi="ar"/>
              </w:rPr>
              <w:t>月</w:t>
            </w:r>
            <w:r>
              <w:rPr>
                <w:rStyle w:val="62"/>
                <w:rFonts w:hint="default"/>
                <w:color w:val="auto"/>
                <w:lang w:bidi="ar"/>
              </w:rPr>
              <w:t xml:space="preserve">   </w:t>
            </w:r>
            <w:r>
              <w:rPr>
                <w:rStyle w:val="59"/>
                <w:rFonts w:hint="default"/>
                <w:color w:val="auto"/>
                <w:lang w:bidi="ar"/>
              </w:rPr>
              <w:t>日</w:t>
            </w:r>
          </w:p>
        </w:tc>
      </w:tr>
    </w:tbl>
    <w:p>
      <w:pPr>
        <w:pStyle w:val="5"/>
        <w:ind w:firstLine="0"/>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ind w:left="0" w:leftChars="0" w:firstLine="0" w:firstLineChars="0"/>
        <w:rPr>
          <w:color w:val="auto"/>
        </w:rPr>
      </w:pPr>
    </w:p>
    <w:p>
      <w:pPr>
        <w:pStyle w:val="3"/>
        <w:rPr>
          <w:rFonts w:ascii="宋体" w:eastAsia="宋体"/>
          <w:color w:val="auto"/>
        </w:rPr>
      </w:pPr>
      <w:r>
        <w:rPr>
          <w:rFonts w:hint="eastAsia" w:ascii="宋体" w:eastAsia="宋体"/>
          <w:color w:val="auto"/>
        </w:rPr>
        <w:t>第二部分 合同条款</w:t>
      </w:r>
    </w:p>
    <w:p>
      <w:pPr>
        <w:spacing w:before="120" w:beforeLines="50" w:after="120" w:afterLines="50" w:line="360" w:lineRule="auto"/>
        <w:jc w:val="left"/>
        <w:outlineLvl w:val="1"/>
        <w:rPr>
          <w:rFonts w:ascii="宋体" w:hAnsi="宋体" w:eastAsia="宋体" w:cs="宋体"/>
          <w:b/>
          <w:color w:val="auto"/>
          <w:sz w:val="24"/>
          <w:szCs w:val="24"/>
        </w:rPr>
      </w:pPr>
      <w:r>
        <w:rPr>
          <w:rFonts w:hint="eastAsia" w:ascii="宋体" w:hAnsi="宋体" w:eastAsia="宋体" w:cs="宋体"/>
          <w:b/>
          <w:color w:val="auto"/>
          <w:sz w:val="24"/>
          <w:szCs w:val="24"/>
        </w:rPr>
        <w:t>1  词语涵义</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除上下文另有要求者外，合同中下列词语应具有本条所赋予的含义：</w:t>
      </w:r>
    </w:p>
    <w:p>
      <w:pPr>
        <w:numPr>
          <w:ilvl w:val="0"/>
          <w:numId w:val="5"/>
        </w:num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发包人：指</w:t>
      </w:r>
      <w:r>
        <w:rPr>
          <w:rFonts w:hint="eastAsia" w:ascii="宋体" w:hAnsi="宋体" w:eastAsia="宋体" w:cs="宋体"/>
          <w:color w:val="auto"/>
          <w:sz w:val="24"/>
          <w:u w:val="single"/>
        </w:rPr>
        <w:t>广州市花都区水务建设管理中心</w:t>
      </w:r>
      <w:r>
        <w:rPr>
          <w:rFonts w:hint="eastAsia" w:ascii="宋体" w:hAnsi="宋体" w:eastAsia="宋体" w:cs="宋体"/>
          <w:color w:val="auto"/>
          <w:sz w:val="24"/>
          <w:szCs w:val="24"/>
        </w:rPr>
        <w:t>及其合法继承人。</w:t>
      </w:r>
    </w:p>
    <w:p>
      <w:pPr>
        <w:numPr>
          <w:ilvl w:val="0"/>
          <w:numId w:val="5"/>
        </w:num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承包人：指与发包人签订本合同协议书的当事人及其合法继承人。</w:t>
      </w:r>
    </w:p>
    <w:p>
      <w:pPr>
        <w:numPr>
          <w:ilvl w:val="0"/>
          <w:numId w:val="5"/>
        </w:numPr>
        <w:spacing w:line="360" w:lineRule="auto"/>
        <w:rPr>
          <w:rFonts w:ascii="宋体" w:hAnsi="宋体" w:eastAsia="宋体" w:cs="宋体"/>
          <w:color w:val="auto"/>
          <w:sz w:val="24"/>
          <w:szCs w:val="24"/>
        </w:rPr>
      </w:pPr>
      <w:r>
        <w:rPr>
          <w:rFonts w:hint="eastAsia" w:ascii="宋体" w:hAnsi="宋体" w:eastAsia="宋体" w:cs="宋体"/>
          <w:color w:val="auto"/>
          <w:sz w:val="24"/>
          <w:szCs w:val="24"/>
        </w:rPr>
        <w:t>监理人：指由发包人委托对本合同工程施工实施监理的当事人。</w:t>
      </w:r>
    </w:p>
    <w:p>
      <w:pPr>
        <w:numPr>
          <w:ilvl w:val="0"/>
          <w:numId w:val="5"/>
        </w:num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合同：指由发包人与承包人签订的为完成本合同规定的各项工作所列入本合同条件第3条的全部文件和图纸，以及其他在协议书中明确列入的文件和图纸。</w:t>
      </w:r>
    </w:p>
    <w:p>
      <w:pPr>
        <w:numPr>
          <w:ilvl w:val="0"/>
          <w:numId w:val="5"/>
        </w:num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投标文件：指承包人为完成本合同规定的各项工作，在投标时按招标文件要求向发包人提交的投标报价书、已标价的勘察设计费报价清单及其他文件。</w:t>
      </w:r>
    </w:p>
    <w:p>
      <w:pPr>
        <w:numPr>
          <w:ilvl w:val="0"/>
          <w:numId w:val="5"/>
        </w:numPr>
        <w:spacing w:line="360" w:lineRule="auto"/>
        <w:rPr>
          <w:rFonts w:ascii="宋体" w:hAnsi="宋体" w:eastAsia="宋体" w:cs="宋体"/>
          <w:color w:val="auto"/>
          <w:sz w:val="24"/>
          <w:szCs w:val="24"/>
        </w:rPr>
      </w:pPr>
      <w:r>
        <w:rPr>
          <w:rFonts w:hint="eastAsia" w:ascii="宋体" w:hAnsi="宋体" w:eastAsia="宋体" w:cs="宋体"/>
          <w:color w:val="auto"/>
          <w:sz w:val="24"/>
          <w:szCs w:val="24"/>
        </w:rPr>
        <w:t>中标通知书：指发包人正式向中标人授标的通知书。</w:t>
      </w:r>
    </w:p>
    <w:p>
      <w:pPr>
        <w:numPr>
          <w:ilvl w:val="0"/>
          <w:numId w:val="5"/>
        </w:num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工程：指发包人委托承包人进行勘察设计的工程。</w:t>
      </w:r>
    </w:p>
    <w:p>
      <w:pPr>
        <w:widowControl/>
        <w:snapToGrid w:val="0"/>
        <w:spacing w:line="360" w:lineRule="auto"/>
        <w:ind w:left="719" w:leftChars="228" w:hanging="240" w:hangingChars="1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勘察设计：包括且不限于岩土工程勘察、</w:t>
      </w:r>
      <w:r>
        <w:rPr>
          <w:rFonts w:hint="eastAsia" w:hAnsi="宋体" w:eastAsia="宋体" w:cs="宋体"/>
          <w:color w:val="auto"/>
          <w:sz w:val="24"/>
        </w:rPr>
        <w:t>工程物探(含地下管线详查、渠箱摸查、排口摸查、水质检测等）</w:t>
      </w:r>
      <w:r>
        <w:rPr>
          <w:rFonts w:hint="eastAsia" w:ascii="宋体" w:hAnsi="宋体" w:eastAsia="宋体" w:cs="宋体"/>
          <w:color w:val="auto"/>
          <w:sz w:val="24"/>
          <w:szCs w:val="24"/>
        </w:rPr>
        <w:t>、工程测量等，方案设计（含交通疏解方案）、配合发包人办理国土规划、道路交通水务等报批手续、编制初步设计（含概算）并通过行政主管部门评审，配合施工图设计阶段设计工作。</w:t>
      </w:r>
    </w:p>
    <w:p>
      <w:pPr>
        <w:spacing w:line="360" w:lineRule="auto"/>
        <w:ind w:left="459"/>
        <w:rPr>
          <w:rFonts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）书面形式：指任何手写、打印、印刷的各种函件，包括电传、电报、传真和邮件。</w:t>
      </w:r>
    </w:p>
    <w:p>
      <w:pPr>
        <w:spacing w:line="500" w:lineRule="exact"/>
        <w:ind w:left="-48" w:leftChars="-23"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）天：指日历天。</w:t>
      </w:r>
    </w:p>
    <w:p>
      <w:pPr>
        <w:spacing w:before="120" w:beforeLines="50" w:after="120" w:afterLines="50" w:line="360" w:lineRule="auto"/>
        <w:jc w:val="left"/>
        <w:outlineLvl w:val="1"/>
        <w:rPr>
          <w:rFonts w:ascii="宋体" w:hAnsi="宋体" w:eastAsia="宋体" w:cs="宋体"/>
          <w:b/>
          <w:color w:val="auto"/>
          <w:sz w:val="24"/>
          <w:szCs w:val="24"/>
        </w:rPr>
      </w:pPr>
      <w:r>
        <w:rPr>
          <w:rFonts w:hint="eastAsia" w:ascii="宋体" w:hAnsi="宋体" w:eastAsia="宋体" w:cs="宋体"/>
          <w:b/>
          <w:color w:val="auto"/>
          <w:sz w:val="24"/>
          <w:szCs w:val="24"/>
        </w:rPr>
        <w:t>2   语言文字和法律</w:t>
      </w:r>
    </w:p>
    <w:p>
      <w:pPr>
        <w:spacing w:before="120" w:beforeLines="50" w:after="120" w:afterLines="50" w:line="360" w:lineRule="auto"/>
        <w:rPr>
          <w:rFonts w:ascii="宋体" w:hAnsi="宋体" w:eastAsia="宋体" w:cs="宋体"/>
          <w:b/>
          <w:color w:val="auto"/>
          <w:sz w:val="24"/>
          <w:szCs w:val="24"/>
        </w:rPr>
      </w:pPr>
      <w:r>
        <w:rPr>
          <w:rFonts w:hint="eastAsia" w:ascii="宋体" w:hAnsi="宋体" w:eastAsia="宋体" w:cs="宋体"/>
          <w:b/>
          <w:color w:val="auto"/>
          <w:sz w:val="24"/>
          <w:szCs w:val="24"/>
        </w:rPr>
        <w:t>2.1  语言文字</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本合同使用的语言文字为汉语文字。</w:t>
      </w:r>
    </w:p>
    <w:p>
      <w:pPr>
        <w:spacing w:before="120" w:beforeLines="50" w:after="120" w:afterLines="50" w:line="360" w:lineRule="auto"/>
        <w:rPr>
          <w:rFonts w:ascii="宋体" w:hAnsi="宋体" w:eastAsia="宋体" w:cs="宋体"/>
          <w:b/>
          <w:color w:val="auto"/>
          <w:sz w:val="24"/>
          <w:szCs w:val="24"/>
        </w:rPr>
      </w:pPr>
      <w:r>
        <w:rPr>
          <w:rFonts w:hint="eastAsia" w:ascii="宋体" w:hAnsi="宋体" w:eastAsia="宋体" w:cs="宋体"/>
          <w:b/>
          <w:color w:val="auto"/>
          <w:sz w:val="24"/>
          <w:szCs w:val="24"/>
        </w:rPr>
        <w:t>2.2  法律、法规和规章</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适用于本合同的法律、法规和规章是中华人民共和国法律、行政法规以及国务院有关部门的规章和广东省的地方法规和规章。</w:t>
      </w:r>
    </w:p>
    <w:p>
      <w:pPr>
        <w:spacing w:before="120" w:beforeLines="50" w:after="120" w:afterLines="50" w:line="360" w:lineRule="auto"/>
        <w:jc w:val="left"/>
        <w:outlineLvl w:val="1"/>
        <w:rPr>
          <w:rFonts w:ascii="宋体" w:hAnsi="宋体" w:eastAsia="宋体" w:cs="宋体"/>
          <w:b/>
          <w:color w:val="auto"/>
          <w:sz w:val="24"/>
          <w:szCs w:val="24"/>
        </w:rPr>
      </w:pPr>
      <w:r>
        <w:rPr>
          <w:rFonts w:hint="eastAsia" w:ascii="宋体" w:hAnsi="宋体" w:eastAsia="宋体" w:cs="宋体"/>
          <w:b/>
          <w:color w:val="auto"/>
          <w:sz w:val="24"/>
          <w:szCs w:val="24"/>
        </w:rPr>
        <w:t>3  合同文件的优先顺序</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组成合同的各项文件应互相解释，互为说明。除合同另有约定外，其组成和解释顺序如下：</w:t>
      </w:r>
    </w:p>
    <w:p>
      <w:pPr>
        <w:numPr>
          <w:ilvl w:val="-1"/>
          <w:numId w:val="0"/>
        </w:numPr>
        <w:spacing w:line="360" w:lineRule="auto"/>
        <w:ind w:left="459" w:firstLine="0"/>
        <w:rPr>
          <w:rFonts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中标通知书</w:t>
      </w:r>
    </w:p>
    <w:p>
      <w:pPr>
        <w:numPr>
          <w:ilvl w:val="-1"/>
          <w:numId w:val="0"/>
        </w:numPr>
        <w:spacing w:line="360" w:lineRule="auto"/>
        <w:ind w:left="459" w:firstLine="0"/>
        <w:rPr>
          <w:rFonts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协议书（包括协议书备忘录）</w:t>
      </w:r>
    </w:p>
    <w:p>
      <w:pPr>
        <w:numPr>
          <w:ilvl w:val="-1"/>
          <w:numId w:val="0"/>
        </w:numPr>
        <w:spacing w:line="360" w:lineRule="auto"/>
        <w:ind w:left="459" w:firstLine="0"/>
        <w:rPr>
          <w:rFonts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勘察设计合同条款</w:t>
      </w:r>
    </w:p>
    <w:p>
      <w:pPr>
        <w:spacing w:line="360" w:lineRule="auto"/>
        <w:ind w:left="459"/>
        <w:rPr>
          <w:rFonts w:ascii="宋体" w:hAnsi="宋体" w:eastAsia="宋体" w:cs="宋体"/>
          <w:b/>
          <w:color w:val="auto"/>
          <w:sz w:val="24"/>
          <w:szCs w:val="24"/>
        </w:rPr>
      </w:pPr>
      <w:r>
        <w:rPr>
          <w:rFonts w:hint="eastAsia" w:ascii="宋体" w:hAnsi="宋体" w:eastAsia="宋体" w:cs="宋体"/>
          <w:color w:val="auto"/>
          <w:sz w:val="24"/>
        </w:rPr>
        <w:t>4）组成合同的其它文件</w:t>
      </w:r>
    </w:p>
    <w:p>
      <w:pPr>
        <w:spacing w:before="120" w:beforeLines="50" w:after="120" w:afterLines="50" w:line="360" w:lineRule="auto"/>
        <w:jc w:val="left"/>
        <w:outlineLvl w:val="1"/>
        <w:rPr>
          <w:rFonts w:ascii="宋体" w:hAnsi="宋体" w:eastAsia="宋体" w:cs="宋体"/>
          <w:b/>
          <w:color w:val="auto"/>
          <w:sz w:val="24"/>
          <w:szCs w:val="24"/>
        </w:rPr>
      </w:pPr>
      <w:r>
        <w:rPr>
          <w:rFonts w:hint="eastAsia" w:ascii="宋体" w:hAnsi="宋体" w:eastAsia="宋体" w:cs="宋体"/>
          <w:b/>
          <w:color w:val="auto"/>
          <w:sz w:val="24"/>
          <w:szCs w:val="24"/>
        </w:rPr>
        <w:t>4  通知和联系</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合同实施过程中，双方的联系均应以书面形式为准。一般情况下，可先口头或电话联系，事后应在48小时内补发书面通知。</w:t>
      </w:r>
    </w:p>
    <w:p>
      <w:pPr>
        <w:spacing w:before="120" w:beforeLines="50" w:after="120" w:afterLines="50" w:line="360" w:lineRule="auto"/>
        <w:jc w:val="left"/>
        <w:outlineLvl w:val="1"/>
        <w:rPr>
          <w:rFonts w:ascii="宋体" w:hAnsi="宋体" w:eastAsia="宋体" w:cs="宋体"/>
          <w:b/>
          <w:color w:val="auto"/>
          <w:sz w:val="24"/>
          <w:szCs w:val="24"/>
        </w:rPr>
      </w:pPr>
      <w:r>
        <w:rPr>
          <w:rFonts w:hint="eastAsia" w:ascii="宋体" w:hAnsi="宋体" w:eastAsia="宋体" w:cs="宋体"/>
          <w:b/>
          <w:color w:val="auto"/>
          <w:sz w:val="24"/>
          <w:szCs w:val="24"/>
        </w:rPr>
        <w:t>5  发包人的一般义务和责任</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5.1  发包人应尽量向承包人提供开展设计工作所需的有关基础资料。</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5.2  在承包人进行现场勘察作业时，发包人应对承包人与当地政府或有关部门的协调工作提供协助。</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5.3  发包人负责设计文件的审查及各阶段设计文件的报审工作，并向承包人提供上级主管部门对设计文件进行审查后的批复文件。发包人及发包人委托的咨询单位、上级主管部门对设计文件的审查不免除承包人应承担的责任。</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5.4  发包人应按第11条规定按时支付设计费。</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5.5  发包人有权对承包人的设计工作进行检查，有权要求承包人更换不称职的人员，有权在工作进度滞后时要求承包人增加人员，有权在承包人严重违约时要求解除合同。</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5.6 发包人应保护承包人的设计成果，未经承包人同意，发包人对承包人交付的设计文件不得向第三方转让或用于本合同外的项目。</w:t>
      </w:r>
    </w:p>
    <w:p>
      <w:pPr>
        <w:spacing w:before="120" w:beforeLines="50" w:after="120" w:afterLines="50" w:line="360" w:lineRule="auto"/>
        <w:jc w:val="left"/>
        <w:outlineLvl w:val="1"/>
        <w:rPr>
          <w:rFonts w:ascii="宋体" w:hAnsi="宋体" w:eastAsia="宋体" w:cs="宋体"/>
          <w:b/>
          <w:color w:val="auto"/>
          <w:sz w:val="24"/>
          <w:szCs w:val="24"/>
        </w:rPr>
      </w:pPr>
      <w:r>
        <w:rPr>
          <w:rFonts w:hint="eastAsia" w:ascii="宋体" w:hAnsi="宋体" w:eastAsia="宋体" w:cs="宋体"/>
          <w:b/>
          <w:color w:val="auto"/>
          <w:sz w:val="24"/>
          <w:szCs w:val="24"/>
        </w:rPr>
        <w:t>6  承包人的一般义务和责任</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6.1 承包人应在签订合同后10天内向发包人提交设计大纲、设计进度计划各一份，经发包人批准后，作为发包人控制设计进度、设计质量的依据。</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6.2  承包人应按合同、设计大纲、国家及行业标准、规程、规范、技术标准开展设计工作，保证质量，控制工程造价。承包人提交的初步设计概算不得超过立项批复估算金额的10%。</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6.3  承包人应按国家有关规定，建立设计岗位责任制和工程质量终身负责制。</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6.4  承包人应安排投标文件承诺的人员投入工作，并保持人员稳定。更换项目负责人和各专业负责人须经发包人同意。对其他人员，承包人可以根据工作进展情况和设计工作量的大小，进行合理调整，但应报发包人备案。</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6.5  承包人应按协议书规定的内容、时间及份数向发包人交付设计文件，并对委托范围内的勘察设计的完整性、准确性负责。</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6.6  承包人不得将全部设计转包给第三人，亦不得分包。</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6.7  承包人应负责收集与本工程设计有关的资料，所需费用包含在设计费报价中。</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6.8  承包人应负责向规划部门办理设计报建工作。</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6.9  承包人进行外业勘察时，应采取相应的安全、保卫和环境保护措施，因承包人员原因发生承包人与外业勘察工作有关的人身伤亡、罚款、索赔、损失赔偿、诉讼费用及其他一切责任应由承包人承担。</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6.10 承包人进行外业勘察时，若因承包人员原因造成原有建（构）筑物损坏或损伤，则由此而引起的索赔、赔偿、诉讼费用及其他一切责任应由承包人承担。</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6.11  地形测量图的测量范围必须满足管线布置的设计工作需要，同时地形测量图中必须清楚正确显示与现状一致的管道沿线周边排污区域的地形地貌状况。</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6.12  由于承包人提供的勘察成果资料质量不合格，承包人应负责无偿给予补充完善使其达到质量合格；若承包人无力补充完善，需另行委托其他单位时，承包人应承担全部勘察费用；或因勘察成果与实际不符而造成重大经济损失或工程事故时承包人除应负法律责任和免收直接受损失部分的勘察费外，并向发包人赔偿直接经济损失的100%</w:t>
      </w:r>
      <w:r>
        <w:rPr>
          <w:rFonts w:hint="eastAsia" w:ascii="宋体" w:hAnsi="宋体" w:eastAsia="宋体" w:cs="宋体"/>
          <w:color w:val="auto"/>
          <w:sz w:val="24"/>
          <w:szCs w:val="24"/>
          <w:highlight w:val="none"/>
        </w:rPr>
        <w:t>（最高不超过造成事故的相应勘察专业费用的100%）。</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6.13  勘察过程中，根据工程的岩土工程条件（或工作现场地形地貌、地岳和水文地质条件）及技术规范要求或因工程变更需要，向发包人提出增减工作量或修改勘察工作的意见，并在发包人同意的前提下办理正式变更手续。</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6.14  由承包人收集建设范围内地下已有埋藏物的资料（如电力、电讯电缆、各种管道、人防设施、洞室等）及具体位置分布图，费用已包含在合同总价中。</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6.15  在现场工作的承包人的人员，应遵守发包人的安全保卫及其有关的规章制度，承担其有关资料保密义务，否则，承包人应承担发包人由此所遭受的一切经济损失。</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6.16  承包人应提出本合同工程各阶段勘察要求，并报发包人批准。</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6.17 承包人应配合本合同工程的施工和监理招标工作，在发包人规定的时间内提交各合同段施工招标所需的技术条款；解答投标人有关设计方面的问题等。</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6.18 承包人应按第9条规定参加设计文件的审查。</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6.19 承包人应按第10条规定配合施工。</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6.20 工程竣工验收前，承包人应在监理人指示的时间内协助相关部门完成竣工验收资料。</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6.21 未经发包人同意，承包人不得向第三方扩散、转让发包人提交的产品图纸等技术经济资料。</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6.22 若承包人为联合体时，联合体负责方应代表联合体对发包人负责，并按合同规定向发包人提交全部合格的勘察成果和设计文件。发包人向联合体发出的任何指令、指示、通知对联合体各方具有同等效力。</w:t>
      </w:r>
    </w:p>
    <w:p>
      <w:pPr>
        <w:spacing w:line="360" w:lineRule="auto"/>
        <w:rPr>
          <w:rFonts w:ascii="宋体" w:hAnsi="宋体" w:eastAsia="宋体" w:cs="宋体"/>
          <w:color w:val="auto"/>
          <w:sz w:val="24"/>
          <w:szCs w:val="24"/>
        </w:rPr>
      </w:pPr>
      <w:r>
        <w:rPr>
          <w:rFonts w:ascii="宋体" w:hAnsi="宋体" w:eastAsia="宋体" w:cs="宋体"/>
          <w:color w:val="auto"/>
          <w:sz w:val="24"/>
          <w:szCs w:val="24"/>
        </w:rPr>
        <w:t>6.</w:t>
      </w:r>
      <w:r>
        <w:rPr>
          <w:rFonts w:hint="eastAsia" w:ascii="宋体" w:hAnsi="宋体" w:eastAsia="宋体" w:cs="宋体"/>
          <w:color w:val="auto"/>
          <w:sz w:val="24"/>
          <w:szCs w:val="24"/>
        </w:rPr>
        <w:t>23 承包人在合同履约过程中因外部因素需更换设计项目负责人或其它专业负责人时，须先向发包人申请，待取得发包人批准后才可更换，且更换的设计人员的业绩及职称等涉及投标评分因素的指标均等于或高于原设计人员。</w:t>
      </w:r>
    </w:p>
    <w:p>
      <w:pPr>
        <w:spacing w:before="120" w:beforeLines="50" w:after="120" w:afterLines="50" w:line="360" w:lineRule="auto"/>
        <w:jc w:val="left"/>
        <w:outlineLvl w:val="1"/>
        <w:rPr>
          <w:rFonts w:ascii="宋体" w:hAnsi="宋体" w:eastAsia="宋体" w:cs="宋体"/>
          <w:b/>
          <w:color w:val="auto"/>
          <w:sz w:val="24"/>
          <w:szCs w:val="24"/>
        </w:rPr>
      </w:pPr>
      <w:r>
        <w:rPr>
          <w:rFonts w:hint="eastAsia" w:ascii="宋体" w:hAnsi="宋体" w:eastAsia="宋体" w:cs="宋体"/>
          <w:b/>
          <w:color w:val="auto"/>
          <w:sz w:val="24"/>
          <w:szCs w:val="24"/>
        </w:rPr>
        <w:t>7  设计工期</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（1）签订合同之日起40天内提交测量报告、岩土工程勘察成果、管线探测报告（需加盖CMA章），初步设计报告成果；</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（2）完成初步设计技术审查后15天内提交修改完善的初步设计成果；</w:t>
      </w:r>
    </w:p>
    <w:p>
      <w:pPr>
        <w:spacing w:before="120" w:beforeLines="50" w:after="120" w:afterLines="50" w:line="360" w:lineRule="auto"/>
        <w:jc w:val="left"/>
        <w:outlineLvl w:val="1"/>
        <w:rPr>
          <w:rFonts w:ascii="宋体" w:hAnsi="宋体" w:eastAsia="宋体" w:cs="宋体"/>
          <w:b/>
          <w:color w:val="auto"/>
          <w:sz w:val="24"/>
          <w:szCs w:val="24"/>
        </w:rPr>
      </w:pPr>
      <w:r>
        <w:rPr>
          <w:rFonts w:hint="eastAsia" w:ascii="宋体" w:hAnsi="宋体" w:eastAsia="宋体" w:cs="宋体"/>
          <w:b/>
          <w:color w:val="auto"/>
          <w:sz w:val="24"/>
          <w:szCs w:val="24"/>
        </w:rPr>
        <w:t>8  承包人提交的设计文件</w:t>
      </w:r>
    </w:p>
    <w:p>
      <w:pPr>
        <w:spacing w:before="120" w:beforeLines="50" w:after="120" w:afterLines="50" w:line="360" w:lineRule="auto"/>
        <w:rPr>
          <w:rFonts w:ascii="宋体" w:hAnsi="宋体" w:eastAsia="宋体" w:cs="宋体"/>
          <w:b/>
          <w:color w:val="auto"/>
          <w:sz w:val="24"/>
          <w:szCs w:val="24"/>
        </w:rPr>
      </w:pPr>
      <w:r>
        <w:rPr>
          <w:rFonts w:hint="eastAsia" w:ascii="宋体" w:hAnsi="宋体" w:eastAsia="宋体" w:cs="宋体"/>
          <w:b/>
          <w:color w:val="auto"/>
          <w:sz w:val="24"/>
          <w:szCs w:val="24"/>
        </w:rPr>
        <w:t>8.1  承包人提交的设计文件</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承包人应在合同规定的时间内提交设计文件，各阶段提交的设计文件包括但不限于：</w:t>
      </w:r>
    </w:p>
    <w:p>
      <w:pPr>
        <w:numPr>
          <w:ilvl w:val="0"/>
          <w:numId w:val="6"/>
        </w:numPr>
        <w:tabs>
          <w:tab w:val="left" w:pos="0"/>
        </w:tabs>
        <w:spacing w:line="500" w:lineRule="exact"/>
        <w:ind w:left="57"/>
        <w:rPr>
          <w:rFonts w:ascii="宋体" w:hAnsi="宋体" w:eastAsia="宋体" w:cs="宋体"/>
          <w:b/>
          <w:bCs/>
          <w:color w:val="auto"/>
          <w:sz w:val="24"/>
        </w:rPr>
      </w:pPr>
      <w:r>
        <w:rPr>
          <w:rFonts w:hint="eastAsia" w:ascii="宋体" w:hAnsi="宋体" w:eastAsia="宋体" w:cs="宋体"/>
          <w:b/>
          <w:bCs/>
          <w:color w:val="auto"/>
          <w:sz w:val="24"/>
        </w:rPr>
        <w:t>勘察阶段</w:t>
      </w:r>
    </w:p>
    <w:p>
      <w:pPr>
        <w:tabs>
          <w:tab w:val="left" w:pos="0"/>
        </w:tabs>
        <w:spacing w:line="500" w:lineRule="exact"/>
        <w:ind w:left="57"/>
        <w:rPr>
          <w:rFonts w:ascii="宋体" w:hAnsi="宋体" w:eastAsia="宋体" w:cs="宋体"/>
          <w:color w:val="auto"/>
          <w:sz w:val="24"/>
        </w:rPr>
      </w:pPr>
      <w:r>
        <w:rPr>
          <w:rFonts w:hint="eastAsia" w:ascii="宋体" w:hAnsi="宋体" w:eastAsia="宋体" w:cs="宋体"/>
          <w:color w:val="auto"/>
          <w:sz w:val="24"/>
        </w:rPr>
        <w:t xml:space="preserve">    本阶段提交测量、物探、勘探等详勘资料，测量和物探提交数量为一式六份，勘探报告提交数量为一式十份。</w:t>
      </w:r>
    </w:p>
    <w:p>
      <w:pPr>
        <w:numPr>
          <w:ilvl w:val="0"/>
          <w:numId w:val="6"/>
        </w:numPr>
        <w:tabs>
          <w:tab w:val="left" w:pos="0"/>
        </w:tabs>
        <w:spacing w:line="500" w:lineRule="exact"/>
        <w:ind w:left="57"/>
        <w:rPr>
          <w:rFonts w:ascii="宋体" w:hAnsi="宋体" w:eastAsia="宋体" w:cs="宋体"/>
          <w:b/>
          <w:bCs/>
          <w:color w:val="auto"/>
          <w:sz w:val="24"/>
        </w:rPr>
      </w:pPr>
      <w:r>
        <w:rPr>
          <w:rFonts w:hint="eastAsia" w:ascii="宋体" w:hAnsi="宋体" w:eastAsia="宋体" w:cs="宋体"/>
          <w:b/>
          <w:bCs/>
          <w:color w:val="auto"/>
          <w:sz w:val="24"/>
          <w:szCs w:val="24"/>
        </w:rPr>
        <w:t>初步设计报告编制阶段</w:t>
      </w:r>
    </w:p>
    <w:p>
      <w:pPr>
        <w:tabs>
          <w:tab w:val="left" w:pos="0"/>
          <w:tab w:val="left" w:pos="567"/>
        </w:tabs>
        <w:spacing w:line="360" w:lineRule="auto"/>
        <w:ind w:firstLine="480"/>
        <w:rPr>
          <w:rFonts w:ascii="宋体" w:hAnsi="宋体" w:eastAsia="宋体" w:cs="宋体"/>
          <w:color w:val="auto"/>
          <w:sz w:val="24"/>
        </w:rPr>
      </w:pPr>
      <w:r>
        <w:rPr>
          <w:rFonts w:hint="eastAsia" w:ascii="宋体" w:hAnsi="宋体" w:eastAsia="宋体" w:cs="宋体"/>
          <w:bCs/>
          <w:color w:val="auto"/>
          <w:sz w:val="24"/>
          <w:szCs w:val="24"/>
        </w:rPr>
        <w:t xml:space="preserve">本阶段应提交初步设计报告（含初步设计概算、工程量计算书、初步设计图纸）一式十份，提交份数应满足初步设计审批要求；文件设计深度应满足《市政公用工程设计文件编制深度规定》（建质【2004】16号）的有关要求。 </w:t>
      </w:r>
    </w:p>
    <w:p>
      <w:pPr>
        <w:spacing w:line="360" w:lineRule="auto"/>
        <w:ind w:firstLine="480" w:firstLineChars="200"/>
        <w:rPr>
          <w:rFonts w:ascii="宋体" w:hAnsi="宋体" w:eastAsia="宋体" w:cs="宋体"/>
          <w:bCs/>
          <w:color w:val="auto"/>
          <w:sz w:val="24"/>
          <w:szCs w:val="24"/>
        </w:rPr>
      </w:pPr>
      <w:r>
        <w:rPr>
          <w:rFonts w:hint="eastAsia" w:ascii="宋体" w:hAnsi="宋体" w:eastAsia="宋体" w:cs="宋体"/>
          <w:color w:val="auto"/>
          <w:sz w:val="24"/>
          <w:szCs w:val="24"/>
        </w:rPr>
        <w:t>承包人</w:t>
      </w:r>
      <w:r>
        <w:rPr>
          <w:rFonts w:hint="eastAsia" w:ascii="宋体" w:hAnsi="宋体" w:eastAsia="宋体" w:cs="宋体"/>
          <w:bCs/>
          <w:color w:val="auto"/>
          <w:sz w:val="24"/>
          <w:szCs w:val="24"/>
        </w:rPr>
        <w:t>在提交各阶段设计文件时，应同时提交含上述文件的电子文件2套（</w:t>
      </w:r>
      <w:r>
        <w:rPr>
          <w:rFonts w:hint="eastAsia" w:ascii="宋体" w:hAnsi="宋体" w:eastAsia="宋体" w:cs="宋体"/>
          <w:bCs/>
          <w:color w:val="auto"/>
          <w:sz w:val="24"/>
          <w:szCs w:val="24"/>
          <w:lang w:val="zh-CN"/>
        </w:rPr>
        <w:t>文本为</w:t>
      </w:r>
      <w:r>
        <w:rPr>
          <w:rFonts w:hint="eastAsia" w:ascii="宋体" w:hAnsi="宋体" w:eastAsia="宋体" w:cs="宋体"/>
          <w:bCs/>
          <w:color w:val="auto"/>
          <w:sz w:val="24"/>
          <w:szCs w:val="24"/>
        </w:rPr>
        <w:t>*.doc</w:t>
      </w:r>
      <w:r>
        <w:rPr>
          <w:rFonts w:hint="eastAsia" w:ascii="宋体" w:hAnsi="宋体" w:eastAsia="宋体" w:cs="宋体"/>
          <w:bCs/>
          <w:color w:val="auto"/>
          <w:sz w:val="24"/>
          <w:szCs w:val="24"/>
          <w:lang w:val="zh-CN"/>
        </w:rPr>
        <w:t>源文件，表格为</w:t>
      </w:r>
      <w:r>
        <w:rPr>
          <w:rFonts w:hint="eastAsia" w:ascii="宋体" w:hAnsi="宋体" w:eastAsia="宋体" w:cs="宋体"/>
          <w:bCs/>
          <w:color w:val="auto"/>
          <w:sz w:val="24"/>
          <w:szCs w:val="24"/>
        </w:rPr>
        <w:t>*.xls</w:t>
      </w:r>
      <w:r>
        <w:rPr>
          <w:rFonts w:hint="eastAsia" w:ascii="宋体" w:hAnsi="宋体" w:eastAsia="宋体" w:cs="宋体"/>
          <w:bCs/>
          <w:color w:val="auto"/>
          <w:sz w:val="24"/>
          <w:szCs w:val="24"/>
          <w:lang w:val="zh-CN"/>
        </w:rPr>
        <w:t>源文件</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zh-CN"/>
        </w:rPr>
        <w:t>源文件图纸为</w:t>
      </w:r>
      <w:r>
        <w:rPr>
          <w:rFonts w:hint="eastAsia" w:ascii="宋体" w:hAnsi="宋体" w:eastAsia="宋体" w:cs="宋体"/>
          <w:bCs/>
          <w:color w:val="auto"/>
          <w:sz w:val="24"/>
          <w:szCs w:val="24"/>
        </w:rPr>
        <w:t>*.dwg</w:t>
      </w:r>
      <w:r>
        <w:rPr>
          <w:rFonts w:hint="eastAsia" w:ascii="宋体" w:hAnsi="宋体" w:eastAsia="宋体" w:cs="宋体"/>
          <w:bCs/>
          <w:color w:val="auto"/>
          <w:sz w:val="24"/>
          <w:szCs w:val="24"/>
          <w:lang w:val="zh-CN"/>
        </w:rPr>
        <w:t>源文件</w:t>
      </w:r>
      <w:r>
        <w:rPr>
          <w:rFonts w:hint="eastAsia" w:ascii="宋体" w:hAnsi="宋体" w:eastAsia="宋体" w:cs="宋体"/>
          <w:bCs/>
          <w:color w:val="auto"/>
          <w:sz w:val="24"/>
          <w:szCs w:val="24"/>
        </w:rPr>
        <w:t>）。</w:t>
      </w:r>
    </w:p>
    <w:p>
      <w:pPr>
        <w:spacing w:line="360" w:lineRule="auto"/>
        <w:ind w:firstLine="480" w:firstLineChars="200"/>
        <w:rPr>
          <w:rFonts w:ascii="宋体" w:hAnsi="宋体" w:eastAsia="宋体" w:cs="宋体"/>
          <w:bCs/>
          <w:color w:val="auto"/>
          <w:sz w:val="24"/>
          <w:szCs w:val="24"/>
        </w:rPr>
      </w:pPr>
      <w:r>
        <w:rPr>
          <w:rFonts w:hint="eastAsia" w:ascii="宋体" w:hAnsi="宋体" w:eastAsia="宋体" w:cs="宋体"/>
          <w:color w:val="auto"/>
          <w:sz w:val="24"/>
          <w:szCs w:val="24"/>
        </w:rPr>
        <w:t>承包人</w:t>
      </w:r>
      <w:r>
        <w:rPr>
          <w:rFonts w:hint="eastAsia" w:ascii="宋体" w:hAnsi="宋体" w:eastAsia="宋体" w:cs="宋体"/>
          <w:bCs/>
          <w:color w:val="auto"/>
          <w:sz w:val="24"/>
          <w:szCs w:val="24"/>
        </w:rPr>
        <w:t>应对提交的设计文件的质量负责。非发包人的原因，</w:t>
      </w:r>
      <w:r>
        <w:rPr>
          <w:rFonts w:hint="eastAsia" w:ascii="宋体" w:hAnsi="宋体" w:eastAsia="宋体" w:cs="宋体"/>
          <w:color w:val="auto"/>
          <w:sz w:val="24"/>
          <w:szCs w:val="24"/>
        </w:rPr>
        <w:t>承包人</w:t>
      </w:r>
      <w:r>
        <w:rPr>
          <w:rFonts w:hint="eastAsia" w:ascii="宋体" w:hAnsi="宋体" w:eastAsia="宋体" w:cs="宋体"/>
          <w:bCs/>
          <w:color w:val="auto"/>
          <w:sz w:val="24"/>
          <w:szCs w:val="24"/>
        </w:rPr>
        <w:t>的设计成果未能通过行政主管部门审查批准，</w:t>
      </w:r>
      <w:r>
        <w:rPr>
          <w:rFonts w:hint="eastAsia" w:ascii="宋体" w:hAnsi="宋体" w:eastAsia="宋体" w:cs="宋体"/>
          <w:color w:val="auto"/>
          <w:sz w:val="24"/>
          <w:szCs w:val="24"/>
        </w:rPr>
        <w:t>承包人</w:t>
      </w:r>
      <w:r>
        <w:rPr>
          <w:rFonts w:hint="eastAsia" w:ascii="宋体" w:hAnsi="宋体" w:eastAsia="宋体" w:cs="宋体"/>
          <w:bCs/>
          <w:color w:val="auto"/>
          <w:sz w:val="24"/>
          <w:szCs w:val="24"/>
        </w:rPr>
        <w:t>必须按照主管部门的要求进行返工，由此发生的费用由</w:t>
      </w:r>
      <w:r>
        <w:rPr>
          <w:rFonts w:hint="eastAsia" w:ascii="宋体" w:hAnsi="宋体" w:eastAsia="宋体" w:cs="宋体"/>
          <w:color w:val="auto"/>
          <w:sz w:val="24"/>
          <w:szCs w:val="24"/>
        </w:rPr>
        <w:t>承包人</w:t>
      </w:r>
      <w:r>
        <w:rPr>
          <w:rFonts w:hint="eastAsia" w:ascii="宋体" w:hAnsi="宋体" w:eastAsia="宋体" w:cs="宋体"/>
          <w:bCs/>
          <w:color w:val="auto"/>
          <w:sz w:val="24"/>
          <w:szCs w:val="24"/>
        </w:rPr>
        <w:t>承担，</w:t>
      </w:r>
      <w:r>
        <w:rPr>
          <w:rFonts w:hint="eastAsia" w:ascii="宋体" w:hAnsi="宋体" w:eastAsia="宋体" w:cs="宋体"/>
          <w:color w:val="auto"/>
          <w:sz w:val="24"/>
          <w:szCs w:val="24"/>
        </w:rPr>
        <w:t>承包人</w:t>
      </w:r>
      <w:r>
        <w:rPr>
          <w:rFonts w:hint="eastAsia" w:ascii="宋体" w:hAnsi="宋体" w:eastAsia="宋体" w:cs="宋体"/>
          <w:bCs/>
          <w:color w:val="auto"/>
          <w:sz w:val="24"/>
          <w:szCs w:val="24"/>
        </w:rPr>
        <w:t>接到修改通知后应在10天内将修改后的设计文件提交发包人。</w:t>
      </w:r>
    </w:p>
    <w:p>
      <w:pPr>
        <w:spacing w:before="120" w:beforeLines="50" w:after="120" w:afterLines="50" w:line="360" w:lineRule="auto"/>
        <w:rPr>
          <w:rFonts w:ascii="宋体" w:hAnsi="宋体" w:eastAsia="宋体" w:cs="宋体"/>
          <w:b/>
          <w:color w:val="auto"/>
          <w:sz w:val="24"/>
          <w:szCs w:val="24"/>
        </w:rPr>
      </w:pPr>
      <w:r>
        <w:rPr>
          <w:rFonts w:hint="eastAsia" w:ascii="宋体" w:hAnsi="宋体" w:eastAsia="宋体" w:cs="宋体"/>
          <w:b/>
          <w:color w:val="auto"/>
          <w:sz w:val="24"/>
          <w:szCs w:val="24"/>
        </w:rPr>
        <w:t>8.2  设计文件交付时间延误</w:t>
      </w:r>
    </w:p>
    <w:p>
      <w:pPr>
        <w:spacing w:after="120" w:afterLines="50"/>
        <w:jc w:val="center"/>
        <w:rPr>
          <w:rFonts w:ascii="宋体" w:hAnsi="宋体" w:eastAsia="宋体" w:cs="宋体"/>
          <w:bCs/>
          <w:color w:val="auto"/>
          <w:sz w:val="24"/>
          <w:szCs w:val="24"/>
        </w:rPr>
      </w:pPr>
      <w:r>
        <w:rPr>
          <w:rFonts w:hint="eastAsia" w:ascii="宋体" w:hAnsi="宋体" w:eastAsia="宋体" w:cs="宋体"/>
          <w:bCs/>
          <w:color w:val="auto"/>
          <w:sz w:val="24"/>
          <w:szCs w:val="24"/>
        </w:rPr>
        <w:t>交付勘察设计文件、份数、地点及时间表</w:t>
      </w:r>
    </w:p>
    <w:tbl>
      <w:tblPr>
        <w:tblStyle w:val="32"/>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552"/>
        <w:gridCol w:w="709"/>
        <w:gridCol w:w="2409"/>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824" w:type="dxa"/>
            <w:vAlign w:val="center"/>
          </w:tcPr>
          <w:p>
            <w:pPr>
              <w:jc w:val="center"/>
              <w:rPr>
                <w:rFonts w:ascii="宋体" w:hAnsi="宋体" w:eastAsia="宋体" w:cs="宋体"/>
                <w:bCs/>
                <w:color w:val="auto"/>
                <w:sz w:val="24"/>
                <w:szCs w:val="24"/>
              </w:rPr>
            </w:pPr>
            <w:r>
              <w:rPr>
                <w:rFonts w:hint="eastAsia" w:ascii="宋体" w:hAnsi="宋体" w:eastAsia="宋体" w:cs="宋体"/>
                <w:bCs/>
                <w:color w:val="auto"/>
                <w:sz w:val="24"/>
                <w:szCs w:val="24"/>
              </w:rPr>
              <w:t>序号</w:t>
            </w:r>
          </w:p>
        </w:tc>
        <w:tc>
          <w:tcPr>
            <w:tcW w:w="2552" w:type="dxa"/>
            <w:vAlign w:val="center"/>
          </w:tcPr>
          <w:p>
            <w:pPr>
              <w:jc w:val="center"/>
              <w:rPr>
                <w:rFonts w:ascii="宋体" w:hAnsi="宋体" w:eastAsia="宋体" w:cs="宋体"/>
                <w:bCs/>
                <w:color w:val="auto"/>
                <w:sz w:val="24"/>
                <w:szCs w:val="24"/>
              </w:rPr>
            </w:pPr>
            <w:r>
              <w:rPr>
                <w:rFonts w:hint="eastAsia" w:ascii="宋体" w:hAnsi="宋体" w:eastAsia="宋体" w:cs="宋体"/>
                <w:bCs/>
                <w:color w:val="auto"/>
                <w:sz w:val="24"/>
                <w:szCs w:val="24"/>
              </w:rPr>
              <w:t>资料及文件名称</w:t>
            </w:r>
          </w:p>
        </w:tc>
        <w:tc>
          <w:tcPr>
            <w:tcW w:w="709" w:type="dxa"/>
            <w:vAlign w:val="center"/>
          </w:tcPr>
          <w:p>
            <w:pPr>
              <w:jc w:val="center"/>
              <w:rPr>
                <w:rFonts w:ascii="宋体" w:hAnsi="宋体" w:eastAsia="宋体" w:cs="宋体"/>
                <w:bCs/>
                <w:color w:val="auto"/>
                <w:sz w:val="24"/>
                <w:szCs w:val="24"/>
              </w:rPr>
            </w:pPr>
            <w:r>
              <w:rPr>
                <w:rFonts w:hint="eastAsia" w:ascii="宋体" w:hAnsi="宋体" w:eastAsia="宋体" w:cs="宋体"/>
                <w:bCs/>
                <w:color w:val="auto"/>
                <w:sz w:val="24"/>
                <w:szCs w:val="24"/>
              </w:rPr>
              <w:t>份数</w:t>
            </w:r>
          </w:p>
        </w:tc>
        <w:tc>
          <w:tcPr>
            <w:tcW w:w="2409" w:type="dxa"/>
            <w:vAlign w:val="center"/>
          </w:tcPr>
          <w:p>
            <w:pPr>
              <w:jc w:val="center"/>
              <w:rPr>
                <w:rFonts w:ascii="宋体" w:hAnsi="宋体" w:eastAsia="宋体" w:cs="宋体"/>
                <w:bCs/>
                <w:color w:val="auto"/>
                <w:sz w:val="24"/>
                <w:szCs w:val="24"/>
              </w:rPr>
            </w:pPr>
            <w:r>
              <w:rPr>
                <w:rFonts w:hint="eastAsia" w:ascii="宋体" w:hAnsi="宋体" w:eastAsia="宋体" w:cs="宋体"/>
                <w:bCs/>
                <w:color w:val="auto"/>
                <w:sz w:val="24"/>
                <w:szCs w:val="24"/>
              </w:rPr>
              <w:t>内容要求</w:t>
            </w:r>
          </w:p>
        </w:tc>
        <w:tc>
          <w:tcPr>
            <w:tcW w:w="2326" w:type="dxa"/>
            <w:vAlign w:val="center"/>
          </w:tcPr>
          <w:p>
            <w:pPr>
              <w:jc w:val="center"/>
              <w:rPr>
                <w:rFonts w:ascii="宋体" w:hAnsi="宋体" w:eastAsia="宋体" w:cs="宋体"/>
                <w:bCs/>
                <w:color w:val="auto"/>
                <w:sz w:val="24"/>
                <w:szCs w:val="24"/>
              </w:rPr>
            </w:pPr>
            <w:r>
              <w:rPr>
                <w:rFonts w:hint="eastAsia" w:ascii="宋体" w:hAnsi="宋体" w:eastAsia="宋体" w:cs="宋体"/>
                <w:bCs/>
                <w:color w:val="auto"/>
                <w:sz w:val="24"/>
                <w:szCs w:val="24"/>
              </w:rPr>
              <w:t>提交时间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vAlign w:val="center"/>
          </w:tcPr>
          <w:p>
            <w:pPr>
              <w:jc w:val="center"/>
              <w:rPr>
                <w:rFonts w:ascii="宋体" w:hAnsi="宋体" w:eastAsia="宋体" w:cs="宋体"/>
                <w:bCs/>
                <w:color w:val="auto"/>
                <w:sz w:val="24"/>
                <w:szCs w:val="24"/>
              </w:rPr>
            </w:pPr>
            <w:r>
              <w:rPr>
                <w:rFonts w:ascii="宋体" w:hAnsi="宋体" w:eastAsia="宋体" w:cs="宋体"/>
                <w:bCs/>
                <w:color w:val="auto"/>
                <w:sz w:val="24"/>
                <w:szCs w:val="24"/>
              </w:rPr>
              <w:t>1</w:t>
            </w:r>
          </w:p>
        </w:tc>
        <w:tc>
          <w:tcPr>
            <w:tcW w:w="2552" w:type="dxa"/>
            <w:vAlign w:val="center"/>
          </w:tcPr>
          <w:p>
            <w:pPr>
              <w:jc w:val="center"/>
              <w:rPr>
                <w:rFonts w:ascii="宋体" w:hAnsi="宋体" w:eastAsia="宋体" w:cs="宋体"/>
                <w:bCs/>
                <w:color w:val="auto"/>
                <w:sz w:val="24"/>
                <w:szCs w:val="24"/>
              </w:rPr>
            </w:pPr>
            <w:r>
              <w:rPr>
                <w:rFonts w:hint="eastAsia" w:ascii="宋体" w:hAnsi="宋体" w:eastAsia="宋体" w:cs="宋体"/>
                <w:bCs/>
                <w:color w:val="auto"/>
                <w:sz w:val="24"/>
                <w:szCs w:val="24"/>
              </w:rPr>
              <w:t>工程测量、物探、</w:t>
            </w:r>
          </w:p>
          <w:p>
            <w:pPr>
              <w:jc w:val="center"/>
              <w:rPr>
                <w:rFonts w:ascii="宋体" w:hAnsi="宋体" w:eastAsia="宋体" w:cs="宋体"/>
                <w:bCs/>
                <w:color w:val="auto"/>
                <w:sz w:val="24"/>
                <w:szCs w:val="24"/>
              </w:rPr>
            </w:pPr>
            <w:r>
              <w:rPr>
                <w:rFonts w:hint="eastAsia" w:ascii="宋体" w:hAnsi="宋体" w:eastAsia="宋体" w:cs="宋体"/>
                <w:bCs/>
                <w:color w:val="auto"/>
                <w:sz w:val="24"/>
                <w:szCs w:val="24"/>
              </w:rPr>
              <w:t>工程钻探</w:t>
            </w:r>
          </w:p>
        </w:tc>
        <w:tc>
          <w:tcPr>
            <w:tcW w:w="709" w:type="dxa"/>
            <w:vAlign w:val="center"/>
          </w:tcPr>
          <w:p>
            <w:pPr>
              <w:jc w:val="center"/>
              <w:rPr>
                <w:rFonts w:ascii="宋体" w:hAnsi="宋体" w:eastAsia="宋体" w:cs="宋体"/>
                <w:bCs/>
                <w:color w:val="auto"/>
                <w:sz w:val="24"/>
                <w:szCs w:val="24"/>
              </w:rPr>
            </w:pPr>
            <w:r>
              <w:rPr>
                <w:rFonts w:hint="eastAsia" w:ascii="宋体" w:hAnsi="宋体" w:eastAsia="宋体" w:cs="宋体"/>
                <w:bCs/>
                <w:color w:val="auto"/>
                <w:sz w:val="24"/>
                <w:szCs w:val="24"/>
              </w:rPr>
              <w:t>6</w:t>
            </w:r>
          </w:p>
          <w:p>
            <w:pPr>
              <w:jc w:val="center"/>
              <w:rPr>
                <w:rFonts w:ascii="宋体" w:hAnsi="宋体" w:eastAsia="宋体" w:cs="宋体"/>
                <w:bCs/>
                <w:color w:val="auto"/>
                <w:sz w:val="24"/>
                <w:szCs w:val="24"/>
              </w:rPr>
            </w:pPr>
            <w:r>
              <w:rPr>
                <w:rFonts w:hint="eastAsia" w:ascii="宋体" w:hAnsi="宋体" w:eastAsia="宋体" w:cs="宋体"/>
                <w:bCs/>
                <w:color w:val="auto"/>
                <w:sz w:val="24"/>
                <w:szCs w:val="24"/>
              </w:rPr>
              <w:t>10</w:t>
            </w:r>
          </w:p>
        </w:tc>
        <w:tc>
          <w:tcPr>
            <w:tcW w:w="2409" w:type="dxa"/>
            <w:vAlign w:val="center"/>
          </w:tcPr>
          <w:p>
            <w:pPr>
              <w:jc w:val="center"/>
              <w:rPr>
                <w:rFonts w:ascii="宋体" w:hAnsi="宋体" w:eastAsia="宋体" w:cs="宋体"/>
                <w:bCs/>
                <w:color w:val="auto"/>
                <w:sz w:val="24"/>
                <w:szCs w:val="24"/>
              </w:rPr>
            </w:pPr>
            <w:r>
              <w:rPr>
                <w:rFonts w:hint="eastAsia" w:ascii="宋体" w:hAnsi="宋体" w:eastAsia="宋体" w:cs="宋体"/>
                <w:bCs/>
                <w:color w:val="auto"/>
                <w:sz w:val="24"/>
                <w:szCs w:val="24"/>
              </w:rPr>
              <w:t>满足设计要求</w:t>
            </w:r>
          </w:p>
        </w:tc>
        <w:tc>
          <w:tcPr>
            <w:tcW w:w="2326" w:type="dxa"/>
            <w:vAlign w:val="center"/>
          </w:tcPr>
          <w:p>
            <w:pPr>
              <w:jc w:val="center"/>
              <w:rPr>
                <w:rFonts w:ascii="宋体" w:hAnsi="宋体" w:eastAsia="宋体" w:cs="宋体"/>
                <w:bCs/>
                <w:color w:val="auto"/>
                <w:sz w:val="24"/>
                <w:szCs w:val="24"/>
              </w:rPr>
            </w:pPr>
            <w:r>
              <w:rPr>
                <w:rFonts w:hint="eastAsia" w:ascii="宋体" w:hAnsi="宋体" w:eastAsia="宋体" w:cs="宋体"/>
                <w:bCs/>
                <w:color w:val="auto"/>
                <w:sz w:val="24"/>
                <w:szCs w:val="24"/>
              </w:rPr>
              <w:t>合同签订后</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vAlign w:val="center"/>
          </w:tcPr>
          <w:p>
            <w:pPr>
              <w:jc w:val="center"/>
              <w:rPr>
                <w:rFonts w:ascii="宋体" w:hAnsi="宋体" w:eastAsia="宋体" w:cs="宋体"/>
                <w:bCs/>
                <w:color w:val="auto"/>
                <w:sz w:val="24"/>
                <w:szCs w:val="24"/>
              </w:rPr>
            </w:pPr>
            <w:r>
              <w:rPr>
                <w:rFonts w:ascii="宋体" w:hAnsi="宋体" w:eastAsia="宋体" w:cs="宋体"/>
                <w:bCs/>
                <w:color w:val="auto"/>
                <w:sz w:val="24"/>
                <w:szCs w:val="24"/>
              </w:rPr>
              <w:t>2</w:t>
            </w:r>
          </w:p>
        </w:tc>
        <w:tc>
          <w:tcPr>
            <w:tcW w:w="2552" w:type="dxa"/>
            <w:vAlign w:val="center"/>
          </w:tcPr>
          <w:p>
            <w:pPr>
              <w:jc w:val="center"/>
              <w:rPr>
                <w:rFonts w:ascii="宋体" w:hAnsi="宋体" w:eastAsia="宋体" w:cs="宋体"/>
                <w:bCs/>
                <w:color w:val="auto"/>
                <w:sz w:val="24"/>
                <w:szCs w:val="24"/>
              </w:rPr>
            </w:pPr>
            <w:r>
              <w:rPr>
                <w:rFonts w:hint="eastAsia" w:ascii="宋体" w:hAnsi="宋体" w:eastAsia="宋体" w:cs="宋体"/>
                <w:bCs/>
                <w:color w:val="auto"/>
                <w:sz w:val="24"/>
                <w:szCs w:val="24"/>
              </w:rPr>
              <w:t>初步设计、概算</w:t>
            </w:r>
          </w:p>
        </w:tc>
        <w:tc>
          <w:tcPr>
            <w:tcW w:w="709" w:type="dxa"/>
            <w:vAlign w:val="center"/>
          </w:tcPr>
          <w:p>
            <w:pPr>
              <w:jc w:val="center"/>
              <w:rPr>
                <w:rFonts w:ascii="宋体" w:hAnsi="宋体" w:eastAsia="宋体" w:cs="宋体"/>
                <w:bCs/>
                <w:color w:val="auto"/>
                <w:sz w:val="24"/>
                <w:szCs w:val="24"/>
              </w:rPr>
            </w:pPr>
            <w:r>
              <w:rPr>
                <w:rFonts w:hint="eastAsia" w:ascii="宋体" w:hAnsi="宋体" w:eastAsia="宋体" w:cs="宋体"/>
                <w:bCs/>
                <w:color w:val="auto"/>
                <w:sz w:val="24"/>
                <w:szCs w:val="24"/>
              </w:rPr>
              <w:t>10</w:t>
            </w:r>
          </w:p>
        </w:tc>
        <w:tc>
          <w:tcPr>
            <w:tcW w:w="2409" w:type="dxa"/>
            <w:vAlign w:val="center"/>
          </w:tcPr>
          <w:p>
            <w:pPr>
              <w:jc w:val="center"/>
              <w:rPr>
                <w:rFonts w:ascii="宋体" w:hAnsi="宋体" w:eastAsia="宋体" w:cs="宋体"/>
                <w:bCs/>
                <w:color w:val="auto"/>
                <w:sz w:val="24"/>
                <w:szCs w:val="24"/>
              </w:rPr>
            </w:pPr>
            <w:r>
              <w:rPr>
                <w:rFonts w:hint="eastAsia" w:ascii="宋体" w:hAnsi="宋体" w:eastAsia="宋体" w:cs="宋体"/>
                <w:bCs/>
                <w:color w:val="auto"/>
                <w:sz w:val="24"/>
                <w:szCs w:val="24"/>
              </w:rPr>
              <w:t>满足设计要求</w:t>
            </w:r>
          </w:p>
        </w:tc>
        <w:tc>
          <w:tcPr>
            <w:tcW w:w="2326" w:type="dxa"/>
            <w:vAlign w:val="center"/>
          </w:tcPr>
          <w:p>
            <w:pPr>
              <w:jc w:val="center"/>
              <w:rPr>
                <w:rFonts w:ascii="宋体" w:hAnsi="宋体" w:eastAsia="宋体" w:cs="宋体"/>
                <w:bCs/>
                <w:color w:val="auto"/>
                <w:sz w:val="24"/>
                <w:szCs w:val="24"/>
              </w:rPr>
            </w:pPr>
            <w:r>
              <w:rPr>
                <w:rFonts w:hint="eastAsia" w:ascii="宋体" w:hAnsi="宋体" w:eastAsia="宋体" w:cs="宋体"/>
                <w:bCs/>
                <w:color w:val="auto"/>
                <w:sz w:val="24"/>
                <w:szCs w:val="24"/>
              </w:rPr>
              <w:t>合同签订后</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vAlign w:val="center"/>
          </w:tcPr>
          <w:p>
            <w:pPr>
              <w:jc w:val="center"/>
              <w:rPr>
                <w:rFonts w:ascii="宋体" w:hAnsi="宋体" w:eastAsia="宋体" w:cs="宋体"/>
                <w:bCs/>
                <w:color w:val="auto"/>
                <w:sz w:val="24"/>
                <w:szCs w:val="24"/>
              </w:rPr>
            </w:pPr>
            <w:r>
              <w:rPr>
                <w:rFonts w:ascii="宋体" w:hAnsi="宋体" w:eastAsia="宋体" w:cs="宋体"/>
                <w:bCs/>
                <w:color w:val="auto"/>
                <w:sz w:val="24"/>
                <w:szCs w:val="24"/>
              </w:rPr>
              <w:t>3</w:t>
            </w:r>
          </w:p>
        </w:tc>
        <w:tc>
          <w:tcPr>
            <w:tcW w:w="2552" w:type="dxa"/>
            <w:vAlign w:val="center"/>
          </w:tcPr>
          <w:p>
            <w:pPr>
              <w:jc w:val="center"/>
              <w:rPr>
                <w:rFonts w:ascii="宋体" w:hAnsi="宋体" w:eastAsia="宋体" w:cs="宋体"/>
                <w:bCs/>
                <w:color w:val="auto"/>
                <w:sz w:val="24"/>
                <w:szCs w:val="24"/>
              </w:rPr>
            </w:pPr>
            <w:r>
              <w:rPr>
                <w:rFonts w:hint="eastAsia" w:ascii="宋体" w:hAnsi="宋体" w:eastAsia="宋体" w:cs="宋体"/>
                <w:bCs/>
                <w:color w:val="auto"/>
                <w:sz w:val="24"/>
                <w:szCs w:val="24"/>
              </w:rPr>
              <w:t>方案修改</w:t>
            </w:r>
          </w:p>
        </w:tc>
        <w:tc>
          <w:tcPr>
            <w:tcW w:w="709" w:type="dxa"/>
            <w:vAlign w:val="center"/>
          </w:tcPr>
          <w:p>
            <w:pPr>
              <w:jc w:val="center"/>
              <w:rPr>
                <w:rFonts w:ascii="宋体" w:hAnsi="宋体" w:eastAsia="宋体" w:cs="宋体"/>
                <w:bCs/>
                <w:color w:val="auto"/>
                <w:sz w:val="24"/>
                <w:szCs w:val="24"/>
              </w:rPr>
            </w:pPr>
            <w:r>
              <w:rPr>
                <w:rFonts w:ascii="宋体" w:hAnsi="宋体" w:eastAsia="宋体" w:cs="宋体"/>
                <w:bCs/>
                <w:color w:val="auto"/>
                <w:sz w:val="24"/>
                <w:szCs w:val="24"/>
              </w:rPr>
              <w:t>8</w:t>
            </w:r>
          </w:p>
        </w:tc>
        <w:tc>
          <w:tcPr>
            <w:tcW w:w="2409" w:type="dxa"/>
            <w:vAlign w:val="center"/>
          </w:tcPr>
          <w:p>
            <w:pPr>
              <w:jc w:val="center"/>
              <w:rPr>
                <w:rFonts w:ascii="宋体" w:hAnsi="宋体" w:eastAsia="宋体" w:cs="宋体"/>
                <w:bCs/>
                <w:color w:val="auto"/>
                <w:sz w:val="24"/>
                <w:szCs w:val="24"/>
              </w:rPr>
            </w:pPr>
            <w:r>
              <w:rPr>
                <w:rFonts w:hint="eastAsia" w:ascii="宋体" w:hAnsi="宋体" w:eastAsia="宋体" w:cs="宋体"/>
                <w:bCs/>
                <w:color w:val="auto"/>
                <w:sz w:val="24"/>
                <w:szCs w:val="24"/>
              </w:rPr>
              <w:t>满足设计要求</w:t>
            </w:r>
          </w:p>
        </w:tc>
        <w:tc>
          <w:tcPr>
            <w:tcW w:w="2326" w:type="dxa"/>
            <w:vAlign w:val="center"/>
          </w:tcPr>
          <w:p>
            <w:pPr>
              <w:jc w:val="center"/>
              <w:rPr>
                <w:rFonts w:ascii="宋体" w:hAnsi="宋体" w:eastAsia="宋体" w:cs="宋体"/>
                <w:bCs/>
                <w:color w:val="auto"/>
                <w:sz w:val="24"/>
                <w:szCs w:val="24"/>
              </w:rPr>
            </w:pPr>
            <w:r>
              <w:rPr>
                <w:rFonts w:hint="eastAsia" w:ascii="宋体" w:hAnsi="宋体" w:eastAsia="宋体" w:cs="宋体"/>
                <w:bCs/>
                <w:color w:val="auto"/>
                <w:sz w:val="24"/>
                <w:szCs w:val="24"/>
              </w:rPr>
              <w:t>初设审查后</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天内</w:t>
            </w:r>
          </w:p>
        </w:tc>
      </w:tr>
    </w:tbl>
    <w:p>
      <w:pPr>
        <w:spacing w:before="0" w:beforeLines="-2147483648" w:after="0" w:afterLines="-2147483648" w:line="240" w:lineRule="auto"/>
        <w:ind w:firstLine="480" w:firstLineChars="200"/>
        <w:rPr>
          <w:rFonts w:ascii="宋体" w:hAnsi="宋体" w:eastAsia="宋体" w:cs="宋体"/>
          <w:b/>
          <w:color w:val="auto"/>
          <w:sz w:val="24"/>
          <w:szCs w:val="24"/>
        </w:rPr>
      </w:pPr>
      <w:r>
        <w:rPr>
          <w:rFonts w:hint="eastAsia" w:ascii="宋体" w:hAnsi="宋体" w:eastAsia="宋体" w:cs="宋体"/>
          <w:bCs/>
          <w:color w:val="auto"/>
          <w:sz w:val="24"/>
          <w:szCs w:val="24"/>
        </w:rPr>
        <w:t>交付勘察、设计文件的地点为</w:t>
      </w:r>
      <w:r>
        <w:rPr>
          <w:rFonts w:hint="eastAsia" w:ascii="宋体" w:hAnsi="宋体" w:eastAsia="宋体" w:cs="宋体"/>
          <w:bCs/>
          <w:color w:val="auto"/>
          <w:sz w:val="24"/>
          <w:szCs w:val="24"/>
          <w:u w:val="single"/>
        </w:rPr>
        <w:t>广州市花都区水务建设管理中心</w:t>
      </w:r>
      <w:r>
        <w:rPr>
          <w:rFonts w:hint="eastAsia" w:ascii="宋体" w:hAnsi="宋体" w:eastAsia="宋体" w:cs="宋体"/>
          <w:bCs/>
          <w:color w:val="auto"/>
          <w:sz w:val="24"/>
          <w:szCs w:val="24"/>
        </w:rPr>
        <w:t>。</w:t>
      </w:r>
    </w:p>
    <w:p>
      <w:pPr>
        <w:spacing w:before="120" w:beforeLines="50" w:after="120" w:afterLines="50" w:line="360" w:lineRule="auto"/>
        <w:rPr>
          <w:rFonts w:ascii="宋体" w:hAnsi="宋体" w:eastAsia="宋体" w:cs="宋体"/>
          <w:b/>
          <w:color w:val="auto"/>
          <w:sz w:val="24"/>
          <w:szCs w:val="24"/>
        </w:rPr>
      </w:pPr>
      <w:r>
        <w:rPr>
          <w:rFonts w:hint="eastAsia" w:ascii="宋体" w:hAnsi="宋体" w:eastAsia="宋体" w:cs="宋体"/>
          <w:b/>
          <w:color w:val="auto"/>
          <w:sz w:val="24"/>
          <w:szCs w:val="24"/>
        </w:rPr>
        <w:t>8.2.1  发包人原因造成的设计文件交付时间延误</w:t>
      </w:r>
      <w:bookmarkStart w:id="6" w:name="_GoBack"/>
      <w:bookmarkEnd w:id="6"/>
    </w:p>
    <w:p>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合同履行过程中，发生下列情况之一造成承包人交付设计文件时间延误时，承包人可要求发包人延期交付设计文件：</w:t>
      </w:r>
    </w:p>
    <w:p>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⑴发包人变更工程规模、标准或条件。</w:t>
      </w:r>
    </w:p>
    <w:p>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⑵发包人提交的资料错误，或所提交的资料作较大修改（上述资料不包括勘察资料）。</w:t>
      </w:r>
    </w:p>
    <w:p>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⑶本合同中涉及的由发包人责任引起的设计文件交付时间延误。</w:t>
      </w:r>
    </w:p>
    <w:p>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⑷非承包人原因造成的设计文件交付时间延误。</w:t>
      </w:r>
    </w:p>
    <w:p>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发生上述情况时，承包人应立即通知发包人，并在发出通知后7天内向发包人提交一份细节报告，详细说明发生该事件的情节和对设计文件交付时间的影响程度。发包人在收到该报告后应在7天内与承包人进行协商，重新确定设计文件的交付时间。对本款⑴、⑵项引起的设计文件交付时间延误，若造成承包人设计返工，发包人还应按承包人所耗工作量支付返工费，（返工费按投标文件中勘察设计费报价计算办法对返工部分重新计取设计费）。</w:t>
      </w:r>
    </w:p>
    <w:p>
      <w:pPr>
        <w:spacing w:before="120" w:beforeLines="50" w:after="120" w:afterLines="50" w:line="360" w:lineRule="auto"/>
        <w:rPr>
          <w:rFonts w:ascii="宋体" w:hAnsi="宋体" w:eastAsia="宋体" w:cs="宋体"/>
          <w:b/>
          <w:color w:val="auto"/>
          <w:sz w:val="24"/>
          <w:szCs w:val="24"/>
        </w:rPr>
      </w:pPr>
      <w:r>
        <w:rPr>
          <w:rFonts w:hint="eastAsia" w:ascii="宋体" w:hAnsi="宋体" w:eastAsia="宋体" w:cs="宋体"/>
          <w:b/>
          <w:color w:val="auto"/>
          <w:sz w:val="24"/>
          <w:szCs w:val="24"/>
        </w:rPr>
        <w:t>8.2.2  承包人原因造成的设计文件交付时间延误</w:t>
      </w:r>
    </w:p>
    <w:p>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因承包人原因造成设计文件交付时间延误，承包人应采取必要的赶工措施以尽快交付设计文件，若发包人要求增加承包人员，承包人应立即予以执行。同时承包人应按第14款规定支付逾期交付设计文件违约金。</w:t>
      </w:r>
    </w:p>
    <w:p>
      <w:pPr>
        <w:spacing w:before="120" w:beforeLines="50" w:after="120" w:afterLines="50" w:line="360" w:lineRule="auto"/>
        <w:rPr>
          <w:rFonts w:ascii="宋体" w:hAnsi="宋体" w:eastAsia="宋体" w:cs="宋体"/>
          <w:b/>
          <w:color w:val="auto"/>
          <w:sz w:val="24"/>
          <w:szCs w:val="24"/>
        </w:rPr>
      </w:pPr>
      <w:r>
        <w:rPr>
          <w:rFonts w:hint="eastAsia" w:ascii="宋体" w:hAnsi="宋体" w:eastAsia="宋体" w:cs="宋体"/>
          <w:b/>
          <w:color w:val="auto"/>
          <w:sz w:val="24"/>
          <w:szCs w:val="24"/>
        </w:rPr>
        <w:t>8.3  设计文件交付时间提前</w:t>
      </w:r>
    </w:p>
    <w:p>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本合同签订后，若发包人要求比原定时间提前交付设计文件，若可行，承包人应安排赶工，予以协助。</w:t>
      </w:r>
    </w:p>
    <w:p>
      <w:pPr>
        <w:spacing w:before="120" w:beforeLines="50" w:after="120" w:afterLines="50" w:line="360" w:lineRule="auto"/>
        <w:outlineLvl w:val="1"/>
        <w:rPr>
          <w:rFonts w:ascii="宋体" w:hAnsi="宋体" w:eastAsia="宋体" w:cs="宋体"/>
          <w:b/>
          <w:color w:val="auto"/>
          <w:sz w:val="24"/>
          <w:szCs w:val="24"/>
        </w:rPr>
      </w:pPr>
      <w:r>
        <w:rPr>
          <w:rFonts w:hint="eastAsia" w:ascii="宋体" w:hAnsi="宋体" w:eastAsia="宋体" w:cs="宋体"/>
          <w:b/>
          <w:color w:val="auto"/>
          <w:sz w:val="24"/>
          <w:szCs w:val="24"/>
        </w:rPr>
        <w:t xml:space="preserve">9  </w:t>
      </w:r>
      <w:r>
        <w:rPr>
          <w:rFonts w:hint="eastAsia" w:ascii="宋体" w:hAnsi="宋体" w:eastAsia="宋体" w:cs="宋体"/>
          <w:b/>
          <w:color w:val="auto"/>
          <w:sz w:val="24"/>
        </w:rPr>
        <w:t>勘察设计文件的咨询、审查和确认</w:t>
      </w:r>
    </w:p>
    <w:p>
      <w:pPr>
        <w:spacing w:line="500" w:lineRule="exact"/>
        <w:rPr>
          <w:rFonts w:ascii="宋体" w:hAnsi="宋体" w:eastAsia="宋体" w:cs="宋体"/>
          <w:color w:val="auto"/>
          <w:sz w:val="24"/>
        </w:rPr>
      </w:pPr>
      <w:r>
        <w:rPr>
          <w:rFonts w:hint="eastAsia" w:ascii="宋体" w:hAnsi="宋体" w:eastAsia="宋体" w:cs="宋体"/>
          <w:color w:val="auto"/>
          <w:sz w:val="24"/>
          <w:szCs w:val="24"/>
        </w:rPr>
        <w:t>9.1</w:t>
      </w:r>
      <w:r>
        <w:rPr>
          <w:rFonts w:hint="eastAsia" w:ascii="宋体" w:hAnsi="宋体" w:eastAsia="宋体" w:cs="宋体"/>
          <w:color w:val="auto"/>
          <w:sz w:val="24"/>
        </w:rPr>
        <w:t>发包人将组织专家或委托咨询机构对承包人的勘察设计文件进行审查，并负责初步设计、技术设计（如需要）和施工图设计文件的报审工作，向承包人提供上级主管部门对勘察设计文件进行审查后的批复意见。对承包人在贯彻落实审查意见时提出的有关问题应及时认真予以解答，但并不免除承包人根据本合同规定应负的责任。</w:t>
      </w:r>
    </w:p>
    <w:p>
      <w:pPr>
        <w:spacing w:line="540" w:lineRule="atLeast"/>
        <w:rPr>
          <w:rFonts w:ascii="宋体" w:hAnsi="宋体" w:eastAsia="宋体" w:cs="宋体"/>
          <w:color w:val="auto"/>
          <w:sz w:val="24"/>
        </w:rPr>
      </w:pPr>
      <w:r>
        <w:rPr>
          <w:rFonts w:hint="eastAsia" w:ascii="宋体" w:hAnsi="宋体" w:eastAsia="宋体" w:cs="宋体"/>
          <w:color w:val="auto"/>
          <w:sz w:val="24"/>
        </w:rPr>
        <w:t>9.2勘察设计文件的咨询</w:t>
      </w:r>
    </w:p>
    <w:p>
      <w:pPr>
        <w:spacing w:line="540" w:lineRule="atLeast"/>
        <w:ind w:firstLine="480" w:firstLineChars="200"/>
        <w:rPr>
          <w:rFonts w:ascii="宋体" w:hAnsi="宋体" w:eastAsia="宋体" w:cs="宋体"/>
          <w:color w:val="auto"/>
          <w:sz w:val="24"/>
        </w:rPr>
      </w:pPr>
      <w:r>
        <w:rPr>
          <w:rFonts w:hint="eastAsia" w:ascii="宋体" w:hAnsi="宋体" w:eastAsia="宋体" w:cs="宋体"/>
          <w:color w:val="auto"/>
          <w:sz w:val="24"/>
        </w:rPr>
        <w:t>初步设计阶段承包人应在工作中提交设计方案及说明供咨询（专家或咨询机构审查）用。承包人应参加咨询会议并根据咨询意见进行修改和补充，形成正式的初步设计报告。</w:t>
      </w:r>
    </w:p>
    <w:p>
      <w:pPr>
        <w:spacing w:line="540" w:lineRule="atLeast"/>
        <w:rPr>
          <w:rFonts w:ascii="宋体" w:hAnsi="宋体" w:eastAsia="宋体" w:cs="宋体"/>
          <w:color w:val="auto"/>
          <w:sz w:val="24"/>
        </w:rPr>
      </w:pPr>
      <w:r>
        <w:rPr>
          <w:rFonts w:hint="eastAsia" w:ascii="宋体" w:hAnsi="宋体" w:eastAsia="宋体" w:cs="宋体"/>
          <w:color w:val="auto"/>
          <w:sz w:val="24"/>
          <w:szCs w:val="24"/>
        </w:rPr>
        <w:t>9.3</w:t>
      </w:r>
      <w:r>
        <w:rPr>
          <w:rFonts w:hint="eastAsia" w:ascii="宋体" w:hAnsi="宋体" w:eastAsia="宋体" w:cs="宋体"/>
          <w:color w:val="auto"/>
          <w:sz w:val="24"/>
        </w:rPr>
        <w:t>勘察设计文件的审查、确认</w:t>
      </w:r>
    </w:p>
    <w:p>
      <w:pPr>
        <w:spacing w:line="540" w:lineRule="atLeast"/>
        <w:ind w:firstLine="480" w:firstLineChars="200"/>
        <w:rPr>
          <w:rFonts w:ascii="宋体" w:hAnsi="宋体" w:eastAsia="宋体" w:cs="宋体"/>
          <w:strike/>
          <w:color w:val="auto"/>
          <w:sz w:val="24"/>
        </w:rPr>
      </w:pPr>
      <w:r>
        <w:rPr>
          <w:rFonts w:hint="eastAsia" w:ascii="宋体" w:hAnsi="宋体" w:eastAsia="宋体" w:cs="宋体"/>
          <w:color w:val="auto"/>
          <w:sz w:val="24"/>
        </w:rPr>
        <w:t>承包人应按国家及相关部门有关规定提交符合各设计阶段内容深度和要求的勘察设计文件供审查之用。承包人应在工作中不定期提交中间成果及说明供咨询用，并及时调整有关工作。承包人的最终成果必须通过发包人组织的有关审查，及根据审查结论进行必要修改和补充，形成正式的各阶段勘察设计成果。</w:t>
      </w:r>
    </w:p>
    <w:p>
      <w:pPr>
        <w:spacing w:before="120" w:beforeLines="50" w:after="120" w:afterLines="50" w:line="360" w:lineRule="auto"/>
        <w:outlineLvl w:val="1"/>
        <w:rPr>
          <w:rFonts w:ascii="宋体" w:hAnsi="宋体" w:eastAsia="宋体" w:cs="宋体"/>
          <w:b/>
          <w:color w:val="auto"/>
          <w:sz w:val="24"/>
          <w:szCs w:val="24"/>
        </w:rPr>
      </w:pPr>
      <w:r>
        <w:rPr>
          <w:rFonts w:hint="eastAsia" w:ascii="宋体" w:hAnsi="宋体" w:eastAsia="宋体" w:cs="宋体"/>
          <w:b/>
          <w:color w:val="auto"/>
          <w:sz w:val="24"/>
          <w:szCs w:val="24"/>
        </w:rPr>
        <w:t>10  配合施工</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10.1 </w:t>
      </w:r>
      <w:r>
        <w:rPr>
          <w:rFonts w:hint="eastAsia" w:ascii="宋体" w:hAnsi="宋体" w:eastAsia="宋体" w:cs="宋体"/>
          <w:color w:val="auto"/>
          <w:sz w:val="24"/>
        </w:rPr>
        <w:t>承包人</w:t>
      </w:r>
      <w:r>
        <w:rPr>
          <w:rFonts w:hint="eastAsia" w:ascii="宋体" w:hAnsi="宋体" w:eastAsia="宋体" w:cs="宋体"/>
          <w:color w:val="auto"/>
          <w:sz w:val="24"/>
          <w:szCs w:val="24"/>
        </w:rPr>
        <w:t>的职责是：</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（1）向发包人和监理人、施工单位进行设计交底。</w:t>
      </w:r>
    </w:p>
    <w:p>
      <w:pPr>
        <w:spacing w:line="360" w:lineRule="auto"/>
        <w:rPr>
          <w:color w:val="auto"/>
        </w:rPr>
      </w:pPr>
      <w:r>
        <w:rPr>
          <w:rFonts w:hint="eastAsia" w:ascii="宋体" w:hAnsi="宋体" w:eastAsia="宋体" w:cs="宋体"/>
          <w:color w:val="auto"/>
          <w:sz w:val="24"/>
          <w:szCs w:val="24"/>
        </w:rPr>
        <w:t>（2）施工前向发包人、监理人、施工单位对勘察、物探等成果进行技术交底，复查并确保建设范围内管线资料准确性。</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（3）及时解决施工过程中的有关勘察设计问题。</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（4）参与工程质量事故分析，并对因勘察造成的质量事故，提出相应的技术处理方案。</w:t>
      </w:r>
      <w:r>
        <w:rPr>
          <w:rFonts w:hint="eastAsia" w:ascii="宋体" w:hAnsi="宋体" w:eastAsia="宋体" w:cs="宋体"/>
          <w:color w:val="auto"/>
          <w:sz w:val="24"/>
          <w:szCs w:val="24"/>
          <w:highlight w:val="none"/>
        </w:rPr>
        <w:t>（5）根据《广东省地下管线探测技术规程》（D</w:t>
      </w:r>
      <w:r>
        <w:rPr>
          <w:rFonts w:ascii="宋体" w:hAnsi="宋体" w:eastAsia="宋体" w:cs="宋体"/>
          <w:color w:val="auto"/>
          <w:sz w:val="24"/>
          <w:szCs w:val="24"/>
          <w:highlight w:val="none"/>
        </w:rPr>
        <w:t>BJ/T15-134-2018</w:t>
      </w:r>
      <w:r>
        <w:rPr>
          <w:rFonts w:hint="eastAsia" w:ascii="宋体" w:hAnsi="宋体" w:eastAsia="宋体" w:cs="宋体"/>
          <w:color w:val="auto"/>
          <w:sz w:val="24"/>
          <w:szCs w:val="24"/>
          <w:highlight w:val="none"/>
        </w:rPr>
        <w:t>）在地下管线详查成果的基础上，需针对指定区域内地下管线或指定的某种地下管线进行地下管线专项探测（以签订补充协议形式确定）。</w:t>
      </w:r>
    </w:p>
    <w:p>
      <w:pPr>
        <w:spacing w:before="120" w:beforeLines="50" w:after="120" w:afterLines="50" w:line="360" w:lineRule="auto"/>
        <w:outlineLvl w:val="1"/>
        <w:rPr>
          <w:rFonts w:ascii="宋体" w:hAnsi="宋体" w:eastAsia="宋体" w:cs="宋体"/>
          <w:b/>
          <w:color w:val="auto"/>
          <w:sz w:val="24"/>
          <w:szCs w:val="24"/>
        </w:rPr>
      </w:pPr>
      <w:r>
        <w:rPr>
          <w:rFonts w:hint="eastAsia" w:ascii="宋体" w:hAnsi="宋体" w:eastAsia="宋体" w:cs="宋体"/>
          <w:b/>
          <w:color w:val="auto"/>
          <w:sz w:val="24"/>
          <w:szCs w:val="24"/>
        </w:rPr>
        <w:t>11 勘察设计费</w:t>
      </w:r>
    </w:p>
    <w:p>
      <w:pPr>
        <w:spacing w:before="120" w:beforeLines="50" w:after="120" w:afterLines="50" w:line="360" w:lineRule="auto"/>
        <w:rPr>
          <w:rFonts w:ascii="宋体" w:hAnsi="宋体" w:eastAsia="宋体" w:cs="宋体"/>
          <w:b/>
          <w:color w:val="auto"/>
          <w:sz w:val="24"/>
          <w:szCs w:val="24"/>
        </w:rPr>
      </w:pPr>
      <w:r>
        <w:rPr>
          <w:rFonts w:hint="eastAsia" w:ascii="宋体" w:hAnsi="宋体" w:eastAsia="宋体" w:cs="宋体"/>
          <w:b/>
          <w:color w:val="auto"/>
          <w:sz w:val="24"/>
          <w:szCs w:val="24"/>
        </w:rPr>
        <w:t>11.1  勘察设计费收费标准及对应的参数</w:t>
      </w:r>
    </w:p>
    <w:p>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工程测量费用、岩土工程勘察费用、地下管线探测费用按国家发展计划委员会、建设部2002年颁布的《工程勘察设计收费标准》计算。</w:t>
      </w:r>
    </w:p>
    <w:p>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设计费用（包括初步设计的费用）按国家发展计划委员会、建设部2002年颁布的《工程勘察设计收费标准》计算。最终的工程对应参数及勘察设计费用以财政部门评审结果为准。</w:t>
      </w:r>
    </w:p>
    <w:p>
      <w:pPr>
        <w:spacing w:before="120" w:beforeLines="50" w:after="120" w:afterLines="50" w:line="360" w:lineRule="auto"/>
        <w:rPr>
          <w:rFonts w:ascii="宋体" w:hAnsi="宋体" w:eastAsia="宋体" w:cs="宋体"/>
          <w:b/>
          <w:color w:val="auto"/>
          <w:sz w:val="24"/>
          <w:szCs w:val="24"/>
        </w:rPr>
      </w:pPr>
      <w:r>
        <w:rPr>
          <w:rFonts w:hint="eastAsia" w:ascii="宋体" w:hAnsi="宋体" w:eastAsia="宋体" w:cs="宋体"/>
          <w:b/>
          <w:color w:val="auto"/>
          <w:sz w:val="24"/>
          <w:szCs w:val="24"/>
        </w:rPr>
        <w:t>11.2  如财政政策有变，则根据新的财政政策进行支付。</w:t>
      </w:r>
    </w:p>
    <w:p>
      <w:pPr>
        <w:pStyle w:val="3"/>
        <w:jc w:val="both"/>
        <w:rPr>
          <w:rFonts w:ascii="宋体" w:eastAsia="宋体"/>
          <w:color w:val="auto"/>
        </w:rPr>
      </w:pPr>
      <w:r>
        <w:rPr>
          <w:rFonts w:hint="eastAsia" w:ascii="宋体" w:eastAsia="宋体"/>
          <w:bCs w:val="0"/>
          <w:color w:val="auto"/>
          <w:sz w:val="24"/>
          <w:szCs w:val="24"/>
        </w:rPr>
        <w:t>11.3  设计费的调整与调差方法和计算公式</w:t>
      </w:r>
    </w:p>
    <w:p>
      <w:pPr>
        <w:pStyle w:val="21"/>
        <w:spacing w:line="500" w:lineRule="exact"/>
        <w:ind w:left="-29" w:leftChars="-14" w:firstLine="480" w:firstLineChars="200"/>
        <w:rPr>
          <w:rFonts w:ascii="宋体" w:hAnsi="宋体" w:eastAsia="宋体" w:cs="宋体"/>
          <w:color w:val="auto"/>
          <w:sz w:val="24"/>
          <w:szCs w:val="24"/>
        </w:rPr>
      </w:pPr>
      <w:r>
        <w:rPr>
          <w:rFonts w:hint="eastAsia" w:ascii="宋体" w:hAnsi="宋体" w:eastAsia="宋体" w:cs="宋体"/>
          <w:color w:val="auto"/>
          <w:sz w:val="24"/>
          <w:szCs w:val="24"/>
        </w:rPr>
        <w:t>在合同实施期间，因非承包人原因造成设计重大变更时，设计费按建设规模和设计工作量调整，但费率浮动幅度不变；岩土工程勘察费和工程测量费按实际完成工作量调整，但费率浮动幅度不变。调整的勘察设计费以花都区财政投资评审中心按新的建设规模以及勘察测量完成的实际工作量审定为准。</w:t>
      </w:r>
    </w:p>
    <w:p>
      <w:pPr>
        <w:spacing w:before="120" w:beforeLines="50" w:after="120" w:afterLines="50" w:line="360" w:lineRule="auto"/>
        <w:rPr>
          <w:rFonts w:ascii="宋体" w:hAnsi="宋体" w:eastAsia="宋体" w:cs="宋体"/>
          <w:b/>
          <w:color w:val="auto"/>
          <w:sz w:val="24"/>
          <w:szCs w:val="24"/>
        </w:rPr>
      </w:pPr>
      <w:r>
        <w:rPr>
          <w:rFonts w:hint="eastAsia" w:ascii="宋体" w:hAnsi="宋体" w:eastAsia="宋体" w:cs="宋体"/>
          <w:b/>
          <w:color w:val="auto"/>
          <w:sz w:val="24"/>
          <w:szCs w:val="24"/>
        </w:rPr>
        <w:t>11.4  勘察设计费的金额及支付方式</w:t>
      </w:r>
    </w:p>
    <w:p>
      <w:pPr>
        <w:pStyle w:val="21"/>
        <w:spacing w:line="500" w:lineRule="exact"/>
        <w:ind w:left="-29" w:leftChars="-14"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rPr>
        <w:t>勘察设计费总额暂定为</w:t>
      </w:r>
      <w:r>
        <w:rPr>
          <w:rFonts w:hint="eastAsia" w:ascii="宋体" w:hAnsi="宋体" w:eastAsia="宋体" w:cs="宋体"/>
          <w:color w:val="auto"/>
          <w:sz w:val="24"/>
          <w:szCs w:val="24"/>
          <w:u w:val="single"/>
        </w:rPr>
        <w:t xml:space="preserve">人民币¥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（大写）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，（其中勘察费</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元，设计费</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lang w:val="zh-CN"/>
        </w:rPr>
        <w:t>设计费参照国家发展计划委员会﹑建设部发布的《工程勘察设计收费标准》（2002年修订本）规定收费标准勘察下浮率为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%，设计</w:t>
      </w:r>
      <w:r>
        <w:rPr>
          <w:rFonts w:ascii="宋体" w:hAnsi="宋体" w:eastAsia="宋体" w:cs="宋体"/>
          <w:color w:val="auto"/>
          <w:sz w:val="24"/>
          <w:szCs w:val="24"/>
          <w:lang w:val="zh-CN"/>
        </w:rPr>
        <w:t>下浮</w:t>
      </w:r>
      <w:r>
        <w:rPr>
          <w:rFonts w:hint="eastAsia" w:ascii="宋体" w:hAnsi="宋体" w:eastAsia="宋体" w:cs="宋体"/>
          <w:color w:val="auto"/>
          <w:sz w:val="24"/>
          <w:szCs w:val="24"/>
          <w:lang w:val="zh-CN"/>
        </w:rPr>
        <w:t>率为</w:t>
      </w:r>
      <w:r>
        <w:rPr>
          <w:rFonts w:hint="eastAsia" w:ascii="宋体" w:hAnsi="宋体" w:eastAsia="宋体" w:cs="宋体"/>
          <w:color w:val="auto"/>
          <w:sz w:val="24"/>
          <w:szCs w:val="24"/>
          <w:u w:val="single"/>
          <w:lang w:val="en-US" w:eastAsia="zh-CN"/>
        </w:rPr>
        <w:t xml:space="preserve">   </w:t>
      </w:r>
      <w:r>
        <w:rPr>
          <w:rFonts w:ascii="宋体" w:hAnsi="宋体" w:eastAsia="宋体" w:cs="宋体"/>
          <w:color w:val="auto"/>
          <w:sz w:val="24"/>
          <w:szCs w:val="24"/>
          <w:lang w:val="zh-CN"/>
        </w:rPr>
        <w:t>%</w:t>
      </w:r>
      <w:r>
        <w:rPr>
          <w:rFonts w:hint="eastAsia" w:ascii="宋体" w:hAnsi="宋体" w:eastAsia="宋体" w:cs="宋体"/>
          <w:color w:val="auto"/>
          <w:sz w:val="24"/>
          <w:szCs w:val="24"/>
          <w:lang w:val="zh-CN"/>
        </w:rPr>
        <w:t>执行，初步</w:t>
      </w:r>
      <w:r>
        <w:rPr>
          <w:rFonts w:ascii="宋体" w:hAnsi="宋体" w:eastAsia="宋体" w:cs="宋体"/>
          <w:color w:val="auto"/>
          <w:sz w:val="24"/>
          <w:szCs w:val="24"/>
          <w:lang w:val="zh-CN"/>
        </w:rPr>
        <w:t>设计占整体设计费的</w:t>
      </w:r>
      <w:r>
        <w:rPr>
          <w:rFonts w:hint="eastAsia" w:ascii="宋体" w:hAnsi="宋体" w:eastAsia="宋体" w:cs="宋体"/>
          <w:color w:val="auto"/>
          <w:sz w:val="24"/>
          <w:szCs w:val="24"/>
          <w:lang w:val="zh-CN"/>
        </w:rPr>
        <w:t>40</w:t>
      </w:r>
      <w:r>
        <w:rPr>
          <w:rFonts w:ascii="宋体" w:hAnsi="宋体" w:eastAsia="宋体" w:cs="宋体"/>
          <w:color w:val="auto"/>
          <w:sz w:val="24"/>
          <w:szCs w:val="24"/>
          <w:lang w:val="zh-CN"/>
        </w:rPr>
        <w:t>%，结算时</w:t>
      </w:r>
      <w:r>
        <w:rPr>
          <w:rFonts w:hint="eastAsia" w:ascii="宋体" w:hAnsi="宋体" w:eastAsia="宋体" w:cs="宋体"/>
          <w:color w:val="auto"/>
          <w:sz w:val="24"/>
          <w:szCs w:val="24"/>
          <w:lang w:val="zh-CN"/>
        </w:rPr>
        <w:t>以</w:t>
      </w:r>
      <w:r>
        <w:rPr>
          <w:rFonts w:ascii="宋体" w:hAnsi="宋体" w:eastAsia="宋体" w:cs="宋体"/>
          <w:color w:val="auto"/>
          <w:sz w:val="24"/>
          <w:szCs w:val="24"/>
          <w:lang w:val="zh-CN"/>
        </w:rPr>
        <w:t>概算中</w:t>
      </w:r>
      <w:r>
        <w:rPr>
          <w:rFonts w:hint="eastAsia" w:ascii="宋体" w:hAnsi="宋体" w:eastAsia="宋体" w:cs="宋体"/>
          <w:color w:val="auto"/>
          <w:sz w:val="24"/>
          <w:szCs w:val="24"/>
          <w:lang w:val="zh-CN"/>
        </w:rPr>
        <w:t>工程</w:t>
      </w:r>
      <w:r>
        <w:rPr>
          <w:rFonts w:ascii="宋体" w:hAnsi="宋体" w:eastAsia="宋体" w:cs="宋体"/>
          <w:color w:val="auto"/>
          <w:sz w:val="24"/>
          <w:szCs w:val="24"/>
          <w:lang w:val="zh-CN"/>
        </w:rPr>
        <w:t>建安费作为计算基数</w:t>
      </w:r>
      <w:r>
        <w:rPr>
          <w:rFonts w:hint="eastAsia" w:ascii="宋体" w:hAnsi="宋体" w:eastAsia="宋体" w:cs="宋体"/>
          <w:color w:val="auto"/>
          <w:sz w:val="24"/>
          <w:szCs w:val="24"/>
          <w:lang w:val="zh-CN"/>
        </w:rPr>
        <w:t>，其中专业调整</w:t>
      </w:r>
      <w:r>
        <w:rPr>
          <w:rFonts w:ascii="宋体" w:hAnsi="宋体" w:eastAsia="宋体" w:cs="宋体"/>
          <w:color w:val="auto"/>
          <w:sz w:val="24"/>
          <w:szCs w:val="24"/>
          <w:lang w:val="zh-CN"/>
        </w:rPr>
        <w:t>系数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w:t>
      </w:r>
      <w:r>
        <w:rPr>
          <w:rFonts w:ascii="宋体" w:hAnsi="宋体" w:eastAsia="宋体" w:cs="宋体"/>
          <w:color w:val="auto"/>
          <w:sz w:val="24"/>
          <w:szCs w:val="24"/>
          <w:lang w:val="zh-CN"/>
        </w:rPr>
        <w:t>复杂程度调整系数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w:t>
      </w:r>
      <w:r>
        <w:rPr>
          <w:rFonts w:ascii="宋体" w:hAnsi="宋体" w:eastAsia="宋体" w:cs="宋体"/>
          <w:color w:val="auto"/>
          <w:sz w:val="24"/>
          <w:szCs w:val="24"/>
          <w:lang w:val="zh-CN"/>
        </w:rPr>
        <w:t>附加调整系数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最终费用以花都区财政部门按实际的建设规模以及勘察测量完成的实际工作量审定为准。</w:t>
      </w:r>
      <w:r>
        <w:rPr>
          <w:rFonts w:hint="eastAsia" w:ascii="宋体" w:hAnsi="宋体" w:eastAsia="宋体" w:cs="宋体"/>
          <w:color w:val="auto"/>
          <w:sz w:val="24"/>
          <w:szCs w:val="24"/>
          <w:lang w:val="zh-CN"/>
        </w:rPr>
        <w:t>国家和地方没有规定的，由双方商定。</w:t>
      </w:r>
    </w:p>
    <w:p>
      <w:pPr>
        <w:spacing w:before="120" w:beforeLines="50" w:after="120" w:afterLines="50" w:line="360" w:lineRule="auto"/>
        <w:rPr>
          <w:rFonts w:ascii="宋体" w:hAnsi="宋体" w:eastAsia="宋体" w:cs="宋体"/>
          <w:b/>
          <w:color w:val="auto"/>
          <w:sz w:val="24"/>
          <w:szCs w:val="24"/>
        </w:rPr>
      </w:pPr>
      <w:r>
        <w:rPr>
          <w:rFonts w:hint="eastAsia" w:ascii="宋体" w:hAnsi="宋体" w:eastAsia="宋体" w:cs="宋体"/>
          <w:b/>
          <w:color w:val="auto"/>
          <w:sz w:val="24"/>
          <w:szCs w:val="24"/>
        </w:rPr>
        <w:t>11.4.1勘察费用</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（1）本工程暂定勘察费包括测量费用、岩土工程勘察费用及管线探测费，勘察费暂定额为￥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Cs/>
          <w:color w:val="auto"/>
          <w:sz w:val="24"/>
          <w:szCs w:val="24"/>
        </w:rPr>
        <w:t>元</w:t>
      </w:r>
      <w:r>
        <w:rPr>
          <w:rFonts w:hint="eastAsia" w:ascii="宋体" w:hAnsi="宋体" w:eastAsia="宋体" w:cs="宋体"/>
          <w:color w:val="auto"/>
          <w:sz w:val="24"/>
          <w:szCs w:val="24"/>
        </w:rPr>
        <w:t>（大写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）；最终勘察费以花都区财政部门根据实际完成的工作量审核为准。</w:t>
      </w:r>
    </w:p>
    <w:p>
      <w:pPr>
        <w:adjustRightInd w:val="0"/>
        <w:snapToGrid w:val="0"/>
        <w:spacing w:line="460" w:lineRule="exact"/>
        <w:ind w:firstLine="0" w:firstLineChars="0"/>
        <w:rPr>
          <w:rFonts w:ascii="宋体" w:hAnsi="宋体" w:eastAsia="宋体" w:cs="宋体"/>
          <w:snapToGrid w:val="0"/>
          <w:color w:val="auto"/>
          <w:kern w:val="0"/>
          <w:sz w:val="24"/>
        </w:rPr>
      </w:pPr>
      <w:r>
        <w:rPr>
          <w:rFonts w:hint="eastAsia" w:ascii="宋体" w:hAnsi="宋体" w:eastAsia="宋体" w:cs="宋体"/>
          <w:color w:val="auto"/>
          <w:sz w:val="24"/>
          <w:szCs w:val="24"/>
        </w:rPr>
        <w:t xml:space="preserve">    （2）承包人按发包人要求完成工程的勘察工作并提交成果资料，发包人（视资金到位情况）累计支付勘察费(勘察费包括测量费用、岩土工程勘察费用及管线探测费等)至总额的50%，经过概算评审后，发包人（视资金到位情况）累计支付勘察费至总额的80%（按初步设计批复计算）。剩余款项待工程结算后一次性支付，最终支付金额以财政部门审核的结果为准。</w:t>
      </w:r>
    </w:p>
    <w:p>
      <w:pPr>
        <w:spacing w:before="120" w:beforeLines="50" w:after="120" w:afterLines="50" w:line="460" w:lineRule="exact"/>
        <w:rPr>
          <w:rFonts w:ascii="宋体" w:hAnsi="宋体" w:eastAsia="宋体" w:cs="宋体"/>
          <w:b/>
          <w:color w:val="auto"/>
          <w:sz w:val="24"/>
          <w:szCs w:val="24"/>
        </w:rPr>
      </w:pPr>
      <w:r>
        <w:rPr>
          <w:rFonts w:hint="eastAsia" w:ascii="宋体" w:hAnsi="宋体" w:eastAsia="宋体" w:cs="宋体"/>
          <w:b/>
          <w:color w:val="auto"/>
          <w:sz w:val="24"/>
          <w:szCs w:val="24"/>
        </w:rPr>
        <w:t>11.4.2设计费</w:t>
      </w:r>
    </w:p>
    <w:p>
      <w:pPr>
        <w:spacing w:line="460" w:lineRule="exact"/>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（1）本工程设计费暂定额为</w:t>
      </w:r>
      <w:r>
        <w:rPr>
          <w:rFonts w:hint="eastAsia" w:ascii="宋体" w:hAnsi="宋体" w:eastAsia="宋体" w:cs="宋体"/>
          <w:color w:val="auto"/>
          <w:sz w:val="24"/>
          <w:szCs w:val="24"/>
        </w:rPr>
        <w:t>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r>
        <w:rPr>
          <w:rFonts w:hint="eastAsia" w:ascii="宋体" w:hAnsi="宋体" w:eastAsia="宋体" w:cs="宋体"/>
          <w:bCs/>
          <w:color w:val="auto"/>
          <w:sz w:val="24"/>
          <w:szCs w:val="24"/>
        </w:rPr>
        <w:t>；最终的设计费以花都区财政部门根据实际的建设规模和设计工作量审核为准。</w:t>
      </w:r>
    </w:p>
    <w:p>
      <w:pPr>
        <w:spacing w:line="460" w:lineRule="exact"/>
        <w:ind w:firstLine="480" w:firstLineChars="200"/>
        <w:jc w:val="left"/>
        <w:rPr>
          <w:rFonts w:eastAsia="宋体"/>
          <w:bCs/>
          <w:color w:val="auto"/>
          <w:sz w:val="24"/>
          <w:szCs w:val="24"/>
        </w:rPr>
      </w:pPr>
      <w:r>
        <w:rPr>
          <w:rFonts w:hAnsi="宋体" w:eastAsia="宋体"/>
          <w:bCs/>
          <w:color w:val="auto"/>
          <w:sz w:val="24"/>
          <w:szCs w:val="24"/>
        </w:rPr>
        <w:t>（</w:t>
      </w:r>
      <w:r>
        <w:rPr>
          <w:rFonts w:eastAsia="宋体"/>
          <w:bCs/>
          <w:color w:val="auto"/>
          <w:sz w:val="24"/>
          <w:szCs w:val="24"/>
        </w:rPr>
        <w:t>2</w:t>
      </w:r>
      <w:r>
        <w:rPr>
          <w:rFonts w:hAnsi="宋体" w:eastAsia="宋体"/>
          <w:bCs/>
          <w:color w:val="auto"/>
          <w:sz w:val="24"/>
          <w:szCs w:val="24"/>
        </w:rPr>
        <w:t>）</w:t>
      </w:r>
      <w:r>
        <w:rPr>
          <w:rFonts w:hint="eastAsia" w:hAnsi="宋体" w:eastAsia="宋体"/>
          <w:bCs/>
          <w:color w:val="auto"/>
          <w:sz w:val="24"/>
          <w:szCs w:val="24"/>
          <w:lang w:eastAsia="zh-CN"/>
        </w:rPr>
        <w:t>承包人</w:t>
      </w:r>
      <w:r>
        <w:rPr>
          <w:rFonts w:hAnsi="宋体" w:eastAsia="宋体"/>
          <w:bCs/>
          <w:color w:val="auto"/>
          <w:sz w:val="24"/>
          <w:szCs w:val="24"/>
        </w:rPr>
        <w:t>提交的初步设计文件后十天内，发包人（视资金到位情况）支付暂定价设计费总额的</w:t>
      </w:r>
      <w:r>
        <w:rPr>
          <w:rFonts w:eastAsia="宋体"/>
          <w:bCs/>
          <w:color w:val="auto"/>
          <w:sz w:val="24"/>
          <w:szCs w:val="24"/>
        </w:rPr>
        <w:t>50%</w:t>
      </w:r>
      <w:r>
        <w:rPr>
          <w:rFonts w:hAnsi="宋体" w:eastAsia="宋体"/>
          <w:bCs/>
          <w:color w:val="auto"/>
          <w:sz w:val="24"/>
          <w:szCs w:val="24"/>
        </w:rPr>
        <w:t>。</w:t>
      </w:r>
    </w:p>
    <w:p>
      <w:pPr>
        <w:spacing w:line="460" w:lineRule="exact"/>
        <w:ind w:firstLine="480" w:firstLineChars="200"/>
        <w:jc w:val="left"/>
        <w:rPr>
          <w:rFonts w:eastAsia="宋体"/>
          <w:bCs/>
          <w:color w:val="auto"/>
          <w:sz w:val="24"/>
          <w:szCs w:val="24"/>
        </w:rPr>
      </w:pPr>
      <w:r>
        <w:rPr>
          <w:rFonts w:hAnsi="宋体" w:eastAsia="宋体"/>
          <w:bCs/>
          <w:color w:val="auto"/>
          <w:sz w:val="24"/>
          <w:szCs w:val="24"/>
        </w:rPr>
        <w:t>（</w:t>
      </w:r>
      <w:r>
        <w:rPr>
          <w:rFonts w:eastAsia="宋体"/>
          <w:bCs/>
          <w:color w:val="auto"/>
          <w:sz w:val="24"/>
          <w:szCs w:val="24"/>
        </w:rPr>
        <w:t>3</w:t>
      </w:r>
      <w:r>
        <w:rPr>
          <w:rFonts w:hAnsi="宋体" w:eastAsia="宋体"/>
          <w:bCs/>
          <w:color w:val="auto"/>
          <w:sz w:val="24"/>
          <w:szCs w:val="24"/>
        </w:rPr>
        <w:t>）</w:t>
      </w:r>
      <w:r>
        <w:rPr>
          <w:rFonts w:hint="eastAsia" w:hAnsi="宋体" w:eastAsia="宋体"/>
          <w:bCs/>
          <w:color w:val="auto"/>
          <w:sz w:val="24"/>
          <w:szCs w:val="24"/>
          <w:lang w:eastAsia="zh-CN"/>
        </w:rPr>
        <w:t>承包人</w:t>
      </w:r>
      <w:r>
        <w:rPr>
          <w:rFonts w:hAnsi="宋体" w:eastAsia="宋体"/>
          <w:bCs/>
          <w:color w:val="auto"/>
          <w:sz w:val="24"/>
          <w:szCs w:val="24"/>
        </w:rPr>
        <w:t>提交的初步设计文件获得批复后十天内，发包人（视资金到位情况）</w:t>
      </w:r>
      <w:r>
        <w:rPr>
          <w:rFonts w:hAnsi="宋体" w:eastAsia="宋体"/>
          <w:color w:val="auto"/>
          <w:sz w:val="24"/>
          <w:szCs w:val="24"/>
        </w:rPr>
        <w:t>累计支付设计费至总额的</w:t>
      </w:r>
      <w:r>
        <w:rPr>
          <w:rFonts w:hint="eastAsia" w:eastAsia="宋体"/>
          <w:color w:val="auto"/>
          <w:sz w:val="24"/>
          <w:szCs w:val="24"/>
          <w:lang w:val="en-US" w:eastAsia="zh-CN"/>
        </w:rPr>
        <w:t>80</w:t>
      </w:r>
      <w:r>
        <w:rPr>
          <w:rFonts w:eastAsia="宋体"/>
          <w:color w:val="auto"/>
          <w:sz w:val="24"/>
          <w:szCs w:val="24"/>
        </w:rPr>
        <w:t>%</w:t>
      </w:r>
      <w:r>
        <w:rPr>
          <w:rFonts w:hAnsi="宋体" w:eastAsia="宋体"/>
          <w:color w:val="auto"/>
          <w:sz w:val="24"/>
          <w:szCs w:val="24"/>
        </w:rPr>
        <w:t>。剩余款项待工程结算后一次性支付，最终支付金额以财政部门审核的结果为准。</w:t>
      </w:r>
    </w:p>
    <w:p>
      <w:pPr>
        <w:spacing w:before="120" w:beforeLines="50" w:after="120" w:afterLines="50" w:line="460" w:lineRule="exact"/>
        <w:rPr>
          <w:rFonts w:ascii="宋体" w:hAnsi="宋体" w:eastAsia="宋体" w:cs="宋体"/>
          <w:b/>
          <w:color w:val="auto"/>
          <w:sz w:val="24"/>
          <w:szCs w:val="24"/>
        </w:rPr>
      </w:pPr>
      <w:r>
        <w:rPr>
          <w:rFonts w:hint="eastAsia" w:ascii="宋体" w:hAnsi="宋体" w:eastAsia="宋体" w:cs="宋体"/>
          <w:b/>
          <w:color w:val="auto"/>
          <w:sz w:val="24"/>
          <w:szCs w:val="24"/>
        </w:rPr>
        <w:t>11.5  勘察设计费支付时间</w:t>
      </w:r>
    </w:p>
    <w:p>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承包人在每次申请付款前，应按发包人同意的格式填写付款申请表，发包人在收到承包人的付款申请表后15天内签署付款文件，向财政部门递交支付申请。支付程序和付款时间以财政部门的付款程序规定和要求为准。如在支付时，财政部门的有关政策发生变化，则按新的政策执行；若双方对支付费用有不同意见需协商解决时，支付时间顺延。只要发包人签署了付款文件，视为已经支付。若因上级资金不能按时到位或其他原因使承包人不能按时取得款项的，发包人不承担违约责任。</w:t>
      </w:r>
    </w:p>
    <w:p>
      <w:pPr>
        <w:spacing w:before="120" w:beforeLines="50" w:after="120" w:afterLines="50" w:line="460" w:lineRule="exact"/>
        <w:outlineLvl w:val="1"/>
        <w:rPr>
          <w:rFonts w:ascii="宋体" w:hAnsi="宋体" w:eastAsia="宋体" w:cs="宋体"/>
          <w:b/>
          <w:color w:val="auto"/>
          <w:sz w:val="24"/>
          <w:szCs w:val="24"/>
        </w:rPr>
      </w:pPr>
      <w:r>
        <w:rPr>
          <w:rFonts w:hint="eastAsia" w:ascii="宋体" w:hAnsi="宋体" w:eastAsia="宋体" w:cs="宋体"/>
          <w:b/>
          <w:color w:val="auto"/>
          <w:sz w:val="24"/>
          <w:szCs w:val="24"/>
        </w:rPr>
        <w:t>12 额外服务</w:t>
      </w:r>
    </w:p>
    <w:p>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因非承包人原因，出现以下情况而由此增加的设计工作量和工作时间，应视为承包人的额外工作，承包人有权要求得到额外报酬：</w:t>
      </w:r>
    </w:p>
    <w:p>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⑴在合同规定提交设计文件份数之外增加的份数，增加部分承包人应只收工本费。</w:t>
      </w:r>
    </w:p>
    <w:p>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⑵发包人要求承包人配合工程的建筑材料、设备的加工定货，由此发生的费用由双方协商确定。</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⑶因非承包人原因暂停或终止本合同时，其善后工作或恢复设计工作，所需费用由双方协商确定。</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⑷发包人委托承包人承担合同内容之外的工作服务。</w:t>
      </w:r>
    </w:p>
    <w:p>
      <w:pPr>
        <w:spacing w:before="120" w:beforeLines="50" w:after="120" w:afterLines="50" w:line="360" w:lineRule="auto"/>
        <w:outlineLvl w:val="1"/>
        <w:rPr>
          <w:rFonts w:ascii="宋体" w:hAnsi="宋体" w:eastAsia="宋体" w:cs="宋体"/>
          <w:b/>
          <w:color w:val="auto"/>
          <w:sz w:val="24"/>
          <w:szCs w:val="24"/>
        </w:rPr>
      </w:pPr>
      <w:r>
        <w:rPr>
          <w:rFonts w:hint="eastAsia" w:ascii="宋体" w:hAnsi="宋体" w:eastAsia="宋体" w:cs="宋体"/>
          <w:b/>
          <w:color w:val="auto"/>
          <w:sz w:val="24"/>
          <w:szCs w:val="24"/>
        </w:rPr>
        <w:t>13  违约</w:t>
      </w:r>
    </w:p>
    <w:p>
      <w:pPr>
        <w:spacing w:before="120" w:beforeLines="50" w:after="120" w:afterLines="50" w:line="360" w:lineRule="auto"/>
        <w:rPr>
          <w:rFonts w:ascii="宋体" w:hAnsi="宋体" w:eastAsia="宋体" w:cs="宋体"/>
          <w:b/>
          <w:color w:val="auto"/>
          <w:sz w:val="24"/>
          <w:szCs w:val="24"/>
        </w:rPr>
      </w:pPr>
      <w:r>
        <w:rPr>
          <w:rFonts w:hint="eastAsia" w:ascii="宋体" w:hAnsi="宋体" w:eastAsia="宋体" w:cs="宋体"/>
          <w:b/>
          <w:color w:val="auto"/>
          <w:sz w:val="24"/>
          <w:szCs w:val="24"/>
        </w:rPr>
        <w:t>13.1  发包人违约</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13.1.1  发包人违约</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在履行合同过程中，发包人发生下述行为之一属发包人违约：</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⑴发包人未能按合同规定支付设计费。</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⑵由于法律、财务等原因导致发包人已无法继续履行或实质上已停止履行本合同的义务。</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13.1.2  发包人的违约责任</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发包人违约，应承担违约责任：</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⑵若发生第1</w:t>
      </w:r>
      <w:r>
        <w:rPr>
          <w:rFonts w:ascii="宋体" w:hAnsi="宋体" w:eastAsia="宋体" w:cs="宋体"/>
          <w:color w:val="auto"/>
          <w:sz w:val="24"/>
          <w:szCs w:val="24"/>
        </w:rPr>
        <w:t>2</w:t>
      </w:r>
      <w:r>
        <w:rPr>
          <w:rFonts w:hint="eastAsia" w:ascii="宋体" w:hAnsi="宋体" w:eastAsia="宋体" w:cs="宋体"/>
          <w:color w:val="auto"/>
          <w:sz w:val="24"/>
          <w:szCs w:val="24"/>
        </w:rPr>
        <w:t>.1.1款⑴项违约时，逾期1天，应支付承包人千分之一的逾期违约金。</w:t>
      </w:r>
      <w:r>
        <w:rPr>
          <w:rFonts w:hint="eastAsia" w:ascii="宋体" w:hAnsi="宋体" w:eastAsia="宋体" w:cs="宋体"/>
          <w:color w:val="auto"/>
          <w:sz w:val="24"/>
        </w:rPr>
        <w:t>逾期超过30天以上时，承包人有权暂停履行下阶段工作，并书面通知发包人。</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⑶若发生第13.1.1款⑵项违约时，承包人有权要求解除合同。解除合同后，承包人未开始设计的，发包人应支付违约赔偿金给承包人，赔偿金为本项目中标金额的10%；已开始设计的，按承包人实际完成的工作量，不足一半时，按该阶段勘察费的100%和设计费的50%支付，超过一半时，按该阶段勘察设计费的100%支付，同时承包人应将已完成的勘察设计文件提交发包人。具体支付的金额以花都区财政部门审核为准。</w:t>
      </w:r>
    </w:p>
    <w:p>
      <w:pPr>
        <w:spacing w:before="120" w:beforeLines="50" w:after="120" w:afterLines="50" w:line="360" w:lineRule="auto"/>
        <w:rPr>
          <w:rFonts w:ascii="宋体" w:hAnsi="宋体" w:eastAsia="宋体" w:cs="宋体"/>
          <w:b/>
          <w:color w:val="auto"/>
          <w:sz w:val="24"/>
          <w:szCs w:val="24"/>
        </w:rPr>
      </w:pPr>
      <w:r>
        <w:rPr>
          <w:rFonts w:hint="eastAsia" w:ascii="宋体" w:hAnsi="宋体" w:eastAsia="宋体" w:cs="宋体"/>
          <w:b/>
          <w:color w:val="auto"/>
          <w:sz w:val="24"/>
          <w:szCs w:val="24"/>
        </w:rPr>
        <w:t>13.2  承包人违约</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13.2.1  承包人违约</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在履行合同过程中，承包人发生下述行为之一属承包人违约：</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⑴未按第6.1款规定的时间提交设计大纲等资料。</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⑵未按合同规定的时间提交设计文件。</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⑶承包人违反第6.17款规定，未经发包人同意私自更换项目负责人和各专业负责人，或更换其他人员时未报发包人备案。</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⑷因承包人设计质量低劣或设计错误造成工程质量事故损失。</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⑸承包人违反第6.6款规定私自将合同转包给其他人，或私自将设计或设计的一部分分包出去。</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⑹承包人违反第6.18款规定，承包人有意拖延提交设计变更资料。</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（7）承包人否认合同有效或拒绝履行合同规定的承包人义务，或由于法律、财务等原因导致承包人无法继续履行或实质上已停止履行本合同的义务。</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13.2.2  承包人违约责任</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⑴若发生第13.2.1款⑴、⑵项违约时，每延误一天，承包人应向发包人支付逾期违约金贰佰元。</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⑵若发生第13.2.1款⑶项违约时，每更换一人，应向发包人支付违约金壹仟元。</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⑶若发生第13.2.1款⑷项违约时，</w:t>
      </w:r>
      <w:r>
        <w:rPr>
          <w:rFonts w:hint="eastAsia" w:ascii="宋体" w:hAnsi="宋体" w:eastAsia="宋体" w:cs="宋体"/>
          <w:color w:val="auto"/>
          <w:sz w:val="24"/>
        </w:rPr>
        <w:t>承包人除负责采取补救措施外，应免收损失部分的设计费，并根据损失程度向甲方偿付赔偿金，赔偿金金额按国家有关规定执行。最高不超过已支付的设计费。</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⑷若发生第13.2.1款⑸、</w:t>
      </w:r>
      <w:r>
        <w:rPr>
          <w:rFonts w:hint="eastAsia"/>
          <w:color w:val="auto"/>
          <w:sz w:val="24"/>
          <w:szCs w:val="24"/>
        </w:rPr>
        <w:t>(</w:t>
      </w:r>
      <w:r>
        <w:rPr>
          <w:color w:val="auto"/>
          <w:sz w:val="24"/>
          <w:szCs w:val="24"/>
        </w:rPr>
        <w:t>7</w:t>
      </w:r>
      <w:r>
        <w:rPr>
          <w:rFonts w:hint="eastAsia"/>
          <w:color w:val="auto"/>
          <w:sz w:val="24"/>
          <w:szCs w:val="24"/>
        </w:rPr>
        <w:t>)</w:t>
      </w:r>
      <w:r>
        <w:rPr>
          <w:rFonts w:hint="eastAsia" w:ascii="宋体" w:hAnsi="宋体" w:eastAsia="宋体" w:cs="宋体"/>
          <w:color w:val="auto"/>
          <w:sz w:val="24"/>
          <w:szCs w:val="24"/>
        </w:rPr>
        <w:t>项违约时，发包人可暂停支付设计费，并通知承包人暂停设计，责令其整改，由此造成的增加费用和设计工期延误由承包人承担。若在发出整改通知14天后，承包人仍未改正，则发包人可通知承包人解除合同，解除合同后，承包人应支付违约赔偿金给发包人，赔偿金为本项目中标金额的10%；同时承包人应将其已完成的勘察成果、设计文件提交发包人。</w:t>
      </w:r>
    </w:p>
    <w:p>
      <w:pPr>
        <w:spacing w:before="120" w:beforeLines="50" w:after="120" w:afterLines="50" w:line="360" w:lineRule="auto"/>
        <w:outlineLvl w:val="1"/>
        <w:rPr>
          <w:rFonts w:ascii="宋体" w:hAnsi="宋体" w:eastAsia="宋体" w:cs="宋体"/>
          <w:b/>
          <w:color w:val="auto"/>
          <w:sz w:val="24"/>
          <w:szCs w:val="24"/>
        </w:rPr>
      </w:pPr>
      <w:r>
        <w:rPr>
          <w:rFonts w:hint="eastAsia" w:ascii="宋体" w:hAnsi="宋体" w:eastAsia="宋体" w:cs="宋体"/>
          <w:b/>
          <w:color w:val="auto"/>
          <w:sz w:val="24"/>
          <w:szCs w:val="24"/>
        </w:rPr>
        <w:t>14 索赔</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发包人和承包人均有权根据本合同任何条款及其他有关规定，向对方提出索赔，但应在索赔事件发生后14天内提交索赔申请报告，详细说明索赔理由和索赔费用的计算依据，并附必要的证明材料。索赔费用不包括利润。</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收到索赔申请报告后，被索赔方应立即进行审核，并与索赔方充分协商后作出决定，双方协商不成的，按第16 条规定解决。若收到索赔申请报告14天内无答复，则视为该项索赔成立。</w:t>
      </w:r>
    </w:p>
    <w:p>
      <w:pPr>
        <w:spacing w:before="120" w:beforeLines="50" w:after="120" w:afterLines="50" w:line="360" w:lineRule="auto"/>
        <w:outlineLvl w:val="1"/>
        <w:rPr>
          <w:rFonts w:ascii="宋体" w:hAnsi="宋体" w:eastAsia="宋体" w:cs="宋体"/>
          <w:b/>
          <w:color w:val="auto"/>
          <w:sz w:val="24"/>
          <w:szCs w:val="24"/>
        </w:rPr>
      </w:pPr>
      <w:r>
        <w:rPr>
          <w:rFonts w:hint="eastAsia" w:ascii="宋体" w:hAnsi="宋体" w:eastAsia="宋体" w:cs="宋体"/>
          <w:b/>
          <w:color w:val="auto"/>
          <w:sz w:val="24"/>
          <w:szCs w:val="24"/>
        </w:rPr>
        <w:t>15 争议的解决</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本合同发生争议时，有双方协商解决；也可由工程项目主管部门或行业合同调解机构调解；协商或调解不成时，双方同意由</w:t>
      </w:r>
      <w:r>
        <w:rPr>
          <w:rFonts w:hint="eastAsia" w:ascii="宋体" w:hAnsi="宋体" w:eastAsia="宋体" w:cs="宋体"/>
          <w:color w:val="auto"/>
          <w:sz w:val="24"/>
          <w:szCs w:val="24"/>
          <w:u w:val="single"/>
        </w:rPr>
        <w:t>广州</w:t>
      </w:r>
      <w:r>
        <w:rPr>
          <w:rFonts w:hint="eastAsia" w:ascii="宋体" w:hAnsi="宋体" w:eastAsia="宋体" w:cs="宋体"/>
          <w:color w:val="auto"/>
          <w:sz w:val="24"/>
          <w:szCs w:val="24"/>
        </w:rPr>
        <w:t>仲裁委员会仲裁。</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在争议的协商、调解、仲裁过程中，双方仍应继续承担合同约定的各自的责任和义务，保证设计工作和工程建设的正常进行。</w:t>
      </w:r>
    </w:p>
    <w:p>
      <w:pPr>
        <w:spacing w:before="120" w:beforeLines="50" w:after="120" w:afterLines="50" w:line="360" w:lineRule="auto"/>
        <w:outlineLvl w:val="1"/>
        <w:rPr>
          <w:rFonts w:ascii="宋体" w:hAnsi="宋体" w:eastAsia="宋体" w:cs="宋体"/>
          <w:b/>
          <w:color w:val="auto"/>
          <w:sz w:val="24"/>
          <w:szCs w:val="24"/>
        </w:rPr>
      </w:pPr>
      <w:r>
        <w:rPr>
          <w:rFonts w:hint="eastAsia" w:ascii="宋体" w:hAnsi="宋体" w:eastAsia="宋体" w:cs="宋体"/>
          <w:b/>
          <w:color w:val="auto"/>
          <w:sz w:val="24"/>
          <w:szCs w:val="24"/>
        </w:rPr>
        <w:t>16 其他</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16.1  承包人为本合同工程所采用的国家或地方标准图，由承包人负责向有关部门购买，并承担费用。</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16.2  当工程有引进项目或外购设备材料的设计工作时，从询价、对外谈判、国内外技术考察直至建成的各个阶段，若需吸收承包人参加，出国费用除服装费外，其他费用由发包人支付。</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16.3  承包人应自行办理自己在现场人员生命财产和有关设备的保险并支付一切费用，未办理保险的责任由承包人自行承担。</w:t>
      </w:r>
    </w:p>
    <w:p>
      <w:pPr>
        <w:spacing w:before="120" w:beforeLines="50" w:after="120" w:afterLines="50" w:line="360" w:lineRule="auto"/>
        <w:outlineLvl w:val="1"/>
        <w:rPr>
          <w:rFonts w:ascii="宋体" w:hAnsi="宋体" w:eastAsia="宋体" w:cs="宋体"/>
          <w:b/>
          <w:color w:val="auto"/>
          <w:sz w:val="24"/>
          <w:szCs w:val="24"/>
        </w:rPr>
      </w:pPr>
      <w:r>
        <w:rPr>
          <w:rFonts w:hint="eastAsia" w:ascii="宋体" w:hAnsi="宋体" w:eastAsia="宋体" w:cs="宋体"/>
          <w:b/>
          <w:color w:val="auto"/>
          <w:sz w:val="24"/>
          <w:szCs w:val="24"/>
        </w:rPr>
        <w:t>17  合同生效与终止</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17.1  本合同从发包人和承包人法定代表人或授权委托人签字并盖合同专用章后起生效。</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17.2  在本合同期限内，因工程建设计划的重大调整或不可抗力而致使本合同无法继续履行时，经发包人提出终止合同通知，本合同终止。因合同终止所产生的遗留问题，由双方协商解决。</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17.3  本合同在工程竣工验收通过并结清设计费，合同双方均未遗留按合同规定应履行的义务后自然终止。</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17.4  本合同的终止并不影响各方应有的权利和应承担的责任。</w:t>
      </w:r>
    </w:p>
    <w:p>
      <w:pPr>
        <w:spacing w:before="120" w:beforeLines="50" w:after="120" w:afterLines="50" w:line="360" w:lineRule="auto"/>
        <w:outlineLvl w:val="1"/>
        <w:rPr>
          <w:rFonts w:ascii="宋体" w:hAnsi="宋体" w:eastAsia="宋体" w:cs="宋体"/>
          <w:b/>
          <w:color w:val="auto"/>
          <w:sz w:val="24"/>
          <w:szCs w:val="24"/>
        </w:rPr>
      </w:pPr>
      <w:r>
        <w:rPr>
          <w:rFonts w:hint="eastAsia" w:ascii="宋体" w:hAnsi="宋体" w:eastAsia="宋体" w:cs="宋体"/>
          <w:b/>
          <w:color w:val="auto"/>
          <w:sz w:val="24"/>
          <w:szCs w:val="24"/>
        </w:rPr>
        <w:t>18  成果的产权</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18.1本项目的设计成果归双方所有，任何一方均不得对设计资料及设计文件擅自修改、复制或向第三人转让或用于本合同项目以外的项目。</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18.2勘察和测量成果归甲方所有，甲方有权对勘察和测量成果进行支配。</w:t>
      </w:r>
    </w:p>
    <w:p>
      <w:pPr>
        <w:spacing w:line="360" w:lineRule="auto"/>
        <w:rPr>
          <w:rFonts w:ascii="宋体" w:hAnsi="宋体" w:eastAsia="宋体" w:cs="宋体"/>
          <w:color w:val="auto"/>
          <w:sz w:val="24"/>
          <w:szCs w:val="24"/>
        </w:rPr>
      </w:pPr>
    </w:p>
    <w:p>
      <w:pPr>
        <w:spacing w:line="360" w:lineRule="exact"/>
        <w:jc w:val="center"/>
        <w:outlineLvl w:val="0"/>
        <w:rPr>
          <w:rFonts w:ascii="宋体" w:hAnsi="宋体" w:eastAsia="宋体" w:cs="宋体"/>
          <w:b/>
          <w:color w:val="auto"/>
          <w:sz w:val="30"/>
          <w:szCs w:val="30"/>
        </w:rPr>
      </w:pPr>
      <w:r>
        <w:rPr>
          <w:rFonts w:ascii="宋体" w:hAnsi="宋体"/>
          <w:b/>
          <w:color w:val="auto"/>
          <w:sz w:val="24"/>
        </w:rPr>
        <w:br w:type="page"/>
      </w:r>
      <w:r>
        <w:rPr>
          <w:rFonts w:hint="eastAsia" w:ascii="宋体" w:hAnsi="宋体" w:eastAsia="宋体" w:cs="宋体"/>
          <w:b/>
          <w:color w:val="auto"/>
          <w:sz w:val="36"/>
          <w:szCs w:val="36"/>
        </w:rPr>
        <w:t>第三部分 廉 政 责 任 书</w:t>
      </w:r>
    </w:p>
    <w:p>
      <w:pPr>
        <w:spacing w:line="360" w:lineRule="exact"/>
        <w:ind w:firstLine="750" w:firstLineChars="250"/>
        <w:jc w:val="center"/>
        <w:rPr>
          <w:rFonts w:ascii="宋体" w:hAnsi="宋体" w:eastAsia="宋体" w:cs="宋体"/>
          <w:bCs/>
          <w:color w:val="auto"/>
          <w:sz w:val="30"/>
          <w:szCs w:val="30"/>
        </w:rPr>
      </w:pPr>
    </w:p>
    <w:p>
      <w:pPr>
        <w:spacing w:line="360" w:lineRule="exact"/>
        <w:ind w:firstLine="750" w:firstLineChars="250"/>
        <w:jc w:val="center"/>
        <w:rPr>
          <w:rFonts w:ascii="宋体" w:hAnsi="宋体" w:eastAsia="宋体" w:cs="宋体"/>
          <w:bCs/>
          <w:color w:val="auto"/>
          <w:sz w:val="30"/>
          <w:szCs w:val="30"/>
        </w:rPr>
      </w:pPr>
    </w:p>
    <w:p>
      <w:pPr>
        <w:spacing w:line="520" w:lineRule="exact"/>
        <w:ind w:left="1680" w:hanging="1680" w:hangingChars="700"/>
        <w:rPr>
          <w:rFonts w:hint="eastAsia" w:ascii="宋体" w:hAnsi="宋体" w:eastAsia="宋体" w:cs="宋体"/>
          <w:color w:val="auto"/>
          <w:sz w:val="24"/>
          <w:lang w:val="en-US" w:eastAsia="zh-CN"/>
        </w:rPr>
      </w:pPr>
      <w:r>
        <w:rPr>
          <w:rFonts w:hint="eastAsia" w:ascii="宋体" w:hAnsi="宋体" w:eastAsia="宋体" w:cs="宋体"/>
          <w:color w:val="auto"/>
          <w:sz w:val="24"/>
        </w:rPr>
        <w:t xml:space="preserve">工程项目名称： </w:t>
      </w:r>
      <w:r>
        <w:rPr>
          <w:rFonts w:hint="eastAsia" w:ascii="宋体" w:hAnsi="宋体" w:eastAsia="宋体" w:cs="宋体"/>
          <w:color w:val="auto"/>
          <w:sz w:val="24"/>
          <w:lang w:val="en-US" w:eastAsia="zh-CN"/>
        </w:rPr>
        <w:t xml:space="preserve"> </w:t>
      </w:r>
    </w:p>
    <w:p>
      <w:pPr>
        <w:spacing w:line="520" w:lineRule="exact"/>
        <w:ind w:left="1680" w:hanging="1680" w:hangingChars="700"/>
        <w:rPr>
          <w:rFonts w:hint="default" w:ascii="宋体" w:hAnsi="宋体" w:eastAsia="宋体" w:cs="宋体"/>
          <w:color w:val="auto"/>
          <w:sz w:val="24"/>
          <w:lang w:val="en-US" w:eastAsia="zh-CN"/>
        </w:rPr>
      </w:pPr>
      <w:r>
        <w:rPr>
          <w:rFonts w:hint="eastAsia" w:ascii="宋体" w:hAnsi="宋体" w:eastAsia="宋体" w:cs="宋体"/>
          <w:color w:val="auto"/>
          <w:sz w:val="24"/>
        </w:rPr>
        <w:t>工程项目地址：</w:t>
      </w:r>
      <w:r>
        <w:rPr>
          <w:rFonts w:hint="eastAsia" w:ascii="宋体" w:hAnsi="宋体" w:eastAsia="宋体" w:cs="宋体"/>
          <w:color w:val="auto"/>
          <w:sz w:val="24"/>
          <w:lang w:val="en-US" w:eastAsia="zh-CN"/>
        </w:rPr>
        <w:t xml:space="preserve">  </w:t>
      </w:r>
    </w:p>
    <w:p>
      <w:pPr>
        <w:spacing w:line="520" w:lineRule="exact"/>
        <w:ind w:left="1680" w:hanging="1680" w:hangingChars="700"/>
        <w:rPr>
          <w:rFonts w:ascii="宋体" w:hAnsi="宋体" w:eastAsia="宋体" w:cs="宋体"/>
          <w:color w:val="auto"/>
          <w:sz w:val="24"/>
        </w:rPr>
      </w:pPr>
      <w:r>
        <w:rPr>
          <w:rFonts w:hint="eastAsia" w:ascii="宋体" w:hAnsi="宋体" w:eastAsia="宋体" w:cs="宋体"/>
          <w:color w:val="auto"/>
          <w:sz w:val="24"/>
        </w:rPr>
        <w:t>建设单位(甲方)：广州市花都区水务建设管理中心</w:t>
      </w:r>
    </w:p>
    <w:p>
      <w:pPr>
        <w:spacing w:line="520" w:lineRule="exact"/>
        <w:ind w:left="1680" w:hanging="1680" w:hangingChars="700"/>
        <w:rPr>
          <w:rFonts w:hint="default" w:ascii="宋体" w:hAnsi="宋体" w:eastAsia="宋体" w:cs="宋体"/>
          <w:color w:val="auto"/>
          <w:sz w:val="24"/>
          <w:lang w:val="en-US" w:eastAsia="zh-CN"/>
        </w:rPr>
      </w:pPr>
      <w:r>
        <w:rPr>
          <w:rFonts w:hint="eastAsia" w:ascii="宋体" w:hAnsi="宋体" w:eastAsia="宋体" w:cs="宋体"/>
          <w:color w:val="auto"/>
          <w:sz w:val="24"/>
        </w:rPr>
        <w:t>设计单位(乙方)：</w:t>
      </w:r>
      <w:r>
        <w:rPr>
          <w:rFonts w:hint="eastAsia" w:ascii="宋体" w:hAnsi="宋体" w:eastAsia="宋体" w:cs="宋体"/>
          <w:color w:val="auto"/>
          <w:sz w:val="24"/>
          <w:lang w:val="en-US" w:eastAsia="zh-CN"/>
        </w:rPr>
        <w:t xml:space="preserve">  </w:t>
      </w:r>
    </w:p>
    <w:p>
      <w:pPr>
        <w:pStyle w:val="27"/>
        <w:spacing w:after="0" w:line="52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为加强工程建设中的廉政建设，规范工程建设勘察设计委托与被委托双方的各项活动，防止发生各种谋取不正当利益的违法违纪行为，保护国家、集体和当事人的合法权益，根据国家有关工程建设的法律法规和廉政建设责任制规定，特订立本廉政责任书。</w:t>
      </w:r>
    </w:p>
    <w:p>
      <w:pPr>
        <w:spacing w:line="520" w:lineRule="exact"/>
        <w:ind w:firstLine="480" w:firstLineChars="200"/>
        <w:rPr>
          <w:rFonts w:ascii="宋体" w:hAnsi="宋体" w:eastAsia="宋体" w:cs="宋体"/>
          <w:color w:val="auto"/>
          <w:sz w:val="24"/>
        </w:rPr>
      </w:pPr>
      <w:r>
        <w:rPr>
          <w:rFonts w:hint="eastAsia" w:ascii="宋体" w:hAnsi="宋体" w:eastAsia="宋体" w:cs="宋体"/>
          <w:color w:val="auto"/>
          <w:sz w:val="24"/>
        </w:rPr>
        <w:t>第一条 甲乙双方的责任</w:t>
      </w:r>
    </w:p>
    <w:p>
      <w:pPr>
        <w:pStyle w:val="27"/>
        <w:spacing w:after="0" w:line="52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（一）应严格遵守国家关于市场准入、项目招标投标、工程建设、勘察设计和市场活动的有关法律、法规，相关政策，以及廉政建设的各项规定。</w:t>
      </w:r>
    </w:p>
    <w:p>
      <w:pPr>
        <w:pStyle w:val="27"/>
        <w:spacing w:after="0" w:line="520" w:lineRule="exact"/>
        <w:rPr>
          <w:rFonts w:ascii="宋体" w:hAnsi="宋体" w:cs="宋体"/>
          <w:color w:val="auto"/>
          <w:sz w:val="24"/>
          <w:szCs w:val="24"/>
        </w:rPr>
      </w:pPr>
      <w:r>
        <w:rPr>
          <w:rFonts w:hint="eastAsia" w:ascii="宋体" w:hAnsi="宋体" w:cs="宋体"/>
          <w:color w:val="auto"/>
          <w:sz w:val="24"/>
          <w:szCs w:val="24"/>
        </w:rPr>
        <w:t>（二）严格执行建设工程勘察设计合同文件，自觉按合同办事。</w:t>
      </w:r>
    </w:p>
    <w:p>
      <w:pPr>
        <w:pStyle w:val="27"/>
        <w:spacing w:after="0" w:line="52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（三）业务活动必须坚持公开、公平、公正、诚信、透明的原则（除法律法规另有规定者外），不得为获取不正当的利益，损害国家、集体和对方利益，不得违反工程建设管理、勘察设计的规章制度。</w:t>
      </w:r>
    </w:p>
    <w:p>
      <w:pPr>
        <w:pStyle w:val="27"/>
        <w:spacing w:after="0" w:line="52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（四）发现对方在业务活动中有违规、违纪、违法行为的，应及时提醒对方，情节严重的，应向其上级主管部门或纪检监察、司法等有关机关举报。</w:t>
      </w:r>
    </w:p>
    <w:p>
      <w:pPr>
        <w:pStyle w:val="27"/>
        <w:spacing w:after="0" w:line="520" w:lineRule="exact"/>
        <w:rPr>
          <w:rFonts w:ascii="宋体" w:hAnsi="宋体" w:cs="宋体"/>
          <w:color w:val="auto"/>
          <w:sz w:val="24"/>
          <w:szCs w:val="24"/>
        </w:rPr>
      </w:pPr>
      <w:r>
        <w:rPr>
          <w:rFonts w:hint="eastAsia" w:ascii="宋体" w:hAnsi="宋体" w:cs="宋体"/>
          <w:color w:val="auto"/>
          <w:sz w:val="24"/>
          <w:szCs w:val="24"/>
        </w:rPr>
        <w:t>第二条　甲方的责任</w:t>
      </w:r>
    </w:p>
    <w:p>
      <w:pPr>
        <w:spacing w:line="520" w:lineRule="exact"/>
        <w:ind w:firstLine="480" w:firstLineChars="200"/>
        <w:rPr>
          <w:rFonts w:ascii="宋体" w:hAnsi="宋体" w:eastAsia="宋体" w:cs="宋体"/>
          <w:color w:val="auto"/>
          <w:sz w:val="24"/>
        </w:rPr>
      </w:pPr>
      <w:r>
        <w:rPr>
          <w:rFonts w:hint="eastAsia" w:ascii="宋体" w:hAnsi="宋体" w:eastAsia="宋体" w:cs="宋体"/>
          <w:color w:val="auto"/>
          <w:sz w:val="24"/>
        </w:rPr>
        <w:t>甲方的领导和从事该建设工程项目的工作人员，在工程建设的事前、事中、事后应遵守以下规定：</w:t>
      </w:r>
    </w:p>
    <w:p>
      <w:pPr>
        <w:spacing w:line="520" w:lineRule="exact"/>
        <w:ind w:firstLine="480" w:firstLineChars="200"/>
        <w:rPr>
          <w:rFonts w:ascii="宋体" w:hAnsi="宋体" w:eastAsia="宋体" w:cs="宋体"/>
          <w:color w:val="auto"/>
          <w:sz w:val="24"/>
        </w:rPr>
      </w:pPr>
      <w:r>
        <w:rPr>
          <w:rFonts w:hint="eastAsia" w:ascii="宋体" w:hAnsi="宋体" w:eastAsia="宋体" w:cs="宋体"/>
          <w:color w:val="auto"/>
          <w:sz w:val="24"/>
        </w:rPr>
        <w:t>(一) 不准向乙方和相关单位要或接受回扣、礼金、有价证券、贵重物品和好处费、感谢费等。</w:t>
      </w:r>
    </w:p>
    <w:p>
      <w:pPr>
        <w:spacing w:line="520" w:lineRule="exact"/>
        <w:ind w:firstLine="480" w:firstLineChars="200"/>
        <w:rPr>
          <w:rFonts w:ascii="宋体" w:hAnsi="宋体" w:eastAsia="宋体" w:cs="宋体"/>
          <w:color w:val="auto"/>
          <w:sz w:val="24"/>
        </w:rPr>
      </w:pPr>
      <w:r>
        <w:rPr>
          <w:rFonts w:hint="eastAsia" w:ascii="宋体" w:hAnsi="宋体" w:eastAsia="宋体" w:cs="宋体"/>
          <w:color w:val="auto"/>
          <w:sz w:val="24"/>
        </w:rPr>
        <w:t>（二）不准在乙方和相关单位报销任何应由甲方或个人支付的费用。</w:t>
      </w:r>
    </w:p>
    <w:p>
      <w:pPr>
        <w:spacing w:line="520" w:lineRule="exact"/>
        <w:ind w:firstLine="480" w:firstLineChars="200"/>
        <w:rPr>
          <w:rFonts w:ascii="宋体" w:hAnsi="宋体" w:eastAsia="宋体" w:cs="宋体"/>
          <w:color w:val="auto"/>
          <w:sz w:val="24"/>
        </w:rPr>
      </w:pPr>
      <w:r>
        <w:rPr>
          <w:rFonts w:hint="eastAsia" w:ascii="宋体" w:hAnsi="宋体" w:eastAsia="宋体" w:cs="宋体"/>
          <w:color w:val="auto"/>
          <w:sz w:val="24"/>
        </w:rPr>
        <w:t>（三）不准要求、暗示或接受乙方和相关单位为个人装修住房、婚丧嫁聚、配偶子女的工作安排以及出国（境）、旅游等提供方便。</w:t>
      </w:r>
    </w:p>
    <w:p>
      <w:pPr>
        <w:spacing w:line="520" w:lineRule="exact"/>
        <w:ind w:firstLine="480" w:firstLineChars="200"/>
        <w:rPr>
          <w:rFonts w:ascii="宋体" w:hAnsi="宋体" w:eastAsia="宋体" w:cs="宋体"/>
          <w:color w:val="auto"/>
          <w:sz w:val="24"/>
        </w:rPr>
      </w:pPr>
      <w:r>
        <w:rPr>
          <w:rFonts w:hint="eastAsia" w:ascii="宋体" w:hAnsi="宋体" w:eastAsia="宋体" w:cs="宋体"/>
          <w:color w:val="auto"/>
          <w:sz w:val="24"/>
        </w:rPr>
        <w:t>（四）不准参加有可能影响公正执行公务的乙方和相关单位的宴请、健身、娱乐等活动。</w:t>
      </w:r>
    </w:p>
    <w:p>
      <w:pPr>
        <w:spacing w:line="520" w:lineRule="exact"/>
        <w:ind w:firstLine="480" w:firstLineChars="200"/>
        <w:rPr>
          <w:rFonts w:ascii="宋体" w:hAnsi="宋体" w:eastAsia="宋体" w:cs="宋体"/>
          <w:color w:val="auto"/>
          <w:sz w:val="24"/>
        </w:rPr>
      </w:pPr>
      <w:r>
        <w:rPr>
          <w:rFonts w:hint="eastAsia" w:ascii="宋体" w:hAnsi="宋体" w:eastAsia="宋体" w:cs="宋体"/>
          <w:color w:val="auto"/>
          <w:sz w:val="24"/>
        </w:rPr>
        <w:t>（五）不准向乙方和相关单位介绍或为配偶、子女、亲属参与同甲方项目工程勘察设计合同有关的勘察设计业务等活动。不得以任何理由要求乙方和相关单位在设计中使用某种产品、材料和设备。</w:t>
      </w:r>
    </w:p>
    <w:p>
      <w:pPr>
        <w:spacing w:line="520" w:lineRule="exact"/>
        <w:ind w:firstLine="480" w:firstLineChars="200"/>
        <w:rPr>
          <w:rFonts w:ascii="宋体" w:hAnsi="宋体" w:eastAsia="宋体" w:cs="宋体"/>
          <w:color w:val="auto"/>
          <w:sz w:val="24"/>
        </w:rPr>
      </w:pPr>
      <w:r>
        <w:rPr>
          <w:rFonts w:hint="eastAsia" w:ascii="宋体" w:hAnsi="宋体" w:eastAsia="宋体" w:cs="宋体"/>
          <w:color w:val="auto"/>
          <w:sz w:val="24"/>
        </w:rPr>
        <w:t>第三条　乙方的责任</w:t>
      </w:r>
    </w:p>
    <w:p>
      <w:pPr>
        <w:spacing w:line="520" w:lineRule="exact"/>
        <w:ind w:firstLine="480" w:firstLineChars="200"/>
        <w:rPr>
          <w:rFonts w:ascii="宋体" w:hAnsi="宋体" w:eastAsia="宋体" w:cs="宋体"/>
          <w:color w:val="auto"/>
          <w:sz w:val="24"/>
        </w:rPr>
      </w:pPr>
      <w:r>
        <w:rPr>
          <w:rFonts w:hint="eastAsia" w:ascii="宋体" w:hAnsi="宋体" w:eastAsia="宋体" w:cs="宋体"/>
          <w:color w:val="auto"/>
          <w:sz w:val="24"/>
        </w:rPr>
        <w:t>应与甲方保持正常的业务交往，按照有关法律法规和程序开展业务工作，严格执行工程建设的有关方针、政策，尤其是有关勘察设计的强制性标准和规范，并遵守以下规定：</w:t>
      </w:r>
    </w:p>
    <w:p>
      <w:pPr>
        <w:spacing w:line="520" w:lineRule="exact"/>
        <w:ind w:firstLine="480" w:firstLineChars="200"/>
        <w:rPr>
          <w:rFonts w:ascii="宋体" w:hAnsi="宋体" w:eastAsia="宋体" w:cs="宋体"/>
          <w:color w:val="auto"/>
          <w:sz w:val="24"/>
        </w:rPr>
      </w:pPr>
      <w:r>
        <w:rPr>
          <w:rFonts w:hint="eastAsia" w:ascii="宋体" w:hAnsi="宋体" w:eastAsia="宋体" w:cs="宋体"/>
          <w:color w:val="auto"/>
          <w:sz w:val="24"/>
        </w:rPr>
        <w:t>（一）不准以任何理由向甲方及其工作人员索要、接受或赠送礼金、有价证券、贵重物品及回扣、好处费、感谢费等。</w:t>
      </w:r>
    </w:p>
    <w:p>
      <w:pPr>
        <w:spacing w:line="520" w:lineRule="exact"/>
        <w:ind w:firstLine="480" w:firstLineChars="200"/>
        <w:rPr>
          <w:rFonts w:ascii="宋体" w:hAnsi="宋体" w:eastAsia="宋体" w:cs="宋体"/>
          <w:color w:val="auto"/>
          <w:sz w:val="24"/>
        </w:rPr>
      </w:pPr>
      <w:r>
        <w:rPr>
          <w:rFonts w:hint="eastAsia" w:ascii="宋体" w:hAnsi="宋体" w:eastAsia="宋体" w:cs="宋体"/>
          <w:color w:val="auto"/>
          <w:sz w:val="24"/>
        </w:rPr>
        <w:t>（二）不准以任何理由为甲方和相关单位报销应由对方或个人支付的费用。</w:t>
      </w:r>
    </w:p>
    <w:p>
      <w:pPr>
        <w:spacing w:line="520" w:lineRule="exact"/>
        <w:ind w:firstLine="480" w:firstLineChars="200"/>
        <w:rPr>
          <w:rFonts w:ascii="宋体" w:hAnsi="宋体" w:eastAsia="宋体" w:cs="宋体"/>
          <w:color w:val="auto"/>
          <w:sz w:val="24"/>
        </w:rPr>
      </w:pPr>
      <w:r>
        <w:rPr>
          <w:rFonts w:hint="eastAsia" w:ascii="宋体" w:hAnsi="宋体" w:eastAsia="宋体" w:cs="宋体"/>
          <w:color w:val="auto"/>
          <w:sz w:val="24"/>
        </w:rPr>
        <w:t>（三）不准接受或暗示为甲方、相关单位或个人装修住房、婚丧嫁聚、配偶子女的工作安排以及出国（境）、旅游等提供方便。</w:t>
      </w:r>
    </w:p>
    <w:p>
      <w:pPr>
        <w:spacing w:line="520" w:lineRule="exact"/>
        <w:ind w:firstLine="480" w:firstLineChars="200"/>
        <w:rPr>
          <w:rFonts w:ascii="宋体" w:hAnsi="宋体" w:eastAsia="宋体" w:cs="宋体"/>
          <w:color w:val="auto"/>
          <w:sz w:val="24"/>
        </w:rPr>
      </w:pPr>
      <w:r>
        <w:rPr>
          <w:rFonts w:hint="eastAsia" w:ascii="宋体" w:hAnsi="宋体" w:eastAsia="宋体" w:cs="宋体"/>
          <w:color w:val="auto"/>
          <w:sz w:val="24"/>
        </w:rPr>
        <w:t>（四）不准以任何理由为甲方、相关单位或个人组织有可能影响公正执行公务的宴请、健身、娱乐等活动。</w:t>
      </w:r>
    </w:p>
    <w:p>
      <w:pPr>
        <w:spacing w:line="520" w:lineRule="exact"/>
        <w:ind w:firstLine="480" w:firstLineChars="200"/>
        <w:rPr>
          <w:rFonts w:ascii="宋体" w:hAnsi="宋体" w:eastAsia="宋体" w:cs="宋体"/>
          <w:color w:val="auto"/>
          <w:sz w:val="24"/>
        </w:rPr>
      </w:pPr>
      <w:r>
        <w:rPr>
          <w:rFonts w:hint="eastAsia" w:ascii="宋体" w:hAnsi="宋体" w:eastAsia="宋体" w:cs="宋体"/>
          <w:color w:val="auto"/>
          <w:sz w:val="24"/>
        </w:rPr>
        <w:t>第四条　违约责任</w:t>
      </w:r>
    </w:p>
    <w:p>
      <w:pPr>
        <w:spacing w:line="520" w:lineRule="exact"/>
        <w:ind w:firstLine="480" w:firstLineChars="200"/>
        <w:rPr>
          <w:rFonts w:ascii="宋体" w:hAnsi="宋体" w:eastAsia="宋体" w:cs="宋体"/>
          <w:color w:val="auto"/>
          <w:sz w:val="24"/>
        </w:rPr>
      </w:pPr>
      <w:r>
        <w:rPr>
          <w:rFonts w:hint="eastAsia" w:ascii="宋体" w:hAnsi="宋体" w:eastAsia="宋体" w:cs="宋体"/>
          <w:color w:val="auto"/>
          <w:sz w:val="24"/>
        </w:rPr>
        <w:t>（一）甲方工作人员有违反本责任书第一、第二条责任行为的，按照管理权限，依据有关法律法规和规定给予党纪、政纪处分或组织处理;涉嫌犯罪的，移交司法机关追究刑事责任;给乙方单位造成经济损失的，应予以赔偿。</w:t>
      </w:r>
    </w:p>
    <w:p>
      <w:pPr>
        <w:spacing w:line="520" w:lineRule="exact"/>
        <w:ind w:firstLine="480" w:firstLineChars="200"/>
        <w:rPr>
          <w:rFonts w:ascii="宋体" w:hAnsi="宋体" w:eastAsia="宋体" w:cs="宋体"/>
          <w:color w:val="auto"/>
          <w:sz w:val="24"/>
        </w:rPr>
      </w:pPr>
      <w:r>
        <w:rPr>
          <w:rFonts w:hint="eastAsia" w:ascii="宋体" w:hAnsi="宋体" w:eastAsia="宋体" w:cs="宋体"/>
          <w:color w:val="auto"/>
          <w:sz w:val="24"/>
        </w:rPr>
        <w:t>（二）乙方工作人员有违反本责任书第一、第三条责任行为的，按照管理权限，依据有关法律法规和规定给予党纪，政纪处分或组织处理;涉嫌犯罪的，移交司法机关追究刑事责任;给甲方单位造成经济损失的，应予以赔偿。</w:t>
      </w:r>
    </w:p>
    <w:p>
      <w:pPr>
        <w:spacing w:line="520" w:lineRule="exact"/>
        <w:ind w:firstLine="480" w:firstLineChars="200"/>
        <w:rPr>
          <w:rFonts w:ascii="宋体" w:hAnsi="宋体" w:eastAsia="宋体" w:cs="宋体"/>
          <w:color w:val="auto"/>
          <w:sz w:val="24"/>
        </w:rPr>
      </w:pPr>
      <w:r>
        <w:rPr>
          <w:rFonts w:hint="eastAsia" w:ascii="宋体" w:hAnsi="宋体" w:eastAsia="宋体" w:cs="宋体"/>
          <w:color w:val="auto"/>
          <w:sz w:val="24"/>
        </w:rPr>
        <w:t>第五条　本责任书作为工程勘察设计合同的附件，与工程勘察设计合同具有同等法律效力。经双方签署后立即生效。</w:t>
      </w:r>
    </w:p>
    <w:p>
      <w:pPr>
        <w:spacing w:line="520" w:lineRule="exact"/>
        <w:ind w:firstLine="480" w:firstLineChars="200"/>
        <w:rPr>
          <w:rFonts w:ascii="宋体" w:hAnsi="宋体" w:eastAsia="宋体" w:cs="宋体"/>
          <w:color w:val="auto"/>
          <w:sz w:val="24"/>
        </w:rPr>
      </w:pPr>
      <w:r>
        <w:rPr>
          <w:rFonts w:hint="eastAsia" w:ascii="宋体" w:hAnsi="宋体" w:eastAsia="宋体" w:cs="宋体"/>
          <w:color w:val="auto"/>
          <w:sz w:val="24"/>
        </w:rPr>
        <w:t>第六条　本责任书的有效期为双方签署日起至该工程项目竣工验收合格时止。</w:t>
      </w:r>
    </w:p>
    <w:p>
      <w:pPr>
        <w:spacing w:line="520" w:lineRule="exact"/>
        <w:ind w:firstLine="480" w:firstLineChars="200"/>
        <w:rPr>
          <w:rFonts w:ascii="宋体" w:hAnsi="宋体" w:eastAsia="宋体" w:cs="宋体"/>
          <w:color w:val="auto"/>
          <w:sz w:val="24"/>
        </w:rPr>
      </w:pPr>
      <w:r>
        <w:rPr>
          <w:rFonts w:hint="eastAsia" w:ascii="宋体" w:hAnsi="宋体" w:eastAsia="宋体" w:cs="宋体"/>
          <w:color w:val="auto"/>
          <w:sz w:val="24"/>
        </w:rPr>
        <w:t>第七条　本责任书一式8份，由甲乙双方各执4份。</w:t>
      </w:r>
    </w:p>
    <w:p>
      <w:pPr>
        <w:spacing w:line="360" w:lineRule="auto"/>
        <w:ind w:firstLine="480" w:firstLineChars="200"/>
        <w:rPr>
          <w:rFonts w:ascii="宋体" w:hAnsi="宋体" w:eastAsia="宋体" w:cs="宋体"/>
          <w:color w:val="auto"/>
          <w:sz w:val="24"/>
        </w:rPr>
      </w:pPr>
    </w:p>
    <w:bookmarkEnd w:id="2"/>
    <w:bookmarkEnd w:id="5"/>
    <w:p>
      <w:pPr>
        <w:pStyle w:val="8"/>
        <w:ind w:firstLine="0"/>
        <w:rPr>
          <w:rFonts w:ascii="宋体" w:hAnsi="宋体" w:eastAsia="宋体" w:cs="宋体"/>
          <w:b/>
          <w:color w:val="auto"/>
          <w:spacing w:val="-6"/>
          <w:sz w:val="28"/>
          <w:szCs w:val="28"/>
        </w:rPr>
      </w:pPr>
      <w:r>
        <w:rPr>
          <w:rFonts w:hint="eastAsia" w:ascii="宋体" w:hAnsi="宋体" w:eastAsia="宋体" w:cs="宋体"/>
          <w:bCs/>
          <w:color w:val="auto"/>
          <w:spacing w:val="-6"/>
          <w:szCs w:val="21"/>
        </w:rPr>
        <w:br w:type="page"/>
      </w:r>
      <w:r>
        <w:rPr>
          <w:rFonts w:hint="eastAsia" w:ascii="宋体" w:hAnsi="宋体" w:eastAsia="宋体" w:cs="宋体"/>
          <w:bCs/>
          <w:color w:val="auto"/>
          <w:spacing w:val="-6"/>
          <w:szCs w:val="21"/>
        </w:rPr>
        <w:t xml:space="preserve"> </w:t>
      </w:r>
      <w:r>
        <w:rPr>
          <w:rFonts w:hint="eastAsia" w:ascii="宋体" w:hAnsi="宋体" w:eastAsia="宋体" w:cs="宋体"/>
          <w:b/>
          <w:color w:val="auto"/>
          <w:spacing w:val="-6"/>
          <w:sz w:val="28"/>
          <w:szCs w:val="28"/>
        </w:rPr>
        <w:t xml:space="preserve"> （本页为签订页，无正文）</w:t>
      </w:r>
    </w:p>
    <w:p>
      <w:pPr>
        <w:pStyle w:val="8"/>
        <w:ind w:firstLine="0"/>
        <w:rPr>
          <w:rFonts w:ascii="宋体" w:hAnsi="宋体" w:eastAsia="宋体" w:cs="宋体"/>
          <w:b/>
          <w:color w:val="auto"/>
          <w:spacing w:val="-6"/>
          <w:sz w:val="28"/>
          <w:szCs w:val="28"/>
        </w:rPr>
      </w:pPr>
    </w:p>
    <w:tbl>
      <w:tblPr>
        <w:tblStyle w:val="32"/>
        <w:tblW w:w="7989" w:type="dxa"/>
        <w:tblInd w:w="0" w:type="dxa"/>
        <w:tblLayout w:type="fixed"/>
        <w:tblCellMar>
          <w:top w:w="0" w:type="dxa"/>
          <w:left w:w="0" w:type="dxa"/>
          <w:bottom w:w="0" w:type="dxa"/>
          <w:right w:w="0" w:type="dxa"/>
        </w:tblCellMar>
      </w:tblPr>
      <w:tblGrid>
        <w:gridCol w:w="4275"/>
        <w:gridCol w:w="285"/>
        <w:gridCol w:w="3429"/>
      </w:tblGrid>
      <w:tr>
        <w:tblPrEx>
          <w:tblCellMar>
            <w:top w:w="0" w:type="dxa"/>
            <w:left w:w="0" w:type="dxa"/>
            <w:bottom w:w="0" w:type="dxa"/>
            <w:right w:w="0" w:type="dxa"/>
          </w:tblCellMar>
        </w:tblPrEx>
        <w:trPr>
          <w:trHeight w:val="1400" w:hRule="atLeast"/>
        </w:trPr>
        <w:tc>
          <w:tcPr>
            <w:tcW w:w="4275" w:type="dxa"/>
            <w:tcBorders>
              <w:top w:val="nil"/>
              <w:left w:val="nil"/>
              <w:bottom w:val="nil"/>
              <w:right w:val="nil"/>
            </w:tcBorders>
            <w:tcMar>
              <w:top w:w="15" w:type="dxa"/>
              <w:left w:w="15" w:type="dxa"/>
              <w:right w:w="15" w:type="dxa"/>
            </w:tcMar>
          </w:tcPr>
          <w:p>
            <w:pPr>
              <w:widowControl/>
              <w:textAlignment w:val="top"/>
              <w:rPr>
                <w:rFonts w:hint="eastAsia" w:ascii="宋体" w:hAnsi="宋体" w:eastAsia="宋体" w:cs="宋体"/>
                <w:color w:val="auto"/>
                <w:kern w:val="0"/>
                <w:sz w:val="24"/>
                <w:szCs w:val="24"/>
                <w:lang w:eastAsia="zh-CN"/>
              </w:rPr>
            </w:pPr>
            <w:r>
              <w:rPr>
                <w:rFonts w:hint="eastAsia" w:ascii="宋体" w:hAnsi="宋体" w:eastAsia="宋体" w:cs="宋体"/>
                <w:b/>
                <w:color w:val="auto"/>
                <w:kern w:val="0"/>
                <w:sz w:val="24"/>
                <w:szCs w:val="24"/>
              </w:rPr>
              <w:t>发包人</w:t>
            </w:r>
            <w:r>
              <w:rPr>
                <w:rFonts w:hint="eastAsia" w:ascii="宋体" w:hAnsi="宋体" w:eastAsia="宋体" w:cs="宋体"/>
                <w:color w:val="auto"/>
                <w:kern w:val="0"/>
                <w:sz w:val="24"/>
                <w:szCs w:val="24"/>
              </w:rPr>
              <w:t>：（盖章）</w:t>
            </w:r>
          </w:p>
          <w:p>
            <w:pPr>
              <w:widowControl/>
              <w:textAlignment w:val="top"/>
              <w:rPr>
                <w:rFonts w:ascii="宋体" w:hAnsi="宋体" w:eastAsia="宋体" w:cs="宋体"/>
                <w:b/>
                <w:color w:val="auto"/>
                <w:sz w:val="24"/>
                <w:szCs w:val="24"/>
              </w:rPr>
            </w:pPr>
            <w:r>
              <w:rPr>
                <w:rFonts w:hint="eastAsia" w:ascii="宋体" w:hAnsi="宋体" w:eastAsia="宋体" w:cs="宋体"/>
                <w:b/>
                <w:color w:val="auto"/>
                <w:kern w:val="0"/>
                <w:sz w:val="24"/>
                <w:szCs w:val="24"/>
              </w:rPr>
              <w:t>广州市花都区水务建设管理中心</w:t>
            </w:r>
          </w:p>
        </w:tc>
        <w:tc>
          <w:tcPr>
            <w:tcW w:w="285" w:type="dxa"/>
            <w:tcBorders>
              <w:top w:val="nil"/>
              <w:left w:val="nil"/>
              <w:bottom w:val="nil"/>
              <w:right w:val="nil"/>
            </w:tcBorders>
            <w:tcMar>
              <w:top w:w="15" w:type="dxa"/>
              <w:left w:w="15" w:type="dxa"/>
              <w:right w:w="15" w:type="dxa"/>
            </w:tcMar>
          </w:tcPr>
          <w:p>
            <w:pPr>
              <w:rPr>
                <w:rFonts w:ascii="宋体" w:hAnsi="宋体" w:eastAsia="宋体" w:cs="宋体"/>
                <w:b/>
                <w:color w:val="auto"/>
                <w:sz w:val="24"/>
                <w:szCs w:val="24"/>
              </w:rPr>
            </w:pPr>
          </w:p>
        </w:tc>
        <w:tc>
          <w:tcPr>
            <w:tcW w:w="3429" w:type="dxa"/>
            <w:tcBorders>
              <w:top w:val="nil"/>
              <w:left w:val="nil"/>
              <w:bottom w:val="nil"/>
              <w:right w:val="nil"/>
            </w:tcBorders>
            <w:tcMar>
              <w:top w:w="15" w:type="dxa"/>
              <w:left w:w="15" w:type="dxa"/>
              <w:right w:w="15" w:type="dxa"/>
            </w:tcMar>
          </w:tcPr>
          <w:p>
            <w:pPr>
              <w:widowControl/>
              <w:ind w:left="241" w:hanging="241" w:hangingChars="100"/>
              <w:textAlignment w:val="top"/>
              <w:rPr>
                <w:rFonts w:ascii="宋体" w:hAnsi="宋体" w:eastAsia="宋体" w:cs="宋体"/>
                <w:color w:val="auto"/>
                <w:kern w:val="0"/>
                <w:sz w:val="24"/>
                <w:szCs w:val="24"/>
              </w:rPr>
            </w:pPr>
            <w:r>
              <w:rPr>
                <w:rFonts w:hint="eastAsia" w:ascii="宋体" w:hAnsi="宋体" w:eastAsia="宋体" w:cs="宋体"/>
                <w:b/>
                <w:color w:val="auto"/>
                <w:kern w:val="0"/>
                <w:sz w:val="24"/>
                <w:szCs w:val="24"/>
              </w:rPr>
              <w:t>承包人</w:t>
            </w:r>
            <w:r>
              <w:rPr>
                <w:rFonts w:hint="eastAsia" w:ascii="宋体" w:hAnsi="宋体" w:eastAsia="宋体" w:cs="宋体"/>
                <w:color w:val="auto"/>
                <w:kern w:val="0"/>
                <w:sz w:val="24"/>
                <w:szCs w:val="24"/>
              </w:rPr>
              <w:t xml:space="preserve">：（盖章）                  </w:t>
            </w:r>
          </w:p>
          <w:p>
            <w:pPr>
              <w:widowControl/>
              <w:ind w:left="241" w:hanging="241" w:hangingChars="100"/>
              <w:textAlignment w:val="top"/>
              <w:rPr>
                <w:rFonts w:hint="eastAsia" w:ascii="宋体" w:hAnsi="宋体" w:eastAsia="宋体" w:cs="宋体"/>
                <w:b/>
                <w:color w:val="auto"/>
                <w:sz w:val="24"/>
                <w:szCs w:val="24"/>
                <w:lang w:eastAsia="zh-CN"/>
              </w:rPr>
            </w:pPr>
            <w:r>
              <w:rPr>
                <w:rFonts w:hint="eastAsia" w:ascii="宋体" w:hAnsi="宋体" w:eastAsia="宋体" w:cs="宋体"/>
                <w:b/>
                <w:bCs/>
                <w:color w:val="auto"/>
                <w:sz w:val="24"/>
                <w:lang w:val="en-US" w:eastAsia="zh-CN"/>
              </w:rPr>
              <w:t xml:space="preserve"> </w:t>
            </w:r>
          </w:p>
        </w:tc>
      </w:tr>
      <w:tr>
        <w:tblPrEx>
          <w:tblCellMar>
            <w:top w:w="0" w:type="dxa"/>
            <w:left w:w="0" w:type="dxa"/>
            <w:bottom w:w="0" w:type="dxa"/>
            <w:right w:w="0" w:type="dxa"/>
          </w:tblCellMar>
        </w:tblPrEx>
        <w:trPr>
          <w:trHeight w:val="740" w:hRule="atLeast"/>
        </w:trPr>
        <w:tc>
          <w:tcPr>
            <w:tcW w:w="4275" w:type="dxa"/>
            <w:tcBorders>
              <w:top w:val="nil"/>
              <w:left w:val="nil"/>
              <w:bottom w:val="nil"/>
              <w:right w:val="nil"/>
            </w:tcBorders>
            <w:tcMar>
              <w:top w:w="15" w:type="dxa"/>
              <w:left w:w="15" w:type="dxa"/>
              <w:right w:w="15" w:type="dxa"/>
            </w:tcMar>
          </w:tcPr>
          <w:p>
            <w:pPr>
              <w:widowControl/>
              <w:textAlignment w:val="top"/>
              <w:rPr>
                <w:rFonts w:ascii="宋体" w:hAnsi="宋体" w:eastAsia="宋体" w:cs="宋体"/>
                <w:b/>
                <w:color w:val="auto"/>
                <w:sz w:val="24"/>
                <w:szCs w:val="24"/>
              </w:rPr>
            </w:pPr>
            <w:r>
              <w:rPr>
                <w:rFonts w:hint="eastAsia" w:ascii="宋体" w:hAnsi="宋体" w:eastAsia="宋体" w:cs="宋体"/>
                <w:b/>
                <w:color w:val="auto"/>
                <w:kern w:val="0"/>
                <w:sz w:val="24"/>
                <w:szCs w:val="24"/>
              </w:rPr>
              <w:t>廉政责任人</w:t>
            </w:r>
            <w:r>
              <w:rPr>
                <w:rFonts w:hint="eastAsia" w:ascii="宋体" w:hAnsi="宋体" w:eastAsia="宋体" w:cs="宋体"/>
                <w:color w:val="auto"/>
                <w:kern w:val="0"/>
                <w:sz w:val="24"/>
                <w:szCs w:val="24"/>
              </w:rPr>
              <w:t>：（签字或签章）</w:t>
            </w:r>
          </w:p>
        </w:tc>
        <w:tc>
          <w:tcPr>
            <w:tcW w:w="285" w:type="dxa"/>
            <w:tcBorders>
              <w:top w:val="nil"/>
              <w:left w:val="nil"/>
              <w:bottom w:val="nil"/>
              <w:right w:val="nil"/>
            </w:tcBorders>
            <w:tcMar>
              <w:top w:w="15" w:type="dxa"/>
              <w:left w:w="15" w:type="dxa"/>
              <w:right w:w="15" w:type="dxa"/>
            </w:tcMar>
          </w:tcPr>
          <w:p>
            <w:pPr>
              <w:rPr>
                <w:rFonts w:ascii="宋体" w:hAnsi="宋体" w:eastAsia="宋体" w:cs="宋体"/>
                <w:b/>
                <w:color w:val="auto"/>
                <w:sz w:val="24"/>
                <w:szCs w:val="24"/>
              </w:rPr>
            </w:pPr>
          </w:p>
        </w:tc>
        <w:tc>
          <w:tcPr>
            <w:tcW w:w="3429" w:type="dxa"/>
            <w:tcBorders>
              <w:top w:val="nil"/>
              <w:left w:val="nil"/>
              <w:bottom w:val="nil"/>
              <w:right w:val="nil"/>
            </w:tcBorders>
            <w:tcMar>
              <w:top w:w="15" w:type="dxa"/>
              <w:left w:w="15" w:type="dxa"/>
              <w:right w:w="15" w:type="dxa"/>
            </w:tcMar>
          </w:tcPr>
          <w:p>
            <w:pPr>
              <w:widowControl/>
              <w:textAlignment w:val="top"/>
              <w:rPr>
                <w:rFonts w:ascii="宋体" w:hAnsi="宋体" w:eastAsia="宋体" w:cs="宋体"/>
                <w:b/>
                <w:color w:val="auto"/>
                <w:sz w:val="24"/>
                <w:szCs w:val="24"/>
              </w:rPr>
            </w:pPr>
            <w:r>
              <w:rPr>
                <w:rFonts w:hint="eastAsia" w:ascii="宋体" w:hAnsi="宋体" w:eastAsia="宋体" w:cs="宋体"/>
                <w:b/>
                <w:color w:val="auto"/>
                <w:kern w:val="0"/>
                <w:sz w:val="24"/>
                <w:szCs w:val="24"/>
              </w:rPr>
              <w:t>法定代表人或授权代理人</w:t>
            </w:r>
            <w:r>
              <w:rPr>
                <w:rFonts w:hint="eastAsia" w:ascii="宋体" w:hAnsi="宋体" w:eastAsia="宋体" w:cs="宋体"/>
                <w:color w:val="auto"/>
                <w:kern w:val="0"/>
                <w:sz w:val="24"/>
                <w:szCs w:val="24"/>
              </w:rPr>
              <w:t>：（签字或签章）</w:t>
            </w:r>
          </w:p>
        </w:tc>
      </w:tr>
      <w:tr>
        <w:tblPrEx>
          <w:tblCellMar>
            <w:top w:w="0" w:type="dxa"/>
            <w:left w:w="0" w:type="dxa"/>
            <w:bottom w:w="0" w:type="dxa"/>
            <w:right w:w="0" w:type="dxa"/>
          </w:tblCellMar>
        </w:tblPrEx>
        <w:trPr>
          <w:trHeight w:val="1020" w:hRule="atLeast"/>
        </w:trPr>
        <w:tc>
          <w:tcPr>
            <w:tcW w:w="4275" w:type="dxa"/>
            <w:tcBorders>
              <w:top w:val="nil"/>
              <w:left w:val="nil"/>
              <w:bottom w:val="nil"/>
              <w:right w:val="nil"/>
            </w:tcBorders>
            <w:tcMar>
              <w:top w:w="15" w:type="dxa"/>
              <w:left w:w="15" w:type="dxa"/>
              <w:right w:w="15" w:type="dxa"/>
            </w:tcMar>
          </w:tcPr>
          <w:p>
            <w:pPr>
              <w:widowControl/>
              <w:textAlignment w:val="top"/>
              <w:rPr>
                <w:rFonts w:ascii="宋体" w:hAnsi="宋体" w:eastAsia="宋体" w:cs="宋体"/>
                <w:b/>
                <w:color w:val="auto"/>
                <w:sz w:val="24"/>
                <w:szCs w:val="24"/>
              </w:rPr>
            </w:pPr>
            <w:r>
              <w:rPr>
                <w:rFonts w:hint="eastAsia" w:ascii="宋体" w:hAnsi="宋体" w:eastAsia="宋体" w:cs="宋体"/>
                <w:b/>
                <w:color w:val="auto"/>
                <w:kern w:val="0"/>
                <w:sz w:val="24"/>
                <w:szCs w:val="24"/>
              </w:rPr>
              <w:t>地址：</w:t>
            </w:r>
            <w:r>
              <w:rPr>
                <w:rFonts w:hint="eastAsia" w:ascii="宋体" w:hAnsi="宋体" w:eastAsia="宋体" w:cs="宋体"/>
                <w:color w:val="auto"/>
                <w:kern w:val="0"/>
                <w:sz w:val="24"/>
                <w:szCs w:val="24"/>
              </w:rPr>
              <w:t>广州市花都区新华街宝华路</w:t>
            </w:r>
            <w:r>
              <w:rPr>
                <w:rFonts w:eastAsia="宋体"/>
                <w:color w:val="auto"/>
                <w:kern w:val="0"/>
                <w:sz w:val="24"/>
                <w:szCs w:val="24"/>
              </w:rPr>
              <w:t>34</w:t>
            </w:r>
            <w:r>
              <w:rPr>
                <w:rFonts w:hint="eastAsia" w:ascii="宋体" w:hAnsi="宋体" w:eastAsia="宋体" w:cs="宋体"/>
                <w:color w:val="auto"/>
                <w:kern w:val="0"/>
                <w:sz w:val="24"/>
                <w:szCs w:val="24"/>
              </w:rPr>
              <w:t>号</w:t>
            </w:r>
          </w:p>
        </w:tc>
        <w:tc>
          <w:tcPr>
            <w:tcW w:w="285" w:type="dxa"/>
            <w:tcBorders>
              <w:top w:val="nil"/>
              <w:left w:val="nil"/>
              <w:bottom w:val="nil"/>
              <w:right w:val="nil"/>
            </w:tcBorders>
            <w:tcMar>
              <w:top w:w="15" w:type="dxa"/>
              <w:left w:w="15" w:type="dxa"/>
              <w:right w:w="15" w:type="dxa"/>
            </w:tcMar>
          </w:tcPr>
          <w:p>
            <w:pPr>
              <w:rPr>
                <w:rFonts w:ascii="宋体" w:hAnsi="宋体" w:eastAsia="宋体" w:cs="宋体"/>
                <w:b/>
                <w:color w:val="auto"/>
                <w:sz w:val="24"/>
                <w:szCs w:val="24"/>
              </w:rPr>
            </w:pPr>
          </w:p>
        </w:tc>
        <w:tc>
          <w:tcPr>
            <w:tcW w:w="3429" w:type="dxa"/>
            <w:tcBorders>
              <w:top w:val="nil"/>
              <w:left w:val="nil"/>
              <w:bottom w:val="nil"/>
              <w:right w:val="nil"/>
            </w:tcBorders>
            <w:tcMar>
              <w:top w:w="15" w:type="dxa"/>
              <w:left w:w="15" w:type="dxa"/>
              <w:right w:w="15" w:type="dxa"/>
            </w:tcMar>
          </w:tcPr>
          <w:p>
            <w:pPr>
              <w:widowControl/>
              <w:ind w:left="723" w:hanging="723" w:hangingChars="300"/>
              <w:textAlignment w:val="top"/>
              <w:rPr>
                <w:rFonts w:hint="eastAsia" w:ascii="宋体" w:hAnsi="宋体" w:eastAsia="宋体" w:cs="宋体"/>
                <w:b/>
                <w:color w:val="auto"/>
                <w:sz w:val="24"/>
                <w:szCs w:val="24"/>
                <w:lang w:eastAsia="zh-CN"/>
              </w:rPr>
            </w:pPr>
            <w:r>
              <w:rPr>
                <w:rFonts w:hint="eastAsia" w:ascii="宋体" w:hAnsi="宋体" w:eastAsia="宋体" w:cs="宋体"/>
                <w:b/>
                <w:color w:val="auto"/>
                <w:kern w:val="0"/>
                <w:sz w:val="24"/>
                <w:szCs w:val="24"/>
              </w:rPr>
              <w:t>地址：</w:t>
            </w:r>
            <w:r>
              <w:rPr>
                <w:rFonts w:hint="eastAsia" w:ascii="宋体" w:hAnsi="宋体" w:eastAsia="宋体" w:cs="宋体"/>
                <w:bCs/>
                <w:color w:val="auto"/>
                <w:kern w:val="0"/>
                <w:sz w:val="24"/>
                <w:szCs w:val="24"/>
              </w:rPr>
              <w:t xml:space="preserve"> </w:t>
            </w:r>
            <w:r>
              <w:rPr>
                <w:rFonts w:hint="eastAsia" w:ascii="宋体" w:hAnsi="宋体" w:eastAsia="宋体" w:cs="宋体"/>
                <w:bCs/>
                <w:color w:val="auto"/>
                <w:kern w:val="0"/>
                <w:sz w:val="24"/>
                <w:szCs w:val="24"/>
                <w:lang w:val="en-US" w:eastAsia="zh-CN"/>
              </w:rPr>
              <w:t xml:space="preserve"> </w:t>
            </w:r>
          </w:p>
        </w:tc>
      </w:tr>
      <w:tr>
        <w:tblPrEx>
          <w:tblCellMar>
            <w:top w:w="0" w:type="dxa"/>
            <w:left w:w="0" w:type="dxa"/>
            <w:bottom w:w="0" w:type="dxa"/>
            <w:right w:w="0" w:type="dxa"/>
          </w:tblCellMar>
        </w:tblPrEx>
        <w:trPr>
          <w:trHeight w:val="920" w:hRule="atLeast"/>
        </w:trPr>
        <w:tc>
          <w:tcPr>
            <w:tcW w:w="4275" w:type="dxa"/>
            <w:tcBorders>
              <w:top w:val="nil"/>
              <w:left w:val="nil"/>
              <w:bottom w:val="nil"/>
              <w:right w:val="nil"/>
            </w:tcBorders>
            <w:tcMar>
              <w:top w:w="15" w:type="dxa"/>
              <w:left w:w="15" w:type="dxa"/>
              <w:right w:w="15" w:type="dxa"/>
            </w:tcMar>
          </w:tcPr>
          <w:p>
            <w:pPr>
              <w:widowControl/>
              <w:textAlignment w:val="top"/>
              <w:rPr>
                <w:rFonts w:ascii="宋体" w:hAnsi="宋体" w:eastAsia="宋体" w:cs="宋体"/>
                <w:b/>
                <w:color w:val="auto"/>
                <w:sz w:val="24"/>
                <w:szCs w:val="24"/>
              </w:rPr>
            </w:pPr>
            <w:r>
              <w:rPr>
                <w:rFonts w:hint="eastAsia" w:ascii="宋体" w:hAnsi="宋体" w:eastAsia="宋体" w:cs="宋体"/>
                <w:b/>
                <w:color w:val="auto"/>
                <w:kern w:val="0"/>
                <w:sz w:val="24"/>
                <w:szCs w:val="24"/>
              </w:rPr>
              <w:t>电话：</w:t>
            </w:r>
            <w:r>
              <w:rPr>
                <w:rFonts w:eastAsia="宋体"/>
                <w:color w:val="auto"/>
                <w:kern w:val="0"/>
                <w:sz w:val="24"/>
                <w:szCs w:val="24"/>
              </w:rPr>
              <w:t>020-36810121</w:t>
            </w:r>
          </w:p>
        </w:tc>
        <w:tc>
          <w:tcPr>
            <w:tcW w:w="285" w:type="dxa"/>
            <w:tcBorders>
              <w:top w:val="nil"/>
              <w:left w:val="nil"/>
              <w:bottom w:val="nil"/>
              <w:right w:val="nil"/>
            </w:tcBorders>
            <w:tcMar>
              <w:top w:w="15" w:type="dxa"/>
              <w:left w:w="15" w:type="dxa"/>
              <w:right w:w="15" w:type="dxa"/>
            </w:tcMar>
          </w:tcPr>
          <w:p>
            <w:pPr>
              <w:rPr>
                <w:rFonts w:ascii="宋体" w:hAnsi="宋体" w:eastAsia="宋体" w:cs="宋体"/>
                <w:b/>
                <w:color w:val="auto"/>
                <w:sz w:val="24"/>
                <w:szCs w:val="24"/>
              </w:rPr>
            </w:pPr>
          </w:p>
        </w:tc>
        <w:tc>
          <w:tcPr>
            <w:tcW w:w="3429" w:type="dxa"/>
            <w:tcBorders>
              <w:top w:val="nil"/>
              <w:left w:val="nil"/>
              <w:bottom w:val="nil"/>
              <w:right w:val="nil"/>
            </w:tcBorders>
            <w:tcMar>
              <w:top w:w="15" w:type="dxa"/>
              <w:left w:w="15" w:type="dxa"/>
              <w:right w:w="15" w:type="dxa"/>
            </w:tcMar>
          </w:tcPr>
          <w:p>
            <w:pPr>
              <w:widowControl/>
              <w:textAlignment w:val="top"/>
              <w:rPr>
                <w:rFonts w:hint="eastAsia" w:ascii="宋体" w:hAnsi="宋体" w:eastAsia="宋体" w:cs="宋体"/>
                <w:b/>
                <w:color w:val="auto"/>
                <w:sz w:val="24"/>
                <w:szCs w:val="24"/>
                <w:lang w:eastAsia="zh-CN"/>
              </w:rPr>
            </w:pPr>
            <w:r>
              <w:rPr>
                <w:rFonts w:hint="eastAsia" w:ascii="宋体" w:hAnsi="宋体" w:eastAsia="宋体" w:cs="宋体"/>
                <w:b/>
                <w:color w:val="auto"/>
                <w:kern w:val="0"/>
                <w:sz w:val="24"/>
                <w:szCs w:val="24"/>
              </w:rPr>
              <w:t>电话：</w:t>
            </w:r>
            <w:r>
              <w:rPr>
                <w:rFonts w:hint="eastAsia" w:ascii="宋体" w:hAnsi="宋体" w:eastAsia="宋体" w:cs="宋体"/>
                <w:bCs/>
                <w:color w:val="auto"/>
                <w:kern w:val="0"/>
                <w:sz w:val="24"/>
                <w:szCs w:val="24"/>
                <w:lang w:val="en-US" w:eastAsia="zh-CN"/>
              </w:rPr>
              <w:t xml:space="preserve"> </w:t>
            </w:r>
          </w:p>
        </w:tc>
      </w:tr>
    </w:tbl>
    <w:p>
      <w:pPr>
        <w:pStyle w:val="8"/>
        <w:ind w:firstLine="0"/>
        <w:rPr>
          <w:rFonts w:ascii="宋体" w:hAnsi="宋体" w:eastAsia="宋体" w:cs="宋体"/>
          <w:b/>
          <w:color w:val="auto"/>
          <w:spacing w:val="-6"/>
          <w:sz w:val="28"/>
          <w:szCs w:val="28"/>
        </w:rPr>
      </w:pPr>
    </w:p>
    <w:p>
      <w:pPr>
        <w:pStyle w:val="8"/>
        <w:ind w:firstLine="0"/>
        <w:rPr>
          <w:rFonts w:ascii="宋体" w:hAnsi="宋体" w:eastAsia="宋体" w:cs="宋体"/>
          <w:bCs/>
          <w:color w:val="auto"/>
          <w:spacing w:val="-6"/>
          <w:szCs w:val="21"/>
        </w:rPr>
      </w:pPr>
    </w:p>
    <w:p>
      <w:pPr>
        <w:pStyle w:val="8"/>
        <w:ind w:firstLine="0"/>
        <w:rPr>
          <w:rFonts w:ascii="宋体" w:hAnsi="宋体" w:eastAsia="宋体" w:cs="宋体"/>
          <w:bCs/>
          <w:color w:val="auto"/>
          <w:spacing w:val="-6"/>
          <w:szCs w:val="21"/>
        </w:rPr>
      </w:pPr>
    </w:p>
    <w:tbl>
      <w:tblPr>
        <w:tblStyle w:val="32"/>
        <w:tblW w:w="8835" w:type="dxa"/>
        <w:tblInd w:w="0" w:type="dxa"/>
        <w:tblLayout w:type="fixed"/>
        <w:tblCellMar>
          <w:top w:w="0" w:type="dxa"/>
          <w:left w:w="0" w:type="dxa"/>
          <w:bottom w:w="0" w:type="dxa"/>
          <w:right w:w="0" w:type="dxa"/>
        </w:tblCellMar>
      </w:tblPr>
      <w:tblGrid>
        <w:gridCol w:w="8835"/>
      </w:tblGrid>
      <w:tr>
        <w:tblPrEx>
          <w:tblCellMar>
            <w:top w:w="0" w:type="dxa"/>
            <w:left w:w="0" w:type="dxa"/>
            <w:bottom w:w="0" w:type="dxa"/>
            <w:right w:w="0" w:type="dxa"/>
          </w:tblCellMar>
        </w:tblPrEx>
        <w:trPr>
          <w:trHeight w:val="880" w:hRule="atLeast"/>
        </w:trPr>
        <w:tc>
          <w:tcPr>
            <w:tcW w:w="8835" w:type="dxa"/>
            <w:tcBorders>
              <w:top w:val="nil"/>
              <w:left w:val="nil"/>
              <w:bottom w:val="nil"/>
              <w:right w:val="nil"/>
            </w:tcBorders>
            <w:tcMar>
              <w:top w:w="15" w:type="dxa"/>
              <w:left w:w="15" w:type="dxa"/>
              <w:right w:w="15" w:type="dxa"/>
            </w:tcMar>
          </w:tcPr>
          <w:p>
            <w:pPr>
              <w:widowControl/>
              <w:jc w:val="left"/>
              <w:textAlignment w:val="top"/>
              <w:rPr>
                <w:rFonts w:ascii="宋体" w:hAnsi="宋体" w:eastAsia="宋体" w:cs="宋体"/>
                <w:b/>
                <w:color w:val="auto"/>
                <w:sz w:val="24"/>
                <w:szCs w:val="24"/>
              </w:rPr>
            </w:pPr>
            <w:r>
              <w:rPr>
                <w:rFonts w:hint="eastAsia" w:ascii="宋体" w:hAnsi="宋体" w:eastAsia="宋体" w:cs="宋体"/>
                <w:b/>
                <w:color w:val="auto"/>
                <w:kern w:val="0"/>
                <w:sz w:val="24"/>
                <w:szCs w:val="24"/>
              </w:rPr>
              <w:t>签订时间：</w:t>
            </w:r>
            <w:r>
              <w:rPr>
                <w:rFonts w:hint="eastAsia" w:ascii="宋体" w:hAnsi="宋体" w:eastAsia="宋体" w:cs="宋体"/>
                <w:b/>
                <w:color w:val="auto"/>
                <w:kern w:val="0"/>
                <w:sz w:val="24"/>
                <w:szCs w:val="24"/>
                <w:u w:val="single"/>
              </w:rPr>
              <w:t xml:space="preserve"> 202</w:t>
            </w:r>
            <w:r>
              <w:rPr>
                <w:rFonts w:hint="eastAsia" w:ascii="宋体" w:hAnsi="宋体" w:eastAsia="宋体" w:cs="宋体"/>
                <w:b/>
                <w:color w:val="auto"/>
                <w:kern w:val="0"/>
                <w:sz w:val="24"/>
                <w:szCs w:val="24"/>
                <w:u w:val="single"/>
                <w:lang w:val="en-US" w:eastAsia="zh-CN"/>
              </w:rPr>
              <w:t xml:space="preserve">  </w:t>
            </w:r>
            <w:r>
              <w:rPr>
                <w:rFonts w:hint="eastAsia" w:ascii="宋体" w:hAnsi="宋体" w:eastAsia="宋体" w:cs="宋体"/>
                <w:b/>
                <w:color w:val="auto"/>
                <w:kern w:val="0"/>
                <w:sz w:val="24"/>
                <w:szCs w:val="24"/>
                <w:u w:val="single"/>
              </w:rPr>
              <w:t xml:space="preserve"> </w:t>
            </w:r>
            <w:r>
              <w:rPr>
                <w:rFonts w:hint="eastAsia" w:ascii="宋体" w:hAnsi="宋体" w:eastAsia="宋体" w:cs="宋体"/>
                <w:b/>
                <w:color w:val="auto"/>
                <w:kern w:val="0"/>
                <w:sz w:val="24"/>
                <w:szCs w:val="24"/>
              </w:rPr>
              <w:t>年</w:t>
            </w:r>
            <w:r>
              <w:rPr>
                <w:rFonts w:hint="eastAsia" w:ascii="宋体" w:hAnsi="宋体" w:eastAsia="宋体" w:cs="宋体"/>
                <w:b/>
                <w:color w:val="auto"/>
                <w:kern w:val="0"/>
                <w:sz w:val="24"/>
                <w:szCs w:val="24"/>
                <w:u w:val="single"/>
              </w:rPr>
              <w:t xml:space="preserve">    </w:t>
            </w:r>
            <w:r>
              <w:rPr>
                <w:rFonts w:hint="eastAsia" w:ascii="宋体" w:hAnsi="宋体" w:eastAsia="宋体" w:cs="宋体"/>
                <w:b/>
                <w:color w:val="auto"/>
                <w:kern w:val="0"/>
                <w:sz w:val="24"/>
                <w:szCs w:val="24"/>
              </w:rPr>
              <w:t>月</w:t>
            </w:r>
            <w:r>
              <w:rPr>
                <w:rFonts w:hint="eastAsia" w:ascii="宋体" w:hAnsi="宋体" w:eastAsia="宋体" w:cs="宋体"/>
                <w:b/>
                <w:color w:val="auto"/>
                <w:kern w:val="0"/>
                <w:sz w:val="24"/>
                <w:szCs w:val="24"/>
                <w:u w:val="single"/>
              </w:rPr>
              <w:t xml:space="preserve">   </w:t>
            </w:r>
            <w:r>
              <w:rPr>
                <w:rFonts w:hint="eastAsia" w:ascii="宋体" w:hAnsi="宋体" w:eastAsia="宋体" w:cs="宋体"/>
                <w:b/>
                <w:color w:val="auto"/>
                <w:kern w:val="0"/>
                <w:sz w:val="24"/>
                <w:szCs w:val="24"/>
              </w:rPr>
              <w:t>日</w:t>
            </w:r>
          </w:p>
        </w:tc>
      </w:tr>
    </w:tbl>
    <w:p>
      <w:pPr>
        <w:pStyle w:val="8"/>
        <w:ind w:firstLine="0"/>
        <w:rPr>
          <w:rFonts w:ascii="宋体" w:hAnsi="宋体" w:eastAsia="宋体" w:cs="宋体"/>
          <w:bCs/>
          <w:color w:val="auto"/>
          <w:spacing w:val="-6"/>
          <w:szCs w:val="21"/>
        </w:rPr>
      </w:pPr>
    </w:p>
    <w:p>
      <w:pPr>
        <w:pStyle w:val="8"/>
        <w:ind w:firstLine="0"/>
        <w:rPr>
          <w:rFonts w:ascii="宋体" w:hAnsi="宋体" w:eastAsia="宋体" w:cs="宋体"/>
          <w:b/>
          <w:color w:val="auto"/>
          <w:spacing w:val="-6"/>
          <w:sz w:val="28"/>
          <w:szCs w:val="28"/>
        </w:rPr>
      </w:pPr>
    </w:p>
    <w:p>
      <w:pPr>
        <w:pStyle w:val="8"/>
        <w:ind w:firstLine="0"/>
        <w:rPr>
          <w:rFonts w:ascii="宋体" w:hAnsi="宋体" w:eastAsia="宋体" w:cs="宋体"/>
          <w:bCs/>
          <w:color w:val="auto"/>
          <w:spacing w:val="-6"/>
          <w:szCs w:val="21"/>
        </w:rPr>
      </w:pPr>
    </w:p>
    <w:p>
      <w:pPr>
        <w:pStyle w:val="8"/>
        <w:ind w:firstLine="0"/>
        <w:rPr>
          <w:rFonts w:ascii="宋体" w:hAnsi="宋体" w:eastAsia="宋体" w:cs="宋体"/>
          <w:bCs/>
          <w:color w:val="auto"/>
          <w:spacing w:val="-6"/>
          <w:szCs w:val="21"/>
        </w:rPr>
      </w:pPr>
    </w:p>
    <w:p>
      <w:pPr>
        <w:pStyle w:val="8"/>
        <w:ind w:firstLine="0"/>
        <w:rPr>
          <w:rFonts w:ascii="宋体" w:hAnsi="宋体" w:eastAsia="宋体" w:cs="宋体"/>
          <w:bCs/>
          <w:color w:val="auto"/>
          <w:spacing w:val="-6"/>
          <w:szCs w:val="21"/>
        </w:rPr>
      </w:pPr>
    </w:p>
    <w:sectPr>
      <w:footerReference r:id="rId6" w:type="default"/>
      <w:pgSz w:w="11907" w:h="16840"/>
      <w:pgMar w:top="1134" w:right="1418" w:bottom="1134" w:left="1418"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Style w:val="36"/>
      </w:rPr>
    </w:pPr>
    <w:r>
      <w:fldChar w:fldCharType="begin"/>
    </w:r>
    <w:r>
      <w:rPr>
        <w:rStyle w:val="36"/>
      </w:rPr>
      <w:instrText xml:space="preserve">PAGE  </w:instrText>
    </w:r>
    <w:r>
      <w:fldChar w:fldCharType="separate"/>
    </w:r>
    <w:r>
      <w:rPr>
        <w:rStyle w:val="36"/>
      </w:rPr>
      <w:t>1</w:t>
    </w:r>
    <w:r>
      <w:fldChar w:fldCharType="end"/>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6"/>
      </w:rPr>
    </w:pPr>
    <w:r>
      <w:fldChar w:fldCharType="begin"/>
    </w:r>
    <w:r>
      <w:rPr>
        <w:rStyle w:val="36"/>
      </w:rPr>
      <w:instrText xml:space="preserve">PAGE  </w:instrText>
    </w:r>
    <w: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6"/>
      </w:rPr>
    </w:pPr>
    <w:r>
      <w:fldChar w:fldCharType="begin"/>
    </w:r>
    <w:r>
      <w:rPr>
        <w:rStyle w:val="36"/>
      </w:rPr>
      <w:instrText xml:space="preserve">PAGE  </w:instrText>
    </w:r>
    <w:r>
      <w:fldChar w:fldCharType="separate"/>
    </w:r>
    <w:r>
      <w:rPr>
        <w:rStyle w:val="36"/>
      </w:rPr>
      <w:t>1</w:t>
    </w:r>
    <w: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EEB96"/>
    <w:multiLevelType w:val="singleLevel"/>
    <w:tmpl w:val="B65EEB96"/>
    <w:lvl w:ilvl="0" w:tentative="0">
      <w:start w:val="1"/>
      <w:numFmt w:val="decimal"/>
      <w:lvlText w:val="%1."/>
      <w:lvlJc w:val="left"/>
      <w:pPr>
        <w:tabs>
          <w:tab w:val="left" w:pos="312"/>
        </w:tabs>
      </w:pPr>
    </w:lvl>
  </w:abstractNum>
  <w:abstractNum w:abstractNumId="1">
    <w:nsid w:val="259905B5"/>
    <w:multiLevelType w:val="multilevel"/>
    <w:tmpl w:val="259905B5"/>
    <w:lvl w:ilvl="0" w:tentative="0">
      <w:start w:val="1"/>
      <w:numFmt w:val="chineseCountingThousand"/>
      <w:suff w:val="space"/>
      <w:lvlText w:val="第%1章"/>
      <w:lvlJc w:val="left"/>
      <w:pPr>
        <w:ind w:left="567" w:hanging="279"/>
      </w:pPr>
      <w:rPr>
        <w:rFonts w:hint="eastAsia" w:ascii="宋体" w:hAnsi="Times New Roman" w:eastAsia="宋体"/>
        <w:b/>
        <w:i w:val="0"/>
        <w:spacing w:val="0"/>
        <w:position w:val="0"/>
        <w:sz w:val="44"/>
      </w:rPr>
    </w:lvl>
    <w:lvl w:ilvl="1" w:tentative="0">
      <w:start w:val="1"/>
      <w:numFmt w:val="decimal"/>
      <w:suff w:val="space"/>
      <w:lvlText w:val="%2."/>
      <w:lvlJc w:val="left"/>
      <w:pPr>
        <w:ind w:left="454" w:hanging="454"/>
      </w:pPr>
      <w:rPr>
        <w:rFonts w:hint="eastAsia" w:ascii="宋体" w:hAnsi="Times New Roman" w:eastAsia="宋体"/>
        <w:b/>
        <w:i w:val="0"/>
        <w:sz w:val="32"/>
      </w:rPr>
    </w:lvl>
    <w:lvl w:ilvl="2" w:tentative="0">
      <w:start w:val="1"/>
      <w:numFmt w:val="decimal"/>
      <w:suff w:val="space"/>
      <w:lvlText w:val="%2.%3"/>
      <w:lvlJc w:val="left"/>
      <w:pPr>
        <w:ind w:left="454" w:hanging="454"/>
      </w:pPr>
      <w:rPr>
        <w:rFonts w:hint="eastAsia" w:ascii="宋体" w:hAnsi="Times New Roman" w:eastAsia="宋体"/>
        <w:b/>
        <w:i w:val="0"/>
        <w:sz w:val="28"/>
      </w:rPr>
    </w:lvl>
    <w:lvl w:ilvl="3" w:tentative="0">
      <w:start w:val="1"/>
      <w:numFmt w:val="decimal"/>
      <w:pStyle w:val="10"/>
      <w:suff w:val="space"/>
      <w:lvlText w:val="%2.%3.%4_x0001__x0003_"/>
      <w:lvlJc w:val="left"/>
      <w:pPr>
        <w:ind w:left="284" w:hanging="284"/>
      </w:pPr>
      <w:rPr>
        <w:rFonts w:hint="eastAsia" w:ascii="宋体" w:hAnsi="Times New Roman" w:eastAsia="宋体"/>
        <w:b/>
        <w:i w:val="0"/>
        <w:sz w:val="28"/>
      </w:rPr>
    </w:lvl>
    <w:lvl w:ilvl="4" w:tentative="0">
      <w:start w:val="1"/>
      <w:numFmt w:val="decimal"/>
      <w:pStyle w:val="11"/>
      <w:isLgl/>
      <w:suff w:val="space"/>
      <w:lvlText w:val="%2.%3.%4.%5"/>
      <w:lvlJc w:val="left"/>
      <w:pPr>
        <w:ind w:left="284" w:hanging="284"/>
      </w:pPr>
      <w:rPr>
        <w:rFonts w:hint="eastAsia" w:ascii="宋体" w:hAnsi="Times New Roman" w:eastAsia="宋体"/>
        <w:b/>
        <w:i w:val="0"/>
        <w:strike w:val="0"/>
        <w:dstrike w:val="0"/>
        <w:sz w:val="28"/>
        <w:u w:val="none"/>
      </w:rPr>
    </w:lvl>
    <w:lvl w:ilvl="5" w:tentative="0">
      <w:start w:val="1"/>
      <w:numFmt w:val="decimal"/>
      <w:lvlRestart w:val="0"/>
      <w:suff w:val="space"/>
      <w:lvlText w:val="1.1.1.1.1.%6%5"/>
      <w:lvlJc w:val="left"/>
      <w:pPr>
        <w:ind w:left="0" w:firstLine="0"/>
      </w:pPr>
      <w:rPr>
        <w:rFonts w:hint="eastAsia" w:ascii="宋体" w:hAnsi="Times New Roman" w:eastAsia="宋体"/>
        <w:b/>
        <w:i w:val="0"/>
        <w:sz w:val="28"/>
      </w:rPr>
    </w:lvl>
    <w:lvl w:ilvl="6" w:tentative="0">
      <w:start w:val="1"/>
      <w:numFmt w:val="none"/>
      <w:pStyle w:val="13"/>
      <w:suff w:val="nothing"/>
      <w:lvlText w:val=""/>
      <w:lvlJc w:val="left"/>
      <w:pPr>
        <w:ind w:left="0" w:firstLine="0"/>
      </w:pPr>
    </w:lvl>
    <w:lvl w:ilvl="7" w:tentative="0">
      <w:start w:val="1"/>
      <w:numFmt w:val="none"/>
      <w:pStyle w:val="14"/>
      <w:suff w:val="nothing"/>
      <w:lvlText w:val=""/>
      <w:lvlJc w:val="left"/>
      <w:pPr>
        <w:ind w:left="0" w:firstLine="0"/>
      </w:pPr>
    </w:lvl>
    <w:lvl w:ilvl="8" w:tentative="0">
      <w:start w:val="1"/>
      <w:numFmt w:val="none"/>
      <w:pStyle w:val="15"/>
      <w:suff w:val="nothing"/>
      <w:lvlText w:val=""/>
      <w:lvlJc w:val="left"/>
      <w:pPr>
        <w:ind w:left="0" w:firstLine="0"/>
      </w:pPr>
    </w:lvl>
  </w:abstractNum>
  <w:abstractNum w:abstractNumId="2">
    <w:nsid w:val="573252AF"/>
    <w:multiLevelType w:val="multilevel"/>
    <w:tmpl w:val="573252AF"/>
    <w:lvl w:ilvl="0" w:tentative="0">
      <w:start w:val="1"/>
      <w:numFmt w:val="decimal"/>
      <w:lvlText w:val="%1）"/>
      <w:lvlJc w:val="left"/>
      <w:pPr>
        <w:ind w:left="819" w:hanging="360"/>
      </w:pPr>
      <w:rPr>
        <w:rFonts w:hint="default"/>
      </w:rPr>
    </w:lvl>
    <w:lvl w:ilvl="1" w:tentative="0">
      <w:start w:val="1"/>
      <w:numFmt w:val="lowerLetter"/>
      <w:lvlText w:val="%2)"/>
      <w:lvlJc w:val="left"/>
      <w:pPr>
        <w:tabs>
          <w:tab w:val="left" w:pos="1301"/>
        </w:tabs>
        <w:ind w:left="1301" w:hanging="420"/>
      </w:pPr>
    </w:lvl>
    <w:lvl w:ilvl="2" w:tentative="0">
      <w:start w:val="1"/>
      <w:numFmt w:val="lowerRoman"/>
      <w:lvlText w:val="%3."/>
      <w:lvlJc w:val="right"/>
      <w:pPr>
        <w:tabs>
          <w:tab w:val="left" w:pos="1721"/>
        </w:tabs>
        <w:ind w:left="1721" w:hanging="420"/>
      </w:pPr>
    </w:lvl>
    <w:lvl w:ilvl="3" w:tentative="0">
      <w:start w:val="1"/>
      <w:numFmt w:val="decimal"/>
      <w:lvlText w:val="%4."/>
      <w:lvlJc w:val="left"/>
      <w:pPr>
        <w:tabs>
          <w:tab w:val="left" w:pos="2141"/>
        </w:tabs>
        <w:ind w:left="2141" w:hanging="420"/>
      </w:pPr>
    </w:lvl>
    <w:lvl w:ilvl="4" w:tentative="0">
      <w:start w:val="1"/>
      <w:numFmt w:val="lowerLetter"/>
      <w:lvlText w:val="%5)"/>
      <w:lvlJc w:val="left"/>
      <w:pPr>
        <w:tabs>
          <w:tab w:val="left" w:pos="2561"/>
        </w:tabs>
        <w:ind w:left="2561" w:hanging="420"/>
      </w:pPr>
    </w:lvl>
    <w:lvl w:ilvl="5" w:tentative="0">
      <w:start w:val="1"/>
      <w:numFmt w:val="lowerRoman"/>
      <w:lvlText w:val="%6."/>
      <w:lvlJc w:val="right"/>
      <w:pPr>
        <w:tabs>
          <w:tab w:val="left" w:pos="2981"/>
        </w:tabs>
        <w:ind w:left="2981" w:hanging="420"/>
      </w:pPr>
    </w:lvl>
    <w:lvl w:ilvl="6" w:tentative="0">
      <w:start w:val="1"/>
      <w:numFmt w:val="decimal"/>
      <w:lvlText w:val="%7."/>
      <w:lvlJc w:val="left"/>
      <w:pPr>
        <w:tabs>
          <w:tab w:val="left" w:pos="3401"/>
        </w:tabs>
        <w:ind w:left="3401" w:hanging="420"/>
      </w:pPr>
    </w:lvl>
    <w:lvl w:ilvl="7" w:tentative="0">
      <w:start w:val="1"/>
      <w:numFmt w:val="lowerLetter"/>
      <w:lvlText w:val="%8)"/>
      <w:lvlJc w:val="left"/>
      <w:pPr>
        <w:tabs>
          <w:tab w:val="left" w:pos="3821"/>
        </w:tabs>
        <w:ind w:left="3821" w:hanging="420"/>
      </w:pPr>
    </w:lvl>
    <w:lvl w:ilvl="8" w:tentative="0">
      <w:start w:val="1"/>
      <w:numFmt w:val="lowerRoman"/>
      <w:lvlText w:val="%9."/>
      <w:lvlJc w:val="right"/>
      <w:pPr>
        <w:tabs>
          <w:tab w:val="left" w:pos="4241"/>
        </w:tabs>
        <w:ind w:left="4241" w:hanging="420"/>
      </w:pPr>
    </w:lvl>
  </w:abstractNum>
  <w:abstractNum w:abstractNumId="3">
    <w:nsid w:val="57DF3F71"/>
    <w:multiLevelType w:val="singleLevel"/>
    <w:tmpl w:val="57DF3F71"/>
    <w:lvl w:ilvl="0" w:tentative="0">
      <w:start w:val="1"/>
      <w:numFmt w:val="decimal"/>
      <w:suff w:val="nothing"/>
      <w:lvlText w:val="（%1）"/>
      <w:lvlJc w:val="left"/>
    </w:lvl>
  </w:abstractNum>
  <w:abstractNum w:abstractNumId="4">
    <w:nsid w:val="74FB0463"/>
    <w:multiLevelType w:val="multilevel"/>
    <w:tmpl w:val="74FB0463"/>
    <w:lvl w:ilvl="0" w:tentative="0">
      <w:start w:val="1"/>
      <w:numFmt w:val="decimal"/>
      <w:suff w:val="nothing"/>
      <w:lvlText w:val="第%1篇"/>
      <w:lvlJc w:val="left"/>
      <w:pPr>
        <w:ind w:left="0" w:firstLine="0"/>
      </w:pPr>
      <w:rPr>
        <w:spacing w:val="60"/>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center"/>
      <w:pPr>
        <w:ind w:left="0" w:firstLine="288"/>
      </w:pPr>
    </w:lvl>
    <w:lvl w:ilvl="5" w:tentative="0">
      <w:start w:val="1"/>
      <w:numFmt w:val="none"/>
      <w:pStyle w:val="12"/>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5">
    <w:nsid w:val="7C081D01"/>
    <w:multiLevelType w:val="multilevel"/>
    <w:tmpl w:val="7C081D01"/>
    <w:lvl w:ilvl="0" w:tentative="0">
      <w:start w:val="1"/>
      <w:numFmt w:val="decimal"/>
      <w:lvlText w:val="%1）"/>
      <w:lvlJc w:val="left"/>
      <w:pPr>
        <w:ind w:left="819" w:hanging="360"/>
      </w:pPr>
      <w:rPr>
        <w:rFonts w:hint="default"/>
      </w:rPr>
    </w:lvl>
    <w:lvl w:ilvl="1" w:tentative="0">
      <w:start w:val="1"/>
      <w:numFmt w:val="lowerLetter"/>
      <w:lvlText w:val="%2)"/>
      <w:lvlJc w:val="left"/>
      <w:pPr>
        <w:tabs>
          <w:tab w:val="left" w:pos="1301"/>
        </w:tabs>
        <w:ind w:left="1301" w:hanging="420"/>
      </w:pPr>
    </w:lvl>
    <w:lvl w:ilvl="2" w:tentative="0">
      <w:start w:val="1"/>
      <w:numFmt w:val="lowerRoman"/>
      <w:lvlText w:val="%3."/>
      <w:lvlJc w:val="right"/>
      <w:pPr>
        <w:tabs>
          <w:tab w:val="left" w:pos="1721"/>
        </w:tabs>
        <w:ind w:left="1721" w:hanging="420"/>
      </w:pPr>
    </w:lvl>
    <w:lvl w:ilvl="3" w:tentative="0">
      <w:start w:val="1"/>
      <w:numFmt w:val="decimal"/>
      <w:lvlText w:val="%4."/>
      <w:lvlJc w:val="left"/>
      <w:pPr>
        <w:tabs>
          <w:tab w:val="left" w:pos="2141"/>
        </w:tabs>
        <w:ind w:left="2141" w:hanging="420"/>
      </w:pPr>
    </w:lvl>
    <w:lvl w:ilvl="4" w:tentative="0">
      <w:start w:val="1"/>
      <w:numFmt w:val="lowerLetter"/>
      <w:lvlText w:val="%5)"/>
      <w:lvlJc w:val="left"/>
      <w:pPr>
        <w:tabs>
          <w:tab w:val="left" w:pos="2561"/>
        </w:tabs>
        <w:ind w:left="2561" w:hanging="420"/>
      </w:pPr>
    </w:lvl>
    <w:lvl w:ilvl="5" w:tentative="0">
      <w:start w:val="1"/>
      <w:numFmt w:val="lowerRoman"/>
      <w:lvlText w:val="%6."/>
      <w:lvlJc w:val="right"/>
      <w:pPr>
        <w:tabs>
          <w:tab w:val="left" w:pos="2981"/>
        </w:tabs>
        <w:ind w:left="2981" w:hanging="420"/>
      </w:pPr>
    </w:lvl>
    <w:lvl w:ilvl="6" w:tentative="0">
      <w:start w:val="1"/>
      <w:numFmt w:val="decimal"/>
      <w:lvlText w:val="%7."/>
      <w:lvlJc w:val="left"/>
      <w:pPr>
        <w:tabs>
          <w:tab w:val="left" w:pos="3401"/>
        </w:tabs>
        <w:ind w:left="3401" w:hanging="420"/>
      </w:pPr>
    </w:lvl>
    <w:lvl w:ilvl="7" w:tentative="0">
      <w:start w:val="1"/>
      <w:numFmt w:val="lowerLetter"/>
      <w:lvlText w:val="%8)"/>
      <w:lvlJc w:val="left"/>
      <w:pPr>
        <w:tabs>
          <w:tab w:val="left" w:pos="3821"/>
        </w:tabs>
        <w:ind w:left="3821" w:hanging="420"/>
      </w:pPr>
    </w:lvl>
    <w:lvl w:ilvl="8" w:tentative="0">
      <w:start w:val="1"/>
      <w:numFmt w:val="lowerRoman"/>
      <w:lvlText w:val="%9."/>
      <w:lvlJc w:val="right"/>
      <w:pPr>
        <w:tabs>
          <w:tab w:val="left" w:pos="4241"/>
        </w:tabs>
        <w:ind w:left="4241" w:hanging="42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wZTI4ZDEwNTA0ZTY4ZWJlMDMxMjRlYjY4ZGQ1NzQifQ=="/>
  </w:docVars>
  <w:rsids>
    <w:rsidRoot w:val="00E7047D"/>
    <w:rsid w:val="00003996"/>
    <w:rsid w:val="000063DA"/>
    <w:rsid w:val="00006E93"/>
    <w:rsid w:val="0001649C"/>
    <w:rsid w:val="00017EFF"/>
    <w:rsid w:val="00020A30"/>
    <w:rsid w:val="00021DA8"/>
    <w:rsid w:val="00030378"/>
    <w:rsid w:val="00030581"/>
    <w:rsid w:val="00031505"/>
    <w:rsid w:val="0003212F"/>
    <w:rsid w:val="00032FF3"/>
    <w:rsid w:val="00036B27"/>
    <w:rsid w:val="00041BE6"/>
    <w:rsid w:val="000427EF"/>
    <w:rsid w:val="00050D17"/>
    <w:rsid w:val="000532DF"/>
    <w:rsid w:val="00057F12"/>
    <w:rsid w:val="00060116"/>
    <w:rsid w:val="000607B7"/>
    <w:rsid w:val="00060C53"/>
    <w:rsid w:val="000612BB"/>
    <w:rsid w:val="00061559"/>
    <w:rsid w:val="00070D6D"/>
    <w:rsid w:val="00074E3E"/>
    <w:rsid w:val="00077019"/>
    <w:rsid w:val="0008513F"/>
    <w:rsid w:val="000900A5"/>
    <w:rsid w:val="00092CAB"/>
    <w:rsid w:val="0009350E"/>
    <w:rsid w:val="00093749"/>
    <w:rsid w:val="000977AE"/>
    <w:rsid w:val="000A4470"/>
    <w:rsid w:val="000A4C2C"/>
    <w:rsid w:val="000A5290"/>
    <w:rsid w:val="000A54D2"/>
    <w:rsid w:val="000A633D"/>
    <w:rsid w:val="000A7F59"/>
    <w:rsid w:val="000B155A"/>
    <w:rsid w:val="000B2312"/>
    <w:rsid w:val="000B23C7"/>
    <w:rsid w:val="000B2A5D"/>
    <w:rsid w:val="000B77F2"/>
    <w:rsid w:val="000C0052"/>
    <w:rsid w:val="000C19D3"/>
    <w:rsid w:val="000C391E"/>
    <w:rsid w:val="000C7319"/>
    <w:rsid w:val="000D00D2"/>
    <w:rsid w:val="000D131F"/>
    <w:rsid w:val="000D33BC"/>
    <w:rsid w:val="000E0335"/>
    <w:rsid w:val="000E0A4E"/>
    <w:rsid w:val="000E4061"/>
    <w:rsid w:val="000E747C"/>
    <w:rsid w:val="000F7B6E"/>
    <w:rsid w:val="00101261"/>
    <w:rsid w:val="00101741"/>
    <w:rsid w:val="00102C8C"/>
    <w:rsid w:val="001043BB"/>
    <w:rsid w:val="00107DF1"/>
    <w:rsid w:val="00113DDC"/>
    <w:rsid w:val="0011463C"/>
    <w:rsid w:val="00116525"/>
    <w:rsid w:val="00117C44"/>
    <w:rsid w:val="001259BD"/>
    <w:rsid w:val="00130A65"/>
    <w:rsid w:val="00131D90"/>
    <w:rsid w:val="00133E51"/>
    <w:rsid w:val="001355D2"/>
    <w:rsid w:val="001379C3"/>
    <w:rsid w:val="00137F10"/>
    <w:rsid w:val="00143211"/>
    <w:rsid w:val="001458C1"/>
    <w:rsid w:val="00150ED9"/>
    <w:rsid w:val="0015247D"/>
    <w:rsid w:val="00155845"/>
    <w:rsid w:val="00157BB9"/>
    <w:rsid w:val="00161B94"/>
    <w:rsid w:val="00162368"/>
    <w:rsid w:val="00165023"/>
    <w:rsid w:val="0016651E"/>
    <w:rsid w:val="00167DF4"/>
    <w:rsid w:val="00170276"/>
    <w:rsid w:val="00171C05"/>
    <w:rsid w:val="00171D7C"/>
    <w:rsid w:val="001735CA"/>
    <w:rsid w:val="0017681A"/>
    <w:rsid w:val="00177671"/>
    <w:rsid w:val="001805A0"/>
    <w:rsid w:val="00182D86"/>
    <w:rsid w:val="00190DE0"/>
    <w:rsid w:val="00191D82"/>
    <w:rsid w:val="00192D8D"/>
    <w:rsid w:val="00194C07"/>
    <w:rsid w:val="00195616"/>
    <w:rsid w:val="00196265"/>
    <w:rsid w:val="001A0EDA"/>
    <w:rsid w:val="001A5C96"/>
    <w:rsid w:val="001A66B6"/>
    <w:rsid w:val="001A729D"/>
    <w:rsid w:val="001B13E0"/>
    <w:rsid w:val="001B1C1F"/>
    <w:rsid w:val="001B2CA0"/>
    <w:rsid w:val="001B4873"/>
    <w:rsid w:val="001B57D1"/>
    <w:rsid w:val="001D1FE0"/>
    <w:rsid w:val="001D282C"/>
    <w:rsid w:val="001D689D"/>
    <w:rsid w:val="001D6CD7"/>
    <w:rsid w:val="001E0731"/>
    <w:rsid w:val="001E5341"/>
    <w:rsid w:val="001E7B74"/>
    <w:rsid w:val="001E7DB6"/>
    <w:rsid w:val="001F0079"/>
    <w:rsid w:val="001F3645"/>
    <w:rsid w:val="001F4721"/>
    <w:rsid w:val="001F5EC7"/>
    <w:rsid w:val="002051ED"/>
    <w:rsid w:val="00206314"/>
    <w:rsid w:val="00207295"/>
    <w:rsid w:val="00211777"/>
    <w:rsid w:val="00217DE1"/>
    <w:rsid w:val="0022089F"/>
    <w:rsid w:val="00221709"/>
    <w:rsid w:val="00223834"/>
    <w:rsid w:val="002273C1"/>
    <w:rsid w:val="00232A87"/>
    <w:rsid w:val="00234B34"/>
    <w:rsid w:val="002367A6"/>
    <w:rsid w:val="002510C6"/>
    <w:rsid w:val="00254A51"/>
    <w:rsid w:val="002564E5"/>
    <w:rsid w:val="002576E8"/>
    <w:rsid w:val="00262899"/>
    <w:rsid w:val="0026323D"/>
    <w:rsid w:val="0026415C"/>
    <w:rsid w:val="00264B2D"/>
    <w:rsid w:val="002679D1"/>
    <w:rsid w:val="00270806"/>
    <w:rsid w:val="002708B4"/>
    <w:rsid w:val="00271608"/>
    <w:rsid w:val="00271F83"/>
    <w:rsid w:val="00272254"/>
    <w:rsid w:val="002746C9"/>
    <w:rsid w:val="002757B9"/>
    <w:rsid w:val="00275D89"/>
    <w:rsid w:val="00276729"/>
    <w:rsid w:val="00286E89"/>
    <w:rsid w:val="0028720E"/>
    <w:rsid w:val="00287D33"/>
    <w:rsid w:val="00290112"/>
    <w:rsid w:val="00290415"/>
    <w:rsid w:val="00290A48"/>
    <w:rsid w:val="00291003"/>
    <w:rsid w:val="00294F09"/>
    <w:rsid w:val="00295E56"/>
    <w:rsid w:val="00297CE2"/>
    <w:rsid w:val="002A0762"/>
    <w:rsid w:val="002A1D79"/>
    <w:rsid w:val="002A3C61"/>
    <w:rsid w:val="002A3D72"/>
    <w:rsid w:val="002A3EC5"/>
    <w:rsid w:val="002A5D75"/>
    <w:rsid w:val="002A77A6"/>
    <w:rsid w:val="002B31A6"/>
    <w:rsid w:val="002B4D0C"/>
    <w:rsid w:val="002B7AF7"/>
    <w:rsid w:val="002C1A27"/>
    <w:rsid w:val="002C1C05"/>
    <w:rsid w:val="002C2B29"/>
    <w:rsid w:val="002C4102"/>
    <w:rsid w:val="002D261A"/>
    <w:rsid w:val="002D6A60"/>
    <w:rsid w:val="002E0F9D"/>
    <w:rsid w:val="002E2ED1"/>
    <w:rsid w:val="002F3750"/>
    <w:rsid w:val="002F4CE3"/>
    <w:rsid w:val="002F571E"/>
    <w:rsid w:val="002F7FF9"/>
    <w:rsid w:val="00300A71"/>
    <w:rsid w:val="00300C5D"/>
    <w:rsid w:val="00300F58"/>
    <w:rsid w:val="003011E3"/>
    <w:rsid w:val="003055DA"/>
    <w:rsid w:val="00310F77"/>
    <w:rsid w:val="00311525"/>
    <w:rsid w:val="00312D3C"/>
    <w:rsid w:val="003138D9"/>
    <w:rsid w:val="00315A32"/>
    <w:rsid w:val="00316908"/>
    <w:rsid w:val="0032058C"/>
    <w:rsid w:val="00321333"/>
    <w:rsid w:val="003214AC"/>
    <w:rsid w:val="003249A1"/>
    <w:rsid w:val="00324ED7"/>
    <w:rsid w:val="00330285"/>
    <w:rsid w:val="003328B8"/>
    <w:rsid w:val="00332970"/>
    <w:rsid w:val="00336CA5"/>
    <w:rsid w:val="003406A6"/>
    <w:rsid w:val="00346410"/>
    <w:rsid w:val="00351A8F"/>
    <w:rsid w:val="00351EAE"/>
    <w:rsid w:val="00352DD4"/>
    <w:rsid w:val="00354308"/>
    <w:rsid w:val="0035443C"/>
    <w:rsid w:val="00356BDF"/>
    <w:rsid w:val="00357A91"/>
    <w:rsid w:val="0036277E"/>
    <w:rsid w:val="003642A0"/>
    <w:rsid w:val="0036560E"/>
    <w:rsid w:val="00365F2C"/>
    <w:rsid w:val="00366118"/>
    <w:rsid w:val="00367AB5"/>
    <w:rsid w:val="0037089E"/>
    <w:rsid w:val="00371EAD"/>
    <w:rsid w:val="00371FFD"/>
    <w:rsid w:val="00372F38"/>
    <w:rsid w:val="0037307E"/>
    <w:rsid w:val="00373812"/>
    <w:rsid w:val="00374052"/>
    <w:rsid w:val="00374DEC"/>
    <w:rsid w:val="00381574"/>
    <w:rsid w:val="00382F58"/>
    <w:rsid w:val="00384A05"/>
    <w:rsid w:val="00386F88"/>
    <w:rsid w:val="003904E2"/>
    <w:rsid w:val="003909C4"/>
    <w:rsid w:val="00392B97"/>
    <w:rsid w:val="00393013"/>
    <w:rsid w:val="00393C7D"/>
    <w:rsid w:val="00393D1B"/>
    <w:rsid w:val="003965AF"/>
    <w:rsid w:val="003A0774"/>
    <w:rsid w:val="003A2AB7"/>
    <w:rsid w:val="003A5671"/>
    <w:rsid w:val="003A6FFC"/>
    <w:rsid w:val="003B2112"/>
    <w:rsid w:val="003B2E8E"/>
    <w:rsid w:val="003B3AE6"/>
    <w:rsid w:val="003B5643"/>
    <w:rsid w:val="003B5DD7"/>
    <w:rsid w:val="003B7BB3"/>
    <w:rsid w:val="003C0C32"/>
    <w:rsid w:val="003C1302"/>
    <w:rsid w:val="003C599C"/>
    <w:rsid w:val="003C6F04"/>
    <w:rsid w:val="003C74ED"/>
    <w:rsid w:val="003C784A"/>
    <w:rsid w:val="003D1836"/>
    <w:rsid w:val="003D2AD6"/>
    <w:rsid w:val="003D4991"/>
    <w:rsid w:val="003D5AE4"/>
    <w:rsid w:val="003D69B0"/>
    <w:rsid w:val="003E04C7"/>
    <w:rsid w:val="003E197E"/>
    <w:rsid w:val="003E1CAA"/>
    <w:rsid w:val="003E5543"/>
    <w:rsid w:val="003F3E2F"/>
    <w:rsid w:val="003F774B"/>
    <w:rsid w:val="00402498"/>
    <w:rsid w:val="00403C8B"/>
    <w:rsid w:val="00404595"/>
    <w:rsid w:val="004116C4"/>
    <w:rsid w:val="004119D8"/>
    <w:rsid w:val="00412C17"/>
    <w:rsid w:val="0041484D"/>
    <w:rsid w:val="00415645"/>
    <w:rsid w:val="004158C0"/>
    <w:rsid w:val="00415A4A"/>
    <w:rsid w:val="00416A2B"/>
    <w:rsid w:val="00417AC3"/>
    <w:rsid w:val="0042076F"/>
    <w:rsid w:val="00422807"/>
    <w:rsid w:val="00427244"/>
    <w:rsid w:val="004308D6"/>
    <w:rsid w:val="0043397F"/>
    <w:rsid w:val="00434DA3"/>
    <w:rsid w:val="004351F1"/>
    <w:rsid w:val="00435248"/>
    <w:rsid w:val="00437C8F"/>
    <w:rsid w:val="00440049"/>
    <w:rsid w:val="0044436D"/>
    <w:rsid w:val="004445B8"/>
    <w:rsid w:val="00444DB1"/>
    <w:rsid w:val="00445D06"/>
    <w:rsid w:val="00452C21"/>
    <w:rsid w:val="00453AE9"/>
    <w:rsid w:val="0046042C"/>
    <w:rsid w:val="004632EB"/>
    <w:rsid w:val="0046600E"/>
    <w:rsid w:val="004675B1"/>
    <w:rsid w:val="00470BBD"/>
    <w:rsid w:val="004755E0"/>
    <w:rsid w:val="0047618C"/>
    <w:rsid w:val="00483222"/>
    <w:rsid w:val="0048362E"/>
    <w:rsid w:val="004900B7"/>
    <w:rsid w:val="004A11D8"/>
    <w:rsid w:val="004B064E"/>
    <w:rsid w:val="004B4F28"/>
    <w:rsid w:val="004B4FBE"/>
    <w:rsid w:val="004B5B33"/>
    <w:rsid w:val="004B766A"/>
    <w:rsid w:val="004C1057"/>
    <w:rsid w:val="004C25C3"/>
    <w:rsid w:val="004C2BFC"/>
    <w:rsid w:val="004C4070"/>
    <w:rsid w:val="004C7B8B"/>
    <w:rsid w:val="004D00E4"/>
    <w:rsid w:val="004D16E6"/>
    <w:rsid w:val="004D22AE"/>
    <w:rsid w:val="004D3B11"/>
    <w:rsid w:val="004D60A2"/>
    <w:rsid w:val="004D7E85"/>
    <w:rsid w:val="004E1618"/>
    <w:rsid w:val="004E3532"/>
    <w:rsid w:val="004E4C57"/>
    <w:rsid w:val="004E7A9A"/>
    <w:rsid w:val="004F2578"/>
    <w:rsid w:val="004F2F35"/>
    <w:rsid w:val="004F3E64"/>
    <w:rsid w:val="004F43D9"/>
    <w:rsid w:val="004F6510"/>
    <w:rsid w:val="0050160E"/>
    <w:rsid w:val="0050302A"/>
    <w:rsid w:val="00503647"/>
    <w:rsid w:val="00504853"/>
    <w:rsid w:val="00506ADB"/>
    <w:rsid w:val="00510A1A"/>
    <w:rsid w:val="005123DA"/>
    <w:rsid w:val="005160BB"/>
    <w:rsid w:val="00517BD3"/>
    <w:rsid w:val="0052302A"/>
    <w:rsid w:val="00523A84"/>
    <w:rsid w:val="00533D6C"/>
    <w:rsid w:val="00534F32"/>
    <w:rsid w:val="00537DF4"/>
    <w:rsid w:val="005417AF"/>
    <w:rsid w:val="00544993"/>
    <w:rsid w:val="00545FBD"/>
    <w:rsid w:val="00546AC0"/>
    <w:rsid w:val="00550E2E"/>
    <w:rsid w:val="00551516"/>
    <w:rsid w:val="00551EAC"/>
    <w:rsid w:val="00554881"/>
    <w:rsid w:val="00556E06"/>
    <w:rsid w:val="005642BA"/>
    <w:rsid w:val="00565505"/>
    <w:rsid w:val="00570F97"/>
    <w:rsid w:val="00571894"/>
    <w:rsid w:val="00571C5C"/>
    <w:rsid w:val="00572EDC"/>
    <w:rsid w:val="005738AE"/>
    <w:rsid w:val="0057490F"/>
    <w:rsid w:val="00576E68"/>
    <w:rsid w:val="00585578"/>
    <w:rsid w:val="00590D19"/>
    <w:rsid w:val="0059145E"/>
    <w:rsid w:val="00597F17"/>
    <w:rsid w:val="005A05E0"/>
    <w:rsid w:val="005A0A9E"/>
    <w:rsid w:val="005A1AD6"/>
    <w:rsid w:val="005A1EF3"/>
    <w:rsid w:val="005B2D47"/>
    <w:rsid w:val="005B2F70"/>
    <w:rsid w:val="005B65AD"/>
    <w:rsid w:val="005B706D"/>
    <w:rsid w:val="005C22BB"/>
    <w:rsid w:val="005C2E75"/>
    <w:rsid w:val="005C481B"/>
    <w:rsid w:val="005C52BA"/>
    <w:rsid w:val="005C6A25"/>
    <w:rsid w:val="005D0B36"/>
    <w:rsid w:val="005D192C"/>
    <w:rsid w:val="005D196A"/>
    <w:rsid w:val="005D1DCE"/>
    <w:rsid w:val="005D659C"/>
    <w:rsid w:val="005E0E22"/>
    <w:rsid w:val="005E1846"/>
    <w:rsid w:val="005E75CB"/>
    <w:rsid w:val="005E79B8"/>
    <w:rsid w:val="005F55C0"/>
    <w:rsid w:val="005F6F36"/>
    <w:rsid w:val="0060023E"/>
    <w:rsid w:val="00600313"/>
    <w:rsid w:val="00602311"/>
    <w:rsid w:val="0060264B"/>
    <w:rsid w:val="00607523"/>
    <w:rsid w:val="00614DC7"/>
    <w:rsid w:val="00616806"/>
    <w:rsid w:val="00616C70"/>
    <w:rsid w:val="006201BF"/>
    <w:rsid w:val="00620EC7"/>
    <w:rsid w:val="0062385F"/>
    <w:rsid w:val="00624FD8"/>
    <w:rsid w:val="006252AB"/>
    <w:rsid w:val="006259BA"/>
    <w:rsid w:val="00626FDA"/>
    <w:rsid w:val="006342AB"/>
    <w:rsid w:val="00635E6A"/>
    <w:rsid w:val="006368E1"/>
    <w:rsid w:val="00641C64"/>
    <w:rsid w:val="006429E5"/>
    <w:rsid w:val="00642D38"/>
    <w:rsid w:val="006450D0"/>
    <w:rsid w:val="0064790E"/>
    <w:rsid w:val="00651ECF"/>
    <w:rsid w:val="00655C18"/>
    <w:rsid w:val="00664774"/>
    <w:rsid w:val="00664D1F"/>
    <w:rsid w:val="0066513A"/>
    <w:rsid w:val="00666527"/>
    <w:rsid w:val="006665B3"/>
    <w:rsid w:val="00675C32"/>
    <w:rsid w:val="006762B1"/>
    <w:rsid w:val="00677289"/>
    <w:rsid w:val="006823B6"/>
    <w:rsid w:val="0068439D"/>
    <w:rsid w:val="00685164"/>
    <w:rsid w:val="006902F1"/>
    <w:rsid w:val="006923F8"/>
    <w:rsid w:val="006939B7"/>
    <w:rsid w:val="00694172"/>
    <w:rsid w:val="006945F3"/>
    <w:rsid w:val="006A05EF"/>
    <w:rsid w:val="006A1089"/>
    <w:rsid w:val="006A1170"/>
    <w:rsid w:val="006A2EBE"/>
    <w:rsid w:val="006A3250"/>
    <w:rsid w:val="006A4CAA"/>
    <w:rsid w:val="006A597A"/>
    <w:rsid w:val="006A793F"/>
    <w:rsid w:val="006B2B87"/>
    <w:rsid w:val="006B6F25"/>
    <w:rsid w:val="006C0408"/>
    <w:rsid w:val="006C449A"/>
    <w:rsid w:val="006C4B78"/>
    <w:rsid w:val="006D39EE"/>
    <w:rsid w:val="006D3B0E"/>
    <w:rsid w:val="006D4852"/>
    <w:rsid w:val="006D62A3"/>
    <w:rsid w:val="006D7D1C"/>
    <w:rsid w:val="006E02F5"/>
    <w:rsid w:val="006E40B3"/>
    <w:rsid w:val="006E4A2B"/>
    <w:rsid w:val="006E4FCA"/>
    <w:rsid w:val="006E5D9E"/>
    <w:rsid w:val="006F0676"/>
    <w:rsid w:val="006F7424"/>
    <w:rsid w:val="007004EB"/>
    <w:rsid w:val="00701A93"/>
    <w:rsid w:val="0071118A"/>
    <w:rsid w:val="007226A0"/>
    <w:rsid w:val="00724DD3"/>
    <w:rsid w:val="00730556"/>
    <w:rsid w:val="00731C66"/>
    <w:rsid w:val="0073317C"/>
    <w:rsid w:val="00733AB4"/>
    <w:rsid w:val="007348FB"/>
    <w:rsid w:val="00735A59"/>
    <w:rsid w:val="00744847"/>
    <w:rsid w:val="007500FB"/>
    <w:rsid w:val="00756682"/>
    <w:rsid w:val="00760F6F"/>
    <w:rsid w:val="00761CAD"/>
    <w:rsid w:val="00761D5C"/>
    <w:rsid w:val="00764232"/>
    <w:rsid w:val="00764AC7"/>
    <w:rsid w:val="00765046"/>
    <w:rsid w:val="00765B2E"/>
    <w:rsid w:val="00771F84"/>
    <w:rsid w:val="00776B1B"/>
    <w:rsid w:val="00776C3D"/>
    <w:rsid w:val="00777291"/>
    <w:rsid w:val="00780AE0"/>
    <w:rsid w:val="00783035"/>
    <w:rsid w:val="0078472C"/>
    <w:rsid w:val="00785563"/>
    <w:rsid w:val="00792AE8"/>
    <w:rsid w:val="00793B76"/>
    <w:rsid w:val="00796AAF"/>
    <w:rsid w:val="007A1CFA"/>
    <w:rsid w:val="007A45FA"/>
    <w:rsid w:val="007B3F57"/>
    <w:rsid w:val="007B5F33"/>
    <w:rsid w:val="007B73B1"/>
    <w:rsid w:val="007C1D11"/>
    <w:rsid w:val="007C4D05"/>
    <w:rsid w:val="007D0554"/>
    <w:rsid w:val="007D16A1"/>
    <w:rsid w:val="007D26D5"/>
    <w:rsid w:val="007D3A86"/>
    <w:rsid w:val="007D4793"/>
    <w:rsid w:val="007D48FA"/>
    <w:rsid w:val="007E066E"/>
    <w:rsid w:val="007E5044"/>
    <w:rsid w:val="007E73A5"/>
    <w:rsid w:val="007F348D"/>
    <w:rsid w:val="007F5398"/>
    <w:rsid w:val="0080373B"/>
    <w:rsid w:val="00807BB6"/>
    <w:rsid w:val="00813735"/>
    <w:rsid w:val="00816AEA"/>
    <w:rsid w:val="0082107E"/>
    <w:rsid w:val="008219FD"/>
    <w:rsid w:val="00825D93"/>
    <w:rsid w:val="0082633E"/>
    <w:rsid w:val="00834CFB"/>
    <w:rsid w:val="008367FA"/>
    <w:rsid w:val="008407B0"/>
    <w:rsid w:val="00840CDF"/>
    <w:rsid w:val="00843822"/>
    <w:rsid w:val="00843D7A"/>
    <w:rsid w:val="00852912"/>
    <w:rsid w:val="0085446B"/>
    <w:rsid w:val="00855155"/>
    <w:rsid w:val="00855CFB"/>
    <w:rsid w:val="008560B8"/>
    <w:rsid w:val="00857944"/>
    <w:rsid w:val="00863BDB"/>
    <w:rsid w:val="008668D2"/>
    <w:rsid w:val="0087164E"/>
    <w:rsid w:val="008736E1"/>
    <w:rsid w:val="00873940"/>
    <w:rsid w:val="0087641F"/>
    <w:rsid w:val="00882371"/>
    <w:rsid w:val="00885A65"/>
    <w:rsid w:val="00891A12"/>
    <w:rsid w:val="00892871"/>
    <w:rsid w:val="00894996"/>
    <w:rsid w:val="00894AB0"/>
    <w:rsid w:val="008973AA"/>
    <w:rsid w:val="00897EF6"/>
    <w:rsid w:val="008A45A9"/>
    <w:rsid w:val="008A4A55"/>
    <w:rsid w:val="008A7290"/>
    <w:rsid w:val="008A78B3"/>
    <w:rsid w:val="008B416A"/>
    <w:rsid w:val="008B5B84"/>
    <w:rsid w:val="008B7EF1"/>
    <w:rsid w:val="008D45EF"/>
    <w:rsid w:val="008D494B"/>
    <w:rsid w:val="008E038F"/>
    <w:rsid w:val="008E0996"/>
    <w:rsid w:val="008E17F6"/>
    <w:rsid w:val="008E3120"/>
    <w:rsid w:val="008E3367"/>
    <w:rsid w:val="008E512A"/>
    <w:rsid w:val="008E7429"/>
    <w:rsid w:val="008F1851"/>
    <w:rsid w:val="008F21AE"/>
    <w:rsid w:val="008F4709"/>
    <w:rsid w:val="0090793B"/>
    <w:rsid w:val="0090797D"/>
    <w:rsid w:val="00910697"/>
    <w:rsid w:val="00912B1D"/>
    <w:rsid w:val="00912F39"/>
    <w:rsid w:val="00915D66"/>
    <w:rsid w:val="00917491"/>
    <w:rsid w:val="009201C8"/>
    <w:rsid w:val="0092054C"/>
    <w:rsid w:val="0092128A"/>
    <w:rsid w:val="00925ADD"/>
    <w:rsid w:val="00925F20"/>
    <w:rsid w:val="00927FE8"/>
    <w:rsid w:val="009303A5"/>
    <w:rsid w:val="0093078D"/>
    <w:rsid w:val="009337E2"/>
    <w:rsid w:val="00942262"/>
    <w:rsid w:val="00944FB6"/>
    <w:rsid w:val="00945585"/>
    <w:rsid w:val="0095134C"/>
    <w:rsid w:val="009544BF"/>
    <w:rsid w:val="00956885"/>
    <w:rsid w:val="00960073"/>
    <w:rsid w:val="00962512"/>
    <w:rsid w:val="00962EA8"/>
    <w:rsid w:val="00963CE2"/>
    <w:rsid w:val="009665BA"/>
    <w:rsid w:val="00967C3B"/>
    <w:rsid w:val="00970AC3"/>
    <w:rsid w:val="00974952"/>
    <w:rsid w:val="00975A90"/>
    <w:rsid w:val="00983085"/>
    <w:rsid w:val="00983143"/>
    <w:rsid w:val="00985B7F"/>
    <w:rsid w:val="00986D34"/>
    <w:rsid w:val="00991F89"/>
    <w:rsid w:val="00992268"/>
    <w:rsid w:val="009A146D"/>
    <w:rsid w:val="009A182D"/>
    <w:rsid w:val="009A40F9"/>
    <w:rsid w:val="009A531C"/>
    <w:rsid w:val="009A64BB"/>
    <w:rsid w:val="009A734C"/>
    <w:rsid w:val="009B0C52"/>
    <w:rsid w:val="009B20BF"/>
    <w:rsid w:val="009B2155"/>
    <w:rsid w:val="009B2969"/>
    <w:rsid w:val="009B3A0E"/>
    <w:rsid w:val="009B692C"/>
    <w:rsid w:val="009C0550"/>
    <w:rsid w:val="009C474E"/>
    <w:rsid w:val="009D3DF7"/>
    <w:rsid w:val="009D66EC"/>
    <w:rsid w:val="009E1284"/>
    <w:rsid w:val="009E1742"/>
    <w:rsid w:val="009E1954"/>
    <w:rsid w:val="009E4C97"/>
    <w:rsid w:val="009E7F2A"/>
    <w:rsid w:val="009F296A"/>
    <w:rsid w:val="009F4BCE"/>
    <w:rsid w:val="009F4C96"/>
    <w:rsid w:val="00A00E58"/>
    <w:rsid w:val="00A24067"/>
    <w:rsid w:val="00A261A3"/>
    <w:rsid w:val="00A3182F"/>
    <w:rsid w:val="00A36284"/>
    <w:rsid w:val="00A37F81"/>
    <w:rsid w:val="00A4359D"/>
    <w:rsid w:val="00A46EDD"/>
    <w:rsid w:val="00A46FF8"/>
    <w:rsid w:val="00A47BF6"/>
    <w:rsid w:val="00A526C5"/>
    <w:rsid w:val="00A54442"/>
    <w:rsid w:val="00A5544A"/>
    <w:rsid w:val="00A6043C"/>
    <w:rsid w:val="00A61CDE"/>
    <w:rsid w:val="00A6351A"/>
    <w:rsid w:val="00A650C1"/>
    <w:rsid w:val="00A65308"/>
    <w:rsid w:val="00A653E7"/>
    <w:rsid w:val="00A6584E"/>
    <w:rsid w:val="00A65977"/>
    <w:rsid w:val="00A66733"/>
    <w:rsid w:val="00A677EA"/>
    <w:rsid w:val="00A7266F"/>
    <w:rsid w:val="00A73C21"/>
    <w:rsid w:val="00A7735B"/>
    <w:rsid w:val="00A82C8F"/>
    <w:rsid w:val="00A85D34"/>
    <w:rsid w:val="00A913AA"/>
    <w:rsid w:val="00A937EB"/>
    <w:rsid w:val="00A94A12"/>
    <w:rsid w:val="00A967E1"/>
    <w:rsid w:val="00A96AE5"/>
    <w:rsid w:val="00AA0030"/>
    <w:rsid w:val="00AA2A16"/>
    <w:rsid w:val="00AA31D6"/>
    <w:rsid w:val="00AA4DA3"/>
    <w:rsid w:val="00AA6C11"/>
    <w:rsid w:val="00AA7096"/>
    <w:rsid w:val="00AA765B"/>
    <w:rsid w:val="00AA7AE9"/>
    <w:rsid w:val="00AA7AEF"/>
    <w:rsid w:val="00AA7CCB"/>
    <w:rsid w:val="00AB1E9F"/>
    <w:rsid w:val="00AB2D39"/>
    <w:rsid w:val="00AB2D5B"/>
    <w:rsid w:val="00AB3EEC"/>
    <w:rsid w:val="00AB6EB0"/>
    <w:rsid w:val="00AB7854"/>
    <w:rsid w:val="00AC126F"/>
    <w:rsid w:val="00AC1F97"/>
    <w:rsid w:val="00AC4673"/>
    <w:rsid w:val="00AC69E6"/>
    <w:rsid w:val="00AC7F5D"/>
    <w:rsid w:val="00AD0247"/>
    <w:rsid w:val="00AD1B55"/>
    <w:rsid w:val="00AD42A6"/>
    <w:rsid w:val="00AD46D6"/>
    <w:rsid w:val="00AD7E4E"/>
    <w:rsid w:val="00AE2646"/>
    <w:rsid w:val="00AE4505"/>
    <w:rsid w:val="00AE7208"/>
    <w:rsid w:val="00AE78AC"/>
    <w:rsid w:val="00AF2B70"/>
    <w:rsid w:val="00AF35DD"/>
    <w:rsid w:val="00B005EE"/>
    <w:rsid w:val="00B05754"/>
    <w:rsid w:val="00B13FA6"/>
    <w:rsid w:val="00B20D60"/>
    <w:rsid w:val="00B219C0"/>
    <w:rsid w:val="00B32109"/>
    <w:rsid w:val="00B325DA"/>
    <w:rsid w:val="00B34615"/>
    <w:rsid w:val="00B3606E"/>
    <w:rsid w:val="00B36E86"/>
    <w:rsid w:val="00B42249"/>
    <w:rsid w:val="00B46D96"/>
    <w:rsid w:val="00B47F8F"/>
    <w:rsid w:val="00B5393D"/>
    <w:rsid w:val="00B54235"/>
    <w:rsid w:val="00B56704"/>
    <w:rsid w:val="00B61A14"/>
    <w:rsid w:val="00B64058"/>
    <w:rsid w:val="00B658B8"/>
    <w:rsid w:val="00B66D33"/>
    <w:rsid w:val="00B672B6"/>
    <w:rsid w:val="00B70F94"/>
    <w:rsid w:val="00B80EAE"/>
    <w:rsid w:val="00B8105C"/>
    <w:rsid w:val="00B81D4C"/>
    <w:rsid w:val="00B82772"/>
    <w:rsid w:val="00B905CE"/>
    <w:rsid w:val="00B91936"/>
    <w:rsid w:val="00B974EA"/>
    <w:rsid w:val="00BA024E"/>
    <w:rsid w:val="00BA1229"/>
    <w:rsid w:val="00BA4F79"/>
    <w:rsid w:val="00BA571D"/>
    <w:rsid w:val="00BA5F7E"/>
    <w:rsid w:val="00BA7C5C"/>
    <w:rsid w:val="00BB1374"/>
    <w:rsid w:val="00BB48CA"/>
    <w:rsid w:val="00BB5B50"/>
    <w:rsid w:val="00BC2DCA"/>
    <w:rsid w:val="00BC584C"/>
    <w:rsid w:val="00BC67D4"/>
    <w:rsid w:val="00BD46C5"/>
    <w:rsid w:val="00BE0EEF"/>
    <w:rsid w:val="00BE1EC7"/>
    <w:rsid w:val="00BE266E"/>
    <w:rsid w:val="00BE3CB3"/>
    <w:rsid w:val="00BF1137"/>
    <w:rsid w:val="00BF604E"/>
    <w:rsid w:val="00BF6434"/>
    <w:rsid w:val="00C012CC"/>
    <w:rsid w:val="00C0142E"/>
    <w:rsid w:val="00C02643"/>
    <w:rsid w:val="00C02CB4"/>
    <w:rsid w:val="00C04A72"/>
    <w:rsid w:val="00C06E84"/>
    <w:rsid w:val="00C114D0"/>
    <w:rsid w:val="00C11CBB"/>
    <w:rsid w:val="00C122BF"/>
    <w:rsid w:val="00C16128"/>
    <w:rsid w:val="00C23E8E"/>
    <w:rsid w:val="00C32743"/>
    <w:rsid w:val="00C32EA7"/>
    <w:rsid w:val="00C33A87"/>
    <w:rsid w:val="00C34315"/>
    <w:rsid w:val="00C34A7F"/>
    <w:rsid w:val="00C469BD"/>
    <w:rsid w:val="00C46C58"/>
    <w:rsid w:val="00C53C9D"/>
    <w:rsid w:val="00C55B08"/>
    <w:rsid w:val="00C5601A"/>
    <w:rsid w:val="00C637E5"/>
    <w:rsid w:val="00C638B0"/>
    <w:rsid w:val="00C66D51"/>
    <w:rsid w:val="00C70CCF"/>
    <w:rsid w:val="00C729C8"/>
    <w:rsid w:val="00C75103"/>
    <w:rsid w:val="00C77713"/>
    <w:rsid w:val="00C81491"/>
    <w:rsid w:val="00C83BB0"/>
    <w:rsid w:val="00C8652E"/>
    <w:rsid w:val="00C9656D"/>
    <w:rsid w:val="00C97135"/>
    <w:rsid w:val="00CA1742"/>
    <w:rsid w:val="00CA4E3D"/>
    <w:rsid w:val="00CA4F9B"/>
    <w:rsid w:val="00CA7F6B"/>
    <w:rsid w:val="00CB3304"/>
    <w:rsid w:val="00CB382A"/>
    <w:rsid w:val="00CB3FB8"/>
    <w:rsid w:val="00CB6F08"/>
    <w:rsid w:val="00CB7C32"/>
    <w:rsid w:val="00CB7D25"/>
    <w:rsid w:val="00CC2EF9"/>
    <w:rsid w:val="00CC4013"/>
    <w:rsid w:val="00CC7432"/>
    <w:rsid w:val="00CD08A0"/>
    <w:rsid w:val="00CD337B"/>
    <w:rsid w:val="00CD4452"/>
    <w:rsid w:val="00CD7044"/>
    <w:rsid w:val="00CE0426"/>
    <w:rsid w:val="00CE16F4"/>
    <w:rsid w:val="00CE2E21"/>
    <w:rsid w:val="00CE7B2B"/>
    <w:rsid w:val="00CF10C4"/>
    <w:rsid w:val="00CF2AEC"/>
    <w:rsid w:val="00D00C6C"/>
    <w:rsid w:val="00D02A41"/>
    <w:rsid w:val="00D04327"/>
    <w:rsid w:val="00D06932"/>
    <w:rsid w:val="00D07C14"/>
    <w:rsid w:val="00D1278A"/>
    <w:rsid w:val="00D146E7"/>
    <w:rsid w:val="00D20BD0"/>
    <w:rsid w:val="00D23721"/>
    <w:rsid w:val="00D24BF2"/>
    <w:rsid w:val="00D26827"/>
    <w:rsid w:val="00D26A8F"/>
    <w:rsid w:val="00D31A22"/>
    <w:rsid w:val="00D34E56"/>
    <w:rsid w:val="00D433CB"/>
    <w:rsid w:val="00D43C31"/>
    <w:rsid w:val="00D449FC"/>
    <w:rsid w:val="00D46CE8"/>
    <w:rsid w:val="00D53427"/>
    <w:rsid w:val="00D56B8F"/>
    <w:rsid w:val="00D57D16"/>
    <w:rsid w:val="00D61000"/>
    <w:rsid w:val="00D63879"/>
    <w:rsid w:val="00D64D59"/>
    <w:rsid w:val="00D70494"/>
    <w:rsid w:val="00D76C6F"/>
    <w:rsid w:val="00D82B44"/>
    <w:rsid w:val="00D83064"/>
    <w:rsid w:val="00D855AC"/>
    <w:rsid w:val="00D97D02"/>
    <w:rsid w:val="00DA1A52"/>
    <w:rsid w:val="00DA471C"/>
    <w:rsid w:val="00DB01B1"/>
    <w:rsid w:val="00DB08C2"/>
    <w:rsid w:val="00DB0903"/>
    <w:rsid w:val="00DB147C"/>
    <w:rsid w:val="00DB19E0"/>
    <w:rsid w:val="00DB654C"/>
    <w:rsid w:val="00DD0B6F"/>
    <w:rsid w:val="00DD2236"/>
    <w:rsid w:val="00DD2CC6"/>
    <w:rsid w:val="00DD3ED8"/>
    <w:rsid w:val="00DD544E"/>
    <w:rsid w:val="00DD56F1"/>
    <w:rsid w:val="00DD64F8"/>
    <w:rsid w:val="00DE1DE2"/>
    <w:rsid w:val="00DE2A97"/>
    <w:rsid w:val="00DE3D3A"/>
    <w:rsid w:val="00DF2E0E"/>
    <w:rsid w:val="00DF4802"/>
    <w:rsid w:val="00E0121F"/>
    <w:rsid w:val="00E0307C"/>
    <w:rsid w:val="00E03082"/>
    <w:rsid w:val="00E04B3F"/>
    <w:rsid w:val="00E104AB"/>
    <w:rsid w:val="00E1726F"/>
    <w:rsid w:val="00E17FFA"/>
    <w:rsid w:val="00E2187F"/>
    <w:rsid w:val="00E27349"/>
    <w:rsid w:val="00E34340"/>
    <w:rsid w:val="00E3638B"/>
    <w:rsid w:val="00E375F1"/>
    <w:rsid w:val="00E40E22"/>
    <w:rsid w:val="00E43466"/>
    <w:rsid w:val="00E465AC"/>
    <w:rsid w:val="00E520C3"/>
    <w:rsid w:val="00E548DA"/>
    <w:rsid w:val="00E66AB7"/>
    <w:rsid w:val="00E66FCE"/>
    <w:rsid w:val="00E67544"/>
    <w:rsid w:val="00E67B49"/>
    <w:rsid w:val="00E7047D"/>
    <w:rsid w:val="00E72191"/>
    <w:rsid w:val="00E7331A"/>
    <w:rsid w:val="00E74CDD"/>
    <w:rsid w:val="00E75AC4"/>
    <w:rsid w:val="00E76B24"/>
    <w:rsid w:val="00E772C8"/>
    <w:rsid w:val="00E7795E"/>
    <w:rsid w:val="00E8152F"/>
    <w:rsid w:val="00E81C10"/>
    <w:rsid w:val="00E81D41"/>
    <w:rsid w:val="00E8463C"/>
    <w:rsid w:val="00E87B19"/>
    <w:rsid w:val="00E92488"/>
    <w:rsid w:val="00E94DA3"/>
    <w:rsid w:val="00E97087"/>
    <w:rsid w:val="00E971BC"/>
    <w:rsid w:val="00EA0AE9"/>
    <w:rsid w:val="00EA22A1"/>
    <w:rsid w:val="00EA365B"/>
    <w:rsid w:val="00EA5119"/>
    <w:rsid w:val="00EB4C44"/>
    <w:rsid w:val="00EB5E7C"/>
    <w:rsid w:val="00EB6BEA"/>
    <w:rsid w:val="00EC7DD0"/>
    <w:rsid w:val="00ED27AB"/>
    <w:rsid w:val="00ED30CE"/>
    <w:rsid w:val="00ED32BE"/>
    <w:rsid w:val="00EE0DBF"/>
    <w:rsid w:val="00EE2D0D"/>
    <w:rsid w:val="00EE4C64"/>
    <w:rsid w:val="00EE5EF3"/>
    <w:rsid w:val="00EE6803"/>
    <w:rsid w:val="00EF234A"/>
    <w:rsid w:val="00EF2562"/>
    <w:rsid w:val="00EF442B"/>
    <w:rsid w:val="00EF546C"/>
    <w:rsid w:val="00EF590B"/>
    <w:rsid w:val="00EF7962"/>
    <w:rsid w:val="00F00B69"/>
    <w:rsid w:val="00F0192D"/>
    <w:rsid w:val="00F1056E"/>
    <w:rsid w:val="00F120A3"/>
    <w:rsid w:val="00F12B2B"/>
    <w:rsid w:val="00F147E2"/>
    <w:rsid w:val="00F14961"/>
    <w:rsid w:val="00F202D1"/>
    <w:rsid w:val="00F251D6"/>
    <w:rsid w:val="00F265FD"/>
    <w:rsid w:val="00F34765"/>
    <w:rsid w:val="00F41757"/>
    <w:rsid w:val="00F43980"/>
    <w:rsid w:val="00F5074D"/>
    <w:rsid w:val="00F535F6"/>
    <w:rsid w:val="00F544B0"/>
    <w:rsid w:val="00F57023"/>
    <w:rsid w:val="00F57797"/>
    <w:rsid w:val="00F60125"/>
    <w:rsid w:val="00F61888"/>
    <w:rsid w:val="00F6250C"/>
    <w:rsid w:val="00F6297A"/>
    <w:rsid w:val="00F65FF9"/>
    <w:rsid w:val="00F71269"/>
    <w:rsid w:val="00F71B5A"/>
    <w:rsid w:val="00F71D11"/>
    <w:rsid w:val="00F740EC"/>
    <w:rsid w:val="00F77E06"/>
    <w:rsid w:val="00F80224"/>
    <w:rsid w:val="00F83B05"/>
    <w:rsid w:val="00F84FE9"/>
    <w:rsid w:val="00F879E7"/>
    <w:rsid w:val="00F90869"/>
    <w:rsid w:val="00F91115"/>
    <w:rsid w:val="00F91687"/>
    <w:rsid w:val="00F91F1B"/>
    <w:rsid w:val="00F9299C"/>
    <w:rsid w:val="00F96E50"/>
    <w:rsid w:val="00FA0DA4"/>
    <w:rsid w:val="00FB3039"/>
    <w:rsid w:val="00FB7C9D"/>
    <w:rsid w:val="00FB7FB7"/>
    <w:rsid w:val="00FC03D8"/>
    <w:rsid w:val="00FC0CF4"/>
    <w:rsid w:val="00FC1221"/>
    <w:rsid w:val="00FC5108"/>
    <w:rsid w:val="00FD27AA"/>
    <w:rsid w:val="00FD607F"/>
    <w:rsid w:val="00FD7D41"/>
    <w:rsid w:val="00FE2B7F"/>
    <w:rsid w:val="00FE39E6"/>
    <w:rsid w:val="00FE3F88"/>
    <w:rsid w:val="00FE59C8"/>
    <w:rsid w:val="00FE7395"/>
    <w:rsid w:val="00FE7B47"/>
    <w:rsid w:val="00FF1B7B"/>
    <w:rsid w:val="00FF1D76"/>
    <w:rsid w:val="00FF24C5"/>
    <w:rsid w:val="00FF2B90"/>
    <w:rsid w:val="00FF5DB1"/>
    <w:rsid w:val="015023CD"/>
    <w:rsid w:val="015858EF"/>
    <w:rsid w:val="015D713C"/>
    <w:rsid w:val="0181492A"/>
    <w:rsid w:val="01903C15"/>
    <w:rsid w:val="022817AE"/>
    <w:rsid w:val="02384157"/>
    <w:rsid w:val="024456EE"/>
    <w:rsid w:val="02A23B6F"/>
    <w:rsid w:val="037278FC"/>
    <w:rsid w:val="049B5A28"/>
    <w:rsid w:val="04C47A57"/>
    <w:rsid w:val="04EF41BB"/>
    <w:rsid w:val="050C52FF"/>
    <w:rsid w:val="055F10A3"/>
    <w:rsid w:val="05AA0E55"/>
    <w:rsid w:val="05D900BD"/>
    <w:rsid w:val="06174FBB"/>
    <w:rsid w:val="065E7144"/>
    <w:rsid w:val="06A01A84"/>
    <w:rsid w:val="071D237E"/>
    <w:rsid w:val="08220D93"/>
    <w:rsid w:val="09B85329"/>
    <w:rsid w:val="0A5A35DC"/>
    <w:rsid w:val="0A6C106C"/>
    <w:rsid w:val="0AA23FBA"/>
    <w:rsid w:val="0D087432"/>
    <w:rsid w:val="0D3B5373"/>
    <w:rsid w:val="0DF74023"/>
    <w:rsid w:val="0E374FDF"/>
    <w:rsid w:val="10311EA9"/>
    <w:rsid w:val="10340F65"/>
    <w:rsid w:val="10384ACE"/>
    <w:rsid w:val="11103A89"/>
    <w:rsid w:val="12A726FF"/>
    <w:rsid w:val="12D46E96"/>
    <w:rsid w:val="12E25188"/>
    <w:rsid w:val="131D2050"/>
    <w:rsid w:val="135347FA"/>
    <w:rsid w:val="13EA45CF"/>
    <w:rsid w:val="140D1BF3"/>
    <w:rsid w:val="152C5205"/>
    <w:rsid w:val="15E163E2"/>
    <w:rsid w:val="15E52BD5"/>
    <w:rsid w:val="16027543"/>
    <w:rsid w:val="16BE6DA6"/>
    <w:rsid w:val="16E006D4"/>
    <w:rsid w:val="171862E3"/>
    <w:rsid w:val="17221AFB"/>
    <w:rsid w:val="17E804D4"/>
    <w:rsid w:val="187716F9"/>
    <w:rsid w:val="18BB515D"/>
    <w:rsid w:val="18DF185F"/>
    <w:rsid w:val="19335C96"/>
    <w:rsid w:val="19436D69"/>
    <w:rsid w:val="19A33CBB"/>
    <w:rsid w:val="1A1C1CD3"/>
    <w:rsid w:val="1A793F29"/>
    <w:rsid w:val="1AE909BB"/>
    <w:rsid w:val="1BAD110F"/>
    <w:rsid w:val="1C2E09A2"/>
    <w:rsid w:val="1C4B1565"/>
    <w:rsid w:val="1C710FF7"/>
    <w:rsid w:val="1CD22E47"/>
    <w:rsid w:val="1E1F3328"/>
    <w:rsid w:val="1E8C4CD4"/>
    <w:rsid w:val="1EAA2A71"/>
    <w:rsid w:val="1EDB16E0"/>
    <w:rsid w:val="2041519E"/>
    <w:rsid w:val="20815AB7"/>
    <w:rsid w:val="21474FB4"/>
    <w:rsid w:val="2173059D"/>
    <w:rsid w:val="21FA4440"/>
    <w:rsid w:val="233617D9"/>
    <w:rsid w:val="2387076B"/>
    <w:rsid w:val="23D535BB"/>
    <w:rsid w:val="24D86464"/>
    <w:rsid w:val="25294FD6"/>
    <w:rsid w:val="25375A7A"/>
    <w:rsid w:val="26242207"/>
    <w:rsid w:val="2642329B"/>
    <w:rsid w:val="2702167B"/>
    <w:rsid w:val="27025D0D"/>
    <w:rsid w:val="27304DD9"/>
    <w:rsid w:val="275E4361"/>
    <w:rsid w:val="287025D2"/>
    <w:rsid w:val="28B471D7"/>
    <w:rsid w:val="28BE379F"/>
    <w:rsid w:val="2922508C"/>
    <w:rsid w:val="29300AEE"/>
    <w:rsid w:val="2B5F1D2F"/>
    <w:rsid w:val="2BAB2769"/>
    <w:rsid w:val="2BE24458"/>
    <w:rsid w:val="2C250F05"/>
    <w:rsid w:val="2C302F59"/>
    <w:rsid w:val="2C570023"/>
    <w:rsid w:val="2C5E6B07"/>
    <w:rsid w:val="2D1521E9"/>
    <w:rsid w:val="2D80595C"/>
    <w:rsid w:val="2EA75DF2"/>
    <w:rsid w:val="2FC86DC8"/>
    <w:rsid w:val="2FDF58EE"/>
    <w:rsid w:val="30705B78"/>
    <w:rsid w:val="30CE6814"/>
    <w:rsid w:val="3106218C"/>
    <w:rsid w:val="31477EB6"/>
    <w:rsid w:val="32090B31"/>
    <w:rsid w:val="32633643"/>
    <w:rsid w:val="32C81081"/>
    <w:rsid w:val="331315F3"/>
    <w:rsid w:val="331A7256"/>
    <w:rsid w:val="337B5DAD"/>
    <w:rsid w:val="33AC27A6"/>
    <w:rsid w:val="34386CF6"/>
    <w:rsid w:val="343B7EC3"/>
    <w:rsid w:val="34792D9F"/>
    <w:rsid w:val="34C35EE1"/>
    <w:rsid w:val="34E604DB"/>
    <w:rsid w:val="35047FF3"/>
    <w:rsid w:val="3525330A"/>
    <w:rsid w:val="355256AE"/>
    <w:rsid w:val="364C4BB9"/>
    <w:rsid w:val="36DA1678"/>
    <w:rsid w:val="37AE5EDE"/>
    <w:rsid w:val="37F01421"/>
    <w:rsid w:val="385900E0"/>
    <w:rsid w:val="38C91961"/>
    <w:rsid w:val="3A3E58B6"/>
    <w:rsid w:val="3A7F23BF"/>
    <w:rsid w:val="3AF26850"/>
    <w:rsid w:val="3B2443A6"/>
    <w:rsid w:val="3BD27476"/>
    <w:rsid w:val="3D5035A7"/>
    <w:rsid w:val="3D6900F5"/>
    <w:rsid w:val="3D74192E"/>
    <w:rsid w:val="3DCB52FE"/>
    <w:rsid w:val="3DCF6CF8"/>
    <w:rsid w:val="3E8902A9"/>
    <w:rsid w:val="3EBC53AD"/>
    <w:rsid w:val="3F416BE8"/>
    <w:rsid w:val="3F8F048A"/>
    <w:rsid w:val="3FF969F0"/>
    <w:rsid w:val="403A3DD8"/>
    <w:rsid w:val="40EF7BA9"/>
    <w:rsid w:val="42253125"/>
    <w:rsid w:val="42477E66"/>
    <w:rsid w:val="433E5309"/>
    <w:rsid w:val="43E9623A"/>
    <w:rsid w:val="441762CA"/>
    <w:rsid w:val="44DE02D0"/>
    <w:rsid w:val="451B4436"/>
    <w:rsid w:val="453408BF"/>
    <w:rsid w:val="454E6613"/>
    <w:rsid w:val="457B18DE"/>
    <w:rsid w:val="45B4433D"/>
    <w:rsid w:val="46077EBF"/>
    <w:rsid w:val="461715B8"/>
    <w:rsid w:val="46951B3E"/>
    <w:rsid w:val="479F6F48"/>
    <w:rsid w:val="48482608"/>
    <w:rsid w:val="48602148"/>
    <w:rsid w:val="4AD6433B"/>
    <w:rsid w:val="4AF71369"/>
    <w:rsid w:val="4B5E3BC7"/>
    <w:rsid w:val="4B9F10B3"/>
    <w:rsid w:val="4BCA0FEF"/>
    <w:rsid w:val="4BD56B1B"/>
    <w:rsid w:val="4C332878"/>
    <w:rsid w:val="4DCE68FB"/>
    <w:rsid w:val="4DF213D0"/>
    <w:rsid w:val="4E9C50A1"/>
    <w:rsid w:val="4F5E4389"/>
    <w:rsid w:val="504578D1"/>
    <w:rsid w:val="50A9237F"/>
    <w:rsid w:val="50B45020"/>
    <w:rsid w:val="514F0B5A"/>
    <w:rsid w:val="517526AC"/>
    <w:rsid w:val="51CF1987"/>
    <w:rsid w:val="51D66A15"/>
    <w:rsid w:val="5242201B"/>
    <w:rsid w:val="52C069D9"/>
    <w:rsid w:val="538A19DB"/>
    <w:rsid w:val="54727906"/>
    <w:rsid w:val="54AD4A26"/>
    <w:rsid w:val="55112726"/>
    <w:rsid w:val="55125510"/>
    <w:rsid w:val="551A67C2"/>
    <w:rsid w:val="56396F68"/>
    <w:rsid w:val="5651263F"/>
    <w:rsid w:val="56E95D1D"/>
    <w:rsid w:val="57EB2207"/>
    <w:rsid w:val="587D593F"/>
    <w:rsid w:val="588A4C2C"/>
    <w:rsid w:val="58C45339"/>
    <w:rsid w:val="59BD4BDE"/>
    <w:rsid w:val="59FB2061"/>
    <w:rsid w:val="5A2F5AB0"/>
    <w:rsid w:val="5ABF539F"/>
    <w:rsid w:val="5AED28B2"/>
    <w:rsid w:val="5AF230EB"/>
    <w:rsid w:val="5B0A2439"/>
    <w:rsid w:val="5B4C62DA"/>
    <w:rsid w:val="5B7810C8"/>
    <w:rsid w:val="5BAA7836"/>
    <w:rsid w:val="5D8447AE"/>
    <w:rsid w:val="5DF4585D"/>
    <w:rsid w:val="5EB70125"/>
    <w:rsid w:val="5EC52FC9"/>
    <w:rsid w:val="5EEA221A"/>
    <w:rsid w:val="5F3458AD"/>
    <w:rsid w:val="5F570441"/>
    <w:rsid w:val="5F703E2B"/>
    <w:rsid w:val="5FC044C0"/>
    <w:rsid w:val="5FD23D0A"/>
    <w:rsid w:val="60783D4F"/>
    <w:rsid w:val="61A07666"/>
    <w:rsid w:val="61A21151"/>
    <w:rsid w:val="62535615"/>
    <w:rsid w:val="62545C7B"/>
    <w:rsid w:val="62910F9B"/>
    <w:rsid w:val="62FA68DD"/>
    <w:rsid w:val="638C5389"/>
    <w:rsid w:val="63B86DBC"/>
    <w:rsid w:val="64A27E5F"/>
    <w:rsid w:val="64B21DDD"/>
    <w:rsid w:val="64FA394E"/>
    <w:rsid w:val="655B4AED"/>
    <w:rsid w:val="65F54E57"/>
    <w:rsid w:val="66FC4031"/>
    <w:rsid w:val="67316CD1"/>
    <w:rsid w:val="673778AA"/>
    <w:rsid w:val="67CB36EB"/>
    <w:rsid w:val="685A4714"/>
    <w:rsid w:val="68663C56"/>
    <w:rsid w:val="68EC782C"/>
    <w:rsid w:val="69F564F9"/>
    <w:rsid w:val="6B3B5024"/>
    <w:rsid w:val="6B9A1180"/>
    <w:rsid w:val="6BAB6A35"/>
    <w:rsid w:val="6BC4627E"/>
    <w:rsid w:val="6CBB0EDA"/>
    <w:rsid w:val="6DAA74EA"/>
    <w:rsid w:val="6E1C381D"/>
    <w:rsid w:val="6E7A7132"/>
    <w:rsid w:val="70A10993"/>
    <w:rsid w:val="71070E12"/>
    <w:rsid w:val="71AF2A8F"/>
    <w:rsid w:val="71BD69B2"/>
    <w:rsid w:val="7224166F"/>
    <w:rsid w:val="72693742"/>
    <w:rsid w:val="72814054"/>
    <w:rsid w:val="72D62F55"/>
    <w:rsid w:val="737E1840"/>
    <w:rsid w:val="73AF3BBF"/>
    <w:rsid w:val="73B534B1"/>
    <w:rsid w:val="74331D2E"/>
    <w:rsid w:val="74454BA2"/>
    <w:rsid w:val="745B4DAE"/>
    <w:rsid w:val="74C2095B"/>
    <w:rsid w:val="750C7126"/>
    <w:rsid w:val="766E7928"/>
    <w:rsid w:val="76A91502"/>
    <w:rsid w:val="77451DD0"/>
    <w:rsid w:val="77A01CD5"/>
    <w:rsid w:val="77B8797A"/>
    <w:rsid w:val="780F15C1"/>
    <w:rsid w:val="7896502F"/>
    <w:rsid w:val="795735A5"/>
    <w:rsid w:val="7AA715D3"/>
    <w:rsid w:val="7B8C425A"/>
    <w:rsid w:val="7C97261B"/>
    <w:rsid w:val="7D0240BF"/>
    <w:rsid w:val="7D714B9B"/>
    <w:rsid w:val="7D8402BA"/>
    <w:rsid w:val="7D8947BA"/>
    <w:rsid w:val="7DF50F66"/>
    <w:rsid w:val="7DFC45F7"/>
    <w:rsid w:val="7EF13D46"/>
    <w:rsid w:val="7F1537E1"/>
    <w:rsid w:val="7F780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1"/>
      <w:lang w:val="en-US" w:eastAsia="zh-CN" w:bidi="ar-SA"/>
    </w:rPr>
  </w:style>
  <w:style w:type="paragraph" w:styleId="3">
    <w:name w:val="heading 1"/>
    <w:basedOn w:val="4"/>
    <w:next w:val="5"/>
    <w:link w:val="57"/>
    <w:qFormat/>
    <w:uiPriority w:val="0"/>
    <w:pPr>
      <w:keepNext/>
      <w:keepLines/>
      <w:spacing w:after="120" w:line="360" w:lineRule="auto"/>
      <w:outlineLvl w:val="0"/>
    </w:pPr>
    <w:rPr>
      <w:rFonts w:ascii="仿宋_GB2312" w:hAnsi="宋体" w:eastAsia="仿宋_GB2312" w:cs="宋体"/>
      <w:bCs/>
      <w:sz w:val="30"/>
      <w:szCs w:val="30"/>
    </w:rPr>
  </w:style>
  <w:style w:type="paragraph" w:styleId="7">
    <w:name w:val="heading 2"/>
    <w:basedOn w:val="1"/>
    <w:next w:val="8"/>
    <w:link w:val="48"/>
    <w:qFormat/>
    <w:uiPriority w:val="0"/>
    <w:pPr>
      <w:keepNext/>
      <w:keepLines/>
      <w:spacing w:before="120" w:after="120"/>
      <w:jc w:val="center"/>
      <w:outlineLvl w:val="1"/>
    </w:pPr>
    <w:rPr>
      <w:b/>
      <w:sz w:val="36"/>
      <w:szCs w:val="36"/>
    </w:rPr>
  </w:style>
  <w:style w:type="paragraph" w:styleId="9">
    <w:name w:val="heading 3"/>
    <w:basedOn w:val="1"/>
    <w:next w:val="8"/>
    <w:qFormat/>
    <w:uiPriority w:val="0"/>
    <w:pPr>
      <w:keepNext/>
      <w:keepLines/>
      <w:spacing w:before="120" w:beforeLines="50" w:line="360" w:lineRule="auto"/>
      <w:jc w:val="center"/>
      <w:outlineLvl w:val="2"/>
    </w:pPr>
    <w:rPr>
      <w:rFonts w:ascii="楷体_GB2312" w:hAnsi="宋体" w:cs="宋体"/>
      <w:b/>
      <w:sz w:val="32"/>
      <w:szCs w:val="32"/>
    </w:rPr>
  </w:style>
  <w:style w:type="paragraph" w:styleId="10">
    <w:name w:val="heading 4"/>
    <w:basedOn w:val="9"/>
    <w:next w:val="8"/>
    <w:qFormat/>
    <w:uiPriority w:val="0"/>
    <w:pPr>
      <w:numPr>
        <w:ilvl w:val="3"/>
        <w:numId w:val="1"/>
      </w:numPr>
      <w:ind w:left="3124"/>
      <w:outlineLvl w:val="3"/>
    </w:pPr>
    <w:rPr>
      <w:rFonts w:ascii="Arial" w:hAnsi="Arial" w:cs="Times New Roman"/>
      <w:b w:val="0"/>
    </w:rPr>
  </w:style>
  <w:style w:type="paragraph" w:styleId="11">
    <w:name w:val="heading 5"/>
    <w:basedOn w:val="10"/>
    <w:next w:val="8"/>
    <w:qFormat/>
    <w:uiPriority w:val="0"/>
    <w:pPr>
      <w:numPr>
        <w:ilvl w:val="4"/>
      </w:numPr>
      <w:spacing w:line="240" w:lineRule="exact"/>
      <w:ind w:left="3124"/>
      <w:outlineLvl w:val="4"/>
    </w:pPr>
  </w:style>
  <w:style w:type="paragraph" w:styleId="12">
    <w:name w:val="heading 6"/>
    <w:basedOn w:val="1"/>
    <w:next w:val="1"/>
    <w:qFormat/>
    <w:uiPriority w:val="0"/>
    <w:pPr>
      <w:keepNext/>
      <w:keepLines/>
      <w:numPr>
        <w:ilvl w:val="5"/>
        <w:numId w:val="2"/>
      </w:numPr>
      <w:spacing w:before="240" w:after="64" w:line="312" w:lineRule="auto"/>
      <w:outlineLvl w:val="5"/>
    </w:pPr>
    <w:rPr>
      <w:rFonts w:ascii="Arial" w:hAnsi="Arial" w:eastAsia="黑体"/>
      <w:b/>
      <w:bCs/>
      <w:sz w:val="24"/>
      <w:szCs w:val="24"/>
    </w:rPr>
  </w:style>
  <w:style w:type="paragraph" w:styleId="13">
    <w:name w:val="heading 7"/>
    <w:basedOn w:val="1"/>
    <w:next w:val="8"/>
    <w:qFormat/>
    <w:uiPriority w:val="0"/>
    <w:pPr>
      <w:keepNext/>
      <w:keepLines/>
      <w:numPr>
        <w:ilvl w:val="6"/>
        <w:numId w:val="1"/>
      </w:numPr>
      <w:spacing w:before="240" w:after="64" w:line="312" w:lineRule="auto"/>
      <w:outlineLvl w:val="6"/>
    </w:pPr>
    <w:rPr>
      <w:b/>
      <w:sz w:val="24"/>
    </w:rPr>
  </w:style>
  <w:style w:type="paragraph" w:styleId="14">
    <w:name w:val="heading 8"/>
    <w:basedOn w:val="1"/>
    <w:next w:val="8"/>
    <w:qFormat/>
    <w:uiPriority w:val="0"/>
    <w:pPr>
      <w:keepNext/>
      <w:keepLines/>
      <w:numPr>
        <w:ilvl w:val="7"/>
        <w:numId w:val="1"/>
      </w:numPr>
      <w:spacing w:before="240" w:after="64" w:line="312" w:lineRule="auto"/>
      <w:outlineLvl w:val="7"/>
    </w:pPr>
    <w:rPr>
      <w:rFonts w:ascii="Arial" w:hAnsi="Arial" w:eastAsia="黑体"/>
      <w:sz w:val="24"/>
    </w:rPr>
  </w:style>
  <w:style w:type="paragraph" w:styleId="15">
    <w:name w:val="heading 9"/>
    <w:basedOn w:val="1"/>
    <w:next w:val="8"/>
    <w:qFormat/>
    <w:uiPriority w:val="0"/>
    <w:pPr>
      <w:keepNext/>
      <w:keepLines/>
      <w:numPr>
        <w:ilvl w:val="8"/>
        <w:numId w:val="1"/>
      </w:numPr>
      <w:spacing w:before="240" w:after="64" w:line="312" w:lineRule="auto"/>
      <w:outlineLvl w:val="8"/>
    </w:pPr>
    <w:rPr>
      <w:rFonts w:ascii="Arial" w:hAnsi="Arial" w:eastAsia="黑体"/>
    </w:rPr>
  </w:style>
  <w:style w:type="character" w:default="1" w:styleId="33">
    <w:name w:val="Default Paragraph Font"/>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样式 宋体 行距: 1.5 倍行距"/>
    <w:basedOn w:val="1"/>
    <w:qFormat/>
    <w:uiPriority w:val="0"/>
    <w:pPr>
      <w:jc w:val="center"/>
    </w:pPr>
    <w:rPr>
      <w:b/>
    </w:rPr>
  </w:style>
  <w:style w:type="paragraph" w:styleId="4">
    <w:name w:val="Title"/>
    <w:basedOn w:val="1"/>
    <w:link w:val="52"/>
    <w:qFormat/>
    <w:uiPriority w:val="0"/>
    <w:pPr>
      <w:spacing w:before="120" w:after="60"/>
      <w:jc w:val="center"/>
    </w:pPr>
    <w:rPr>
      <w:rFonts w:ascii="Arial" w:hAnsi="Arial"/>
      <w:b/>
      <w:sz w:val="44"/>
    </w:rPr>
  </w:style>
  <w:style w:type="paragraph" w:styleId="5">
    <w:name w:val="Body Text First Indent"/>
    <w:basedOn w:val="6"/>
    <w:link w:val="53"/>
    <w:qFormat/>
    <w:uiPriority w:val="0"/>
    <w:pPr>
      <w:ind w:firstLine="420"/>
    </w:pPr>
  </w:style>
  <w:style w:type="paragraph" w:styleId="6">
    <w:name w:val="Body Text"/>
    <w:basedOn w:val="1"/>
    <w:qFormat/>
    <w:uiPriority w:val="0"/>
    <w:pPr>
      <w:spacing w:after="120"/>
    </w:pPr>
  </w:style>
  <w:style w:type="paragraph" w:styleId="8">
    <w:name w:val="Normal Indent"/>
    <w:basedOn w:val="1"/>
    <w:qFormat/>
    <w:uiPriority w:val="0"/>
    <w:pPr>
      <w:ind w:firstLine="420"/>
    </w:pPr>
  </w:style>
  <w:style w:type="paragraph" w:styleId="16">
    <w:name w:val="Document Map"/>
    <w:basedOn w:val="1"/>
    <w:semiHidden/>
    <w:qFormat/>
    <w:uiPriority w:val="0"/>
    <w:pPr>
      <w:shd w:val="clear" w:color="auto" w:fill="000080"/>
    </w:pPr>
  </w:style>
  <w:style w:type="paragraph" w:styleId="17">
    <w:name w:val="annotation text"/>
    <w:basedOn w:val="1"/>
    <w:semiHidden/>
    <w:qFormat/>
    <w:uiPriority w:val="0"/>
    <w:pPr>
      <w:jc w:val="left"/>
    </w:pPr>
  </w:style>
  <w:style w:type="paragraph" w:styleId="18">
    <w:name w:val="toc 3"/>
    <w:basedOn w:val="1"/>
    <w:next w:val="1"/>
    <w:unhideWhenUsed/>
    <w:qFormat/>
    <w:uiPriority w:val="39"/>
    <w:pPr>
      <w:widowControl/>
      <w:spacing w:after="100" w:line="276" w:lineRule="auto"/>
      <w:ind w:left="440"/>
      <w:jc w:val="left"/>
    </w:pPr>
    <w:rPr>
      <w:rFonts w:ascii="Calibri" w:hAnsi="Calibri" w:eastAsia="宋体"/>
      <w:kern w:val="0"/>
      <w:sz w:val="22"/>
      <w:szCs w:val="22"/>
    </w:rPr>
  </w:style>
  <w:style w:type="paragraph" w:styleId="19">
    <w:name w:val="Plain Text"/>
    <w:basedOn w:val="1"/>
    <w:link w:val="49"/>
    <w:qFormat/>
    <w:uiPriority w:val="0"/>
    <w:rPr>
      <w:rFonts w:ascii="宋体" w:hAnsi="Courier New"/>
      <w:szCs w:val="24"/>
    </w:rPr>
  </w:style>
  <w:style w:type="paragraph" w:styleId="20">
    <w:name w:val="toc 8"/>
    <w:basedOn w:val="1"/>
    <w:next w:val="1"/>
    <w:qFormat/>
    <w:uiPriority w:val="0"/>
    <w:pPr>
      <w:ind w:left="2940" w:leftChars="1400"/>
    </w:pPr>
    <w:rPr>
      <w:rFonts w:eastAsia="宋体"/>
      <w:szCs w:val="24"/>
    </w:rPr>
  </w:style>
  <w:style w:type="paragraph" w:styleId="21">
    <w:name w:val="Date"/>
    <w:basedOn w:val="1"/>
    <w:next w:val="1"/>
    <w:link w:val="50"/>
    <w:qFormat/>
    <w:uiPriority w:val="0"/>
  </w:style>
  <w:style w:type="paragraph" w:styleId="22">
    <w:name w:val="endnote text"/>
    <w:basedOn w:val="1"/>
    <w:link w:val="47"/>
    <w:semiHidden/>
    <w:qFormat/>
    <w:uiPriority w:val="0"/>
    <w:pPr>
      <w:snapToGrid w:val="0"/>
      <w:jc w:val="left"/>
    </w:pPr>
    <w:rPr>
      <w:rFonts w:ascii="宋体" w:hAnsi="宋体" w:eastAsia="宋体"/>
      <w:szCs w:val="24"/>
    </w:rPr>
  </w:style>
  <w:style w:type="paragraph" w:styleId="23">
    <w:name w:val="Balloon Text"/>
    <w:basedOn w:val="1"/>
    <w:semiHidden/>
    <w:qFormat/>
    <w:uiPriority w:val="0"/>
    <w:rPr>
      <w:sz w:val="18"/>
      <w:szCs w:val="18"/>
    </w:r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39"/>
    <w:pPr>
      <w:tabs>
        <w:tab w:val="right" w:leader="dot" w:pos="8493"/>
      </w:tabs>
      <w:adjustRightInd w:val="0"/>
      <w:spacing w:line="360" w:lineRule="auto"/>
      <w:jc w:val="left"/>
    </w:pPr>
    <w:rPr>
      <w:rFonts w:ascii="宋体" w:hAnsi="宋体"/>
      <w:b/>
      <w:caps/>
      <w:kern w:val="0"/>
      <w:sz w:val="24"/>
      <w:szCs w:val="32"/>
    </w:rPr>
  </w:style>
  <w:style w:type="paragraph" w:styleId="27">
    <w:name w:val="Body Text Indent 3"/>
    <w:basedOn w:val="1"/>
    <w:qFormat/>
    <w:uiPriority w:val="0"/>
    <w:pPr>
      <w:spacing w:after="120"/>
      <w:ind w:left="420" w:leftChars="200"/>
    </w:pPr>
    <w:rPr>
      <w:rFonts w:eastAsia="宋体"/>
      <w:sz w:val="16"/>
      <w:szCs w:val="16"/>
    </w:rPr>
  </w:style>
  <w:style w:type="paragraph" w:styleId="28">
    <w:name w:val="toc 2"/>
    <w:basedOn w:val="1"/>
    <w:next w:val="1"/>
    <w:qFormat/>
    <w:uiPriority w:val="39"/>
    <w:pPr>
      <w:tabs>
        <w:tab w:val="right" w:leader="dot" w:pos="9060"/>
      </w:tabs>
      <w:snapToGrid w:val="0"/>
      <w:spacing w:line="360" w:lineRule="auto"/>
      <w:jc w:val="left"/>
    </w:pPr>
    <w:rPr>
      <w:sz w:val="24"/>
      <w:szCs w:val="24"/>
    </w:rPr>
  </w:style>
  <w:style w:type="paragraph" w:styleId="29">
    <w:name w:val="Body Text 2"/>
    <w:basedOn w:val="1"/>
    <w:qFormat/>
    <w:uiPriority w:val="0"/>
    <w:rPr>
      <w:rFonts w:ascii="宋体" w:hAnsi="宋体"/>
      <w:szCs w:val="24"/>
      <w:u w:val="single"/>
    </w:rPr>
  </w:style>
  <w:style w:type="paragraph" w:styleId="30">
    <w:name w:val="index 1"/>
    <w:basedOn w:val="1"/>
    <w:next w:val="1"/>
    <w:semiHidden/>
    <w:qFormat/>
    <w:uiPriority w:val="0"/>
    <w:rPr>
      <w:szCs w:val="24"/>
    </w:rPr>
  </w:style>
  <w:style w:type="paragraph" w:styleId="31">
    <w:name w:val="annotation subject"/>
    <w:basedOn w:val="17"/>
    <w:next w:val="17"/>
    <w:semiHidden/>
    <w:qFormat/>
    <w:uiPriority w:val="0"/>
    <w:rPr>
      <w:b/>
      <w:bCs/>
    </w:rPr>
  </w:style>
  <w:style w:type="character" w:styleId="34">
    <w:name w:val="Strong"/>
    <w:qFormat/>
    <w:uiPriority w:val="0"/>
    <w:rPr>
      <w:rFonts w:eastAsia="宋体"/>
      <w:b/>
      <w:bCs/>
      <w:kern w:val="2"/>
      <w:sz w:val="24"/>
      <w:szCs w:val="24"/>
      <w:lang w:val="en-US" w:eastAsia="zh-CN" w:bidi="ar-SA"/>
    </w:rPr>
  </w:style>
  <w:style w:type="character" w:styleId="35">
    <w:name w:val="endnote reference"/>
    <w:semiHidden/>
    <w:qFormat/>
    <w:uiPriority w:val="0"/>
    <w:rPr>
      <w:rFonts w:eastAsia="宋体"/>
      <w:kern w:val="2"/>
      <w:sz w:val="24"/>
      <w:szCs w:val="24"/>
      <w:vertAlign w:val="superscript"/>
      <w:lang w:val="en-US" w:eastAsia="zh-CN" w:bidi="ar-SA"/>
    </w:rPr>
  </w:style>
  <w:style w:type="character" w:styleId="36">
    <w:name w:val="page number"/>
    <w:qFormat/>
    <w:uiPriority w:val="0"/>
    <w:rPr>
      <w:rFonts w:eastAsia="宋体"/>
      <w:kern w:val="2"/>
      <w:sz w:val="24"/>
      <w:szCs w:val="24"/>
      <w:lang w:val="en-US" w:eastAsia="zh-CN" w:bidi="ar-SA"/>
    </w:rPr>
  </w:style>
  <w:style w:type="character" w:styleId="37">
    <w:name w:val="FollowedHyperlink"/>
    <w:qFormat/>
    <w:uiPriority w:val="0"/>
    <w:rPr>
      <w:color w:val="000000"/>
      <w:u w:val="none"/>
    </w:rPr>
  </w:style>
  <w:style w:type="character" w:styleId="38">
    <w:name w:val="Hyperlink"/>
    <w:qFormat/>
    <w:uiPriority w:val="99"/>
    <w:rPr>
      <w:rFonts w:eastAsia="宋体"/>
      <w:color w:val="0000FF"/>
      <w:kern w:val="2"/>
      <w:sz w:val="24"/>
      <w:szCs w:val="24"/>
      <w:u w:val="single"/>
      <w:lang w:val="en-US" w:eastAsia="zh-CN" w:bidi="ar-SA"/>
    </w:rPr>
  </w:style>
  <w:style w:type="character" w:styleId="39">
    <w:name w:val="annotation reference"/>
    <w:semiHidden/>
    <w:qFormat/>
    <w:uiPriority w:val="0"/>
    <w:rPr>
      <w:sz w:val="21"/>
      <w:szCs w:val="21"/>
    </w:rPr>
  </w:style>
  <w:style w:type="paragraph" w:customStyle="1" w:styleId="4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41">
    <w:name w:val="Char Char Char Char"/>
    <w:basedOn w:val="1"/>
    <w:qFormat/>
    <w:uiPriority w:val="0"/>
    <w:rPr>
      <w:rFonts w:eastAsia="宋体"/>
      <w:sz w:val="30"/>
      <w:szCs w:val="24"/>
    </w:rPr>
  </w:style>
  <w:style w:type="paragraph" w:customStyle="1" w:styleId="42">
    <w:name w:val="公文标题"/>
    <w:basedOn w:val="9"/>
    <w:qFormat/>
    <w:uiPriority w:val="0"/>
    <w:pPr>
      <w:spacing w:before="260" w:beforeLines="0" w:after="260" w:line="240" w:lineRule="auto"/>
      <w:ind w:left="1469" w:right="1542"/>
    </w:pPr>
    <w:rPr>
      <w:rFonts w:ascii="Times New Roman" w:hAnsi="Times New Roman" w:eastAsia="宋体" w:cs="Times New Roman"/>
      <w:sz w:val="44"/>
      <w:szCs w:val="24"/>
    </w:rPr>
  </w:style>
  <w:style w:type="paragraph" w:customStyle="1" w:styleId="43">
    <w:name w:val="_Style 41"/>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44">
    <w:name w:val="文一"/>
    <w:basedOn w:val="1"/>
    <w:link w:val="58"/>
    <w:qFormat/>
    <w:uiPriority w:val="0"/>
    <w:pPr>
      <w:topLinePunct/>
      <w:adjustRightInd w:val="0"/>
      <w:snapToGrid w:val="0"/>
      <w:spacing w:line="360" w:lineRule="auto"/>
      <w:ind w:firstLine="200" w:firstLineChars="200"/>
    </w:pPr>
    <w:rPr>
      <w:rFonts w:eastAsia="宋体"/>
      <w:snapToGrid w:val="0"/>
      <w:spacing w:val="4"/>
      <w:kern w:val="0"/>
      <w:sz w:val="24"/>
      <w:szCs w:val="24"/>
    </w:rPr>
  </w:style>
  <w:style w:type="paragraph" w:customStyle="1" w:styleId="45">
    <w:name w:val="发文落款"/>
    <w:basedOn w:val="40"/>
    <w:qFormat/>
    <w:uiPriority w:val="0"/>
    <w:pPr>
      <w:ind w:left="4094" w:right="607" w:firstLine="0"/>
      <w:jc w:val="center"/>
    </w:pPr>
  </w:style>
  <w:style w:type="paragraph" w:customStyle="1" w:styleId="46">
    <w:name w:val="样式2"/>
    <w:basedOn w:val="1"/>
    <w:qFormat/>
    <w:uiPriority w:val="0"/>
    <w:pPr>
      <w:adjustRightInd w:val="0"/>
      <w:spacing w:before="120" w:after="120" w:line="312" w:lineRule="atLeast"/>
      <w:jc w:val="center"/>
      <w:textAlignment w:val="baseline"/>
    </w:pPr>
    <w:rPr>
      <w:rFonts w:eastAsia="宋体"/>
      <w:kern w:val="0"/>
      <w:sz w:val="24"/>
    </w:rPr>
  </w:style>
  <w:style w:type="character" w:customStyle="1" w:styleId="47">
    <w:name w:val="尾注文本 字符"/>
    <w:link w:val="22"/>
    <w:qFormat/>
    <w:locked/>
    <w:uiPriority w:val="0"/>
    <w:rPr>
      <w:rFonts w:ascii="宋体" w:hAnsi="宋体" w:eastAsia="宋体"/>
      <w:kern w:val="2"/>
      <w:sz w:val="21"/>
      <w:szCs w:val="24"/>
      <w:lang w:val="en-US" w:eastAsia="zh-CN" w:bidi="ar-SA"/>
    </w:rPr>
  </w:style>
  <w:style w:type="character" w:customStyle="1" w:styleId="48">
    <w:name w:val="标题 2 字符"/>
    <w:link w:val="7"/>
    <w:qFormat/>
    <w:uiPriority w:val="0"/>
    <w:rPr>
      <w:rFonts w:eastAsia="楷体_GB2312"/>
      <w:b/>
      <w:kern w:val="2"/>
      <w:sz w:val="36"/>
      <w:szCs w:val="36"/>
    </w:rPr>
  </w:style>
  <w:style w:type="character" w:customStyle="1" w:styleId="49">
    <w:name w:val="纯文本 字符"/>
    <w:link w:val="19"/>
    <w:qFormat/>
    <w:locked/>
    <w:uiPriority w:val="0"/>
    <w:rPr>
      <w:rFonts w:ascii="宋体" w:hAnsi="Courier New" w:eastAsia="楷体_GB2312"/>
      <w:kern w:val="2"/>
      <w:sz w:val="21"/>
      <w:szCs w:val="24"/>
      <w:lang w:val="en-US" w:eastAsia="zh-CN" w:bidi="ar-SA"/>
    </w:rPr>
  </w:style>
  <w:style w:type="character" w:customStyle="1" w:styleId="50">
    <w:name w:val="日期 字符"/>
    <w:link w:val="21"/>
    <w:qFormat/>
    <w:uiPriority w:val="0"/>
    <w:rPr>
      <w:rFonts w:eastAsia="楷体_GB2312"/>
      <w:kern w:val="2"/>
      <w:sz w:val="21"/>
    </w:rPr>
  </w:style>
  <w:style w:type="character" w:customStyle="1" w:styleId="51">
    <w:name w:val="hover"/>
    <w:basedOn w:val="33"/>
    <w:qFormat/>
    <w:uiPriority w:val="0"/>
  </w:style>
  <w:style w:type="character" w:customStyle="1" w:styleId="52">
    <w:name w:val="标题 字符"/>
    <w:link w:val="4"/>
    <w:qFormat/>
    <w:locked/>
    <w:uiPriority w:val="0"/>
    <w:rPr>
      <w:rFonts w:ascii="Arial" w:hAnsi="Arial" w:eastAsia="楷体_GB2312"/>
      <w:b/>
      <w:kern w:val="2"/>
      <w:sz w:val="44"/>
      <w:lang w:val="en-US" w:eastAsia="zh-CN" w:bidi="ar-SA"/>
    </w:rPr>
  </w:style>
  <w:style w:type="character" w:customStyle="1" w:styleId="53">
    <w:name w:val="正文文本首行缩进 字符"/>
    <w:link w:val="5"/>
    <w:qFormat/>
    <w:uiPriority w:val="0"/>
    <w:rPr>
      <w:rFonts w:eastAsia="楷体_GB2312"/>
      <w:kern w:val="2"/>
      <w:sz w:val="21"/>
    </w:rPr>
  </w:style>
  <w:style w:type="character" w:customStyle="1" w:styleId="54">
    <w:name w:val="hover35"/>
    <w:basedOn w:val="33"/>
    <w:qFormat/>
    <w:uiPriority w:val="0"/>
  </w:style>
  <w:style w:type="character" w:customStyle="1" w:styleId="55">
    <w:name w:val="hover36"/>
    <w:basedOn w:val="33"/>
    <w:qFormat/>
    <w:uiPriority w:val="0"/>
  </w:style>
  <w:style w:type="character" w:customStyle="1" w:styleId="56">
    <w:name w:val="Char Char6"/>
    <w:semiHidden/>
    <w:qFormat/>
    <w:locked/>
    <w:uiPriority w:val="0"/>
    <w:rPr>
      <w:rFonts w:ascii="Times New Roman" w:hAnsi="Times New Roman" w:eastAsia="宋体" w:cs="Times New Roman"/>
      <w:b/>
      <w:bCs/>
      <w:sz w:val="28"/>
      <w:szCs w:val="28"/>
    </w:rPr>
  </w:style>
  <w:style w:type="character" w:customStyle="1" w:styleId="57">
    <w:name w:val="标题 1 字符"/>
    <w:link w:val="3"/>
    <w:qFormat/>
    <w:locked/>
    <w:uiPriority w:val="0"/>
    <w:rPr>
      <w:rFonts w:ascii="仿宋_GB2312" w:hAnsi="宋体" w:eastAsia="仿宋_GB2312" w:cs="宋体"/>
      <w:b/>
      <w:bCs/>
      <w:kern w:val="2"/>
      <w:sz w:val="30"/>
      <w:szCs w:val="30"/>
      <w:lang w:val="en-US" w:eastAsia="zh-CN" w:bidi="ar-SA"/>
    </w:rPr>
  </w:style>
  <w:style w:type="character" w:customStyle="1" w:styleId="58">
    <w:name w:val="文一 Char"/>
    <w:link w:val="44"/>
    <w:qFormat/>
    <w:uiPriority w:val="0"/>
    <w:rPr>
      <w:rFonts w:eastAsia="宋体"/>
      <w:snapToGrid w:val="0"/>
      <w:spacing w:val="4"/>
      <w:sz w:val="24"/>
      <w:szCs w:val="24"/>
      <w:lang w:bidi="ar-SA"/>
    </w:rPr>
  </w:style>
  <w:style w:type="character" w:customStyle="1" w:styleId="59">
    <w:name w:val="font41"/>
    <w:qFormat/>
    <w:uiPriority w:val="0"/>
    <w:rPr>
      <w:rFonts w:hint="eastAsia" w:ascii="宋体" w:hAnsi="宋体" w:eastAsia="宋体" w:cs="宋体"/>
      <w:b/>
      <w:color w:val="000000"/>
      <w:sz w:val="24"/>
      <w:szCs w:val="24"/>
      <w:u w:val="none"/>
    </w:rPr>
  </w:style>
  <w:style w:type="character" w:customStyle="1" w:styleId="60">
    <w:name w:val="font31"/>
    <w:qFormat/>
    <w:uiPriority w:val="0"/>
    <w:rPr>
      <w:rFonts w:hint="eastAsia" w:ascii="宋体" w:hAnsi="宋体" w:eastAsia="宋体" w:cs="宋体"/>
      <w:color w:val="000000"/>
      <w:sz w:val="24"/>
      <w:szCs w:val="24"/>
      <w:u w:val="none"/>
    </w:rPr>
  </w:style>
  <w:style w:type="character" w:customStyle="1" w:styleId="61">
    <w:name w:val="font21"/>
    <w:qFormat/>
    <w:uiPriority w:val="0"/>
    <w:rPr>
      <w:rFonts w:hint="default" w:ascii="Times New Roman" w:hAnsi="Times New Roman" w:cs="Times New Roman"/>
      <w:color w:val="000000"/>
      <w:sz w:val="24"/>
      <w:szCs w:val="24"/>
      <w:u w:val="none"/>
    </w:rPr>
  </w:style>
  <w:style w:type="character" w:customStyle="1" w:styleId="62">
    <w:name w:val="font11"/>
    <w:qFormat/>
    <w:uiPriority w:val="0"/>
    <w:rPr>
      <w:rFonts w:hint="eastAsia" w:ascii="宋体" w:hAnsi="宋体" w:eastAsia="宋体" w:cs="宋体"/>
      <w:b/>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36121-4BCC-4BB7-9DBA-DAD9FC52A8CD}">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2279</Words>
  <Characters>12995</Characters>
  <Lines>108</Lines>
  <Paragraphs>30</Paragraphs>
  <TotalTime>4</TotalTime>
  <ScaleCrop>false</ScaleCrop>
  <LinksUpToDate>false</LinksUpToDate>
  <CharactersWithSpaces>15244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2022-08-17T11:29:00Z</dcterms:created>
  <dc:creator>Administrator</dc:creator>
  <cp:lastModifiedBy>Administrator</cp:lastModifiedBy>
  <cp:lastPrinted>2017-02-22T02:51:00Z</cp:lastPrinted>
  <dcterms:modified xsi:type="dcterms:W3CDTF">2023-01-12T08:09:20Z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B25E35222DB94010B3AA096B4F921772</vt:lpwstr>
  </property>
</Properties>
</file>