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b/>
          <w:color w:val="auto"/>
          <w:sz w:val="48"/>
          <w:szCs w:val="52"/>
          <w:highlight w:val="none"/>
        </w:rPr>
      </w:pPr>
    </w:p>
    <w:p>
      <w:pPr>
        <w:pStyle w:val="18"/>
        <w:ind w:firstLine="0"/>
        <w:rPr>
          <w:rFonts w:ascii="宋体" w:hAnsi="宋体"/>
          <w:b/>
          <w:color w:val="auto"/>
          <w:sz w:val="48"/>
          <w:szCs w:val="52"/>
          <w:highlight w:val="none"/>
        </w:rPr>
      </w:pPr>
    </w:p>
    <w:p>
      <w:pPr>
        <w:pStyle w:val="18"/>
        <w:rPr>
          <w:rFonts w:ascii="宋体" w:hAnsi="宋体"/>
          <w:b/>
          <w:color w:val="auto"/>
          <w:sz w:val="48"/>
          <w:szCs w:val="52"/>
          <w:highlight w:val="none"/>
        </w:rPr>
      </w:pPr>
    </w:p>
    <w:p>
      <w:pPr>
        <w:spacing w:line="300" w:lineRule="auto"/>
        <w:jc w:val="center"/>
        <w:rPr>
          <w:rFonts w:hint="eastAsia" w:ascii="宋体" w:hAnsi="宋体"/>
          <w:color w:val="auto"/>
          <w:sz w:val="32"/>
          <w:highlight w:val="none"/>
          <w:u w:val="single"/>
        </w:rPr>
      </w:pPr>
      <w:r>
        <w:rPr>
          <w:rFonts w:hint="eastAsia" w:ascii="宋体" w:hAnsi="宋体"/>
          <w:b/>
          <w:color w:val="auto"/>
          <w:sz w:val="52"/>
          <w:szCs w:val="52"/>
          <w:highlight w:val="none"/>
        </w:rPr>
        <w:t>东南西环三滘立交市政化改造工程（一期）施工</w:t>
      </w:r>
    </w:p>
    <w:p>
      <w:pPr>
        <w:spacing w:line="300" w:lineRule="auto"/>
        <w:jc w:val="center"/>
        <w:rPr>
          <w:rFonts w:ascii="宋体" w:hAnsi="宋体"/>
          <w:color w:val="auto"/>
          <w:sz w:val="36"/>
          <w:highlight w:val="none"/>
          <w:u w:val="single"/>
        </w:rPr>
      </w:pPr>
    </w:p>
    <w:p>
      <w:pPr>
        <w:spacing w:line="300" w:lineRule="auto"/>
        <w:rPr>
          <w:rFonts w:ascii="宋体" w:hAnsi="宋体"/>
          <w:color w:val="auto"/>
          <w:sz w:val="36"/>
          <w:highlight w:val="none"/>
          <w:u w:val="single"/>
        </w:rPr>
      </w:pPr>
    </w:p>
    <w:p>
      <w:pPr>
        <w:spacing w:line="300" w:lineRule="auto"/>
        <w:jc w:val="center"/>
        <w:rPr>
          <w:rFonts w:ascii="宋体" w:hAnsi="宋体"/>
          <w:color w:val="auto"/>
          <w:sz w:val="36"/>
          <w:highlight w:val="none"/>
          <w:u w:val="single"/>
        </w:rPr>
      </w:pPr>
    </w:p>
    <w:p>
      <w:pPr>
        <w:spacing w:line="300" w:lineRule="auto"/>
        <w:jc w:val="center"/>
        <w:rPr>
          <w:rFonts w:ascii="宋体" w:hAnsi="宋体"/>
          <w:color w:val="auto"/>
          <w:sz w:val="36"/>
          <w:highlight w:val="none"/>
          <w:u w:val="single"/>
        </w:rPr>
      </w:pPr>
    </w:p>
    <w:p>
      <w:pPr>
        <w:spacing w:line="300" w:lineRule="auto"/>
        <w:jc w:val="center"/>
        <w:rPr>
          <w:rFonts w:hint="eastAsia" w:ascii="宋体" w:hAnsi="宋体"/>
          <w:b/>
          <w:bCs/>
          <w:color w:val="auto"/>
          <w:spacing w:val="26"/>
          <w:sz w:val="96"/>
          <w:szCs w:val="110"/>
          <w:highlight w:val="none"/>
          <w14:shadow w14:blurRad="50800" w14:dist="38100" w14:dir="2700000" w14:sx="100000" w14:sy="100000" w14:kx="0" w14:ky="0" w14:algn="tl">
            <w14:srgbClr w14:val="000000">
              <w14:alpha w14:val="60000"/>
            </w14:srgbClr>
          </w14:shadow>
        </w:rPr>
      </w:pPr>
      <w:r>
        <w:rPr>
          <w:rFonts w:hint="eastAsia" w:ascii="宋体" w:hAnsi="宋体"/>
          <w:b/>
          <w:bCs/>
          <w:color w:val="auto"/>
          <w:spacing w:val="26"/>
          <w:sz w:val="96"/>
          <w:szCs w:val="110"/>
          <w:highlight w:val="none"/>
          <w14:shadow w14:blurRad="50800" w14:dist="38100" w14:dir="2700000" w14:sx="100000" w14:sy="100000" w14:kx="0" w14:ky="0" w14:algn="tl">
            <w14:srgbClr w14:val="000000">
              <w14:alpha w14:val="60000"/>
            </w14:srgbClr>
          </w14:shadow>
        </w:rPr>
        <w:t>招标文件</w:t>
      </w: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00" w:lineRule="auto"/>
        <w:rPr>
          <w:rFonts w:ascii="宋体" w:hAnsi="宋体"/>
          <w:color w:val="auto"/>
          <w:sz w:val="52"/>
          <w:highlight w:val="none"/>
        </w:rPr>
      </w:pPr>
    </w:p>
    <w:p>
      <w:pPr>
        <w:spacing w:line="300" w:lineRule="auto"/>
        <w:rPr>
          <w:rFonts w:ascii="宋体" w:hAnsi="宋体"/>
          <w:color w:val="auto"/>
          <w:sz w:val="52"/>
          <w:highlight w:val="none"/>
        </w:rPr>
      </w:pPr>
    </w:p>
    <w:p>
      <w:pPr>
        <w:spacing w:line="300" w:lineRule="auto"/>
        <w:ind w:firstLine="1200" w:firstLineChars="400"/>
        <w:rPr>
          <w:rFonts w:hint="eastAsia" w:ascii="宋体" w:hAnsi="宋体"/>
          <w:color w:val="auto"/>
          <w:sz w:val="30"/>
          <w:szCs w:val="30"/>
          <w:highlight w:val="none"/>
        </w:rPr>
      </w:pPr>
      <w:r>
        <w:rPr>
          <w:rFonts w:hint="eastAsia" w:ascii="宋体" w:hAnsi="宋体"/>
          <w:color w:val="auto"/>
          <w:sz w:val="30"/>
          <w:szCs w:val="30"/>
          <w:highlight w:val="none"/>
        </w:rPr>
        <w:t>招  标 单 位：广州交投城市道路建设有限公司</w:t>
      </w:r>
    </w:p>
    <w:p>
      <w:pPr>
        <w:spacing w:line="300" w:lineRule="auto"/>
        <w:ind w:firstLine="1200" w:firstLineChars="400"/>
        <w:rPr>
          <w:rFonts w:hint="eastAsia" w:ascii="宋体" w:hAnsi="宋体"/>
          <w:color w:val="auto"/>
          <w:sz w:val="30"/>
          <w:szCs w:val="30"/>
          <w:highlight w:val="none"/>
        </w:rPr>
      </w:pPr>
      <w:r>
        <w:rPr>
          <w:rFonts w:hint="eastAsia" w:ascii="宋体" w:hAnsi="宋体"/>
          <w:color w:val="auto"/>
          <w:sz w:val="30"/>
          <w:szCs w:val="30"/>
          <w:highlight w:val="none"/>
        </w:rPr>
        <w:t>招标代理单位：广东粤信项目管理有限公司</w:t>
      </w:r>
    </w:p>
    <w:p>
      <w:pPr>
        <w:pStyle w:val="12"/>
        <w:ind w:firstLine="1200" w:firstLineChars="400"/>
        <w:rPr>
          <w:rFonts w:hint="eastAsia" w:hAnsi="宋体" w:cs="宋体"/>
          <w:color w:val="auto"/>
          <w:highlight w:val="none"/>
        </w:rPr>
      </w:pPr>
      <w:r>
        <w:rPr>
          <w:rFonts w:hint="eastAsia" w:hAnsi="宋体"/>
          <w:color w:val="auto"/>
          <w:sz w:val="30"/>
          <w:szCs w:val="30"/>
          <w:highlight w:val="none"/>
        </w:rPr>
        <w:t>日        期：2024年</w:t>
      </w:r>
      <w:r>
        <w:rPr>
          <w:rFonts w:hint="eastAsia" w:hAnsi="宋体"/>
          <w:color w:val="auto"/>
          <w:sz w:val="30"/>
          <w:szCs w:val="30"/>
          <w:highlight w:val="none"/>
          <w:lang w:val="en-US" w:eastAsia="zh-CN"/>
        </w:rPr>
        <w:t>2</w:t>
      </w:r>
      <w:r>
        <w:rPr>
          <w:rFonts w:hint="eastAsia" w:hAnsi="宋体"/>
          <w:color w:val="auto"/>
          <w:sz w:val="30"/>
          <w:szCs w:val="30"/>
          <w:highlight w:val="none"/>
        </w:rPr>
        <w:t>月</w:t>
      </w:r>
    </w:p>
    <w:p>
      <w:pPr>
        <w:pStyle w:val="12"/>
        <w:rPr>
          <w:rFonts w:hint="eastAsia" w:hAnsi="宋体" w:cs="宋体"/>
          <w:color w:val="auto"/>
          <w:highlight w:val="none"/>
        </w:rPr>
      </w:pPr>
    </w:p>
    <w:p>
      <w:pPr>
        <w:jc w:val="center"/>
        <w:rPr>
          <w:rStyle w:val="23"/>
          <w:rFonts w:hint="eastAsia" w:ascii="宋体" w:hAnsi="宋体" w:cs="宋体"/>
          <w:b/>
          <w:bCs/>
          <w:color w:val="auto"/>
          <w:highlight w:val="none"/>
        </w:rPr>
      </w:pPr>
    </w:p>
    <w:p>
      <w:pPr>
        <w:jc w:val="center"/>
        <w:rPr>
          <w:rStyle w:val="23"/>
          <w:rFonts w:hint="eastAsia" w:ascii="宋体" w:hAnsi="宋体" w:cs="宋体"/>
          <w:b/>
          <w:bCs/>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304" w:bottom="1134" w:left="1304" w:header="851" w:footer="567" w:gutter="0"/>
          <w:cols w:space="720" w:num="1"/>
          <w:titlePg/>
          <w:docGrid w:type="lines" w:linePitch="312" w:charSpace="0"/>
        </w:sectPr>
      </w:pPr>
    </w:p>
    <w:p>
      <w:pPr>
        <w:jc w:val="center"/>
        <w:rPr>
          <w:rFonts w:hint="eastAsia" w:ascii="宋体" w:hAnsi="宋体" w:cs="宋体"/>
          <w:caps/>
          <w:color w:val="auto"/>
          <w:kern w:val="0"/>
          <w:highlight w:val="none"/>
        </w:rPr>
      </w:pPr>
      <w:r>
        <w:rPr>
          <w:rStyle w:val="23"/>
          <w:rFonts w:hint="eastAsia" w:ascii="宋体" w:hAnsi="宋体" w:cs="宋体"/>
          <w:color w:val="auto"/>
          <w:sz w:val="28"/>
          <w:szCs w:val="28"/>
          <w:highlight w:val="none"/>
          <w:u w:val="none"/>
        </w:rPr>
        <w:t>目  录</w:t>
      </w:r>
    </w:p>
    <w:p>
      <w:pPr>
        <w:jc w:val="center"/>
        <w:rPr>
          <w:rStyle w:val="23"/>
          <w:rFonts w:hint="eastAsia" w:ascii="宋体" w:hAnsi="宋体" w:cs="宋体"/>
          <w:b/>
          <w:bCs/>
          <w:color w:val="auto"/>
          <w:sz w:val="28"/>
          <w:szCs w:val="28"/>
          <w:highlight w:val="none"/>
        </w:rPr>
      </w:pPr>
    </w:p>
    <w:p>
      <w:pPr>
        <w:pStyle w:val="16"/>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rFonts w:hint="eastAsia" w:cs="宋体"/>
          <w:color w:val="auto"/>
          <w:highlight w:val="none"/>
        </w:rPr>
        <w:fldChar w:fldCharType="begin"/>
      </w:r>
      <w:r>
        <w:rPr>
          <w:rFonts w:hint="eastAsia" w:cs="宋体"/>
          <w:color w:val="auto"/>
          <w:highlight w:val="none"/>
        </w:rPr>
        <w:instrText xml:space="preserve"> HYPERLINK \l _Toc31898 </w:instrText>
      </w:r>
      <w:r>
        <w:rPr>
          <w:rFonts w:hint="eastAsia" w:cs="宋体"/>
          <w:color w:val="auto"/>
          <w:highlight w:val="none"/>
        </w:rPr>
        <w:fldChar w:fldCharType="separate"/>
      </w:r>
      <w:r>
        <w:rPr>
          <w:rFonts w:hint="eastAsia" w:cs="宋体"/>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_Toc31898 \h </w:instrText>
      </w:r>
      <w:r>
        <w:rPr>
          <w:color w:val="auto"/>
          <w:highlight w:val="none"/>
        </w:rPr>
        <w:fldChar w:fldCharType="separate"/>
      </w:r>
      <w:r>
        <w:rPr>
          <w:color w:val="auto"/>
          <w:highlight w:val="none"/>
        </w:rPr>
        <w:t>2</w:t>
      </w:r>
      <w:r>
        <w:rPr>
          <w:color w:val="auto"/>
          <w:highlight w:val="none"/>
        </w:rPr>
        <w:fldChar w:fldCharType="end"/>
      </w:r>
      <w:r>
        <w:rPr>
          <w:rFonts w:hint="eastAsia" w:cs="宋体"/>
          <w:color w:val="auto"/>
          <w:highlight w:val="none"/>
        </w:rPr>
        <w:fldChar w:fldCharType="end"/>
      </w:r>
    </w:p>
    <w:p>
      <w:pPr>
        <w:pStyle w:val="17"/>
        <w:tabs>
          <w:tab w:val="right" w:leader="dot" w:pos="9298"/>
          <w:tab w:val="clear" w:pos="9060"/>
        </w:tabs>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_Toc16373 </w:instrText>
      </w:r>
      <w:r>
        <w:rPr>
          <w:rFonts w:hint="eastAsia" w:ascii="宋体" w:hAnsi="宋体" w:cs="宋体"/>
          <w:color w:val="auto"/>
          <w:highlight w:val="none"/>
        </w:rPr>
        <w:fldChar w:fldCharType="separate"/>
      </w:r>
      <w:r>
        <w:rPr>
          <w:rFonts w:hint="eastAsia" w:ascii="宋体" w:hAnsi="宋体" w:cs="宋体"/>
          <w:color w:val="auto"/>
          <w:highlight w:val="none"/>
        </w:rPr>
        <w:t>一、投标须知前附表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_Toc16373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hint="eastAsia" w:ascii="宋体" w:hAnsi="宋体" w:cs="宋体"/>
          <w:color w:val="auto"/>
          <w:highlight w:val="none"/>
        </w:rPr>
        <w:fldChar w:fldCharType="end"/>
      </w:r>
    </w:p>
    <w:p>
      <w:pPr>
        <w:pStyle w:val="17"/>
        <w:tabs>
          <w:tab w:val="right" w:leader="dot" w:pos="9298"/>
          <w:tab w:val="clear" w:pos="9060"/>
        </w:tabs>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_Toc31199 </w:instrText>
      </w:r>
      <w:r>
        <w:rPr>
          <w:rFonts w:hint="eastAsia" w:ascii="宋体" w:hAnsi="宋体" w:cs="宋体"/>
          <w:color w:val="auto"/>
          <w:highlight w:val="none"/>
        </w:rPr>
        <w:fldChar w:fldCharType="separate"/>
      </w:r>
      <w:r>
        <w:rPr>
          <w:rFonts w:hint="eastAsia" w:ascii="宋体" w:hAnsi="宋体" w:cs="宋体"/>
          <w:color w:val="auto"/>
          <w:highlight w:val="none"/>
        </w:rPr>
        <w:t>二、投标须知修改表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_Toc31199 \h </w:instrText>
      </w:r>
      <w:r>
        <w:rPr>
          <w:rFonts w:ascii="宋体" w:hAnsi="宋体"/>
          <w:color w:val="auto"/>
          <w:highlight w:val="none"/>
        </w:rPr>
        <w:fldChar w:fldCharType="separate"/>
      </w:r>
      <w:r>
        <w:rPr>
          <w:rFonts w:ascii="宋体" w:hAnsi="宋体"/>
          <w:color w:val="auto"/>
          <w:highlight w:val="none"/>
        </w:rPr>
        <w:t>8</w:t>
      </w:r>
      <w:r>
        <w:rPr>
          <w:rFonts w:ascii="宋体" w:hAnsi="宋体"/>
          <w:color w:val="auto"/>
          <w:highlight w:val="none"/>
        </w:rPr>
        <w:fldChar w:fldCharType="end"/>
      </w:r>
      <w:r>
        <w:rPr>
          <w:rFonts w:hint="eastAsia" w:ascii="宋体" w:hAnsi="宋体" w:cs="宋体"/>
          <w:color w:val="auto"/>
          <w:highlight w:val="none"/>
        </w:rPr>
        <w:fldChar w:fldCharType="end"/>
      </w:r>
    </w:p>
    <w:p>
      <w:pPr>
        <w:pStyle w:val="17"/>
        <w:tabs>
          <w:tab w:val="right" w:leader="dot" w:pos="9298"/>
          <w:tab w:val="clear" w:pos="9060"/>
        </w:tabs>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_Toc14950 </w:instrText>
      </w:r>
      <w:r>
        <w:rPr>
          <w:rFonts w:hint="eastAsia" w:ascii="宋体" w:hAnsi="宋体" w:cs="宋体"/>
          <w:color w:val="auto"/>
          <w:highlight w:val="none"/>
        </w:rPr>
        <w:fldChar w:fldCharType="separate"/>
      </w:r>
      <w:r>
        <w:rPr>
          <w:rFonts w:ascii="宋体" w:hAnsi="宋体"/>
          <w:color w:val="auto"/>
          <w:highlight w:val="none"/>
        </w:rPr>
        <w:t>三、投标须知通用条款</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_Toc14950 \h </w:instrText>
      </w:r>
      <w:r>
        <w:rPr>
          <w:rFonts w:ascii="宋体" w:hAnsi="宋体"/>
          <w:color w:val="auto"/>
          <w:highlight w:val="none"/>
        </w:rPr>
        <w:fldChar w:fldCharType="separate"/>
      </w:r>
      <w:r>
        <w:rPr>
          <w:rFonts w:ascii="宋体" w:hAnsi="宋体"/>
          <w:color w:val="auto"/>
          <w:highlight w:val="none"/>
        </w:rPr>
        <w:t>19</w:t>
      </w:r>
      <w:r>
        <w:rPr>
          <w:rFonts w:ascii="宋体" w:hAnsi="宋体"/>
          <w:color w:val="auto"/>
          <w:highlight w:val="none"/>
        </w:rPr>
        <w:fldChar w:fldCharType="end"/>
      </w:r>
      <w:r>
        <w:rPr>
          <w:rFonts w:hint="eastAsia" w:ascii="宋体" w:hAnsi="宋体" w:cs="宋体"/>
          <w:color w:val="auto"/>
          <w:highlight w:val="none"/>
        </w:rPr>
        <w:fldChar w:fldCharType="end"/>
      </w:r>
    </w:p>
    <w:p>
      <w:pPr>
        <w:pStyle w:val="11"/>
        <w:tabs>
          <w:tab w:val="right" w:leader="dot" w:pos="9298"/>
        </w:tabs>
        <w:ind w:left="840"/>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_Toc32624 </w:instrText>
      </w:r>
      <w:r>
        <w:rPr>
          <w:rFonts w:hint="eastAsia" w:ascii="宋体" w:hAnsi="宋体" w:cs="宋体"/>
          <w:color w:val="auto"/>
          <w:highlight w:val="none"/>
        </w:rPr>
        <w:fldChar w:fldCharType="separate"/>
      </w:r>
      <w:r>
        <w:rPr>
          <w:rFonts w:hint="eastAsia" w:ascii="宋体" w:hAnsi="宋体"/>
          <w:bCs/>
          <w:color w:val="auto"/>
          <w:szCs w:val="21"/>
          <w:highlight w:val="none"/>
        </w:rPr>
        <w:t>（一）总则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_Toc32624 \h </w:instrText>
      </w:r>
      <w:r>
        <w:rPr>
          <w:rFonts w:ascii="宋体" w:hAnsi="宋体"/>
          <w:color w:val="auto"/>
          <w:highlight w:val="none"/>
        </w:rPr>
        <w:fldChar w:fldCharType="separate"/>
      </w:r>
      <w:r>
        <w:rPr>
          <w:rFonts w:ascii="宋体" w:hAnsi="宋体"/>
          <w:color w:val="auto"/>
          <w:highlight w:val="none"/>
        </w:rPr>
        <w:t>19</w:t>
      </w:r>
      <w:r>
        <w:rPr>
          <w:rFonts w:ascii="宋体" w:hAnsi="宋体"/>
          <w:color w:val="auto"/>
          <w:highlight w:val="none"/>
        </w:rPr>
        <w:fldChar w:fldCharType="end"/>
      </w:r>
      <w:r>
        <w:rPr>
          <w:rFonts w:hint="eastAsia" w:ascii="宋体" w:hAnsi="宋体" w:cs="宋体"/>
          <w:color w:val="auto"/>
          <w:highlight w:val="none"/>
        </w:rPr>
        <w:fldChar w:fldCharType="end"/>
      </w:r>
    </w:p>
    <w:p>
      <w:pPr>
        <w:pStyle w:val="11"/>
        <w:tabs>
          <w:tab w:val="right" w:leader="dot" w:pos="9298"/>
        </w:tabs>
        <w:ind w:left="840"/>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_Toc26659 </w:instrText>
      </w:r>
      <w:r>
        <w:rPr>
          <w:rFonts w:hint="eastAsia" w:ascii="宋体" w:hAnsi="宋体" w:cs="宋体"/>
          <w:color w:val="auto"/>
          <w:highlight w:val="none"/>
        </w:rPr>
        <w:fldChar w:fldCharType="separate"/>
      </w:r>
      <w:r>
        <w:rPr>
          <w:rFonts w:hint="eastAsia" w:ascii="宋体" w:hAnsi="宋体"/>
          <w:bCs/>
          <w:color w:val="auto"/>
          <w:szCs w:val="21"/>
          <w:highlight w:val="none"/>
        </w:rPr>
        <w:t>（二）招标文件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_Toc26659 \h </w:instrText>
      </w:r>
      <w:r>
        <w:rPr>
          <w:rFonts w:ascii="宋体" w:hAnsi="宋体"/>
          <w:color w:val="auto"/>
          <w:highlight w:val="none"/>
        </w:rPr>
        <w:fldChar w:fldCharType="separate"/>
      </w:r>
      <w:r>
        <w:rPr>
          <w:rFonts w:ascii="宋体" w:hAnsi="宋体"/>
          <w:color w:val="auto"/>
          <w:highlight w:val="none"/>
        </w:rPr>
        <w:t>19</w:t>
      </w:r>
      <w:r>
        <w:rPr>
          <w:rFonts w:ascii="宋体" w:hAnsi="宋体"/>
          <w:color w:val="auto"/>
          <w:highlight w:val="none"/>
        </w:rPr>
        <w:fldChar w:fldCharType="end"/>
      </w:r>
      <w:r>
        <w:rPr>
          <w:rFonts w:hint="eastAsia" w:ascii="宋体" w:hAnsi="宋体" w:cs="宋体"/>
          <w:color w:val="auto"/>
          <w:highlight w:val="none"/>
        </w:rPr>
        <w:fldChar w:fldCharType="end"/>
      </w:r>
    </w:p>
    <w:p>
      <w:pPr>
        <w:pStyle w:val="11"/>
        <w:tabs>
          <w:tab w:val="right" w:leader="dot" w:pos="9298"/>
        </w:tabs>
        <w:ind w:left="840"/>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_Toc25475 </w:instrText>
      </w:r>
      <w:r>
        <w:rPr>
          <w:rFonts w:hint="eastAsia" w:ascii="宋体" w:hAnsi="宋体" w:cs="宋体"/>
          <w:color w:val="auto"/>
          <w:highlight w:val="none"/>
        </w:rPr>
        <w:fldChar w:fldCharType="separate"/>
      </w:r>
      <w:r>
        <w:rPr>
          <w:rFonts w:hint="eastAsia" w:ascii="宋体" w:hAnsi="宋体"/>
          <w:bCs/>
          <w:color w:val="auto"/>
          <w:szCs w:val="21"/>
          <w:highlight w:val="none"/>
        </w:rPr>
        <w:t>（三）投标文件的编制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_Toc25475 \h </w:instrText>
      </w:r>
      <w:r>
        <w:rPr>
          <w:rFonts w:ascii="宋体" w:hAnsi="宋体"/>
          <w:color w:val="auto"/>
          <w:highlight w:val="none"/>
        </w:rPr>
        <w:fldChar w:fldCharType="separate"/>
      </w:r>
      <w:r>
        <w:rPr>
          <w:rFonts w:ascii="宋体" w:hAnsi="宋体"/>
          <w:color w:val="auto"/>
          <w:highlight w:val="none"/>
        </w:rPr>
        <w:t>20</w:t>
      </w:r>
      <w:r>
        <w:rPr>
          <w:rFonts w:ascii="宋体" w:hAnsi="宋体"/>
          <w:color w:val="auto"/>
          <w:highlight w:val="none"/>
        </w:rPr>
        <w:fldChar w:fldCharType="end"/>
      </w:r>
      <w:r>
        <w:rPr>
          <w:rFonts w:hint="eastAsia" w:ascii="宋体" w:hAnsi="宋体" w:cs="宋体"/>
          <w:color w:val="auto"/>
          <w:highlight w:val="none"/>
        </w:rPr>
        <w:fldChar w:fldCharType="end"/>
      </w:r>
    </w:p>
    <w:p>
      <w:pPr>
        <w:pStyle w:val="11"/>
        <w:tabs>
          <w:tab w:val="right" w:leader="dot" w:pos="9298"/>
        </w:tabs>
        <w:ind w:left="840"/>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_Toc31275 </w:instrText>
      </w:r>
      <w:r>
        <w:rPr>
          <w:rFonts w:hint="eastAsia" w:ascii="宋体" w:hAnsi="宋体" w:cs="宋体"/>
          <w:color w:val="auto"/>
          <w:highlight w:val="none"/>
        </w:rPr>
        <w:fldChar w:fldCharType="separate"/>
      </w:r>
      <w:r>
        <w:rPr>
          <w:rFonts w:hint="eastAsia" w:ascii="宋体" w:hAnsi="宋体"/>
          <w:bCs/>
          <w:color w:val="auto"/>
          <w:szCs w:val="21"/>
          <w:highlight w:val="none"/>
        </w:rPr>
        <w:t>（四）投标文件的提交</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_Toc31275 \h </w:instrText>
      </w:r>
      <w:r>
        <w:rPr>
          <w:rFonts w:ascii="宋体" w:hAnsi="宋体"/>
          <w:color w:val="auto"/>
          <w:highlight w:val="none"/>
        </w:rPr>
        <w:fldChar w:fldCharType="separate"/>
      </w:r>
      <w:r>
        <w:rPr>
          <w:rFonts w:ascii="宋体" w:hAnsi="宋体"/>
          <w:color w:val="auto"/>
          <w:highlight w:val="none"/>
        </w:rPr>
        <w:t>25</w:t>
      </w:r>
      <w:r>
        <w:rPr>
          <w:rFonts w:ascii="宋体" w:hAnsi="宋体"/>
          <w:color w:val="auto"/>
          <w:highlight w:val="none"/>
        </w:rPr>
        <w:fldChar w:fldCharType="end"/>
      </w:r>
      <w:r>
        <w:rPr>
          <w:rFonts w:hint="eastAsia" w:ascii="宋体" w:hAnsi="宋体" w:cs="宋体"/>
          <w:color w:val="auto"/>
          <w:highlight w:val="none"/>
        </w:rPr>
        <w:fldChar w:fldCharType="end"/>
      </w:r>
    </w:p>
    <w:p>
      <w:pPr>
        <w:pStyle w:val="11"/>
        <w:tabs>
          <w:tab w:val="right" w:leader="dot" w:pos="9298"/>
        </w:tabs>
        <w:ind w:left="840"/>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_Toc24655 </w:instrText>
      </w:r>
      <w:r>
        <w:rPr>
          <w:rFonts w:hint="eastAsia" w:ascii="宋体" w:hAnsi="宋体" w:cs="宋体"/>
          <w:color w:val="auto"/>
          <w:highlight w:val="none"/>
        </w:rPr>
        <w:fldChar w:fldCharType="separate"/>
      </w:r>
      <w:r>
        <w:rPr>
          <w:rFonts w:hint="eastAsia" w:ascii="宋体" w:hAnsi="宋体"/>
          <w:bCs/>
          <w:color w:val="auto"/>
          <w:szCs w:val="21"/>
          <w:highlight w:val="none"/>
        </w:rPr>
        <w:t>（五）开标、评标、定标及合同签定</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_Toc24655 \h </w:instrText>
      </w:r>
      <w:r>
        <w:rPr>
          <w:rFonts w:ascii="宋体" w:hAnsi="宋体"/>
          <w:color w:val="auto"/>
          <w:highlight w:val="none"/>
        </w:rPr>
        <w:fldChar w:fldCharType="separate"/>
      </w:r>
      <w:r>
        <w:rPr>
          <w:rFonts w:ascii="宋体" w:hAnsi="宋体"/>
          <w:color w:val="auto"/>
          <w:highlight w:val="none"/>
        </w:rPr>
        <w:t>26</w:t>
      </w:r>
      <w:r>
        <w:rPr>
          <w:rFonts w:ascii="宋体" w:hAnsi="宋体"/>
          <w:color w:val="auto"/>
          <w:highlight w:val="none"/>
        </w:rPr>
        <w:fldChar w:fldCharType="end"/>
      </w:r>
      <w:r>
        <w:rPr>
          <w:rFonts w:hint="eastAsia" w:ascii="宋体" w:hAnsi="宋体" w:cs="宋体"/>
          <w:color w:val="auto"/>
          <w:highlight w:val="none"/>
        </w:rPr>
        <w:fldChar w:fldCharType="end"/>
      </w:r>
    </w:p>
    <w:p>
      <w:pPr>
        <w:pStyle w:val="16"/>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_Toc8763 </w:instrText>
      </w:r>
      <w:r>
        <w:rPr>
          <w:rFonts w:hint="eastAsia" w:cs="宋体"/>
          <w:color w:val="auto"/>
          <w:highlight w:val="none"/>
        </w:rPr>
        <w:fldChar w:fldCharType="separate"/>
      </w:r>
      <w:r>
        <w:rPr>
          <w:rFonts w:hint="eastAsia" w:cs="宋体"/>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_Toc8763 \h </w:instrText>
      </w:r>
      <w:r>
        <w:rPr>
          <w:color w:val="auto"/>
          <w:highlight w:val="none"/>
        </w:rPr>
        <w:fldChar w:fldCharType="separate"/>
      </w:r>
      <w:r>
        <w:rPr>
          <w:color w:val="auto"/>
          <w:highlight w:val="none"/>
        </w:rPr>
        <w:t>28</w:t>
      </w:r>
      <w:r>
        <w:rPr>
          <w:color w:val="auto"/>
          <w:highlight w:val="none"/>
        </w:rPr>
        <w:fldChar w:fldCharType="end"/>
      </w:r>
      <w:r>
        <w:rPr>
          <w:rFonts w:hint="eastAsia" w:cs="宋体"/>
          <w:color w:val="auto"/>
          <w:highlight w:val="none"/>
        </w:rPr>
        <w:fldChar w:fldCharType="end"/>
      </w:r>
    </w:p>
    <w:p>
      <w:pPr>
        <w:pStyle w:val="17"/>
        <w:tabs>
          <w:tab w:val="right" w:leader="dot" w:pos="9298"/>
          <w:tab w:val="clear" w:pos="9060"/>
        </w:tabs>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_Toc26460 </w:instrText>
      </w:r>
      <w:r>
        <w:rPr>
          <w:rFonts w:hint="eastAsia" w:ascii="宋体" w:hAnsi="宋体" w:cs="宋体"/>
          <w:color w:val="auto"/>
          <w:highlight w:val="none"/>
        </w:rPr>
        <w:fldChar w:fldCharType="separate"/>
      </w:r>
      <w:r>
        <w:rPr>
          <w:rFonts w:hint="eastAsia" w:ascii="宋体" w:hAnsi="宋体" w:cs="宋体"/>
          <w:color w:val="auto"/>
          <w:szCs w:val="28"/>
          <w:highlight w:val="none"/>
        </w:rPr>
        <w:t>一、</w:t>
      </w:r>
      <w:r>
        <w:rPr>
          <w:rFonts w:hint="eastAsia" w:ascii="宋体" w:hAnsi="宋体" w:cs="宋体"/>
          <w:color w:val="auto"/>
          <w:highlight w:val="none"/>
        </w:rPr>
        <w:t>开标、评标及定标办法修改表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_Toc26460 \h </w:instrText>
      </w:r>
      <w:r>
        <w:rPr>
          <w:rFonts w:ascii="宋体" w:hAnsi="宋体"/>
          <w:color w:val="auto"/>
          <w:highlight w:val="none"/>
        </w:rPr>
        <w:fldChar w:fldCharType="separate"/>
      </w:r>
      <w:r>
        <w:rPr>
          <w:rFonts w:ascii="宋体" w:hAnsi="宋体"/>
          <w:color w:val="auto"/>
          <w:highlight w:val="none"/>
        </w:rPr>
        <w:t>28</w:t>
      </w:r>
      <w:r>
        <w:rPr>
          <w:rFonts w:ascii="宋体" w:hAnsi="宋体"/>
          <w:color w:val="auto"/>
          <w:highlight w:val="none"/>
        </w:rPr>
        <w:fldChar w:fldCharType="end"/>
      </w:r>
      <w:r>
        <w:rPr>
          <w:rFonts w:hint="eastAsia" w:ascii="宋体" w:hAnsi="宋体" w:cs="宋体"/>
          <w:color w:val="auto"/>
          <w:highlight w:val="none"/>
        </w:rPr>
        <w:fldChar w:fldCharType="end"/>
      </w:r>
    </w:p>
    <w:p>
      <w:pPr>
        <w:pStyle w:val="11"/>
        <w:tabs>
          <w:tab w:val="right" w:leader="dot" w:pos="9298"/>
        </w:tabs>
        <w:ind w:left="840"/>
        <w:rPr>
          <w:rFonts w:ascii="宋体" w:hAnsi="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_Toc32637 </w:instrText>
      </w:r>
      <w:r>
        <w:rPr>
          <w:rFonts w:hint="eastAsia" w:ascii="宋体" w:hAnsi="宋体" w:cs="宋体"/>
          <w:color w:val="auto"/>
          <w:highlight w:val="none"/>
        </w:rPr>
        <w:fldChar w:fldCharType="separate"/>
      </w:r>
      <w:r>
        <w:rPr>
          <w:rFonts w:hint="eastAsia" w:ascii="宋体" w:hAnsi="宋体"/>
          <w:bCs/>
          <w:color w:val="auto"/>
          <w:szCs w:val="21"/>
          <w:highlight w:val="none"/>
        </w:rPr>
        <w:t>（一）总则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_Toc32637 \h </w:instrText>
      </w:r>
      <w:r>
        <w:rPr>
          <w:rFonts w:ascii="宋体" w:hAnsi="宋体"/>
          <w:color w:val="auto"/>
          <w:highlight w:val="none"/>
        </w:rPr>
        <w:fldChar w:fldCharType="separate"/>
      </w:r>
      <w:r>
        <w:rPr>
          <w:rFonts w:ascii="宋体" w:hAnsi="宋体"/>
          <w:color w:val="auto"/>
          <w:highlight w:val="none"/>
        </w:rPr>
        <w:t>35</w:t>
      </w:r>
      <w:r>
        <w:rPr>
          <w:rFonts w:ascii="宋体" w:hAnsi="宋体"/>
          <w:color w:val="auto"/>
          <w:highlight w:val="none"/>
        </w:rPr>
        <w:fldChar w:fldCharType="end"/>
      </w:r>
      <w:r>
        <w:rPr>
          <w:rFonts w:hint="eastAsia" w:ascii="宋体" w:hAnsi="宋体" w:cs="宋体"/>
          <w:color w:val="auto"/>
          <w:highlight w:val="none"/>
        </w:rPr>
        <w:fldChar w:fldCharType="end"/>
      </w:r>
    </w:p>
    <w:p>
      <w:pPr>
        <w:pStyle w:val="16"/>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_Toc10239 </w:instrText>
      </w:r>
      <w:r>
        <w:rPr>
          <w:rFonts w:hint="eastAsia" w:cs="宋体"/>
          <w:color w:val="auto"/>
          <w:highlight w:val="none"/>
        </w:rPr>
        <w:fldChar w:fldCharType="separate"/>
      </w:r>
      <w:r>
        <w:rPr>
          <w:rFonts w:hint="eastAsia" w:cs="宋体"/>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_Toc10239 \h </w:instrText>
      </w:r>
      <w:r>
        <w:rPr>
          <w:color w:val="auto"/>
          <w:highlight w:val="none"/>
        </w:rPr>
        <w:fldChar w:fldCharType="separate"/>
      </w:r>
      <w:r>
        <w:rPr>
          <w:color w:val="auto"/>
          <w:highlight w:val="none"/>
        </w:rPr>
        <w:t>55</w:t>
      </w:r>
      <w:r>
        <w:rPr>
          <w:color w:val="auto"/>
          <w:highlight w:val="none"/>
        </w:rPr>
        <w:fldChar w:fldCharType="end"/>
      </w:r>
      <w:r>
        <w:rPr>
          <w:rFonts w:hint="eastAsia" w:cs="宋体"/>
          <w:color w:val="auto"/>
          <w:highlight w:val="none"/>
        </w:rPr>
        <w:fldChar w:fldCharType="end"/>
      </w:r>
    </w:p>
    <w:p>
      <w:pPr>
        <w:pStyle w:val="16"/>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_Toc9591 </w:instrText>
      </w:r>
      <w:r>
        <w:rPr>
          <w:rFonts w:hint="eastAsia" w:cs="宋体"/>
          <w:color w:val="auto"/>
          <w:highlight w:val="none"/>
        </w:rPr>
        <w:fldChar w:fldCharType="separate"/>
      </w:r>
      <w:r>
        <w:rPr>
          <w:rFonts w:hint="eastAsia" w:cs="宋体"/>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_Toc9591 \h </w:instrText>
      </w:r>
      <w:r>
        <w:rPr>
          <w:color w:val="auto"/>
          <w:highlight w:val="none"/>
        </w:rPr>
        <w:fldChar w:fldCharType="separate"/>
      </w:r>
      <w:r>
        <w:rPr>
          <w:color w:val="auto"/>
          <w:highlight w:val="none"/>
        </w:rPr>
        <w:t>56</w:t>
      </w:r>
      <w:r>
        <w:rPr>
          <w:color w:val="auto"/>
          <w:highlight w:val="none"/>
        </w:rPr>
        <w:fldChar w:fldCharType="end"/>
      </w:r>
      <w:r>
        <w:rPr>
          <w:rFonts w:hint="eastAsia" w:cs="宋体"/>
          <w:color w:val="auto"/>
          <w:highlight w:val="none"/>
        </w:rPr>
        <w:fldChar w:fldCharType="end"/>
      </w:r>
    </w:p>
    <w:p>
      <w:pPr>
        <w:pStyle w:val="16"/>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_Toc9631 </w:instrText>
      </w:r>
      <w:r>
        <w:rPr>
          <w:rFonts w:hint="eastAsia" w:cs="宋体"/>
          <w:color w:val="auto"/>
          <w:highlight w:val="none"/>
        </w:rPr>
        <w:fldChar w:fldCharType="separate"/>
      </w:r>
      <w:r>
        <w:rPr>
          <w:rFonts w:hint="eastAsia" w:cs="宋体"/>
          <w:color w:val="auto"/>
          <w:highlight w:val="none"/>
        </w:rPr>
        <w:t>第五章  技术条件</w:t>
      </w:r>
      <w:r>
        <w:rPr>
          <w:color w:val="auto"/>
          <w:highlight w:val="none"/>
        </w:rPr>
        <w:tab/>
      </w:r>
      <w:r>
        <w:rPr>
          <w:color w:val="auto"/>
          <w:highlight w:val="none"/>
        </w:rPr>
        <w:fldChar w:fldCharType="begin"/>
      </w:r>
      <w:r>
        <w:rPr>
          <w:color w:val="auto"/>
          <w:highlight w:val="none"/>
        </w:rPr>
        <w:instrText xml:space="preserve"> PAGEREF _Toc9631 \h </w:instrText>
      </w:r>
      <w:r>
        <w:rPr>
          <w:color w:val="auto"/>
          <w:highlight w:val="none"/>
        </w:rPr>
        <w:fldChar w:fldCharType="separate"/>
      </w:r>
      <w:r>
        <w:rPr>
          <w:color w:val="auto"/>
          <w:highlight w:val="none"/>
        </w:rPr>
        <w:t>72</w:t>
      </w:r>
      <w:r>
        <w:rPr>
          <w:color w:val="auto"/>
          <w:highlight w:val="none"/>
        </w:rPr>
        <w:fldChar w:fldCharType="end"/>
      </w:r>
      <w:r>
        <w:rPr>
          <w:rFonts w:hint="eastAsia" w:cs="宋体"/>
          <w:color w:val="auto"/>
          <w:highlight w:val="none"/>
        </w:rPr>
        <w:fldChar w:fldCharType="end"/>
      </w:r>
    </w:p>
    <w:p>
      <w:pPr>
        <w:pStyle w:val="16"/>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_Toc26499 </w:instrText>
      </w:r>
      <w:r>
        <w:rPr>
          <w:rFonts w:hint="eastAsia" w:cs="宋体"/>
          <w:color w:val="auto"/>
          <w:highlight w:val="none"/>
        </w:rPr>
        <w:fldChar w:fldCharType="separate"/>
      </w:r>
      <w:r>
        <w:rPr>
          <w:rFonts w:hint="eastAsia" w:cs="宋体"/>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_Toc26499 \h </w:instrText>
      </w:r>
      <w:r>
        <w:rPr>
          <w:color w:val="auto"/>
          <w:highlight w:val="none"/>
        </w:rPr>
        <w:fldChar w:fldCharType="separate"/>
      </w:r>
      <w:r>
        <w:rPr>
          <w:color w:val="auto"/>
          <w:highlight w:val="none"/>
        </w:rPr>
        <w:t>74</w:t>
      </w:r>
      <w:r>
        <w:rPr>
          <w:color w:val="auto"/>
          <w:highlight w:val="none"/>
        </w:rPr>
        <w:fldChar w:fldCharType="end"/>
      </w:r>
      <w:r>
        <w:rPr>
          <w:rFonts w:hint="eastAsia" w:cs="宋体"/>
          <w:color w:val="auto"/>
          <w:highlight w:val="none"/>
        </w:rPr>
        <w:fldChar w:fldCharType="end"/>
      </w:r>
    </w:p>
    <w:p>
      <w:pPr>
        <w:pStyle w:val="16"/>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_Toc14984 </w:instrText>
      </w:r>
      <w:r>
        <w:rPr>
          <w:rFonts w:hint="eastAsia" w:cs="宋体"/>
          <w:color w:val="auto"/>
          <w:highlight w:val="none"/>
        </w:rPr>
        <w:fldChar w:fldCharType="separate"/>
      </w:r>
      <w:r>
        <w:rPr>
          <w:rFonts w:hint="eastAsia" w:cs="宋体"/>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_Toc14984 \h </w:instrText>
      </w:r>
      <w:r>
        <w:rPr>
          <w:color w:val="auto"/>
          <w:highlight w:val="none"/>
        </w:rPr>
        <w:fldChar w:fldCharType="separate"/>
      </w:r>
      <w:r>
        <w:rPr>
          <w:color w:val="auto"/>
          <w:highlight w:val="none"/>
        </w:rPr>
        <w:t>75</w:t>
      </w:r>
      <w:r>
        <w:rPr>
          <w:color w:val="auto"/>
          <w:highlight w:val="none"/>
        </w:rPr>
        <w:fldChar w:fldCharType="end"/>
      </w:r>
      <w:r>
        <w:rPr>
          <w:rFonts w:hint="eastAsia" w:cs="宋体"/>
          <w:color w:val="auto"/>
          <w:highlight w:val="none"/>
        </w:rPr>
        <w:fldChar w:fldCharType="end"/>
      </w:r>
    </w:p>
    <w:p>
      <w:pPr>
        <w:pStyle w:val="16"/>
        <w:tabs>
          <w:tab w:val="right" w:leader="dot" w:pos="9298"/>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_Toc13527 </w:instrText>
      </w:r>
      <w:r>
        <w:rPr>
          <w:rFonts w:hint="eastAsia" w:cs="宋体"/>
          <w:color w:val="auto"/>
          <w:highlight w:val="none"/>
        </w:rPr>
        <w:fldChar w:fldCharType="separate"/>
      </w:r>
      <w:r>
        <w:rPr>
          <w:rFonts w:hint="eastAsia" w:cs="宋体"/>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_Toc13527 \h </w:instrText>
      </w:r>
      <w:r>
        <w:rPr>
          <w:color w:val="auto"/>
          <w:highlight w:val="none"/>
        </w:rPr>
        <w:fldChar w:fldCharType="separate"/>
      </w:r>
      <w:r>
        <w:rPr>
          <w:color w:val="auto"/>
          <w:highlight w:val="none"/>
        </w:rPr>
        <w:t>76</w:t>
      </w:r>
      <w:r>
        <w:rPr>
          <w:color w:val="auto"/>
          <w:highlight w:val="none"/>
        </w:rPr>
        <w:fldChar w:fldCharType="end"/>
      </w:r>
      <w:r>
        <w:rPr>
          <w:rFonts w:hint="eastAsia" w:cs="宋体"/>
          <w:color w:val="auto"/>
          <w:highlight w:val="none"/>
        </w:rPr>
        <w:fldChar w:fldCharType="end"/>
      </w:r>
    </w:p>
    <w:p>
      <w:pPr>
        <w:pStyle w:val="5"/>
        <w:spacing w:line="360" w:lineRule="auto"/>
        <w:ind w:firstLine="0"/>
        <w:rPr>
          <w:rFonts w:hint="eastAsia" w:ascii="宋体" w:hAnsi="宋体" w:cs="宋体"/>
          <w:color w:val="auto"/>
          <w:highlight w:val="none"/>
        </w:rPr>
      </w:pPr>
      <w:r>
        <w:rPr>
          <w:rFonts w:hint="eastAsia" w:ascii="宋体" w:hAnsi="宋体" w:cs="宋体"/>
          <w:color w:val="auto"/>
          <w:highlight w:val="none"/>
        </w:rPr>
        <w:fldChar w:fldCharType="end"/>
      </w:r>
      <w:bookmarkStart w:id="0" w:name="_Toc2272545"/>
    </w:p>
    <w:p>
      <w:pPr>
        <w:pStyle w:val="5"/>
        <w:spacing w:line="360" w:lineRule="auto"/>
        <w:ind w:firstLine="0"/>
        <w:rPr>
          <w:rFonts w:hint="eastAsia" w:ascii="宋体" w:hAnsi="宋体" w:cs="宋体"/>
          <w:color w:val="auto"/>
          <w:highlight w:val="none"/>
        </w:rPr>
      </w:pPr>
    </w:p>
    <w:p>
      <w:pPr>
        <w:pStyle w:val="5"/>
        <w:spacing w:line="360" w:lineRule="auto"/>
        <w:ind w:firstLine="0"/>
        <w:rPr>
          <w:rFonts w:hint="eastAsia" w:ascii="宋体" w:hAnsi="宋体" w:cs="宋体"/>
          <w:color w:val="auto"/>
          <w:highlight w:val="none"/>
        </w:rPr>
      </w:pPr>
    </w:p>
    <w:p>
      <w:pPr>
        <w:widowControl/>
        <w:jc w:val="left"/>
        <w:rPr>
          <w:rFonts w:hint="eastAsia" w:ascii="宋体" w:hAnsi="宋体" w:cs="宋体"/>
          <w:color w:val="auto"/>
          <w:szCs w:val="20"/>
          <w:highlight w:val="none"/>
        </w:rPr>
      </w:pPr>
      <w:r>
        <w:rPr>
          <w:rFonts w:hint="eastAsia" w:ascii="宋体" w:hAnsi="宋体" w:cs="宋体"/>
          <w:color w:val="auto"/>
          <w:highlight w:val="none"/>
        </w:rPr>
        <w:br w:type="page"/>
      </w:r>
    </w:p>
    <w:p>
      <w:pPr>
        <w:pStyle w:val="2"/>
        <w:jc w:val="center"/>
        <w:rPr>
          <w:rFonts w:hint="eastAsia" w:ascii="宋体" w:hAnsi="宋体" w:cs="宋体"/>
          <w:color w:val="auto"/>
          <w:highlight w:val="none"/>
        </w:rPr>
      </w:pPr>
      <w:bookmarkStart w:id="1" w:name="_Toc31898"/>
      <w:r>
        <w:rPr>
          <w:rFonts w:hint="eastAsia" w:ascii="宋体" w:hAnsi="宋体" w:cs="宋体"/>
          <w:color w:val="auto"/>
          <w:highlight w:val="none"/>
        </w:rPr>
        <w:t>第一章  投标须知</w:t>
      </w:r>
      <w:bookmarkEnd w:id="1"/>
    </w:p>
    <w:bookmarkEnd w:id="0"/>
    <w:p>
      <w:pPr>
        <w:pStyle w:val="3"/>
        <w:rPr>
          <w:rFonts w:hint="eastAsia" w:ascii="宋体" w:hAnsi="宋体" w:cs="宋体"/>
          <w:color w:val="auto"/>
          <w:highlight w:val="none"/>
        </w:rPr>
      </w:pPr>
      <w:bookmarkStart w:id="2" w:name="_Toc16373"/>
      <w:bookmarkStart w:id="3" w:name="_Toc2272546"/>
      <w:r>
        <w:rPr>
          <w:rFonts w:hint="eastAsia" w:ascii="宋体" w:hAnsi="宋体" w:cs="宋体"/>
          <w:color w:val="auto"/>
          <w:highlight w:val="none"/>
        </w:rPr>
        <w:t>一、投标须知前附表</w:t>
      </w:r>
      <w:bookmarkEnd w:id="2"/>
      <w:bookmarkEnd w:id="3"/>
    </w:p>
    <w:p>
      <w:pPr>
        <w:pStyle w:val="5"/>
        <w:spacing w:line="360" w:lineRule="auto"/>
        <w:ind w:firstLine="0"/>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0"/>
        <w:tblW w:w="951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37"/>
        <w:gridCol w:w="814"/>
        <w:gridCol w:w="1924"/>
        <w:gridCol w:w="62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blHeader/>
        </w:trPr>
        <w:tc>
          <w:tcPr>
            <w:tcW w:w="537" w:type="dxa"/>
            <w:tcBorders>
              <w:top w:val="doub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项目</w:t>
            </w:r>
          </w:p>
        </w:tc>
        <w:tc>
          <w:tcPr>
            <w:tcW w:w="814"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924" w:type="dxa"/>
            <w:tcBorders>
              <w:top w:val="doub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内容</w:t>
            </w:r>
          </w:p>
        </w:tc>
        <w:tc>
          <w:tcPr>
            <w:tcW w:w="6241" w:type="dxa"/>
            <w:tcBorders>
              <w:top w:val="double" w:color="auto" w:sz="4" w:space="0"/>
              <w:left w:val="single" w:color="auto" w:sz="4" w:space="0"/>
              <w:bottom w:val="single" w:color="auto" w:sz="4" w:space="0"/>
              <w:right w:val="double" w:color="auto" w:sz="4" w:space="0"/>
            </w:tcBorders>
            <w:noWrap w:val="0"/>
            <w:vAlign w:val="center"/>
          </w:tcPr>
          <w:p>
            <w:pPr>
              <w:pStyle w:val="13"/>
              <w:jc w:val="center"/>
              <w:rPr>
                <w:rFonts w:hint="eastAsia" w:ascii="宋体" w:hAnsi="宋体" w:cs="宋体"/>
                <w:b/>
                <w:color w:val="auto"/>
                <w:kern w:val="2"/>
                <w:sz w:val="21"/>
                <w:szCs w:val="21"/>
                <w:highlight w:val="none"/>
                <w:lang w:val="en-US" w:eastAsia="zh-CN"/>
              </w:rPr>
            </w:pPr>
            <w:r>
              <w:rPr>
                <w:rFonts w:hint="eastAsia" w:ascii="宋体" w:hAnsi="宋体" w:cs="宋体"/>
                <w:b/>
                <w:color w:val="auto"/>
                <w:kern w:val="2"/>
                <w:sz w:val="21"/>
                <w:szCs w:val="21"/>
                <w:highlight w:val="none"/>
                <w:lang w:val="en-US" w:eastAsia="zh-CN"/>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136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广州交投城市道路建设有限公司</w:t>
            </w:r>
          </w:p>
          <w:p>
            <w:pPr>
              <w:rPr>
                <w:rFonts w:ascii="宋体" w:hAnsi="宋体" w:cs="宋体"/>
                <w:color w:val="auto"/>
                <w:szCs w:val="21"/>
                <w:highlight w:val="non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val="zh-CN"/>
              </w:rPr>
              <w:t>广东粤信项目管理有限公司</w:t>
            </w:r>
          </w:p>
          <w:p>
            <w:pPr>
              <w:rPr>
                <w:rFonts w:ascii="宋体" w:hAnsi="宋体" w:cs="宋体"/>
                <w:color w:val="auto"/>
                <w:szCs w:val="21"/>
                <w:highlight w:val="none"/>
              </w:rPr>
            </w:pPr>
            <w:r>
              <w:rPr>
                <w:rFonts w:hint="eastAsia" w:ascii="宋体" w:hAnsi="宋体" w:cs="宋体"/>
                <w:color w:val="auto"/>
                <w:szCs w:val="21"/>
                <w:highlight w:val="none"/>
              </w:rPr>
              <w:t>勘察单位：</w:t>
            </w:r>
            <w:r>
              <w:rPr>
                <w:rFonts w:hint="eastAsia" w:ascii="宋体" w:hAnsi="宋体" w:cs="宋体"/>
                <w:color w:val="auto"/>
                <w:szCs w:val="21"/>
                <w:highlight w:val="none"/>
                <w:u w:val="single"/>
              </w:rPr>
              <w:t>广州市交通设计研究院有限公司</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rPr>
              <w:t>广州市市政工程设计研究总院有限公司</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广州市交通设计研究院有限公司</w:t>
            </w:r>
          </w:p>
          <w:p>
            <w:pPr>
              <w:rPr>
                <w:rFonts w:hint="eastAsia"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pPr>
              <w:rPr>
                <w:rFonts w:hint="eastAsia"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412"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工程名称</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东南西环三滘立交市政化改造工程（一期）施工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Style w:val="25"/>
                <w:rFonts w:ascii="宋体" w:hAnsi="宋体"/>
                <w:color w:val="auto"/>
                <w:szCs w:val="21"/>
                <w:highlight w:val="none"/>
                <w:u w:val="single"/>
              </w:rPr>
              <w:t>本工程实行</w:t>
            </w:r>
            <w:r>
              <w:rPr>
                <w:rStyle w:val="25"/>
                <w:rFonts w:hint="eastAsia" w:ascii="宋体" w:hAnsi="宋体"/>
                <w:color w:val="auto"/>
                <w:szCs w:val="21"/>
                <w:highlight w:val="none"/>
                <w:u w:val="single"/>
              </w:rPr>
              <w:t>以工程量清单综合单价包干，</w:t>
            </w:r>
            <w:r>
              <w:rPr>
                <w:rFonts w:hint="eastAsia" w:ascii="宋体" w:hAnsi="宋体" w:cs="宋体"/>
                <w:color w:val="auto"/>
                <w:szCs w:val="21"/>
                <w:highlight w:val="none"/>
                <w:u w:val="single"/>
              </w:rPr>
              <w:t>工程量按实结算，措施项目费包干（包含绿色施工防护措施费、其它措施费以及分部分项工程清单内的措施项目费等的总费用）的承包方式</w:t>
            </w:r>
            <w:r>
              <w:rPr>
                <w:rStyle w:val="25"/>
                <w:rFonts w:ascii="宋体" w:hAnsi="宋体"/>
                <w:color w:val="auto"/>
                <w:szCs w:val="21"/>
                <w:highlight w:val="none"/>
                <w:u w:val="single"/>
              </w:rPr>
              <w:t>。</w:t>
            </w:r>
            <w:r>
              <w:rPr>
                <w:rFonts w:hint="eastAsia" w:ascii="宋体" w:hAnsi="宋体" w:cs="宋体"/>
                <w:color w:val="auto"/>
                <w:szCs w:val="21"/>
                <w:highlight w:val="none"/>
                <w:u w:val="single"/>
              </w:rPr>
              <w:t>承包人按施工图纸、合同条件和规范及标准要求，对承包范围内的工程采取包工、包料、包工期、包质量、包安全生产、包文明施工、包验收、包移交、包结算的组织实施工作和资料整理、包保修</w:t>
            </w:r>
            <w:r>
              <w:rPr>
                <w:rStyle w:val="25"/>
                <w:rFonts w:ascii="宋体" w:hAnsi="宋体"/>
                <w:color w:val="auto"/>
                <w:szCs w:val="21"/>
                <w:highlight w:val="none"/>
                <w:u w:val="single"/>
              </w:rPr>
              <w:t>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pacing w:val="20"/>
                <w:szCs w:val="21"/>
                <w:highlight w:val="none"/>
                <w:u w:val="single"/>
              </w:rPr>
            </w:pPr>
            <w:r>
              <w:rPr>
                <w:rFonts w:hint="eastAsia" w:ascii="宋体" w:hAnsi="宋体"/>
                <w:color w:val="auto"/>
                <w:highlight w:val="none"/>
              </w:rPr>
              <w:t>质量标准：确保符合国家、省、市的工程施工质量验收规范，质量验收标准达到合格或以上标准。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详见本项目招标公告。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olor w:val="auto"/>
                <w:szCs w:val="21"/>
                <w:highlight w:val="none"/>
                <w:u w:val="single"/>
              </w:rPr>
            </w:pPr>
            <w:r>
              <w:rPr>
                <w:rFonts w:hint="eastAsia" w:ascii="宋体" w:hAnsi="宋体"/>
                <w:color w:val="auto"/>
                <w:szCs w:val="21"/>
                <w:highlight w:val="none"/>
                <w:u w:val="single"/>
              </w:rPr>
              <w:t>具体开工时间以发包人下发的开工指令中的日期为准。</w:t>
            </w:r>
          </w:p>
          <w:p>
            <w:pPr>
              <w:rPr>
                <w:rFonts w:hint="eastAsia" w:ascii="宋体" w:hAnsi="宋体" w:cs="宋体"/>
                <w:color w:val="auto"/>
                <w:szCs w:val="21"/>
                <w:highlight w:val="none"/>
              </w:rPr>
            </w:pPr>
            <w:r>
              <w:rPr>
                <w:rFonts w:hint="eastAsia" w:ascii="宋体" w:hAnsi="宋体"/>
                <w:color w:val="auto"/>
                <w:szCs w:val="21"/>
                <w:highlight w:val="none"/>
                <w:u w:val="single"/>
              </w:rPr>
              <w:t>施工总工期：150日历天。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详见本工程招标公告。资金已</w:t>
            </w:r>
            <w:r>
              <w:rPr>
                <w:rFonts w:hint="eastAsia" w:ascii="仿宋_GB2312" w:hAnsi="仿宋_GB2312" w:cs="仿宋_GB2312"/>
                <w:color w:val="auto"/>
                <w:highlight w:val="none"/>
              </w:rPr>
              <w:t>落实。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729"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90日历天（从递交投标文件截止之日计起）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16.1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olor w:val="auto"/>
                <w:highlight w:val="none"/>
              </w:rPr>
            </w:pPr>
            <w:r>
              <w:rPr>
                <w:rFonts w:hint="eastAsia" w:ascii="宋体" w:hAnsi="宋体"/>
                <w:b/>
                <w:bCs/>
                <w:color w:val="auto"/>
                <w:highlight w:val="none"/>
              </w:rPr>
              <w:t>方式二：本项目收取投标保证金</w:t>
            </w:r>
            <w:r>
              <w:rPr>
                <w:rFonts w:hint="eastAsia" w:ascii="宋体" w:hAnsi="宋体"/>
                <w:b/>
                <w:bCs/>
                <w:color w:val="auto"/>
                <w:highlight w:val="none"/>
                <w:u w:val="single"/>
              </w:rPr>
              <w:t xml:space="preserve"> </w:t>
            </w:r>
            <w:r>
              <w:rPr>
                <w:rFonts w:ascii="宋体" w:hAnsi="宋体"/>
                <w:b/>
                <w:bCs/>
                <w:color w:val="auto"/>
                <w:highlight w:val="none"/>
                <w:u w:val="single"/>
              </w:rPr>
              <w:t>30</w:t>
            </w:r>
            <w:r>
              <w:rPr>
                <w:rFonts w:hint="eastAsia" w:ascii="宋体" w:hAnsi="宋体"/>
                <w:b/>
                <w:bCs/>
                <w:color w:val="auto"/>
                <w:highlight w:val="none"/>
                <w:u w:val="single"/>
              </w:rPr>
              <w:t xml:space="preserve"> </w:t>
            </w:r>
            <w:r>
              <w:rPr>
                <w:rFonts w:hint="eastAsia" w:ascii="宋体" w:hAnsi="宋体"/>
                <w:b/>
                <w:bCs/>
                <w:color w:val="auto"/>
                <w:highlight w:val="none"/>
              </w:rPr>
              <w:t>万元人民币，</w:t>
            </w:r>
            <w:r>
              <w:rPr>
                <w:rFonts w:hint="eastAsia" w:ascii="宋体" w:hAnsi="宋体"/>
                <w:color w:val="auto"/>
                <w:highlight w:val="none"/>
              </w:rPr>
              <w:t>缴纳时间在</w:t>
            </w:r>
            <w:r>
              <w:rPr>
                <w:rFonts w:hint="eastAsia" w:ascii="宋体" w:hAnsi="宋体"/>
                <w:color w:val="auto"/>
                <w:highlight w:val="none"/>
                <w:u w:val="single"/>
              </w:rPr>
              <w:t xml:space="preserve"> 开标</w:t>
            </w:r>
            <w:r>
              <w:rPr>
                <w:rFonts w:hint="eastAsia" w:ascii="宋体" w:hAnsi="宋体"/>
                <w:color w:val="auto"/>
                <w:highlight w:val="none"/>
              </w:rPr>
              <w:t xml:space="preserve"> 之前。</w:t>
            </w:r>
          </w:p>
          <w:p>
            <w:pPr>
              <w:pStyle w:val="7"/>
              <w:topLinePunct/>
              <w:spacing w:after="0"/>
              <w:rPr>
                <w:rFonts w:hint="eastAsia" w:ascii="宋体" w:hAnsi="宋体"/>
                <w:color w:val="auto"/>
                <w:sz w:val="21"/>
                <w:szCs w:val="22"/>
                <w:highlight w:val="none"/>
                <w:lang w:val="en-US" w:eastAsia="zh-CN"/>
              </w:rPr>
            </w:pPr>
            <w:r>
              <w:rPr>
                <w:rFonts w:hint="eastAsia" w:ascii="宋体" w:hAnsi="宋体"/>
                <w:color w:val="auto"/>
                <w:sz w:val="21"/>
                <w:szCs w:val="22"/>
                <w:highlight w:val="none"/>
                <w:lang w:val="en-US" w:eastAsia="zh-CN"/>
              </w:rPr>
              <w:t>投标保证金可采用现金、支票、投标保函、投标保证保险或其他合法形式，须在递交投标文件截止时间前完成缴纳。</w:t>
            </w:r>
          </w:p>
          <w:p>
            <w:pPr>
              <w:pStyle w:val="7"/>
              <w:topLinePunct/>
              <w:spacing w:after="0"/>
              <w:rPr>
                <w:rFonts w:hint="eastAsia" w:ascii="宋体" w:hAnsi="宋体"/>
                <w:color w:val="auto"/>
                <w:sz w:val="21"/>
                <w:szCs w:val="22"/>
                <w:highlight w:val="none"/>
                <w:lang w:val="en-US" w:eastAsia="zh-CN"/>
              </w:rPr>
            </w:pPr>
            <w:r>
              <w:rPr>
                <w:rFonts w:hint="eastAsia" w:ascii="宋体" w:hAnsi="宋体"/>
                <w:color w:val="auto"/>
                <w:sz w:val="21"/>
                <w:szCs w:val="22"/>
                <w:highlight w:val="none"/>
                <w:lang w:val="en-US" w:eastAsia="zh-CN"/>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pStyle w:val="7"/>
              <w:topLinePunct/>
              <w:spacing w:after="0"/>
              <w:rPr>
                <w:rFonts w:hint="eastAsia" w:ascii="宋体" w:hAnsi="宋体"/>
                <w:color w:val="auto"/>
                <w:sz w:val="21"/>
                <w:szCs w:val="22"/>
                <w:highlight w:val="none"/>
                <w:lang w:val="en-US" w:eastAsia="zh-CN"/>
              </w:rPr>
            </w:pPr>
            <w:r>
              <w:rPr>
                <w:rFonts w:hint="eastAsia" w:ascii="宋体" w:hAnsi="宋体"/>
                <w:color w:val="auto"/>
                <w:sz w:val="21"/>
                <w:szCs w:val="22"/>
                <w:highlight w:val="none"/>
                <w:lang w:val="en-US" w:eastAsia="zh-CN"/>
              </w:rPr>
              <w:t>收款单位：广州交易集团有限公司</w:t>
            </w:r>
          </w:p>
          <w:p>
            <w:pPr>
              <w:pStyle w:val="7"/>
              <w:topLinePunct/>
              <w:spacing w:after="0"/>
              <w:rPr>
                <w:rFonts w:hint="eastAsia" w:ascii="宋体" w:hAnsi="宋体"/>
                <w:color w:val="auto"/>
                <w:sz w:val="21"/>
                <w:szCs w:val="22"/>
                <w:highlight w:val="none"/>
                <w:lang w:val="en-US" w:eastAsia="zh-CN"/>
              </w:rPr>
            </w:pPr>
            <w:r>
              <w:rPr>
                <w:rFonts w:hint="eastAsia" w:ascii="宋体" w:hAnsi="宋体"/>
                <w:color w:val="auto"/>
                <w:sz w:val="21"/>
                <w:szCs w:val="22"/>
                <w:highlight w:val="none"/>
                <w:lang w:val="en-US" w:eastAsia="zh-CN"/>
              </w:rPr>
              <w:t>开户银行：中国建设银行广州天润路支行</w:t>
            </w:r>
          </w:p>
          <w:p>
            <w:pPr>
              <w:pStyle w:val="7"/>
              <w:topLinePunct/>
              <w:spacing w:after="0"/>
              <w:rPr>
                <w:rFonts w:hint="eastAsia" w:ascii="宋体" w:hAnsi="宋体"/>
                <w:color w:val="auto"/>
                <w:sz w:val="21"/>
                <w:szCs w:val="22"/>
                <w:highlight w:val="none"/>
                <w:lang w:val="en-US" w:eastAsia="zh-CN"/>
              </w:rPr>
            </w:pPr>
            <w:r>
              <w:rPr>
                <w:rFonts w:hint="eastAsia" w:ascii="宋体" w:hAnsi="宋体"/>
                <w:color w:val="auto"/>
                <w:sz w:val="21"/>
                <w:szCs w:val="22"/>
                <w:highlight w:val="none"/>
                <w:lang w:val="en-US" w:eastAsia="zh-CN"/>
              </w:rPr>
              <w:t>银行账号：44001583404059333333</w:t>
            </w:r>
          </w:p>
          <w:p>
            <w:pPr>
              <w:pStyle w:val="7"/>
              <w:numPr>
                <w:ilvl w:val="0"/>
                <w:numId w:val="1"/>
              </w:numPr>
              <w:topLinePunct/>
              <w:spacing w:after="0"/>
              <w:rPr>
                <w:rFonts w:hint="eastAsia" w:ascii="宋体" w:hAnsi="宋体"/>
                <w:color w:val="auto"/>
                <w:sz w:val="21"/>
                <w:szCs w:val="22"/>
                <w:highlight w:val="none"/>
                <w:lang w:val="en-US" w:eastAsia="zh-CN"/>
              </w:rPr>
            </w:pPr>
            <w:r>
              <w:rPr>
                <w:rFonts w:hint="eastAsia" w:ascii="宋体" w:hAnsi="宋体"/>
                <w:color w:val="auto"/>
                <w:sz w:val="21"/>
                <w:szCs w:val="22"/>
                <w:highlight w:val="none"/>
                <w:lang w:val="en-US" w:eastAsia="zh-CN"/>
              </w:rPr>
              <w:t>如采用投标保函或投标保证保险的形式提交的，在开标前不得强制要求投标人提交纸质原件，由中标候选人在中标候选人公示前提交并在网上公示，但投标人应在投标文件中提交投标保函或投标保证保险扫描件并加盖投标人电子印章。</w:t>
            </w:r>
          </w:p>
          <w:p>
            <w:pPr>
              <w:pStyle w:val="7"/>
              <w:numPr>
                <w:ilvl w:val="0"/>
                <w:numId w:val="1"/>
              </w:numPr>
              <w:topLinePunct/>
              <w:rPr>
                <w:rFonts w:hint="eastAsia" w:ascii="宋体" w:hAnsi="宋体"/>
                <w:color w:val="auto"/>
                <w:sz w:val="21"/>
                <w:szCs w:val="22"/>
                <w:highlight w:val="none"/>
                <w:lang w:val="en-US" w:eastAsia="zh-CN"/>
              </w:rPr>
            </w:pPr>
            <w:r>
              <w:rPr>
                <w:rFonts w:hint="eastAsia" w:ascii="宋体" w:hAnsi="宋体"/>
                <w:color w:val="auto"/>
                <w:sz w:val="21"/>
                <w:szCs w:val="22"/>
                <w:highlight w:val="none"/>
                <w:lang w:val="en-US" w:eastAsia="zh-CN"/>
              </w:rPr>
              <w:t>如采用非现金电子化形式递交投标保证金，按广州公共资源交易中心发布的《广州公共资源交易中心关于开通电子保函服务功能的通知》操作。详见：</w:t>
            </w:r>
            <w:r>
              <w:rPr>
                <w:rFonts w:hint="eastAsia" w:ascii="宋体" w:hAnsi="宋体"/>
                <w:b/>
                <w:bCs/>
                <w:color w:val="auto"/>
                <w:sz w:val="21"/>
                <w:szCs w:val="22"/>
                <w:highlight w:val="none"/>
                <w:u w:val="single"/>
                <w:lang w:val="en-US" w:eastAsia="zh-CN"/>
              </w:rPr>
              <w:t>http://www.gzggzy.cn/jtgg/822128.jhtml</w:t>
            </w:r>
          </w:p>
          <w:p>
            <w:pPr>
              <w:rPr>
                <w:rFonts w:hint="eastAsia" w:ascii="宋体" w:hAnsi="宋体"/>
                <w:color w:val="auto"/>
                <w:highlight w:val="none"/>
              </w:rPr>
            </w:pPr>
            <w:r>
              <w:rPr>
                <w:rFonts w:hint="eastAsia" w:ascii="宋体" w:hAnsi="宋体"/>
                <w:color w:val="auto"/>
                <w:highlight w:val="none"/>
              </w:rPr>
              <w:t>注：</w:t>
            </w:r>
          </w:p>
          <w:p>
            <w:pPr>
              <w:rPr>
                <w:rFonts w:hint="eastAsia" w:ascii="宋体" w:hAnsi="宋体"/>
                <w:color w:val="auto"/>
                <w:highlight w:val="none"/>
              </w:rPr>
            </w:pPr>
            <w:r>
              <w:rPr>
                <w:rFonts w:hint="eastAsia" w:ascii="宋体" w:hAnsi="宋体"/>
                <w:color w:val="auto"/>
                <w:highlight w:val="none"/>
              </w:rPr>
              <w:t>1、</w:t>
            </w:r>
            <w:r>
              <w:rPr>
                <w:rFonts w:hint="eastAsia" w:ascii="宋体" w:hAnsi="宋体"/>
                <w:b/>
                <w:bCs/>
                <w:color w:val="auto"/>
                <w:highlight w:val="none"/>
              </w:rPr>
              <w:t>政府投资项目不得收取投标保证金。</w:t>
            </w:r>
            <w:r>
              <w:rPr>
                <w:rFonts w:hint="eastAsia" w:ascii="宋体" w:hAnsi="宋体"/>
                <w:color w:val="auto"/>
                <w:highlight w:val="none"/>
              </w:rPr>
              <w:t>鼓励招标人对简单小额项目不要求提供投标担保，对中小企业投标人免除投标担保。</w:t>
            </w:r>
          </w:p>
          <w:p>
            <w:pPr>
              <w:rPr>
                <w:rFonts w:hint="eastAsia" w:ascii="宋体" w:hAnsi="宋体"/>
                <w:color w:val="auto"/>
                <w:highlight w:val="none"/>
              </w:rPr>
            </w:pPr>
            <w:r>
              <w:rPr>
                <w:rFonts w:hint="eastAsia" w:ascii="宋体" w:hAnsi="宋体"/>
                <w:color w:val="auto"/>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rPr>
                <w:rFonts w:hint="eastAsia" w:ascii="宋体" w:hAnsi="宋体" w:cs="宋体"/>
                <w:color w:val="auto"/>
                <w:szCs w:val="21"/>
                <w:highlight w:val="none"/>
              </w:rPr>
            </w:pPr>
            <w:r>
              <w:rPr>
                <w:rFonts w:hint="eastAsia" w:ascii="宋体" w:hAnsi="宋体"/>
                <w:color w:val="auto"/>
                <w:highlight w:val="none"/>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109"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pStyle w:val="13"/>
              <w:rPr>
                <w:rFonts w:hint="eastAsia" w:ascii="宋体" w:hAnsi="宋体" w:cs="宋体"/>
                <w:color w:val="auto"/>
                <w:kern w:val="2"/>
                <w:sz w:val="21"/>
                <w:szCs w:val="21"/>
                <w:highlight w:val="none"/>
                <w:lang w:val="en-US" w:eastAsia="zh-CN"/>
              </w:rPr>
            </w:pPr>
            <w:r>
              <w:rPr>
                <w:rFonts w:hint="eastAsia" w:ascii="宋体" w:hAnsi="宋体"/>
                <w:color w:val="auto"/>
                <w:kern w:val="2"/>
                <w:sz w:val="21"/>
                <w:szCs w:val="21"/>
                <w:highlight w:val="none"/>
                <w:u w:val="single"/>
                <w:lang w:val="en-US" w:eastAsia="zh-CN"/>
              </w:rPr>
              <w:t>招标人不集中组织，由投标人自行踏勘，</w:t>
            </w:r>
            <w:r>
              <w:rPr>
                <w:rFonts w:ascii="宋体" w:hAnsi="宋体"/>
                <w:color w:val="auto"/>
                <w:kern w:val="2"/>
                <w:sz w:val="21"/>
                <w:szCs w:val="21"/>
                <w:highlight w:val="none"/>
                <w:u w:val="single"/>
                <w:lang w:val="en-US" w:eastAsia="zh-CN"/>
              </w:rPr>
              <w:t>投标人不进行踏勘的，视为已熟知现场条件，自行承担相关风险</w:t>
            </w:r>
            <w:r>
              <w:rPr>
                <w:rFonts w:hint="eastAsia" w:ascii="宋体" w:hAnsi="宋体"/>
                <w:color w:val="auto"/>
                <w:kern w:val="2"/>
                <w:sz w:val="21"/>
                <w:szCs w:val="21"/>
                <w:highlight w:val="none"/>
                <w:u w:val="singl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1607"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color w:val="auto"/>
                <w:highlight w:val="none"/>
              </w:rPr>
            </w:pPr>
            <w:r>
              <w:rPr>
                <w:rFonts w:hint="eastAsia" w:ascii="宋体" w:hAnsi="宋体"/>
                <w:color w:val="auto"/>
                <w:highlight w:val="none"/>
              </w:rPr>
              <w:t>疑问提交时间：</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rFonts w:ascii="宋体" w:hAnsi="宋体"/>
                <w:color w:val="auto"/>
                <w:highlight w:val="none"/>
              </w:rPr>
              <w:t xml:space="preserve">   </w:t>
            </w:r>
            <w:r>
              <w:rPr>
                <w:rFonts w:hint="eastAsia" w:ascii="宋体" w:hAnsi="宋体"/>
                <w:color w:val="auto"/>
                <w:highlight w:val="none"/>
              </w:rPr>
              <w:t>时</w:t>
            </w:r>
            <w:r>
              <w:rPr>
                <w:rFonts w:ascii="宋体" w:hAnsi="宋体"/>
                <w:color w:val="auto"/>
                <w:highlight w:val="none"/>
              </w:rPr>
              <w:t xml:space="preserve">   </w:t>
            </w:r>
            <w:r>
              <w:rPr>
                <w:rFonts w:hint="eastAsia" w:ascii="宋体" w:hAnsi="宋体"/>
                <w:color w:val="auto"/>
                <w:highlight w:val="none"/>
              </w:rPr>
              <w:t>分前；（</w:t>
            </w:r>
            <w:r>
              <w:rPr>
                <w:rFonts w:ascii="宋体" w:hAnsi="宋体"/>
                <w:color w:val="auto"/>
                <w:highlight w:val="none"/>
              </w:rPr>
              <w:t>在递交投标文件截止日期18日前</w:t>
            </w:r>
            <w:r>
              <w:rPr>
                <w:rFonts w:hint="eastAsia" w:ascii="宋体" w:hAnsi="宋体"/>
                <w:color w:val="auto"/>
                <w:highlight w:val="none"/>
              </w:rPr>
              <w:t>）</w:t>
            </w:r>
          </w:p>
          <w:p>
            <w:pPr>
              <w:rPr>
                <w:rFonts w:ascii="宋体" w:hAnsi="宋体"/>
                <w:color w:val="auto"/>
                <w:highlight w:val="none"/>
              </w:rPr>
            </w:pPr>
            <w:r>
              <w:rPr>
                <w:rFonts w:hint="eastAsia" w:ascii="宋体" w:hAnsi="宋体"/>
                <w:color w:val="auto"/>
                <w:highlight w:val="none"/>
              </w:rPr>
              <w:t>形式：投标人的疑问通过</w:t>
            </w:r>
            <w:r>
              <w:rPr>
                <w:rFonts w:hint="eastAsia" w:ascii="宋体" w:hAnsi="宋体"/>
                <w:color w:val="auto"/>
                <w:highlight w:val="none"/>
                <w:u w:val="single"/>
              </w:rPr>
              <w:t>广州交易集团有限公司（广州公共资源交易中心）</w:t>
            </w:r>
            <w:r>
              <w:rPr>
                <w:rFonts w:hint="eastAsia" w:ascii="宋体" w:hAnsi="宋体"/>
                <w:color w:val="auto"/>
                <w:highlight w:val="none"/>
              </w:rPr>
              <w:t>交易平台提交。</w:t>
            </w:r>
          </w:p>
          <w:p>
            <w:pPr>
              <w:rPr>
                <w:color w:val="auto"/>
                <w:highlight w:val="none"/>
              </w:rPr>
            </w:pPr>
            <w:r>
              <w:rPr>
                <w:rFonts w:hint="eastAsia" w:ascii="宋体" w:hAnsi="宋体"/>
                <w:color w:val="auto"/>
                <w:highlight w:val="none"/>
              </w:rPr>
              <w:t>具体要求：按照交易平台关于全流程电子化项目的相关指南进行操作，详见：</w:t>
            </w:r>
            <w:r>
              <w:rPr>
                <w:rFonts w:hint="eastAsia" w:ascii="宋体" w:hAnsi="宋体"/>
                <w:color w:val="auto"/>
                <w:highlight w:val="none"/>
                <w:u w:val="single"/>
              </w:rPr>
              <w:t>广州交易集团有限公司（广州公共资源交易中心）网站（http:/ www.gzggzy.cn）服务指南栏目。提问一律不得署名。</w:t>
            </w:r>
          </w:p>
          <w:p>
            <w:pPr>
              <w:rPr>
                <w:rFonts w:hint="eastAsia" w:hAns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strike/>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1、开标开始时间：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w:t>
            </w:r>
            <w:r>
              <w:rPr>
                <w:rFonts w:hint="eastAsia" w:ascii="宋体" w:hAnsi="宋体" w:cs="宋体"/>
                <w:bCs/>
                <w:color w:val="auto"/>
                <w:kern w:val="0"/>
                <w:szCs w:val="21"/>
                <w:highlight w:val="none"/>
                <w:u w:val="single"/>
              </w:rPr>
              <w:t xml:space="preserve"> </w:t>
            </w:r>
            <w:r>
              <w:rPr>
                <w:rStyle w:val="25"/>
                <w:rFonts w:hint="eastAsia" w:ascii="宋体" w:hAnsi="宋体"/>
                <w:color w:val="auto"/>
                <w:szCs w:val="21"/>
                <w:highlight w:val="none"/>
                <w:u w:val="single"/>
              </w:rPr>
              <w:t>广州交易集团有限公司（广州公共资源交易中心）</w:t>
            </w:r>
            <w:r>
              <w:rPr>
                <w:rFonts w:hint="eastAsia" w:ascii="宋体" w:hAnsi="宋体"/>
                <w:color w:val="auto"/>
                <w:highlight w:val="none"/>
                <w:u w:val="single"/>
              </w:rPr>
              <w:t xml:space="preserve">第  </w:t>
            </w:r>
            <w:r>
              <w:rPr>
                <w:rFonts w:hint="eastAsia" w:ascii="宋体" w:hAnsi="宋体"/>
                <w:color w:val="auto"/>
                <w:szCs w:val="21"/>
                <w:highlight w:val="none"/>
                <w:u w:val="single"/>
              </w:rPr>
              <w:t>开标室</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w:t>
            </w:r>
            <w:r>
              <w:rPr>
                <w:rFonts w:hint="eastAsia" w:ascii="宋体" w:hAnsi="宋体" w:cs="宋体"/>
                <w:b/>
                <w:bCs/>
                <w:color w:val="auto"/>
                <w:kern w:val="0"/>
                <w:szCs w:val="21"/>
                <w:highlight w:val="none"/>
              </w:rPr>
              <w:t>投标人也可选择参加在线开标，具体按照交易平台相关指南进行操作。详见：</w:t>
            </w:r>
            <w:r>
              <w:rPr>
                <w:rFonts w:hint="eastAsia" w:ascii="宋体" w:hAnsi="宋体" w:cs="宋体"/>
                <w:b/>
                <w:bCs/>
                <w:color w:val="auto"/>
                <w:kern w:val="0"/>
                <w:szCs w:val="21"/>
                <w:highlight w:val="none"/>
                <w:u w:val="single"/>
              </w:rPr>
              <w:t xml:space="preserve"> </w:t>
            </w:r>
            <w:r>
              <w:rPr>
                <w:rStyle w:val="25"/>
                <w:rFonts w:hint="eastAsia" w:ascii="宋体" w:hAnsi="宋体"/>
                <w:color w:val="auto"/>
                <w:szCs w:val="21"/>
                <w:highlight w:val="none"/>
                <w:u w:val="single"/>
              </w:rPr>
              <w:t>广州交易集团有限公司（广州公共资源交易中心）网站最新指引</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w:t>
            </w:r>
          </w:p>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注：投标文件解密问题。投标人只用执行一次解密，招标人执行解密次数根据招标文件开标次数确定。</w:t>
            </w:r>
          </w:p>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分至</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   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分；递交地点：</w:t>
            </w:r>
            <w:r>
              <w:rPr>
                <w:rFonts w:hint="eastAsia" w:ascii="宋体" w:hAnsi="宋体" w:cs="宋体"/>
                <w:bCs/>
                <w:color w:val="auto"/>
                <w:kern w:val="0"/>
                <w:szCs w:val="21"/>
                <w:highlight w:val="none"/>
                <w:u w:val="single"/>
              </w:rPr>
              <w:t xml:space="preserve"> </w:t>
            </w:r>
            <w:r>
              <w:rPr>
                <w:rStyle w:val="25"/>
                <w:rFonts w:hint="eastAsia" w:ascii="宋体" w:hAnsi="宋体"/>
                <w:color w:val="auto"/>
                <w:szCs w:val="21"/>
                <w:highlight w:val="none"/>
                <w:u w:val="single"/>
              </w:rPr>
              <w:t>广州交易集团有限公司（广州公共资源交易中心）</w:t>
            </w:r>
            <w:r>
              <w:rPr>
                <w:rStyle w:val="25"/>
                <w:rFonts w:ascii="宋体" w:hAnsi="宋体"/>
                <w:color w:val="auto"/>
                <w:szCs w:val="21"/>
                <w:highlight w:val="none"/>
                <w:u w:val="single"/>
              </w:rPr>
              <w:t xml:space="preserve">  开标室</w:t>
            </w:r>
            <w:r>
              <w:rPr>
                <w:rFonts w:hint="eastAsia" w:ascii="宋体" w:hAnsi="宋体"/>
                <w:color w:val="auto"/>
                <w:szCs w:val="21"/>
                <w:highlight w:val="none"/>
                <w:u w:val="single"/>
              </w:rPr>
              <w:t>（广州市天河区天润路333号）</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。(建议安排在投标文件截止时间前15分钟至投标文件截止时间）</w:t>
            </w:r>
          </w:p>
          <w:p>
            <w:pPr>
              <w:rPr>
                <w:rFonts w:hint="eastAsia" w:ascii="宋体" w:hAnsi="宋体" w:cs="宋体"/>
                <w:color w:val="auto"/>
                <w:szCs w:val="21"/>
                <w:highlight w:val="none"/>
              </w:rPr>
            </w:pPr>
            <w:r>
              <w:rPr>
                <w:rFonts w:hint="eastAsia" w:ascii="宋体" w:hAnsi="宋体" w:cs="宋体"/>
                <w:bCs/>
                <w:color w:val="auto"/>
                <w:kern w:val="0"/>
                <w:szCs w:val="21"/>
                <w:highlight w:val="none"/>
              </w:rPr>
              <w:t>上述时间及地点是否有改变，请密切留意</w:t>
            </w:r>
            <w:r>
              <w:rPr>
                <w:rFonts w:hint="eastAsia" w:ascii="宋体" w:hAnsi="宋体" w:cs="宋体"/>
                <w:b/>
                <w:color w:val="auto"/>
                <w:kern w:val="0"/>
                <w:szCs w:val="21"/>
                <w:highlight w:val="none"/>
              </w:rPr>
              <w:t>补充公告和</w:t>
            </w:r>
            <w:r>
              <w:rPr>
                <w:rFonts w:hint="eastAsia" w:ascii="宋体" w:hAnsi="宋体" w:cs="宋体"/>
                <w:bCs/>
                <w:color w:val="auto"/>
                <w:kern w:val="0"/>
                <w:szCs w:val="21"/>
                <w:highlight w:val="none"/>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开标评标办法</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pStyle w:val="18"/>
              <w:spacing w:after="0"/>
              <w:ind w:firstLine="0"/>
              <w:jc w:val="left"/>
              <w:rPr>
                <w:rFonts w:hint="eastAsia" w:ascii="宋体" w:hAnsi="宋体" w:cs="宋体"/>
                <w:color w:val="auto"/>
                <w:spacing w:val="-2"/>
                <w:kern w:val="2"/>
                <w:sz w:val="21"/>
                <w:szCs w:val="21"/>
                <w:highlight w:val="none"/>
                <w:u w:val="single"/>
                <w:lang w:val="en-US" w:eastAsia="zh-CN"/>
              </w:rPr>
            </w:pPr>
            <w:r>
              <w:rPr>
                <w:rFonts w:hint="eastAsia" w:ascii="宋体" w:hAnsi="宋体" w:cs="宋体"/>
                <w:color w:val="auto"/>
                <w:kern w:val="2"/>
                <w:sz w:val="21"/>
                <w:szCs w:val="21"/>
                <w:highlight w:val="none"/>
                <w:lang w:val="en-US" w:eastAsia="zh-CN"/>
              </w:rPr>
              <w:t>方式一：</w:t>
            </w:r>
            <w:r>
              <w:rPr>
                <w:rFonts w:hint="eastAsia" w:ascii="宋体" w:hAnsi="宋体" w:cs="宋体"/>
                <w:color w:val="auto"/>
                <w:spacing w:val="-2"/>
                <w:kern w:val="2"/>
                <w:sz w:val="21"/>
                <w:szCs w:val="21"/>
                <w:highlight w:val="none"/>
                <w:lang w:val="en-US" w:eastAsia="zh-CN"/>
              </w:rPr>
              <w:t>选取方法</w:t>
            </w:r>
            <w:r>
              <w:rPr>
                <w:rFonts w:hint="eastAsia" w:ascii="宋体" w:hAnsi="宋体"/>
                <w:color w:val="auto"/>
                <w:kern w:val="2"/>
                <w:sz w:val="21"/>
                <w:szCs w:val="21"/>
                <w:highlight w:val="none"/>
                <w:u w:val="single"/>
                <w:lang w:val="en-US" w:eastAsia="zh-CN"/>
              </w:rPr>
              <w:t>六</w:t>
            </w:r>
            <w:r>
              <w:rPr>
                <w:rFonts w:hint="eastAsia" w:ascii="宋体" w:hAnsi="宋体" w:cs="宋体"/>
                <w:color w:val="auto"/>
                <w:spacing w:val="-2"/>
                <w:kern w:val="2"/>
                <w:sz w:val="21"/>
                <w:szCs w:val="21"/>
                <w:highlight w:val="none"/>
                <w:u w:val="single"/>
                <w:lang w:val="en-US" w:eastAsia="zh-CN"/>
              </w:rPr>
              <w:t>（适合综合评分法三，技术标与经济标同时开启）</w:t>
            </w:r>
          </w:p>
          <w:p>
            <w:pPr>
              <w:pStyle w:val="18"/>
              <w:spacing w:after="0"/>
              <w:ind w:firstLine="0"/>
              <w:rPr>
                <w:rFonts w:hint="eastAsia" w:ascii="宋体" w:hAnsi="宋体" w:cs="宋体"/>
                <w:b/>
                <w:bCs/>
                <w:color w:val="auto"/>
                <w:spacing w:val="-2"/>
                <w:kern w:val="2"/>
                <w:sz w:val="21"/>
                <w:szCs w:val="21"/>
                <w:highlight w:val="none"/>
                <w:u w:val="single"/>
                <w:lang w:val="en-US" w:eastAsia="zh-CN"/>
              </w:rPr>
            </w:pPr>
            <w:r>
              <w:rPr>
                <w:rFonts w:hint="eastAsia" w:ascii="宋体" w:hAnsi="宋体" w:cs="宋体"/>
                <w:b/>
                <w:bCs/>
                <w:color w:val="auto"/>
                <w:spacing w:val="-2"/>
                <w:kern w:val="2"/>
                <w:sz w:val="21"/>
                <w:szCs w:val="21"/>
                <w:highlight w:val="none"/>
                <w:u w:val="single"/>
                <w:lang w:val="en-US" w:eastAsia="zh-CN"/>
              </w:rPr>
              <w:t>第一阶段得分=技术分×技术分权重（100%）</w:t>
            </w:r>
          </w:p>
          <w:p>
            <w:pPr>
              <w:pStyle w:val="18"/>
              <w:spacing w:after="0"/>
              <w:ind w:firstLine="0"/>
              <w:rPr>
                <w:rFonts w:hint="eastAsia" w:ascii="宋体" w:hAnsi="宋体" w:cs="宋体"/>
                <w:color w:val="auto"/>
                <w:spacing w:val="-2"/>
                <w:kern w:val="2"/>
                <w:sz w:val="21"/>
                <w:szCs w:val="21"/>
                <w:highlight w:val="none"/>
                <w:u w:val="single"/>
                <w:lang w:val="en-US" w:eastAsia="zh-CN"/>
              </w:rPr>
            </w:pPr>
            <w:r>
              <w:rPr>
                <w:rFonts w:hint="eastAsia" w:ascii="宋体" w:hAnsi="宋体" w:cs="宋体"/>
                <w:b/>
                <w:bCs/>
                <w:color w:val="auto"/>
                <w:spacing w:val="-2"/>
                <w:kern w:val="2"/>
                <w:sz w:val="21"/>
                <w:szCs w:val="21"/>
                <w:highlight w:val="none"/>
                <w:u w:val="single"/>
                <w:lang w:val="en-US" w:eastAsia="zh-CN"/>
              </w:rPr>
              <w:t>第二阶段得分=技术分×技术分权重（40%）＋经济分×经济分权重（60%）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olor w:val="auto"/>
                <w:highlight w:val="none"/>
              </w:rPr>
            </w:pPr>
            <w:r>
              <w:rPr>
                <w:rFonts w:hint="eastAsia" w:ascii="宋体" w:hAnsi="宋体"/>
                <w:color w:val="auto"/>
                <w:highlight w:val="none"/>
              </w:rPr>
              <w:t>方式一：中标人提供的履约保证金为中标价款的</w:t>
            </w:r>
            <w:r>
              <w:rPr>
                <w:rFonts w:hint="eastAsia" w:ascii="宋体" w:hAnsi="宋体"/>
                <w:color w:val="auto"/>
                <w:highlight w:val="none"/>
                <w:u w:val="single"/>
              </w:rPr>
              <w:t>10</w:t>
            </w:r>
            <w:r>
              <w:rPr>
                <w:rFonts w:hint="eastAsia" w:ascii="宋体" w:hAnsi="宋体"/>
                <w:color w:val="auto"/>
                <w:highlight w:val="none"/>
              </w:rPr>
              <w:t>%。</w:t>
            </w:r>
          </w:p>
          <w:p>
            <w:pPr>
              <w:rPr>
                <w:rFonts w:hint="eastAsia" w:ascii="宋体" w:hAnsi="宋体" w:cs="宋体"/>
                <w:color w:val="auto"/>
                <w:highlight w:val="none"/>
              </w:rPr>
            </w:pPr>
            <w:r>
              <w:rPr>
                <w:rFonts w:ascii="宋体" w:hAnsi="宋体"/>
                <w:color w:val="auto"/>
                <w:highlight w:val="none"/>
                <w:u w:val="single"/>
              </w:rPr>
              <w:t>形式：银行保函、保证保险、担保保函</w:t>
            </w:r>
            <w:r>
              <w:rPr>
                <w:rFonts w:hint="eastAsia" w:ascii="宋体" w:hAnsi="宋体"/>
                <w:color w:val="auto"/>
                <w:highlight w:val="none"/>
                <w:u w:val="single"/>
              </w:rPr>
              <w:t>或其他合法形式</w:t>
            </w:r>
            <w:r>
              <w:rPr>
                <w:rFonts w:ascii="宋体" w:hAnsi="宋体"/>
                <w:color w:val="auto"/>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rPr>
              <w:t xml:space="preserve"> 87024210.35 </w:t>
            </w:r>
            <w:r>
              <w:rPr>
                <w:rFonts w:hint="eastAsia" w:ascii="宋体" w:hAnsi="宋体" w:cs="宋体"/>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非竞争费用</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olor w:val="auto"/>
                <w:szCs w:val="21"/>
                <w:highlight w:val="none"/>
                <w:lang w:eastAsia="zh-CN"/>
              </w:rPr>
            </w:pPr>
            <w:r>
              <w:rPr>
                <w:rFonts w:hint="eastAsia" w:ascii="宋体" w:hAnsi="宋体"/>
                <w:color w:val="auto"/>
                <w:szCs w:val="21"/>
                <w:highlight w:val="none"/>
              </w:rPr>
              <w:t>本项目</w:t>
            </w:r>
            <w:r>
              <w:rPr>
                <w:rFonts w:hint="eastAsia" w:ascii="宋体" w:hAnsi="宋体"/>
                <w:b/>
                <w:bCs/>
                <w:color w:val="auto"/>
                <w:szCs w:val="21"/>
                <w:highlight w:val="none"/>
              </w:rPr>
              <w:t>绿色施工安全防护措施费为</w:t>
            </w:r>
            <w:r>
              <w:rPr>
                <w:rFonts w:hint="eastAsia" w:ascii="宋体" w:hAnsi="宋体"/>
                <w:b/>
                <w:bCs/>
                <w:color w:val="auto"/>
                <w:szCs w:val="21"/>
                <w:highlight w:val="none"/>
                <w:u w:val="single"/>
              </w:rPr>
              <w:t xml:space="preserve"> 2022198.09 </w:t>
            </w:r>
            <w:r>
              <w:rPr>
                <w:rFonts w:hint="eastAsia" w:ascii="宋体" w:hAnsi="宋体"/>
                <w:b/>
                <w:bCs/>
                <w:color w:val="auto"/>
                <w:szCs w:val="21"/>
                <w:highlight w:val="none"/>
                <w:u w:val="none"/>
              </w:rPr>
              <w:t>元</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其中：</w:t>
            </w:r>
            <w:r>
              <w:rPr>
                <w:rFonts w:hint="eastAsia" w:ascii="宋体" w:hAnsi="宋体"/>
                <w:color w:val="auto"/>
                <w:szCs w:val="21"/>
                <w:highlight w:val="none"/>
              </w:rPr>
              <w:t>道路工程</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779940.11</w:t>
            </w:r>
            <w:r>
              <w:rPr>
                <w:rFonts w:hint="eastAsia" w:ascii="宋体" w:hAnsi="宋体"/>
                <w:color w:val="auto"/>
                <w:szCs w:val="21"/>
                <w:highlight w:val="none"/>
                <w:u w:val="none"/>
              </w:rPr>
              <w:t>元</w:t>
            </w:r>
            <w:r>
              <w:rPr>
                <w:rFonts w:hint="eastAsia" w:ascii="宋体" w:hAnsi="宋体"/>
                <w:color w:val="auto"/>
                <w:szCs w:val="21"/>
                <w:highlight w:val="none"/>
                <w:lang w:eastAsia="zh-CN"/>
              </w:rPr>
              <w:t>，</w:t>
            </w:r>
            <w:r>
              <w:rPr>
                <w:rFonts w:hint="eastAsia" w:ascii="宋体" w:hAnsi="宋体"/>
                <w:color w:val="auto"/>
                <w:szCs w:val="21"/>
                <w:highlight w:val="none"/>
              </w:rPr>
              <w:t>HK0+239.785人行天桥</w:t>
            </w:r>
            <w:r>
              <w:rPr>
                <w:rFonts w:hint="eastAsia" w:ascii="宋体" w:hAnsi="宋体"/>
                <w:color w:val="auto"/>
                <w:szCs w:val="21"/>
                <w:highlight w:val="none"/>
                <w:lang w:eastAsia="zh-CN"/>
              </w:rPr>
              <w:t>：</w:t>
            </w:r>
            <w:r>
              <w:rPr>
                <w:rFonts w:hint="eastAsia" w:ascii="宋体" w:hAnsi="宋体" w:eastAsia="宋体" w:cs="Times New Roman"/>
                <w:i w:val="0"/>
                <w:iCs w:val="0"/>
                <w:color w:val="auto"/>
                <w:kern w:val="2"/>
                <w:sz w:val="21"/>
                <w:szCs w:val="21"/>
                <w:highlight w:val="none"/>
                <w:u w:val="single"/>
                <w:lang w:val="en-US" w:eastAsia="zh-CN" w:bidi="ar"/>
              </w:rPr>
              <w:t>205783.22</w:t>
            </w:r>
            <w:r>
              <w:rPr>
                <w:rFonts w:hint="eastAsia" w:ascii="宋体" w:hAnsi="宋体"/>
                <w:color w:val="auto"/>
                <w:szCs w:val="21"/>
                <w:highlight w:val="none"/>
                <w:u w:val="none"/>
              </w:rPr>
              <w:t>元</w:t>
            </w:r>
            <w:r>
              <w:rPr>
                <w:rFonts w:hint="eastAsia" w:ascii="宋体" w:hAnsi="宋体"/>
                <w:color w:val="auto"/>
                <w:szCs w:val="21"/>
                <w:highlight w:val="none"/>
                <w:lang w:eastAsia="zh-CN"/>
              </w:rPr>
              <w:t>，</w:t>
            </w:r>
            <w:r>
              <w:rPr>
                <w:rFonts w:hint="eastAsia" w:ascii="宋体" w:hAnsi="宋体"/>
                <w:color w:val="auto"/>
                <w:szCs w:val="21"/>
                <w:highlight w:val="none"/>
              </w:rPr>
              <w:t>E匝道桥</w:t>
            </w:r>
            <w:r>
              <w:rPr>
                <w:rFonts w:hint="eastAsia" w:ascii="宋体" w:hAnsi="宋体"/>
                <w:color w:val="auto"/>
                <w:szCs w:val="21"/>
                <w:highlight w:val="none"/>
                <w:lang w:eastAsia="zh-CN"/>
              </w:rPr>
              <w:t>：</w:t>
            </w:r>
            <w:r>
              <w:rPr>
                <w:rFonts w:hint="eastAsia" w:ascii="宋体" w:hAnsi="宋体" w:eastAsia="宋体" w:cs="Times New Roman"/>
                <w:i w:val="0"/>
                <w:iCs w:val="0"/>
                <w:color w:val="auto"/>
                <w:kern w:val="2"/>
                <w:sz w:val="21"/>
                <w:szCs w:val="21"/>
                <w:highlight w:val="none"/>
                <w:u w:val="single"/>
                <w:lang w:val="en-US" w:eastAsia="zh-CN" w:bidi="ar"/>
              </w:rPr>
              <w:t>369103.17</w:t>
            </w:r>
            <w:r>
              <w:rPr>
                <w:rFonts w:hint="eastAsia" w:ascii="宋体" w:hAnsi="宋体"/>
                <w:color w:val="auto"/>
                <w:szCs w:val="21"/>
                <w:highlight w:val="none"/>
                <w:u w:val="none"/>
              </w:rPr>
              <w:t>元</w:t>
            </w:r>
            <w:r>
              <w:rPr>
                <w:rFonts w:hint="eastAsia" w:ascii="宋体" w:hAnsi="宋体"/>
                <w:color w:val="auto"/>
                <w:szCs w:val="21"/>
                <w:highlight w:val="none"/>
                <w:lang w:eastAsia="zh-CN"/>
              </w:rPr>
              <w:t>，</w:t>
            </w:r>
            <w:r>
              <w:rPr>
                <w:rFonts w:hint="eastAsia" w:ascii="宋体" w:hAnsi="宋体"/>
                <w:color w:val="auto"/>
                <w:szCs w:val="21"/>
                <w:highlight w:val="none"/>
              </w:rPr>
              <w:t>交通工程及交通疏解工程</w:t>
            </w:r>
            <w:bookmarkStart w:id="52" w:name="_GoBack"/>
            <w:bookmarkEnd w:id="52"/>
            <w:r>
              <w:rPr>
                <w:rFonts w:hint="eastAsia" w:ascii="宋体" w:hAnsi="宋体"/>
                <w:color w:val="auto"/>
                <w:szCs w:val="21"/>
                <w:highlight w:val="none"/>
                <w:lang w:eastAsia="zh-CN"/>
              </w:rPr>
              <w:t>：</w:t>
            </w:r>
            <w:r>
              <w:rPr>
                <w:rFonts w:hint="eastAsia" w:ascii="宋体" w:hAnsi="宋体" w:eastAsia="宋体" w:cs="Times New Roman"/>
                <w:i w:val="0"/>
                <w:iCs w:val="0"/>
                <w:color w:val="auto"/>
                <w:kern w:val="2"/>
                <w:sz w:val="21"/>
                <w:szCs w:val="21"/>
                <w:highlight w:val="none"/>
                <w:u w:val="single"/>
                <w:lang w:val="en-US" w:eastAsia="zh-CN" w:bidi="ar"/>
              </w:rPr>
              <w:t>109017.99</w:t>
            </w:r>
            <w:r>
              <w:rPr>
                <w:rFonts w:hint="eastAsia" w:ascii="宋体" w:hAnsi="宋体"/>
                <w:color w:val="auto"/>
                <w:szCs w:val="21"/>
                <w:highlight w:val="none"/>
                <w:u w:val="none"/>
              </w:rPr>
              <w:t>元</w:t>
            </w:r>
            <w:r>
              <w:rPr>
                <w:rFonts w:hint="eastAsia" w:ascii="宋体" w:hAnsi="宋体"/>
                <w:color w:val="auto"/>
                <w:szCs w:val="21"/>
                <w:highlight w:val="none"/>
                <w:lang w:eastAsia="zh-CN"/>
              </w:rPr>
              <w:t>，</w:t>
            </w:r>
            <w:r>
              <w:rPr>
                <w:rFonts w:hint="eastAsia" w:ascii="宋体" w:hAnsi="宋体"/>
                <w:color w:val="auto"/>
                <w:szCs w:val="21"/>
                <w:highlight w:val="none"/>
              </w:rPr>
              <w:t>排水工程</w:t>
            </w:r>
            <w:r>
              <w:rPr>
                <w:rFonts w:hint="eastAsia" w:ascii="宋体" w:hAnsi="宋体"/>
                <w:color w:val="auto"/>
                <w:szCs w:val="21"/>
                <w:highlight w:val="none"/>
                <w:lang w:eastAsia="zh-CN"/>
              </w:rPr>
              <w:t>：</w:t>
            </w:r>
            <w:r>
              <w:rPr>
                <w:rFonts w:hint="eastAsia" w:ascii="宋体" w:hAnsi="宋体" w:eastAsia="宋体" w:cs="Times New Roman"/>
                <w:i w:val="0"/>
                <w:iCs w:val="0"/>
                <w:color w:val="auto"/>
                <w:kern w:val="2"/>
                <w:sz w:val="21"/>
                <w:szCs w:val="21"/>
                <w:highlight w:val="none"/>
                <w:u w:val="single"/>
                <w:lang w:val="en-US" w:eastAsia="zh-CN" w:bidi="ar"/>
              </w:rPr>
              <w:t>353061.47</w:t>
            </w:r>
            <w:r>
              <w:rPr>
                <w:rFonts w:hint="eastAsia" w:ascii="宋体" w:hAnsi="宋体"/>
                <w:color w:val="auto"/>
                <w:szCs w:val="21"/>
                <w:highlight w:val="none"/>
                <w:u w:val="none"/>
              </w:rPr>
              <w:t>元</w:t>
            </w:r>
            <w:r>
              <w:rPr>
                <w:rFonts w:hint="eastAsia" w:ascii="宋体" w:hAnsi="宋体"/>
                <w:color w:val="auto"/>
                <w:szCs w:val="21"/>
                <w:highlight w:val="none"/>
                <w:lang w:eastAsia="zh-CN"/>
              </w:rPr>
              <w:t>，</w:t>
            </w:r>
            <w:r>
              <w:rPr>
                <w:rFonts w:hint="eastAsia" w:ascii="宋体" w:hAnsi="宋体"/>
                <w:color w:val="auto"/>
                <w:szCs w:val="21"/>
                <w:highlight w:val="none"/>
              </w:rPr>
              <w:t>照明工程</w:t>
            </w:r>
            <w:r>
              <w:rPr>
                <w:rFonts w:hint="eastAsia" w:ascii="宋体" w:hAnsi="宋体"/>
                <w:color w:val="auto"/>
                <w:szCs w:val="21"/>
                <w:highlight w:val="none"/>
                <w:lang w:eastAsia="zh-CN"/>
              </w:rPr>
              <w:t>：</w:t>
            </w:r>
            <w:r>
              <w:rPr>
                <w:rFonts w:hint="eastAsia" w:ascii="宋体" w:hAnsi="宋体" w:eastAsia="宋体" w:cs="Times New Roman"/>
                <w:i w:val="0"/>
                <w:iCs w:val="0"/>
                <w:color w:val="auto"/>
                <w:kern w:val="2"/>
                <w:sz w:val="21"/>
                <w:szCs w:val="21"/>
                <w:highlight w:val="none"/>
                <w:u w:val="single"/>
                <w:lang w:val="en-US" w:eastAsia="zh-CN" w:bidi="ar"/>
              </w:rPr>
              <w:t>107747.35</w:t>
            </w:r>
            <w:r>
              <w:rPr>
                <w:rFonts w:hint="eastAsia" w:ascii="宋体" w:hAnsi="宋体"/>
                <w:color w:val="auto"/>
                <w:szCs w:val="21"/>
                <w:highlight w:val="none"/>
                <w:u w:val="none"/>
              </w:rPr>
              <w:t>元</w:t>
            </w:r>
            <w:r>
              <w:rPr>
                <w:rFonts w:hint="eastAsia" w:ascii="宋体" w:hAnsi="宋体"/>
                <w:color w:val="auto"/>
                <w:szCs w:val="21"/>
                <w:highlight w:val="none"/>
                <w:lang w:eastAsia="zh-CN"/>
              </w:rPr>
              <w:t>，</w:t>
            </w:r>
            <w:r>
              <w:rPr>
                <w:rFonts w:hint="eastAsia" w:ascii="宋体" w:hAnsi="宋体"/>
                <w:color w:val="auto"/>
                <w:szCs w:val="21"/>
                <w:highlight w:val="none"/>
              </w:rPr>
              <w:t>电力工程</w:t>
            </w:r>
            <w:r>
              <w:rPr>
                <w:rFonts w:hint="eastAsia" w:ascii="宋体" w:hAnsi="宋体"/>
                <w:color w:val="auto"/>
                <w:szCs w:val="21"/>
                <w:highlight w:val="none"/>
                <w:lang w:eastAsia="zh-CN"/>
              </w:rPr>
              <w:t>：</w:t>
            </w:r>
            <w:r>
              <w:rPr>
                <w:rFonts w:hint="eastAsia" w:ascii="宋体" w:hAnsi="宋体" w:eastAsia="宋体" w:cs="Times New Roman"/>
                <w:i w:val="0"/>
                <w:iCs w:val="0"/>
                <w:color w:val="auto"/>
                <w:kern w:val="2"/>
                <w:sz w:val="21"/>
                <w:szCs w:val="21"/>
                <w:highlight w:val="none"/>
                <w:u w:val="single"/>
                <w:lang w:val="en-US" w:eastAsia="zh-CN" w:bidi="ar"/>
              </w:rPr>
              <w:t>19803.54</w:t>
            </w:r>
            <w:r>
              <w:rPr>
                <w:rFonts w:hint="eastAsia" w:ascii="宋体" w:hAnsi="宋体"/>
                <w:color w:val="auto"/>
                <w:szCs w:val="21"/>
                <w:highlight w:val="none"/>
                <w:u w:val="none"/>
              </w:rPr>
              <w:t>元</w:t>
            </w:r>
            <w:r>
              <w:rPr>
                <w:rFonts w:hint="eastAsia" w:ascii="宋体" w:hAnsi="宋体"/>
                <w:color w:val="auto"/>
                <w:szCs w:val="21"/>
                <w:highlight w:val="none"/>
                <w:lang w:eastAsia="zh-CN"/>
              </w:rPr>
              <w:t>，</w:t>
            </w:r>
            <w:r>
              <w:rPr>
                <w:rFonts w:hint="eastAsia" w:ascii="宋体" w:hAnsi="宋体"/>
                <w:color w:val="auto"/>
                <w:szCs w:val="21"/>
                <w:highlight w:val="none"/>
              </w:rPr>
              <w:t>通信工程</w:t>
            </w:r>
            <w:r>
              <w:rPr>
                <w:rFonts w:hint="eastAsia" w:ascii="宋体" w:hAnsi="宋体"/>
                <w:color w:val="auto"/>
                <w:szCs w:val="21"/>
                <w:highlight w:val="none"/>
                <w:lang w:eastAsia="zh-CN"/>
              </w:rPr>
              <w:t>：</w:t>
            </w:r>
            <w:r>
              <w:rPr>
                <w:rFonts w:hint="eastAsia" w:ascii="宋体" w:hAnsi="宋体" w:eastAsia="宋体" w:cs="Times New Roman"/>
                <w:i w:val="0"/>
                <w:iCs w:val="0"/>
                <w:color w:val="auto"/>
                <w:kern w:val="2"/>
                <w:sz w:val="21"/>
                <w:szCs w:val="21"/>
                <w:highlight w:val="none"/>
                <w:u w:val="single"/>
                <w:lang w:val="en-US" w:eastAsia="zh-CN" w:bidi="ar"/>
              </w:rPr>
              <w:t>26466.01</w:t>
            </w:r>
            <w:r>
              <w:rPr>
                <w:rFonts w:hint="eastAsia" w:ascii="宋体" w:hAnsi="宋体"/>
                <w:color w:val="auto"/>
                <w:szCs w:val="21"/>
                <w:highlight w:val="none"/>
                <w:u w:val="none"/>
              </w:rPr>
              <w:t>元</w:t>
            </w:r>
            <w:r>
              <w:rPr>
                <w:rFonts w:hint="eastAsia" w:ascii="宋体" w:hAnsi="宋体"/>
                <w:color w:val="auto"/>
                <w:szCs w:val="21"/>
                <w:highlight w:val="none"/>
                <w:lang w:eastAsia="zh-CN"/>
              </w:rPr>
              <w:t>，</w:t>
            </w:r>
            <w:r>
              <w:rPr>
                <w:rFonts w:hint="eastAsia" w:ascii="宋体" w:hAnsi="宋体"/>
                <w:color w:val="auto"/>
                <w:szCs w:val="21"/>
                <w:highlight w:val="none"/>
              </w:rPr>
              <w:t>绿化工程</w:t>
            </w:r>
            <w:r>
              <w:rPr>
                <w:rFonts w:hint="eastAsia" w:ascii="宋体" w:hAnsi="宋体"/>
                <w:color w:val="auto"/>
                <w:szCs w:val="21"/>
                <w:highlight w:val="none"/>
                <w:lang w:eastAsia="zh-CN"/>
              </w:rPr>
              <w:t>：</w:t>
            </w:r>
            <w:r>
              <w:rPr>
                <w:rFonts w:hint="eastAsia" w:ascii="宋体" w:hAnsi="宋体" w:eastAsia="宋体" w:cs="Times New Roman"/>
                <w:i w:val="0"/>
                <w:iCs w:val="0"/>
                <w:color w:val="auto"/>
                <w:kern w:val="2"/>
                <w:sz w:val="21"/>
                <w:szCs w:val="21"/>
                <w:highlight w:val="none"/>
                <w:u w:val="single"/>
                <w:lang w:val="en-US" w:eastAsia="zh-CN" w:bidi="ar"/>
              </w:rPr>
              <w:t>12987.29</w:t>
            </w:r>
            <w:r>
              <w:rPr>
                <w:rFonts w:hint="eastAsia" w:ascii="宋体" w:hAnsi="宋体"/>
                <w:color w:val="auto"/>
                <w:szCs w:val="21"/>
                <w:highlight w:val="none"/>
                <w:u w:val="none"/>
              </w:rPr>
              <w:t>元</w:t>
            </w:r>
            <w:r>
              <w:rPr>
                <w:rFonts w:hint="eastAsia" w:ascii="宋体" w:hAnsi="宋体"/>
                <w:color w:val="auto"/>
                <w:szCs w:val="21"/>
                <w:highlight w:val="none"/>
                <w:lang w:eastAsia="zh-CN"/>
              </w:rPr>
              <w:t>，</w:t>
            </w:r>
            <w:r>
              <w:rPr>
                <w:rFonts w:hint="eastAsia" w:ascii="宋体" w:hAnsi="宋体"/>
                <w:color w:val="auto"/>
                <w:szCs w:val="21"/>
                <w:highlight w:val="none"/>
              </w:rPr>
              <w:t>绿化迁移</w:t>
            </w:r>
            <w:r>
              <w:rPr>
                <w:rFonts w:hint="eastAsia" w:ascii="宋体" w:hAnsi="宋体"/>
                <w:color w:val="auto"/>
                <w:szCs w:val="21"/>
                <w:highlight w:val="none"/>
                <w:lang w:eastAsia="zh-CN"/>
              </w:rPr>
              <w:t>：</w:t>
            </w:r>
            <w:r>
              <w:rPr>
                <w:rFonts w:hint="eastAsia" w:ascii="宋体" w:hAnsi="宋体" w:eastAsia="宋体" w:cs="Times New Roman"/>
                <w:i w:val="0"/>
                <w:iCs w:val="0"/>
                <w:color w:val="auto"/>
                <w:kern w:val="2"/>
                <w:sz w:val="21"/>
                <w:szCs w:val="21"/>
                <w:highlight w:val="none"/>
                <w:u w:val="single"/>
                <w:lang w:val="en-US" w:eastAsia="zh-CN" w:bidi="ar"/>
              </w:rPr>
              <w:t>38287.94</w:t>
            </w:r>
            <w:r>
              <w:rPr>
                <w:rFonts w:hint="eastAsia" w:ascii="宋体" w:hAnsi="宋体"/>
                <w:color w:val="auto"/>
                <w:szCs w:val="21"/>
                <w:highlight w:val="none"/>
                <w:u w:val="none"/>
              </w:rPr>
              <w:t>元</w:t>
            </w: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lang w:val="en-US" w:eastAsia="zh-CN"/>
              </w:rPr>
              <w:t>总价包干项目</w:t>
            </w:r>
            <w:r>
              <w:rPr>
                <w:rFonts w:hint="eastAsia" w:ascii="宋体" w:hAnsi="宋体"/>
                <w:b w:val="0"/>
                <w:bCs w:val="0"/>
                <w:color w:val="auto"/>
                <w:szCs w:val="21"/>
                <w:highlight w:val="none"/>
                <w:lang w:eastAsia="zh-CN"/>
              </w:rPr>
              <w:t>：</w:t>
            </w:r>
            <w:r>
              <w:rPr>
                <w:rFonts w:hint="eastAsia" w:ascii="宋体" w:hAnsi="宋体" w:eastAsia="宋体" w:cs="Times New Roman"/>
                <w:b w:val="0"/>
                <w:bCs w:val="0"/>
                <w:i w:val="0"/>
                <w:iCs w:val="0"/>
                <w:color w:val="auto"/>
                <w:kern w:val="2"/>
                <w:sz w:val="21"/>
                <w:szCs w:val="21"/>
                <w:highlight w:val="none"/>
                <w:u w:val="single"/>
                <w:lang w:val="en-US" w:eastAsia="zh-CN" w:bidi="ar"/>
              </w:rPr>
              <w:t>0</w:t>
            </w:r>
            <w:r>
              <w:rPr>
                <w:rFonts w:hint="eastAsia" w:ascii="宋体" w:hAnsi="宋体"/>
                <w:b w:val="0"/>
                <w:bCs w:val="0"/>
                <w:color w:val="auto"/>
                <w:szCs w:val="21"/>
                <w:highlight w:val="none"/>
                <w:u w:val="none"/>
              </w:rPr>
              <w:t>元</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w:t>
            </w:r>
          </w:p>
          <w:p>
            <w:pPr>
              <w:rPr>
                <w:rFonts w:hint="eastAsia" w:ascii="宋体" w:hAnsi="宋体" w:cs="宋体"/>
                <w:color w:val="auto"/>
                <w:szCs w:val="21"/>
                <w:highlight w:val="none"/>
              </w:rPr>
            </w:pPr>
            <w:r>
              <w:rPr>
                <w:rFonts w:hint="eastAsia" w:ascii="宋体" w:hAnsi="宋体"/>
                <w:b/>
                <w:bCs/>
                <w:color w:val="auto"/>
                <w:szCs w:val="21"/>
                <w:highlight w:val="none"/>
              </w:rPr>
              <w:t>暂列金额为</w:t>
            </w:r>
            <w:r>
              <w:rPr>
                <w:rFonts w:hint="eastAsia" w:ascii="宋体" w:hAnsi="宋体"/>
                <w:b/>
                <w:bCs/>
                <w:color w:val="auto"/>
                <w:szCs w:val="21"/>
                <w:highlight w:val="none"/>
                <w:u w:val="single"/>
              </w:rPr>
              <w:t>4330193.85</w:t>
            </w:r>
            <w:r>
              <w:rPr>
                <w:rFonts w:hint="eastAsia" w:ascii="宋体" w:hAnsi="宋体"/>
                <w:b/>
                <w:bCs/>
                <w:color w:val="auto"/>
                <w:szCs w:val="21"/>
                <w:highlight w:val="none"/>
                <w:u w:val="none"/>
              </w:rPr>
              <w:t>元</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其中：</w:t>
            </w:r>
            <w:r>
              <w:rPr>
                <w:rFonts w:hint="eastAsia" w:ascii="宋体" w:hAnsi="宋体"/>
                <w:color w:val="auto"/>
                <w:szCs w:val="21"/>
                <w:highlight w:val="none"/>
              </w:rPr>
              <w:t>道路工程</w:t>
            </w:r>
            <w:r>
              <w:rPr>
                <w:rFonts w:hint="eastAsia" w:ascii="宋体" w:hAnsi="宋体"/>
                <w:color w:val="auto"/>
                <w:szCs w:val="21"/>
                <w:highlight w:val="none"/>
                <w:lang w:eastAsia="zh-CN"/>
              </w:rPr>
              <w:t>：</w:t>
            </w:r>
            <w:r>
              <w:rPr>
                <w:rFonts w:hint="eastAsia" w:ascii="宋体" w:hAnsi="宋体"/>
                <w:color w:val="auto"/>
                <w:szCs w:val="21"/>
                <w:highlight w:val="none"/>
                <w:u w:val="single"/>
                <w:lang w:eastAsia="zh-CN"/>
              </w:rPr>
              <w:t>1541725.29</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HK0+239.785人行天桥</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288176.41</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E匝道桥</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1316046.95</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交通工程及交通疏解工程</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262418.21</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排水工程</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602100.98</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照明工程</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168960.75</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电力工程</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33754.78</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通信工程</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33466.64</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绿化工程</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34491.33</w:t>
            </w:r>
            <w:r>
              <w:rPr>
                <w:rFonts w:hint="eastAsia" w:ascii="宋体" w:hAnsi="宋体"/>
                <w:color w:val="auto"/>
                <w:szCs w:val="21"/>
                <w:highlight w:val="none"/>
              </w:rPr>
              <w:t>元</w:t>
            </w:r>
            <w:r>
              <w:rPr>
                <w:rFonts w:hint="eastAsia" w:ascii="宋体" w:hAnsi="宋体"/>
                <w:color w:val="auto"/>
                <w:szCs w:val="21"/>
                <w:highlight w:val="none"/>
                <w:lang w:eastAsia="zh-CN"/>
              </w:rPr>
              <w:t>，</w:t>
            </w:r>
            <w:r>
              <w:rPr>
                <w:rFonts w:hint="eastAsia" w:ascii="宋体" w:hAnsi="宋体"/>
                <w:color w:val="auto"/>
                <w:szCs w:val="21"/>
                <w:highlight w:val="none"/>
              </w:rPr>
              <w:t>绿化迁移</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49052.51</w:t>
            </w:r>
            <w:r>
              <w:rPr>
                <w:rFonts w:hint="eastAsia" w:ascii="宋体" w:hAnsi="宋体"/>
                <w:color w:val="auto"/>
                <w:szCs w:val="21"/>
                <w:highlight w:val="none"/>
              </w:rPr>
              <w:t>元</w:t>
            </w: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lang w:val="en-US" w:eastAsia="zh-CN"/>
              </w:rPr>
              <w:t>总价包干项目</w:t>
            </w:r>
            <w:r>
              <w:rPr>
                <w:rFonts w:hint="eastAsia" w:ascii="宋体" w:hAnsi="宋体"/>
                <w:b w:val="0"/>
                <w:bCs w:val="0"/>
                <w:color w:val="auto"/>
                <w:szCs w:val="21"/>
                <w:highlight w:val="none"/>
                <w:lang w:eastAsia="zh-CN"/>
              </w:rPr>
              <w:t>：</w:t>
            </w:r>
            <w:r>
              <w:rPr>
                <w:rFonts w:hint="eastAsia" w:ascii="宋体" w:hAnsi="宋体" w:eastAsia="宋体" w:cs="Times New Roman"/>
                <w:b w:val="0"/>
                <w:bCs w:val="0"/>
                <w:i w:val="0"/>
                <w:iCs w:val="0"/>
                <w:color w:val="auto"/>
                <w:kern w:val="2"/>
                <w:sz w:val="21"/>
                <w:szCs w:val="21"/>
                <w:highlight w:val="none"/>
                <w:u w:val="single"/>
                <w:lang w:val="en-US" w:eastAsia="zh-CN" w:bidi="ar"/>
              </w:rPr>
              <w:t>0</w:t>
            </w:r>
            <w:r>
              <w:rPr>
                <w:rFonts w:hint="eastAsia" w:ascii="宋体" w:hAnsi="宋体"/>
                <w:b w:val="0"/>
                <w:bCs w:val="0"/>
                <w:color w:val="auto"/>
                <w:szCs w:val="21"/>
                <w:highlight w:val="none"/>
                <w:u w:val="none"/>
              </w:rPr>
              <w:t>元</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w:t>
            </w:r>
            <w:r>
              <w:rPr>
                <w:rFonts w:hint="eastAsia" w:ascii="宋体" w:hAnsi="宋体"/>
                <w:b/>
                <w:bCs/>
                <w:color w:val="auto"/>
                <w:szCs w:val="21"/>
                <w:highlight w:val="none"/>
              </w:rPr>
              <w:t>暂估价为</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954128.44</w:t>
            </w:r>
            <w:r>
              <w:rPr>
                <w:rFonts w:hint="eastAsia" w:ascii="宋体" w:hAnsi="宋体"/>
                <w:b/>
                <w:bCs/>
                <w:color w:val="auto"/>
                <w:szCs w:val="21"/>
                <w:highlight w:val="none"/>
                <w:u w:val="none"/>
              </w:rPr>
              <w:t>元</w:t>
            </w:r>
            <w:r>
              <w:rPr>
                <w:rFonts w:hint="eastAsia" w:ascii="宋体" w:hAnsi="宋体"/>
                <w:color w:val="auto"/>
                <w:szCs w:val="21"/>
                <w:highlight w:val="none"/>
              </w:rPr>
              <w:t>。</w:t>
            </w:r>
            <w:r>
              <w:rPr>
                <w:rFonts w:hint="eastAsia" w:ascii="宋体" w:hAnsi="宋体" w:cs="Times New Roman"/>
                <w:color w:val="auto"/>
                <w:szCs w:val="21"/>
                <w:highlight w:val="none"/>
              </w:rPr>
              <w:t>（未</w:t>
            </w:r>
            <w:r>
              <w:rPr>
                <w:rFonts w:hint="eastAsia" w:ascii="宋体" w:hAnsi="宋体" w:cs="宋体"/>
                <w:color w:val="auto"/>
                <w:szCs w:val="21"/>
                <w:highlight w:val="none"/>
              </w:rPr>
              <w:t>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pStyle w:val="18"/>
              <w:spacing w:after="0"/>
              <w:ind w:firstLine="0"/>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保修期</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453"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ind w:left="-27" w:leftChars="-13" w:right="-59" w:rightChars="-28"/>
              <w:jc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814" w:type="dxa"/>
            <w:tcBorders>
              <w:top w:val="single" w:color="auto" w:sz="4" w:space="0"/>
              <w:left w:val="single" w:color="auto" w:sz="4" w:space="0"/>
              <w:bottom w:val="single" w:color="auto" w:sz="4" w:space="0"/>
              <w:right w:val="single" w:color="auto" w:sz="4" w:space="0"/>
            </w:tcBorders>
            <w:noWrap w:val="0"/>
            <w:vAlign w:val="center"/>
          </w:tcPr>
          <w:p>
            <w:pPr>
              <w:ind w:left="-27" w:leftChars="-13" w:right="-59" w:rightChars="-28" w:firstLine="458"/>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ind w:left="-65" w:leftChars="-31" w:right="-59" w:rightChars="-28"/>
              <w:jc w:val="left"/>
              <w:rPr>
                <w:rFonts w:hint="eastAsia"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ind w:left="-27" w:leftChars="-13" w:right="-59" w:rightChars="-28"/>
              <w:rPr>
                <w:rFonts w:hint="eastAsia" w:ascii="宋体" w:hAnsi="宋体" w:cs="宋体"/>
                <w:color w:val="auto"/>
                <w:szCs w:val="21"/>
                <w:highlight w:val="none"/>
              </w:rPr>
            </w:pPr>
            <w:r>
              <w:rPr>
                <w:rFonts w:hint="eastAsia" w:ascii="宋体" w:hAnsi="宋体" w:cs="宋体"/>
                <w:color w:val="auto"/>
                <w:szCs w:val="21"/>
                <w:highlight w:val="none"/>
              </w:rPr>
              <w:t>①通过技术有效性审查的投标人均进入第二阶段（适用于通过技术有效性审查家数在</w:t>
            </w:r>
            <w:r>
              <w:rPr>
                <w:rFonts w:hint="eastAsia" w:ascii="宋体" w:hAnsi="宋体" w:cs="宋体"/>
                <w:b/>
                <w:bCs/>
                <w:color w:val="auto"/>
                <w:szCs w:val="21"/>
                <w:highlight w:val="none"/>
              </w:rPr>
              <w:t>[3,7]</w:t>
            </w:r>
            <w:r>
              <w:rPr>
                <w:rFonts w:hint="eastAsia" w:ascii="宋体" w:hAnsi="宋体" w:cs="宋体"/>
                <w:color w:val="auto"/>
                <w:szCs w:val="21"/>
                <w:highlight w:val="none"/>
              </w:rPr>
              <w:t>中的）。</w:t>
            </w:r>
          </w:p>
          <w:p>
            <w:pPr>
              <w:ind w:left="-27" w:leftChars="-13" w:right="-59" w:rightChars="-28"/>
              <w:rPr>
                <w:rFonts w:hint="eastAsia" w:ascii="宋体" w:hAnsi="宋体" w:cs="宋体"/>
                <w:color w:val="auto"/>
                <w:szCs w:val="21"/>
                <w:highlight w:val="none"/>
              </w:rPr>
            </w:pPr>
            <w:r>
              <w:rPr>
                <w:rFonts w:hint="eastAsia" w:ascii="宋体" w:hAnsi="宋体" w:cs="宋体"/>
                <w:color w:val="auto"/>
                <w:szCs w:val="21"/>
                <w:highlight w:val="none"/>
              </w:rPr>
              <w:t>②将第一阶段得分由高至低排序，</w:t>
            </w:r>
            <w:r>
              <w:rPr>
                <w:rFonts w:hint="eastAsia" w:ascii="宋体" w:hAnsi="宋体" w:cs="宋体"/>
                <w:b/>
                <w:bCs/>
                <w:color w:val="auto"/>
                <w:szCs w:val="21"/>
                <w:highlight w:val="none"/>
              </w:rPr>
              <w:t>前7名</w:t>
            </w:r>
            <w:r>
              <w:rPr>
                <w:rFonts w:hint="eastAsia" w:ascii="宋体" w:hAnsi="宋体" w:cs="宋体"/>
                <w:color w:val="auto"/>
                <w:szCs w:val="21"/>
                <w:highlight w:val="none"/>
              </w:rPr>
              <w:t>投标人进入第二阶段评审（适用于通过技术有效性审查家数大于</w:t>
            </w:r>
            <w:r>
              <w:rPr>
                <w:rFonts w:hint="eastAsia" w:ascii="宋体" w:hAnsi="宋体" w:cs="宋体"/>
                <w:color w:val="auto"/>
                <w:szCs w:val="21"/>
                <w:highlight w:val="none"/>
                <w:u w:val="single"/>
              </w:rPr>
              <w:t>7</w:t>
            </w:r>
            <w:r>
              <w:rPr>
                <w:rFonts w:hint="eastAsia" w:ascii="宋体" w:hAnsi="宋体" w:cs="宋体"/>
                <w:color w:val="auto"/>
                <w:szCs w:val="21"/>
                <w:highlight w:val="none"/>
              </w:rPr>
              <w:t>家的）。</w:t>
            </w:r>
          </w:p>
          <w:p>
            <w:pPr>
              <w:ind w:left="-27" w:leftChars="-13" w:right="-59" w:rightChars="-28"/>
              <w:rPr>
                <w:rFonts w:hint="eastAsia" w:ascii="宋体" w:hAnsi="宋体" w:cs="宋体"/>
                <w:color w:val="auto"/>
                <w:szCs w:val="21"/>
                <w:highlight w:val="none"/>
              </w:rPr>
            </w:pPr>
            <w:r>
              <w:rPr>
                <w:rFonts w:hint="eastAsia" w:ascii="宋体" w:hAnsi="宋体" w:cs="宋体"/>
                <w:color w:val="auto"/>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工程成本警戒价</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u w:val="single"/>
              </w:rPr>
              <w:t xml:space="preserve"> 73970578.8 </w:t>
            </w:r>
            <w:r>
              <w:rPr>
                <w:rFonts w:hint="eastAsia" w:ascii="宋体" w:hAnsi="宋体" w:cs="宋体"/>
                <w:color w:val="auto"/>
                <w:szCs w:val="21"/>
                <w:highlight w:val="none"/>
              </w:rPr>
              <w:t>元（最高投标限价的</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hint="eastAsia"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315"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27</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第一阶段各分值的权重</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pacing w:val="-4"/>
                <w:szCs w:val="21"/>
                <w:highlight w:val="none"/>
              </w:rPr>
            </w:pPr>
            <w:r>
              <w:rPr>
                <w:rFonts w:hint="eastAsia" w:ascii="宋体" w:hAnsi="宋体"/>
                <w:b/>
                <w:color w:val="auto"/>
                <w:szCs w:val="21"/>
                <w:highlight w:val="none"/>
                <w:u w:val="single"/>
              </w:rPr>
              <w:t>第一阶段得分=技术分×技术分权重（100%）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r>
              <w:rPr>
                <w:rFonts w:hint="eastAsia" w:ascii="宋体" w:hAnsi="宋体"/>
                <w:color w:val="auto"/>
                <w:highlight w:val="none"/>
              </w:rPr>
              <w:t>评标委员会构成5人或以上单数，专家人数不得少于成员总数的三分之二。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29</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企业综合诚信评价分数</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本条不适用。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ascii="宋体" w:hAnsi="宋体"/>
                <w:color w:val="auto"/>
                <w:szCs w:val="21"/>
                <w:highlight w:val="none"/>
                <w:u w:val="single"/>
              </w:rPr>
            </w:pPr>
            <w:r>
              <w:rPr>
                <w:rFonts w:hint="eastAsia" w:ascii="宋体" w:hAnsi="宋体"/>
                <w:color w:val="auto"/>
                <w:szCs w:val="21"/>
                <w:highlight w:val="none"/>
              </w:rPr>
              <w:t>选取方法</w:t>
            </w:r>
            <w:r>
              <w:rPr>
                <w:rFonts w:hint="eastAsia" w:ascii="宋体" w:hAnsi="宋体"/>
                <w:color w:val="auto"/>
                <w:szCs w:val="21"/>
                <w:highlight w:val="none"/>
                <w:u w:val="single"/>
              </w:rPr>
              <w:t xml:space="preserve"> 二 </w:t>
            </w:r>
          </w:p>
          <w:p>
            <w:pPr>
              <w:rPr>
                <w:rFonts w:hint="eastAsia"/>
                <w:color w:val="auto"/>
                <w:szCs w:val="21"/>
                <w:highlight w:val="none"/>
              </w:rPr>
            </w:pPr>
            <w:r>
              <w:rPr>
                <w:rFonts w:hint="eastAsia" w:ascii="宋体" w:hAnsi="宋体"/>
                <w:color w:val="auto"/>
                <w:szCs w:val="21"/>
                <w:highlight w:val="none"/>
              </w:rPr>
              <w:t>方法二：</w:t>
            </w:r>
            <w:r>
              <w:rPr>
                <w:rFonts w:hint="eastAsia" w:ascii="宋体" w:hAnsi="宋体"/>
                <w:color w:val="auto"/>
                <w:szCs w:val="21"/>
                <w:highlight w:val="none"/>
                <w:u w:val="single"/>
              </w:rPr>
              <w:t>评标委员会</w:t>
            </w:r>
            <w:r>
              <w:rPr>
                <w:rFonts w:hint="eastAsia" w:ascii="宋体" w:hAnsi="宋体" w:cs="宋体"/>
                <w:color w:val="auto"/>
                <w:szCs w:val="21"/>
                <w:highlight w:val="none"/>
                <w:u w:val="single"/>
              </w:rPr>
              <w:t>按照“</w:t>
            </w:r>
            <w:r>
              <w:rPr>
                <w:rFonts w:hint="eastAsia" w:ascii="宋体" w:hAnsi="宋体"/>
                <w:b/>
                <w:color w:val="auto"/>
                <w:szCs w:val="21"/>
                <w:highlight w:val="none"/>
                <w:u w:val="single"/>
              </w:rPr>
              <w:t>总分（满分为100分）=</w:t>
            </w:r>
            <w:r>
              <w:rPr>
                <w:rStyle w:val="25"/>
                <w:rFonts w:hint="eastAsia" w:ascii="宋体" w:hAnsi="宋体"/>
                <w:b/>
                <w:color w:val="auto"/>
                <w:szCs w:val="21"/>
                <w:highlight w:val="none"/>
                <w:u w:val="single"/>
              </w:rPr>
              <w:t>技术分×技术分权重（40%）＋经济分×经济分权重（60%）</w:t>
            </w:r>
            <w:r>
              <w:rPr>
                <w:rFonts w:hint="eastAsia" w:ascii="宋体" w:hAnsi="宋体"/>
                <w:color w:val="auto"/>
                <w:szCs w:val="21"/>
                <w:highlight w:val="none"/>
                <w:u w:val="single"/>
              </w:rPr>
              <w:t>”</w:t>
            </w:r>
            <w:r>
              <w:rPr>
                <w:rFonts w:hint="eastAsia" w:ascii="宋体" w:hAnsi="宋体" w:cs="宋体"/>
                <w:color w:val="auto"/>
                <w:szCs w:val="21"/>
                <w:highlight w:val="none"/>
                <w:u w:val="single"/>
              </w:rPr>
              <w:t>的公式，</w:t>
            </w:r>
            <w:r>
              <w:rPr>
                <w:rFonts w:hint="eastAsia" w:ascii="宋体" w:hAnsi="宋体"/>
                <w:color w:val="auto"/>
                <w:szCs w:val="21"/>
                <w:highlight w:val="none"/>
              </w:rPr>
              <w:t>计算各有效投标文件的总得分，并按照总得分从高到低排序。</w:t>
            </w:r>
            <w:r>
              <w:rPr>
                <w:rFonts w:hint="eastAsia"/>
                <w:color w:val="auto"/>
                <w:szCs w:val="21"/>
                <w:highlight w:val="none"/>
              </w:rPr>
              <w:t>总得分相同的投标文件，以报价较低的排前；总得分与报价均相同的投标文件，以</w:t>
            </w:r>
            <w:r>
              <w:rPr>
                <w:rFonts w:hint="eastAsia"/>
                <w:b/>
                <w:bCs/>
                <w:color w:val="auto"/>
                <w:szCs w:val="21"/>
                <w:highlight w:val="none"/>
                <w:u w:val="single"/>
              </w:rPr>
              <w:t>技术分</w:t>
            </w:r>
            <w:r>
              <w:rPr>
                <w:rFonts w:hint="eastAsia"/>
                <w:color w:val="auto"/>
                <w:szCs w:val="21"/>
                <w:highlight w:val="none"/>
              </w:rPr>
              <w:t>较高的排前；如仍存在相同情况，则对具有相同情况的投标人，由评标委员会采用随机抽取方式，确定投标人的排序。</w:t>
            </w:r>
          </w:p>
          <w:p>
            <w:pPr>
              <w:rPr>
                <w:rFonts w:hint="eastAsia" w:ascii="宋体" w:hAnsi="宋体" w:cs="宋体"/>
                <w:color w:val="auto"/>
                <w:szCs w:val="21"/>
                <w:highlight w:val="none"/>
              </w:rPr>
            </w:pPr>
            <w:r>
              <w:rPr>
                <w:rFonts w:hint="eastAsia"/>
                <w:color w:val="auto"/>
                <w:szCs w:val="21"/>
                <w:highlight w:val="none"/>
              </w:rPr>
              <w:t>注：随机方式确定排序的具体操作步骤为：由评标委员会对出现该情况的投标人进行编号，然后通过摇珠机依次摇出投标人的排序。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428"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13.4、13.5.2</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34</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lang w:val="zh-CN"/>
              </w:rPr>
              <w:t>建设工程质量检测单位</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w:t>
            </w:r>
          </w:p>
          <w:p>
            <w:pPr>
              <w:rPr>
                <w:rFonts w:hint="eastAsia" w:ascii="宋体" w:hAnsi="宋体" w:cs="宋体"/>
                <w:color w:val="auto"/>
                <w:kern w:val="0"/>
                <w:szCs w:val="21"/>
                <w:highlight w:val="none"/>
                <w:lang w:val="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lang w:val="zh-CN"/>
              </w:rPr>
              <w:t>允许：分包内容要求：</w:t>
            </w:r>
            <w:r>
              <w:rPr>
                <w:rFonts w:hint="eastAsia" w:ascii="宋体" w:hAnsi="宋体" w:cs="宋体"/>
                <w:color w:val="auto"/>
                <w:kern w:val="0"/>
                <w:szCs w:val="21"/>
                <w:highlight w:val="none"/>
                <w:u w:val="single"/>
              </w:rPr>
              <w:t>除</w:t>
            </w:r>
            <w:r>
              <w:rPr>
                <w:rFonts w:hint="eastAsia"/>
                <w:color w:val="auto"/>
                <w:highlight w:val="none"/>
                <w:u w:val="single"/>
              </w:rPr>
              <w:t>道路工程、桥梁工程以外的工作内容允许分包</w:t>
            </w:r>
            <w:r>
              <w:rPr>
                <w:rFonts w:hint="eastAsia" w:ascii="宋体" w:hAnsi="宋体" w:cs="宋体"/>
                <w:color w:val="auto"/>
                <w:kern w:val="0"/>
                <w:szCs w:val="21"/>
                <w:highlight w:val="none"/>
                <w:u w:val="single"/>
                <w:lang w:val="zh-CN"/>
              </w:rPr>
              <w:t>。</w:t>
            </w:r>
          </w:p>
          <w:p>
            <w:pPr>
              <w:ind w:firstLine="840" w:firstLineChars="4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分包金额要求：</w:t>
            </w:r>
            <w:r>
              <w:rPr>
                <w:rFonts w:hint="eastAsia" w:ascii="宋体" w:hAnsi="宋体"/>
                <w:color w:val="auto"/>
                <w:kern w:val="0"/>
                <w:szCs w:val="21"/>
                <w:highlight w:val="none"/>
                <w:u w:val="single"/>
                <w:lang w:val="zh-CN"/>
              </w:rPr>
              <w:t>根据实际情况确定。</w:t>
            </w:r>
          </w:p>
          <w:p>
            <w:pPr>
              <w:ind w:firstLine="840" w:firstLineChars="4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对分包人的资质要求：</w:t>
            </w:r>
            <w:r>
              <w:rPr>
                <w:rFonts w:hint="eastAsia" w:ascii="宋体" w:hAnsi="宋体"/>
                <w:color w:val="auto"/>
                <w:kern w:val="0"/>
                <w:szCs w:val="21"/>
                <w:highlight w:val="none"/>
                <w:u w:val="single"/>
                <w:lang w:val="zh-CN"/>
              </w:rPr>
              <w:t>接受分包的人应当具备相应的资质条件，并不得再次分包。</w:t>
            </w:r>
          </w:p>
          <w:p>
            <w:pPr>
              <w:rPr>
                <w:color w:val="auto"/>
                <w:highlight w:val="none"/>
              </w:rPr>
            </w:pPr>
            <w:r>
              <w:rPr>
                <w:rFonts w:hint="eastAsia" w:ascii="宋体" w:hAnsi="宋体" w:cs="宋体"/>
                <w:color w:val="auto"/>
                <w:kern w:val="0"/>
                <w:szCs w:val="21"/>
                <w:highlight w:val="none"/>
                <w:lang w:val="zh-CN"/>
              </w:rPr>
              <w:t>对分包人的其他要求：</w:t>
            </w:r>
            <w:r>
              <w:rPr>
                <w:rFonts w:hint="eastAsia" w:ascii="宋体" w:hAnsi="宋体"/>
                <w:color w:val="auto"/>
                <w:kern w:val="0"/>
                <w:szCs w:val="21"/>
                <w:highlight w:val="none"/>
                <w:u w:val="single"/>
                <w:lang w:val="zh-CN"/>
              </w:rPr>
              <w:t>按合同条款相关约定。</w:t>
            </w:r>
          </w:p>
          <w:p>
            <w:pPr>
              <w:ind w:firstLine="840" w:firstLineChars="400"/>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电子招标投标解密失败及突发情况的补救</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Style w:val="25"/>
                <w:rFonts w:hint="eastAsia" w:ascii="宋体" w:hAnsi="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pPr>
              <w:ind w:firstLine="206" w:firstLineChars="100"/>
              <w:rPr>
                <w:rFonts w:hint="eastAsia" w:ascii="宋体" w:hAnsi="宋体" w:cs="宋体"/>
                <w:b/>
                <w:color w:val="auto"/>
                <w:spacing w:val="-2"/>
                <w:szCs w:val="21"/>
                <w:highlight w:val="none"/>
              </w:rPr>
            </w:pPr>
            <w:r>
              <w:rPr>
                <w:rFonts w:hint="eastAsia" w:ascii="宋体" w:hAnsi="宋体" w:cs="宋体"/>
                <w:color w:val="auto"/>
                <w:spacing w:val="-2"/>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w:t>
            </w:r>
            <w:r>
              <w:rPr>
                <w:rFonts w:hint="eastAsia" w:ascii="宋体" w:hAnsi="宋体" w:cs="宋体"/>
                <w:b/>
                <w:color w:val="auto"/>
                <w:spacing w:val="-2"/>
                <w:szCs w:val="21"/>
                <w:highlight w:val="none"/>
              </w:rPr>
              <w:t>投标人也可不提交备用光盘。</w:t>
            </w:r>
          </w:p>
          <w:p>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3、补救方案</w:t>
            </w:r>
          </w:p>
          <w:p>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（1）投标文件解密失败的补救方案：</w:t>
            </w:r>
          </w:p>
          <w:p>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（2）评标时突发情况的补救方案</w:t>
            </w:r>
          </w:p>
          <w:p>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cantSplit/>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3</w:t>
            </w:r>
            <w:r>
              <w:rPr>
                <w:rFonts w:ascii="宋体" w:hAnsi="宋体" w:cs="宋体"/>
                <w:color w:val="auto"/>
                <w:szCs w:val="21"/>
                <w:highlight w:val="none"/>
                <w:u w:val="single"/>
              </w:rPr>
              <w:t>7</w:t>
            </w:r>
          </w:p>
        </w:tc>
        <w:tc>
          <w:tcPr>
            <w:tcW w:w="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u w:val="single"/>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u w:val="single"/>
              </w:rPr>
            </w:pPr>
            <w:r>
              <w:rPr>
                <w:rFonts w:hint="eastAsia" w:ascii="宋体" w:hAnsi="宋体"/>
                <w:bCs/>
                <w:color w:val="auto"/>
                <w:highlight w:val="none"/>
                <w:u w:val="single"/>
              </w:rPr>
              <w:t>其他</w:t>
            </w:r>
          </w:p>
        </w:tc>
        <w:tc>
          <w:tcPr>
            <w:tcW w:w="6241" w:type="dxa"/>
            <w:tcBorders>
              <w:top w:val="single" w:color="auto" w:sz="4" w:space="0"/>
              <w:left w:val="single" w:color="auto" w:sz="4" w:space="0"/>
              <w:bottom w:val="single" w:color="auto" w:sz="4" w:space="0"/>
              <w:right w:val="double" w:color="auto" w:sz="4" w:space="0"/>
            </w:tcBorders>
            <w:noWrap w:val="0"/>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1.</w:t>
            </w:r>
            <w:r>
              <w:rPr>
                <w:rFonts w:hint="eastAsia" w:ascii="宋体" w:hAnsi="宋体"/>
                <w:color w:val="auto"/>
                <w:szCs w:val="21"/>
                <w:highlight w:val="none"/>
                <w:u w:val="single"/>
              </w:rPr>
              <w:t>中标结果公告媒介：中国招标投标公共服务平台、广东省招标投标监管网、广州公共资源交易中心网站、广州国企阳光采购信息发布平台</w:t>
            </w:r>
          </w:p>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2.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中标人需在领取中标通知书的同时向招标代理单位缴纳代理服务费，代理服务费按招标人与招标代理单位确定的原则计算，具体以缴费通知书金额为准。该费用已包含在投标报价中，投标人在报价过程中应充分考虑，不得向招标人单独申请该费用。</w:t>
            </w:r>
          </w:p>
          <w:p>
            <w:pPr>
              <w:pStyle w:val="5"/>
              <w:ind w:firstLine="0"/>
              <w:jc w:val="left"/>
              <w:rPr>
                <w:rFonts w:hint="eastAsia"/>
                <w:color w:val="auto"/>
                <w:highlight w:val="none"/>
                <w:u w:val="single"/>
              </w:rPr>
            </w:pPr>
            <w:r>
              <w:rPr>
                <w:rFonts w:hint="eastAsia" w:ascii="宋体" w:hAnsi="宋体" w:cs="宋体"/>
                <w:color w:val="auto"/>
                <w:szCs w:val="21"/>
                <w:highlight w:val="none"/>
                <w:u w:val="single"/>
              </w:rPr>
              <w:t>3.中标后，中标单位需提供1套纸质的投标文件及1个电子光盘给招标人进行归档。</w:t>
            </w:r>
          </w:p>
        </w:tc>
      </w:tr>
    </w:tbl>
    <w:p>
      <w:pPr>
        <w:spacing w:line="480" w:lineRule="auto"/>
        <w:rPr>
          <w:rFonts w:hint="eastAsia" w:ascii="宋体" w:hAnsi="宋体" w:cs="宋体"/>
          <w:strike/>
          <w:color w:val="auto"/>
          <w:kern w:val="0"/>
          <w:sz w:val="24"/>
          <w:highlight w:val="none"/>
        </w:rPr>
      </w:pPr>
      <w:r>
        <w:rPr>
          <w:rFonts w:hint="eastAsia" w:ascii="宋体" w:hAnsi="宋体" w:cs="宋体"/>
          <w:strike/>
          <w:color w:val="auto"/>
          <w:sz w:val="24"/>
          <w:highlight w:val="none"/>
        </w:rPr>
        <w:t>注：企业</w:t>
      </w:r>
      <w:r>
        <w:rPr>
          <w:rFonts w:hint="eastAsia" w:ascii="宋体" w:hAnsi="宋体" w:cs="宋体"/>
          <w:strike/>
          <w:color w:val="auto"/>
          <w:kern w:val="0"/>
          <w:sz w:val="24"/>
          <w:highlight w:val="none"/>
        </w:rPr>
        <w:t>综合诚信评价得分即</w:t>
      </w:r>
      <w:r>
        <w:rPr>
          <w:rFonts w:hint="eastAsia" w:ascii="宋体" w:hAnsi="宋体" w:cs="宋体"/>
          <w:strike/>
          <w:color w:val="auto"/>
          <w:sz w:val="24"/>
          <w:highlight w:val="none"/>
        </w:rPr>
        <w:t>企业</w:t>
      </w:r>
      <w:r>
        <w:rPr>
          <w:rFonts w:hint="eastAsia" w:ascii="宋体" w:hAnsi="宋体" w:cs="宋体"/>
          <w:strike/>
          <w:color w:val="auto"/>
          <w:kern w:val="0"/>
          <w:sz w:val="24"/>
          <w:highlight w:val="none"/>
        </w:rPr>
        <w:t>综合诚信评价60日诚信分，以下同。</w:t>
      </w:r>
    </w:p>
    <w:p>
      <w:pPr>
        <w:spacing w:line="480" w:lineRule="auto"/>
        <w:rPr>
          <w:rFonts w:hint="eastAsia" w:ascii="宋体" w:hAnsi="宋体" w:cs="宋体"/>
          <w:strike/>
          <w:color w:val="auto"/>
          <w:sz w:val="24"/>
          <w:highlight w:val="none"/>
        </w:rPr>
      </w:pPr>
      <w:r>
        <w:rPr>
          <w:rFonts w:hint="eastAsia" w:ascii="宋体" w:hAnsi="宋体" w:cs="宋体"/>
          <w:strike/>
          <w:color w:val="auto"/>
          <w:kern w:val="0"/>
          <w:sz w:val="24"/>
          <w:highlight w:val="none"/>
        </w:rPr>
        <w:br w:type="page"/>
      </w:r>
    </w:p>
    <w:p>
      <w:pPr>
        <w:pStyle w:val="3"/>
        <w:rPr>
          <w:rFonts w:hint="eastAsia" w:ascii="宋体" w:hAnsi="宋体" w:cs="宋体"/>
          <w:color w:val="auto"/>
          <w:highlight w:val="none"/>
        </w:rPr>
      </w:pPr>
      <w:bookmarkStart w:id="4" w:name="_Toc2272547"/>
      <w:bookmarkStart w:id="5" w:name="_Toc31199"/>
      <w:r>
        <w:rPr>
          <w:rFonts w:hint="eastAsia" w:ascii="宋体" w:hAnsi="宋体" w:cs="宋体"/>
          <w:color w:val="auto"/>
          <w:highlight w:val="none"/>
        </w:rPr>
        <w:t>二、投标须知修改表</w:t>
      </w:r>
      <w:bookmarkEnd w:id="4"/>
      <w:bookmarkEnd w:id="5"/>
    </w:p>
    <w:p>
      <w:pPr>
        <w:pStyle w:val="18"/>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条款号：5.1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w:t>
      </w:r>
      <w:r>
        <w:rPr>
          <w:rFonts w:hint="eastAsia" w:ascii="宋体" w:hAnsi="宋体" w:cs="宋体"/>
          <w:bCs/>
          <w:color w:val="auto"/>
          <w:szCs w:val="21"/>
          <w:highlight w:val="none"/>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w:t>
      </w:r>
      <w:r>
        <w:rPr>
          <w:rStyle w:val="25"/>
          <w:rFonts w:ascii="宋体" w:hAnsi="宋体"/>
          <w:bCs/>
          <w:color w:val="auto"/>
          <w:szCs w:val="21"/>
          <w:highlight w:val="none"/>
        </w:rPr>
        <w:t>投标人应按本投标须知前附表第15项所述时间和要求对工程现场及周围环境进行踏勘，</w:t>
      </w:r>
      <w:r>
        <w:rPr>
          <w:rStyle w:val="25"/>
          <w:rFonts w:ascii="宋体" w:hAnsi="宋体"/>
          <w:color w:val="auto"/>
          <w:szCs w:val="21"/>
          <w:highlight w:val="none"/>
        </w:rPr>
        <w:t>投标人应充分重视和仔细地进行这种考察，</w:t>
      </w:r>
      <w:r>
        <w:rPr>
          <w:rStyle w:val="25"/>
          <w:rFonts w:ascii="宋体" w:hAnsi="宋体"/>
          <w:bCs/>
          <w:color w:val="auto"/>
          <w:szCs w:val="21"/>
          <w:highlight w:val="none"/>
        </w:rPr>
        <w:t>以便投标人获取</w:t>
      </w:r>
      <w:r>
        <w:rPr>
          <w:rStyle w:val="25"/>
          <w:rFonts w:ascii="宋体" w:hAnsi="宋体"/>
          <w:color w:val="auto"/>
          <w:szCs w:val="21"/>
          <w:highlight w:val="none"/>
        </w:rPr>
        <w:t>那些须投标人自己负责的</w:t>
      </w:r>
      <w:r>
        <w:rPr>
          <w:rStyle w:val="25"/>
          <w:rFonts w:ascii="宋体" w:hAnsi="宋体"/>
          <w:bCs/>
          <w:color w:val="auto"/>
          <w:szCs w:val="21"/>
          <w:highlight w:val="none"/>
        </w:rPr>
        <w:t>有关编制投标文件和签署合同所涉及现场所有的资料。</w:t>
      </w:r>
      <w:r>
        <w:rPr>
          <w:rFonts w:hint="eastAsia" w:ascii="宋体" w:hAnsi="宋体" w:cs="宋体"/>
          <w:bCs/>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Style w:val="25"/>
          <w:rFonts w:ascii="宋体" w:hAnsi="宋体"/>
          <w:color w:val="auto"/>
          <w:szCs w:val="21"/>
          <w:highlight w:val="none"/>
        </w:rPr>
        <w:t>一旦中标，这种考察即被认为其结果已在中标文件中得到充分反映。</w:t>
      </w:r>
      <w:r>
        <w:rPr>
          <w:rStyle w:val="25"/>
          <w:rFonts w:ascii="宋体" w:hAnsi="宋体"/>
          <w:color w:val="auto"/>
          <w:szCs w:val="21"/>
          <w:highlight w:val="none"/>
          <w:u w:val="single"/>
        </w:rPr>
        <w:t>招标人不受理因投标人缺乏对现场条件的了解或掌握而提出的任何索赔。</w:t>
      </w:r>
      <w:r>
        <w:rPr>
          <w:rStyle w:val="25"/>
          <w:rFonts w:ascii="宋体" w:hAnsi="宋体"/>
          <w:color w:val="auto"/>
          <w:szCs w:val="21"/>
          <w:highlight w:val="none"/>
        </w:rPr>
        <w:t>考察现场的费用由投标人自己承担。</w:t>
      </w:r>
    </w:p>
    <w:p>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7</w:t>
      </w:r>
      <w:r>
        <w:rPr>
          <w:rFonts w:hint="eastAsia" w:ascii="宋体" w:hAnsi="宋体" w:cs="宋体"/>
          <w:b/>
          <w:color w:val="auto"/>
          <w:szCs w:val="21"/>
          <w:highlight w:val="none"/>
        </w:rPr>
        <w:t>.1           修改类型：修改</w:t>
      </w:r>
    </w:p>
    <w:p>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7.1本招标文件包括下列文件，以及所有按本须知第8条发出的招标答疑会会议纪要和按本须知第9条发出的澄清或修改：</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第一章  投标须知</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第二章  开标、评标及定标办法</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第三章  合同条款</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第四章  投标文件格式</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第五章  技术条件（工程建设标准）（另册）</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第六章  图纸及勘察资料（另册）</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第七章  招标工程量清单（另册）</w:t>
      </w:r>
    </w:p>
    <w:p>
      <w:pPr>
        <w:spacing w:line="360" w:lineRule="auto"/>
        <w:ind w:firstLine="470" w:firstLineChars="224"/>
        <w:rPr>
          <w:rFonts w:hint="eastAsia" w:ascii="宋体" w:hAnsi="宋体" w:cs="宋体"/>
          <w:b/>
          <w:color w:val="auto"/>
          <w:szCs w:val="21"/>
          <w:highlight w:val="none"/>
        </w:rPr>
      </w:pPr>
      <w:r>
        <w:rPr>
          <w:rFonts w:hint="eastAsia" w:ascii="宋体" w:hAnsi="宋体" w:cs="宋体"/>
          <w:color w:val="auto"/>
          <w:szCs w:val="21"/>
          <w:highlight w:val="none"/>
        </w:rPr>
        <w:t>第八章  最高投标限价。</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7.1本招标文件包括下列文件，以及所有按本须知第8条发出的招标答疑会会议纪要和按本须知第9条发出的澄清或修改：</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第一章  投标须知</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第二章  开标、评标及定标办法</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第三章  合同条款</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第四章  投标文件格式</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第五章  技术条件（工程建设标准）（另册）</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第六章  图纸及勘察资料（另册）</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第七章  招标工程量清单（另册）</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第八章  最高投标限价</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bCs/>
          <w:color w:val="auto"/>
          <w:szCs w:val="21"/>
          <w:highlight w:val="none"/>
        </w:rPr>
        <w:t>注</w:t>
      </w:r>
      <w:r>
        <w:rPr>
          <w:rFonts w:ascii="宋体" w:hAnsi="宋体" w:cs="宋体"/>
          <w:b/>
          <w:bCs/>
          <w:color w:val="auto"/>
          <w:szCs w:val="21"/>
          <w:highlight w:val="none"/>
        </w:rPr>
        <w:t>：招标人应在</w:t>
      </w:r>
      <w:r>
        <w:rPr>
          <w:rFonts w:hint="eastAsia" w:ascii="宋体" w:hAnsi="宋体" w:cs="宋体"/>
          <w:b/>
          <w:bCs/>
          <w:color w:val="auto"/>
          <w:szCs w:val="21"/>
          <w:highlight w:val="none"/>
        </w:rPr>
        <w:t>技术条件（工程建设标准）中</w:t>
      </w:r>
      <w:r>
        <w:rPr>
          <w:rFonts w:ascii="宋体" w:hAnsi="宋体" w:cs="宋体"/>
          <w:b/>
          <w:bCs/>
          <w:color w:val="auto"/>
          <w:szCs w:val="21"/>
          <w:highlight w:val="none"/>
        </w:rPr>
        <w:t>明确</w:t>
      </w:r>
      <w:r>
        <w:rPr>
          <w:rFonts w:hint="eastAsia" w:ascii="宋体" w:hAnsi="宋体" w:cs="宋体"/>
          <w:b/>
          <w:bCs/>
          <w:color w:val="auto"/>
          <w:szCs w:val="21"/>
          <w:highlight w:val="none"/>
        </w:rPr>
        <w:t>施工现场建筑垃圾源头减量的具体要求和建筑垃圾综合利用产品的使用要求。</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8.1</w:t>
      </w:r>
      <w:r>
        <w:rPr>
          <w:rFonts w:hint="eastAsia" w:ascii="宋体" w:hAnsi="宋体" w:cs="宋体"/>
          <w:bCs/>
          <w:color w:val="auto"/>
          <w:szCs w:val="21"/>
          <w:highlight w:val="none"/>
        </w:rPr>
        <w:t>投标人</w:t>
      </w:r>
      <w:r>
        <w:rPr>
          <w:rFonts w:hint="eastAsia" w:ascii="宋体" w:hAnsi="宋体" w:cs="宋体"/>
          <w:color w:val="auto"/>
          <w:szCs w:val="21"/>
          <w:highlight w:val="none"/>
        </w:rPr>
        <w:t>若对招标文件（包括招标图纸）中有疑问，可以书面形式通过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交易平台提交给招标人或招标代理人，提交形式见本须知前附表第16项。</w:t>
      </w:r>
    </w:p>
    <w:p>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8.1 </w:t>
      </w:r>
      <w:r>
        <w:rPr>
          <w:rStyle w:val="25"/>
          <w:rFonts w:ascii="宋体" w:hAnsi="宋体"/>
          <w:color w:val="auto"/>
          <w:szCs w:val="21"/>
          <w:highlight w:val="none"/>
        </w:rPr>
        <w:t>投标人若对招标文件（包括招标图纸</w:t>
      </w:r>
      <w:r>
        <w:rPr>
          <w:rStyle w:val="25"/>
          <w:rFonts w:ascii="宋体" w:hAnsi="宋体"/>
          <w:color w:val="auto"/>
          <w:szCs w:val="21"/>
          <w:highlight w:val="none"/>
          <w:u w:val="single"/>
        </w:rPr>
        <w:t>、</w:t>
      </w:r>
      <w:r>
        <w:rPr>
          <w:rStyle w:val="25"/>
          <w:rFonts w:hint="eastAsia" w:ascii="宋体" w:hAnsi="宋体"/>
          <w:color w:val="auto"/>
          <w:szCs w:val="21"/>
          <w:highlight w:val="none"/>
          <w:u w:val="single"/>
        </w:rPr>
        <w:t>招标工程量</w:t>
      </w:r>
      <w:r>
        <w:rPr>
          <w:rStyle w:val="25"/>
          <w:rFonts w:ascii="宋体" w:hAnsi="宋体"/>
          <w:color w:val="auto"/>
          <w:szCs w:val="21"/>
          <w:highlight w:val="none"/>
          <w:u w:val="single"/>
        </w:rPr>
        <w:t>清单、合同条款等</w:t>
      </w:r>
      <w:r>
        <w:rPr>
          <w:rStyle w:val="25"/>
          <w:rFonts w:ascii="宋体" w:hAnsi="宋体"/>
          <w:color w:val="auto"/>
          <w:szCs w:val="21"/>
          <w:highlight w:val="none"/>
        </w:rPr>
        <w:t>）中有疑问，可以书面形式通过</w:t>
      </w:r>
      <w:r>
        <w:rPr>
          <w:rStyle w:val="25"/>
          <w:rFonts w:hint="eastAsia" w:ascii="宋体" w:hAnsi="宋体" w:cs="宋体"/>
          <w:color w:val="auto"/>
          <w:szCs w:val="21"/>
          <w:highlight w:val="none"/>
          <w:u w:val="single"/>
        </w:rPr>
        <w:t>广州交易集团有限公司（广州公共资源交易中心）</w:t>
      </w:r>
      <w:r>
        <w:rPr>
          <w:rStyle w:val="25"/>
          <w:rFonts w:ascii="宋体" w:hAnsi="宋体"/>
          <w:color w:val="auto"/>
          <w:szCs w:val="21"/>
          <w:highlight w:val="none"/>
        </w:rPr>
        <w:t>交易平台提交给招标人或招标代理人，提交形式见本须知前附表第16项。</w:t>
      </w:r>
      <w:r>
        <w:rPr>
          <w:rFonts w:hint="eastAsia" w:ascii="宋体" w:hAnsi="宋体" w:cs="宋体"/>
          <w:color w:val="auto"/>
          <w:szCs w:val="21"/>
          <w:highlight w:val="none"/>
          <w:u w:val="single"/>
        </w:rPr>
        <w:t>投标人应认真核对图纸并复核清单的工程量及项目，如发现工程量清单与图纸内容不符，应在招标疑问收集期间提出质疑，并向招标人提出修正意见。承包人在招标疑问收集期间未对工程量清单提出质疑，即视为承包人对本项目清单中单一子项工程量的认可。</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w:t>
      </w:r>
    </w:p>
    <w:p>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8.2</w:t>
      </w:r>
      <w:r>
        <w:rPr>
          <w:rStyle w:val="25"/>
          <w:rFonts w:ascii="宋体" w:hAnsi="宋体"/>
          <w:color w:val="auto"/>
          <w:szCs w:val="21"/>
          <w:highlight w:val="none"/>
        </w:rPr>
        <w:t>招标答疑会会议纪要将在提交投标文件截止时间15日前在</w:t>
      </w:r>
      <w:r>
        <w:rPr>
          <w:rStyle w:val="25"/>
          <w:rFonts w:hint="eastAsia" w:ascii="宋体" w:hAnsi="宋体" w:cs="宋体"/>
          <w:color w:val="auto"/>
          <w:szCs w:val="21"/>
          <w:highlight w:val="none"/>
          <w:u w:val="single"/>
        </w:rPr>
        <w:t>广州交易集团有限公司（广州公共资源交易中心）</w:t>
      </w:r>
      <w:r>
        <w:rPr>
          <w:rStyle w:val="25"/>
          <w:rFonts w:ascii="宋体" w:hAnsi="宋体"/>
          <w:color w:val="auto"/>
          <w:szCs w:val="21"/>
          <w:highlight w:val="none"/>
        </w:rPr>
        <w:t>交易平台 “项目答疑纪要”专区公开发布。答疑纪要一经在</w:t>
      </w:r>
      <w:r>
        <w:rPr>
          <w:rStyle w:val="25"/>
          <w:rFonts w:hint="eastAsia" w:ascii="宋体" w:hAnsi="宋体" w:cs="宋体"/>
          <w:color w:val="auto"/>
          <w:szCs w:val="21"/>
          <w:highlight w:val="none"/>
          <w:u w:val="single"/>
        </w:rPr>
        <w:t>广州交易集团有限公司（广州公共资源交易中心）</w:t>
      </w:r>
      <w:r>
        <w:rPr>
          <w:rStyle w:val="25"/>
          <w:rFonts w:ascii="宋体" w:hAnsi="宋体"/>
          <w:color w:val="auto"/>
          <w:szCs w:val="21"/>
          <w:highlight w:val="none"/>
        </w:rPr>
        <w:t>交易平台发布，视作已发放给所有投标人。</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条款号：8.3             修改类型：修改</w:t>
      </w:r>
    </w:p>
    <w:p>
      <w:pPr>
        <w:spacing w:line="360" w:lineRule="auto"/>
        <w:ind w:firstLine="422" w:firstLineChars="200"/>
        <w:rPr>
          <w:rFonts w:hint="eastAsia" w:ascii="宋体" w:hAnsi="宋体"/>
          <w:color w:val="auto"/>
          <w:kern w:val="0"/>
          <w:szCs w:val="21"/>
          <w:highlight w:val="none"/>
        </w:rPr>
      </w:pPr>
      <w:r>
        <w:rPr>
          <w:rFonts w:hint="eastAsia" w:ascii="宋体" w:hAnsi="宋体"/>
          <w:b/>
          <w:color w:val="auto"/>
          <w:kern w:val="0"/>
          <w:szCs w:val="21"/>
          <w:highlight w:val="none"/>
        </w:rPr>
        <w:t>原文：</w:t>
      </w:r>
      <w:r>
        <w:rPr>
          <w:rFonts w:ascii="宋体" w:hAnsi="宋体"/>
          <w:color w:val="auto"/>
          <w:kern w:val="0"/>
          <w:szCs w:val="21"/>
          <w:highlight w:val="none"/>
        </w:rPr>
        <w:t>8.3</w:t>
      </w:r>
      <w:r>
        <w:rPr>
          <w:rFonts w:hint="eastAsia" w:ascii="宋体" w:hAnsi="宋体"/>
          <w:color w:val="auto"/>
          <w:kern w:val="0"/>
          <w:szCs w:val="21"/>
          <w:highlight w:val="none"/>
        </w:rPr>
        <w:t>答疑会会议纪要为招标文件的一部分。</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b/>
          <w:color w:val="auto"/>
          <w:kern w:val="0"/>
          <w:szCs w:val="21"/>
          <w:highlight w:val="none"/>
        </w:rPr>
        <w:t>现文：</w:t>
      </w:r>
      <w:r>
        <w:rPr>
          <w:rFonts w:ascii="宋体" w:hAnsi="宋体"/>
          <w:color w:val="auto"/>
          <w:kern w:val="0"/>
          <w:szCs w:val="21"/>
          <w:highlight w:val="none"/>
        </w:rPr>
        <w:t>8.3</w:t>
      </w:r>
      <w:r>
        <w:rPr>
          <w:rFonts w:hint="eastAsia" w:ascii="宋体" w:hAnsi="宋体"/>
          <w:color w:val="auto"/>
          <w:kern w:val="0"/>
          <w:szCs w:val="21"/>
          <w:highlight w:val="none"/>
          <w:u w:val="single"/>
        </w:rPr>
        <w:t>招标答疑纪要</w:t>
      </w:r>
      <w:r>
        <w:rPr>
          <w:rFonts w:hint="eastAsia" w:ascii="宋体" w:hAnsi="宋体"/>
          <w:color w:val="auto"/>
          <w:kern w:val="0"/>
          <w:szCs w:val="21"/>
          <w:highlight w:val="none"/>
        </w:rPr>
        <w:t>为招标文件的一部分。</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条款号：8.4</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8.4若招标答疑会会议纪要与招标文件有矛盾，以答疑会议纪要最后发出的书面形式的文件为准。</w:t>
      </w:r>
    </w:p>
    <w:p>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olor w:val="auto"/>
          <w:szCs w:val="21"/>
          <w:highlight w:val="none"/>
        </w:rPr>
        <w:t>8.4若</w:t>
      </w:r>
      <w:r>
        <w:rPr>
          <w:rFonts w:hint="eastAsia" w:ascii="宋体" w:hAnsi="宋体"/>
          <w:color w:val="auto"/>
          <w:szCs w:val="21"/>
          <w:highlight w:val="none"/>
          <w:u w:val="single"/>
        </w:rPr>
        <w:t>招标答疑纪要</w:t>
      </w:r>
      <w:r>
        <w:rPr>
          <w:rFonts w:hint="eastAsia" w:ascii="宋体" w:hAnsi="宋体"/>
          <w:color w:val="auto"/>
          <w:szCs w:val="21"/>
          <w:highlight w:val="none"/>
        </w:rPr>
        <w:t>与招标文件有矛盾时，以</w:t>
      </w:r>
      <w:r>
        <w:rPr>
          <w:rStyle w:val="25"/>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网站最后发布的答疑纪要为准。</w:t>
      </w:r>
    </w:p>
    <w:p>
      <w:pPr>
        <w:pBdr>
          <w:top w:val="single" w:color="auto" w:sz="4" w:space="1"/>
          <w:bottom w:val="single" w:color="auto" w:sz="4" w:space="1"/>
        </w:pBd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条款号：9.2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top w:val="single" w:color="auto" w:sz="4" w:space="1"/>
          <w:bottom w:val="single" w:color="auto" w:sz="4"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pPr>
        <w:pBdr>
          <w:top w:val="single" w:color="auto" w:sz="4" w:space="1"/>
          <w:bottom w:val="single" w:color="auto" w:sz="4" w:space="1"/>
        </w:pBd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Style w:val="25"/>
          <w:rFonts w:ascii="宋体" w:hAnsi="宋体"/>
          <w:color w:val="auto"/>
          <w:szCs w:val="21"/>
          <w:highlight w:val="none"/>
        </w:rPr>
        <w:t>9.2招标文件的澄清或修改将在</w:t>
      </w:r>
      <w:r>
        <w:rPr>
          <w:rStyle w:val="25"/>
          <w:rFonts w:hint="eastAsia" w:ascii="宋体" w:hAnsi="宋体" w:cs="宋体"/>
          <w:color w:val="auto"/>
          <w:szCs w:val="21"/>
          <w:highlight w:val="none"/>
          <w:u w:val="single"/>
        </w:rPr>
        <w:t>广州交易集团有限公司（广州公共资源交易中心）</w:t>
      </w:r>
      <w:r>
        <w:rPr>
          <w:rStyle w:val="25"/>
          <w:rFonts w:ascii="宋体" w:hAnsi="宋体"/>
          <w:color w:val="auto"/>
          <w:szCs w:val="21"/>
          <w:highlight w:val="none"/>
        </w:rPr>
        <w:t>交易平台“项目答疑纪要”专区公开发布。答疑纪要一经在</w:t>
      </w:r>
      <w:r>
        <w:rPr>
          <w:rStyle w:val="25"/>
          <w:rFonts w:hint="eastAsia" w:ascii="宋体" w:hAnsi="宋体" w:cs="宋体"/>
          <w:color w:val="auto"/>
          <w:szCs w:val="21"/>
          <w:highlight w:val="none"/>
          <w:u w:val="single"/>
        </w:rPr>
        <w:t>广州交易集团有限公司（广州公共资源交易中心）</w:t>
      </w:r>
      <w:r>
        <w:rPr>
          <w:rStyle w:val="25"/>
          <w:rFonts w:ascii="宋体" w:hAnsi="宋体"/>
          <w:color w:val="auto"/>
          <w:szCs w:val="21"/>
          <w:highlight w:val="none"/>
        </w:rPr>
        <w:t>交易平台发布，视作已发放给所有投标人，以</w:t>
      </w:r>
      <w:r>
        <w:rPr>
          <w:rStyle w:val="25"/>
          <w:rFonts w:hint="eastAsia" w:ascii="宋体" w:hAnsi="宋体" w:cs="宋体"/>
          <w:color w:val="auto"/>
          <w:szCs w:val="21"/>
          <w:highlight w:val="none"/>
          <w:u w:val="single"/>
        </w:rPr>
        <w:t>广州交易集团有限公司（广州公共资源交易中心）</w:t>
      </w:r>
      <w:r>
        <w:rPr>
          <w:rStyle w:val="25"/>
          <w:rFonts w:ascii="宋体" w:hAnsi="宋体"/>
          <w:color w:val="auto"/>
          <w:szCs w:val="21"/>
          <w:highlight w:val="none"/>
        </w:rPr>
        <w:t>交易平台上网发布时间作为送达时间。</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9.4</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w:t>
      </w:r>
      <w:r>
        <w:rPr>
          <w:rFonts w:hint="eastAsia" w:ascii="宋体" w:hAnsi="宋体" w:cs="宋体"/>
          <w:color w:val="auto"/>
          <w:szCs w:val="21"/>
          <w:highlight w:val="none"/>
          <w:u w:val="single"/>
        </w:rPr>
        <w:t>在</w:t>
      </w:r>
      <w:r>
        <w:rPr>
          <w:rStyle w:val="25"/>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bCs/>
          <w:color w:val="auto"/>
          <w:szCs w:val="21"/>
          <w:highlight w:val="none"/>
          <w:u w:val="single"/>
        </w:rPr>
        <w:t>项目答疑纪要</w:t>
      </w:r>
      <w:r>
        <w:rPr>
          <w:rFonts w:hint="eastAsia" w:ascii="宋体" w:hAnsi="宋体" w:cs="宋体"/>
          <w:color w:val="auto"/>
          <w:szCs w:val="21"/>
          <w:highlight w:val="none"/>
          <w:u w:val="single"/>
        </w:rPr>
        <w:t>”专区公开发布。</w:t>
      </w:r>
      <w:r>
        <w:rPr>
          <w:rFonts w:hint="eastAsia" w:ascii="宋体" w:hAnsi="宋体" w:cs="宋体"/>
          <w:color w:val="auto"/>
          <w:szCs w:val="21"/>
          <w:highlight w:val="none"/>
        </w:rPr>
        <w:t>当招标文件的澄清、修改、补充等在同一内容的表述不一致时</w:t>
      </w:r>
      <w:r>
        <w:rPr>
          <w:rFonts w:hint="eastAsia" w:ascii="宋体" w:hAnsi="宋体" w:cs="宋体"/>
          <w:color w:val="auto"/>
          <w:szCs w:val="21"/>
          <w:highlight w:val="none"/>
          <w:u w:val="single"/>
        </w:rPr>
        <w:t>，以最后发出的文件为准</w:t>
      </w:r>
      <w:r>
        <w:rPr>
          <w:rFonts w:hint="eastAsia" w:ascii="宋体" w:hAnsi="宋体" w:cs="宋体"/>
          <w:color w:val="auto"/>
          <w:szCs w:val="21"/>
          <w:highlight w:val="none"/>
        </w:rPr>
        <w:t>。</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11.2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11.2投标文件技术标部分主要包括下列内容:</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（1）投标人声明；</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（8）拟委托技术负责人的相关证书、资料（具体要求由招标人明确）</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（9）拟委派项目负责人的建造师注册证书或小型项目负责人相关证明（取自平台内上传件）；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（10）项目负责人安全培训考核合格证明或在有效期内的安全考核合格证书（B类）或建筑施工企业项目负责人安全生产考核合格证书（取自平台内上传件）；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（11）专职安全员须具有在有效期内的安全考核合格证书（C类）或建筑施工企业专职安全生产管理人员安全生产考核合格证书（取自平台内上传件）；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（12）用于资格审查的业绩（设置业绩要求时选择此项，投标人须提供类似工程业绩的项目名称及项目编号，具体格式由招标人自定）；</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（13）资格审查前，投标人须在广州市住房和城乡建设局建立企业信用档案，拟担任本工程项目负责人、专职安全员须是本企业信用档案中的在册人员。</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11.2.3项目管理机构配备。</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（3）其他辅助说明资料。</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11.2.5施工组织设计或施工方案。</w:t>
      </w:r>
    </w:p>
    <w:p>
      <w:pPr>
        <w:tabs>
          <w:tab w:val="left" w:pos="1125"/>
        </w:tabs>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11.2.6按照招标文件要求填写的《参与编制技术标投标文件人员名单》。</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11.2 投标文件技术标部分主要包括下列内容:</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11.2.1  技术投标文件(按招标文件的要求填写)；</w:t>
      </w:r>
    </w:p>
    <w:p>
      <w:pPr>
        <w:spacing w:line="360" w:lineRule="auto"/>
        <w:ind w:firstLine="420" w:firstLineChars="200"/>
        <w:rPr>
          <w:rStyle w:val="25"/>
          <w:rFonts w:ascii="宋体" w:hAnsi="宋体"/>
          <w:bCs/>
          <w:color w:val="auto"/>
          <w:szCs w:val="21"/>
          <w:highlight w:val="none"/>
          <w:u w:val="single"/>
        </w:rPr>
      </w:pPr>
      <w:r>
        <w:rPr>
          <w:rStyle w:val="25"/>
          <w:rFonts w:ascii="宋体" w:hAnsi="宋体"/>
          <w:bCs/>
          <w:color w:val="auto"/>
          <w:szCs w:val="21"/>
          <w:highlight w:val="none"/>
          <w:u w:val="single"/>
        </w:rPr>
        <w:t>（1）广州建设工程施工招标投标书</w:t>
      </w:r>
      <w:r>
        <w:rPr>
          <w:rFonts w:hint="eastAsia" w:ascii="宋体" w:hAnsi="宋体"/>
          <w:bCs/>
          <w:color w:val="auto"/>
          <w:szCs w:val="21"/>
          <w:highlight w:val="none"/>
          <w:u w:val="single"/>
        </w:rPr>
        <w:t>（按招标文件第四章技术标投标文件格式二）</w:t>
      </w:r>
      <w:r>
        <w:rPr>
          <w:rStyle w:val="25"/>
          <w:rFonts w:ascii="宋体" w:hAnsi="宋体"/>
          <w:bCs/>
          <w:color w:val="auto"/>
          <w:szCs w:val="21"/>
          <w:highlight w:val="none"/>
          <w:u w:val="single"/>
        </w:rPr>
        <w:t>；</w:t>
      </w:r>
    </w:p>
    <w:p>
      <w:pPr>
        <w:spacing w:line="360" w:lineRule="auto"/>
        <w:ind w:firstLine="420" w:firstLineChars="200"/>
        <w:rPr>
          <w:rStyle w:val="25"/>
          <w:rFonts w:ascii="宋体" w:hAnsi="宋体"/>
          <w:bCs/>
          <w:color w:val="auto"/>
          <w:szCs w:val="21"/>
          <w:highlight w:val="none"/>
          <w:u w:val="single"/>
        </w:rPr>
      </w:pPr>
      <w:r>
        <w:rPr>
          <w:rStyle w:val="25"/>
          <w:rFonts w:ascii="宋体" w:hAnsi="宋体"/>
          <w:bCs/>
          <w:color w:val="auto"/>
          <w:szCs w:val="21"/>
          <w:highlight w:val="none"/>
          <w:u w:val="single"/>
        </w:rPr>
        <w:t>（</w:t>
      </w:r>
      <w:r>
        <w:rPr>
          <w:rStyle w:val="25"/>
          <w:rFonts w:hint="eastAsia" w:ascii="宋体" w:hAnsi="宋体"/>
          <w:bCs/>
          <w:color w:val="auto"/>
          <w:szCs w:val="21"/>
          <w:highlight w:val="none"/>
          <w:u w:val="single"/>
        </w:rPr>
        <w:t>2</w:t>
      </w:r>
      <w:r>
        <w:rPr>
          <w:rStyle w:val="25"/>
          <w:rFonts w:ascii="宋体" w:hAnsi="宋体"/>
          <w:bCs/>
          <w:color w:val="auto"/>
          <w:szCs w:val="21"/>
          <w:highlight w:val="none"/>
          <w:u w:val="single"/>
        </w:rPr>
        <w:t>）</w:t>
      </w:r>
      <w:r>
        <w:rPr>
          <w:rFonts w:hint="eastAsia" w:ascii="宋体" w:hAnsi="宋体"/>
          <w:bCs/>
          <w:color w:val="auto"/>
          <w:szCs w:val="21"/>
          <w:highlight w:val="none"/>
          <w:u w:val="single"/>
        </w:rPr>
        <w:t>投标函（按招标文件第四章技术标投标文件格式三）；</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11.2.2 资格审查文件：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（1）投标人声明</w:t>
      </w:r>
      <w:r>
        <w:rPr>
          <w:rFonts w:hint="eastAsia" w:ascii="宋体" w:hAnsi="宋体"/>
          <w:bCs/>
          <w:color w:val="auto"/>
          <w:szCs w:val="21"/>
          <w:highlight w:val="none"/>
          <w:u w:val="single"/>
        </w:rPr>
        <w:t>（按招标公告附件一的格式及内容提交）</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（3）企业营业执照（</w:t>
      </w:r>
      <w:r>
        <w:rPr>
          <w:rFonts w:hint="eastAsia" w:ascii="宋体" w:hAnsi="宋体" w:cs="宋体"/>
          <w:color w:val="auto"/>
          <w:szCs w:val="21"/>
          <w:highlight w:val="none"/>
          <w:u w:val="single"/>
        </w:rPr>
        <w:t>提交原件扫描件</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（4）企业资质证书（</w:t>
      </w:r>
      <w:r>
        <w:rPr>
          <w:rFonts w:hint="eastAsia" w:ascii="宋体" w:hAnsi="宋体" w:cs="宋体"/>
          <w:color w:val="auto"/>
          <w:szCs w:val="21"/>
          <w:highlight w:val="none"/>
          <w:u w:val="single"/>
        </w:rPr>
        <w:t>提交原件扫描件</w:t>
      </w:r>
      <w:r>
        <w:rPr>
          <w:rFonts w:hint="eastAsia" w:ascii="宋体" w:hAnsi="宋体" w:cs="宋体"/>
          <w:color w:val="auto"/>
          <w:szCs w:val="21"/>
          <w:highlight w:val="none"/>
        </w:rPr>
        <w:t>）</w:t>
      </w:r>
      <w:r>
        <w:rPr>
          <w:rFonts w:hint="eastAsia"/>
          <w:color w:val="auto"/>
          <w:szCs w:val="21"/>
          <w:highlight w:val="none"/>
          <w:shd w:val="clear" w:color="auto" w:fill="FFFFFF"/>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（5）建筑施工企业安全生产许可证（</w:t>
      </w:r>
      <w:r>
        <w:rPr>
          <w:rFonts w:hint="eastAsia" w:ascii="宋体" w:hAnsi="宋体" w:cs="宋体"/>
          <w:color w:val="auto"/>
          <w:szCs w:val="21"/>
          <w:highlight w:val="none"/>
          <w:u w:val="single"/>
        </w:rPr>
        <w:t>提交原件扫描件</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（8）拟委托技术负责人的相关证书、资料（</w:t>
      </w:r>
      <w:r>
        <w:rPr>
          <w:rStyle w:val="25"/>
          <w:rFonts w:hint="eastAsia"/>
          <w:color w:val="auto"/>
          <w:highlight w:val="none"/>
          <w:u w:val="single"/>
        </w:rPr>
        <w:t>按招标公告要求，原件扫描件</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（9）拟委派项目负责人的建造师注册证书（</w:t>
      </w:r>
      <w:r>
        <w:rPr>
          <w:rFonts w:hint="eastAsia" w:ascii="宋体" w:hAnsi="宋体" w:cs="宋体"/>
          <w:color w:val="auto"/>
          <w:szCs w:val="21"/>
          <w:highlight w:val="none"/>
          <w:u w:val="single"/>
        </w:rPr>
        <w:t>提交原件扫描件</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（10）项目负责人安全</w:t>
      </w:r>
      <w:r>
        <w:rPr>
          <w:rFonts w:hint="eastAsia" w:ascii="宋体" w:hAnsi="宋体" w:cs="宋体"/>
          <w:color w:val="auto"/>
          <w:szCs w:val="21"/>
          <w:highlight w:val="none"/>
          <w:u w:val="single"/>
        </w:rPr>
        <w:t>生产</w:t>
      </w:r>
      <w:r>
        <w:rPr>
          <w:rFonts w:hint="eastAsia" w:ascii="宋体" w:hAnsi="宋体" w:cs="宋体"/>
          <w:color w:val="auto"/>
          <w:szCs w:val="21"/>
          <w:highlight w:val="none"/>
        </w:rPr>
        <w:t>考核合格证明或在有效期内的安全</w:t>
      </w:r>
      <w:r>
        <w:rPr>
          <w:rFonts w:hint="eastAsia" w:ascii="宋体" w:hAnsi="宋体" w:cs="宋体"/>
          <w:color w:val="auto"/>
          <w:szCs w:val="21"/>
          <w:highlight w:val="none"/>
          <w:u w:val="single"/>
        </w:rPr>
        <w:t>生产</w:t>
      </w:r>
      <w:r>
        <w:rPr>
          <w:rFonts w:hint="eastAsia" w:ascii="宋体" w:hAnsi="宋体" w:cs="宋体"/>
          <w:color w:val="auto"/>
          <w:szCs w:val="21"/>
          <w:highlight w:val="none"/>
        </w:rPr>
        <w:t>考核合格证书（B类）或建筑施工企业项目负责人安全生产考核合格证书（</w:t>
      </w:r>
      <w:r>
        <w:rPr>
          <w:rFonts w:hint="eastAsia" w:ascii="宋体" w:hAnsi="宋体" w:cs="宋体"/>
          <w:color w:val="auto"/>
          <w:szCs w:val="21"/>
          <w:highlight w:val="none"/>
          <w:u w:val="single"/>
        </w:rPr>
        <w:t>提交原件扫描件</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w:t>
      </w:r>
      <w:r>
        <w:rPr>
          <w:rStyle w:val="25"/>
          <w:rFonts w:hint="eastAsia" w:ascii="宋体" w:hAnsi="宋体"/>
          <w:bCs/>
          <w:color w:val="auto"/>
          <w:szCs w:val="21"/>
          <w:highlight w:val="none"/>
          <w:u w:val="single"/>
        </w:rPr>
        <w:t>专职安全员须具有在有效期内的安全生产考核合格证书（C类）或建筑施工企业专职安全生产管理人员安全生产考核合格证书（C3）（提交原件扫描件）</w:t>
      </w:r>
      <w:r>
        <w:rPr>
          <w:rStyle w:val="25"/>
          <w:rFonts w:ascii="宋体" w:hAnsi="宋体"/>
          <w:bCs/>
          <w:color w:val="auto"/>
          <w:szCs w:val="21"/>
          <w:highlight w:val="none"/>
          <w:u w:val="single"/>
        </w:rPr>
        <w:t>；</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12）资格审查前，投标人已在广州交易集团有限公司（广州公共资源交易中心）企业库办理企业信息登记，拟担任本工程项目负责人、专职安全员是本企业在广州交易集团有限公司（广州公共资源交易中心）企业信息登记中的在册人员。（信息取自投标截止时间投标人在广州交易集团有限公司（广州公共资源交易中心）企业库登记的信息，广州交易集团有限公司（广州公共资源交易中心）企业库中该部分信息将被视为投标人递交资格审查资料的一部分，投标文件中无需提供相关证明材料）</w:t>
      </w:r>
    </w:p>
    <w:p>
      <w:pPr>
        <w:spacing w:line="360" w:lineRule="auto"/>
        <w:ind w:firstLine="420" w:firstLineChars="200"/>
        <w:rPr>
          <w:rFonts w:hint="eastAsia"/>
          <w:color w:val="auto"/>
          <w:highlight w:val="none"/>
        </w:rPr>
      </w:pPr>
      <w:r>
        <w:rPr>
          <w:rStyle w:val="25"/>
          <w:rFonts w:ascii="宋体" w:hAnsi="宋体"/>
          <w:bCs/>
          <w:color w:val="auto"/>
          <w:szCs w:val="21"/>
          <w:highlight w:val="none"/>
        </w:rPr>
        <w:t>（13）</w:t>
      </w:r>
      <w:r>
        <w:rPr>
          <w:rFonts w:hint="eastAsia"/>
          <w:color w:val="auto"/>
          <w:highlight w:val="none"/>
        </w:rPr>
        <w:t>用于资格审查的业绩。</w:t>
      </w:r>
    </w:p>
    <w:p>
      <w:pPr>
        <w:spacing w:line="360" w:lineRule="auto"/>
        <w:ind w:firstLine="420" w:firstLineChars="200"/>
        <w:rPr>
          <w:rFonts w:hint="eastAsia" w:ascii="宋体" w:hAnsi="宋体" w:cs="宋体"/>
          <w:color w:val="auto"/>
          <w:spacing w:val="-2"/>
          <w:szCs w:val="21"/>
          <w:highlight w:val="none"/>
        </w:rPr>
      </w:pPr>
      <w:r>
        <w:rPr>
          <w:rStyle w:val="25"/>
          <w:rFonts w:ascii="宋体" w:hAnsi="宋体"/>
          <w:bCs/>
          <w:color w:val="auto"/>
          <w:szCs w:val="21"/>
          <w:highlight w:val="none"/>
        </w:rPr>
        <w:t>（14）</w:t>
      </w:r>
      <w:r>
        <w:rPr>
          <w:rStyle w:val="25"/>
          <w:rFonts w:ascii="宋体" w:hAnsi="宋体"/>
          <w:bCs/>
          <w:color w:val="auto"/>
          <w:szCs w:val="21"/>
          <w:highlight w:val="none"/>
          <w:u w:val="single"/>
        </w:rPr>
        <w:t>投标人认为应提供的其他资料。</w:t>
      </w:r>
    </w:p>
    <w:p>
      <w:pPr>
        <w:spacing w:line="360" w:lineRule="auto"/>
        <w:ind w:firstLine="420" w:firstLineChars="200"/>
        <w:rPr>
          <w:rStyle w:val="25"/>
          <w:rFonts w:ascii="宋体" w:hAnsi="宋体"/>
          <w:color w:val="auto"/>
          <w:szCs w:val="21"/>
          <w:highlight w:val="none"/>
        </w:rPr>
      </w:pPr>
      <w:r>
        <w:rPr>
          <w:rStyle w:val="25"/>
          <w:rFonts w:ascii="宋体" w:hAnsi="宋体"/>
          <w:color w:val="auto"/>
          <w:szCs w:val="21"/>
          <w:highlight w:val="none"/>
        </w:rPr>
        <w:t>11.2.3项目管理机构配备。</w:t>
      </w:r>
    </w:p>
    <w:p>
      <w:pPr>
        <w:spacing w:line="360" w:lineRule="auto"/>
        <w:ind w:firstLine="420" w:firstLineChars="200"/>
        <w:rPr>
          <w:rStyle w:val="25"/>
          <w:rFonts w:ascii="宋体" w:hAnsi="宋体"/>
          <w:color w:val="auto"/>
          <w:szCs w:val="21"/>
          <w:highlight w:val="none"/>
        </w:rPr>
      </w:pPr>
      <w:r>
        <w:rPr>
          <w:rStyle w:val="25"/>
          <w:rFonts w:ascii="宋体" w:hAnsi="宋体"/>
          <w:color w:val="auto"/>
          <w:szCs w:val="21"/>
          <w:highlight w:val="none"/>
        </w:rPr>
        <w:t>（1）投标人应列出该项目工程的施工组织机构构成和画出机构框架图及其负责人；</w:t>
      </w:r>
    </w:p>
    <w:p>
      <w:pPr>
        <w:spacing w:line="360" w:lineRule="auto"/>
        <w:ind w:firstLine="420" w:firstLineChars="200"/>
        <w:rPr>
          <w:rStyle w:val="25"/>
          <w:rFonts w:ascii="宋体" w:hAnsi="宋体"/>
          <w:b/>
          <w:color w:val="auto"/>
          <w:szCs w:val="21"/>
          <w:highlight w:val="none"/>
        </w:rPr>
      </w:pPr>
      <w:r>
        <w:rPr>
          <w:rStyle w:val="25"/>
          <w:rFonts w:ascii="宋体" w:hAnsi="宋体"/>
          <w:color w:val="auto"/>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420" w:firstLineChars="200"/>
        <w:rPr>
          <w:rStyle w:val="25"/>
          <w:rFonts w:ascii="宋体" w:hAnsi="宋体"/>
          <w:color w:val="auto"/>
          <w:szCs w:val="21"/>
          <w:highlight w:val="none"/>
        </w:rPr>
      </w:pPr>
      <w:r>
        <w:rPr>
          <w:rStyle w:val="25"/>
          <w:rFonts w:ascii="宋体" w:hAnsi="宋体"/>
          <w:color w:val="auto"/>
          <w:szCs w:val="21"/>
          <w:highlight w:val="none"/>
        </w:rPr>
        <w:t>（3）其他辅助说明资料。</w:t>
      </w:r>
    </w:p>
    <w:p>
      <w:pPr>
        <w:tabs>
          <w:tab w:val="left" w:pos="1125"/>
        </w:tabs>
        <w:spacing w:line="360" w:lineRule="auto"/>
        <w:ind w:firstLine="420" w:firstLineChars="200"/>
        <w:rPr>
          <w:rStyle w:val="25"/>
          <w:rFonts w:ascii="宋体" w:hAnsi="宋体"/>
          <w:color w:val="auto"/>
          <w:szCs w:val="21"/>
          <w:highlight w:val="none"/>
        </w:rPr>
      </w:pPr>
      <w:r>
        <w:rPr>
          <w:rStyle w:val="25"/>
          <w:rFonts w:ascii="宋体" w:hAnsi="宋体"/>
          <w:color w:val="auto"/>
          <w:szCs w:val="21"/>
          <w:highlight w:val="none"/>
          <w:u w:val="single"/>
        </w:rPr>
        <w:t>11.2.4施工方案。</w:t>
      </w:r>
      <w:r>
        <w:rPr>
          <w:rFonts w:hint="eastAsia" w:ascii="宋体" w:hAnsi="宋体" w:cs="宋体"/>
          <w:b/>
          <w:bCs/>
          <w:color w:val="auto"/>
          <w:szCs w:val="21"/>
          <w:highlight w:val="none"/>
          <w:u w:val="single"/>
        </w:rPr>
        <w:t>（投标人在编制施工组织设计或施工方案时应按照招标人提出的施工现场建筑垃圾源头减量的具体要求以及建筑垃圾综合利用产品的使用要求提供相应措施。）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20" w:firstLineChars="200"/>
        <w:rPr>
          <w:rStyle w:val="25"/>
          <w:rFonts w:hint="eastAsia" w:ascii="宋体" w:hAnsi="宋体"/>
          <w:color w:val="auto"/>
          <w:szCs w:val="21"/>
          <w:highlight w:val="none"/>
        </w:rPr>
      </w:pPr>
      <w:r>
        <w:rPr>
          <w:rStyle w:val="25"/>
          <w:rFonts w:ascii="宋体" w:hAnsi="宋体"/>
          <w:color w:val="auto"/>
          <w:szCs w:val="21"/>
          <w:highlight w:val="none"/>
          <w:u w:val="single"/>
        </w:rPr>
        <w:t>11.2.</w:t>
      </w:r>
      <w:r>
        <w:rPr>
          <w:rStyle w:val="25"/>
          <w:rFonts w:hint="eastAsia" w:ascii="宋体" w:hAnsi="宋体"/>
          <w:color w:val="auto"/>
          <w:szCs w:val="21"/>
          <w:highlight w:val="none"/>
          <w:u w:val="single"/>
        </w:rPr>
        <w:t>5</w:t>
      </w:r>
      <w:r>
        <w:rPr>
          <w:rStyle w:val="25"/>
          <w:rFonts w:ascii="宋体" w:hAnsi="宋体"/>
          <w:color w:val="auto"/>
          <w:szCs w:val="21"/>
          <w:highlight w:val="none"/>
        </w:rPr>
        <w:t>按照</w:t>
      </w:r>
      <w:r>
        <w:rPr>
          <w:rStyle w:val="25"/>
          <w:rFonts w:ascii="宋体" w:hAnsi="宋体"/>
          <w:bCs/>
          <w:color w:val="auto"/>
          <w:szCs w:val="21"/>
          <w:highlight w:val="none"/>
        </w:rPr>
        <w:t>招标文件要求</w:t>
      </w:r>
      <w:r>
        <w:rPr>
          <w:rStyle w:val="25"/>
          <w:rFonts w:ascii="宋体" w:hAnsi="宋体"/>
          <w:color w:val="auto"/>
          <w:szCs w:val="21"/>
          <w:highlight w:val="none"/>
        </w:rPr>
        <w:t>填写的《参与编制技术标投标文件人员名单》。</w:t>
      </w:r>
    </w:p>
    <w:p>
      <w:pPr>
        <w:pBdr>
          <w:bottom w:val="single" w:color="auto" w:sz="6" w:space="1"/>
        </w:pBd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11.2.6</w:t>
      </w:r>
      <w:r>
        <w:rPr>
          <w:rFonts w:hint="eastAsia" w:ascii="宋体" w:hAnsi="宋体" w:cs="宋体"/>
          <w:color w:val="auto"/>
          <w:szCs w:val="21"/>
          <w:highlight w:val="none"/>
          <w:u w:val="single"/>
        </w:rPr>
        <w:t>《危险性较大的分部分项工程清单及超过一定规模的危险性较大的分部分项工程清单》</w:t>
      </w:r>
    </w:p>
    <w:p>
      <w:pPr>
        <w:pBdr>
          <w:bottom w:val="single" w:color="auto" w:sz="6" w:space="1"/>
        </w:pBdr>
        <w:spacing w:line="44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u w:val="single"/>
        </w:rPr>
        <w:t>11.2.7其他投标人认为须提供的资料。</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条款号：11.3.3             修改类型：修改</w:t>
      </w:r>
    </w:p>
    <w:p>
      <w:pPr>
        <w:pBdr>
          <w:bottom w:val="single" w:color="auto" w:sz="6" w:space="1"/>
        </w:pBdr>
        <w:tabs>
          <w:tab w:val="left" w:pos="6329"/>
        </w:tabs>
        <w:spacing w:line="400" w:lineRule="exact"/>
        <w:ind w:firstLine="422" w:firstLineChars="200"/>
        <w:rPr>
          <w:rFonts w:hint="eastAsia" w:ascii="宋体" w:hAnsi="宋体"/>
          <w:bCs/>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11.3.3按照招标文件要求填写的《参与编制经济标投标文件人员名单》。</w:t>
      </w:r>
    </w:p>
    <w:p>
      <w:pPr>
        <w:pBdr>
          <w:bottom w:val="single" w:color="auto" w:sz="6" w:space="1"/>
        </w:pBdr>
        <w:tabs>
          <w:tab w:val="left" w:pos="6329"/>
        </w:tabs>
        <w:spacing w:line="400" w:lineRule="exact"/>
        <w:ind w:firstLine="422" w:firstLineChars="200"/>
        <w:rPr>
          <w:rFonts w:hint="eastAsia" w:ascii="宋体" w:hAnsi="宋体"/>
          <w:bCs/>
          <w:color w:val="auto"/>
          <w:szCs w:val="21"/>
          <w:highlight w:val="none"/>
        </w:rPr>
      </w:pPr>
      <w:r>
        <w:rPr>
          <w:rFonts w:hint="eastAsia" w:ascii="宋体" w:hAnsi="宋体"/>
          <w:b/>
          <w:color w:val="auto"/>
          <w:szCs w:val="21"/>
          <w:highlight w:val="none"/>
        </w:rPr>
        <w:t>现文：</w:t>
      </w:r>
      <w:r>
        <w:rPr>
          <w:rFonts w:hint="eastAsia" w:ascii="宋体" w:hAnsi="宋体"/>
          <w:bCs/>
          <w:color w:val="auto"/>
          <w:szCs w:val="21"/>
          <w:highlight w:val="none"/>
        </w:rPr>
        <w:t>11.3.3按照招标文件要求填写的《参与编制经济标投标文件人员名单》、</w:t>
      </w:r>
      <w:r>
        <w:rPr>
          <w:rFonts w:hint="eastAsia" w:ascii="宋体" w:hAnsi="宋体"/>
          <w:bCs/>
          <w:color w:val="auto"/>
          <w:szCs w:val="21"/>
          <w:highlight w:val="none"/>
          <w:u w:val="single"/>
        </w:rPr>
        <w:t>《对投标文件编制的承诺》。</w:t>
      </w:r>
    </w:p>
    <w:p>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条款号：11.3.5            修改类型：增加</w:t>
      </w:r>
    </w:p>
    <w:p>
      <w:pPr>
        <w:pBdr>
          <w:bottom w:val="single" w:color="auto" w:sz="6" w:space="1"/>
        </w:pBdr>
        <w:tabs>
          <w:tab w:val="left" w:pos="6329"/>
        </w:tabs>
        <w:spacing w:line="400" w:lineRule="exact"/>
        <w:ind w:firstLine="422" w:firstLineChars="200"/>
        <w:rPr>
          <w:rFonts w:hint="eastAsia" w:ascii="宋体" w:hAnsi="宋体"/>
          <w:bCs/>
          <w:color w:val="auto"/>
          <w:szCs w:val="21"/>
          <w:highlight w:val="none"/>
        </w:rPr>
      </w:pPr>
      <w:r>
        <w:rPr>
          <w:rFonts w:hint="eastAsia" w:ascii="宋体" w:hAnsi="宋体"/>
          <w:b/>
          <w:color w:val="auto"/>
          <w:szCs w:val="21"/>
          <w:highlight w:val="none"/>
        </w:rPr>
        <w:t>现文：</w:t>
      </w:r>
      <w:r>
        <w:rPr>
          <w:rFonts w:hint="eastAsia" w:ascii="宋体" w:hAnsi="宋体"/>
          <w:bCs/>
          <w:color w:val="auto"/>
          <w:szCs w:val="21"/>
          <w:highlight w:val="none"/>
        </w:rPr>
        <w:t>11.3.5其他投标人认为应该提供的资料。</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条款号：12.1             修改类型：修改</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12.1 投标文件包括本须知第11条中规定的内容，投标人提交的投标文件应当使用招标文件所提供的投标文件全部格式（表格可以按同样格式扩展）。</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12.1 投标文件包括本须知第11条中规定的内容，投标人提交的投标文件应当使用招标文件所提供的投标文件全部格式</w:t>
      </w:r>
      <w:r>
        <w:rPr>
          <w:rFonts w:hint="eastAsia" w:ascii="宋体" w:hAnsi="宋体" w:cs="宋体"/>
          <w:color w:val="auto"/>
          <w:szCs w:val="21"/>
          <w:highlight w:val="none"/>
          <w:u w:val="single"/>
        </w:rPr>
        <w:t>（其中：除带“★”号的必须按招标文件规定的格式进行编制外，其余格式仅供参考不作为投标文件有效性审查的条件）</w:t>
      </w:r>
      <w:r>
        <w:rPr>
          <w:rFonts w:hint="eastAsia" w:ascii="宋体" w:hAnsi="宋体" w:cs="宋体"/>
          <w:color w:val="auto"/>
          <w:szCs w:val="21"/>
          <w:highlight w:val="none"/>
        </w:rPr>
        <w:t>。</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条款号：12.2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ascii="宋体" w:hAnsi="宋体" w:cs="宋体"/>
          <w:color w:val="auto"/>
          <w:szCs w:val="21"/>
          <w:highlight w:val="none"/>
          <w:u w:val="single"/>
        </w:rPr>
        <w:t>由广州投标文件管理软件系统生成的“工程量清单主表--工程量清单报价表”封面页和扉页可以仅采用单位数字证书加盖电子印章处理</w:t>
      </w:r>
      <w:r>
        <w:rPr>
          <w:rFonts w:hint="eastAsia" w:ascii="宋体" w:hAnsi="宋体" w:cs="宋体"/>
          <w:color w:val="auto"/>
          <w:szCs w:val="21"/>
          <w:highlight w:val="none"/>
        </w:rPr>
        <w:t>。按照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条款号：12.3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12.3 投标文件应按照交易平台关于全流程电子化项目的相关指南进行编制，详见：</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rPr>
        <w:t>。</w:t>
      </w:r>
    </w:p>
    <w:p>
      <w:pPr>
        <w:spacing w:line="44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u w:val="none"/>
        </w:rPr>
        <w:t>如不按上述要求编制引起系统无法检索、读取相关信息的，其后果由投标人承担。</w:t>
      </w:r>
    </w:p>
    <w:p>
      <w:pPr>
        <w:pBdr>
          <w:bottom w:val="single" w:color="auto" w:sz="4"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12.3 投标文件应按照交易平台关于全流程电子化项目的相关指南进行编制，详见：</w:t>
      </w:r>
      <w:r>
        <w:rPr>
          <w:rFonts w:hint="eastAsia" w:ascii="宋体" w:hAnsi="宋体" w:cs="宋体"/>
          <w:color w:val="auto"/>
          <w:szCs w:val="21"/>
          <w:highlight w:val="none"/>
          <w:u w:val="single"/>
        </w:rPr>
        <w:t>广州交易集团有限公司（广州公共资源交易中心）网站最新指引《房屋建筑和市政基础设施工程全流程电子化项目专章》。</w:t>
      </w:r>
    </w:p>
    <w:p>
      <w:pPr>
        <w:pBdr>
          <w:bottom w:val="single" w:color="auto" w:sz="4" w:space="1"/>
        </w:pBdr>
        <w:spacing w:line="44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u w:val="none"/>
        </w:rPr>
        <w:t>如不按上述要求编制引起系统无法检索、读取相关信息的，其后果由投标人承担。</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条款号：13.4</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color w:val="auto"/>
          <w:szCs w:val="21"/>
          <w:highlight w:val="none"/>
          <w:u w:val="single"/>
        </w:rPr>
        <w:t>，按合同相关条款调整。</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条款号：13.5             修改类型：修改</w:t>
      </w:r>
    </w:p>
    <w:p>
      <w:pPr>
        <w:pBdr>
          <w:bottom w:val="single" w:color="000000" w:sz="6" w:space="1"/>
        </w:pBdr>
        <w:spacing w:line="360" w:lineRule="auto"/>
        <w:ind w:firstLine="527" w:firstLineChars="250"/>
        <w:rPr>
          <w:rStyle w:val="25"/>
          <w:rFonts w:ascii="宋体" w:hAnsi="宋体"/>
          <w:bCs/>
          <w:color w:val="auto"/>
          <w:szCs w:val="21"/>
          <w:highlight w:val="none"/>
        </w:rPr>
      </w:pPr>
      <w:r>
        <w:rPr>
          <w:rStyle w:val="25"/>
          <w:rFonts w:ascii="宋体" w:hAnsi="宋体"/>
          <w:b/>
          <w:color w:val="auto"/>
          <w:szCs w:val="21"/>
          <w:highlight w:val="none"/>
        </w:rPr>
        <w:t>原文：</w:t>
      </w:r>
      <w:r>
        <w:rPr>
          <w:rStyle w:val="25"/>
          <w:rFonts w:ascii="宋体" w:hAnsi="宋体"/>
          <w:bCs/>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Bdr>
          <w:bottom w:val="single" w:color="000000" w:sz="6" w:space="1"/>
        </w:pBdr>
        <w:spacing w:line="360" w:lineRule="auto"/>
        <w:ind w:firstLine="525" w:firstLineChars="250"/>
        <w:rPr>
          <w:rStyle w:val="25"/>
          <w:rFonts w:ascii="宋体" w:hAnsi="宋体"/>
          <w:bCs/>
          <w:color w:val="auto"/>
          <w:szCs w:val="21"/>
          <w:highlight w:val="none"/>
        </w:rPr>
      </w:pPr>
      <w:r>
        <w:rPr>
          <w:rStyle w:val="25"/>
          <w:rFonts w:ascii="宋体" w:hAnsi="宋体"/>
          <w:bCs/>
          <w:color w:val="auto"/>
          <w:szCs w:val="21"/>
          <w:highlight w:val="none"/>
        </w:rPr>
        <w:t>13.5.1中标的投标文件工程量清单中已有相同项目的适用综合单价，则沿用；</w:t>
      </w:r>
    </w:p>
    <w:p>
      <w:pPr>
        <w:pBdr>
          <w:bottom w:val="single" w:color="000000" w:sz="6" w:space="1"/>
        </w:pBdr>
        <w:spacing w:line="360" w:lineRule="auto"/>
        <w:ind w:firstLine="525" w:firstLineChars="250"/>
        <w:rPr>
          <w:rStyle w:val="25"/>
          <w:rFonts w:ascii="宋体" w:hAnsi="宋体"/>
          <w:bCs/>
          <w:color w:val="auto"/>
          <w:szCs w:val="21"/>
          <w:highlight w:val="none"/>
        </w:rPr>
      </w:pPr>
      <w:r>
        <w:rPr>
          <w:rStyle w:val="25"/>
          <w:rFonts w:ascii="宋体" w:hAnsi="宋体"/>
          <w:bCs/>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Bdr>
          <w:bottom w:val="single" w:color="000000" w:sz="6" w:space="1"/>
        </w:pBdr>
        <w:spacing w:line="360" w:lineRule="auto"/>
        <w:ind w:firstLine="525" w:firstLineChars="250"/>
        <w:rPr>
          <w:rStyle w:val="25"/>
          <w:rFonts w:ascii="宋体" w:hAnsi="宋体"/>
          <w:bCs/>
          <w:color w:val="auto"/>
          <w:szCs w:val="21"/>
          <w:highlight w:val="none"/>
        </w:rPr>
      </w:pPr>
      <w:r>
        <w:rPr>
          <w:rStyle w:val="25"/>
          <w:rFonts w:ascii="宋体" w:hAnsi="宋体"/>
          <w:bCs/>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Bdr>
          <w:bottom w:val="single" w:color="000000" w:sz="6" w:space="1"/>
        </w:pBdr>
        <w:spacing w:line="360" w:lineRule="auto"/>
        <w:ind w:firstLine="525" w:firstLineChars="250"/>
        <w:rPr>
          <w:rStyle w:val="25"/>
          <w:rFonts w:ascii="宋体" w:hAnsi="宋体"/>
          <w:b/>
          <w:color w:val="auto"/>
          <w:szCs w:val="21"/>
          <w:highlight w:val="none"/>
        </w:rPr>
      </w:pPr>
      <w:r>
        <w:rPr>
          <w:rStyle w:val="25"/>
          <w:rFonts w:ascii="宋体" w:hAnsi="宋体"/>
          <w:bCs/>
          <w:color w:val="auto"/>
          <w:szCs w:val="21"/>
          <w:highlight w:val="none"/>
        </w:rPr>
        <w:t>13.5.4 如相关定额没有相应子目的，其计价方式由招标人在本招标文件第三章中另行规定。未规定的，中标后双方协商约定。</w:t>
      </w:r>
    </w:p>
    <w:p>
      <w:pPr>
        <w:pBdr>
          <w:bottom w:val="single" w:color="000000" w:sz="6" w:space="1"/>
        </w:pBdr>
        <w:spacing w:line="360" w:lineRule="auto"/>
        <w:ind w:firstLine="527" w:firstLineChars="250"/>
        <w:rPr>
          <w:rStyle w:val="25"/>
          <w:rFonts w:ascii="宋体" w:hAnsi="宋体"/>
          <w:color w:val="auto"/>
          <w:szCs w:val="21"/>
          <w:highlight w:val="none"/>
          <w:u w:val="single"/>
        </w:rPr>
      </w:pPr>
      <w:r>
        <w:rPr>
          <w:rStyle w:val="25"/>
          <w:rFonts w:ascii="宋体" w:hAnsi="宋体"/>
          <w:b/>
          <w:color w:val="auto"/>
          <w:szCs w:val="21"/>
          <w:highlight w:val="none"/>
        </w:rPr>
        <w:t>现文：</w:t>
      </w:r>
      <w:r>
        <w:rPr>
          <w:rStyle w:val="25"/>
          <w:rFonts w:hint="eastAsia" w:ascii="宋体" w:hAnsi="宋体"/>
          <w:color w:val="auto"/>
          <w:szCs w:val="21"/>
          <w:highlight w:val="none"/>
          <w:u w:val="single"/>
        </w:rPr>
        <w:t>13.5 按合同相关条款执行</w:t>
      </w:r>
      <w:r>
        <w:rPr>
          <w:rStyle w:val="25"/>
          <w:rFonts w:ascii="宋体" w:hAnsi="宋体"/>
          <w:color w:val="auto"/>
          <w:szCs w:val="21"/>
          <w:highlight w:val="none"/>
          <w:u w:val="single"/>
        </w:rPr>
        <w:t>。</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条款号：13.10</w:t>
      </w:r>
      <w:r>
        <w:rPr>
          <w:rFonts w:hint="eastAsia" w:ascii="宋体" w:hAnsi="宋体" w:cs="宋体"/>
          <w:b/>
          <w:color w:val="auto"/>
          <w:szCs w:val="21"/>
          <w:highlight w:val="none"/>
        </w:rPr>
        <w:tab/>
      </w:r>
      <w:r>
        <w:rPr>
          <w:rFonts w:hint="eastAsia" w:ascii="宋体" w:hAnsi="宋体" w:cs="宋体"/>
          <w:b/>
          <w:color w:val="auto"/>
          <w:szCs w:val="21"/>
          <w:highlight w:val="none"/>
        </w:rPr>
        <w:t>修改类型：</w:t>
      </w:r>
      <w:r>
        <w:rPr>
          <w:rStyle w:val="25"/>
          <w:rFonts w:ascii="宋体" w:hAnsi="宋体"/>
          <w:b/>
          <w:color w:val="auto"/>
          <w:szCs w:val="21"/>
          <w:highlight w:val="none"/>
        </w:rPr>
        <w:t>增加</w:t>
      </w:r>
    </w:p>
    <w:p>
      <w:pPr>
        <w:pBdr>
          <w:bottom w:val="single" w:color="auto" w:sz="4" w:space="0"/>
        </w:pBdr>
        <w:spacing w:line="440" w:lineRule="exact"/>
        <w:ind w:firstLine="422" w:firstLineChars="200"/>
        <w:jc w:val="left"/>
        <w:rPr>
          <w:rStyle w:val="25"/>
          <w:rFonts w:hint="eastAsia" w:ascii="宋体" w:hAnsi="宋体"/>
          <w:bCs/>
          <w:color w:val="auto"/>
          <w:szCs w:val="21"/>
          <w:highlight w:val="none"/>
        </w:rPr>
      </w:pPr>
      <w:r>
        <w:rPr>
          <w:rFonts w:hint="eastAsia" w:ascii="宋体" w:hAnsi="宋体" w:cs="宋体"/>
          <w:b/>
          <w:color w:val="auto"/>
          <w:szCs w:val="21"/>
          <w:highlight w:val="none"/>
        </w:rPr>
        <w:t>现文：</w:t>
      </w:r>
      <w:r>
        <w:rPr>
          <w:rStyle w:val="25"/>
          <w:rFonts w:hint="eastAsia" w:ascii="宋体" w:hAnsi="宋体"/>
          <w:color w:val="auto"/>
          <w:szCs w:val="21"/>
          <w:highlight w:val="none"/>
          <w:u w:val="single"/>
        </w:rPr>
        <w:t>13.10本项目执行中华人民共和国国家标准《建设工程工程量清单计价规范》（GB50500-2013）、《广东省住房和城乡建设厅关于营业税改征增值税后调整广东省建设工程计价依据的通知》（粤建市函[2016]1113号）、《广州市建设工程造价管理站关于营业税改征增值税后广州市建设工程计价有关问题的通知》（穗建造价[2016]31号）</w:t>
      </w:r>
      <w:r>
        <w:rPr>
          <w:rStyle w:val="25"/>
          <w:rFonts w:ascii="宋体" w:hAnsi="宋体"/>
          <w:color w:val="auto"/>
          <w:szCs w:val="21"/>
          <w:highlight w:val="none"/>
          <w:u w:val="single"/>
        </w:rPr>
        <w:t>。</w:t>
      </w:r>
    </w:p>
    <w:p>
      <w:pPr>
        <w:pBdr>
          <w:top w:val="single" w:color="auto" w:sz="4" w:space="1"/>
        </w:pBdr>
        <w:spacing w:line="360" w:lineRule="auto"/>
        <w:rPr>
          <w:rFonts w:hint="eastAsia" w:ascii="宋体" w:hAnsi="宋体" w:cs="宋体"/>
          <w:b/>
          <w:color w:val="auto"/>
          <w:sz w:val="24"/>
          <w:szCs w:val="24"/>
          <w:highlight w:val="none"/>
        </w:rPr>
      </w:pPr>
      <w:r>
        <w:rPr>
          <w:rFonts w:hint="eastAsia" w:cs="宋体"/>
          <w:color w:val="auto"/>
          <w:szCs w:val="21"/>
          <w:highlight w:val="none"/>
        </w:rPr>
        <w:t xml:space="preserve">    </w:t>
      </w:r>
      <w:r>
        <w:rPr>
          <w:rFonts w:ascii="宋体" w:hAnsi="宋体" w:cs="宋体"/>
          <w:b/>
          <w:color w:val="auto"/>
          <w:szCs w:val="21"/>
          <w:highlight w:val="none"/>
        </w:rPr>
        <w:t>条款</w:t>
      </w:r>
      <w:r>
        <w:rPr>
          <w:rFonts w:cs="宋体"/>
          <w:b/>
          <w:color w:val="auto"/>
          <w:szCs w:val="21"/>
          <w:highlight w:val="none"/>
        </w:rPr>
        <w:t>号：16.1</w:t>
      </w:r>
      <w:r>
        <w:rPr>
          <w:rFonts w:hint="eastAsia" w:cs="宋体"/>
          <w:b/>
          <w:color w:val="auto"/>
          <w:szCs w:val="21"/>
          <w:highlight w:val="none"/>
        </w:rPr>
        <w:t>.2</w:t>
      </w:r>
      <w:r>
        <w:rPr>
          <w:rFonts w:cs="宋体"/>
          <w:b/>
          <w:color w:val="auto"/>
          <w:szCs w:val="21"/>
          <w:highlight w:val="none"/>
        </w:rPr>
        <w:t xml:space="preserve">   </w:t>
      </w:r>
      <w:r>
        <w:rPr>
          <w:rFonts w:hint="eastAsia" w:ascii="宋体" w:hAnsi="宋体" w:cs="宋体"/>
          <w:b/>
          <w:color w:val="auto"/>
          <w:szCs w:val="21"/>
          <w:highlight w:val="none"/>
        </w:rPr>
        <w:t xml:space="preserve">          修改类型：修改</w:t>
      </w:r>
    </w:p>
    <w:p>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498" w:firstLineChars="236"/>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依法必须招标的工程</w:t>
      </w:r>
      <w:r>
        <w:rPr>
          <w:rFonts w:hint="eastAsia" w:ascii="宋体" w:hAnsi="宋体" w:cs="宋体"/>
          <w:color w:val="auto"/>
          <w:szCs w:val="21"/>
          <w:highlight w:val="none"/>
        </w:rPr>
        <w:t>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top w:val="single" w:color="auto" w:sz="4" w:space="1"/>
        </w:pBdr>
        <w:spacing w:line="360" w:lineRule="auto"/>
        <w:rPr>
          <w:rFonts w:hint="eastAsia" w:ascii="宋体" w:hAnsi="宋体" w:cs="宋体"/>
          <w:b/>
          <w:color w:val="auto"/>
          <w:sz w:val="24"/>
          <w:szCs w:val="24"/>
          <w:highlight w:val="none"/>
        </w:rPr>
      </w:pPr>
      <w:r>
        <w:rPr>
          <w:rFonts w:hint="eastAsia" w:cs="宋体"/>
          <w:color w:val="auto"/>
          <w:szCs w:val="21"/>
          <w:highlight w:val="none"/>
        </w:rPr>
        <w:t xml:space="preserve">     </w:t>
      </w:r>
      <w:r>
        <w:rPr>
          <w:rFonts w:ascii="宋体" w:hAnsi="宋体" w:cs="宋体"/>
          <w:b/>
          <w:color w:val="auto"/>
          <w:szCs w:val="21"/>
          <w:highlight w:val="none"/>
        </w:rPr>
        <w:t>条款</w:t>
      </w:r>
      <w:r>
        <w:rPr>
          <w:rFonts w:cs="宋体"/>
          <w:b/>
          <w:color w:val="auto"/>
          <w:szCs w:val="21"/>
          <w:highlight w:val="none"/>
        </w:rPr>
        <w:t>号：16.</w:t>
      </w:r>
      <w:r>
        <w:rPr>
          <w:rFonts w:hint="eastAsia" w:cs="宋体"/>
          <w:b/>
          <w:color w:val="auto"/>
          <w:szCs w:val="21"/>
          <w:highlight w:val="none"/>
        </w:rPr>
        <w:t>4</w:t>
      </w:r>
      <w:r>
        <w:rPr>
          <w:rFonts w:cs="宋体"/>
          <w:b/>
          <w:color w:val="auto"/>
          <w:szCs w:val="21"/>
          <w:highlight w:val="none"/>
        </w:rPr>
        <w:t xml:space="preserve"> </w:t>
      </w:r>
      <w:r>
        <w:rPr>
          <w:rFonts w:hint="eastAsia" w:cs="宋体"/>
          <w:b/>
          <w:color w:val="auto"/>
          <w:szCs w:val="21"/>
          <w:highlight w:val="none"/>
        </w:rPr>
        <w:t>-16.5</w:t>
      </w:r>
      <w:r>
        <w:rPr>
          <w:rFonts w:cs="宋体"/>
          <w:b/>
          <w:color w:val="auto"/>
          <w:szCs w:val="21"/>
          <w:highlight w:val="none"/>
        </w:rPr>
        <w:t xml:space="preserve">  </w:t>
      </w:r>
      <w:r>
        <w:rPr>
          <w:rFonts w:hint="eastAsia" w:ascii="宋体" w:hAnsi="宋体" w:cs="宋体"/>
          <w:b/>
          <w:color w:val="auto"/>
          <w:szCs w:val="21"/>
          <w:highlight w:val="none"/>
        </w:rPr>
        <w:t xml:space="preserve">          修改类型：修改</w:t>
      </w:r>
    </w:p>
    <w:p>
      <w:pP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16.4如有下列情况之一的，招标人可以不予退还投标保证金（是否退还投标保证金由招标人在招标文件中规定）：</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spacing w:line="360"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pPr>
        <w:pBdr>
          <w:bottom w:val="single" w:color="auto" w:sz="6" w:space="1"/>
        </w:pBdr>
        <w:spacing w:line="360" w:lineRule="auto"/>
        <w:ind w:firstLine="498" w:firstLineChars="23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16.4如有下列情况之一的，招标人可以不予退还投标保证金：</w:t>
      </w:r>
    </w:p>
    <w:p>
      <w:pPr>
        <w:pBdr>
          <w:bottom w:val="single" w:color="auto" w:sz="6" w:space="1"/>
        </w:pBdr>
        <w:spacing w:line="360" w:lineRule="auto"/>
        <w:ind w:firstLine="495" w:firstLineChars="236"/>
        <w:rPr>
          <w:rFonts w:hint="eastAsia" w:ascii="宋体" w:hAnsi="宋体" w:cs="宋体"/>
          <w:color w:val="auto"/>
          <w:szCs w:val="21"/>
          <w:highlight w:val="none"/>
          <w:u w:val="none"/>
        </w:rPr>
      </w:pPr>
      <w:r>
        <w:rPr>
          <w:rFonts w:hint="eastAsia" w:ascii="宋体" w:hAnsi="宋体" w:cs="宋体"/>
          <w:color w:val="auto"/>
          <w:szCs w:val="21"/>
          <w:highlight w:val="none"/>
          <w:u w:val="none"/>
        </w:rPr>
        <w:t>16.4.1因投标人原因造成投标文件未解密的；</w:t>
      </w:r>
    </w:p>
    <w:p>
      <w:pPr>
        <w:pBdr>
          <w:bottom w:val="single" w:color="auto" w:sz="6" w:space="1"/>
        </w:pBdr>
        <w:spacing w:line="360" w:lineRule="auto"/>
        <w:ind w:firstLine="495" w:firstLineChars="236"/>
        <w:rPr>
          <w:rFonts w:hint="eastAsia" w:ascii="宋体" w:hAnsi="宋体" w:cs="宋体"/>
          <w:color w:val="auto"/>
          <w:szCs w:val="21"/>
          <w:highlight w:val="none"/>
          <w:u w:val="none"/>
        </w:rPr>
      </w:pPr>
      <w:r>
        <w:rPr>
          <w:rFonts w:hint="eastAsia" w:ascii="宋体" w:hAnsi="宋体" w:cs="宋体"/>
          <w:color w:val="auto"/>
          <w:szCs w:val="21"/>
          <w:highlight w:val="none"/>
          <w:u w:val="none"/>
        </w:rPr>
        <w:t>16.4.2投标人在投标有效期内撤销投标文件；</w:t>
      </w:r>
    </w:p>
    <w:p>
      <w:pPr>
        <w:pBdr>
          <w:bottom w:val="single" w:color="auto" w:sz="6" w:space="1"/>
        </w:pBdr>
        <w:spacing w:line="360" w:lineRule="auto"/>
        <w:ind w:firstLine="495" w:firstLineChars="236"/>
        <w:rPr>
          <w:rFonts w:hint="eastAsia" w:ascii="宋体" w:hAnsi="宋体" w:cs="宋体"/>
          <w:color w:val="auto"/>
          <w:szCs w:val="21"/>
          <w:highlight w:val="none"/>
          <w:u w:val="none"/>
        </w:rPr>
      </w:pPr>
      <w:r>
        <w:rPr>
          <w:rFonts w:hint="eastAsia" w:ascii="宋体" w:hAnsi="宋体" w:cs="宋体"/>
          <w:color w:val="auto"/>
          <w:szCs w:val="21"/>
          <w:highlight w:val="none"/>
          <w:u w:val="none"/>
        </w:rPr>
        <w:t>16.4.3中标人未能在规定期限内按要求提交履约担保；</w:t>
      </w:r>
    </w:p>
    <w:p>
      <w:pPr>
        <w:pBdr>
          <w:bottom w:val="single" w:color="auto" w:sz="6" w:space="1"/>
        </w:pBdr>
        <w:spacing w:line="360" w:lineRule="auto"/>
        <w:ind w:firstLine="495" w:firstLineChars="236"/>
        <w:rPr>
          <w:rFonts w:hint="eastAsia" w:ascii="宋体" w:hAnsi="宋体" w:cs="宋体"/>
          <w:color w:val="auto"/>
          <w:szCs w:val="21"/>
          <w:highlight w:val="none"/>
          <w:u w:val="none"/>
        </w:rPr>
      </w:pPr>
      <w:r>
        <w:rPr>
          <w:rFonts w:hint="eastAsia" w:ascii="宋体" w:hAnsi="宋体" w:cs="宋体"/>
          <w:color w:val="auto"/>
          <w:szCs w:val="21"/>
          <w:highlight w:val="none"/>
          <w:u w:val="none"/>
        </w:rPr>
        <w:t>16.4.4中标人未能在规定期限内签署合同协议。</w:t>
      </w:r>
    </w:p>
    <w:p>
      <w:pPr>
        <w:pBdr>
          <w:bottom w:val="single" w:color="auto" w:sz="6" w:space="1"/>
        </w:pBdr>
        <w:spacing w:line="360" w:lineRule="auto"/>
        <w:ind w:firstLine="495" w:firstLineChars="236"/>
        <w:rPr>
          <w:rFonts w:hint="eastAsia" w:ascii="宋体" w:hAnsi="宋体" w:cs="宋体"/>
          <w:color w:val="auto"/>
          <w:szCs w:val="21"/>
          <w:highlight w:val="none"/>
          <w:u w:val="single"/>
        </w:rPr>
      </w:pPr>
      <w:r>
        <w:rPr>
          <w:rFonts w:hint="eastAsia" w:ascii="宋体" w:hAnsi="宋体" w:cs="宋体"/>
          <w:color w:val="auto"/>
          <w:szCs w:val="21"/>
          <w:highlight w:val="none"/>
          <w:u w:val="single"/>
        </w:rPr>
        <w:t>16.5投标人如存在下列情况之一的，将被拒绝在</w:t>
      </w:r>
      <w:r>
        <w:rPr>
          <w:rFonts w:hint="eastAsia" w:ascii="宋体" w:hAnsi="宋体"/>
          <w:bCs/>
          <w:color w:val="auto"/>
          <w:szCs w:val="21"/>
          <w:highlight w:val="none"/>
          <w:u w:val="single"/>
        </w:rPr>
        <w:t>一</w:t>
      </w:r>
      <w:r>
        <w:rPr>
          <w:rFonts w:ascii="宋体" w:hAnsi="宋体"/>
          <w:bCs/>
          <w:color w:val="auto"/>
          <w:szCs w:val="21"/>
          <w:highlight w:val="none"/>
          <w:u w:val="single"/>
        </w:rPr>
        <w:t>年</w:t>
      </w:r>
      <w:r>
        <w:rPr>
          <w:rFonts w:hint="eastAsia" w:ascii="宋体" w:hAnsi="宋体"/>
          <w:bCs/>
          <w:color w:val="auto"/>
          <w:szCs w:val="21"/>
          <w:highlight w:val="none"/>
          <w:u w:val="single"/>
        </w:rPr>
        <w:t>内</w:t>
      </w:r>
      <w:r>
        <w:rPr>
          <w:rFonts w:hint="eastAsia" w:ascii="宋体" w:hAnsi="宋体" w:cs="宋体"/>
          <w:color w:val="auto"/>
          <w:szCs w:val="21"/>
          <w:highlight w:val="none"/>
          <w:u w:val="single"/>
        </w:rPr>
        <w:t>参与招标人后续工程投标（拒绝时限需在招标文件中明确）：</w:t>
      </w:r>
    </w:p>
    <w:p>
      <w:pPr>
        <w:pBdr>
          <w:bottom w:val="single" w:color="auto" w:sz="6" w:space="1"/>
        </w:pBdr>
        <w:spacing w:line="360" w:lineRule="auto"/>
        <w:ind w:firstLine="495" w:firstLineChars="236"/>
        <w:rPr>
          <w:rFonts w:hint="eastAsia" w:ascii="宋体" w:hAnsi="宋体" w:cs="宋体"/>
          <w:color w:val="auto"/>
          <w:szCs w:val="21"/>
          <w:highlight w:val="none"/>
          <w:u w:val="none"/>
        </w:rPr>
      </w:pPr>
      <w:r>
        <w:rPr>
          <w:rFonts w:hint="eastAsia" w:ascii="宋体" w:hAnsi="宋体" w:cs="宋体"/>
          <w:color w:val="auto"/>
          <w:szCs w:val="21"/>
          <w:highlight w:val="none"/>
          <w:u w:val="none"/>
        </w:rPr>
        <w:t>16.5.1投标人存在16.4条款所列情形且投标人提交的保函、担保或保证保险无法兑付的；</w:t>
      </w:r>
    </w:p>
    <w:p>
      <w:pPr>
        <w:pBdr>
          <w:bottom w:val="single" w:color="auto" w:sz="6" w:space="1"/>
        </w:pBdr>
        <w:spacing w:line="360" w:lineRule="auto"/>
        <w:ind w:firstLine="495" w:firstLineChars="236"/>
        <w:rPr>
          <w:rFonts w:hint="eastAsia" w:ascii="宋体" w:hAnsi="宋体" w:cs="宋体"/>
          <w:color w:val="auto"/>
          <w:szCs w:val="21"/>
          <w:highlight w:val="none"/>
        </w:rPr>
      </w:pPr>
      <w:r>
        <w:rPr>
          <w:rFonts w:hint="eastAsia" w:ascii="宋体" w:hAnsi="宋体" w:cs="宋体"/>
          <w:color w:val="auto"/>
          <w:szCs w:val="21"/>
          <w:highlight w:val="none"/>
          <w:u w:val="none"/>
        </w:rPr>
        <w:t>16.5.2采用非电子形式提交投标保证金的投标人存在16.4条款所列情形，且未按招标人要求补交银行保函、专业工程担保公司担保或保证保险原件的。</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条款号：17.1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Bdr>
          <w:bottom w:val="single" w:color="auto" w:sz="6" w:space="1"/>
        </w:pBdr>
        <w:spacing w:line="440" w:lineRule="exact"/>
        <w:ind w:firstLine="422" w:firstLineChars="200"/>
        <w:rPr>
          <w:rFonts w:hint="eastAsia" w:ascii="宋体" w:hAnsi="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w:t>
      </w:r>
      <w:r>
        <w:rPr>
          <w:rFonts w:hint="eastAsia" w:ascii="宋体" w:hAnsi="宋体" w:cs="宋体"/>
          <w:color w:val="auto"/>
          <w:szCs w:val="21"/>
          <w:highlight w:val="none"/>
          <w:u w:val="single"/>
        </w:rPr>
        <w:t>由广州投标文件管理软件系统生成的“工程量清单主表--工程量清单报价表”封面页和扉页可以仅采用单位数字证书加盖电子印章处理</w:t>
      </w:r>
      <w:r>
        <w:rPr>
          <w:rFonts w:hint="eastAsia" w:ascii="宋体" w:hAnsi="宋体" w:cs="宋体"/>
          <w:color w:val="auto"/>
          <w:szCs w:val="21"/>
          <w:highlight w:val="none"/>
        </w:rPr>
        <w:t>。按照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Style w:val="25"/>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条款号：18.1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18.1递交的电子投标文件（不含备用光盘）必须进行加密。按照交易平台关于全流程电子化项目的相关指南进行操作。详见：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广州交易集团有限公司（广州公共资源交易中心）网站最新指引《房屋建筑和市政基础设施工程全流程电子化项目专章》。</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条款号：18.2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18.2 未按要求加密的投标文件，</w:t>
      </w:r>
      <w:r>
        <w:rPr>
          <w:rStyle w:val="25"/>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交易平台递交电子投标文件。</w:t>
      </w:r>
    </w:p>
    <w:p>
      <w:pPr>
        <w:pBdr>
          <w:bottom w:val="single" w:color="auto" w:sz="6" w:space="1"/>
        </w:pBdr>
        <w:spacing w:line="440" w:lineRule="exact"/>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Style w:val="25"/>
          <w:rFonts w:hint="eastAsia" w:ascii="宋体" w:hAnsi="宋体" w:cs="宋体"/>
          <w:bCs/>
          <w:color w:val="auto"/>
          <w:szCs w:val="21"/>
          <w:highlight w:val="none"/>
          <w:u w:val="single"/>
        </w:rPr>
        <w:t>广州交易集团有限公司（广州公共资源交易中心）</w:t>
      </w:r>
      <w:r>
        <w:rPr>
          <w:rFonts w:hint="eastAsia" w:ascii="宋体" w:hAnsi="宋体" w:cs="宋体"/>
          <w:bCs/>
          <w:color w:val="auto"/>
          <w:szCs w:val="21"/>
          <w:highlight w:val="none"/>
        </w:rPr>
        <w:t>交易平台递交电子投标文件。</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投标人完成电子投标文件上传后，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交易平台即时向投标人发出递交回执通知。递交时间以递交回执通知载明的传输完成时间为准。</w:t>
      </w:r>
    </w:p>
    <w:p>
      <w:pPr>
        <w:pBdr>
          <w:bottom w:val="single" w:color="auto" w:sz="6" w:space="1"/>
        </w:pBdr>
        <w:spacing w:line="440" w:lineRule="exact"/>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投标人完成电子投标文件上传后，</w:t>
      </w:r>
      <w:r>
        <w:rPr>
          <w:rStyle w:val="25"/>
          <w:rFonts w:hint="eastAsia" w:ascii="宋体" w:hAnsi="宋体" w:cs="宋体"/>
          <w:bCs/>
          <w:color w:val="auto"/>
          <w:szCs w:val="21"/>
          <w:highlight w:val="none"/>
          <w:u w:val="single"/>
        </w:rPr>
        <w:t>广州交易集团有限公司（广州公共资源交易中心）</w:t>
      </w:r>
      <w:r>
        <w:rPr>
          <w:rFonts w:hint="eastAsia" w:ascii="宋体" w:hAnsi="宋体" w:cs="宋体"/>
          <w:bCs/>
          <w:color w:val="auto"/>
          <w:szCs w:val="21"/>
          <w:highlight w:val="none"/>
        </w:rPr>
        <w:t>交易平台即时向投标人发出递交回执通知。递交时间以递交回执通知载明的传输完成时间为准。</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交易平台将予以拒收。</w:t>
      </w:r>
    </w:p>
    <w:p>
      <w:pPr>
        <w:pBdr>
          <w:bottom w:val="single" w:color="auto" w:sz="6" w:space="1"/>
        </w:pBd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bCs/>
          <w:color w:val="auto"/>
          <w:szCs w:val="21"/>
          <w:highlight w:val="none"/>
          <w:u w:val="single"/>
        </w:rPr>
        <w:t>广州公共资源交易中心</w:t>
      </w:r>
      <w:r>
        <w:rPr>
          <w:rFonts w:hint="eastAsia" w:ascii="宋体" w:hAnsi="宋体" w:cs="宋体"/>
          <w:bCs/>
          <w:color w:val="auto"/>
          <w:szCs w:val="21"/>
          <w:highlight w:val="none"/>
        </w:rPr>
        <w:t>交易平台将予以拒收。</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条款号：19.5</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pPr>
        <w:pStyle w:val="19"/>
        <w:spacing w:after="0" w:line="440" w:lineRule="exact"/>
        <w:ind w:left="0" w:leftChars="0" w:firstLine="422"/>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19.5</w:t>
      </w:r>
      <w:r>
        <w:rPr>
          <w:rFonts w:hint="eastAsia" w:ascii="宋体" w:hAnsi="宋体" w:cs="宋体"/>
          <w:bCs/>
          <w:color w:val="auto"/>
          <w:szCs w:val="21"/>
          <w:highlight w:val="none"/>
          <w:u w:val="single"/>
        </w:rPr>
        <w:t>技术标和经济标同时开启，</w:t>
      </w:r>
      <w:r>
        <w:rPr>
          <w:rStyle w:val="25"/>
          <w:rFonts w:hint="eastAsia" w:ascii="宋体" w:hAnsi="宋体" w:cs="宋体"/>
          <w:bCs/>
          <w:color w:val="auto"/>
          <w:szCs w:val="21"/>
          <w:highlight w:val="none"/>
          <w:u w:val="single"/>
        </w:rPr>
        <w:t>广州交易集团有限公司（广州公共资源交易中心）</w:t>
      </w:r>
      <w:r>
        <w:rPr>
          <w:rFonts w:hint="eastAsia" w:ascii="宋体" w:hAnsi="宋体" w:cs="宋体"/>
          <w:bCs/>
          <w:color w:val="auto"/>
          <w:szCs w:val="21"/>
          <w:highlight w:val="none"/>
          <w:u w:val="single"/>
        </w:rPr>
        <w:t>交易平台将按招标文件规定的时间同时开启技术标和经济标。</w:t>
      </w:r>
    </w:p>
    <w:p>
      <w:pPr>
        <w:pBdr>
          <w:top w:val="single" w:color="auto" w:sz="4" w:space="1"/>
        </w:pBd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条款号：19.6</w:t>
      </w:r>
      <w:r>
        <w:rPr>
          <w:rFonts w:hint="eastAsia" w:ascii="宋体" w:hAnsi="宋体" w:cs="宋体"/>
          <w:b/>
          <w:color w:val="auto"/>
          <w:szCs w:val="21"/>
          <w:highlight w:val="none"/>
        </w:rPr>
        <w:tab/>
      </w:r>
      <w:r>
        <w:rPr>
          <w:rFonts w:hint="eastAsia" w:ascii="宋体" w:hAnsi="宋体" w:cs="宋体"/>
          <w:b/>
          <w:color w:val="auto"/>
          <w:szCs w:val="21"/>
          <w:highlight w:val="none"/>
        </w:rPr>
        <w:t>修改类型：删除</w:t>
      </w:r>
    </w:p>
    <w:p>
      <w:pPr>
        <w:pBdr>
          <w:bottom w:val="single" w:color="auto" w:sz="6" w:space="1"/>
        </w:pBd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26"/>
        <w:spacing w:line="400" w:lineRule="exact"/>
        <w:ind w:firstLine="472" w:firstLineChars="224"/>
        <w:rPr>
          <w:rFonts w:ascii="Times New Roman" w:hAnsi="Times New Roman"/>
          <w:b/>
          <w:color w:val="auto"/>
          <w:szCs w:val="21"/>
          <w:highlight w:val="none"/>
        </w:rPr>
      </w:pPr>
      <w:r>
        <w:rPr>
          <w:rFonts w:hint="eastAsia" w:ascii="Times New Roman" w:hAnsi="Times New Roman"/>
          <w:b/>
          <w:color w:val="auto"/>
          <w:szCs w:val="21"/>
          <w:highlight w:val="none"/>
        </w:rPr>
        <w:t>条款号：</w:t>
      </w:r>
      <w:r>
        <w:rPr>
          <w:rFonts w:ascii="Times New Roman" w:hAnsi="Times New Roman"/>
          <w:b/>
          <w:color w:val="auto"/>
          <w:szCs w:val="21"/>
          <w:highlight w:val="none"/>
        </w:rPr>
        <w:t xml:space="preserve">20.3                         </w:t>
      </w:r>
      <w:r>
        <w:rPr>
          <w:rFonts w:hint="eastAsia" w:ascii="Times New Roman" w:hAnsi="Times New Roman"/>
          <w:b/>
          <w:color w:val="auto"/>
          <w:szCs w:val="21"/>
          <w:highlight w:val="none"/>
        </w:rPr>
        <w:t>修改类型：修改</w:t>
      </w:r>
    </w:p>
    <w:p>
      <w:pPr>
        <w:pStyle w:val="26"/>
        <w:spacing w:line="400" w:lineRule="exact"/>
        <w:ind w:firstLine="472" w:firstLineChars="224"/>
        <w:rPr>
          <w:rFonts w:ascii="Times New Roman" w:hAnsi="Times New Roman"/>
          <w:b/>
          <w:color w:val="auto"/>
          <w:szCs w:val="21"/>
          <w:highlight w:val="none"/>
        </w:rPr>
      </w:pPr>
      <w:r>
        <w:rPr>
          <w:rFonts w:hint="eastAsia" w:ascii="Times New Roman" w:hAnsi="Times New Roman"/>
          <w:b/>
          <w:color w:val="auto"/>
          <w:szCs w:val="21"/>
          <w:highlight w:val="none"/>
        </w:rPr>
        <w:t>原文：</w:t>
      </w:r>
      <w:r>
        <w:rPr>
          <w:rFonts w:hint="eastAsia" w:ascii="Times New Roman" w:hAnsi="Times New Roman"/>
          <w:color w:val="auto"/>
          <w:szCs w:val="21"/>
          <w:highlight w:val="none"/>
        </w:rPr>
        <w:t>到投标截止时间止，招标人收到的投标文件少于</w:t>
      </w:r>
      <w:r>
        <w:rPr>
          <w:rFonts w:ascii="Times New Roman" w:hAnsi="Times New Roman"/>
          <w:color w:val="auto"/>
          <w:szCs w:val="21"/>
          <w:highlight w:val="none"/>
        </w:rPr>
        <w:t>3</w:t>
      </w:r>
      <w:r>
        <w:rPr>
          <w:rFonts w:hint="eastAsia" w:ascii="Times New Roman" w:hAnsi="Times New Roman"/>
          <w:color w:val="auto"/>
          <w:szCs w:val="21"/>
          <w:highlight w:val="none"/>
        </w:rPr>
        <w:t>家的，招标人将重新组织招标（当</w:t>
      </w:r>
      <w:r>
        <w:rPr>
          <w:rFonts w:ascii="Times New Roman" w:hAnsi="Times New Roman"/>
          <w:color w:val="auto"/>
          <w:szCs w:val="21"/>
          <w:highlight w:val="none"/>
        </w:rPr>
        <w:t>N</w:t>
      </w:r>
      <w:r>
        <w:rPr>
          <w:rFonts w:hint="eastAsia" w:ascii="Times New Roman" w:hAnsi="Times New Roman"/>
          <w:color w:val="auto"/>
          <w:szCs w:val="21"/>
          <w:highlight w:val="none"/>
        </w:rPr>
        <w:t>个标段同时招标且不允许兼中时，若有效投标人不足</w:t>
      </w:r>
      <w:r>
        <w:rPr>
          <w:rFonts w:ascii="Times New Roman" w:hAnsi="Times New Roman"/>
          <w:color w:val="auto"/>
          <w:szCs w:val="21"/>
          <w:highlight w:val="none"/>
        </w:rPr>
        <w:t>N+2</w:t>
      </w:r>
      <w:r>
        <w:rPr>
          <w:rFonts w:hint="eastAsia" w:ascii="Times New Roman" w:hAnsi="Times New Roman"/>
          <w:color w:val="auto"/>
          <w:szCs w:val="21"/>
          <w:highlight w:val="none"/>
        </w:rPr>
        <w:t>家，则重新组织招标）。</w:t>
      </w:r>
    </w:p>
    <w:p>
      <w:pPr>
        <w:pStyle w:val="26"/>
        <w:pBdr>
          <w:bottom w:val="single" w:color="auto" w:sz="6" w:space="1"/>
        </w:pBdr>
        <w:spacing w:line="400" w:lineRule="exact"/>
        <w:ind w:firstLine="527" w:firstLineChars="250"/>
        <w:rPr>
          <w:rFonts w:ascii="Times New Roman" w:hAnsi="Times New Roman"/>
          <w:color w:val="auto"/>
          <w:szCs w:val="21"/>
          <w:highlight w:val="none"/>
        </w:rPr>
      </w:pPr>
      <w:r>
        <w:rPr>
          <w:rFonts w:hint="eastAsia" w:ascii="Times New Roman" w:hAnsi="Times New Roman"/>
          <w:b/>
          <w:color w:val="auto"/>
          <w:szCs w:val="21"/>
          <w:highlight w:val="none"/>
        </w:rPr>
        <w:t>现文：</w:t>
      </w:r>
      <w:r>
        <w:rPr>
          <w:rFonts w:hint="eastAsia" w:ascii="Times New Roman" w:hAnsi="Times New Roman"/>
          <w:color w:val="auto"/>
          <w:szCs w:val="21"/>
          <w:highlight w:val="none"/>
        </w:rPr>
        <w:t>到投标截止时间止，招标人收到的投标文件少于</w:t>
      </w:r>
      <w:r>
        <w:rPr>
          <w:rFonts w:ascii="Times New Roman" w:hAnsi="Times New Roman"/>
          <w:color w:val="auto"/>
          <w:szCs w:val="21"/>
          <w:highlight w:val="none"/>
        </w:rPr>
        <w:t>3</w:t>
      </w:r>
      <w:r>
        <w:rPr>
          <w:rFonts w:hint="eastAsia" w:ascii="Times New Roman" w:hAnsi="Times New Roman"/>
          <w:color w:val="auto"/>
          <w:szCs w:val="21"/>
          <w:highlight w:val="none"/>
        </w:rPr>
        <w:t>家的，招标人将重新组织招标。</w:t>
      </w:r>
    </w:p>
    <w:p>
      <w:pPr>
        <w:pBdr>
          <w:top w:val="single" w:color="auto" w:sz="4" w:space="1"/>
        </w:pBd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条款号：21.1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 本须知前附表第17项规定的投标截止时间后送达的电子投标文件，</w:t>
      </w:r>
      <w:r>
        <w:rPr>
          <w:rStyle w:val="25"/>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条款号：27.1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w:t>
      </w:r>
    </w:p>
    <w:p>
      <w:pPr>
        <w:pBdr>
          <w:bottom w:val="single" w:color="auto" w:sz="6" w:space="1"/>
        </w:pBdr>
        <w:spacing w:line="440" w:lineRule="exact"/>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27.1</w:t>
      </w:r>
      <w:r>
        <w:rPr>
          <w:rFonts w:hint="eastAsia" w:ascii="宋体" w:hAnsi="宋体" w:cs="宋体"/>
          <w:bCs/>
          <w:color w:val="auto"/>
          <w:kern w:val="0"/>
          <w:szCs w:val="21"/>
          <w:highlight w:val="none"/>
        </w:rPr>
        <w:t>招标人将在</w:t>
      </w:r>
      <w:r>
        <w:rPr>
          <w:rFonts w:hint="eastAsia" w:ascii="宋体" w:hAnsi="宋体" w:cs="宋体"/>
          <w:bCs/>
          <w:color w:val="auto"/>
          <w:kern w:val="0"/>
          <w:szCs w:val="21"/>
          <w:highlight w:val="none"/>
          <w:u w:val="single"/>
        </w:rPr>
        <w:t xml:space="preserve"> </w:t>
      </w:r>
      <w:r>
        <w:rPr>
          <w:rStyle w:val="25"/>
          <w:rFonts w:hint="eastAsia" w:ascii="宋体" w:hAnsi="宋体" w:cs="宋体"/>
          <w:bCs/>
          <w:color w:val="auto"/>
          <w:szCs w:val="21"/>
          <w:highlight w:val="none"/>
          <w:u w:val="single"/>
        </w:rPr>
        <w:t>广州交易集团有限公司（广州公共资源交易中心）</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交易平台、广东省招标投标监管网和中国招标投标公共服务平台、</w:t>
      </w:r>
      <w:r>
        <w:rPr>
          <w:rFonts w:hint="eastAsia" w:ascii="宋体" w:hAnsi="宋体" w:cs="宋体"/>
          <w:bCs/>
          <w:color w:val="auto"/>
          <w:kern w:val="0"/>
          <w:szCs w:val="21"/>
          <w:highlight w:val="none"/>
          <w:u w:val="single"/>
        </w:rPr>
        <w:t>广州国企阳光采购信息发布平台</w:t>
      </w:r>
      <w:r>
        <w:rPr>
          <w:rFonts w:hint="eastAsia" w:ascii="宋体" w:hAnsi="宋体" w:cs="宋体"/>
          <w:bCs/>
          <w:color w:val="auto"/>
          <w:kern w:val="0"/>
          <w:szCs w:val="21"/>
          <w:highlight w:val="none"/>
        </w:rPr>
        <w:t>公示中标候选人，公示期为三天</w:t>
      </w:r>
      <w:r>
        <w:rPr>
          <w:rFonts w:hint="eastAsia" w:ascii="宋体" w:hAnsi="宋体" w:cs="宋体"/>
          <w:color w:val="auto"/>
          <w:szCs w:val="21"/>
          <w:highlight w:val="none"/>
          <w:u w:val="single"/>
        </w:rPr>
        <w:t>（最后一天为工作日）</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条款号：27.4</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27.4在产生中标候选人后，招标人将中标候选人的投标文件商务部分文件的所有内容（包括报价清单、人员、业绩、奖项等资料）在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交易平台和广东省招标投标监管网公开。</w:t>
      </w:r>
    </w:p>
    <w:p>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w:t>
      </w:r>
      <w:r>
        <w:rPr>
          <w:rFonts w:hint="eastAsia" w:ascii="宋体" w:hAnsi="宋体" w:cs="宋体"/>
          <w:bCs/>
          <w:color w:val="auto"/>
          <w:kern w:val="0"/>
          <w:szCs w:val="21"/>
          <w:highlight w:val="none"/>
        </w:rPr>
        <w:t>在产生中标候选人后，招标人将中标候选人的投标文件商务部分文件的所有内容（包括人员、业绩、奖项等资料）在</w:t>
      </w:r>
      <w:r>
        <w:rPr>
          <w:rFonts w:hint="eastAsia" w:ascii="宋体" w:hAnsi="宋体" w:cs="宋体"/>
          <w:bCs/>
          <w:color w:val="auto"/>
          <w:kern w:val="0"/>
          <w:szCs w:val="21"/>
          <w:highlight w:val="none"/>
          <w:u w:val="single"/>
        </w:rPr>
        <w:t xml:space="preserve"> </w:t>
      </w:r>
      <w:r>
        <w:rPr>
          <w:rFonts w:hint="eastAsia" w:ascii="宋体" w:hAnsi="宋体" w:cs="宋体"/>
          <w:color w:val="auto"/>
          <w:szCs w:val="21"/>
          <w:highlight w:val="none"/>
          <w:u w:val="single"/>
        </w:rPr>
        <w:t>广州公共资源交易中心</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交易平台和广东省招标投标监管网公开。</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条款号：29.1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在收到中标通知书后的15日内，中标人应按本须知前附表第20项的规定向招标人提交履约担保。</w:t>
      </w:r>
    </w:p>
    <w:p>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Style w:val="25"/>
          <w:rFonts w:hint="eastAsia" w:ascii="宋体" w:hAnsi="宋体" w:cs="宋体"/>
          <w:color w:val="auto"/>
          <w:szCs w:val="21"/>
          <w:highlight w:val="none"/>
        </w:rPr>
        <w:t>在收到中标通知书后的15日内，中标人应按本须知前附表第20项的规定向招标人提交履约担保；</w:t>
      </w:r>
      <w:r>
        <w:rPr>
          <w:rFonts w:hint="eastAsia"/>
          <w:color w:val="auto"/>
          <w:highlight w:val="none"/>
          <w:u w:val="single"/>
        </w:rPr>
        <w:t>提交形式：银行保函、保证保险、担保保函</w:t>
      </w:r>
      <w:r>
        <w:rPr>
          <w:rFonts w:hint="eastAsia" w:ascii="宋体" w:hAnsi="宋体"/>
          <w:color w:val="auto"/>
          <w:highlight w:val="none"/>
          <w:u w:val="single"/>
        </w:rPr>
        <w:t>或其他合法形式</w:t>
      </w:r>
      <w:r>
        <w:rPr>
          <w:rFonts w:hint="eastAsia"/>
          <w:color w:val="auto"/>
          <w:highlight w:val="none"/>
          <w:u w:val="single"/>
        </w:rPr>
        <w:t>（履约保证金有效期至本工程竣工验收后90天止）。</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条款号：30.1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440" w:lineRule="exact"/>
        <w:ind w:firstLine="422" w:firstLineChars="200"/>
        <w:rPr>
          <w:rFonts w:hint="eastAsia" w:ascii="宋体" w:hAnsi="宋体" w:cs="宋体"/>
          <w:b/>
          <w:color w:val="auto"/>
          <w:spacing w:val="-2"/>
          <w:szCs w:val="21"/>
          <w:highlight w:val="none"/>
        </w:rPr>
      </w:pPr>
      <w:r>
        <w:rPr>
          <w:rFonts w:hint="eastAsia" w:ascii="宋体" w:hAnsi="宋体" w:cs="宋体"/>
          <w:b/>
          <w:color w:val="auto"/>
          <w:szCs w:val="21"/>
          <w:highlight w:val="none"/>
        </w:rPr>
        <w:t>原文：</w:t>
      </w:r>
      <w:r>
        <w:rPr>
          <w:rFonts w:hint="eastAsia" w:ascii="宋体" w:hAnsi="宋体" w:cs="宋体"/>
          <w:color w:val="auto"/>
          <w:spacing w:val="-2"/>
          <w:szCs w:val="21"/>
          <w:highlight w:val="none"/>
        </w:rPr>
        <w:t>在合同双方全权代表在合同协议书上签字，并分别加盖双方单位的公章后，合同正式生效</w:t>
      </w:r>
    </w:p>
    <w:p>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合同自发包人、承包人双方法定代表人或委托代理人签字并加盖公章之日起生效。</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条款号：32.3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pBdr>
          <w:bottom w:val="single" w:color="auto" w:sz="6" w:space="1"/>
        </w:pBdr>
        <w:spacing w:line="440" w:lineRule="exact"/>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32.3</w:t>
      </w:r>
      <w:r>
        <w:rPr>
          <w:rFonts w:hint="eastAsia" w:ascii="宋体" w:hAnsi="宋体" w:cs="宋体"/>
          <w:bCs/>
          <w:color w:val="auto"/>
          <w:kern w:val="0"/>
          <w:szCs w:val="21"/>
          <w:highlight w:val="none"/>
        </w:rPr>
        <w:t>投标人如在本项目中存在串通投标、弄虚作假</w:t>
      </w:r>
      <w:r>
        <w:rPr>
          <w:rFonts w:hint="eastAsia" w:ascii="宋体" w:hAnsi="宋体" w:cs="宋体"/>
          <w:bCs/>
          <w:color w:val="auto"/>
          <w:kern w:val="0"/>
          <w:szCs w:val="21"/>
          <w:highlight w:val="none"/>
          <w:u w:val="single"/>
        </w:rPr>
        <w:t>骗取中标</w:t>
      </w:r>
      <w:r>
        <w:rPr>
          <w:rFonts w:hint="eastAsia" w:ascii="宋体" w:hAnsi="宋体" w:cs="宋体"/>
          <w:bCs/>
          <w:color w:val="auto"/>
          <w:kern w:val="0"/>
          <w:szCs w:val="21"/>
          <w:highlight w:val="none"/>
        </w:rPr>
        <w:t>、行贿情形的，中标无效，行政监督部门将对其违法行为进行政处罚。该投标人将被招标人列入黑名单并限制其参与招标人后续项目的投标。</w:t>
      </w:r>
    </w:p>
    <w:p>
      <w:pPr>
        <w:tabs>
          <w:tab w:val="left" w:pos="4536"/>
        </w:tabs>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条款号：33</w:t>
      </w:r>
      <w:r>
        <w:rPr>
          <w:rFonts w:hint="eastAsia" w:ascii="宋体" w:hAnsi="宋体" w:cs="宋体"/>
          <w:b/>
          <w:color w:val="auto"/>
          <w:szCs w:val="21"/>
          <w:highlight w:val="none"/>
        </w:rPr>
        <w:tab/>
      </w:r>
      <w:r>
        <w:rPr>
          <w:rFonts w:hint="eastAsia" w:ascii="宋体" w:hAnsi="宋体" w:cs="宋体"/>
          <w:b/>
          <w:color w:val="auto"/>
          <w:szCs w:val="21"/>
          <w:highlight w:val="none"/>
        </w:rPr>
        <w:t>修改类型：删除</w:t>
      </w:r>
    </w:p>
    <w:p>
      <w:pPr>
        <w:pBdr>
          <w:bottom w:val="single" w:color="auto" w:sz="6" w:space="1"/>
        </w:pBd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原文：33. 投标人信誉的要求</w:t>
      </w:r>
    </w:p>
    <w:p>
      <w:pPr>
        <w:pBdr>
          <w:bottom w:val="single" w:color="auto" w:sz="6" w:space="1"/>
        </w:pBd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存在下列情形之一的，招标人可以限制其投标（需在招标文件中明确评定方法）</w:t>
      </w:r>
    </w:p>
    <w:p>
      <w:pPr>
        <w:pBdr>
          <w:bottom w:val="single" w:color="auto" w:sz="6" w:space="1"/>
        </w:pBd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（1）被住房城乡建设行政主管部门在全国建筑市场监管一体化工作平台列入建筑市场主体“黑名单”；</w:t>
      </w:r>
    </w:p>
    <w:p>
      <w:pPr>
        <w:pBdr>
          <w:bottom w:val="single" w:color="auto" w:sz="6" w:space="1"/>
        </w:pBd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（2）被发改委、人力资源社会保障、质检总局等有关部门、单位在“信用中国”网站中列入联合惩戒失信黑名单。</w:t>
      </w:r>
    </w:p>
    <w:p>
      <w:pP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（以下无正文）</w:t>
      </w:r>
    </w:p>
    <w:p>
      <w:pPr>
        <w:pStyle w:val="27"/>
        <w:spacing w:line="276" w:lineRule="auto"/>
        <w:outlineLvl w:val="1"/>
        <w:rPr>
          <w:rStyle w:val="25"/>
          <w:rFonts w:ascii="宋体" w:hAnsi="宋体"/>
          <w:b/>
          <w:color w:val="auto"/>
          <w:highlight w:val="none"/>
        </w:rPr>
      </w:pPr>
      <w:r>
        <w:rPr>
          <w:rFonts w:hint="eastAsia" w:ascii="宋体" w:hAnsi="宋体" w:cs="宋体"/>
          <w:color w:val="auto"/>
          <w:highlight w:val="none"/>
        </w:rPr>
        <w:br w:type="page"/>
      </w:r>
      <w:bookmarkStart w:id="6" w:name="_Toc105014623"/>
      <w:bookmarkStart w:id="7" w:name="_Toc14950"/>
      <w:r>
        <w:rPr>
          <w:rStyle w:val="25"/>
          <w:rFonts w:ascii="宋体" w:hAnsi="宋体"/>
          <w:b/>
          <w:color w:val="auto"/>
          <w:highlight w:val="none"/>
        </w:rPr>
        <w:t>三、投标须知通用条款</w:t>
      </w:r>
      <w:bookmarkEnd w:id="6"/>
      <w:bookmarkEnd w:id="7"/>
    </w:p>
    <w:p>
      <w:pPr>
        <w:pStyle w:val="4"/>
        <w:spacing w:before="156" w:beforeAutospacing="0" w:after="156" w:afterAutospacing="0" w:line="276" w:lineRule="auto"/>
        <w:rPr>
          <w:b/>
          <w:bCs/>
          <w:color w:val="auto"/>
          <w:sz w:val="21"/>
          <w:szCs w:val="21"/>
          <w:highlight w:val="none"/>
        </w:rPr>
      </w:pPr>
      <w:bookmarkStart w:id="8" w:name="_Toc32624"/>
      <w:bookmarkStart w:id="9" w:name="_Toc105014624"/>
      <w:r>
        <w:rPr>
          <w:rFonts w:hint="eastAsia"/>
          <w:b/>
          <w:bCs/>
          <w:color w:val="auto"/>
          <w:sz w:val="21"/>
          <w:szCs w:val="21"/>
          <w:highlight w:val="none"/>
        </w:rPr>
        <w:t>（一）总则</w:t>
      </w:r>
      <w:bookmarkEnd w:id="8"/>
      <w:bookmarkEnd w:id="9"/>
    </w:p>
    <w:p>
      <w:pPr>
        <w:pStyle w:val="18"/>
        <w:spacing w:after="0" w:line="276" w:lineRule="auto"/>
        <w:ind w:firstLine="422" w:firstLineChars="200"/>
        <w:rPr>
          <w:rFonts w:hint="eastAsia" w:ascii="宋体" w:hAnsi="宋体"/>
          <w:b/>
          <w:bCs/>
          <w:color w:val="auto"/>
          <w:sz w:val="21"/>
          <w:szCs w:val="21"/>
          <w:highlight w:val="none"/>
        </w:rPr>
      </w:pPr>
      <w:r>
        <w:rPr>
          <w:rFonts w:ascii="宋体" w:hAnsi="宋体"/>
          <w:b/>
          <w:bCs/>
          <w:color w:val="auto"/>
          <w:sz w:val="21"/>
          <w:szCs w:val="21"/>
          <w:highlight w:val="none"/>
        </w:rPr>
        <w:t xml:space="preserve">1. </w:t>
      </w:r>
      <w:r>
        <w:rPr>
          <w:rFonts w:hint="eastAsia" w:ascii="宋体" w:hAnsi="宋体"/>
          <w:b/>
          <w:bCs/>
          <w:color w:val="auto"/>
          <w:sz w:val="21"/>
          <w:szCs w:val="21"/>
          <w:highlight w:val="none"/>
        </w:rPr>
        <w:t>定义</w:t>
      </w:r>
    </w:p>
    <w:p>
      <w:pPr>
        <w:pStyle w:val="18"/>
        <w:spacing w:after="0" w:line="276" w:lineRule="auto"/>
        <w:ind w:firstLineChars="200"/>
        <w:rPr>
          <w:rFonts w:hint="eastAsia" w:ascii="宋体" w:hAnsi="宋体"/>
          <w:b/>
          <w:bCs/>
          <w:color w:val="auto"/>
          <w:sz w:val="21"/>
          <w:szCs w:val="21"/>
          <w:highlight w:val="none"/>
        </w:rPr>
      </w:pPr>
      <w:r>
        <w:rPr>
          <w:rFonts w:hint="eastAsia" w:ascii="宋体" w:hAnsi="宋体"/>
          <w:color w:val="auto"/>
          <w:sz w:val="21"/>
          <w:szCs w:val="21"/>
          <w:highlight w:val="none"/>
        </w:rPr>
        <w:t>本招标文件使用的下列词语具有如下规定的意义：</w:t>
      </w:r>
    </w:p>
    <w:p>
      <w:pPr>
        <w:pStyle w:val="18"/>
        <w:spacing w:after="0" w:line="276" w:lineRule="auto"/>
        <w:ind w:firstLineChars="200"/>
        <w:rPr>
          <w:rFonts w:hint="eastAsia" w:ascii="宋体" w:hAnsi="宋体"/>
          <w:b/>
          <w:bCs/>
          <w:color w:val="auto"/>
          <w:sz w:val="21"/>
          <w:szCs w:val="21"/>
          <w:highlight w:val="none"/>
          <w:u w:val="single"/>
        </w:rPr>
      </w:pPr>
      <w:r>
        <w:rPr>
          <w:rFonts w:hint="eastAsia" w:ascii="宋体" w:hAnsi="宋体"/>
          <w:color w:val="auto"/>
          <w:sz w:val="21"/>
          <w:szCs w:val="21"/>
          <w:highlight w:val="none"/>
        </w:rPr>
        <w:t>（1）“招标人”（即发包人）、“项目建设管理单位”（或称“项目代建单位”）、“招标代理”、“设计单位”、“监理单位”均已在投标须知前附表中列明。</w:t>
      </w:r>
    </w:p>
    <w:p>
      <w:pPr>
        <w:pStyle w:val="18"/>
        <w:spacing w:after="0" w:line="276" w:lineRule="auto"/>
        <w:ind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 xml:space="preserve">（2）“投标人”指向招标人提交投标文件的当事人。   </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（3）“承包人”指其投标被招标人接受并与其签订承包合同的当事人。</w:t>
      </w:r>
    </w:p>
    <w:p>
      <w:pPr>
        <w:pStyle w:val="18"/>
        <w:spacing w:after="0" w:line="276" w:lineRule="auto"/>
        <w:ind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（4）“招标文件”指由招标代理发出的本文件（包括全部章节、附件）及招标答疑会会议纪要和</w:t>
      </w:r>
      <w:r>
        <w:rPr>
          <w:rFonts w:hint="eastAsia" w:ascii="宋体" w:hAnsi="宋体"/>
          <w:bCs/>
          <w:color w:val="auto"/>
          <w:sz w:val="21"/>
          <w:szCs w:val="21"/>
          <w:highlight w:val="none"/>
        </w:rPr>
        <w:t>招标文件的澄清与修改</w:t>
      </w:r>
      <w:r>
        <w:rPr>
          <w:rFonts w:hint="eastAsia" w:ascii="宋体" w:hAnsi="宋体"/>
          <w:color w:val="auto"/>
          <w:sz w:val="21"/>
          <w:szCs w:val="21"/>
          <w:highlight w:val="none"/>
        </w:rPr>
        <w:t>文件。</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（5）“投标文件”指投标人根据本项目招标文件向招标人提交的全部文件。</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（6）“书面形式”指打字或印刷的文件和数据电文（包括电报、电传、传真、电子数据交换和电子邮件）。</w:t>
      </w:r>
    </w:p>
    <w:p>
      <w:pPr>
        <w:spacing w:line="276" w:lineRule="auto"/>
        <w:ind w:firstLine="422" w:firstLineChars="200"/>
        <w:rPr>
          <w:rFonts w:hint="eastAsia" w:ascii="宋体" w:hAnsi="宋体"/>
          <w:b/>
          <w:color w:val="auto"/>
          <w:szCs w:val="21"/>
          <w:highlight w:val="none"/>
        </w:rPr>
      </w:pPr>
      <w:r>
        <w:rPr>
          <w:rFonts w:ascii="宋体" w:hAnsi="宋体"/>
          <w:b/>
          <w:color w:val="auto"/>
          <w:szCs w:val="21"/>
          <w:highlight w:val="none"/>
        </w:rPr>
        <w:t xml:space="preserve">2. </w:t>
      </w:r>
      <w:r>
        <w:rPr>
          <w:rFonts w:hint="eastAsia" w:ascii="宋体" w:hAnsi="宋体"/>
          <w:b/>
          <w:color w:val="auto"/>
          <w:szCs w:val="21"/>
          <w:highlight w:val="none"/>
        </w:rPr>
        <w:t>招标说明</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2.1本招标工程项目按照《中华人民共和国招标投标法》等有关法律、行政法规、规章和规范性文件，通过招标方式选定承包人。</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2.2工程名称、建设地点、建设规模、承包方式、质量标准、招标范围、工期要求等均在投标须知前附表中列明。</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2.3设计说明：详见招标图纸。</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2.4工程施工特点：详见招标图纸。</w:t>
      </w:r>
    </w:p>
    <w:p>
      <w:pPr>
        <w:spacing w:line="276" w:lineRule="auto"/>
        <w:ind w:firstLine="422" w:firstLineChars="200"/>
        <w:rPr>
          <w:rFonts w:hint="eastAsia" w:ascii="宋体" w:hAnsi="宋体"/>
          <w:b/>
          <w:color w:val="auto"/>
          <w:szCs w:val="21"/>
          <w:highlight w:val="none"/>
        </w:rPr>
      </w:pPr>
      <w:r>
        <w:rPr>
          <w:rFonts w:ascii="宋体" w:hAnsi="宋体"/>
          <w:b/>
          <w:color w:val="auto"/>
          <w:szCs w:val="21"/>
          <w:highlight w:val="none"/>
        </w:rPr>
        <w:t xml:space="preserve">3. </w:t>
      </w:r>
      <w:r>
        <w:rPr>
          <w:rFonts w:hint="eastAsia" w:ascii="宋体" w:hAnsi="宋体"/>
          <w:b/>
          <w:color w:val="auto"/>
          <w:szCs w:val="21"/>
          <w:highlight w:val="none"/>
        </w:rPr>
        <w:t>资金来源</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3.1本招标工程项目资金来源见投标须知前附表第9项。</w:t>
      </w:r>
    </w:p>
    <w:p>
      <w:pPr>
        <w:spacing w:line="276" w:lineRule="auto"/>
        <w:ind w:firstLine="422" w:firstLineChars="200"/>
        <w:rPr>
          <w:rFonts w:hint="eastAsia" w:ascii="宋体" w:hAnsi="宋体"/>
          <w:b/>
          <w:color w:val="auto"/>
          <w:szCs w:val="21"/>
          <w:highlight w:val="none"/>
        </w:rPr>
      </w:pPr>
      <w:r>
        <w:rPr>
          <w:rFonts w:ascii="宋体" w:hAnsi="宋体"/>
          <w:b/>
          <w:color w:val="auto"/>
          <w:szCs w:val="21"/>
          <w:highlight w:val="none"/>
        </w:rPr>
        <w:t xml:space="preserve">4. </w:t>
      </w:r>
      <w:r>
        <w:rPr>
          <w:rFonts w:hint="eastAsia" w:ascii="宋体" w:hAnsi="宋体"/>
          <w:b/>
          <w:color w:val="auto"/>
          <w:szCs w:val="21"/>
          <w:highlight w:val="none"/>
        </w:rPr>
        <w:t>合格投标人的条件</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4.1详见本项目招标公告</w:t>
      </w:r>
    </w:p>
    <w:p>
      <w:pPr>
        <w:spacing w:line="276"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5．踏勘现场</w:t>
      </w:r>
    </w:p>
    <w:p>
      <w:pPr>
        <w:spacing w:line="276"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5.1 投标人应按本投标须知前附表第15项所述时间和要求对工程现场及周围环境进行踏勘，</w:t>
      </w:r>
      <w:r>
        <w:rPr>
          <w:rFonts w:hint="eastAsia" w:ascii="宋体" w:hAnsi="宋体"/>
          <w:color w:val="auto"/>
          <w:szCs w:val="21"/>
          <w:highlight w:val="none"/>
        </w:rPr>
        <w:t>投标人应充分重视和仔细地进行这种考察，</w:t>
      </w:r>
      <w:r>
        <w:rPr>
          <w:rFonts w:hint="eastAsia" w:ascii="宋体" w:hAnsi="宋体"/>
          <w:bCs/>
          <w:color w:val="auto"/>
          <w:szCs w:val="21"/>
          <w:highlight w:val="none"/>
        </w:rPr>
        <w:t>以便投标人获取</w:t>
      </w:r>
      <w:r>
        <w:rPr>
          <w:rFonts w:hint="eastAsia" w:ascii="宋体" w:hAnsi="宋体"/>
          <w:color w:val="auto"/>
          <w:szCs w:val="21"/>
          <w:highlight w:val="none"/>
        </w:rPr>
        <w:t>那些须投标人自己负责的</w:t>
      </w:r>
      <w:r>
        <w:rPr>
          <w:rFonts w:hint="eastAsia" w:ascii="宋体" w:hAnsi="宋体"/>
          <w:bCs/>
          <w:color w:val="auto"/>
          <w:szCs w:val="21"/>
          <w:highlight w:val="none"/>
        </w:rPr>
        <w:t>有关编制投标文件和签署合同所涉及现场所有的资料。</w:t>
      </w:r>
      <w:r>
        <w:rPr>
          <w:rFonts w:hint="eastAsia" w:ascii="宋体" w:hAnsi="宋体"/>
          <w:color w:val="auto"/>
          <w:szCs w:val="21"/>
          <w:highlight w:val="none"/>
        </w:rPr>
        <w:t>一旦中标，这种考察即被认为其结果已在中标文件中得到充分反映。考察现场的费用由投标人自己承担。</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5.2 招标人向投标人提供的有关现场的数据和资料，是招标人现有的能被投标人利用的资料，招标人对投标人做出的任何推论、理解和结论均不负责任。</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5.3 经招标人允许，投标人可为踏勘目的进入招标人的项目现场。</w:t>
      </w:r>
      <w:r>
        <w:rPr>
          <w:rFonts w:hint="eastAsia" w:ascii="宋体" w:hAnsi="宋体"/>
          <w:color w:val="auto"/>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Cs w:val="21"/>
          <w:highlight w:val="none"/>
        </w:rPr>
        <w:t>投标人不得因此使招标人承担有关的责任和蒙受损失。</w:t>
      </w:r>
    </w:p>
    <w:p>
      <w:pPr>
        <w:spacing w:line="276"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6．投标费用</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6.1</w:t>
      </w:r>
      <w:r>
        <w:rPr>
          <w:rFonts w:hint="eastAsia" w:ascii="宋体" w:hAnsi="宋体"/>
          <w:color w:val="auto"/>
          <w:szCs w:val="21"/>
          <w:highlight w:val="none"/>
        </w:rPr>
        <w:t>不论投标结果如何，投标人应承担</w:t>
      </w:r>
      <w:r>
        <w:rPr>
          <w:rFonts w:hint="eastAsia" w:ascii="宋体" w:hAnsi="宋体"/>
          <w:bCs/>
          <w:color w:val="auto"/>
          <w:szCs w:val="21"/>
          <w:highlight w:val="none"/>
        </w:rPr>
        <w:t>自身</w:t>
      </w:r>
      <w:r>
        <w:rPr>
          <w:rFonts w:hint="eastAsia" w:ascii="宋体" w:hAnsi="宋体"/>
          <w:color w:val="auto"/>
          <w:szCs w:val="21"/>
          <w:highlight w:val="none"/>
        </w:rPr>
        <w:t>因投标文件编制、递交及其他</w:t>
      </w:r>
      <w:r>
        <w:rPr>
          <w:rFonts w:hint="eastAsia" w:ascii="宋体" w:hAnsi="宋体"/>
          <w:bCs/>
          <w:color w:val="auto"/>
          <w:szCs w:val="21"/>
          <w:highlight w:val="none"/>
        </w:rPr>
        <w:t>参加本招标活动</w:t>
      </w:r>
      <w:r>
        <w:rPr>
          <w:rFonts w:hint="eastAsia" w:ascii="宋体" w:hAnsi="宋体"/>
          <w:color w:val="auto"/>
          <w:szCs w:val="21"/>
          <w:highlight w:val="none"/>
        </w:rPr>
        <w:t>所涉及的一切费用，招标人对上述费用不负任何责任。</w:t>
      </w:r>
    </w:p>
    <w:p>
      <w:pPr>
        <w:pStyle w:val="4"/>
        <w:spacing w:before="156" w:beforeAutospacing="0" w:after="156" w:afterAutospacing="0" w:line="276" w:lineRule="auto"/>
        <w:rPr>
          <w:rFonts w:hint="eastAsia"/>
          <w:b/>
          <w:bCs/>
          <w:color w:val="auto"/>
          <w:sz w:val="21"/>
          <w:szCs w:val="21"/>
          <w:highlight w:val="none"/>
        </w:rPr>
      </w:pPr>
      <w:bookmarkStart w:id="10" w:name="_Toc26659"/>
      <w:bookmarkStart w:id="11" w:name="_Toc105014625"/>
      <w:r>
        <w:rPr>
          <w:rFonts w:hint="eastAsia"/>
          <w:b/>
          <w:bCs/>
          <w:color w:val="auto"/>
          <w:sz w:val="21"/>
          <w:szCs w:val="21"/>
          <w:highlight w:val="none"/>
        </w:rPr>
        <w:t>（二）招标文件</w:t>
      </w:r>
      <w:bookmarkEnd w:id="10"/>
      <w:bookmarkEnd w:id="11"/>
    </w:p>
    <w:p>
      <w:pPr>
        <w:spacing w:line="276"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 xml:space="preserve"> </w:t>
      </w:r>
      <w:r>
        <w:rPr>
          <w:rFonts w:hint="eastAsia" w:ascii="宋体" w:hAnsi="宋体"/>
          <w:b/>
          <w:color w:val="auto"/>
          <w:szCs w:val="21"/>
          <w:highlight w:val="none"/>
        </w:rPr>
        <w:t>招标文件的组成</w:t>
      </w:r>
    </w:p>
    <w:p>
      <w:pPr>
        <w:spacing w:line="276"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7.1</w:t>
      </w:r>
      <w:r>
        <w:rPr>
          <w:rFonts w:hint="eastAsia" w:ascii="宋体" w:hAnsi="宋体"/>
          <w:color w:val="auto"/>
          <w:szCs w:val="21"/>
          <w:highlight w:val="none"/>
        </w:rPr>
        <w:t>本招标文件包括下列文件，以及所有按本须知第8条发出的招标答疑会会议纪要和按本须知第9条发出的澄清或修改：</w:t>
      </w:r>
    </w:p>
    <w:p>
      <w:pPr>
        <w:pStyle w:val="18"/>
        <w:spacing w:after="0" w:line="276" w:lineRule="auto"/>
        <w:ind w:left="-2" w:firstLineChars="200"/>
        <w:rPr>
          <w:rFonts w:hint="eastAsia" w:ascii="宋体" w:hAnsi="宋体"/>
          <w:color w:val="auto"/>
          <w:sz w:val="21"/>
          <w:szCs w:val="21"/>
          <w:highlight w:val="none"/>
        </w:rPr>
      </w:pPr>
      <w:r>
        <w:rPr>
          <w:rFonts w:hint="eastAsia" w:ascii="宋体" w:hAnsi="宋体"/>
          <w:bCs/>
          <w:color w:val="auto"/>
          <w:sz w:val="21"/>
          <w:szCs w:val="21"/>
          <w:highlight w:val="none"/>
        </w:rPr>
        <w:t xml:space="preserve">第一章  </w:t>
      </w:r>
      <w:r>
        <w:rPr>
          <w:rFonts w:hint="eastAsia" w:ascii="宋体" w:hAnsi="宋体"/>
          <w:color w:val="auto"/>
          <w:sz w:val="21"/>
          <w:szCs w:val="21"/>
          <w:highlight w:val="none"/>
        </w:rPr>
        <w:t>投标须知</w:t>
      </w:r>
    </w:p>
    <w:p>
      <w:pPr>
        <w:pStyle w:val="18"/>
        <w:spacing w:after="0" w:line="276" w:lineRule="auto"/>
        <w:ind w:left="-2" w:firstLineChars="200"/>
        <w:rPr>
          <w:rFonts w:hint="eastAsia" w:ascii="宋体" w:hAnsi="宋体"/>
          <w:color w:val="auto"/>
          <w:sz w:val="21"/>
          <w:szCs w:val="21"/>
          <w:highlight w:val="none"/>
        </w:rPr>
      </w:pPr>
      <w:r>
        <w:rPr>
          <w:rFonts w:hint="eastAsia" w:ascii="宋体" w:hAnsi="宋体"/>
          <w:bCs/>
          <w:color w:val="auto"/>
          <w:sz w:val="21"/>
          <w:szCs w:val="21"/>
          <w:highlight w:val="none"/>
        </w:rPr>
        <w:t xml:space="preserve">第二章  </w:t>
      </w:r>
      <w:r>
        <w:rPr>
          <w:rFonts w:hint="eastAsia" w:ascii="宋体" w:hAnsi="宋体"/>
          <w:color w:val="auto"/>
          <w:sz w:val="21"/>
          <w:szCs w:val="21"/>
          <w:highlight w:val="none"/>
        </w:rPr>
        <w:t>开标、评标及定标办法</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第三章  合同条款</w:t>
      </w:r>
    </w:p>
    <w:p>
      <w:pPr>
        <w:pStyle w:val="18"/>
        <w:spacing w:after="0" w:line="276" w:lineRule="auto"/>
        <w:ind w:firstLineChars="200"/>
        <w:rPr>
          <w:rFonts w:hint="eastAsia" w:ascii="宋体" w:hAnsi="宋体"/>
          <w:color w:val="auto"/>
          <w:sz w:val="21"/>
          <w:szCs w:val="21"/>
          <w:highlight w:val="none"/>
        </w:rPr>
      </w:pPr>
      <w:r>
        <w:rPr>
          <w:rFonts w:hint="eastAsia" w:ascii="宋体" w:hAnsi="宋体"/>
          <w:bCs/>
          <w:color w:val="auto"/>
          <w:sz w:val="21"/>
          <w:szCs w:val="21"/>
          <w:highlight w:val="none"/>
        </w:rPr>
        <w:t xml:space="preserve">第四章  </w:t>
      </w:r>
      <w:r>
        <w:rPr>
          <w:rFonts w:hint="eastAsia" w:ascii="宋体" w:hAnsi="宋体"/>
          <w:color w:val="auto"/>
          <w:sz w:val="21"/>
          <w:szCs w:val="21"/>
          <w:highlight w:val="none"/>
        </w:rPr>
        <w:t>投标文件格式</w:t>
      </w:r>
    </w:p>
    <w:p>
      <w:pPr>
        <w:pStyle w:val="18"/>
        <w:spacing w:after="0" w:line="276" w:lineRule="auto"/>
        <w:ind w:left="-2" w:firstLineChars="200"/>
        <w:rPr>
          <w:rFonts w:hint="eastAsia" w:ascii="宋体" w:hAnsi="宋体"/>
          <w:color w:val="auto"/>
          <w:sz w:val="21"/>
          <w:szCs w:val="21"/>
          <w:highlight w:val="none"/>
        </w:rPr>
      </w:pPr>
      <w:r>
        <w:rPr>
          <w:rFonts w:hint="eastAsia" w:ascii="宋体" w:hAnsi="宋体"/>
          <w:bCs/>
          <w:color w:val="auto"/>
          <w:sz w:val="21"/>
          <w:szCs w:val="21"/>
          <w:highlight w:val="none"/>
        </w:rPr>
        <w:t xml:space="preserve">第五章  </w:t>
      </w:r>
      <w:r>
        <w:rPr>
          <w:rFonts w:hint="eastAsia" w:ascii="宋体" w:hAnsi="宋体"/>
          <w:color w:val="auto"/>
          <w:sz w:val="21"/>
          <w:szCs w:val="21"/>
          <w:highlight w:val="none"/>
        </w:rPr>
        <w:t>技术条件（工程建设标准）（另册）</w:t>
      </w:r>
    </w:p>
    <w:p>
      <w:pPr>
        <w:pStyle w:val="18"/>
        <w:spacing w:after="0" w:line="276" w:lineRule="auto"/>
        <w:ind w:left="-2" w:firstLineChars="200"/>
        <w:rPr>
          <w:rFonts w:hint="eastAsia" w:ascii="宋体" w:hAnsi="宋体"/>
          <w:color w:val="auto"/>
          <w:sz w:val="21"/>
          <w:szCs w:val="21"/>
          <w:highlight w:val="none"/>
        </w:rPr>
      </w:pPr>
      <w:r>
        <w:rPr>
          <w:rFonts w:hint="eastAsia" w:ascii="宋体" w:hAnsi="宋体"/>
          <w:bCs/>
          <w:color w:val="auto"/>
          <w:sz w:val="21"/>
          <w:szCs w:val="21"/>
          <w:highlight w:val="none"/>
        </w:rPr>
        <w:t xml:space="preserve">第六章  </w:t>
      </w:r>
      <w:r>
        <w:rPr>
          <w:rFonts w:hint="eastAsia" w:ascii="宋体" w:hAnsi="宋体"/>
          <w:color w:val="auto"/>
          <w:sz w:val="21"/>
          <w:szCs w:val="21"/>
          <w:highlight w:val="none"/>
        </w:rPr>
        <w:t>图纸及勘察资料（另册）</w:t>
      </w:r>
    </w:p>
    <w:p>
      <w:pPr>
        <w:pStyle w:val="18"/>
        <w:spacing w:after="0" w:line="276" w:lineRule="auto"/>
        <w:ind w:left="-2" w:firstLineChars="200"/>
        <w:rPr>
          <w:rFonts w:hint="eastAsia" w:ascii="宋体" w:hAnsi="宋体"/>
          <w:color w:val="auto"/>
          <w:sz w:val="21"/>
          <w:szCs w:val="21"/>
          <w:highlight w:val="none"/>
        </w:rPr>
      </w:pPr>
      <w:r>
        <w:rPr>
          <w:rFonts w:hint="eastAsia" w:ascii="宋体" w:hAnsi="宋体"/>
          <w:bCs/>
          <w:color w:val="auto"/>
          <w:sz w:val="21"/>
          <w:szCs w:val="21"/>
          <w:highlight w:val="none"/>
        </w:rPr>
        <w:t>第七章  招标</w:t>
      </w:r>
      <w:r>
        <w:rPr>
          <w:rFonts w:hint="eastAsia" w:ascii="宋体" w:hAnsi="宋体"/>
          <w:color w:val="auto"/>
          <w:sz w:val="21"/>
          <w:szCs w:val="21"/>
          <w:highlight w:val="none"/>
        </w:rPr>
        <w:t>工程量清单（另册）</w:t>
      </w:r>
    </w:p>
    <w:p>
      <w:pPr>
        <w:pStyle w:val="18"/>
        <w:spacing w:after="0" w:line="276" w:lineRule="auto"/>
        <w:ind w:left="-2" w:firstLineChars="200"/>
        <w:rPr>
          <w:rFonts w:hint="eastAsia" w:ascii="宋体" w:hAnsi="宋体"/>
          <w:color w:val="auto"/>
          <w:sz w:val="21"/>
          <w:szCs w:val="21"/>
          <w:highlight w:val="none"/>
        </w:rPr>
      </w:pPr>
      <w:r>
        <w:rPr>
          <w:rFonts w:hint="eastAsia" w:ascii="宋体" w:hAnsi="宋体"/>
          <w:color w:val="auto"/>
          <w:sz w:val="21"/>
          <w:szCs w:val="21"/>
          <w:highlight w:val="none"/>
        </w:rPr>
        <w:t>第八章  最高投标限价</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7.3 投标人一旦中标，招标文件的内容对招标人和中标人双方均有约束力。</w:t>
      </w:r>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8．招标答疑</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8.1 投标人若对招标文件（包括招标图纸）中有疑问，可以书面形式通过</w:t>
      </w:r>
      <w:r>
        <w:rPr>
          <w:rFonts w:ascii="宋体" w:hAnsi="宋体"/>
          <w:color w:val="auto"/>
          <w:sz w:val="21"/>
          <w:szCs w:val="21"/>
          <w:highlight w:val="none"/>
          <w:u w:val="single"/>
        </w:rPr>
        <w:t xml:space="preserve">        </w:t>
      </w:r>
      <w:r>
        <w:rPr>
          <w:rFonts w:hint="eastAsia" w:ascii="宋体" w:hAnsi="宋体"/>
          <w:color w:val="auto"/>
          <w:sz w:val="21"/>
          <w:szCs w:val="21"/>
          <w:highlight w:val="none"/>
        </w:rPr>
        <w:t>交易平台提交给招标人或招标代理人，提交形式见本须知前附表第16项。</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8.2招标答疑会会议纪要将在提交投标文件截止时间15日前在</w:t>
      </w:r>
      <w:r>
        <w:rPr>
          <w:rFonts w:ascii="宋体" w:hAnsi="宋体"/>
          <w:color w:val="auto"/>
          <w:sz w:val="21"/>
          <w:szCs w:val="21"/>
          <w:highlight w:val="none"/>
          <w:u w:val="single"/>
        </w:rPr>
        <w:t xml:space="preserve">        </w:t>
      </w:r>
      <w:r>
        <w:rPr>
          <w:rFonts w:hint="eastAsia" w:ascii="宋体" w:hAnsi="宋体"/>
          <w:color w:val="auto"/>
          <w:sz w:val="21"/>
          <w:szCs w:val="21"/>
          <w:highlight w:val="none"/>
        </w:rPr>
        <w:t>交易平台 “项目答疑纪要”专区公开发布。答疑纪要一经在</w:t>
      </w:r>
      <w:r>
        <w:rPr>
          <w:rFonts w:ascii="宋体" w:hAnsi="宋体"/>
          <w:color w:val="auto"/>
          <w:sz w:val="21"/>
          <w:szCs w:val="21"/>
          <w:highlight w:val="none"/>
          <w:u w:val="single"/>
        </w:rPr>
        <w:t xml:space="preserve">        </w:t>
      </w:r>
      <w:r>
        <w:rPr>
          <w:rFonts w:hint="eastAsia" w:ascii="宋体" w:hAnsi="宋体"/>
          <w:color w:val="auto"/>
          <w:sz w:val="21"/>
          <w:szCs w:val="21"/>
          <w:highlight w:val="none"/>
        </w:rPr>
        <w:t>交易平台发布，视作已发放给所有投标人。</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8.3答疑会会议纪要为招标文件的一部分。</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8.4若招标答疑会会议纪要与招标文件有矛盾，以答疑会议纪要最后发出的书面形式的文件为准。</w:t>
      </w:r>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9.</w:t>
      </w:r>
      <w:r>
        <w:rPr>
          <w:rFonts w:ascii="宋体" w:hAnsi="宋体"/>
          <w:b/>
          <w:bCs/>
          <w:color w:val="auto"/>
          <w:sz w:val="21"/>
          <w:szCs w:val="21"/>
          <w:highlight w:val="none"/>
        </w:rPr>
        <w:t xml:space="preserve"> </w:t>
      </w:r>
      <w:r>
        <w:rPr>
          <w:rFonts w:hint="eastAsia" w:ascii="宋体" w:hAnsi="宋体"/>
          <w:b/>
          <w:bCs/>
          <w:color w:val="auto"/>
          <w:sz w:val="21"/>
          <w:szCs w:val="21"/>
          <w:highlight w:val="none"/>
        </w:rPr>
        <w:t>招标文件的澄清与修改</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9.1招标文件发出后,在提交投标文件截止时间15日前，招标人可对招标文件进行必要的澄清或修改。</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9.2招标文件的澄清或修改将在</w:t>
      </w:r>
      <w:r>
        <w:rPr>
          <w:rFonts w:ascii="宋体" w:hAnsi="宋体"/>
          <w:color w:val="auto"/>
          <w:sz w:val="21"/>
          <w:szCs w:val="21"/>
          <w:highlight w:val="none"/>
          <w:u w:val="single"/>
        </w:rPr>
        <w:t xml:space="preserve">        </w:t>
      </w:r>
      <w:r>
        <w:rPr>
          <w:rFonts w:hint="eastAsia" w:ascii="宋体" w:hAnsi="宋体"/>
          <w:color w:val="auto"/>
          <w:sz w:val="21"/>
          <w:szCs w:val="21"/>
          <w:highlight w:val="none"/>
        </w:rPr>
        <w:t>交易平台“项目答疑纪要”专区公开发布。答疑纪要一经在</w:t>
      </w:r>
      <w:r>
        <w:rPr>
          <w:rFonts w:ascii="宋体" w:hAnsi="宋体"/>
          <w:color w:val="auto"/>
          <w:sz w:val="21"/>
          <w:szCs w:val="21"/>
          <w:highlight w:val="none"/>
          <w:u w:val="single"/>
        </w:rPr>
        <w:t xml:space="preserve">        </w:t>
      </w:r>
      <w:r>
        <w:rPr>
          <w:rFonts w:hint="eastAsia" w:ascii="宋体" w:hAnsi="宋体"/>
          <w:color w:val="auto"/>
          <w:sz w:val="21"/>
          <w:szCs w:val="21"/>
          <w:highlight w:val="none"/>
        </w:rPr>
        <w:t>交易平台发布，视作已发放给所有投标人，以</w:t>
      </w:r>
      <w:r>
        <w:rPr>
          <w:rFonts w:ascii="宋体" w:hAnsi="宋体"/>
          <w:color w:val="auto"/>
          <w:sz w:val="21"/>
          <w:szCs w:val="21"/>
          <w:highlight w:val="none"/>
          <w:u w:val="single"/>
        </w:rPr>
        <w:t xml:space="preserve">        </w:t>
      </w:r>
      <w:r>
        <w:rPr>
          <w:rFonts w:hint="eastAsia" w:ascii="宋体" w:hAnsi="宋体"/>
          <w:color w:val="auto"/>
          <w:sz w:val="21"/>
          <w:szCs w:val="21"/>
          <w:highlight w:val="none"/>
        </w:rPr>
        <w:t>交易平台上网发布时间作为送达时间。</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9.3招标文件的修改内容为招标文件的组成部分。</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4"/>
        <w:spacing w:before="156" w:beforeAutospacing="0" w:after="156" w:afterAutospacing="0" w:line="276" w:lineRule="auto"/>
        <w:rPr>
          <w:rFonts w:hint="eastAsia"/>
          <w:b/>
          <w:bCs/>
          <w:color w:val="auto"/>
          <w:sz w:val="21"/>
          <w:szCs w:val="21"/>
          <w:highlight w:val="none"/>
        </w:rPr>
      </w:pPr>
      <w:bookmarkStart w:id="12" w:name="_Toc105014626"/>
      <w:bookmarkStart w:id="13" w:name="_Toc25475"/>
      <w:r>
        <w:rPr>
          <w:rFonts w:hint="eastAsia"/>
          <w:b/>
          <w:bCs/>
          <w:color w:val="auto"/>
          <w:sz w:val="21"/>
          <w:szCs w:val="21"/>
          <w:highlight w:val="none"/>
        </w:rPr>
        <w:t>（三）投标文件的编制</w:t>
      </w:r>
      <w:bookmarkEnd w:id="12"/>
      <w:bookmarkEnd w:id="13"/>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10．投标文件的语言及度量衡单位</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10.1 投标文件和与投标有关的所有文件均应使用中文。</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10.2 除工程规范另有规定外，投标文件使用的度量衡单位，均采用中华人民共和国法定计量单位。</w:t>
      </w:r>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11．投标文件的组成</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11.1 投标文件由技术部分（含资格审查文件）和经济部分</w:t>
      </w:r>
      <w:r>
        <w:rPr>
          <w:rFonts w:hint="eastAsia" w:ascii="宋体" w:hAnsi="宋体"/>
          <w:color w:val="auto"/>
          <w:sz w:val="21"/>
          <w:szCs w:val="21"/>
          <w:highlight w:val="none"/>
          <w:lang w:eastAsia="zh-CN"/>
        </w:rPr>
        <w:t>二</w:t>
      </w:r>
      <w:r>
        <w:rPr>
          <w:rFonts w:hint="eastAsia" w:ascii="宋体" w:hAnsi="宋体"/>
          <w:color w:val="auto"/>
          <w:sz w:val="21"/>
          <w:szCs w:val="21"/>
          <w:highlight w:val="none"/>
        </w:rPr>
        <w:t>部分投标文件组成。</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11.2投标文件技术标部分主要包括下列内容：</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11.2.1 技术投标文件</w:t>
      </w:r>
      <w:r>
        <w:rPr>
          <w:rFonts w:hint="eastAsia" w:ascii="宋体" w:hAnsi="宋体"/>
          <w:color w:val="auto"/>
          <w:szCs w:val="21"/>
          <w:highlight w:val="none"/>
        </w:rPr>
        <w:t>(按招标文件的要求填写)</w:t>
      </w:r>
      <w:r>
        <w:rPr>
          <w:rFonts w:hint="eastAsia" w:ascii="宋体" w:hAnsi="宋体"/>
          <w:bCs/>
          <w:color w:val="auto"/>
          <w:szCs w:val="21"/>
          <w:highlight w:val="none"/>
        </w:rPr>
        <w:t>；</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11.2.2 资格审查文件：</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（1）投标人声明； </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（2）法定代表人证明书、法定代表人签字或盖章的本投标文件授权委托证明书；</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（3）企业营业执照（取自平台内上传件）；</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（4）企业资质证书（取自平台内上传件）；</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（5）建筑施工企业安全生产许可证（取自平台内上传件）；</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（6）项目负责人（按网上投标登记时选择拟投标的项目负责人）；</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（7）专职安全员（按网上投标登记时选择拟投标的专职安全员）；</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（8）拟委托技术负责人的相关证书、资料（具体要求由招标人明确）；</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（9）拟委派项目负责人的建造师注册证书或小型项目负责人相关证明（取自平台内上传件）； </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（10）项目负责人安全培训考核合格证明或在有效期内的安全考核合格证书（B类）或建筑施工企业项目负责人安全生产考核合格证书（取自平台内上传件）；</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（11）专职安全员须具有在有效期内的安全考核合格证书（C类）或建筑施工企业专职安全生产管理人员安全生产考核合格证书（取自平台内上传件）；</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（12）用于资格审查的业绩（设置业绩要求时选择此项，投标人</w:t>
      </w:r>
      <w:r>
        <w:rPr>
          <w:rFonts w:hint="eastAsia" w:ascii="宋体" w:hAnsi="宋体"/>
          <w:color w:val="auto"/>
          <w:szCs w:val="21"/>
          <w:highlight w:val="none"/>
        </w:rPr>
        <w:t>须提供类似工程业绩的项目名称及项目编号，具体格式由招标人自定</w:t>
      </w:r>
      <w:r>
        <w:rPr>
          <w:rFonts w:hint="eastAsia" w:ascii="宋体" w:hAnsi="宋体"/>
          <w:bCs/>
          <w:color w:val="auto"/>
          <w:szCs w:val="21"/>
          <w:highlight w:val="none"/>
        </w:rPr>
        <w:t>）；</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（13）资格审查前，投标人须在广州市住房和城乡建设局建立企业信用档案，拟担任本工程项目负责人、专职安全员须是本企业信用档案中的在册人员；</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（14）列明主办单位的联合体工作协议（采用联合体投标时需递交，投标人拟任本工程项目负责人应为联合体主办方信用档案中的在册人员，</w:t>
      </w:r>
      <w:r>
        <w:rPr>
          <w:rFonts w:hint="eastAsia" w:ascii="宋体" w:hAnsi="宋体"/>
          <w:color w:val="auto"/>
          <w:szCs w:val="21"/>
          <w:highlight w:val="none"/>
        </w:rPr>
        <w:t>联合体工作协议应明确约定各方拟承担的工作和责任</w:t>
      </w:r>
      <w:r>
        <w:rPr>
          <w:rFonts w:hint="eastAsia" w:ascii="宋体" w:hAnsi="宋体"/>
          <w:bCs/>
          <w:color w:val="auto"/>
          <w:szCs w:val="21"/>
          <w:highlight w:val="none"/>
        </w:rPr>
        <w:t xml:space="preserve">）； </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（15）</w:t>
      </w:r>
      <w:r>
        <w:rPr>
          <w:rFonts w:hint="eastAsia" w:ascii="宋体" w:hAnsi="宋体"/>
          <w:color w:val="auto"/>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11.2.3项目管理机构配备。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（1）投标人应列出该项目工程的施工组织机构构成和画出机构框架图及其负责人；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（2）投标人应详细列出该施工组织机构中主要成员的名单、简历资料、职务职称和在本项目中拟担任的职务等资料，并附上有关证明材料扫描件；</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（3）其他辅助说明资料。</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11.2.4投标人在广州市可使用适合本工程的机械设备（附：机械设备为自有或租赁的说明；及承诺机械设备如属于租赁的，其租赁是不属于重复租赁）。</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11.2.5施工组织设计或施工方案。</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11.2.6按照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填写的《参与编制技术标投标文件人员名单》。</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11.3 经济部分投标文件主要包括下列内容：</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11.3.1 经济投标文件(按招标文件的要求填写)。</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（1）投标总价封面、扉页；</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（2）总说明；</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（3）工程项目投标报价汇总表；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（4）单项工程投标报价汇总表；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（5）单位工程投标报价汇总表；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（6）分部分项工程清单与计价表；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（7）单价措施项目清单与计价表；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（8）总价措施项目清单与计价表；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（9）综合单价分析表；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（10）其他项目清单与计价汇总表；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（11）暂列金额明细表；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（12）材料（工程设备）暂估价明细表；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（13）专业工程暂估价明细表；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（14）计日工表；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（15）总承包服务计价表；</w:t>
      </w:r>
    </w:p>
    <w:p>
      <w:pPr>
        <w:spacing w:line="276" w:lineRule="auto"/>
        <w:ind w:firstLine="495" w:firstLineChars="236"/>
        <w:rPr>
          <w:rFonts w:hint="eastAsia" w:ascii="宋体" w:hAnsi="宋体"/>
          <w:color w:val="auto"/>
          <w:szCs w:val="21"/>
          <w:highlight w:val="none"/>
        </w:rPr>
      </w:pPr>
      <w:r>
        <w:rPr>
          <w:rFonts w:hint="eastAsia" w:ascii="宋体" w:hAnsi="宋体"/>
          <w:color w:val="auto"/>
          <w:szCs w:val="21"/>
          <w:highlight w:val="none"/>
        </w:rPr>
        <w:t>（16）规费和税金项目计价表；</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（17）人工、主要材料和设备一览表。</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11.3.3按照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12．投标文件格式</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12.1 投标文件包括本须知第11条中规定的内容，投标人提交的投标文件应当使用招标文件所提供的投标文件全部格式（表格可以按同样格式扩展）。</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pStyle w:val="18"/>
        <w:spacing w:after="0" w:line="276" w:lineRule="auto"/>
        <w:ind w:firstLineChars="200"/>
        <w:rPr>
          <w:rFonts w:ascii="宋体" w:hAnsi="宋体"/>
          <w:color w:val="auto"/>
          <w:sz w:val="21"/>
          <w:szCs w:val="21"/>
          <w:highlight w:val="none"/>
        </w:rPr>
      </w:pPr>
      <w:r>
        <w:rPr>
          <w:rFonts w:hint="eastAsia" w:ascii="宋体" w:hAnsi="宋体"/>
          <w:color w:val="auto"/>
          <w:sz w:val="21"/>
          <w:szCs w:val="21"/>
          <w:highlight w:val="none"/>
        </w:rPr>
        <w:t xml:space="preserve">12.3 </w:t>
      </w:r>
      <w:r>
        <w:rPr>
          <w:rFonts w:hint="eastAsia" w:ascii="宋体" w:hAnsi="宋体"/>
          <w:bCs/>
          <w:color w:val="auto"/>
          <w:sz w:val="21"/>
          <w:szCs w:val="21"/>
          <w:highlight w:val="none"/>
        </w:rPr>
        <w:t>投标文件应按</w:t>
      </w:r>
      <w:r>
        <w:rPr>
          <w:rFonts w:hint="eastAsia" w:ascii="宋体" w:hAnsi="宋体"/>
          <w:color w:val="auto"/>
          <w:sz w:val="21"/>
          <w:szCs w:val="21"/>
          <w:highlight w:val="none"/>
        </w:rPr>
        <w:t>照交易平台关于全流程电子化项目的相关指南进行编制，详见：</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pStyle w:val="18"/>
        <w:spacing w:after="0" w:line="276" w:lineRule="auto"/>
        <w:ind w:firstLineChars="200"/>
        <w:rPr>
          <w:rFonts w:hint="eastAsia" w:ascii="宋体" w:hAnsi="宋体"/>
          <w:color w:val="auto"/>
          <w:sz w:val="21"/>
          <w:szCs w:val="21"/>
          <w:highlight w:val="none"/>
        </w:rPr>
      </w:pPr>
      <w:r>
        <w:rPr>
          <w:rFonts w:hint="eastAsia" w:ascii="宋体" w:hAnsi="宋体"/>
          <w:bCs/>
          <w:color w:val="auto"/>
          <w:sz w:val="21"/>
          <w:szCs w:val="21"/>
          <w:highlight w:val="none"/>
        </w:rPr>
        <w:t>如不按上述要求编制引起系统无法检索、读取相关信息的，其后果由投标人承担。</w:t>
      </w:r>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13．投标报价及造价承包和变更结算方式</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13.1 本工程的投标报价采用投标须知前附表第12项所规定的方式。投标报价（含单价及总价）精确到“分”。</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13.5.1中标的投标文件工程量清单中已有相同项目的适用综合单价，则沿用；</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13.5.4 如相关定额没有相应子目的，其计价方式由招标人在本招标文件第三章中另行规定。未规定的，中标后双方协商约定。</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13.6暂列金额、暂估价</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暂估价是指招标人在工程量清单中提供的用于支付必然发生但暂时不能确定价格的材料的单价以及专业工程的金额。</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14．投标货币</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14.1 本工程投标报价采用的币种为人民币。</w:t>
      </w:r>
    </w:p>
    <w:p>
      <w:pPr>
        <w:pStyle w:val="18"/>
        <w:spacing w:after="0" w:line="276"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rPr>
        <w:t>15．投标有效期</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15.1 投标有效期见投标须知前附表第13项所规定的期限，在此期限内，凡符合本招标文件要求的投标文件均保持有效。</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16．投标保证金</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16.1投标人应按投标须知前附表第14项所述金额和时间递交</w:t>
      </w:r>
      <w:r>
        <w:rPr>
          <w:rFonts w:hint="eastAsia" w:ascii="宋体" w:hAnsi="宋体"/>
          <w:bCs/>
          <w:color w:val="auto"/>
          <w:szCs w:val="21"/>
          <w:highlight w:val="none"/>
        </w:rPr>
        <w:t>投标保证金</w:t>
      </w:r>
      <w:r>
        <w:rPr>
          <w:rFonts w:hint="eastAsia" w:ascii="宋体" w:hAnsi="宋体"/>
          <w:color w:val="auto"/>
          <w:szCs w:val="21"/>
          <w:highlight w:val="none"/>
        </w:rPr>
        <w:t>。招标人应当允许投标人自主选择现金、银行保函、保证保险、专业工程担保公司担保等方式缴纳投标保证金。</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16.1.1 采用现金或者支票形式提交的，投标保证金须从投标人的银行基本账户转出。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16.1.3 采用电子形式的保函、担保或保证保险提交投标保证金的，应在招标文件中明确电子递交途径。</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16.3投标保证金应依据法律法规的相关规定退还。</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16.4如有下列情况之一的，招标人可以不予退还投标保证金（是否退还投标保证金由招标人在招标文件中规定）：</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16.4.1因投标人原因造成投标文件未解密的；</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16.4.2投标人在投标有效期内撤销投标文件；</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16.4.3中标人未能在规定期限内按要求提交履约担保；</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16.4.4中标人未能在规定期限内签署合同协议。</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16.5投标人如存在下列情况之一的，将被拒绝在一定时期内参与招标人后续工程投标（拒绝时限需在招标文件中明确）：</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16.5.1投标人存在16.4条款所列情形且投标人提交的保函、担保或保证保险无法兑付的；</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16.5.2采用非电子形式提交投标保证金的投标人存在16.4条款所列情形，且未按招标人要求补交银行保函、专业工程担保公司担保或保证保险原件的；</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16.5.3按招标文件要求免于提供投标保证金的投标人存在16.4条款所列情形，且未按招标人要求补交投标保证金的；</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16.5.3按招标文件要求免于提供投标保证金的投标人存在16.4条款所列情形的。</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注：16.5.3款由招标人二选一，需在招标文件中明确。</w:t>
      </w:r>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17．投标文件的签署</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pStyle w:val="4"/>
        <w:spacing w:before="156" w:beforeAutospacing="0" w:after="156" w:afterAutospacing="0" w:line="276" w:lineRule="auto"/>
        <w:rPr>
          <w:rFonts w:hint="eastAsia"/>
          <w:b/>
          <w:bCs/>
          <w:color w:val="auto"/>
          <w:sz w:val="21"/>
          <w:szCs w:val="21"/>
          <w:highlight w:val="none"/>
        </w:rPr>
      </w:pPr>
      <w:bookmarkStart w:id="14" w:name="_Toc105014627"/>
      <w:bookmarkStart w:id="15" w:name="_Toc31275"/>
      <w:r>
        <w:rPr>
          <w:rFonts w:hint="eastAsia"/>
          <w:b/>
          <w:bCs/>
          <w:color w:val="auto"/>
          <w:sz w:val="21"/>
          <w:szCs w:val="21"/>
          <w:highlight w:val="none"/>
        </w:rPr>
        <w:t>（四）投标文件的提交</w:t>
      </w:r>
      <w:bookmarkEnd w:id="14"/>
      <w:bookmarkEnd w:id="15"/>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18．</w:t>
      </w:r>
      <w:r>
        <w:rPr>
          <w:rFonts w:hint="eastAsia" w:ascii="宋体" w:hAnsi="宋体"/>
          <w:b/>
          <w:color w:val="auto"/>
          <w:sz w:val="21"/>
          <w:szCs w:val="21"/>
          <w:highlight w:val="none"/>
        </w:rPr>
        <w:t>投标文件的密封和标记</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18.1递交的电子投标文件（不含备用光盘）必须进行加密。按照交易平台关于</w:t>
      </w:r>
      <w:r>
        <w:rPr>
          <w:rFonts w:hint="eastAsia" w:ascii="宋体" w:hAnsi="宋体"/>
          <w:color w:val="auto"/>
          <w:szCs w:val="21"/>
          <w:highlight w:val="none"/>
        </w:rPr>
        <w:t>全流程电子化项目的相关指南进行操作。详见：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18.2 未按要求加密的投标文件，</w:t>
      </w:r>
      <w:r>
        <w:rPr>
          <w:rFonts w:ascii="宋体" w:hAnsi="宋体"/>
          <w:color w:val="auto"/>
          <w:szCs w:val="21"/>
          <w:highlight w:val="none"/>
          <w:u w:val="single"/>
        </w:rPr>
        <w:t xml:space="preserve">        </w:t>
      </w:r>
      <w:r>
        <w:rPr>
          <w:rFonts w:hint="eastAsia" w:ascii="宋体" w:hAnsi="宋体"/>
          <w:color w:val="auto"/>
          <w:szCs w:val="21"/>
          <w:highlight w:val="none"/>
        </w:rPr>
        <w:t>交易平台</w:t>
      </w:r>
      <w:r>
        <w:rPr>
          <w:rFonts w:hint="eastAsia" w:ascii="宋体" w:hAnsi="宋体"/>
          <w:bCs/>
          <w:color w:val="auto"/>
          <w:szCs w:val="21"/>
          <w:highlight w:val="none"/>
        </w:rPr>
        <w:t>将予以拒收。</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19．投标文件的递交和接收</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19.1投标人通过</w:t>
      </w:r>
      <w:r>
        <w:rPr>
          <w:rFonts w:ascii="宋体" w:hAnsi="宋体"/>
          <w:color w:val="auto"/>
          <w:szCs w:val="21"/>
          <w:highlight w:val="none"/>
          <w:u w:val="single"/>
        </w:rPr>
        <w:t xml:space="preserve">        </w:t>
      </w:r>
      <w:r>
        <w:rPr>
          <w:rFonts w:hint="eastAsia" w:ascii="宋体" w:hAnsi="宋体"/>
          <w:color w:val="auto"/>
          <w:szCs w:val="21"/>
          <w:highlight w:val="none"/>
        </w:rPr>
        <w:t>交易平台递交电子投标文件。</w:t>
      </w:r>
    </w:p>
    <w:p>
      <w:pPr>
        <w:spacing w:line="276"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19.2投标人完成电子</w:t>
      </w:r>
      <w:r>
        <w:rPr>
          <w:rFonts w:hint="eastAsia" w:ascii="宋体" w:hAnsi="宋体"/>
          <w:color w:val="auto"/>
          <w:szCs w:val="21"/>
          <w:highlight w:val="none"/>
        </w:rPr>
        <w:t>投标文件</w:t>
      </w:r>
      <w:r>
        <w:rPr>
          <w:rFonts w:hint="eastAsia" w:ascii="宋体" w:hAnsi="宋体"/>
          <w:bCs/>
          <w:color w:val="auto"/>
          <w:szCs w:val="21"/>
          <w:highlight w:val="none"/>
        </w:rPr>
        <w:t>上传后，</w:t>
      </w:r>
      <w:r>
        <w:rPr>
          <w:rFonts w:ascii="宋体" w:hAnsi="宋体"/>
          <w:color w:val="auto"/>
          <w:szCs w:val="21"/>
          <w:highlight w:val="none"/>
          <w:u w:val="single"/>
        </w:rPr>
        <w:t xml:space="preserve">        </w:t>
      </w:r>
      <w:r>
        <w:rPr>
          <w:rFonts w:hint="eastAsia" w:ascii="宋体" w:hAnsi="宋体"/>
          <w:color w:val="auto"/>
          <w:szCs w:val="21"/>
          <w:highlight w:val="none"/>
        </w:rPr>
        <w:t>交易平台即时向投标人发出递交回执通知。递交时间以递交回执通知载明的传输完成时间为准。</w:t>
      </w:r>
    </w:p>
    <w:p>
      <w:pPr>
        <w:spacing w:line="276"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19.3逾期送达的电子投标文件，</w:t>
      </w:r>
      <w:r>
        <w:rPr>
          <w:rFonts w:ascii="宋体" w:hAnsi="宋体"/>
          <w:color w:val="auto"/>
          <w:szCs w:val="21"/>
          <w:highlight w:val="none"/>
          <w:u w:val="single"/>
        </w:rPr>
        <w:t xml:space="preserve">        </w:t>
      </w:r>
      <w:r>
        <w:rPr>
          <w:rFonts w:hint="eastAsia" w:ascii="宋体" w:hAnsi="宋体"/>
          <w:color w:val="auto"/>
          <w:szCs w:val="21"/>
          <w:highlight w:val="none"/>
        </w:rPr>
        <w:t>交易平台将予以拒收。</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19.4 投标截止前，招标人拒绝接收符合条件的投标文件，投标人可向招标投标监督机构投诉。</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19.5如技术标和经济标先后分别开启，</w:t>
      </w:r>
      <w:r>
        <w:rPr>
          <w:rFonts w:ascii="宋体" w:hAnsi="宋体"/>
          <w:color w:val="auto"/>
          <w:szCs w:val="21"/>
          <w:highlight w:val="none"/>
          <w:u w:val="single"/>
        </w:rPr>
        <w:t xml:space="preserve">        </w:t>
      </w:r>
      <w:r>
        <w:rPr>
          <w:rFonts w:hint="eastAsia" w:ascii="宋体" w:hAnsi="宋体"/>
          <w:color w:val="auto"/>
          <w:szCs w:val="21"/>
          <w:highlight w:val="none"/>
        </w:rPr>
        <w:t>交易平台将按招标文件规定的时间分别开启技术标和经济标。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20．投标文件提交的截止时间</w:t>
      </w:r>
    </w:p>
    <w:p>
      <w:pPr>
        <w:spacing w:line="276" w:lineRule="auto"/>
        <w:ind w:firstLine="420" w:firstLineChars="200"/>
        <w:rPr>
          <w:rFonts w:hint="eastAsia" w:ascii="宋体" w:hAnsi="宋体"/>
          <w:b/>
          <w:bCs/>
          <w:color w:val="auto"/>
          <w:szCs w:val="21"/>
          <w:highlight w:val="none"/>
        </w:rPr>
      </w:pPr>
      <w:r>
        <w:rPr>
          <w:rFonts w:hint="eastAsia" w:ascii="宋体" w:hAnsi="宋体"/>
          <w:color w:val="auto"/>
          <w:szCs w:val="21"/>
          <w:highlight w:val="none"/>
        </w:rPr>
        <w:t>20.1投标人应在投标须知前附表第17项所述的时间前提交投标文件。</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到投标截止时间止，招标人收到的投标文件少于3家的，招标人将重新组织招标（当N个标段同时招标且不允许兼中时，若有效投标人不足N+2家，则重新组织招标）。</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21．迟交的投标文件</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21.1 本须知前附表第17项规定的投标截止时间</w:t>
      </w:r>
      <w:r>
        <w:rPr>
          <w:rFonts w:hint="eastAsia" w:ascii="宋体" w:hAnsi="宋体"/>
          <w:bCs/>
          <w:color w:val="auto"/>
          <w:szCs w:val="21"/>
          <w:highlight w:val="none"/>
        </w:rPr>
        <w:t>后送达的电子投标文件，</w:t>
      </w:r>
      <w:r>
        <w:rPr>
          <w:rFonts w:ascii="宋体" w:hAnsi="宋体"/>
          <w:color w:val="auto"/>
          <w:szCs w:val="21"/>
          <w:highlight w:val="none"/>
          <w:u w:val="single"/>
        </w:rPr>
        <w:t xml:space="preserve">       </w:t>
      </w:r>
      <w:r>
        <w:rPr>
          <w:rFonts w:hint="eastAsia" w:ascii="宋体" w:hAnsi="宋体"/>
          <w:color w:val="auto"/>
          <w:szCs w:val="21"/>
          <w:highlight w:val="none"/>
        </w:rPr>
        <w:t>交易平台将予以拒收。</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22．投标文件的修改与撤回</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22.1在规定的投标截止时间前，投标人可以修改或撤回已递交的投标文件，但应以书面形式通知招标人。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22.2</w:t>
      </w:r>
      <w:r>
        <w:rPr>
          <w:rFonts w:ascii="宋体" w:hAnsi="宋体"/>
          <w:color w:val="auto"/>
          <w:szCs w:val="21"/>
          <w:highlight w:val="none"/>
        </w:rPr>
        <w:t>投标人修改或撤回已递交</w:t>
      </w:r>
      <w:r>
        <w:rPr>
          <w:rFonts w:hint="eastAsia" w:ascii="宋体" w:hAnsi="宋体"/>
          <w:color w:val="auto"/>
          <w:szCs w:val="21"/>
          <w:highlight w:val="none"/>
        </w:rPr>
        <w:t>的</w:t>
      </w:r>
      <w:r>
        <w:rPr>
          <w:rFonts w:ascii="宋体" w:hAnsi="宋体"/>
          <w:color w:val="auto"/>
          <w:szCs w:val="21"/>
          <w:highlight w:val="none"/>
        </w:rPr>
        <w:t>投标文件</w:t>
      </w:r>
      <w:r>
        <w:rPr>
          <w:rFonts w:hint="eastAsia" w:ascii="宋体" w:hAnsi="宋体"/>
          <w:color w:val="auto"/>
          <w:szCs w:val="21"/>
          <w:highlight w:val="none"/>
        </w:rPr>
        <w:t>，需在交易平台发出修改或撤回</w:t>
      </w:r>
      <w:r>
        <w:rPr>
          <w:rFonts w:ascii="宋体" w:hAnsi="宋体"/>
          <w:color w:val="auto"/>
          <w:szCs w:val="21"/>
          <w:highlight w:val="none"/>
        </w:rPr>
        <w:t>通知，</w:t>
      </w:r>
      <w:r>
        <w:rPr>
          <w:rFonts w:hint="eastAsia" w:ascii="宋体" w:hAnsi="宋体"/>
          <w:color w:val="auto"/>
          <w:szCs w:val="21"/>
          <w:highlight w:val="none"/>
        </w:rPr>
        <w:t>并按</w:t>
      </w:r>
      <w:r>
        <w:rPr>
          <w:rFonts w:ascii="宋体" w:hAnsi="宋体"/>
          <w:color w:val="auto"/>
          <w:szCs w:val="21"/>
          <w:highlight w:val="none"/>
        </w:rPr>
        <w:t>要求加盖电子印章。</w:t>
      </w:r>
      <w:r>
        <w:rPr>
          <w:rFonts w:ascii="宋体" w:hAnsi="宋体"/>
          <w:bCs/>
          <w:iCs/>
          <w:color w:val="auto"/>
          <w:szCs w:val="21"/>
          <w:highlight w:val="none"/>
        </w:rPr>
        <w:t>电子招标投标交易平台收到通知后，</w:t>
      </w:r>
      <w:r>
        <w:rPr>
          <w:rFonts w:ascii="宋体" w:hAnsi="宋体"/>
          <w:color w:val="auto"/>
          <w:szCs w:val="21"/>
          <w:highlight w:val="none"/>
        </w:rPr>
        <w:t>即时向投标人发出确认回执通知。</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22.3修改后再次递交的，按19点的规定执行。</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22.4 在投标截止时间之后，投标人不得补充、修改和更换投标文件。</w:t>
      </w:r>
    </w:p>
    <w:p>
      <w:pPr>
        <w:pStyle w:val="4"/>
        <w:spacing w:before="156" w:beforeAutospacing="0" w:after="156" w:afterAutospacing="0" w:line="276" w:lineRule="auto"/>
        <w:rPr>
          <w:rFonts w:hint="eastAsia"/>
          <w:b/>
          <w:bCs/>
          <w:color w:val="auto"/>
          <w:sz w:val="21"/>
          <w:szCs w:val="21"/>
          <w:highlight w:val="none"/>
        </w:rPr>
      </w:pPr>
      <w:bookmarkStart w:id="16" w:name="_Toc105014628"/>
      <w:bookmarkStart w:id="17" w:name="_Toc24655"/>
      <w:r>
        <w:rPr>
          <w:rFonts w:hint="eastAsia"/>
          <w:b/>
          <w:bCs/>
          <w:color w:val="auto"/>
          <w:sz w:val="21"/>
          <w:szCs w:val="21"/>
          <w:highlight w:val="none"/>
        </w:rPr>
        <w:t>（五）开标、评标、定标及合同签定</w:t>
      </w:r>
      <w:bookmarkEnd w:id="16"/>
      <w:bookmarkEnd w:id="17"/>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 xml:space="preserve">3. </w:t>
      </w:r>
      <w:r>
        <w:rPr>
          <w:rFonts w:hint="eastAsia" w:ascii="宋体" w:hAnsi="宋体"/>
          <w:b/>
          <w:bCs/>
          <w:color w:val="auto"/>
          <w:szCs w:val="21"/>
          <w:highlight w:val="none"/>
        </w:rPr>
        <w:t>开标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详见第二章开标、评标及定标办法。</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24．评标过程的保密</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24.1 开标后，直至中标公示为止，凡属于对投标文件的审查、澄清、评价和比较有关的资料以及中标候选人的推荐情况，与评标有关的其他任何情况均严格保密。</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24.2 在投标文件的评审和比较、中标候选人推荐以及授予合同的过程中，投标人向招标人和评标委员会施加不公正影响的任何行为，都将会导致其投标被拒绝。</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25．投标文件的澄清，计算错误的修正</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详见招标文件第二章开标、评标及定标办法。</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26．投标文件的评审、比较和否决</w:t>
      </w:r>
    </w:p>
    <w:p>
      <w:pPr>
        <w:spacing w:line="276"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详见招标文件第二章开标、评标及定标办法。</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27．中标通知书</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27.1招标人将在</w:t>
      </w:r>
      <w:r>
        <w:rPr>
          <w:rFonts w:ascii="宋体" w:hAnsi="宋体"/>
          <w:color w:val="auto"/>
          <w:szCs w:val="21"/>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27.2招标人应当自确定中标人后，向招标投标监管机构提交招标投标情况的书面报告；经招投标监管机构备案后，方可发出中标通知书。</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27.3中标人必须在收到中标通知书后24小时之内以书面形式回复招标人，确认收到。</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27.4在产生中标候选人后，招标人将中标候选人的投标文件商务部分文件的所有内容（包括报价清单、人员、业绩、奖项等资料）在</w:t>
      </w:r>
      <w:r>
        <w:rPr>
          <w:rFonts w:ascii="宋体" w:hAnsi="宋体"/>
          <w:color w:val="auto"/>
          <w:szCs w:val="21"/>
          <w:highlight w:val="none"/>
          <w:u w:val="single"/>
        </w:rPr>
        <w:t xml:space="preserve">        </w:t>
      </w:r>
      <w:r>
        <w:rPr>
          <w:rFonts w:hint="eastAsia" w:ascii="宋体" w:hAnsi="宋体"/>
          <w:color w:val="auto"/>
          <w:szCs w:val="21"/>
          <w:highlight w:val="none"/>
        </w:rPr>
        <w:t>交易平台和广东省招标投标监管网公开。</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28．合同协议书的签订</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28.1 招标人与中标人将于中标通知书发出之日起30日内，按照招标文件和中标人的投标文件商定和签订合同，招标人和中标人不得再行订立背离合同实质性内容的其他协议。</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28.4招标人支付工程款时，中标人应按规定开具发票。</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29．履约担保</w:t>
      </w:r>
    </w:p>
    <w:p>
      <w:pPr>
        <w:snapToGrid w:val="0"/>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29.1 在收到中标通知书后的15日内，中标人应按本须知前附表第20项的规定向招标人提交履约担保。</w:t>
      </w:r>
    </w:p>
    <w:p>
      <w:pPr>
        <w:snapToGrid w:val="0"/>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30．合同生效</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30.1在合同双方全权代表在合同协议书上签字，并分别加盖双方单位的公章后，合同正式生效。</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31．其它费用</w:t>
      </w:r>
    </w:p>
    <w:p>
      <w:pPr>
        <w:pStyle w:val="18"/>
        <w:spacing w:after="0" w:line="276" w:lineRule="auto"/>
        <w:ind w:firstLine="422" w:firstLineChars="200"/>
        <w:rPr>
          <w:rFonts w:hint="eastAsia" w:ascii="宋体" w:hAnsi="宋体"/>
          <w:b/>
          <w:bCs/>
          <w:color w:val="auto"/>
          <w:sz w:val="21"/>
          <w:szCs w:val="21"/>
          <w:highlight w:val="none"/>
        </w:rPr>
      </w:pPr>
      <w:r>
        <w:rPr>
          <w:rFonts w:hint="eastAsia" w:ascii="宋体" w:hAnsi="宋体"/>
          <w:b/>
          <w:bCs/>
          <w:color w:val="auto"/>
          <w:sz w:val="21"/>
          <w:szCs w:val="21"/>
          <w:highlight w:val="none"/>
        </w:rPr>
        <w:t>32．腐败与欺诈行为</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在招标和合同实施期间，招标人要求投标人和承包人遵守最高的道德标准。</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32．1对本条款的规定，特定义如下词汇：</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1）“腐败行为”是指在招标或合同执行期间，通过提供、给予、接受或索要任何有价值的东西，从而影响招标人有关人员工作的行为；</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18"/>
        <w:spacing w:after="0" w:line="276" w:lineRule="auto"/>
        <w:ind w:firstLineChars="200"/>
        <w:rPr>
          <w:rFonts w:hint="eastAsia" w:ascii="宋体" w:hAnsi="宋体"/>
          <w:color w:val="auto"/>
          <w:sz w:val="21"/>
          <w:szCs w:val="21"/>
          <w:highlight w:val="none"/>
        </w:rPr>
      </w:pPr>
      <w:r>
        <w:rPr>
          <w:rFonts w:ascii="宋体" w:hAnsi="宋体"/>
          <w:color w:val="auto"/>
          <w:sz w:val="21"/>
          <w:szCs w:val="21"/>
          <w:highlight w:val="none"/>
        </w:rPr>
        <w:t xml:space="preserve">32.2 </w:t>
      </w:r>
      <w:r>
        <w:rPr>
          <w:rFonts w:hint="eastAsia" w:ascii="宋体" w:hAnsi="宋体"/>
          <w:color w:val="auto"/>
          <w:sz w:val="21"/>
          <w:szCs w:val="21"/>
          <w:highlight w:val="none"/>
        </w:rPr>
        <w:t>如果投标人被认定在本招标的竞争中有腐败或欺诈行为，则会被取消投标资格。</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spacing w:line="276" w:lineRule="auto"/>
        <w:ind w:firstLine="472" w:firstLineChars="224"/>
        <w:rPr>
          <w:rFonts w:hint="eastAsia" w:ascii="宋体" w:hAnsi="宋体"/>
          <w:b/>
          <w:color w:val="auto"/>
          <w:szCs w:val="21"/>
          <w:highlight w:val="none"/>
        </w:rPr>
      </w:pPr>
      <w:r>
        <w:rPr>
          <w:rFonts w:hint="eastAsia" w:ascii="宋体" w:hAnsi="宋体"/>
          <w:b/>
          <w:color w:val="auto"/>
          <w:szCs w:val="21"/>
          <w:highlight w:val="none"/>
        </w:rPr>
        <w:t>33. 投标人信誉的要求</w:t>
      </w:r>
    </w:p>
    <w:p>
      <w:pPr>
        <w:spacing w:line="276" w:lineRule="auto"/>
        <w:ind w:firstLine="470" w:firstLineChars="224"/>
        <w:rPr>
          <w:rFonts w:hint="eastAsia" w:ascii="宋体" w:hAnsi="宋体"/>
          <w:color w:val="auto"/>
          <w:szCs w:val="21"/>
          <w:highlight w:val="none"/>
        </w:rPr>
      </w:pPr>
      <w:r>
        <w:rPr>
          <w:rFonts w:hint="eastAsia" w:ascii="宋体" w:hAnsi="宋体"/>
          <w:color w:val="auto"/>
          <w:szCs w:val="21"/>
          <w:highlight w:val="none"/>
        </w:rPr>
        <w:t>存在下列情形之一的，招标人可以限制其投标（需在招标文件中明确评定方法）</w:t>
      </w:r>
    </w:p>
    <w:p>
      <w:pPr>
        <w:spacing w:line="276" w:lineRule="auto"/>
        <w:ind w:firstLine="470" w:firstLineChars="224"/>
        <w:rPr>
          <w:rFonts w:hint="eastAsia" w:ascii="宋体" w:hAnsi="宋体"/>
          <w:color w:val="auto"/>
          <w:szCs w:val="21"/>
          <w:highlight w:val="none"/>
        </w:rPr>
      </w:pPr>
      <w:r>
        <w:rPr>
          <w:rFonts w:hint="eastAsia" w:ascii="宋体" w:hAnsi="宋体"/>
          <w:color w:val="auto"/>
          <w:szCs w:val="21"/>
          <w:highlight w:val="none"/>
        </w:rPr>
        <w:t>（1）被住房城乡建设行政主管部门在全国建筑市场监管一体化工作平台列入建筑市场主体“黑名单”；</w:t>
      </w:r>
    </w:p>
    <w:p>
      <w:pPr>
        <w:pStyle w:val="18"/>
        <w:spacing w:after="0" w:line="276" w:lineRule="auto"/>
        <w:ind w:firstLineChars="200"/>
        <w:rPr>
          <w:rFonts w:hint="eastAsia" w:ascii="宋体" w:hAnsi="宋体"/>
          <w:color w:val="auto"/>
          <w:sz w:val="21"/>
          <w:szCs w:val="21"/>
          <w:highlight w:val="none"/>
        </w:rPr>
      </w:pPr>
      <w:r>
        <w:rPr>
          <w:rFonts w:hint="eastAsia" w:ascii="宋体" w:hAnsi="宋体"/>
          <w:color w:val="auto"/>
          <w:sz w:val="21"/>
          <w:szCs w:val="21"/>
          <w:highlight w:val="none"/>
        </w:rPr>
        <w:t>（2）被发改委、人力资源社会保障、质检总局等有关部门、单位在“信用中国”网站中列入联合惩戒失信黑名单。</w:t>
      </w:r>
    </w:p>
    <w:p>
      <w:pPr>
        <w:pStyle w:val="29"/>
        <w:spacing w:after="0" w:line="276" w:lineRule="auto"/>
        <w:ind w:firstLineChars="200"/>
        <w:rPr>
          <w:rStyle w:val="25"/>
          <w:rFonts w:ascii="宋体" w:hAnsi="宋体"/>
          <w:color w:val="auto"/>
          <w:sz w:val="21"/>
          <w:szCs w:val="21"/>
          <w:highlight w:val="none"/>
        </w:rPr>
      </w:pPr>
    </w:p>
    <w:p>
      <w:pPr>
        <w:pStyle w:val="18"/>
        <w:spacing w:after="0" w:line="360" w:lineRule="auto"/>
        <w:ind w:firstLine="480" w:firstLineChars="200"/>
        <w:rPr>
          <w:rFonts w:hint="eastAsia" w:ascii="宋体" w:hAnsi="宋体" w:cs="宋体"/>
          <w:color w:val="auto"/>
          <w:sz w:val="24"/>
          <w:highlight w:val="none"/>
        </w:rPr>
      </w:pPr>
    </w:p>
    <w:p>
      <w:pPr>
        <w:pStyle w:val="2"/>
        <w:jc w:val="center"/>
        <w:rPr>
          <w:rFonts w:hint="eastAsia" w:ascii="宋体" w:hAnsi="宋体" w:cs="宋体"/>
          <w:color w:val="auto"/>
          <w:highlight w:val="none"/>
        </w:rPr>
      </w:pPr>
      <w:r>
        <w:rPr>
          <w:rFonts w:hint="eastAsia" w:ascii="宋体" w:hAnsi="宋体" w:cs="宋体"/>
          <w:color w:val="auto"/>
          <w:sz w:val="24"/>
          <w:highlight w:val="none"/>
        </w:rPr>
        <w:br w:type="page"/>
      </w:r>
      <w:bookmarkStart w:id="18" w:name="_Toc8763"/>
      <w:bookmarkStart w:id="19" w:name="_Toc2272554"/>
      <w:r>
        <w:rPr>
          <w:rFonts w:hint="eastAsia" w:ascii="宋体" w:hAnsi="宋体" w:cs="宋体"/>
          <w:color w:val="auto"/>
          <w:highlight w:val="none"/>
        </w:rPr>
        <w:t>第二章  开标、评标及定标办法</w:t>
      </w:r>
      <w:bookmarkEnd w:id="18"/>
      <w:bookmarkEnd w:id="19"/>
    </w:p>
    <w:p>
      <w:pPr>
        <w:pStyle w:val="3"/>
        <w:rPr>
          <w:rFonts w:hint="eastAsia" w:ascii="宋体" w:hAnsi="宋体" w:cs="宋体"/>
          <w:color w:val="auto"/>
          <w:highlight w:val="none"/>
        </w:rPr>
      </w:pPr>
      <w:bookmarkStart w:id="20" w:name="_Toc2272555"/>
      <w:bookmarkStart w:id="21" w:name="_Toc26460"/>
      <w:r>
        <w:rPr>
          <w:rFonts w:hint="eastAsia" w:ascii="宋体" w:hAnsi="宋体" w:cs="宋体"/>
          <w:color w:val="auto"/>
          <w:sz w:val="28"/>
          <w:szCs w:val="28"/>
          <w:highlight w:val="none"/>
        </w:rPr>
        <w:t>一、</w:t>
      </w:r>
      <w:r>
        <w:rPr>
          <w:rFonts w:hint="eastAsia" w:ascii="宋体" w:hAnsi="宋体" w:cs="宋体"/>
          <w:color w:val="auto"/>
          <w:highlight w:val="none"/>
        </w:rPr>
        <w:t>开标、评标及定标办法修改表</w:t>
      </w:r>
      <w:bookmarkEnd w:id="20"/>
      <w:bookmarkEnd w:id="21"/>
    </w:p>
    <w:p>
      <w:pPr>
        <w:pStyle w:val="18"/>
        <w:spacing w:after="0"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声</w:t>
      </w:r>
      <w:r>
        <w:rPr>
          <w:rFonts w:hint="eastAsia" w:ascii="宋体" w:hAnsi="宋体"/>
          <w:b/>
          <w:color w:val="auto"/>
          <w:sz w:val="21"/>
          <w:szCs w:val="21"/>
          <w:highlight w:val="none"/>
        </w:rPr>
        <w:t>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ascii="宋体" w:hAnsi="宋体"/>
          <w:color w:val="auto"/>
          <w:sz w:val="21"/>
          <w:szCs w:val="21"/>
          <w:highlight w:val="none"/>
        </w:rPr>
        <w:fldChar w:fldCharType="begin"/>
      </w:r>
      <w:r>
        <w:rPr>
          <w:rFonts w:ascii="宋体" w:hAnsi="宋体"/>
          <w:color w:val="auto"/>
          <w:sz w:val="21"/>
          <w:szCs w:val="21"/>
          <w:highlight w:val="none"/>
        </w:rPr>
        <w:instrText xml:space="preserve"> HYPERLINK "http://www.gzcc.gov.cn/）下载GZZB2018-3" </w:instrText>
      </w:r>
      <w:r>
        <w:rPr>
          <w:rFonts w:ascii="宋体" w:hAnsi="宋体"/>
          <w:color w:val="auto"/>
          <w:sz w:val="21"/>
          <w:szCs w:val="21"/>
          <w:highlight w:val="none"/>
        </w:rPr>
        <w:fldChar w:fldCharType="separate"/>
      </w:r>
      <w:r>
        <w:rPr>
          <w:rStyle w:val="23"/>
          <w:rFonts w:hint="eastAsia" w:ascii="宋体" w:hAnsi="宋体"/>
          <w:b/>
          <w:color w:val="auto"/>
          <w:sz w:val="21"/>
          <w:szCs w:val="21"/>
          <w:highlight w:val="none"/>
          <w:u w:val="none"/>
        </w:rPr>
        <w:t>http://zfcj.gz.gov.cn/）下载GZZB2018-3</w:t>
      </w:r>
      <w:r>
        <w:rPr>
          <w:rFonts w:hint="eastAsia" w:ascii="宋体" w:hAnsi="宋体"/>
          <w:b/>
          <w:color w:val="auto"/>
          <w:sz w:val="21"/>
          <w:szCs w:val="21"/>
          <w:highlight w:val="none"/>
        </w:rPr>
        <w:fldChar w:fldCharType="end"/>
      </w:r>
      <w:r>
        <w:rPr>
          <w:rFonts w:hint="eastAsia" w:ascii="宋体" w:hAnsi="宋体"/>
          <w:b/>
          <w:color w:val="auto"/>
          <w:sz w:val="21"/>
          <w:szCs w:val="21"/>
          <w:highlight w:val="none"/>
        </w:rPr>
        <w:t>范本查阅。</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条款号：35.8</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35.8 《广州市工程建设项目招标投标管理办法》（穗府办规〔2017〕5号）；</w:t>
      </w:r>
    </w:p>
    <w:p>
      <w:pPr>
        <w:pBdr>
          <w:bottom w:val="single" w:color="auto" w:sz="6" w:space="1"/>
        </w:pBdr>
        <w:spacing w:line="336"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35.8《广州市工程建设项目招标投标管理办法》</w:t>
      </w:r>
      <w:r>
        <w:rPr>
          <w:rFonts w:hint="eastAsia" w:ascii="宋体" w:hAnsi="宋体" w:cs="宋体"/>
          <w:color w:val="auto"/>
          <w:szCs w:val="21"/>
          <w:highlight w:val="none"/>
          <w:u w:val="single"/>
        </w:rPr>
        <w:t>（穗建规字〔2023〕12号）</w:t>
      </w:r>
      <w:r>
        <w:rPr>
          <w:rFonts w:hint="eastAsia" w:ascii="宋体" w:hAnsi="宋体" w:cs="宋体"/>
          <w:color w:val="auto"/>
          <w:szCs w:val="21"/>
          <w:highlight w:val="none"/>
        </w:rPr>
        <w:t>；</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条款号：36.1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36"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36.1 </w:t>
      </w:r>
      <w:r>
        <w:rPr>
          <w:rStyle w:val="25"/>
          <w:rFonts w:ascii="宋体" w:hAnsi="宋体"/>
          <w:color w:val="auto"/>
          <w:szCs w:val="21"/>
          <w:highlight w:val="none"/>
        </w:rPr>
        <w:t>招标人按投标须知前附表第18项所规定的时间和地点公开开标，并邀请所有投标人参加。截标后，开标开始时间因故推迟的，相关评标信息仍以原定的开标开始时间的信息为准。</w:t>
      </w:r>
      <w:r>
        <w:rPr>
          <w:rStyle w:val="25"/>
          <w:rFonts w:ascii="宋体" w:hAnsi="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条款号：36.3</w:t>
      </w:r>
      <w:r>
        <w:rPr>
          <w:rFonts w:hint="eastAsia" w:ascii="宋体" w:hAnsi="宋体" w:cs="宋体"/>
          <w:b/>
          <w:color w:val="auto"/>
          <w:szCs w:val="21"/>
          <w:highlight w:val="none"/>
        </w:rPr>
        <w:tab/>
      </w:r>
      <w:r>
        <w:rPr>
          <w:rFonts w:hint="eastAsia" w:ascii="宋体" w:hAnsi="宋体" w:cs="宋体"/>
          <w:b/>
          <w:color w:val="auto"/>
          <w:szCs w:val="21"/>
          <w:highlight w:val="none"/>
        </w:rPr>
        <w:t>修改类型：删除</w:t>
      </w:r>
    </w:p>
    <w:p>
      <w:pPr>
        <w:pBdr>
          <w:bottom w:val="single" w:color="auto" w:sz="6" w:space="1"/>
        </w:pBdr>
        <w:spacing w:line="336"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pPr>
        <w:spacing w:line="44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440" w:lineRule="exact"/>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none"/>
        </w:rPr>
        <w:t>36.4若递交投标文件的投标人不足3家，则重新组织招标。</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条款号：36.5.1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交易平台对已递交的电子投标文件进行解密。投标人完成解密后，再由</w:t>
      </w:r>
      <w:r>
        <w:rPr>
          <w:rFonts w:hint="eastAsia" w:ascii="宋体" w:hAnsi="宋体" w:cs="宋体"/>
          <w:color w:val="auto"/>
          <w:szCs w:val="21"/>
          <w:highlight w:val="none"/>
          <w:u w:val="single"/>
        </w:rPr>
        <w:t>招标人或招标代理机构</w:t>
      </w:r>
      <w:r>
        <w:rPr>
          <w:rFonts w:hint="eastAsia" w:ascii="宋体" w:hAnsi="宋体" w:cs="宋体"/>
          <w:color w:val="auto"/>
          <w:szCs w:val="21"/>
          <w:highlight w:val="none"/>
        </w:rPr>
        <w:t>进行解密。解密完成后，公布招标项目名称、投标人名称、投标保证金的递交情况、投标报价、工期及其他内容；</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条款号：36.5.3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36.5.3</w:t>
      </w:r>
      <w:r>
        <w:rPr>
          <w:rFonts w:hint="eastAsia" w:ascii="宋体" w:hAnsi="宋体" w:cs="宋体"/>
          <w:color w:val="auto"/>
          <w:szCs w:val="21"/>
          <w:highlight w:val="none"/>
        </w:rPr>
        <w:t>投标人代表、招标人代表、监标人、记录人等有关人员在开标记录上签字确认；若有关人员不签字的，不影响开标程序；</w:t>
      </w:r>
    </w:p>
    <w:p>
      <w:pPr>
        <w:pBdr>
          <w:bottom w:val="single" w:color="auto" w:sz="6"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ascii="宋体" w:hAnsi="宋体" w:cs="宋体"/>
          <w:color w:val="auto"/>
          <w:szCs w:val="21"/>
          <w:highlight w:val="none"/>
        </w:rPr>
        <w:t>36.5.3</w:t>
      </w:r>
      <w:r>
        <w:rPr>
          <w:rFonts w:hint="eastAsia" w:ascii="宋体" w:hAnsi="宋体" w:cs="宋体"/>
          <w:color w:val="auto"/>
          <w:szCs w:val="21"/>
          <w:highlight w:val="none"/>
        </w:rPr>
        <w:t>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条款号：37.3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3</w:t>
      </w: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评标结束后，评标委员会递交评标报告并依法推荐中标候选人。</w:t>
      </w:r>
    </w:p>
    <w:p>
      <w:pPr>
        <w:pBdr>
          <w:bottom w:val="single" w:color="auto" w:sz="6" w:space="1"/>
        </w:pBdr>
        <w:spacing w:line="336"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ascii="宋体" w:hAnsi="宋体" w:cs="宋体"/>
          <w:color w:val="auto"/>
          <w:szCs w:val="21"/>
          <w:highlight w:val="none"/>
        </w:rPr>
        <w:t>3</w:t>
      </w: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pBdr>
          <w:bottom w:val="single" w:color="auto" w:sz="6" w:space="1"/>
        </w:pBdr>
        <w:spacing w:line="336"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u w:val="single"/>
        </w:rPr>
        <w:t>37.4</w:t>
      </w:r>
      <w:r>
        <w:rPr>
          <w:rFonts w:hint="eastAsia" w:ascii="宋体" w:hAnsi="宋体" w:cs="宋体"/>
          <w:color w:val="auto"/>
          <w:szCs w:val="21"/>
          <w:highlight w:val="none"/>
        </w:rPr>
        <w:t>评标结束后，评标委员会递交评标报告并依法推荐中标候选人。</w:t>
      </w:r>
    </w:p>
    <w:p>
      <w:pPr>
        <w:pBdr>
          <w:bottom w:val="single" w:color="auto" w:sz="4" w:space="1"/>
        </w:pBd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条款号：38.1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4"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4"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条款号：39.3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r>
        <w:rPr>
          <w:rFonts w:hint="eastAsia" w:ascii="宋体" w:hAnsi="宋体" w:cs="宋体"/>
          <w:color w:val="auto"/>
          <w:szCs w:val="21"/>
          <w:highlight w:val="none"/>
        </w:rPr>
        <w:t>；</w:t>
      </w:r>
    </w:p>
    <w:p>
      <w:pPr>
        <w:pBdr>
          <w:bottom w:val="single" w:color="auto" w:sz="6"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Cs w:val="21"/>
          <w:highlight w:val="none"/>
          <w:u w:val="single"/>
        </w:rPr>
        <w:t>或经核查发现委派的项目负责人已在其他在建项目中任职、不符合任职数量规定时</w:t>
      </w:r>
      <w:r>
        <w:rPr>
          <w:rFonts w:hint="eastAsia" w:ascii="宋体" w:hAnsi="宋体" w:cs="宋体"/>
          <w:bCs/>
          <w:color w:val="auto"/>
          <w:szCs w:val="21"/>
          <w:highlight w:val="none"/>
          <w:u w:val="single"/>
        </w:rPr>
        <w:t>，或因中标候选人原因在招标文件规定时间内未与招标人完成合同签署的，</w:t>
      </w:r>
      <w:r>
        <w:rPr>
          <w:rFonts w:hint="eastAsia" w:ascii="宋体" w:hAnsi="宋体"/>
          <w:color w:val="auto"/>
          <w:szCs w:val="21"/>
          <w:highlight w:val="none"/>
        </w:rPr>
        <w:t>招标人可以确定排名第二的中标候选人为中标人。</w:t>
      </w:r>
    </w:p>
    <w:p>
      <w:pPr>
        <w:spacing w:line="360" w:lineRule="auto"/>
        <w:ind w:firstLine="422" w:firstLineChars="200"/>
        <w:rPr>
          <w:rStyle w:val="25"/>
          <w:rFonts w:ascii="宋体" w:hAnsi="宋体"/>
          <w:b/>
          <w:color w:val="auto"/>
          <w:szCs w:val="21"/>
          <w:highlight w:val="none"/>
        </w:rPr>
      </w:pPr>
      <w:r>
        <w:rPr>
          <w:rStyle w:val="25"/>
          <w:rFonts w:ascii="宋体" w:hAnsi="宋体"/>
          <w:b/>
          <w:color w:val="auto"/>
          <w:szCs w:val="21"/>
          <w:highlight w:val="none"/>
        </w:rPr>
        <w:t xml:space="preserve">条款号：可选办法一（适合综合评分法一，技术标与经济标先后分别开启）  </w:t>
      </w:r>
    </w:p>
    <w:p>
      <w:pPr>
        <w:spacing w:line="360" w:lineRule="auto"/>
        <w:ind w:firstLine="422" w:firstLineChars="200"/>
        <w:rPr>
          <w:rStyle w:val="25"/>
          <w:rFonts w:ascii="宋体" w:hAnsi="宋体"/>
          <w:b/>
          <w:color w:val="auto"/>
          <w:szCs w:val="21"/>
          <w:highlight w:val="none"/>
        </w:rPr>
      </w:pPr>
      <w:r>
        <w:rPr>
          <w:rStyle w:val="25"/>
          <w:rFonts w:ascii="宋体" w:hAnsi="宋体"/>
          <w:b/>
          <w:color w:val="auto"/>
          <w:szCs w:val="21"/>
          <w:highlight w:val="none"/>
        </w:rPr>
        <w:t>修改类型：删除</w:t>
      </w:r>
    </w:p>
    <w:p>
      <w:pPr>
        <w:pBdr>
          <w:bottom w:val="single" w:color="000000" w:sz="6" w:space="1"/>
        </w:pBd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原文：详见《广州市建设工程施工公开招标项目招标文件范本GZZB2018-3》</w:t>
      </w:r>
    </w:p>
    <w:p>
      <w:pPr>
        <w:spacing w:line="360" w:lineRule="auto"/>
        <w:ind w:firstLine="472" w:firstLineChars="224"/>
        <w:rPr>
          <w:rStyle w:val="25"/>
          <w:rFonts w:hint="eastAsia" w:ascii="宋体" w:hAnsi="宋体"/>
          <w:b/>
          <w:color w:val="auto"/>
          <w:szCs w:val="21"/>
          <w:highlight w:val="none"/>
        </w:rPr>
      </w:pPr>
      <w:r>
        <w:rPr>
          <w:rStyle w:val="25"/>
          <w:rFonts w:ascii="宋体" w:hAnsi="宋体"/>
          <w:b/>
          <w:color w:val="auto"/>
          <w:szCs w:val="21"/>
          <w:highlight w:val="none"/>
        </w:rPr>
        <w:t xml:space="preserve">条款号：可选办法二（适合综合评分法一，技术标与经济标同时开启）  </w:t>
      </w:r>
      <w:r>
        <w:rPr>
          <w:rStyle w:val="25"/>
          <w:rFonts w:hint="eastAsia" w:ascii="宋体" w:hAnsi="宋体"/>
          <w:b/>
          <w:color w:val="auto"/>
          <w:szCs w:val="21"/>
          <w:highlight w:val="none"/>
        </w:rPr>
        <w:t xml:space="preserve"> </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修改类型：删除</w:t>
      </w:r>
    </w:p>
    <w:p>
      <w:pPr>
        <w:pBdr>
          <w:bottom w:val="single" w:color="000000" w:sz="6" w:space="1"/>
        </w:pBd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原文：详见《广州市建设工程施工公开招标项目招标文件范本GZZB2018-3》</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 xml:space="preserve">条款号：可选办法三（适合综合评分法二，技术标与经济标先后分别开启） </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 xml:space="preserve"> 修改类型：删除</w:t>
      </w:r>
    </w:p>
    <w:p>
      <w:pPr>
        <w:pBdr>
          <w:bottom w:val="single" w:color="000000" w:sz="6" w:space="1"/>
        </w:pBd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原文：详见《广州市建设工程施工公开招标项目招标文件范本GZZB2018-3》</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 xml:space="preserve">条款号：可选办法四（适合综合评分法二，技术标与经济标同时开启）  </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修改类型：删除</w:t>
      </w:r>
    </w:p>
    <w:p>
      <w:pPr>
        <w:pBdr>
          <w:bottom w:val="single" w:color="000000" w:sz="6" w:space="1"/>
        </w:pBd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原文：详见《广州市建设工程施工公开招标项目招标文件范本GZZB2018-3》</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 xml:space="preserve">条款号：可选办法五（适合综合评分法三，技术标与经济标先后分别开启）  </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修改类型：删除</w:t>
      </w:r>
    </w:p>
    <w:p>
      <w:pPr>
        <w:pBdr>
          <w:bottom w:val="single" w:color="000000" w:sz="6" w:space="1"/>
        </w:pBd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原文：详见《广州市建设工程施工公开招标项目招标文件范本GZZB2018-3》</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条款号：可选办法</w:t>
      </w:r>
      <w:r>
        <w:rPr>
          <w:rStyle w:val="25"/>
          <w:rFonts w:hint="eastAsia" w:ascii="宋体" w:hAnsi="宋体"/>
          <w:b/>
          <w:color w:val="auto"/>
          <w:szCs w:val="21"/>
          <w:highlight w:val="none"/>
        </w:rPr>
        <w:t>七</w:t>
      </w:r>
      <w:r>
        <w:rPr>
          <w:rStyle w:val="25"/>
          <w:rFonts w:ascii="宋体" w:hAnsi="宋体"/>
          <w:b/>
          <w:color w:val="auto"/>
          <w:szCs w:val="21"/>
          <w:highlight w:val="none"/>
        </w:rPr>
        <w:t>（适合综合评分法</w:t>
      </w:r>
      <w:r>
        <w:rPr>
          <w:rStyle w:val="25"/>
          <w:rFonts w:hint="eastAsia" w:ascii="宋体" w:hAnsi="宋体"/>
          <w:b/>
          <w:color w:val="auto"/>
          <w:szCs w:val="21"/>
          <w:highlight w:val="none"/>
        </w:rPr>
        <w:t>四</w:t>
      </w:r>
      <w:r>
        <w:rPr>
          <w:rStyle w:val="25"/>
          <w:rFonts w:ascii="宋体" w:hAnsi="宋体"/>
          <w:b/>
          <w:color w:val="auto"/>
          <w:szCs w:val="21"/>
          <w:highlight w:val="none"/>
        </w:rPr>
        <w:t xml:space="preserve">，技术标与经济标同时开启） </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 xml:space="preserve"> 修改类型：删除</w:t>
      </w:r>
    </w:p>
    <w:p>
      <w:pPr>
        <w:pBdr>
          <w:bottom w:val="single" w:color="000000" w:sz="6" w:space="1"/>
        </w:pBd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原文：详见《广州市建设工程施工公开招标项目招标文件范本GZZB2018-3》</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条款号：可选办法八（适合经评审的最低投标价法，技术标与经济标同时开启）</w:t>
      </w:r>
    </w:p>
    <w:p>
      <w:pP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修改类型：删除</w:t>
      </w:r>
    </w:p>
    <w:p>
      <w:pPr>
        <w:pBdr>
          <w:bottom w:val="single" w:color="000000" w:sz="6" w:space="1"/>
        </w:pBdr>
        <w:spacing w:line="360" w:lineRule="auto"/>
        <w:ind w:firstLine="472" w:firstLineChars="224"/>
        <w:rPr>
          <w:rStyle w:val="25"/>
          <w:rFonts w:ascii="宋体" w:hAnsi="宋体"/>
          <w:b/>
          <w:color w:val="auto"/>
          <w:szCs w:val="21"/>
          <w:highlight w:val="none"/>
        </w:rPr>
      </w:pPr>
      <w:r>
        <w:rPr>
          <w:rStyle w:val="25"/>
          <w:rFonts w:ascii="宋体" w:hAnsi="宋体"/>
          <w:b/>
          <w:color w:val="auto"/>
          <w:szCs w:val="21"/>
          <w:highlight w:val="none"/>
        </w:rPr>
        <w:t>原文：详见《广州市建设工程施工公开招标项目招标文件范本GZZB2018-3》</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 开标由招标人主持；</w:t>
      </w:r>
    </w:p>
    <w:p>
      <w:pPr>
        <w:pBdr>
          <w:bottom w:val="single" w:color="auto" w:sz="6"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41.1 </w:t>
      </w:r>
      <w:r>
        <w:rPr>
          <w:rFonts w:hint="eastAsia" w:ascii="宋体" w:hAnsi="宋体" w:cs="宋体"/>
          <w:color w:val="auto"/>
          <w:szCs w:val="21"/>
          <w:highlight w:val="none"/>
          <w:u w:val="single"/>
        </w:rPr>
        <w:t>开标由招标人或其委托的招标代理机构主持；</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交易平台。有关投标文件提交的事项详见第一章投标须知。</w:t>
      </w:r>
    </w:p>
    <w:p>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w:t>
      </w:r>
      <w:r>
        <w:rPr>
          <w:rStyle w:val="25"/>
          <w:rFonts w:ascii="宋体" w:hAnsi="宋体"/>
          <w:color w:val="auto"/>
          <w:szCs w:val="21"/>
          <w:highlight w:val="none"/>
        </w:rPr>
        <w:t>投标截止期前，各投标人递交投标文件（包括技术标投标文件、经济标投标文件）至</w:t>
      </w:r>
      <w:r>
        <w:rPr>
          <w:rStyle w:val="25"/>
          <w:rFonts w:ascii="宋体" w:hAnsi="宋体"/>
          <w:color w:val="auto"/>
          <w:szCs w:val="21"/>
          <w:highlight w:val="none"/>
          <w:u w:val="single"/>
        </w:rPr>
        <w:t>广州公共资源交易中心</w:t>
      </w:r>
      <w:r>
        <w:rPr>
          <w:rStyle w:val="25"/>
          <w:rFonts w:ascii="宋体" w:hAnsi="宋体"/>
          <w:color w:val="auto"/>
          <w:szCs w:val="21"/>
          <w:highlight w:val="none"/>
        </w:rPr>
        <w:t>交易平台。有关投标文件提交的事项详见第一章投标须知。</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276" w:lineRule="auto"/>
        <w:ind w:firstLine="422" w:firstLineChars="200"/>
        <w:rPr>
          <w:rFonts w:hint="eastAsia" w:ascii="宋体" w:hAnsi="宋体"/>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41.2.2开标时，投标人代表有权出席开标会，也可以自主决定不参加开标会，若投标人代表对开标过程提出异议，该投标人代表须同时出示本人身份证原件。</w:t>
      </w:r>
    </w:p>
    <w:p>
      <w:pPr>
        <w:pBdr>
          <w:bottom w:val="single" w:color="auto" w:sz="6" w:space="1"/>
        </w:pBdr>
        <w:spacing w:line="336"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41.2.2开标时，投标人代表有权</w:t>
      </w:r>
      <w:r>
        <w:rPr>
          <w:rFonts w:hint="eastAsia" w:ascii="宋体" w:hAnsi="宋体" w:cs="宋体"/>
          <w:color w:val="auto"/>
          <w:szCs w:val="21"/>
          <w:highlight w:val="none"/>
          <w:u w:val="single"/>
        </w:rPr>
        <w:t>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b/>
          <w:color w:val="auto"/>
          <w:szCs w:val="21"/>
          <w:highlight w:val="none"/>
        </w:rPr>
        <w:t>41.4</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olor w:val="auto"/>
          <w:szCs w:val="21"/>
          <w:highlight w:val="none"/>
        </w:rPr>
        <w:t>41.4</w:t>
      </w:r>
      <w:r>
        <w:rPr>
          <w:rFonts w:hint="eastAsia" w:ascii="宋体" w:hAnsi="宋体" w:cs="宋体"/>
          <w:color w:val="auto"/>
          <w:szCs w:val="21"/>
          <w:highlight w:val="none"/>
        </w:rPr>
        <w:t>招标人对开标过程进行记录，并存档备查，投标人在开标记录上签字。</w:t>
      </w:r>
    </w:p>
    <w:p>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olor w:val="auto"/>
          <w:szCs w:val="21"/>
          <w:highlight w:val="none"/>
        </w:rPr>
        <w:t>41.4</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对开标过程进行记录，并存档备查，投标人在开标记录上签字，</w:t>
      </w:r>
      <w:r>
        <w:rPr>
          <w:rFonts w:hint="eastAsia" w:ascii="宋体" w:hAnsi="宋体" w:cs="宋体"/>
          <w:color w:val="auto"/>
          <w:szCs w:val="21"/>
          <w:highlight w:val="none"/>
          <w:u w:val="single"/>
        </w:rPr>
        <w:t>投标人未签字且未提出异议的将被视为默认开标结果</w:t>
      </w:r>
      <w:r>
        <w:rPr>
          <w:rFonts w:hint="eastAsia" w:ascii="宋体" w:hAnsi="宋体" w:cs="宋体"/>
          <w:color w:val="auto"/>
          <w:szCs w:val="21"/>
          <w:highlight w:val="none"/>
        </w:rPr>
        <w:t>。</w:t>
      </w:r>
    </w:p>
    <w:p>
      <w:pPr>
        <w:tabs>
          <w:tab w:val="left" w:pos="4410"/>
        </w:tabs>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b/>
          <w:color w:val="auto"/>
          <w:szCs w:val="21"/>
          <w:highlight w:val="none"/>
        </w:rPr>
        <w:t>42.1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none" w:color="auto" w:sz="0"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olor w:val="auto"/>
          <w:szCs w:val="21"/>
          <w:highlight w:val="none"/>
        </w:rPr>
        <w:t>42.1</w:t>
      </w:r>
      <w:r>
        <w:rPr>
          <w:rFonts w:hint="eastAsia" w:ascii="宋体" w:hAnsi="宋体" w:cs="宋体"/>
          <w:color w:val="auto"/>
          <w:szCs w:val="21"/>
          <w:highlight w:val="none"/>
        </w:rPr>
        <w:t>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Bdr>
          <w:bottom w:val="none" w:color="auto" w:sz="0" w:space="1"/>
        </w:pBd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方式一：评标委员会为综合评标委员会，负责评标工作。</w:t>
      </w:r>
    </w:p>
    <w:p>
      <w:pPr>
        <w:pBdr>
          <w:bottom w:val="none" w:color="auto" w:sz="0" w:space="1"/>
        </w:pBdr>
        <w:spacing w:line="336"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none" w:color="auto" w:sz="0"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42.1评标委员会的组成：方式</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w:t>
      </w:r>
    </w:p>
    <w:p>
      <w:pPr>
        <w:pBdr>
          <w:bottom w:val="none" w:color="auto" w:sz="0" w:space="1"/>
        </w:pBd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w:t>
      </w:r>
      <w:r>
        <w:rPr>
          <w:rFonts w:hint="eastAsia" w:ascii="宋体" w:hAnsi="宋体" w:cs="宋体"/>
          <w:color w:val="auto"/>
          <w:szCs w:val="21"/>
          <w:highlight w:val="none"/>
          <w:u w:val="single"/>
        </w:rPr>
        <w:t>资格审查及</w:t>
      </w:r>
      <w:r>
        <w:rPr>
          <w:rFonts w:hint="eastAsia" w:ascii="宋体" w:hAnsi="宋体" w:cs="宋体"/>
          <w:color w:val="auto"/>
          <w:szCs w:val="21"/>
          <w:highlight w:val="none"/>
        </w:rPr>
        <w:t>评标工作。</w:t>
      </w:r>
    </w:p>
    <w:p>
      <w:pPr>
        <w:pBdr>
          <w:bottom w:val="single" w:color="auto" w:sz="4" w:space="0"/>
        </w:pBdr>
        <w:spacing w:line="336" w:lineRule="auto"/>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none" w:color="auto" w:sz="0"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条款号：42.2.1                 修改类型：修改</w:t>
      </w:r>
    </w:p>
    <w:p>
      <w:pPr>
        <w:pBdr>
          <w:bottom w:val="none" w:color="auto" w:sz="0" w:space="1"/>
        </w:pBd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原文：42.2.1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4" w:space="0"/>
        </w:pBdr>
        <w:spacing w:line="336"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color w:val="auto"/>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p>
    <w:p>
      <w:pPr>
        <w:pBdr>
          <w:bottom w:val="none" w:color="auto" w:sz="0"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条款号：42.3.1                  修改类型：修改</w:t>
      </w:r>
    </w:p>
    <w:p>
      <w:pPr>
        <w:pBdr>
          <w:bottom w:val="none" w:color="auto" w:sz="0" w:space="1"/>
        </w:pBd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原文：42.3.1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pBdr>
          <w:bottom w:val="single" w:color="auto" w:sz="4" w:space="0"/>
        </w:pBdr>
        <w:spacing w:line="336"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color w:val="auto"/>
          <w:szCs w:val="21"/>
          <w:highlight w:val="none"/>
          <w:u w:val="single"/>
        </w:rPr>
        <w:t>评委发现投标文件中含义不明确、对同类问题表述不一致、有明显文字和计算错误的，应当要求投标人作必要的澄清、说明后再判定投标人是否通过有效性审查，不得直接否决投标。</w:t>
      </w:r>
    </w:p>
    <w:p>
      <w:pPr>
        <w:pBdr>
          <w:bottom w:val="none" w:color="auto" w:sz="0"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条款号：42.3.2                  修改类型：修改</w:t>
      </w:r>
    </w:p>
    <w:p>
      <w:pPr>
        <w:pBdr>
          <w:bottom w:val="none" w:color="auto" w:sz="0" w:space="1"/>
        </w:pBd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原文：42.3.2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详细审查评分：评标委员会按照本办法附表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详细审查评分表》对通过技术标有效性审查的投标文件进行详细审查，评出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得分。</w:t>
      </w:r>
    </w:p>
    <w:p>
      <w:pPr>
        <w:pBdr>
          <w:bottom w:val="single" w:color="auto" w:sz="4" w:space="0"/>
        </w:pBdr>
        <w:spacing w:line="336"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42.3.2</w:t>
      </w:r>
      <w:r>
        <w:rPr>
          <w:rFonts w:hint="eastAsia" w:ascii="宋体" w:hAnsi="宋体" w:cs="宋体"/>
          <w:b/>
          <w:color w:val="auto"/>
          <w:szCs w:val="21"/>
          <w:highlight w:val="none"/>
        </w:rPr>
        <w:t xml:space="preserve"> </w:t>
      </w:r>
      <w:r>
        <w:rPr>
          <w:rFonts w:hint="eastAsia" w:ascii="宋体" w:hAnsi="宋体" w:cs="宋体"/>
          <w:color w:val="auto"/>
          <w:szCs w:val="21"/>
          <w:highlight w:val="none"/>
          <w:u w:val="single"/>
        </w:rPr>
        <w:t>技术标</w:t>
      </w:r>
      <w:r>
        <w:rPr>
          <w:rFonts w:hint="eastAsia" w:ascii="宋体" w:hAnsi="宋体" w:cs="宋体"/>
          <w:color w:val="auto"/>
          <w:szCs w:val="21"/>
          <w:highlight w:val="none"/>
        </w:rPr>
        <w:t>详细审查评分：</w:t>
      </w:r>
      <w:r>
        <w:rPr>
          <w:rFonts w:hint="eastAsia" w:ascii="宋体" w:hAnsi="宋体" w:cs="宋体"/>
          <w:bCs/>
          <w:color w:val="auto"/>
          <w:szCs w:val="21"/>
          <w:highlight w:val="none"/>
        </w:rPr>
        <w:t>评标委员会按照本办法附表</w:t>
      </w:r>
      <w:r>
        <w:rPr>
          <w:rFonts w:hint="eastAsia" w:ascii="宋体" w:hAnsi="宋体" w:cs="宋体"/>
          <w:bCs/>
          <w:color w:val="auto"/>
          <w:szCs w:val="21"/>
          <w:highlight w:val="none"/>
          <w:u w:val="single"/>
        </w:rPr>
        <w:t>四《技术标</w:t>
      </w:r>
      <w:r>
        <w:rPr>
          <w:rFonts w:hint="eastAsia" w:ascii="宋体" w:hAnsi="宋体" w:cs="宋体"/>
          <w:bCs/>
          <w:color w:val="auto"/>
          <w:szCs w:val="21"/>
          <w:highlight w:val="none"/>
        </w:rPr>
        <w:t>详细审查评分表》对通过技术标有效性审查的投标文件进行详细审查，评出</w:t>
      </w:r>
      <w:r>
        <w:rPr>
          <w:rFonts w:hint="eastAsia" w:ascii="宋体" w:hAnsi="宋体" w:cs="宋体"/>
          <w:bCs/>
          <w:color w:val="auto"/>
          <w:szCs w:val="21"/>
          <w:highlight w:val="none"/>
          <w:u w:val="single"/>
        </w:rPr>
        <w:t>技术标</w:t>
      </w:r>
      <w:r>
        <w:rPr>
          <w:rFonts w:hint="eastAsia" w:ascii="宋体" w:hAnsi="宋体" w:cs="宋体"/>
          <w:bCs/>
          <w:color w:val="auto"/>
          <w:szCs w:val="21"/>
          <w:highlight w:val="none"/>
        </w:rPr>
        <w:t>得分。</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条款号：42.3.4                      修改类型：修改</w:t>
      </w:r>
    </w:p>
    <w:p>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42.3.4评标委员会按照“第一阶段得分=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pBdr>
          <w:bottom w:val="single" w:color="auto" w:sz="4" w:space="0"/>
        </w:pBdr>
        <w:spacing w:line="336" w:lineRule="auto"/>
        <w:ind w:firstLine="472" w:firstLineChars="224"/>
        <w:rPr>
          <w:rFonts w:hint="eastAsia"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42.3.4评标委员会按照“第一阶段得分=</w:t>
      </w:r>
      <w:r>
        <w:rPr>
          <w:rFonts w:hint="eastAsia" w:ascii="宋体" w:hAnsi="宋体" w:cs="宋体"/>
          <w:color w:val="auto"/>
          <w:szCs w:val="21"/>
          <w:highlight w:val="none"/>
          <w:u w:val="single"/>
        </w:rPr>
        <w:t>技术分×技术分权重（100%）</w:t>
      </w:r>
      <w:r>
        <w:rPr>
          <w:rFonts w:hint="eastAsia" w:ascii="宋体" w:hAnsi="宋体" w:cs="宋体"/>
          <w:color w:val="auto"/>
          <w:szCs w:val="21"/>
          <w:highlight w:val="none"/>
        </w:rPr>
        <w:t>”的公式及</w:t>
      </w:r>
      <w:r>
        <w:rPr>
          <w:rFonts w:hint="eastAsia" w:ascii="宋体" w:hAnsi="宋体" w:cs="宋体"/>
          <w:bCs/>
          <w:color w:val="auto"/>
          <w:szCs w:val="21"/>
          <w:highlight w:val="none"/>
        </w:rPr>
        <w:t>投标须知前附表第27项的规定，计算各投标人第一阶段得分(按四舍五入的原则保留两位小数)，</w:t>
      </w:r>
      <w:r>
        <w:rPr>
          <w:rFonts w:hint="eastAsia" w:ascii="宋体" w:hAnsi="宋体" w:cs="宋体"/>
          <w:color w:val="auto"/>
          <w:szCs w:val="21"/>
          <w:highlight w:val="none"/>
        </w:rPr>
        <w:t>并按照得分从高到低排列先后次序，若投标人得分相同的，则名次并列，占用名次。编写第一阶段评审报告。（适用于进行了技术标评分的）</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条款号：42.4.2                      修改类型：删除</w:t>
      </w:r>
    </w:p>
    <w:p>
      <w:pPr>
        <w:pBdr>
          <w:bottom w:val="single" w:color="auto" w:sz="4" w:space="0"/>
        </w:pBdr>
        <w:spacing w:line="336" w:lineRule="auto"/>
        <w:ind w:firstLine="472" w:firstLineChars="224"/>
        <w:rPr>
          <w:rFonts w:hint="eastAsia" w:ascii="宋体" w:hAnsi="宋体" w:cs="宋体"/>
          <w:color w:val="auto"/>
          <w:szCs w:val="21"/>
          <w:highlight w:val="none"/>
        </w:rPr>
      </w:pPr>
      <w:r>
        <w:rPr>
          <w:rFonts w:hint="eastAsia" w:ascii="宋体" w:hAnsi="宋体" w:cs="宋体"/>
          <w:b/>
          <w:bCs/>
          <w:color w:val="auto"/>
          <w:szCs w:val="21"/>
          <w:highlight w:val="none"/>
          <w:u w:val="single"/>
        </w:rPr>
        <w:t>原文：</w:t>
      </w:r>
      <w:r>
        <w:rPr>
          <w:rFonts w:hint="eastAsia" w:ascii="宋体" w:hAnsi="宋体" w:cs="宋体"/>
          <w:bCs/>
          <w:color w:val="auto"/>
          <w:szCs w:val="21"/>
          <w:highlight w:val="none"/>
          <w:u w:val="single"/>
        </w:rPr>
        <w:t>42.4.2若进入第二阶段投标人中所有投标报价均大于等于最高投标限价*D%（D的取值范围为[94,100],由招标人自主确定）的（具体金额为：      元），则本项目招标失败，由招标人依法重新招标。</w:t>
      </w:r>
    </w:p>
    <w:p>
      <w:pPr>
        <w:pBdr>
          <w:bottom w:val="none" w:color="auto" w:sz="0"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条款号：42.4.3.1</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336" w:lineRule="auto"/>
        <w:ind w:firstLine="472" w:firstLineChars="224"/>
        <w:rPr>
          <w:rFonts w:hint="eastAsia" w:ascii="宋体" w:hAnsi="宋体" w:cs="宋体"/>
          <w:color w:val="auto"/>
          <w:spacing w:val="2"/>
          <w:szCs w:val="21"/>
          <w:highlight w:val="none"/>
        </w:rPr>
      </w:pPr>
      <w:r>
        <w:rPr>
          <w:rFonts w:hint="eastAsia" w:ascii="宋体" w:hAnsi="宋体" w:cs="宋体"/>
          <w:b/>
          <w:color w:val="auto"/>
          <w:szCs w:val="21"/>
          <w:highlight w:val="none"/>
        </w:rPr>
        <w:t>原文</w:t>
      </w:r>
      <w:r>
        <w:rPr>
          <w:rFonts w:hint="eastAsia" w:ascii="宋体" w:hAnsi="宋体" w:cs="宋体"/>
          <w:b/>
          <w:color w:val="auto"/>
          <w:spacing w:val="2"/>
          <w:szCs w:val="21"/>
          <w:highlight w:val="none"/>
        </w:rPr>
        <w:t>：42.4.3.1</w:t>
      </w:r>
      <w:r>
        <w:rPr>
          <w:rFonts w:hint="eastAsia" w:ascii="宋体" w:hAnsi="宋体" w:cs="宋体"/>
          <w:color w:val="auto"/>
          <w:spacing w:val="2"/>
          <w:szCs w:val="21"/>
          <w:highlight w:val="none"/>
        </w:rPr>
        <w:t>按方法</w:t>
      </w:r>
      <w:r>
        <w:rPr>
          <w:rFonts w:hint="eastAsia" w:ascii="宋体" w:hAnsi="宋体" w:cs="宋体"/>
          <w:color w:val="auto"/>
          <w:spacing w:val="2"/>
          <w:szCs w:val="21"/>
          <w:highlight w:val="none"/>
          <w:u w:val="single"/>
        </w:rPr>
        <w:t xml:space="preserve">    </w:t>
      </w:r>
      <w:r>
        <w:rPr>
          <w:rFonts w:hint="eastAsia" w:ascii="宋体" w:hAnsi="宋体" w:cs="宋体"/>
          <w:color w:val="auto"/>
          <w:spacing w:val="2"/>
          <w:szCs w:val="21"/>
          <w:highlight w:val="none"/>
        </w:rPr>
        <w:t>计算</w:t>
      </w:r>
      <w:r>
        <w:rPr>
          <w:rFonts w:hint="eastAsia" w:ascii="宋体" w:hAnsi="宋体" w:cs="宋体"/>
          <w:color w:val="auto"/>
          <w:szCs w:val="21"/>
          <w:highlight w:val="none"/>
        </w:rPr>
        <w:t>评标</w:t>
      </w:r>
      <w:r>
        <w:rPr>
          <w:rFonts w:hint="eastAsia" w:ascii="宋体" w:hAnsi="宋体" w:cs="宋体"/>
          <w:color w:val="auto"/>
          <w:spacing w:val="2"/>
          <w:szCs w:val="21"/>
          <w:highlight w:val="none"/>
        </w:rPr>
        <w:t>参考价：</w:t>
      </w:r>
    </w:p>
    <w:p>
      <w:pPr>
        <w:widowControl/>
        <w:spacing w:line="336"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方法一：加权平均法</w:t>
      </w:r>
    </w:p>
    <w:p>
      <w:pPr>
        <w:spacing w:line="336"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技术标或技术标加诚信得分或第一阶段入围得分（具体由招标人自定）前</w:t>
      </w:r>
      <w:r>
        <w:rPr>
          <w:rFonts w:ascii="宋体" w:hAnsi="宋体" w:cs="仿宋"/>
          <w:color w:val="auto"/>
          <w:szCs w:val="21"/>
          <w:highlight w:val="none"/>
        </w:rPr>
        <w:t>N</w:t>
      </w:r>
      <w:r>
        <w:rPr>
          <w:rFonts w:hint="eastAsia" w:ascii="宋体" w:hAnsi="宋体" w:cs="仿宋"/>
          <w:color w:val="auto"/>
          <w:szCs w:val="21"/>
          <w:highlight w:val="none"/>
        </w:rPr>
        <w:t>名（N≥5，具体由招标人自定）的经济报价加权平均，计算评标参考价。公式如下：</w:t>
      </w:r>
    </w:p>
    <w:p>
      <w:pPr>
        <w:spacing w:line="336"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评标参考价</w:t>
      </w:r>
      <w:r>
        <w:rPr>
          <w:rFonts w:ascii="宋体" w:hAnsi="宋体" w:cs="仿宋"/>
          <w:color w:val="auto"/>
          <w:szCs w:val="21"/>
          <w:highlight w:val="none"/>
        </w:rPr>
        <w:t>=</w:t>
      </w:r>
      <w:r>
        <w:rPr>
          <w:rFonts w:hint="eastAsia" w:ascii="宋体" w:hAnsi="宋体" w:cs="仿宋"/>
          <w:color w:val="auto"/>
          <w:szCs w:val="21"/>
          <w:highlight w:val="none"/>
        </w:rPr>
        <w:t>Σ（投标人的投标报价</w:t>
      </w:r>
      <w:r>
        <w:rPr>
          <w:rFonts w:ascii="宋体" w:hAnsi="宋体" w:cs="仿宋"/>
          <w:color w:val="auto"/>
          <w:szCs w:val="21"/>
          <w:highlight w:val="none"/>
        </w:rPr>
        <w:t>*</w:t>
      </w:r>
      <w:r>
        <w:rPr>
          <w:rFonts w:hint="eastAsia" w:ascii="宋体" w:hAnsi="宋体" w:cs="仿宋"/>
          <w:color w:val="auto"/>
          <w:szCs w:val="21"/>
          <w:highlight w:val="none"/>
        </w:rPr>
        <w:t>报价权重）。</w:t>
      </w:r>
    </w:p>
    <w:p>
      <w:pPr>
        <w:spacing w:line="336"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w:t>
      </w:r>
      <w:r>
        <w:rPr>
          <w:rFonts w:hint="eastAsia" w:ascii="宋体" w:hAnsi="宋体" w:cs="宋体"/>
          <w:color w:val="auto"/>
          <w:szCs w:val="21"/>
          <w:highlight w:val="none"/>
        </w:rPr>
        <w:t>第一名投标人的权重为（</w:t>
      </w:r>
      <w:r>
        <w:rPr>
          <w:rFonts w:hint="eastAsia" w:ascii="宋体" w:hAnsi="宋体" w:cs="宋体"/>
          <w:color w:val="auto"/>
          <w:spacing w:val="-4"/>
          <w:highlight w:val="none"/>
        </w:rPr>
        <w:drawing>
          <wp:inline distT="0" distB="0" distL="114300" distR="114300">
            <wp:extent cx="238125" cy="285750"/>
            <wp:effectExtent l="0" t="0" r="9525"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238125" cy="285750"/>
                    </a:xfrm>
                    <a:prstGeom prst="rect">
                      <a:avLst/>
                    </a:prstGeom>
                    <a:noFill/>
                    <a:ln>
                      <a:noFill/>
                    </a:ln>
                  </pic:spPr>
                </pic:pic>
              </a:graphicData>
            </a:graphic>
          </wp:inline>
        </w:drawing>
      </w:r>
      <w:r>
        <w:rPr>
          <w:rFonts w:hint="eastAsia" w:ascii="宋体" w:hAnsi="宋体" w:cs="宋体"/>
          <w:color w:val="auto"/>
          <w:szCs w:val="21"/>
          <w:highlight w:val="none"/>
        </w:rPr>
        <w:t>），第二名投标人的权重为（</w:t>
      </w:r>
      <w:r>
        <w:rPr>
          <w:rFonts w:hint="eastAsia" w:ascii="宋体" w:hAnsi="宋体" w:cs="宋体"/>
          <w:color w:val="auto"/>
          <w:spacing w:val="-4"/>
          <w:highlight w:val="none"/>
        </w:rPr>
        <w:drawing>
          <wp:inline distT="0" distB="0" distL="114300" distR="114300">
            <wp:extent cx="228600" cy="28575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228600" cy="285750"/>
                    </a:xfrm>
                    <a:prstGeom prst="rect">
                      <a:avLst/>
                    </a:prstGeom>
                    <a:noFill/>
                    <a:ln>
                      <a:noFill/>
                    </a:ln>
                  </pic:spPr>
                </pic:pic>
              </a:graphicData>
            </a:graphic>
          </wp:inline>
        </w:drawing>
      </w:r>
      <w:r>
        <w:rPr>
          <w:rFonts w:hint="eastAsia" w:ascii="宋体" w:hAnsi="宋体" w:cs="宋体"/>
          <w:color w:val="auto"/>
          <w:szCs w:val="21"/>
          <w:highlight w:val="none"/>
        </w:rPr>
        <w:t>），以此类推，最后一名投标人的权重为（</w:t>
      </w:r>
      <w:r>
        <w:rPr>
          <w:rFonts w:hint="eastAsia" w:ascii="宋体" w:hAnsi="宋体" w:cs="宋体"/>
          <w:color w:val="auto"/>
          <w:spacing w:val="-4"/>
          <w:highlight w:val="none"/>
        </w:rPr>
        <w:drawing>
          <wp:inline distT="0" distB="0" distL="114300" distR="114300">
            <wp:extent cx="228600" cy="2857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228600" cy="285750"/>
                    </a:xfrm>
                    <a:prstGeom prst="rect">
                      <a:avLst/>
                    </a:prstGeom>
                    <a:noFill/>
                    <a:ln>
                      <a:noFill/>
                    </a:ln>
                  </pic:spPr>
                </pic:pic>
              </a:graphicData>
            </a:graphic>
          </wp:inline>
        </w:drawing>
      </w:r>
      <w:r>
        <w:rPr>
          <w:rFonts w:hint="eastAsia" w:ascii="宋体" w:hAnsi="宋体" w:cs="宋体"/>
          <w:color w:val="auto"/>
          <w:szCs w:val="21"/>
          <w:highlight w:val="none"/>
        </w:rPr>
        <w:t>）</w:t>
      </w:r>
      <w:r>
        <w:rPr>
          <w:rFonts w:hint="eastAsia" w:ascii="宋体" w:hAnsi="宋体" w:cs="仿宋"/>
          <w:color w:val="auto"/>
          <w:szCs w:val="21"/>
          <w:highlight w:val="none"/>
        </w:rPr>
        <w:t>。</w:t>
      </w:r>
    </w:p>
    <w:p>
      <w:pPr>
        <w:widowControl/>
        <w:spacing w:line="336"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方法二：区间抽取法</w:t>
      </w:r>
    </w:p>
    <w:p>
      <w:pPr>
        <w:widowControl/>
        <w:spacing w:line="336" w:lineRule="auto"/>
        <w:ind w:firstLine="420" w:firstLineChars="200"/>
        <w:rPr>
          <w:rFonts w:ascii="宋体" w:hAnsi="宋体"/>
          <w:color w:val="auto"/>
          <w:kern w:val="0"/>
          <w:szCs w:val="21"/>
          <w:highlight w:val="none"/>
        </w:rPr>
      </w:pPr>
      <w:r>
        <w:rPr>
          <w:rFonts w:hint="eastAsia" w:ascii="宋体" w:hAnsi="宋体" w:cs="仿宋"/>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36" w:lineRule="auto"/>
        <w:ind w:firstLine="420" w:firstLineChars="200"/>
        <w:rPr>
          <w:rFonts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widowControl/>
        <w:spacing w:line="336" w:lineRule="auto"/>
        <w:ind w:firstLine="420" w:firstLineChars="200"/>
        <w:rPr>
          <w:rFonts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：为达到或超过技术标及格分数线的投标人最低报价与工程成本警示价两者中的较高值；</w:t>
      </w:r>
    </w:p>
    <w:p>
      <w:pPr>
        <w:spacing w:line="336" w:lineRule="auto"/>
        <w:ind w:firstLine="420" w:firstLineChars="200"/>
        <w:rPr>
          <w:rFonts w:hint="eastAsia"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：为（最高投标限价*D%）（D的取值范围为[94,100],由招标人自定）</w:t>
      </w:r>
    </w:p>
    <w:p>
      <w:pPr>
        <w:spacing w:line="336" w:lineRule="auto"/>
        <w:ind w:firstLine="420" w:firstLineChars="200"/>
        <w:rPr>
          <w:rFonts w:ascii="宋体" w:hAnsi="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w:t>
      </w:r>
      <w:r>
        <w:rPr>
          <w:rFonts w:ascii="宋体" w:hAnsi="宋体" w:cs="仿宋"/>
          <w:color w:val="auto"/>
          <w:szCs w:val="21"/>
          <w:highlight w:val="none"/>
        </w:rPr>
        <w:t>[0,100]</w:t>
      </w:r>
      <w:r>
        <w:rPr>
          <w:rFonts w:hint="eastAsia" w:ascii="宋体" w:hAnsi="宋体" w:cs="仿宋"/>
          <w:color w:val="auto"/>
          <w:szCs w:val="21"/>
          <w:highlight w:val="none"/>
        </w:rPr>
        <w:t>整数中随机抽取</w:t>
      </w:r>
    </w:p>
    <w:p>
      <w:pPr>
        <w:spacing w:line="360" w:lineRule="auto"/>
        <w:ind w:firstLine="421" w:firstLineChars="196"/>
        <w:rPr>
          <w:rFonts w:hint="eastAsia" w:ascii="宋体" w:hAnsi="宋体"/>
          <w:bCs/>
          <w:color w:val="auto"/>
          <w:szCs w:val="21"/>
          <w:highlight w:val="none"/>
          <w:u w:val="single"/>
        </w:rPr>
      </w:pPr>
      <w:r>
        <w:rPr>
          <w:rFonts w:hint="eastAsia" w:ascii="宋体" w:hAnsi="宋体" w:cs="宋体"/>
          <w:b/>
          <w:color w:val="auto"/>
          <w:spacing w:val="2"/>
          <w:szCs w:val="21"/>
          <w:highlight w:val="none"/>
        </w:rPr>
        <w:t>现文：42.4.3.1</w:t>
      </w:r>
      <w:r>
        <w:rPr>
          <w:rFonts w:hint="eastAsia" w:ascii="宋体" w:hAnsi="宋体" w:cs="宋体"/>
          <w:color w:val="auto"/>
          <w:spacing w:val="2"/>
          <w:szCs w:val="21"/>
          <w:highlight w:val="none"/>
        </w:rPr>
        <w:t>按方法</w:t>
      </w:r>
      <w:r>
        <w:rPr>
          <w:rFonts w:hint="eastAsia" w:ascii="宋体" w:hAnsi="宋体" w:cs="宋体"/>
          <w:color w:val="auto"/>
          <w:spacing w:val="2"/>
          <w:szCs w:val="21"/>
          <w:highlight w:val="none"/>
          <w:u w:val="single"/>
        </w:rPr>
        <w:t xml:space="preserve"> 一 </w:t>
      </w:r>
      <w:r>
        <w:rPr>
          <w:rFonts w:hint="eastAsia" w:ascii="宋体" w:hAnsi="宋体" w:cs="宋体"/>
          <w:color w:val="auto"/>
          <w:spacing w:val="2"/>
          <w:szCs w:val="21"/>
          <w:highlight w:val="none"/>
        </w:rPr>
        <w:t>计算评标参考价：</w:t>
      </w:r>
    </w:p>
    <w:p>
      <w:pPr>
        <w:spacing w:line="360" w:lineRule="auto"/>
        <w:ind w:firstLine="413" w:firstLineChars="196"/>
        <w:rPr>
          <w:rFonts w:hint="eastAsia" w:ascii="宋体" w:hAnsi="宋体"/>
          <w:bCs/>
          <w:color w:val="auto"/>
          <w:szCs w:val="21"/>
          <w:highlight w:val="none"/>
          <w:u w:val="single"/>
        </w:rPr>
      </w:pPr>
      <w:r>
        <w:rPr>
          <w:rFonts w:hint="eastAsia" w:ascii="宋体" w:hAnsi="宋体" w:cs="宋体"/>
          <w:b/>
          <w:color w:val="auto"/>
          <w:szCs w:val="21"/>
          <w:highlight w:val="none"/>
        </w:rPr>
        <w:t>方法一：加权平均法</w:t>
      </w:r>
    </w:p>
    <w:p>
      <w:pPr>
        <w:spacing w:line="360" w:lineRule="auto"/>
        <w:ind w:firstLine="411" w:firstLineChars="196"/>
        <w:rPr>
          <w:rFonts w:hint="eastAsia" w:ascii="宋体" w:hAnsi="宋体"/>
          <w:bCs/>
          <w:color w:val="auto"/>
          <w:szCs w:val="21"/>
          <w:highlight w:val="none"/>
        </w:rPr>
      </w:pPr>
      <w:r>
        <w:rPr>
          <w:rFonts w:hint="eastAsia" w:ascii="宋体" w:hAnsi="宋体" w:cs="宋体"/>
          <w:color w:val="auto"/>
          <w:szCs w:val="21"/>
          <w:highlight w:val="none"/>
          <w:u w:val="single"/>
        </w:rPr>
        <w:t>第一阶段入围得分前N名（N=5，若第一阶段入围数量不足5名，则N等于实际入围数量）</w:t>
      </w:r>
      <w:r>
        <w:rPr>
          <w:rFonts w:hint="eastAsia" w:ascii="宋体" w:hAnsi="宋体" w:cs="宋体"/>
          <w:color w:val="auto"/>
          <w:szCs w:val="21"/>
          <w:highlight w:val="none"/>
        </w:rPr>
        <w:t>的经济报价加权平均，计算评标参考价。公式如下：</w:t>
      </w:r>
    </w:p>
    <w:p>
      <w:pPr>
        <w:spacing w:line="360" w:lineRule="auto"/>
        <w:ind w:firstLine="411" w:firstLineChars="196"/>
        <w:rPr>
          <w:rFonts w:hint="eastAsia" w:ascii="宋体" w:hAnsi="宋体"/>
          <w:bCs/>
          <w:color w:val="auto"/>
          <w:szCs w:val="21"/>
          <w:highlight w:val="none"/>
        </w:rPr>
      </w:pPr>
      <w:r>
        <w:rPr>
          <w:rFonts w:hint="eastAsia" w:ascii="宋体" w:hAnsi="宋体"/>
          <w:bCs/>
          <w:color w:val="auto"/>
          <w:szCs w:val="21"/>
          <w:highlight w:val="none"/>
        </w:rPr>
        <w:t>评标参考价=Σ（投标人的投标报价*报价权重）。</w:t>
      </w:r>
    </w:p>
    <w:p>
      <w:pPr>
        <w:pBdr>
          <w:bottom w:val="single" w:color="auto" w:sz="4" w:space="0"/>
        </w:pBdr>
        <w:spacing w:line="360" w:lineRule="auto"/>
        <w:ind w:firstLine="525" w:firstLineChars="250"/>
        <w:rPr>
          <w:rFonts w:hint="eastAsia" w:ascii="宋体" w:hAnsi="宋体" w:cs="仿宋"/>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w:t>
      </w:r>
      <w:r>
        <w:rPr>
          <w:rFonts w:hint="eastAsia" w:ascii="宋体" w:hAnsi="宋体" w:cs="仿宋"/>
          <w:color w:val="auto"/>
          <w:szCs w:val="21"/>
          <w:highlight w:val="none"/>
          <w:u w:val="single"/>
        </w:rPr>
        <w:t>（若投标人技术标得分相同的，以企业资信得分高的排前，如仍存在相同情况，则对具有相同情况的投标人，由评标委员会采用投票方式，确定投标人的排序）</w:t>
      </w:r>
      <w:r>
        <w:rPr>
          <w:rFonts w:hint="eastAsia" w:ascii="宋体" w:hAnsi="宋体" w:cs="仿宋"/>
          <w:color w:val="auto"/>
          <w:szCs w:val="21"/>
          <w:highlight w:val="none"/>
        </w:rPr>
        <w:t>，第一名投标人的权重为（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szCs w:val="21"/>
          <w:highlight w:val="none"/>
        </w:rPr>
        <w:drawing>
          <wp:inline distT="0" distB="0" distL="114300" distR="114300">
            <wp:extent cx="381000" cy="447675"/>
            <wp:effectExtent l="0" t="0" r="0" b="889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szCs w:val="21"/>
          <w:highlight w:val="none"/>
        </w:rPr>
        <w:drawing>
          <wp:inline distT="0" distB="0" distL="114300" distR="114300">
            <wp:extent cx="381000" cy="447675"/>
            <wp:effectExtent l="0" t="0" r="0" b="889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pBdr>
          <w:bottom w:val="single" w:color="auto" w:sz="6" w:space="1"/>
        </w:pBd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olor w:val="auto"/>
          <w:kern w:val="0"/>
          <w:szCs w:val="21"/>
          <w:highlight w:val="none"/>
        </w:rPr>
        <w:t>42.4.3.2</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pBdr>
          <w:bottom w:val="single" w:color="auto" w:sz="6" w:space="1"/>
        </w:pBdr>
        <w:spacing w:line="336" w:lineRule="auto"/>
        <w:ind w:firstLine="430" w:firstLineChars="200"/>
        <w:rPr>
          <w:rFonts w:hint="eastAsia" w:ascii="宋体" w:hAnsi="宋体" w:cs="宋体"/>
          <w:color w:val="auto"/>
          <w:spacing w:val="2"/>
          <w:szCs w:val="21"/>
          <w:highlight w:val="none"/>
        </w:rPr>
      </w:pPr>
      <w:r>
        <w:rPr>
          <w:rFonts w:hint="eastAsia" w:ascii="宋体" w:hAnsi="宋体" w:cs="宋体"/>
          <w:b/>
          <w:color w:val="auto"/>
          <w:spacing w:val="2"/>
          <w:szCs w:val="21"/>
          <w:highlight w:val="none"/>
        </w:rPr>
        <w:t>原文：</w:t>
      </w:r>
      <w:r>
        <w:rPr>
          <w:rFonts w:hint="eastAsia" w:ascii="宋体" w:hAnsi="宋体"/>
          <w:color w:val="auto"/>
          <w:kern w:val="0"/>
          <w:szCs w:val="21"/>
          <w:highlight w:val="none"/>
        </w:rPr>
        <w:t>42.4.3.2</w:t>
      </w:r>
      <w:r>
        <w:rPr>
          <w:rFonts w:hint="eastAsia" w:ascii="宋体" w:hAnsi="宋体" w:cs="宋体"/>
          <w:color w:val="auto"/>
          <w:spacing w:val="2"/>
          <w:szCs w:val="21"/>
          <w:highlight w:val="none"/>
        </w:rPr>
        <w:t>当标价等于评标参考价时得100分，标价每高于评标参考价1%，扣1.5分，每低于评标参考价1%，扣1分，扣至0分为止，得出经济分，精确到小数点后两位。</w:t>
      </w:r>
    </w:p>
    <w:p>
      <w:pPr>
        <w:pBdr>
          <w:bottom w:val="single" w:color="auto" w:sz="6" w:space="1"/>
        </w:pBdr>
        <w:spacing w:line="336" w:lineRule="auto"/>
        <w:ind w:firstLine="430" w:firstLineChars="200"/>
        <w:rPr>
          <w:rFonts w:hint="eastAsia" w:ascii="宋体" w:hAnsi="宋体" w:cs="宋体"/>
          <w:color w:val="auto"/>
          <w:highlight w:val="none"/>
        </w:rPr>
      </w:pPr>
      <w:r>
        <w:rPr>
          <w:rFonts w:hint="eastAsia" w:ascii="宋体" w:hAnsi="宋体" w:cs="宋体"/>
          <w:b/>
          <w:color w:val="auto"/>
          <w:spacing w:val="2"/>
          <w:szCs w:val="21"/>
          <w:highlight w:val="none"/>
        </w:rPr>
        <w:t>现文：</w:t>
      </w:r>
      <w:r>
        <w:rPr>
          <w:rFonts w:hint="eastAsia" w:ascii="宋体" w:hAnsi="宋体"/>
          <w:color w:val="auto"/>
          <w:kern w:val="0"/>
          <w:szCs w:val="21"/>
          <w:highlight w:val="none"/>
        </w:rPr>
        <w:t>42.4.3.2</w:t>
      </w:r>
      <w:r>
        <w:rPr>
          <w:rFonts w:hint="eastAsia" w:ascii="宋体" w:hAnsi="宋体" w:cs="宋体"/>
          <w:color w:val="auto"/>
          <w:spacing w:val="2"/>
          <w:szCs w:val="21"/>
          <w:highlight w:val="none"/>
        </w:rPr>
        <w:t>当标价等于评标参考价时得100分，</w:t>
      </w:r>
      <w:r>
        <w:rPr>
          <w:rFonts w:hint="eastAsia" w:ascii="宋体" w:hAnsi="宋体" w:cs="宋体"/>
          <w:color w:val="auto"/>
          <w:szCs w:val="21"/>
          <w:highlight w:val="none"/>
        </w:rPr>
        <w:t>标价</w:t>
      </w:r>
      <w:r>
        <w:rPr>
          <w:rFonts w:hint="eastAsia" w:ascii="宋体" w:hAnsi="宋体" w:cs="宋体"/>
          <w:color w:val="auto"/>
          <w:spacing w:val="2"/>
          <w:szCs w:val="21"/>
          <w:highlight w:val="none"/>
        </w:rPr>
        <w:t>每高于评标参考价1%，</w:t>
      </w:r>
      <w:r>
        <w:rPr>
          <w:rFonts w:hint="eastAsia" w:ascii="宋体" w:hAnsi="宋体" w:cs="宋体"/>
          <w:color w:val="auto"/>
          <w:spacing w:val="2"/>
          <w:szCs w:val="21"/>
          <w:highlight w:val="none"/>
          <w:u w:val="single"/>
        </w:rPr>
        <w:t>扣</w:t>
      </w:r>
      <w:r>
        <w:rPr>
          <w:rFonts w:hint="eastAsia" w:ascii="宋体" w:hAnsi="宋体" w:cs="宋体"/>
          <w:b/>
          <w:bCs/>
          <w:color w:val="auto"/>
          <w:spacing w:val="2"/>
          <w:szCs w:val="21"/>
          <w:highlight w:val="none"/>
          <w:u w:val="single"/>
        </w:rPr>
        <w:t>0.</w:t>
      </w:r>
      <w:r>
        <w:rPr>
          <w:rFonts w:ascii="宋体" w:hAnsi="宋体" w:cs="宋体"/>
          <w:b/>
          <w:bCs/>
          <w:color w:val="auto"/>
          <w:spacing w:val="2"/>
          <w:szCs w:val="21"/>
          <w:highlight w:val="none"/>
          <w:u w:val="single"/>
        </w:rPr>
        <w:t>5</w:t>
      </w:r>
      <w:r>
        <w:rPr>
          <w:rFonts w:hint="eastAsia" w:ascii="宋体" w:hAnsi="宋体" w:cs="宋体"/>
          <w:color w:val="auto"/>
          <w:spacing w:val="2"/>
          <w:szCs w:val="21"/>
          <w:highlight w:val="none"/>
          <w:u w:val="single"/>
        </w:rPr>
        <w:t>分</w:t>
      </w:r>
      <w:r>
        <w:rPr>
          <w:rFonts w:hint="eastAsia" w:ascii="宋体" w:hAnsi="宋体" w:cs="宋体"/>
          <w:color w:val="auto"/>
          <w:spacing w:val="2"/>
          <w:szCs w:val="21"/>
          <w:highlight w:val="none"/>
        </w:rPr>
        <w:t>，每低于评标参考价1%，</w:t>
      </w:r>
      <w:r>
        <w:rPr>
          <w:rFonts w:hint="eastAsia" w:ascii="宋体" w:hAnsi="宋体" w:cs="宋体"/>
          <w:color w:val="auto"/>
          <w:spacing w:val="2"/>
          <w:szCs w:val="21"/>
          <w:highlight w:val="none"/>
          <w:u w:val="single"/>
        </w:rPr>
        <w:t>扣</w:t>
      </w:r>
      <w:r>
        <w:rPr>
          <w:rFonts w:hint="eastAsia" w:ascii="宋体" w:hAnsi="宋体" w:cs="宋体"/>
          <w:b/>
          <w:bCs/>
          <w:color w:val="auto"/>
          <w:spacing w:val="2"/>
          <w:szCs w:val="21"/>
          <w:highlight w:val="none"/>
          <w:u w:val="single"/>
        </w:rPr>
        <w:t>0.</w:t>
      </w:r>
      <w:r>
        <w:rPr>
          <w:rFonts w:ascii="宋体" w:hAnsi="宋体" w:cs="宋体"/>
          <w:b/>
          <w:bCs/>
          <w:color w:val="auto"/>
          <w:spacing w:val="2"/>
          <w:szCs w:val="21"/>
          <w:highlight w:val="none"/>
          <w:u w:val="single"/>
        </w:rPr>
        <w:t>3</w:t>
      </w:r>
      <w:r>
        <w:rPr>
          <w:rFonts w:hint="eastAsia" w:ascii="宋体" w:hAnsi="宋体" w:cs="宋体"/>
          <w:color w:val="auto"/>
          <w:spacing w:val="2"/>
          <w:szCs w:val="21"/>
          <w:highlight w:val="none"/>
          <w:u w:val="single"/>
        </w:rPr>
        <w:t>分</w:t>
      </w:r>
      <w:r>
        <w:rPr>
          <w:rFonts w:hint="eastAsia" w:ascii="宋体" w:hAnsi="宋体" w:cs="宋体"/>
          <w:color w:val="auto"/>
          <w:spacing w:val="2"/>
          <w:szCs w:val="21"/>
          <w:highlight w:val="none"/>
        </w:rPr>
        <w:t>，扣至0分为止，得出经济分，精确到小数点后两位。</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条款号：42.4.4            修改类型：修改</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36" w:lineRule="auto"/>
        <w:ind w:firstLine="422" w:firstLineChars="200"/>
        <w:rPr>
          <w:rFonts w:hint="eastAsia" w:ascii="宋体" w:hAnsi="宋体" w:cs="宋体"/>
          <w:color w:val="auto"/>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color w:val="auto"/>
          <w:szCs w:val="21"/>
          <w:highlight w:val="none"/>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条款号：附表一 《资格审查表》            修改类型：修改</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见原范本。</w:t>
      </w:r>
    </w:p>
    <w:p>
      <w:pPr>
        <w:pBdr>
          <w:bottom w:val="single" w:color="auto" w:sz="6" w:space="1"/>
        </w:pBdr>
        <w:spacing w:line="336"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见后附（现文：附表一《资格审查表》）</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条款号：附表二 《技术标有效性审查表》     修改类型：修改</w:t>
      </w:r>
    </w:p>
    <w:p>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见原范本。</w:t>
      </w:r>
    </w:p>
    <w:p>
      <w:pPr>
        <w:pBdr>
          <w:bottom w:val="single" w:color="auto" w:sz="6" w:space="1"/>
        </w:pBdr>
        <w:spacing w:line="336"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见后附（现文：附表二《技术标有效性审查表》）</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条款号：附表三 《经济标有效性审查表》     修改类型：修改</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见原范本。</w:t>
      </w:r>
    </w:p>
    <w:p>
      <w:pPr>
        <w:pBdr>
          <w:bottom w:val="single" w:color="auto" w:sz="6" w:space="1"/>
        </w:pBdr>
        <w:spacing w:line="336"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见后附（现文：附表三《经济标有效性审查表》）</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条款号：附表四《技术标详细审查评分表》     修改类型：修改</w:t>
      </w:r>
    </w:p>
    <w:p>
      <w:pPr>
        <w:spacing w:line="336"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见原范本。</w:t>
      </w:r>
    </w:p>
    <w:p>
      <w:pPr>
        <w:pBdr>
          <w:bottom w:val="single" w:color="auto" w:sz="6" w:space="1"/>
        </w:pBdr>
        <w:spacing w:line="336" w:lineRule="auto"/>
        <w:ind w:firstLine="422" w:firstLineChars="200"/>
        <w:rPr>
          <w:rFonts w:hint="eastAsia"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见后附（现文：附表四《技术标详细审查评分表》）</w:t>
      </w:r>
    </w:p>
    <w:p>
      <w:pPr>
        <w:spacing w:line="460" w:lineRule="exact"/>
        <w:ind w:firstLine="472" w:firstLineChars="224"/>
        <w:rPr>
          <w:rFonts w:ascii="宋体" w:hAnsi="宋体"/>
          <w:b/>
          <w:color w:val="auto"/>
          <w:szCs w:val="21"/>
          <w:highlight w:val="none"/>
        </w:rPr>
      </w:pPr>
      <w:r>
        <w:rPr>
          <w:rFonts w:hint="eastAsia" w:ascii="宋体" w:hAnsi="宋体"/>
          <w:b/>
          <w:color w:val="auto"/>
          <w:szCs w:val="21"/>
          <w:highlight w:val="none"/>
        </w:rPr>
        <w:t>条款号：附表五（适用于区间抽取法）</w:t>
      </w:r>
      <w:r>
        <w:rPr>
          <w:rFonts w:hint="eastAsia" w:ascii="宋体" w:hAnsi="宋体" w:cs="宋体"/>
          <w:b/>
          <w:color w:val="auto"/>
          <w:szCs w:val="21"/>
          <w:highlight w:val="none"/>
        </w:rPr>
        <w:t>经济标评分表</w:t>
      </w:r>
      <w:r>
        <w:rPr>
          <w:rFonts w:hint="eastAsia" w:ascii="宋体" w:hAnsi="宋体"/>
          <w:b/>
          <w:color w:val="auto"/>
          <w:szCs w:val="21"/>
          <w:highlight w:val="none"/>
        </w:rPr>
        <w:t xml:space="preserve">  修改类型：删除</w:t>
      </w:r>
    </w:p>
    <w:p>
      <w:pPr>
        <w:pBdr>
          <w:bottom w:val="single" w:color="auto" w:sz="6" w:space="1"/>
        </w:pBdr>
        <w:spacing w:line="460" w:lineRule="exact"/>
        <w:ind w:firstLine="472" w:firstLineChars="224"/>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szCs w:val="21"/>
          <w:highlight w:val="none"/>
        </w:rPr>
        <w:t>见</w:t>
      </w:r>
      <w:r>
        <w:rPr>
          <w:rFonts w:hint="eastAsia" w:ascii="宋体" w:hAnsi="宋体"/>
          <w:color w:val="auto"/>
          <w:szCs w:val="21"/>
          <w:highlight w:val="none"/>
        </w:rPr>
        <w:t>原范本。</w:t>
      </w:r>
    </w:p>
    <w:p>
      <w:pPr>
        <w:spacing w:line="360"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（以下无正文）</w:t>
      </w:r>
    </w:p>
    <w:p>
      <w:pPr>
        <w:pStyle w:val="5"/>
        <w:rPr>
          <w:rFonts w:hint="eastAsia"/>
          <w:color w:val="auto"/>
          <w:highlight w:val="none"/>
          <w:u w:val="single"/>
        </w:rPr>
      </w:pPr>
    </w:p>
    <w:p>
      <w:pPr>
        <w:pStyle w:val="5"/>
        <w:spacing w:line="360" w:lineRule="auto"/>
        <w:jc w:val="center"/>
        <w:rPr>
          <w:rStyle w:val="25"/>
          <w:rFonts w:ascii="宋体" w:hAnsi="宋体"/>
          <w:b/>
          <w:color w:val="auto"/>
          <w:highlight w:val="none"/>
        </w:rPr>
      </w:pPr>
      <w:r>
        <w:rPr>
          <w:rFonts w:hint="eastAsia" w:ascii="宋体" w:hAnsi="宋体" w:cs="宋体"/>
          <w:color w:val="auto"/>
          <w:highlight w:val="none"/>
        </w:rPr>
        <w:br w:type="page"/>
      </w:r>
      <w:bookmarkStart w:id="22" w:name="_Toc105014631"/>
      <w:bookmarkStart w:id="23" w:name="_Toc2272556"/>
      <w:r>
        <w:rPr>
          <w:rStyle w:val="25"/>
          <w:rFonts w:ascii="宋体" w:hAnsi="宋体"/>
          <w:b/>
          <w:color w:val="auto"/>
          <w:highlight w:val="none"/>
        </w:rPr>
        <w:t>二、开标、评标及定标办法通用条款</w:t>
      </w:r>
      <w:bookmarkEnd w:id="22"/>
    </w:p>
    <w:p>
      <w:pPr>
        <w:pStyle w:val="4"/>
        <w:spacing w:before="156" w:beforeAutospacing="0" w:after="156" w:afterAutospacing="0" w:line="276" w:lineRule="auto"/>
        <w:ind w:firstLine="422" w:firstLineChars="200"/>
        <w:rPr>
          <w:b/>
          <w:bCs/>
          <w:color w:val="auto"/>
          <w:sz w:val="21"/>
          <w:szCs w:val="21"/>
          <w:highlight w:val="none"/>
        </w:rPr>
      </w:pPr>
      <w:bookmarkStart w:id="24" w:name="_Toc21525501"/>
      <w:bookmarkEnd w:id="24"/>
      <w:bookmarkStart w:id="25" w:name="_Toc2272557"/>
      <w:bookmarkStart w:id="26" w:name="_Toc105014632"/>
      <w:bookmarkStart w:id="27" w:name="_Toc32637"/>
      <w:r>
        <w:rPr>
          <w:rFonts w:hint="eastAsia"/>
          <w:b/>
          <w:bCs/>
          <w:color w:val="auto"/>
          <w:sz w:val="21"/>
          <w:szCs w:val="21"/>
          <w:highlight w:val="none"/>
        </w:rPr>
        <w:t>（一）总则</w:t>
      </w:r>
      <w:bookmarkEnd w:id="25"/>
      <w:bookmarkEnd w:id="26"/>
      <w:bookmarkEnd w:id="27"/>
    </w:p>
    <w:p>
      <w:pPr>
        <w:spacing w:line="276" w:lineRule="auto"/>
        <w:ind w:firstLine="422" w:firstLineChars="200"/>
        <w:rPr>
          <w:rFonts w:hint="eastAsia" w:ascii="宋体" w:hAnsi="宋体"/>
          <w:b/>
          <w:bCs/>
          <w:color w:val="auto"/>
          <w:szCs w:val="21"/>
          <w:highlight w:val="none"/>
        </w:rPr>
      </w:pPr>
      <w:r>
        <w:rPr>
          <w:rFonts w:ascii="宋体" w:hAnsi="宋体"/>
          <w:b/>
          <w:bCs/>
          <w:color w:val="auto"/>
          <w:szCs w:val="21"/>
          <w:highlight w:val="none"/>
        </w:rPr>
        <w:t>35.</w:t>
      </w:r>
      <w:r>
        <w:rPr>
          <w:rFonts w:hint="eastAsia" w:ascii="宋体" w:hAnsi="宋体"/>
          <w:b/>
          <w:bCs/>
          <w:color w:val="auto"/>
          <w:szCs w:val="21"/>
          <w:highlight w:val="none"/>
        </w:rPr>
        <w:t>开标、评标及定标所依据的规则</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35.1《中华人民共和国招标投标法》；</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35.2《中华人民共和国招标投标法实施条例》；</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35.3《评标委员会和评标方法暂行规定》（七部委第12号令）；</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35.4《工程建设项目施工招标投标办法》（七部委2003年第30号令）；</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35.5《广东省实施〈中华人民共和国招标投标法〉办法》；</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35.6《房屋建筑和市政基础设施工程施工招标投标管理办法》（建设部令第89号）；</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35.7《广东省加强建设工程招标投标监督管理的若干规定》（粤发[2004]4号）；</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35.8</w:t>
      </w:r>
      <w:r>
        <w:rPr>
          <w:rFonts w:hint="eastAsia" w:ascii="宋体" w:hAnsi="宋体"/>
          <w:b w:val="0"/>
          <w:bCs w:val="0"/>
          <w:color w:val="auto"/>
          <w:szCs w:val="21"/>
          <w:highlight w:val="none"/>
        </w:rPr>
        <w:t>《广州市工程建设项目招标投标管理办法》（穗府办规〔2017〕5号）</w:t>
      </w:r>
      <w:r>
        <w:rPr>
          <w:rFonts w:hint="eastAsia" w:ascii="宋体" w:hAnsi="宋体"/>
          <w:color w:val="auto"/>
          <w:szCs w:val="21"/>
          <w:highlight w:val="none"/>
        </w:rPr>
        <w:t>。</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35.9本项目招标文件。</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w:t>
      </w:r>
      <w:r>
        <w:rPr>
          <w:rFonts w:ascii="宋体" w:hAnsi="宋体"/>
          <w:b/>
          <w:bCs/>
          <w:color w:val="auto"/>
          <w:szCs w:val="21"/>
          <w:highlight w:val="none"/>
        </w:rPr>
        <w:t>6.</w:t>
      </w:r>
      <w:r>
        <w:rPr>
          <w:rFonts w:hint="eastAsia" w:ascii="宋体" w:hAnsi="宋体"/>
          <w:b/>
          <w:bCs/>
          <w:color w:val="auto"/>
          <w:szCs w:val="21"/>
          <w:highlight w:val="none"/>
        </w:rPr>
        <w:t>开标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36.2 招标人在招标文件要求提交投标文件的截止时间前收到的投标文件，开标时都当众予以解密、公布。</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36.4若递交投标文件的投标人不足3家，则重新组织招标。（当N个标段同时招标且不允许兼中时，若有效投标人不足N+2家，则重新组织招标）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36.5按下列程序进行开标：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36.5.1在投标截止时间后半小时内，投标人通过</w:t>
      </w:r>
      <w:r>
        <w:rPr>
          <w:rFonts w:ascii="宋体" w:hAnsi="宋体"/>
          <w:color w:val="auto"/>
          <w:szCs w:val="21"/>
          <w:highlight w:val="none"/>
          <w:u w:val="single"/>
        </w:rPr>
        <w:t xml:space="preserve">        </w:t>
      </w:r>
      <w:r>
        <w:rPr>
          <w:rFonts w:hint="eastAsia" w:ascii="宋体" w:hAnsi="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36.5.2备用光盘的读取按投标须知前附表第36项的规定执行；</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36.5.3投标人代表、招标人代表、监标人、记录人等有关人员在开标记录上签字确认；若有关人员不签字的，不影响开标程序；</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36.5.4开标结束。</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36.7开标时，两个（含两个）以上的投标人加密打包投标文件电脑机器特征码一致的，不参与下一程序，并由评标委员会否决其投标。</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37．评标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37.1评标委员会由招标人依法组建。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37.2评标委员会的职责及守则：</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37.2.1根据评标细则，对投标文件进行认真评审，完成评审报告；</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37.2.2向招标人报告评审意见，推荐合格的中标候选人。</w:t>
      </w:r>
    </w:p>
    <w:p>
      <w:pPr>
        <w:spacing w:line="276"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37.2.3</w:t>
      </w:r>
      <w:r>
        <w:rPr>
          <w:rFonts w:hint="eastAsia" w:ascii="宋体" w:hAnsi="宋体"/>
          <w:b/>
          <w:bCs/>
          <w:color w:val="auto"/>
          <w:szCs w:val="21"/>
          <w:highlight w:val="none"/>
        </w:rPr>
        <w:t xml:space="preserve"> </w:t>
      </w:r>
      <w:r>
        <w:rPr>
          <w:rFonts w:hint="eastAsia" w:ascii="宋体" w:hAnsi="宋体"/>
          <w:color w:val="auto"/>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37.2.4全体参与评标人员：</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37.2.4.1 必须遵守评标纪律、不得泄密；</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37.2.4.2 必须公正、不得循私；</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37.2.4.3 必须科学、不得草率；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37.2.4.4 必须客观、不得带有成见；</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37.2.4.5 必须平等、不得强加于人；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37.2.4.6 必须严谨、不得随意马虎。</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37.3评标结束后，评标委员会递交评标报告并依法推荐中标候选人。 </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38．投标文件的澄清</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38.3 评标委员会或评标委员会专业评审组成员均应当阅读投标人的澄清，但应独立参考澄清对投标文件进行评审。</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276"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39．定标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39.1 招标人根据评标委员会递交的评标报告，最终审定中标人。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39.2 依法必须进行公开招标的项目，招标人应当确定排名第一的中标候选人为中标人。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39.5 重新评标的，评标信息（含业绩、奖项等）仍以投标截止时投标人的信息为准。因特殊原因需要延长投标有效期，投标人拒绝延长投标有效期的，仍参与评标，但不被推荐为中标候选人。</w:t>
      </w:r>
      <w:bookmarkStart w:id="28" w:name="_Toc2272558"/>
      <w:bookmarkEnd w:id="28"/>
      <w:bookmarkStart w:id="29" w:name="_Toc105014633"/>
      <w:bookmarkStart w:id="30" w:name="_Toc21525502"/>
    </w:p>
    <w:p>
      <w:pPr>
        <w:spacing w:line="276" w:lineRule="auto"/>
        <w:ind w:firstLine="422" w:firstLineChars="200"/>
        <w:rPr>
          <w:rFonts w:ascii="宋体" w:hAnsi="宋体"/>
          <w:color w:val="auto"/>
          <w:szCs w:val="21"/>
          <w:highlight w:val="none"/>
        </w:rPr>
      </w:pPr>
      <w:r>
        <w:rPr>
          <w:rFonts w:hint="eastAsia" w:ascii="宋体" w:hAnsi="宋体"/>
          <w:b/>
          <w:bCs/>
          <w:color w:val="auto"/>
          <w:szCs w:val="21"/>
          <w:highlight w:val="none"/>
        </w:rPr>
        <w:t>（二）开标评标办法程序和细则</w:t>
      </w:r>
      <w:bookmarkEnd w:id="29"/>
      <w:bookmarkEnd w:id="30"/>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注：以下七种评标办法所述企业综合诚信评价分数即投标截止当日广州市工程招标代理行业协会网站上公布的企业综合诚信评价60日诚信分。</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可选办法六（适合综合评分法三，技术标与经济标同时开启）</w:t>
      </w:r>
    </w:p>
    <w:p>
      <w:pPr>
        <w:spacing w:line="276"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40．开标和评标程序</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40.1投标人递交技术标、经济标投标文件；</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40.2技术标与经济标投标文件同时公开开标；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40.3由评标委员会对所有已公开开标的投标人进行资格审查；</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40.4技术标投标文件有效性审查；</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40.5技术标详细审查评分；</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40.6计算第一阶段得分，并按照总分从高到低排列先后次序，编写第一阶段评审报告； </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40.7按投标须知前附表第25项规定，确定进入第二阶段评审的投标人；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40.8将进入第二阶段评审的投标人进行排序；</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40.9按排序对经济标投标文件进行有效性审查（含投标报价算术校核），直至评出所有中标候选人；</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40.10评标委员会编写评标报告，向招标人推荐中标候选人名单。</w:t>
      </w:r>
    </w:p>
    <w:p>
      <w:pPr>
        <w:spacing w:line="276"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41．开标细则</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41.1开标由招标人主持；</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41.2 细则</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41.2.1投标截止期前，各投标人递交投标文件（包括技术标投标文件、经济标投标文件）至</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交易平台。有关投标文件提交的事项详见第一章投标须知。 </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41.2.2开标时，投标人代表有权出席开标会，也可以自主决定不参加开标会，若投标人代表对开标过程提出异议，该投标人代表须同时出示本人身份证原件。</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41.3按36.5.1的规定完成解密后，公布下列内容，并予以记录，记录提交评标委员会评审：</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41.4招标人对开标过程进行记录，并存档备查，投标人在技术标开标记录上签字。</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41.5 招标人将上述符合要求的投标文件，送至评标委员会进行评审。</w:t>
      </w:r>
    </w:p>
    <w:p>
      <w:pPr>
        <w:spacing w:line="276"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42. 评标细则</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42.1评标委员会的组成：方式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方式一：评标委员会为综合评标委员会，负责评标工作。</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方式二：评标委员会由技术评审组和经济评审组组成。其中：资格审查及技术评审由技术评标组负责，经济评审由经济评审组负责。</w:t>
      </w:r>
    </w:p>
    <w:p>
      <w:pPr>
        <w:spacing w:line="276"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42.2投标人资格审查</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42.2.1</w:t>
      </w:r>
      <w:r>
        <w:rPr>
          <w:rFonts w:hint="eastAsia" w:ascii="宋体" w:hAnsi="宋体" w:cs="宋体"/>
          <w:bCs/>
          <w:color w:val="auto"/>
          <w:kern w:val="0"/>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42.2.2汇总资格审查情况，编写资格审查报告。</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42.2.3资格审查不合格的投标文件不参加下一阶段的评标，不参与评标参考价的计算。</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42.2.5资审合格后，投标人的资格发生变化而不满足投标人合格条件，在发出中标通知书前，资格问题仍未解决的，招标人将取消其中标资格。</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42.2.6资格审查合格的投标人少于3名的（当N个标段同时招标且不允许兼中时，资格审查合格的投标人少于N+2名），则本项目招标失败。</w:t>
      </w:r>
    </w:p>
    <w:p>
      <w:pPr>
        <w:spacing w:line="276"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42.3 第一阶段评审</w:t>
      </w:r>
    </w:p>
    <w:p>
      <w:pPr>
        <w:spacing w:line="276" w:lineRule="auto"/>
        <w:ind w:firstLine="420" w:firstLineChars="200"/>
        <w:rPr>
          <w:rFonts w:hint="eastAsia" w:ascii="宋体" w:hAnsi="宋体" w:cs="宋体"/>
          <w:bCs/>
          <w:color w:val="auto"/>
          <w:kern w:val="0"/>
          <w:szCs w:val="21"/>
          <w:highlight w:val="none"/>
        </w:rPr>
      </w:pPr>
      <w:r>
        <w:rPr>
          <w:rFonts w:hint="eastAsia" w:ascii="宋体" w:hAnsi="宋体"/>
          <w:color w:val="auto"/>
          <w:szCs w:val="21"/>
          <w:highlight w:val="none"/>
        </w:rPr>
        <w:t>42.3.1</w:t>
      </w:r>
      <w:r>
        <w:rPr>
          <w:rFonts w:hint="eastAsia" w:ascii="宋体" w:hAnsi="宋体" w:cs="宋体"/>
          <w:bCs/>
          <w:color w:val="auto"/>
          <w:kern w:val="0"/>
          <w:szCs w:val="21"/>
          <w:highlight w:val="none"/>
        </w:rPr>
        <w:t>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42.3.2     详细审查评分：评标委员会按照本办法附表    《      详细审查评分表》对通过技术标有效性审查的投标文件进行详细审查，评出     得分。</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42.3.</w:t>
      </w:r>
      <w:r>
        <w:rPr>
          <w:rFonts w:hint="eastAsia" w:ascii="宋体" w:hAnsi="宋体"/>
          <w:color w:val="auto"/>
          <w:szCs w:val="21"/>
          <w:highlight w:val="none"/>
          <w:lang w:val="en-US" w:eastAsia="zh-CN"/>
        </w:rPr>
        <w:t>4</w:t>
      </w:r>
      <w:r>
        <w:rPr>
          <w:rFonts w:hint="eastAsia" w:ascii="宋体" w:hAnsi="宋体"/>
          <w:color w:val="auto"/>
          <w:szCs w:val="21"/>
          <w:highlight w:val="none"/>
        </w:rPr>
        <w:t>评标委员会按照“第一阶段得分=</w:t>
      </w:r>
      <w:r>
        <w:rPr>
          <w:rFonts w:hint="eastAsia" w:ascii="宋体" w:hAnsi="宋体"/>
          <w:color w:val="auto"/>
          <w:szCs w:val="21"/>
          <w:highlight w:val="none"/>
          <w:u w:val="single"/>
        </w:rPr>
        <w:t xml:space="preserve">               </w:t>
      </w:r>
      <w:r>
        <w:rPr>
          <w:rFonts w:hint="eastAsia" w:ascii="宋体" w:hAnsi="宋体"/>
          <w:color w:val="auto"/>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42.3.</w:t>
      </w:r>
      <w:r>
        <w:rPr>
          <w:rFonts w:hint="eastAsia" w:ascii="宋体" w:hAnsi="宋体"/>
          <w:color w:val="auto"/>
          <w:szCs w:val="21"/>
          <w:highlight w:val="none"/>
          <w:lang w:val="en-US" w:eastAsia="zh-CN"/>
        </w:rPr>
        <w:t>5</w:t>
      </w:r>
      <w:r>
        <w:rPr>
          <w:rFonts w:hint="eastAsia" w:ascii="宋体" w:hAnsi="宋体"/>
          <w:color w:val="auto"/>
          <w:szCs w:val="21"/>
          <w:highlight w:val="none"/>
        </w:rPr>
        <w:t>招标人应在《投标须知前附表》中明确选择使用施工企业总排名或相应的施工专业承包排名计分。</w:t>
      </w:r>
    </w:p>
    <w:p>
      <w:pPr>
        <w:spacing w:line="276" w:lineRule="auto"/>
        <w:ind w:firstLine="422" w:firstLineChars="200"/>
        <w:rPr>
          <w:rFonts w:ascii="宋体" w:hAnsi="宋体"/>
          <w:b/>
          <w:bCs/>
          <w:color w:val="auto"/>
          <w:szCs w:val="21"/>
          <w:highlight w:val="none"/>
        </w:rPr>
      </w:pPr>
      <w:r>
        <w:rPr>
          <w:rFonts w:hint="eastAsia" w:ascii="宋体" w:hAnsi="宋体"/>
          <w:b/>
          <w:bCs/>
          <w:color w:val="auto"/>
          <w:szCs w:val="21"/>
          <w:highlight w:val="none"/>
        </w:rPr>
        <w:t>42.4 第二阶段评审</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42.4.1按照投标须知前附表第25项规定，确定进入第二阶段评审的投标人。若在进入第二阶段的最后名次发生并列的，则所有并列的投标人均进入第二阶段。</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42.4.2若进入第二阶段投标人中所有投标报价均大于等于最高投标限价*D%（D的取值范围为[94,100],由招标人自主确定）的（具体金额为：</w:t>
      </w:r>
      <w:r>
        <w:rPr>
          <w:rFonts w:hint="eastAsia" w:ascii="宋体" w:hAnsi="宋体"/>
          <w:color w:val="auto"/>
          <w:szCs w:val="21"/>
          <w:highlight w:val="none"/>
          <w:u w:val="single"/>
        </w:rPr>
        <w:t xml:space="preserve">      </w:t>
      </w:r>
      <w:r>
        <w:rPr>
          <w:rFonts w:hint="eastAsia" w:ascii="宋体" w:hAnsi="宋体"/>
          <w:color w:val="auto"/>
          <w:szCs w:val="21"/>
          <w:highlight w:val="none"/>
        </w:rPr>
        <w:t>元），则本项目招标失败，由招标人依法重新招标。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42.4.3投标文件经济标的评分</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42.4.3.1按方法</w:t>
      </w:r>
      <w:r>
        <w:rPr>
          <w:rFonts w:hint="eastAsia" w:ascii="宋体" w:hAnsi="宋体"/>
          <w:color w:val="auto"/>
          <w:szCs w:val="21"/>
          <w:highlight w:val="none"/>
          <w:u w:val="single"/>
        </w:rPr>
        <w:t xml:space="preserve">    </w:t>
      </w:r>
      <w:r>
        <w:rPr>
          <w:rFonts w:hint="eastAsia" w:ascii="宋体" w:hAnsi="宋体"/>
          <w:color w:val="auto"/>
          <w:szCs w:val="21"/>
          <w:highlight w:val="none"/>
        </w:rPr>
        <w:t>计算评标参考价：</w:t>
      </w:r>
    </w:p>
    <w:p>
      <w:pPr>
        <w:spacing w:line="276" w:lineRule="auto"/>
        <w:ind w:firstLine="422" w:firstLineChars="200"/>
        <w:rPr>
          <w:rFonts w:ascii="宋体" w:hAnsi="宋体"/>
          <w:color w:val="auto"/>
          <w:szCs w:val="21"/>
          <w:highlight w:val="none"/>
        </w:rPr>
      </w:pPr>
      <w:r>
        <w:rPr>
          <w:rFonts w:hint="eastAsia" w:ascii="宋体" w:hAnsi="宋体" w:cs="仿宋"/>
          <w:b/>
          <w:bCs/>
          <w:color w:val="auto"/>
          <w:kern w:val="0"/>
          <w:szCs w:val="21"/>
          <w:highlight w:val="none"/>
        </w:rPr>
        <w:t>方法一：加权平均法</w:t>
      </w:r>
    </w:p>
    <w:p>
      <w:pPr>
        <w:spacing w:line="276" w:lineRule="auto"/>
        <w:ind w:firstLine="420" w:firstLineChars="200"/>
        <w:rPr>
          <w:rFonts w:ascii="宋体" w:hAnsi="宋体"/>
          <w:color w:val="auto"/>
          <w:szCs w:val="21"/>
          <w:highlight w:val="none"/>
        </w:rPr>
      </w:pPr>
      <w:r>
        <w:rPr>
          <w:rFonts w:hint="eastAsia" w:ascii="宋体" w:hAnsi="宋体" w:cs="仿宋"/>
          <w:color w:val="auto"/>
          <w:szCs w:val="21"/>
          <w:highlight w:val="none"/>
        </w:rPr>
        <w:t>技术标或技术标加诚信得分或第一阶段入围得分（具体由招标人自定）前</w:t>
      </w:r>
      <w:r>
        <w:rPr>
          <w:rFonts w:ascii="宋体" w:hAnsi="宋体" w:cs="仿宋"/>
          <w:color w:val="auto"/>
          <w:szCs w:val="21"/>
          <w:highlight w:val="none"/>
        </w:rPr>
        <w:t>N</w:t>
      </w:r>
      <w:r>
        <w:rPr>
          <w:rFonts w:hint="eastAsia" w:ascii="宋体" w:hAnsi="宋体" w:cs="仿宋"/>
          <w:color w:val="auto"/>
          <w:szCs w:val="21"/>
          <w:highlight w:val="none"/>
        </w:rPr>
        <w:t>名（N≥5，具体由招标人自定）的经济报价加权平均，计算评标参考价。公式如下：</w:t>
      </w:r>
    </w:p>
    <w:p>
      <w:pPr>
        <w:spacing w:line="276" w:lineRule="auto"/>
        <w:ind w:firstLine="420" w:firstLineChars="200"/>
        <w:rPr>
          <w:rFonts w:ascii="宋体" w:hAnsi="宋体"/>
          <w:color w:val="auto"/>
          <w:szCs w:val="21"/>
          <w:highlight w:val="none"/>
        </w:rPr>
      </w:pPr>
      <w:r>
        <w:rPr>
          <w:rFonts w:hint="eastAsia" w:ascii="宋体" w:hAnsi="宋体" w:cs="仿宋"/>
          <w:color w:val="auto"/>
          <w:szCs w:val="21"/>
          <w:highlight w:val="none"/>
        </w:rPr>
        <w:t>评标参考价</w:t>
      </w:r>
      <w:r>
        <w:rPr>
          <w:rFonts w:ascii="宋体" w:hAnsi="宋体" w:cs="仿宋"/>
          <w:color w:val="auto"/>
          <w:szCs w:val="21"/>
          <w:highlight w:val="none"/>
        </w:rPr>
        <w:t>=</w:t>
      </w:r>
      <w:r>
        <w:rPr>
          <w:rFonts w:hint="eastAsia" w:ascii="宋体" w:hAnsi="宋体" w:cs="仿宋"/>
          <w:color w:val="auto"/>
          <w:szCs w:val="21"/>
          <w:highlight w:val="none"/>
        </w:rPr>
        <w:t>Σ（投标人的投标报价</w:t>
      </w:r>
      <w:r>
        <w:rPr>
          <w:rFonts w:ascii="宋体" w:hAnsi="宋体" w:cs="仿宋"/>
          <w:color w:val="auto"/>
          <w:szCs w:val="21"/>
          <w:highlight w:val="none"/>
        </w:rPr>
        <w:t>*</w:t>
      </w:r>
      <w:r>
        <w:rPr>
          <w:rFonts w:hint="eastAsia" w:ascii="宋体" w:hAnsi="宋体" w:cs="仿宋"/>
          <w:color w:val="auto"/>
          <w:szCs w:val="21"/>
          <w:highlight w:val="none"/>
        </w:rPr>
        <w:t>报价权重）。</w:t>
      </w:r>
    </w:p>
    <w:p>
      <w:pPr>
        <w:spacing w:line="276" w:lineRule="auto"/>
        <w:ind w:firstLine="420" w:firstLineChars="200"/>
        <w:rPr>
          <w:rFonts w:ascii="宋体" w:hAnsi="宋体"/>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名投标人按技术分由高至低进行排序，第一名投标人的权重为（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szCs w:val="21"/>
          <w:highlight w:val="none"/>
        </w:rPr>
        <w:drawing>
          <wp:inline distT="0" distB="0" distL="114300" distR="114300">
            <wp:extent cx="380365" cy="446405"/>
            <wp:effectExtent l="0" t="0" r="635" b="1079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80365" cy="446405"/>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szCs w:val="21"/>
          <w:highlight w:val="none"/>
        </w:rPr>
        <w:drawing>
          <wp:inline distT="0" distB="0" distL="114300" distR="114300">
            <wp:extent cx="380365" cy="446405"/>
            <wp:effectExtent l="0" t="0" r="635" b="1079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80365" cy="446405"/>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1945" cy="402590"/>
            <wp:effectExtent l="0" t="0" r="1905" b="1651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1945" cy="402590"/>
            <wp:effectExtent l="0" t="0" r="1905" b="1651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1945" cy="402590"/>
            <wp:effectExtent l="0" t="0" r="1905" b="16510"/>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1945" cy="402590"/>
            <wp:effectExtent l="0" t="0" r="1905" b="16510"/>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21945" cy="40259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spacing w:line="276" w:lineRule="auto"/>
        <w:ind w:firstLine="422" w:firstLineChars="200"/>
        <w:rPr>
          <w:rFonts w:ascii="宋体" w:hAnsi="宋体"/>
          <w:color w:val="auto"/>
          <w:szCs w:val="21"/>
          <w:highlight w:val="none"/>
        </w:rPr>
      </w:pPr>
      <w:r>
        <w:rPr>
          <w:rFonts w:hint="eastAsia" w:ascii="宋体" w:hAnsi="宋体" w:cs="仿宋"/>
          <w:b/>
          <w:bCs/>
          <w:color w:val="auto"/>
          <w:kern w:val="0"/>
          <w:szCs w:val="21"/>
          <w:highlight w:val="none"/>
        </w:rPr>
        <w:t>方法二：区间抽取法</w:t>
      </w:r>
    </w:p>
    <w:p>
      <w:pPr>
        <w:spacing w:line="276" w:lineRule="auto"/>
        <w:ind w:firstLine="420" w:firstLineChars="200"/>
        <w:rPr>
          <w:rFonts w:ascii="宋体" w:hAnsi="宋体"/>
          <w:color w:val="auto"/>
          <w:szCs w:val="21"/>
          <w:highlight w:val="none"/>
        </w:rPr>
      </w:pPr>
      <w:r>
        <w:rPr>
          <w:rFonts w:hint="eastAsia" w:ascii="宋体" w:hAnsi="宋体" w:cs="仿宋"/>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276" w:lineRule="auto"/>
        <w:ind w:firstLine="420" w:firstLineChars="200"/>
        <w:rPr>
          <w:rFonts w:ascii="宋体" w:hAnsi="宋体"/>
          <w:color w:val="auto"/>
          <w:szCs w:val="21"/>
          <w:highlight w:val="none"/>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spacing w:line="276" w:lineRule="auto"/>
        <w:ind w:firstLine="420" w:firstLineChars="200"/>
        <w:rPr>
          <w:rFonts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：为达到或超过技术标及格分数线的投标人最低报价与工程成本警示价两者中的较高值；</w:t>
      </w:r>
    </w:p>
    <w:p>
      <w:pPr>
        <w:spacing w:line="276" w:lineRule="auto"/>
        <w:ind w:firstLine="420" w:firstLineChars="200"/>
        <w:rPr>
          <w:rFonts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：为（最高投标限价*D%）（D的取值范围为[94,100],由招标人自定）</w:t>
      </w:r>
    </w:p>
    <w:p>
      <w:pPr>
        <w:spacing w:line="276" w:lineRule="auto"/>
        <w:ind w:firstLine="420" w:firstLineChars="200"/>
        <w:rPr>
          <w:rFonts w:ascii="宋体" w:hAnsi="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为等分点值，在开标前从[0,100]整数中随机抽取。</w:t>
      </w:r>
    </w:p>
    <w:p>
      <w:pPr>
        <w:spacing w:line="276" w:lineRule="auto"/>
        <w:ind w:firstLine="420" w:firstLineChars="200"/>
        <w:rPr>
          <w:rFonts w:ascii="宋体" w:hAnsi="宋体"/>
          <w:color w:val="auto"/>
          <w:szCs w:val="21"/>
          <w:highlight w:val="none"/>
        </w:rPr>
      </w:pPr>
      <w:r>
        <w:rPr>
          <w:rFonts w:hint="eastAsia" w:ascii="宋体" w:hAnsi="宋体"/>
          <w:color w:val="auto"/>
          <w:kern w:val="0"/>
          <w:szCs w:val="21"/>
          <w:highlight w:val="none"/>
        </w:rPr>
        <w:t>42.4.3.2</w:t>
      </w:r>
      <w:r>
        <w:rPr>
          <w:rFonts w:hint="eastAsia" w:ascii="宋体" w:hAnsi="宋体"/>
          <w:color w:val="auto"/>
          <w:szCs w:val="21"/>
          <w:highlight w:val="none"/>
        </w:rPr>
        <w:t>当标价等于评标参考价时得</w:t>
      </w:r>
      <w:r>
        <w:rPr>
          <w:rFonts w:ascii="宋体" w:hAnsi="宋体"/>
          <w:color w:val="auto"/>
          <w:szCs w:val="21"/>
          <w:highlight w:val="none"/>
        </w:rPr>
        <w:t>100</w:t>
      </w:r>
      <w:r>
        <w:rPr>
          <w:rFonts w:hint="eastAsia" w:ascii="宋体" w:hAnsi="宋体"/>
          <w:color w:val="auto"/>
          <w:szCs w:val="21"/>
          <w:highlight w:val="none"/>
        </w:rPr>
        <w:t>分，标价每高于评标参考价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1.5</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42.4.3.3评标委员会按投标须知前附表第32项的规定确定排序。</w:t>
      </w:r>
    </w:p>
    <w:p>
      <w:pPr>
        <w:spacing w:line="276" w:lineRule="auto"/>
        <w:ind w:firstLine="420" w:firstLineChars="200"/>
        <w:rPr>
          <w:rFonts w:ascii="宋体" w:hAnsi="宋体"/>
          <w:color w:val="auto"/>
          <w:szCs w:val="21"/>
          <w:highlight w:val="none"/>
        </w:rPr>
      </w:pPr>
      <w:r>
        <w:rPr>
          <w:rFonts w:hint="eastAsia" w:ascii="宋体" w:hAnsi="宋体"/>
          <w:bCs/>
          <w:color w:val="auto"/>
          <w:szCs w:val="21"/>
          <w:highlight w:val="none"/>
        </w:rPr>
        <w:t xml:space="preserve">42.4.4 </w:t>
      </w:r>
      <w:r>
        <w:rPr>
          <w:rFonts w:hint="eastAsia" w:ascii="宋体" w:hAnsi="宋体"/>
          <w:color w:val="auto"/>
          <w:szCs w:val="21"/>
          <w:highlight w:val="none"/>
        </w:rPr>
        <w:t>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42.4.5经济标的算术校核。评标委员会对进行经济标有效性审查的投标文件投标报价按照就低不就高的原则进行算术校核，具体标准如下：</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42.4.5.1如果数字表示的金额和用文字表示的金额不一致时，应以文字表示的金额为准；</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42.4.5.2经算术复核的投标人报价与其投标报价不一致时，按就低不就高原则确定其最终报价；</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42.4.5.4当合价、金额累加错误时，按就低不就高原则，如果累加修正值小于原累加值，则按累加修正值；如果累加修正值大于原累加值，则按原累加值；</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42.4.5.5如果投标人的有关规费、暂列金额、暂估价、绿色施工安全防护措施费等未按招标文件规定的金额填写的，由评标委员会按照招标文件规定的金额进行修正；</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42.4.5.6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42.4.5.7按就低不就高原则，当修正后报价小于原报价，总价按修正后报价；当修正后报价大于原报价，总价按原报价，并在签订合同时载明在结算价中扣除修正报价与原报价的差额。</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42.4.5.8按上述修正错误的原则及方法调整或修正投标文件的投标报价，调整后的投标报价对投标人起约束作用。如果投标人不接受修正后的报价，则取消其投标资格，并且其投标保证金也将不予退还。</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276" w:lineRule="auto"/>
        <w:ind w:firstLine="420" w:firstLineChars="200"/>
        <w:rPr>
          <w:rFonts w:hint="eastAsia" w:ascii="宋体" w:hAnsi="宋体"/>
          <w:color w:val="auto"/>
          <w:szCs w:val="21"/>
          <w:highlight w:val="none"/>
        </w:rPr>
      </w:pPr>
      <w:r>
        <w:rPr>
          <w:rFonts w:hint="eastAsia" w:ascii="宋体" w:hAnsi="宋体"/>
          <w:color w:val="auto"/>
          <w:szCs w:val="21"/>
          <w:highlight w:val="none"/>
        </w:rPr>
        <w:t>42.6评标委员会应在通过投标文件经济标有效性审查的投标人中，按步骤42.4确定的投标人第二阶段排序，推荐前3名依次为第一中标候选人至第三中标候选人,并编制评标报告。</w:t>
      </w:r>
    </w:p>
    <w:p>
      <w:pPr>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42.7若通过经济标有效性审查的投标人不足三家，应当依法重新招标。（当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N+2</w:t>
      </w:r>
      <w:r>
        <w:rPr>
          <w:rFonts w:hint="eastAsia" w:ascii="宋体" w:hAnsi="宋体"/>
          <w:color w:val="auto"/>
          <w:szCs w:val="21"/>
          <w:highlight w:val="none"/>
        </w:rPr>
        <w:t>家，应当依法重新招标）</w:t>
      </w:r>
    </w:p>
    <w:bookmarkEnd w:id="23"/>
    <w:p>
      <w:pPr>
        <w:widowControl/>
        <w:jc w:val="left"/>
        <w:rPr>
          <w:rFonts w:hint="eastAsia" w:ascii="宋体" w:hAnsi="宋体" w:cs="宋体"/>
          <w:b/>
          <w:color w:val="auto"/>
          <w:sz w:val="24"/>
          <w:szCs w:val="24"/>
          <w:highlight w:val="none"/>
        </w:rPr>
      </w:pPr>
    </w:p>
    <w:p>
      <w:pPr>
        <w:widowControl/>
        <w:snapToGrid w:val="0"/>
        <w:spacing w:line="360" w:lineRule="auto"/>
        <w:ind w:right="102"/>
        <w:jc w:val="left"/>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附表一：</w:t>
      </w: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资格审查表</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20"/>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17"/>
        <w:gridCol w:w="3990"/>
        <w:gridCol w:w="422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blHeader/>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审查项目</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6"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营业执照</w:t>
            </w:r>
            <w:r>
              <w:rPr>
                <w:rFonts w:hint="eastAsia" w:ascii="宋体" w:hAnsi="宋体" w:cs="宋体"/>
                <w:color w:val="auto"/>
                <w:szCs w:val="21"/>
                <w:highlight w:val="none"/>
                <w:u w:val="single"/>
              </w:rPr>
              <w:t>的原件扫描件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投标人均持有</w:t>
            </w:r>
            <w:r>
              <w:rPr>
                <w:rFonts w:hint="eastAsia" w:ascii="宋体" w:hAnsi="宋体" w:cs="宋体"/>
                <w:color w:val="auto"/>
                <w:szCs w:val="21"/>
                <w:highlight w:val="none"/>
                <w:u w:val="single"/>
              </w:rPr>
              <w:t>相关</w:t>
            </w:r>
            <w:r>
              <w:rPr>
                <w:rFonts w:hint="eastAsia" w:ascii="宋体" w:hAnsi="宋体" w:cs="宋体"/>
                <w:color w:val="auto"/>
                <w:szCs w:val="21"/>
                <w:highlight w:val="none"/>
              </w:rPr>
              <w:t>行政主管部门颁发的</w:t>
            </w:r>
            <w:r>
              <w:rPr>
                <w:rFonts w:hint="eastAsia" w:ascii="宋体" w:hAnsi="宋体" w:cs="宋体"/>
                <w:b/>
                <w:bCs/>
                <w:color w:val="auto"/>
                <w:szCs w:val="21"/>
                <w:highlight w:val="none"/>
              </w:rPr>
              <w:t>有效期内的</w:t>
            </w:r>
            <w:r>
              <w:rPr>
                <w:rFonts w:hint="eastAsia" w:ascii="宋体" w:hAnsi="宋体" w:cs="宋体"/>
                <w:color w:val="auto"/>
                <w:szCs w:val="21"/>
                <w:highlight w:val="none"/>
              </w:rPr>
              <w:t>企业资质证书及安全生产许可证；投标人资质符合公告要求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highlight w:val="none"/>
              </w:rPr>
            </w:pPr>
            <w:r>
              <w:rPr>
                <w:rFonts w:hint="eastAsia"/>
                <w:color w:val="auto"/>
                <w:highlight w:val="none"/>
              </w:rPr>
              <w:t>资质证书及安全生产许可证</w:t>
            </w:r>
            <w:r>
              <w:rPr>
                <w:rFonts w:hint="eastAsia"/>
                <w:color w:val="auto"/>
                <w:highlight w:val="none"/>
                <w:u w:val="single"/>
              </w:rPr>
              <w:t>的原件扫描件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使用有效期内的注册建造师注册证书</w:t>
            </w:r>
          </w:p>
          <w:p>
            <w:pPr>
              <w:jc w:val="left"/>
              <w:rPr>
                <w:rFonts w:hint="eastAsia" w:ascii="宋体" w:hAnsi="宋体" w:cs="宋体"/>
                <w:color w:val="auto"/>
                <w:szCs w:val="21"/>
                <w:highlight w:val="none"/>
              </w:rPr>
            </w:pPr>
            <w:r>
              <w:rPr>
                <w:rFonts w:hint="eastAsia" w:ascii="宋体" w:hAnsi="宋体" w:cs="宋体"/>
                <w:color w:val="auto"/>
                <w:szCs w:val="21"/>
                <w:highlight w:val="none"/>
              </w:rPr>
              <w:t>（注：打印建造师电子证书后，在个人签名处手写本人签名。）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持有项目负责人安全生产考核合格证（B类）或建筑施工企业项目负责人安全生产考核合格证</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w:t>
            </w:r>
            <w:r>
              <w:rPr>
                <w:rFonts w:hint="eastAsia" w:ascii="宋体" w:hAnsi="宋体"/>
                <w:color w:val="auto"/>
                <w:szCs w:val="21"/>
                <w:highlight w:val="none"/>
                <w:u w:val="single"/>
              </w:rPr>
              <w:t>的原件扫描件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拟委托技术负责人的</w:t>
            </w:r>
            <w:r>
              <w:rPr>
                <w:rFonts w:hint="eastAsia" w:ascii="宋体" w:hAnsi="宋体" w:cs="宋体"/>
                <w:color w:val="auto"/>
                <w:szCs w:val="21"/>
                <w:highlight w:val="none"/>
                <w:u w:val="single"/>
              </w:rPr>
              <w:t>职称证书扫描件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专职安全员须具有在有效期内的安全生产考核合格证书（C类）或建筑施工企业专职安全生产管理人员安全生产考核合格证书（C3类）</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专职安全员的安全生产考核合格证（C证）或建筑施工企业专职安全生产管理人员安全生产考核合格证（C3）的</w:t>
            </w:r>
            <w:r>
              <w:rPr>
                <w:rFonts w:hint="eastAsia" w:ascii="宋体" w:hAnsi="宋体" w:cs="宋体"/>
                <w:color w:val="auto"/>
                <w:szCs w:val="21"/>
                <w:highlight w:val="none"/>
                <w:u w:val="single"/>
              </w:rPr>
              <w:t>原件扫描件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投标人完成过的类似工程业绩符合公告要求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Cs w:val="21"/>
                <w:highlight w:val="none"/>
                <w:u w:val="single"/>
              </w:rPr>
            </w:pPr>
            <w:r>
              <w:rPr>
                <w:rFonts w:hint="eastAsia" w:ascii="宋体" w:hAnsi="宋体" w:cs="宋体"/>
                <w:color w:val="auto"/>
                <w:szCs w:val="21"/>
                <w:highlight w:val="none"/>
                <w:u w:val="single"/>
              </w:rPr>
              <w:t>按公告要求提供证明材料扫描件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86"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86"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pacing w:val="-2"/>
                <w:szCs w:val="21"/>
                <w:highlight w:val="none"/>
              </w:rPr>
              <w:t>投标人声明中签字的项目负责人和技术负责人与本项目拟派的项目负责人和技术负责人一致</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关于联合体投标：</w:t>
            </w:r>
            <w:r>
              <w:rPr>
                <w:rFonts w:hint="eastAsia" w:ascii="宋体" w:hAnsi="宋体" w:cs="宋体"/>
                <w:color w:val="auto"/>
                <w:spacing w:val="-2"/>
                <w:szCs w:val="21"/>
                <w:highlight w:val="none"/>
                <w:u w:val="single"/>
              </w:rPr>
              <w:t>本项目不接受联合体投标</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cs="宋体"/>
                <w:color w:val="auto"/>
                <w:szCs w:val="21"/>
                <w:highlight w:val="none"/>
              </w:rPr>
            </w:pPr>
            <w:r>
              <w:rPr>
                <w:rFonts w:hint="eastAsia" w:ascii="宋体" w:hAnsi="宋体"/>
                <w:color w:val="auto"/>
                <w:highlight w:val="none"/>
              </w:rPr>
              <w:t>资格审查前，</w:t>
            </w:r>
            <w:r>
              <w:rPr>
                <w:rFonts w:hint="eastAsia" w:ascii="宋体" w:hAnsi="宋体"/>
                <w:color w:val="auto"/>
                <w:highlight w:val="none"/>
                <w:u w:val="single"/>
              </w:rPr>
              <w:t>投标人已在广州交易集团有限公司（广州公共资源交易中心）企业库办理企业信息登记，拟担任本工程项目负责人、专职安全员是本企业在广州交易集团有限公司（广州公共资源交易中心）企业信息登记中的在册人员</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cs="宋体"/>
                <w:color w:val="auto"/>
                <w:szCs w:val="21"/>
                <w:highlight w:val="none"/>
              </w:rPr>
            </w:pPr>
            <w:r>
              <w:rPr>
                <w:rFonts w:hint="eastAsia" w:ascii="宋体" w:hAnsi="宋体"/>
                <w:color w:val="auto"/>
                <w:highlight w:val="none"/>
              </w:rPr>
              <w:t>投标人在</w:t>
            </w:r>
            <w:r>
              <w:rPr>
                <w:rFonts w:hint="eastAsia" w:ascii="宋体" w:hAnsi="宋体"/>
                <w:color w:val="auto"/>
                <w:highlight w:val="none"/>
                <w:u w:val="single"/>
              </w:rPr>
              <w:t>广州交易集团有限公司（广州公共资源交易中心）企业库内登记</w:t>
            </w:r>
            <w:r>
              <w:rPr>
                <w:rFonts w:hint="eastAsia" w:ascii="宋体" w:hAnsi="宋体"/>
                <w:color w:val="auto"/>
                <w:highlight w:val="none"/>
              </w:rPr>
              <w:t>的企业和人员信息</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u w:val="singl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highlight w:val="none"/>
                <w:u w:val="single"/>
              </w:rPr>
            </w:pPr>
            <w:r>
              <w:rPr>
                <w:rFonts w:hint="eastAsia" w:ascii="宋体" w:hAnsi="宋体"/>
                <w:color w:val="auto"/>
                <w:szCs w:val="21"/>
                <w:highlight w:val="none"/>
                <w:u w:val="single"/>
              </w:rPr>
              <w:t>未被列入拖欠农民工工资失信联合惩戒对象名单</w:t>
            </w:r>
          </w:p>
        </w:tc>
        <w:tc>
          <w:tcPr>
            <w:tcW w:w="422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highlight w:val="none"/>
              </w:rPr>
            </w:pPr>
            <w:r>
              <w:rPr>
                <w:rFonts w:hint="eastAsia" w:ascii="宋体" w:hAnsi="宋体" w:cs="宋体"/>
                <w:bCs/>
                <w:color w:val="auto"/>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88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评审结论</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备注：</w:t>
      </w:r>
    </w:p>
    <w:p>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 xml:space="preserve">1、每一项目符合的打“○”，不符合的打“×”； </w:t>
      </w:r>
    </w:p>
    <w:p>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pPr>
        <w:ind w:firstLine="470" w:firstLineChars="224"/>
        <w:rPr>
          <w:rFonts w:hint="eastAsia" w:ascii="宋体" w:hAnsi="宋体" w:cs="宋体"/>
          <w:color w:val="auto"/>
          <w:szCs w:val="21"/>
          <w:highlight w:val="none"/>
          <w:u w:val="single"/>
        </w:rPr>
      </w:pPr>
      <w:r>
        <w:rPr>
          <w:rFonts w:hint="eastAsia" w:ascii="宋体" w:hAnsi="宋体" w:cs="宋体"/>
          <w:color w:val="auto"/>
          <w:szCs w:val="21"/>
          <w:highlight w:val="none"/>
          <w:u w:val="singl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pStyle w:val="12"/>
        <w:rPr>
          <w:rFonts w:hint="eastAsia" w:hAnsi="宋体"/>
          <w:color w:val="auto"/>
          <w:highlight w:val="none"/>
        </w:rPr>
      </w:pPr>
    </w:p>
    <w:p>
      <w:pPr>
        <w:rPr>
          <w:rFonts w:hint="eastAsia" w:ascii="宋体" w:hAnsi="宋体" w:cs="宋体"/>
          <w:color w:val="auto"/>
          <w:highlight w:val="none"/>
        </w:rPr>
        <w:sectPr>
          <w:footerReference r:id="rId9" w:type="default"/>
          <w:endnotePr>
            <w:numFmt w:val="decimal"/>
          </w:endnotePr>
          <w:pgSz w:w="11906" w:h="16838"/>
          <w:pgMar w:top="1134" w:right="1304" w:bottom="1134" w:left="1304" w:header="851" w:footer="567" w:gutter="0"/>
          <w:pgNumType w:start="1"/>
          <w:cols w:space="720" w:num="1"/>
          <w:docGrid w:type="lines" w:linePitch="312" w:charSpace="0"/>
        </w:sectPr>
      </w:pPr>
    </w:p>
    <w:p>
      <w:pPr>
        <w:rPr>
          <w:rFonts w:hint="eastAsia" w:ascii="宋体" w:hAnsi="宋体" w:cs="宋体"/>
          <w:color w:val="auto"/>
          <w:szCs w:val="21"/>
          <w:highlight w:val="none"/>
        </w:rPr>
      </w:pPr>
      <w:r>
        <w:rPr>
          <w:rFonts w:hint="eastAsia" w:ascii="宋体" w:hAnsi="宋体" w:cs="宋体"/>
          <w:color w:val="auto"/>
          <w:szCs w:val="21"/>
          <w:highlight w:val="none"/>
        </w:rPr>
        <w:t>附表二</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0"/>
        <w:tblW w:w="14738"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05"/>
        <w:gridCol w:w="9165"/>
        <w:gridCol w:w="1245"/>
        <w:gridCol w:w="1170"/>
        <w:gridCol w:w="127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165"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adjustRightInd w:val="0"/>
              <w:jc w:val="right"/>
              <w:rPr>
                <w:rFonts w:hint="eastAsia" w:ascii="宋体" w:hAnsi="宋体" w:cs="宋体"/>
                <w:color w:val="auto"/>
                <w:szCs w:val="21"/>
                <w:highlight w:val="none"/>
              </w:rPr>
            </w:pPr>
            <w:r>
              <w:rPr>
                <w:rFonts w:hint="eastAsia" w:ascii="宋体" w:hAnsi="宋体" w:cs="宋体"/>
                <w:color w:val="auto"/>
                <w:szCs w:val="21"/>
                <w:highlight w:val="none"/>
              </w:rPr>
              <w:t>投标人</w:t>
            </w:r>
          </w:p>
          <w:p>
            <w:pPr>
              <w:adjustRightInd w:val="0"/>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16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《广州建设工程施工招标投标书》中的投标总工期</w:t>
            </w:r>
            <w:r>
              <w:rPr>
                <w:rFonts w:hint="eastAsia" w:ascii="宋体" w:hAnsi="宋体" w:cs="宋体"/>
                <w:color w:val="auto"/>
                <w:szCs w:val="21"/>
                <w:highlight w:val="none"/>
              </w:rPr>
              <w:t>不能满足完成投标项目工期的；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16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《广州建设工程施工招标投标书》中的工程质量标准不符合招标文件要求的；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16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w:t>
            </w:r>
            <w:r>
              <w:rPr>
                <w:rFonts w:hint="eastAsia" w:ascii="宋体" w:hAnsi="宋体" w:cs="宋体"/>
                <w:color w:val="auto"/>
                <w:szCs w:val="21"/>
                <w:highlight w:val="none"/>
                <w:u w:val="single"/>
              </w:rPr>
              <w:t>或盖章</w:t>
            </w:r>
            <w:r>
              <w:rPr>
                <w:rFonts w:hint="eastAsia" w:ascii="宋体" w:hAnsi="宋体" w:cs="宋体"/>
                <w:color w:val="auto"/>
                <w:szCs w:val="21"/>
                <w:highlight w:val="none"/>
              </w:rPr>
              <w:t>的投标文件中没有法定代表人授权书；</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916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（除带“★”号的必须按招标文件规定的格式进行编制外，其余格式仅供参考不作为投标文件有效性审查的条件）</w:t>
            </w:r>
            <w:r>
              <w:rPr>
                <w:rFonts w:hint="eastAsia" w:ascii="宋体" w:hAnsi="宋体" w:cs="宋体"/>
                <w:color w:val="auto"/>
                <w:szCs w:val="21"/>
                <w:highlight w:val="none"/>
              </w:rPr>
              <w:t>，或主要内容不全，或关键字迹模糊、无法辨认的；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16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916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rPr>
              <w:t>无《参与编制技术标投标文件人员名单》的；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shd w:val="pct10" w:color="auto" w:fill="FFFFFF"/>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shd w:val="pct10" w:color="auto" w:fill="FFFFFF"/>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16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投标人未按要求提交投标保证金的；</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shd w:val="pct10" w:color="auto" w:fill="FFFFFF"/>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shd w:val="pct10" w:color="auto" w:fill="FFFFFF"/>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shd w:val="pct10" w:color="auto" w:fill="FFFFFF"/>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9165"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投标人与</w:t>
            </w:r>
            <w:r>
              <w:rPr>
                <w:rFonts w:hint="eastAsia" w:ascii="宋体" w:hAnsi="宋体"/>
                <w:color w:val="auto"/>
                <w:highlight w:val="none"/>
                <w:u w:val="single"/>
              </w:rPr>
              <w:t>本项目</w:t>
            </w:r>
            <w:r>
              <w:rPr>
                <w:rFonts w:hint="eastAsia" w:ascii="宋体" w:hAnsi="宋体" w:cs="宋体"/>
                <w:color w:val="auto"/>
                <w:szCs w:val="21"/>
                <w:highlight w:val="none"/>
              </w:rPr>
              <w:t>其他投标人加密打包投标文件电脑机器特征码一致的（以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98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r>
              <w:rPr>
                <w:rFonts w:hint="eastAsia" w:ascii="宋体" w:hAnsi="宋体" w:cs="宋体"/>
                <w:color w:val="auto"/>
                <w:szCs w:val="21"/>
                <w:highlight w:val="none"/>
              </w:rPr>
              <w:t>结    论</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adjustRightInd w:val="0"/>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pPr>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pPr>
        <w:rPr>
          <w:rFonts w:hint="eastAsia" w:ascii="宋体" w:hAnsi="宋体" w:cs="宋体"/>
          <w:color w:val="auto"/>
          <w:szCs w:val="21"/>
          <w:highlight w:val="none"/>
        </w:rPr>
      </w:pPr>
      <w:r>
        <w:rPr>
          <w:rFonts w:hint="eastAsia" w:ascii="宋体" w:hAnsi="宋体"/>
          <w:color w:val="auto"/>
          <w:szCs w:val="21"/>
          <w:highlight w:val="none"/>
        </w:rPr>
        <w:t>评委签名：</w:t>
      </w:r>
    </w:p>
    <w:p>
      <w:pPr>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附表三</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0"/>
        <w:tblW w:w="14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06"/>
        <w:gridCol w:w="9503"/>
        <w:gridCol w:w="1136"/>
        <w:gridCol w:w="1136"/>
        <w:gridCol w:w="112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9"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503"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jc w:val="right"/>
              <w:rPr>
                <w:rFonts w:hint="eastAsia" w:ascii="宋体" w:hAnsi="宋体" w:cs="宋体"/>
                <w:color w:val="auto"/>
                <w:szCs w:val="21"/>
                <w:highlight w:val="none"/>
              </w:rPr>
            </w:pPr>
            <w:r>
              <w:rPr>
                <w:rFonts w:hint="eastAsia" w:ascii="宋体" w:hAnsi="宋体" w:cs="宋体"/>
                <w:color w:val="auto"/>
                <w:szCs w:val="21"/>
                <w:highlight w:val="none"/>
              </w:rPr>
              <w:t>投标人</w:t>
            </w:r>
          </w:p>
          <w:p>
            <w:pP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对同一招标项目出现两个或以上的投标报价，且没有申明哪个有效</w:t>
            </w:r>
            <w:r>
              <w:rPr>
                <w:rFonts w:hint="eastAsia" w:ascii="宋体" w:hAnsi="宋体" w:cs="宋体"/>
                <w:color w:val="auto"/>
                <w:szCs w:val="21"/>
                <w:highlight w:val="none"/>
              </w:rPr>
              <w:t>；</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投标报价高于最高投标限价的；</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olor w:val="auto"/>
                <w:szCs w:val="21"/>
                <w:highlight w:val="none"/>
                <w:u w:val="single"/>
              </w:rPr>
              <w:t>（投标人的报价低于成本警戒价，使得其投标报价可能低于其个别成本，又不能合理说明或者不能提供相关证明材料，评标委员会认定该投标人低于成本报价的）；</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算术复核后的投标报价与原投标报价相比存在1%或以上误差的</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（除带“★”号的必须按招标文件规定的格式进行编制外，其余格式仅供参考不作为投标文件有效性审查的条件）</w:t>
            </w:r>
            <w:r>
              <w:rPr>
                <w:rFonts w:hint="eastAsia" w:ascii="宋体" w:hAnsi="宋体" w:cs="宋体"/>
                <w:color w:val="auto"/>
                <w:szCs w:val="21"/>
                <w:highlight w:val="none"/>
              </w:rPr>
              <w:t>，或主要内容不全，或关键字迹模糊、无法辨认的</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无《参与编制经济标投标文件人员名单》的</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9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95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 w:hRule="atLeast"/>
          <w:jc w:val="center"/>
        </w:trPr>
        <w:tc>
          <w:tcPr>
            <w:tcW w:w="10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结    论</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注：1.本表使用GZZB2018-3招标文件范本，与范本内容不同之处均以下划线标明。2.凡出现以上任何一项情形，结论均为无效，否则就为有效。</w:t>
      </w:r>
    </w:p>
    <w:p>
      <w:pPr>
        <w:rPr>
          <w:rFonts w:hint="eastAsia"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pPr>
        <w:rPr>
          <w:rFonts w:hint="eastAsia" w:ascii="宋体" w:hAnsi="宋体" w:cs="宋体"/>
          <w:color w:val="auto"/>
          <w:szCs w:val="21"/>
          <w:highlight w:val="none"/>
        </w:rPr>
      </w:pPr>
      <w:r>
        <w:rPr>
          <w:rFonts w:hint="eastAsia" w:ascii="宋体" w:hAnsi="宋体" w:cs="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rPr>
          <w:rFonts w:hint="eastAsia" w:ascii="宋体" w:hAnsi="宋体" w:cs="宋体"/>
          <w:color w:val="auto"/>
          <w:szCs w:val="21"/>
          <w:highlight w:val="none"/>
        </w:rPr>
      </w:pPr>
      <w:r>
        <w:rPr>
          <w:rFonts w:hint="eastAsia" w:ascii="宋体" w:hAnsi="宋体"/>
          <w:color w:val="auto"/>
          <w:szCs w:val="21"/>
          <w:highlight w:val="none"/>
        </w:rPr>
        <w:t>评委签名：</w:t>
      </w:r>
    </w:p>
    <w:p>
      <w:pPr>
        <w:pStyle w:val="18"/>
        <w:rPr>
          <w:rFonts w:hint="eastAsia"/>
          <w:color w:val="auto"/>
          <w:highlight w:val="none"/>
        </w:rPr>
      </w:pPr>
      <w:r>
        <w:rPr>
          <w:rFonts w:hint="eastAsia" w:ascii="宋体" w:hAnsi="宋体" w:cs="宋体"/>
          <w:color w:val="auto"/>
          <w:szCs w:val="21"/>
          <w:highlight w:val="none"/>
        </w:rPr>
        <w:br w:type="page"/>
      </w:r>
      <w:r>
        <w:rPr>
          <w:rFonts w:hint="eastAsia" w:ascii="宋体" w:hAnsi="宋体" w:cs="宋体"/>
          <w:color w:val="auto"/>
          <w:kern w:val="2"/>
          <w:sz w:val="21"/>
          <w:szCs w:val="21"/>
          <w:highlight w:val="none"/>
        </w:rPr>
        <w:t>附表四</w:t>
      </w:r>
    </w:p>
    <w:p>
      <w:pPr>
        <w:jc w:val="center"/>
        <w:rPr>
          <w:rFonts w:ascii="宋体" w:hAnsi="宋体"/>
          <w:b/>
          <w:color w:val="auto"/>
          <w:sz w:val="28"/>
          <w:szCs w:val="28"/>
          <w:highlight w:val="none"/>
        </w:rPr>
      </w:pPr>
      <w:r>
        <w:rPr>
          <w:rFonts w:hint="eastAsia" w:ascii="宋体" w:hAnsi="宋体"/>
          <w:b/>
          <w:color w:val="auto"/>
          <w:sz w:val="28"/>
          <w:szCs w:val="28"/>
          <w:highlight w:val="none"/>
        </w:rPr>
        <w:t>技术标详细审查评分表</w:t>
      </w:r>
    </w:p>
    <w:tbl>
      <w:tblPr>
        <w:tblStyle w:val="20"/>
        <w:tblW w:w="14723" w:type="dxa"/>
        <w:jc w:val="center"/>
        <w:tblLayout w:type="fixed"/>
        <w:tblCellMar>
          <w:top w:w="0" w:type="dxa"/>
          <w:left w:w="108" w:type="dxa"/>
          <w:bottom w:w="0" w:type="dxa"/>
          <w:right w:w="108" w:type="dxa"/>
        </w:tblCellMar>
      </w:tblPr>
      <w:tblGrid>
        <w:gridCol w:w="1099"/>
        <w:gridCol w:w="1499"/>
        <w:gridCol w:w="686"/>
        <w:gridCol w:w="11439"/>
      </w:tblGrid>
      <w:tr>
        <w:tblPrEx>
          <w:tblCellMar>
            <w:top w:w="0" w:type="dxa"/>
            <w:left w:w="108" w:type="dxa"/>
            <w:bottom w:w="0" w:type="dxa"/>
            <w:right w:w="108" w:type="dxa"/>
          </w:tblCellMar>
        </w:tblPrEx>
        <w:trPr>
          <w:trHeight w:val="87" w:hRule="atLeast"/>
          <w:tblHeader/>
          <w:jc w:val="center"/>
        </w:trPr>
        <w:tc>
          <w:tcPr>
            <w:tcW w:w="1099" w:type="dxa"/>
            <w:tcBorders>
              <w:top w:val="single" w:color="auto" w:sz="8" w:space="0"/>
              <w:left w:val="single" w:color="auto" w:sz="8"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w:t>
            </w:r>
          </w:p>
          <w:p>
            <w:pPr>
              <w:widowControl/>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1499" w:type="dxa"/>
            <w:tcBorders>
              <w:top w:val="single" w:color="auto" w:sz="8"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评分内容</w:t>
            </w:r>
          </w:p>
        </w:tc>
        <w:tc>
          <w:tcPr>
            <w:tcW w:w="686" w:type="dxa"/>
            <w:tcBorders>
              <w:top w:val="single" w:color="auto" w:sz="8"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分值</w:t>
            </w:r>
          </w:p>
        </w:tc>
        <w:tc>
          <w:tcPr>
            <w:tcW w:w="11439" w:type="dxa"/>
            <w:tcBorders>
              <w:top w:val="single" w:color="auto" w:sz="8"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tblPrEx>
          <w:tblCellMar>
            <w:top w:w="0" w:type="dxa"/>
            <w:left w:w="108" w:type="dxa"/>
            <w:bottom w:w="0" w:type="dxa"/>
            <w:right w:w="108" w:type="dxa"/>
          </w:tblCellMar>
        </w:tblPrEx>
        <w:trPr>
          <w:cantSplit/>
          <w:trHeight w:val="1261" w:hRule="atLeast"/>
          <w:jc w:val="center"/>
        </w:trPr>
        <w:tc>
          <w:tcPr>
            <w:tcW w:w="1099" w:type="dxa"/>
            <w:vMerge w:val="restart"/>
            <w:tcBorders>
              <w:top w:val="nil"/>
              <w:left w:val="single" w:color="auto" w:sz="8" w:space="0"/>
              <w:right w:val="single" w:color="auto" w:sz="4" w:space="0"/>
            </w:tcBorders>
            <w:noWrap w:val="0"/>
            <w:vAlign w:val="center"/>
          </w:tcPr>
          <w:p>
            <w:pPr>
              <w:adjustRightInd w:val="0"/>
              <w:snapToGrid w:val="0"/>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一、施工组织设计（50分）</w:t>
            </w:r>
          </w:p>
        </w:tc>
        <w:tc>
          <w:tcPr>
            <w:tcW w:w="1499" w:type="dxa"/>
            <w:tcBorders>
              <w:top w:val="single" w:color="auto" w:sz="4" w:space="0"/>
              <w:left w:val="nil"/>
              <w:bottom w:val="single" w:color="auto" w:sz="4" w:space="0"/>
              <w:right w:val="single" w:color="auto" w:sz="4" w:space="0"/>
            </w:tcBorders>
            <w:noWrap w:val="0"/>
            <w:vAlign w:val="center"/>
          </w:tcPr>
          <w:p>
            <w:pPr>
              <w:snapToGrid w:val="0"/>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施工组织方案与技术措施</w:t>
            </w:r>
          </w:p>
        </w:tc>
        <w:tc>
          <w:tcPr>
            <w:tcW w:w="6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10</w:t>
            </w:r>
          </w:p>
        </w:tc>
        <w:tc>
          <w:tcPr>
            <w:tcW w:w="11439" w:type="dxa"/>
            <w:tcBorders>
              <w:top w:val="single" w:color="auto" w:sz="4" w:space="0"/>
              <w:left w:val="nil"/>
              <w:bottom w:val="single" w:color="auto" w:sz="4" w:space="0"/>
              <w:right w:val="single" w:color="auto" w:sz="4" w:space="0"/>
            </w:tcBorders>
            <w:noWrap w:val="0"/>
            <w:vAlign w:val="center"/>
          </w:tcPr>
          <w:p>
            <w:pPr>
              <w:pStyle w:val="31"/>
              <w:spacing w:line="360" w:lineRule="exact"/>
              <w:jc w:val="both"/>
              <w:rPr>
                <w:rFonts w:hint="eastAsia" w:ascii="宋体" w:hAnsi="宋体" w:cs="宋体"/>
                <w:b w:val="0"/>
                <w:color w:val="auto"/>
                <w:szCs w:val="21"/>
                <w:highlight w:val="none"/>
              </w:rPr>
            </w:pPr>
            <w:r>
              <w:rPr>
                <w:rFonts w:hint="eastAsia" w:ascii="宋体" w:hAnsi="宋体" w:cs="宋体"/>
                <w:b w:val="0"/>
                <w:color w:val="auto"/>
                <w:szCs w:val="21"/>
                <w:highlight w:val="none"/>
              </w:rPr>
              <w:t>【优】施工组织方案及施工方法先进，工程重点难点、施工关键技术工艺把握及应用准确，技术措施可以充分保障工程质量、工期和施工安全生产，得（8，10]分。</w:t>
            </w:r>
          </w:p>
          <w:p>
            <w:pPr>
              <w:pStyle w:val="31"/>
              <w:spacing w:line="360" w:lineRule="exact"/>
              <w:jc w:val="both"/>
              <w:rPr>
                <w:rFonts w:hint="eastAsia" w:ascii="宋体" w:hAnsi="宋体" w:cs="宋体"/>
                <w:b w:val="0"/>
                <w:color w:val="auto"/>
                <w:szCs w:val="21"/>
                <w:highlight w:val="none"/>
              </w:rPr>
            </w:pPr>
            <w:r>
              <w:rPr>
                <w:rFonts w:hint="eastAsia" w:ascii="宋体" w:hAnsi="宋体" w:cs="宋体"/>
                <w:b w:val="0"/>
                <w:color w:val="auto"/>
                <w:szCs w:val="21"/>
                <w:highlight w:val="none"/>
              </w:rPr>
              <w:t>【良】施工组织方案及施工方法较好，工程重点难点、施工关键技术工艺把握及应用较好，技术措施能保障工程质量、工期和施工安全生产，得(6，8]分。</w:t>
            </w:r>
          </w:p>
          <w:p>
            <w:pPr>
              <w:pStyle w:val="31"/>
              <w:spacing w:line="360" w:lineRule="exact"/>
              <w:jc w:val="both"/>
              <w:rPr>
                <w:rFonts w:hint="eastAsia" w:ascii="宋体" w:hAnsi="宋体" w:cs="宋体"/>
                <w:b w:val="0"/>
                <w:color w:val="auto"/>
                <w:szCs w:val="21"/>
                <w:highlight w:val="none"/>
              </w:rPr>
            </w:pPr>
            <w:r>
              <w:rPr>
                <w:rFonts w:hint="eastAsia" w:ascii="宋体" w:hAnsi="宋体" w:cs="宋体"/>
                <w:b w:val="0"/>
                <w:color w:val="auto"/>
                <w:szCs w:val="21"/>
                <w:highlight w:val="none"/>
              </w:rPr>
              <w:t>【中】施工组织方案及施工方法一般，或工程重点难点、施工关键技术工艺把握及应用基本可行，或技术措施能基本保障工程质量、工期和施工安全生产，得（4，6]分。</w:t>
            </w:r>
          </w:p>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【差】无施工组织方案，不满足前述要求者，得[0，4]分。</w:t>
            </w:r>
          </w:p>
        </w:tc>
      </w:tr>
      <w:tr>
        <w:tblPrEx>
          <w:tblCellMar>
            <w:top w:w="0" w:type="dxa"/>
            <w:left w:w="108" w:type="dxa"/>
            <w:bottom w:w="0" w:type="dxa"/>
            <w:right w:w="108" w:type="dxa"/>
          </w:tblCellMar>
        </w:tblPrEx>
        <w:trPr>
          <w:cantSplit/>
          <w:trHeight w:val="1261" w:hRule="atLeast"/>
          <w:jc w:val="center"/>
        </w:trPr>
        <w:tc>
          <w:tcPr>
            <w:tcW w:w="1099" w:type="dxa"/>
            <w:vMerge w:val="continue"/>
            <w:tcBorders>
              <w:left w:val="single" w:color="auto" w:sz="8" w:space="0"/>
              <w:right w:val="single" w:color="auto" w:sz="4" w:space="0"/>
            </w:tcBorders>
            <w:noWrap w:val="0"/>
            <w:vAlign w:val="center"/>
          </w:tcPr>
          <w:p>
            <w:pPr>
              <w:adjustRightInd w:val="0"/>
              <w:snapToGrid w:val="0"/>
              <w:spacing w:line="340" w:lineRule="exact"/>
              <w:jc w:val="center"/>
              <w:rPr>
                <w:rFonts w:hint="eastAsia" w:ascii="宋体" w:hAnsi="宋体" w:cs="宋体"/>
                <w:color w:val="auto"/>
                <w:szCs w:val="21"/>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tabs>
                <w:tab w:val="left" w:pos="1526"/>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施工工期进度计划</w:t>
            </w:r>
          </w:p>
        </w:tc>
        <w:tc>
          <w:tcPr>
            <w:tcW w:w="68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143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【优】制定了施工进度计划并有进度计划保证措施，施工工期计划目标对比招标文件要求提前15天或以上完工，得（8，10]分。</w:t>
            </w:r>
          </w:p>
          <w:p>
            <w:pPr>
              <w:snapToGrid w:val="0"/>
              <w:rPr>
                <w:rFonts w:hint="eastAsia" w:ascii="宋体" w:hAnsi="宋体" w:cs="宋体"/>
                <w:color w:val="auto"/>
                <w:szCs w:val="21"/>
                <w:highlight w:val="none"/>
              </w:rPr>
            </w:pPr>
            <w:r>
              <w:rPr>
                <w:rFonts w:hint="eastAsia" w:ascii="宋体" w:hAnsi="宋体" w:cs="宋体"/>
                <w:color w:val="auto"/>
                <w:szCs w:val="21"/>
                <w:highlight w:val="none"/>
              </w:rPr>
              <w:t>【良】制定了施工进度计划并有进度计划保证措施，施工工期计划目标对比招标文件要求提前10至14天完工，得(6，8]分。</w:t>
            </w:r>
          </w:p>
          <w:p>
            <w:pPr>
              <w:snapToGrid w:val="0"/>
              <w:rPr>
                <w:rFonts w:hint="eastAsia" w:ascii="宋体" w:hAnsi="宋体" w:cs="宋体"/>
                <w:color w:val="auto"/>
                <w:szCs w:val="21"/>
                <w:highlight w:val="none"/>
              </w:rPr>
            </w:pPr>
            <w:r>
              <w:rPr>
                <w:rFonts w:hint="eastAsia" w:ascii="宋体" w:hAnsi="宋体" w:cs="宋体"/>
                <w:color w:val="auto"/>
                <w:szCs w:val="21"/>
                <w:highlight w:val="none"/>
              </w:rPr>
              <w:t>【中】制定了施工进度计划并有进度计划保证措施，施工工期计划目标符合招标文件要求，得（4，6]分。</w:t>
            </w:r>
          </w:p>
          <w:p>
            <w:pPr>
              <w:rPr>
                <w:rFonts w:hint="eastAsia" w:ascii="宋体" w:hAnsi="宋体" w:cs="宋体"/>
                <w:color w:val="auto"/>
                <w:szCs w:val="21"/>
                <w:highlight w:val="none"/>
              </w:rPr>
            </w:pPr>
            <w:r>
              <w:rPr>
                <w:rFonts w:hint="eastAsia" w:ascii="宋体" w:hAnsi="宋体" w:cs="宋体"/>
                <w:color w:val="auto"/>
                <w:szCs w:val="21"/>
                <w:highlight w:val="none"/>
              </w:rPr>
              <w:t>【差】无施工进度计划或进度计划保证措施</w:t>
            </w:r>
            <w:r>
              <w:rPr>
                <w:rFonts w:hint="eastAsia" w:ascii="宋体" w:hAnsi="宋体" w:cs="宋体"/>
                <w:color w:val="auto"/>
                <w:spacing w:val="2"/>
                <w:szCs w:val="21"/>
                <w:highlight w:val="none"/>
              </w:rPr>
              <w:t>，</w:t>
            </w:r>
            <w:r>
              <w:rPr>
                <w:rFonts w:hint="eastAsia" w:ascii="宋体" w:hAnsi="宋体" w:cs="宋体"/>
                <w:color w:val="auto"/>
                <w:szCs w:val="21"/>
                <w:highlight w:val="none"/>
              </w:rPr>
              <w:t>不满足前述要求者，得[0，4]分。</w:t>
            </w:r>
          </w:p>
        </w:tc>
      </w:tr>
      <w:tr>
        <w:tblPrEx>
          <w:tblCellMar>
            <w:top w:w="0" w:type="dxa"/>
            <w:left w:w="108" w:type="dxa"/>
            <w:bottom w:w="0" w:type="dxa"/>
            <w:right w:w="108" w:type="dxa"/>
          </w:tblCellMar>
        </w:tblPrEx>
        <w:trPr>
          <w:cantSplit/>
          <w:trHeight w:val="1261" w:hRule="atLeast"/>
          <w:jc w:val="center"/>
        </w:trPr>
        <w:tc>
          <w:tcPr>
            <w:tcW w:w="1099" w:type="dxa"/>
            <w:vMerge w:val="continue"/>
            <w:tcBorders>
              <w:left w:val="single" w:color="auto" w:sz="8" w:space="0"/>
              <w:right w:val="single" w:color="auto" w:sz="4" w:space="0"/>
            </w:tcBorders>
            <w:noWrap w:val="0"/>
            <w:vAlign w:val="center"/>
          </w:tcPr>
          <w:p>
            <w:pPr>
              <w:adjustRightInd w:val="0"/>
              <w:snapToGrid w:val="0"/>
              <w:spacing w:line="340" w:lineRule="exact"/>
              <w:jc w:val="center"/>
              <w:rPr>
                <w:rFonts w:hint="eastAsia" w:ascii="宋体" w:hAnsi="宋体" w:cs="宋体"/>
                <w:color w:val="auto"/>
                <w:szCs w:val="21"/>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tabs>
                <w:tab w:val="left" w:pos="1526"/>
              </w:tabs>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产业工人队伍和专业劳务队伍投入计划</w:t>
            </w:r>
          </w:p>
        </w:tc>
        <w:tc>
          <w:tcPr>
            <w:tcW w:w="68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1439" w:type="dxa"/>
            <w:tcBorders>
              <w:top w:val="single" w:color="auto" w:sz="4" w:space="0"/>
              <w:left w:val="nil"/>
              <w:bottom w:val="single" w:color="auto" w:sz="4" w:space="0"/>
              <w:right w:val="single" w:color="auto" w:sz="4" w:space="0"/>
            </w:tcBorders>
            <w:noWrap w:val="0"/>
            <w:vAlign w:val="center"/>
          </w:tcPr>
          <w:p>
            <w:pPr>
              <w:pStyle w:val="32"/>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【优】有产业工人队伍和专业劳务队伍投入计划，施工高峰期拟投入的产业工人队伍和专业劳务队伍人数大于或等于150人，得（4，5]分。</w:t>
            </w:r>
          </w:p>
          <w:p>
            <w:pPr>
              <w:pStyle w:val="32"/>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【良】有产业工人队伍和专业劳务队伍投入计划，施工高峰期拟投入的产业工人队伍和专业劳务队伍人数大于或等于100人，小于150人，得</w:t>
            </w:r>
            <w:r>
              <w:rPr>
                <w:rFonts w:hint="eastAsia" w:ascii="宋体" w:hAnsi="宋体" w:eastAsia="宋体" w:cs="宋体"/>
                <w:color w:val="auto"/>
                <w:sz w:val="21"/>
                <w:szCs w:val="21"/>
                <w:highlight w:val="none"/>
              </w:rPr>
              <w:t>(3，4]</w:t>
            </w:r>
            <w:r>
              <w:rPr>
                <w:rFonts w:hint="eastAsia" w:ascii="宋体" w:hAnsi="宋体" w:eastAsia="宋体" w:cs="宋体"/>
                <w:color w:val="auto"/>
                <w:spacing w:val="2"/>
                <w:kern w:val="2"/>
                <w:sz w:val="21"/>
                <w:szCs w:val="21"/>
                <w:highlight w:val="none"/>
              </w:rPr>
              <w:t>分。</w:t>
            </w:r>
          </w:p>
          <w:p>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pacing w:val="2"/>
                <w:kern w:val="2"/>
                <w:sz w:val="21"/>
                <w:szCs w:val="21"/>
                <w:highlight w:val="none"/>
              </w:rPr>
              <w:t>有产业工人队伍和专业劳务队伍投入计划，施工高峰期拟投入的产业工人队伍和专业劳务队伍人数大于或等于50人，小于100人，</w:t>
            </w:r>
            <w:r>
              <w:rPr>
                <w:rFonts w:hint="eastAsia" w:ascii="宋体" w:hAnsi="宋体" w:eastAsia="宋体" w:cs="宋体"/>
                <w:color w:val="auto"/>
                <w:sz w:val="21"/>
                <w:szCs w:val="21"/>
                <w:highlight w:val="none"/>
              </w:rPr>
              <w:t>得（2，3]分。</w:t>
            </w:r>
          </w:p>
          <w:p>
            <w:pPr>
              <w:rPr>
                <w:rFonts w:hint="eastAsia" w:ascii="宋体" w:hAnsi="宋体" w:cs="宋体"/>
                <w:color w:val="auto"/>
                <w:szCs w:val="21"/>
                <w:highlight w:val="none"/>
              </w:rPr>
            </w:pPr>
            <w:r>
              <w:rPr>
                <w:rFonts w:hint="eastAsia" w:ascii="宋体" w:hAnsi="宋体" w:cs="宋体"/>
                <w:color w:val="auto"/>
                <w:szCs w:val="21"/>
                <w:highlight w:val="none"/>
              </w:rPr>
              <w:t>【差】产业工人队伍和专业劳务队伍投入计划不及上述要求的，得[0，2]分。</w:t>
            </w:r>
          </w:p>
        </w:tc>
      </w:tr>
      <w:tr>
        <w:tblPrEx>
          <w:tblCellMar>
            <w:top w:w="0" w:type="dxa"/>
            <w:left w:w="108" w:type="dxa"/>
            <w:bottom w:w="0" w:type="dxa"/>
            <w:right w:w="108" w:type="dxa"/>
          </w:tblCellMar>
        </w:tblPrEx>
        <w:trPr>
          <w:cantSplit/>
          <w:trHeight w:val="1602" w:hRule="atLeast"/>
          <w:jc w:val="center"/>
        </w:trPr>
        <w:tc>
          <w:tcPr>
            <w:tcW w:w="1099" w:type="dxa"/>
            <w:vMerge w:val="continue"/>
            <w:tcBorders>
              <w:left w:val="single" w:color="auto" w:sz="8"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tabs>
                <w:tab w:val="left" w:pos="1526"/>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质量管理目标及保证措施</w:t>
            </w:r>
          </w:p>
        </w:tc>
        <w:tc>
          <w:tcPr>
            <w:tcW w:w="68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1439" w:type="dxa"/>
            <w:tcBorders>
              <w:top w:val="single" w:color="auto" w:sz="4" w:space="0"/>
              <w:left w:val="nil"/>
              <w:bottom w:val="single" w:color="auto" w:sz="4" w:space="0"/>
              <w:right w:val="single" w:color="auto" w:sz="4" w:space="0"/>
            </w:tcBorders>
            <w:noWrap w:val="0"/>
            <w:vAlign w:val="center"/>
          </w:tcPr>
          <w:p>
            <w:pPr>
              <w:pStyle w:val="32"/>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【优】</w:t>
            </w:r>
            <w:r>
              <w:rPr>
                <w:rFonts w:hint="eastAsia" w:ascii="宋体" w:hAnsi="宋体" w:eastAsia="宋体" w:cs="宋体"/>
                <w:color w:val="auto"/>
                <w:sz w:val="21"/>
                <w:szCs w:val="21"/>
                <w:highlight w:val="none"/>
              </w:rPr>
              <w:t>质量目标符合招标文件要求，质量保证措施完整、具体、可行、合理，有完整的组织机构与保证体系，争创</w:t>
            </w:r>
            <w:r>
              <w:rPr>
                <w:rFonts w:hint="eastAsia" w:ascii="宋体" w:hAnsi="宋体" w:eastAsia="宋体" w:cs="宋体"/>
                <w:color w:val="auto"/>
                <w:spacing w:val="2"/>
                <w:kern w:val="2"/>
                <w:sz w:val="21"/>
                <w:szCs w:val="21"/>
                <w:highlight w:val="none"/>
              </w:rPr>
              <w:t>广州市建设工程优质奖，得</w:t>
            </w:r>
            <w:r>
              <w:rPr>
                <w:rFonts w:hint="eastAsia" w:ascii="宋体" w:hAnsi="宋体" w:eastAsia="宋体" w:cs="宋体"/>
                <w:color w:val="auto"/>
                <w:sz w:val="21"/>
                <w:szCs w:val="21"/>
                <w:highlight w:val="none"/>
              </w:rPr>
              <w:t>（4，5]</w:t>
            </w:r>
            <w:r>
              <w:rPr>
                <w:rFonts w:hint="eastAsia" w:ascii="宋体" w:hAnsi="宋体" w:eastAsia="宋体" w:cs="宋体"/>
                <w:color w:val="auto"/>
                <w:spacing w:val="2"/>
                <w:kern w:val="2"/>
                <w:sz w:val="21"/>
                <w:szCs w:val="21"/>
                <w:highlight w:val="none"/>
              </w:rPr>
              <w:t>分。</w:t>
            </w:r>
          </w:p>
          <w:p>
            <w:pPr>
              <w:pStyle w:val="32"/>
              <w:rPr>
                <w:rFonts w:hint="eastAsia" w:ascii="宋体" w:hAnsi="宋体" w:eastAsia="宋体" w:cs="宋体"/>
                <w:color w:val="auto"/>
                <w:spacing w:val="2"/>
                <w:kern w:val="2"/>
                <w:sz w:val="21"/>
                <w:szCs w:val="21"/>
                <w:highlight w:val="none"/>
              </w:rPr>
            </w:pPr>
            <w:r>
              <w:rPr>
                <w:rFonts w:hint="eastAsia" w:ascii="宋体" w:hAnsi="宋体" w:eastAsia="宋体" w:cs="宋体"/>
                <w:color w:val="auto"/>
                <w:spacing w:val="2"/>
                <w:kern w:val="2"/>
                <w:sz w:val="21"/>
                <w:szCs w:val="21"/>
                <w:highlight w:val="none"/>
              </w:rPr>
              <w:t>【良】质量目标符合招标文件要求，质量保证措施较完整、可行、较合理，有组织机构与保证体系，得</w:t>
            </w:r>
            <w:r>
              <w:rPr>
                <w:rFonts w:hint="eastAsia" w:ascii="宋体" w:hAnsi="宋体" w:eastAsia="宋体" w:cs="宋体"/>
                <w:color w:val="auto"/>
                <w:sz w:val="21"/>
                <w:szCs w:val="21"/>
                <w:highlight w:val="none"/>
              </w:rPr>
              <w:t>(3，4]</w:t>
            </w:r>
            <w:r>
              <w:rPr>
                <w:rFonts w:hint="eastAsia" w:ascii="宋体" w:hAnsi="宋体" w:eastAsia="宋体" w:cs="宋体"/>
                <w:color w:val="auto"/>
                <w:spacing w:val="2"/>
                <w:kern w:val="2"/>
                <w:sz w:val="21"/>
                <w:szCs w:val="21"/>
                <w:highlight w:val="none"/>
              </w:rPr>
              <w:t>分。</w:t>
            </w:r>
          </w:p>
          <w:p>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【中】质量目标符合招标文件要求，质量保证措施一般，无组织机构或保证体系，得（2，3]分。</w:t>
            </w:r>
          </w:p>
          <w:p>
            <w:pPr>
              <w:rPr>
                <w:rFonts w:hint="eastAsia" w:ascii="宋体" w:hAnsi="宋体" w:cs="宋体"/>
                <w:color w:val="auto"/>
                <w:szCs w:val="21"/>
                <w:highlight w:val="none"/>
              </w:rPr>
            </w:pPr>
            <w:r>
              <w:rPr>
                <w:rFonts w:hint="eastAsia" w:ascii="宋体" w:hAnsi="宋体" w:cs="宋体"/>
                <w:color w:val="auto"/>
                <w:szCs w:val="21"/>
                <w:highlight w:val="none"/>
              </w:rPr>
              <w:t>【差】质量目标符合招标文件要求，质量保证措施不及上述要求的，得[0，2]分。</w:t>
            </w:r>
          </w:p>
        </w:tc>
      </w:tr>
      <w:tr>
        <w:tblPrEx>
          <w:tblCellMar>
            <w:top w:w="0" w:type="dxa"/>
            <w:left w:w="108" w:type="dxa"/>
            <w:bottom w:w="0" w:type="dxa"/>
            <w:right w:w="108" w:type="dxa"/>
          </w:tblCellMar>
        </w:tblPrEx>
        <w:trPr>
          <w:cantSplit/>
          <w:trHeight w:val="1268" w:hRule="atLeast"/>
          <w:jc w:val="center"/>
        </w:trPr>
        <w:tc>
          <w:tcPr>
            <w:tcW w:w="1099" w:type="dxa"/>
            <w:vMerge w:val="continue"/>
            <w:tcBorders>
              <w:left w:val="single" w:color="auto" w:sz="8"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tabs>
                <w:tab w:val="left" w:pos="1526"/>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绿色施工保证措施与承诺</w:t>
            </w:r>
          </w:p>
        </w:tc>
        <w:tc>
          <w:tcPr>
            <w:tcW w:w="68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auto"/>
                <w:kern w:val="0"/>
                <w:szCs w:val="21"/>
                <w:highlight w:val="none"/>
              </w:rPr>
            </w:pPr>
            <w:r>
              <w:rPr>
                <w:rFonts w:hint="eastAsia" w:ascii="宋体" w:hAnsi="宋体" w:cs="宋体"/>
                <w:color w:val="auto"/>
                <w:spacing w:val="10"/>
                <w:szCs w:val="21"/>
                <w:highlight w:val="none"/>
                <w:shd w:val="clear" w:color="auto" w:fill="FFFFFF"/>
              </w:rPr>
              <w:t>5</w:t>
            </w:r>
          </w:p>
        </w:tc>
        <w:tc>
          <w:tcPr>
            <w:tcW w:w="11439" w:type="dxa"/>
            <w:tcBorders>
              <w:top w:val="single" w:color="auto" w:sz="4" w:space="0"/>
              <w:left w:val="nil"/>
              <w:bottom w:val="single" w:color="auto" w:sz="4" w:space="0"/>
              <w:right w:val="single" w:color="auto" w:sz="4" w:space="0"/>
            </w:tcBorders>
            <w:noWrap w:val="0"/>
            <w:vAlign w:val="center"/>
          </w:tcPr>
          <w:p>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【优】制定了绿色、文明施工保证体系和保证措施，建立了创优保证体系，且有承诺使用绿色生产达标企业生产的混凝土的，得（4，5]分。</w:t>
            </w:r>
          </w:p>
          <w:p>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【良】制定了绿色、文明施工保证体系和保证措施，无创优保证体系，有承诺使用绿色生产达标企业生产的混凝土的，得(3，4]分。</w:t>
            </w:r>
          </w:p>
          <w:p>
            <w:pPr>
              <w:pStyle w:val="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【中】制定了绿色、文明施工保证体系和保证措施，得（2，3]分。</w:t>
            </w:r>
          </w:p>
          <w:p>
            <w:pPr>
              <w:rPr>
                <w:rFonts w:hint="eastAsia" w:ascii="宋体" w:hAnsi="宋体" w:cs="宋体"/>
                <w:color w:val="auto"/>
                <w:szCs w:val="21"/>
                <w:highlight w:val="none"/>
              </w:rPr>
            </w:pPr>
            <w:r>
              <w:rPr>
                <w:rFonts w:hint="eastAsia" w:ascii="宋体" w:hAnsi="宋体" w:cs="宋体"/>
                <w:color w:val="auto"/>
                <w:szCs w:val="21"/>
                <w:highlight w:val="none"/>
              </w:rPr>
              <w:t>【差】无绿色、文明施工保证体系和措施，得[0，2]分。</w:t>
            </w:r>
          </w:p>
        </w:tc>
      </w:tr>
      <w:tr>
        <w:tblPrEx>
          <w:tblCellMar>
            <w:top w:w="0" w:type="dxa"/>
            <w:left w:w="108" w:type="dxa"/>
            <w:bottom w:w="0" w:type="dxa"/>
            <w:right w:w="108" w:type="dxa"/>
          </w:tblCellMar>
        </w:tblPrEx>
        <w:trPr>
          <w:cantSplit/>
          <w:trHeight w:val="1268" w:hRule="atLeast"/>
          <w:jc w:val="center"/>
        </w:trPr>
        <w:tc>
          <w:tcPr>
            <w:tcW w:w="1099" w:type="dxa"/>
            <w:vMerge w:val="continue"/>
            <w:tcBorders>
              <w:left w:val="single" w:color="auto" w:sz="8"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nil"/>
              <w:bottom w:val="single" w:color="auto" w:sz="4" w:space="0"/>
              <w:right w:val="single" w:color="auto" w:sz="4" w:space="0"/>
            </w:tcBorders>
            <w:noWrap w:val="0"/>
            <w:vAlign w:val="center"/>
          </w:tcPr>
          <w:p>
            <w:pPr>
              <w:snapToGrid w:val="0"/>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安全保障措施</w:t>
            </w:r>
          </w:p>
        </w:tc>
        <w:tc>
          <w:tcPr>
            <w:tcW w:w="68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1439"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【优】确保不发生等级安全事故，安全保障工措施完整、具体、可行、合理，得（4，5]分。</w:t>
            </w:r>
          </w:p>
          <w:p>
            <w:pPr>
              <w:pStyle w:val="33"/>
              <w:rPr>
                <w:rFonts w:hint="eastAsia" w:ascii="宋体" w:hAnsi="宋体" w:cs="宋体"/>
                <w:color w:val="auto"/>
                <w:szCs w:val="21"/>
                <w:highlight w:val="none"/>
              </w:rPr>
            </w:pPr>
            <w:r>
              <w:rPr>
                <w:rFonts w:hint="eastAsia" w:ascii="宋体" w:hAnsi="宋体" w:cs="宋体"/>
                <w:color w:val="auto"/>
                <w:szCs w:val="21"/>
                <w:highlight w:val="none"/>
              </w:rPr>
              <w:t>【良】确保不发生等级安全事故，安全保障措施较完整、基本可行，得(3，4]分。</w:t>
            </w:r>
          </w:p>
          <w:p>
            <w:pPr>
              <w:pStyle w:val="33"/>
              <w:rPr>
                <w:rFonts w:hint="eastAsia" w:ascii="宋体" w:hAnsi="宋体" w:cs="宋体"/>
                <w:color w:val="auto"/>
                <w:szCs w:val="21"/>
                <w:highlight w:val="none"/>
              </w:rPr>
            </w:pPr>
            <w:r>
              <w:rPr>
                <w:rFonts w:hint="eastAsia" w:ascii="宋体" w:hAnsi="宋体" w:cs="宋体"/>
                <w:color w:val="auto"/>
                <w:szCs w:val="21"/>
                <w:highlight w:val="none"/>
              </w:rPr>
              <w:t>【中】确保不发生等级安全事故，安全保障措施一般，得（2，3]分。</w:t>
            </w:r>
          </w:p>
          <w:p>
            <w:pPr>
              <w:pStyle w:val="33"/>
              <w:rPr>
                <w:rFonts w:hint="eastAsia" w:ascii="宋体" w:hAnsi="宋体" w:cs="宋体"/>
                <w:color w:val="auto"/>
                <w:szCs w:val="21"/>
                <w:highlight w:val="none"/>
              </w:rPr>
            </w:pPr>
            <w:r>
              <w:rPr>
                <w:rFonts w:hint="eastAsia" w:ascii="宋体" w:hAnsi="宋体" w:cs="宋体"/>
                <w:color w:val="auto"/>
                <w:szCs w:val="21"/>
                <w:highlight w:val="none"/>
              </w:rPr>
              <w:t>【差】确保不发生等级安全事故，安全保障措施不及前述要求的，得[0，2]分。</w:t>
            </w:r>
          </w:p>
        </w:tc>
      </w:tr>
      <w:tr>
        <w:tblPrEx>
          <w:tblCellMar>
            <w:top w:w="0" w:type="dxa"/>
            <w:left w:w="108" w:type="dxa"/>
            <w:bottom w:w="0" w:type="dxa"/>
            <w:right w:w="108" w:type="dxa"/>
          </w:tblCellMar>
        </w:tblPrEx>
        <w:trPr>
          <w:cantSplit/>
          <w:trHeight w:val="3162" w:hRule="atLeast"/>
          <w:jc w:val="center"/>
        </w:trPr>
        <w:tc>
          <w:tcPr>
            <w:tcW w:w="1099" w:type="dxa"/>
            <w:vMerge w:val="continue"/>
            <w:tcBorders>
              <w:left w:val="single" w:color="auto" w:sz="8"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nil"/>
              <w:bottom w:val="single" w:color="auto" w:sz="4" w:space="0"/>
              <w:right w:val="single" w:color="auto" w:sz="4" w:space="0"/>
            </w:tcBorders>
            <w:noWrap w:val="0"/>
            <w:vAlign w:val="center"/>
          </w:tcPr>
          <w:p>
            <w:pPr>
              <w:snapToGrid w:val="0"/>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拟投入本工程的施工机械设备</w:t>
            </w:r>
          </w:p>
        </w:tc>
        <w:tc>
          <w:tcPr>
            <w:tcW w:w="68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10</w:t>
            </w:r>
          </w:p>
        </w:tc>
        <w:tc>
          <w:tcPr>
            <w:tcW w:w="11439" w:type="dxa"/>
            <w:tcBorders>
              <w:top w:val="single" w:color="auto" w:sz="4" w:space="0"/>
              <w:left w:val="nil"/>
              <w:bottom w:val="single" w:color="auto" w:sz="4" w:space="0"/>
              <w:right w:val="single" w:color="auto" w:sz="4" w:space="0"/>
            </w:tcBorders>
            <w:noWrap w:val="0"/>
            <w:vAlign w:val="center"/>
          </w:tcPr>
          <w:p>
            <w:pPr>
              <w:pStyle w:val="33"/>
              <w:rPr>
                <w:rFonts w:hint="eastAsia" w:ascii="宋体" w:hAnsi="宋体" w:cs="宋体"/>
                <w:color w:val="auto"/>
                <w:szCs w:val="21"/>
                <w:highlight w:val="none"/>
              </w:rPr>
            </w:pPr>
            <w:r>
              <w:rPr>
                <w:rFonts w:hint="eastAsia" w:ascii="宋体" w:hAnsi="宋体" w:cs="宋体"/>
                <w:color w:val="auto"/>
                <w:szCs w:val="21"/>
                <w:highlight w:val="none"/>
              </w:rPr>
              <w:t>【优】拟投入的机械设备符合机械设备最低配置表中的要求，必备机械设备自有率为100%，得10分。</w:t>
            </w:r>
          </w:p>
          <w:p>
            <w:pPr>
              <w:pStyle w:val="33"/>
              <w:rPr>
                <w:rFonts w:hint="eastAsia" w:ascii="宋体" w:hAnsi="宋体" w:cs="宋体"/>
                <w:color w:val="auto"/>
                <w:szCs w:val="21"/>
                <w:highlight w:val="none"/>
              </w:rPr>
            </w:pPr>
            <w:r>
              <w:rPr>
                <w:rFonts w:hint="eastAsia" w:ascii="宋体" w:hAnsi="宋体" w:cs="宋体"/>
                <w:color w:val="auto"/>
                <w:szCs w:val="21"/>
                <w:highlight w:val="none"/>
              </w:rPr>
              <w:t>【良】拟投入的机械设备符合机械设备最低配置表中的要求，必备机械设备自有率大于等于80%，得7分。</w:t>
            </w:r>
          </w:p>
          <w:p>
            <w:pPr>
              <w:pStyle w:val="33"/>
              <w:rPr>
                <w:rFonts w:hint="eastAsia" w:ascii="宋体" w:hAnsi="宋体" w:cs="宋体"/>
                <w:color w:val="auto"/>
                <w:szCs w:val="21"/>
                <w:highlight w:val="none"/>
              </w:rPr>
            </w:pPr>
            <w:r>
              <w:rPr>
                <w:rFonts w:hint="eastAsia" w:ascii="宋体" w:hAnsi="宋体" w:cs="宋体"/>
                <w:color w:val="auto"/>
                <w:szCs w:val="21"/>
                <w:highlight w:val="none"/>
              </w:rPr>
              <w:t>【中】拟投入的机械设备符合机械设备最低配置表中的要求，必备机械设备自有率大于等于60%，得4分。</w:t>
            </w:r>
          </w:p>
          <w:p>
            <w:pPr>
              <w:pStyle w:val="33"/>
              <w:rPr>
                <w:rFonts w:hint="eastAsia" w:ascii="宋体" w:hAnsi="宋体" w:cs="宋体"/>
                <w:color w:val="auto"/>
                <w:szCs w:val="21"/>
                <w:highlight w:val="none"/>
              </w:rPr>
            </w:pPr>
            <w:r>
              <w:rPr>
                <w:rFonts w:hint="eastAsia" w:ascii="宋体" w:hAnsi="宋体" w:cs="宋体"/>
                <w:color w:val="auto"/>
                <w:szCs w:val="21"/>
                <w:highlight w:val="none"/>
              </w:rPr>
              <w:t>【差】拟投入的机械设备符合机械设备最低配置表中的要求，必备机械设备自有率低于60%，得1分。</w:t>
            </w:r>
          </w:p>
          <w:p>
            <w:pPr>
              <w:pStyle w:val="33"/>
              <w:rPr>
                <w:rFonts w:hint="eastAsia" w:ascii="宋体" w:hAnsi="宋体" w:cs="宋体"/>
                <w:color w:val="auto"/>
                <w:szCs w:val="21"/>
                <w:highlight w:val="none"/>
              </w:rPr>
            </w:pPr>
            <w:r>
              <w:rPr>
                <w:rFonts w:hint="eastAsia" w:ascii="宋体" w:hAnsi="宋体" w:cs="宋体"/>
                <w:color w:val="auto"/>
                <w:szCs w:val="21"/>
                <w:highlight w:val="none"/>
              </w:rPr>
              <w:t>不满足上述情况不得分。</w:t>
            </w:r>
          </w:p>
          <w:p>
            <w:pPr>
              <w:pStyle w:val="33"/>
              <w:rPr>
                <w:rFonts w:hint="eastAsia" w:ascii="宋体" w:hAnsi="宋体" w:cs="宋体"/>
                <w:color w:val="auto"/>
                <w:szCs w:val="21"/>
                <w:highlight w:val="none"/>
              </w:rPr>
            </w:pPr>
            <w:r>
              <w:rPr>
                <w:rFonts w:hint="eastAsia" w:ascii="宋体" w:hAnsi="宋体" w:cs="宋体"/>
                <w:color w:val="auto"/>
                <w:szCs w:val="21"/>
                <w:highlight w:val="none"/>
              </w:rPr>
              <w:t>注：机械设备的配置需满足附表《拟投入的机械设备最低配置表》的要求，若为自有设备，须提供购置发票和实物图片并加盖投标人电子印章；若为租赁设备，须提供租赁合同扫描件和实物图片并加盖投标人电子印章。拟投入的车辆还需提供有效的车辆行驶证及登记证扫描件。拟投入本工程施工机械设备自有率以附表《拟投入的机械设备最低配置表》中的设备及数量为计算依据，其他机械设备不作为计算依据</w:t>
            </w:r>
            <w:r>
              <w:rPr>
                <w:rFonts w:hint="eastAsia" w:ascii="宋体" w:hAnsi="宋体" w:cs="宋体"/>
                <w:color w:val="auto"/>
                <w:spacing w:val="2"/>
                <w:szCs w:val="21"/>
                <w:highlight w:val="none"/>
              </w:rPr>
              <w:t>。同时满足多个档次的，按满足的最高档次计算一次得分。</w:t>
            </w:r>
          </w:p>
        </w:tc>
      </w:tr>
      <w:tr>
        <w:tblPrEx>
          <w:tblCellMar>
            <w:top w:w="0" w:type="dxa"/>
            <w:left w:w="108" w:type="dxa"/>
            <w:bottom w:w="0" w:type="dxa"/>
            <w:right w:w="108" w:type="dxa"/>
          </w:tblCellMar>
        </w:tblPrEx>
        <w:trPr>
          <w:cantSplit/>
          <w:trHeight w:val="1513" w:hRule="exact"/>
          <w:jc w:val="center"/>
        </w:trPr>
        <w:tc>
          <w:tcPr>
            <w:tcW w:w="1099" w:type="dxa"/>
            <w:vMerge w:val="restart"/>
            <w:tcBorders>
              <w:top w:val="single" w:color="auto" w:sz="4" w:space="0"/>
              <w:left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rPr>
            </w:pPr>
            <w:r>
              <w:rPr>
                <w:rFonts w:hint="eastAsia" w:ascii="宋体" w:hAnsi="宋体" w:cs="宋体"/>
                <w:color w:val="auto"/>
                <w:szCs w:val="21"/>
                <w:highlight w:val="none"/>
              </w:rPr>
              <w:t>二、项目管理机构（20分）</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项目指挥长</w:t>
            </w:r>
          </w:p>
        </w:tc>
        <w:tc>
          <w:tcPr>
            <w:tcW w:w="68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color w:val="auto"/>
                <w:kern w:val="0"/>
                <w:szCs w:val="21"/>
                <w:highlight w:val="none"/>
              </w:rPr>
            </w:pPr>
            <w:r>
              <w:rPr>
                <w:rFonts w:hint="eastAsia" w:ascii="宋体" w:hAnsi="宋体" w:cs="宋体"/>
                <w:color w:val="auto"/>
                <w:szCs w:val="21"/>
                <w:highlight w:val="none"/>
              </w:rPr>
              <w:t>5</w:t>
            </w:r>
          </w:p>
        </w:tc>
        <w:tc>
          <w:tcPr>
            <w:tcW w:w="11439" w:type="dxa"/>
            <w:tcBorders>
              <w:top w:val="single" w:color="auto" w:sz="4" w:space="0"/>
              <w:left w:val="nil"/>
              <w:bottom w:val="single" w:color="auto" w:sz="4" w:space="0"/>
              <w:right w:val="single" w:color="auto" w:sz="4" w:space="0"/>
            </w:tcBorders>
            <w:noWrap w:val="0"/>
            <w:vAlign w:val="center"/>
          </w:tcPr>
          <w:p>
            <w:pPr>
              <w:rPr>
                <w:color w:val="auto"/>
                <w:highlight w:val="none"/>
              </w:rPr>
            </w:pPr>
            <w:r>
              <w:rPr>
                <w:rFonts w:hint="eastAsia" w:ascii="宋体" w:hAnsi="宋体" w:cs="宋体"/>
                <w:color w:val="auto"/>
                <w:szCs w:val="21"/>
                <w:highlight w:val="none"/>
              </w:rPr>
              <w:t>投标人拟派的项目指挥长为现任本公司副总经理或以上行政职务，得5分；投标人拟派的项目指挥长为现任本公司下属非独立法人直营机构副总经理或以上行政职务，得3分。其他不得分，本项最多得5分。</w:t>
            </w:r>
          </w:p>
          <w:p>
            <w:pPr>
              <w:rPr>
                <w:rFonts w:hint="eastAsia" w:ascii="宋体" w:hAnsi="宋体" w:cs="宋体"/>
                <w:color w:val="auto"/>
                <w:szCs w:val="21"/>
                <w:highlight w:val="none"/>
              </w:rPr>
            </w:pPr>
            <w:r>
              <w:rPr>
                <w:rFonts w:hint="eastAsia" w:ascii="宋体" w:hAnsi="宋体"/>
                <w:color w:val="auto"/>
                <w:szCs w:val="21"/>
                <w:highlight w:val="none"/>
              </w:rPr>
              <w:t>注：投标人还须提供</w:t>
            </w:r>
            <w:r>
              <w:rPr>
                <w:rFonts w:hint="eastAsia" w:ascii="宋体" w:hAnsi="宋体" w:cs="宋体"/>
                <w:color w:val="auto"/>
                <w:szCs w:val="21"/>
                <w:highlight w:val="none"/>
              </w:rPr>
              <w:t>项目指挥长</w:t>
            </w:r>
            <w:r>
              <w:rPr>
                <w:rFonts w:hint="eastAsia" w:ascii="宋体" w:hAnsi="宋体"/>
                <w:color w:val="auto"/>
                <w:szCs w:val="21"/>
                <w:highlight w:val="none"/>
              </w:rPr>
              <w:t>在本单位任职半年以上（含半年）的任职证明扫描件，不满足上述要求或未提供任职证明不予得分。</w:t>
            </w:r>
          </w:p>
        </w:tc>
      </w:tr>
      <w:tr>
        <w:tblPrEx>
          <w:tblCellMar>
            <w:top w:w="0" w:type="dxa"/>
            <w:left w:w="108" w:type="dxa"/>
            <w:bottom w:w="0" w:type="dxa"/>
            <w:right w:w="108" w:type="dxa"/>
          </w:tblCellMar>
        </w:tblPrEx>
        <w:trPr>
          <w:cantSplit/>
          <w:trHeight w:val="1671" w:hRule="exact"/>
          <w:jc w:val="center"/>
        </w:trPr>
        <w:tc>
          <w:tcPr>
            <w:tcW w:w="1099" w:type="dxa"/>
            <w:vMerge w:val="continue"/>
            <w:tcBorders>
              <w:left w:val="single" w:color="auto" w:sz="4"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526"/>
              </w:tabs>
              <w:adjustRightInd w:val="0"/>
              <w:snapToGrid w:val="0"/>
              <w:jc w:val="center"/>
              <w:rPr>
                <w:rFonts w:ascii="宋体" w:hAnsi="宋体" w:cs="宋体"/>
                <w:color w:val="auto"/>
                <w:szCs w:val="21"/>
                <w:highlight w:val="none"/>
                <w:lang w:bidi="ar"/>
              </w:rPr>
            </w:pPr>
            <w:r>
              <w:rPr>
                <w:rFonts w:hint="eastAsia" w:ascii="宋体" w:hAnsi="宋体" w:cs="宋体"/>
                <w:color w:val="auto"/>
                <w:szCs w:val="21"/>
                <w:highlight w:val="none"/>
                <w:lang w:bidi="ar"/>
              </w:rPr>
              <w:t>项目负责人</w:t>
            </w:r>
          </w:p>
        </w:tc>
        <w:tc>
          <w:tcPr>
            <w:tcW w:w="686"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3</w:t>
            </w:r>
          </w:p>
        </w:tc>
        <w:tc>
          <w:tcPr>
            <w:tcW w:w="11439"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1、拟委派的项目负责人具有市政工程相关专业中级或以上技术职称的，得2分；其它不得分；</w:t>
            </w:r>
          </w:p>
          <w:p>
            <w:pPr>
              <w:rPr>
                <w:rFonts w:hint="eastAsia" w:ascii="宋体" w:hAnsi="宋体" w:cs="宋体"/>
                <w:color w:val="auto"/>
                <w:szCs w:val="21"/>
                <w:highlight w:val="none"/>
              </w:rPr>
            </w:pPr>
            <w:r>
              <w:rPr>
                <w:rFonts w:hint="eastAsia" w:ascii="宋体" w:hAnsi="宋体" w:cs="宋体"/>
                <w:color w:val="auto"/>
                <w:szCs w:val="21"/>
                <w:highlight w:val="none"/>
              </w:rPr>
              <w:t>2、项目负责人具备管理经验5年（不含）以上的，得1分；3年≤管理经验≤5年，得0.5分；其它不得分；</w:t>
            </w:r>
          </w:p>
          <w:p>
            <w:pPr>
              <w:rPr>
                <w:rFonts w:hint="eastAsia" w:ascii="宋体" w:hAnsi="宋体" w:cs="宋体"/>
                <w:color w:val="auto"/>
                <w:szCs w:val="21"/>
                <w:highlight w:val="none"/>
              </w:rPr>
            </w:pPr>
            <w:r>
              <w:rPr>
                <w:rFonts w:hint="eastAsia" w:ascii="宋体" w:hAnsi="宋体" w:cs="宋体"/>
                <w:color w:val="auto"/>
                <w:szCs w:val="21"/>
                <w:highlight w:val="none"/>
              </w:rPr>
              <w:t>本项最多得3分。</w:t>
            </w:r>
          </w:p>
          <w:p>
            <w:pPr>
              <w:rPr>
                <w:rFonts w:hint="eastAsia" w:ascii="宋体" w:hAnsi="宋体" w:cs="Arial Unicode MS"/>
                <w:color w:val="auto"/>
                <w:szCs w:val="21"/>
                <w:highlight w:val="none"/>
              </w:rPr>
            </w:pPr>
            <w:r>
              <w:rPr>
                <w:rFonts w:hint="eastAsia" w:ascii="宋体" w:hAnsi="宋体" w:cs="宋体"/>
                <w:color w:val="auto"/>
                <w:szCs w:val="21"/>
                <w:highlight w:val="none"/>
              </w:rPr>
              <w:t>备注：须提供职称证、大学专科或以上学历毕业证扫描件。管理经验年限以大学专科或以上学历毕业证的颁发日期开始计算至投标截止时间止。</w:t>
            </w:r>
          </w:p>
        </w:tc>
      </w:tr>
      <w:tr>
        <w:tblPrEx>
          <w:tblCellMar>
            <w:top w:w="0" w:type="dxa"/>
            <w:left w:w="108" w:type="dxa"/>
            <w:bottom w:w="0" w:type="dxa"/>
            <w:right w:w="108" w:type="dxa"/>
          </w:tblCellMar>
        </w:tblPrEx>
        <w:trPr>
          <w:cantSplit/>
          <w:trHeight w:val="1507" w:hRule="exact"/>
          <w:jc w:val="center"/>
        </w:trPr>
        <w:tc>
          <w:tcPr>
            <w:tcW w:w="1099" w:type="dxa"/>
            <w:vMerge w:val="continue"/>
            <w:tcBorders>
              <w:left w:val="single" w:color="auto" w:sz="4"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526"/>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lang w:bidi="ar"/>
              </w:rPr>
              <w:t>技术负责人</w:t>
            </w:r>
          </w:p>
        </w:tc>
        <w:tc>
          <w:tcPr>
            <w:tcW w:w="68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auto"/>
                <w:szCs w:val="21"/>
                <w:highlight w:val="none"/>
              </w:rPr>
            </w:pPr>
            <w:r>
              <w:rPr>
                <w:rFonts w:hint="eastAsia" w:ascii="宋体" w:hAnsi="宋体" w:cs="宋体"/>
                <w:color w:val="auto"/>
                <w:szCs w:val="21"/>
                <w:highlight w:val="none"/>
                <w:lang w:bidi="ar"/>
              </w:rPr>
              <w:t>3</w:t>
            </w:r>
          </w:p>
        </w:tc>
        <w:tc>
          <w:tcPr>
            <w:tcW w:w="11439"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取得市政工程相关专业正高级技术职称，或市政工程相关专业副高级技术职称5年（含5年）以上的，得3分；取得市政工程相关专业副高级技术职称[3-5)年的，得1.5分；取得市政工程相关专业副高级技术职称[1-3)年的，得0.5分；其他不得分，本项最高得3分。</w:t>
            </w:r>
          </w:p>
          <w:p>
            <w:pPr>
              <w:rPr>
                <w:rFonts w:hint="eastAsia" w:ascii="宋体" w:hAnsi="宋体" w:cs="宋体"/>
                <w:color w:val="auto"/>
                <w:szCs w:val="21"/>
                <w:highlight w:val="none"/>
              </w:rPr>
            </w:pPr>
            <w:r>
              <w:rPr>
                <w:rFonts w:hint="eastAsia" w:ascii="宋体" w:hAnsi="宋体" w:cs="宋体"/>
                <w:color w:val="auto"/>
                <w:szCs w:val="21"/>
                <w:highlight w:val="none"/>
              </w:rPr>
              <w:t>注：年限以职称证的发证日期开始计算至投标截止日，不提供或者提供不完整不得分。</w:t>
            </w:r>
          </w:p>
        </w:tc>
      </w:tr>
      <w:tr>
        <w:tblPrEx>
          <w:tblCellMar>
            <w:top w:w="0" w:type="dxa"/>
            <w:left w:w="108" w:type="dxa"/>
            <w:bottom w:w="0" w:type="dxa"/>
            <w:right w:w="108" w:type="dxa"/>
          </w:tblCellMar>
        </w:tblPrEx>
        <w:trPr>
          <w:cantSplit/>
          <w:trHeight w:val="1876" w:hRule="exact"/>
          <w:jc w:val="center"/>
        </w:trPr>
        <w:tc>
          <w:tcPr>
            <w:tcW w:w="1099" w:type="dxa"/>
            <w:vMerge w:val="continue"/>
            <w:tcBorders>
              <w:left w:val="single" w:color="auto" w:sz="4"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526"/>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lang w:bidi="ar"/>
              </w:rPr>
              <w:t>质量负责人</w:t>
            </w:r>
          </w:p>
        </w:tc>
        <w:tc>
          <w:tcPr>
            <w:tcW w:w="68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auto"/>
                <w:szCs w:val="21"/>
                <w:highlight w:val="none"/>
              </w:rPr>
            </w:pPr>
            <w:r>
              <w:rPr>
                <w:rFonts w:hint="eastAsia" w:ascii="宋体" w:hAnsi="宋体" w:cs="宋体"/>
                <w:color w:val="auto"/>
                <w:szCs w:val="21"/>
                <w:highlight w:val="none"/>
                <w:lang w:bidi="ar"/>
              </w:rPr>
              <w:t>3</w:t>
            </w:r>
          </w:p>
        </w:tc>
        <w:tc>
          <w:tcPr>
            <w:tcW w:w="11439"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1、具有工程相关专业副高级或以上技术职称的，得2分；具有工程相关专业中级技术职称的，得1分；具有工程相关专业初级（或助理）技术职称的，得0.5分；其他不得分。本小项最高得2分；</w:t>
            </w:r>
          </w:p>
          <w:p>
            <w:pPr>
              <w:rPr>
                <w:rFonts w:hint="eastAsia" w:ascii="宋体" w:hAnsi="宋体" w:cs="宋体"/>
                <w:color w:val="auto"/>
                <w:szCs w:val="21"/>
                <w:highlight w:val="none"/>
              </w:rPr>
            </w:pPr>
            <w:r>
              <w:rPr>
                <w:rFonts w:hint="eastAsia" w:ascii="宋体" w:hAnsi="宋体" w:cs="宋体"/>
                <w:color w:val="auto"/>
                <w:szCs w:val="21"/>
                <w:highlight w:val="none"/>
              </w:rPr>
              <w:t>2、持有质量员岗位证或培训合格证，得1分，未提供不得分。本小项最高得1分；</w:t>
            </w:r>
          </w:p>
          <w:p>
            <w:pPr>
              <w:rPr>
                <w:color w:val="auto"/>
                <w:highlight w:val="none"/>
              </w:rPr>
            </w:pPr>
            <w:r>
              <w:rPr>
                <w:rFonts w:hint="eastAsia" w:ascii="宋体" w:hAnsi="宋体" w:cs="宋体"/>
                <w:color w:val="auto"/>
                <w:szCs w:val="21"/>
                <w:highlight w:val="none"/>
              </w:rPr>
              <w:t>注：</w:t>
            </w:r>
          </w:p>
          <w:p>
            <w:pPr>
              <w:rPr>
                <w:color w:val="auto"/>
                <w:highlight w:val="none"/>
              </w:rPr>
            </w:pPr>
            <w:r>
              <w:rPr>
                <w:rFonts w:hint="eastAsia" w:ascii="宋体" w:hAnsi="宋体" w:cs="宋体"/>
                <w:color w:val="auto"/>
                <w:szCs w:val="21"/>
                <w:highlight w:val="none"/>
              </w:rPr>
              <w:t>职称按最高级别计分，不累计计算。</w:t>
            </w:r>
          </w:p>
          <w:p>
            <w:pPr>
              <w:rPr>
                <w:rFonts w:hint="eastAsia" w:ascii="宋体" w:hAnsi="宋体" w:cs="宋体"/>
                <w:color w:val="auto"/>
                <w:szCs w:val="21"/>
                <w:highlight w:val="none"/>
              </w:rPr>
            </w:pPr>
            <w:r>
              <w:rPr>
                <w:rFonts w:hint="eastAsia" w:ascii="宋体" w:hAnsi="宋体" w:cs="宋体"/>
                <w:color w:val="auto"/>
                <w:szCs w:val="21"/>
                <w:highlight w:val="none"/>
              </w:rPr>
              <w:t>本项最高得3分。</w:t>
            </w:r>
          </w:p>
        </w:tc>
      </w:tr>
      <w:tr>
        <w:tblPrEx>
          <w:tblCellMar>
            <w:top w:w="0" w:type="dxa"/>
            <w:left w:w="108" w:type="dxa"/>
            <w:bottom w:w="0" w:type="dxa"/>
            <w:right w:w="108" w:type="dxa"/>
          </w:tblCellMar>
        </w:tblPrEx>
        <w:trPr>
          <w:cantSplit/>
          <w:trHeight w:val="1756" w:hRule="exact"/>
          <w:jc w:val="center"/>
        </w:trPr>
        <w:tc>
          <w:tcPr>
            <w:tcW w:w="1099" w:type="dxa"/>
            <w:vMerge w:val="continue"/>
            <w:tcBorders>
              <w:left w:val="single" w:color="auto" w:sz="4"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1526"/>
              </w:tabs>
              <w:adjustRightInd w:val="0"/>
              <w:snapToGrid w:val="0"/>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安全负责人</w:t>
            </w:r>
          </w:p>
        </w:tc>
        <w:tc>
          <w:tcPr>
            <w:tcW w:w="68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auto"/>
                <w:kern w:val="0"/>
                <w:szCs w:val="21"/>
                <w:highlight w:val="none"/>
              </w:rPr>
            </w:pPr>
            <w:r>
              <w:rPr>
                <w:rFonts w:hint="eastAsia" w:ascii="宋体" w:hAnsi="宋体" w:cs="宋体"/>
                <w:color w:val="auto"/>
                <w:szCs w:val="21"/>
                <w:highlight w:val="none"/>
                <w:lang w:bidi="ar"/>
              </w:rPr>
              <w:t>3</w:t>
            </w:r>
          </w:p>
        </w:tc>
        <w:tc>
          <w:tcPr>
            <w:tcW w:w="11439" w:type="dxa"/>
            <w:tcBorders>
              <w:top w:val="single" w:color="auto" w:sz="4" w:space="0"/>
              <w:left w:val="nil"/>
              <w:bottom w:val="single" w:color="auto" w:sz="4" w:space="0"/>
              <w:right w:val="single" w:color="auto" w:sz="4" w:space="0"/>
            </w:tcBorders>
            <w:noWrap w:val="0"/>
            <w:vAlign w:val="center"/>
          </w:tcPr>
          <w:p>
            <w:pPr>
              <w:tabs>
                <w:tab w:val="left" w:pos="1526"/>
              </w:tabs>
              <w:adjustRightInd w:val="0"/>
              <w:snapToGrid w:val="0"/>
              <w:rPr>
                <w:rFonts w:hint="eastAsia" w:ascii="宋体" w:hAnsi="宋体" w:cs="宋体"/>
                <w:color w:val="auto"/>
                <w:szCs w:val="21"/>
                <w:highlight w:val="none"/>
                <w:lang w:bidi="ar"/>
              </w:rPr>
            </w:pPr>
            <w:r>
              <w:rPr>
                <w:rFonts w:hint="eastAsia" w:ascii="宋体" w:hAnsi="宋体" w:cs="宋体"/>
                <w:color w:val="auto"/>
                <w:szCs w:val="21"/>
                <w:highlight w:val="none"/>
                <w:lang w:bidi="ar"/>
              </w:rPr>
              <w:t>1、具有工程</w:t>
            </w:r>
            <w:r>
              <w:rPr>
                <w:rFonts w:hint="eastAsia" w:ascii="宋体" w:hAnsi="宋体" w:cs="宋体"/>
                <w:color w:val="auto"/>
                <w:szCs w:val="21"/>
                <w:highlight w:val="none"/>
              </w:rPr>
              <w:t>相关专业副</w:t>
            </w:r>
            <w:r>
              <w:rPr>
                <w:rFonts w:hint="eastAsia" w:ascii="宋体" w:hAnsi="宋体" w:cs="宋体"/>
                <w:color w:val="auto"/>
                <w:szCs w:val="21"/>
                <w:highlight w:val="none"/>
                <w:lang w:bidi="ar"/>
              </w:rPr>
              <w:t>高级或以上技术职称的，得2分；具有工程</w:t>
            </w:r>
            <w:r>
              <w:rPr>
                <w:rFonts w:hint="eastAsia" w:ascii="宋体" w:hAnsi="宋体" w:cs="宋体"/>
                <w:color w:val="auto"/>
                <w:szCs w:val="21"/>
                <w:highlight w:val="none"/>
              </w:rPr>
              <w:t>相关专业</w:t>
            </w:r>
            <w:r>
              <w:rPr>
                <w:rFonts w:hint="eastAsia" w:ascii="宋体" w:hAnsi="宋体" w:cs="宋体"/>
                <w:color w:val="auto"/>
                <w:szCs w:val="21"/>
                <w:highlight w:val="none"/>
                <w:lang w:bidi="ar"/>
              </w:rPr>
              <w:t>中级技术职称的，得1分；具有工程</w:t>
            </w:r>
            <w:r>
              <w:rPr>
                <w:rFonts w:hint="eastAsia" w:ascii="宋体" w:hAnsi="宋体" w:cs="宋体"/>
                <w:color w:val="auto"/>
                <w:szCs w:val="21"/>
                <w:highlight w:val="none"/>
              </w:rPr>
              <w:t>相关专业</w:t>
            </w:r>
            <w:r>
              <w:rPr>
                <w:rFonts w:hint="eastAsia" w:ascii="宋体" w:hAnsi="宋体" w:cs="宋体"/>
                <w:color w:val="auto"/>
                <w:szCs w:val="21"/>
                <w:highlight w:val="none"/>
                <w:lang w:bidi="ar"/>
              </w:rPr>
              <w:t>初级</w:t>
            </w:r>
            <w:r>
              <w:rPr>
                <w:rFonts w:hint="eastAsia" w:ascii="宋体" w:hAnsi="宋体" w:cs="宋体"/>
                <w:color w:val="auto"/>
                <w:szCs w:val="21"/>
                <w:highlight w:val="none"/>
              </w:rPr>
              <w:t>（或助理）</w:t>
            </w:r>
            <w:r>
              <w:rPr>
                <w:rFonts w:hint="eastAsia" w:ascii="宋体" w:hAnsi="宋体" w:cs="宋体"/>
                <w:color w:val="auto"/>
                <w:szCs w:val="21"/>
                <w:highlight w:val="none"/>
                <w:lang w:bidi="ar"/>
              </w:rPr>
              <w:t>技术职称的，得0.5分；其他不得分。本</w:t>
            </w:r>
            <w:r>
              <w:rPr>
                <w:rFonts w:hint="eastAsia" w:ascii="宋体" w:hAnsi="宋体" w:cs="宋体"/>
                <w:color w:val="auto"/>
                <w:szCs w:val="21"/>
                <w:highlight w:val="none"/>
              </w:rPr>
              <w:t>小</w:t>
            </w:r>
            <w:r>
              <w:rPr>
                <w:rFonts w:hint="eastAsia" w:ascii="宋体" w:hAnsi="宋体" w:cs="宋体"/>
                <w:color w:val="auto"/>
                <w:szCs w:val="21"/>
                <w:highlight w:val="none"/>
                <w:lang w:bidi="ar"/>
              </w:rPr>
              <w:t>项最高得2分；</w:t>
            </w:r>
          </w:p>
          <w:p>
            <w:pPr>
              <w:tabs>
                <w:tab w:val="left" w:pos="1526"/>
              </w:tabs>
              <w:adjustRightInd w:val="0"/>
              <w:snapToGrid w:val="0"/>
              <w:rPr>
                <w:rFonts w:hint="eastAsia" w:ascii="宋体" w:hAnsi="宋体" w:cs="宋体"/>
                <w:color w:val="auto"/>
                <w:szCs w:val="21"/>
                <w:highlight w:val="none"/>
                <w:lang w:bidi="ar"/>
              </w:rPr>
            </w:pPr>
            <w:r>
              <w:rPr>
                <w:rFonts w:hint="eastAsia" w:ascii="宋体" w:hAnsi="宋体" w:cs="宋体"/>
                <w:color w:val="auto"/>
                <w:szCs w:val="21"/>
                <w:highlight w:val="none"/>
                <w:lang w:bidi="ar"/>
              </w:rPr>
              <w:t>2、持有注册安全工程师注册证书的（注册单位为投标人公司），得1分。未提供不得分，本小项最高得1分；</w:t>
            </w:r>
          </w:p>
          <w:p>
            <w:pPr>
              <w:rPr>
                <w:color w:val="auto"/>
                <w:highlight w:val="none"/>
              </w:rPr>
            </w:pPr>
            <w:r>
              <w:rPr>
                <w:rFonts w:hint="eastAsia" w:ascii="宋体" w:hAnsi="宋体" w:cs="宋体"/>
                <w:color w:val="auto"/>
                <w:szCs w:val="21"/>
                <w:highlight w:val="none"/>
              </w:rPr>
              <w:t>注：职称按最高级别计分，不累计计算。</w:t>
            </w:r>
          </w:p>
          <w:p>
            <w:pPr>
              <w:rPr>
                <w:rFonts w:hint="eastAsia" w:ascii="宋体" w:hAnsi="宋体" w:cs="宋体"/>
                <w:color w:val="auto"/>
                <w:szCs w:val="21"/>
                <w:highlight w:val="none"/>
              </w:rPr>
            </w:pPr>
            <w:r>
              <w:rPr>
                <w:rFonts w:hint="eastAsia" w:ascii="宋体" w:hAnsi="宋体" w:cs="宋体"/>
                <w:color w:val="auto"/>
                <w:szCs w:val="21"/>
                <w:highlight w:val="none"/>
              </w:rPr>
              <w:t>本项最高得3分。</w:t>
            </w:r>
          </w:p>
        </w:tc>
      </w:tr>
      <w:tr>
        <w:tblPrEx>
          <w:tblCellMar>
            <w:top w:w="0" w:type="dxa"/>
            <w:left w:w="108" w:type="dxa"/>
            <w:bottom w:w="0" w:type="dxa"/>
            <w:right w:w="108" w:type="dxa"/>
          </w:tblCellMar>
        </w:tblPrEx>
        <w:trPr>
          <w:cantSplit/>
          <w:trHeight w:val="1177" w:hRule="exact"/>
          <w:jc w:val="center"/>
        </w:trPr>
        <w:tc>
          <w:tcPr>
            <w:tcW w:w="1099"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nil"/>
              <w:bottom w:val="single" w:color="auto" w:sz="4" w:space="0"/>
              <w:right w:val="single" w:color="auto" w:sz="4" w:space="0"/>
            </w:tcBorders>
            <w:noWrap w:val="0"/>
            <w:vAlign w:val="center"/>
          </w:tcPr>
          <w:p>
            <w:pPr>
              <w:widowControl/>
              <w:tabs>
                <w:tab w:val="left" w:pos="1526"/>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lang w:bidi="ar"/>
              </w:rPr>
              <w:t>其他人员</w:t>
            </w:r>
          </w:p>
        </w:tc>
        <w:tc>
          <w:tcPr>
            <w:tcW w:w="68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auto"/>
                <w:szCs w:val="21"/>
                <w:highlight w:val="none"/>
              </w:rPr>
            </w:pPr>
            <w:r>
              <w:rPr>
                <w:rFonts w:hint="eastAsia" w:ascii="宋体" w:hAnsi="宋体" w:cs="宋体"/>
                <w:color w:val="auto"/>
                <w:szCs w:val="21"/>
                <w:highlight w:val="none"/>
                <w:lang w:bidi="ar"/>
              </w:rPr>
              <w:t>3</w:t>
            </w:r>
          </w:p>
        </w:tc>
        <w:tc>
          <w:tcPr>
            <w:tcW w:w="11439" w:type="dxa"/>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t>除项目负责人及上述人员外，路桥相关专业中级或以上技术职称4人、机电或电气相关专业中级或以上技术职称1人、机械相关专业中级或以上技术职称1人、满足上述要求的，得3分，每少一人在3分的基础上扣0.5分，扣完为止。</w:t>
            </w:r>
          </w:p>
        </w:tc>
      </w:tr>
      <w:tr>
        <w:tblPrEx>
          <w:tblCellMar>
            <w:top w:w="0" w:type="dxa"/>
            <w:left w:w="108" w:type="dxa"/>
            <w:bottom w:w="0" w:type="dxa"/>
            <w:right w:w="108" w:type="dxa"/>
          </w:tblCellMar>
        </w:tblPrEx>
        <w:trPr>
          <w:cantSplit/>
          <w:trHeight w:val="566" w:hRule="atLeast"/>
          <w:jc w:val="center"/>
        </w:trPr>
        <w:tc>
          <w:tcPr>
            <w:tcW w:w="109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三、企业资信（30分）</w:t>
            </w:r>
          </w:p>
        </w:tc>
        <w:tc>
          <w:tcPr>
            <w:tcW w:w="1499" w:type="dxa"/>
            <w:tcBorders>
              <w:top w:val="single" w:color="auto" w:sz="4" w:space="0"/>
              <w:left w:val="nil"/>
              <w:bottom w:val="single" w:color="auto" w:sz="4" w:space="0"/>
              <w:right w:val="single" w:color="auto" w:sz="4" w:space="0"/>
            </w:tcBorders>
            <w:noWrap w:val="0"/>
            <w:vAlign w:val="center"/>
          </w:tcPr>
          <w:p>
            <w:pPr>
              <w:snapToGrid w:val="0"/>
              <w:spacing w:line="3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企业业绩</w:t>
            </w:r>
          </w:p>
        </w:tc>
        <w:tc>
          <w:tcPr>
            <w:tcW w:w="686" w:type="dxa"/>
            <w:tcBorders>
              <w:top w:val="single" w:color="auto" w:sz="4" w:space="0"/>
              <w:left w:val="nil"/>
              <w:bottom w:val="single" w:color="auto" w:sz="4" w:space="0"/>
              <w:right w:val="single" w:color="auto" w:sz="4" w:space="0"/>
            </w:tcBorders>
            <w:noWrap w:val="0"/>
            <w:vAlign w:val="center"/>
          </w:tcPr>
          <w:p>
            <w:pPr>
              <w:snapToGrid w:val="0"/>
              <w:spacing w:line="3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8</w:t>
            </w:r>
          </w:p>
        </w:tc>
        <w:tc>
          <w:tcPr>
            <w:tcW w:w="11439" w:type="dxa"/>
            <w:tcBorders>
              <w:top w:val="single" w:color="auto" w:sz="4" w:space="0"/>
              <w:left w:val="nil"/>
              <w:bottom w:val="single" w:color="auto" w:sz="4" w:space="0"/>
              <w:right w:val="single" w:color="auto" w:sz="4" w:space="0"/>
            </w:tcBorders>
            <w:noWrap w:val="0"/>
            <w:vAlign w:val="center"/>
          </w:tcPr>
          <w:p>
            <w:pPr>
              <w:spacing w:line="360" w:lineRule="exact"/>
              <w:ind w:right="134"/>
              <w:rPr>
                <w:rFonts w:hint="eastAsia" w:ascii="宋体" w:hAnsi="宋体" w:cs="宋体"/>
                <w:color w:val="auto"/>
                <w:szCs w:val="21"/>
                <w:highlight w:val="none"/>
              </w:rPr>
            </w:pPr>
            <w:r>
              <w:rPr>
                <w:rFonts w:hint="eastAsia" w:ascii="宋体" w:hAnsi="宋体" w:cs="宋体"/>
                <w:color w:val="auto"/>
                <w:szCs w:val="21"/>
                <w:highlight w:val="none"/>
                <w:lang w:bidi="ar"/>
              </w:rPr>
              <w:t>投标人自2021年1月1日至投标截止之日止，完成过质量合格的类似工程业绩的，每项2分，本项最高得8分。</w:t>
            </w:r>
          </w:p>
        </w:tc>
      </w:tr>
      <w:tr>
        <w:tblPrEx>
          <w:tblCellMar>
            <w:top w:w="0" w:type="dxa"/>
            <w:left w:w="108" w:type="dxa"/>
            <w:bottom w:w="0" w:type="dxa"/>
            <w:right w:w="108" w:type="dxa"/>
          </w:tblCellMar>
        </w:tblPrEx>
        <w:trPr>
          <w:cantSplit/>
          <w:trHeight w:val="554" w:hRule="atLeast"/>
          <w:jc w:val="center"/>
        </w:trPr>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tcBorders>
              <w:top w:val="single" w:color="auto" w:sz="4" w:space="0"/>
              <w:left w:val="nil"/>
              <w:bottom w:val="single" w:color="auto" w:sz="4" w:space="0"/>
              <w:right w:val="single" w:color="auto" w:sz="4" w:space="0"/>
            </w:tcBorders>
            <w:noWrap w:val="0"/>
            <w:vAlign w:val="center"/>
          </w:tcPr>
          <w:p>
            <w:pPr>
              <w:snapToGrid w:val="0"/>
              <w:spacing w:line="3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工程获奖</w:t>
            </w:r>
          </w:p>
        </w:tc>
        <w:tc>
          <w:tcPr>
            <w:tcW w:w="68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7</w:t>
            </w:r>
          </w:p>
        </w:tc>
        <w:tc>
          <w:tcPr>
            <w:tcW w:w="11439" w:type="dxa"/>
            <w:tcBorders>
              <w:top w:val="single" w:color="auto" w:sz="4" w:space="0"/>
              <w:left w:val="nil"/>
              <w:bottom w:val="single" w:color="auto" w:sz="4" w:space="0"/>
              <w:right w:val="single" w:color="auto" w:sz="4" w:space="0"/>
            </w:tcBorders>
            <w:noWrap w:val="0"/>
            <w:vAlign w:val="center"/>
          </w:tcPr>
          <w:p>
            <w:pPr>
              <w:spacing w:line="360" w:lineRule="exact"/>
              <w:ind w:right="134"/>
              <w:rPr>
                <w:rFonts w:hint="eastAsia" w:ascii="宋体" w:hAnsi="宋体" w:cs="宋体"/>
                <w:color w:val="auto"/>
                <w:szCs w:val="21"/>
                <w:highlight w:val="none"/>
              </w:rPr>
            </w:pPr>
            <w:r>
              <w:rPr>
                <w:rFonts w:hint="eastAsia" w:ascii="宋体" w:hAnsi="宋体" w:cs="宋体"/>
                <w:color w:val="auto"/>
                <w:szCs w:val="21"/>
                <w:highlight w:val="none"/>
              </w:rPr>
              <w:t>投标人自2021年1月1日至今完成过的</w:t>
            </w:r>
            <w:r>
              <w:rPr>
                <w:rFonts w:hint="eastAsia" w:ascii="宋体" w:hAnsi="宋体" w:cs="宋体"/>
                <w:color w:val="auto"/>
                <w:szCs w:val="21"/>
                <w:highlight w:val="none"/>
                <w:lang w:bidi="ar"/>
              </w:rPr>
              <w:t>工程</w:t>
            </w:r>
            <w:r>
              <w:rPr>
                <w:rFonts w:hint="eastAsia" w:ascii="宋体" w:hAnsi="宋体" w:cs="宋体"/>
                <w:color w:val="auto"/>
                <w:szCs w:val="21"/>
                <w:highlight w:val="none"/>
              </w:rPr>
              <w:t>项目，获得国家级质量奖项的，每项得3.5分，最高可得7分；获得省级质量奖项的，每项得2分；获得市级（含副省级）质量奖项的，每项得1分；省级质量奖项和市级（含副省级）质量奖项得分累计最高得4分。</w:t>
            </w:r>
          </w:p>
          <w:p>
            <w:pPr>
              <w:spacing w:line="360" w:lineRule="exact"/>
              <w:ind w:right="134"/>
              <w:rPr>
                <w:rFonts w:hint="eastAsia" w:ascii="宋体" w:hAnsi="宋体" w:cs="宋体"/>
                <w:color w:val="auto"/>
                <w:szCs w:val="21"/>
                <w:highlight w:val="none"/>
              </w:rPr>
            </w:pPr>
            <w:r>
              <w:rPr>
                <w:rFonts w:hint="eastAsia" w:ascii="宋体" w:hAnsi="宋体" w:cs="宋体"/>
                <w:color w:val="auto"/>
                <w:szCs w:val="21"/>
                <w:highlight w:val="none"/>
              </w:rPr>
              <w:t>本项最高得7分。</w:t>
            </w:r>
          </w:p>
        </w:tc>
      </w:tr>
      <w:tr>
        <w:tblPrEx>
          <w:tblCellMar>
            <w:top w:w="0" w:type="dxa"/>
            <w:left w:w="108" w:type="dxa"/>
            <w:bottom w:w="0" w:type="dxa"/>
            <w:right w:w="108" w:type="dxa"/>
          </w:tblCellMar>
        </w:tblPrEx>
        <w:trPr>
          <w:cantSplit/>
          <w:trHeight w:val="917" w:hRule="atLeast"/>
          <w:jc w:val="center"/>
        </w:trPr>
        <w:tc>
          <w:tcPr>
            <w:tcW w:w="1099" w:type="dxa"/>
            <w:vMerge w:val="continue"/>
            <w:tcBorders>
              <w:top w:val="single" w:color="auto" w:sz="4" w:space="0"/>
              <w:left w:val="single" w:color="auto" w:sz="8"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vMerge w:val="restart"/>
            <w:tcBorders>
              <w:top w:val="single" w:color="auto" w:sz="4" w:space="0"/>
              <w:left w:val="nil"/>
              <w:right w:val="single" w:color="auto" w:sz="4" w:space="0"/>
            </w:tcBorders>
            <w:noWrap w:val="0"/>
            <w:vAlign w:val="center"/>
          </w:tcPr>
          <w:p>
            <w:pPr>
              <w:snapToGrid w:val="0"/>
              <w:spacing w:line="3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工程研发能力</w:t>
            </w:r>
          </w:p>
        </w:tc>
        <w:tc>
          <w:tcPr>
            <w:tcW w:w="686" w:type="dxa"/>
            <w:tcBorders>
              <w:top w:val="single" w:color="auto" w:sz="4" w:space="0"/>
              <w:left w:val="nil"/>
              <w:right w:val="single" w:color="auto" w:sz="4" w:space="0"/>
            </w:tcBorders>
            <w:noWrap w:val="0"/>
            <w:vAlign w:val="center"/>
          </w:tcPr>
          <w:p>
            <w:pPr>
              <w:widowControl/>
              <w:snapToGrid w:val="0"/>
              <w:spacing w:line="3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1439" w:type="dxa"/>
            <w:tcBorders>
              <w:top w:val="single" w:color="auto" w:sz="4" w:space="0"/>
              <w:left w:val="nil"/>
              <w:bottom w:val="single" w:color="auto" w:sz="4" w:space="0"/>
              <w:right w:val="single" w:color="auto" w:sz="4" w:space="0"/>
            </w:tcBorders>
            <w:noWrap w:val="0"/>
            <w:vAlign w:val="center"/>
          </w:tcPr>
          <w:p>
            <w:pPr>
              <w:spacing w:line="360" w:lineRule="exact"/>
              <w:ind w:right="134"/>
              <w:rPr>
                <w:rFonts w:hint="eastAsia" w:ascii="宋体" w:hAnsi="宋体" w:cs="宋体"/>
                <w:color w:val="auto"/>
                <w:szCs w:val="21"/>
                <w:highlight w:val="none"/>
              </w:rPr>
            </w:pPr>
            <w:r>
              <w:rPr>
                <w:rFonts w:hint="eastAsia" w:ascii="宋体" w:hAnsi="宋体" w:cs="宋体"/>
                <w:color w:val="auto"/>
                <w:szCs w:val="21"/>
                <w:highlight w:val="none"/>
              </w:rPr>
              <w:t>投标人自2021年1月1日至今，获得国家级科学技术奖的，每项得1.5分，最高可得6分；获得省级科学技术奖的，每项得0.5分，获得市级（含副省级）科学技术奖的，每项得0.2分，省市级累计最高得2分。本项最高得6分。</w:t>
            </w:r>
          </w:p>
        </w:tc>
      </w:tr>
      <w:tr>
        <w:tblPrEx>
          <w:tblCellMar>
            <w:top w:w="0" w:type="dxa"/>
            <w:left w:w="108" w:type="dxa"/>
            <w:bottom w:w="0" w:type="dxa"/>
            <w:right w:w="108" w:type="dxa"/>
          </w:tblCellMar>
        </w:tblPrEx>
        <w:trPr>
          <w:cantSplit/>
          <w:trHeight w:val="917" w:hRule="atLeast"/>
          <w:jc w:val="center"/>
        </w:trPr>
        <w:tc>
          <w:tcPr>
            <w:tcW w:w="1099" w:type="dxa"/>
            <w:vMerge w:val="continue"/>
            <w:tcBorders>
              <w:top w:val="single" w:color="auto" w:sz="4" w:space="0"/>
              <w:left w:val="single" w:color="auto" w:sz="8"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vMerge w:val="continue"/>
            <w:tcBorders>
              <w:left w:val="nil"/>
              <w:right w:val="single" w:color="auto" w:sz="4" w:space="0"/>
            </w:tcBorders>
            <w:noWrap w:val="0"/>
            <w:vAlign w:val="center"/>
          </w:tcPr>
          <w:p>
            <w:pPr>
              <w:snapToGrid w:val="0"/>
              <w:spacing w:line="340" w:lineRule="exact"/>
              <w:jc w:val="center"/>
              <w:rPr>
                <w:rFonts w:hint="eastAsia" w:ascii="宋体" w:hAnsi="宋体" w:cs="宋体"/>
                <w:color w:val="auto"/>
                <w:kern w:val="0"/>
                <w:szCs w:val="21"/>
                <w:highlight w:val="none"/>
              </w:rPr>
            </w:pPr>
          </w:p>
        </w:tc>
        <w:tc>
          <w:tcPr>
            <w:tcW w:w="686" w:type="dxa"/>
            <w:tcBorders>
              <w:top w:val="single" w:color="auto" w:sz="4" w:space="0"/>
              <w:left w:val="nil"/>
              <w:right w:val="single" w:color="auto" w:sz="4" w:space="0"/>
            </w:tcBorders>
            <w:noWrap w:val="0"/>
            <w:vAlign w:val="center"/>
          </w:tcPr>
          <w:p>
            <w:pPr>
              <w:widowControl/>
              <w:snapToGrid w:val="0"/>
              <w:spacing w:line="3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1439" w:type="dxa"/>
            <w:tcBorders>
              <w:top w:val="single" w:color="auto" w:sz="4" w:space="0"/>
              <w:left w:val="nil"/>
              <w:bottom w:val="single" w:color="auto" w:sz="4" w:space="0"/>
              <w:right w:val="single" w:color="auto" w:sz="4" w:space="0"/>
            </w:tcBorders>
            <w:noWrap w:val="0"/>
            <w:vAlign w:val="center"/>
          </w:tcPr>
          <w:p>
            <w:pPr>
              <w:spacing w:line="360" w:lineRule="exact"/>
              <w:ind w:right="134"/>
              <w:rPr>
                <w:rFonts w:hint="eastAsia" w:ascii="宋体" w:hAnsi="宋体" w:cs="宋体"/>
                <w:color w:val="auto"/>
                <w:szCs w:val="21"/>
                <w:highlight w:val="none"/>
              </w:rPr>
            </w:pPr>
            <w:r>
              <w:rPr>
                <w:rFonts w:hint="eastAsia"/>
                <w:color w:val="auto"/>
                <w:highlight w:val="none"/>
              </w:rPr>
              <w:t>投标人</w:t>
            </w:r>
            <w:r>
              <w:rPr>
                <w:rFonts w:hint="eastAsia"/>
                <w:color w:val="auto"/>
                <w:highlight w:val="none"/>
                <w:lang w:val="en-US" w:eastAsia="zh-CN"/>
              </w:rPr>
              <w:t>拥有</w:t>
            </w:r>
            <w:r>
              <w:rPr>
                <w:rFonts w:hint="eastAsia"/>
                <w:color w:val="auto"/>
                <w:highlight w:val="none"/>
              </w:rPr>
              <w:t>省级及以上政府部门认定的工程技术研究中心的得3分；</w:t>
            </w:r>
            <w:r>
              <w:rPr>
                <w:rFonts w:hint="eastAsia"/>
                <w:color w:val="auto"/>
                <w:highlight w:val="none"/>
                <w:lang w:val="en-US" w:eastAsia="zh-CN"/>
              </w:rPr>
              <w:t>拥有</w:t>
            </w:r>
            <w:r>
              <w:rPr>
                <w:rFonts w:hint="eastAsia"/>
                <w:color w:val="auto"/>
                <w:highlight w:val="none"/>
              </w:rPr>
              <w:t>市级</w:t>
            </w:r>
            <w:r>
              <w:rPr>
                <w:rFonts w:hint="eastAsia"/>
                <w:color w:val="auto"/>
                <w:highlight w:val="none"/>
                <w:lang w:eastAsia="zh-CN"/>
              </w:rPr>
              <w:t>（含副省级）</w:t>
            </w:r>
            <w:r>
              <w:rPr>
                <w:rFonts w:hint="eastAsia"/>
                <w:color w:val="auto"/>
                <w:highlight w:val="none"/>
              </w:rPr>
              <w:t>政府部门认定的工程技术研究中心的得1分。</w:t>
            </w:r>
          </w:p>
        </w:tc>
      </w:tr>
      <w:tr>
        <w:tblPrEx>
          <w:tblCellMar>
            <w:top w:w="0" w:type="dxa"/>
            <w:left w:w="108" w:type="dxa"/>
            <w:bottom w:w="0" w:type="dxa"/>
            <w:right w:w="108" w:type="dxa"/>
          </w:tblCellMar>
        </w:tblPrEx>
        <w:trPr>
          <w:cantSplit/>
          <w:trHeight w:val="770" w:hRule="atLeast"/>
          <w:jc w:val="center"/>
        </w:trPr>
        <w:tc>
          <w:tcPr>
            <w:tcW w:w="1099" w:type="dxa"/>
            <w:vMerge w:val="continue"/>
            <w:tcBorders>
              <w:top w:val="single" w:color="auto" w:sz="4" w:space="0"/>
              <w:left w:val="single" w:color="auto" w:sz="8"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vMerge w:val="restart"/>
            <w:tcBorders>
              <w:top w:val="single" w:color="auto" w:sz="4" w:space="0"/>
              <w:left w:val="nil"/>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kern w:val="0"/>
                <w:szCs w:val="21"/>
                <w:highlight w:val="none"/>
              </w:rPr>
              <w:t>第三方评价</w:t>
            </w:r>
          </w:p>
        </w:tc>
        <w:tc>
          <w:tcPr>
            <w:tcW w:w="68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1439" w:type="dxa"/>
            <w:tcBorders>
              <w:top w:val="single" w:color="auto" w:sz="4" w:space="0"/>
              <w:left w:val="nil"/>
              <w:bottom w:val="single" w:color="auto" w:sz="4" w:space="0"/>
              <w:right w:val="single" w:color="auto" w:sz="4" w:space="0"/>
            </w:tcBorders>
            <w:noWrap w:val="0"/>
            <w:vAlign w:val="center"/>
          </w:tcPr>
          <w:p>
            <w:pPr>
              <w:spacing w:line="360" w:lineRule="exact"/>
              <w:ind w:right="134"/>
              <w:rPr>
                <w:rFonts w:hint="eastAsia" w:ascii="宋体" w:hAnsi="宋体" w:cs="宋体"/>
                <w:color w:val="auto"/>
                <w:kern w:val="0"/>
                <w:szCs w:val="21"/>
                <w:highlight w:val="none"/>
              </w:rPr>
            </w:pPr>
            <w:r>
              <w:rPr>
                <w:rFonts w:hint="eastAsia" w:ascii="宋体" w:hAnsi="宋体" w:cs="宋体"/>
                <w:color w:val="auto"/>
                <w:kern w:val="0"/>
                <w:szCs w:val="21"/>
                <w:highlight w:val="none"/>
              </w:rPr>
              <w:t>投标人具备有效期内的质量管理体系认证、职业健康安全管理体系认证、环境管理体系认证、知识产权管理体系认证4项的得3分；具备其中3项的，得1分；具备其中2项的，得0.5分；具备其中1项的，得0.2分；其他不得分。</w:t>
            </w:r>
          </w:p>
        </w:tc>
      </w:tr>
      <w:tr>
        <w:tblPrEx>
          <w:tblCellMar>
            <w:top w:w="0" w:type="dxa"/>
            <w:left w:w="108" w:type="dxa"/>
            <w:bottom w:w="0" w:type="dxa"/>
            <w:right w:w="108" w:type="dxa"/>
          </w:tblCellMar>
        </w:tblPrEx>
        <w:trPr>
          <w:cantSplit/>
          <w:trHeight w:val="1147" w:hRule="atLeast"/>
          <w:jc w:val="center"/>
        </w:trPr>
        <w:tc>
          <w:tcPr>
            <w:tcW w:w="1099" w:type="dxa"/>
            <w:vMerge w:val="continue"/>
            <w:tcBorders>
              <w:left w:val="single" w:color="auto" w:sz="8" w:space="0"/>
              <w:bottom w:val="single" w:color="auto" w:sz="4" w:space="0"/>
              <w:right w:val="single" w:color="auto" w:sz="4" w:space="0"/>
            </w:tcBorders>
            <w:noWrap w:val="0"/>
            <w:vAlign w:val="center"/>
          </w:tcPr>
          <w:p>
            <w:pPr>
              <w:widowControl/>
              <w:spacing w:line="340" w:lineRule="exact"/>
              <w:jc w:val="left"/>
              <w:rPr>
                <w:rFonts w:hint="eastAsia" w:ascii="宋体" w:hAnsi="宋体" w:cs="宋体"/>
                <w:color w:val="auto"/>
                <w:szCs w:val="21"/>
                <w:highlight w:val="none"/>
              </w:rPr>
            </w:pPr>
          </w:p>
        </w:tc>
        <w:tc>
          <w:tcPr>
            <w:tcW w:w="1499" w:type="dxa"/>
            <w:vMerge w:val="continue"/>
            <w:tcBorders>
              <w:left w:val="nil"/>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p>
        </w:tc>
        <w:tc>
          <w:tcPr>
            <w:tcW w:w="686" w:type="dxa"/>
            <w:tcBorders>
              <w:top w:val="single" w:color="auto" w:sz="4" w:space="0"/>
              <w:left w:val="nil"/>
              <w:bottom w:val="single" w:color="auto" w:sz="4" w:space="0"/>
              <w:right w:val="single" w:color="auto" w:sz="4" w:space="0"/>
            </w:tcBorders>
            <w:noWrap w:val="0"/>
            <w:vAlign w:val="center"/>
          </w:tcPr>
          <w:p>
            <w:pPr>
              <w:widowControl/>
              <w:snapToGrid w:val="0"/>
              <w:spacing w:line="34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3</w:t>
            </w:r>
          </w:p>
        </w:tc>
        <w:tc>
          <w:tcPr>
            <w:tcW w:w="11439" w:type="dxa"/>
            <w:tcBorders>
              <w:top w:val="single" w:color="auto" w:sz="4" w:space="0"/>
              <w:left w:val="nil"/>
              <w:bottom w:val="single" w:color="auto" w:sz="4" w:space="0"/>
              <w:right w:val="single" w:color="auto" w:sz="4" w:space="0"/>
            </w:tcBorders>
            <w:noWrap w:val="0"/>
            <w:vAlign w:val="center"/>
          </w:tcPr>
          <w:p>
            <w:pPr>
              <w:spacing w:line="360" w:lineRule="exact"/>
              <w:ind w:right="134"/>
              <w:rPr>
                <w:rFonts w:hint="eastAsia" w:ascii="宋体" w:hAnsi="宋体" w:cs="宋体"/>
                <w:color w:val="auto"/>
                <w:szCs w:val="21"/>
                <w:highlight w:val="none"/>
              </w:rPr>
            </w:pPr>
            <w:r>
              <w:rPr>
                <w:rFonts w:hint="eastAsia" w:ascii="宋体" w:hAnsi="宋体" w:cs="宋体"/>
                <w:color w:val="auto"/>
                <w:szCs w:val="21"/>
                <w:highlight w:val="none"/>
              </w:rPr>
              <w:t>至投标截止时间（须包含2022年度），投标人连续被评为“纳税信用A级纳税人”的年限：连续5年或以上的，得3分；连续3-4年的，得1.5分；连续1-2年的，得0.5分；其余不得分。本项最高得3分。</w:t>
            </w:r>
          </w:p>
        </w:tc>
      </w:tr>
      <w:tr>
        <w:tblPrEx>
          <w:tblCellMar>
            <w:top w:w="0" w:type="dxa"/>
            <w:left w:w="108" w:type="dxa"/>
            <w:bottom w:w="0" w:type="dxa"/>
            <w:right w:w="108" w:type="dxa"/>
          </w:tblCellMar>
        </w:tblPrEx>
        <w:trPr>
          <w:cantSplit/>
          <w:trHeight w:val="470" w:hRule="atLeast"/>
          <w:jc w:val="center"/>
        </w:trPr>
        <w:tc>
          <w:tcPr>
            <w:tcW w:w="2598" w:type="dxa"/>
            <w:gridSpan w:val="2"/>
            <w:tcBorders>
              <w:top w:val="single" w:color="auto" w:sz="4" w:space="0"/>
              <w:left w:val="single" w:color="auto" w:sz="8" w:space="0"/>
              <w:bottom w:val="single" w:color="auto" w:sz="4" w:space="0"/>
              <w:right w:val="single" w:color="auto" w:sz="4" w:space="0"/>
            </w:tcBorders>
            <w:noWrap w:val="0"/>
            <w:vAlign w:val="center"/>
          </w:tcPr>
          <w:p>
            <w:pPr>
              <w:widowControl/>
              <w:adjustRightInd w:val="0"/>
              <w:snapToGrid w:val="0"/>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合计（一+二+三）</w:t>
            </w:r>
          </w:p>
        </w:tc>
        <w:tc>
          <w:tcPr>
            <w:tcW w:w="6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11439" w:type="dxa"/>
            <w:tcBorders>
              <w:top w:val="single" w:color="auto" w:sz="4" w:space="0"/>
              <w:left w:val="nil"/>
              <w:bottom w:val="single" w:color="auto" w:sz="4" w:space="0"/>
              <w:right w:val="single" w:color="auto" w:sz="4" w:space="0"/>
            </w:tcBorders>
            <w:noWrap w:val="0"/>
            <w:vAlign w:val="center"/>
          </w:tcPr>
          <w:p>
            <w:pPr>
              <w:adjustRightInd w:val="0"/>
              <w:snapToGrid w:val="0"/>
              <w:spacing w:line="340" w:lineRule="exact"/>
              <w:rPr>
                <w:rFonts w:hint="eastAsia" w:ascii="宋体" w:hAnsi="宋体" w:cs="宋体"/>
                <w:color w:val="auto"/>
                <w:szCs w:val="21"/>
                <w:highlight w:val="none"/>
              </w:rPr>
            </w:pPr>
          </w:p>
        </w:tc>
      </w:tr>
    </w:tbl>
    <w:p>
      <w:pPr>
        <w:spacing w:line="360" w:lineRule="exact"/>
        <w:ind w:firstLine="420" w:firstLineChars="200"/>
        <w:rPr>
          <w:rFonts w:ascii="宋体" w:hAnsi="宋体"/>
          <w:bCs/>
          <w:color w:val="auto"/>
          <w:sz w:val="21"/>
          <w:szCs w:val="21"/>
          <w:highlight w:val="none"/>
        </w:rPr>
      </w:pPr>
      <w:r>
        <w:rPr>
          <w:rFonts w:hint="eastAsia" w:ascii="宋体" w:hAnsi="宋体"/>
          <w:color w:val="auto"/>
          <w:sz w:val="21"/>
          <w:szCs w:val="21"/>
          <w:highlight w:val="none"/>
        </w:rPr>
        <w:t>备注：1、</w:t>
      </w:r>
      <w:r>
        <w:rPr>
          <w:rFonts w:hint="eastAsia" w:ascii="宋体" w:hAnsi="宋体" w:cs="宋体"/>
          <w:bCs/>
          <w:color w:val="auto"/>
          <w:kern w:val="0"/>
          <w:sz w:val="21"/>
          <w:szCs w:val="21"/>
          <w:highlight w:val="none"/>
        </w:rPr>
        <w:t>企业业绩：类似工程是指单项工程金额</w:t>
      </w:r>
      <w:r>
        <w:rPr>
          <w:rFonts w:hint="eastAsia" w:ascii="宋体" w:hAnsi="宋体" w:cs="宋体"/>
          <w:bCs/>
          <w:color w:val="auto"/>
          <w:kern w:val="0"/>
          <w:sz w:val="21"/>
          <w:szCs w:val="21"/>
          <w:highlight w:val="none"/>
          <w:lang w:eastAsia="zh-CN"/>
        </w:rPr>
        <w:t>5800万元</w:t>
      </w:r>
      <w:r>
        <w:rPr>
          <w:rFonts w:hint="eastAsia" w:ascii="宋体" w:hAnsi="宋体" w:cs="宋体"/>
          <w:bCs/>
          <w:color w:val="auto"/>
          <w:kern w:val="0"/>
          <w:sz w:val="21"/>
          <w:szCs w:val="21"/>
          <w:highlight w:val="none"/>
        </w:rPr>
        <w:t>（或以上）的市政公用工程施工总承包业绩，若业绩为联合体承接的，需以联合体协议书认定的施工任务为准，投标人承担的合同部分金额应在</w:t>
      </w:r>
      <w:r>
        <w:rPr>
          <w:rFonts w:hint="eastAsia" w:ascii="宋体" w:hAnsi="宋体" w:cs="宋体"/>
          <w:bCs/>
          <w:color w:val="auto"/>
          <w:kern w:val="0"/>
          <w:sz w:val="21"/>
          <w:szCs w:val="21"/>
          <w:highlight w:val="none"/>
          <w:lang w:eastAsia="zh-CN"/>
        </w:rPr>
        <w:t>5800万元</w:t>
      </w:r>
      <w:r>
        <w:rPr>
          <w:rFonts w:hint="eastAsia" w:ascii="宋体" w:hAnsi="宋体" w:cs="宋体"/>
          <w:bCs/>
          <w:color w:val="auto"/>
          <w:kern w:val="0"/>
          <w:sz w:val="21"/>
          <w:szCs w:val="21"/>
          <w:highlight w:val="none"/>
        </w:rPr>
        <w:t>（或以上）；联合体业绩的工程造价则按中标通知书金额乘以联合体各单位盖章确认的协议书比例为准或以合同（不含补充合同）标的金额或其他证明文件为准。需同时提供中标通知书（如为免招标项目无须提供中标通知书，但须提供相应的免招标证明文件）、施工合同（协议书部分）、竣工验收文件的扫描件并加盖投标人电子印章，金额以中标通知书为准，中标通知书上没有金额或免招标的，以施工合同（不含补充合同）为准。完成时间以竣工验收文件为准。验收文件至少具有建设单位、设计、施工和监理单位盖章。</w:t>
      </w:r>
    </w:p>
    <w:p>
      <w:pPr>
        <w:spacing w:line="360" w:lineRule="exac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2、工程奖项须提供获奖证书扫描件并加盖投标人电子印章。国家级质量奖包括：中国建设工程鲁班奖、中国土木工程詹天佑奖、国家优质工程金质奖、国家优质工程奖；省级、市级（含副省级）工程质量奖项是指由省级、市级（含副省级）建设行政主管部门或行业协会颁发的工程质量奖项。同一项目获得多个奖项的，按最高级别只计算一次分数，不得重复计算（不含安全文明、技术类奖项，参建项目不得分）；获奖时间以发证时间为准；若发证机构为学会或协会的，须在中国社会组织政务服务平台（https://chinanpo.mca.gov.cn/）查询到为有效（附网页截图）；获奖单位须为投标单位，子分公司均不计算在内。未提供或所提供的证明资料不符合要求的，则该评分节点不予得分。</w:t>
      </w:r>
    </w:p>
    <w:p>
      <w:pPr>
        <w:spacing w:line="360" w:lineRule="exact"/>
        <w:ind w:firstLine="424" w:firstLineChars="202"/>
        <w:rPr>
          <w:rFonts w:hint="eastAsia" w:ascii="宋体" w:hAnsi="宋体"/>
          <w:color w:val="auto"/>
          <w:sz w:val="21"/>
          <w:szCs w:val="21"/>
          <w:highlight w:val="none"/>
        </w:rPr>
      </w:pPr>
      <w:r>
        <w:rPr>
          <w:rFonts w:hint="eastAsia" w:ascii="宋体" w:hAnsi="宋体"/>
          <w:color w:val="auto"/>
          <w:sz w:val="21"/>
          <w:szCs w:val="21"/>
          <w:highlight w:val="none"/>
        </w:rPr>
        <w:t>3、工程研发能力：（1）科学技术奖包括科学技术奖、自然科学奖、技术发明奖、科学技术进步奖等，需与道路、桥梁工程相关，否则不得分。提供获奖证书扫描件或其他获奖文件，时间以证书或其他获奖文件落款时间为准；科学技术奖需为市级或以上人民政府或行政部门或协会颁发，若发证机构为学会或协会的，须在中国社会组织政务服务平台（https://chinanpo.mca.gov.cn/）查询到为有效（附网页截图）。同一项目获得多个奖项的，该项目获奖只按其中一个奖项所在最高级别计算一次分数，不得重复计算。（2）工程技术研究中心提供认定文件等相关证明材料扫描件。</w:t>
      </w:r>
    </w:p>
    <w:p>
      <w:pPr>
        <w:spacing w:line="360" w:lineRule="exact"/>
        <w:ind w:firstLine="424" w:firstLineChars="202"/>
        <w:jc w:val="left"/>
        <w:rPr>
          <w:rFonts w:hint="eastAsia" w:ascii="宋体" w:hAnsi="宋体"/>
          <w:color w:val="auto"/>
          <w:sz w:val="21"/>
          <w:szCs w:val="21"/>
          <w:highlight w:val="none"/>
        </w:rPr>
      </w:pPr>
      <w:r>
        <w:rPr>
          <w:rFonts w:hint="eastAsia" w:ascii="宋体" w:hAnsi="宋体"/>
          <w:bCs/>
          <w:color w:val="auto"/>
          <w:sz w:val="21"/>
          <w:szCs w:val="21"/>
          <w:highlight w:val="none"/>
        </w:rPr>
        <w:t>4、第三方评价</w:t>
      </w:r>
      <w:r>
        <w:rPr>
          <w:rFonts w:hint="eastAsia" w:ascii="宋体" w:hAnsi="宋体"/>
          <w:color w:val="auto"/>
          <w:sz w:val="21"/>
          <w:szCs w:val="21"/>
          <w:highlight w:val="none"/>
        </w:rPr>
        <w:t>：（1）体系认证证书须同时提供相关证书扫描件及“国家认证认可监督管理委员会”(http://www.cnca.gov.cn/)通过网站首页中“认证结果一查询”进行查询的查询结果截图并加盖投标人</w:t>
      </w:r>
      <w:r>
        <w:rPr>
          <w:rFonts w:hint="eastAsia" w:ascii="宋体" w:hAnsi="宋体" w:cs="宋体"/>
          <w:bCs/>
          <w:color w:val="auto"/>
          <w:kern w:val="0"/>
          <w:sz w:val="21"/>
          <w:szCs w:val="21"/>
          <w:highlight w:val="none"/>
        </w:rPr>
        <w:t>电子印</w:t>
      </w:r>
      <w:r>
        <w:rPr>
          <w:rFonts w:hint="eastAsia" w:ascii="宋体" w:hAnsi="宋体"/>
          <w:color w:val="auto"/>
          <w:sz w:val="21"/>
          <w:szCs w:val="21"/>
          <w:highlight w:val="none"/>
        </w:rPr>
        <w:t>章，无或不提供不得分；（2）“纳税信用A级”证书须包含2022年度，只计算投标人自身（不含投标人的子公司或分公司）。投标人须同时提供税务部门颁发的“纳税信用A级”证书扫描件以及提供省级或以上税务局网站查询结果网页截图加盖投标人电子印章；评定时间以证书上注明的评价（评定）年度为准。未提供或所提供的证明资料不符合要求的，则该评分节点不予得分。</w:t>
      </w:r>
    </w:p>
    <w:p>
      <w:pPr>
        <w:spacing w:line="360" w:lineRule="exact"/>
        <w:ind w:firstLine="424" w:firstLineChars="202"/>
        <w:jc w:val="left"/>
        <w:rPr>
          <w:rFonts w:hint="eastAsia"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bCs/>
          <w:color w:val="auto"/>
          <w:sz w:val="21"/>
          <w:szCs w:val="21"/>
          <w:highlight w:val="none"/>
        </w:rPr>
        <w:t>“项目管理机构”：</w:t>
      </w:r>
      <w:r>
        <w:rPr>
          <w:rFonts w:hint="eastAsia" w:ascii="宋体" w:hAnsi="宋体"/>
          <w:color w:val="auto"/>
          <w:sz w:val="21"/>
          <w:szCs w:val="21"/>
          <w:highlight w:val="none"/>
        </w:rPr>
        <w:t>（1）拟投入本项目的人员需提供对应毕业证、职称证、注册证等相关证件扫描件，指挥长还需提供相关任职证明文件。上述人员除须提供相关证件资料外还需提供投标人企业（或投标人企业非独立法人的分支机构）购买的近一个月（2023年12月）社保证明资料原件扫描件。（2）项目管理机构人员仅指本公司人员，不含子公司人员，如投标人为集团公司，则不含其集团下属的子公司人员。各岗位人员不得相互兼职。</w:t>
      </w:r>
    </w:p>
    <w:p>
      <w:pPr>
        <w:spacing w:line="360" w:lineRule="exact"/>
        <w:ind w:firstLine="420" w:firstLineChars="200"/>
        <w:rPr>
          <w:rFonts w:ascii="宋体" w:hAnsi="宋体" w:cs="宋体"/>
          <w:color w:val="auto"/>
          <w:sz w:val="21"/>
          <w:szCs w:val="21"/>
          <w:highlight w:val="none"/>
        </w:rPr>
      </w:pPr>
      <w:r>
        <w:rPr>
          <w:rFonts w:hint="eastAsia" w:ascii="宋体" w:hAnsi="宋体"/>
          <w:color w:val="auto"/>
          <w:sz w:val="21"/>
          <w:szCs w:val="21"/>
          <w:highlight w:val="none"/>
        </w:rPr>
        <w:t>6、投标人提供的原件扫描件或网页信息截图内容等证明材料必须</w:t>
      </w:r>
      <w:r>
        <w:rPr>
          <w:rFonts w:hint="eastAsia" w:ascii="宋体" w:hAnsi="宋体"/>
          <w:b/>
          <w:bCs/>
          <w:color w:val="auto"/>
          <w:sz w:val="21"/>
          <w:szCs w:val="21"/>
          <w:highlight w:val="none"/>
        </w:rPr>
        <w:t>加盖投标人电子印章</w:t>
      </w:r>
      <w:r>
        <w:rPr>
          <w:rFonts w:hint="eastAsia" w:ascii="宋体" w:hAnsi="宋体"/>
          <w:color w:val="auto"/>
          <w:sz w:val="21"/>
          <w:szCs w:val="21"/>
          <w:highlight w:val="none"/>
        </w:rPr>
        <w:t>且清晰可辨，如因原件扫描件或网页信息截图内容模糊导致评标时无法判断的，证明材料没有加盖投标人电子印章的，后果由投标人自负。上述证明资料不提供或提供不完整或提供不符合要求的不得分。</w:t>
      </w:r>
    </w:p>
    <w:p>
      <w:pPr>
        <w:spacing w:line="3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7、评分范围“[ ]”表示包含区间边界数值，“（）”表示不包含区间边界数值。</w:t>
      </w:r>
    </w:p>
    <w:p>
      <w:pPr>
        <w:spacing w:line="360" w:lineRule="exact"/>
        <w:ind w:firstLine="420" w:firstLineChars="200"/>
        <w:rPr>
          <w:rFonts w:hint="eastAsia"/>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所有评委分数汇总后去掉一个最高分和一个最低分的算术平均值为投标人的最终得分。分数出现小数点，保留小数点后二位小数，第三位小数四舍五入</w:t>
      </w:r>
      <w:r>
        <w:rPr>
          <w:rFonts w:hint="eastAsia"/>
          <w:color w:val="auto"/>
          <w:sz w:val="21"/>
          <w:szCs w:val="21"/>
          <w:highlight w:val="none"/>
        </w:rPr>
        <w:t>。</w:t>
      </w:r>
    </w:p>
    <w:p>
      <w:pPr>
        <w:spacing w:line="360" w:lineRule="exact"/>
        <w:ind w:firstLine="420" w:firstLineChars="200"/>
        <w:rPr>
          <w:rFonts w:hint="eastAsia"/>
          <w:b/>
          <w:color w:val="auto"/>
          <w:sz w:val="21"/>
          <w:szCs w:val="21"/>
          <w:highlight w:val="none"/>
        </w:rPr>
        <w:sectPr>
          <w:headerReference r:id="rId12" w:type="first"/>
          <w:footerReference r:id="rId15" w:type="first"/>
          <w:headerReference r:id="rId10" w:type="default"/>
          <w:footerReference r:id="rId13" w:type="default"/>
          <w:headerReference r:id="rId11" w:type="even"/>
          <w:footerReference r:id="rId14" w:type="even"/>
          <w:endnotePr>
            <w:numFmt w:val="decimal"/>
          </w:endnotePr>
          <w:pgSz w:w="16838" w:h="11906" w:orient="landscape"/>
          <w:pgMar w:top="1134" w:right="1304" w:bottom="1134" w:left="1304" w:header="851" w:footer="567" w:gutter="0"/>
          <w:cols w:space="720" w:num="1"/>
          <w:titlePg/>
          <w:docGrid w:type="lines" w:linePitch="312" w:charSpace="0"/>
        </w:sect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、拟投入的机械设备最低配置表，见下表：</w:t>
      </w:r>
    </w:p>
    <w:p>
      <w:pPr>
        <w:pStyle w:val="18"/>
        <w:rPr>
          <w:rFonts w:hint="eastAsia"/>
          <w:color w:val="auto"/>
          <w:highlight w:val="none"/>
        </w:rPr>
      </w:pPr>
    </w:p>
    <w:p>
      <w:pPr>
        <w:jc w:val="center"/>
        <w:outlineLvl w:val="2"/>
        <w:rPr>
          <w:rFonts w:hint="eastAsia"/>
          <w:b/>
          <w:color w:val="auto"/>
          <w:sz w:val="32"/>
          <w:szCs w:val="32"/>
          <w:highlight w:val="none"/>
        </w:rPr>
      </w:pPr>
      <w:r>
        <w:rPr>
          <w:rFonts w:hint="eastAsia" w:ascii="宋体" w:hAnsi="宋体" w:cs="宋体"/>
          <w:b/>
          <w:color w:val="auto"/>
          <w:sz w:val="32"/>
          <w:szCs w:val="32"/>
          <w:highlight w:val="none"/>
        </w:rPr>
        <w:t>拟投入的机械设备最低配置表</w:t>
      </w:r>
    </w:p>
    <w:tbl>
      <w:tblPr>
        <w:tblStyle w:val="20"/>
        <w:tblW w:w="91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15"/>
        <w:gridCol w:w="2115"/>
        <w:gridCol w:w="1402"/>
        <w:gridCol w:w="702"/>
        <w:gridCol w:w="647"/>
        <w:gridCol w:w="938"/>
        <w:gridCol w:w="976"/>
        <w:gridCol w:w="960"/>
        <w:gridCol w:w="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9" w:hRule="atLeast"/>
          <w:jc w:val="center"/>
        </w:trPr>
        <w:tc>
          <w:tcPr>
            <w:tcW w:w="615" w:type="dxa"/>
            <w:tcBorders>
              <w:top w:val="double" w:color="auto" w:sz="4" w:space="0"/>
              <w:bottom w:val="doub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2115" w:type="dxa"/>
            <w:tcBorders>
              <w:top w:val="double" w:color="auto" w:sz="4" w:space="0"/>
              <w:bottom w:val="doub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机械或设备名称</w:t>
            </w:r>
          </w:p>
        </w:tc>
        <w:tc>
          <w:tcPr>
            <w:tcW w:w="1402" w:type="dxa"/>
            <w:tcBorders>
              <w:top w:val="double" w:color="auto" w:sz="4" w:space="0"/>
              <w:bottom w:val="doub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规格型号</w:t>
            </w:r>
          </w:p>
        </w:tc>
        <w:tc>
          <w:tcPr>
            <w:tcW w:w="702" w:type="dxa"/>
            <w:tcBorders>
              <w:top w:val="double" w:color="auto" w:sz="4" w:space="0"/>
              <w:bottom w:val="doub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647" w:type="dxa"/>
            <w:tcBorders>
              <w:top w:val="double" w:color="auto" w:sz="4" w:space="0"/>
              <w:bottom w:val="doub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产地</w:t>
            </w:r>
          </w:p>
        </w:tc>
        <w:tc>
          <w:tcPr>
            <w:tcW w:w="938" w:type="dxa"/>
            <w:tcBorders>
              <w:top w:val="double" w:color="auto" w:sz="4" w:space="0"/>
              <w:bottom w:val="doub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制造年份</w:t>
            </w:r>
          </w:p>
        </w:tc>
        <w:tc>
          <w:tcPr>
            <w:tcW w:w="976" w:type="dxa"/>
            <w:tcBorders>
              <w:top w:val="double" w:color="auto" w:sz="4" w:space="0"/>
              <w:bottom w:val="doub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生产能力</w:t>
            </w:r>
          </w:p>
        </w:tc>
        <w:tc>
          <w:tcPr>
            <w:tcW w:w="960" w:type="dxa"/>
            <w:tcBorders>
              <w:top w:val="double" w:color="auto" w:sz="4" w:space="0"/>
              <w:bottom w:val="doub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自有或租赁</w:t>
            </w:r>
          </w:p>
        </w:tc>
        <w:tc>
          <w:tcPr>
            <w:tcW w:w="795" w:type="dxa"/>
            <w:tcBorders>
              <w:top w:val="double" w:color="auto" w:sz="4" w:space="0"/>
              <w:bottom w:val="doub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9150" w:type="dxa"/>
            <w:gridSpan w:val="9"/>
            <w:tcBorders>
              <w:top w:val="double" w:color="auto" w:sz="6" w:space="0"/>
              <w:bottom w:val="single" w:color="auto" w:sz="6" w:space="0"/>
            </w:tcBorders>
            <w:noWrap w:val="0"/>
            <w:vAlign w:val="center"/>
          </w:tcPr>
          <w:p>
            <w:pPr>
              <w:pStyle w:val="8"/>
              <w:keepNext/>
              <w:spacing w:line="420" w:lineRule="exact"/>
              <w:ind w:left="63" w:right="63"/>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承包人拟投入本工程的必备机械设备（拟投入的机械设备最低配置）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615" w:type="dxa"/>
            <w:tcBorders>
              <w:top w:val="double" w:color="auto" w:sz="6" w:space="0"/>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15" w:type="dxa"/>
            <w:tcBorders>
              <w:top w:val="double" w:color="auto" w:sz="6" w:space="0"/>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回旋钻机</w:t>
            </w:r>
          </w:p>
        </w:tc>
        <w:tc>
          <w:tcPr>
            <w:tcW w:w="1402" w:type="dxa"/>
            <w:tcBorders>
              <w:top w:val="double" w:color="auto" w:sz="6" w:space="0"/>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02" w:type="dxa"/>
            <w:tcBorders>
              <w:top w:val="double" w:color="auto" w:sz="6" w:space="0"/>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647" w:type="dxa"/>
            <w:tcBorders>
              <w:top w:val="double" w:color="auto" w:sz="6" w:space="0"/>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tcBorders>
              <w:top w:val="double" w:color="auto" w:sz="6" w:space="0"/>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tcBorders>
              <w:top w:val="double" w:color="auto" w:sz="6" w:space="0"/>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tcBorders>
              <w:top w:val="double" w:color="auto" w:sz="6" w:space="0"/>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tcBorders>
              <w:top w:val="double" w:color="auto" w:sz="6" w:space="0"/>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8" w:hRule="atLeast"/>
          <w:jc w:val="center"/>
        </w:trPr>
        <w:tc>
          <w:tcPr>
            <w:tcW w:w="615" w:type="dxa"/>
            <w:tcBorders>
              <w:top w:val="nil"/>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11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随车起重运输车（汽车起重机）</w:t>
            </w:r>
          </w:p>
        </w:tc>
        <w:tc>
          <w:tcPr>
            <w:tcW w:w="14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台</w:t>
            </w:r>
          </w:p>
        </w:tc>
        <w:tc>
          <w:tcPr>
            <w:tcW w:w="647"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0" w:hRule="atLeast"/>
          <w:jc w:val="center"/>
        </w:trPr>
        <w:tc>
          <w:tcPr>
            <w:tcW w:w="615" w:type="dxa"/>
            <w:tcBorders>
              <w:top w:val="nil"/>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11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装载机</w:t>
            </w:r>
          </w:p>
        </w:tc>
        <w:tc>
          <w:tcPr>
            <w:tcW w:w="14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1m3或以上</w:t>
            </w:r>
          </w:p>
        </w:tc>
        <w:tc>
          <w:tcPr>
            <w:tcW w:w="7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tcBorders>
              <w:top w:val="nil"/>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11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防撞缓冲车</w:t>
            </w:r>
          </w:p>
        </w:tc>
        <w:tc>
          <w:tcPr>
            <w:tcW w:w="14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车辆，用于拆桥，封闭车道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615" w:type="dxa"/>
            <w:tcBorders>
              <w:top w:val="nil"/>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11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千斤顶</w:t>
            </w:r>
          </w:p>
        </w:tc>
        <w:tc>
          <w:tcPr>
            <w:tcW w:w="14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tcBorders>
              <w:top w:val="nil"/>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11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高空作业车</w:t>
            </w:r>
          </w:p>
        </w:tc>
        <w:tc>
          <w:tcPr>
            <w:tcW w:w="14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02"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tcBorders>
              <w:top w:val="nil"/>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车辆，用于桥梁结构施工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 w:hRule="atLeast"/>
          <w:jc w:val="center"/>
        </w:trPr>
        <w:tc>
          <w:tcPr>
            <w:tcW w:w="6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1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洒水车</w:t>
            </w:r>
          </w:p>
        </w:tc>
        <w:tc>
          <w:tcPr>
            <w:tcW w:w="14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8t或以上</w:t>
            </w:r>
          </w:p>
        </w:tc>
        <w:tc>
          <w:tcPr>
            <w:tcW w:w="7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1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振动压路机</w:t>
            </w:r>
          </w:p>
        </w:tc>
        <w:tc>
          <w:tcPr>
            <w:tcW w:w="14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12T及以上</w:t>
            </w:r>
          </w:p>
        </w:tc>
        <w:tc>
          <w:tcPr>
            <w:tcW w:w="7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1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沥青摊铺机</w:t>
            </w:r>
          </w:p>
        </w:tc>
        <w:tc>
          <w:tcPr>
            <w:tcW w:w="14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轮胎压路机</w:t>
            </w:r>
          </w:p>
        </w:tc>
        <w:tc>
          <w:tcPr>
            <w:tcW w:w="14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 T及以上</w:t>
            </w:r>
          </w:p>
        </w:tc>
        <w:tc>
          <w:tcPr>
            <w:tcW w:w="7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9" w:hRule="atLeast"/>
          <w:jc w:val="center"/>
        </w:trPr>
        <w:tc>
          <w:tcPr>
            <w:tcW w:w="6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1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电动划线机</w:t>
            </w:r>
          </w:p>
        </w:tc>
        <w:tc>
          <w:tcPr>
            <w:tcW w:w="14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02"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647"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38"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76"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c>
          <w:tcPr>
            <w:tcW w:w="79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615" w:type="dxa"/>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115" w:type="dxa"/>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数控钢筋弯箍机</w:t>
            </w:r>
          </w:p>
        </w:tc>
        <w:tc>
          <w:tcPr>
            <w:tcW w:w="1402" w:type="dxa"/>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noWrap w:val="0"/>
            <w:vAlign w:val="center"/>
          </w:tcPr>
          <w:p>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647" w:type="dxa"/>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15" w:type="dxa"/>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数控钢筋笼成型机</w:t>
            </w:r>
          </w:p>
        </w:tc>
        <w:tc>
          <w:tcPr>
            <w:tcW w:w="1402" w:type="dxa"/>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noWrap w:val="0"/>
            <w:vAlign w:val="center"/>
          </w:tcPr>
          <w:p>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1套</w:t>
            </w:r>
          </w:p>
        </w:tc>
        <w:tc>
          <w:tcPr>
            <w:tcW w:w="647" w:type="dxa"/>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tcBorders>
              <w:bottom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1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数控钢筋锯切套丝生产线</w:t>
            </w:r>
          </w:p>
        </w:tc>
        <w:tc>
          <w:tcPr>
            <w:tcW w:w="1402"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647"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615" w:type="dxa"/>
            <w:tcBorders>
              <w:bottom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1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泥浆处理设备</w:t>
            </w:r>
          </w:p>
        </w:tc>
        <w:tc>
          <w:tcPr>
            <w:tcW w:w="1402"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647"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8" w:hRule="atLeast"/>
          <w:jc w:val="center"/>
        </w:trPr>
        <w:tc>
          <w:tcPr>
            <w:tcW w:w="615" w:type="dxa"/>
            <w:tcBorders>
              <w:bottom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11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发电机</w:t>
            </w:r>
          </w:p>
        </w:tc>
        <w:tc>
          <w:tcPr>
            <w:tcW w:w="1402"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615" w:type="dxa"/>
            <w:tcBorders>
              <w:bottom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11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GNSS接收机或GPS</w:t>
            </w:r>
          </w:p>
        </w:tc>
        <w:tc>
          <w:tcPr>
            <w:tcW w:w="1402"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647"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tcBorders>
              <w:bottom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11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湿喷机/喷雾机</w:t>
            </w:r>
          </w:p>
        </w:tc>
        <w:tc>
          <w:tcPr>
            <w:tcW w:w="1402"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bottom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bottom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bottom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115" w:type="dxa"/>
            <w:tcBorders>
              <w:top w:val="single" w:color="auto" w:sz="6" w:space="0"/>
              <w:left w:val="single" w:color="auto" w:sz="6" w:space="0"/>
              <w:bottom w:val="single" w:color="auto" w:sz="6" w:space="0"/>
              <w:right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稳定土摊铺机</w:t>
            </w:r>
          </w:p>
        </w:tc>
        <w:tc>
          <w:tcPr>
            <w:tcW w:w="1402"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2台</w:t>
            </w:r>
          </w:p>
        </w:tc>
        <w:tc>
          <w:tcPr>
            <w:tcW w:w="647"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top w:val="single" w:color="auto" w:sz="6" w:space="0"/>
              <w:left w:val="single" w:color="auto" w:sz="6" w:space="0"/>
              <w:bottom w:val="single" w:color="auto" w:sz="6" w:space="0"/>
              <w:right w:val="single" w:color="auto" w:sz="12"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115" w:type="dxa"/>
            <w:tcBorders>
              <w:top w:val="single" w:color="auto" w:sz="6" w:space="0"/>
              <w:left w:val="single" w:color="auto" w:sz="6" w:space="0"/>
              <w:bottom w:val="single" w:color="auto" w:sz="6" w:space="0"/>
              <w:right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自卸车/自卸货车</w:t>
            </w:r>
          </w:p>
        </w:tc>
        <w:tc>
          <w:tcPr>
            <w:tcW w:w="1402"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台</w:t>
            </w:r>
          </w:p>
        </w:tc>
        <w:tc>
          <w:tcPr>
            <w:tcW w:w="647"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top w:val="single" w:color="auto" w:sz="6" w:space="0"/>
              <w:left w:val="single" w:color="auto" w:sz="6" w:space="0"/>
              <w:bottom w:val="single" w:color="auto" w:sz="6" w:space="0"/>
              <w:right w:val="single" w:color="auto" w:sz="12"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15" w:type="dxa"/>
            <w:tcBorders>
              <w:top w:val="single" w:color="auto" w:sz="6" w:space="0"/>
              <w:left w:val="single" w:color="auto" w:sz="6" w:space="0"/>
              <w:bottom w:val="single" w:color="auto" w:sz="6" w:space="0"/>
              <w:right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稀浆封层车</w:t>
            </w:r>
          </w:p>
        </w:tc>
        <w:tc>
          <w:tcPr>
            <w:tcW w:w="1402"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647"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top w:val="single" w:color="auto" w:sz="6" w:space="0"/>
              <w:left w:val="single" w:color="auto" w:sz="6" w:space="0"/>
              <w:bottom w:val="single" w:color="auto" w:sz="6" w:space="0"/>
              <w:right w:val="single" w:color="auto" w:sz="12"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车辆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15" w:type="dxa"/>
            <w:tcBorders>
              <w:top w:val="single" w:color="auto" w:sz="6" w:space="0"/>
              <w:left w:val="single" w:color="auto" w:sz="6" w:space="0"/>
              <w:bottom w:val="single" w:color="auto" w:sz="6" w:space="0"/>
              <w:right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铣刨机</w:t>
            </w:r>
          </w:p>
        </w:tc>
        <w:tc>
          <w:tcPr>
            <w:tcW w:w="1402"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647"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top w:val="single" w:color="auto" w:sz="6" w:space="0"/>
              <w:left w:val="single" w:color="auto" w:sz="6" w:space="0"/>
              <w:bottom w:val="single" w:color="auto" w:sz="6" w:space="0"/>
              <w:right w:val="single" w:color="auto" w:sz="12"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7" w:hRule="atLeast"/>
          <w:jc w:val="center"/>
        </w:trPr>
        <w:tc>
          <w:tcPr>
            <w:tcW w:w="615"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15" w:type="dxa"/>
            <w:tcBorders>
              <w:top w:val="single" w:color="auto" w:sz="6" w:space="0"/>
              <w:left w:val="single" w:color="auto" w:sz="6" w:space="0"/>
              <w:bottom w:val="single" w:color="auto" w:sz="6" w:space="0"/>
              <w:right w:val="single" w:color="auto" w:sz="6"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切缝机/切割机</w:t>
            </w:r>
          </w:p>
        </w:tc>
        <w:tc>
          <w:tcPr>
            <w:tcW w:w="1402"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02" w:type="dxa"/>
            <w:tcBorders>
              <w:top w:val="single" w:color="auto" w:sz="6" w:space="0"/>
              <w:left w:val="single" w:color="auto" w:sz="6" w:space="0"/>
              <w:bottom w:val="single" w:color="auto" w:sz="6" w:space="0"/>
              <w:right w:val="single" w:color="auto" w:sz="6" w:space="0"/>
            </w:tcBorders>
            <w:noWrap w:val="0"/>
            <w:vAlign w:val="center"/>
          </w:tcPr>
          <w:p>
            <w:pPr>
              <w:pStyle w:val="8"/>
              <w:keepNext/>
              <w:adjustRightInd w:val="0"/>
              <w:snapToGrid w:val="0"/>
              <w:ind w:left="63" w:right="63"/>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c>
          <w:tcPr>
            <w:tcW w:w="647"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38"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76"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color w:val="auto"/>
                <w:sz w:val="21"/>
                <w:szCs w:val="21"/>
                <w:highlight w:val="none"/>
              </w:rPr>
            </w:pPr>
          </w:p>
        </w:tc>
        <w:tc>
          <w:tcPr>
            <w:tcW w:w="795" w:type="dxa"/>
            <w:tcBorders>
              <w:top w:val="single" w:color="auto" w:sz="6" w:space="0"/>
              <w:left w:val="single" w:color="auto" w:sz="6" w:space="0"/>
              <w:bottom w:val="single" w:color="auto" w:sz="6" w:space="0"/>
              <w:right w:val="single" w:color="auto" w:sz="12" w:space="0"/>
            </w:tcBorders>
            <w:noWrap w:val="0"/>
            <w:vAlign w:val="center"/>
          </w:tcPr>
          <w:p>
            <w:pPr>
              <w:pStyle w:val="8"/>
              <w:keepNext/>
              <w:spacing w:line="420" w:lineRule="exact"/>
              <w:ind w:left="63" w:right="63"/>
              <w:jc w:val="center"/>
              <w:rPr>
                <w:rFonts w:hint="eastAsia" w:ascii="宋体" w:hAnsi="宋体" w:eastAsia="宋体" w:cs="宋体"/>
                <w:color w:val="auto"/>
                <w:sz w:val="21"/>
                <w:szCs w:val="21"/>
                <w:highlight w:val="none"/>
                <w:lang w:val="en-US" w:eastAsia="zh-CN"/>
              </w:rPr>
            </w:pPr>
          </w:p>
        </w:tc>
      </w:tr>
    </w:tbl>
    <w:p>
      <w:pPr>
        <w:pStyle w:val="35"/>
        <w:rPr>
          <w:rFonts w:hint="eastAsia" w:hAnsi="宋体" w:cs="宋体"/>
          <w:color w:val="auto"/>
          <w:kern w:val="2"/>
          <w:sz w:val="21"/>
          <w:szCs w:val="21"/>
          <w:highlight w:val="none"/>
        </w:rPr>
        <w:sectPr>
          <w:endnotePr>
            <w:numFmt w:val="decimal"/>
          </w:endnotePr>
          <w:pgSz w:w="11906" w:h="16838"/>
          <w:pgMar w:top="1304" w:right="1134" w:bottom="1304" w:left="1134" w:header="851" w:footer="567" w:gutter="0"/>
          <w:cols w:space="720" w:num="1"/>
          <w:titlePg/>
          <w:docGrid w:type="lines" w:linePitch="312" w:charSpace="0"/>
        </w:sectPr>
      </w:pPr>
    </w:p>
    <w:p>
      <w:pPr>
        <w:pStyle w:val="35"/>
        <w:rPr>
          <w:rFonts w:hint="eastAsia" w:hAnsi="宋体" w:cs="宋体"/>
          <w:color w:val="auto"/>
          <w:szCs w:val="21"/>
          <w:highlight w:val="none"/>
        </w:rPr>
      </w:pPr>
      <w:r>
        <w:rPr>
          <w:rFonts w:hint="eastAsia" w:hAnsi="宋体" w:cs="宋体"/>
          <w:color w:val="auto"/>
          <w:kern w:val="2"/>
          <w:sz w:val="21"/>
          <w:szCs w:val="21"/>
          <w:highlight w:val="none"/>
        </w:rPr>
        <w:t>附表五（适用于加权平均法）</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经济标评分表</w:t>
      </w:r>
    </w:p>
    <w:p>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1444"/>
        <w:gridCol w:w="1444"/>
        <w:gridCol w:w="1444"/>
        <w:gridCol w:w="1445"/>
        <w:gridCol w:w="1444"/>
        <w:gridCol w:w="1444"/>
        <w:gridCol w:w="144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8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投标报价PT（元）</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8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报价权重</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8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评标参考价PC（元）</w:t>
            </w:r>
          </w:p>
        </w:tc>
        <w:tc>
          <w:tcPr>
            <w:tcW w:w="11554"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8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偏差（（PT-PC）/PC）（%）</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8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减分（A）</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8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得分（I=100-A）</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8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得分排名次序</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bl>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评委签名：</w:t>
      </w:r>
    </w:p>
    <w:p>
      <w:pPr>
        <w:rPr>
          <w:rFonts w:hint="eastAsia" w:ascii="宋体" w:hAnsi="宋体" w:cs="宋体"/>
          <w:color w:val="auto"/>
          <w:szCs w:val="21"/>
          <w:highlight w:val="none"/>
        </w:rPr>
      </w:pPr>
      <w:r>
        <w:rPr>
          <w:rFonts w:hint="eastAsia" w:ascii="宋体" w:hAnsi="宋体" w:cs="宋体"/>
          <w:b/>
          <w:color w:val="auto"/>
          <w:sz w:val="36"/>
          <w:szCs w:val="36"/>
          <w:highlight w:val="none"/>
        </w:rPr>
        <w:br w:type="page"/>
      </w:r>
    </w:p>
    <w:p>
      <w:pPr>
        <w:rPr>
          <w:rFonts w:hint="eastAsia" w:ascii="宋体" w:hAnsi="宋体" w:cs="宋体"/>
          <w:b/>
          <w:color w:val="auto"/>
          <w:szCs w:val="21"/>
          <w:highlight w:val="none"/>
        </w:rPr>
      </w:pPr>
      <w:r>
        <w:rPr>
          <w:rFonts w:hint="eastAsia" w:ascii="宋体" w:hAnsi="宋体" w:cs="宋体"/>
          <w:color w:val="auto"/>
          <w:szCs w:val="21"/>
          <w:highlight w:val="none"/>
        </w:rPr>
        <w:t>附表六</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20"/>
        <w:tblW w:w="14820" w:type="dxa"/>
        <w:tblInd w:w="0" w:type="dxa"/>
        <w:tblLayout w:type="fixed"/>
        <w:tblCellMar>
          <w:top w:w="0" w:type="dxa"/>
          <w:left w:w="108" w:type="dxa"/>
          <w:bottom w:w="0" w:type="dxa"/>
          <w:right w:w="108" w:type="dxa"/>
        </w:tblCellMar>
      </w:tblPr>
      <w:tblGrid>
        <w:gridCol w:w="645"/>
        <w:gridCol w:w="3999"/>
        <w:gridCol w:w="1736"/>
        <w:gridCol w:w="1737"/>
        <w:gridCol w:w="1736"/>
        <w:gridCol w:w="1737"/>
        <w:gridCol w:w="3230"/>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编号</w:t>
            </w:r>
          </w:p>
        </w:tc>
        <w:tc>
          <w:tcPr>
            <w:tcW w:w="39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7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修正前投标</w:t>
            </w:r>
          </w:p>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73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修正后投标</w:t>
            </w:r>
          </w:p>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7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修正率</w:t>
            </w:r>
          </w:p>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r=|A-B|/A*100%</w:t>
            </w:r>
          </w:p>
        </w:tc>
        <w:tc>
          <w:tcPr>
            <w:tcW w:w="173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23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999"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999"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999"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999"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999"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n</w:t>
            </w:r>
          </w:p>
        </w:tc>
        <w:tc>
          <w:tcPr>
            <w:tcW w:w="3999"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999"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736"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1736" w:type="dxa"/>
            <w:tcBorders>
              <w:top w:val="nil"/>
              <w:left w:val="nil"/>
              <w:bottom w:val="single" w:color="auto" w:sz="4" w:space="0"/>
              <w:right w:val="single" w:color="auto" w:sz="4" w:space="0"/>
              <w:tr2bl w:val="single" w:color="auto" w:sz="4" w:space="0"/>
            </w:tcBorders>
            <w:noWrap w:val="0"/>
            <w:vAlign w:val="center"/>
          </w:tcPr>
          <w:p>
            <w:pPr>
              <w:rPr>
                <w:rFonts w:hint="eastAsia" w:ascii="宋体" w:hAnsi="宋体" w:cs="宋体"/>
                <w:color w:val="auto"/>
                <w:kern w:val="0"/>
                <w:szCs w:val="21"/>
                <w:highlight w:val="none"/>
              </w:rPr>
            </w:pPr>
          </w:p>
        </w:tc>
        <w:tc>
          <w:tcPr>
            <w:tcW w:w="1737" w:type="dxa"/>
            <w:tcBorders>
              <w:top w:val="nil"/>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p>
        </w:tc>
        <w:tc>
          <w:tcPr>
            <w:tcW w:w="323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pPr>
        <w:rPr>
          <w:rFonts w:hint="eastAsia" w:ascii="宋体" w:hAnsi="宋体" w:cs="宋体"/>
          <w:color w:val="auto"/>
          <w:kern w:val="0"/>
          <w:szCs w:val="21"/>
          <w:highlight w:val="none"/>
        </w:rPr>
      </w:pPr>
    </w:p>
    <w:p>
      <w:pPr>
        <w:tabs>
          <w:tab w:val="left" w:pos="11340"/>
        </w:tabs>
        <w:rPr>
          <w:rFonts w:hint="eastAsia"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17"/>
        <w:gridCol w:w="2551"/>
        <w:gridCol w:w="3402"/>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421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 w:val="36"/>
                <w:szCs w:val="36"/>
                <w:highlight w:val="none"/>
              </w:rPr>
            </w:pPr>
          </w:p>
        </w:tc>
      </w:tr>
    </w:tbl>
    <w:p>
      <w:pPr>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评委签名：</w:t>
      </w:r>
    </w:p>
    <w:p>
      <w:pPr>
        <w:pStyle w:val="6"/>
        <w:ind w:firstLine="0" w:firstLineChars="0"/>
        <w:rPr>
          <w:rFonts w:hint="eastAsia"/>
          <w:color w:val="auto"/>
          <w:highlight w:val="none"/>
        </w:rPr>
        <w:sectPr>
          <w:endnotePr>
            <w:numFmt w:val="decimal"/>
          </w:endnotePr>
          <w:pgSz w:w="16838" w:h="11906" w:orient="landscape"/>
          <w:pgMar w:top="1134" w:right="1304" w:bottom="1134" w:left="1304" w:header="851" w:footer="567" w:gutter="0"/>
          <w:cols w:space="720" w:num="1"/>
          <w:titlePg/>
          <w:docGrid w:type="lines" w:linePitch="312" w:charSpace="0"/>
        </w:sectPr>
      </w:pPr>
    </w:p>
    <w:p>
      <w:pPr>
        <w:pStyle w:val="18"/>
        <w:spacing w:line="360" w:lineRule="auto"/>
        <w:rPr>
          <w:rFonts w:hint="eastAsia" w:ascii="宋体" w:hAnsi="宋体" w:cs="宋体"/>
          <w:color w:val="auto"/>
          <w:sz w:val="24"/>
          <w:szCs w:val="24"/>
          <w:highlight w:val="none"/>
        </w:rPr>
      </w:pPr>
      <w:bookmarkStart w:id="31" w:name="_Toc2272566"/>
    </w:p>
    <w:p>
      <w:pPr>
        <w:pStyle w:val="2"/>
        <w:rPr>
          <w:rFonts w:hint="eastAsia" w:ascii="宋体" w:hAnsi="宋体" w:cs="宋体"/>
          <w:color w:val="auto"/>
          <w:highlight w:val="none"/>
        </w:rPr>
      </w:pPr>
      <w:bookmarkStart w:id="32" w:name="_Toc10239"/>
      <w:r>
        <w:rPr>
          <w:rFonts w:hint="eastAsia" w:ascii="宋体" w:hAnsi="宋体" w:cs="宋体"/>
          <w:color w:val="auto"/>
          <w:highlight w:val="none"/>
        </w:rPr>
        <w:t>第三章  合同条款</w:t>
      </w:r>
      <w:bookmarkEnd w:id="31"/>
      <w:bookmarkEnd w:id="32"/>
    </w:p>
    <w:p>
      <w:pPr>
        <w:pStyle w:val="18"/>
        <w:spacing w:line="360" w:lineRule="auto"/>
        <w:jc w:val="center"/>
        <w:rPr>
          <w:rFonts w:hint="eastAsia" w:ascii="宋体" w:hAnsi="宋体" w:cs="宋体"/>
          <w:color w:val="auto"/>
          <w:sz w:val="24"/>
          <w:szCs w:val="24"/>
          <w:highlight w:val="none"/>
        </w:rPr>
      </w:pPr>
    </w:p>
    <w:p>
      <w:pPr>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另册</w:t>
      </w:r>
      <w:r>
        <w:rPr>
          <w:rFonts w:hint="eastAsia" w:ascii="宋体" w:hAnsi="宋体" w:cs="宋体"/>
          <w:bCs/>
          <w:color w:val="auto"/>
          <w:sz w:val="24"/>
          <w:highlight w:val="none"/>
        </w:rPr>
        <w:t>。</w:t>
      </w:r>
    </w:p>
    <w:p>
      <w:pPr>
        <w:pStyle w:val="18"/>
        <w:spacing w:line="360" w:lineRule="auto"/>
        <w:rPr>
          <w:rFonts w:hint="eastAsia" w:ascii="宋体" w:hAnsi="宋体" w:cs="宋体"/>
          <w:color w:val="auto"/>
          <w:sz w:val="24"/>
          <w:szCs w:val="24"/>
          <w:highlight w:val="none"/>
        </w:rPr>
      </w:pPr>
    </w:p>
    <w:p>
      <w:pPr>
        <w:pStyle w:val="18"/>
        <w:spacing w:line="360" w:lineRule="auto"/>
        <w:rPr>
          <w:rFonts w:hint="eastAsia" w:ascii="宋体" w:hAnsi="宋体" w:cs="宋体"/>
          <w:color w:val="auto"/>
          <w:sz w:val="24"/>
          <w:szCs w:val="24"/>
          <w:highlight w:val="none"/>
        </w:rPr>
      </w:pPr>
    </w:p>
    <w:p>
      <w:pPr>
        <w:pStyle w:val="18"/>
        <w:spacing w:line="360" w:lineRule="auto"/>
        <w:rPr>
          <w:rFonts w:hint="eastAsia" w:ascii="宋体" w:hAnsi="宋体" w:cs="宋体"/>
          <w:color w:val="auto"/>
          <w:sz w:val="24"/>
          <w:szCs w:val="24"/>
          <w:highlight w:val="none"/>
        </w:rPr>
      </w:pPr>
    </w:p>
    <w:p>
      <w:pPr>
        <w:pStyle w:val="18"/>
        <w:spacing w:line="360" w:lineRule="auto"/>
        <w:rPr>
          <w:rFonts w:hint="eastAsia" w:ascii="宋体" w:hAnsi="宋体" w:cs="宋体"/>
          <w:color w:val="auto"/>
          <w:sz w:val="24"/>
          <w:szCs w:val="24"/>
          <w:highlight w:val="none"/>
        </w:rPr>
      </w:pPr>
    </w:p>
    <w:p>
      <w:pPr>
        <w:pStyle w:val="18"/>
        <w:spacing w:line="360" w:lineRule="auto"/>
        <w:rPr>
          <w:rFonts w:hint="eastAsia" w:ascii="宋体" w:hAnsi="宋体" w:cs="宋体"/>
          <w:color w:val="auto"/>
          <w:sz w:val="24"/>
          <w:szCs w:val="24"/>
          <w:highlight w:val="none"/>
        </w:rPr>
      </w:pPr>
    </w:p>
    <w:p>
      <w:pPr>
        <w:pStyle w:val="18"/>
        <w:spacing w:line="360" w:lineRule="auto"/>
        <w:rPr>
          <w:rFonts w:hint="eastAsia" w:ascii="宋体" w:hAnsi="宋体" w:cs="宋体"/>
          <w:color w:val="auto"/>
          <w:sz w:val="24"/>
          <w:szCs w:val="24"/>
          <w:highlight w:val="none"/>
        </w:rPr>
      </w:pPr>
    </w:p>
    <w:p>
      <w:pPr>
        <w:pStyle w:val="18"/>
        <w:spacing w:line="360" w:lineRule="auto"/>
        <w:rPr>
          <w:rFonts w:hint="eastAsia" w:ascii="宋体" w:hAnsi="宋体" w:cs="宋体"/>
          <w:color w:val="auto"/>
          <w:sz w:val="24"/>
          <w:szCs w:val="24"/>
          <w:highlight w:val="none"/>
        </w:rPr>
      </w:pPr>
    </w:p>
    <w:p>
      <w:pPr>
        <w:pStyle w:val="18"/>
        <w:spacing w:line="360" w:lineRule="auto"/>
        <w:rPr>
          <w:rFonts w:hint="eastAsia" w:ascii="宋体" w:hAnsi="宋体" w:cs="宋体"/>
          <w:color w:val="auto"/>
          <w:sz w:val="24"/>
          <w:szCs w:val="24"/>
          <w:highlight w:val="none"/>
        </w:rPr>
      </w:pPr>
    </w:p>
    <w:p>
      <w:pPr>
        <w:pStyle w:val="18"/>
        <w:spacing w:line="360" w:lineRule="auto"/>
        <w:rPr>
          <w:rFonts w:hint="eastAsia" w:ascii="宋体" w:hAnsi="宋体" w:cs="宋体"/>
          <w:color w:val="auto"/>
          <w:sz w:val="24"/>
          <w:szCs w:val="24"/>
          <w:highlight w:val="none"/>
        </w:rPr>
      </w:pPr>
    </w:p>
    <w:p>
      <w:pPr>
        <w:pStyle w:val="12"/>
        <w:spacing w:line="360" w:lineRule="auto"/>
        <w:rPr>
          <w:rFonts w:hint="eastAsia" w:hAnsi="宋体" w:cs="宋体"/>
          <w:color w:val="auto"/>
          <w:sz w:val="24"/>
          <w:szCs w:val="24"/>
          <w:highlight w:val="none"/>
        </w:rPr>
      </w:pPr>
    </w:p>
    <w:p>
      <w:pPr>
        <w:pStyle w:val="2"/>
        <w:rPr>
          <w:rFonts w:hint="eastAsia" w:ascii="宋体" w:hAnsi="宋体" w:cs="宋体"/>
          <w:color w:val="auto"/>
          <w:highlight w:val="none"/>
        </w:rPr>
      </w:pPr>
      <w:r>
        <w:rPr>
          <w:rFonts w:hint="eastAsia" w:ascii="宋体" w:hAnsi="宋体" w:cs="宋体"/>
          <w:color w:val="auto"/>
          <w:sz w:val="24"/>
          <w:szCs w:val="24"/>
          <w:highlight w:val="none"/>
        </w:rPr>
        <w:br w:type="page"/>
      </w:r>
      <w:bookmarkStart w:id="33" w:name="_Toc88246547"/>
      <w:bookmarkStart w:id="34" w:name="_Toc9591"/>
      <w:r>
        <w:rPr>
          <w:rFonts w:hint="eastAsia" w:ascii="宋体" w:hAnsi="宋体" w:cs="宋体"/>
          <w:color w:val="auto"/>
          <w:highlight w:val="none"/>
        </w:rPr>
        <w:t>第四章  投标文件格式</w:t>
      </w:r>
      <w:bookmarkEnd w:id="33"/>
      <w:bookmarkEnd w:id="34"/>
    </w:p>
    <w:p>
      <w:pPr>
        <w:autoSpaceDE w:val="0"/>
        <w:autoSpaceDN w:val="0"/>
        <w:adjustRightInd w:val="0"/>
        <w:jc w:val="center"/>
        <w:rPr>
          <w:rFonts w:hint="eastAsia" w:ascii="宋体" w:hAnsi="宋体" w:cs="宋体"/>
          <w:b/>
          <w:color w:val="auto"/>
          <w:sz w:val="24"/>
          <w:szCs w:val="24"/>
          <w:highlight w:val="none"/>
        </w:rPr>
      </w:pPr>
    </w:p>
    <w:p>
      <w:pPr>
        <w:autoSpaceDE w:val="0"/>
        <w:autoSpaceDN w:val="0"/>
        <w:adjustRightInd w:val="0"/>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【本章格式除招标文件中带★号的格式必须按招标文件规定的格式进行编制外，其余格式仅供参考。】</w:t>
      </w:r>
    </w:p>
    <w:p>
      <w:pPr>
        <w:topLinePunct/>
        <w:snapToGrid w:val="0"/>
        <w:spacing w:before="100" w:beforeAutospacing="1" w:after="156"/>
        <w:jc w:val="center"/>
        <w:rPr>
          <w:rStyle w:val="25"/>
          <w:rFonts w:ascii="宋体" w:hAnsi="宋体"/>
          <w:b/>
          <w:color w:val="auto"/>
          <w:spacing w:val="4"/>
          <w:kern w:val="0"/>
          <w:sz w:val="30"/>
          <w:szCs w:val="30"/>
          <w:highlight w:val="none"/>
        </w:rPr>
      </w:pPr>
    </w:p>
    <w:p>
      <w:pPr>
        <w:topLinePunct/>
        <w:snapToGrid w:val="0"/>
        <w:spacing w:before="100" w:beforeAutospacing="1" w:after="156"/>
        <w:jc w:val="center"/>
        <w:rPr>
          <w:rStyle w:val="25"/>
          <w:rFonts w:ascii="宋体" w:hAnsi="宋体"/>
          <w:b/>
          <w:color w:val="auto"/>
          <w:spacing w:val="4"/>
          <w:kern w:val="0"/>
          <w:sz w:val="30"/>
          <w:szCs w:val="30"/>
          <w:highlight w:val="none"/>
        </w:rPr>
      </w:pPr>
      <w:r>
        <w:rPr>
          <w:rStyle w:val="25"/>
          <w:rFonts w:ascii="宋体" w:hAnsi="宋体"/>
          <w:b/>
          <w:color w:val="auto"/>
          <w:spacing w:val="4"/>
          <w:kern w:val="0"/>
          <w:sz w:val="30"/>
          <w:szCs w:val="30"/>
          <w:highlight w:val="none"/>
        </w:rPr>
        <w:t>一、技术标投标文件格式</w:t>
      </w:r>
    </w:p>
    <w:p>
      <w:pPr>
        <w:pStyle w:val="12"/>
        <w:rPr>
          <w:rFonts w:hint="eastAsia" w:hAnsi="宋体"/>
          <w:color w:val="auto"/>
          <w:highlight w:val="none"/>
        </w:rPr>
      </w:pPr>
    </w:p>
    <w:p>
      <w:pPr>
        <w:topLinePunct/>
        <w:snapToGrid w:val="0"/>
        <w:spacing w:before="156" w:after="156"/>
        <w:jc w:val="left"/>
        <w:rPr>
          <w:rStyle w:val="25"/>
          <w:rFonts w:ascii="宋体" w:hAnsi="宋体"/>
          <w:b/>
          <w:color w:val="auto"/>
          <w:spacing w:val="4"/>
          <w:kern w:val="0"/>
          <w:szCs w:val="21"/>
          <w:highlight w:val="none"/>
        </w:rPr>
      </w:pPr>
      <w:r>
        <w:rPr>
          <w:rStyle w:val="25"/>
          <w:rFonts w:ascii="宋体" w:hAnsi="宋体"/>
          <w:b/>
          <w:color w:val="auto"/>
          <w:spacing w:val="4"/>
          <w:kern w:val="0"/>
          <w:szCs w:val="21"/>
          <w:highlight w:val="none"/>
        </w:rPr>
        <w:br w:type="page"/>
      </w:r>
      <w:r>
        <w:rPr>
          <w:rStyle w:val="25"/>
          <w:rFonts w:ascii="宋体" w:hAnsi="宋体"/>
          <w:b/>
          <w:color w:val="auto"/>
          <w:spacing w:val="4"/>
          <w:kern w:val="0"/>
          <w:szCs w:val="21"/>
          <w:highlight w:val="none"/>
        </w:rPr>
        <w:t>格式一：技术标封面</w:t>
      </w:r>
    </w:p>
    <w:p>
      <w:pPr>
        <w:topLinePunct/>
        <w:snapToGrid w:val="0"/>
        <w:spacing w:before="100" w:beforeAutospacing="1" w:line="360" w:lineRule="auto"/>
        <w:jc w:val="center"/>
        <w:rPr>
          <w:rStyle w:val="25"/>
          <w:rFonts w:hint="eastAsia" w:ascii="宋体" w:hAnsi="宋体"/>
          <w:color w:val="auto"/>
          <w:spacing w:val="4"/>
          <w:kern w:val="0"/>
          <w:sz w:val="36"/>
          <w:szCs w:val="36"/>
          <w:highlight w:val="none"/>
        </w:rPr>
      </w:pPr>
    </w:p>
    <w:p>
      <w:pPr>
        <w:topLinePunct/>
        <w:snapToGrid w:val="0"/>
        <w:spacing w:before="100" w:beforeAutospacing="1" w:line="360" w:lineRule="auto"/>
        <w:jc w:val="center"/>
        <w:rPr>
          <w:rStyle w:val="25"/>
          <w:rFonts w:ascii="宋体" w:hAnsi="宋体"/>
          <w:color w:val="auto"/>
          <w:spacing w:val="4"/>
          <w:kern w:val="0"/>
          <w:sz w:val="36"/>
          <w:szCs w:val="36"/>
          <w:highlight w:val="none"/>
        </w:rPr>
      </w:pPr>
      <w:r>
        <w:rPr>
          <w:rStyle w:val="25"/>
          <w:rFonts w:ascii="宋体" w:hAnsi="宋体"/>
          <w:color w:val="auto"/>
          <w:spacing w:val="4"/>
          <w:kern w:val="0"/>
          <w:sz w:val="36"/>
          <w:szCs w:val="36"/>
          <w:highlight w:val="none"/>
        </w:rPr>
        <w:t xml:space="preserve">[工程名称] </w:t>
      </w:r>
    </w:p>
    <w:p>
      <w:pPr>
        <w:topLinePunct/>
        <w:snapToGrid w:val="0"/>
        <w:spacing w:before="100" w:beforeAutospacing="1" w:line="360" w:lineRule="auto"/>
        <w:jc w:val="center"/>
        <w:rPr>
          <w:rStyle w:val="25"/>
          <w:rFonts w:hint="eastAsia" w:ascii="宋体" w:hAnsi="宋体"/>
          <w:b/>
          <w:color w:val="auto"/>
          <w:spacing w:val="4"/>
          <w:kern w:val="0"/>
          <w:sz w:val="72"/>
          <w:szCs w:val="72"/>
          <w:highlight w:val="none"/>
        </w:rPr>
      </w:pPr>
    </w:p>
    <w:p>
      <w:pPr>
        <w:topLinePunct/>
        <w:snapToGrid w:val="0"/>
        <w:spacing w:before="100" w:beforeAutospacing="1" w:line="360" w:lineRule="auto"/>
        <w:jc w:val="center"/>
        <w:rPr>
          <w:rStyle w:val="25"/>
          <w:rFonts w:ascii="宋体" w:hAnsi="宋体"/>
          <w:b/>
          <w:color w:val="auto"/>
          <w:spacing w:val="4"/>
          <w:kern w:val="0"/>
          <w:sz w:val="72"/>
          <w:szCs w:val="72"/>
          <w:highlight w:val="none"/>
        </w:rPr>
      </w:pPr>
      <w:r>
        <w:rPr>
          <w:rStyle w:val="25"/>
          <w:rFonts w:ascii="宋体" w:hAnsi="宋体"/>
          <w:b/>
          <w:color w:val="auto"/>
          <w:spacing w:val="4"/>
          <w:kern w:val="0"/>
          <w:sz w:val="72"/>
          <w:szCs w:val="72"/>
          <w:highlight w:val="none"/>
        </w:rPr>
        <w:t>投标文件</w:t>
      </w:r>
    </w:p>
    <w:p>
      <w:pPr>
        <w:topLinePunct/>
        <w:snapToGrid w:val="0"/>
        <w:spacing w:before="100" w:beforeAutospacing="1" w:line="360" w:lineRule="auto"/>
        <w:ind w:firstLine="720" w:firstLineChars="200"/>
        <w:rPr>
          <w:rStyle w:val="25"/>
          <w:rFonts w:ascii="宋体" w:hAnsi="宋体"/>
          <w:color w:val="auto"/>
          <w:spacing w:val="4"/>
          <w:kern w:val="0"/>
          <w:sz w:val="36"/>
          <w:szCs w:val="36"/>
          <w:highlight w:val="none"/>
        </w:rPr>
      </w:pPr>
      <w:r>
        <w:rPr>
          <w:rFonts w:hint="eastAsia" w:ascii="宋体" w:hAnsi="宋体"/>
          <w:color w:val="auto"/>
          <w:sz w:val="36"/>
          <w:szCs w:val="36"/>
          <w:highlight w:val="none"/>
        </w:rPr>
        <w:t>第一册  【技术投标文件（含资格审查文件）】</w:t>
      </w:r>
    </w:p>
    <w:p>
      <w:pPr>
        <w:topLinePunct/>
        <w:snapToGrid w:val="0"/>
        <w:spacing w:before="100" w:beforeAutospacing="1" w:line="360" w:lineRule="auto"/>
        <w:ind w:firstLine="496" w:firstLineChars="200"/>
        <w:rPr>
          <w:rStyle w:val="25"/>
          <w:rFonts w:ascii="宋体" w:hAnsi="宋体"/>
          <w:color w:val="auto"/>
          <w:spacing w:val="4"/>
          <w:kern w:val="0"/>
          <w:sz w:val="24"/>
          <w:szCs w:val="24"/>
          <w:highlight w:val="none"/>
        </w:rPr>
      </w:pPr>
    </w:p>
    <w:p>
      <w:pPr>
        <w:topLinePunct/>
        <w:snapToGrid w:val="0"/>
        <w:spacing w:before="100" w:beforeAutospacing="1" w:line="360" w:lineRule="auto"/>
        <w:ind w:firstLine="496" w:firstLineChars="200"/>
        <w:rPr>
          <w:rStyle w:val="25"/>
          <w:rFonts w:hint="eastAsia" w:ascii="宋体" w:hAnsi="宋体"/>
          <w:color w:val="auto"/>
          <w:spacing w:val="4"/>
          <w:kern w:val="0"/>
          <w:sz w:val="24"/>
          <w:szCs w:val="24"/>
          <w:highlight w:val="none"/>
        </w:rPr>
      </w:pPr>
    </w:p>
    <w:p>
      <w:pPr>
        <w:topLinePunct/>
        <w:snapToGrid w:val="0"/>
        <w:spacing w:before="100" w:beforeAutospacing="1" w:line="360" w:lineRule="auto"/>
        <w:ind w:firstLine="496" w:firstLineChars="200"/>
        <w:rPr>
          <w:rStyle w:val="25"/>
          <w:rFonts w:hint="eastAsia" w:ascii="宋体" w:hAnsi="宋体"/>
          <w:color w:val="auto"/>
          <w:spacing w:val="4"/>
          <w:kern w:val="0"/>
          <w:sz w:val="24"/>
          <w:szCs w:val="24"/>
          <w:highlight w:val="none"/>
        </w:rPr>
      </w:pPr>
    </w:p>
    <w:p>
      <w:pPr>
        <w:topLinePunct/>
        <w:snapToGrid w:val="0"/>
        <w:spacing w:before="100" w:beforeAutospacing="1" w:line="360" w:lineRule="auto"/>
        <w:ind w:firstLine="496" w:firstLineChars="200"/>
        <w:rPr>
          <w:rStyle w:val="25"/>
          <w:rFonts w:ascii="宋体" w:hAnsi="宋体"/>
          <w:color w:val="auto"/>
          <w:spacing w:val="4"/>
          <w:kern w:val="0"/>
          <w:sz w:val="24"/>
          <w:szCs w:val="24"/>
          <w:highlight w:val="none"/>
        </w:rPr>
      </w:pPr>
    </w:p>
    <w:p>
      <w:pPr>
        <w:topLinePunct/>
        <w:snapToGrid w:val="0"/>
        <w:spacing w:before="100" w:beforeAutospacing="1" w:line="360" w:lineRule="auto"/>
        <w:ind w:firstLine="616" w:firstLineChars="200"/>
        <w:jc w:val="left"/>
        <w:rPr>
          <w:rStyle w:val="25"/>
          <w:rFonts w:ascii="宋体" w:hAnsi="宋体"/>
          <w:color w:val="auto"/>
          <w:spacing w:val="4"/>
          <w:kern w:val="0"/>
          <w:sz w:val="30"/>
          <w:szCs w:val="30"/>
          <w:highlight w:val="none"/>
        </w:rPr>
      </w:pPr>
      <w:r>
        <w:rPr>
          <w:rStyle w:val="25"/>
          <w:rFonts w:ascii="宋体" w:hAnsi="宋体"/>
          <w:color w:val="auto"/>
          <w:spacing w:val="4"/>
          <w:kern w:val="0"/>
          <w:sz w:val="30"/>
          <w:szCs w:val="30"/>
          <w:highlight w:val="none"/>
        </w:rPr>
        <w:t>投标人：</w:t>
      </w:r>
      <w:r>
        <w:rPr>
          <w:rStyle w:val="25"/>
          <w:rFonts w:ascii="宋体" w:hAnsi="宋体"/>
          <w:color w:val="auto"/>
          <w:spacing w:val="4"/>
          <w:kern w:val="0"/>
          <w:sz w:val="30"/>
          <w:szCs w:val="30"/>
          <w:highlight w:val="none"/>
          <w:u w:val="single"/>
        </w:rPr>
        <w:t xml:space="preserve">                            （盖章）</w:t>
      </w:r>
    </w:p>
    <w:p>
      <w:pPr>
        <w:topLinePunct/>
        <w:snapToGrid w:val="0"/>
        <w:spacing w:before="100" w:beforeAutospacing="1" w:line="360" w:lineRule="auto"/>
        <w:ind w:firstLine="616" w:firstLineChars="200"/>
        <w:jc w:val="left"/>
        <w:rPr>
          <w:rStyle w:val="25"/>
          <w:rFonts w:ascii="宋体" w:hAnsi="宋体"/>
          <w:color w:val="auto"/>
          <w:spacing w:val="4"/>
          <w:kern w:val="0"/>
          <w:sz w:val="30"/>
          <w:szCs w:val="30"/>
          <w:highlight w:val="none"/>
        </w:rPr>
      </w:pPr>
      <w:r>
        <w:rPr>
          <w:rStyle w:val="25"/>
          <w:rFonts w:ascii="宋体" w:hAnsi="宋体"/>
          <w:color w:val="auto"/>
          <w:spacing w:val="4"/>
          <w:kern w:val="0"/>
          <w:sz w:val="30"/>
          <w:szCs w:val="30"/>
          <w:highlight w:val="none"/>
        </w:rPr>
        <w:t>法定代表人或其委托代理人：</w:t>
      </w:r>
      <w:r>
        <w:rPr>
          <w:rStyle w:val="25"/>
          <w:rFonts w:ascii="宋体" w:hAnsi="宋体"/>
          <w:color w:val="auto"/>
          <w:spacing w:val="4"/>
          <w:kern w:val="0"/>
          <w:sz w:val="30"/>
          <w:szCs w:val="30"/>
          <w:highlight w:val="none"/>
          <w:u w:val="single"/>
        </w:rPr>
        <w:t xml:space="preserve">    （签字或盖章）</w:t>
      </w:r>
    </w:p>
    <w:p>
      <w:pPr>
        <w:topLinePunct/>
        <w:snapToGrid w:val="0"/>
        <w:spacing w:before="100" w:beforeAutospacing="1" w:line="360" w:lineRule="auto"/>
        <w:ind w:firstLine="616" w:firstLineChars="200"/>
        <w:jc w:val="left"/>
        <w:rPr>
          <w:rStyle w:val="25"/>
          <w:rFonts w:ascii="宋体" w:hAnsi="宋体"/>
          <w:color w:val="auto"/>
          <w:spacing w:val="4"/>
          <w:kern w:val="0"/>
          <w:sz w:val="24"/>
          <w:szCs w:val="24"/>
          <w:highlight w:val="none"/>
        </w:rPr>
      </w:pPr>
      <w:r>
        <w:rPr>
          <w:rStyle w:val="25"/>
          <w:rFonts w:ascii="宋体" w:hAnsi="宋体"/>
          <w:color w:val="auto"/>
          <w:spacing w:val="4"/>
          <w:kern w:val="0"/>
          <w:sz w:val="30"/>
          <w:szCs w:val="30"/>
          <w:highlight w:val="none"/>
        </w:rPr>
        <w:t>日  期：</w:t>
      </w:r>
      <w:r>
        <w:rPr>
          <w:rStyle w:val="25"/>
          <w:rFonts w:ascii="宋体" w:hAnsi="宋体"/>
          <w:color w:val="auto"/>
          <w:spacing w:val="4"/>
          <w:kern w:val="0"/>
          <w:sz w:val="30"/>
          <w:szCs w:val="30"/>
          <w:highlight w:val="none"/>
          <w:u w:val="single"/>
        </w:rPr>
        <w:t xml:space="preserve">                                 </w:t>
      </w:r>
    </w:p>
    <w:p>
      <w:pPr>
        <w:autoSpaceDE w:val="0"/>
        <w:autoSpaceDN w:val="0"/>
        <w:adjustRightInd w:val="0"/>
        <w:outlineLvl w:val="2"/>
        <w:rPr>
          <w:rFonts w:hint="eastAsia" w:ascii="宋体" w:hAnsi="宋体" w:cs="宋体"/>
          <w:bCs/>
          <w:color w:val="auto"/>
          <w:szCs w:val="21"/>
          <w:highlight w:val="none"/>
        </w:rPr>
      </w:pPr>
      <w:r>
        <w:rPr>
          <w:rFonts w:hint="eastAsia" w:ascii="宋体" w:hAnsi="宋体" w:cs="宋体"/>
          <w:color w:val="auto"/>
          <w:highlight w:val="none"/>
        </w:rPr>
        <w:br w:type="page"/>
      </w:r>
      <w:r>
        <w:rPr>
          <w:rFonts w:hint="eastAsia" w:ascii="宋体" w:hAnsi="宋体" w:cs="宋体"/>
          <w:b/>
          <w:bCs/>
          <w:color w:val="auto"/>
          <w:highlight w:val="none"/>
        </w:rPr>
        <w:t>★ 格式二</w:t>
      </w:r>
    </w:p>
    <w:p>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pPr>
        <w:autoSpaceDE w:val="0"/>
        <w:autoSpaceDN w:val="0"/>
        <w:adjustRightInd w:val="0"/>
        <w:snapToGrid w:val="0"/>
        <w:spacing w:line="480" w:lineRule="auto"/>
        <w:jc w:val="center"/>
        <w:rPr>
          <w:rFonts w:hint="eastAsia" w:ascii="宋体" w:hAnsi="宋体" w:cs="宋体"/>
          <w:b/>
          <w:bCs/>
          <w:color w:val="auto"/>
          <w:sz w:val="44"/>
          <w:szCs w:val="44"/>
          <w:highlight w:val="none"/>
          <w:lang w:val="zh-CN"/>
        </w:rPr>
      </w:pPr>
      <w:r>
        <w:rPr>
          <w:rFonts w:hint="eastAsia" w:ascii="宋体" w:hAnsi="宋体" w:cs="宋体"/>
          <w:b/>
          <w:bCs/>
          <w:color w:val="auto"/>
          <w:sz w:val="44"/>
          <w:szCs w:val="44"/>
          <w:highlight w:val="none"/>
          <w:lang w:val="zh-CN"/>
        </w:rPr>
        <w:t>广州建设工程施工招标投标书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标</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总</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报</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价（元）</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tabs>
                <w:tab w:val="left" w:pos="420"/>
              </w:tabs>
              <w:adjustRightInd w:val="0"/>
              <w:snapToGrid w:val="0"/>
              <w:spacing w:after="96" w:afterLines="31"/>
              <w:jc w:val="left"/>
              <w:rPr>
                <w:rFonts w:hint="eastAsia"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p>
          <w:p>
            <w:pPr>
              <w:autoSpaceDE w:val="0"/>
              <w:autoSpaceDN w:val="0"/>
              <w:adjustRightInd w:val="0"/>
              <w:jc w:val="left"/>
              <w:rPr>
                <w:rFonts w:hint="eastAsia" w:ascii="宋体" w:hAnsi="宋体" w:cs="宋体"/>
                <w:b/>
                <w:bCs/>
                <w:color w:val="auto"/>
                <w:sz w:val="24"/>
                <w:szCs w:val="24"/>
                <w:highlight w:val="none"/>
                <w:lang w:val="zh-CN"/>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其中：人工费（元）</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其中：绿色施工安全防护措施费（元）</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投 标 总</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工 期</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szCs w:val="24"/>
                <w:highlight w:val="none"/>
                <w:lang w:val="zh-CN"/>
              </w:rPr>
            </w:pPr>
            <w:r>
              <w:rPr>
                <w:rStyle w:val="25"/>
                <w:rFonts w:ascii="宋体" w:hAnsi="宋体" w:cs="宋体"/>
                <w:b/>
                <w:bCs/>
                <w:color w:val="auto"/>
                <w:sz w:val="24"/>
                <w:szCs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工</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程</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质</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量</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标</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zh-CN"/>
              </w:rPr>
              <w:t>准</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szCs w:val="24"/>
                <w:highlight w:val="none"/>
                <w:lang w:val="zh-CN"/>
              </w:rPr>
            </w:pPr>
            <w:r>
              <w:rPr>
                <w:rStyle w:val="25"/>
                <w:rFonts w:ascii="宋体" w:hAnsi="宋体" w:cs="宋体"/>
                <w:b/>
                <w:bCs/>
                <w:color w:val="auto"/>
                <w:sz w:val="24"/>
                <w:szCs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lang w:val="zh-CN"/>
              </w:rPr>
            </w:pPr>
            <w:r>
              <w:rPr>
                <w:rStyle w:val="25"/>
                <w:rFonts w:ascii="宋体" w:hAnsi="宋体"/>
                <w:b/>
                <w:color w:val="auto"/>
                <w:sz w:val="24"/>
                <w:szCs w:val="24"/>
                <w:highlight w:val="none"/>
                <w:lang w:val="zh-CN"/>
              </w:rPr>
              <w:t>保 修 期 限</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jc w:val="center"/>
              <w:rPr>
                <w:rStyle w:val="25"/>
                <w:rFonts w:ascii="宋体" w:hAnsi="宋体"/>
                <w:b/>
                <w:color w:val="auto"/>
                <w:sz w:val="24"/>
                <w:szCs w:val="24"/>
                <w:highlight w:val="none"/>
                <w:lang w:val="zh-CN"/>
              </w:rPr>
            </w:pPr>
            <w:r>
              <w:rPr>
                <w:rFonts w:hint="eastAsia" w:ascii="宋体" w:hAnsi="宋体" w:cs="宋体"/>
                <w:b/>
                <w:color w:val="auto"/>
                <w:sz w:val="24"/>
                <w:szCs w:val="24"/>
                <w:highlight w:val="none"/>
                <w:lang w:val="zh-CN"/>
              </w:rPr>
              <w:t>委派的项目负责人</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jc w:val="center"/>
              <w:rPr>
                <w:rStyle w:val="25"/>
                <w:rFonts w:ascii="宋体" w:hAnsi="宋体"/>
                <w:b/>
                <w:color w:val="auto"/>
                <w:sz w:val="24"/>
                <w:szCs w:val="24"/>
                <w:highlight w:val="none"/>
                <w:lang w:val="zh-CN"/>
              </w:rPr>
            </w:pPr>
            <w:r>
              <w:rPr>
                <w:rFonts w:hint="eastAsia" w:ascii="宋体" w:hAnsi="宋体" w:cs="宋体"/>
                <w:b/>
                <w:bCs/>
                <w:color w:val="auto"/>
                <w:sz w:val="24"/>
                <w:szCs w:val="24"/>
                <w:highlight w:val="none"/>
                <w:lang w:val="zh-CN"/>
              </w:rPr>
              <w:t>委派的专职安全员</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928" w:type="dxa"/>
            <w:tcBorders>
              <w:top w:val="single" w:color="auto" w:sz="4" w:space="0"/>
              <w:left w:val="single" w:color="auto" w:sz="4" w:space="0"/>
              <w:bottom w:val="single" w:color="auto" w:sz="4" w:space="0"/>
              <w:right w:val="single" w:color="auto" w:sz="4" w:space="0"/>
            </w:tcBorders>
            <w:noWrap w:val="0"/>
            <w:vAlign w:val="center"/>
          </w:tcPr>
          <w:p>
            <w:pPr>
              <w:jc w:val="center"/>
              <w:rPr>
                <w:rStyle w:val="25"/>
                <w:rFonts w:ascii="宋体" w:hAnsi="宋体"/>
                <w:b/>
                <w:color w:val="auto"/>
                <w:sz w:val="24"/>
                <w:szCs w:val="24"/>
                <w:highlight w:val="none"/>
                <w:lang w:val="zh-CN"/>
              </w:rPr>
            </w:pPr>
            <w:r>
              <w:rPr>
                <w:rFonts w:hint="eastAsia" w:ascii="宋体" w:hAnsi="宋体" w:cs="宋体"/>
                <w:b/>
                <w:bCs/>
                <w:color w:val="auto"/>
                <w:sz w:val="24"/>
                <w:szCs w:val="24"/>
                <w:highlight w:val="none"/>
                <w:lang w:val="zh-CN"/>
              </w:rPr>
              <w:t>委派的技术负责人</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4"/>
                <w:szCs w:val="24"/>
                <w:highlight w:val="none"/>
                <w:lang w:val="zh-CN"/>
              </w:rPr>
            </w:pPr>
          </w:p>
        </w:tc>
      </w:tr>
    </w:tbl>
    <w:p>
      <w:pPr>
        <w:autoSpaceDE w:val="0"/>
        <w:autoSpaceDN w:val="0"/>
        <w:adjustRightInd w:val="0"/>
        <w:rPr>
          <w:rFonts w:hint="eastAsia" w:ascii="宋体" w:hAnsi="宋体" w:cs="宋体"/>
          <w:color w:val="auto"/>
          <w:sz w:val="24"/>
          <w:szCs w:val="24"/>
          <w:highlight w:val="none"/>
        </w:rPr>
      </w:pPr>
    </w:p>
    <w:p>
      <w:pPr>
        <w:rPr>
          <w:rFonts w:ascii="宋体" w:hAnsi="宋体"/>
          <w:b/>
          <w:color w:val="auto"/>
          <w:sz w:val="24"/>
          <w:szCs w:val="24"/>
          <w:highlight w:val="none"/>
        </w:rPr>
      </w:pPr>
      <w:r>
        <w:rPr>
          <w:rFonts w:hint="eastAsia" w:ascii="宋体" w:hAnsi="宋体" w:cs="宋体"/>
          <w:color w:val="auto"/>
          <w:sz w:val="24"/>
          <w:szCs w:val="24"/>
          <w:highlight w:val="none"/>
        </w:rPr>
        <w:br w:type="page"/>
      </w:r>
      <w:bookmarkStart w:id="35" w:name="_Toc20655"/>
      <w:bookmarkStart w:id="36" w:name="_Toc504722506"/>
      <w:bookmarkStart w:id="37" w:name="_Toc40024388"/>
      <w:bookmarkStart w:id="38" w:name="_Toc29476914"/>
      <w:bookmarkStart w:id="39" w:name="_Toc4489938"/>
      <w:r>
        <w:rPr>
          <w:rFonts w:hint="eastAsia" w:ascii="宋体" w:hAnsi="宋体" w:cs="宋体"/>
          <w:color w:val="auto"/>
          <w:szCs w:val="21"/>
          <w:highlight w:val="none"/>
        </w:rPr>
        <w:t xml:space="preserve">★ </w:t>
      </w:r>
      <w:r>
        <w:rPr>
          <w:rFonts w:hint="eastAsia" w:ascii="宋体" w:hAnsi="宋体"/>
          <w:b/>
          <w:color w:val="auto"/>
          <w:szCs w:val="21"/>
          <w:highlight w:val="none"/>
        </w:rPr>
        <w:t>格式三</w:t>
      </w:r>
    </w:p>
    <w:p>
      <w:pPr>
        <w:pStyle w:val="36"/>
        <w:ind w:firstLine="496"/>
        <w:rPr>
          <w:rFonts w:hint="eastAsia" w:ascii="宋体" w:hAnsi="宋体" w:eastAsia="宋体"/>
          <w:color w:val="auto"/>
          <w:highlight w:val="none"/>
        </w:rPr>
      </w:pPr>
    </w:p>
    <w:p>
      <w:pPr>
        <w:pStyle w:val="37"/>
        <w:rPr>
          <w:rFonts w:hint="eastAsia" w:ascii="宋体" w:hAnsi="宋体" w:eastAsia="宋体"/>
          <w:color w:val="auto"/>
          <w:sz w:val="32"/>
          <w:szCs w:val="32"/>
          <w:highlight w:val="none"/>
        </w:rPr>
      </w:pPr>
      <w:r>
        <w:rPr>
          <w:rFonts w:hint="eastAsia" w:ascii="宋体" w:hAnsi="宋体" w:eastAsia="宋体"/>
          <w:color w:val="auto"/>
          <w:sz w:val="32"/>
          <w:szCs w:val="32"/>
          <w:highlight w:val="none"/>
        </w:rPr>
        <w:t>投 标 函</w:t>
      </w:r>
    </w:p>
    <w:p>
      <w:pPr>
        <w:pStyle w:val="36"/>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u w:val="single"/>
        </w:rPr>
        <w:t>广州交投城市道路建设有限公司</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1.根据招标人</w:t>
      </w:r>
      <w:r>
        <w:rPr>
          <w:rFonts w:hint="eastAsia" w:ascii="宋体" w:hAnsi="宋体" w:eastAsia="宋体"/>
          <w:color w:val="auto"/>
          <w:sz w:val="21"/>
          <w:szCs w:val="21"/>
          <w:highlight w:val="none"/>
          <w:u w:val="single"/>
        </w:rPr>
        <w:t>东南西环三滘立交市政化改造工程（一期）施工</w:t>
      </w:r>
      <w:r>
        <w:rPr>
          <w:rFonts w:hint="eastAsia" w:ascii="宋体" w:hAnsi="宋体" w:eastAsia="宋体"/>
          <w:color w:val="auto"/>
          <w:sz w:val="21"/>
          <w:szCs w:val="21"/>
          <w:highlight w:val="none"/>
        </w:rPr>
        <w:t>招标文件，遵照《中华人民共和国招标投标法》等有关规定，经踏勘项目现场和研究上述招标文件、相关招标资料及其他有关文件后，我方愿按投标总价并遵照上述文件要求承包上述工程的施工、竣工，并承担任何质量缺陷保修责任。</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2.我方已详细审核全部招标文件，包括修改文件（如有时）及有关附件。</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3.如果我方中标，我方保证按照合同文件中规定的开工日期开始施工，并按规定的预计竣工日期完成和交付全部工程。</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6.如果我方中标，我方将按照招标文件的规定，按时提交履约担保，以保障本项目优质、优价、按期、顺利完成。</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7.我方同意所提交的投标文件在招标文件投标须知中第15条规定的投标有效期内有效，在此期限届满之前，本投标书始终将对我方具有约束力，并随时接受中标。</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8.在合同协议书正式签署生效之前，本投标书连同你单位的中标通知书将构成我们双方之间共同遵守的文件，对双方具有约束力。</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9.如果我方在投标文件有效期内撤回投标文件；或在接到中标通知书后30天内未能或拒绝签订合同协议书；或未能按招标文件要求提交履约担保，你单位有权没收投标保证金，另选中标单位。</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10.我方同意按时缴纳交易服务费，交易服务费金额按政府规定。</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11.我方理解，你单位不一定接受最低标价的投标或你单位接到的其它任何投标。同时也理解，你单位不负担我方的任何投标费用。</w:t>
      </w:r>
    </w:p>
    <w:p>
      <w:pPr>
        <w:pStyle w:val="36"/>
        <w:ind w:firstLine="43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12.我方在此承诺：无条件地配合政府相关管理部门、招标人及招标人上级管理单位等各级纪检机构对招标业务开展的监督和检查工作。</w:t>
      </w:r>
    </w:p>
    <w:p>
      <w:pPr>
        <w:pStyle w:val="36"/>
        <w:ind w:firstLine="436"/>
        <w:rPr>
          <w:rFonts w:hint="eastAsia" w:ascii="宋体" w:hAnsi="宋体" w:eastAsia="宋体"/>
          <w:color w:val="auto"/>
          <w:sz w:val="21"/>
          <w:szCs w:val="21"/>
          <w:highlight w:val="none"/>
        </w:rPr>
      </w:pPr>
    </w:p>
    <w:p>
      <w:pPr>
        <w:pStyle w:val="36"/>
        <w:ind w:firstLine="608" w:firstLineChars="279"/>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投 标 人：（盖章）</w:t>
      </w:r>
    </w:p>
    <w:p>
      <w:pPr>
        <w:pStyle w:val="36"/>
        <w:ind w:firstLine="608" w:firstLineChars="279"/>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法定代表人或授权代理人（签字或盖章）：</w:t>
      </w:r>
    </w:p>
    <w:p>
      <w:pPr>
        <w:pStyle w:val="36"/>
        <w:ind w:firstLine="608" w:firstLineChars="279"/>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    年    月    日 </w:t>
      </w:r>
    </w:p>
    <w:p>
      <w:pPr>
        <w:topLinePunct/>
        <w:snapToGrid w:val="0"/>
        <w:spacing w:after="200"/>
        <w:jc w:val="left"/>
        <w:rPr>
          <w:rStyle w:val="25"/>
          <w:rFonts w:ascii="宋体" w:hAnsi="宋体"/>
          <w:color w:val="auto"/>
          <w:spacing w:val="4"/>
          <w:kern w:val="0"/>
          <w:sz w:val="32"/>
          <w:szCs w:val="32"/>
          <w:highlight w:val="none"/>
        </w:rPr>
      </w:pPr>
      <w:r>
        <w:rPr>
          <w:rStyle w:val="25"/>
          <w:rFonts w:ascii="宋体" w:hAnsi="宋体"/>
          <w:color w:val="auto"/>
          <w:sz w:val="24"/>
          <w:szCs w:val="24"/>
          <w:highlight w:val="none"/>
        </w:rPr>
        <w:br w:type="page"/>
      </w:r>
      <w:r>
        <w:rPr>
          <w:rFonts w:hint="eastAsia" w:ascii="宋体" w:hAnsi="宋体" w:cs="宋体"/>
          <w:b/>
          <w:bCs/>
          <w:color w:val="auto"/>
          <w:szCs w:val="21"/>
          <w:highlight w:val="none"/>
        </w:rPr>
        <w:t>格式四</w:t>
      </w:r>
    </w:p>
    <w:p>
      <w:pPr>
        <w:topLinePunct/>
        <w:snapToGrid w:val="0"/>
        <w:spacing w:after="200"/>
        <w:rPr>
          <w:rStyle w:val="25"/>
          <w:rFonts w:hint="eastAsia" w:ascii="宋体" w:hAnsi="宋体"/>
          <w:b/>
          <w:color w:val="auto"/>
          <w:sz w:val="24"/>
          <w:szCs w:val="24"/>
          <w:highlight w:val="none"/>
        </w:rPr>
      </w:pPr>
    </w:p>
    <w:p>
      <w:pPr>
        <w:topLinePunct/>
        <w:snapToGrid w:val="0"/>
        <w:spacing w:after="200"/>
        <w:jc w:val="center"/>
        <w:rPr>
          <w:rStyle w:val="25"/>
          <w:rFonts w:ascii="宋体" w:hAnsi="宋体"/>
          <w:color w:val="auto"/>
          <w:spacing w:val="4"/>
          <w:kern w:val="0"/>
          <w:sz w:val="32"/>
          <w:szCs w:val="32"/>
          <w:highlight w:val="none"/>
        </w:rPr>
      </w:pPr>
      <w:r>
        <w:rPr>
          <w:rStyle w:val="25"/>
          <w:rFonts w:ascii="宋体" w:hAnsi="宋体"/>
          <w:color w:val="auto"/>
          <w:spacing w:val="4"/>
          <w:kern w:val="0"/>
          <w:sz w:val="32"/>
          <w:szCs w:val="32"/>
          <w:highlight w:val="none"/>
        </w:rPr>
        <w:t>法定代表人证明书、授权委托书</w:t>
      </w:r>
    </w:p>
    <w:p>
      <w:pPr>
        <w:topLinePunct/>
        <w:snapToGrid w:val="0"/>
        <w:spacing w:before="100" w:beforeAutospacing="1"/>
        <w:ind w:firstLine="436" w:firstLineChars="200"/>
        <w:rPr>
          <w:rStyle w:val="25"/>
          <w:rFonts w:hint="eastAsia" w:ascii="宋体" w:hAnsi="宋体" w:cs="宋体"/>
          <w:color w:val="auto"/>
          <w:spacing w:val="4"/>
          <w:kern w:val="0"/>
          <w:szCs w:val="21"/>
          <w:highlight w:val="none"/>
        </w:rPr>
      </w:pPr>
      <w:r>
        <w:rPr>
          <w:rStyle w:val="25"/>
          <w:rFonts w:hint="eastAsia" w:ascii="宋体" w:hAnsi="宋体" w:cs="宋体"/>
          <w:color w:val="auto"/>
          <w:spacing w:val="4"/>
          <w:kern w:val="0"/>
          <w:szCs w:val="21"/>
          <w:highlight w:val="none"/>
        </w:rPr>
        <w:t>（1）法定代表人证明书</w:t>
      </w:r>
    </w:p>
    <w:p>
      <w:pPr>
        <w:topLinePunct/>
        <w:snapToGrid w:val="0"/>
        <w:spacing w:before="100" w:beforeAutospacing="1" w:line="360" w:lineRule="auto"/>
        <w:ind w:firstLine="420" w:firstLineChars="200"/>
        <w:rPr>
          <w:rStyle w:val="25"/>
          <w:rFonts w:hint="eastAsia" w:ascii="宋体" w:hAnsi="宋体" w:cs="宋体"/>
          <w:color w:val="auto"/>
          <w:spacing w:val="4"/>
          <w:kern w:val="0"/>
          <w:szCs w:val="21"/>
          <w:highlight w:val="none"/>
        </w:rPr>
      </w:pPr>
      <w:r>
        <w:rPr>
          <w:rStyle w:val="25"/>
          <w:rFonts w:hint="eastAsia" w:ascii="宋体" w:hAnsi="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92730"/>
                <wp:effectExtent l="4445" t="5080" r="12700" b="21590"/>
                <wp:wrapNone/>
                <wp:docPr id="7" name="文本框 7"/>
                <wp:cNvGraphicFramePr/>
                <a:graphic xmlns:a="http://schemas.openxmlformats.org/drawingml/2006/main">
                  <a:graphicData uri="http://schemas.microsoft.com/office/word/2010/wordprocessingShape">
                    <wps:wsp>
                      <wps:cNvSpPr txBox="1"/>
                      <wps:spPr>
                        <a:xfrm>
                          <a:off x="0" y="0"/>
                          <a:ext cx="5716905" cy="2792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opLinePunct/>
                              <w:snapToGrid w:val="0"/>
                              <w:spacing w:before="100" w:beforeAutospacing="1" w:line="260" w:lineRule="exact"/>
                              <w:rPr>
                                <w:rStyle w:val="25"/>
                                <w:spacing w:val="4"/>
                                <w:kern w:val="0"/>
                                <w:szCs w:val="21"/>
                              </w:rPr>
                            </w:pPr>
                            <w:r>
                              <w:rPr>
                                <w:rStyle w:val="25"/>
                                <w:rFonts w:hint="eastAsia"/>
                                <w:spacing w:val="4"/>
                                <w:kern w:val="0"/>
                                <w:szCs w:val="21"/>
                              </w:rPr>
                              <w:t xml:space="preserve">   </w:t>
                            </w:r>
                            <w:r>
                              <w:rPr>
                                <w:rStyle w:val="25"/>
                                <w:spacing w:val="4"/>
                                <w:kern w:val="0"/>
                                <w:szCs w:val="21"/>
                                <w:u w:val="single"/>
                              </w:rPr>
                              <w:t xml:space="preserve">         </w:t>
                            </w:r>
                            <w:r>
                              <w:rPr>
                                <w:rStyle w:val="25"/>
                                <w:spacing w:val="4"/>
                                <w:kern w:val="0"/>
                                <w:szCs w:val="21"/>
                              </w:rPr>
                              <w:t>现任我单位</w:t>
                            </w:r>
                            <w:r>
                              <w:rPr>
                                <w:rStyle w:val="25"/>
                                <w:spacing w:val="4"/>
                                <w:kern w:val="0"/>
                                <w:szCs w:val="21"/>
                                <w:u w:val="single"/>
                              </w:rPr>
                              <w:t xml:space="preserve">         </w:t>
                            </w:r>
                            <w:r>
                              <w:rPr>
                                <w:rStyle w:val="25"/>
                                <w:spacing w:val="4"/>
                                <w:kern w:val="0"/>
                                <w:szCs w:val="21"/>
                              </w:rPr>
                              <w:t>职务，为法定代表人（负责人），</w:t>
                            </w:r>
                          </w:p>
                          <w:p>
                            <w:pPr>
                              <w:topLinePunct/>
                              <w:snapToGrid w:val="0"/>
                              <w:spacing w:before="100" w:beforeAutospacing="1" w:line="260" w:lineRule="exact"/>
                              <w:rPr>
                                <w:rStyle w:val="25"/>
                                <w:spacing w:val="4"/>
                                <w:kern w:val="0"/>
                                <w:szCs w:val="21"/>
                              </w:rPr>
                            </w:pPr>
                            <w:r>
                              <w:rPr>
                                <w:rStyle w:val="25"/>
                                <w:spacing w:val="4"/>
                                <w:kern w:val="0"/>
                                <w:szCs w:val="21"/>
                              </w:rPr>
                              <w:t>特此证明。</w:t>
                            </w:r>
                          </w:p>
                          <w:p>
                            <w:pPr>
                              <w:topLinePunct/>
                              <w:snapToGrid w:val="0"/>
                              <w:spacing w:before="100" w:beforeAutospacing="1" w:line="260" w:lineRule="exact"/>
                              <w:rPr>
                                <w:rStyle w:val="25"/>
                                <w:spacing w:val="4"/>
                                <w:kern w:val="0"/>
                                <w:szCs w:val="21"/>
                              </w:rPr>
                            </w:pPr>
                            <w:r>
                              <w:rPr>
                                <w:rStyle w:val="25"/>
                                <w:spacing w:val="4"/>
                                <w:kern w:val="0"/>
                                <w:szCs w:val="21"/>
                              </w:rPr>
                              <w:t>有效期限：</w:t>
                            </w:r>
                            <w:r>
                              <w:rPr>
                                <w:rStyle w:val="25"/>
                                <w:spacing w:val="4"/>
                                <w:kern w:val="0"/>
                                <w:szCs w:val="21"/>
                                <w:u w:val="single"/>
                              </w:rPr>
                              <w:t xml:space="preserve">                                  </w:t>
                            </w:r>
                          </w:p>
                          <w:p>
                            <w:pPr>
                              <w:topLinePunct/>
                              <w:snapToGrid w:val="0"/>
                              <w:spacing w:before="100" w:beforeAutospacing="1" w:line="260" w:lineRule="exact"/>
                              <w:rPr>
                                <w:rStyle w:val="25"/>
                                <w:spacing w:val="4"/>
                                <w:kern w:val="0"/>
                                <w:szCs w:val="21"/>
                              </w:rPr>
                            </w:pPr>
                            <w:r>
                              <w:rPr>
                                <w:rStyle w:val="25"/>
                                <w:spacing w:val="4"/>
                                <w:kern w:val="0"/>
                                <w:szCs w:val="21"/>
                              </w:rPr>
                              <w:t>附：法定代表人（负责人）性别：</w:t>
                            </w:r>
                            <w:r>
                              <w:rPr>
                                <w:rStyle w:val="25"/>
                                <w:spacing w:val="4"/>
                                <w:kern w:val="0"/>
                                <w:szCs w:val="21"/>
                                <w:u w:val="single"/>
                              </w:rPr>
                              <w:t>　　</w:t>
                            </w:r>
                            <w:r>
                              <w:rPr>
                                <w:rStyle w:val="25"/>
                                <w:spacing w:val="4"/>
                                <w:kern w:val="0"/>
                                <w:szCs w:val="21"/>
                              </w:rPr>
                              <w:t>年龄：</w:t>
                            </w:r>
                            <w:r>
                              <w:rPr>
                                <w:rStyle w:val="25"/>
                                <w:spacing w:val="4"/>
                                <w:kern w:val="0"/>
                                <w:szCs w:val="21"/>
                                <w:u w:val="single"/>
                              </w:rPr>
                              <w:t>　　</w:t>
                            </w:r>
                            <w:r>
                              <w:rPr>
                                <w:rStyle w:val="25"/>
                                <w:spacing w:val="4"/>
                                <w:kern w:val="0"/>
                                <w:szCs w:val="21"/>
                              </w:rPr>
                              <w:t>身份证号码：</w:t>
                            </w:r>
                            <w:r>
                              <w:rPr>
                                <w:rStyle w:val="25"/>
                                <w:spacing w:val="4"/>
                                <w:kern w:val="0"/>
                                <w:szCs w:val="21"/>
                                <w:u w:val="single"/>
                              </w:rPr>
                              <w:t xml:space="preserve">             </w:t>
                            </w:r>
                          </w:p>
                          <w:p>
                            <w:pPr>
                              <w:topLinePunct/>
                              <w:snapToGrid w:val="0"/>
                              <w:spacing w:before="100" w:beforeAutospacing="1" w:line="260" w:lineRule="exact"/>
                              <w:rPr>
                                <w:rStyle w:val="25"/>
                                <w:spacing w:val="4"/>
                                <w:kern w:val="0"/>
                                <w:szCs w:val="21"/>
                              </w:rPr>
                            </w:pPr>
                            <w:r>
                              <w:rPr>
                                <w:rStyle w:val="25"/>
                                <w:spacing w:val="4"/>
                                <w:kern w:val="0"/>
                                <w:szCs w:val="21"/>
                              </w:rPr>
                              <w:t>注册号码：</w:t>
                            </w:r>
                            <w:r>
                              <w:rPr>
                                <w:rStyle w:val="25"/>
                                <w:spacing w:val="4"/>
                                <w:kern w:val="0"/>
                                <w:szCs w:val="21"/>
                                <w:u w:val="single"/>
                              </w:rPr>
                              <w:t xml:space="preserve">                         </w:t>
                            </w:r>
                            <w:r>
                              <w:rPr>
                                <w:rStyle w:val="25"/>
                                <w:rFonts w:hint="eastAsia"/>
                                <w:spacing w:val="4"/>
                                <w:kern w:val="0"/>
                                <w:szCs w:val="21"/>
                                <w:u w:val="single"/>
                              </w:rPr>
                              <w:t xml:space="preserve"> </w:t>
                            </w:r>
                            <w:r>
                              <w:rPr>
                                <w:rStyle w:val="25"/>
                                <w:spacing w:val="4"/>
                                <w:kern w:val="0"/>
                                <w:szCs w:val="21"/>
                              </w:rPr>
                              <w:t>企业类型：</w:t>
                            </w:r>
                            <w:r>
                              <w:rPr>
                                <w:rStyle w:val="25"/>
                                <w:spacing w:val="4"/>
                                <w:kern w:val="0"/>
                                <w:szCs w:val="21"/>
                                <w:u w:val="single"/>
                              </w:rPr>
                              <w:t xml:space="preserve">                          </w:t>
                            </w:r>
                          </w:p>
                          <w:p>
                            <w:pPr>
                              <w:topLinePunct/>
                              <w:snapToGrid w:val="0"/>
                              <w:spacing w:before="100" w:beforeAutospacing="1" w:line="260" w:lineRule="exact"/>
                              <w:rPr>
                                <w:rStyle w:val="25"/>
                                <w:spacing w:val="4"/>
                                <w:kern w:val="0"/>
                                <w:szCs w:val="21"/>
                              </w:rPr>
                            </w:pPr>
                            <w:r>
                              <w:rPr>
                                <w:rStyle w:val="25"/>
                                <w:spacing w:val="4"/>
                                <w:kern w:val="0"/>
                                <w:szCs w:val="21"/>
                              </w:rPr>
                              <w:t>经营范围：</w:t>
                            </w:r>
                            <w:r>
                              <w:rPr>
                                <w:rStyle w:val="25"/>
                                <w:spacing w:val="4"/>
                                <w:kern w:val="0"/>
                                <w:szCs w:val="21"/>
                                <w:u w:val="single"/>
                              </w:rPr>
                              <w:t xml:space="preserve">                                       </w:t>
                            </w:r>
                          </w:p>
                          <w:p>
                            <w:pPr>
                              <w:topLinePunct/>
                              <w:snapToGrid w:val="0"/>
                              <w:spacing w:before="100" w:beforeAutospacing="1" w:line="260" w:lineRule="exact"/>
                              <w:rPr>
                                <w:rStyle w:val="25"/>
                                <w:spacing w:val="4"/>
                                <w:kern w:val="0"/>
                                <w:szCs w:val="21"/>
                              </w:rPr>
                            </w:pPr>
                            <w:r>
                              <w:rPr>
                                <w:rStyle w:val="25"/>
                                <w:spacing w:val="4"/>
                                <w:kern w:val="0"/>
                                <w:szCs w:val="21"/>
                              </w:rPr>
                              <w:t>　　　　　　　　　　单位：　　　　　　　　　　　（盖章）</w:t>
                            </w:r>
                          </w:p>
                          <w:p>
                            <w:pPr>
                              <w:topLinePunct/>
                              <w:snapToGrid w:val="0"/>
                              <w:spacing w:before="100" w:beforeAutospacing="1" w:line="260" w:lineRule="exact"/>
                              <w:rPr>
                                <w:rStyle w:val="25"/>
                                <w:szCs w:val="21"/>
                              </w:rPr>
                            </w:pPr>
                            <w:r>
                              <w:rPr>
                                <w:rStyle w:val="25"/>
                                <w:spacing w:val="4"/>
                                <w:kern w:val="0"/>
                                <w:szCs w:val="21"/>
                              </w:rPr>
                              <w:t>　　　　　　　　　　　　　　　　　　　　　    年　月　　日</w:t>
                            </w:r>
                          </w:p>
                        </w:txbxContent>
                      </wps:txbx>
                      <wps:bodyPr upright="1"/>
                    </wps:wsp>
                  </a:graphicData>
                </a:graphic>
              </wp:anchor>
            </w:drawing>
          </mc:Choice>
          <mc:Fallback>
            <w:pict>
              <v:shape id="_x0000_s1026" o:spid="_x0000_s1026" o:spt="202" type="#_x0000_t202" style="position:absolute;left:0pt;margin-left:6pt;margin-top:3.25pt;height:219.9pt;width:450.15pt;z-index:251659264;mso-width-relative:page;mso-height-relative:page;" fillcolor="#FFFFFF" filled="t" stroked="t" coordsize="21600,21600" o:gfxdata="UEsDBAoAAAAAAIdO4kAAAAAAAAAAAAAAAAAEAAAAZHJzL1BLAwQUAAAACACHTuJAs1RIV9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1RIV9cAAAAIAQAADwAAAAAAAAABACAA&#10;AAAiAAAAZHJzL2Rvd25yZXYueG1sUEsBAhQAFAAAAAgAh07iQOBR25IOAgAANwQAAA4AAAAAAAAA&#10;AQAgAAAAJgEAAGRycy9lMm9Eb2MueG1sUEsFBgAAAAAGAAYAWQEAAKYFAAAAAA==&#10;">
                <v:fill on="t" focussize="0,0"/>
                <v:stroke color="#000000" joinstyle="miter"/>
                <v:imagedata o:title=""/>
                <o:lock v:ext="edit" aspectratio="f"/>
                <v:textbox>
                  <w:txbxContent>
                    <w:p>
                      <w:pPr>
                        <w:topLinePunct/>
                        <w:snapToGrid w:val="0"/>
                        <w:spacing w:before="100" w:beforeAutospacing="1" w:line="260" w:lineRule="exact"/>
                        <w:rPr>
                          <w:rStyle w:val="25"/>
                          <w:spacing w:val="4"/>
                          <w:kern w:val="0"/>
                          <w:szCs w:val="21"/>
                        </w:rPr>
                      </w:pPr>
                      <w:r>
                        <w:rPr>
                          <w:rStyle w:val="25"/>
                          <w:rFonts w:hint="eastAsia"/>
                          <w:spacing w:val="4"/>
                          <w:kern w:val="0"/>
                          <w:szCs w:val="21"/>
                        </w:rPr>
                        <w:t xml:space="preserve">   </w:t>
                      </w:r>
                      <w:r>
                        <w:rPr>
                          <w:rStyle w:val="25"/>
                          <w:spacing w:val="4"/>
                          <w:kern w:val="0"/>
                          <w:szCs w:val="21"/>
                          <w:u w:val="single"/>
                        </w:rPr>
                        <w:t xml:space="preserve">         </w:t>
                      </w:r>
                      <w:r>
                        <w:rPr>
                          <w:rStyle w:val="25"/>
                          <w:spacing w:val="4"/>
                          <w:kern w:val="0"/>
                          <w:szCs w:val="21"/>
                        </w:rPr>
                        <w:t>现任我单位</w:t>
                      </w:r>
                      <w:r>
                        <w:rPr>
                          <w:rStyle w:val="25"/>
                          <w:spacing w:val="4"/>
                          <w:kern w:val="0"/>
                          <w:szCs w:val="21"/>
                          <w:u w:val="single"/>
                        </w:rPr>
                        <w:t xml:space="preserve">         </w:t>
                      </w:r>
                      <w:r>
                        <w:rPr>
                          <w:rStyle w:val="25"/>
                          <w:spacing w:val="4"/>
                          <w:kern w:val="0"/>
                          <w:szCs w:val="21"/>
                        </w:rPr>
                        <w:t>职务，为法定代表人（负责人），</w:t>
                      </w:r>
                    </w:p>
                    <w:p>
                      <w:pPr>
                        <w:topLinePunct/>
                        <w:snapToGrid w:val="0"/>
                        <w:spacing w:before="100" w:beforeAutospacing="1" w:line="260" w:lineRule="exact"/>
                        <w:rPr>
                          <w:rStyle w:val="25"/>
                          <w:spacing w:val="4"/>
                          <w:kern w:val="0"/>
                          <w:szCs w:val="21"/>
                        </w:rPr>
                      </w:pPr>
                      <w:r>
                        <w:rPr>
                          <w:rStyle w:val="25"/>
                          <w:spacing w:val="4"/>
                          <w:kern w:val="0"/>
                          <w:szCs w:val="21"/>
                        </w:rPr>
                        <w:t>特此证明。</w:t>
                      </w:r>
                    </w:p>
                    <w:p>
                      <w:pPr>
                        <w:topLinePunct/>
                        <w:snapToGrid w:val="0"/>
                        <w:spacing w:before="100" w:beforeAutospacing="1" w:line="260" w:lineRule="exact"/>
                        <w:rPr>
                          <w:rStyle w:val="25"/>
                          <w:spacing w:val="4"/>
                          <w:kern w:val="0"/>
                          <w:szCs w:val="21"/>
                        </w:rPr>
                      </w:pPr>
                      <w:r>
                        <w:rPr>
                          <w:rStyle w:val="25"/>
                          <w:spacing w:val="4"/>
                          <w:kern w:val="0"/>
                          <w:szCs w:val="21"/>
                        </w:rPr>
                        <w:t>有效期限：</w:t>
                      </w:r>
                      <w:r>
                        <w:rPr>
                          <w:rStyle w:val="25"/>
                          <w:spacing w:val="4"/>
                          <w:kern w:val="0"/>
                          <w:szCs w:val="21"/>
                          <w:u w:val="single"/>
                        </w:rPr>
                        <w:t xml:space="preserve">                                  </w:t>
                      </w:r>
                    </w:p>
                    <w:p>
                      <w:pPr>
                        <w:topLinePunct/>
                        <w:snapToGrid w:val="0"/>
                        <w:spacing w:before="100" w:beforeAutospacing="1" w:line="260" w:lineRule="exact"/>
                        <w:rPr>
                          <w:rStyle w:val="25"/>
                          <w:spacing w:val="4"/>
                          <w:kern w:val="0"/>
                          <w:szCs w:val="21"/>
                        </w:rPr>
                      </w:pPr>
                      <w:r>
                        <w:rPr>
                          <w:rStyle w:val="25"/>
                          <w:spacing w:val="4"/>
                          <w:kern w:val="0"/>
                          <w:szCs w:val="21"/>
                        </w:rPr>
                        <w:t>附：法定代表人（负责人）性别：</w:t>
                      </w:r>
                      <w:r>
                        <w:rPr>
                          <w:rStyle w:val="25"/>
                          <w:spacing w:val="4"/>
                          <w:kern w:val="0"/>
                          <w:szCs w:val="21"/>
                          <w:u w:val="single"/>
                        </w:rPr>
                        <w:t>　　</w:t>
                      </w:r>
                      <w:r>
                        <w:rPr>
                          <w:rStyle w:val="25"/>
                          <w:spacing w:val="4"/>
                          <w:kern w:val="0"/>
                          <w:szCs w:val="21"/>
                        </w:rPr>
                        <w:t>年龄：</w:t>
                      </w:r>
                      <w:r>
                        <w:rPr>
                          <w:rStyle w:val="25"/>
                          <w:spacing w:val="4"/>
                          <w:kern w:val="0"/>
                          <w:szCs w:val="21"/>
                          <w:u w:val="single"/>
                        </w:rPr>
                        <w:t>　　</w:t>
                      </w:r>
                      <w:r>
                        <w:rPr>
                          <w:rStyle w:val="25"/>
                          <w:spacing w:val="4"/>
                          <w:kern w:val="0"/>
                          <w:szCs w:val="21"/>
                        </w:rPr>
                        <w:t>身份证号码：</w:t>
                      </w:r>
                      <w:r>
                        <w:rPr>
                          <w:rStyle w:val="25"/>
                          <w:spacing w:val="4"/>
                          <w:kern w:val="0"/>
                          <w:szCs w:val="21"/>
                          <w:u w:val="single"/>
                        </w:rPr>
                        <w:t xml:space="preserve">             </w:t>
                      </w:r>
                    </w:p>
                    <w:p>
                      <w:pPr>
                        <w:topLinePunct/>
                        <w:snapToGrid w:val="0"/>
                        <w:spacing w:before="100" w:beforeAutospacing="1" w:line="260" w:lineRule="exact"/>
                        <w:rPr>
                          <w:rStyle w:val="25"/>
                          <w:spacing w:val="4"/>
                          <w:kern w:val="0"/>
                          <w:szCs w:val="21"/>
                        </w:rPr>
                      </w:pPr>
                      <w:r>
                        <w:rPr>
                          <w:rStyle w:val="25"/>
                          <w:spacing w:val="4"/>
                          <w:kern w:val="0"/>
                          <w:szCs w:val="21"/>
                        </w:rPr>
                        <w:t>注册号码：</w:t>
                      </w:r>
                      <w:r>
                        <w:rPr>
                          <w:rStyle w:val="25"/>
                          <w:spacing w:val="4"/>
                          <w:kern w:val="0"/>
                          <w:szCs w:val="21"/>
                          <w:u w:val="single"/>
                        </w:rPr>
                        <w:t xml:space="preserve">                         </w:t>
                      </w:r>
                      <w:r>
                        <w:rPr>
                          <w:rStyle w:val="25"/>
                          <w:rFonts w:hint="eastAsia"/>
                          <w:spacing w:val="4"/>
                          <w:kern w:val="0"/>
                          <w:szCs w:val="21"/>
                          <w:u w:val="single"/>
                        </w:rPr>
                        <w:t xml:space="preserve"> </w:t>
                      </w:r>
                      <w:r>
                        <w:rPr>
                          <w:rStyle w:val="25"/>
                          <w:spacing w:val="4"/>
                          <w:kern w:val="0"/>
                          <w:szCs w:val="21"/>
                        </w:rPr>
                        <w:t>企业类型：</w:t>
                      </w:r>
                      <w:r>
                        <w:rPr>
                          <w:rStyle w:val="25"/>
                          <w:spacing w:val="4"/>
                          <w:kern w:val="0"/>
                          <w:szCs w:val="21"/>
                          <w:u w:val="single"/>
                        </w:rPr>
                        <w:t xml:space="preserve">                          </w:t>
                      </w:r>
                    </w:p>
                    <w:p>
                      <w:pPr>
                        <w:topLinePunct/>
                        <w:snapToGrid w:val="0"/>
                        <w:spacing w:before="100" w:beforeAutospacing="1" w:line="260" w:lineRule="exact"/>
                        <w:rPr>
                          <w:rStyle w:val="25"/>
                          <w:spacing w:val="4"/>
                          <w:kern w:val="0"/>
                          <w:szCs w:val="21"/>
                        </w:rPr>
                      </w:pPr>
                      <w:r>
                        <w:rPr>
                          <w:rStyle w:val="25"/>
                          <w:spacing w:val="4"/>
                          <w:kern w:val="0"/>
                          <w:szCs w:val="21"/>
                        </w:rPr>
                        <w:t>经营范围：</w:t>
                      </w:r>
                      <w:r>
                        <w:rPr>
                          <w:rStyle w:val="25"/>
                          <w:spacing w:val="4"/>
                          <w:kern w:val="0"/>
                          <w:szCs w:val="21"/>
                          <w:u w:val="single"/>
                        </w:rPr>
                        <w:t xml:space="preserve">                                       </w:t>
                      </w:r>
                    </w:p>
                    <w:p>
                      <w:pPr>
                        <w:topLinePunct/>
                        <w:snapToGrid w:val="0"/>
                        <w:spacing w:before="100" w:beforeAutospacing="1" w:line="260" w:lineRule="exact"/>
                        <w:rPr>
                          <w:rStyle w:val="25"/>
                          <w:spacing w:val="4"/>
                          <w:kern w:val="0"/>
                          <w:szCs w:val="21"/>
                        </w:rPr>
                      </w:pPr>
                      <w:r>
                        <w:rPr>
                          <w:rStyle w:val="25"/>
                          <w:spacing w:val="4"/>
                          <w:kern w:val="0"/>
                          <w:szCs w:val="21"/>
                        </w:rPr>
                        <w:t>　　　　　　　　　　单位：　　　　　　　　　　　（盖章）</w:t>
                      </w:r>
                    </w:p>
                    <w:p>
                      <w:pPr>
                        <w:topLinePunct/>
                        <w:snapToGrid w:val="0"/>
                        <w:spacing w:before="100" w:beforeAutospacing="1" w:line="260" w:lineRule="exact"/>
                        <w:rPr>
                          <w:rStyle w:val="25"/>
                          <w:szCs w:val="21"/>
                        </w:rPr>
                      </w:pPr>
                      <w:r>
                        <w:rPr>
                          <w:rStyle w:val="25"/>
                          <w:spacing w:val="4"/>
                          <w:kern w:val="0"/>
                          <w:szCs w:val="21"/>
                        </w:rPr>
                        <w:t>　　　　　　　　　　　　　　　　　　　　　    年　月　　日</w:t>
                      </w:r>
                    </w:p>
                  </w:txbxContent>
                </v:textbox>
              </v:shape>
            </w:pict>
          </mc:Fallback>
        </mc:AlternateContent>
      </w: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r>
        <w:rPr>
          <w:rStyle w:val="25"/>
          <w:rFonts w:hint="eastAsia" w:ascii="宋体" w:hAnsi="宋体" w:cs="宋体"/>
          <w:color w:val="auto"/>
          <w:spacing w:val="4"/>
          <w:kern w:val="0"/>
          <w:szCs w:val="21"/>
          <w:highlight w:val="none"/>
        </w:rPr>
        <w:t>授权委</w:t>
      </w: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r>
        <w:rPr>
          <w:rStyle w:val="25"/>
          <w:rFonts w:hint="eastAsia" w:ascii="宋体" w:hAnsi="宋体" w:cs="宋体"/>
          <w:color w:val="auto"/>
          <w:spacing w:val="4"/>
          <w:kern w:val="0"/>
          <w:szCs w:val="21"/>
          <w:highlight w:val="none"/>
        </w:rPr>
        <w:t>托证明书</w:t>
      </w: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r>
        <w:rPr>
          <w:rStyle w:val="25"/>
          <w:rFonts w:hint="eastAsia" w:ascii="宋体" w:hAnsi="宋体" w:cs="宋体"/>
          <w:color w:val="auto"/>
          <w:spacing w:val="4"/>
          <w:kern w:val="0"/>
          <w:szCs w:val="21"/>
          <w:highlight w:val="none"/>
        </w:rPr>
        <w:t>（　 ）第　号</w:t>
      </w: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r>
        <w:rPr>
          <w:rStyle w:val="25"/>
          <w:rFonts w:hint="eastAsia" w:ascii="宋体" w:hAnsi="宋体" w:cs="宋体"/>
          <w:color w:val="auto"/>
          <w:spacing w:val="4"/>
          <w:kern w:val="0"/>
          <w:szCs w:val="21"/>
          <w:highlight w:val="none"/>
        </w:rPr>
        <w:t>注：按提供的该表格格式填写，或使用从工商管理部门购买的表格填写。</w:t>
      </w:r>
    </w:p>
    <w:p>
      <w:pPr>
        <w:topLinePunct/>
        <w:snapToGrid w:val="0"/>
        <w:spacing w:before="100" w:beforeAutospacing="1"/>
        <w:ind w:firstLine="436" w:firstLineChars="200"/>
        <w:rPr>
          <w:rStyle w:val="25"/>
          <w:rFonts w:hint="eastAsia" w:ascii="宋体" w:hAnsi="宋体" w:cs="宋体"/>
          <w:color w:val="auto"/>
          <w:spacing w:val="4"/>
          <w:kern w:val="0"/>
          <w:szCs w:val="21"/>
          <w:highlight w:val="none"/>
        </w:rPr>
      </w:pPr>
    </w:p>
    <w:p>
      <w:pPr>
        <w:topLinePunct/>
        <w:snapToGrid w:val="0"/>
        <w:spacing w:before="100" w:beforeAutospacing="1"/>
        <w:ind w:firstLine="436" w:firstLineChars="200"/>
        <w:rPr>
          <w:rStyle w:val="25"/>
          <w:rFonts w:hint="eastAsia" w:ascii="宋体" w:hAnsi="宋体" w:cs="宋体"/>
          <w:color w:val="auto"/>
          <w:spacing w:val="4"/>
          <w:kern w:val="0"/>
          <w:szCs w:val="21"/>
          <w:highlight w:val="none"/>
        </w:rPr>
      </w:pPr>
      <w:r>
        <w:rPr>
          <w:rStyle w:val="25"/>
          <w:rFonts w:hint="eastAsia" w:ascii="宋体" w:hAnsi="宋体" w:cs="宋体"/>
          <w:color w:val="auto"/>
          <w:spacing w:val="4"/>
          <w:kern w:val="0"/>
          <w:szCs w:val="21"/>
          <w:highlight w:val="none"/>
        </w:rPr>
        <w:t>（2）法定代表人授权委托书</w:t>
      </w:r>
    </w:p>
    <w:p>
      <w:pPr>
        <w:topLinePunct/>
        <w:snapToGrid w:val="0"/>
        <w:spacing w:before="100" w:beforeAutospacing="1" w:line="360" w:lineRule="auto"/>
        <w:rPr>
          <w:rStyle w:val="25"/>
          <w:rFonts w:hint="eastAsia" w:ascii="宋体" w:hAnsi="宋体" w:cs="宋体"/>
          <w:color w:val="auto"/>
          <w:spacing w:val="4"/>
          <w:kern w:val="0"/>
          <w:szCs w:val="21"/>
          <w:highlight w:val="none"/>
        </w:rPr>
      </w:pPr>
      <w:r>
        <w:rPr>
          <w:rStyle w:val="25"/>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59055</wp:posOffset>
                </wp:positionV>
                <wp:extent cx="5692140" cy="2743200"/>
                <wp:effectExtent l="4445" t="4445" r="18415" b="14605"/>
                <wp:wrapNone/>
                <wp:docPr id="12" name="文本框 12"/>
                <wp:cNvGraphicFramePr/>
                <a:graphic xmlns:a="http://schemas.openxmlformats.org/drawingml/2006/main">
                  <a:graphicData uri="http://schemas.microsoft.com/office/word/2010/wordprocessingShape">
                    <wps:wsp>
                      <wps:cNvSpPr txBox="1"/>
                      <wps:spPr>
                        <a:xfrm>
                          <a:off x="0" y="0"/>
                          <a:ext cx="5692140" cy="2743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topLinePunct/>
                              <w:snapToGrid w:val="0"/>
                              <w:spacing w:before="100" w:beforeAutospacing="1"/>
                              <w:rPr>
                                <w:rStyle w:val="25"/>
                                <w:spacing w:val="4"/>
                                <w:kern w:val="0"/>
                                <w:szCs w:val="21"/>
                              </w:rPr>
                            </w:pPr>
                            <w:r>
                              <w:rPr>
                                <w:rStyle w:val="25"/>
                                <w:spacing w:val="4"/>
                                <w:kern w:val="0"/>
                                <w:szCs w:val="21"/>
                              </w:rPr>
                              <w:t>兹授权</w:t>
                            </w:r>
                            <w:r>
                              <w:rPr>
                                <w:rStyle w:val="25"/>
                                <w:spacing w:val="4"/>
                                <w:kern w:val="0"/>
                                <w:szCs w:val="21"/>
                                <w:u w:val="single"/>
                              </w:rPr>
                              <w:t xml:space="preserve">                </w:t>
                            </w:r>
                            <w:r>
                              <w:rPr>
                                <w:rStyle w:val="25"/>
                                <w:spacing w:val="4"/>
                                <w:kern w:val="0"/>
                                <w:szCs w:val="21"/>
                              </w:rPr>
                              <w:t>为我方委托代理人，其权限是：</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 xml:space="preserve"> 有效期限：</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附：代理人性别：</w:t>
                            </w:r>
                            <w:r>
                              <w:rPr>
                                <w:rStyle w:val="25"/>
                                <w:spacing w:val="4"/>
                                <w:kern w:val="0"/>
                                <w:szCs w:val="21"/>
                                <w:u w:val="single"/>
                              </w:rPr>
                              <w:t xml:space="preserve">     </w:t>
                            </w:r>
                            <w:r>
                              <w:rPr>
                                <w:rStyle w:val="25"/>
                                <w:spacing w:val="4"/>
                                <w:kern w:val="0"/>
                                <w:szCs w:val="21"/>
                              </w:rPr>
                              <w:t>年龄：</w:t>
                            </w:r>
                            <w:r>
                              <w:rPr>
                                <w:rStyle w:val="25"/>
                                <w:spacing w:val="4"/>
                                <w:kern w:val="0"/>
                                <w:szCs w:val="21"/>
                                <w:u w:val="single"/>
                              </w:rPr>
                              <w:t xml:space="preserve">     </w:t>
                            </w:r>
                            <w:r>
                              <w:rPr>
                                <w:rStyle w:val="25"/>
                                <w:spacing w:val="4"/>
                                <w:kern w:val="0"/>
                                <w:szCs w:val="21"/>
                              </w:rPr>
                              <w:t>身份证号码：</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注册号码：</w:t>
                            </w:r>
                            <w:r>
                              <w:rPr>
                                <w:rStyle w:val="25"/>
                                <w:spacing w:val="4"/>
                                <w:kern w:val="0"/>
                                <w:szCs w:val="21"/>
                                <w:u w:val="single"/>
                              </w:rPr>
                              <w:t xml:space="preserve">                  </w:t>
                            </w:r>
                            <w:r>
                              <w:rPr>
                                <w:rStyle w:val="25"/>
                                <w:spacing w:val="4"/>
                                <w:kern w:val="0"/>
                                <w:szCs w:val="21"/>
                              </w:rPr>
                              <w:t>企业类型：</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经营范围：</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法定代表人（负责人）：</w:t>
                            </w:r>
                            <w:r>
                              <w:rPr>
                                <w:rStyle w:val="25"/>
                                <w:spacing w:val="4"/>
                                <w:kern w:val="0"/>
                                <w:szCs w:val="21"/>
                                <w:u w:val="single"/>
                              </w:rPr>
                              <w:t xml:space="preserve">                 </w:t>
                            </w:r>
                            <w:r>
                              <w:rPr>
                                <w:rStyle w:val="25"/>
                                <w:spacing w:val="4"/>
                                <w:kern w:val="0"/>
                                <w:szCs w:val="21"/>
                              </w:rPr>
                              <w:t>（签字或盖章）</w:t>
                            </w:r>
                          </w:p>
                          <w:p>
                            <w:pPr>
                              <w:topLinePunct/>
                              <w:snapToGrid w:val="0"/>
                              <w:spacing w:before="100" w:beforeAutospacing="1"/>
                              <w:rPr>
                                <w:rStyle w:val="25"/>
                                <w:spacing w:val="4"/>
                                <w:kern w:val="0"/>
                                <w:szCs w:val="21"/>
                              </w:rPr>
                            </w:pPr>
                            <w:r>
                              <w:rPr>
                                <w:rStyle w:val="25"/>
                                <w:spacing w:val="4"/>
                                <w:kern w:val="0"/>
                                <w:szCs w:val="21"/>
                              </w:rPr>
                              <w:t>授权单位：（盖章）</w:t>
                            </w:r>
                            <w:r>
                              <w:rPr>
                                <w:rStyle w:val="25"/>
                                <w:spacing w:val="4"/>
                                <w:kern w:val="0"/>
                                <w:szCs w:val="21"/>
                                <w:u w:val="single"/>
                              </w:rPr>
                              <w:t xml:space="preserve">                      </w:t>
                            </w:r>
                          </w:p>
                          <w:p>
                            <w:pPr>
                              <w:topLinePunct/>
                              <w:snapToGrid w:val="0"/>
                              <w:spacing w:before="100" w:beforeAutospacing="1" w:line="360" w:lineRule="auto"/>
                              <w:ind w:firstLine="436" w:firstLineChars="200"/>
                              <w:jc w:val="right"/>
                              <w:rPr>
                                <w:rStyle w:val="25"/>
                              </w:rPr>
                            </w:pPr>
                            <w:r>
                              <w:rPr>
                                <w:rStyle w:val="25"/>
                                <w:spacing w:val="4"/>
                                <w:kern w:val="0"/>
                                <w:szCs w:val="21"/>
                              </w:rPr>
                              <w:t>年  月   日</w:t>
                            </w:r>
                          </w:p>
                        </w:txbxContent>
                      </wps:txbx>
                      <wps:bodyPr upright="1"/>
                    </wps:wsp>
                  </a:graphicData>
                </a:graphic>
              </wp:anchor>
            </w:drawing>
          </mc:Choice>
          <mc:Fallback>
            <w:pict>
              <v:shape id="_x0000_s1026" o:spid="_x0000_s1026" o:spt="202" type="#_x0000_t202" style="position:absolute;left:0pt;margin-left:10.5pt;margin-top:4.65pt;height:216pt;width:448.2pt;z-index:251660288;mso-width-relative:page;mso-height-relative:page;" fillcolor="#FFFFFF" filled="t" stroked="t" coordsize="21600,21600" o:gfxdata="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EQYs2AAAAAgBAAAPAAAAAAAAAAEAIAAA&#10;ACIAAABkcnMvZG93bnJldi54bWxQSwECFAAUAAAACACHTuJA47XQ0gwCAAA5BAAADgAAAAAAAAAB&#10;ACAAAAAnAQAAZHJzL2Uyb0RvYy54bWxQSwUGAAAAAAYABgBZAQAApQUAAAAA&#10;">
                <v:fill on="t" focussize="0,0"/>
                <v:stroke color="#000000" joinstyle="miter"/>
                <v:imagedata o:title=""/>
                <o:lock v:ext="edit" aspectratio="f"/>
                <v:textbox>
                  <w:txbxContent>
                    <w:p>
                      <w:pPr>
                        <w:topLinePunct/>
                        <w:snapToGrid w:val="0"/>
                        <w:spacing w:before="100" w:beforeAutospacing="1"/>
                        <w:rPr>
                          <w:rStyle w:val="25"/>
                          <w:spacing w:val="4"/>
                          <w:kern w:val="0"/>
                          <w:szCs w:val="21"/>
                        </w:rPr>
                      </w:pPr>
                      <w:r>
                        <w:rPr>
                          <w:rStyle w:val="25"/>
                          <w:spacing w:val="4"/>
                          <w:kern w:val="0"/>
                          <w:szCs w:val="21"/>
                        </w:rPr>
                        <w:t>兹授权</w:t>
                      </w:r>
                      <w:r>
                        <w:rPr>
                          <w:rStyle w:val="25"/>
                          <w:spacing w:val="4"/>
                          <w:kern w:val="0"/>
                          <w:szCs w:val="21"/>
                          <w:u w:val="single"/>
                        </w:rPr>
                        <w:t xml:space="preserve">                </w:t>
                      </w:r>
                      <w:r>
                        <w:rPr>
                          <w:rStyle w:val="25"/>
                          <w:spacing w:val="4"/>
                          <w:kern w:val="0"/>
                          <w:szCs w:val="21"/>
                        </w:rPr>
                        <w:t>为我方委托代理人，其权限是：</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 xml:space="preserve"> 有效期限：</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附：代理人性别：</w:t>
                      </w:r>
                      <w:r>
                        <w:rPr>
                          <w:rStyle w:val="25"/>
                          <w:spacing w:val="4"/>
                          <w:kern w:val="0"/>
                          <w:szCs w:val="21"/>
                          <w:u w:val="single"/>
                        </w:rPr>
                        <w:t xml:space="preserve">     </w:t>
                      </w:r>
                      <w:r>
                        <w:rPr>
                          <w:rStyle w:val="25"/>
                          <w:spacing w:val="4"/>
                          <w:kern w:val="0"/>
                          <w:szCs w:val="21"/>
                        </w:rPr>
                        <w:t>年龄：</w:t>
                      </w:r>
                      <w:r>
                        <w:rPr>
                          <w:rStyle w:val="25"/>
                          <w:spacing w:val="4"/>
                          <w:kern w:val="0"/>
                          <w:szCs w:val="21"/>
                          <w:u w:val="single"/>
                        </w:rPr>
                        <w:t xml:space="preserve">     </w:t>
                      </w:r>
                      <w:r>
                        <w:rPr>
                          <w:rStyle w:val="25"/>
                          <w:spacing w:val="4"/>
                          <w:kern w:val="0"/>
                          <w:szCs w:val="21"/>
                        </w:rPr>
                        <w:t>身份证号码：</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注册号码：</w:t>
                      </w:r>
                      <w:r>
                        <w:rPr>
                          <w:rStyle w:val="25"/>
                          <w:spacing w:val="4"/>
                          <w:kern w:val="0"/>
                          <w:szCs w:val="21"/>
                          <w:u w:val="single"/>
                        </w:rPr>
                        <w:t xml:space="preserve">                  </w:t>
                      </w:r>
                      <w:r>
                        <w:rPr>
                          <w:rStyle w:val="25"/>
                          <w:spacing w:val="4"/>
                          <w:kern w:val="0"/>
                          <w:szCs w:val="21"/>
                        </w:rPr>
                        <w:t>企业类型：</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经营范围：</w:t>
                      </w:r>
                      <w:r>
                        <w:rPr>
                          <w:rStyle w:val="25"/>
                          <w:spacing w:val="4"/>
                          <w:kern w:val="0"/>
                          <w:szCs w:val="21"/>
                          <w:u w:val="single"/>
                        </w:rPr>
                        <w:t xml:space="preserve">                                                        </w:t>
                      </w:r>
                    </w:p>
                    <w:p>
                      <w:pPr>
                        <w:topLinePunct/>
                        <w:snapToGrid w:val="0"/>
                        <w:spacing w:before="100" w:beforeAutospacing="1"/>
                        <w:rPr>
                          <w:rStyle w:val="25"/>
                          <w:spacing w:val="4"/>
                          <w:kern w:val="0"/>
                          <w:szCs w:val="21"/>
                        </w:rPr>
                      </w:pPr>
                      <w:r>
                        <w:rPr>
                          <w:rStyle w:val="25"/>
                          <w:spacing w:val="4"/>
                          <w:kern w:val="0"/>
                          <w:szCs w:val="21"/>
                        </w:rPr>
                        <w:t>法定代表人（负责人）：</w:t>
                      </w:r>
                      <w:r>
                        <w:rPr>
                          <w:rStyle w:val="25"/>
                          <w:spacing w:val="4"/>
                          <w:kern w:val="0"/>
                          <w:szCs w:val="21"/>
                          <w:u w:val="single"/>
                        </w:rPr>
                        <w:t xml:space="preserve">                 </w:t>
                      </w:r>
                      <w:r>
                        <w:rPr>
                          <w:rStyle w:val="25"/>
                          <w:spacing w:val="4"/>
                          <w:kern w:val="0"/>
                          <w:szCs w:val="21"/>
                        </w:rPr>
                        <w:t>（签字或盖章）</w:t>
                      </w:r>
                    </w:p>
                    <w:p>
                      <w:pPr>
                        <w:topLinePunct/>
                        <w:snapToGrid w:val="0"/>
                        <w:spacing w:before="100" w:beforeAutospacing="1"/>
                        <w:rPr>
                          <w:rStyle w:val="25"/>
                          <w:spacing w:val="4"/>
                          <w:kern w:val="0"/>
                          <w:szCs w:val="21"/>
                        </w:rPr>
                      </w:pPr>
                      <w:r>
                        <w:rPr>
                          <w:rStyle w:val="25"/>
                          <w:spacing w:val="4"/>
                          <w:kern w:val="0"/>
                          <w:szCs w:val="21"/>
                        </w:rPr>
                        <w:t>授权单位：（盖章）</w:t>
                      </w:r>
                      <w:r>
                        <w:rPr>
                          <w:rStyle w:val="25"/>
                          <w:spacing w:val="4"/>
                          <w:kern w:val="0"/>
                          <w:szCs w:val="21"/>
                          <w:u w:val="single"/>
                        </w:rPr>
                        <w:t xml:space="preserve">                      </w:t>
                      </w:r>
                    </w:p>
                    <w:p>
                      <w:pPr>
                        <w:topLinePunct/>
                        <w:snapToGrid w:val="0"/>
                        <w:spacing w:before="100" w:beforeAutospacing="1" w:line="360" w:lineRule="auto"/>
                        <w:ind w:firstLine="436" w:firstLineChars="200"/>
                        <w:jc w:val="right"/>
                        <w:rPr>
                          <w:rStyle w:val="25"/>
                        </w:rPr>
                      </w:pPr>
                      <w:r>
                        <w:rPr>
                          <w:rStyle w:val="25"/>
                          <w:spacing w:val="4"/>
                          <w:kern w:val="0"/>
                          <w:szCs w:val="21"/>
                        </w:rPr>
                        <w:t>年  月   日</w:t>
                      </w:r>
                    </w:p>
                  </w:txbxContent>
                </v:textbox>
              </v:shape>
            </w:pict>
          </mc:Fallback>
        </mc:AlternateContent>
      </w: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p>
    <w:p>
      <w:pPr>
        <w:topLinePunct/>
        <w:snapToGrid w:val="0"/>
        <w:spacing w:before="100" w:beforeAutospacing="1" w:line="360" w:lineRule="auto"/>
        <w:ind w:firstLine="436" w:firstLineChars="200"/>
        <w:rPr>
          <w:rStyle w:val="25"/>
          <w:rFonts w:hint="eastAsia" w:ascii="宋体" w:hAnsi="宋体" w:cs="宋体"/>
          <w:color w:val="auto"/>
          <w:spacing w:val="4"/>
          <w:kern w:val="0"/>
          <w:szCs w:val="21"/>
          <w:highlight w:val="none"/>
        </w:rPr>
      </w:pPr>
    </w:p>
    <w:p>
      <w:pPr>
        <w:topLinePunct/>
        <w:snapToGrid w:val="0"/>
        <w:spacing w:before="100" w:beforeAutospacing="1"/>
        <w:rPr>
          <w:rStyle w:val="25"/>
          <w:rFonts w:hint="eastAsia" w:ascii="宋体" w:hAnsi="宋体" w:cs="宋体"/>
          <w:color w:val="auto"/>
          <w:spacing w:val="4"/>
          <w:kern w:val="0"/>
          <w:szCs w:val="21"/>
          <w:highlight w:val="none"/>
        </w:rPr>
      </w:pPr>
    </w:p>
    <w:p>
      <w:pPr>
        <w:topLinePunct/>
        <w:snapToGrid w:val="0"/>
        <w:spacing w:before="100" w:beforeAutospacing="1"/>
        <w:rPr>
          <w:rStyle w:val="25"/>
          <w:rFonts w:hint="eastAsia" w:ascii="宋体" w:hAnsi="宋体" w:cs="宋体"/>
          <w:color w:val="auto"/>
          <w:spacing w:val="4"/>
          <w:kern w:val="0"/>
          <w:szCs w:val="21"/>
          <w:highlight w:val="none"/>
        </w:rPr>
      </w:pPr>
      <w:r>
        <w:rPr>
          <w:rStyle w:val="25"/>
          <w:rFonts w:hint="eastAsia" w:ascii="宋体" w:hAnsi="宋体" w:cs="宋体"/>
          <w:color w:val="auto"/>
          <w:spacing w:val="4"/>
          <w:kern w:val="0"/>
          <w:szCs w:val="21"/>
          <w:highlight w:val="none"/>
        </w:rPr>
        <w:t xml:space="preserve">注：按提供的格式或使用从工商管理部门购买的格式填写。 </w:t>
      </w:r>
    </w:p>
    <w:p>
      <w:pPr>
        <w:spacing w:line="360" w:lineRule="auto"/>
        <w:rPr>
          <w:rStyle w:val="25"/>
          <w:rFonts w:ascii="宋体" w:hAnsi="宋体"/>
          <w:b/>
          <w:color w:val="auto"/>
          <w:highlight w:val="none"/>
        </w:rPr>
      </w:pPr>
      <w:r>
        <w:rPr>
          <w:rStyle w:val="25"/>
          <w:rFonts w:ascii="宋体" w:hAnsi="宋体"/>
          <w:color w:val="auto"/>
          <w:highlight w:val="none"/>
        </w:rPr>
        <w:br w:type="page"/>
      </w:r>
      <w:r>
        <w:rPr>
          <w:rStyle w:val="25"/>
          <w:rFonts w:ascii="宋体" w:hAnsi="宋体"/>
          <w:b/>
          <w:color w:val="auto"/>
          <w:szCs w:val="21"/>
          <w:highlight w:val="none"/>
        </w:rPr>
        <w:t>格式</w:t>
      </w:r>
      <w:r>
        <w:rPr>
          <w:rStyle w:val="25"/>
          <w:rFonts w:hint="eastAsia" w:ascii="宋体" w:hAnsi="宋体"/>
          <w:b/>
          <w:color w:val="auto"/>
          <w:szCs w:val="21"/>
          <w:highlight w:val="none"/>
        </w:rPr>
        <w:t>五</w:t>
      </w:r>
    </w:p>
    <w:p>
      <w:pPr>
        <w:pStyle w:val="38"/>
        <w:ind w:firstLine="496"/>
        <w:rPr>
          <w:rStyle w:val="25"/>
          <w:rFonts w:ascii="宋体" w:hAnsi="宋体"/>
          <w:color w:val="auto"/>
          <w:highlight w:val="none"/>
        </w:rPr>
      </w:pPr>
    </w:p>
    <w:p>
      <w:pPr>
        <w:spacing w:after="156" w:afterLines="50" w:line="300" w:lineRule="exact"/>
        <w:jc w:val="center"/>
        <w:rPr>
          <w:rStyle w:val="25"/>
          <w:rFonts w:ascii="宋体" w:hAnsi="宋体" w:cs="宋体"/>
          <w:b/>
          <w:bCs/>
          <w:color w:val="auto"/>
          <w:sz w:val="30"/>
          <w:szCs w:val="30"/>
          <w:highlight w:val="none"/>
          <w:lang w:val="zh-CN"/>
        </w:rPr>
      </w:pPr>
      <w:r>
        <w:rPr>
          <w:rStyle w:val="25"/>
          <w:rFonts w:ascii="宋体" w:hAnsi="宋体"/>
          <w:b/>
          <w:color w:val="auto"/>
          <w:sz w:val="30"/>
          <w:szCs w:val="30"/>
          <w:highlight w:val="none"/>
        </w:rPr>
        <w:t>项目管理机构人员配备表</w:t>
      </w:r>
    </w:p>
    <w:tbl>
      <w:tblPr>
        <w:tblStyle w:val="20"/>
        <w:tblW w:w="9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
        <w:gridCol w:w="2096"/>
        <w:gridCol w:w="1417"/>
        <w:gridCol w:w="3149"/>
        <w:gridCol w:w="1143"/>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序号</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拟在本项目任职</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姓名</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注册证或岗位证或培训证或职称证</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专业</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1</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hint="eastAsia" w:ascii="宋体" w:hAnsi="宋体"/>
                <w:color w:val="auto"/>
                <w:sz w:val="24"/>
                <w:szCs w:val="24"/>
                <w:highlight w:val="none"/>
              </w:rPr>
            </w:pPr>
            <w:r>
              <w:rPr>
                <w:rStyle w:val="25"/>
                <w:rFonts w:ascii="宋体" w:hAnsi="宋体"/>
                <w:color w:val="auto"/>
                <w:sz w:val="24"/>
                <w:szCs w:val="24"/>
                <w:highlight w:val="none"/>
              </w:rPr>
              <w:t>项目</w:t>
            </w:r>
            <w:r>
              <w:rPr>
                <w:rStyle w:val="25"/>
                <w:rFonts w:hint="eastAsia" w:ascii="宋体" w:hAnsi="宋体"/>
                <w:color w:val="auto"/>
                <w:sz w:val="24"/>
                <w:szCs w:val="24"/>
                <w:highlight w:val="none"/>
              </w:rPr>
              <w:t>指挥长</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2</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r>
              <w:rPr>
                <w:rStyle w:val="25"/>
                <w:rFonts w:ascii="宋体" w:hAnsi="宋体"/>
                <w:color w:val="auto"/>
                <w:sz w:val="24"/>
                <w:szCs w:val="24"/>
                <w:highlight w:val="none"/>
              </w:rPr>
              <w:t>项目负责人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3</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r>
              <w:rPr>
                <w:rStyle w:val="25"/>
                <w:rFonts w:ascii="宋体" w:hAnsi="宋体"/>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4</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r>
              <w:rPr>
                <w:rStyle w:val="25"/>
                <w:rFonts w:ascii="宋体" w:hAnsi="宋体"/>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5</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r>
              <w:rPr>
                <w:rStyle w:val="25"/>
                <w:rFonts w:ascii="宋体" w:hAnsi="宋体"/>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6</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r>
              <w:rPr>
                <w:rStyle w:val="25"/>
                <w:rFonts w:ascii="宋体" w:hAnsi="宋体"/>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napToGrid w:val="0"/>
              <w:spacing w:line="360" w:lineRule="auto"/>
              <w:jc w:val="center"/>
              <w:rPr>
                <w:rStyle w:val="25"/>
                <w:rFonts w:ascii="宋体" w:hAnsi="宋体"/>
                <w:color w:val="auto"/>
                <w:sz w:val="24"/>
                <w:szCs w:val="24"/>
                <w:highlight w:val="none"/>
              </w:rPr>
            </w:pPr>
            <w:r>
              <w:rPr>
                <w:rStyle w:val="25"/>
                <w:rFonts w:ascii="宋体" w:hAnsi="宋体"/>
                <w:color w:val="auto"/>
                <w:sz w:val="24"/>
                <w:szCs w:val="24"/>
                <w:highlight w:val="none"/>
              </w:rPr>
              <w:t>7</w:t>
            </w:r>
          </w:p>
        </w:tc>
        <w:tc>
          <w:tcPr>
            <w:tcW w:w="2096"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r>
              <w:rPr>
                <w:rStyle w:val="25"/>
                <w:rFonts w:ascii="宋体" w:hAnsi="宋体"/>
                <w:color w:val="auto"/>
                <w:sz w:val="24"/>
                <w:szCs w:val="24"/>
                <w:highlight w:val="none"/>
              </w:rPr>
              <w:t>…</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top"/>
          </w:tcPr>
          <w:p>
            <w:pPr>
              <w:keepNext/>
              <w:keepLines/>
              <w:tabs>
                <w:tab w:val="left" w:pos="720"/>
              </w:tabs>
              <w:snapToGrid w:val="0"/>
              <w:spacing w:before="120" w:after="120" w:line="360" w:lineRule="auto"/>
              <w:ind w:left="-63" w:leftChars="-30" w:right="-63" w:rightChars="-30"/>
              <w:jc w:val="center"/>
              <w:rPr>
                <w:rStyle w:val="25"/>
                <w:rFonts w:ascii="宋体" w:hAnsi="宋体"/>
                <w:color w:val="auto"/>
                <w:sz w:val="24"/>
                <w:szCs w:val="24"/>
                <w:highlight w:val="none"/>
              </w:rPr>
            </w:pPr>
          </w:p>
        </w:tc>
      </w:tr>
    </w:tbl>
    <w:p>
      <w:pPr>
        <w:pStyle w:val="30"/>
        <w:rPr>
          <w:rStyle w:val="25"/>
          <w:rFonts w:ascii="宋体" w:hAnsi="宋体"/>
          <w:color w:val="auto"/>
          <w:highlight w:val="none"/>
        </w:rPr>
      </w:pPr>
    </w:p>
    <w:p>
      <w:pPr>
        <w:spacing w:line="360" w:lineRule="auto"/>
        <w:rPr>
          <w:rStyle w:val="25"/>
          <w:rFonts w:ascii="宋体" w:hAnsi="宋体"/>
          <w:color w:val="auto"/>
          <w:highlight w:val="none"/>
        </w:rPr>
      </w:pPr>
      <w:r>
        <w:rPr>
          <w:rStyle w:val="25"/>
          <w:rFonts w:ascii="宋体" w:hAnsi="宋体"/>
          <w:color w:val="auto"/>
          <w:highlight w:val="none"/>
        </w:rPr>
        <w:t>备注：1.本表投标单位根据实际情况可进行扩展；</w:t>
      </w:r>
    </w:p>
    <w:p>
      <w:pPr>
        <w:pStyle w:val="30"/>
        <w:rPr>
          <w:rStyle w:val="25"/>
          <w:rFonts w:ascii="宋体" w:hAnsi="宋体"/>
          <w:color w:val="auto"/>
          <w:kern w:val="2"/>
          <w:sz w:val="21"/>
          <w:szCs w:val="22"/>
          <w:highlight w:val="none"/>
        </w:rPr>
      </w:pPr>
      <w:r>
        <w:rPr>
          <w:rStyle w:val="25"/>
          <w:rFonts w:ascii="宋体" w:hAnsi="宋体"/>
          <w:color w:val="auto"/>
          <w:kern w:val="2"/>
          <w:sz w:val="21"/>
          <w:szCs w:val="22"/>
          <w:highlight w:val="none"/>
        </w:rPr>
        <w:t xml:space="preserve">      2.后附</w:t>
      </w:r>
      <w:r>
        <w:rPr>
          <w:rStyle w:val="25"/>
          <w:rFonts w:hint="eastAsia" w:ascii="宋体" w:hAnsi="宋体"/>
          <w:color w:val="auto"/>
          <w:kern w:val="2"/>
          <w:sz w:val="21"/>
          <w:szCs w:val="22"/>
          <w:highlight w:val="none"/>
        </w:rPr>
        <w:t>《技术标详细审查评分表》要求的</w:t>
      </w:r>
      <w:r>
        <w:rPr>
          <w:rStyle w:val="25"/>
          <w:rFonts w:ascii="宋体" w:hAnsi="宋体"/>
          <w:color w:val="auto"/>
          <w:kern w:val="2"/>
          <w:sz w:val="21"/>
          <w:szCs w:val="22"/>
          <w:highlight w:val="none"/>
        </w:rPr>
        <w:t>人员相关证明资料。</w:t>
      </w:r>
    </w:p>
    <w:p>
      <w:pPr>
        <w:widowControl/>
        <w:topLinePunct/>
        <w:adjustRightInd w:val="0"/>
        <w:snapToGrid w:val="0"/>
        <w:spacing w:after="200"/>
        <w:jc w:val="left"/>
        <w:outlineLvl w:val="2"/>
        <w:rPr>
          <w:rStyle w:val="25"/>
          <w:rFonts w:ascii="宋体" w:hAnsi="宋体"/>
          <w:color w:val="auto"/>
          <w:highlight w:val="none"/>
        </w:rPr>
      </w:pPr>
    </w:p>
    <w:p>
      <w:pPr>
        <w:widowControl/>
        <w:topLinePunct/>
        <w:adjustRightInd w:val="0"/>
        <w:snapToGrid w:val="0"/>
        <w:spacing w:after="200"/>
        <w:jc w:val="left"/>
        <w:outlineLvl w:val="2"/>
        <w:rPr>
          <w:rFonts w:hint="eastAsia" w:ascii="宋体" w:hAnsi="宋体" w:cs="宋体"/>
          <w:b/>
          <w:bCs/>
          <w:strike/>
          <w:color w:val="auto"/>
          <w:highlight w:val="none"/>
        </w:rPr>
      </w:pPr>
      <w:r>
        <w:rPr>
          <w:rStyle w:val="25"/>
          <w:rFonts w:ascii="宋体" w:hAnsi="宋体"/>
          <w:color w:val="auto"/>
          <w:highlight w:val="none"/>
        </w:rPr>
        <w:br w:type="page"/>
      </w:r>
      <w:r>
        <w:rPr>
          <w:rFonts w:hint="eastAsia" w:ascii="宋体" w:hAnsi="宋体" w:cs="宋体"/>
          <w:b/>
          <w:bCs/>
          <w:color w:val="auto"/>
          <w:highlight w:val="none"/>
        </w:rPr>
        <w:t>★格式六</w:t>
      </w:r>
    </w:p>
    <w:p>
      <w:pPr>
        <w:rPr>
          <w:rStyle w:val="25"/>
          <w:rFonts w:ascii="宋体" w:hAnsi="宋体"/>
          <w:strike/>
          <w:color w:val="auto"/>
          <w:highlight w:val="none"/>
        </w:rPr>
      </w:pPr>
    </w:p>
    <w:bookmarkEnd w:id="35"/>
    <w:bookmarkEnd w:id="36"/>
    <w:bookmarkEnd w:id="37"/>
    <w:bookmarkEnd w:id="38"/>
    <w:bookmarkEnd w:id="39"/>
    <w:p>
      <w:pPr>
        <w:tabs>
          <w:tab w:val="left" w:pos="720"/>
        </w:tabs>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参与编制技术标投标文件人员名单</w:t>
      </w:r>
    </w:p>
    <w:p>
      <w:pPr>
        <w:tabs>
          <w:tab w:val="left" w:pos="720"/>
        </w:tabs>
        <w:snapToGrid w:val="0"/>
        <w:spacing w:line="360" w:lineRule="auto"/>
        <w:rPr>
          <w:rFonts w:hint="eastAsia" w:ascii="宋体" w:hAnsi="宋体" w:cs="宋体"/>
          <w:color w:val="auto"/>
          <w:sz w:val="24"/>
          <w:szCs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51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87"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bl>
    <w:p>
      <w:pPr>
        <w:pStyle w:val="18"/>
        <w:spacing w:before="156" w:beforeLines="50" w:after="0" w:line="360" w:lineRule="auto"/>
        <w:ind w:left="-2" w:leftChars="-1" w:firstLine="367" w:firstLineChars="175"/>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注：参与编制技术标投标文件所有人员名单应包括如编制技术投标方案、负责清样校对、负责打印及复印等所有人员在内的人员名单。</w:t>
      </w:r>
    </w:p>
    <w:p>
      <w:pPr>
        <w:pStyle w:val="5"/>
        <w:ind w:firstLine="0"/>
        <w:jc w:val="left"/>
        <w:rPr>
          <w:rFonts w:hint="eastAsia" w:ascii="宋体" w:hAnsi="宋体" w:cs="宋体"/>
          <w:b/>
          <w:bCs/>
          <w:color w:val="auto"/>
          <w:highlight w:val="none"/>
        </w:rPr>
      </w:pPr>
      <w:r>
        <w:rPr>
          <w:rFonts w:hint="eastAsia" w:ascii="宋体" w:hAnsi="宋体" w:cs="宋体"/>
          <w:color w:val="auto"/>
          <w:sz w:val="24"/>
          <w:szCs w:val="24"/>
          <w:highlight w:val="none"/>
        </w:rPr>
        <w:br w:type="page"/>
      </w:r>
      <w:r>
        <w:rPr>
          <w:rFonts w:hint="eastAsia" w:ascii="宋体" w:hAnsi="宋体" w:cs="宋体"/>
          <w:b/>
          <w:bCs/>
          <w:color w:val="auto"/>
          <w:highlight w:val="none"/>
        </w:rPr>
        <w:t>★格式七：</w:t>
      </w:r>
    </w:p>
    <w:p>
      <w:pPr>
        <w:pStyle w:val="5"/>
        <w:ind w:firstLine="0"/>
        <w:jc w:val="center"/>
        <w:rPr>
          <w:rFonts w:hint="eastAsia" w:cs="宋体"/>
          <w:b/>
          <w:color w:val="auto"/>
          <w:kern w:val="0"/>
          <w:sz w:val="28"/>
          <w:szCs w:val="28"/>
          <w:highlight w:val="none"/>
        </w:rPr>
      </w:pPr>
      <w:r>
        <w:rPr>
          <w:rFonts w:hint="eastAsia" w:cs="宋体"/>
          <w:b/>
          <w:color w:val="auto"/>
          <w:kern w:val="0"/>
          <w:sz w:val="28"/>
          <w:szCs w:val="28"/>
          <w:highlight w:val="none"/>
        </w:rPr>
        <w:t>危险性较大的分部分项工程清单及</w:t>
      </w:r>
    </w:p>
    <w:p>
      <w:pPr>
        <w:widowControl/>
        <w:autoSpaceDE w:val="0"/>
        <w:autoSpaceDN w:val="0"/>
        <w:adjustRightInd w:val="0"/>
        <w:spacing w:line="360" w:lineRule="auto"/>
        <w:jc w:val="center"/>
        <w:rPr>
          <w:rFonts w:cs="宋体"/>
          <w:b/>
          <w:color w:val="auto"/>
          <w:kern w:val="0"/>
          <w:sz w:val="28"/>
          <w:szCs w:val="28"/>
          <w:highlight w:val="none"/>
        </w:rPr>
      </w:pPr>
      <w:r>
        <w:rPr>
          <w:rFonts w:hint="eastAsia" w:cs="宋体"/>
          <w:b/>
          <w:color w:val="auto"/>
          <w:kern w:val="0"/>
          <w:sz w:val="28"/>
          <w:szCs w:val="28"/>
          <w:highlight w:val="none"/>
        </w:rPr>
        <w:t>超过一定规模的危险性较大的分部分项工程清单</w:t>
      </w:r>
    </w:p>
    <w:p>
      <w:pPr>
        <w:widowControl/>
        <w:numPr>
          <w:ilvl w:val="0"/>
          <w:numId w:val="2"/>
        </w:numPr>
        <w:autoSpaceDE w:val="0"/>
        <w:autoSpaceDN w:val="0"/>
        <w:adjustRightIn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color w:val="auto"/>
          <w:kern w:val="0"/>
          <w:sz w:val="24"/>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2"/>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招标人根据设计文件的要求及37号文的规定列出“危险性较大的分部分项工程清单及超过一定规模的危险性较大的分部分项工程清单”中与本招标项目相关的清单项，具体详第5点“打√”标识。</w:t>
      </w:r>
    </w:p>
    <w:p>
      <w:pPr>
        <w:widowControl/>
        <w:numPr>
          <w:ilvl w:val="0"/>
          <w:numId w:val="3"/>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投标人同意招标人在清单中标识的该项请在对应项打“√”标识，并在投标文件中提供相应的安全管理措施。</w:t>
      </w:r>
    </w:p>
    <w:p>
      <w:pPr>
        <w:widowControl/>
        <w:numPr>
          <w:ilvl w:val="0"/>
          <w:numId w:val="3"/>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投标人对清单中认为需要补充的该项请在对应项打“√”标识，并在投标文件中提供相应的安全管理措施。</w:t>
      </w:r>
    </w:p>
    <w:p>
      <w:pPr>
        <w:widowControl/>
        <w:numPr>
          <w:ilvl w:val="0"/>
          <w:numId w:val="3"/>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投标人不同意招标人在清单中标识的该项请在对应项打“×”标识，并在备注栏填上相关说明。</w:t>
      </w:r>
    </w:p>
    <w:p>
      <w:pPr>
        <w:widowControl/>
        <w:numPr>
          <w:ilvl w:val="0"/>
          <w:numId w:val="2"/>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投标人应当在投标时根据招标人提供的下述第5点清单，在</w:t>
      </w:r>
      <w:r>
        <w:rPr>
          <w:rFonts w:ascii="宋体" w:hAnsi="宋体" w:cs="宋体"/>
          <w:color w:val="auto"/>
          <w:kern w:val="0"/>
          <w:sz w:val="24"/>
          <w:szCs w:val="24"/>
          <w:highlight w:val="none"/>
        </w:rPr>
        <w:t>施工前</w:t>
      </w:r>
      <w:r>
        <w:rPr>
          <w:rFonts w:hint="eastAsia" w:ascii="宋体" w:hAnsi="宋体" w:cs="宋体"/>
          <w:color w:val="auto"/>
          <w:kern w:val="0"/>
          <w:sz w:val="24"/>
          <w:szCs w:val="24"/>
          <w:highlight w:val="none"/>
        </w:rPr>
        <w:t>编制专项施工方案。</w:t>
      </w:r>
    </w:p>
    <w:p>
      <w:pPr>
        <w:widowControl/>
        <w:numPr>
          <w:ilvl w:val="0"/>
          <w:numId w:val="2"/>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widowControl/>
        <w:numPr>
          <w:ilvl w:val="0"/>
          <w:numId w:val="2"/>
        </w:num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危险性较大的分部分项工程清单及超过一定规模的危险性较大的分部分项工程清单：</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759" w:type="dxa"/>
            <w:noWrap w:val="0"/>
            <w:vAlign w:val="center"/>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第一部分、危险性较大的分部分项工程清单</w:t>
            </w:r>
          </w:p>
        </w:tc>
        <w:tc>
          <w:tcPr>
            <w:tcW w:w="1353"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招标人</w:t>
            </w:r>
          </w:p>
        </w:tc>
        <w:tc>
          <w:tcPr>
            <w:tcW w:w="1353"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投标人</w:t>
            </w:r>
          </w:p>
        </w:tc>
        <w:tc>
          <w:tcPr>
            <w:tcW w:w="1057" w:type="dxa"/>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一、基坑工程</w:t>
            </w:r>
          </w:p>
        </w:tc>
        <w:tc>
          <w:tcPr>
            <w:tcW w:w="1353" w:type="dxa"/>
            <w:noWrap w:val="0"/>
            <w:vAlign w:val="center"/>
          </w:tcPr>
          <w:p>
            <w:pPr>
              <w:widowControl/>
              <w:jc w:val="center"/>
              <w:rPr>
                <w:rFonts w:ascii="宋体" w:hAnsi="宋体" w:cs="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（一）开挖深度超过3m（含3m）的基坑（槽）的土方开挖、支护、降水工程。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spacing w:line="36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（二）开挖深度虽未超过3m，但地质条件、周围环境和地下管线复杂，或影响毗邻建、构筑物安全的基坑（槽）的土方开挖、支护、降水工程。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二、模板工程及支撑体系</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（一）各类工具式模板工程：包括滑模、爬模、飞模、隧道模等工程。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（三）承重支撑体系：用于钢结构安装等满堂支撑体系。</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三、起重吊装及起重机械安装拆卸工程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（一）采用非常规起重设备、方法，且单件起吊重量在10kN及以上的起重吊装工程。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（二）采用起重机械进行安装的工程。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（三）起重机械安装和拆卸工程。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四、脚手架工程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（一）搭设高度24m及以上的落地式钢管脚手架工程（包括采光井、电梯井脚手架）。</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（二）附着式升降脚手架工程。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（三）悬挑式脚手架工程。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（四）高处作业吊篮。</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（五）卸料平台、操作平台工程。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（六）异型脚手架工程。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五、拆除工程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可能影响行人、交通、电力设施、通讯设施或其它建、构筑物安全的拆除工程。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olor w:val="auto"/>
                <w:szCs w:val="21"/>
                <w:highlight w:val="none"/>
              </w:rPr>
              <w:t>√</w:t>
            </w:r>
            <w:r>
              <w:rPr>
                <w:rFonts w:hint="eastAsia" w:ascii="宋体" w:hAnsi="宋体" w:cs="宋体"/>
                <w:color w:val="auto"/>
                <w:kern w:val="0"/>
                <w:szCs w:val="21"/>
                <w:highlight w:val="none"/>
              </w:rPr>
              <w:t xml:space="preserve">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六、暗挖工程</w:t>
            </w:r>
          </w:p>
        </w:tc>
        <w:tc>
          <w:tcPr>
            <w:tcW w:w="1353" w:type="dxa"/>
            <w:noWrap w:val="0"/>
            <w:vAlign w:val="center"/>
          </w:tcPr>
          <w:p>
            <w:pPr>
              <w:widowControl/>
              <w:jc w:val="center"/>
              <w:rPr>
                <w:rFonts w:ascii="宋体" w:hAnsi="宋体" w:cs="宋体"/>
                <w:color w:val="auto"/>
                <w:kern w:val="0"/>
                <w:szCs w:val="21"/>
                <w:highlight w:val="none"/>
              </w:rPr>
            </w:pP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采用矿山法、盾构法、顶管法施工的隧道、洞室工程。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七、其它</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（一）建筑幕墙安装工程。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（二）钢结构、网架和索膜结构安装工程。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（三）人工挖孔桩工程。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（四）水下作业工程。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（五）装配式建筑混凝土预制构件安装工程。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（六）采用新技术、新工艺、新材料、新设备可能影响工程施工安全，尚无国家、行业及地方技术标准的分部分项工程。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第二部分、超过一定规模的危险性较大的分部分项工程清单</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投标人</w:t>
            </w:r>
          </w:p>
        </w:tc>
        <w:tc>
          <w:tcPr>
            <w:tcW w:w="1057"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一、深基坑工程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开挖深度超过5m（含5m）的基坑（槽）的土方开挖、支护、降水工程。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 xml:space="preserve">  </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二、模板工程及支撑体系</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（一）各类工具式模板工程：包括滑模、爬模、飞模、隧道模等工程。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（二）混凝土模板支撑工程：搭设高度8m及以上，或搭设跨度18m及以上，或施工总荷载（设计值）15kN/m2及以上，或集中线荷载（设计值）20kN/m及以上。</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（三）承重支撑体系：用于钢结构安装等满堂支撑体系，承受单点集中荷载7kN及以上。</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三、起重吊装及起重机械安装拆卸工程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（一）采用非常规起重设备、方法，且单件起吊重量在100kN及以上的起重吊装工程。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（二）起重量300kN及以上，或搭设总高度200m及以上，或搭设基础标高在200m及以上的起重机械安装和拆卸工程。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四、脚手架工程</w:t>
            </w:r>
          </w:p>
        </w:tc>
        <w:tc>
          <w:tcPr>
            <w:tcW w:w="1353" w:type="dxa"/>
            <w:noWrap w:val="0"/>
            <w:vAlign w:val="center"/>
          </w:tcPr>
          <w:p>
            <w:pPr>
              <w:widowControl/>
              <w:jc w:val="center"/>
              <w:rPr>
                <w:rFonts w:ascii="宋体" w:hAnsi="宋体" w:cs="宋体"/>
                <w:color w:val="auto"/>
                <w:kern w:val="0"/>
                <w:szCs w:val="21"/>
                <w:highlight w:val="none"/>
              </w:rPr>
            </w:pP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（一）搭设高度50m及以上的落地式钢管脚手架工程。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（二）提升高度在150m及以上的附着式升降脚手架工程或附着式升降操作平台工程。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（三）分段架体搭设高度20m及以上的悬挑式脚手架工程。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五、拆除工程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（一）码头、桥梁、高架、烟囱、水塔或拆除中容易引起有毒有害气（液）体或粉尘扩散、易燃易爆事故发生的特殊建、构筑物的拆除工程。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（二）文物保护建筑、优秀历史建筑或历史文化风貌区影响范围内的拆除工程。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六、暗挖工程</w:t>
            </w:r>
          </w:p>
        </w:tc>
        <w:tc>
          <w:tcPr>
            <w:tcW w:w="1353" w:type="dxa"/>
            <w:noWrap w:val="0"/>
            <w:vAlign w:val="center"/>
          </w:tcPr>
          <w:p>
            <w:pPr>
              <w:widowControl/>
              <w:jc w:val="center"/>
              <w:rPr>
                <w:rFonts w:ascii="宋体" w:hAnsi="宋体" w:cs="宋体"/>
                <w:color w:val="auto"/>
                <w:kern w:val="0"/>
                <w:szCs w:val="21"/>
                <w:highlight w:val="none"/>
              </w:rPr>
            </w:pP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采用矿山法、盾构法、顶管法施工的隧道、洞室工程。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七、其它</w:t>
            </w:r>
          </w:p>
        </w:tc>
        <w:tc>
          <w:tcPr>
            <w:tcW w:w="1353" w:type="dxa"/>
            <w:noWrap w:val="0"/>
            <w:vAlign w:val="center"/>
          </w:tcPr>
          <w:p>
            <w:pPr>
              <w:widowControl/>
              <w:jc w:val="center"/>
              <w:rPr>
                <w:rFonts w:ascii="宋体" w:hAnsi="宋体" w:cs="宋体"/>
                <w:color w:val="auto"/>
                <w:kern w:val="0"/>
                <w:szCs w:val="21"/>
                <w:highlight w:val="none"/>
              </w:rPr>
            </w:pPr>
          </w:p>
        </w:tc>
        <w:tc>
          <w:tcPr>
            <w:tcW w:w="1353" w:type="dxa"/>
            <w:noWrap w:val="0"/>
            <w:vAlign w:val="center"/>
          </w:tcPr>
          <w:p>
            <w:pPr>
              <w:widowControl/>
              <w:jc w:val="center"/>
              <w:rPr>
                <w:rFonts w:ascii="宋体" w:hAnsi="宋体" w:cs="宋体"/>
                <w:color w:val="auto"/>
                <w:kern w:val="0"/>
                <w:szCs w:val="21"/>
                <w:highlight w:val="none"/>
              </w:rPr>
            </w:pP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（一）施工高度50m及以上的建筑幕墙安装工程。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（二）跨度36m及以上的钢结构安装工程，或跨度60m及以上的网架和索膜结构安装工程。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（三）开挖深度16m及以上的人工挖孔桩工程。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（四）水下作业工程。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（五）重量1000kN及以上的大型结构整体顶升、平移、转体等施工工艺。</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（六）采用新技术、新工艺、新材料、新设备可能影响工程施工安全，尚无国家、行业及地方技术标准的分部分项工程。</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noWrap w:val="0"/>
            <w:vAlign w:val="center"/>
          </w:tcPr>
          <w:p>
            <w:pPr>
              <w:widowControl/>
              <w:jc w:val="center"/>
              <w:rPr>
                <w:rFonts w:ascii="宋体" w:hAnsi="宋体" w:cs="宋体"/>
                <w:color w:val="auto"/>
                <w:kern w:val="0"/>
                <w:szCs w:val="21"/>
                <w:highlight w:val="none"/>
              </w:rPr>
            </w:pPr>
          </w:p>
        </w:tc>
      </w:tr>
    </w:tbl>
    <w:p>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pPr>
        <w:ind w:firstLine="3120" w:firstLineChars="1300"/>
        <w:rPr>
          <w:color w:val="auto"/>
          <w:highlight w:val="none"/>
        </w:rPr>
      </w:pPr>
      <w:r>
        <w:rPr>
          <w:rFonts w:hint="eastAsia" w:ascii="宋体" w:hAnsi="宋体" w:cs="宋体"/>
          <w:color w:val="auto"/>
          <w:sz w:val="24"/>
          <w:szCs w:val="20"/>
          <w:highlight w:val="none"/>
        </w:rPr>
        <w:t>日期：</w:t>
      </w:r>
      <w:r>
        <w:rPr>
          <w:rFonts w:ascii="宋体" w:hAnsi="宋体" w:cs="宋体"/>
          <w:color w:val="auto"/>
          <w:sz w:val="24"/>
          <w:szCs w:val="20"/>
          <w:highlight w:val="none"/>
        </w:rPr>
        <w:t xml:space="preserve">   </w:t>
      </w:r>
      <w:r>
        <w:rPr>
          <w:rFonts w:hint="eastAsia" w:ascii="宋体" w:hAnsi="宋体" w:cs="宋体"/>
          <w:color w:val="auto"/>
          <w:sz w:val="24"/>
          <w:szCs w:val="20"/>
          <w:highlight w:val="none"/>
        </w:rPr>
        <w:t>年</w:t>
      </w:r>
      <w:r>
        <w:rPr>
          <w:rFonts w:ascii="宋体" w:hAnsi="宋体" w:cs="宋体"/>
          <w:color w:val="auto"/>
          <w:sz w:val="24"/>
          <w:szCs w:val="20"/>
          <w:highlight w:val="none"/>
        </w:rPr>
        <w:t xml:space="preserve">  </w:t>
      </w:r>
      <w:r>
        <w:rPr>
          <w:rFonts w:hint="eastAsia" w:ascii="宋体" w:hAnsi="宋体" w:cs="宋体"/>
          <w:color w:val="auto"/>
          <w:sz w:val="24"/>
          <w:szCs w:val="20"/>
          <w:highlight w:val="none"/>
        </w:rPr>
        <w:t>月</w:t>
      </w:r>
      <w:r>
        <w:rPr>
          <w:rFonts w:ascii="宋体" w:hAnsi="宋体" w:cs="宋体"/>
          <w:color w:val="auto"/>
          <w:sz w:val="24"/>
          <w:szCs w:val="20"/>
          <w:highlight w:val="none"/>
        </w:rPr>
        <w:t xml:space="preserve">  </w:t>
      </w:r>
      <w:r>
        <w:rPr>
          <w:rFonts w:hint="eastAsia" w:ascii="宋体" w:hAnsi="宋体" w:cs="宋体"/>
          <w:color w:val="auto"/>
          <w:sz w:val="24"/>
          <w:szCs w:val="20"/>
          <w:highlight w:val="none"/>
        </w:rPr>
        <w:t>日</w:t>
      </w:r>
    </w:p>
    <w:p>
      <w:pPr>
        <w:autoSpaceDE w:val="0"/>
        <w:autoSpaceDN w:val="0"/>
        <w:adjustRightInd w:val="0"/>
        <w:jc w:val="center"/>
        <w:rPr>
          <w:rFonts w:ascii="宋体" w:hAnsi="宋体" w:cs="宋体"/>
          <w:color w:val="auto"/>
          <w:sz w:val="24"/>
          <w:szCs w:val="24"/>
          <w:highlight w:val="none"/>
        </w:rPr>
      </w:pPr>
    </w:p>
    <w:p>
      <w:pPr>
        <w:rPr>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b/>
          <w:bCs/>
          <w:color w:val="auto"/>
          <w:highlight w:val="none"/>
        </w:rPr>
      </w:pPr>
    </w:p>
    <w:p>
      <w:pPr>
        <w:rPr>
          <w:rFonts w:hint="eastAsia" w:ascii="宋体" w:hAnsi="宋体" w:cs="宋体"/>
          <w:color w:val="auto"/>
          <w:sz w:val="24"/>
          <w:szCs w:val="24"/>
          <w:highlight w:val="none"/>
        </w:rPr>
      </w:pPr>
      <w:r>
        <w:rPr>
          <w:rFonts w:hint="eastAsia" w:ascii="宋体" w:hAnsi="宋体" w:cs="宋体"/>
          <w:b/>
          <w:bCs/>
          <w:color w:val="auto"/>
          <w:highlight w:val="none"/>
        </w:rPr>
        <w:t>格式八</w:t>
      </w:r>
    </w:p>
    <w:p>
      <w:pPr>
        <w:pStyle w:val="36"/>
        <w:ind w:firstLine="0" w:firstLineChars="0"/>
        <w:jc w:val="center"/>
        <w:rPr>
          <w:rFonts w:hint="eastAsia" w:ascii="宋体" w:hAnsi="宋体" w:eastAsia="宋体"/>
          <w:b/>
          <w:bCs/>
          <w:color w:val="auto"/>
          <w:sz w:val="32"/>
          <w:szCs w:val="32"/>
          <w:highlight w:val="none"/>
        </w:rPr>
      </w:pPr>
    </w:p>
    <w:p>
      <w:pPr>
        <w:pStyle w:val="33"/>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其他投标人认为须提供的资料</w:t>
      </w:r>
    </w:p>
    <w:p>
      <w:pPr>
        <w:tabs>
          <w:tab w:val="left" w:pos="720"/>
        </w:tabs>
        <w:snapToGrid w:val="0"/>
        <w:spacing w:line="360" w:lineRule="auto"/>
        <w:rPr>
          <w:rFonts w:hint="eastAsia" w:ascii="宋体" w:hAnsi="宋体" w:cs="宋体"/>
          <w:color w:val="auto"/>
          <w:sz w:val="24"/>
          <w:szCs w:val="24"/>
          <w:highlight w:val="none"/>
        </w:rPr>
      </w:pPr>
    </w:p>
    <w:p>
      <w:pPr>
        <w:tabs>
          <w:tab w:val="left" w:pos="720"/>
        </w:tabs>
        <w:snapToGrid w:val="0"/>
        <w:spacing w:line="360" w:lineRule="auto"/>
        <w:jc w:val="center"/>
        <w:outlineLvl w:val="2"/>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2"/>
        <w:jc w:val="center"/>
        <w:rPr>
          <w:rFonts w:hint="eastAsia" w:hAnsi="宋体"/>
          <w:color w:val="auto"/>
          <w:highlight w:val="none"/>
        </w:rPr>
      </w:pPr>
      <w:r>
        <w:rPr>
          <w:rStyle w:val="25"/>
          <w:rFonts w:hAnsi="宋体"/>
          <w:b/>
          <w:color w:val="auto"/>
          <w:spacing w:val="4"/>
          <w:sz w:val="30"/>
          <w:szCs w:val="30"/>
          <w:highlight w:val="none"/>
        </w:rPr>
        <w:t>二、经济标投标文件格式</w:t>
      </w:r>
    </w:p>
    <w:p>
      <w:pPr>
        <w:topLinePunct/>
        <w:snapToGrid w:val="0"/>
        <w:spacing w:before="156" w:after="156"/>
        <w:jc w:val="left"/>
        <w:rPr>
          <w:rStyle w:val="25"/>
          <w:rFonts w:ascii="宋体" w:hAnsi="宋体"/>
          <w:b/>
          <w:color w:val="auto"/>
          <w:spacing w:val="4"/>
          <w:kern w:val="0"/>
          <w:sz w:val="24"/>
          <w:szCs w:val="24"/>
          <w:highlight w:val="none"/>
        </w:rPr>
      </w:pPr>
      <w:r>
        <w:rPr>
          <w:rFonts w:hint="eastAsia" w:ascii="宋体" w:hAnsi="宋体" w:cs="宋体"/>
          <w:color w:val="auto"/>
          <w:szCs w:val="21"/>
          <w:highlight w:val="none"/>
        </w:rPr>
        <w:br w:type="page"/>
      </w:r>
      <w:r>
        <w:rPr>
          <w:rStyle w:val="25"/>
          <w:rFonts w:ascii="宋体" w:hAnsi="宋体"/>
          <w:b/>
          <w:color w:val="auto"/>
          <w:spacing w:val="4"/>
          <w:kern w:val="0"/>
          <w:sz w:val="24"/>
          <w:szCs w:val="24"/>
          <w:highlight w:val="none"/>
        </w:rPr>
        <w:t>格式一：经济标封面</w:t>
      </w:r>
    </w:p>
    <w:p>
      <w:pPr>
        <w:topLinePunct/>
        <w:snapToGrid w:val="0"/>
        <w:spacing w:before="100" w:beforeAutospacing="1" w:line="360" w:lineRule="auto"/>
        <w:ind w:firstLine="618"/>
        <w:jc w:val="center"/>
        <w:rPr>
          <w:rStyle w:val="25"/>
          <w:rFonts w:hint="eastAsia" w:ascii="宋体" w:hAnsi="宋体"/>
          <w:color w:val="auto"/>
          <w:spacing w:val="4"/>
          <w:kern w:val="0"/>
          <w:sz w:val="36"/>
          <w:szCs w:val="36"/>
          <w:highlight w:val="none"/>
        </w:rPr>
      </w:pPr>
    </w:p>
    <w:p>
      <w:pPr>
        <w:topLinePunct/>
        <w:snapToGrid w:val="0"/>
        <w:spacing w:before="100" w:beforeAutospacing="1" w:line="360" w:lineRule="auto"/>
        <w:ind w:firstLine="618"/>
        <w:jc w:val="center"/>
        <w:rPr>
          <w:rStyle w:val="25"/>
          <w:rFonts w:ascii="宋体" w:hAnsi="宋体"/>
          <w:color w:val="auto"/>
          <w:spacing w:val="4"/>
          <w:kern w:val="0"/>
          <w:sz w:val="36"/>
          <w:szCs w:val="36"/>
          <w:highlight w:val="none"/>
        </w:rPr>
      </w:pPr>
    </w:p>
    <w:p>
      <w:pPr>
        <w:pStyle w:val="39"/>
        <w:rPr>
          <w:rFonts w:hint="eastAsia" w:ascii="宋体" w:hAnsi="宋体" w:eastAsia="宋体"/>
          <w:b w:val="0"/>
          <w:color w:val="auto"/>
          <w:highlight w:val="none"/>
          <w:u w:val="single"/>
        </w:rPr>
      </w:pPr>
      <w:r>
        <w:rPr>
          <w:rFonts w:hint="eastAsia" w:ascii="宋体" w:hAnsi="宋体" w:eastAsia="宋体"/>
          <w:b w:val="0"/>
          <w:color w:val="auto"/>
          <w:highlight w:val="none"/>
          <w:u w:val="single"/>
        </w:rPr>
        <w:t xml:space="preserve">[工程名称] </w:t>
      </w:r>
    </w:p>
    <w:p>
      <w:pPr>
        <w:pStyle w:val="36"/>
        <w:ind w:firstLine="496"/>
        <w:rPr>
          <w:rFonts w:hint="eastAsia" w:ascii="宋体" w:hAnsi="宋体" w:eastAsia="宋体"/>
          <w:color w:val="auto"/>
          <w:highlight w:val="none"/>
        </w:rPr>
      </w:pPr>
    </w:p>
    <w:p>
      <w:pPr>
        <w:pStyle w:val="36"/>
        <w:ind w:firstLine="496"/>
        <w:rPr>
          <w:rFonts w:hint="eastAsia" w:ascii="宋体" w:hAnsi="宋体" w:eastAsia="宋体"/>
          <w:color w:val="auto"/>
          <w:highlight w:val="none"/>
        </w:rPr>
      </w:pPr>
    </w:p>
    <w:p>
      <w:pPr>
        <w:pStyle w:val="36"/>
        <w:ind w:firstLine="496"/>
        <w:rPr>
          <w:rFonts w:hint="eastAsia" w:ascii="宋体" w:hAnsi="宋体" w:eastAsia="宋体"/>
          <w:color w:val="auto"/>
          <w:highlight w:val="none"/>
        </w:rPr>
      </w:pPr>
    </w:p>
    <w:p>
      <w:pPr>
        <w:pStyle w:val="36"/>
        <w:ind w:firstLine="496"/>
        <w:rPr>
          <w:rFonts w:hint="eastAsia" w:ascii="宋体" w:hAnsi="宋体" w:eastAsia="宋体"/>
          <w:color w:val="auto"/>
          <w:highlight w:val="none"/>
        </w:rPr>
      </w:pPr>
    </w:p>
    <w:p>
      <w:pPr>
        <w:topLinePunct/>
        <w:snapToGrid w:val="0"/>
        <w:spacing w:before="100" w:beforeAutospacing="1" w:line="360" w:lineRule="auto"/>
        <w:jc w:val="center"/>
        <w:rPr>
          <w:rStyle w:val="25"/>
          <w:rFonts w:hint="eastAsia" w:ascii="宋体" w:hAnsi="宋体"/>
          <w:b/>
          <w:color w:val="auto"/>
          <w:spacing w:val="4"/>
          <w:kern w:val="0"/>
          <w:sz w:val="72"/>
          <w:szCs w:val="72"/>
          <w:highlight w:val="none"/>
        </w:rPr>
      </w:pPr>
      <w:r>
        <w:rPr>
          <w:rStyle w:val="25"/>
          <w:rFonts w:hint="eastAsia" w:ascii="宋体" w:hAnsi="宋体"/>
          <w:b/>
          <w:color w:val="auto"/>
          <w:spacing w:val="4"/>
          <w:kern w:val="0"/>
          <w:sz w:val="72"/>
          <w:szCs w:val="72"/>
          <w:highlight w:val="none"/>
        </w:rPr>
        <w:t>投标文件</w:t>
      </w:r>
    </w:p>
    <w:p>
      <w:pPr>
        <w:pStyle w:val="39"/>
        <w:rPr>
          <w:rFonts w:hint="eastAsia" w:ascii="宋体" w:hAnsi="宋体" w:eastAsia="宋体"/>
          <w:b w:val="0"/>
          <w:color w:val="auto"/>
          <w:highlight w:val="none"/>
        </w:rPr>
      </w:pPr>
      <w:r>
        <w:rPr>
          <w:rFonts w:hint="eastAsia" w:ascii="宋体" w:hAnsi="宋体" w:eastAsia="宋体"/>
          <w:b w:val="0"/>
          <w:color w:val="auto"/>
          <w:highlight w:val="none"/>
        </w:rPr>
        <w:t>第二册  （经济标书）</w:t>
      </w:r>
    </w:p>
    <w:p>
      <w:pPr>
        <w:pStyle w:val="36"/>
        <w:ind w:firstLine="496"/>
        <w:rPr>
          <w:rFonts w:hint="eastAsia" w:ascii="宋体" w:hAnsi="宋体" w:eastAsia="宋体"/>
          <w:color w:val="auto"/>
          <w:highlight w:val="none"/>
        </w:rPr>
      </w:pPr>
    </w:p>
    <w:p>
      <w:pPr>
        <w:pStyle w:val="36"/>
        <w:ind w:firstLine="496"/>
        <w:rPr>
          <w:rFonts w:hint="eastAsia" w:ascii="宋体" w:hAnsi="宋体" w:eastAsia="宋体"/>
          <w:color w:val="auto"/>
          <w:highlight w:val="none"/>
        </w:rPr>
      </w:pPr>
    </w:p>
    <w:p>
      <w:pPr>
        <w:pStyle w:val="36"/>
        <w:ind w:firstLine="496"/>
        <w:rPr>
          <w:rFonts w:hint="eastAsia" w:ascii="宋体" w:hAnsi="宋体" w:eastAsia="宋体"/>
          <w:color w:val="auto"/>
          <w:highlight w:val="none"/>
        </w:rPr>
      </w:pPr>
    </w:p>
    <w:p>
      <w:pPr>
        <w:pStyle w:val="36"/>
        <w:ind w:firstLine="496"/>
        <w:rPr>
          <w:rFonts w:hint="eastAsia" w:ascii="宋体" w:hAnsi="宋体" w:eastAsia="宋体"/>
          <w:color w:val="auto"/>
          <w:highlight w:val="none"/>
        </w:rPr>
      </w:pPr>
    </w:p>
    <w:p>
      <w:pPr>
        <w:pStyle w:val="36"/>
        <w:ind w:firstLine="496"/>
        <w:rPr>
          <w:rFonts w:hint="eastAsia" w:ascii="宋体" w:hAnsi="宋体" w:eastAsia="宋体"/>
          <w:color w:val="auto"/>
          <w:highlight w:val="none"/>
        </w:rPr>
      </w:pPr>
    </w:p>
    <w:p>
      <w:pPr>
        <w:topLinePunct/>
        <w:snapToGrid w:val="0"/>
        <w:spacing w:before="100" w:beforeAutospacing="1" w:line="360" w:lineRule="auto"/>
        <w:ind w:firstLine="616" w:firstLineChars="200"/>
        <w:jc w:val="left"/>
        <w:rPr>
          <w:rStyle w:val="25"/>
          <w:rFonts w:ascii="宋体" w:hAnsi="宋体"/>
          <w:color w:val="auto"/>
          <w:spacing w:val="4"/>
          <w:kern w:val="0"/>
          <w:sz w:val="30"/>
          <w:szCs w:val="30"/>
          <w:highlight w:val="none"/>
        </w:rPr>
      </w:pPr>
      <w:r>
        <w:rPr>
          <w:rStyle w:val="25"/>
          <w:rFonts w:ascii="宋体" w:hAnsi="宋体"/>
          <w:color w:val="auto"/>
          <w:spacing w:val="4"/>
          <w:kern w:val="0"/>
          <w:sz w:val="30"/>
          <w:szCs w:val="30"/>
          <w:highlight w:val="none"/>
        </w:rPr>
        <w:t>投标人：</w:t>
      </w:r>
      <w:r>
        <w:rPr>
          <w:rStyle w:val="25"/>
          <w:rFonts w:ascii="宋体" w:hAnsi="宋体"/>
          <w:color w:val="auto"/>
          <w:spacing w:val="4"/>
          <w:kern w:val="0"/>
          <w:sz w:val="30"/>
          <w:szCs w:val="30"/>
          <w:highlight w:val="none"/>
          <w:u w:val="single"/>
        </w:rPr>
        <w:t xml:space="preserve">                            （盖章）</w:t>
      </w:r>
    </w:p>
    <w:p>
      <w:pPr>
        <w:topLinePunct/>
        <w:snapToGrid w:val="0"/>
        <w:spacing w:before="100" w:beforeAutospacing="1" w:line="360" w:lineRule="auto"/>
        <w:ind w:firstLine="616" w:firstLineChars="200"/>
        <w:jc w:val="left"/>
        <w:rPr>
          <w:rStyle w:val="25"/>
          <w:rFonts w:ascii="宋体" w:hAnsi="宋体"/>
          <w:color w:val="auto"/>
          <w:spacing w:val="4"/>
          <w:kern w:val="0"/>
          <w:sz w:val="30"/>
          <w:szCs w:val="30"/>
          <w:highlight w:val="none"/>
        </w:rPr>
      </w:pPr>
      <w:r>
        <w:rPr>
          <w:rStyle w:val="25"/>
          <w:rFonts w:ascii="宋体" w:hAnsi="宋体"/>
          <w:color w:val="auto"/>
          <w:spacing w:val="4"/>
          <w:kern w:val="0"/>
          <w:sz w:val="30"/>
          <w:szCs w:val="30"/>
          <w:highlight w:val="none"/>
        </w:rPr>
        <w:t>法定代表人或其委托代理人：</w:t>
      </w:r>
      <w:r>
        <w:rPr>
          <w:rStyle w:val="25"/>
          <w:rFonts w:ascii="宋体" w:hAnsi="宋体"/>
          <w:color w:val="auto"/>
          <w:spacing w:val="4"/>
          <w:kern w:val="0"/>
          <w:sz w:val="30"/>
          <w:szCs w:val="30"/>
          <w:highlight w:val="none"/>
          <w:u w:val="single"/>
        </w:rPr>
        <w:t xml:space="preserve">    （签字或盖章）</w:t>
      </w:r>
    </w:p>
    <w:p>
      <w:pPr>
        <w:topLinePunct/>
        <w:snapToGrid w:val="0"/>
        <w:spacing w:before="100" w:beforeAutospacing="1" w:line="360" w:lineRule="auto"/>
        <w:ind w:firstLine="616" w:firstLineChars="200"/>
        <w:jc w:val="left"/>
        <w:rPr>
          <w:rStyle w:val="25"/>
          <w:rFonts w:ascii="宋体" w:hAnsi="宋体"/>
          <w:color w:val="auto"/>
          <w:spacing w:val="4"/>
          <w:kern w:val="0"/>
          <w:sz w:val="24"/>
          <w:szCs w:val="24"/>
          <w:highlight w:val="none"/>
        </w:rPr>
      </w:pPr>
      <w:r>
        <w:rPr>
          <w:rStyle w:val="25"/>
          <w:rFonts w:ascii="宋体" w:hAnsi="宋体"/>
          <w:color w:val="auto"/>
          <w:spacing w:val="4"/>
          <w:kern w:val="0"/>
          <w:sz w:val="30"/>
          <w:szCs w:val="30"/>
          <w:highlight w:val="none"/>
        </w:rPr>
        <w:t>日  期：</w:t>
      </w:r>
      <w:r>
        <w:rPr>
          <w:rStyle w:val="25"/>
          <w:rFonts w:ascii="宋体" w:hAnsi="宋体"/>
          <w:color w:val="auto"/>
          <w:spacing w:val="4"/>
          <w:kern w:val="0"/>
          <w:sz w:val="30"/>
          <w:szCs w:val="30"/>
          <w:highlight w:val="none"/>
          <w:u w:val="single"/>
        </w:rPr>
        <w:t xml:space="preserve">                                 </w:t>
      </w:r>
      <w:r>
        <w:rPr>
          <w:rStyle w:val="25"/>
          <w:rFonts w:ascii="宋体" w:hAnsi="宋体"/>
          <w:color w:val="auto"/>
          <w:spacing w:val="4"/>
          <w:kern w:val="0"/>
          <w:sz w:val="24"/>
          <w:szCs w:val="24"/>
          <w:highlight w:val="none"/>
        </w:rPr>
        <w:t xml:space="preserve"> </w:t>
      </w:r>
    </w:p>
    <w:p>
      <w:pPr>
        <w:pStyle w:val="40"/>
        <w:spacing w:line="360" w:lineRule="auto"/>
        <w:rPr>
          <w:rStyle w:val="25"/>
          <w:rFonts w:hint="eastAsia" w:ascii="宋体" w:eastAsia="宋体" w:cs="宋体"/>
          <w:b/>
          <w:color w:val="auto"/>
          <w:sz w:val="21"/>
          <w:szCs w:val="21"/>
          <w:highlight w:val="none"/>
        </w:rPr>
      </w:pPr>
      <w:r>
        <w:rPr>
          <w:rStyle w:val="25"/>
          <w:rFonts w:ascii="宋体" w:eastAsia="宋体"/>
          <w:b/>
          <w:color w:val="auto"/>
          <w:highlight w:val="none"/>
        </w:rPr>
        <w:br w:type="page"/>
      </w:r>
      <w:r>
        <w:rPr>
          <w:rStyle w:val="25"/>
          <w:rFonts w:ascii="宋体" w:eastAsia="宋体" w:cs="宋体"/>
          <w:b/>
          <w:bCs/>
          <w:color w:val="auto"/>
          <w:kern w:val="2"/>
          <w:sz w:val="21"/>
          <w:szCs w:val="21"/>
          <w:highlight w:val="none"/>
        </w:rPr>
        <w:t>格式二</w:t>
      </w:r>
    </w:p>
    <w:p>
      <w:pPr>
        <w:topLinePunct/>
        <w:snapToGrid w:val="0"/>
        <w:spacing w:line="360" w:lineRule="auto"/>
        <w:ind w:firstLine="438" w:firstLineChars="200"/>
        <w:rPr>
          <w:rStyle w:val="25"/>
          <w:rFonts w:hint="eastAsia" w:ascii="宋体" w:hAnsi="宋体" w:cs="宋体"/>
          <w:b/>
          <w:color w:val="auto"/>
          <w:spacing w:val="4"/>
          <w:kern w:val="0"/>
          <w:szCs w:val="21"/>
          <w:highlight w:val="none"/>
        </w:rPr>
      </w:pPr>
    </w:p>
    <w:p>
      <w:pPr>
        <w:topLinePunct/>
        <w:snapToGrid w:val="0"/>
        <w:spacing w:line="360" w:lineRule="auto"/>
        <w:ind w:firstLine="617"/>
        <w:jc w:val="center"/>
        <w:rPr>
          <w:rStyle w:val="25"/>
          <w:rFonts w:hint="eastAsia" w:ascii="宋体" w:hAnsi="宋体" w:cs="宋体"/>
          <w:b/>
          <w:color w:val="auto"/>
          <w:spacing w:val="4"/>
          <w:kern w:val="0"/>
          <w:sz w:val="30"/>
          <w:szCs w:val="30"/>
          <w:highlight w:val="none"/>
        </w:rPr>
      </w:pPr>
      <w:r>
        <w:rPr>
          <w:rStyle w:val="25"/>
          <w:rFonts w:hint="eastAsia" w:ascii="宋体" w:hAnsi="宋体" w:cs="宋体"/>
          <w:b/>
          <w:color w:val="auto"/>
          <w:spacing w:val="4"/>
          <w:kern w:val="0"/>
          <w:sz w:val="30"/>
          <w:szCs w:val="30"/>
          <w:highlight w:val="none"/>
        </w:rPr>
        <w:t>工程量清单计价表</w:t>
      </w:r>
    </w:p>
    <w:p>
      <w:pPr>
        <w:topLinePunct/>
        <w:snapToGrid w:val="0"/>
        <w:spacing w:line="360" w:lineRule="auto"/>
        <w:rPr>
          <w:rStyle w:val="25"/>
          <w:rFonts w:hint="eastAsia" w:ascii="宋体" w:hAnsi="宋体" w:cs="宋体"/>
          <w:color w:val="auto"/>
          <w:spacing w:val="4"/>
          <w:kern w:val="0"/>
          <w:szCs w:val="21"/>
          <w:highlight w:val="none"/>
        </w:rPr>
      </w:pPr>
    </w:p>
    <w:p>
      <w:pPr>
        <w:tabs>
          <w:tab w:val="left" w:pos="720"/>
        </w:tabs>
        <w:snapToGrid w:val="0"/>
        <w:spacing w:line="360" w:lineRule="auto"/>
        <w:outlineLvl w:val="2"/>
        <w:rPr>
          <w:rFonts w:hint="eastAsia" w:ascii="宋体" w:hAnsi="宋体" w:cs="宋体"/>
          <w:color w:val="auto"/>
          <w:szCs w:val="21"/>
          <w:highlight w:val="none"/>
        </w:rPr>
      </w:pPr>
      <w:r>
        <w:rPr>
          <w:rFonts w:hint="eastAsia" w:ascii="宋体" w:hAnsi="宋体" w:cs="宋体"/>
          <w:color w:val="auto"/>
          <w:spacing w:val="4"/>
          <w:kern w:val="0"/>
          <w:szCs w:val="21"/>
          <w:highlight w:val="none"/>
        </w:rPr>
        <w:t>（投标人在编制该部分内容时应按招标人另册发放的工程量清单进行报价）</w:t>
      </w:r>
    </w:p>
    <w:p>
      <w:pPr>
        <w:tabs>
          <w:tab w:val="left" w:pos="720"/>
        </w:tabs>
        <w:snapToGrid w:val="0"/>
        <w:spacing w:line="360" w:lineRule="auto"/>
        <w:outlineLvl w:val="2"/>
        <w:rPr>
          <w:rFonts w:hint="eastAsia" w:ascii="宋体" w:hAnsi="宋体" w:cs="宋体"/>
          <w:color w:val="auto"/>
          <w:sz w:val="24"/>
          <w:szCs w:val="24"/>
          <w:highlight w:val="none"/>
        </w:rPr>
      </w:pPr>
      <w:r>
        <w:rPr>
          <w:rFonts w:hint="eastAsia" w:ascii="宋体" w:hAnsi="宋体" w:cs="宋体"/>
          <w:color w:val="auto"/>
          <w:szCs w:val="21"/>
          <w:highlight w:val="none"/>
        </w:rPr>
        <w:br w:type="page"/>
      </w:r>
      <w:r>
        <w:rPr>
          <w:rFonts w:hint="eastAsia" w:ascii="宋体" w:hAnsi="宋体" w:cs="宋体"/>
          <w:b/>
          <w:bCs/>
          <w:color w:val="auto"/>
          <w:highlight w:val="none"/>
        </w:rPr>
        <w:t xml:space="preserve">★ </w:t>
      </w:r>
      <w:r>
        <w:rPr>
          <w:rFonts w:hint="eastAsia" w:ascii="宋体" w:hAnsi="宋体" w:cs="宋体"/>
          <w:b/>
          <w:bCs/>
          <w:color w:val="auto"/>
          <w:szCs w:val="21"/>
          <w:highlight w:val="none"/>
        </w:rPr>
        <w:t>格式三</w:t>
      </w:r>
    </w:p>
    <w:p>
      <w:pPr>
        <w:tabs>
          <w:tab w:val="left" w:pos="720"/>
        </w:tabs>
        <w:snapToGrid w:val="0"/>
        <w:spacing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参与编制经济标投标文件人员名单</w:t>
      </w:r>
    </w:p>
    <w:p>
      <w:pPr>
        <w:tabs>
          <w:tab w:val="left" w:pos="720"/>
        </w:tabs>
        <w:snapToGrid w:val="0"/>
        <w:spacing w:line="360" w:lineRule="auto"/>
        <w:jc w:val="center"/>
        <w:rPr>
          <w:rFonts w:hint="eastAsia" w:ascii="宋体" w:hAnsi="宋体" w:cs="宋体"/>
          <w:color w:val="auto"/>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42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699"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cs="宋体"/>
                <w:color w:val="auto"/>
                <w:szCs w:val="21"/>
                <w:highlight w:val="none"/>
              </w:rPr>
            </w:pPr>
          </w:p>
        </w:tc>
      </w:tr>
    </w:tbl>
    <w:p>
      <w:pPr>
        <w:pStyle w:val="18"/>
        <w:spacing w:before="156" w:beforeLines="50" w:after="0" w:line="360" w:lineRule="auto"/>
        <w:ind w:left="-2" w:leftChars="-1" w:firstLine="367" w:firstLineChars="175"/>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注：参与编制经济标投标文件所有人员名单应包括如编制各种专业工程量清单投标报价、负责清样校对、负责打印及复印等所有人员在内的人员名单。</w:t>
      </w:r>
    </w:p>
    <w:p>
      <w:pPr>
        <w:pStyle w:val="18"/>
        <w:spacing w:after="0" w:line="360" w:lineRule="auto"/>
        <w:ind w:left="-2" w:leftChars="-1" w:firstLineChars="175"/>
        <w:jc w:val="center"/>
        <w:rPr>
          <w:rFonts w:hint="eastAsia" w:ascii="宋体" w:hAnsi="宋体" w:cs="宋体"/>
          <w:color w:val="auto"/>
          <w:sz w:val="24"/>
          <w:szCs w:val="24"/>
          <w:highlight w:val="none"/>
        </w:rPr>
      </w:pPr>
    </w:p>
    <w:p>
      <w:pPr>
        <w:autoSpaceDE w:val="0"/>
        <w:autoSpaceDN w:val="0"/>
        <w:adjustRightInd w:val="0"/>
        <w:outlineLvl w:val="2"/>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bCs/>
          <w:color w:val="auto"/>
          <w:highlight w:val="none"/>
        </w:rPr>
        <w:t xml:space="preserve">★ </w:t>
      </w:r>
      <w:r>
        <w:rPr>
          <w:rFonts w:hint="eastAsia" w:ascii="宋体" w:hAnsi="宋体" w:cs="宋体"/>
          <w:b/>
          <w:bCs/>
          <w:color w:val="auto"/>
          <w:szCs w:val="21"/>
          <w:highlight w:val="none"/>
        </w:rPr>
        <w:t>格式四</w:t>
      </w:r>
    </w:p>
    <w:p>
      <w:pPr>
        <w:tabs>
          <w:tab w:val="left" w:pos="720"/>
        </w:tabs>
        <w:snapToGrid w:val="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对投标文件编制的承诺</w:t>
      </w:r>
    </w:p>
    <w:p>
      <w:pPr>
        <w:pStyle w:val="12"/>
        <w:rPr>
          <w:rFonts w:hint="eastAsia" w:hAnsi="宋体"/>
          <w:color w:val="auto"/>
          <w:highlight w:val="none"/>
        </w:rPr>
      </w:pPr>
    </w:p>
    <w:p>
      <w:pPr>
        <w:pStyle w:val="18"/>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本公司授权</w:t>
      </w:r>
      <w:r>
        <w:rPr>
          <w:rFonts w:hint="eastAsia" w:ascii="宋体" w:hAnsi="宋体" w:cs="宋体"/>
          <w:color w:val="auto"/>
          <w:sz w:val="21"/>
          <w:szCs w:val="21"/>
          <w:highlight w:val="none"/>
          <w:u w:val="single"/>
        </w:rPr>
        <w:t xml:space="preserve">         （身份证号：               ）</w:t>
      </w:r>
      <w:r>
        <w:rPr>
          <w:rFonts w:hint="eastAsia" w:ascii="宋体" w:hAnsi="宋体" w:cs="宋体"/>
          <w:color w:val="auto"/>
          <w:sz w:val="21"/>
          <w:szCs w:val="21"/>
          <w:highlight w:val="none"/>
        </w:rPr>
        <w:t>负责对投标文件的编制及内容进行解释、说明，并承诺以下事项：</w:t>
      </w:r>
    </w:p>
    <w:p>
      <w:pPr>
        <w:pStyle w:val="18"/>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1.被授权人清楚投标文件编制的具体情况，包括技术方案文件、工程量清单、以及投标文件的加密打包的理解；</w:t>
      </w:r>
    </w:p>
    <w:p>
      <w:pPr>
        <w:pStyle w:val="18"/>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2.在本项目开标至评标结束前，努力确保被授权人在项目评标所在地附近；</w:t>
      </w:r>
    </w:p>
    <w:p>
      <w:pPr>
        <w:pStyle w:val="18"/>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3.从评标委员会要求澄清起二小时内，被授权人应如实地书面澄清。</w:t>
      </w:r>
    </w:p>
    <w:p>
      <w:pPr>
        <w:pStyle w:val="18"/>
        <w:spacing w:after="0" w:line="360" w:lineRule="auto"/>
        <w:ind w:left="-2" w:leftChars="-1" w:firstLine="472" w:firstLineChars="225"/>
        <w:rPr>
          <w:rFonts w:hint="eastAsia" w:ascii="宋体" w:hAnsi="宋体" w:cs="宋体"/>
          <w:color w:val="auto"/>
          <w:sz w:val="21"/>
          <w:szCs w:val="21"/>
          <w:highlight w:val="none"/>
        </w:rPr>
      </w:pPr>
      <w:r>
        <w:rPr>
          <w:rFonts w:hint="eastAsia" w:ascii="宋体" w:hAnsi="宋体" w:cs="宋体"/>
          <w:color w:val="auto"/>
          <w:sz w:val="21"/>
          <w:szCs w:val="21"/>
          <w:highlight w:val="none"/>
        </w:rPr>
        <w:t>如由于未遵守上述承诺内容之一导致无法进行澄清的，我公司认可和接受评标委员会作出的评审结论。</w:t>
      </w:r>
    </w:p>
    <w:p>
      <w:pPr>
        <w:pStyle w:val="18"/>
        <w:spacing w:after="0" w:line="360" w:lineRule="auto"/>
        <w:ind w:firstLine="315" w:firstLineChars="150"/>
        <w:rPr>
          <w:rFonts w:hint="eastAsia" w:ascii="宋体" w:hAnsi="宋体" w:cs="宋体"/>
          <w:color w:val="auto"/>
          <w:sz w:val="21"/>
          <w:szCs w:val="21"/>
          <w:highlight w:val="none"/>
        </w:rPr>
      </w:pPr>
    </w:p>
    <w:p>
      <w:pPr>
        <w:pStyle w:val="18"/>
        <w:spacing w:after="0" w:line="360" w:lineRule="auto"/>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附件：《投标文件编制情况》</w:t>
      </w:r>
    </w:p>
    <w:p>
      <w:pPr>
        <w:spacing w:line="360" w:lineRule="auto"/>
        <w:ind w:right="90" w:firstLine="2835" w:firstLineChars="1350"/>
        <w:rPr>
          <w:rFonts w:hint="eastAsia" w:ascii="宋体" w:hAnsi="宋体" w:cs="宋体"/>
          <w:color w:val="auto"/>
          <w:szCs w:val="21"/>
          <w:highlight w:val="none"/>
        </w:rPr>
      </w:pPr>
    </w:p>
    <w:p>
      <w:pPr>
        <w:spacing w:line="360" w:lineRule="auto"/>
        <w:ind w:right="90" w:firstLine="2835" w:firstLineChars="1350"/>
        <w:rPr>
          <w:rFonts w:hint="eastAsia" w:ascii="宋体" w:hAnsi="宋体" w:cs="宋体"/>
          <w:color w:val="auto"/>
          <w:szCs w:val="21"/>
          <w:highlight w:val="none"/>
          <w:u w:val="single"/>
        </w:rPr>
      </w:pPr>
      <w:r>
        <w:rPr>
          <w:rFonts w:hint="eastAsia" w:ascii="宋体" w:hAnsi="宋体" w:cs="宋体"/>
          <w:color w:val="auto"/>
          <w:szCs w:val="21"/>
          <w:highlight w:val="none"/>
        </w:rPr>
        <w:t>投标人名称（盖法人公章）：</w:t>
      </w:r>
      <w:r>
        <w:rPr>
          <w:rFonts w:hint="eastAsia" w:ascii="宋体" w:hAnsi="宋体" w:cs="宋体"/>
          <w:color w:val="auto"/>
          <w:szCs w:val="21"/>
          <w:highlight w:val="none"/>
          <w:u w:val="single"/>
        </w:rPr>
        <w:t xml:space="preserve">                  </w:t>
      </w:r>
    </w:p>
    <w:p>
      <w:pPr>
        <w:spacing w:line="360" w:lineRule="auto"/>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法定代表人或被授权人（签字或盖章）：</w:t>
      </w:r>
      <w:r>
        <w:rPr>
          <w:rFonts w:hint="eastAsia" w:ascii="宋体" w:hAnsi="宋体" w:cs="宋体"/>
          <w:color w:val="auto"/>
          <w:szCs w:val="21"/>
          <w:highlight w:val="none"/>
          <w:u w:val="single"/>
        </w:rPr>
        <w:t xml:space="preserve">                  </w:t>
      </w:r>
    </w:p>
    <w:p>
      <w:pPr>
        <w:spacing w:line="360" w:lineRule="auto"/>
        <w:ind w:firstLine="3885" w:firstLineChars="1850"/>
        <w:jc w:val="center"/>
        <w:rPr>
          <w:rFonts w:hint="eastAsia" w:ascii="宋体" w:hAnsi="宋体" w:cs="宋体"/>
          <w:color w:val="auto"/>
          <w:szCs w:val="21"/>
          <w:highlight w:val="none"/>
        </w:rPr>
      </w:pPr>
      <w:r>
        <w:rPr>
          <w:rFonts w:hint="eastAsia" w:ascii="宋体" w:hAnsi="宋体" w:cs="宋体"/>
          <w:color w:val="auto"/>
          <w:szCs w:val="21"/>
          <w:highlight w:val="none"/>
        </w:rPr>
        <w:t xml:space="preserve">日期：      年   月   日      </w:t>
      </w:r>
    </w:p>
    <w:p>
      <w:pPr>
        <w:pStyle w:val="18"/>
        <w:spacing w:after="0" w:line="360" w:lineRule="auto"/>
        <w:ind w:firstLine="0"/>
        <w:rPr>
          <w:rFonts w:hint="eastAsia" w:ascii="宋体" w:hAnsi="宋体" w:cs="宋体"/>
          <w:b/>
          <w:color w:val="auto"/>
          <w:sz w:val="21"/>
          <w:szCs w:val="21"/>
          <w:highlight w:val="none"/>
        </w:rPr>
      </w:pPr>
    </w:p>
    <w:p>
      <w:pPr>
        <w:pStyle w:val="18"/>
        <w:spacing w:after="0" w:line="360" w:lineRule="auto"/>
        <w:ind w:firstLine="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投标文件编制情况</w:t>
      </w:r>
    </w:p>
    <w:p>
      <w:pPr>
        <w:pStyle w:val="18"/>
        <w:spacing w:after="0" w:line="360" w:lineRule="auto"/>
        <w:ind w:firstLine="0"/>
        <w:jc w:val="center"/>
        <w:rPr>
          <w:rFonts w:hint="eastAsia" w:ascii="宋体" w:hAnsi="宋体" w:cs="宋体"/>
          <w:b/>
          <w:color w:val="auto"/>
          <w:sz w:val="30"/>
          <w:szCs w:val="30"/>
          <w:highlight w:val="none"/>
        </w:rPr>
      </w:pPr>
    </w:p>
    <w:p>
      <w:pPr>
        <w:pStyle w:val="18"/>
        <w:spacing w:after="0" w:line="360" w:lineRule="auto"/>
        <w:ind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1.投标文件报价编制方式: □自行编制的，编制的负责人：</w:t>
      </w:r>
      <w:r>
        <w:rPr>
          <w:rFonts w:hint="eastAsia" w:ascii="宋体" w:hAnsi="宋体" w:cs="宋体"/>
          <w:color w:val="auto"/>
          <w:sz w:val="21"/>
          <w:szCs w:val="21"/>
          <w:highlight w:val="none"/>
          <w:u w:val="single"/>
        </w:rPr>
        <w:t xml:space="preserve">     （盖造价工程师执业专用章或全国建设工程造价员章，执业单位应与投标人一致）   </w:t>
      </w:r>
      <w:r>
        <w:rPr>
          <w:rFonts w:hint="eastAsia" w:ascii="宋体" w:hAnsi="宋体" w:cs="宋体"/>
          <w:color w:val="auto"/>
          <w:sz w:val="21"/>
          <w:szCs w:val="21"/>
          <w:highlight w:val="none"/>
        </w:rPr>
        <w:t>。□委托编制的，受委托单位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，编制的负责人：</w:t>
      </w:r>
      <w:r>
        <w:rPr>
          <w:rFonts w:hint="eastAsia" w:ascii="宋体" w:hAnsi="宋体" w:cs="宋体"/>
          <w:color w:val="auto"/>
          <w:sz w:val="21"/>
          <w:szCs w:val="21"/>
          <w:highlight w:val="none"/>
          <w:u w:val="single"/>
        </w:rPr>
        <w:t xml:space="preserve">   （盖造价工程师执业专用章或全国建设工程造价员章，执业单位应与受委托单位一致）   </w:t>
      </w:r>
      <w:r>
        <w:rPr>
          <w:rFonts w:hint="eastAsia" w:ascii="宋体" w:hAnsi="宋体" w:cs="宋体"/>
          <w:color w:val="auto"/>
          <w:sz w:val="21"/>
          <w:szCs w:val="21"/>
          <w:highlight w:val="none"/>
        </w:rPr>
        <w:t>。</w:t>
      </w:r>
    </w:p>
    <w:p>
      <w:pPr>
        <w:pStyle w:val="18"/>
        <w:spacing w:after="0" w:line="360" w:lineRule="auto"/>
        <w:ind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2.投标文件加密打包的电脑情况</w:t>
      </w:r>
    </w:p>
    <w:tbl>
      <w:tblPr>
        <w:tblStyle w:val="20"/>
        <w:tblW w:w="0" w:type="auto"/>
        <w:jc w:val="center"/>
        <w:tblLayout w:type="fixed"/>
        <w:tblCellMar>
          <w:top w:w="0" w:type="dxa"/>
          <w:left w:w="108" w:type="dxa"/>
          <w:bottom w:w="0" w:type="dxa"/>
          <w:right w:w="108" w:type="dxa"/>
        </w:tblCellMar>
      </w:tblPr>
      <w:tblGrid>
        <w:gridCol w:w="8188"/>
      </w:tblGrid>
      <w:tr>
        <w:tblPrEx>
          <w:tblCellMar>
            <w:top w:w="0" w:type="dxa"/>
            <w:left w:w="108" w:type="dxa"/>
            <w:bottom w:w="0" w:type="dxa"/>
            <w:right w:w="108" w:type="dxa"/>
          </w:tblCellMar>
        </w:tblPrEx>
        <w:trPr>
          <w:trHeight w:val="1866" w:hRule="atLeast"/>
          <w:jc w:val="center"/>
        </w:trPr>
        <w:tc>
          <w:tcPr>
            <w:tcW w:w="8188" w:type="dxa"/>
            <w:noWrap w:val="0"/>
            <w:vAlign w:val="top"/>
          </w:tcPr>
          <w:p>
            <w:pPr>
              <w:pStyle w:val="18"/>
              <w:spacing w:after="0" w:line="360" w:lineRule="auto"/>
              <w:ind w:firstLine="0"/>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投标文件加密打包的电脑     自有  □        外包  □       其他  □</w:t>
            </w:r>
          </w:p>
          <w:p>
            <w:pPr>
              <w:pStyle w:val="18"/>
              <w:spacing w:after="0" w:line="360" w:lineRule="auto"/>
              <w:ind w:firstLine="0"/>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电脑类型</w:t>
            </w:r>
          </w:p>
          <w:p>
            <w:pPr>
              <w:pStyle w:val="18"/>
              <w:spacing w:after="0" w:line="360" w:lineRule="auto"/>
              <w:ind w:firstLine="0"/>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电脑所属单位</w:t>
            </w:r>
          </w:p>
          <w:p>
            <w:pPr>
              <w:pStyle w:val="18"/>
              <w:spacing w:after="0" w:line="360" w:lineRule="auto"/>
              <w:ind w:firstLine="0"/>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电脑所在地址        （如××市××区(县) ××街（路）××号××大厦××房）</w:t>
            </w:r>
          </w:p>
        </w:tc>
      </w:tr>
    </w:tbl>
    <w:p>
      <w:pPr>
        <w:jc w:val="center"/>
        <w:rPr>
          <w:rFonts w:hint="eastAsia" w:ascii="宋体" w:hAnsi="宋体" w:cs="宋体"/>
          <w:color w:val="auto"/>
          <w:sz w:val="24"/>
          <w:szCs w:val="24"/>
          <w:highlight w:val="none"/>
        </w:rPr>
      </w:pPr>
    </w:p>
    <w:p>
      <w:pPr>
        <w:autoSpaceDE w:val="0"/>
        <w:autoSpaceDN w:val="0"/>
        <w:adjustRightInd w:val="0"/>
        <w:jc w:val="center"/>
        <w:outlineLvl w:val="0"/>
        <w:rPr>
          <w:rStyle w:val="41"/>
          <w:rFonts w:hint="eastAsia" w:ascii="宋体" w:hAnsi="宋体" w:cs="宋体"/>
          <w:color w:val="auto"/>
          <w:highlight w:val="none"/>
        </w:rPr>
      </w:pPr>
      <w:r>
        <w:rPr>
          <w:rFonts w:hint="eastAsia" w:ascii="宋体" w:hAnsi="宋体" w:cs="宋体"/>
          <w:color w:val="auto"/>
          <w:sz w:val="24"/>
          <w:szCs w:val="24"/>
          <w:highlight w:val="none"/>
        </w:rPr>
        <w:br w:type="page"/>
      </w:r>
      <w:bookmarkStart w:id="40" w:name="_Toc88246548"/>
      <w:bookmarkStart w:id="41" w:name="_Toc9631"/>
      <w:r>
        <w:rPr>
          <w:rStyle w:val="41"/>
          <w:rFonts w:hint="eastAsia" w:ascii="宋体" w:hAnsi="宋体" w:cs="宋体"/>
          <w:color w:val="auto"/>
          <w:sz w:val="30"/>
          <w:szCs w:val="30"/>
          <w:highlight w:val="none"/>
        </w:rPr>
        <w:t>第五章  技术条件</w:t>
      </w:r>
      <w:bookmarkEnd w:id="40"/>
    </w:p>
    <w:bookmarkEnd w:id="41"/>
    <w:p>
      <w:pPr>
        <w:pStyle w:val="42"/>
        <w:spacing w:line="500" w:lineRule="exact"/>
        <w:jc w:val="left"/>
        <w:rPr>
          <w:rStyle w:val="25"/>
          <w:rFonts w:hint="eastAsia" w:ascii="宋体" w:hAnsi="宋体" w:eastAsia="宋体" w:cs="宋体"/>
          <w:b/>
          <w:color w:val="auto"/>
          <w:kern w:val="2"/>
          <w:sz w:val="21"/>
          <w:szCs w:val="21"/>
          <w:highlight w:val="none"/>
        </w:rPr>
      </w:pPr>
      <w:r>
        <w:rPr>
          <w:rStyle w:val="25"/>
          <w:rFonts w:hint="eastAsia" w:ascii="宋体" w:hAnsi="宋体" w:eastAsia="宋体" w:cs="宋体"/>
          <w:b/>
          <w:color w:val="auto"/>
          <w:kern w:val="2"/>
          <w:sz w:val="21"/>
          <w:szCs w:val="21"/>
          <w:highlight w:val="none"/>
        </w:rPr>
        <w:t>一、现场情况由投标人自行踏勘，风险由投标人自行承担。</w:t>
      </w:r>
    </w:p>
    <w:p>
      <w:pPr>
        <w:pStyle w:val="42"/>
        <w:spacing w:line="500" w:lineRule="exact"/>
        <w:jc w:val="left"/>
        <w:rPr>
          <w:rStyle w:val="25"/>
          <w:rFonts w:hint="eastAsia" w:ascii="宋体" w:hAnsi="宋体" w:eastAsia="宋体" w:cs="宋体"/>
          <w:bCs/>
          <w:color w:val="auto"/>
          <w:kern w:val="2"/>
          <w:sz w:val="21"/>
          <w:szCs w:val="21"/>
          <w:highlight w:val="none"/>
          <w:u w:val="single"/>
        </w:rPr>
      </w:pPr>
      <w:r>
        <w:rPr>
          <w:rStyle w:val="25"/>
          <w:rFonts w:hint="eastAsia" w:ascii="宋体" w:hAnsi="宋体" w:eastAsia="宋体" w:cs="宋体"/>
          <w:b/>
          <w:color w:val="auto"/>
          <w:kern w:val="2"/>
          <w:sz w:val="21"/>
          <w:szCs w:val="21"/>
          <w:highlight w:val="none"/>
        </w:rPr>
        <w:t>二、项目概况：</w:t>
      </w:r>
      <w:r>
        <w:rPr>
          <w:rStyle w:val="25"/>
          <w:rFonts w:hint="eastAsia" w:ascii="宋体" w:hAnsi="宋体" w:eastAsia="宋体" w:cs="宋体"/>
          <w:bCs/>
          <w:color w:val="auto"/>
          <w:kern w:val="2"/>
          <w:sz w:val="21"/>
          <w:szCs w:val="21"/>
          <w:highlight w:val="none"/>
          <w:u w:val="single"/>
        </w:rPr>
        <w:t>本次立交改造需拆除三滘立交西北象限原有收费站主匝道，尽量利用原三滘立交桥梁结构和用地红线，通过采用对西北象限匝道进行改造、在南环主线桥下设置匝道、在南环西出口、西北象限等位置新增匝道出入口等方式对三滘立交（独立的互通式立交桥）进行市政化改造</w:t>
      </w:r>
      <w:r>
        <w:rPr>
          <w:rStyle w:val="25"/>
          <w:rFonts w:hint="eastAsia" w:ascii="宋体" w:hAnsi="宋体" w:eastAsia="宋体" w:cs="宋体"/>
          <w:bCs/>
          <w:color w:val="auto"/>
          <w:kern w:val="2"/>
          <w:sz w:val="21"/>
          <w:szCs w:val="21"/>
          <w:highlight w:val="none"/>
          <w:u w:val="single"/>
          <w:lang w:eastAsia="zh-CN"/>
        </w:rPr>
        <w:t>，</w:t>
      </w:r>
      <w:r>
        <w:rPr>
          <w:rStyle w:val="25"/>
          <w:rFonts w:hint="eastAsia" w:ascii="宋体" w:hAnsi="宋体" w:eastAsia="宋体" w:cs="宋体"/>
          <w:b w:val="0"/>
          <w:bCs/>
          <w:color w:val="auto"/>
          <w:kern w:val="2"/>
          <w:sz w:val="21"/>
          <w:szCs w:val="21"/>
          <w:highlight w:val="none"/>
          <w:u w:val="single"/>
          <w:lang w:val="en-US" w:eastAsia="zh-CN"/>
        </w:rPr>
        <w:t>其中E匝道桥单跨跨度为42m</w:t>
      </w:r>
      <w:r>
        <w:rPr>
          <w:rStyle w:val="25"/>
          <w:rFonts w:hint="eastAsia" w:ascii="宋体" w:hAnsi="宋体" w:eastAsia="宋体" w:cs="宋体"/>
          <w:bCs/>
          <w:color w:val="auto"/>
          <w:kern w:val="2"/>
          <w:sz w:val="21"/>
          <w:szCs w:val="21"/>
          <w:highlight w:val="none"/>
          <w:u w:val="single"/>
        </w:rPr>
        <w:t>。</w:t>
      </w:r>
    </w:p>
    <w:p>
      <w:pPr>
        <w:pStyle w:val="42"/>
        <w:spacing w:line="500" w:lineRule="exact"/>
        <w:ind w:firstLine="436" w:firstLineChars="200"/>
        <w:jc w:val="left"/>
        <w:rPr>
          <w:rStyle w:val="25"/>
          <w:rFonts w:hint="eastAsia" w:ascii="宋体" w:hAnsi="宋体" w:eastAsia="宋体" w:cs="宋体"/>
          <w:bCs/>
          <w:color w:val="auto"/>
          <w:kern w:val="2"/>
          <w:sz w:val="21"/>
          <w:szCs w:val="21"/>
          <w:highlight w:val="none"/>
          <w:u w:val="single"/>
        </w:rPr>
      </w:pPr>
      <w:r>
        <w:rPr>
          <w:rStyle w:val="25"/>
          <w:rFonts w:hint="eastAsia" w:ascii="宋体" w:hAnsi="宋体" w:eastAsia="宋体" w:cs="宋体"/>
          <w:bCs/>
          <w:color w:val="auto"/>
          <w:kern w:val="2"/>
          <w:sz w:val="21"/>
          <w:szCs w:val="21"/>
          <w:highlight w:val="none"/>
          <w:u w:val="single"/>
        </w:rPr>
        <w:t>东南西环三滘立交市政化改造工程（一期）涉及新建匝道桥1座，桥梁总长159.9m，拆除旧桥2983m</w:t>
      </w:r>
      <w:r>
        <w:rPr>
          <w:rFonts w:hint="eastAsia" w:ascii="宋体" w:hAnsi="宋体"/>
          <w:color w:val="auto"/>
          <w:sz w:val="24"/>
          <w:szCs w:val="24"/>
          <w:highlight w:val="none"/>
          <w:u w:val="single"/>
          <w:vertAlign w:val="superscript"/>
        </w:rPr>
        <w:t>2</w:t>
      </w:r>
      <w:r>
        <w:rPr>
          <w:rStyle w:val="25"/>
          <w:rFonts w:hint="eastAsia" w:ascii="宋体" w:hAnsi="宋体" w:eastAsia="宋体" w:cs="宋体"/>
          <w:bCs/>
          <w:color w:val="auto"/>
          <w:kern w:val="2"/>
          <w:sz w:val="21"/>
          <w:szCs w:val="21"/>
          <w:highlight w:val="none"/>
          <w:u w:val="single"/>
        </w:rPr>
        <w:t>，托换4处南环高速桥墩，新建1处人行天桥；新建地面辅道、匝道路基段长1632.8m。</w:t>
      </w:r>
    </w:p>
    <w:p>
      <w:pPr>
        <w:pStyle w:val="42"/>
        <w:spacing w:line="500" w:lineRule="exact"/>
        <w:ind w:firstLine="436" w:firstLineChars="200"/>
        <w:jc w:val="left"/>
        <w:rPr>
          <w:rStyle w:val="25"/>
          <w:rFonts w:hint="eastAsia" w:ascii="宋体" w:hAnsi="宋体" w:eastAsia="宋体" w:cs="宋体"/>
          <w:color w:val="auto"/>
          <w:kern w:val="2"/>
          <w:sz w:val="21"/>
          <w:szCs w:val="21"/>
          <w:highlight w:val="none"/>
        </w:rPr>
      </w:pPr>
      <w:r>
        <w:rPr>
          <w:rStyle w:val="25"/>
          <w:rFonts w:hint="eastAsia" w:ascii="宋体" w:hAnsi="宋体" w:eastAsia="宋体" w:cs="宋体"/>
          <w:bCs/>
          <w:color w:val="auto"/>
          <w:kern w:val="2"/>
          <w:sz w:val="21"/>
          <w:szCs w:val="21"/>
          <w:highlight w:val="none"/>
          <w:u w:val="single"/>
        </w:rPr>
        <w:t>建设内容包括：道路工程、桥梁工程、</w:t>
      </w:r>
      <w:r>
        <w:rPr>
          <w:rStyle w:val="25"/>
          <w:rFonts w:hint="eastAsia" w:ascii="宋体" w:hAnsi="宋体" w:eastAsia="宋体" w:cs="宋体"/>
          <w:bCs/>
          <w:color w:val="auto"/>
          <w:kern w:val="2"/>
          <w:sz w:val="21"/>
          <w:szCs w:val="21"/>
          <w:highlight w:val="none"/>
          <w:u w:val="single"/>
          <w:lang w:eastAsia="zh-CN"/>
        </w:rPr>
        <w:t>排水工程、交通工程及交通疏解</w:t>
      </w:r>
      <w:r>
        <w:rPr>
          <w:rStyle w:val="25"/>
          <w:rFonts w:hint="eastAsia" w:ascii="宋体" w:hAnsi="宋体" w:eastAsia="宋体" w:cs="宋体"/>
          <w:bCs/>
          <w:color w:val="auto"/>
          <w:kern w:val="2"/>
          <w:sz w:val="21"/>
          <w:szCs w:val="21"/>
          <w:highlight w:val="none"/>
          <w:u w:val="single"/>
        </w:rPr>
        <w:t>、电力管沟工程、照明工程、绿化工程、通信工程、临时工程等。本项目所涉及的桩基托换施工，施工前施工单位需与设计单位根据现场实际情况，进一步完善、深化设计，开展工程技术研究开发工作，确保施工过程的质量与安全。</w:t>
      </w:r>
      <w:r>
        <w:rPr>
          <w:rFonts w:hint="eastAsia" w:ascii="宋体" w:hAnsi="宋体" w:eastAsia="宋体" w:cs="方正宋黑简体"/>
          <w:color w:val="auto"/>
          <w:sz w:val="21"/>
          <w:szCs w:val="21"/>
          <w:highlight w:val="none"/>
          <w:u w:val="single"/>
          <w:lang w:bidi="ar"/>
        </w:rPr>
        <w:t>具体以招标文件、招标图纸、工程量清单及有关资料说明为准。</w:t>
      </w:r>
    </w:p>
    <w:p>
      <w:pPr>
        <w:pStyle w:val="42"/>
        <w:spacing w:line="500" w:lineRule="exact"/>
        <w:jc w:val="left"/>
        <w:rPr>
          <w:rStyle w:val="25"/>
          <w:rFonts w:hint="eastAsia" w:ascii="宋体" w:hAnsi="宋体" w:eastAsia="宋体" w:cs="宋体"/>
          <w:b/>
          <w:color w:val="auto"/>
          <w:kern w:val="2"/>
          <w:sz w:val="21"/>
          <w:szCs w:val="21"/>
          <w:highlight w:val="none"/>
        </w:rPr>
      </w:pPr>
      <w:r>
        <w:rPr>
          <w:rStyle w:val="25"/>
          <w:rFonts w:hint="eastAsia" w:ascii="宋体" w:hAnsi="宋体" w:eastAsia="宋体" w:cs="宋体"/>
          <w:b/>
          <w:color w:val="auto"/>
          <w:kern w:val="2"/>
          <w:sz w:val="21"/>
          <w:szCs w:val="21"/>
          <w:highlight w:val="none"/>
        </w:rPr>
        <w:t>三、下列文件应被认为是组成本章内容的一部分，并互为补充和解释，如各文件存在冲突之处，以如下排列次序在前者优先适用：</w:t>
      </w:r>
    </w:p>
    <w:p>
      <w:pPr>
        <w:pStyle w:val="42"/>
        <w:spacing w:line="500" w:lineRule="exact"/>
        <w:ind w:firstLine="514" w:firstLineChars="236"/>
        <w:jc w:val="left"/>
        <w:rPr>
          <w:rStyle w:val="25"/>
          <w:rFonts w:hint="eastAsia" w:ascii="宋体" w:hAnsi="宋体" w:eastAsia="宋体" w:cs="宋体"/>
          <w:color w:val="auto"/>
          <w:kern w:val="2"/>
          <w:sz w:val="21"/>
          <w:szCs w:val="21"/>
          <w:highlight w:val="none"/>
        </w:rPr>
      </w:pPr>
      <w:r>
        <w:rPr>
          <w:rStyle w:val="25"/>
          <w:rFonts w:hint="eastAsia" w:ascii="宋体" w:hAnsi="宋体" w:eastAsia="宋体" w:cs="宋体"/>
          <w:color w:val="auto"/>
          <w:kern w:val="2"/>
          <w:sz w:val="21"/>
          <w:szCs w:val="21"/>
          <w:highlight w:val="none"/>
        </w:rPr>
        <w:t>1、遵照招标人发布的合同条款及有关本项目现场施工管理的相关规定要求及技术需求书等；</w:t>
      </w:r>
    </w:p>
    <w:p>
      <w:pPr>
        <w:pStyle w:val="42"/>
        <w:spacing w:line="500" w:lineRule="exact"/>
        <w:ind w:firstLine="514" w:firstLineChars="236"/>
        <w:jc w:val="left"/>
        <w:rPr>
          <w:rStyle w:val="25"/>
          <w:rFonts w:hint="eastAsia" w:ascii="宋体" w:hAnsi="宋体" w:eastAsia="宋体" w:cs="宋体"/>
          <w:color w:val="auto"/>
          <w:kern w:val="2"/>
          <w:sz w:val="21"/>
          <w:szCs w:val="21"/>
          <w:highlight w:val="none"/>
        </w:rPr>
      </w:pPr>
      <w:r>
        <w:rPr>
          <w:rStyle w:val="25"/>
          <w:rFonts w:hint="eastAsia" w:ascii="宋体" w:hAnsi="宋体" w:eastAsia="宋体" w:cs="宋体"/>
          <w:color w:val="auto"/>
          <w:kern w:val="2"/>
          <w:sz w:val="21"/>
          <w:szCs w:val="21"/>
          <w:highlight w:val="none"/>
        </w:rPr>
        <w:t>2、按照设计图纸及设计说明的技术条件及要求，采用图纸中规定的技术规格和国家及行业的验收标准；</w:t>
      </w:r>
    </w:p>
    <w:p>
      <w:pPr>
        <w:spacing w:line="500" w:lineRule="exact"/>
        <w:ind w:firstLine="495" w:firstLineChars="236"/>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3、采用国家、广东省、广州市、区有关施工验收规范、质量标准和操作规程等要求。</w:t>
      </w:r>
    </w:p>
    <w:p>
      <w:pPr>
        <w:spacing w:line="500" w:lineRule="exact"/>
        <w:ind w:right="-86" w:rightChars="-41"/>
        <w:rPr>
          <w:rStyle w:val="25"/>
          <w:rFonts w:hint="eastAsia" w:ascii="宋体" w:hAnsi="宋体" w:cs="宋体"/>
          <w:b/>
          <w:color w:val="auto"/>
          <w:szCs w:val="21"/>
          <w:highlight w:val="none"/>
        </w:rPr>
      </w:pPr>
      <w:r>
        <w:rPr>
          <w:rStyle w:val="25"/>
          <w:rFonts w:hint="eastAsia" w:ascii="宋体" w:hAnsi="宋体" w:cs="宋体"/>
          <w:b/>
          <w:color w:val="auto"/>
          <w:szCs w:val="21"/>
          <w:highlight w:val="none"/>
        </w:rPr>
        <w:t>四、机械、测量器具、检测工具及加工制作能力的要求（包括但不限于）</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1、投标人拟投入施工的机械设备须配套齐全，性能优良，技术先进，安全可靠，机械化施工程度高，投入数量能够满足本项目工程进度的要求。该工程必须落实加工机械、安装机械、测量器具、检测工具以保证工程的顺利进行和工程建设高品质的需要。且投标人承诺的上述机械、测量器具、检测工具必须按投标文件中承诺的型号、规格、数量、时间在本工程投入使用。</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2、招标人可根据工程实际情况要求中标人增加工程施工所需的机械设备、人员、材料等资源的投入，中标人应无条件按照招标人的要求增加工程所需的投入并承担因此涉及的费用。</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3、招标人可根据工程实际情况要求中标人对工程图纸进行深化设计，中标人应无条件按照招标人的要求对本工程图纸进行深化设计并承担因此涉及的费用。</w:t>
      </w:r>
    </w:p>
    <w:p>
      <w:pPr>
        <w:spacing w:line="500" w:lineRule="exact"/>
        <w:ind w:right="-510" w:rightChars="-243"/>
        <w:jc w:val="left"/>
        <w:rPr>
          <w:rStyle w:val="25"/>
          <w:rFonts w:hint="eastAsia" w:ascii="宋体" w:hAnsi="宋体" w:cs="宋体"/>
          <w:b/>
          <w:color w:val="auto"/>
          <w:szCs w:val="21"/>
          <w:highlight w:val="none"/>
        </w:rPr>
      </w:pPr>
      <w:r>
        <w:rPr>
          <w:rStyle w:val="25"/>
          <w:rFonts w:hint="eastAsia" w:ascii="宋体" w:hAnsi="宋体" w:cs="宋体"/>
          <w:b/>
          <w:color w:val="auto"/>
          <w:szCs w:val="21"/>
          <w:highlight w:val="none"/>
        </w:rPr>
        <w:t>五、经济标编制的相关要求</w:t>
      </w:r>
    </w:p>
    <w:p>
      <w:pPr>
        <w:spacing w:line="500" w:lineRule="exact"/>
        <w:ind w:firstLine="495" w:firstLineChars="236"/>
        <w:rPr>
          <w:rStyle w:val="25"/>
          <w:rFonts w:hint="eastAsia" w:ascii="宋体" w:hAnsi="宋体" w:cs="宋体"/>
          <w:color w:val="auto"/>
          <w:szCs w:val="21"/>
          <w:highlight w:val="none"/>
        </w:rPr>
      </w:pPr>
      <w:r>
        <w:rPr>
          <w:rStyle w:val="25"/>
          <w:rFonts w:hint="eastAsia" w:ascii="宋体" w:hAnsi="宋体" w:cs="宋体"/>
          <w:color w:val="auto"/>
          <w:szCs w:val="21"/>
          <w:highlight w:val="none"/>
        </w:rPr>
        <w:t>各投标人应考虑企业自身成本及市场材料价格等因素，投标报价中的综合单价应包括材料供应及安装、成品保护和维护、各项检验试验费（文件规定招标人另行委托第三方检测的项目除外）、各项材料、组件、零配件、风险、保险、责任、措施费、缺陷修复、管理费、利润、关税、税金等和政策性规定的所有费用。其中包括但不限于以下费用：</w:t>
      </w:r>
    </w:p>
    <w:p>
      <w:pPr>
        <w:spacing w:line="500" w:lineRule="exact"/>
        <w:ind w:firstLine="495" w:firstLineChars="236"/>
        <w:rPr>
          <w:rStyle w:val="25"/>
          <w:rFonts w:hint="eastAsia" w:ascii="宋体" w:hAnsi="宋体" w:cs="宋体"/>
          <w:color w:val="auto"/>
          <w:szCs w:val="21"/>
          <w:highlight w:val="none"/>
        </w:rPr>
      </w:pPr>
      <w:r>
        <w:rPr>
          <w:rStyle w:val="25"/>
          <w:rFonts w:hint="eastAsia" w:ascii="宋体" w:hAnsi="宋体" w:cs="宋体"/>
          <w:color w:val="auto"/>
          <w:szCs w:val="21"/>
          <w:highlight w:val="none"/>
        </w:rPr>
        <w:t>（1）按照招标文件资料，为完成本工程所需的一切材料费、机械费、人工费、管理费、不可预见费、规费、利润、税金等；</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（2）材料的采购、包装、储运、保险、商检、验收、加工、组装、安装、调试、保修期内的专用工具、备品备件等全部费用；</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（3）进口材料（如有）需包括的进口关税、增值税、代理费等一切进口费用，中标人需遵循正常合法的入关手续；</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（4）为满足招标人关于现场文明施工、安全生产、政府检查等引起的人员、材料、机械等投入的费用；</w:t>
      </w:r>
    </w:p>
    <w:p>
      <w:pPr>
        <w:spacing w:line="360" w:lineRule="auto"/>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（5）本工程施工过程中所需的脚手架、吊架费用，各种材料、产品的水平和垂直运输费用的措施费用应包含在本次投标报价中；</w:t>
      </w:r>
    </w:p>
    <w:p>
      <w:pPr>
        <w:spacing w:line="360" w:lineRule="auto"/>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（6）为完成本招标图及相关资料范围内的工作内容所需的一切费用。</w:t>
      </w:r>
      <w:bookmarkStart w:id="42" w:name="_Toc4610217"/>
      <w:bookmarkStart w:id="43" w:name="_Toc11960"/>
    </w:p>
    <w:p>
      <w:pPr>
        <w:rPr>
          <w:rStyle w:val="25"/>
          <w:rFonts w:hint="eastAsia" w:ascii="宋体" w:hAnsi="宋体" w:cs="宋体"/>
          <w:b/>
          <w:color w:val="auto"/>
          <w:szCs w:val="21"/>
          <w:highlight w:val="none"/>
        </w:rPr>
      </w:pPr>
      <w:r>
        <w:rPr>
          <w:rStyle w:val="25"/>
          <w:rFonts w:hint="eastAsia" w:ascii="宋体" w:hAnsi="宋体" w:cs="宋体"/>
          <w:b/>
          <w:color w:val="auto"/>
          <w:szCs w:val="21"/>
          <w:highlight w:val="none"/>
        </w:rPr>
        <w:t>六、建筑垃圾减量及建筑垃圾综合利用产品的使用要求</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(一)工程概况和施工单位基本信息；</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(二)建筑垃圾产生量与种类；</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(三)建筑垃圾源头减量、分类收集、综合利用、污染防治的措施和目标；</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(四)需要外运的建筑垃圾种类、数量与运输的时间、路线、方式和运输单位；</w:t>
      </w:r>
    </w:p>
    <w:p>
      <w:pPr>
        <w:spacing w:line="500" w:lineRule="exact"/>
        <w:ind w:right="-86" w:rightChars="-41" w:firstLine="420" w:firstLineChars="200"/>
        <w:jc w:val="left"/>
        <w:rPr>
          <w:rStyle w:val="25"/>
          <w:rFonts w:hint="eastAsia" w:ascii="宋体" w:hAnsi="宋体" w:cs="宋体"/>
          <w:color w:val="auto"/>
          <w:szCs w:val="21"/>
          <w:highlight w:val="none"/>
        </w:rPr>
      </w:pPr>
      <w:r>
        <w:rPr>
          <w:rStyle w:val="25"/>
          <w:rFonts w:hint="eastAsia" w:ascii="宋体" w:hAnsi="宋体" w:cs="宋体"/>
          <w:color w:val="auto"/>
          <w:szCs w:val="21"/>
          <w:highlight w:val="none"/>
        </w:rPr>
        <w:t>(五)建筑垃圾回填、消纳、综合利用场所名称；</w:t>
      </w:r>
    </w:p>
    <w:p>
      <w:pPr>
        <w:spacing w:line="500" w:lineRule="exact"/>
        <w:ind w:right="-86" w:rightChars="-41" w:firstLine="420" w:firstLineChars="200"/>
        <w:jc w:val="left"/>
        <w:rPr>
          <w:rFonts w:hint="eastAsia" w:ascii="宋体" w:hAnsi="宋体" w:cs="宋体"/>
          <w:color w:val="auto"/>
          <w:sz w:val="24"/>
          <w:szCs w:val="24"/>
          <w:highlight w:val="none"/>
        </w:rPr>
      </w:pPr>
      <w:r>
        <w:rPr>
          <w:rStyle w:val="25"/>
          <w:rFonts w:hint="eastAsia" w:ascii="宋体" w:hAnsi="宋体" w:cs="宋体"/>
          <w:color w:val="auto"/>
          <w:szCs w:val="21"/>
          <w:highlight w:val="none"/>
        </w:rPr>
        <w:t>(六)法律、法规规定的其他内容。</w:t>
      </w:r>
    </w:p>
    <w:p>
      <w:pPr>
        <w:jc w:val="center"/>
        <w:rPr>
          <w:rFonts w:hint="eastAsia" w:ascii="宋体" w:hAnsi="宋体" w:cs="宋体"/>
          <w:color w:val="auto"/>
          <w:sz w:val="24"/>
          <w:szCs w:val="24"/>
          <w:highlight w:val="none"/>
        </w:rPr>
      </w:pP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2"/>
        <w:jc w:val="center"/>
        <w:rPr>
          <w:rFonts w:hint="eastAsia" w:ascii="宋体" w:hAnsi="宋体" w:cs="宋体"/>
          <w:b w:val="0"/>
          <w:bCs/>
          <w:color w:val="auto"/>
          <w:sz w:val="30"/>
          <w:szCs w:val="30"/>
          <w:highlight w:val="none"/>
        </w:rPr>
      </w:pPr>
      <w:bookmarkStart w:id="44" w:name="_Toc26499"/>
      <w:bookmarkStart w:id="45" w:name="_Toc88246549"/>
      <w:r>
        <w:rPr>
          <w:rFonts w:hint="eastAsia" w:ascii="宋体" w:hAnsi="宋体" w:cs="宋体"/>
          <w:b w:val="0"/>
          <w:bCs/>
          <w:color w:val="auto"/>
          <w:sz w:val="30"/>
          <w:szCs w:val="30"/>
          <w:highlight w:val="none"/>
        </w:rPr>
        <w:t>第六章  图纸及勘察资料</w:t>
      </w:r>
      <w:bookmarkEnd w:id="42"/>
      <w:bookmarkEnd w:id="43"/>
      <w:bookmarkEnd w:id="44"/>
      <w:bookmarkEnd w:id="45"/>
    </w:p>
    <w:p>
      <w:pPr>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（另册）</w:t>
      </w:r>
    </w:p>
    <w:p>
      <w:pPr>
        <w:jc w:val="center"/>
        <w:rPr>
          <w:rFonts w:hint="eastAsia" w:ascii="宋体" w:hAnsi="宋体" w:cs="宋体"/>
          <w:color w:val="auto"/>
          <w:sz w:val="24"/>
          <w:szCs w:val="24"/>
          <w:highlight w:val="none"/>
        </w:rPr>
      </w:pPr>
      <w:bookmarkStart w:id="46" w:name="_Toc4610218"/>
      <w:bookmarkStart w:id="47" w:name="_Toc4954"/>
    </w:p>
    <w:p>
      <w:pPr>
        <w:jc w:val="center"/>
        <w:rPr>
          <w:rFonts w:hint="eastAsia" w:ascii="宋体" w:hAnsi="宋体" w:cs="宋体"/>
          <w:color w:val="auto"/>
          <w:highlight w:val="none"/>
        </w:rPr>
      </w:pPr>
      <w:r>
        <w:rPr>
          <w:rFonts w:hint="eastAsia" w:ascii="宋体" w:hAnsi="宋体" w:cs="宋体"/>
          <w:color w:val="auto"/>
          <w:sz w:val="24"/>
          <w:szCs w:val="24"/>
          <w:highlight w:val="none"/>
        </w:rPr>
        <w:br w:type="page"/>
      </w:r>
      <w:bookmarkStart w:id="48" w:name="_Toc88246550"/>
      <w:bookmarkStart w:id="49" w:name="_Toc14984"/>
      <w:r>
        <w:rPr>
          <w:rFonts w:hint="eastAsia" w:ascii="宋体" w:hAnsi="宋体" w:cs="宋体"/>
          <w:b/>
          <w:bCs/>
          <w:color w:val="auto"/>
          <w:sz w:val="30"/>
          <w:szCs w:val="30"/>
          <w:highlight w:val="none"/>
        </w:rPr>
        <w:t>第七章  工程量清单</w:t>
      </w:r>
      <w:bookmarkEnd w:id="46"/>
      <w:bookmarkEnd w:id="47"/>
      <w:bookmarkEnd w:id="48"/>
      <w:bookmarkEnd w:id="49"/>
    </w:p>
    <w:p>
      <w:pPr>
        <w:jc w:val="center"/>
        <w:rPr>
          <w:rFonts w:hint="eastAsia" w:ascii="宋体" w:hAnsi="宋体" w:cs="宋体"/>
          <w:color w:val="auto"/>
          <w:szCs w:val="21"/>
          <w:highlight w:val="none"/>
        </w:rPr>
      </w:pPr>
    </w:p>
    <w:p>
      <w:pPr>
        <w:jc w:val="center"/>
        <w:rPr>
          <w:rFonts w:hint="eastAsia" w:ascii="宋体" w:hAnsi="宋体" w:cs="宋体"/>
          <w:b/>
          <w:color w:val="auto"/>
          <w:szCs w:val="21"/>
          <w:highlight w:val="none"/>
        </w:rPr>
      </w:pPr>
      <w:r>
        <w:rPr>
          <w:rFonts w:hint="eastAsia" w:ascii="宋体" w:hAnsi="宋体" w:cs="宋体"/>
          <w:color w:val="auto"/>
          <w:szCs w:val="21"/>
          <w:highlight w:val="none"/>
        </w:rPr>
        <w:t>（另册）</w:t>
      </w:r>
    </w:p>
    <w:p>
      <w:pPr>
        <w:jc w:val="center"/>
        <w:rPr>
          <w:rFonts w:hint="eastAsia" w:ascii="宋体" w:hAnsi="宋体" w:cs="宋体"/>
          <w:color w:val="auto"/>
          <w:highlight w:val="none"/>
        </w:rPr>
      </w:pPr>
      <w:r>
        <w:rPr>
          <w:rFonts w:hint="eastAsia" w:ascii="宋体" w:hAnsi="宋体" w:cs="宋体"/>
          <w:color w:val="auto"/>
          <w:sz w:val="24"/>
          <w:szCs w:val="24"/>
          <w:highlight w:val="none"/>
        </w:rPr>
        <w:br w:type="page"/>
      </w:r>
      <w:bookmarkStart w:id="50" w:name="_Toc13527"/>
      <w:bookmarkStart w:id="51" w:name="_Toc2272571"/>
      <w:r>
        <w:rPr>
          <w:rFonts w:hint="eastAsia" w:ascii="宋体" w:hAnsi="宋体" w:cs="宋体"/>
          <w:b/>
          <w:bCs/>
          <w:color w:val="auto"/>
          <w:sz w:val="30"/>
          <w:szCs w:val="30"/>
          <w:highlight w:val="none"/>
        </w:rPr>
        <w:t>第八章  最高投标限价</w:t>
      </w:r>
      <w:bookmarkEnd w:id="50"/>
      <w:bookmarkEnd w:id="51"/>
    </w:p>
    <w:p>
      <w:pPr>
        <w:spacing w:line="360" w:lineRule="auto"/>
        <w:ind w:firstLine="480"/>
        <w:rPr>
          <w:rFonts w:hint="eastAsia" w:ascii="宋体" w:hAnsi="宋体" w:cs="宋体"/>
          <w:color w:val="auto"/>
          <w:szCs w:val="21"/>
          <w:highlight w:val="none"/>
        </w:rPr>
      </w:pP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招标人应当在发布招标文件时，公布最高投标限价的总价</w:t>
      </w:r>
      <w:r>
        <w:rPr>
          <w:rFonts w:hint="eastAsia" w:ascii="宋体" w:hAnsi="宋体" w:cs="宋体"/>
          <w:color w:val="auto"/>
          <w:szCs w:val="21"/>
          <w:highlight w:val="none"/>
          <w:u w:val="single"/>
        </w:rPr>
        <w:t>（投标报价总价超过最高投标限价总价的投标文件将被拒绝）</w:t>
      </w:r>
      <w:r>
        <w:rPr>
          <w:rFonts w:hint="eastAsia" w:ascii="宋体" w:hAnsi="宋体" w:cs="宋体"/>
          <w:color w:val="auto"/>
          <w:szCs w:val="21"/>
          <w:highlight w:val="none"/>
        </w:rPr>
        <w:t>，分部分项工程费、措施项目费、其他项目费、规费和税金，以及绿色施工安全防护措施费、暂列金额等投标人不可竞争的固定报价。</w:t>
      </w:r>
    </w:p>
    <w:p>
      <w:pPr>
        <w:pStyle w:val="12"/>
        <w:rPr>
          <w:rFonts w:hint="eastAsia" w:hAnsi="宋体"/>
          <w:color w:val="auto"/>
          <w:highlight w:val="none"/>
        </w:rPr>
      </w:pPr>
    </w:p>
    <w:p>
      <w:pPr>
        <w:spacing w:line="360" w:lineRule="auto"/>
        <w:ind w:firstLine="480"/>
        <w:jc w:val="center"/>
        <w:rPr>
          <w:rFonts w:hint="eastAsia" w:ascii="宋体" w:hAnsi="宋体" w:cs="宋体"/>
          <w:color w:val="auto"/>
          <w:szCs w:val="21"/>
          <w:highlight w:val="none"/>
        </w:rPr>
      </w:pPr>
      <w:r>
        <w:rPr>
          <w:rFonts w:hint="eastAsia" w:ascii="宋体" w:hAnsi="宋体" w:cs="宋体"/>
          <w:color w:val="auto"/>
          <w:szCs w:val="21"/>
          <w:highlight w:val="none"/>
        </w:rPr>
        <w:t>详见《最高投标限价公布函》</w:t>
      </w:r>
    </w:p>
    <w:p>
      <w:pPr>
        <w:spacing w:line="360" w:lineRule="auto"/>
        <w:ind w:firstLine="480"/>
        <w:rPr>
          <w:rFonts w:hint="eastAsia" w:ascii="宋体" w:hAnsi="宋体" w:cs="宋体"/>
          <w:color w:val="auto"/>
          <w:sz w:val="24"/>
          <w:szCs w:val="24"/>
          <w:highlight w:val="none"/>
          <w:u w:val="single"/>
        </w:rPr>
      </w:pPr>
    </w:p>
    <w:p>
      <w:pPr>
        <w:spacing w:line="360" w:lineRule="auto"/>
        <w:ind w:firstLine="480"/>
        <w:rPr>
          <w:rFonts w:hint="eastAsia" w:ascii="宋体" w:hAnsi="宋体" w:cs="宋体"/>
          <w:color w:val="auto"/>
          <w:sz w:val="24"/>
          <w:szCs w:val="24"/>
          <w:highlight w:val="none"/>
          <w:u w:val="single"/>
        </w:rPr>
      </w:pPr>
    </w:p>
    <w:p>
      <w:pPr>
        <w:rPr>
          <w:color w:val="auto"/>
          <w:highlight w:val="none"/>
        </w:rPr>
      </w:pPr>
    </w:p>
    <w:sectPr>
      <w:pgSz w:w="11906" w:h="16838"/>
      <w:pgMar w:top="1134" w:right="1134" w:bottom="113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宋黑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Style w:val="2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2"/>
      </w:rPr>
    </w:pPr>
    <w:r>
      <w:fldChar w:fldCharType="begin"/>
    </w:r>
    <w:r>
      <w:rPr>
        <w:rStyle w:val="22"/>
      </w:rPr>
      <w:instrText xml:space="preserve">PAGE  </w:instrText>
    </w:r>
    <w:r>
      <w:fldChar w:fldCharType="separate"/>
    </w:r>
    <w:r>
      <w:rPr>
        <w:rStyle w:val="22"/>
        <w:rFonts w:hint="eastAsia"/>
      </w:rPr>
      <w:t>一</w:t>
    </w:r>
    <w:r>
      <w:rPr>
        <w:rStyle w:val="22"/>
      </w:rPr>
      <w:t>–2</w:t>
    </w:r>
    <w:r>
      <w:fldChar w:fldCharType="end"/>
    </w:r>
  </w:p>
  <w:p>
    <w:pPr>
      <w:pStyle w:val="14"/>
      <w:ind w:right="360" w:firstLine="360"/>
      <w:jc w:val="center"/>
    </w:pPr>
    <w:r>
      <w:rPr>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54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2CB9F"/>
    <w:multiLevelType w:val="singleLevel"/>
    <w:tmpl w:val="E9D2CB9F"/>
    <w:lvl w:ilvl="0" w:tentative="0">
      <w:start w:val="2"/>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2I5YzA0NWQ0MjNmMTZjYTk4NTQ3MTMwNWRiMjAifQ=="/>
  </w:docVars>
  <w:rsids>
    <w:rsidRoot w:val="77F3029C"/>
    <w:rsid w:val="00D5688F"/>
    <w:rsid w:val="02474A19"/>
    <w:rsid w:val="036816ED"/>
    <w:rsid w:val="0632717F"/>
    <w:rsid w:val="066F428A"/>
    <w:rsid w:val="084D31A9"/>
    <w:rsid w:val="09BC1838"/>
    <w:rsid w:val="0C825A90"/>
    <w:rsid w:val="0D692839"/>
    <w:rsid w:val="0E125A2A"/>
    <w:rsid w:val="0EDB32C2"/>
    <w:rsid w:val="10774D14"/>
    <w:rsid w:val="149B4BF8"/>
    <w:rsid w:val="18B35F28"/>
    <w:rsid w:val="1B527002"/>
    <w:rsid w:val="1D8A4831"/>
    <w:rsid w:val="1DF31585"/>
    <w:rsid w:val="22484CBB"/>
    <w:rsid w:val="2CAD5E59"/>
    <w:rsid w:val="2EA51E80"/>
    <w:rsid w:val="32191E0F"/>
    <w:rsid w:val="35C36695"/>
    <w:rsid w:val="38E771FA"/>
    <w:rsid w:val="39E6508D"/>
    <w:rsid w:val="3B8C59D4"/>
    <w:rsid w:val="3BE52603"/>
    <w:rsid w:val="41DB371A"/>
    <w:rsid w:val="42351178"/>
    <w:rsid w:val="42784676"/>
    <w:rsid w:val="51A96C75"/>
    <w:rsid w:val="521600ED"/>
    <w:rsid w:val="56D41F38"/>
    <w:rsid w:val="5850078B"/>
    <w:rsid w:val="58A1351D"/>
    <w:rsid w:val="59ED5BC6"/>
    <w:rsid w:val="600C0AFA"/>
    <w:rsid w:val="63CA66F8"/>
    <w:rsid w:val="645E4A16"/>
    <w:rsid w:val="66A23E6B"/>
    <w:rsid w:val="68A32EB7"/>
    <w:rsid w:val="6F492AAF"/>
    <w:rsid w:val="72724D89"/>
    <w:rsid w:val="769D2054"/>
    <w:rsid w:val="77F3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1"/>
    <w:autoRedefine/>
    <w:qFormat/>
    <w:uiPriority w:val="9"/>
    <w:pPr>
      <w:keepNext/>
      <w:keepLines/>
      <w:spacing w:after="120" w:line="360" w:lineRule="auto"/>
      <w:outlineLvl w:val="0"/>
    </w:pPr>
    <w:rPr>
      <w:rFonts w:ascii="Arial" w:hAnsi="Arial"/>
      <w:b/>
      <w:kern w:val="44"/>
      <w:sz w:val="28"/>
      <w:szCs w:val="28"/>
    </w:rPr>
  </w:style>
  <w:style w:type="paragraph" w:styleId="3">
    <w:name w:val="heading 2"/>
    <w:basedOn w:val="1"/>
    <w:next w:val="1"/>
    <w:autoRedefine/>
    <w:qFormat/>
    <w:uiPriority w:val="0"/>
    <w:pPr>
      <w:keepNext/>
      <w:keepLines/>
      <w:spacing w:before="120" w:after="120" w:line="415" w:lineRule="auto"/>
      <w:jc w:val="center"/>
      <w:outlineLvl w:val="1"/>
    </w:pPr>
    <w:rPr>
      <w:rFonts w:ascii="Arial" w:hAnsi="Arial"/>
      <w:b/>
      <w:sz w:val="24"/>
      <w:szCs w:val="24"/>
    </w:rPr>
  </w:style>
  <w:style w:type="paragraph" w:styleId="4">
    <w:name w:val="heading 3"/>
    <w:basedOn w:val="1"/>
    <w:next w:val="1"/>
    <w:autoRedefine/>
    <w:qFormat/>
    <w:uiPriority w:val="0"/>
    <w:pPr>
      <w:widowControl/>
      <w:spacing w:before="100" w:beforeAutospacing="1" w:after="100" w:afterAutospacing="1"/>
      <w:jc w:val="left"/>
      <w:outlineLvl w:val="2"/>
    </w:pPr>
    <w:rPr>
      <w:rFonts w:ascii="宋体" w:hAnsi="宋体"/>
      <w:kern w:val="0"/>
      <w:sz w:val="27"/>
      <w:szCs w:val="27"/>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rFonts w:ascii="Times New Roman" w:hAnsi="Times New Roman"/>
      <w:szCs w:val="20"/>
    </w:rPr>
  </w:style>
  <w:style w:type="paragraph" w:styleId="6">
    <w:name w:val="annotation text"/>
    <w:basedOn w:val="1"/>
    <w:next w:val="1"/>
    <w:autoRedefine/>
    <w:qFormat/>
    <w:uiPriority w:val="0"/>
    <w:pPr>
      <w:spacing w:line="360" w:lineRule="auto"/>
      <w:ind w:firstLine="523" w:firstLineChars="218"/>
      <w:jc w:val="left"/>
    </w:pPr>
    <w:rPr>
      <w:rFonts w:ascii="宋体" w:hAnsi="宋体"/>
      <w:kern w:val="0"/>
      <w:sz w:val="24"/>
      <w:szCs w:val="24"/>
    </w:rPr>
  </w:style>
  <w:style w:type="paragraph" w:styleId="7">
    <w:name w:val="Body Text 3"/>
    <w:basedOn w:val="1"/>
    <w:autoRedefine/>
    <w:unhideWhenUsed/>
    <w:qFormat/>
    <w:uiPriority w:val="99"/>
    <w:pPr>
      <w:spacing w:after="120"/>
    </w:pPr>
    <w:rPr>
      <w:rFonts w:ascii="Calibri" w:hAnsi="Calibri"/>
      <w:sz w:val="16"/>
      <w:szCs w:val="16"/>
    </w:rPr>
  </w:style>
  <w:style w:type="paragraph" w:styleId="8">
    <w:name w:val="Body Text"/>
    <w:basedOn w:val="1"/>
    <w:next w:val="1"/>
    <w:autoRedefine/>
    <w:qFormat/>
    <w:uiPriority w:val="0"/>
    <w:pPr>
      <w:spacing w:after="120"/>
    </w:pPr>
    <w:rPr>
      <w:kern w:val="0"/>
      <w:sz w:val="20"/>
      <w:szCs w:val="20"/>
    </w:rPr>
  </w:style>
  <w:style w:type="paragraph" w:styleId="9">
    <w:name w:val="Body Text Indent"/>
    <w:basedOn w:val="1"/>
    <w:next w:val="10"/>
    <w:autoRedefine/>
    <w:qFormat/>
    <w:uiPriority w:val="0"/>
    <w:pPr>
      <w:ind w:firstLine="570"/>
    </w:pPr>
    <w:rPr>
      <w:kern w:val="0"/>
      <w:sz w:val="28"/>
      <w:szCs w:val="20"/>
    </w:rPr>
  </w:style>
  <w:style w:type="paragraph" w:styleId="10">
    <w:name w:val="envelope return"/>
    <w:basedOn w:val="1"/>
    <w:autoRedefine/>
    <w:qFormat/>
    <w:uiPriority w:val="0"/>
    <w:pPr>
      <w:snapToGrid w:val="0"/>
    </w:pPr>
    <w:rPr>
      <w:rFonts w:ascii="Arial" w:hAnsi="Arial"/>
      <w:szCs w:val="24"/>
    </w:rPr>
  </w:style>
  <w:style w:type="paragraph" w:styleId="11">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2">
    <w:name w:val="Plain Text"/>
    <w:basedOn w:val="1"/>
    <w:autoRedefine/>
    <w:qFormat/>
    <w:uiPriority w:val="99"/>
    <w:rPr>
      <w:rFonts w:ascii="宋体" w:hAnsi="Courier New"/>
      <w:kern w:val="0"/>
      <w:sz w:val="20"/>
      <w:szCs w:val="20"/>
    </w:rPr>
  </w:style>
  <w:style w:type="paragraph" w:styleId="13">
    <w:name w:val="Date"/>
    <w:basedOn w:val="1"/>
    <w:next w:val="1"/>
    <w:autoRedefine/>
    <w:qFormat/>
    <w:uiPriority w:val="0"/>
    <w:rPr>
      <w:kern w:val="0"/>
      <w:sz w:val="20"/>
      <w:szCs w:val="20"/>
    </w:rPr>
  </w:style>
  <w:style w:type="paragraph" w:styleId="14">
    <w:name w:val="footer"/>
    <w:basedOn w:val="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15">
    <w:name w:val="header"/>
    <w:basedOn w:val="1"/>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7">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18">
    <w:name w:val="Body Text First Indent"/>
    <w:basedOn w:val="8"/>
    <w:autoRedefine/>
    <w:qFormat/>
    <w:uiPriority w:val="0"/>
    <w:pPr>
      <w:ind w:firstLine="420"/>
    </w:pPr>
  </w:style>
  <w:style w:type="paragraph" w:styleId="19">
    <w:name w:val="Body Text First Indent 2"/>
    <w:basedOn w:val="9"/>
    <w:autoRedefine/>
    <w:unhideWhenUsed/>
    <w:qFormat/>
    <w:uiPriority w:val="99"/>
    <w:pPr>
      <w:spacing w:after="120"/>
      <w:ind w:left="420" w:leftChars="200" w:firstLine="420" w:firstLineChars="200"/>
    </w:pPr>
    <w:rPr>
      <w:rFonts w:ascii="Calibri" w:hAnsi="Calibri"/>
      <w:kern w:val="2"/>
      <w:sz w:val="21"/>
      <w:szCs w:val="22"/>
    </w:rPr>
  </w:style>
  <w:style w:type="character" w:styleId="22">
    <w:name w:val="page number"/>
    <w:autoRedefine/>
    <w:qFormat/>
    <w:uiPriority w:val="0"/>
    <w:rPr>
      <w:rFonts w:cs="Times New Roman"/>
    </w:rPr>
  </w:style>
  <w:style w:type="character" w:styleId="23">
    <w:name w:val="Hyperlink"/>
    <w:autoRedefine/>
    <w:qFormat/>
    <w:uiPriority w:val="99"/>
    <w:rPr>
      <w:color w:val="0000FF"/>
      <w:u w:val="single"/>
    </w:rPr>
  </w:style>
  <w:style w:type="character" w:styleId="24">
    <w:name w:val="annotation reference"/>
    <w:autoRedefine/>
    <w:qFormat/>
    <w:uiPriority w:val="0"/>
    <w:rPr>
      <w:sz w:val="21"/>
      <w:szCs w:val="21"/>
    </w:rPr>
  </w:style>
  <w:style w:type="character" w:customStyle="1" w:styleId="25">
    <w:name w:val="NormalCharacter"/>
    <w:autoRedefine/>
    <w:qFormat/>
    <w:uiPriority w:val="0"/>
  </w:style>
  <w:style w:type="paragraph" w:customStyle="1" w:styleId="26">
    <w:name w:val="正文 New New New New New New New New New New New New New"/>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Heading2"/>
    <w:basedOn w:val="1"/>
    <w:next w:val="28"/>
    <w:autoRedefine/>
    <w:qFormat/>
    <w:uiPriority w:val="0"/>
    <w:pPr>
      <w:keepNext/>
      <w:keepLines/>
      <w:spacing w:before="120" w:after="120" w:line="415" w:lineRule="auto"/>
      <w:ind w:left="454"/>
      <w:jc w:val="center"/>
    </w:pPr>
    <w:rPr>
      <w:rFonts w:ascii="Arial" w:hAnsi="Arial"/>
      <w:color w:val="000000"/>
      <w:sz w:val="24"/>
      <w:szCs w:val="24"/>
    </w:rPr>
  </w:style>
  <w:style w:type="paragraph" w:customStyle="1" w:styleId="28">
    <w:name w:val="NormalIndent"/>
    <w:basedOn w:val="1"/>
    <w:autoRedefine/>
    <w:qFormat/>
    <w:uiPriority w:val="0"/>
    <w:pPr>
      <w:ind w:firstLine="420"/>
    </w:pPr>
    <w:rPr>
      <w:rFonts w:ascii="Times New Roman" w:hAnsi="Times New Roman"/>
      <w:szCs w:val="20"/>
    </w:rPr>
  </w:style>
  <w:style w:type="paragraph" w:customStyle="1" w:styleId="29">
    <w:name w:val="BodyText1I"/>
    <w:basedOn w:val="30"/>
    <w:autoRedefine/>
    <w:qFormat/>
    <w:uiPriority w:val="0"/>
    <w:pPr>
      <w:ind w:firstLine="420"/>
    </w:pPr>
  </w:style>
  <w:style w:type="paragraph" w:customStyle="1" w:styleId="30">
    <w:name w:val="BodyText"/>
    <w:basedOn w:val="1"/>
    <w:autoRedefine/>
    <w:qFormat/>
    <w:uiPriority w:val="0"/>
    <w:pPr>
      <w:spacing w:after="120"/>
    </w:pPr>
    <w:rPr>
      <w:rFonts w:ascii="Times New Roman" w:hAnsi="Times New Roman"/>
      <w:kern w:val="0"/>
      <w:sz w:val="20"/>
      <w:szCs w:val="20"/>
    </w:rPr>
  </w:style>
  <w:style w:type="paragraph" w:customStyle="1" w:styleId="31">
    <w:name w:val="样式 宋体 行距: 1.5 倍行距"/>
    <w:basedOn w:val="1"/>
    <w:autoRedefine/>
    <w:qFormat/>
    <w:uiPriority w:val="0"/>
    <w:pPr>
      <w:jc w:val="center"/>
    </w:pPr>
    <w:rPr>
      <w:b/>
    </w:rPr>
  </w:style>
  <w:style w:type="paragraph" w:customStyle="1" w:styleId="32">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33">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4">
    <w:name w:val="s2"/>
    <w:autoRedefine/>
    <w:qFormat/>
    <w:uiPriority w:val="0"/>
  </w:style>
  <w:style w:type="paragraph" w:customStyle="1" w:styleId="35">
    <w:name w:val="PlainText"/>
    <w:basedOn w:val="1"/>
    <w:autoRedefine/>
    <w:qFormat/>
    <w:uiPriority w:val="0"/>
    <w:pPr>
      <w:textAlignment w:val="baseline"/>
    </w:pPr>
    <w:rPr>
      <w:rFonts w:ascii="宋体" w:hAnsi="Courier New" w:cs="Calibri"/>
      <w:color w:val="000000"/>
      <w:kern w:val="0"/>
      <w:sz w:val="20"/>
      <w:szCs w:val="20"/>
    </w:rPr>
  </w:style>
  <w:style w:type="paragraph" w:customStyle="1" w:styleId="36">
    <w:name w:val="文一"/>
    <w:basedOn w:val="1"/>
    <w:autoRedefine/>
    <w:qFormat/>
    <w:uiPriority w:val="0"/>
    <w:pPr>
      <w:widowControl w:val="0"/>
      <w:topLinePunct/>
      <w:adjustRightInd w:val="0"/>
      <w:snapToGrid w:val="0"/>
      <w:spacing w:line="360" w:lineRule="auto"/>
      <w:ind w:firstLine="200" w:firstLineChars="200"/>
      <w:textAlignment w:val="auto"/>
    </w:pPr>
    <w:rPr>
      <w:rFonts w:ascii="等线" w:eastAsia="等线"/>
      <w:spacing w:val="4"/>
      <w:kern w:val="0"/>
      <w:sz w:val="24"/>
      <w:szCs w:val="24"/>
    </w:rPr>
  </w:style>
  <w:style w:type="paragraph" w:customStyle="1" w:styleId="37">
    <w:name w:val="正题"/>
    <w:basedOn w:val="36"/>
    <w:next w:val="36"/>
    <w:autoRedefine/>
    <w:qFormat/>
    <w:uiPriority w:val="0"/>
    <w:pPr>
      <w:ind w:firstLine="0" w:firstLineChars="0"/>
      <w:jc w:val="center"/>
    </w:pPr>
    <w:rPr>
      <w:rFonts w:eastAsia="黑体"/>
      <w:b/>
      <w:sz w:val="36"/>
      <w:szCs w:val="36"/>
    </w:rPr>
  </w:style>
  <w:style w:type="paragraph" w:customStyle="1" w:styleId="38">
    <w:name w:val="UserStyle_57"/>
    <w:basedOn w:val="1"/>
    <w:autoRedefine/>
    <w:qFormat/>
    <w:uiPriority w:val="0"/>
    <w:pPr>
      <w:topLinePunct/>
      <w:snapToGrid w:val="0"/>
      <w:spacing w:line="360" w:lineRule="auto"/>
      <w:ind w:firstLine="200" w:firstLineChars="200"/>
    </w:pPr>
    <w:rPr>
      <w:spacing w:val="4"/>
      <w:kern w:val="0"/>
      <w:sz w:val="24"/>
      <w:szCs w:val="24"/>
    </w:rPr>
  </w:style>
  <w:style w:type="paragraph" w:customStyle="1" w:styleId="39">
    <w:name w:val="封二"/>
    <w:basedOn w:val="36"/>
    <w:next w:val="36"/>
    <w:autoRedefine/>
    <w:qFormat/>
    <w:uiPriority w:val="0"/>
    <w:pPr>
      <w:ind w:firstLine="0" w:firstLineChars="0"/>
      <w:jc w:val="center"/>
    </w:pPr>
    <w:rPr>
      <w:rFonts w:eastAsia="黑体"/>
      <w:b/>
      <w:sz w:val="36"/>
      <w:szCs w:val="36"/>
    </w:rPr>
  </w:style>
  <w:style w:type="paragraph" w:customStyle="1" w:styleId="40">
    <w:name w:val="UserStyle_64"/>
    <w:basedOn w:val="1"/>
    <w:next w:val="1"/>
    <w:autoRedefine/>
    <w:qFormat/>
    <w:uiPriority w:val="0"/>
    <w:pPr>
      <w:topLinePunct/>
      <w:snapToGrid w:val="0"/>
      <w:jc w:val="left"/>
    </w:pPr>
    <w:rPr>
      <w:rFonts w:ascii="黑体" w:hAnsi="宋体" w:eastAsia="黑体"/>
      <w:spacing w:val="4"/>
      <w:kern w:val="0"/>
      <w:sz w:val="24"/>
      <w:szCs w:val="24"/>
    </w:rPr>
  </w:style>
  <w:style w:type="character" w:customStyle="1" w:styleId="41">
    <w:name w:val="标题 1 Char"/>
    <w:link w:val="2"/>
    <w:autoRedefine/>
    <w:qFormat/>
    <w:uiPriority w:val="9"/>
    <w:rPr>
      <w:rFonts w:ascii="Arial" w:hAnsi="Arial"/>
      <w:b/>
      <w:kern w:val="44"/>
      <w:sz w:val="28"/>
      <w:szCs w:val="28"/>
    </w:rPr>
  </w:style>
  <w:style w:type="paragraph" w:customStyle="1" w:styleId="42">
    <w:name w:val="UserStyle_63"/>
    <w:basedOn w:val="1"/>
    <w:next w:val="1"/>
    <w:autoRedefine/>
    <w:qFormat/>
    <w:uiPriority w:val="0"/>
    <w:pPr>
      <w:topLinePunct/>
      <w:snapToGrid w:val="0"/>
      <w:jc w:val="center"/>
    </w:pPr>
    <w:rPr>
      <w:rFonts w:ascii="Times New Roman" w:hAnsi="Times New Roman" w:eastAsia="黑体"/>
      <w:spacing w:val="4"/>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49863</Words>
  <Characters>52736</Characters>
  <Lines>0</Lines>
  <Paragraphs>0</Paragraphs>
  <TotalTime>3</TotalTime>
  <ScaleCrop>false</ScaleCrop>
  <LinksUpToDate>false</LinksUpToDate>
  <CharactersWithSpaces>54702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2024-01-19T07:40:00Z</dcterms:created>
  <dc:creator>广东</dc:creator>
  <cp:lastModifiedBy>广东</cp:lastModifiedBy>
  <dcterms:modified xsi:type="dcterms:W3CDTF">2024-02-05T07:54:12Z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7B2C88E0D9E9443F90AEC4AEA801B263_11</vt:lpwstr>
  </property>
</Properties>
</file>