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360" w:lineRule="auto"/>
        <w:ind w:right="-376" w:rightChars="-179"/>
        <w:rPr>
          <w:rFonts w:hint="default" w:ascii="Times New Roman" w:hAnsi="Times New Roman" w:cs="Times New Roman"/>
          <w:color w:val="auto"/>
          <w:highlight w:val="none"/>
        </w:rPr>
      </w:pPr>
      <w:bookmarkStart w:id="0" w:name="_Toc101777645"/>
      <w:bookmarkStart w:id="1" w:name="_Toc85854822"/>
    </w:p>
    <w:p>
      <w:pPr>
        <w:widowControl/>
        <w:spacing w:after="200" w:line="360" w:lineRule="auto"/>
        <w:ind w:right="-376" w:rightChars="-179"/>
        <w:jc w:val="center"/>
        <w:rPr>
          <w:rFonts w:hint="default" w:ascii="Times New Roman" w:hAnsi="Times New Roman" w:cs="Times New Roman"/>
          <w:b/>
          <w:bCs/>
          <w:color w:val="auto"/>
          <w:kern w:val="0"/>
          <w:sz w:val="36"/>
          <w:szCs w:val="36"/>
          <w:highlight w:val="none"/>
        </w:rPr>
      </w:pPr>
    </w:p>
    <w:p>
      <w:pPr>
        <w:widowControl/>
        <w:spacing w:after="200" w:line="360" w:lineRule="auto"/>
        <w:ind w:right="-376" w:rightChars="-179"/>
        <w:jc w:val="center"/>
        <w:rPr>
          <w:rFonts w:hint="default" w:ascii="Times New Roman" w:hAnsi="Times New Roman" w:cs="Times New Roman"/>
          <w:b/>
          <w:bCs/>
          <w:color w:val="auto"/>
          <w:kern w:val="0"/>
          <w:sz w:val="36"/>
          <w:szCs w:val="36"/>
          <w:highlight w:val="none"/>
        </w:rPr>
      </w:pPr>
    </w:p>
    <w:p>
      <w:pPr>
        <w:spacing w:line="360" w:lineRule="auto"/>
        <w:ind w:right="-376" w:rightChars="-179"/>
        <w:jc w:val="center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</w:p>
    <w:p>
      <w:pPr>
        <w:spacing w:line="360" w:lineRule="auto"/>
        <w:ind w:right="-376" w:rightChars="-179"/>
        <w:jc w:val="center"/>
        <w:rPr>
          <w:rFonts w:hint="default" w:ascii="Times New Roman" w:hAnsi="Times New Roman" w:cs="Times New Roman"/>
          <w:color w:val="auto"/>
          <w:sz w:val="84"/>
          <w:szCs w:val="84"/>
          <w:highlight w:val="none"/>
        </w:rPr>
      </w:pPr>
    </w:p>
    <w:p>
      <w:pPr>
        <w:spacing w:line="360" w:lineRule="auto"/>
        <w:ind w:right="-376" w:rightChars="-179"/>
        <w:jc w:val="center"/>
        <w:rPr>
          <w:rFonts w:hint="default" w:ascii="Times New Roman" w:hAnsi="Times New Roman" w:cs="Times New Roman"/>
          <w:color w:val="auto"/>
          <w:sz w:val="84"/>
          <w:szCs w:val="84"/>
          <w:highlight w:val="none"/>
        </w:rPr>
      </w:pPr>
      <w:r>
        <w:rPr>
          <w:rFonts w:hint="default" w:ascii="Times New Roman" w:hAnsi="Times New Roman" w:cs="Times New Roman"/>
          <w:color w:val="auto"/>
          <w:sz w:val="84"/>
          <w:szCs w:val="84"/>
          <w:highlight w:val="none"/>
        </w:rPr>
        <w:t>设计任务书</w:t>
      </w:r>
    </w:p>
    <w:p>
      <w:pPr>
        <w:spacing w:line="360" w:lineRule="auto"/>
        <w:ind w:right="-376" w:rightChars="-179"/>
        <w:jc w:val="center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</w:p>
    <w:p>
      <w:pPr>
        <w:spacing w:line="360" w:lineRule="auto"/>
        <w:ind w:right="-376" w:rightChars="-179"/>
        <w:jc w:val="center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</w:p>
    <w:p>
      <w:pPr>
        <w:pStyle w:val="4"/>
        <w:rPr>
          <w:rFonts w:hint="default"/>
          <w:highlight w:val="none"/>
        </w:rPr>
      </w:pPr>
    </w:p>
    <w:p>
      <w:pPr>
        <w:spacing w:line="360" w:lineRule="auto"/>
        <w:ind w:right="-376" w:rightChars="-179"/>
        <w:jc w:val="center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</w:p>
    <w:p>
      <w:pPr>
        <w:spacing w:line="360" w:lineRule="auto"/>
        <w:ind w:right="-376" w:rightChars="-179"/>
        <w:jc w:val="center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</w:p>
    <w:p>
      <w:pPr>
        <w:spacing w:line="360" w:lineRule="auto"/>
        <w:ind w:right="-376" w:rightChars="-179"/>
        <w:jc w:val="center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</w:p>
    <w:p>
      <w:pPr>
        <w:spacing w:line="360" w:lineRule="auto"/>
        <w:ind w:right="-376" w:rightChars="-179"/>
        <w:jc w:val="center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</w:p>
    <w:p>
      <w:pPr>
        <w:spacing w:line="360" w:lineRule="auto"/>
        <w:ind w:right="-376" w:rightChars="-179"/>
        <w:jc w:val="center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</w:p>
    <w:p>
      <w:pPr>
        <w:spacing w:line="360" w:lineRule="auto"/>
        <w:ind w:right="-376" w:rightChars="-179"/>
        <w:jc w:val="center"/>
        <w:rPr>
          <w:rFonts w:hint="default" w:ascii="Times New Roman" w:hAnsi="Times New Roman" w:cs="Times New Roman"/>
          <w:b/>
          <w:color w:val="auto"/>
          <w:sz w:val="48"/>
          <w:szCs w:val="48"/>
          <w:highlight w:val="none"/>
        </w:rPr>
      </w:pPr>
    </w:p>
    <w:p>
      <w:pPr>
        <w:pageBreakBefore/>
        <w:adjustRightInd w:val="0"/>
        <w:snapToGrid w:val="0"/>
        <w:spacing w:line="360" w:lineRule="auto"/>
        <w:ind w:right="-376" w:rightChars="-179" w:firstLine="562" w:firstLineChars="200"/>
        <w:rPr>
          <w:rFonts w:hint="default" w:ascii="Times New Roman" w:hAnsi="Times New Roman" w:cs="Times New Roman"/>
          <w:b/>
          <w:color w:val="auto"/>
          <w:sz w:val="28"/>
          <w:szCs w:val="21"/>
          <w:highlight w:val="none"/>
        </w:rPr>
        <w:sectPr>
          <w:footerReference r:id="rId3" w:type="default"/>
          <w:footerReference r:id="rId4" w:type="even"/>
          <w:pgSz w:w="11905" w:h="16838"/>
          <w:pgMar w:top="1440" w:right="1800" w:bottom="1440" w:left="1800" w:header="851" w:footer="907" w:gutter="283"/>
          <w:cols w:space="720" w:num="1"/>
          <w:docGrid w:linePitch="312" w:charSpace="0"/>
        </w:sectPr>
      </w:pPr>
    </w:p>
    <w:p>
      <w:pPr>
        <w:keepNext w:val="0"/>
        <w:keepLines w:val="0"/>
        <w:pageBreakBefore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2" w:firstLineChars="200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1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1"/>
          <w:highlight w:val="none"/>
          <w:lang w:val="en-US" w:eastAsia="zh-CN"/>
        </w:rPr>
        <w:t>一、</w:t>
      </w:r>
      <w:r>
        <w:rPr>
          <w:rFonts w:hint="default" w:ascii="Times New Roman" w:hAnsi="Times New Roman" w:cs="Times New Roman"/>
          <w:b/>
          <w:color w:val="auto"/>
          <w:sz w:val="28"/>
          <w:szCs w:val="21"/>
          <w:highlight w:val="none"/>
        </w:rPr>
        <w:t>项目概况</w:t>
      </w:r>
    </w:p>
    <w:p>
      <w:pPr>
        <w:pStyle w:val="6"/>
        <w:bidi w:val="0"/>
        <w:ind w:firstLine="539"/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cs="Times New Roman"/>
          <w:color w:val="auto"/>
          <w:sz w:val="24"/>
          <w:szCs w:val="32"/>
          <w:highlight w:val="none"/>
          <w:lang w:val="en-US" w:eastAsia="zh-CN"/>
        </w:rPr>
        <w:t>根据</w:t>
      </w:r>
      <w:r>
        <w:rPr>
          <w:rFonts w:hint="eastAsia" w:ascii="宋体" w:hAnsi="宋体" w:cs="宋体"/>
          <w:sz w:val="24"/>
          <w:u w:val="single"/>
        </w:rPr>
        <w:t>《广州市越秀区发展和改革局关于“海上丝绸之路”·印象越秀国家AAAA旅游区配套基础设施建设项目可行性研究报告的复函》（穗越发改投批〔2023〕11号）</w:t>
      </w:r>
      <w:r>
        <w:rPr>
          <w:rFonts w:hint="eastAsia" w:ascii="宋体" w:hAnsi="宋体" w:cs="宋体"/>
          <w:sz w:val="24"/>
          <w:u w:val="single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东濠涌西濠涌驷马涌流域排水单元达标创建工程</w:t>
      </w:r>
      <w:r>
        <w:rPr>
          <w:rFonts w:hint="eastAsia" w:cs="Times New Roman"/>
          <w:color w:val="auto"/>
          <w:sz w:val="24"/>
          <w:szCs w:val="32"/>
          <w:highlight w:val="none"/>
          <w:lang w:val="en-US" w:eastAsia="zh-CN"/>
        </w:rPr>
        <w:t>属于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其中</w:t>
      </w:r>
      <w:r>
        <w:rPr>
          <w:rFonts w:hint="eastAsia" w:cs="Times New Roman"/>
          <w:color w:val="auto"/>
          <w:sz w:val="24"/>
          <w:szCs w:val="32"/>
          <w:highlight w:val="none"/>
          <w:lang w:val="en-US" w:eastAsia="zh-CN"/>
        </w:rPr>
        <w:t>子项之一</w:t>
      </w:r>
      <w:r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，为落实工作要求，开展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东濠涌西濠涌驷马涌流域排水单元达标创建工程</w:t>
      </w:r>
      <w:r>
        <w:rPr>
          <w:rFonts w:hint="eastAsia" w:cs="Times New Roman"/>
          <w:color w:val="auto"/>
          <w:sz w:val="24"/>
          <w:szCs w:val="32"/>
          <w:highlight w:val="none"/>
          <w:lang w:val="en-US" w:eastAsia="zh-CN"/>
        </w:rPr>
        <w:t>设计</w:t>
      </w:r>
      <w:r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工作。</w:t>
      </w:r>
    </w:p>
    <w:p>
      <w:pPr>
        <w:pStyle w:val="6"/>
        <w:bidi w:val="0"/>
        <w:ind w:firstLine="539"/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</w:pPr>
    </w:p>
    <w:p>
      <w:pPr>
        <w:pStyle w:val="4"/>
        <w:numPr>
          <w:ilvl w:val="0"/>
          <w:numId w:val="0"/>
        </w:numPr>
        <w:spacing w:line="360" w:lineRule="auto"/>
        <w:ind w:right="-376" w:rightChars="-179" w:firstLine="562" w:firstLineChars="200"/>
        <w:rPr>
          <w:rFonts w:hint="default" w:ascii="Times New Roman" w:hAnsi="Times New Roman" w:cs="Times New Roman"/>
          <w:b/>
          <w:bCs/>
          <w:color w:val="auto"/>
          <w:sz w:val="28"/>
          <w:szCs w:val="36"/>
          <w:highlight w:val="none"/>
        </w:rPr>
      </w:pPr>
      <w:r>
        <w:rPr>
          <w:rFonts w:hint="eastAsia" w:cs="Times New Roman"/>
          <w:b/>
          <w:bCs/>
          <w:color w:val="auto"/>
          <w:sz w:val="28"/>
          <w:szCs w:val="36"/>
          <w:highlight w:val="none"/>
          <w:lang w:val="en-US" w:eastAsia="zh-CN"/>
        </w:rPr>
        <w:t>二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36"/>
          <w:highlight w:val="none"/>
        </w:rPr>
        <w:t>、工程范围</w:t>
      </w:r>
    </w:p>
    <w:p>
      <w:pPr>
        <w:pStyle w:val="6"/>
        <w:bidi w:val="0"/>
        <w:ind w:firstLine="539"/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本项目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建设范围</w:t>
      </w:r>
      <w:r>
        <w:rPr>
          <w:rFonts w:hint="eastAsia" w:cs="Times New Roman"/>
          <w:color w:val="auto"/>
          <w:sz w:val="24"/>
          <w:szCs w:val="32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>广州市越秀区</w:t>
      </w:r>
      <w:r>
        <w:rPr>
          <w:rFonts w:hint="eastAsia" w:ascii="宋体" w:hAnsi="宋体" w:cs="宋体"/>
          <w:sz w:val="24"/>
          <w:u w:val="single"/>
        </w:rPr>
        <w:t>东濠涌</w:t>
      </w:r>
      <w:r>
        <w:rPr>
          <w:rFonts w:hint="eastAsia" w:ascii="宋体" w:hAnsi="宋体" w:cs="宋体"/>
          <w:sz w:val="24"/>
          <w:u w:val="single"/>
          <w:lang w:eastAsia="zh-CN"/>
        </w:rPr>
        <w:t>、</w:t>
      </w:r>
      <w:r>
        <w:rPr>
          <w:rFonts w:hint="eastAsia" w:ascii="宋体" w:hAnsi="宋体" w:cs="宋体"/>
          <w:sz w:val="24"/>
          <w:u w:val="single"/>
        </w:rPr>
        <w:t>西濠涌</w:t>
      </w:r>
      <w:r>
        <w:rPr>
          <w:rFonts w:hint="eastAsia" w:ascii="宋体" w:hAnsi="宋体" w:cs="宋体"/>
          <w:sz w:val="24"/>
          <w:u w:val="single"/>
          <w:lang w:eastAsia="zh-CN"/>
        </w:rPr>
        <w:t>、</w:t>
      </w:r>
      <w:r>
        <w:rPr>
          <w:rFonts w:hint="eastAsia" w:ascii="宋体" w:hAnsi="宋体" w:cs="宋体"/>
          <w:sz w:val="24"/>
          <w:u w:val="single"/>
        </w:rPr>
        <w:t>驷马涌流域</w:t>
      </w:r>
      <w:r>
        <w:rPr>
          <w:rFonts w:hint="eastAsia" w:ascii="宋体" w:hAnsi="宋体" w:cs="宋体"/>
          <w:sz w:val="24"/>
          <w:u w:val="single"/>
          <w:lang w:eastAsia="zh-CN"/>
        </w:rPr>
        <w:t>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涉及六榕街、光塔街、流花街、北京街、洪桥街</w:t>
      </w:r>
      <w:r>
        <w:rPr>
          <w:rFonts w:hint="eastAsia" w:ascii="宋体" w:hAnsi="宋体" w:cs="宋体"/>
          <w:sz w:val="24"/>
          <w:u w:val="single"/>
          <w:lang w:eastAsia="zh-CN"/>
        </w:rPr>
        <w:t>）。</w:t>
      </w:r>
    </w:p>
    <w:p>
      <w:pPr>
        <w:spacing w:line="360" w:lineRule="auto"/>
        <w:ind w:firstLine="480" w:firstLineChars="200"/>
        <w:jc w:val="both"/>
        <w:rPr>
          <w:color w:val="auto"/>
          <w:sz w:val="24"/>
          <w:szCs w:val="24"/>
          <w:u w:val="singl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工程内容：</w:t>
      </w:r>
      <w:r>
        <w:rPr>
          <w:rFonts w:hint="eastAsia" w:ascii="宋体" w:hAnsi="宋体" w:cs="宋体"/>
          <w:sz w:val="24"/>
          <w:lang w:val="en-US" w:eastAsia="zh-CN"/>
        </w:rPr>
        <w:t>对六榕街、光塔街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、流花街、北京街、洪桥街部分排水单元改造，涉及面积约324446m</w:t>
      </w:r>
      <w:r>
        <w:rPr>
          <w:rFonts w:hint="eastAsia" w:ascii="宋体" w:hAnsi="宋体" w:cs="宋体"/>
          <w:color w:val="auto"/>
          <w:sz w:val="24"/>
          <w:vertAlign w:val="superscript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，共71个排水单元，主要包括对排水、排污管改造，管径DN100~d600，完成建设范围内雨污分流改造等。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>（具体详见任务书、可行性研究报告</w:t>
      </w:r>
      <w:r>
        <w:rPr>
          <w:rFonts w:hint="eastAsia"/>
          <w:color w:val="auto"/>
          <w:sz w:val="24"/>
          <w:szCs w:val="24"/>
          <w:u w:val="single"/>
          <w:lang w:eastAsia="zh-CN"/>
        </w:rPr>
        <w:t>等相关文件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>内容</w:t>
      </w:r>
      <w:r>
        <w:rPr>
          <w:rFonts w:hint="eastAsia"/>
          <w:color w:val="auto"/>
          <w:sz w:val="24"/>
          <w:szCs w:val="24"/>
          <w:u w:val="single"/>
          <w:lang w:eastAsia="zh-CN"/>
        </w:rPr>
        <w:t>为准。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>）</w:t>
      </w:r>
    </w:p>
    <w:p>
      <w:pPr>
        <w:pStyle w:val="6"/>
        <w:bidi w:val="0"/>
        <w:ind w:firstLine="539"/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</w:pPr>
    </w:p>
    <w:p>
      <w:pPr>
        <w:pStyle w:val="6"/>
        <w:bidi w:val="0"/>
        <w:rPr>
          <w:rFonts w:hint="eastAsia"/>
          <w:highlight w:val="none"/>
          <w:lang w:val="en-US" w:eastAsia="zh-CN"/>
        </w:rPr>
      </w:pPr>
    </w:p>
    <w:p>
      <w:pPr>
        <w:adjustRightInd w:val="0"/>
        <w:snapToGrid w:val="0"/>
        <w:spacing w:line="360" w:lineRule="auto"/>
        <w:ind w:right="-376" w:rightChars="-179" w:firstLine="562" w:firstLineChars="200"/>
        <w:rPr>
          <w:rFonts w:hint="default" w:ascii="Times New Roman" w:hAnsi="Times New Roman" w:cs="Times New Roman"/>
          <w:b/>
          <w:color w:val="000000" w:themeColor="text1"/>
          <w:sz w:val="28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color w:val="000000" w:themeColor="text1"/>
          <w:sz w:val="28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cs="Times New Roman"/>
          <w:b/>
          <w:color w:val="000000" w:themeColor="text1"/>
          <w:sz w:val="28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1"/>
          <w:highlight w:val="none"/>
          <w14:textFill>
            <w14:solidFill>
              <w14:schemeClr w14:val="tx1"/>
            </w14:solidFill>
          </w14:textFill>
        </w:rPr>
        <w:t>内容</w:t>
      </w:r>
    </w:p>
    <w:p>
      <w:pPr>
        <w:pStyle w:val="6"/>
        <w:numPr>
          <w:ilvl w:val="0"/>
          <w:numId w:val="2"/>
        </w:numPr>
        <w:bidi w:val="0"/>
        <w:ind w:left="0" w:leftChars="0" w:firstLine="500" w:firstLineChars="200"/>
        <w:rPr>
          <w:rFonts w:hint="default" w:ascii="Times New Roman" w:hAnsi="Times New Roman" w:eastAsia="宋体" w:cs="Times New Roman"/>
          <w:color w:val="000000" w:themeColor="text1"/>
          <w:sz w:val="24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应满足可行性研究报告批复的要求，符合国家、地方或行业现行的相关标准及规范要求。</w:t>
      </w:r>
    </w:p>
    <w:p>
      <w:pPr>
        <w:pStyle w:val="6"/>
        <w:numPr>
          <w:ilvl w:val="0"/>
          <w:numId w:val="2"/>
        </w:numPr>
        <w:bidi w:val="0"/>
        <w:ind w:left="0" w:leftChars="0" w:firstLine="500" w:firstLineChars="200"/>
        <w:rPr>
          <w:rFonts w:hint="default" w:ascii="Times New Roman" w:hAnsi="Times New Roman" w:eastAsia="宋体" w:cs="Times New Roman"/>
          <w:color w:val="000000" w:themeColor="text1"/>
          <w:sz w:val="24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4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方案设计、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方案修改、初步设计、编制工程概算。</w:t>
      </w:r>
    </w:p>
    <w:p>
      <w:pPr>
        <w:pStyle w:val="6"/>
        <w:numPr>
          <w:ilvl w:val="0"/>
          <w:numId w:val="2"/>
        </w:numPr>
        <w:bidi w:val="0"/>
        <w:ind w:left="0" w:leftChars="0" w:firstLine="500" w:firstLineChars="200"/>
        <w:rPr>
          <w:rFonts w:hint="default" w:ascii="Times New Roman" w:hAnsi="Times New Roman" w:eastAsia="宋体" w:cs="Times New Roman"/>
          <w:color w:val="000000" w:themeColor="text1"/>
          <w:sz w:val="24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其他（编制工程量清单、设备材料技术要求及技术规范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等服务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）。</w:t>
      </w:r>
    </w:p>
    <w:p>
      <w:pPr>
        <w:adjustRightInd w:val="0"/>
        <w:snapToGrid w:val="0"/>
        <w:spacing w:line="360" w:lineRule="auto"/>
        <w:ind w:right="-376" w:rightChars="-179" w:firstLine="562" w:firstLineChars="200"/>
        <w:outlineLvl w:val="0"/>
        <w:rPr>
          <w:rFonts w:hint="default" w:ascii="Times New Roman" w:hAnsi="Times New Roman" w:cs="Times New Roman"/>
          <w:b/>
          <w:color w:val="000000" w:themeColor="text1"/>
          <w:sz w:val="28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color w:val="000000" w:themeColor="text1"/>
          <w:sz w:val="28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1"/>
          <w:highlight w:val="none"/>
          <w14:textFill>
            <w14:solidFill>
              <w14:schemeClr w14:val="tx1"/>
            </w14:solidFill>
          </w14:textFill>
        </w:rPr>
        <w:t>、设计依据及基础资料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2" w:firstLineChars="200"/>
        <w:textAlignment w:val="auto"/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国家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广东省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和广州市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的相关法律法规</w:t>
      </w:r>
      <w:r>
        <w:rPr>
          <w:rFonts w:hint="eastAsia" w:cs="Times New Roman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及规划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《广州市污水系统总体规划（2021-2035）》（在编）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《广州市中心城区排水系统控制性详细规划（2015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2030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）》 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《广州市地下工程安全设计导则（试行）》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  <w:t>危险性较大的分部分项工程安全管理规定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  <w:t>》（住建部令2018年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  <w:t>第37号）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2" w:firstLineChars="200"/>
        <w:textAlignment w:val="auto"/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参考标准包括但不限于以下所列项目：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《室外给水设计标准》GB50013-2018）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《室外排水设计标准》（GB 50014-2021）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《城市排水工程规划规范》（GB 50318-2017）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《盾构隧道工程设计标准》（GB/T51438-2021）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《顶管技术规程》（DBJ/T 15-106-2015）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《给水排水管道工程施工及验收规范》（GB 50268-2008）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《工业金属管道工程施工规范》（GB 50235-2010）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《工业金属管道工程施工质量验收规范》（GB 50184-2011）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《工程建设标准强制性条文》（城镇建设部分）（2013年版）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《城市污水处理工程项目建设标准》（建标[2001]77号）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《防洪标准》（GB 50201-2014）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《建筑抗震设计规范》(GB50011）（2016年版）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《建筑抗震设防分类标准》（GB 50223-2008）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《混凝土和钢筋混凝土排水管》（GB/T 11836-2009）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《低压流体输送用焊接钢管》（GB/T 3091-2015）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《顶进施工法用钢筋混凝土排水管》（JC/T 640-2010）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《给水排水工程顶管技术规程》（CECS 246:2008）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《涂装前钢材表面锈蚀等级和除锈等级》（GB/T 8923.1-2011）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《城市工程管线综合规划规范》（GB 50289-2016）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《给排水工程顶管技术规程》（CECS 246:2008）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《给排水工程钢筋混凝土沉井结构设计规程》（CECS 137-2015）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《给水排水管道工程施工及验收规范》（GB 50268-2008）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建筑基坑支护技术规程》（JGJ120-2012）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《城市轨道交通既有结构保护技术规范》（DBJ/T 15-120-2017）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建筑基坑工程监测技术标准》（GB 50497-2019）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《城市排水管道维护安全技术规程》（CJJ6-2009）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《城市桥梁隧道结构安全保护技术规范》（DBJ/T 15-213-2021）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轨道交通运营隧道结构安全评估技术规范》（DBJ/T 15-205-2020）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2" w:firstLineChars="200"/>
        <w:textAlignment w:val="auto"/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设计原则</w:t>
      </w:r>
    </w:p>
    <w:p>
      <w:pPr>
        <w:pStyle w:val="17"/>
        <w:adjustRightInd w:val="0"/>
        <w:snapToGrid w:val="0"/>
        <w:spacing w:line="360" w:lineRule="auto"/>
        <w:ind w:left="0" w:leftChars="0" w:right="-376" w:rightChars="-179" w:firstLine="480" w:firstLineChars="200"/>
        <w:rPr>
          <w:rFonts w:hint="default"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以招标文件为依据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7"/>
        <w:adjustRightInd w:val="0"/>
        <w:snapToGrid w:val="0"/>
        <w:spacing w:line="360" w:lineRule="auto"/>
        <w:ind w:left="0" w:leftChars="0" w:right="-376" w:rightChars="-179" w:firstLine="480" w:firstLineChars="200"/>
        <w:rPr>
          <w:rFonts w:hint="default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符合国家、省、市相关规范和标准的技术要求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7"/>
        <w:adjustRightInd w:val="0"/>
        <w:snapToGrid w:val="0"/>
        <w:spacing w:line="360" w:lineRule="auto"/>
        <w:ind w:left="0" w:leftChars="0" w:right="-376" w:rightChars="-179" w:firstLine="480" w:firstLineChars="200"/>
        <w:rPr>
          <w:rFonts w:hint="default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遵从相关规划的要求，并留有适当的发展余地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7"/>
        <w:adjustRightInd w:val="0"/>
        <w:snapToGrid w:val="0"/>
        <w:spacing w:line="360" w:lineRule="auto"/>
        <w:ind w:left="0" w:leftChars="0" w:right="-376" w:rightChars="-179" w:firstLine="480" w:firstLineChars="200"/>
        <w:rPr>
          <w:rFonts w:hint="default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坚持问题导向，确定工程目标和目的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7"/>
        <w:adjustRightInd w:val="0"/>
        <w:snapToGrid w:val="0"/>
        <w:spacing w:line="360" w:lineRule="auto"/>
        <w:ind w:left="0" w:leftChars="0" w:right="-376" w:rightChars="-179" w:firstLine="480" w:firstLineChars="200"/>
        <w:rPr>
          <w:rFonts w:hint="default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系统分析存在问题，并制定系统解决方案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7"/>
        <w:adjustRightInd w:val="0"/>
        <w:snapToGrid w:val="0"/>
        <w:spacing w:line="360" w:lineRule="auto"/>
        <w:ind w:left="0" w:leftChars="0" w:right="-376" w:rightChars="-179" w:firstLine="480" w:firstLineChars="200"/>
        <w:rPr>
          <w:rFonts w:hint="default" w:ascii="Times New Roman" w:hAnsi="Times New Roman" w:eastAsia="宋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因地制宜的合理确定改造和新建工程内容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7"/>
        <w:adjustRightInd w:val="0"/>
        <w:snapToGrid w:val="0"/>
        <w:spacing w:line="360" w:lineRule="auto"/>
        <w:ind w:left="0" w:leftChars="0" w:right="-376" w:rightChars="-179" w:firstLine="480" w:firstLineChars="200"/>
        <w:rPr>
          <w:rFonts w:hint="default"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在细致摸查和调研论证的基础上，确保方案的可实施性，节约投资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7"/>
        <w:adjustRightInd w:val="0"/>
        <w:snapToGrid w:val="0"/>
        <w:spacing w:line="360" w:lineRule="auto"/>
        <w:ind w:left="0" w:leftChars="0" w:right="-376" w:rightChars="-179" w:firstLine="480" w:firstLineChars="200"/>
        <w:rPr>
          <w:rFonts w:hint="default" w:ascii="Times New Roman" w:hAnsi="Times New Roman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2" w:firstLineChars="200"/>
        <w:textAlignment w:val="auto"/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设计具体要求</w:t>
      </w:r>
    </w:p>
    <w:p>
      <w:pPr>
        <w:pStyle w:val="17"/>
        <w:adjustRightInd w:val="0"/>
        <w:snapToGrid w:val="0"/>
        <w:spacing w:line="360" w:lineRule="auto"/>
        <w:ind w:right="-376" w:rightChars="-179" w:firstLine="480" w:firstLineChars="200"/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（1） 现状资料整合分析</w:t>
      </w:r>
    </w:p>
    <w:p>
      <w:pPr>
        <w:pStyle w:val="17"/>
        <w:adjustRightInd w:val="0"/>
        <w:snapToGrid w:val="0"/>
        <w:spacing w:line="360" w:lineRule="auto"/>
        <w:ind w:right="-376" w:rightChars="-179" w:firstLine="480" w:firstLineChars="200"/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收集整理现状管网等资料综合分析。</w:t>
      </w:r>
    </w:p>
    <w:p>
      <w:pPr>
        <w:pStyle w:val="17"/>
        <w:adjustRightInd w:val="0"/>
        <w:snapToGrid w:val="0"/>
        <w:spacing w:line="360" w:lineRule="auto"/>
        <w:ind w:right="-376" w:rightChars="-179" w:firstLine="480" w:firstLineChars="200"/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（2） </w:t>
      </w:r>
      <w:r>
        <w:rPr>
          <w:rFonts w:hint="eastAsia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排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水</w:t>
      </w:r>
      <w:r>
        <w:rPr>
          <w:rFonts w:hint="eastAsia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管网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诊断分析</w:t>
      </w:r>
    </w:p>
    <w:p>
      <w:pPr>
        <w:pStyle w:val="17"/>
        <w:adjustRightInd w:val="0"/>
        <w:snapToGrid w:val="0"/>
        <w:spacing w:line="360" w:lineRule="auto"/>
        <w:ind w:right="-376" w:rightChars="-179" w:firstLine="480" w:firstLineChars="200"/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汇总分析</w:t>
      </w:r>
      <w:r>
        <w:rPr>
          <w:rFonts w:hint="eastAsia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范围内排水管网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问题，采用多种方法对现状</w:t>
      </w:r>
      <w:r>
        <w:rPr>
          <w:rFonts w:hint="eastAsia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管网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进行原因分析，采取可靠工程工艺和结构措施，为</w:t>
      </w:r>
      <w:r>
        <w:rPr>
          <w:rFonts w:hint="eastAsia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工程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建设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提供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决策支持和建议。</w:t>
      </w:r>
    </w:p>
    <w:p>
      <w:pPr>
        <w:pStyle w:val="17"/>
        <w:adjustRightInd w:val="0"/>
        <w:snapToGrid w:val="0"/>
        <w:spacing w:line="360" w:lineRule="auto"/>
        <w:ind w:right="-376" w:rightChars="-179" w:firstLine="480" w:firstLineChars="200"/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（3） 提出整治工程方案及效果评估分析</w:t>
      </w:r>
    </w:p>
    <w:p>
      <w:pPr>
        <w:pStyle w:val="17"/>
        <w:adjustRightInd w:val="0"/>
        <w:snapToGrid w:val="0"/>
        <w:spacing w:line="360" w:lineRule="auto"/>
        <w:ind w:right="-376" w:rightChars="-179" w:firstLine="480" w:firstLineChars="200"/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基于区域</w:t>
      </w:r>
      <w:r>
        <w:rPr>
          <w:rFonts w:hint="eastAsia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排水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现状及需求分析，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因地制宜的提出切实可行的工程方案，并结合工程目标进行保证项目目标的可达性分析，确保实施效果。</w:t>
      </w:r>
    </w:p>
    <w:p>
      <w:pPr>
        <w:pStyle w:val="6"/>
        <w:bidi w:val="0"/>
        <w:ind w:firstLine="539"/>
        <w:rPr>
          <w:rFonts w:hint="default" w:ascii="Times New Roman" w:hAnsi="Times New Roman" w:eastAsia="宋体" w:cs="Times New Roman"/>
          <w:color w:val="000000" w:themeColor="text1"/>
          <w:sz w:val="24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bookmarkEnd w:id="0"/>
    <w:bookmarkEnd w:id="1"/>
    <w:p>
      <w:pPr>
        <w:adjustRightInd w:val="0"/>
        <w:snapToGrid w:val="0"/>
        <w:spacing w:line="360" w:lineRule="auto"/>
        <w:ind w:right="-376" w:rightChars="-179"/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pacing w:after="200" w:line="360" w:lineRule="auto"/>
        <w:jc w:val="center"/>
        <w:outlineLvl w:val="0"/>
        <w:rPr>
          <w:rFonts w:hint="default" w:ascii="Times New Roman" w:hAnsi="Times New Roman" w:cs="Times New Roman"/>
          <w:b/>
          <w:bCs/>
          <w:color w:val="000000" w:themeColor="text1"/>
          <w:kern w:val="0"/>
          <w:sz w:val="32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default" w:ascii="Times New Roman" w:hAnsi="Times New Roman" w:cs="Times New Roman"/>
          <w:b/>
          <w:bCs/>
          <w:color w:val="000000" w:themeColor="text1"/>
          <w:kern w:val="0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4"/>
        <w:rPr>
          <w:rFonts w:hint="default" w:ascii="Times New Roman" w:hAnsi="Times New Roman" w:cs="Times New Roman"/>
          <w:b/>
          <w:bCs/>
          <w:color w:val="000000" w:themeColor="text1"/>
          <w:kern w:val="0"/>
          <w:sz w:val="32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default" w:ascii="Times New Roman" w:hAnsi="Times New Roman" w:cs="Times New Roman"/>
          <w:b/>
          <w:bCs/>
          <w:color w:val="000000" w:themeColor="text1"/>
          <w:kern w:val="0"/>
          <w:sz w:val="32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default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pacing w:after="200" w:line="360" w:lineRule="auto"/>
        <w:jc w:val="center"/>
        <w:outlineLvl w:val="0"/>
        <w:rPr>
          <w:rFonts w:hint="default" w:ascii="Times New Roman" w:hAnsi="Times New Roman" w:cs="Times New Roman"/>
          <w:b/>
          <w:bCs/>
          <w:color w:val="000000" w:themeColor="text1"/>
          <w:kern w:val="0"/>
          <w:sz w:val="32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pacing w:after="200" w:line="360" w:lineRule="auto"/>
        <w:jc w:val="center"/>
        <w:outlineLvl w:val="0"/>
        <w:rPr>
          <w:rFonts w:hint="default" w:ascii="Times New Roman" w:hAnsi="Times New Roman" w:cs="Times New Roman"/>
          <w:b/>
          <w:bCs/>
          <w:color w:val="000000" w:themeColor="text1"/>
          <w:kern w:val="0"/>
          <w:sz w:val="40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color w:val="000000" w:themeColor="text1"/>
          <w:sz w:val="84"/>
          <w:szCs w:val="8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color w:val="000000" w:themeColor="text1"/>
          <w:sz w:val="84"/>
          <w:szCs w:val="8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84"/>
          <w:szCs w:val="84"/>
          <w:highlight w:val="none"/>
          <w14:textFill>
            <w14:solidFill>
              <w14:schemeClr w14:val="tx1"/>
            </w14:solidFill>
          </w14:textFill>
        </w:rPr>
        <w:t>勘察任务书</w:t>
      </w:r>
    </w:p>
    <w:p>
      <w:pPr>
        <w:pStyle w:val="3"/>
        <w:numPr>
          <w:ilvl w:val="0"/>
          <w:numId w:val="0"/>
        </w:numPr>
        <w:spacing w:before="0" w:after="90" w:line="360" w:lineRule="auto"/>
        <w:ind w:leftChars="0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3"/>
        <w:numPr>
          <w:ilvl w:val="0"/>
          <w:numId w:val="0"/>
        </w:numPr>
        <w:spacing w:before="0" w:after="90" w:line="360" w:lineRule="auto"/>
        <w:ind w:leftChars="0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3"/>
        <w:numPr>
          <w:ilvl w:val="0"/>
          <w:numId w:val="0"/>
        </w:numPr>
        <w:spacing w:before="0" w:after="90" w:line="360" w:lineRule="auto"/>
        <w:ind w:leftChars="0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3"/>
        <w:numPr>
          <w:ilvl w:val="0"/>
          <w:numId w:val="0"/>
        </w:numPr>
        <w:spacing w:before="0" w:after="0" w:line="360" w:lineRule="auto"/>
        <w:ind w:firstLine="562" w:firstLineChars="200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2" w:firstLineChars="200"/>
        <w:textAlignment w:val="auto"/>
        <w:rPr>
          <w:rFonts w:hint="default" w:ascii="Times New Roman" w:hAnsi="Times New Roman" w:cs="Times New Roman"/>
          <w:b/>
          <w:color w:val="000000" w:themeColor="text1"/>
          <w:sz w:val="28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1"/>
          <w:highlight w:val="none"/>
          <w14:textFill>
            <w14:solidFill>
              <w14:schemeClr w14:val="tx1"/>
            </w14:solidFill>
          </w14:textFill>
        </w:rPr>
        <w:t>项目概况</w:t>
      </w:r>
    </w:p>
    <w:p>
      <w:pPr>
        <w:pStyle w:val="6"/>
        <w:bidi w:val="0"/>
        <w:ind w:firstLine="539"/>
        <w:rPr>
          <w:rFonts w:hint="default" w:ascii="Times New Roman" w:hAnsi="Times New Roman" w:eastAsia="宋体" w:cs="Times New Roman"/>
          <w:color w:val="000000" w:themeColor="text1"/>
          <w:sz w:val="24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auto"/>
          <w:sz w:val="24"/>
          <w:szCs w:val="32"/>
          <w:highlight w:val="none"/>
          <w:lang w:val="en-US" w:eastAsia="zh-CN"/>
        </w:rPr>
        <w:t>根据</w:t>
      </w:r>
      <w:r>
        <w:rPr>
          <w:rFonts w:hint="eastAsia" w:ascii="宋体" w:hAnsi="宋体" w:cs="宋体"/>
          <w:sz w:val="24"/>
          <w:u w:val="single"/>
        </w:rPr>
        <w:t>《广州市越秀区发展和改革局关于“海上丝绸之路”·印象越秀国家AAAA旅游区配套基础设施建设项目可行性研究报告的复函》（穗越发改投批〔2023〕11号）</w:t>
      </w:r>
      <w:r>
        <w:rPr>
          <w:rFonts w:hint="eastAsia" w:ascii="宋体" w:hAnsi="宋体" w:cs="宋体"/>
          <w:sz w:val="24"/>
          <w:u w:val="single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东濠涌西濠涌驷马涌流域排水单元达标创建工程</w:t>
      </w:r>
      <w:r>
        <w:rPr>
          <w:rFonts w:hint="eastAsia" w:cs="Times New Roman"/>
          <w:color w:val="auto"/>
          <w:sz w:val="24"/>
          <w:szCs w:val="32"/>
          <w:highlight w:val="none"/>
          <w:lang w:val="en-US" w:eastAsia="zh-CN"/>
        </w:rPr>
        <w:t>属于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其中</w:t>
      </w:r>
      <w:r>
        <w:rPr>
          <w:rFonts w:hint="eastAsia" w:cs="Times New Roman"/>
          <w:color w:val="auto"/>
          <w:sz w:val="24"/>
          <w:szCs w:val="32"/>
          <w:highlight w:val="none"/>
          <w:lang w:val="en-US" w:eastAsia="zh-CN"/>
        </w:rPr>
        <w:t>子项之一</w:t>
      </w:r>
      <w:r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，为落实工作要求，开展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东濠涌西濠涌驷马涌流域排水单元达标创建工程</w:t>
      </w:r>
      <w:r>
        <w:rPr>
          <w:rFonts w:hint="eastAsia" w:cs="Times New Roman"/>
          <w:color w:val="auto"/>
          <w:sz w:val="24"/>
          <w:szCs w:val="32"/>
          <w:highlight w:val="none"/>
          <w:lang w:val="en-US" w:eastAsia="zh-CN"/>
        </w:rPr>
        <w:t>勘察</w:t>
      </w:r>
      <w:r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工作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bidi w:val="0"/>
        <w:ind w:firstLine="539"/>
        <w:rPr>
          <w:rFonts w:hint="eastAsia" w:ascii="Times New Roman" w:hAnsi="Times New Roman" w:eastAsia="宋体" w:cs="Times New Roman"/>
          <w:color w:val="000000" w:themeColor="text1"/>
          <w:sz w:val="24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0"/>
        </w:numPr>
        <w:spacing w:line="360" w:lineRule="auto"/>
        <w:ind w:right="-376" w:rightChars="-179" w:firstLine="562" w:firstLineChars="200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bCs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36"/>
          <w:highlight w:val="none"/>
          <w14:textFill>
            <w14:solidFill>
              <w14:schemeClr w14:val="tx1"/>
            </w14:solidFill>
          </w14:textFill>
        </w:rPr>
        <w:t>、工程范围</w:t>
      </w:r>
    </w:p>
    <w:p>
      <w:pPr>
        <w:pStyle w:val="6"/>
        <w:bidi w:val="0"/>
        <w:ind w:firstLine="539"/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本项目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建设范围</w:t>
      </w:r>
      <w:r>
        <w:rPr>
          <w:rFonts w:hint="eastAsia" w:cs="Times New Roman"/>
          <w:color w:val="auto"/>
          <w:sz w:val="24"/>
          <w:szCs w:val="32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>广州市越秀区</w:t>
      </w:r>
      <w:r>
        <w:rPr>
          <w:rFonts w:hint="eastAsia" w:ascii="宋体" w:hAnsi="宋体" w:cs="宋体"/>
          <w:sz w:val="24"/>
          <w:u w:val="single"/>
        </w:rPr>
        <w:t>东濠涌</w:t>
      </w:r>
      <w:r>
        <w:rPr>
          <w:rFonts w:hint="eastAsia" w:ascii="宋体" w:hAnsi="宋体" w:cs="宋体"/>
          <w:sz w:val="24"/>
          <w:u w:val="single"/>
          <w:lang w:eastAsia="zh-CN"/>
        </w:rPr>
        <w:t>、</w:t>
      </w:r>
      <w:r>
        <w:rPr>
          <w:rFonts w:hint="eastAsia" w:ascii="宋体" w:hAnsi="宋体" w:cs="宋体"/>
          <w:sz w:val="24"/>
          <w:u w:val="single"/>
        </w:rPr>
        <w:t>西濠涌</w:t>
      </w:r>
      <w:r>
        <w:rPr>
          <w:rFonts w:hint="eastAsia" w:ascii="宋体" w:hAnsi="宋体" w:cs="宋体"/>
          <w:sz w:val="24"/>
          <w:u w:val="single"/>
          <w:lang w:eastAsia="zh-CN"/>
        </w:rPr>
        <w:t>、</w:t>
      </w:r>
      <w:r>
        <w:rPr>
          <w:rFonts w:hint="eastAsia" w:ascii="宋体" w:hAnsi="宋体" w:cs="宋体"/>
          <w:sz w:val="24"/>
          <w:u w:val="single"/>
        </w:rPr>
        <w:t>驷马涌流域</w:t>
      </w:r>
      <w:r>
        <w:rPr>
          <w:rFonts w:hint="eastAsia" w:ascii="宋体" w:hAnsi="宋体" w:cs="宋体"/>
          <w:sz w:val="24"/>
          <w:u w:val="single"/>
          <w:lang w:eastAsia="zh-CN"/>
        </w:rPr>
        <w:t>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涉及六榕街、光塔街、流花街、北京街、洪桥街</w:t>
      </w:r>
      <w:r>
        <w:rPr>
          <w:rFonts w:hint="eastAsia" w:ascii="宋体" w:hAnsi="宋体" w:cs="宋体"/>
          <w:sz w:val="24"/>
          <w:u w:val="single"/>
          <w:lang w:eastAsia="zh-CN"/>
        </w:rPr>
        <w:t>）。</w:t>
      </w:r>
    </w:p>
    <w:p>
      <w:pPr>
        <w:spacing w:line="360" w:lineRule="auto"/>
        <w:ind w:firstLine="480" w:firstLineChars="200"/>
        <w:jc w:val="both"/>
        <w:rPr>
          <w:color w:val="auto"/>
          <w:sz w:val="24"/>
          <w:szCs w:val="24"/>
          <w:u w:val="singl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工程内容：</w:t>
      </w:r>
      <w:r>
        <w:rPr>
          <w:rFonts w:hint="eastAsia" w:ascii="宋体" w:hAnsi="宋体" w:cs="宋体"/>
          <w:sz w:val="24"/>
          <w:lang w:val="en-US" w:eastAsia="zh-CN"/>
        </w:rPr>
        <w:t>对六榕</w:t>
      </w:r>
      <w:bookmarkStart w:id="2" w:name="_GoBack"/>
      <w:r>
        <w:rPr>
          <w:rFonts w:hint="eastAsia" w:ascii="宋体" w:hAnsi="宋体" w:cs="宋体"/>
          <w:color w:val="auto"/>
          <w:sz w:val="24"/>
          <w:lang w:val="en-US" w:eastAsia="zh-CN"/>
        </w:rPr>
        <w:t>街、光塔街、流花街、北京街、洪桥街部分排水单元改造，涉及面积约324446m</w:t>
      </w:r>
      <w:r>
        <w:rPr>
          <w:rFonts w:hint="eastAsia" w:ascii="宋体" w:hAnsi="宋体" w:cs="宋体"/>
          <w:color w:val="auto"/>
          <w:sz w:val="24"/>
          <w:vertAlign w:val="superscript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，共71个排水单元，主要包括对排水排污管改造，完成建设范围内雨污分流改造等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。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>（具体详见任务书、可行性研究报告</w:t>
      </w:r>
      <w:r>
        <w:rPr>
          <w:rFonts w:hint="eastAsia"/>
          <w:color w:val="auto"/>
          <w:sz w:val="24"/>
          <w:szCs w:val="24"/>
          <w:u w:val="single"/>
          <w:lang w:eastAsia="zh-CN"/>
        </w:rPr>
        <w:t>等相关文件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>内容</w:t>
      </w:r>
      <w:r>
        <w:rPr>
          <w:rFonts w:hint="eastAsia"/>
          <w:color w:val="auto"/>
          <w:sz w:val="24"/>
          <w:szCs w:val="24"/>
          <w:u w:val="single"/>
          <w:lang w:eastAsia="zh-CN"/>
        </w:rPr>
        <w:t>为准。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>）</w:t>
      </w:r>
    </w:p>
    <w:p>
      <w:pPr>
        <w:pStyle w:val="6"/>
        <w:bidi w:val="0"/>
        <w:ind w:firstLine="0"/>
        <w:rPr>
          <w:rFonts w:hint="default"/>
          <w:color w:val="auto"/>
          <w:highlight w:val="none"/>
          <w:lang w:val="en-US" w:eastAsia="zh-CN"/>
        </w:rPr>
      </w:pPr>
    </w:p>
    <w:bookmarkEnd w:id="2"/>
    <w:p>
      <w:pPr>
        <w:pStyle w:val="3"/>
        <w:numPr>
          <w:ilvl w:val="0"/>
          <w:numId w:val="0"/>
        </w:numPr>
        <w:spacing w:before="0" w:after="0" w:line="360" w:lineRule="auto"/>
        <w:ind w:leftChars="0" w:firstLine="562" w:firstLineChars="200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工作内容</w:t>
      </w:r>
    </w:p>
    <w:p>
      <w:pPr>
        <w:pStyle w:val="6"/>
        <w:numPr>
          <w:ilvl w:val="0"/>
          <w:numId w:val="0"/>
        </w:numPr>
        <w:bidi w:val="0"/>
        <w:ind w:left="0" w:leftChars="0" w:firstLine="417" w:firstLineChars="167"/>
        <w:rPr>
          <w:rFonts w:hint="default" w:ascii="Times New Roman" w:hAnsi="Times New Roman" w:eastAsia="宋体" w:cs="Times New Roman"/>
          <w:color w:val="000000" w:themeColor="text1"/>
          <w:sz w:val="24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1.应满足可行性研究报告批复的要求，符合国家、地方或行业现行的相关标准及规范要求要求。</w:t>
      </w:r>
    </w:p>
    <w:p>
      <w:pPr>
        <w:pStyle w:val="6"/>
        <w:numPr>
          <w:ilvl w:val="0"/>
          <w:numId w:val="0"/>
        </w:numPr>
        <w:bidi w:val="0"/>
        <w:ind w:left="0" w:leftChars="0" w:firstLine="417" w:firstLineChars="167"/>
        <w:rPr>
          <w:rFonts w:hint="default" w:ascii="Times New Roman" w:hAnsi="Times New Roman" w:cs="Times New Roman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cs="Times New Roman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配合设计要求完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成陆地及水域岩土工程勘察</w:t>
      </w:r>
      <w:r>
        <w:rPr>
          <w:rFonts w:hint="eastAsia" w:eastAsia="宋体" w:cs="Times New Roman"/>
          <w:color w:val="000000" w:themeColor="text1"/>
          <w:sz w:val="24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工程测量、工程物探（含管线探测）。</w:t>
      </w:r>
    </w:p>
    <w:p>
      <w:pPr>
        <w:pStyle w:val="4"/>
        <w:numPr>
          <w:ilvl w:val="0"/>
          <w:numId w:val="0"/>
        </w:numPr>
        <w:spacing w:line="360" w:lineRule="auto"/>
        <w:ind w:left="0" w:leftChars="0" w:right="-313" w:rightChars="-149" w:firstLine="480" w:firstLineChars="200"/>
        <w:jc w:val="both"/>
        <w:rPr>
          <w:rFonts w:hint="default" w:ascii="Times New Roman" w:hAnsi="Times New Roman" w:cs="Times New Roman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报审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报建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等工作</w:t>
      </w:r>
      <w:r>
        <w:rPr>
          <w:rFonts w:hint="default" w:ascii="Times New Roman" w:hAnsi="Times New Roman" w:cs="Times New Roman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cs="Times New Roman"/>
          <w:color w:val="000000" w:themeColor="text1"/>
          <w:sz w:val="24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cs="Times New Roman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完成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道路占用和挖掘许可等报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审</w:t>
      </w:r>
      <w:r>
        <w:rPr>
          <w:rFonts w:hint="eastAsia" w:cs="Times New Roman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包括但不限于</w:t>
      </w:r>
      <w:r>
        <w:rPr>
          <w:rFonts w:hint="eastAsia" w:cs="Times New Roman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编制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交通疏解方案、施工组织方案、安全保障方案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和安全承诺书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等，</w:t>
      </w:r>
      <w:r>
        <w:rPr>
          <w:rFonts w:hint="default" w:ascii="Times New Roman" w:hAnsi="Times New Roman" w:cs="Times New Roman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协助完成项目的初步设计审查工作，协助完成施工图审查。</w:t>
      </w:r>
    </w:p>
    <w:p>
      <w:pPr>
        <w:pStyle w:val="4"/>
        <w:numPr>
          <w:ilvl w:val="0"/>
          <w:numId w:val="0"/>
        </w:numPr>
        <w:spacing w:line="360" w:lineRule="auto"/>
        <w:ind w:left="0" w:leftChars="0" w:right="-313" w:rightChars="-149" w:firstLine="480" w:firstLineChars="200"/>
        <w:jc w:val="both"/>
        <w:rPr>
          <w:rFonts w:hint="default" w:ascii="Times New Roman" w:hAnsi="Times New Roman" w:cs="Times New Roman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cs="Times New Roman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做好设计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和施工服务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配合工作</w:t>
      </w:r>
      <w:r>
        <w:rPr>
          <w:rFonts w:hint="default" w:ascii="Times New Roman" w:hAnsi="Times New Roman" w:cs="Times New Roman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/>
        <w:textAlignment w:val="auto"/>
        <w:rPr>
          <w:rFonts w:hint="default" w:ascii="Times New Roman" w:hAnsi="Times New Roman" w:eastAsia="宋体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/>
        <w:textAlignment w:val="auto"/>
        <w:rPr>
          <w:rFonts w:hint="default" w:ascii="Times New Roman" w:hAnsi="Times New Roman" w:eastAsia="宋体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/>
        <w:textAlignment w:val="auto"/>
        <w:rPr>
          <w:rFonts w:hint="default" w:ascii="Times New Roman" w:hAnsi="Times New Roman" w:eastAsia="宋体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/>
        <w:textAlignment w:val="auto"/>
        <w:rPr>
          <w:rFonts w:hint="default" w:ascii="Times New Roman" w:hAnsi="Times New Roman" w:eastAsia="宋体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/>
        <w:textAlignment w:val="auto"/>
        <w:rPr>
          <w:rFonts w:hint="default" w:ascii="Times New Roman" w:hAnsi="Times New Roman" w:eastAsia="宋体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/>
        <w:textAlignment w:val="auto"/>
        <w:rPr>
          <w:rFonts w:hint="default" w:ascii="Times New Roman" w:hAnsi="Times New Roman" w:eastAsia="宋体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8</w:t>
    </w:r>
    <w:r>
      <w:fldChar w:fldCharType="end"/>
    </w:r>
  </w:p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sz w:val="21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32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1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sz w:val="21"/>
                        <w:szCs w:val="32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32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21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B55FEE"/>
    <w:multiLevelType w:val="singleLevel"/>
    <w:tmpl w:val="9BB55FE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  <w:sz w:val="24"/>
        <w:szCs w:val="24"/>
      </w:rPr>
    </w:lvl>
  </w:abstractNum>
  <w:abstractNum w:abstractNumId="1">
    <w:nsid w:val="28A48DC8"/>
    <w:multiLevelType w:val="singleLevel"/>
    <w:tmpl w:val="28A48DC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sz w:val="24"/>
        <w:szCs w:val="24"/>
      </w:rPr>
    </w:lvl>
  </w:abstractNum>
  <w:abstractNum w:abstractNumId="2">
    <w:nsid w:val="5600D374"/>
    <w:multiLevelType w:val="singleLevel"/>
    <w:tmpl w:val="5600D37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  <w:sz w:val="24"/>
        <w:szCs w:val="24"/>
      </w:rPr>
    </w:lvl>
  </w:abstractNum>
  <w:abstractNum w:abstractNumId="3">
    <w:nsid w:val="567370EB"/>
    <w:multiLevelType w:val="singleLevel"/>
    <w:tmpl w:val="567370E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60AE39CC"/>
    <w:multiLevelType w:val="multilevel"/>
    <w:tmpl w:val="60AE39CC"/>
    <w:lvl w:ilvl="0" w:tentative="0">
      <w:start w:val="1"/>
      <w:numFmt w:val="none"/>
      <w:pStyle w:val="3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NmY1YWExOGVhYTI3NmMwNTljZDZkODE0MGRhNDEifQ=="/>
  </w:docVars>
  <w:rsids>
    <w:rsidRoot w:val="00172A27"/>
    <w:rsid w:val="002327C7"/>
    <w:rsid w:val="00653D5D"/>
    <w:rsid w:val="00787324"/>
    <w:rsid w:val="008B11CB"/>
    <w:rsid w:val="01161C99"/>
    <w:rsid w:val="014236AC"/>
    <w:rsid w:val="020E7E2D"/>
    <w:rsid w:val="02C05A08"/>
    <w:rsid w:val="03CC0F47"/>
    <w:rsid w:val="04095D9D"/>
    <w:rsid w:val="040B6EE2"/>
    <w:rsid w:val="061721BD"/>
    <w:rsid w:val="064E63E1"/>
    <w:rsid w:val="069428D0"/>
    <w:rsid w:val="06B008F3"/>
    <w:rsid w:val="076C6AF8"/>
    <w:rsid w:val="081B4B84"/>
    <w:rsid w:val="088448B4"/>
    <w:rsid w:val="08D131E7"/>
    <w:rsid w:val="08F0070A"/>
    <w:rsid w:val="09112DCE"/>
    <w:rsid w:val="092D0516"/>
    <w:rsid w:val="0A714E0D"/>
    <w:rsid w:val="0AA4734E"/>
    <w:rsid w:val="0AB16F92"/>
    <w:rsid w:val="0B4D61D4"/>
    <w:rsid w:val="0BEA4F7B"/>
    <w:rsid w:val="0BFC2060"/>
    <w:rsid w:val="0C3C4389"/>
    <w:rsid w:val="0C3C679C"/>
    <w:rsid w:val="0C4D7897"/>
    <w:rsid w:val="0D340890"/>
    <w:rsid w:val="0DCA3A5B"/>
    <w:rsid w:val="0E9A2ADD"/>
    <w:rsid w:val="0F337BAC"/>
    <w:rsid w:val="10F64FE4"/>
    <w:rsid w:val="120874CB"/>
    <w:rsid w:val="12334716"/>
    <w:rsid w:val="13195886"/>
    <w:rsid w:val="144229C5"/>
    <w:rsid w:val="14954EF6"/>
    <w:rsid w:val="151B3676"/>
    <w:rsid w:val="165F57AD"/>
    <w:rsid w:val="16633CA7"/>
    <w:rsid w:val="170D6333"/>
    <w:rsid w:val="17137790"/>
    <w:rsid w:val="17F53FC8"/>
    <w:rsid w:val="17F56C69"/>
    <w:rsid w:val="182A3CCB"/>
    <w:rsid w:val="187A1D9E"/>
    <w:rsid w:val="18D053FD"/>
    <w:rsid w:val="18FA3AE6"/>
    <w:rsid w:val="193952A8"/>
    <w:rsid w:val="199C501A"/>
    <w:rsid w:val="1A993B05"/>
    <w:rsid w:val="1AB3286D"/>
    <w:rsid w:val="1B3546AB"/>
    <w:rsid w:val="1BA410C6"/>
    <w:rsid w:val="1C095233"/>
    <w:rsid w:val="1C293B3B"/>
    <w:rsid w:val="1D020B5F"/>
    <w:rsid w:val="1DFE6B09"/>
    <w:rsid w:val="1E174188"/>
    <w:rsid w:val="1E3767D7"/>
    <w:rsid w:val="1EB36D22"/>
    <w:rsid w:val="1F086C1A"/>
    <w:rsid w:val="1F123553"/>
    <w:rsid w:val="1FC464BB"/>
    <w:rsid w:val="20773A90"/>
    <w:rsid w:val="208A712E"/>
    <w:rsid w:val="21A47162"/>
    <w:rsid w:val="220D77DF"/>
    <w:rsid w:val="221350BB"/>
    <w:rsid w:val="2223585E"/>
    <w:rsid w:val="228F4698"/>
    <w:rsid w:val="22EB772A"/>
    <w:rsid w:val="22FC484F"/>
    <w:rsid w:val="22FE7666"/>
    <w:rsid w:val="230172C3"/>
    <w:rsid w:val="236855BC"/>
    <w:rsid w:val="237B1666"/>
    <w:rsid w:val="25635771"/>
    <w:rsid w:val="25702999"/>
    <w:rsid w:val="26BE7794"/>
    <w:rsid w:val="2742495B"/>
    <w:rsid w:val="27526A60"/>
    <w:rsid w:val="27AE7DB2"/>
    <w:rsid w:val="281E7E03"/>
    <w:rsid w:val="28C9416F"/>
    <w:rsid w:val="290300DF"/>
    <w:rsid w:val="298777EC"/>
    <w:rsid w:val="29B460F6"/>
    <w:rsid w:val="2B1840C4"/>
    <w:rsid w:val="2B5A2D18"/>
    <w:rsid w:val="2BC60595"/>
    <w:rsid w:val="2BE8299E"/>
    <w:rsid w:val="2CAE1BBE"/>
    <w:rsid w:val="2CB61968"/>
    <w:rsid w:val="2E84053C"/>
    <w:rsid w:val="2E945696"/>
    <w:rsid w:val="2EAC2EA7"/>
    <w:rsid w:val="2ED30804"/>
    <w:rsid w:val="2F0F1729"/>
    <w:rsid w:val="2F1B2A5A"/>
    <w:rsid w:val="306F7852"/>
    <w:rsid w:val="320D5BBF"/>
    <w:rsid w:val="32220841"/>
    <w:rsid w:val="32EC3268"/>
    <w:rsid w:val="33124BA5"/>
    <w:rsid w:val="3345781B"/>
    <w:rsid w:val="33646960"/>
    <w:rsid w:val="341D071E"/>
    <w:rsid w:val="35560FEC"/>
    <w:rsid w:val="35716987"/>
    <w:rsid w:val="357A6B90"/>
    <w:rsid w:val="3637502F"/>
    <w:rsid w:val="36FE43BF"/>
    <w:rsid w:val="37772CDB"/>
    <w:rsid w:val="3814063E"/>
    <w:rsid w:val="38E67059"/>
    <w:rsid w:val="395F005B"/>
    <w:rsid w:val="3A1C07B4"/>
    <w:rsid w:val="3A2C625F"/>
    <w:rsid w:val="3A540249"/>
    <w:rsid w:val="3A623788"/>
    <w:rsid w:val="3B110134"/>
    <w:rsid w:val="3B747849"/>
    <w:rsid w:val="3B993C12"/>
    <w:rsid w:val="3B9A2AA1"/>
    <w:rsid w:val="3C9A3E44"/>
    <w:rsid w:val="3CC87ABE"/>
    <w:rsid w:val="3D484A54"/>
    <w:rsid w:val="3FD749EB"/>
    <w:rsid w:val="40BB0EB8"/>
    <w:rsid w:val="41EC33D7"/>
    <w:rsid w:val="42044B26"/>
    <w:rsid w:val="42833992"/>
    <w:rsid w:val="4539743F"/>
    <w:rsid w:val="472B08FA"/>
    <w:rsid w:val="482F21B1"/>
    <w:rsid w:val="49004DF0"/>
    <w:rsid w:val="493F003D"/>
    <w:rsid w:val="49EA294B"/>
    <w:rsid w:val="4B020EFC"/>
    <w:rsid w:val="4BE2460D"/>
    <w:rsid w:val="4CD35EE8"/>
    <w:rsid w:val="4D3A22F9"/>
    <w:rsid w:val="4D7A7B71"/>
    <w:rsid w:val="4E1C27BC"/>
    <w:rsid w:val="4E1F6635"/>
    <w:rsid w:val="4F3A4319"/>
    <w:rsid w:val="4F517F97"/>
    <w:rsid w:val="50023122"/>
    <w:rsid w:val="504F41BC"/>
    <w:rsid w:val="50F74BC3"/>
    <w:rsid w:val="538A37EF"/>
    <w:rsid w:val="54050397"/>
    <w:rsid w:val="54291499"/>
    <w:rsid w:val="549D2AE1"/>
    <w:rsid w:val="54F54920"/>
    <w:rsid w:val="55220D72"/>
    <w:rsid w:val="559E3A82"/>
    <w:rsid w:val="55B9585B"/>
    <w:rsid w:val="55F87978"/>
    <w:rsid w:val="56800959"/>
    <w:rsid w:val="574A07B3"/>
    <w:rsid w:val="578613B5"/>
    <w:rsid w:val="57DE4A9F"/>
    <w:rsid w:val="57EC669A"/>
    <w:rsid w:val="57FA7AB5"/>
    <w:rsid w:val="581413A0"/>
    <w:rsid w:val="586E28CA"/>
    <w:rsid w:val="58AF0D7E"/>
    <w:rsid w:val="58C0238E"/>
    <w:rsid w:val="5912064C"/>
    <w:rsid w:val="591C3174"/>
    <w:rsid w:val="59524519"/>
    <w:rsid w:val="5A2203F1"/>
    <w:rsid w:val="5A3865E3"/>
    <w:rsid w:val="5A5C779D"/>
    <w:rsid w:val="5AD90F23"/>
    <w:rsid w:val="5BB61E9E"/>
    <w:rsid w:val="5BE67CD4"/>
    <w:rsid w:val="5D1E583C"/>
    <w:rsid w:val="5E054266"/>
    <w:rsid w:val="5E2F1E23"/>
    <w:rsid w:val="5ECE7F48"/>
    <w:rsid w:val="5F8C18E1"/>
    <w:rsid w:val="5F9A4A52"/>
    <w:rsid w:val="5FF47721"/>
    <w:rsid w:val="6090417D"/>
    <w:rsid w:val="60933C0D"/>
    <w:rsid w:val="616715F3"/>
    <w:rsid w:val="618B3CA1"/>
    <w:rsid w:val="61F84385"/>
    <w:rsid w:val="624619D9"/>
    <w:rsid w:val="625C1C06"/>
    <w:rsid w:val="62965D18"/>
    <w:rsid w:val="63342F52"/>
    <w:rsid w:val="63767A9B"/>
    <w:rsid w:val="63A510AF"/>
    <w:rsid w:val="643274CF"/>
    <w:rsid w:val="65035A43"/>
    <w:rsid w:val="664F5E53"/>
    <w:rsid w:val="66D46F20"/>
    <w:rsid w:val="66EE0427"/>
    <w:rsid w:val="67BB6B66"/>
    <w:rsid w:val="689C46BF"/>
    <w:rsid w:val="68E264EE"/>
    <w:rsid w:val="6AAD7EFE"/>
    <w:rsid w:val="6ABA2ADC"/>
    <w:rsid w:val="6AE97F9D"/>
    <w:rsid w:val="6B332321"/>
    <w:rsid w:val="6C0737CC"/>
    <w:rsid w:val="6DC47BDA"/>
    <w:rsid w:val="6DE3742C"/>
    <w:rsid w:val="6E584BDD"/>
    <w:rsid w:val="6F4230C9"/>
    <w:rsid w:val="704F1742"/>
    <w:rsid w:val="7149370E"/>
    <w:rsid w:val="72026B5A"/>
    <w:rsid w:val="725C75CC"/>
    <w:rsid w:val="72DE4D0B"/>
    <w:rsid w:val="73216E59"/>
    <w:rsid w:val="74255DA4"/>
    <w:rsid w:val="7461759B"/>
    <w:rsid w:val="7500653E"/>
    <w:rsid w:val="753B1C54"/>
    <w:rsid w:val="75451D01"/>
    <w:rsid w:val="75F75AEB"/>
    <w:rsid w:val="76AE6009"/>
    <w:rsid w:val="76BC4C87"/>
    <w:rsid w:val="76BE5190"/>
    <w:rsid w:val="76D155C7"/>
    <w:rsid w:val="77185A53"/>
    <w:rsid w:val="77342827"/>
    <w:rsid w:val="780267A5"/>
    <w:rsid w:val="781F31BC"/>
    <w:rsid w:val="783E16DD"/>
    <w:rsid w:val="7849014B"/>
    <w:rsid w:val="790264A7"/>
    <w:rsid w:val="796B57AB"/>
    <w:rsid w:val="7A01378A"/>
    <w:rsid w:val="7A6D290D"/>
    <w:rsid w:val="7ABD7AC2"/>
    <w:rsid w:val="7B1126AB"/>
    <w:rsid w:val="7B2368BD"/>
    <w:rsid w:val="7BC62766"/>
    <w:rsid w:val="7BDC5F7A"/>
    <w:rsid w:val="7F547735"/>
    <w:rsid w:val="7F8058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1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jc w:val="both"/>
    </w:pPr>
    <w:rPr>
      <w:rFonts w:hAnsi="Courier New" w:cs="Times New Roman"/>
      <w:kern w:val="2"/>
      <w:sz w:val="21"/>
      <w:szCs w:val="21"/>
    </w:rPr>
  </w:style>
  <w:style w:type="paragraph" w:styleId="4">
    <w:name w:val="Normal Indent"/>
    <w:basedOn w:val="1"/>
    <w:autoRedefine/>
    <w:qFormat/>
    <w:uiPriority w:val="0"/>
    <w:pPr>
      <w:ind w:firstLine="420"/>
    </w:pPr>
  </w:style>
  <w:style w:type="paragraph" w:styleId="5">
    <w:name w:val="Body Text"/>
    <w:basedOn w:val="1"/>
    <w:next w:val="1"/>
    <w:autoRedefine/>
    <w:qFormat/>
    <w:uiPriority w:val="0"/>
    <w:pPr>
      <w:spacing w:after="120" w:afterLines="0"/>
    </w:pPr>
  </w:style>
  <w:style w:type="paragraph" w:styleId="6">
    <w:name w:val="Body Text Indent 2"/>
    <w:basedOn w:val="1"/>
    <w:autoRedefine/>
    <w:qFormat/>
    <w:uiPriority w:val="0"/>
    <w:pPr>
      <w:snapToGrid w:val="0"/>
      <w:spacing w:line="360" w:lineRule="auto"/>
      <w:ind w:firstLine="539"/>
    </w:pPr>
    <w:rPr>
      <w:spacing w:val="5"/>
      <w:sz w:val="24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2"/>
    <w:basedOn w:val="1"/>
    <w:next w:val="1"/>
    <w:autoRedefine/>
    <w:qFormat/>
    <w:uiPriority w:val="1"/>
    <w:pPr>
      <w:spacing w:line="272" w:lineRule="exact"/>
      <w:ind w:left="520"/>
    </w:pPr>
    <w:rPr>
      <w:rFonts w:ascii="宋体" w:hAnsi="宋体" w:eastAsia="宋体" w:cs="宋体"/>
      <w:sz w:val="21"/>
      <w:szCs w:val="21"/>
    </w:rPr>
  </w:style>
  <w:style w:type="paragraph" w:styleId="10">
    <w:name w:val="Body Text First Indent"/>
    <w:basedOn w:val="5"/>
    <w:autoRedefine/>
    <w:qFormat/>
    <w:uiPriority w:val="0"/>
    <w:pPr>
      <w:ind w:firstLine="420"/>
    </w:p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page number"/>
    <w:basedOn w:val="12"/>
    <w:autoRedefine/>
    <w:qFormat/>
    <w:uiPriority w:val="0"/>
    <w:rPr>
      <w:sz w:val="24"/>
      <w:szCs w:val="24"/>
    </w:rPr>
  </w:style>
  <w:style w:type="character" w:styleId="15">
    <w:name w:val="Hyperlink"/>
    <w:basedOn w:val="12"/>
    <w:autoRedefine/>
    <w:unhideWhenUsed/>
    <w:qFormat/>
    <w:uiPriority w:val="99"/>
    <w:rPr>
      <w:color w:val="0000FF"/>
      <w:u w:val="single"/>
    </w:rPr>
  </w:style>
  <w:style w:type="character" w:customStyle="1" w:styleId="16">
    <w:name w:val="标题 1 字符"/>
    <w:link w:val="3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8">
    <w:name w:val="序列"/>
    <w:basedOn w:val="4"/>
    <w:autoRedefine/>
    <w:qFormat/>
    <w:uiPriority w:val="0"/>
    <w:pPr>
      <w:tabs>
        <w:tab w:val="left" w:pos="980"/>
      </w:tabs>
      <w:spacing w:line="360" w:lineRule="auto"/>
      <w:ind w:left="980" w:firstLine="0" w:firstLineChars="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5593</Words>
  <Characters>6468</Characters>
  <Lines>34</Lines>
  <Paragraphs>9</Paragraphs>
  <TotalTime>0</TotalTime>
  <ScaleCrop>false</ScaleCrop>
  <LinksUpToDate>false</LinksUpToDate>
  <CharactersWithSpaces>6554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2020-04-10T14:39:00Z</dcterms:created>
  <dc:creator>Administrator</dc:creator>
  <cp:lastModifiedBy>L</cp:lastModifiedBy>
  <cp:lastPrinted>2023-05-11T06:42:00Z</cp:lastPrinted>
  <dcterms:modified xsi:type="dcterms:W3CDTF">2024-02-05T05:13:44Z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9F4590CC610A4E738616BAF88517A2F4_13</vt:lpwstr>
  </property>
</Properties>
</file>