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napToGrid w:val="0"/>
        <w:spacing w:after="0" w:line="36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茂名港博贺新港区通用码头工程（二阶段）供电照明及控制系统工程施工</w:t>
      </w:r>
    </w:p>
    <w:p>
      <w:pPr>
        <w:pStyle w:val="18"/>
        <w:snapToGrid w:val="0"/>
        <w:spacing w:after="0" w:line="360" w:lineRule="auto"/>
        <w:jc w:val="center"/>
        <w:rPr>
          <w:rFonts w:ascii="宋体" w:hAnsi="宋体" w:eastAsia="宋体" w:cs="宋体"/>
          <w:sz w:val="28"/>
          <w:szCs w:val="28"/>
          <w:highlight w:val="none"/>
        </w:rPr>
      </w:pPr>
      <w:r>
        <w:rPr>
          <w:rFonts w:hint="eastAsia" w:ascii="宋体" w:hAnsi="宋体" w:eastAsia="宋体" w:cs="宋体"/>
          <w:b/>
          <w:bCs/>
          <w:sz w:val="28"/>
          <w:szCs w:val="28"/>
          <w:highlight w:val="none"/>
        </w:rPr>
        <w:t>招标公告</w:t>
      </w:r>
    </w:p>
    <w:p>
      <w:pPr>
        <w:pStyle w:val="3"/>
        <w:adjustRightInd w:val="0"/>
        <w:snapToGrid w:val="0"/>
        <w:spacing w:before="0" w:after="0" w:line="360" w:lineRule="auto"/>
        <w:ind w:firstLine="482" w:firstLineChars="200"/>
        <w:rPr>
          <w:rFonts w:ascii="宋体" w:hAnsi="宋体" w:cs="宋体"/>
          <w:bCs w:val="0"/>
          <w:color w:val="auto"/>
          <w:sz w:val="24"/>
          <w:szCs w:val="24"/>
          <w:highlight w:val="none"/>
        </w:rPr>
      </w:pPr>
      <w:bookmarkStart w:id="0" w:name="_Toc19459"/>
      <w:bookmarkStart w:id="1" w:name="_Toc234382570"/>
      <w:bookmarkStart w:id="2" w:name="_Toc8253"/>
      <w:r>
        <w:rPr>
          <w:rFonts w:hint="eastAsia" w:ascii="宋体" w:hAnsi="宋体" w:cs="宋体"/>
          <w:bCs w:val="0"/>
          <w:color w:val="auto"/>
          <w:sz w:val="24"/>
          <w:szCs w:val="24"/>
          <w:highlight w:val="none"/>
        </w:rPr>
        <w:t>1.招标条件</w:t>
      </w:r>
      <w:bookmarkEnd w:id="0"/>
      <w:bookmarkEnd w:id="1"/>
      <w:bookmarkEnd w:id="2"/>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本招标项目茂名港博贺新港区通用码头工程已由</w:t>
      </w:r>
      <w:r>
        <w:rPr>
          <w:rFonts w:hint="eastAsia" w:ascii="宋体" w:hAnsi="宋体" w:cs="宋体"/>
          <w:color w:val="auto"/>
          <w:sz w:val="24"/>
          <w:highlight w:val="none"/>
          <w:u w:val="single"/>
        </w:rPr>
        <w:t>茂名市发改局</w:t>
      </w:r>
      <w:r>
        <w:rPr>
          <w:rFonts w:hint="eastAsia" w:ascii="宋体" w:hAnsi="宋体" w:cs="宋体"/>
          <w:color w:val="auto"/>
          <w:sz w:val="24"/>
          <w:highlight w:val="none"/>
        </w:rPr>
        <w:t>以</w:t>
      </w:r>
      <w:r>
        <w:rPr>
          <w:rFonts w:hint="eastAsia" w:ascii="宋体" w:hAnsi="宋体" w:cs="宋体"/>
          <w:color w:val="auto"/>
          <w:sz w:val="24"/>
          <w:highlight w:val="none"/>
          <w:u w:val="single"/>
        </w:rPr>
        <w:t>茂发改交审【2014】154号</w:t>
      </w:r>
      <w:r>
        <w:rPr>
          <w:rFonts w:hint="eastAsia" w:ascii="宋体" w:hAnsi="宋体" w:cs="宋体"/>
          <w:color w:val="auto"/>
          <w:sz w:val="24"/>
          <w:highlight w:val="none"/>
        </w:rPr>
        <w:t>批准建设，初步设计已由</w:t>
      </w:r>
      <w:r>
        <w:rPr>
          <w:rFonts w:hint="eastAsia" w:ascii="宋体" w:hAnsi="宋体" w:cs="宋体"/>
          <w:color w:val="auto"/>
          <w:sz w:val="24"/>
          <w:highlight w:val="none"/>
          <w:u w:val="single"/>
        </w:rPr>
        <w:t>茂名市交通运输局</w:t>
      </w:r>
      <w:r>
        <w:rPr>
          <w:rFonts w:hint="eastAsia" w:ascii="宋体" w:hAnsi="宋体" w:cs="宋体"/>
          <w:color w:val="auto"/>
          <w:sz w:val="24"/>
          <w:highlight w:val="none"/>
        </w:rPr>
        <w:t>以</w:t>
      </w:r>
      <w:r>
        <w:rPr>
          <w:rFonts w:hint="eastAsia" w:ascii="宋体" w:hAnsi="宋体" w:cs="宋体"/>
          <w:color w:val="auto"/>
          <w:sz w:val="24"/>
          <w:highlight w:val="none"/>
          <w:u w:val="single"/>
        </w:rPr>
        <w:t>茂交审【2022】43号</w:t>
      </w:r>
      <w:r>
        <w:rPr>
          <w:rFonts w:hint="eastAsia" w:ascii="宋体" w:hAnsi="宋体" w:cs="宋体"/>
          <w:color w:val="auto"/>
          <w:sz w:val="24"/>
          <w:highlight w:val="none"/>
        </w:rPr>
        <w:t>批准，项目业主为</w:t>
      </w:r>
      <w:r>
        <w:rPr>
          <w:rFonts w:hint="eastAsia" w:ascii="宋体" w:hAnsi="宋体" w:cs="宋体"/>
          <w:color w:val="auto"/>
          <w:sz w:val="24"/>
          <w:highlight w:val="none"/>
          <w:u w:val="single"/>
        </w:rPr>
        <w:t>茂名广港码头有限公司</w:t>
      </w:r>
      <w:r>
        <w:rPr>
          <w:rFonts w:hint="eastAsia" w:ascii="宋体" w:hAnsi="宋体" w:cs="宋体"/>
          <w:color w:val="auto"/>
          <w:sz w:val="24"/>
          <w:highlight w:val="none"/>
        </w:rPr>
        <w:t>，建设资金为</w:t>
      </w:r>
      <w:r>
        <w:rPr>
          <w:rFonts w:hint="eastAsia" w:ascii="宋体" w:hAnsi="宋体" w:cs="宋体"/>
          <w:color w:val="auto"/>
          <w:sz w:val="24"/>
          <w:highlight w:val="none"/>
          <w:u w:val="single"/>
        </w:rPr>
        <w:t>企业自筹</w:t>
      </w:r>
      <w:r>
        <w:rPr>
          <w:rFonts w:hint="eastAsia" w:ascii="宋体" w:hAnsi="宋体" w:cs="宋体"/>
          <w:color w:val="auto"/>
          <w:sz w:val="24"/>
          <w:highlight w:val="none"/>
        </w:rPr>
        <w:t>，项目出资比例为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茂名广港码头有限公司</w:t>
      </w:r>
      <w:r>
        <w:rPr>
          <w:rFonts w:hint="eastAsia" w:ascii="宋体" w:hAnsi="宋体" w:cs="宋体"/>
          <w:color w:val="auto"/>
          <w:sz w:val="24"/>
          <w:highlight w:val="none"/>
        </w:rPr>
        <w:t>，项目已具备招标条件，现对该项目的施工采用资格后审方式进行公开招标。</w:t>
      </w:r>
    </w:p>
    <w:p>
      <w:pPr>
        <w:pStyle w:val="3"/>
        <w:adjustRightInd w:val="0"/>
        <w:snapToGrid w:val="0"/>
        <w:spacing w:before="0" w:after="0" w:line="360" w:lineRule="auto"/>
        <w:ind w:firstLine="482" w:firstLineChars="200"/>
        <w:rPr>
          <w:rFonts w:ascii="宋体" w:hAnsi="宋体" w:cs="宋体"/>
          <w:color w:val="auto"/>
          <w:sz w:val="24"/>
          <w:szCs w:val="24"/>
          <w:highlight w:val="none"/>
        </w:rPr>
      </w:pPr>
      <w:bookmarkStart w:id="3" w:name="_Toc234382571"/>
      <w:bookmarkStart w:id="4" w:name="_Toc16307"/>
      <w:bookmarkStart w:id="5" w:name="_Toc12990"/>
      <w:r>
        <w:rPr>
          <w:rFonts w:hint="eastAsia" w:ascii="宋体" w:hAnsi="宋体" w:cs="宋体"/>
          <w:color w:val="auto"/>
          <w:sz w:val="24"/>
          <w:szCs w:val="24"/>
          <w:highlight w:val="none"/>
        </w:rPr>
        <w:t>2.项目概况与招标范围</w:t>
      </w:r>
      <w:bookmarkEnd w:id="3"/>
      <w:bookmarkEnd w:id="4"/>
      <w:bookmarkEnd w:id="5"/>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2.1</w:t>
      </w:r>
      <w:r>
        <w:rPr>
          <w:rFonts w:hint="eastAsia" w:ascii="宋体" w:hAnsi="宋体" w:cs="宋体"/>
          <w:color w:val="auto"/>
          <w:sz w:val="24"/>
          <w:highlight w:val="none"/>
        </w:rPr>
        <w:t>项目概况与招标范围</w:t>
      </w:r>
    </w:p>
    <w:p>
      <w:pPr>
        <w:pStyle w:val="9"/>
        <w:adjustRightInd w:val="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招标项目名称：茂名港博贺新港区通用码头工程（二阶段）供电照明及控制系统工程施工</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招标项目规模：本项目为茂名港博贺新港区通用码头工程（二阶段）的一部分，主要内容为输送工艺设备供电及控制、室外供电电缆、高杆灯和岸电设施等。</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建设地点：茂名港博贺新港区</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项目投资：约6000万元</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计划工期：</w:t>
      </w:r>
      <w:r>
        <w:rPr>
          <w:rFonts w:ascii="宋体" w:hAnsi="宋体" w:cs="宋体"/>
          <w:color w:val="auto"/>
          <w:sz w:val="24"/>
          <w:szCs w:val="24"/>
          <w:highlight w:val="none"/>
        </w:rPr>
        <w:t>270</w:t>
      </w:r>
      <w:r>
        <w:rPr>
          <w:rFonts w:hint="eastAsia" w:ascii="宋体" w:hAnsi="宋体" w:cs="宋体"/>
          <w:color w:val="auto"/>
          <w:sz w:val="24"/>
          <w:szCs w:val="24"/>
          <w:highlight w:val="none"/>
        </w:rPr>
        <w:t>日历天。</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项目招标范围：本项目为茂名港博贺新港区通用码头工程（二阶段）的一部分，主要内容为输送工艺设备供电及控制系统、室外供电电缆、高杆灯和岸电设施等施工，</w:t>
      </w:r>
      <w:r>
        <w:rPr>
          <w:rFonts w:hint="eastAsia" w:ascii="宋体" w:hAnsi="宋体" w:cs="宋体"/>
          <w:color w:val="auto"/>
          <w:sz w:val="24"/>
          <w:highlight w:val="none"/>
        </w:rPr>
        <w:t>具体以图纸和工程量清单为准。</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2.2本次招标共分1个标类1个标段。具体见附件 1。</w:t>
      </w:r>
    </w:p>
    <w:tbl>
      <w:tblPr>
        <w:tblStyle w:val="1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266"/>
        <w:gridCol w:w="2108"/>
        <w:gridCol w:w="2116"/>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62" w:type="dxa"/>
            <w:vAlign w:val="center"/>
          </w:tcPr>
          <w:p>
            <w:pPr>
              <w:adjustRightInd w:val="0"/>
              <w:snapToGrid w:val="0"/>
              <w:jc w:val="center"/>
              <w:rPr>
                <w:rFonts w:ascii="宋体" w:hAnsi="宋体" w:cs="宋体"/>
                <w:bCs/>
                <w:color w:val="auto"/>
                <w:spacing w:val="-4"/>
                <w:sz w:val="24"/>
                <w:highlight w:val="none"/>
              </w:rPr>
            </w:pPr>
            <w:r>
              <w:rPr>
                <w:rFonts w:hint="eastAsia" w:ascii="宋体" w:hAnsi="宋体" w:cs="宋体"/>
                <w:bCs/>
                <w:color w:val="auto"/>
                <w:spacing w:val="-4"/>
                <w:sz w:val="24"/>
                <w:highlight w:val="none"/>
              </w:rPr>
              <w:t>标段类别</w:t>
            </w:r>
          </w:p>
        </w:tc>
        <w:tc>
          <w:tcPr>
            <w:tcW w:w="1266"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标段</w:t>
            </w:r>
          </w:p>
        </w:tc>
        <w:tc>
          <w:tcPr>
            <w:tcW w:w="2108"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主要工程项目</w:t>
            </w:r>
          </w:p>
        </w:tc>
        <w:tc>
          <w:tcPr>
            <w:tcW w:w="2116" w:type="dxa"/>
            <w:vAlign w:val="center"/>
          </w:tcPr>
          <w:p>
            <w:pPr>
              <w:adjustRightInd w:val="0"/>
              <w:snapToGrid w:val="0"/>
              <w:jc w:val="center"/>
              <w:rPr>
                <w:rFonts w:ascii="宋体" w:hAnsi="宋体" w:cs="宋体"/>
                <w:color w:val="auto"/>
                <w:spacing w:val="-4"/>
                <w:sz w:val="24"/>
                <w:highlight w:val="none"/>
              </w:rPr>
            </w:pPr>
            <w:r>
              <w:rPr>
                <w:rFonts w:hint="eastAsia" w:ascii="宋体" w:hAnsi="宋体" w:cs="宋体"/>
                <w:color w:val="auto"/>
                <w:spacing w:val="-4"/>
                <w:sz w:val="24"/>
                <w:highlight w:val="none"/>
              </w:rPr>
              <w:t>对投标人资质要求</w:t>
            </w:r>
          </w:p>
        </w:tc>
        <w:tc>
          <w:tcPr>
            <w:tcW w:w="2323" w:type="dxa"/>
            <w:vAlign w:val="center"/>
          </w:tcPr>
          <w:p>
            <w:pPr>
              <w:adjustRightInd w:val="0"/>
              <w:snapToGrid w:val="0"/>
              <w:jc w:val="center"/>
              <w:rPr>
                <w:rFonts w:ascii="宋体" w:hAnsi="宋体" w:cs="宋体"/>
                <w:color w:val="auto"/>
                <w:spacing w:val="-4"/>
                <w:sz w:val="24"/>
                <w:highlight w:val="none"/>
              </w:rPr>
            </w:pPr>
            <w:r>
              <w:rPr>
                <w:rFonts w:hint="eastAsia" w:ascii="宋体" w:hAnsi="宋体" w:cs="宋体"/>
                <w:color w:val="auto"/>
                <w:spacing w:val="-4"/>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662" w:type="dxa"/>
            <w:vAlign w:val="center"/>
          </w:tcPr>
          <w:p>
            <w:pPr>
              <w:adjustRightInd w:val="0"/>
              <w:snapToGrid w:val="0"/>
              <w:jc w:val="center"/>
              <w:rPr>
                <w:rFonts w:ascii="宋体" w:hAnsi="宋体" w:cs="宋体"/>
                <w:bCs/>
                <w:color w:val="auto"/>
                <w:spacing w:val="-4"/>
                <w:sz w:val="24"/>
                <w:highlight w:val="none"/>
              </w:rPr>
            </w:pPr>
            <w:r>
              <w:rPr>
                <w:rFonts w:hint="eastAsia" w:ascii="宋体" w:hAnsi="宋体" w:cs="宋体"/>
                <w:bCs/>
                <w:color w:val="auto"/>
                <w:spacing w:val="-4"/>
                <w:sz w:val="24"/>
                <w:highlight w:val="none"/>
              </w:rPr>
              <w:t>A类（港口工程）</w:t>
            </w:r>
          </w:p>
        </w:tc>
        <w:tc>
          <w:tcPr>
            <w:tcW w:w="3374" w:type="dxa"/>
            <w:gridSpan w:val="2"/>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标段的划分及主要工程项目情况详见附件1</w:t>
            </w:r>
          </w:p>
        </w:tc>
        <w:tc>
          <w:tcPr>
            <w:tcW w:w="2116" w:type="dxa"/>
            <w:vAlign w:val="center"/>
          </w:tcPr>
          <w:p>
            <w:pPr>
              <w:adjustRightInd w:val="0"/>
              <w:snapToGrid w:val="0"/>
              <w:jc w:val="center"/>
              <w:rPr>
                <w:rFonts w:ascii="宋体" w:hAnsi="宋体" w:cs="宋体"/>
                <w:color w:val="auto"/>
                <w:spacing w:val="-4"/>
                <w:sz w:val="24"/>
                <w:highlight w:val="none"/>
              </w:rPr>
            </w:pPr>
            <w:r>
              <w:rPr>
                <w:rFonts w:hint="eastAsia" w:ascii="宋体" w:hAnsi="宋体" w:cs="宋体"/>
                <w:color w:val="auto"/>
                <w:sz w:val="24"/>
                <w:highlight w:val="none"/>
              </w:rPr>
              <w:t>资格审查条件附录</w:t>
            </w:r>
            <w:r>
              <w:rPr>
                <w:rFonts w:hint="eastAsia" w:ascii="宋体" w:hAnsi="宋体" w:cs="宋体"/>
                <w:color w:val="auto"/>
                <w:sz w:val="24"/>
                <w:highlight w:val="none"/>
                <w:u w:val="single"/>
              </w:rPr>
              <w:t>1</w:t>
            </w:r>
          </w:p>
        </w:tc>
        <w:tc>
          <w:tcPr>
            <w:tcW w:w="232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rPr>
              <w:t>资格审查条件附录</w:t>
            </w:r>
            <w:r>
              <w:rPr>
                <w:rFonts w:hint="eastAsia" w:ascii="宋体" w:hAnsi="宋体" w:cs="宋体"/>
                <w:color w:val="auto"/>
                <w:sz w:val="24"/>
                <w:highlight w:val="none"/>
                <w:u w:val="single"/>
              </w:rPr>
              <w:t>1</w:t>
            </w:r>
            <w:r>
              <w:rPr>
                <w:rFonts w:hint="eastAsia" w:ascii="宋体" w:hAnsi="宋体" w:cs="宋体"/>
                <w:color w:val="auto"/>
                <w:sz w:val="24"/>
                <w:highlight w:val="none"/>
              </w:rPr>
              <w:t>至附录</w:t>
            </w:r>
            <w:r>
              <w:rPr>
                <w:rFonts w:hint="eastAsia" w:ascii="宋体" w:hAnsi="宋体" w:cs="宋体"/>
                <w:color w:val="auto"/>
                <w:sz w:val="24"/>
                <w:highlight w:val="none"/>
                <w:u w:val="single"/>
              </w:rPr>
              <w:t>6</w:t>
            </w:r>
            <w:r>
              <w:rPr>
                <w:rFonts w:hint="eastAsia" w:ascii="宋体" w:hAnsi="宋体" w:cs="宋体"/>
                <w:color w:val="auto"/>
                <w:sz w:val="24"/>
                <w:highlight w:val="none"/>
              </w:rPr>
              <w:t>详见附件2</w:t>
            </w:r>
          </w:p>
        </w:tc>
      </w:tr>
    </w:tbl>
    <w:p>
      <w:pPr>
        <w:pStyle w:val="9"/>
        <w:adjustRightInd w:val="0"/>
        <w:spacing w:line="360" w:lineRule="auto"/>
        <w:rPr>
          <w:rFonts w:ascii="宋体" w:hAnsi="宋体" w:cs="宋体"/>
          <w:color w:val="auto"/>
          <w:highlight w:val="none"/>
        </w:rPr>
      </w:pPr>
    </w:p>
    <w:p>
      <w:pPr>
        <w:pStyle w:val="3"/>
        <w:adjustRightInd w:val="0"/>
        <w:snapToGrid w:val="0"/>
        <w:spacing w:before="0" w:after="0" w:line="360" w:lineRule="auto"/>
        <w:rPr>
          <w:rFonts w:ascii="宋体" w:hAnsi="宋体" w:cs="宋体"/>
          <w:bCs w:val="0"/>
          <w:color w:val="auto"/>
          <w:sz w:val="24"/>
          <w:szCs w:val="24"/>
          <w:highlight w:val="none"/>
        </w:rPr>
      </w:pPr>
      <w:bookmarkStart w:id="6" w:name="_Toc3624"/>
      <w:bookmarkStart w:id="7" w:name="_Toc9870"/>
      <w:bookmarkStart w:id="8" w:name="_Toc234382572"/>
      <w:r>
        <w:rPr>
          <w:rFonts w:hint="eastAsia" w:ascii="宋体" w:hAnsi="宋体" w:cs="宋体"/>
          <w:bCs w:val="0"/>
          <w:color w:val="auto"/>
          <w:sz w:val="24"/>
          <w:szCs w:val="24"/>
          <w:highlight w:val="none"/>
        </w:rPr>
        <w:t>3.投标人资格要求</w:t>
      </w:r>
      <w:bookmarkEnd w:id="6"/>
      <w:bookmarkEnd w:id="7"/>
      <w:bookmarkEnd w:id="8"/>
    </w:p>
    <w:p>
      <w:pPr>
        <w:pStyle w:val="20"/>
        <w:shd w:val="clear" w:color="auto" w:fill="auto"/>
        <w:tabs>
          <w:tab w:val="left" w:leader="underscore" w:pos="4604"/>
          <w:tab w:val="left" w:leader="underscore" w:pos="6334"/>
        </w:tabs>
        <w:adjustRightInd w:val="0"/>
        <w:snapToGrid w:val="0"/>
        <w:spacing w:before="0" w:line="360" w:lineRule="auto"/>
        <w:ind w:left="105" w:leftChars="50" w:firstLine="560" w:firstLineChars="200"/>
        <w:jc w:val="both"/>
        <w:rPr>
          <w:rFonts w:ascii="宋体" w:hAnsi="宋体" w:eastAsia="宋体" w:cs="宋体"/>
          <w:color w:val="auto"/>
          <w:sz w:val="24"/>
          <w:highlight w:val="none"/>
        </w:rPr>
      </w:pPr>
      <w:r>
        <w:rPr>
          <w:rFonts w:hint="eastAsia" w:ascii="宋体" w:hAnsi="宋体" w:eastAsia="宋体" w:cs="宋体"/>
          <w:color w:val="auto"/>
          <w:sz w:val="24"/>
          <w:highlight w:val="none"/>
        </w:rPr>
        <w:t>3.1</w:t>
      </w:r>
      <w:r>
        <w:rPr>
          <w:rStyle w:val="21"/>
          <w:rFonts w:hint="eastAsia" w:ascii="宋体" w:hAnsi="宋体" w:eastAsia="宋体" w:cs="宋体"/>
          <w:color w:val="auto"/>
          <w:sz w:val="24"/>
          <w:highlight w:val="none"/>
        </w:rPr>
        <w:t>本次招标要求投标人须具备</w:t>
      </w:r>
      <w:r>
        <w:rPr>
          <w:rFonts w:hint="eastAsia" w:ascii="宋体" w:hAnsi="宋体" w:eastAsia="宋体" w:cs="宋体"/>
          <w:color w:val="auto"/>
          <w:sz w:val="24"/>
          <w:highlight w:val="none"/>
          <w:u w:val="single"/>
        </w:rPr>
        <w:t>上述第2.2款表中所列相应</w:t>
      </w:r>
      <w:r>
        <w:rPr>
          <w:rStyle w:val="21"/>
          <w:rFonts w:hint="eastAsia" w:ascii="宋体" w:hAnsi="宋体" w:eastAsia="宋体" w:cs="宋体"/>
          <w:color w:val="auto"/>
          <w:sz w:val="24"/>
          <w:highlight w:val="none"/>
        </w:rPr>
        <w:t>资质、</w:t>
      </w:r>
      <w:r>
        <w:rPr>
          <w:rFonts w:hint="eastAsia" w:ascii="宋体" w:hAnsi="宋体" w:eastAsia="宋体" w:cs="宋体"/>
          <w:color w:val="auto"/>
          <w:sz w:val="24"/>
          <w:highlight w:val="none"/>
          <w:u w:val="single"/>
        </w:rPr>
        <w:t xml:space="preserve">      </w:t>
      </w:r>
      <w:r>
        <w:rPr>
          <w:rStyle w:val="21"/>
          <w:rFonts w:hint="eastAsia" w:ascii="宋体" w:hAnsi="宋体" w:eastAsia="宋体" w:cs="宋体"/>
          <w:color w:val="auto"/>
          <w:sz w:val="24"/>
          <w:highlight w:val="none"/>
        </w:rPr>
        <w:t>业绩，并在</w:t>
      </w:r>
      <w:r>
        <w:rPr>
          <w:rStyle w:val="21"/>
          <w:rFonts w:hint="eastAsia" w:ascii="宋体" w:hAnsi="宋体" w:eastAsia="宋体" w:cs="宋体"/>
          <w:color w:val="auto"/>
          <w:sz w:val="24"/>
          <w:highlight w:val="none"/>
          <w:u w:val="single"/>
        </w:rPr>
        <w:t>人员、设备、资金</w:t>
      </w:r>
      <w:r>
        <w:rPr>
          <w:rStyle w:val="21"/>
          <w:rFonts w:hint="eastAsia" w:ascii="宋体" w:hAnsi="宋体" w:eastAsia="宋体" w:cs="宋体"/>
          <w:color w:val="auto"/>
          <w:sz w:val="24"/>
          <w:highlight w:val="none"/>
        </w:rPr>
        <w:t>等方面具有相应的施工能力。</w:t>
      </w:r>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3.2本次招标不接受联合体投标。</w:t>
      </w:r>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3.3在本次招标中，每个投标人最多可以对1个A类投标，只允许中一个标。</w:t>
      </w:r>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w:t>
      </w:r>
      <w:r>
        <w:rPr>
          <w:rFonts w:hint="eastAsia" w:ascii="宋体" w:hAnsi="宋体" w:cs="宋体"/>
          <w:color w:val="auto"/>
          <w:sz w:val="18"/>
          <w:szCs w:val="18"/>
          <w:highlight w:val="none"/>
        </w:rPr>
        <w:t>（注：单位负责人是指单位的法定代表人或者法律、行政法规规定代表单位行使职权的主要负责人；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是指不具有出资持股关系的其他单位之间存在的管理与被管理关系。）。</w:t>
      </w:r>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bookmarkStart w:id="9" w:name="_Toc234382573"/>
      <w:r>
        <w:rPr>
          <w:rFonts w:hint="eastAsia" w:ascii="宋体" w:hAnsi="宋体" w:cs="宋体"/>
          <w:color w:val="auto"/>
          <w:sz w:val="24"/>
          <w:highlight w:val="none"/>
        </w:rPr>
        <w:t>3.5在“信用中国”网站（</w:t>
      </w:r>
      <w:r>
        <w:rPr>
          <w:color w:val="auto"/>
          <w:highlight w:val="none"/>
        </w:rPr>
        <w:fldChar w:fldCharType="begin"/>
      </w:r>
      <w:r>
        <w:rPr>
          <w:color w:val="auto"/>
          <w:highlight w:val="none"/>
        </w:rPr>
        <w:instrText xml:space="preserve"> HYPERLINK "http://www.creditchina.gov.cn/)%e4%b8%ad%e8%a2%ab%e5%88%97%e5%85%a5%e5%a4%b1%e4%bf%a1%e8%a2%ab%e6%89%a7" </w:instrText>
      </w:r>
      <w:r>
        <w:rPr>
          <w:color w:val="auto"/>
          <w:highlight w:val="none"/>
        </w:rPr>
        <w:fldChar w:fldCharType="separate"/>
      </w:r>
      <w:r>
        <w:rPr>
          <w:rFonts w:hint="eastAsia" w:ascii="宋体" w:hAnsi="宋体" w:cs="宋体"/>
          <w:color w:val="auto"/>
          <w:sz w:val="24"/>
          <w:highlight w:val="none"/>
        </w:rPr>
        <w:t>http://www.creditchina.gov.cn/)中被列入失信被执</w:t>
      </w:r>
      <w:r>
        <w:rPr>
          <w:rFonts w:hint="eastAsia" w:ascii="宋体" w:hAnsi="宋体" w:cs="宋体"/>
          <w:color w:val="auto"/>
          <w:sz w:val="24"/>
          <w:highlight w:val="none"/>
        </w:rPr>
        <w:fldChar w:fldCharType="end"/>
      </w:r>
      <w:r>
        <w:rPr>
          <w:rFonts w:hint="eastAsia" w:ascii="宋体" w:hAnsi="宋体" w:cs="宋体"/>
          <w:color w:val="auto"/>
          <w:sz w:val="24"/>
          <w:highlight w:val="none"/>
        </w:rPr>
        <w:t>行人名单的投标人，在国家企业信用信息公示系统（http://www.gsxt.gov.cn）中被列入严重违法失信企业名单的投标人，均按否决投标处理。</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4.招标文件的获取</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凡有意参加投标者，请于</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rPr>
        <w:t>日至</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rPr>
        <w:t>日，每日上午</w:t>
      </w:r>
      <w:r>
        <w:rPr>
          <w:rFonts w:hint="eastAsia" w:ascii="宋体" w:hAnsi="宋体" w:cs="宋体"/>
          <w:color w:val="auto"/>
          <w:sz w:val="24"/>
          <w:highlight w:val="none"/>
          <w:u w:val="single"/>
        </w:rPr>
        <w:t>9:30 时至11:30时</w:t>
      </w:r>
      <w:r>
        <w:rPr>
          <w:rFonts w:hint="eastAsia" w:ascii="宋体" w:hAnsi="宋体" w:cs="宋体"/>
          <w:color w:val="auto"/>
          <w:sz w:val="24"/>
          <w:highlight w:val="none"/>
        </w:rPr>
        <w:t>，下午</w:t>
      </w:r>
      <w:r>
        <w:rPr>
          <w:rFonts w:hint="eastAsia" w:ascii="宋体" w:hAnsi="宋体" w:cs="宋体"/>
          <w:color w:val="auto"/>
          <w:sz w:val="24"/>
          <w:highlight w:val="none"/>
          <w:u w:val="single"/>
        </w:rPr>
        <w:t>2:00时至4:00时</w:t>
      </w:r>
      <w:r>
        <w:rPr>
          <w:rFonts w:hint="eastAsia" w:ascii="宋体" w:hAnsi="宋体" w:cs="宋体"/>
          <w:color w:val="auto"/>
          <w:sz w:val="24"/>
          <w:highlight w:val="none"/>
        </w:rPr>
        <w:t>（北京时间，下同），登陆广州交易集团有限公司（广州公共资源交易中心）网站（http://www.gzggzy.cn）交易平台（即建设工程新交易系统）选择对应标段进行投标登记（北京时间，下同）,同时将相关资料（见公告4.3）盖单位公章的彩色扫描件发送到ZBDL2008@126.com。网上投标登记和相关资料的电子邮件经招标人（招标代理机构）确认后以电子邮件或快递到付的方式将招标文件、技术资料电子版（或纸质版）发出。</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招标文件每套售价</w:t>
      </w:r>
      <w:r>
        <w:rPr>
          <w:rFonts w:hint="eastAsia" w:ascii="宋体" w:hAnsi="宋体" w:cs="宋体"/>
          <w:color w:val="auto"/>
          <w:sz w:val="24"/>
          <w:highlight w:val="none"/>
          <w:u w:val="single"/>
        </w:rPr>
        <w:t>1000</w:t>
      </w:r>
      <w:r>
        <w:rPr>
          <w:rFonts w:hint="eastAsia" w:ascii="宋体" w:hAnsi="宋体" w:cs="宋体"/>
          <w:color w:val="auto"/>
          <w:sz w:val="24"/>
          <w:highlight w:val="none"/>
        </w:rPr>
        <w:t>元，售后不退。</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4.3投标登记和招标文件的获取需提供资料：</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（1）“投标登记申请表”二份【表格在广州交易集团有限公司（广州公共资源交易中心）网上下载，须有投标人单位公章和法定代表人盖章，见公告附件4】；</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（2）法定代表人证明书原件、法定代表人授权委托书原件（授权内容必须包含投标登记和购买招标文件）及盖有公章的被授权人有效身份证复印件；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（3）“投标登记申请表”中法人单位的营业执照、资质证书、安全生产许可证、项目负责人（项目经理）资格证书和安全员的资格证书等彩色复印件一套（加盖公章）；</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（4）招标文件工本费转账凭证和增值税开票资料（含公司名称、统一社会信用代码、公司地址、联系电话、开户行、账号，盖公章后彩色复印件）；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（5）招标文件领取登记表一份（</w:t>
      </w:r>
      <w:r>
        <w:rPr>
          <w:rFonts w:hint="eastAsia" w:ascii="宋体" w:hAnsi="宋体" w:cs="宋体"/>
          <w:color w:val="auto"/>
          <w:sz w:val="24"/>
          <w:highlight w:val="none"/>
          <w:shd w:val="clear" w:color="auto" w:fill="FFFFFF"/>
        </w:rPr>
        <w:t>见公告附件5，盖公章</w:t>
      </w:r>
      <w:r>
        <w:rPr>
          <w:rFonts w:hint="eastAsia" w:ascii="宋体" w:hAnsi="宋体" w:cs="宋体"/>
          <w:color w:val="auto"/>
          <w:sz w:val="24"/>
          <w:highlight w:val="none"/>
        </w:rPr>
        <w:t>）。</w:t>
      </w:r>
    </w:p>
    <w:p>
      <w:pPr>
        <w:adjustRightInd w:val="0"/>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注：将以上填写并加盖公章的资料的扫描件发至招标代理邮箱（以到达邮箱时间为准），并将资料快递至招标代理机构。投标人完成上面投标登记后及时联系招标代理机构进行确认。同时满足上述要求，方视为投标登记成功。</w:t>
      </w:r>
    </w:p>
    <w:bookmarkEnd w:id="9"/>
    <w:p>
      <w:pPr>
        <w:adjustRightInd w:val="0"/>
        <w:snapToGrid w:val="0"/>
        <w:spacing w:line="360" w:lineRule="auto"/>
        <w:ind w:firstLine="482" w:firstLineChars="200"/>
        <w:rPr>
          <w:rStyle w:val="21"/>
          <w:rFonts w:ascii="宋体" w:hAnsi="宋体" w:eastAsia="宋体" w:cs="宋体"/>
          <w:b/>
          <w:color w:val="auto"/>
          <w:sz w:val="24"/>
          <w:highlight w:val="none"/>
        </w:rPr>
      </w:pPr>
      <w:bookmarkStart w:id="10" w:name="_Toc234382574"/>
      <w:r>
        <w:rPr>
          <w:rFonts w:hint="eastAsia" w:ascii="宋体" w:hAnsi="宋体" w:cs="宋体"/>
          <w:b/>
          <w:color w:val="auto"/>
          <w:sz w:val="24"/>
          <w:highlight w:val="none"/>
        </w:rPr>
        <w:t>5.投标文件的递交</w:t>
      </w:r>
    </w:p>
    <w:p>
      <w:pPr>
        <w:adjustRightInd w:val="0"/>
        <w:snapToGrid w:val="0"/>
        <w:spacing w:line="360" w:lineRule="auto"/>
        <w:ind w:firstLine="560" w:firstLineChars="200"/>
        <w:rPr>
          <w:rStyle w:val="21"/>
          <w:rFonts w:ascii="宋体" w:hAnsi="宋体" w:eastAsia="宋体" w:cs="宋体"/>
          <w:color w:val="auto"/>
          <w:sz w:val="24"/>
          <w:highlight w:val="none"/>
        </w:rPr>
      </w:pPr>
      <w:r>
        <w:rPr>
          <w:rStyle w:val="21"/>
          <w:rFonts w:hint="eastAsia" w:ascii="宋体" w:hAnsi="宋体" w:eastAsia="宋体" w:cs="宋体"/>
          <w:color w:val="auto"/>
          <w:sz w:val="24"/>
          <w:highlight w:val="none"/>
        </w:rPr>
        <w:t>5.1招标人不组织工程现场踏勘和不召开投标预备会。</w:t>
      </w:r>
    </w:p>
    <w:p>
      <w:pP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5.2投标文件递交的截止时间（投标截止时间，下同）为</w:t>
      </w:r>
      <w:r>
        <w:rPr>
          <w:rFonts w:hint="eastAsia" w:ascii="宋体" w:hAnsi="宋体" w:cs="宋体"/>
          <w:color w:val="auto"/>
          <w:sz w:val="24"/>
          <w:highlight w:val="none"/>
          <w:u w:val="single"/>
        </w:rPr>
        <w:t>2024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日，上午</w:t>
      </w:r>
      <w:r>
        <w:rPr>
          <w:rFonts w:hint="eastAsia" w:ascii="宋体" w:hAnsi="宋体" w:cs="宋体"/>
          <w:color w:val="auto"/>
          <w:sz w:val="24"/>
          <w:highlight w:val="none"/>
          <w:u w:val="single"/>
        </w:rPr>
        <w:t>9</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分，投标人应于当日8时30分至9时00分将投标文件递交至</w:t>
      </w:r>
      <w:r>
        <w:rPr>
          <w:rFonts w:hint="eastAsia" w:ascii="宋体" w:hAnsi="宋体" w:cs="宋体"/>
          <w:color w:val="auto"/>
          <w:sz w:val="24"/>
          <w:highlight w:val="none"/>
          <w:u w:val="single"/>
        </w:rPr>
        <w:t>广州交易集团有限公司（广州公共资源交易中心）（广州市天河区天润路333号）开标室（以交易中心公告的开标室为准）。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w:t>
      </w:r>
      <w:r>
        <w:rPr>
          <w:rStyle w:val="21"/>
          <w:rFonts w:hint="eastAsia" w:ascii="宋体" w:hAnsi="宋体" w:eastAsia="宋体" w:cs="宋体"/>
          <w:color w:val="auto"/>
          <w:sz w:val="24"/>
          <w:highlight w:val="none"/>
        </w:rPr>
        <w:t>逾期送达的、未送达指定地点的或不按照招标文件要求密封的投标文件，招标人将予以拒收。</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6.发布公告的媒介</w:t>
      </w:r>
    </w:p>
    <w:p>
      <w:pPr>
        <w:pStyle w:val="7"/>
        <w:topLinePunct/>
        <w:adjustRightInd w:val="0"/>
        <w:snapToGrid w:val="0"/>
        <w:spacing w:line="360" w:lineRule="auto"/>
        <w:ind w:left="105" w:leftChars="50" w:firstLine="480" w:firstLineChars="200"/>
        <w:rPr>
          <w:rFonts w:hAnsi="宋体" w:cs="宋体"/>
          <w:color w:val="auto"/>
          <w:szCs w:val="24"/>
          <w:highlight w:val="none"/>
          <w:u w:val="single"/>
        </w:rPr>
      </w:pPr>
      <w:r>
        <w:rPr>
          <w:rFonts w:hint="eastAsia" w:hAnsi="宋体" w:cs="宋体"/>
          <w:color w:val="auto"/>
          <w:szCs w:val="24"/>
          <w:highlight w:val="none"/>
        </w:rPr>
        <w:t>本次招标公告同时在广州交易集团有限公司（广州公共资源交易中心）网站、广东省招标投标监管网、中国招标投标公共服务平台上发布。如公告详细内容不一致者，以</w:t>
      </w:r>
      <w:r>
        <w:rPr>
          <w:rFonts w:hint="eastAsia" w:hAnsi="宋体" w:cs="宋体"/>
          <w:color w:val="auto"/>
          <w:szCs w:val="24"/>
          <w:highlight w:val="none"/>
          <w:u w:val="single"/>
        </w:rPr>
        <w:t>广州交易集团有限公司（广州公共资源交易中心）网站</w:t>
      </w:r>
      <w:r>
        <w:rPr>
          <w:rFonts w:hint="eastAsia" w:hAnsi="宋体" w:cs="宋体"/>
          <w:color w:val="auto"/>
          <w:szCs w:val="24"/>
          <w:highlight w:val="none"/>
        </w:rPr>
        <w:t>公告为准。</w:t>
      </w:r>
    </w:p>
    <w:p>
      <w:pPr>
        <w:adjustRightInd w:val="0"/>
        <w:snapToGrid w:val="0"/>
        <w:spacing w:line="360" w:lineRule="auto"/>
        <w:ind w:left="105" w:leftChars="50" w:firstLine="480" w:firstLineChars="200"/>
        <w:rPr>
          <w:rFonts w:ascii="宋体" w:hAnsi="宋体" w:cs="宋体"/>
          <w:color w:val="auto"/>
          <w:sz w:val="24"/>
          <w:highlight w:val="none"/>
        </w:rPr>
      </w:pPr>
      <w:r>
        <w:rPr>
          <w:rFonts w:hint="eastAsia" w:ascii="宋体" w:hAnsi="宋体" w:cs="宋体"/>
          <w:color w:val="auto"/>
          <w:sz w:val="24"/>
          <w:highlight w:val="none"/>
        </w:rPr>
        <w:t>在规定的投标登记期间，如某个标段投标登记并购买招标文件的投标人不足3家时，招标人有权选择以下任一方式：（1）在广东省招标投标监管网及</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highlight w:val="none"/>
        </w:rPr>
        <w:t>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bookmarkEnd w:id="10"/>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7.联系方式</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 xml:space="preserve">招标人：茂名广港码头有限公司 </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地址：茂名市电城镇茂名港大道莲头段</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邮政编码：525437</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电子邮件: 272009655@qq.com</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联系人：冯工</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电话：0668-5496320</w:t>
      </w:r>
    </w:p>
    <w:p>
      <w:pPr>
        <w:spacing w:line="360" w:lineRule="auto"/>
        <w:ind w:left="559" w:leftChars="266"/>
        <w:rPr>
          <w:rFonts w:ascii="宋体" w:hAnsi="宋体" w:cs="宋体"/>
          <w:color w:val="auto"/>
          <w:sz w:val="24"/>
          <w:highlight w:val="none"/>
        </w:rPr>
      </w:pPr>
      <w:r>
        <w:rPr>
          <w:rFonts w:hint="eastAsia" w:ascii="宋体" w:hAnsi="宋体" w:cs="宋体"/>
          <w:color w:val="auto"/>
          <w:sz w:val="24"/>
          <w:highlight w:val="none"/>
        </w:rPr>
        <w:t>传真：0668-5496320</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招标代理机构：广州港工程管理有限公司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址：广州经济技术开发区志诚大道331号201室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邮政编码：510730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电子邮件: </w:t>
      </w:r>
      <w:r>
        <w:rPr>
          <w:color w:val="auto"/>
          <w:highlight w:val="none"/>
        </w:rPr>
        <w:fldChar w:fldCharType="begin"/>
      </w:r>
      <w:r>
        <w:rPr>
          <w:color w:val="auto"/>
          <w:highlight w:val="none"/>
        </w:rPr>
        <w:instrText xml:space="preserve"> HYPERLINK "mailto:ZBDL2008@126.com" </w:instrText>
      </w:r>
      <w:r>
        <w:rPr>
          <w:color w:val="auto"/>
          <w:highlight w:val="none"/>
        </w:rPr>
        <w:fldChar w:fldCharType="separate"/>
      </w:r>
      <w:r>
        <w:rPr>
          <w:rStyle w:val="16"/>
          <w:rFonts w:hint="eastAsia" w:ascii="宋体" w:hAnsi="宋体" w:cs="宋体"/>
          <w:color w:val="auto"/>
          <w:sz w:val="24"/>
          <w:highlight w:val="none"/>
        </w:rPr>
        <w:t>ZBDL2008@126.com</w:t>
      </w:r>
      <w:r>
        <w:rPr>
          <w:rStyle w:val="16"/>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联系人：黄工、彭工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话：020-82212731、020-82027239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真：020-82212796</w:t>
      </w:r>
    </w:p>
    <w:p>
      <w:pPr>
        <w:spacing w:line="420" w:lineRule="exact"/>
        <w:ind w:left="105" w:leftChars="50"/>
        <w:rPr>
          <w:rFonts w:ascii="宋体" w:hAnsi="宋体" w:cs="宋体"/>
          <w:color w:val="auto"/>
          <w:highlight w:val="none"/>
        </w:rPr>
      </w:pPr>
    </w:p>
    <w:p>
      <w:pPr>
        <w:spacing w:line="420" w:lineRule="exact"/>
        <w:ind w:left="105" w:leftChars="50"/>
        <w:rPr>
          <w:rFonts w:ascii="宋体" w:hAnsi="宋体" w:cs="宋体"/>
          <w:color w:val="auto"/>
          <w:highlight w:val="none"/>
        </w:rPr>
      </w:pPr>
      <w:r>
        <w:rPr>
          <w:rFonts w:hint="eastAsia" w:ascii="宋体" w:hAnsi="宋体" w:cs="宋体"/>
          <w:color w:val="auto"/>
          <w:highlight w:val="none"/>
        </w:rPr>
        <w:t>附件1：标段的划分及主要工程项目情况</w:t>
      </w:r>
    </w:p>
    <w:p>
      <w:pPr>
        <w:spacing w:line="420" w:lineRule="exact"/>
        <w:ind w:left="105" w:leftChars="50"/>
        <w:rPr>
          <w:rFonts w:ascii="宋体" w:hAnsi="宋体" w:cs="宋体"/>
          <w:color w:val="auto"/>
          <w:highlight w:val="none"/>
        </w:rPr>
      </w:pPr>
      <w:r>
        <w:rPr>
          <w:rFonts w:hint="eastAsia" w:ascii="宋体" w:hAnsi="宋体" w:cs="宋体"/>
          <w:color w:val="auto"/>
          <w:highlight w:val="none"/>
        </w:rPr>
        <w:t>附件2：资格审查条件附录</w:t>
      </w:r>
      <w:r>
        <w:rPr>
          <w:rFonts w:hint="eastAsia" w:ascii="宋体" w:hAnsi="宋体" w:cs="宋体"/>
          <w:color w:val="auto"/>
          <w:highlight w:val="none"/>
          <w:u w:val="single"/>
        </w:rPr>
        <w:t>1</w:t>
      </w:r>
      <w:r>
        <w:rPr>
          <w:rFonts w:hint="eastAsia" w:ascii="宋体" w:hAnsi="宋体" w:cs="宋体"/>
          <w:color w:val="auto"/>
          <w:highlight w:val="none"/>
        </w:rPr>
        <w:t>至附录</w:t>
      </w:r>
      <w:r>
        <w:rPr>
          <w:rFonts w:hint="eastAsia" w:ascii="宋体" w:hAnsi="宋体" w:cs="宋体"/>
          <w:color w:val="auto"/>
          <w:highlight w:val="none"/>
          <w:u w:val="single"/>
        </w:rPr>
        <w:t>6</w:t>
      </w:r>
    </w:p>
    <w:p>
      <w:pPr>
        <w:spacing w:line="420" w:lineRule="exact"/>
        <w:ind w:left="105" w:leftChars="50"/>
        <w:rPr>
          <w:rFonts w:ascii="宋体" w:hAnsi="宋体" w:cs="宋体"/>
          <w:color w:val="auto"/>
          <w:highlight w:val="none"/>
        </w:rPr>
      </w:pPr>
      <w:r>
        <w:rPr>
          <w:rFonts w:hint="eastAsia" w:ascii="宋体" w:hAnsi="宋体" w:cs="宋体"/>
          <w:color w:val="auto"/>
          <w:highlight w:val="none"/>
        </w:rPr>
        <w:t xml:space="preserve">附件3：评标办法 </w:t>
      </w:r>
    </w:p>
    <w:p>
      <w:pPr>
        <w:spacing w:line="420" w:lineRule="exact"/>
        <w:ind w:left="105" w:leftChars="50"/>
        <w:rPr>
          <w:rFonts w:ascii="宋体" w:hAnsi="宋体" w:cs="宋体"/>
          <w:color w:val="auto"/>
          <w:highlight w:val="none"/>
        </w:rPr>
      </w:pPr>
      <w:r>
        <w:rPr>
          <w:rFonts w:hint="eastAsia" w:ascii="宋体" w:hAnsi="宋体" w:cs="宋体"/>
          <w:color w:val="auto"/>
          <w:highlight w:val="none"/>
        </w:rPr>
        <w:t>附件4：投标登记申请表</w:t>
      </w:r>
    </w:p>
    <w:p>
      <w:pPr>
        <w:spacing w:line="420" w:lineRule="exact"/>
        <w:ind w:left="105" w:leftChars="50"/>
        <w:rPr>
          <w:rFonts w:ascii="宋体" w:hAnsi="宋体" w:cs="宋体"/>
          <w:color w:val="auto"/>
          <w:highlight w:val="none"/>
        </w:rPr>
      </w:pPr>
      <w:r>
        <w:rPr>
          <w:rFonts w:hint="eastAsia" w:ascii="宋体" w:hAnsi="宋体" w:cs="宋体"/>
          <w:color w:val="auto"/>
          <w:highlight w:val="none"/>
        </w:rPr>
        <w:t>附件5：招标文件领取登记表</w:t>
      </w:r>
    </w:p>
    <w:p>
      <w:pPr>
        <w:pStyle w:val="22"/>
        <w:spacing w:line="420" w:lineRule="exact"/>
        <w:ind w:left="105" w:leftChars="50" w:firstLine="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以上附件可从发布公告的网站媒介上下载。</w:t>
      </w:r>
    </w:p>
    <w:p>
      <w:pPr>
        <w:pStyle w:val="19"/>
        <w:rPr>
          <w:rFonts w:ascii="宋体" w:hAnsi="宋体" w:eastAsia="宋体" w:cs="宋体"/>
          <w:color w:val="auto"/>
          <w:highlight w:val="none"/>
        </w:rPr>
      </w:pPr>
      <w:r>
        <w:rPr>
          <w:rFonts w:hint="eastAsia" w:ascii="宋体" w:hAnsi="宋体" w:eastAsia="宋体" w:cs="宋体"/>
          <w:color w:val="auto"/>
          <w:sz w:val="20"/>
          <w:szCs w:val="20"/>
          <w:highlight w:val="none"/>
        </w:rPr>
        <w:br w:type="page"/>
      </w:r>
      <w:r>
        <w:rPr>
          <w:rFonts w:hint="eastAsia" w:ascii="宋体" w:hAnsi="宋体" w:eastAsia="宋体" w:cs="宋体"/>
          <w:color w:val="auto"/>
          <w:highlight w:val="none"/>
        </w:rPr>
        <w:t>附件1</w:t>
      </w:r>
    </w:p>
    <w:p>
      <w:pPr>
        <w:pStyle w:val="19"/>
        <w:rPr>
          <w:rFonts w:ascii="宋体" w:hAnsi="宋体" w:eastAsia="宋体" w:cs="宋体"/>
          <w:color w:val="auto"/>
          <w:highlight w:val="none"/>
        </w:rPr>
      </w:pPr>
    </w:p>
    <w:p>
      <w:pPr>
        <w:spacing w:line="360" w:lineRule="auto"/>
        <w:jc w:val="center"/>
        <w:rPr>
          <w:rFonts w:ascii="宋体" w:hAnsi="宋体" w:cs="宋体"/>
          <w:bCs/>
          <w:color w:val="auto"/>
          <w:sz w:val="24"/>
          <w:highlight w:val="none"/>
        </w:rPr>
      </w:pPr>
      <w:r>
        <w:rPr>
          <w:rFonts w:hint="eastAsia" w:ascii="宋体" w:hAnsi="宋体" w:cs="宋体"/>
          <w:b/>
          <w:bCs/>
          <w:color w:val="auto"/>
          <w:sz w:val="32"/>
          <w:szCs w:val="32"/>
          <w:highlight w:val="none"/>
        </w:rPr>
        <w:t>标段的划分及主要工程项目情况</w:t>
      </w:r>
    </w:p>
    <w:p>
      <w:pPr>
        <w:pStyle w:val="9"/>
        <w:adjustRightInd w:val="0"/>
        <w:spacing w:line="360" w:lineRule="auto"/>
        <w:ind w:firstLine="480" w:firstLineChars="200"/>
        <w:jc w:val="both"/>
        <w:rPr>
          <w:rFonts w:ascii="宋体" w:hAnsi="宋体" w:cs="宋体"/>
          <w:color w:val="auto"/>
          <w:sz w:val="24"/>
          <w:szCs w:val="24"/>
          <w:highlight w:val="none"/>
        </w:rPr>
      </w:pP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本次招标共分1个标类1个标段，本项目为茂名港博贺新港区通用码头工程（二阶段）的一部分，主要内容为室外供电电缆、高杆灯、岸电设施和粮食输送设备供电及控制。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建设地点：茂名港博贺新港区</w:t>
      </w:r>
    </w:p>
    <w:p>
      <w:pPr>
        <w:pStyle w:val="9"/>
        <w:adjustRightInd w:val="0"/>
        <w:spacing w:line="360" w:lineRule="auto"/>
        <w:ind w:firstLine="480" w:firstLineChars="200"/>
        <w:jc w:val="both"/>
        <w:rPr>
          <w:rFonts w:ascii="宋体" w:hAnsi="宋体" w:cs="宋体"/>
          <w:color w:val="auto"/>
          <w:sz w:val="24"/>
          <w:szCs w:val="24"/>
          <w:highlight w:val="none"/>
        </w:rPr>
      </w:pPr>
      <w:r>
        <w:rPr>
          <w:rFonts w:hint="eastAsia" w:ascii="宋体" w:hAnsi="宋体" w:cs="宋体"/>
          <w:color w:val="auto"/>
          <w:sz w:val="24"/>
          <w:szCs w:val="24"/>
          <w:highlight w:val="none"/>
        </w:rPr>
        <w:t>项目投资：约6000万元</w:t>
      </w:r>
    </w:p>
    <w:p>
      <w:pPr>
        <w:tabs>
          <w:tab w:val="left" w:pos="2520"/>
          <w:tab w:val="left" w:pos="6020"/>
        </w:tabs>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计划工期：</w:t>
      </w:r>
      <w:r>
        <w:rPr>
          <w:rFonts w:ascii="宋体" w:hAnsi="宋体" w:cs="宋体"/>
          <w:color w:val="auto"/>
          <w:sz w:val="24"/>
          <w:highlight w:val="none"/>
        </w:rPr>
        <w:t>270</w:t>
      </w:r>
      <w:r>
        <w:rPr>
          <w:rFonts w:hint="eastAsia" w:ascii="宋体" w:hAnsi="宋体" w:cs="宋体"/>
          <w:color w:val="auto"/>
          <w:sz w:val="24"/>
          <w:highlight w:val="none"/>
        </w:rPr>
        <w:t>日历天。</w:t>
      </w:r>
    </w:p>
    <w:p>
      <w:pPr>
        <w:tabs>
          <w:tab w:val="left" w:pos="2520"/>
          <w:tab w:val="left" w:pos="6020"/>
        </w:tabs>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项目招标范围：本项目为茂名港博贺新港区通用码头工程（二阶段）的一部分，主要内容为室外供电电缆、高杆灯、岸电设施和粮食输送设备供电及控制等施工，具体以图纸和工程量清单为准。</w:t>
      </w: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pStyle w:val="2"/>
        <w:rPr>
          <w:color w:val="auto"/>
          <w:highlight w:val="none"/>
        </w:rPr>
      </w:pPr>
    </w:p>
    <w:p>
      <w:pPr>
        <w:rPr>
          <w:rFonts w:ascii="宋体" w:hAnsi="宋体" w:cs="宋体"/>
          <w:color w:val="auto"/>
          <w:highlight w:val="none"/>
        </w:rPr>
      </w:pPr>
    </w:p>
    <w:p>
      <w:pPr>
        <w:jc w:val="left"/>
        <w:rPr>
          <w:rFonts w:ascii="宋体" w:hAnsi="宋体" w:cs="宋体"/>
          <w:color w:val="auto"/>
          <w:highlight w:val="none"/>
        </w:rPr>
      </w:pPr>
    </w:p>
    <w:p>
      <w:pPr>
        <w:spacing w:line="420" w:lineRule="exact"/>
        <w:ind w:left="105" w:leftChars="50"/>
        <w:rPr>
          <w:rFonts w:ascii="宋体" w:hAnsi="宋体" w:cs="宋体"/>
          <w:color w:val="auto"/>
          <w:kern w:val="0"/>
          <w:sz w:val="24"/>
          <w:highlight w:val="none"/>
        </w:rPr>
      </w:pPr>
      <w:r>
        <w:rPr>
          <w:rFonts w:hint="eastAsia" w:ascii="宋体" w:hAnsi="宋体" w:cs="宋体"/>
          <w:color w:val="auto"/>
          <w:kern w:val="0"/>
          <w:sz w:val="24"/>
          <w:highlight w:val="none"/>
        </w:rPr>
        <w:t>附件2：资格审查条件附录1至附录6</w:t>
      </w:r>
    </w:p>
    <w:p>
      <w:pPr>
        <w:pStyle w:val="23"/>
        <w:jc w:val="center"/>
        <w:rPr>
          <w:rFonts w:ascii="宋体" w:hAnsi="宋体" w:eastAsia="宋体" w:cs="宋体"/>
          <w:b/>
          <w:bCs/>
          <w:kern w:val="44"/>
          <w:sz w:val="30"/>
          <w:szCs w:val="30"/>
          <w:highlight w:val="none"/>
        </w:rPr>
      </w:pPr>
      <w:r>
        <w:rPr>
          <w:rFonts w:hint="eastAsia" w:ascii="宋体" w:hAnsi="宋体" w:eastAsia="宋体" w:cs="宋体"/>
          <w:b/>
          <w:bCs/>
          <w:kern w:val="44"/>
          <w:sz w:val="30"/>
          <w:szCs w:val="30"/>
          <w:highlight w:val="none"/>
        </w:rPr>
        <w:t>附录1 资格审查条件(资质最低条件)</w:t>
      </w:r>
    </w:p>
    <w:tbl>
      <w:tblPr>
        <w:tblStyle w:val="13"/>
        <w:tblW w:w="8991" w:type="dxa"/>
        <w:tblInd w:w="94" w:type="dxa"/>
        <w:tblLayout w:type="fixed"/>
        <w:tblCellMar>
          <w:top w:w="0" w:type="dxa"/>
          <w:left w:w="108" w:type="dxa"/>
          <w:bottom w:w="0" w:type="dxa"/>
          <w:right w:w="108" w:type="dxa"/>
        </w:tblCellMar>
      </w:tblPr>
      <w:tblGrid>
        <w:gridCol w:w="8991"/>
      </w:tblGrid>
      <w:tr>
        <w:tblPrEx>
          <w:tblCellMar>
            <w:top w:w="0" w:type="dxa"/>
            <w:left w:w="108" w:type="dxa"/>
            <w:bottom w:w="0" w:type="dxa"/>
            <w:right w:w="108" w:type="dxa"/>
          </w:tblCellMar>
        </w:tblPrEx>
        <w:trPr>
          <w:trHeight w:val="711" w:hRule="atLeast"/>
        </w:trPr>
        <w:tc>
          <w:tcPr>
            <w:tcW w:w="899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105" w:leftChars="50"/>
              <w:jc w:val="center"/>
              <w:rPr>
                <w:rFonts w:ascii="宋体" w:hAnsi="宋体" w:cs="宋体"/>
                <w:color w:val="auto"/>
                <w:sz w:val="24"/>
                <w:highlight w:val="none"/>
              </w:rPr>
            </w:pPr>
            <w:r>
              <w:rPr>
                <w:rFonts w:hint="eastAsia" w:ascii="宋体" w:hAnsi="宋体" w:cs="宋体"/>
                <w:b/>
                <w:bCs/>
                <w:color w:val="auto"/>
                <w:kern w:val="0"/>
                <w:sz w:val="24"/>
                <w:highlight w:val="none"/>
              </w:rPr>
              <w:t>施工企业资质等级要求</w:t>
            </w:r>
          </w:p>
        </w:tc>
      </w:tr>
      <w:tr>
        <w:tblPrEx>
          <w:tblCellMar>
            <w:top w:w="0" w:type="dxa"/>
            <w:left w:w="108" w:type="dxa"/>
            <w:bottom w:w="0" w:type="dxa"/>
            <w:right w:w="108" w:type="dxa"/>
          </w:tblCellMar>
        </w:tblPrEx>
        <w:trPr>
          <w:trHeight w:val="652" w:hRule="atLeast"/>
        </w:trPr>
        <w:tc>
          <w:tcPr>
            <w:tcW w:w="899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left="105" w:leftChars="50"/>
              <w:rPr>
                <w:rFonts w:ascii="宋体" w:hAnsi="宋体" w:cs="宋体"/>
                <w:color w:val="auto"/>
                <w:kern w:val="0"/>
                <w:sz w:val="24"/>
                <w:highlight w:val="none"/>
              </w:rPr>
            </w:pPr>
            <w:r>
              <w:rPr>
                <w:rFonts w:hint="eastAsia" w:ascii="宋体" w:hAnsi="宋体" w:cs="宋体"/>
                <w:color w:val="auto"/>
                <w:kern w:val="0"/>
                <w:sz w:val="24"/>
                <w:highlight w:val="none"/>
              </w:rPr>
              <w:t>1.投标人应具有独立法人资格，持有合法有效的法人营业执照。</w:t>
            </w:r>
          </w:p>
          <w:p>
            <w:pPr>
              <w:autoSpaceDE w:val="0"/>
              <w:autoSpaceDN w:val="0"/>
              <w:adjustRightInd w:val="0"/>
              <w:ind w:left="105" w:leftChars="50"/>
              <w:rPr>
                <w:rFonts w:ascii="宋体" w:hAnsi="宋体" w:cs="宋体"/>
                <w:color w:val="auto"/>
                <w:kern w:val="0"/>
                <w:sz w:val="24"/>
                <w:highlight w:val="none"/>
              </w:rPr>
            </w:pPr>
            <w:r>
              <w:rPr>
                <w:rFonts w:hint="eastAsia" w:ascii="宋体" w:hAnsi="宋体" w:cs="宋体"/>
                <w:color w:val="auto"/>
                <w:kern w:val="0"/>
                <w:sz w:val="24"/>
                <w:highlight w:val="none"/>
              </w:rPr>
              <w:t>2.投标人具有建设行政主管部门核发的机电工程施工总承包一级（或以上）资质。</w:t>
            </w:r>
          </w:p>
          <w:p>
            <w:pPr>
              <w:autoSpaceDE w:val="0"/>
              <w:autoSpaceDN w:val="0"/>
              <w:adjustRightInd w:val="0"/>
              <w:ind w:left="105" w:leftChars="50"/>
              <w:rPr>
                <w:rFonts w:ascii="宋体" w:hAnsi="宋体" w:cs="宋体"/>
                <w:color w:val="auto"/>
                <w:kern w:val="0"/>
                <w:sz w:val="24"/>
                <w:highlight w:val="none"/>
              </w:rPr>
            </w:pPr>
            <w:r>
              <w:rPr>
                <w:rFonts w:hint="eastAsia" w:ascii="宋体" w:hAnsi="宋体" w:cs="宋体"/>
                <w:color w:val="auto"/>
                <w:kern w:val="0"/>
                <w:sz w:val="24"/>
                <w:highlight w:val="none"/>
              </w:rPr>
              <w:t>3.具有国家能源局核发的《承装（修、试）电力设施许可证》的承装、承试类五级或以上资质，资质年审有效。</w:t>
            </w:r>
          </w:p>
          <w:p>
            <w:pPr>
              <w:autoSpaceDE w:val="0"/>
              <w:autoSpaceDN w:val="0"/>
              <w:adjustRightInd w:val="0"/>
              <w:ind w:left="105" w:leftChars="50"/>
              <w:rPr>
                <w:rFonts w:ascii="宋体" w:hAnsi="宋体" w:cs="宋体"/>
                <w:color w:val="auto"/>
                <w:highlight w:val="none"/>
              </w:rPr>
            </w:pPr>
            <w:r>
              <w:rPr>
                <w:rFonts w:hint="eastAsia" w:ascii="宋体" w:hAnsi="宋体" w:cs="宋体"/>
                <w:color w:val="auto"/>
                <w:kern w:val="0"/>
                <w:sz w:val="24"/>
                <w:highlight w:val="none"/>
              </w:rPr>
              <w:t>4.投标人应具有合法有效的安全生产许可证。</w:t>
            </w:r>
          </w:p>
        </w:tc>
      </w:tr>
    </w:tbl>
    <w:p>
      <w:pPr>
        <w:pStyle w:val="19"/>
        <w:rPr>
          <w:rFonts w:ascii="宋体" w:hAnsi="宋体" w:eastAsia="宋体" w:cs="宋体"/>
          <w:color w:val="auto"/>
          <w:highlight w:val="none"/>
        </w:rPr>
      </w:pPr>
    </w:p>
    <w:p>
      <w:pPr>
        <w:pStyle w:val="19"/>
        <w:rPr>
          <w:rFonts w:ascii="宋体" w:hAnsi="宋体" w:eastAsia="宋体" w:cs="宋体"/>
          <w:color w:val="auto"/>
          <w:highlight w:val="none"/>
        </w:rPr>
      </w:pPr>
    </w:p>
    <w:p>
      <w:pPr>
        <w:pStyle w:val="23"/>
        <w:jc w:val="center"/>
        <w:rPr>
          <w:rFonts w:ascii="宋体" w:hAnsi="宋体" w:eastAsia="宋体" w:cs="宋体"/>
          <w:sz w:val="30"/>
          <w:szCs w:val="30"/>
          <w:highlight w:val="none"/>
        </w:rPr>
      </w:pPr>
      <w:r>
        <w:rPr>
          <w:rFonts w:hint="eastAsia" w:ascii="宋体" w:hAnsi="宋体" w:eastAsia="宋体" w:cs="宋体"/>
          <w:b/>
          <w:bCs/>
          <w:kern w:val="44"/>
          <w:sz w:val="30"/>
          <w:szCs w:val="30"/>
          <w:highlight w:val="none"/>
        </w:rPr>
        <w:t>附录2 资格审查条件(财务最低要求)</w:t>
      </w:r>
    </w:p>
    <w:tbl>
      <w:tblPr>
        <w:tblStyle w:val="13"/>
        <w:tblW w:w="8882" w:type="dxa"/>
        <w:jc w:val="center"/>
        <w:tblLayout w:type="fixed"/>
        <w:tblCellMar>
          <w:top w:w="0" w:type="dxa"/>
          <w:left w:w="108" w:type="dxa"/>
          <w:bottom w:w="0" w:type="dxa"/>
          <w:right w:w="108" w:type="dxa"/>
        </w:tblCellMar>
      </w:tblPr>
      <w:tblGrid>
        <w:gridCol w:w="8882"/>
      </w:tblGrid>
      <w:tr>
        <w:tblPrEx>
          <w:tblCellMar>
            <w:top w:w="0" w:type="dxa"/>
            <w:left w:w="108" w:type="dxa"/>
            <w:bottom w:w="0" w:type="dxa"/>
            <w:right w:w="108" w:type="dxa"/>
          </w:tblCellMar>
        </w:tblPrEx>
        <w:trPr>
          <w:trHeight w:val="448" w:hRule="atLeast"/>
          <w:jc w:val="center"/>
        </w:trPr>
        <w:tc>
          <w:tcPr>
            <w:tcW w:w="8882" w:type="dxa"/>
            <w:tcBorders>
              <w:top w:val="single" w:color="auto" w:sz="4" w:space="0"/>
              <w:left w:val="single" w:color="auto" w:sz="4" w:space="0"/>
              <w:bottom w:val="single" w:color="auto" w:sz="4" w:space="0"/>
              <w:right w:val="single" w:color="auto" w:sz="4" w:space="0"/>
            </w:tcBorders>
            <w:vAlign w:val="center"/>
          </w:tcPr>
          <w:p>
            <w:pPr>
              <w:pStyle w:val="24"/>
              <w:spacing w:after="0" w:line="360" w:lineRule="auto"/>
              <w:jc w:val="center"/>
              <w:rPr>
                <w:rFonts w:ascii="宋体" w:hAnsi="宋体" w:eastAsia="宋体" w:cs="宋体"/>
                <w:highlight w:val="none"/>
              </w:rPr>
            </w:pPr>
            <w:r>
              <w:rPr>
                <w:rFonts w:hint="eastAsia" w:ascii="宋体" w:hAnsi="宋体" w:eastAsia="宋体" w:cs="宋体"/>
                <w:b/>
                <w:bCs/>
                <w:highlight w:val="none"/>
              </w:rPr>
              <w:t>财务要求</w:t>
            </w:r>
          </w:p>
        </w:tc>
      </w:tr>
      <w:tr>
        <w:tblPrEx>
          <w:tblCellMar>
            <w:top w:w="0" w:type="dxa"/>
            <w:left w:w="108" w:type="dxa"/>
            <w:bottom w:w="0" w:type="dxa"/>
            <w:right w:w="108" w:type="dxa"/>
          </w:tblCellMar>
        </w:tblPrEx>
        <w:trPr>
          <w:trHeight w:val="814" w:hRule="atLeast"/>
          <w:jc w:val="center"/>
        </w:trPr>
        <w:tc>
          <w:tcPr>
            <w:tcW w:w="88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1.企业净资产（总资产-总负债）不少于</w:t>
            </w:r>
            <w:r>
              <w:rPr>
                <w:rFonts w:hint="eastAsia" w:ascii="宋体" w:hAnsi="宋体" w:cs="宋体"/>
                <w:color w:val="auto"/>
                <w:sz w:val="24"/>
                <w:highlight w:val="none"/>
                <w:u w:val="single"/>
              </w:rPr>
              <w:t>10000</w:t>
            </w:r>
            <w:r>
              <w:rPr>
                <w:rFonts w:hint="eastAsia" w:ascii="宋体" w:hAnsi="宋体" w:cs="宋体"/>
                <w:color w:val="auto"/>
                <w:sz w:val="24"/>
                <w:highlight w:val="none"/>
              </w:rPr>
              <w:t>万人民币。</w:t>
            </w:r>
          </w:p>
          <w:p>
            <w:pPr>
              <w:rPr>
                <w:rFonts w:ascii="宋体" w:hAnsi="宋体" w:cs="宋体"/>
                <w:color w:val="auto"/>
                <w:sz w:val="24"/>
                <w:highlight w:val="none"/>
              </w:rPr>
            </w:pPr>
            <w:r>
              <w:rPr>
                <w:rFonts w:hint="eastAsia" w:ascii="宋体" w:hAnsi="宋体" w:cs="宋体"/>
                <w:color w:val="auto"/>
                <w:sz w:val="24"/>
                <w:highlight w:val="none"/>
              </w:rPr>
              <w:t>2.营运资金（流动资产－流动负债）不少于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万元人民币。</w:t>
            </w:r>
          </w:p>
          <w:p>
            <w:pPr>
              <w:rPr>
                <w:rFonts w:ascii="宋体" w:hAnsi="宋体" w:cs="宋体"/>
                <w:color w:val="auto"/>
                <w:sz w:val="24"/>
                <w:highlight w:val="none"/>
              </w:rPr>
            </w:pPr>
            <w:r>
              <w:rPr>
                <w:rFonts w:hint="eastAsia" w:ascii="宋体" w:hAnsi="宋体" w:cs="宋体"/>
                <w:color w:val="auto"/>
                <w:sz w:val="24"/>
                <w:highlight w:val="none"/>
              </w:rPr>
              <w:t>3.近三个年度的平均营业总收入不少于</w:t>
            </w:r>
            <w:r>
              <w:rPr>
                <w:rFonts w:hint="eastAsia" w:ascii="宋体" w:hAnsi="宋体" w:cs="宋体"/>
                <w:color w:val="auto"/>
                <w:sz w:val="24"/>
                <w:highlight w:val="none"/>
                <w:u w:val="single"/>
              </w:rPr>
              <w:t>/</w:t>
            </w:r>
            <w:r>
              <w:rPr>
                <w:rFonts w:hint="eastAsia" w:ascii="宋体" w:hAnsi="宋体" w:cs="宋体"/>
                <w:color w:val="auto"/>
                <w:sz w:val="24"/>
                <w:highlight w:val="none"/>
              </w:rPr>
              <w:t>万元人民币。</w:t>
            </w:r>
          </w:p>
          <w:p>
            <w:pPr>
              <w:rPr>
                <w:rFonts w:ascii="宋体" w:hAnsi="宋体" w:cs="宋体"/>
                <w:color w:val="auto"/>
                <w:sz w:val="24"/>
                <w:highlight w:val="none"/>
              </w:rPr>
            </w:pPr>
            <w:r>
              <w:rPr>
                <w:rFonts w:hint="eastAsia" w:ascii="宋体" w:hAnsi="宋体" w:cs="宋体"/>
                <w:color w:val="auto"/>
                <w:sz w:val="24"/>
                <w:highlight w:val="none"/>
              </w:rPr>
              <w:t>4.近三个年度</w:t>
            </w:r>
            <w:r>
              <w:rPr>
                <w:rFonts w:hint="eastAsia" w:ascii="宋体" w:hAnsi="宋体" w:cs="宋体"/>
                <w:color w:val="auto"/>
                <w:sz w:val="24"/>
                <w:highlight w:val="none"/>
                <w:u w:val="single"/>
              </w:rPr>
              <w:t>3</w:t>
            </w:r>
            <w:r>
              <w:rPr>
                <w:rFonts w:hint="eastAsia" w:ascii="宋体" w:hAnsi="宋体" w:cs="宋体"/>
                <w:color w:val="auto"/>
                <w:sz w:val="24"/>
                <w:highlight w:val="none"/>
              </w:rPr>
              <w:t>年每年均盈利。</w:t>
            </w:r>
          </w:p>
        </w:tc>
      </w:tr>
    </w:tbl>
    <w:p>
      <w:pPr>
        <w:pStyle w:val="19"/>
        <w:rPr>
          <w:rFonts w:ascii="宋体" w:hAnsi="宋体" w:eastAsia="宋体" w:cs="宋体"/>
          <w:color w:val="auto"/>
          <w:kern w:val="44"/>
          <w:sz w:val="18"/>
          <w:szCs w:val="18"/>
          <w:highlight w:val="none"/>
        </w:rPr>
      </w:pPr>
      <w:r>
        <w:rPr>
          <w:rFonts w:hint="eastAsia" w:ascii="宋体" w:hAnsi="宋体" w:eastAsia="宋体" w:cs="宋体"/>
          <w:color w:val="auto"/>
          <w:kern w:val="44"/>
          <w:sz w:val="18"/>
          <w:szCs w:val="18"/>
          <w:highlight w:val="none"/>
        </w:rPr>
        <w:t>注：1、企业净资产、营运资金是指近三个财务年度的最后一年的数据，下同。</w:t>
      </w:r>
    </w:p>
    <w:p>
      <w:pPr>
        <w:pStyle w:val="19"/>
        <w:rPr>
          <w:rFonts w:ascii="宋体" w:hAnsi="宋体" w:eastAsia="宋体" w:cs="宋体"/>
          <w:b/>
          <w:bCs/>
          <w:color w:val="auto"/>
          <w:kern w:val="44"/>
          <w:sz w:val="30"/>
          <w:szCs w:val="30"/>
          <w:highlight w:val="none"/>
        </w:rPr>
      </w:pPr>
    </w:p>
    <w:p>
      <w:pPr>
        <w:pStyle w:val="23"/>
        <w:jc w:val="center"/>
        <w:rPr>
          <w:rFonts w:ascii="宋体" w:hAnsi="宋体" w:eastAsia="宋体" w:cs="宋体"/>
          <w:sz w:val="30"/>
          <w:szCs w:val="30"/>
          <w:highlight w:val="none"/>
        </w:rPr>
      </w:pPr>
      <w:r>
        <w:rPr>
          <w:rFonts w:hint="eastAsia" w:ascii="宋体" w:hAnsi="宋体" w:eastAsia="宋体" w:cs="宋体"/>
          <w:b/>
          <w:bCs/>
          <w:kern w:val="44"/>
          <w:sz w:val="30"/>
          <w:szCs w:val="30"/>
          <w:highlight w:val="none"/>
        </w:rPr>
        <w:t>附录3 资格审查条件(业绩最低要求)</w:t>
      </w:r>
    </w:p>
    <w:tbl>
      <w:tblPr>
        <w:tblStyle w:val="13"/>
        <w:tblW w:w="8948" w:type="dxa"/>
        <w:jc w:val="center"/>
        <w:tblLayout w:type="fixed"/>
        <w:tblCellMar>
          <w:top w:w="0" w:type="dxa"/>
          <w:left w:w="108" w:type="dxa"/>
          <w:bottom w:w="0" w:type="dxa"/>
          <w:right w:w="108" w:type="dxa"/>
        </w:tblCellMar>
      </w:tblPr>
      <w:tblGrid>
        <w:gridCol w:w="8948"/>
      </w:tblGrid>
      <w:tr>
        <w:tblPrEx>
          <w:tblCellMar>
            <w:top w:w="0" w:type="dxa"/>
            <w:left w:w="108" w:type="dxa"/>
            <w:bottom w:w="0" w:type="dxa"/>
            <w:right w:w="108" w:type="dxa"/>
          </w:tblCellMar>
        </w:tblPrEx>
        <w:trPr>
          <w:trHeight w:val="567" w:hRule="atLeast"/>
          <w:jc w:val="center"/>
        </w:trPr>
        <w:tc>
          <w:tcPr>
            <w:tcW w:w="8948" w:type="dxa"/>
            <w:tcBorders>
              <w:top w:val="single" w:color="auto" w:sz="4" w:space="0"/>
              <w:left w:val="single" w:color="auto" w:sz="4" w:space="0"/>
              <w:bottom w:val="single" w:color="auto" w:sz="4" w:space="0"/>
              <w:right w:val="single" w:color="auto" w:sz="4" w:space="0"/>
            </w:tcBorders>
            <w:vAlign w:val="center"/>
          </w:tcPr>
          <w:p>
            <w:pPr>
              <w:pStyle w:val="24"/>
              <w:spacing w:after="0" w:line="360" w:lineRule="auto"/>
              <w:jc w:val="center"/>
              <w:rPr>
                <w:rFonts w:ascii="宋体" w:hAnsi="宋体" w:eastAsia="宋体" w:cs="宋体"/>
                <w:highlight w:val="none"/>
              </w:rPr>
            </w:pPr>
            <w:r>
              <w:rPr>
                <w:rFonts w:hint="eastAsia" w:ascii="宋体" w:hAnsi="宋体" w:eastAsia="宋体" w:cs="宋体"/>
                <w:b/>
                <w:bCs/>
                <w:highlight w:val="none"/>
              </w:rPr>
              <w:t>业绩要求</w:t>
            </w:r>
          </w:p>
        </w:tc>
      </w:tr>
      <w:tr>
        <w:tblPrEx>
          <w:tblCellMar>
            <w:top w:w="0" w:type="dxa"/>
            <w:left w:w="108" w:type="dxa"/>
            <w:bottom w:w="0" w:type="dxa"/>
            <w:right w:w="108" w:type="dxa"/>
          </w:tblCellMar>
        </w:tblPrEx>
        <w:trPr>
          <w:trHeight w:val="1008" w:hRule="atLeast"/>
          <w:jc w:val="center"/>
        </w:trPr>
        <w:tc>
          <w:tcPr>
            <w:tcW w:w="89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r>
              <w:rPr>
                <w:rFonts w:hint="eastAsia" w:ascii="宋体" w:hAnsi="宋体" w:cs="宋体"/>
                <w:color w:val="auto"/>
                <w:sz w:val="24"/>
                <w:highlight w:val="none"/>
              </w:rPr>
              <w:t>投标人自</w:t>
            </w:r>
            <w:r>
              <w:rPr>
                <w:rFonts w:hint="eastAsia" w:ascii="宋体" w:hAnsi="宋体" w:cs="宋体"/>
                <w:color w:val="auto"/>
                <w:sz w:val="24"/>
                <w:highlight w:val="none"/>
                <w:lang w:eastAsia="zh-CN"/>
              </w:rPr>
              <w:t>2019年1月1日</w:t>
            </w:r>
            <w:r>
              <w:rPr>
                <w:rFonts w:hint="eastAsia" w:ascii="宋体" w:hAnsi="宋体" w:cs="宋体"/>
                <w:color w:val="auto"/>
                <w:sz w:val="24"/>
                <w:highlight w:val="none"/>
              </w:rPr>
              <w:t>至今[以交（竣）工验收时间为准]完成过质量合格的单项合同额不少于人民币4000万元的机电安装工程施工。</w:t>
            </w:r>
          </w:p>
        </w:tc>
      </w:tr>
    </w:tbl>
    <w:p>
      <w:pPr>
        <w:pStyle w:val="19"/>
        <w:spacing w:line="360" w:lineRule="auto"/>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注：1、本附录所要求的业绩仅限中华人民共和国境内业绩。</w:t>
      </w:r>
    </w:p>
    <w:p>
      <w:pPr>
        <w:pStyle w:val="19"/>
        <w:spacing w:line="440" w:lineRule="atLeast"/>
        <w:jc w:val="center"/>
        <w:rPr>
          <w:rFonts w:ascii="宋体" w:hAnsi="宋体" w:eastAsia="宋体" w:cs="宋体"/>
          <w:color w:val="auto"/>
          <w:sz w:val="21"/>
          <w:szCs w:val="21"/>
          <w:highlight w:val="none"/>
        </w:rPr>
      </w:pPr>
    </w:p>
    <w:p>
      <w:pPr>
        <w:pStyle w:val="23"/>
        <w:jc w:val="center"/>
        <w:rPr>
          <w:rFonts w:ascii="宋体" w:hAnsi="宋体" w:eastAsia="宋体" w:cs="宋体"/>
          <w:sz w:val="30"/>
          <w:szCs w:val="30"/>
          <w:highlight w:val="none"/>
        </w:rPr>
      </w:pPr>
      <w:r>
        <w:rPr>
          <w:rFonts w:hint="eastAsia" w:ascii="宋体" w:hAnsi="宋体" w:eastAsia="宋体" w:cs="宋体"/>
          <w:b/>
          <w:bCs/>
          <w:kern w:val="44"/>
          <w:sz w:val="30"/>
          <w:szCs w:val="30"/>
          <w:highlight w:val="none"/>
        </w:rPr>
        <w:t>附录4 资格审查条件(信誉最低要求)</w:t>
      </w:r>
    </w:p>
    <w:tbl>
      <w:tblPr>
        <w:tblStyle w:val="13"/>
        <w:tblW w:w="8831" w:type="dxa"/>
        <w:jc w:val="center"/>
        <w:tblLayout w:type="fixed"/>
        <w:tblCellMar>
          <w:top w:w="0" w:type="dxa"/>
          <w:left w:w="108" w:type="dxa"/>
          <w:bottom w:w="0" w:type="dxa"/>
          <w:right w:w="108" w:type="dxa"/>
        </w:tblCellMar>
      </w:tblPr>
      <w:tblGrid>
        <w:gridCol w:w="8831"/>
      </w:tblGrid>
      <w:tr>
        <w:tblPrEx>
          <w:tblCellMar>
            <w:top w:w="0" w:type="dxa"/>
            <w:left w:w="108" w:type="dxa"/>
            <w:bottom w:w="0" w:type="dxa"/>
            <w:right w:w="108" w:type="dxa"/>
          </w:tblCellMar>
        </w:tblPrEx>
        <w:trPr>
          <w:trHeight w:val="500" w:hRule="atLeast"/>
          <w:jc w:val="center"/>
        </w:trPr>
        <w:tc>
          <w:tcPr>
            <w:tcW w:w="8831" w:type="dxa"/>
            <w:tcBorders>
              <w:top w:val="single" w:color="auto" w:sz="4" w:space="0"/>
              <w:left w:val="single" w:color="auto" w:sz="4" w:space="0"/>
              <w:bottom w:val="single" w:color="auto" w:sz="4" w:space="0"/>
              <w:right w:val="single" w:color="auto" w:sz="4" w:space="0"/>
            </w:tcBorders>
            <w:vAlign w:val="center"/>
          </w:tcPr>
          <w:p>
            <w:pPr>
              <w:pStyle w:val="24"/>
              <w:spacing w:after="0" w:line="360" w:lineRule="auto"/>
              <w:jc w:val="center"/>
              <w:rPr>
                <w:rFonts w:ascii="宋体" w:hAnsi="宋体" w:eastAsia="宋体" w:cs="宋体"/>
                <w:highlight w:val="none"/>
              </w:rPr>
            </w:pPr>
            <w:r>
              <w:rPr>
                <w:rFonts w:hint="eastAsia" w:ascii="宋体" w:hAnsi="宋体" w:eastAsia="宋体" w:cs="宋体"/>
                <w:b/>
                <w:bCs/>
                <w:sz w:val="21"/>
                <w:szCs w:val="21"/>
                <w:highlight w:val="none"/>
              </w:rPr>
              <w:t>信誉要求</w:t>
            </w:r>
          </w:p>
        </w:tc>
      </w:tr>
      <w:tr>
        <w:tblPrEx>
          <w:tblCellMar>
            <w:top w:w="0" w:type="dxa"/>
            <w:left w:w="108" w:type="dxa"/>
            <w:bottom w:w="0" w:type="dxa"/>
            <w:right w:w="108" w:type="dxa"/>
          </w:tblCellMar>
        </w:tblPrEx>
        <w:trPr>
          <w:trHeight w:val="841" w:hRule="atLeast"/>
          <w:jc w:val="center"/>
        </w:trPr>
        <w:tc>
          <w:tcPr>
            <w:tcW w:w="8831"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eastAsia="宋体" w:cs="宋体"/>
                <w:color w:val="auto"/>
                <w:highlight w:val="none"/>
              </w:rPr>
            </w:pPr>
            <w:r>
              <w:rPr>
                <w:rFonts w:hint="eastAsia" w:ascii="宋体" w:hAnsi="宋体" w:eastAsia="宋体" w:cs="宋体"/>
                <w:color w:val="auto"/>
                <w:kern w:val="2"/>
                <w:highlight w:val="none"/>
              </w:rPr>
              <w:t>在最新年度广东省水运工程从业单位（施工单位）信用评价（含无最新年度而上一年度有信用评价）中，信用等级未被评为D级；初次进入广东省的投标人，在最新年度的全国水运从业单位（施工单位）信用评价结果中未被评为D级。</w:t>
            </w:r>
          </w:p>
        </w:tc>
      </w:tr>
    </w:tbl>
    <w:p>
      <w:pPr>
        <w:pStyle w:val="25"/>
        <w:spacing w:after="0" w:line="360" w:lineRule="auto"/>
        <w:rPr>
          <w:rFonts w:ascii="宋体" w:hAnsi="宋体" w:eastAsia="宋体" w:cs="宋体"/>
          <w:sz w:val="18"/>
          <w:szCs w:val="18"/>
          <w:highlight w:val="none"/>
        </w:rPr>
      </w:pPr>
      <w:r>
        <w:rPr>
          <w:rFonts w:hint="eastAsia" w:ascii="宋体" w:hAnsi="宋体" w:eastAsia="宋体" w:cs="宋体"/>
          <w:sz w:val="18"/>
          <w:szCs w:val="18"/>
          <w:highlight w:val="none"/>
        </w:rPr>
        <w:t>注：1、信用等级类别应与招标相应的标段类别对应。</w:t>
      </w:r>
    </w:p>
    <w:p>
      <w:pPr>
        <w:pStyle w:val="25"/>
        <w:spacing w:after="0" w:line="360" w:lineRule="auto"/>
        <w:rPr>
          <w:rFonts w:ascii="宋体" w:hAnsi="宋体" w:eastAsia="宋体" w:cs="宋体"/>
          <w:sz w:val="18"/>
          <w:szCs w:val="18"/>
          <w:highlight w:val="none"/>
        </w:rPr>
      </w:pPr>
      <w:r>
        <w:rPr>
          <w:rFonts w:hint="eastAsia" w:ascii="宋体" w:hAnsi="宋体" w:eastAsia="宋体" w:cs="宋体"/>
          <w:sz w:val="18"/>
          <w:szCs w:val="18"/>
          <w:highlight w:val="none"/>
        </w:rPr>
        <w:t>2、信用等级的确定原则遵遁投标人须知前附表 10.2 款的规定。</w:t>
      </w:r>
    </w:p>
    <w:p>
      <w:pPr>
        <w:pStyle w:val="25"/>
        <w:jc w:val="center"/>
        <w:rPr>
          <w:rFonts w:ascii="宋体" w:hAnsi="宋体" w:eastAsia="宋体" w:cs="宋体"/>
          <w:b/>
          <w:bCs/>
          <w:kern w:val="44"/>
          <w:sz w:val="30"/>
          <w:szCs w:val="30"/>
          <w:highlight w:val="none"/>
        </w:rPr>
      </w:pPr>
    </w:p>
    <w:p>
      <w:pPr>
        <w:pStyle w:val="25"/>
        <w:jc w:val="center"/>
        <w:rPr>
          <w:rFonts w:ascii="宋体" w:hAnsi="宋体" w:eastAsia="宋体" w:cs="宋体"/>
          <w:b/>
          <w:bCs/>
          <w:kern w:val="44"/>
          <w:sz w:val="30"/>
          <w:szCs w:val="30"/>
          <w:highlight w:val="none"/>
        </w:rPr>
      </w:pPr>
    </w:p>
    <w:p>
      <w:pPr>
        <w:pStyle w:val="25"/>
        <w:jc w:val="both"/>
        <w:rPr>
          <w:rFonts w:ascii="宋体" w:hAnsi="宋体" w:eastAsia="宋体" w:cs="宋体"/>
          <w:b/>
          <w:bCs/>
          <w:kern w:val="44"/>
          <w:sz w:val="30"/>
          <w:szCs w:val="30"/>
          <w:highlight w:val="none"/>
        </w:rPr>
      </w:pPr>
    </w:p>
    <w:p>
      <w:pPr>
        <w:pStyle w:val="25"/>
        <w:jc w:val="left"/>
        <w:rPr>
          <w:rFonts w:hint="eastAsia" w:ascii="宋体" w:hAnsi="宋体" w:eastAsia="宋体" w:cs="宋体"/>
          <w:b/>
          <w:bCs/>
          <w:kern w:val="44"/>
          <w:sz w:val="30"/>
          <w:szCs w:val="30"/>
          <w:highlight w:val="none"/>
          <w:lang w:val="en-US" w:eastAsia="zh-CN"/>
        </w:rPr>
      </w:pPr>
      <w:r>
        <w:rPr>
          <w:rFonts w:hint="eastAsia" w:ascii="宋体" w:hAnsi="宋体" w:eastAsia="宋体" w:cs="宋体"/>
          <w:b/>
          <w:bCs/>
          <w:kern w:val="44"/>
          <w:sz w:val="30"/>
          <w:szCs w:val="30"/>
          <w:highlight w:val="none"/>
          <w:lang w:val="en-US" w:eastAsia="zh-CN"/>
        </w:rPr>
        <w:t>附件3</w:t>
      </w:r>
    </w:p>
    <w:p>
      <w:pPr>
        <w:pStyle w:val="4"/>
        <w:spacing w:before="0" w:after="0" w:line="360" w:lineRule="auto"/>
        <w:jc w:val="center"/>
        <w:rPr>
          <w:rFonts w:ascii="宋体" w:hAnsi="宋体" w:eastAsia="宋体" w:cs="宋体"/>
          <w:b w:val="0"/>
          <w:color w:val="auto"/>
          <w:highlight w:val="none"/>
        </w:rPr>
      </w:pPr>
      <w:bookmarkStart w:id="11" w:name="bookmark104"/>
      <w:bookmarkStart w:id="12" w:name="_Toc2124"/>
      <w:bookmarkStart w:id="13" w:name="_Toc30228"/>
      <w:r>
        <w:rPr>
          <w:rStyle w:val="29"/>
          <w:rFonts w:hint="eastAsia" w:ascii="宋体" w:hAnsi="宋体" w:eastAsia="宋体" w:cs="宋体"/>
          <w:b/>
          <w:bCs/>
          <w:color w:val="auto"/>
          <w:sz w:val="32"/>
          <w:szCs w:val="32"/>
          <w:highlight w:val="none"/>
        </w:rPr>
        <w:t>评标办法（双信封的综合评分法）</w:t>
      </w:r>
    </w:p>
    <w:p>
      <w:pPr>
        <w:pStyle w:val="4"/>
        <w:spacing w:before="0" w:after="0" w:line="360" w:lineRule="auto"/>
        <w:jc w:val="left"/>
        <w:rPr>
          <w:rStyle w:val="29"/>
          <w:rFonts w:ascii="宋体" w:hAnsi="宋体" w:eastAsia="宋体" w:cs="宋体"/>
          <w:b w:val="0"/>
          <w:bCs w:val="0"/>
          <w:color w:val="auto"/>
          <w:sz w:val="24"/>
          <w:szCs w:val="24"/>
          <w:highlight w:val="none"/>
        </w:rPr>
      </w:pPr>
      <w:r>
        <w:rPr>
          <w:rStyle w:val="29"/>
          <w:rFonts w:hint="eastAsia" w:ascii="宋体" w:hAnsi="宋体" w:eastAsia="宋体" w:cs="宋体"/>
          <w:b w:val="0"/>
          <w:bCs w:val="0"/>
          <w:color w:val="auto"/>
          <w:sz w:val="24"/>
          <w:szCs w:val="24"/>
          <w:highlight w:val="none"/>
        </w:rPr>
        <w:t>评标办法前附表</w:t>
      </w:r>
      <w:bookmarkEnd w:id="11"/>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tbl>
      <w:tblPr>
        <w:tblStyle w:val="13"/>
        <w:tblW w:w="9219" w:type="dxa"/>
        <w:tblInd w:w="-5" w:type="dxa"/>
        <w:tblLayout w:type="fixed"/>
        <w:tblCellMar>
          <w:top w:w="0" w:type="dxa"/>
          <w:left w:w="0" w:type="dxa"/>
          <w:bottom w:w="0" w:type="dxa"/>
          <w:right w:w="0" w:type="dxa"/>
        </w:tblCellMar>
      </w:tblPr>
      <w:tblGrid>
        <w:gridCol w:w="683"/>
        <w:gridCol w:w="1590"/>
        <w:gridCol w:w="6946"/>
      </w:tblGrid>
      <w:tr>
        <w:tblPrEx>
          <w:tblCellMar>
            <w:top w:w="0" w:type="dxa"/>
            <w:left w:w="0" w:type="dxa"/>
            <w:bottom w:w="0" w:type="dxa"/>
            <w:right w:w="0" w:type="dxa"/>
          </w:tblCellMar>
        </w:tblPrEx>
        <w:trPr>
          <w:tblHeader/>
        </w:trPr>
        <w:tc>
          <w:tcPr>
            <w:tcW w:w="2273" w:type="dxa"/>
            <w:gridSpan w:val="2"/>
            <w:tcBorders>
              <w:top w:val="single" w:color="auto" w:sz="4" w:space="0"/>
              <w:left w:val="single" w:color="auto" w:sz="4" w:space="0"/>
              <w:bottom w:val="nil"/>
              <w:right w:val="nil"/>
            </w:tcBorders>
            <w:shd w:val="clear" w:color="auto" w:fill="FFFFFF"/>
            <w:vAlign w:val="bottom"/>
          </w:tcPr>
          <w:p>
            <w:pPr>
              <w:pStyle w:val="20"/>
              <w:shd w:val="clear" w:color="auto" w:fill="auto"/>
              <w:spacing w:before="0" w:line="360" w:lineRule="auto"/>
              <w:jc w:val="center"/>
              <w:rPr>
                <w:rFonts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lang w:val="zh-CN"/>
              </w:rPr>
              <w:t>条款号</w:t>
            </w:r>
          </w:p>
        </w:tc>
        <w:tc>
          <w:tcPr>
            <w:tcW w:w="6946" w:type="dxa"/>
            <w:tcBorders>
              <w:top w:val="single" w:color="auto" w:sz="4" w:space="0"/>
              <w:left w:val="single" w:color="auto" w:sz="4" w:space="0"/>
              <w:bottom w:val="nil"/>
              <w:right w:val="single" w:color="auto" w:sz="4" w:space="0"/>
            </w:tcBorders>
            <w:shd w:val="clear" w:color="auto" w:fill="FFFFFF"/>
            <w:vAlign w:val="bottom"/>
          </w:tcPr>
          <w:p>
            <w:pPr>
              <w:pStyle w:val="20"/>
              <w:shd w:val="clear" w:color="auto" w:fill="auto"/>
              <w:spacing w:before="0" w:line="360" w:lineRule="auto"/>
              <w:jc w:val="center"/>
              <w:rPr>
                <w:rFonts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lang w:val="zh-CN"/>
              </w:rPr>
              <w:t>评审因素与评审标准</w:t>
            </w:r>
          </w:p>
        </w:tc>
      </w:tr>
      <w:tr>
        <w:tblPrEx>
          <w:tblCellMar>
            <w:top w:w="0" w:type="dxa"/>
            <w:left w:w="0" w:type="dxa"/>
            <w:bottom w:w="0" w:type="dxa"/>
            <w:right w:w="0" w:type="dxa"/>
          </w:tblCellMar>
        </w:tblPrEx>
        <w:trPr>
          <w:trHeight w:val="3515" w:hRule="atLeast"/>
        </w:trPr>
        <w:tc>
          <w:tcPr>
            <w:tcW w:w="683" w:type="dxa"/>
            <w:tcBorders>
              <w:top w:val="single" w:color="auto" w:sz="4" w:space="0"/>
              <w:left w:val="single" w:color="auto" w:sz="4" w:space="0"/>
              <w:bottom w:val="nil"/>
              <w:right w:val="nil"/>
            </w:tcBorders>
            <w:shd w:val="clear" w:color="auto" w:fill="FFFFFF"/>
            <w:vAlign w:val="center"/>
          </w:tcPr>
          <w:p>
            <w:pPr>
              <w:pStyle w:val="20"/>
              <w:shd w:val="clear" w:color="auto" w:fill="auto"/>
              <w:spacing w:before="0" w:line="360" w:lineRule="auto"/>
              <w:ind w:left="42" w:leftChars="20" w:right="42" w:rightChars="20"/>
              <w:jc w:val="center"/>
              <w:rPr>
                <w:rFonts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1</w:t>
            </w:r>
          </w:p>
        </w:tc>
        <w:tc>
          <w:tcPr>
            <w:tcW w:w="1590" w:type="dxa"/>
            <w:tcBorders>
              <w:top w:val="single" w:color="auto" w:sz="4" w:space="0"/>
              <w:left w:val="single" w:color="auto" w:sz="4" w:space="0"/>
              <w:bottom w:val="nil"/>
              <w:right w:val="nil"/>
            </w:tcBorders>
            <w:shd w:val="clear" w:color="auto" w:fill="FFFFFF"/>
            <w:vAlign w:val="center"/>
          </w:tcPr>
          <w:p>
            <w:pPr>
              <w:pStyle w:val="20"/>
              <w:shd w:val="clear" w:color="auto" w:fill="auto"/>
              <w:spacing w:before="0" w:line="360" w:lineRule="auto"/>
              <w:ind w:left="42" w:leftChars="20" w:right="42" w:rightChars="20"/>
              <w:jc w:val="center"/>
              <w:rPr>
                <w:rFonts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评标方法</w:t>
            </w:r>
          </w:p>
        </w:tc>
        <w:tc>
          <w:tcPr>
            <w:tcW w:w="6946" w:type="dxa"/>
            <w:tcBorders>
              <w:top w:val="single" w:color="auto" w:sz="4" w:space="0"/>
              <w:left w:val="single" w:color="auto" w:sz="4" w:space="0"/>
              <w:bottom w:val="nil"/>
              <w:right w:val="single" w:color="auto" w:sz="4" w:space="0"/>
            </w:tcBorders>
            <w:shd w:val="clear" w:color="auto" w:fill="FFFFFF"/>
            <w:vAlign w:val="center"/>
          </w:tcPr>
          <w:p>
            <w:pPr>
              <w:pStyle w:val="20"/>
              <w:shd w:val="clear" w:color="auto" w:fill="auto"/>
              <w:spacing w:before="0" w:line="360" w:lineRule="exact"/>
              <w:ind w:left="42" w:leftChars="20" w:right="42" w:rightChars="20" w:firstLine="54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综合评分相等时，评标委员会依次按照以下优先顺序推荐中标候选人或确定中标人：</w:t>
            </w:r>
          </w:p>
          <w:p>
            <w:pPr>
              <w:pStyle w:val="20"/>
              <w:shd w:val="clear" w:color="auto" w:fill="auto"/>
              <w:tabs>
                <w:tab w:val="left" w:pos="1050"/>
              </w:tabs>
              <w:spacing w:before="0" w:line="360" w:lineRule="exact"/>
              <w:ind w:left="42" w:leftChars="20" w:right="42" w:rightChars="2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（1）评标价低的优先；</w:t>
            </w:r>
          </w:p>
          <w:p>
            <w:pPr>
              <w:pStyle w:val="20"/>
              <w:shd w:val="clear" w:color="auto" w:fill="auto"/>
              <w:tabs>
                <w:tab w:val="left" w:pos="1050"/>
              </w:tabs>
              <w:spacing w:before="0" w:line="360" w:lineRule="exact"/>
              <w:ind w:left="42" w:leftChars="20" w:right="42" w:rightChars="2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2）按招标文件规定被认定为最新年度广东省水运工程从业单位信用评价等级较高的投标人优先；【采用如下的优先顺序：承诺使用的AA级投标人、不承诺使用的AA级投标人、承诺使用的A级投标人、不承诺使用的A级投标人、B级投标人、未参评且被确定为B级投标人】</w:t>
            </w:r>
          </w:p>
          <w:p>
            <w:pPr>
              <w:adjustRightInd w:val="0"/>
              <w:snapToGrid w:val="0"/>
              <w:spacing w:line="360" w:lineRule="exact"/>
              <w:ind w:left="42" w:leftChars="20" w:right="42" w:rightChars="20"/>
              <w:rPr>
                <w:rStyle w:val="31"/>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（3）以投标人企业最新年度净资产较高的优先；</w:t>
            </w:r>
          </w:p>
          <w:p>
            <w:pPr>
              <w:pStyle w:val="20"/>
              <w:shd w:val="clear" w:color="auto" w:fill="auto"/>
              <w:tabs>
                <w:tab w:val="left" w:pos="1087"/>
              </w:tabs>
              <w:spacing w:before="0" w:line="360" w:lineRule="exact"/>
              <w:ind w:left="42" w:leftChars="20" w:right="42" w:rightChars="2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（4）评标委员会视投标人情况综合比较，投票确定其名次。</w:t>
            </w:r>
          </w:p>
        </w:tc>
      </w:tr>
      <w:tr>
        <w:tblPrEx>
          <w:tblCellMar>
            <w:top w:w="0" w:type="dxa"/>
            <w:left w:w="0" w:type="dxa"/>
            <w:bottom w:w="0" w:type="dxa"/>
            <w:right w:w="0" w:type="dxa"/>
          </w:tblCellMar>
        </w:tblPrEx>
        <w:trPr>
          <w:trHeight w:val="90" w:hRule="atLeast"/>
        </w:trPr>
        <w:tc>
          <w:tcPr>
            <w:tcW w:w="683"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exact"/>
              <w:ind w:left="42" w:leftChars="20" w:right="42" w:rightChars="20"/>
              <w:jc w:val="center"/>
              <w:rPr>
                <w:rStyle w:val="32"/>
                <w:rFonts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2.1.1</w:t>
            </w:r>
          </w:p>
          <w:p>
            <w:pPr>
              <w:pStyle w:val="20"/>
              <w:shd w:val="clear" w:color="auto" w:fill="auto"/>
              <w:spacing w:before="0" w:line="360" w:lineRule="exact"/>
              <w:ind w:left="42" w:leftChars="20" w:right="42" w:rightChars="20"/>
              <w:jc w:val="center"/>
              <w:rPr>
                <w:rFonts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2.1.3</w:t>
            </w:r>
          </w:p>
        </w:tc>
        <w:tc>
          <w:tcPr>
            <w:tcW w:w="1590"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exact"/>
              <w:ind w:left="42" w:leftChars="20" w:right="42" w:rightChars="20"/>
              <w:jc w:val="center"/>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形式评审与响应性评审标准</w:t>
            </w:r>
          </w:p>
        </w:tc>
        <w:tc>
          <w:tcPr>
            <w:tcW w:w="69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0"/>
              <w:shd w:val="clear" w:color="auto" w:fill="auto"/>
              <w:spacing w:before="0" w:line="360" w:lineRule="exact"/>
              <w:ind w:left="42" w:leftChars="20" w:right="42" w:rightChars="20"/>
              <w:jc w:val="both"/>
              <w:rPr>
                <w:rFonts w:ascii="宋体" w:hAnsi="宋体" w:eastAsia="宋体" w:cs="宋体"/>
                <w:b/>
                <w:color w:val="auto"/>
                <w:sz w:val="21"/>
                <w:szCs w:val="21"/>
                <w:highlight w:val="none"/>
              </w:rPr>
            </w:pPr>
            <w:r>
              <w:rPr>
                <w:rStyle w:val="33"/>
                <w:rFonts w:hint="eastAsia" w:ascii="宋体" w:hAnsi="宋体" w:eastAsia="宋体" w:cs="宋体"/>
                <w:bCs w:val="0"/>
                <w:color w:val="auto"/>
                <w:sz w:val="21"/>
                <w:szCs w:val="21"/>
                <w:highlight w:val="none"/>
                <w:lang w:val="zh-CN"/>
              </w:rPr>
              <w:t>第一个信封（商务及技术文件）评审标准：</w:t>
            </w:r>
          </w:p>
          <w:p>
            <w:pPr>
              <w:pStyle w:val="20"/>
              <w:shd w:val="clear" w:color="auto" w:fill="auto"/>
              <w:tabs>
                <w:tab w:val="left" w:pos="946"/>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（1）投标文件按照招标文件规定的格式、内容填写，字迹清晰可辨：</w:t>
            </w:r>
          </w:p>
          <w:p>
            <w:pPr>
              <w:pStyle w:val="20"/>
              <w:shd w:val="clear" w:color="auto" w:fill="auto"/>
              <w:tabs>
                <w:tab w:val="left" w:pos="566"/>
                <w:tab w:val="left" w:pos="805"/>
              </w:tabs>
              <w:spacing w:before="0" w:line="360" w:lineRule="exact"/>
              <w:ind w:left="42" w:leftChars="20" w:right="42" w:rightChars="20" w:firstLine="420" w:firstLineChars="20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a.投标函按招标文件规定填报了项目名称、标段号、工期、工程质量要求及安全目标；</w:t>
            </w:r>
          </w:p>
          <w:p>
            <w:pPr>
              <w:pStyle w:val="20"/>
              <w:shd w:val="clear" w:color="auto" w:fill="auto"/>
              <w:tabs>
                <w:tab w:val="left" w:pos="168"/>
                <w:tab w:val="left" w:pos="805"/>
              </w:tabs>
              <w:spacing w:before="0" w:line="360" w:lineRule="exact"/>
              <w:ind w:left="42" w:leftChars="20" w:right="42" w:rightChars="20" w:firstLine="420" w:firstLineChars="20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b.投标函附录的所有数据均符合招标文件规定；</w:t>
            </w:r>
          </w:p>
          <w:p>
            <w:pPr>
              <w:pStyle w:val="20"/>
              <w:shd w:val="clear" w:color="auto" w:fill="auto"/>
              <w:spacing w:before="0" w:line="360" w:lineRule="exact"/>
              <w:ind w:left="42" w:leftChars="20" w:right="42" w:rightChars="20" w:firstLine="630" w:firstLineChars="300"/>
              <w:jc w:val="both"/>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lang w:eastAsia="zh-CN"/>
              </w:rPr>
              <w:t>C</w:t>
            </w:r>
            <w:r>
              <w:rPr>
                <w:rStyle w:val="35"/>
                <w:rFonts w:hint="eastAsia" w:ascii="宋体" w:hAnsi="宋体" w:eastAsia="宋体" w:cs="宋体"/>
                <w:color w:val="auto"/>
                <w:sz w:val="21"/>
                <w:szCs w:val="21"/>
                <w:highlight w:val="none"/>
              </w:rPr>
              <w:t>.</w:t>
            </w:r>
            <w:r>
              <w:rPr>
                <w:rStyle w:val="31"/>
                <w:rFonts w:hint="eastAsia" w:ascii="宋体" w:hAnsi="宋体" w:eastAsia="宋体" w:cs="宋体"/>
                <w:color w:val="auto"/>
                <w:sz w:val="21"/>
                <w:szCs w:val="21"/>
                <w:highlight w:val="none"/>
                <w:lang w:val="zh-CN"/>
              </w:rPr>
              <w:t>投标文件组成齐全完整，内容均按规定填写。</w:t>
            </w:r>
          </w:p>
          <w:p>
            <w:pPr>
              <w:pStyle w:val="20"/>
              <w:shd w:val="clear" w:color="auto" w:fill="auto"/>
              <w:tabs>
                <w:tab w:val="left" w:pos="948"/>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（2）投标文件上法定代表人或其委托代理人的签字、投标人的单位章盖章齐全，符合招标文件规定。</w:t>
            </w:r>
          </w:p>
          <w:p>
            <w:pPr>
              <w:pStyle w:val="20"/>
              <w:shd w:val="clear" w:color="auto" w:fill="auto"/>
              <w:tabs>
                <w:tab w:val="left" w:pos="948"/>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（3）投标人按照招标文件的规定提供了投标保证金：</w:t>
            </w:r>
          </w:p>
          <w:p>
            <w:pPr>
              <w:pStyle w:val="20"/>
              <w:shd w:val="clear" w:color="auto" w:fill="auto"/>
              <w:spacing w:before="0" w:line="360" w:lineRule="exact"/>
              <w:ind w:left="42" w:leftChars="20" w:right="42" w:rightChars="20" w:firstLine="420" w:firstLineChars="200"/>
              <w:jc w:val="both"/>
              <w:rPr>
                <w:rStyle w:val="31"/>
                <w:rFonts w:ascii="宋体" w:hAnsi="宋体" w:eastAsia="宋体" w:cs="宋体"/>
                <w:color w:val="auto"/>
                <w:sz w:val="21"/>
                <w:szCs w:val="21"/>
                <w:highlight w:val="none"/>
                <w:lang w:val="zh-CN"/>
              </w:rPr>
            </w:pPr>
            <w:r>
              <w:rPr>
                <w:rStyle w:val="36"/>
                <w:rFonts w:hint="eastAsia" w:ascii="宋体" w:hAnsi="宋体" w:eastAsia="宋体" w:cs="宋体"/>
                <w:color w:val="auto"/>
                <w:sz w:val="21"/>
                <w:szCs w:val="21"/>
                <w:highlight w:val="none"/>
                <w:lang w:eastAsia="zh-CN"/>
              </w:rPr>
              <w:t>a</w:t>
            </w:r>
            <w:r>
              <w:rPr>
                <w:rStyle w:val="31"/>
                <w:rFonts w:hint="eastAsia" w:ascii="宋体" w:hAnsi="宋体" w:eastAsia="宋体" w:cs="宋体"/>
                <w:color w:val="auto"/>
                <w:sz w:val="21"/>
                <w:szCs w:val="21"/>
                <w:highlight w:val="none"/>
                <w:lang w:val="zh-CN"/>
              </w:rPr>
              <w:t>.投标保证金金额符合招标文件规定的金额，且投标保证金有效期不少于投标有效期；</w:t>
            </w:r>
          </w:p>
          <w:p>
            <w:pPr>
              <w:pStyle w:val="20"/>
              <w:shd w:val="clear" w:color="auto" w:fill="auto"/>
              <w:spacing w:before="0" w:line="360" w:lineRule="exact"/>
              <w:ind w:left="42" w:leftChars="20" w:right="42" w:rightChars="20" w:firstLine="420" w:firstLineChars="200"/>
              <w:jc w:val="both"/>
              <w:rPr>
                <w:rFonts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lang w:eastAsia="zh-CN"/>
              </w:rPr>
              <w:t>b</w:t>
            </w:r>
            <w:r>
              <w:rPr>
                <w:rStyle w:val="31"/>
                <w:rFonts w:hint="eastAsia" w:ascii="宋体" w:hAnsi="宋体" w:eastAsia="宋体" w:cs="宋体"/>
                <w:color w:val="auto"/>
                <w:sz w:val="21"/>
                <w:szCs w:val="21"/>
                <w:highlight w:val="none"/>
                <w:lang w:val="zh-CN"/>
              </w:rPr>
              <w:t>.若投标保证金采用现金或支票形式提交，投标人应在投标人须知3.4.1款规定的时间，将投标保证金由投标人的基本账户转入招标人指定账户；</w:t>
            </w:r>
          </w:p>
          <w:p>
            <w:pPr>
              <w:pStyle w:val="20"/>
              <w:shd w:val="clear" w:color="auto" w:fill="auto"/>
              <w:spacing w:before="0" w:line="360" w:lineRule="exact"/>
              <w:ind w:left="42" w:leftChars="20" w:right="42" w:rightChars="20" w:firstLine="630" w:firstLineChars="300"/>
              <w:jc w:val="both"/>
              <w:rPr>
                <w:rStyle w:val="31"/>
                <w:rFonts w:ascii="宋体" w:hAnsi="宋体" w:eastAsia="宋体" w:cs="宋体"/>
                <w:color w:val="auto"/>
                <w:sz w:val="21"/>
                <w:szCs w:val="21"/>
                <w:highlight w:val="none"/>
                <w:lang w:val="zh-CN"/>
              </w:rPr>
            </w:pPr>
            <w:r>
              <w:rPr>
                <w:rStyle w:val="34"/>
                <w:rFonts w:hint="eastAsia" w:ascii="宋体" w:hAnsi="宋体" w:eastAsia="宋体" w:cs="宋体"/>
                <w:color w:val="auto"/>
                <w:sz w:val="21"/>
                <w:szCs w:val="21"/>
                <w:highlight w:val="none"/>
                <w:lang w:eastAsia="zh-CN"/>
              </w:rPr>
              <w:t>C</w:t>
            </w:r>
            <w:r>
              <w:rPr>
                <w:rStyle w:val="35"/>
                <w:rFonts w:hint="eastAsia" w:ascii="宋体" w:hAnsi="宋体" w:eastAsia="宋体" w:cs="宋体"/>
                <w:color w:val="auto"/>
                <w:sz w:val="21"/>
                <w:szCs w:val="21"/>
                <w:highlight w:val="none"/>
              </w:rPr>
              <w:t>.</w:t>
            </w:r>
            <w:r>
              <w:rPr>
                <w:rStyle w:val="31"/>
                <w:rFonts w:hint="eastAsia" w:ascii="宋体" w:hAnsi="宋体" w:eastAsia="宋体" w:cs="宋体"/>
                <w:color w:val="auto"/>
                <w:sz w:val="21"/>
                <w:szCs w:val="21"/>
                <w:highlight w:val="none"/>
                <w:lang w:val="zh-CN"/>
              </w:rPr>
              <w:t>若投标保证金采用银行保函形式提交，银行保函的格式、开具保函的银行均满足招标文件要求，银行保函原件在递交投标文件时单独密封递交，其复印件装订在投标文件中。</w:t>
            </w:r>
          </w:p>
          <w:p>
            <w:pPr>
              <w:pStyle w:val="20"/>
              <w:shd w:val="clear" w:color="auto" w:fill="auto"/>
              <w:spacing w:before="0" w:line="360" w:lineRule="exact"/>
              <w:ind w:left="42" w:leftChars="20" w:right="42" w:rightChars="20" w:firstLine="420" w:firstLineChars="20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rPr>
              <w:t>d.</w:t>
            </w:r>
            <w:r>
              <w:rPr>
                <w:rStyle w:val="31"/>
                <w:rFonts w:hint="eastAsia" w:ascii="宋体" w:hAnsi="宋体" w:eastAsia="宋体" w:cs="宋体"/>
                <w:color w:val="auto"/>
                <w:sz w:val="21"/>
                <w:szCs w:val="21"/>
                <w:highlight w:val="none"/>
                <w:lang w:val="zh-CN"/>
              </w:rPr>
              <w:t>若投标保证金采用</w:t>
            </w:r>
            <w:r>
              <w:rPr>
                <w:rStyle w:val="31"/>
                <w:rFonts w:hint="eastAsia" w:ascii="宋体" w:hAnsi="宋体" w:eastAsia="宋体" w:cs="宋体"/>
                <w:color w:val="auto"/>
                <w:sz w:val="21"/>
                <w:szCs w:val="21"/>
                <w:highlight w:val="none"/>
              </w:rPr>
              <w:t>其他</w:t>
            </w:r>
            <w:r>
              <w:rPr>
                <w:rStyle w:val="31"/>
                <w:rFonts w:hint="eastAsia" w:ascii="宋体" w:hAnsi="宋体" w:eastAsia="宋体" w:cs="宋体"/>
                <w:color w:val="auto"/>
                <w:sz w:val="21"/>
                <w:szCs w:val="21"/>
                <w:highlight w:val="none"/>
                <w:lang w:val="zh-CN"/>
              </w:rPr>
              <w:t>形式提交，</w:t>
            </w:r>
            <w:r>
              <w:rPr>
                <w:rStyle w:val="31"/>
                <w:rFonts w:hint="eastAsia" w:ascii="宋体" w:hAnsi="宋体" w:eastAsia="宋体" w:cs="宋体"/>
                <w:color w:val="auto"/>
                <w:sz w:val="21"/>
                <w:szCs w:val="21"/>
                <w:highlight w:val="none"/>
              </w:rPr>
              <w:t>应满足须知前附表3.4.1项的规定。</w:t>
            </w:r>
          </w:p>
          <w:p>
            <w:pPr>
              <w:pStyle w:val="20"/>
              <w:shd w:val="clear" w:color="auto" w:fill="auto"/>
              <w:tabs>
                <w:tab w:val="left" w:pos="917"/>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（4）投标人法定代表人授权委托代理人签署投标文件的，需提交授权委托书，且授权人和被授权人均在授权委托书上签名，未使用印章、签名章或其他电子制版签名代替。</w:t>
            </w:r>
          </w:p>
          <w:p>
            <w:pPr>
              <w:pStyle w:val="20"/>
              <w:shd w:val="clear" w:color="auto" w:fill="auto"/>
              <w:tabs>
                <w:tab w:val="left" w:pos="917"/>
              </w:tabs>
              <w:spacing w:before="0" w:line="360" w:lineRule="exact"/>
              <w:ind w:left="42" w:leftChars="20" w:right="42" w:rightChars="2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（5）投标人法定代表人亲自签署投标文件的，提供了法定代表人身份证明，且法定代表人在法定代表人身份证明上签名，未使用印章、 签名章或其他电子制版签名代替。</w:t>
            </w:r>
          </w:p>
          <w:p>
            <w:pPr>
              <w:pStyle w:val="20"/>
              <w:shd w:val="clear" w:color="auto" w:fill="auto"/>
              <w:tabs>
                <w:tab w:val="left" w:pos="1035"/>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（6）投标人以联合体形式投标时，联合体满足招标文件的要求：投标人按照招标文件提供的格式签订了联合体协议书，明确各方承担连带责任，并明确了联合体牵头人；</w:t>
            </w:r>
          </w:p>
          <w:p>
            <w:pPr>
              <w:pStyle w:val="20"/>
              <w:shd w:val="clear" w:color="auto" w:fill="auto"/>
              <w:tabs>
                <w:tab w:val="left" w:pos="917"/>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（7）如投标人不具备</w:t>
            </w:r>
            <w:r>
              <w:rPr>
                <w:rStyle w:val="31"/>
                <w:rFonts w:hint="eastAsia" w:ascii="宋体" w:hAnsi="宋体" w:eastAsia="宋体" w:cs="宋体"/>
                <w:color w:val="auto"/>
                <w:sz w:val="21"/>
                <w:szCs w:val="21"/>
                <w:highlight w:val="none"/>
              </w:rPr>
              <w:t>拟分包工程所需的</w:t>
            </w:r>
            <w:r>
              <w:rPr>
                <w:rStyle w:val="31"/>
                <w:rFonts w:hint="eastAsia" w:ascii="宋体" w:hAnsi="宋体" w:eastAsia="宋体" w:cs="宋体"/>
                <w:color w:val="auto"/>
                <w:sz w:val="21"/>
                <w:szCs w:val="21"/>
                <w:highlight w:val="none"/>
                <w:lang w:val="zh-CN"/>
              </w:rPr>
              <w:t>某专项工程相应资质</w:t>
            </w:r>
            <w:r>
              <w:rPr>
                <w:rStyle w:val="31"/>
                <w:rFonts w:hint="eastAsia" w:ascii="宋体" w:hAnsi="宋体" w:eastAsia="宋体" w:cs="宋体"/>
                <w:color w:val="auto"/>
                <w:sz w:val="21"/>
                <w:szCs w:val="21"/>
                <w:highlight w:val="none"/>
              </w:rPr>
              <w:t>或</w:t>
            </w:r>
            <w:r>
              <w:rPr>
                <w:rStyle w:val="31"/>
                <w:rFonts w:hint="eastAsia" w:ascii="宋体" w:hAnsi="宋体" w:eastAsia="宋体" w:cs="宋体"/>
                <w:color w:val="auto"/>
                <w:sz w:val="21"/>
                <w:szCs w:val="21"/>
                <w:highlight w:val="none"/>
                <w:lang w:val="zh-CN"/>
              </w:rPr>
              <w:t>投标人如有分包计划，符合招标文件第二章“投标人须知” 第1.11款规定，且按招标文件第八章“投标文件格式”的要求填写了“拟分包项目情况表”。</w:t>
            </w:r>
          </w:p>
          <w:p>
            <w:pPr>
              <w:pStyle w:val="20"/>
              <w:shd w:val="clear" w:color="auto" w:fill="auto"/>
              <w:tabs>
                <w:tab w:val="left" w:pos="924"/>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（8）同一投标人未提交两个以上不同的投标文件，但招标文件要求提交备选投标的除外。</w:t>
            </w:r>
          </w:p>
          <w:p>
            <w:pPr>
              <w:pStyle w:val="20"/>
              <w:shd w:val="clear" w:color="auto" w:fill="auto"/>
              <w:tabs>
                <w:tab w:val="left" w:pos="1141"/>
              </w:tabs>
              <w:spacing w:before="0" w:line="360" w:lineRule="exact"/>
              <w:ind w:left="42" w:leftChars="20" w:right="42" w:rightChars="2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（9）投标文件中未出现有关投标报价的内容。</w:t>
            </w:r>
          </w:p>
          <w:p>
            <w:pPr>
              <w:pStyle w:val="20"/>
              <w:shd w:val="clear" w:color="auto" w:fill="auto"/>
              <w:tabs>
                <w:tab w:val="left" w:pos="926"/>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（10）投标文件载明的招标项目完成期限未超过招标文件规定的时限。</w:t>
            </w:r>
          </w:p>
          <w:p>
            <w:pPr>
              <w:pStyle w:val="20"/>
              <w:shd w:val="clear" w:color="auto" w:fill="auto"/>
              <w:tabs>
                <w:tab w:val="left" w:pos="1143"/>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（11）投标文件对招标文件的实质性要求和条件作出响应。</w:t>
            </w:r>
          </w:p>
          <w:p>
            <w:pPr>
              <w:pStyle w:val="20"/>
              <w:shd w:val="clear" w:color="auto" w:fill="auto"/>
              <w:tabs>
                <w:tab w:val="left" w:pos="1138"/>
              </w:tabs>
              <w:spacing w:before="0" w:line="360" w:lineRule="exact"/>
              <w:ind w:left="42" w:leftChars="20" w:right="42" w:rightChars="2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（12）权利义务符合招标文件规定：</w:t>
            </w:r>
          </w:p>
          <w:p>
            <w:pPr>
              <w:pStyle w:val="20"/>
              <w:numPr>
                <w:ilvl w:val="0"/>
                <w:numId w:val="1"/>
              </w:numPr>
              <w:shd w:val="clear" w:color="auto" w:fill="auto"/>
              <w:tabs>
                <w:tab w:val="left" w:pos="530"/>
              </w:tabs>
              <w:spacing w:before="0" w:line="360" w:lineRule="exact"/>
              <w:ind w:left="42" w:leftChars="20" w:right="42" w:rightChars="20" w:firstLine="50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投标人应接受招标文件规定的风险划分原则，未提出新的风险划</w:t>
            </w:r>
            <w:r>
              <w:rPr>
                <w:rStyle w:val="37"/>
                <w:rFonts w:hint="eastAsia" w:ascii="宋体" w:hAnsi="宋体" w:eastAsia="宋体" w:cs="宋体"/>
                <w:color w:val="auto"/>
                <w:sz w:val="21"/>
                <w:szCs w:val="21"/>
                <w:highlight w:val="none"/>
                <w:lang w:val="zh-CN" w:eastAsia="zh-CN"/>
              </w:rPr>
              <w:t>分办法；</w:t>
            </w:r>
          </w:p>
          <w:p>
            <w:pPr>
              <w:pStyle w:val="20"/>
              <w:numPr>
                <w:ilvl w:val="0"/>
                <w:numId w:val="1"/>
              </w:numPr>
              <w:shd w:val="clear" w:color="auto" w:fill="auto"/>
              <w:tabs>
                <w:tab w:val="left" w:pos="666"/>
              </w:tabs>
              <w:spacing w:before="0" w:line="360" w:lineRule="exact"/>
              <w:ind w:left="42" w:leftChars="20" w:right="42" w:rightChars="20" w:firstLine="50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投标人未增加发包人的责任范围，或减少投标人义务；</w:t>
            </w:r>
          </w:p>
          <w:p>
            <w:pPr>
              <w:pStyle w:val="20"/>
              <w:shd w:val="clear" w:color="auto" w:fill="auto"/>
              <w:spacing w:before="0" w:line="360" w:lineRule="exact"/>
              <w:ind w:left="42" w:leftChars="20" w:right="42" w:rightChars="20" w:firstLine="500"/>
              <w:jc w:val="both"/>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lang w:eastAsia="zh-CN"/>
              </w:rPr>
              <w:t>C</w:t>
            </w:r>
            <w:r>
              <w:rPr>
                <w:rStyle w:val="35"/>
                <w:rFonts w:hint="eastAsia" w:ascii="宋体" w:hAnsi="宋体" w:eastAsia="宋体" w:cs="宋体"/>
                <w:color w:val="auto"/>
                <w:sz w:val="21"/>
                <w:szCs w:val="21"/>
                <w:highlight w:val="none"/>
              </w:rPr>
              <w:t>.</w:t>
            </w:r>
            <w:r>
              <w:rPr>
                <w:rStyle w:val="31"/>
                <w:rFonts w:hint="eastAsia" w:ascii="宋体" w:hAnsi="宋体" w:eastAsia="宋体" w:cs="宋体"/>
                <w:color w:val="auto"/>
                <w:sz w:val="21"/>
                <w:szCs w:val="21"/>
                <w:highlight w:val="none"/>
                <w:lang w:val="zh-CN"/>
              </w:rPr>
              <w:t>投标人未提出不同的工程验收、计量、支付办法；</w:t>
            </w:r>
          </w:p>
          <w:p>
            <w:pPr>
              <w:pStyle w:val="20"/>
              <w:numPr>
                <w:ilvl w:val="0"/>
                <w:numId w:val="2"/>
              </w:numPr>
              <w:shd w:val="clear" w:color="auto" w:fill="auto"/>
              <w:tabs>
                <w:tab w:val="left" w:pos="661"/>
              </w:tabs>
              <w:spacing w:before="0" w:line="360" w:lineRule="exact"/>
              <w:ind w:left="42" w:leftChars="20" w:right="42" w:rightChars="20" w:firstLine="500"/>
              <w:jc w:val="both"/>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lang w:val="zh-CN"/>
              </w:rPr>
              <w:t>投标人对合同纠纷、事故处理办法未提出异议；</w:t>
            </w:r>
          </w:p>
          <w:p>
            <w:pPr>
              <w:pStyle w:val="20"/>
              <w:numPr>
                <w:ilvl w:val="0"/>
                <w:numId w:val="2"/>
              </w:numPr>
              <w:shd w:val="clear" w:color="auto" w:fill="auto"/>
              <w:tabs>
                <w:tab w:val="left" w:pos="651"/>
              </w:tabs>
              <w:spacing w:before="0" w:line="360" w:lineRule="exact"/>
              <w:ind w:left="42" w:leftChars="20" w:right="42" w:rightChars="20" w:firstLine="50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投标人在投标活动中无欺诈行为；</w:t>
            </w:r>
          </w:p>
          <w:p>
            <w:pPr>
              <w:pStyle w:val="20"/>
              <w:numPr>
                <w:ilvl w:val="0"/>
                <w:numId w:val="2"/>
              </w:numPr>
              <w:shd w:val="clear" w:color="auto" w:fill="auto"/>
              <w:tabs>
                <w:tab w:val="left" w:pos="651"/>
              </w:tabs>
              <w:spacing w:before="0" w:line="360" w:lineRule="exact"/>
              <w:ind w:left="42" w:leftChars="20" w:right="42" w:rightChars="20" w:firstLine="500"/>
              <w:jc w:val="both"/>
              <w:rPr>
                <w:rStyle w:val="31"/>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投标人未对合同条款有重要保留。</w:t>
            </w:r>
          </w:p>
          <w:p>
            <w:pPr>
              <w:pStyle w:val="38"/>
              <w:shd w:val="clear" w:color="auto" w:fill="auto"/>
              <w:spacing w:before="0" w:line="36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（13）</w:t>
            </w:r>
            <w:r>
              <w:rPr>
                <w:rStyle w:val="39"/>
                <w:rFonts w:hint="eastAsia" w:ascii="宋体" w:hAnsi="宋体" w:eastAsia="宋体" w:cs="宋体"/>
                <w:sz w:val="21"/>
                <w:szCs w:val="21"/>
                <w:highlight w:val="none"/>
                <w:lang w:val="zh-CN"/>
              </w:rPr>
              <w:t>投标文件正、副本份数符合招标文件第二章“投标人须知 第</w:t>
            </w:r>
            <w:r>
              <w:rPr>
                <w:rStyle w:val="39"/>
                <w:rFonts w:hint="eastAsia" w:ascii="宋体" w:hAnsi="宋体" w:eastAsia="宋体" w:cs="宋体"/>
                <w:sz w:val="21"/>
                <w:szCs w:val="21"/>
                <w:highlight w:val="none"/>
              </w:rPr>
              <w:t>3.7.4</w:t>
            </w:r>
            <w:r>
              <w:rPr>
                <w:rStyle w:val="39"/>
                <w:rFonts w:hint="eastAsia" w:ascii="宋体" w:hAnsi="宋体" w:eastAsia="宋体" w:cs="宋体"/>
                <w:sz w:val="21"/>
                <w:szCs w:val="21"/>
                <w:highlight w:val="none"/>
                <w:lang w:val="zh-CN"/>
              </w:rPr>
              <w:t>项规定。</w:t>
            </w:r>
          </w:p>
          <w:p>
            <w:pPr>
              <w:pStyle w:val="38"/>
              <w:shd w:val="clear" w:color="auto" w:fill="auto"/>
              <w:spacing w:before="0" w:line="360" w:lineRule="exact"/>
              <w:ind w:left="42" w:leftChars="20" w:right="42" w:rightChars="2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（14）投标文件未附有招标人不能接受的条件。</w:t>
            </w:r>
          </w:p>
          <w:p>
            <w:pPr>
              <w:pStyle w:val="20"/>
              <w:shd w:val="clear" w:color="auto" w:fill="auto"/>
              <w:tabs>
                <w:tab w:val="left" w:pos="1141"/>
              </w:tabs>
              <w:spacing w:before="0" w:line="360" w:lineRule="exact"/>
              <w:ind w:left="42" w:leftChars="20" w:right="42" w:rightChars="20"/>
              <w:jc w:val="both"/>
              <w:rPr>
                <w:rStyle w:val="31"/>
                <w:rFonts w:ascii="宋体" w:hAnsi="宋体" w:eastAsia="宋体" w:cs="宋体"/>
                <w:color w:val="auto"/>
                <w:sz w:val="21"/>
                <w:szCs w:val="21"/>
                <w:highlight w:val="none"/>
              </w:rPr>
            </w:pPr>
          </w:p>
        </w:tc>
      </w:tr>
    </w:tbl>
    <w:p>
      <w:pPr>
        <w:pStyle w:val="40"/>
        <w:shd w:val="clear" w:color="auto" w:fill="auto"/>
        <w:spacing w:line="360" w:lineRule="auto"/>
        <w:jc w:val="right"/>
        <w:rPr>
          <w:rFonts w:ascii="宋体" w:hAnsi="宋体" w:eastAsia="宋体" w:cs="宋体"/>
          <w:color w:val="auto"/>
          <w:highlight w:val="none"/>
        </w:rPr>
      </w:pPr>
      <w:r>
        <w:rPr>
          <w:rStyle w:val="41"/>
          <w:rFonts w:hint="eastAsia" w:ascii="宋体" w:hAnsi="宋体" w:eastAsia="宋体" w:cs="宋体"/>
          <w:highlight w:val="none"/>
        </w:rPr>
        <w:br w:type="page"/>
      </w:r>
      <w:r>
        <w:rPr>
          <w:rStyle w:val="41"/>
          <w:rFonts w:hint="eastAsia" w:ascii="宋体" w:hAnsi="宋体" w:eastAsia="宋体" w:cs="宋体"/>
          <w:highlight w:val="none"/>
        </w:rPr>
        <w:t>续上表</w:t>
      </w:r>
    </w:p>
    <w:p>
      <w:pPr>
        <w:spacing w:line="360" w:lineRule="auto"/>
        <w:rPr>
          <w:rFonts w:ascii="宋体" w:hAnsi="宋体" w:cs="宋体"/>
          <w:color w:val="auto"/>
          <w:sz w:val="2"/>
          <w:szCs w:val="2"/>
          <w:highlight w:val="none"/>
        </w:rPr>
      </w:pPr>
    </w:p>
    <w:tbl>
      <w:tblPr>
        <w:tblStyle w:val="13"/>
        <w:tblW w:w="9202" w:type="dxa"/>
        <w:tblInd w:w="-5" w:type="dxa"/>
        <w:tblLayout w:type="fixed"/>
        <w:tblCellMar>
          <w:top w:w="0" w:type="dxa"/>
          <w:left w:w="0" w:type="dxa"/>
          <w:bottom w:w="0" w:type="dxa"/>
          <w:right w:w="0" w:type="dxa"/>
        </w:tblCellMar>
      </w:tblPr>
      <w:tblGrid>
        <w:gridCol w:w="838"/>
        <w:gridCol w:w="1116"/>
        <w:gridCol w:w="7248"/>
      </w:tblGrid>
      <w:tr>
        <w:tblPrEx>
          <w:tblCellMar>
            <w:top w:w="0" w:type="dxa"/>
            <w:left w:w="0" w:type="dxa"/>
            <w:bottom w:w="0" w:type="dxa"/>
            <w:right w:w="0" w:type="dxa"/>
          </w:tblCellMar>
        </w:tblPrEx>
        <w:trPr>
          <w:trHeight w:val="23" w:hRule="atLeast"/>
        </w:trPr>
        <w:tc>
          <w:tcPr>
            <w:tcW w:w="1954" w:type="dxa"/>
            <w:gridSpan w:val="2"/>
            <w:tcBorders>
              <w:top w:val="single" w:color="auto" w:sz="4" w:space="0"/>
              <w:left w:val="single" w:color="auto" w:sz="4" w:space="0"/>
              <w:bottom w:val="nil"/>
              <w:right w:val="nil"/>
            </w:tcBorders>
            <w:shd w:val="clear" w:color="auto" w:fill="FFFFFF"/>
            <w:vAlign w:val="bottom"/>
          </w:tcPr>
          <w:p>
            <w:pPr>
              <w:spacing w:line="360" w:lineRule="exact"/>
              <w:ind w:left="42" w:leftChars="20" w:right="42" w:rightChars="20"/>
              <w:jc w:val="center"/>
              <w:rPr>
                <w:rFonts w:ascii="宋体" w:hAnsi="宋体" w:cs="宋体"/>
                <w:b/>
                <w:color w:val="auto"/>
                <w:szCs w:val="21"/>
                <w:highlight w:val="none"/>
              </w:rPr>
            </w:pPr>
            <w:r>
              <w:rPr>
                <w:rFonts w:hint="eastAsia" w:ascii="宋体" w:hAnsi="宋体" w:cs="宋体"/>
                <w:color w:val="auto"/>
                <w:szCs w:val="21"/>
                <w:highlight w:val="none"/>
              </w:rPr>
              <w:br w:type="page"/>
            </w:r>
            <w:r>
              <w:rPr>
                <w:rStyle w:val="41"/>
                <w:rFonts w:hint="eastAsia" w:ascii="宋体" w:hAnsi="宋体" w:eastAsia="宋体" w:cs="宋体"/>
                <w:sz w:val="21"/>
                <w:szCs w:val="21"/>
                <w:highlight w:val="none"/>
              </w:rPr>
              <w:br w:type="page"/>
            </w:r>
            <w:r>
              <w:rPr>
                <w:rStyle w:val="42"/>
                <w:rFonts w:hint="eastAsia" w:ascii="宋体" w:hAnsi="宋体" w:eastAsia="宋体" w:cs="宋体"/>
                <w:bCs w:val="0"/>
                <w:color w:val="auto"/>
                <w:sz w:val="21"/>
                <w:szCs w:val="21"/>
                <w:highlight w:val="none"/>
                <w:lang w:val="zh-CN"/>
              </w:rPr>
              <w:t>条款号</w:t>
            </w:r>
          </w:p>
        </w:tc>
        <w:tc>
          <w:tcPr>
            <w:tcW w:w="7248" w:type="dxa"/>
            <w:tcBorders>
              <w:top w:val="single" w:color="auto" w:sz="4" w:space="0"/>
              <w:left w:val="single" w:color="auto" w:sz="4" w:space="0"/>
              <w:bottom w:val="nil"/>
              <w:right w:val="single" w:color="auto" w:sz="4" w:space="0"/>
            </w:tcBorders>
            <w:shd w:val="clear" w:color="auto" w:fill="FFFFFF"/>
            <w:vAlign w:val="bottom"/>
          </w:tcPr>
          <w:p>
            <w:pPr>
              <w:pStyle w:val="20"/>
              <w:shd w:val="clear" w:color="auto" w:fill="auto"/>
              <w:spacing w:before="0" w:line="360" w:lineRule="exact"/>
              <w:ind w:left="42" w:leftChars="20" w:right="42" w:rightChars="20"/>
              <w:jc w:val="center"/>
              <w:rPr>
                <w:rFonts w:ascii="宋体" w:hAnsi="宋体" w:eastAsia="宋体" w:cs="宋体"/>
                <w:b/>
                <w:color w:val="auto"/>
                <w:sz w:val="21"/>
                <w:szCs w:val="21"/>
                <w:highlight w:val="none"/>
              </w:rPr>
            </w:pPr>
            <w:r>
              <w:rPr>
                <w:rStyle w:val="42"/>
                <w:rFonts w:hint="eastAsia" w:ascii="宋体" w:hAnsi="宋体" w:eastAsia="宋体" w:cs="宋体"/>
                <w:bCs w:val="0"/>
                <w:color w:val="auto"/>
                <w:sz w:val="21"/>
                <w:szCs w:val="21"/>
                <w:highlight w:val="none"/>
                <w:lang w:val="zh-CN"/>
              </w:rPr>
              <w:t>评审因素与评审标准</w:t>
            </w:r>
          </w:p>
        </w:tc>
      </w:tr>
      <w:tr>
        <w:tblPrEx>
          <w:tblCellMar>
            <w:top w:w="0" w:type="dxa"/>
            <w:left w:w="0" w:type="dxa"/>
            <w:bottom w:w="0" w:type="dxa"/>
            <w:right w:w="0" w:type="dxa"/>
          </w:tblCellMar>
        </w:tblPrEx>
        <w:trPr>
          <w:trHeight w:val="23" w:hRule="atLeast"/>
        </w:trPr>
        <w:tc>
          <w:tcPr>
            <w:tcW w:w="838"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exact"/>
              <w:ind w:left="42" w:leftChars="20" w:right="42" w:rightChars="20"/>
              <w:jc w:val="center"/>
              <w:rPr>
                <w:rStyle w:val="32"/>
                <w:rFonts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lang w:val="zh-CN"/>
              </w:rPr>
              <w:t>2.1.1</w:t>
            </w:r>
          </w:p>
          <w:p>
            <w:pPr>
              <w:pStyle w:val="20"/>
              <w:shd w:val="clear" w:color="auto" w:fill="auto"/>
              <w:spacing w:before="0" w:line="360" w:lineRule="exact"/>
              <w:ind w:left="42" w:leftChars="20" w:right="42" w:rightChars="20"/>
              <w:jc w:val="center"/>
              <w:rPr>
                <w:rFonts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lang w:val="zh-CN"/>
              </w:rPr>
              <w:t>2.1.3</w:t>
            </w:r>
          </w:p>
        </w:tc>
        <w:tc>
          <w:tcPr>
            <w:tcW w:w="1116"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exact"/>
              <w:ind w:left="42" w:leftChars="20" w:right="42" w:rightChars="20"/>
              <w:jc w:val="both"/>
              <w:rPr>
                <w:rFonts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形式评审与响应性评审 标准</w:t>
            </w:r>
          </w:p>
        </w:tc>
        <w:tc>
          <w:tcPr>
            <w:tcW w:w="724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43"/>
              <w:shd w:val="clear" w:color="auto" w:fill="auto"/>
              <w:spacing w:line="340" w:lineRule="exact"/>
              <w:ind w:left="42" w:leftChars="20" w:right="42" w:rightChars="20"/>
              <w:jc w:val="left"/>
              <w:rPr>
                <w:rStyle w:val="33"/>
                <w:rFonts w:ascii="宋体" w:hAnsi="宋体" w:eastAsia="宋体" w:cs="宋体"/>
                <w:color w:val="auto"/>
                <w:sz w:val="21"/>
                <w:szCs w:val="21"/>
                <w:highlight w:val="none"/>
              </w:rPr>
            </w:pPr>
            <w:r>
              <w:rPr>
                <w:rStyle w:val="33"/>
                <w:rFonts w:hint="eastAsia" w:ascii="宋体" w:hAnsi="宋体" w:eastAsia="宋体" w:cs="宋体"/>
                <w:color w:val="auto"/>
                <w:sz w:val="21"/>
                <w:szCs w:val="21"/>
                <w:highlight w:val="none"/>
                <w:lang w:val="zh-CN"/>
              </w:rPr>
              <w:t>第二个信封（报价文件）评审标准：</w:t>
            </w:r>
          </w:p>
          <w:p>
            <w:pPr>
              <w:pStyle w:val="38"/>
              <w:shd w:val="clear" w:color="auto" w:fill="auto"/>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(1)</w:t>
            </w:r>
            <w:r>
              <w:rPr>
                <w:rStyle w:val="39"/>
                <w:rFonts w:hint="eastAsia" w:ascii="宋体" w:hAnsi="宋体" w:eastAsia="宋体" w:cs="宋体"/>
                <w:sz w:val="21"/>
                <w:szCs w:val="21"/>
                <w:highlight w:val="none"/>
                <w:lang w:val="zh-CN"/>
              </w:rPr>
              <w:t>投标文件按照招标文件规定的格式、内容填写，字迹清晰可</w:t>
            </w:r>
            <w:r>
              <w:rPr>
                <w:rStyle w:val="31"/>
                <w:rFonts w:hint="eastAsia" w:ascii="宋体" w:hAnsi="宋体" w:eastAsia="宋体" w:cs="宋体"/>
                <w:color w:val="auto"/>
                <w:sz w:val="21"/>
                <w:szCs w:val="21"/>
                <w:highlight w:val="none"/>
                <w:lang w:val="zh-CN"/>
              </w:rPr>
              <w:t>辨：</w:t>
            </w:r>
          </w:p>
          <w:p>
            <w:pPr>
              <w:pStyle w:val="38"/>
              <w:shd w:val="clear" w:color="auto" w:fill="auto"/>
              <w:tabs>
                <w:tab w:val="left" w:pos="566"/>
              </w:tabs>
              <w:spacing w:before="0" w:line="340" w:lineRule="exact"/>
              <w:ind w:left="42" w:leftChars="20" w:right="42" w:rightChars="20" w:firstLine="315" w:firstLineChars="150"/>
              <w:rPr>
                <w:rFonts w:ascii="宋体" w:hAnsi="宋体" w:eastAsia="宋体" w:cs="宋体"/>
                <w:color w:val="auto"/>
                <w:sz w:val="21"/>
                <w:szCs w:val="21"/>
                <w:highlight w:val="none"/>
              </w:rPr>
            </w:pPr>
            <w:r>
              <w:rPr>
                <w:rStyle w:val="39"/>
                <w:rFonts w:hint="eastAsia" w:ascii="宋体" w:hAnsi="宋体" w:eastAsia="宋体" w:cs="宋体"/>
                <w:sz w:val="21"/>
                <w:szCs w:val="21"/>
                <w:highlight w:val="none"/>
                <w:lang w:val="zh-CN"/>
              </w:rPr>
              <w:t>a.投标函按招标文件规定填报了项目名称、标段号、投标总报价（包括大写金额和小写金额</w:t>
            </w:r>
            <w:r>
              <w:rPr>
                <w:rStyle w:val="39"/>
                <w:rFonts w:hint="eastAsia" w:ascii="宋体" w:hAnsi="宋体" w:eastAsia="宋体" w:cs="宋体"/>
                <w:sz w:val="21"/>
                <w:szCs w:val="21"/>
                <w:highlight w:val="none"/>
              </w:rPr>
              <w:t>)；</w:t>
            </w:r>
          </w:p>
          <w:p>
            <w:pPr>
              <w:pStyle w:val="38"/>
              <w:shd w:val="clear" w:color="auto" w:fill="auto"/>
              <w:tabs>
                <w:tab w:val="left" w:pos="602"/>
              </w:tabs>
              <w:spacing w:before="0" w:line="340" w:lineRule="exact"/>
              <w:ind w:left="42" w:leftChars="20" w:right="42" w:rightChars="20" w:firstLine="315" w:firstLineChars="150"/>
              <w:rPr>
                <w:rFonts w:ascii="宋体" w:hAnsi="宋体" w:eastAsia="宋体" w:cs="宋体"/>
                <w:color w:val="auto"/>
                <w:sz w:val="21"/>
                <w:szCs w:val="21"/>
                <w:highlight w:val="none"/>
              </w:rPr>
            </w:pPr>
            <w:r>
              <w:rPr>
                <w:rStyle w:val="39"/>
                <w:rFonts w:hint="eastAsia" w:ascii="宋体" w:hAnsi="宋体" w:eastAsia="宋体" w:cs="宋体"/>
                <w:sz w:val="21"/>
                <w:szCs w:val="21"/>
                <w:highlight w:val="none"/>
                <w:lang w:val="zh-CN"/>
              </w:rPr>
              <w:t>b.已标价工程量清单说明文字与招标文件规定一致，未进行实质性修改和删减；</w:t>
            </w:r>
          </w:p>
          <w:p>
            <w:pPr>
              <w:pStyle w:val="38"/>
              <w:shd w:val="clear" w:color="auto" w:fill="auto"/>
              <w:tabs>
                <w:tab w:val="left" w:pos="589"/>
              </w:tabs>
              <w:spacing w:before="0" w:line="340" w:lineRule="exact"/>
              <w:ind w:left="42" w:leftChars="20" w:right="42" w:rightChars="20" w:firstLine="315" w:firstLineChars="150"/>
              <w:rPr>
                <w:rFonts w:ascii="宋体" w:hAnsi="宋体" w:eastAsia="宋体" w:cs="宋体"/>
                <w:color w:val="auto"/>
                <w:sz w:val="21"/>
                <w:szCs w:val="21"/>
                <w:highlight w:val="none"/>
              </w:rPr>
            </w:pPr>
            <w:r>
              <w:rPr>
                <w:rStyle w:val="39"/>
                <w:rFonts w:hint="eastAsia" w:ascii="宋体" w:hAnsi="宋体" w:eastAsia="宋体" w:cs="宋体"/>
                <w:sz w:val="21"/>
                <w:szCs w:val="21"/>
                <w:highlight w:val="none"/>
                <w:lang w:val="zh-CN"/>
              </w:rPr>
              <w:t>c.投标文件组成齐全完整，内容均按规定填写。</w:t>
            </w:r>
          </w:p>
          <w:p>
            <w:pPr>
              <w:pStyle w:val="38"/>
              <w:shd w:val="clear" w:color="auto" w:fill="auto"/>
              <w:tabs>
                <w:tab w:val="left" w:pos="950"/>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lang w:val="zh-CN"/>
              </w:rPr>
              <w:t>（2）投标文件上法定代表人或其委托代理人的签字、投标人的单位章盖章齐全，符合招标文件规定。</w:t>
            </w:r>
          </w:p>
          <w:p>
            <w:pPr>
              <w:pStyle w:val="38"/>
              <w:shd w:val="clear" w:color="auto" w:fill="auto"/>
              <w:tabs>
                <w:tab w:val="left" w:pos="934"/>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（3）</w:t>
            </w:r>
            <w:r>
              <w:rPr>
                <w:rStyle w:val="39"/>
                <w:rFonts w:hint="eastAsia" w:ascii="宋体" w:hAnsi="宋体" w:eastAsia="宋体" w:cs="宋体"/>
                <w:sz w:val="21"/>
                <w:szCs w:val="21"/>
                <w:highlight w:val="none"/>
                <w:lang w:val="zh-CN"/>
              </w:rPr>
              <w:t>投标报价或调价函中的报价未超过招标文件设定的最高投标限价（如有)。</w:t>
            </w:r>
          </w:p>
          <w:p>
            <w:pPr>
              <w:pStyle w:val="38"/>
              <w:shd w:val="clear" w:color="auto" w:fill="auto"/>
              <w:tabs>
                <w:tab w:val="left" w:pos="978"/>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（4）</w:t>
            </w:r>
            <w:r>
              <w:rPr>
                <w:rStyle w:val="39"/>
                <w:rFonts w:hint="eastAsia" w:ascii="宋体" w:hAnsi="宋体" w:eastAsia="宋体" w:cs="宋体"/>
                <w:sz w:val="21"/>
                <w:szCs w:val="21"/>
                <w:highlight w:val="none"/>
                <w:lang w:val="zh-CN"/>
              </w:rPr>
              <w:t>投标报价或调价函中报价的大写金额能够确定具体数值。</w:t>
            </w:r>
          </w:p>
          <w:p>
            <w:pPr>
              <w:pStyle w:val="38"/>
              <w:shd w:val="clear" w:color="auto" w:fill="auto"/>
              <w:tabs>
                <w:tab w:val="left" w:pos="965"/>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（5）</w:t>
            </w:r>
            <w:r>
              <w:rPr>
                <w:rStyle w:val="39"/>
                <w:rFonts w:hint="eastAsia" w:ascii="宋体" w:hAnsi="宋体" w:eastAsia="宋体" w:cs="宋体"/>
                <w:sz w:val="21"/>
                <w:szCs w:val="21"/>
                <w:highlight w:val="none"/>
                <w:lang w:val="zh-CN"/>
              </w:rPr>
              <w:t>同一投标人未提交两个以上不同的投标</w:t>
            </w:r>
            <w:r>
              <w:rPr>
                <w:rStyle w:val="39"/>
                <w:rFonts w:hint="eastAsia" w:ascii="宋体" w:hAnsi="宋体" w:eastAsia="宋体" w:cs="宋体"/>
                <w:sz w:val="21"/>
                <w:szCs w:val="21"/>
                <w:highlight w:val="none"/>
              </w:rPr>
              <w:t>总</w:t>
            </w:r>
            <w:r>
              <w:rPr>
                <w:rStyle w:val="39"/>
                <w:rFonts w:hint="eastAsia" w:ascii="宋体" w:hAnsi="宋体" w:eastAsia="宋体" w:cs="宋体"/>
                <w:sz w:val="21"/>
                <w:szCs w:val="21"/>
                <w:highlight w:val="none"/>
                <w:lang w:val="zh-CN"/>
              </w:rPr>
              <w:t>报价，但招标文件要求提交备选投标的除外。</w:t>
            </w:r>
          </w:p>
          <w:p>
            <w:pPr>
              <w:pStyle w:val="38"/>
              <w:shd w:val="clear" w:color="auto" w:fill="auto"/>
              <w:tabs>
                <w:tab w:val="left" w:pos="946"/>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（6）</w:t>
            </w:r>
            <w:r>
              <w:rPr>
                <w:rStyle w:val="39"/>
                <w:rFonts w:hint="eastAsia" w:ascii="宋体" w:hAnsi="宋体" w:eastAsia="宋体" w:cs="宋体"/>
                <w:sz w:val="21"/>
                <w:szCs w:val="21"/>
                <w:highlight w:val="none"/>
                <w:lang w:val="zh-CN"/>
              </w:rPr>
              <w:t>投标人若提交调价函，调价函符合招标文件第二章“投标人 须知”第</w:t>
            </w:r>
            <w:r>
              <w:rPr>
                <w:rStyle w:val="39"/>
                <w:rFonts w:hint="eastAsia" w:ascii="宋体" w:hAnsi="宋体" w:eastAsia="宋体" w:cs="宋体"/>
                <w:sz w:val="21"/>
                <w:szCs w:val="21"/>
                <w:highlight w:val="none"/>
              </w:rPr>
              <w:t>3.2.6</w:t>
            </w:r>
            <w:r>
              <w:rPr>
                <w:rStyle w:val="39"/>
                <w:rFonts w:hint="eastAsia" w:ascii="宋体" w:hAnsi="宋体" w:eastAsia="宋体" w:cs="宋体"/>
                <w:sz w:val="21"/>
                <w:szCs w:val="21"/>
                <w:highlight w:val="none"/>
                <w:lang w:val="zh-CN"/>
              </w:rPr>
              <w:t>项要求。</w:t>
            </w:r>
          </w:p>
          <w:p>
            <w:pPr>
              <w:pStyle w:val="38"/>
              <w:shd w:val="clear" w:color="auto" w:fill="auto"/>
              <w:tabs>
                <w:tab w:val="left" w:pos="950"/>
              </w:tabs>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（7）</w:t>
            </w:r>
            <w:r>
              <w:rPr>
                <w:rStyle w:val="39"/>
                <w:rFonts w:hint="eastAsia" w:ascii="宋体" w:hAnsi="宋体" w:eastAsia="宋体" w:cs="宋体"/>
                <w:sz w:val="21"/>
                <w:szCs w:val="21"/>
                <w:highlight w:val="none"/>
                <w:lang w:val="zh-CN"/>
              </w:rPr>
              <w:t>投标人若填写工程量固化清单，填写完毕的工程量固化清单未对工程量固化清单电子文件中的数据、格式和运算定义进行修改；工程量固化清单中的投标</w:t>
            </w:r>
            <w:r>
              <w:rPr>
                <w:rStyle w:val="39"/>
                <w:rFonts w:hint="eastAsia" w:ascii="宋体" w:hAnsi="宋体" w:eastAsia="宋体" w:cs="宋体"/>
                <w:sz w:val="21"/>
                <w:szCs w:val="21"/>
                <w:highlight w:val="none"/>
              </w:rPr>
              <w:t>总</w:t>
            </w:r>
            <w:r>
              <w:rPr>
                <w:rStyle w:val="39"/>
                <w:rFonts w:hint="eastAsia" w:ascii="宋体" w:hAnsi="宋体" w:eastAsia="宋体" w:cs="宋体"/>
                <w:sz w:val="21"/>
                <w:szCs w:val="21"/>
                <w:highlight w:val="none"/>
                <w:lang w:val="zh-CN"/>
              </w:rPr>
              <w:t>报价和投标函大写金额报价一致。</w:t>
            </w:r>
          </w:p>
          <w:p>
            <w:pPr>
              <w:pStyle w:val="20"/>
              <w:shd w:val="clear" w:color="auto" w:fill="auto"/>
              <w:tabs>
                <w:tab w:val="left" w:pos="651"/>
              </w:tabs>
              <w:spacing w:before="0" w:line="340" w:lineRule="exact"/>
              <w:ind w:left="42" w:leftChars="20" w:right="42" w:rightChars="20"/>
              <w:jc w:val="both"/>
              <w:rPr>
                <w:rFonts w:ascii="宋体" w:hAnsi="宋体" w:eastAsia="宋体" w:cs="宋体"/>
                <w:color w:val="auto"/>
                <w:sz w:val="21"/>
                <w:szCs w:val="21"/>
                <w:highlight w:val="none"/>
              </w:rPr>
            </w:pPr>
            <w:r>
              <w:rPr>
                <w:rStyle w:val="39"/>
                <w:rFonts w:hint="eastAsia" w:ascii="宋体" w:hAnsi="宋体" w:eastAsia="宋体" w:cs="宋体"/>
                <w:sz w:val="21"/>
                <w:szCs w:val="21"/>
                <w:highlight w:val="none"/>
              </w:rPr>
              <w:t>（8）</w:t>
            </w:r>
            <w:r>
              <w:rPr>
                <w:rStyle w:val="39"/>
                <w:rFonts w:hint="eastAsia" w:ascii="宋体" w:hAnsi="宋体" w:eastAsia="宋体" w:cs="宋体"/>
                <w:sz w:val="21"/>
                <w:szCs w:val="21"/>
                <w:highlight w:val="none"/>
                <w:lang w:val="zh-CN"/>
              </w:rPr>
              <w:t xml:space="preserve">投标文件正、副本份数符合招标文件第二章“投标人须知”第 </w:t>
            </w:r>
            <w:r>
              <w:rPr>
                <w:rStyle w:val="44"/>
                <w:rFonts w:hint="eastAsia" w:ascii="宋体" w:hAnsi="宋体" w:eastAsia="宋体" w:cs="宋体"/>
                <w:color w:val="auto"/>
                <w:sz w:val="21"/>
                <w:szCs w:val="21"/>
                <w:highlight w:val="none"/>
                <w:lang w:eastAsia="zh-CN"/>
              </w:rPr>
              <w:t>3.7.4项规定。</w:t>
            </w:r>
          </w:p>
        </w:tc>
      </w:tr>
      <w:tr>
        <w:tblPrEx>
          <w:tblCellMar>
            <w:top w:w="0" w:type="dxa"/>
            <w:left w:w="0" w:type="dxa"/>
            <w:bottom w:w="0" w:type="dxa"/>
            <w:right w:w="0" w:type="dxa"/>
          </w:tblCellMar>
        </w:tblPrEx>
        <w:trPr>
          <w:trHeight w:val="23" w:hRule="atLeast"/>
        </w:trPr>
        <w:tc>
          <w:tcPr>
            <w:tcW w:w="838"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auto"/>
              <w:ind w:left="42" w:leftChars="20" w:right="42" w:rightChars="20"/>
              <w:jc w:val="center"/>
              <w:rPr>
                <w:rStyle w:val="32"/>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2.1.2</w:t>
            </w:r>
          </w:p>
        </w:tc>
        <w:tc>
          <w:tcPr>
            <w:tcW w:w="1116" w:type="dxa"/>
            <w:tcBorders>
              <w:top w:val="single" w:color="auto" w:sz="4" w:space="0"/>
              <w:left w:val="single" w:color="auto" w:sz="4" w:space="0"/>
              <w:bottom w:val="single" w:color="auto" w:sz="4" w:space="0"/>
              <w:right w:val="nil"/>
            </w:tcBorders>
            <w:shd w:val="clear" w:color="auto" w:fill="FFFFFF"/>
            <w:vAlign w:val="center"/>
          </w:tcPr>
          <w:p>
            <w:pPr>
              <w:pStyle w:val="20"/>
              <w:shd w:val="clear" w:color="auto" w:fill="auto"/>
              <w:spacing w:before="0" w:line="360" w:lineRule="auto"/>
              <w:ind w:left="42" w:leftChars="20" w:right="42" w:rightChars="20"/>
              <w:jc w:val="both"/>
              <w:rPr>
                <w:rStyle w:val="30"/>
                <w:rFonts w:ascii="宋体" w:hAnsi="宋体" w:eastAsia="宋体" w:cs="宋体"/>
                <w:color w:val="auto"/>
                <w:sz w:val="21"/>
                <w:szCs w:val="21"/>
                <w:highlight w:val="none"/>
                <w:lang w:val="zh-CN"/>
              </w:rPr>
            </w:pPr>
            <w:r>
              <w:rPr>
                <w:rStyle w:val="31"/>
                <w:rFonts w:hint="eastAsia" w:ascii="宋体" w:hAnsi="宋体" w:eastAsia="宋体" w:cs="宋体"/>
                <w:color w:val="auto"/>
                <w:sz w:val="21"/>
                <w:szCs w:val="21"/>
                <w:highlight w:val="none"/>
                <w:lang w:val="zh-CN"/>
              </w:rPr>
              <w:t>资格评审标准</w:t>
            </w:r>
          </w:p>
        </w:tc>
        <w:tc>
          <w:tcPr>
            <w:tcW w:w="7248" w:type="dxa"/>
            <w:tcBorders>
              <w:top w:val="single" w:color="auto" w:sz="4" w:space="0"/>
              <w:left w:val="single" w:color="auto" w:sz="4" w:space="0"/>
              <w:bottom w:val="single" w:color="auto" w:sz="4" w:space="0"/>
              <w:right w:val="single" w:color="auto" w:sz="4" w:space="0"/>
            </w:tcBorders>
            <w:shd w:val="clear" w:color="auto" w:fill="FFFFFF"/>
          </w:tcPr>
          <w:p>
            <w:pPr>
              <w:pStyle w:val="38"/>
              <w:shd w:val="clear" w:color="auto" w:fill="auto"/>
              <w:spacing w:before="0" w:line="340" w:lineRule="exact"/>
              <w:ind w:left="42" w:leftChars="20" w:right="42" w:rightChars="20"/>
              <w:rPr>
                <w:rStyle w:val="39"/>
                <w:rFonts w:ascii="宋体" w:hAnsi="宋体" w:eastAsia="宋体" w:cs="宋体"/>
                <w:sz w:val="21"/>
                <w:szCs w:val="21"/>
                <w:highlight w:val="none"/>
                <w:lang w:val="zh-CN"/>
              </w:rPr>
            </w:pPr>
            <w:r>
              <w:rPr>
                <w:rStyle w:val="39"/>
                <w:rFonts w:hint="eastAsia" w:ascii="宋体" w:hAnsi="宋体" w:eastAsia="宋体" w:cs="宋体"/>
                <w:sz w:val="21"/>
                <w:szCs w:val="21"/>
                <w:highlight w:val="none"/>
              </w:rPr>
              <w:t>（1）</w:t>
            </w:r>
            <w:r>
              <w:rPr>
                <w:rStyle w:val="39"/>
                <w:rFonts w:hint="eastAsia" w:ascii="宋体" w:hAnsi="宋体" w:eastAsia="宋体" w:cs="宋体"/>
                <w:sz w:val="21"/>
                <w:szCs w:val="21"/>
                <w:highlight w:val="none"/>
                <w:lang w:val="zh-CN"/>
              </w:rPr>
              <w:t>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38"/>
              <w:shd w:val="clear" w:color="auto" w:fill="auto"/>
              <w:spacing w:before="0" w:line="340" w:lineRule="exact"/>
              <w:ind w:left="42" w:leftChars="20" w:right="42" w:rightChars="20"/>
              <w:rPr>
                <w:rStyle w:val="39"/>
                <w:rFonts w:ascii="宋体" w:hAnsi="宋体" w:eastAsia="宋体" w:cs="宋体"/>
                <w:sz w:val="21"/>
                <w:szCs w:val="21"/>
                <w:highlight w:val="none"/>
                <w:lang w:val="zh-CN"/>
              </w:rPr>
            </w:pPr>
            <w:r>
              <w:rPr>
                <w:rStyle w:val="39"/>
                <w:rFonts w:hint="eastAsia" w:ascii="宋体" w:hAnsi="宋体" w:eastAsia="宋体" w:cs="宋体"/>
                <w:sz w:val="21"/>
                <w:szCs w:val="21"/>
                <w:highlight w:val="none"/>
                <w:lang w:val="zh-CN"/>
              </w:rPr>
              <w:t>（2）投标人的资质等级符合招标文件规定；</w:t>
            </w:r>
          </w:p>
          <w:p>
            <w:pPr>
              <w:pStyle w:val="38"/>
              <w:shd w:val="clear" w:color="auto" w:fill="auto"/>
              <w:spacing w:before="0" w:line="340" w:lineRule="exact"/>
              <w:ind w:left="42" w:leftChars="20" w:right="42" w:rightChars="20"/>
              <w:rPr>
                <w:rStyle w:val="39"/>
                <w:rFonts w:ascii="宋体" w:hAnsi="宋体" w:eastAsia="宋体" w:cs="宋体"/>
                <w:sz w:val="21"/>
                <w:szCs w:val="21"/>
                <w:highlight w:val="none"/>
                <w:lang w:val="zh-CN"/>
              </w:rPr>
            </w:pPr>
            <w:r>
              <w:rPr>
                <w:rStyle w:val="39"/>
                <w:rFonts w:hint="eastAsia" w:ascii="宋体" w:hAnsi="宋体" w:eastAsia="宋体" w:cs="宋体"/>
                <w:sz w:val="21"/>
                <w:szCs w:val="21"/>
                <w:highlight w:val="none"/>
                <w:lang w:val="zh-CN"/>
              </w:rPr>
              <w:t>（3）投标人的财务状况符合招标文件规定；</w:t>
            </w:r>
          </w:p>
          <w:p>
            <w:pPr>
              <w:pStyle w:val="38"/>
              <w:shd w:val="clear" w:color="auto" w:fill="auto"/>
              <w:spacing w:before="0" w:line="340" w:lineRule="exact"/>
              <w:ind w:left="42" w:leftChars="20" w:right="42" w:rightChars="20"/>
              <w:rPr>
                <w:rStyle w:val="39"/>
                <w:rFonts w:ascii="宋体" w:hAnsi="宋体" w:eastAsia="宋体" w:cs="宋体"/>
                <w:sz w:val="21"/>
                <w:szCs w:val="21"/>
                <w:highlight w:val="none"/>
                <w:lang w:val="zh-CN"/>
              </w:rPr>
            </w:pPr>
            <w:r>
              <w:rPr>
                <w:rStyle w:val="39"/>
                <w:rFonts w:hint="eastAsia" w:ascii="宋体" w:hAnsi="宋体" w:eastAsia="宋体" w:cs="宋体"/>
                <w:sz w:val="21"/>
                <w:szCs w:val="21"/>
                <w:highlight w:val="none"/>
                <w:lang w:val="zh-CN"/>
              </w:rPr>
              <w:t>（4）投标人的类似项目业绩符合招标文件规定；</w:t>
            </w:r>
          </w:p>
          <w:p>
            <w:pPr>
              <w:pStyle w:val="38"/>
              <w:shd w:val="clear" w:color="auto" w:fill="auto"/>
              <w:spacing w:before="0" w:line="340" w:lineRule="exact"/>
              <w:ind w:left="42" w:leftChars="20" w:right="42" w:rightChars="20"/>
              <w:rPr>
                <w:rStyle w:val="39"/>
                <w:rFonts w:ascii="宋体" w:hAnsi="宋体" w:eastAsia="宋体" w:cs="宋体"/>
                <w:sz w:val="21"/>
                <w:szCs w:val="21"/>
                <w:highlight w:val="none"/>
                <w:lang w:val="zh-CN"/>
              </w:rPr>
            </w:pPr>
            <w:r>
              <w:rPr>
                <w:rStyle w:val="39"/>
                <w:rFonts w:hint="eastAsia" w:ascii="宋体" w:hAnsi="宋体" w:eastAsia="宋体" w:cs="宋体"/>
                <w:sz w:val="21"/>
                <w:szCs w:val="21"/>
                <w:highlight w:val="none"/>
                <w:lang w:val="zh-CN"/>
              </w:rPr>
              <w:t>（5）投标人的信誉符合招标文件规定；</w:t>
            </w:r>
          </w:p>
          <w:p>
            <w:pPr>
              <w:pStyle w:val="38"/>
              <w:shd w:val="clear" w:color="auto" w:fill="auto"/>
              <w:spacing w:before="0" w:line="340" w:lineRule="exact"/>
              <w:ind w:left="42" w:leftChars="20" w:right="42" w:rightChars="20"/>
              <w:rPr>
                <w:rFonts w:ascii="宋体" w:hAnsi="宋体" w:eastAsia="宋体" w:cs="宋体"/>
                <w:color w:val="auto"/>
                <w:sz w:val="21"/>
                <w:szCs w:val="21"/>
                <w:highlight w:val="none"/>
              </w:rPr>
            </w:pPr>
            <w:r>
              <w:rPr>
                <w:rStyle w:val="39"/>
                <w:rFonts w:hint="eastAsia" w:ascii="宋体" w:hAnsi="宋体" w:eastAsia="宋体" w:cs="宋体"/>
                <w:sz w:val="21"/>
                <w:szCs w:val="21"/>
                <w:highlight w:val="none"/>
                <w:lang w:val="zh-CN"/>
              </w:rPr>
              <w:t>（6）投标人的项目负责人和项目技术负责人资格、在岗情况</w:t>
            </w:r>
            <w:r>
              <w:rPr>
                <w:rStyle w:val="30"/>
                <w:rFonts w:hint="eastAsia" w:ascii="宋体" w:hAnsi="宋体" w:eastAsia="宋体" w:cs="宋体"/>
                <w:color w:val="auto"/>
                <w:sz w:val="21"/>
                <w:szCs w:val="21"/>
                <w:highlight w:val="none"/>
                <w:lang w:val="zh-CN"/>
              </w:rPr>
              <w:t>符合招标文件规定</w:t>
            </w:r>
            <w:r>
              <w:rPr>
                <w:rStyle w:val="39"/>
                <w:rFonts w:hint="eastAsia" w:ascii="宋体" w:hAnsi="宋体" w:eastAsia="宋体" w:cs="宋体"/>
                <w:sz w:val="21"/>
                <w:szCs w:val="21"/>
                <w:highlight w:val="none"/>
                <w:lang w:val="zh-CN"/>
              </w:rPr>
              <w:t>，并按规定在投标文件中签字确认</w:t>
            </w:r>
            <w:r>
              <w:rPr>
                <w:rStyle w:val="30"/>
                <w:rFonts w:hint="eastAsia" w:ascii="宋体" w:hAnsi="宋体" w:eastAsia="宋体" w:cs="宋体"/>
                <w:color w:val="auto"/>
                <w:sz w:val="21"/>
                <w:szCs w:val="21"/>
                <w:highlight w:val="none"/>
                <w:lang w:val="zh-CN"/>
              </w:rPr>
              <w:t>；</w:t>
            </w:r>
          </w:p>
          <w:p>
            <w:pPr>
              <w:pStyle w:val="20"/>
              <w:shd w:val="clear" w:color="auto" w:fill="auto"/>
              <w:tabs>
                <w:tab w:val="left" w:pos="1075"/>
              </w:tabs>
              <w:spacing w:before="0" w:line="340" w:lineRule="exact"/>
              <w:ind w:left="42" w:leftChars="20" w:right="42" w:rightChars="20"/>
              <w:jc w:val="both"/>
              <w:rPr>
                <w:rFonts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（7）</w:t>
            </w:r>
            <w:r>
              <w:rPr>
                <w:rStyle w:val="30"/>
                <w:rFonts w:hint="eastAsia" w:ascii="宋体" w:hAnsi="宋体" w:eastAsia="宋体" w:cs="宋体"/>
                <w:color w:val="auto"/>
                <w:sz w:val="21"/>
                <w:szCs w:val="21"/>
                <w:highlight w:val="none"/>
                <w:lang w:val="zh-CN"/>
              </w:rPr>
              <w:t>投标人的其他要求符合招标文件规定；</w:t>
            </w:r>
            <w:r>
              <w:rPr>
                <w:rFonts w:hint="eastAsia" w:ascii="宋体" w:hAnsi="宋体" w:eastAsia="宋体" w:cs="宋体"/>
                <w:color w:val="auto"/>
                <w:sz w:val="21"/>
                <w:szCs w:val="21"/>
                <w:highlight w:val="none"/>
                <w:vertAlign w:val="superscript"/>
              </w:rPr>
              <w:footnoteReference w:id="0"/>
            </w:r>
          </w:p>
          <w:p>
            <w:pPr>
              <w:pStyle w:val="20"/>
              <w:shd w:val="clear" w:color="auto" w:fill="auto"/>
              <w:tabs>
                <w:tab w:val="left" w:pos="943"/>
              </w:tabs>
              <w:spacing w:before="0" w:line="340" w:lineRule="exact"/>
              <w:ind w:left="42" w:leftChars="20" w:right="42" w:rightChars="20"/>
              <w:jc w:val="both"/>
              <w:rPr>
                <w:rFonts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（8）</w:t>
            </w:r>
            <w:r>
              <w:rPr>
                <w:rStyle w:val="30"/>
                <w:rFonts w:hint="eastAsia" w:ascii="宋体" w:hAnsi="宋体" w:eastAsia="宋体" w:cs="宋体"/>
                <w:color w:val="auto"/>
                <w:sz w:val="21"/>
                <w:szCs w:val="21"/>
                <w:highlight w:val="none"/>
                <w:lang w:val="zh-CN"/>
              </w:rPr>
              <w:t>投标人不存在第二章“投标人须知”第</w:t>
            </w:r>
            <w:r>
              <w:rPr>
                <w:rStyle w:val="30"/>
                <w:rFonts w:hint="eastAsia" w:ascii="宋体" w:hAnsi="宋体" w:eastAsia="宋体" w:cs="宋体"/>
                <w:color w:val="auto"/>
                <w:sz w:val="21"/>
                <w:szCs w:val="21"/>
                <w:highlight w:val="none"/>
              </w:rPr>
              <w:t>1.4.3</w:t>
            </w:r>
            <w:r>
              <w:rPr>
                <w:rStyle w:val="30"/>
                <w:rFonts w:hint="eastAsia" w:ascii="宋体" w:hAnsi="宋体" w:eastAsia="宋体" w:cs="宋体"/>
                <w:color w:val="auto"/>
                <w:sz w:val="21"/>
                <w:szCs w:val="21"/>
                <w:highlight w:val="none"/>
                <w:lang w:val="zh-CN"/>
              </w:rPr>
              <w:t>项或第</w:t>
            </w:r>
            <w:r>
              <w:rPr>
                <w:rStyle w:val="30"/>
                <w:rFonts w:hint="eastAsia" w:ascii="宋体" w:hAnsi="宋体" w:eastAsia="宋体" w:cs="宋体"/>
                <w:color w:val="auto"/>
                <w:sz w:val="21"/>
                <w:szCs w:val="21"/>
                <w:highlight w:val="none"/>
              </w:rPr>
              <w:t>1.4.4</w:t>
            </w:r>
            <w:r>
              <w:rPr>
                <w:rStyle w:val="30"/>
                <w:rFonts w:hint="eastAsia" w:ascii="宋体" w:hAnsi="宋体" w:eastAsia="宋体" w:cs="宋体"/>
                <w:color w:val="auto"/>
                <w:sz w:val="21"/>
                <w:szCs w:val="21"/>
                <w:highlight w:val="none"/>
                <w:lang w:val="zh-CN"/>
              </w:rPr>
              <w:t>项规定的任何一种情形；</w:t>
            </w:r>
          </w:p>
          <w:p>
            <w:pPr>
              <w:pStyle w:val="20"/>
              <w:shd w:val="clear" w:color="auto" w:fill="auto"/>
              <w:tabs>
                <w:tab w:val="left" w:pos="926"/>
              </w:tabs>
              <w:spacing w:before="0" w:line="340" w:lineRule="exact"/>
              <w:ind w:left="42" w:leftChars="20" w:right="42" w:rightChars="20"/>
              <w:jc w:val="both"/>
              <w:rPr>
                <w:rStyle w:val="39"/>
                <w:rFonts w:ascii="宋体" w:hAnsi="宋体" w:eastAsia="宋体" w:cs="宋体"/>
                <w:sz w:val="21"/>
                <w:szCs w:val="21"/>
                <w:highlight w:val="none"/>
              </w:rPr>
            </w:pPr>
            <w:r>
              <w:rPr>
                <w:rStyle w:val="30"/>
                <w:rFonts w:hint="eastAsia" w:ascii="宋体" w:hAnsi="宋体" w:eastAsia="宋体" w:cs="宋体"/>
                <w:color w:val="auto"/>
                <w:sz w:val="21"/>
                <w:szCs w:val="21"/>
                <w:highlight w:val="none"/>
                <w:lang w:val="zh-CN"/>
              </w:rPr>
              <w:t>（9）以联合体形式参与投标的，联合体各方均未再以自己名义 单独或参加其他联合体在同一标段中投标；独立参与投标的，投标人未同时参加联合体在同一标段中投标</w:t>
            </w:r>
            <w:r>
              <w:rPr>
                <w:rStyle w:val="17"/>
                <w:rFonts w:hint="eastAsia" w:ascii="宋体" w:hAnsi="宋体" w:eastAsia="宋体" w:cs="宋体"/>
                <w:color w:val="auto"/>
                <w:spacing w:val="0"/>
                <w:sz w:val="21"/>
                <w:szCs w:val="21"/>
                <w:highlight w:val="none"/>
                <w:lang w:val="zh-CN"/>
              </w:rPr>
              <w:footnoteReference w:id="1"/>
            </w:r>
            <w:r>
              <w:rPr>
                <w:rStyle w:val="30"/>
                <w:rFonts w:hint="eastAsia" w:ascii="宋体" w:hAnsi="宋体" w:eastAsia="宋体" w:cs="宋体"/>
                <w:color w:val="auto"/>
                <w:sz w:val="21"/>
                <w:szCs w:val="21"/>
                <w:highlight w:val="none"/>
                <w:lang w:val="zh-CN"/>
              </w:rPr>
              <w:t>。</w:t>
            </w:r>
          </w:p>
        </w:tc>
      </w:tr>
    </w:tbl>
    <w:p>
      <w:pPr>
        <w:pStyle w:val="2"/>
        <w:rPr>
          <w:color w:val="auto"/>
          <w:highlight w:val="none"/>
        </w:rPr>
        <w:sectPr>
          <w:footnotePr>
            <w:numRestart w:val="eachPage"/>
          </w:footnotePr>
          <w:pgSz w:w="11900" w:h="16840"/>
          <w:pgMar w:top="1417" w:right="1417" w:bottom="1417" w:left="1417" w:header="680" w:footer="680" w:gutter="0"/>
          <w:cols w:space="720" w:num="1"/>
          <w:docGrid w:linePitch="360" w:charSpace="0"/>
        </w:sectPr>
      </w:pP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12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093" w:type="dxa"/>
            <w:gridSpan w:val="2"/>
            <w:vAlign w:val="center"/>
          </w:tcPr>
          <w:p>
            <w:pPr>
              <w:spacing w:line="360" w:lineRule="auto"/>
              <w:jc w:val="center"/>
              <w:rPr>
                <w:rStyle w:val="39"/>
                <w:rFonts w:ascii="宋体" w:hAnsi="宋体" w:eastAsia="宋体" w:cs="宋体"/>
                <w:sz w:val="21"/>
                <w:szCs w:val="21"/>
                <w:highlight w:val="none"/>
              </w:rPr>
            </w:pPr>
            <w:r>
              <w:rPr>
                <w:rStyle w:val="45"/>
                <w:rFonts w:hint="eastAsia" w:ascii="宋体" w:hAnsi="宋体" w:eastAsia="宋体" w:cs="宋体"/>
                <w:color w:val="auto"/>
                <w:sz w:val="21"/>
                <w:szCs w:val="21"/>
                <w:highlight w:val="none"/>
                <w:u w:val="none"/>
              </w:rPr>
              <w:t>条款号</w:t>
            </w:r>
          </w:p>
        </w:tc>
        <w:tc>
          <w:tcPr>
            <w:tcW w:w="7087" w:type="dxa"/>
            <w:vAlign w:val="center"/>
          </w:tcPr>
          <w:p>
            <w:pPr>
              <w:spacing w:line="360" w:lineRule="auto"/>
              <w:jc w:val="center"/>
              <w:rPr>
                <w:rStyle w:val="39"/>
                <w:rFonts w:ascii="宋体" w:hAnsi="宋体" w:eastAsia="宋体" w:cs="宋体"/>
                <w:spacing w:val="20"/>
                <w:kern w:val="0"/>
                <w:sz w:val="21"/>
                <w:szCs w:val="21"/>
                <w:highlight w:val="none"/>
                <w:shd w:val="clear" w:color="auto" w:fill="FFFFFF"/>
              </w:rPr>
            </w:pPr>
            <w:r>
              <w:rPr>
                <w:rStyle w:val="45"/>
                <w:rFonts w:hint="eastAsia" w:ascii="宋体" w:hAnsi="宋体" w:eastAsia="宋体" w:cs="宋体"/>
                <w:color w:val="auto"/>
                <w:sz w:val="21"/>
                <w:szCs w:val="21"/>
                <w:highlight w:val="none"/>
                <w:u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972" w:type="dxa"/>
            <w:vAlign w:val="center"/>
          </w:tcPr>
          <w:p>
            <w:pPr>
              <w:pStyle w:val="20"/>
              <w:shd w:val="clear" w:color="auto" w:fill="auto"/>
              <w:spacing w:before="0" w:line="360" w:lineRule="auto"/>
              <w:jc w:val="center"/>
              <w:rPr>
                <w:rFonts w:ascii="宋体" w:hAnsi="宋体" w:eastAsia="宋体" w:cs="宋体"/>
                <w:color w:val="auto"/>
                <w:kern w:val="2"/>
                <w:sz w:val="21"/>
                <w:szCs w:val="21"/>
                <w:highlight w:val="none"/>
              </w:rPr>
            </w:pPr>
            <w:r>
              <w:rPr>
                <w:rStyle w:val="42"/>
                <w:rFonts w:hint="eastAsia" w:ascii="宋体" w:hAnsi="宋体" w:eastAsia="宋体" w:cs="宋体"/>
                <w:b w:val="0"/>
                <w:color w:val="auto"/>
                <w:kern w:val="2"/>
                <w:sz w:val="21"/>
                <w:szCs w:val="21"/>
                <w:highlight w:val="none"/>
                <w:lang w:val="zh-CN"/>
              </w:rPr>
              <w:t>2.2.1</w:t>
            </w:r>
          </w:p>
        </w:tc>
        <w:tc>
          <w:tcPr>
            <w:tcW w:w="1121" w:type="dxa"/>
            <w:vAlign w:val="center"/>
          </w:tcPr>
          <w:p>
            <w:pPr>
              <w:pStyle w:val="20"/>
              <w:shd w:val="clear" w:color="auto" w:fill="auto"/>
              <w:spacing w:before="0" w:line="360" w:lineRule="auto"/>
              <w:jc w:val="both"/>
              <w:rPr>
                <w:rFonts w:ascii="宋体" w:hAnsi="宋体" w:eastAsia="宋体" w:cs="宋体"/>
                <w:color w:val="auto"/>
                <w:kern w:val="2"/>
                <w:sz w:val="21"/>
                <w:szCs w:val="21"/>
                <w:highlight w:val="none"/>
              </w:rPr>
            </w:pPr>
            <w:r>
              <w:rPr>
                <w:rStyle w:val="30"/>
                <w:rFonts w:hint="eastAsia" w:ascii="宋体" w:hAnsi="宋体" w:eastAsia="宋体" w:cs="宋体"/>
                <w:color w:val="auto"/>
                <w:kern w:val="2"/>
                <w:sz w:val="21"/>
                <w:szCs w:val="21"/>
                <w:highlight w:val="none"/>
                <w:lang w:val="zh-CN"/>
              </w:rPr>
              <w:t>分值构成 (总分</w:t>
            </w:r>
            <w:r>
              <w:rPr>
                <w:rStyle w:val="42"/>
                <w:rFonts w:hint="eastAsia" w:ascii="宋体" w:hAnsi="宋体" w:eastAsia="宋体" w:cs="宋体"/>
                <w:b w:val="0"/>
                <w:color w:val="auto"/>
                <w:kern w:val="2"/>
                <w:sz w:val="21"/>
                <w:szCs w:val="21"/>
                <w:highlight w:val="none"/>
                <w:lang w:val="zh-CN"/>
              </w:rPr>
              <w:t>100</w:t>
            </w:r>
          </w:p>
          <w:p>
            <w:pPr>
              <w:pStyle w:val="20"/>
              <w:shd w:val="clear" w:color="auto" w:fill="auto"/>
              <w:spacing w:before="0" w:line="360" w:lineRule="auto"/>
              <w:jc w:val="both"/>
              <w:rPr>
                <w:rStyle w:val="30"/>
                <w:rFonts w:ascii="宋体" w:hAnsi="宋体" w:eastAsia="宋体" w:cs="宋体"/>
                <w:color w:val="auto"/>
                <w:kern w:val="2"/>
                <w:sz w:val="21"/>
                <w:szCs w:val="21"/>
                <w:highlight w:val="none"/>
                <w:lang w:val="zh-CN"/>
              </w:rPr>
            </w:pPr>
            <w:r>
              <w:rPr>
                <w:rStyle w:val="30"/>
                <w:rFonts w:hint="eastAsia" w:ascii="宋体" w:hAnsi="宋体" w:eastAsia="宋体" w:cs="宋体"/>
                <w:color w:val="auto"/>
                <w:kern w:val="2"/>
                <w:sz w:val="21"/>
                <w:szCs w:val="21"/>
                <w:highlight w:val="none"/>
                <w:lang w:val="zh-CN"/>
              </w:rPr>
              <w:t>分）</w:t>
            </w:r>
          </w:p>
          <w:p>
            <w:pPr>
              <w:pStyle w:val="20"/>
              <w:shd w:val="clear" w:color="auto" w:fill="auto"/>
              <w:spacing w:before="0" w:line="360" w:lineRule="auto"/>
              <w:jc w:val="both"/>
              <w:rPr>
                <w:rFonts w:ascii="宋体" w:hAnsi="宋体" w:eastAsia="宋体" w:cs="宋体"/>
                <w:color w:val="auto"/>
                <w:kern w:val="2"/>
                <w:sz w:val="21"/>
                <w:szCs w:val="21"/>
                <w:highlight w:val="none"/>
              </w:rPr>
            </w:pPr>
          </w:p>
        </w:tc>
        <w:tc>
          <w:tcPr>
            <w:tcW w:w="7087" w:type="dxa"/>
            <w:vAlign w:val="center"/>
          </w:tcPr>
          <w:p>
            <w:pPr>
              <w:pStyle w:val="20"/>
              <w:shd w:val="clear" w:color="auto" w:fill="auto"/>
              <w:spacing w:before="0" w:line="360" w:lineRule="auto"/>
              <w:jc w:val="both"/>
              <w:rPr>
                <w:rStyle w:val="42"/>
                <w:rFonts w:ascii="宋体" w:hAnsi="宋体" w:eastAsia="宋体" w:cs="宋体"/>
                <w:b w:val="0"/>
                <w:color w:val="auto"/>
                <w:kern w:val="2"/>
                <w:sz w:val="21"/>
                <w:szCs w:val="21"/>
                <w:highlight w:val="none"/>
                <w:lang w:val="zh-CN"/>
              </w:rPr>
            </w:pPr>
            <w:r>
              <w:rPr>
                <w:rStyle w:val="42"/>
                <w:rFonts w:hint="eastAsia" w:ascii="宋体" w:hAnsi="宋体" w:eastAsia="宋体" w:cs="宋体"/>
                <w:b w:val="0"/>
                <w:color w:val="auto"/>
                <w:kern w:val="2"/>
                <w:sz w:val="21"/>
                <w:szCs w:val="21"/>
                <w:highlight w:val="none"/>
              </w:rPr>
              <w:t>第一个信封（商务及技术文件）评分分值构成：</w:t>
            </w:r>
            <w:r>
              <w:rPr>
                <w:rStyle w:val="42"/>
                <w:rFonts w:hint="eastAsia" w:ascii="宋体" w:hAnsi="宋体" w:eastAsia="宋体" w:cs="宋体"/>
                <w:color w:val="auto"/>
                <w:kern w:val="2"/>
                <w:sz w:val="21"/>
                <w:szCs w:val="21"/>
                <w:highlight w:val="none"/>
              </w:rPr>
              <w:t xml:space="preserve"> </w:t>
            </w:r>
            <w:r>
              <w:rPr>
                <w:rStyle w:val="42"/>
                <w:rFonts w:hint="eastAsia" w:ascii="宋体" w:hAnsi="宋体" w:eastAsia="宋体" w:cs="宋体"/>
                <w:color w:val="auto"/>
                <w:kern w:val="2"/>
                <w:sz w:val="21"/>
                <w:szCs w:val="21"/>
                <w:highlight w:val="none"/>
                <w:lang w:val="zh-CN"/>
              </w:rPr>
              <w:t xml:space="preserve">                 </w:t>
            </w:r>
          </w:p>
          <w:p>
            <w:pPr>
              <w:pStyle w:val="20"/>
              <w:shd w:val="clear" w:color="auto" w:fill="auto"/>
              <w:spacing w:before="0" w:line="360" w:lineRule="auto"/>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施工组织设计：</w:t>
            </w:r>
            <w:r>
              <w:rPr>
                <w:rFonts w:hint="eastAsia" w:ascii="宋体" w:hAnsi="宋体" w:eastAsia="宋体" w:cs="宋体"/>
                <w:color w:val="auto"/>
                <w:spacing w:val="0"/>
                <w:kern w:val="2"/>
                <w:sz w:val="21"/>
                <w:szCs w:val="21"/>
                <w:highlight w:val="none"/>
                <w:u w:val="single"/>
              </w:rPr>
              <w:t>6</w:t>
            </w:r>
            <w:r>
              <w:rPr>
                <w:rFonts w:hint="eastAsia" w:ascii="宋体" w:hAnsi="宋体" w:eastAsia="宋体" w:cs="宋体"/>
                <w:color w:val="auto"/>
                <w:spacing w:val="0"/>
                <w:kern w:val="2"/>
                <w:sz w:val="21"/>
                <w:szCs w:val="21"/>
                <w:highlight w:val="none"/>
              </w:rPr>
              <w:t xml:space="preserve">分   </w:t>
            </w:r>
            <w:r>
              <w:rPr>
                <w:rFonts w:ascii="宋体" w:hAnsi="宋体" w:eastAsia="宋体" w:cs="MingLiU"/>
                <w:color w:val="auto"/>
                <w:spacing w:val="0"/>
                <w:kern w:val="2"/>
                <w:sz w:val="21"/>
                <w:szCs w:val="21"/>
                <w:highlight w:val="none"/>
              </w:rPr>
              <w:t xml:space="preserve"> </w:t>
            </w:r>
            <w:r>
              <w:rPr>
                <w:rFonts w:hint="eastAsia" w:ascii="宋体" w:hAnsi="宋体" w:eastAsia="宋体" w:cs="宋体"/>
                <w:color w:val="auto"/>
                <w:spacing w:val="0"/>
                <w:kern w:val="2"/>
                <w:sz w:val="21"/>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项目管理机构：</w:t>
            </w:r>
            <w:r>
              <w:rPr>
                <w:rFonts w:hint="eastAsia" w:ascii="宋体" w:hAnsi="宋体" w:cs="宋体"/>
                <w:color w:val="auto"/>
                <w:szCs w:val="21"/>
                <w:highlight w:val="none"/>
                <w:u w:val="single"/>
              </w:rPr>
              <w:t>1</w:t>
            </w:r>
            <w:r>
              <w:rPr>
                <w:rFonts w:hint="eastAsia" w:ascii="宋体" w:hAnsi="宋体" w:cs="宋体"/>
                <w:color w:val="auto"/>
                <w:szCs w:val="21"/>
                <w:highlight w:val="none"/>
              </w:rPr>
              <w:t xml:space="preserve">分    </w:t>
            </w:r>
          </w:p>
          <w:p>
            <w:pPr>
              <w:pStyle w:val="20"/>
              <w:shd w:val="clear" w:color="auto" w:fill="auto"/>
              <w:spacing w:before="0" w:line="360" w:lineRule="auto"/>
              <w:jc w:val="both"/>
              <w:rPr>
                <w:rFonts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其他因素：</w:t>
            </w:r>
            <w:r>
              <w:rPr>
                <w:rFonts w:hint="eastAsia" w:ascii="宋体" w:hAnsi="宋体" w:eastAsia="宋体" w:cs="宋体"/>
                <w:color w:val="auto"/>
                <w:spacing w:val="0"/>
                <w:kern w:val="2"/>
                <w:sz w:val="21"/>
                <w:szCs w:val="21"/>
                <w:highlight w:val="none"/>
                <w:u w:val="single"/>
              </w:rPr>
              <w:t>13</w:t>
            </w:r>
            <w:r>
              <w:rPr>
                <w:rFonts w:hint="eastAsia" w:ascii="宋体" w:hAnsi="宋体" w:eastAsia="宋体" w:cs="宋体"/>
                <w:color w:val="auto"/>
                <w:spacing w:val="0"/>
                <w:kern w:val="2"/>
                <w:sz w:val="21"/>
                <w:szCs w:val="21"/>
                <w:highlight w:val="none"/>
              </w:rPr>
              <w:t xml:space="preserve">分，其中：    </w:t>
            </w:r>
            <w:r>
              <w:rPr>
                <w:rFonts w:ascii="宋体" w:hAnsi="宋体" w:eastAsia="宋体" w:cs="MingLiU"/>
                <w:color w:val="auto"/>
                <w:spacing w:val="0"/>
                <w:kern w:val="2"/>
                <w:sz w:val="21"/>
                <w:szCs w:val="21"/>
                <w:highlight w:val="none"/>
              </w:rPr>
              <w:t xml:space="preserve"> </w:t>
            </w:r>
            <w:r>
              <w:rPr>
                <w:rFonts w:hint="eastAsia" w:ascii="宋体" w:hAnsi="宋体" w:eastAsia="宋体" w:cs="宋体"/>
                <w:color w:val="auto"/>
                <w:spacing w:val="0"/>
                <w:kern w:val="2"/>
                <w:sz w:val="21"/>
                <w:szCs w:val="21"/>
                <w:highlight w:val="none"/>
              </w:rPr>
              <w:t xml:space="preserve">      </w:t>
            </w:r>
          </w:p>
          <w:p>
            <w:pPr>
              <w:pStyle w:val="20"/>
              <w:shd w:val="clear" w:color="auto" w:fill="auto"/>
              <w:spacing w:before="0" w:line="360" w:lineRule="auto"/>
              <w:ind w:firstLine="420" w:firstLineChars="200"/>
              <w:jc w:val="both"/>
              <w:rPr>
                <w:rFonts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工程业绩：</w:t>
            </w:r>
            <w:r>
              <w:rPr>
                <w:rFonts w:ascii="宋体" w:hAnsi="宋体" w:eastAsia="宋体" w:cs="宋体"/>
                <w:color w:val="auto"/>
                <w:kern w:val="2"/>
                <w:sz w:val="21"/>
                <w:szCs w:val="21"/>
                <w:highlight w:val="none"/>
                <w:u w:val="single"/>
              </w:rPr>
              <w:t>3</w:t>
            </w:r>
            <w:r>
              <w:rPr>
                <w:rFonts w:hint="eastAsia" w:ascii="宋体" w:hAnsi="宋体" w:eastAsia="宋体" w:cs="宋体"/>
                <w:color w:val="auto"/>
                <w:kern w:val="2"/>
                <w:sz w:val="21"/>
                <w:szCs w:val="21"/>
                <w:highlight w:val="none"/>
              </w:rPr>
              <w:t xml:space="preserve">分    </w:t>
            </w:r>
          </w:p>
          <w:p>
            <w:pPr>
              <w:pStyle w:val="20"/>
              <w:shd w:val="clear" w:color="auto" w:fill="auto"/>
              <w:spacing w:before="0" w:line="360" w:lineRule="auto"/>
              <w:ind w:firstLine="420" w:firstLineChars="200"/>
              <w:jc w:val="both"/>
              <w:rPr>
                <w:rFonts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财务能力：</w:t>
            </w:r>
            <w:r>
              <w:rPr>
                <w:rFonts w:ascii="宋体" w:hAnsi="宋体" w:eastAsia="宋体" w:cs="宋体"/>
                <w:color w:val="auto"/>
                <w:spacing w:val="0"/>
                <w:kern w:val="2"/>
                <w:sz w:val="21"/>
                <w:szCs w:val="21"/>
                <w:highlight w:val="none"/>
              </w:rPr>
              <w:t>0</w:t>
            </w:r>
            <w:r>
              <w:rPr>
                <w:rFonts w:hint="eastAsia" w:ascii="宋体" w:hAnsi="宋体" w:eastAsia="宋体" w:cs="宋体"/>
                <w:color w:val="auto"/>
                <w:spacing w:val="0"/>
                <w:kern w:val="2"/>
                <w:sz w:val="21"/>
                <w:szCs w:val="21"/>
                <w:highlight w:val="none"/>
              </w:rPr>
              <w:t xml:space="preserve">分      </w:t>
            </w:r>
            <w:r>
              <w:rPr>
                <w:rFonts w:ascii="宋体" w:hAnsi="宋体"/>
                <w:color w:val="auto"/>
                <w:szCs w:val="21"/>
                <w:highlight w:val="none"/>
              </w:rPr>
              <w:t xml:space="preserve"> </w:t>
            </w:r>
          </w:p>
          <w:p>
            <w:pPr>
              <w:pStyle w:val="20"/>
              <w:shd w:val="clear" w:color="auto" w:fill="auto"/>
              <w:spacing w:before="0" w:line="360"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rPr>
              <w:t>机械设备：</w:t>
            </w:r>
            <w:r>
              <w:rPr>
                <w:rFonts w:hint="eastAsia" w:ascii="宋体" w:hAnsi="宋体" w:eastAsia="宋体" w:cs="宋体"/>
                <w:color w:val="auto"/>
                <w:kern w:val="2"/>
                <w:sz w:val="21"/>
                <w:szCs w:val="21"/>
                <w:highlight w:val="none"/>
                <w:u w:val="single"/>
              </w:rPr>
              <w:t>0</w:t>
            </w:r>
            <w:r>
              <w:rPr>
                <w:rFonts w:hint="eastAsia" w:ascii="宋体" w:hAnsi="宋体" w:eastAsia="宋体" w:cs="宋体"/>
                <w:color w:val="auto"/>
                <w:kern w:val="2"/>
                <w:sz w:val="21"/>
                <w:szCs w:val="21"/>
                <w:highlight w:val="none"/>
              </w:rPr>
              <w:t>分</w:t>
            </w:r>
          </w:p>
          <w:p>
            <w:pPr>
              <w:pStyle w:val="20"/>
              <w:shd w:val="clear" w:color="auto" w:fill="auto"/>
              <w:spacing w:before="0" w:line="360" w:lineRule="auto"/>
              <w:ind w:firstLine="401" w:firstLineChars="191"/>
              <w:jc w:val="both"/>
              <w:rPr>
                <w:rFonts w:ascii="宋体" w:hAnsi="宋体" w:eastAsia="宋体" w:cs="宋体"/>
                <w:color w:val="auto"/>
                <w:spacing w:val="0"/>
                <w:kern w:val="2"/>
                <w:sz w:val="21"/>
                <w:szCs w:val="21"/>
                <w:highlight w:val="none"/>
              </w:rPr>
            </w:pPr>
            <w:r>
              <w:rPr>
                <w:rFonts w:hint="eastAsia" w:ascii="宋体" w:hAnsi="宋体" w:eastAsia="宋体" w:cs="宋体"/>
                <w:color w:val="auto"/>
                <w:spacing w:val="0"/>
                <w:kern w:val="2"/>
                <w:sz w:val="21"/>
                <w:szCs w:val="21"/>
                <w:highlight w:val="none"/>
              </w:rPr>
              <w:t>履约信誉：10分</w:t>
            </w:r>
          </w:p>
          <w:p>
            <w:pPr>
              <w:pStyle w:val="20"/>
              <w:shd w:val="clear" w:color="auto" w:fill="auto"/>
              <w:spacing w:before="0" w:line="360" w:lineRule="auto"/>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第二个信封（报价文件）评分分值构成：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 标 报 价：</w:t>
            </w:r>
            <w:r>
              <w:rPr>
                <w:rFonts w:hint="eastAsia" w:ascii="宋体" w:hAnsi="宋体" w:cs="宋体"/>
                <w:color w:val="auto"/>
                <w:szCs w:val="21"/>
                <w:highlight w:val="none"/>
                <w:u w:val="single"/>
              </w:rPr>
              <w:t>80</w:t>
            </w:r>
            <w:r>
              <w:rPr>
                <w:rFonts w:hint="eastAsia" w:ascii="宋体" w:hAnsi="宋体" w:cs="宋体"/>
                <w:color w:val="auto"/>
                <w:szCs w:val="21"/>
                <w:highlight w:val="none"/>
              </w:rPr>
              <w:t xml:space="preserve">分              </w:t>
            </w:r>
          </w:p>
        </w:tc>
      </w:tr>
    </w:tbl>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360" w:lineRule="auto"/>
        <w:rPr>
          <w:rFonts w:ascii="宋体" w:hAnsi="宋体" w:cs="宋体"/>
          <w:color w:val="auto"/>
          <w:sz w:val="2"/>
          <w:szCs w:val="2"/>
          <w:highlight w:val="none"/>
        </w:rPr>
      </w:pPr>
    </w:p>
    <w:p>
      <w:pPr>
        <w:spacing w:line="200" w:lineRule="exact"/>
        <w:jc w:val="right"/>
        <w:rPr>
          <w:rStyle w:val="46"/>
          <w:rFonts w:ascii="宋体" w:hAnsi="宋体" w:eastAsia="宋体" w:cs="宋体"/>
          <w:color w:val="auto"/>
          <w:highlight w:val="none"/>
        </w:rPr>
      </w:pPr>
      <w:r>
        <w:rPr>
          <w:rStyle w:val="46"/>
          <w:rFonts w:hint="eastAsia" w:ascii="宋体" w:hAnsi="宋体" w:eastAsia="宋体" w:cs="宋体"/>
          <w:color w:val="auto"/>
          <w:highlight w:val="none"/>
        </w:rPr>
        <w:br w:type="page"/>
      </w:r>
    </w:p>
    <w:tbl>
      <w:tblPr>
        <w:tblStyle w:val="13"/>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1269"/>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88" w:type="dxa"/>
            <w:shd w:val="clear" w:color="auto" w:fill="FFFFFF"/>
            <w:vAlign w:val="center"/>
          </w:tcPr>
          <w:p>
            <w:pPr>
              <w:pStyle w:val="20"/>
              <w:shd w:val="clear" w:color="auto" w:fill="auto"/>
              <w:spacing w:before="0" w:line="360" w:lineRule="auto"/>
              <w:jc w:val="center"/>
              <w:rPr>
                <w:rFonts w:ascii="宋体" w:hAnsi="宋体" w:eastAsia="宋体" w:cs="宋体"/>
                <w:color w:val="auto"/>
                <w:kern w:val="2"/>
                <w:sz w:val="21"/>
                <w:szCs w:val="21"/>
                <w:highlight w:val="none"/>
              </w:rPr>
            </w:pPr>
            <w:r>
              <w:rPr>
                <w:rStyle w:val="42"/>
                <w:rFonts w:hint="eastAsia" w:ascii="宋体" w:hAnsi="宋体" w:eastAsia="宋体" w:cs="宋体"/>
                <w:b w:val="0"/>
                <w:color w:val="auto"/>
                <w:kern w:val="2"/>
                <w:sz w:val="21"/>
                <w:szCs w:val="21"/>
                <w:highlight w:val="none"/>
                <w:lang w:val="zh-CN"/>
              </w:rPr>
              <w:t>条款号</w:t>
            </w:r>
          </w:p>
        </w:tc>
        <w:tc>
          <w:tcPr>
            <w:tcW w:w="1269" w:type="dxa"/>
            <w:shd w:val="clear" w:color="auto" w:fill="FFFFFF"/>
            <w:vAlign w:val="center"/>
          </w:tcPr>
          <w:p>
            <w:pPr>
              <w:pStyle w:val="20"/>
              <w:shd w:val="clear" w:color="auto" w:fill="auto"/>
              <w:spacing w:before="0" w:line="360" w:lineRule="auto"/>
              <w:jc w:val="center"/>
              <w:rPr>
                <w:rFonts w:ascii="宋体" w:hAnsi="宋体" w:eastAsia="宋体" w:cs="宋体"/>
                <w:color w:val="auto"/>
                <w:kern w:val="2"/>
                <w:sz w:val="21"/>
                <w:szCs w:val="21"/>
                <w:highlight w:val="none"/>
              </w:rPr>
            </w:pPr>
            <w:r>
              <w:rPr>
                <w:rStyle w:val="42"/>
                <w:rFonts w:hint="eastAsia" w:ascii="宋体" w:hAnsi="宋体" w:eastAsia="宋体" w:cs="宋体"/>
                <w:b w:val="0"/>
                <w:color w:val="auto"/>
                <w:kern w:val="2"/>
                <w:sz w:val="21"/>
                <w:szCs w:val="21"/>
                <w:highlight w:val="none"/>
                <w:lang w:val="zh-CN"/>
              </w:rPr>
              <w:t>条款内容</w:t>
            </w:r>
          </w:p>
        </w:tc>
        <w:tc>
          <w:tcPr>
            <w:tcW w:w="7104" w:type="dxa"/>
            <w:shd w:val="clear" w:color="auto" w:fill="FFFFFF"/>
            <w:vAlign w:val="center"/>
          </w:tcPr>
          <w:p>
            <w:pPr>
              <w:pStyle w:val="47"/>
              <w:shd w:val="clear" w:color="auto" w:fill="auto"/>
              <w:spacing w:before="0" w:after="0" w:line="360" w:lineRule="auto"/>
              <w:rPr>
                <w:rFonts w:ascii="宋体" w:hAnsi="宋体" w:eastAsia="宋体" w:cs="宋体"/>
                <w:color w:val="auto"/>
                <w:sz w:val="21"/>
                <w:szCs w:val="21"/>
                <w:highlight w:val="none"/>
                <w:lang w:val="zh-CN"/>
              </w:rPr>
            </w:pPr>
            <w:r>
              <w:rPr>
                <w:rStyle w:val="42"/>
                <w:rFonts w:hint="eastAsia" w:ascii="宋体" w:hAnsi="宋体" w:eastAsia="宋体" w:cs="宋体"/>
                <w:b w:val="0"/>
                <w:color w:val="auto"/>
                <w:sz w:val="21"/>
                <w:szCs w:val="21"/>
                <w:highlight w:val="none"/>
                <w:lang w:val="zh-CN"/>
              </w:rPr>
              <w:t>编列内容</w:t>
            </w:r>
          </w:p>
          <w:p>
            <w:pPr>
              <w:pStyle w:val="20"/>
              <w:shd w:val="clear" w:color="auto" w:fill="auto"/>
              <w:spacing w:before="0" w:line="360" w:lineRule="auto"/>
              <w:jc w:val="center"/>
              <w:rPr>
                <w:rFonts w:ascii="宋体" w:hAnsi="宋体" w:eastAsia="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88"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269"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7104" w:type="dxa"/>
            <w:shd w:val="clear" w:color="auto" w:fill="FFFFFF"/>
            <w:vAlign w:val="center"/>
          </w:tcPr>
          <w:p>
            <w:pPr>
              <w:ind w:right="124" w:rightChars="59"/>
              <w:rPr>
                <w:rFonts w:ascii="宋体" w:hAnsi="宋体" w:cs="宋体"/>
                <w:color w:val="auto"/>
                <w:szCs w:val="21"/>
                <w:highlight w:val="none"/>
              </w:rPr>
            </w:pPr>
            <w:r>
              <w:rPr>
                <w:rFonts w:hint="eastAsia" w:ascii="宋体" w:hAnsi="宋体" w:cs="宋体"/>
                <w:color w:val="auto"/>
                <w:szCs w:val="21"/>
                <w:highlight w:val="none"/>
              </w:rPr>
              <w:t>评标基准价的计算：</w:t>
            </w:r>
          </w:p>
          <w:p>
            <w:pPr>
              <w:pStyle w:val="20"/>
              <w:shd w:val="clear" w:color="auto" w:fill="auto"/>
              <w:spacing w:before="0" w:line="240" w:lineRule="auto"/>
              <w:ind w:right="124" w:rightChars="59"/>
              <w:jc w:val="left"/>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在开标现场，招标人将当场计算并宣布评标基准价。</w:t>
            </w:r>
          </w:p>
          <w:p>
            <w:pPr>
              <w:pStyle w:val="20"/>
              <w:numPr>
                <w:ilvl w:val="0"/>
                <w:numId w:val="3"/>
              </w:numPr>
              <w:shd w:val="clear" w:color="auto" w:fill="auto"/>
              <w:tabs>
                <w:tab w:val="left" w:pos="413"/>
              </w:tabs>
              <w:spacing w:before="0" w:line="240" w:lineRule="auto"/>
              <w:ind w:right="124" w:rightChars="59"/>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评标价的确定：评标价=投标函文字报价</w:t>
            </w:r>
          </w:p>
          <w:p>
            <w:pPr>
              <w:ind w:right="124" w:rightChars="59"/>
              <w:rPr>
                <w:rFonts w:ascii="宋体" w:hAnsi="宋体" w:cs="宋体"/>
                <w:color w:val="auto"/>
                <w:szCs w:val="21"/>
                <w:highlight w:val="none"/>
              </w:rPr>
            </w:pPr>
            <w:r>
              <w:rPr>
                <w:rFonts w:hint="eastAsia" w:ascii="宋体" w:hAnsi="宋体" w:cs="宋体"/>
                <w:color w:val="auto"/>
                <w:szCs w:val="21"/>
                <w:highlight w:val="none"/>
              </w:rPr>
              <w:t>(2) 最高评标限价的确定</w:t>
            </w:r>
          </w:p>
          <w:p>
            <w:pPr>
              <w:snapToGrid w:val="0"/>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最高投标限价下浮率在开标前在开标现场采取逐标段摇珠方式确定。摇珠操作办法如下：在下浮率（0-3%）摇珠范围内，以0.1%为一档次增序确定摇珠号码，共31个球，一次性摇出3个球（摇出的珠不放回），摇出3个球对应的下浮率的平均值即为本标段招标的下浮率。（注：三个下浮率的平均值四舍五入取整到0.001％）</w:t>
            </w:r>
          </w:p>
          <w:p>
            <w:pPr>
              <w:snapToGrid w:val="0"/>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最高评标限价＝最高投标限价×（1-下浮率）</w:t>
            </w:r>
          </w:p>
          <w:p>
            <w:pPr>
              <w:ind w:right="124" w:rightChars="59"/>
              <w:rPr>
                <w:rFonts w:ascii="宋体" w:hAnsi="宋体" w:cs="宋体"/>
                <w:color w:val="auto"/>
                <w:szCs w:val="21"/>
                <w:highlight w:val="none"/>
              </w:rPr>
            </w:pPr>
            <w:r>
              <w:rPr>
                <w:rFonts w:hint="eastAsia" w:ascii="宋体" w:hAnsi="宋体" w:cs="宋体"/>
                <w:color w:val="auto"/>
                <w:szCs w:val="21"/>
                <w:highlight w:val="none"/>
              </w:rPr>
              <w:t xml:space="preserve"> (3) 有效评标价范围：</w:t>
            </w:r>
          </w:p>
          <w:p>
            <w:pPr>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有效评标价范围：不大于最高评标限价的评标价为有效评标价。若大于最高评标限价的评标价，将否决其投标。</w:t>
            </w:r>
          </w:p>
          <w:p>
            <w:pPr>
              <w:spacing w:line="360" w:lineRule="exact"/>
              <w:ind w:right="42" w:rightChars="20"/>
              <w:rPr>
                <w:rFonts w:ascii="宋体" w:hAnsi="宋体" w:cs="宋体"/>
                <w:snapToGrid w:val="0"/>
                <w:color w:val="auto"/>
                <w:szCs w:val="21"/>
                <w:highlight w:val="none"/>
              </w:rPr>
            </w:pPr>
            <w:r>
              <w:rPr>
                <w:rFonts w:hint="eastAsia" w:ascii="宋体" w:hAnsi="宋体" w:cs="宋体"/>
                <w:color w:val="auto"/>
                <w:szCs w:val="21"/>
                <w:highlight w:val="none"/>
              </w:rPr>
              <w:t>(4)评标基准价的确定：最高评标限价下浮</w:t>
            </w:r>
            <w:r>
              <w:rPr>
                <w:rFonts w:ascii="宋体" w:hAnsi="宋体" w:cs="宋体"/>
                <w:color w:val="auto"/>
                <w:szCs w:val="21"/>
                <w:highlight w:val="none"/>
              </w:rPr>
              <w:t>3.0%作为</w:t>
            </w:r>
            <w:r>
              <w:rPr>
                <w:rFonts w:hint="eastAsia" w:ascii="宋体" w:hAnsi="宋体" w:cs="宋体"/>
                <w:color w:val="auto"/>
                <w:szCs w:val="21"/>
                <w:highlight w:val="none"/>
              </w:rPr>
              <w:t>评标基准价</w:t>
            </w:r>
            <w:r>
              <w:rPr>
                <w:rFonts w:hint="eastAsia" w:ascii="宋体" w:hAnsi="宋体" w:cs="宋体"/>
                <w:color w:val="auto"/>
                <w:szCs w:val="21"/>
                <w:highlight w:val="none"/>
                <w:lang w:eastAsia="zh-CN"/>
              </w:rPr>
              <w:t>。</w:t>
            </w:r>
          </w:p>
          <w:p>
            <w:pPr>
              <w:ind w:right="124" w:rightChars="59" w:firstLine="420" w:firstLineChars="200"/>
              <w:rPr>
                <w:rFonts w:ascii="宋体" w:hAnsi="宋体" w:cs="宋体"/>
                <w:color w:val="auto"/>
                <w:szCs w:val="21"/>
                <w:highlight w:val="none"/>
              </w:rPr>
            </w:pPr>
          </w:p>
          <w:p>
            <w:pPr>
              <w:spacing w:line="300" w:lineRule="exact"/>
              <w:ind w:right="124" w:rightChars="59" w:firstLine="315" w:firstLineChars="150"/>
              <w:rPr>
                <w:rFonts w:ascii="宋体" w:hAnsi="宋体" w:cs="宋体"/>
                <w:color w:val="auto"/>
                <w:szCs w:val="21"/>
                <w:highlight w:val="none"/>
              </w:rPr>
            </w:pPr>
            <w:r>
              <w:rPr>
                <w:rFonts w:hint="eastAsia" w:ascii="宋体" w:hAnsi="宋体" w:cs="宋体"/>
                <w:color w:val="auto"/>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ind w:right="124" w:rightChars="59" w:firstLine="210" w:firstLineChars="100"/>
              <w:rPr>
                <w:rFonts w:ascii="宋体" w:hAnsi="宋体" w:cs="宋体"/>
                <w:color w:val="auto"/>
                <w:szCs w:val="21"/>
                <w:highlight w:val="none"/>
              </w:rPr>
            </w:pPr>
            <w:r>
              <w:rPr>
                <w:rFonts w:hint="eastAsia" w:ascii="宋体" w:hAnsi="宋体" w:cs="宋体"/>
                <w:color w:val="auto"/>
                <w:szCs w:val="21"/>
                <w:highlight w:val="none"/>
              </w:rPr>
              <w:t>备注：最高评标限价、评标基准价四舍五入至个位整数。</w:t>
            </w:r>
          </w:p>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988"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2.2.3</w:t>
            </w:r>
          </w:p>
        </w:tc>
        <w:tc>
          <w:tcPr>
            <w:tcW w:w="1269" w:type="dxa"/>
            <w:shd w:val="clear" w:color="auto" w:fill="FFFFFF"/>
            <w:vAlign w:val="center"/>
          </w:tcPr>
          <w:p>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7104" w:type="dxa"/>
            <w:shd w:val="clear" w:color="auto" w:fill="FFFFFF"/>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偏差率=100% ×(投标人评标价－评标基准价)/评标基准价</w:t>
            </w:r>
          </w:p>
        </w:tc>
      </w:tr>
    </w:tbl>
    <w:p>
      <w:pPr>
        <w:spacing w:line="360" w:lineRule="auto"/>
        <w:rPr>
          <w:rFonts w:ascii="宋体" w:hAnsi="宋体" w:cs="宋体"/>
          <w:color w:val="auto"/>
          <w:sz w:val="2"/>
          <w:szCs w:val="2"/>
          <w:highlight w:val="none"/>
        </w:rPr>
        <w:sectPr>
          <w:footnotePr>
            <w:numRestart w:val="eachPage"/>
          </w:footnotePr>
          <w:pgSz w:w="11900" w:h="16840"/>
          <w:pgMar w:top="1417" w:right="1417" w:bottom="1417" w:left="1417" w:header="680" w:footer="680" w:gutter="0"/>
          <w:cols w:space="720" w:num="1"/>
          <w:docGrid w:linePitch="360" w:charSpace="0"/>
        </w:sectPr>
      </w:pPr>
    </w:p>
    <w:tbl>
      <w:tblPr>
        <w:tblStyle w:val="13"/>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772"/>
        <w:gridCol w:w="719"/>
        <w:gridCol w:w="1062"/>
        <w:gridCol w:w="972"/>
        <w:gridCol w:w="77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370" w:type="dxa"/>
            <w:gridSpan w:val="6"/>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评分因素与权重分值</w:t>
            </w:r>
          </w:p>
        </w:tc>
        <w:tc>
          <w:tcPr>
            <w:tcW w:w="4295"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068"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1491" w:type="dxa"/>
            <w:gridSpan w:val="2"/>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评分因素</w:t>
            </w:r>
          </w:p>
        </w:tc>
        <w:tc>
          <w:tcPr>
            <w:tcW w:w="106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评分因素权重分值</w:t>
            </w:r>
          </w:p>
        </w:tc>
        <w:tc>
          <w:tcPr>
            <w:tcW w:w="97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各评分因素细分项</w:t>
            </w:r>
          </w:p>
        </w:tc>
        <w:tc>
          <w:tcPr>
            <w:tcW w:w="777"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4295" w:type="dxa"/>
            <w:vMerge w:val="continue"/>
          </w:tcPr>
          <w:p>
            <w:pPr>
              <w:snapToGrid w:val="0"/>
              <w:spacing w:line="240" w:lineRule="atLeas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1491" w:type="dxa"/>
            <w:gridSpan w:val="2"/>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施工组织设计</w:t>
            </w:r>
          </w:p>
        </w:tc>
        <w:tc>
          <w:tcPr>
            <w:tcW w:w="1062"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u w:val="single"/>
              </w:rPr>
              <w:t>6</w:t>
            </w:r>
            <w:r>
              <w:rPr>
                <w:rFonts w:hint="eastAsia" w:ascii="宋体" w:hAnsi="宋体" w:cs="宋体"/>
                <w:color w:val="auto"/>
                <w:szCs w:val="21"/>
                <w:highlight w:val="none"/>
              </w:rPr>
              <w:t>分</w:t>
            </w:r>
          </w:p>
        </w:tc>
        <w:tc>
          <w:tcPr>
            <w:tcW w:w="972" w:type="dxa"/>
            <w:vAlign w:val="center"/>
          </w:tcPr>
          <w:p>
            <w:pPr>
              <w:jc w:val="center"/>
              <w:rPr>
                <w:rFonts w:ascii="宋体" w:hAnsi="宋体" w:cs="宋体"/>
                <w:color w:val="auto"/>
                <w:szCs w:val="21"/>
                <w:highlight w:val="none"/>
              </w:rPr>
            </w:pPr>
            <w:r>
              <w:rPr>
                <w:rStyle w:val="35"/>
                <w:rFonts w:hint="eastAsia" w:ascii="宋体" w:hAnsi="宋体" w:eastAsia="宋体" w:cs="宋体"/>
                <w:color w:val="auto"/>
                <w:sz w:val="21"/>
                <w:szCs w:val="21"/>
                <w:highlight w:val="none"/>
              </w:rPr>
              <w:t>机械配备及进场计划</w:t>
            </w:r>
          </w:p>
        </w:tc>
        <w:tc>
          <w:tcPr>
            <w:tcW w:w="777" w:type="dxa"/>
            <w:vAlign w:val="center"/>
          </w:tcPr>
          <w:p>
            <w:pPr>
              <w:pStyle w:val="20"/>
              <w:shd w:val="clear" w:color="auto" w:fill="auto"/>
              <w:spacing w:before="0" w:line="360" w:lineRule="auto"/>
              <w:jc w:val="center"/>
              <w:rPr>
                <w:rFonts w:ascii="宋体" w:hAnsi="宋体" w:eastAsia="宋体" w:cs="宋体"/>
                <w:color w:val="auto"/>
                <w:kern w:val="2"/>
                <w:sz w:val="21"/>
                <w:szCs w:val="21"/>
                <w:highlight w:val="none"/>
              </w:rPr>
            </w:pPr>
            <w:r>
              <w:rPr>
                <w:rStyle w:val="31"/>
                <w:rFonts w:hint="eastAsia" w:ascii="宋体" w:hAnsi="宋体" w:eastAsia="宋体" w:cs="宋体"/>
                <w:color w:val="auto"/>
                <w:kern w:val="2"/>
                <w:sz w:val="21"/>
                <w:szCs w:val="21"/>
                <w:highlight w:val="none"/>
              </w:rPr>
              <w:t>1</w:t>
            </w:r>
            <w:r>
              <w:rPr>
                <w:rStyle w:val="31"/>
                <w:rFonts w:hint="eastAsia" w:ascii="宋体" w:hAnsi="宋体" w:eastAsia="宋体" w:cs="宋体"/>
                <w:color w:val="auto"/>
                <w:kern w:val="2"/>
                <w:sz w:val="21"/>
                <w:szCs w:val="21"/>
                <w:highlight w:val="none"/>
                <w:lang w:val="zh-CN"/>
              </w:rPr>
              <w:t>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设备配置数量足、合理，主要设备落实与进度吻合得[1，0.8）分；设备配置数量足、基本合理，主要设备落实与进度基本吻合得[0.8，0.7）分；设备配置不足、欠合理，主要设备基本落实与进度欠吻合得[0.7，0.6]分；没有提供机械设备及进场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u w:val="singl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施工工艺流程</w:t>
            </w:r>
          </w:p>
        </w:tc>
        <w:tc>
          <w:tcPr>
            <w:tcW w:w="777" w:type="dxa"/>
            <w:vAlign w:val="center"/>
          </w:tcPr>
          <w:p>
            <w:pPr>
              <w:spacing w:line="360" w:lineRule="auto"/>
              <w:jc w:val="center"/>
              <w:rPr>
                <w:rStyle w:val="35"/>
                <w:rFonts w:ascii="宋体" w:hAnsi="宋体" w:eastAsia="宋体" w:cs="宋体"/>
                <w:color w:val="auto"/>
                <w:sz w:val="21"/>
                <w:szCs w:val="21"/>
                <w:highlight w:val="none"/>
                <w:u w:val="single"/>
              </w:rPr>
            </w:pPr>
            <w:r>
              <w:rPr>
                <w:rStyle w:val="31"/>
                <w:rFonts w:hint="eastAsia" w:ascii="宋体" w:hAnsi="宋体" w:eastAsia="宋体" w:cs="宋体"/>
                <w:color w:val="auto"/>
                <w:sz w:val="21"/>
                <w:szCs w:val="21"/>
                <w:highlight w:val="none"/>
              </w:rPr>
              <w:t>0.5分</w:t>
            </w:r>
          </w:p>
        </w:tc>
        <w:tc>
          <w:tcPr>
            <w:tcW w:w="4295" w:type="dxa"/>
            <w:vAlign w:val="center"/>
          </w:tcPr>
          <w:p>
            <w:pPr>
              <w:ind w:firstLine="420" w:firstLineChars="200"/>
              <w:jc w:val="left"/>
              <w:rPr>
                <w:rStyle w:val="35"/>
                <w:rFonts w:ascii="宋体" w:hAnsi="宋体" w:eastAsia="宋体" w:cs="宋体"/>
                <w:color w:val="auto"/>
                <w:sz w:val="21"/>
                <w:szCs w:val="21"/>
                <w:highlight w:val="none"/>
              </w:rPr>
            </w:pPr>
            <w:r>
              <w:rPr>
                <w:rFonts w:hint="eastAsia" w:ascii="宋体" w:hAnsi="宋体" w:cs="宋体"/>
                <w:color w:val="auto"/>
                <w:szCs w:val="21"/>
                <w:highlight w:val="none"/>
              </w:rPr>
              <w:t>可行、可靠、先进、合理得[0.5，0.4）分；基本可行、可靠得 [0.4，0.35）分；欠可行、欠可靠得[0.35，0.3] 分，没有提供施工工艺流程的，得0分。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u w:val="singl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施工进度计划</w:t>
            </w:r>
          </w:p>
        </w:tc>
        <w:tc>
          <w:tcPr>
            <w:tcW w:w="777" w:type="dxa"/>
            <w:vAlign w:val="center"/>
          </w:tcPr>
          <w:p>
            <w:pPr>
              <w:spacing w:line="360" w:lineRule="auto"/>
              <w:jc w:val="center"/>
              <w:rPr>
                <w:rStyle w:val="35"/>
                <w:rFonts w:ascii="宋体" w:hAnsi="宋体" w:eastAsia="宋体" w:cs="宋体"/>
                <w:color w:val="auto"/>
                <w:sz w:val="21"/>
                <w:szCs w:val="21"/>
                <w:highlight w:val="none"/>
                <w:u w:val="single"/>
              </w:rPr>
            </w:pPr>
            <w:r>
              <w:rPr>
                <w:rStyle w:val="31"/>
                <w:rFonts w:hint="eastAsia" w:ascii="宋体" w:hAnsi="宋体" w:eastAsia="宋体" w:cs="宋体"/>
                <w:color w:val="auto"/>
                <w:sz w:val="21"/>
                <w:szCs w:val="21"/>
                <w:highlight w:val="none"/>
              </w:rPr>
              <w:t>1分</w:t>
            </w:r>
          </w:p>
        </w:tc>
        <w:tc>
          <w:tcPr>
            <w:tcW w:w="4295" w:type="dxa"/>
            <w:vAlign w:val="center"/>
          </w:tcPr>
          <w:p>
            <w:pPr>
              <w:ind w:firstLine="420" w:firstLineChars="200"/>
              <w:jc w:val="left"/>
              <w:rPr>
                <w:rStyle w:val="35"/>
                <w:rFonts w:ascii="宋体" w:hAnsi="宋体" w:eastAsia="宋体" w:cs="宋体"/>
                <w:color w:val="auto"/>
                <w:sz w:val="21"/>
                <w:szCs w:val="21"/>
                <w:highlight w:val="none"/>
              </w:rPr>
            </w:pPr>
            <w:r>
              <w:rPr>
                <w:rFonts w:hint="eastAsia" w:ascii="宋体" w:hAnsi="宋体" w:cs="宋体"/>
                <w:color w:val="auto"/>
                <w:szCs w:val="21"/>
                <w:highlight w:val="none"/>
              </w:rPr>
              <w:t>工期合理，进度计划可行、合理、先进，保证措施具体得[1，0.8）分；工期基本合理，进度计划基本可行、合理、有保证措施得[0.8，0.7）分；工期欠合理，进度计划欠合理、保证措施一般得[0.7，0.6]分；没有提供施工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u w:val="singl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材料供应和检验</w:t>
            </w:r>
          </w:p>
        </w:tc>
        <w:tc>
          <w:tcPr>
            <w:tcW w:w="777" w:type="dxa"/>
            <w:vAlign w:val="center"/>
          </w:tcPr>
          <w:p>
            <w:pPr>
              <w:spacing w:line="360" w:lineRule="auto"/>
              <w:jc w:val="center"/>
              <w:rPr>
                <w:rStyle w:val="35"/>
                <w:rFonts w:ascii="宋体" w:hAnsi="宋体" w:eastAsia="宋体" w:cs="宋体"/>
                <w:color w:val="auto"/>
                <w:sz w:val="21"/>
                <w:szCs w:val="21"/>
                <w:highlight w:val="none"/>
                <w:u w:val="single"/>
              </w:rPr>
            </w:pPr>
            <w:r>
              <w:rPr>
                <w:rStyle w:val="31"/>
                <w:rFonts w:hint="eastAsia" w:ascii="宋体" w:hAnsi="宋体" w:eastAsia="宋体" w:cs="宋体"/>
                <w:color w:val="auto"/>
                <w:sz w:val="21"/>
                <w:szCs w:val="21"/>
                <w:highlight w:val="none"/>
              </w:rPr>
              <w:t>0.5分</w:t>
            </w:r>
          </w:p>
        </w:tc>
        <w:tc>
          <w:tcPr>
            <w:tcW w:w="4295" w:type="dxa"/>
            <w:vAlign w:val="center"/>
          </w:tcPr>
          <w:p>
            <w:pPr>
              <w:ind w:firstLine="420" w:firstLineChars="200"/>
              <w:jc w:val="left"/>
              <w:rPr>
                <w:rStyle w:val="35"/>
                <w:rFonts w:ascii="宋体" w:hAnsi="宋体" w:eastAsia="宋体" w:cs="宋体"/>
                <w:color w:val="auto"/>
                <w:sz w:val="21"/>
                <w:szCs w:val="21"/>
                <w:highlight w:val="none"/>
              </w:rPr>
            </w:pPr>
            <w:r>
              <w:rPr>
                <w:rFonts w:hint="eastAsia" w:ascii="宋体" w:hAnsi="宋体" w:cs="宋体"/>
                <w:color w:val="auto"/>
                <w:szCs w:val="21"/>
                <w:highlight w:val="none"/>
              </w:rPr>
              <w:t>材料进场和检验与进度吻合得[0.5，0.4）分；材料进场和检验与进度基本吻合得 [0.4，0.35）分；材料进场和检验与进度欠吻合得 [0.35，0.3] 分；没有提供材料供应和检验计划的，得0分。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u w:val="singl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施工技术措施</w:t>
            </w:r>
          </w:p>
        </w:tc>
        <w:tc>
          <w:tcPr>
            <w:tcW w:w="777" w:type="dxa"/>
            <w:vAlign w:val="center"/>
          </w:tcPr>
          <w:p>
            <w:pPr>
              <w:spacing w:line="360" w:lineRule="auto"/>
              <w:jc w:val="center"/>
              <w:rPr>
                <w:rStyle w:val="35"/>
                <w:rFonts w:ascii="宋体" w:hAnsi="宋体" w:eastAsia="宋体" w:cs="宋体"/>
                <w:color w:val="auto"/>
                <w:sz w:val="21"/>
                <w:szCs w:val="21"/>
                <w:highlight w:val="none"/>
                <w:u w:val="single"/>
              </w:rPr>
            </w:pPr>
            <w:r>
              <w:rPr>
                <w:rStyle w:val="31"/>
                <w:rFonts w:ascii="宋体" w:hAnsi="宋体" w:eastAsia="宋体" w:cs="宋体"/>
                <w:color w:val="auto"/>
                <w:sz w:val="21"/>
                <w:szCs w:val="21"/>
                <w:highlight w:val="none"/>
              </w:rPr>
              <w:t>1分</w:t>
            </w:r>
          </w:p>
        </w:tc>
        <w:tc>
          <w:tcPr>
            <w:tcW w:w="4295" w:type="dxa"/>
            <w:vAlign w:val="center"/>
          </w:tcPr>
          <w:p>
            <w:pPr>
              <w:ind w:firstLine="420" w:firstLineChars="200"/>
              <w:jc w:val="left"/>
              <w:rPr>
                <w:rStyle w:val="35"/>
                <w:rFonts w:ascii="宋体" w:hAnsi="宋体" w:eastAsia="宋体" w:cs="宋体"/>
                <w:color w:val="auto"/>
                <w:sz w:val="21"/>
                <w:szCs w:val="21"/>
                <w:highlight w:val="none"/>
              </w:rPr>
            </w:pPr>
            <w:r>
              <w:rPr>
                <w:rFonts w:ascii="宋体" w:hAnsi="宋体" w:cs="宋体"/>
                <w:color w:val="auto"/>
                <w:szCs w:val="21"/>
                <w:highlight w:val="none"/>
              </w:rPr>
              <w:t>措施针对性好、具体、成熟得 [1.0，0.8）分；措施针对性较好、较具体得[0.8，0.7）分；措施欠具体得[0.7，0.6] 分；没有提供施工技术措施的，得0分。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u w:val="singl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施工质量保证措施</w:t>
            </w:r>
          </w:p>
        </w:tc>
        <w:tc>
          <w:tcPr>
            <w:tcW w:w="777" w:type="dxa"/>
            <w:vAlign w:val="center"/>
          </w:tcPr>
          <w:p>
            <w:pPr>
              <w:spacing w:line="360" w:lineRule="auto"/>
              <w:jc w:val="center"/>
              <w:rPr>
                <w:rStyle w:val="35"/>
                <w:rFonts w:ascii="宋体" w:hAnsi="宋体" w:eastAsia="宋体" w:cs="宋体"/>
                <w:color w:val="auto"/>
                <w:sz w:val="21"/>
                <w:szCs w:val="21"/>
                <w:highlight w:val="none"/>
                <w:u w:val="single"/>
              </w:rPr>
            </w:pPr>
            <w:r>
              <w:rPr>
                <w:rStyle w:val="31"/>
                <w:rFonts w:hint="eastAsia" w:ascii="宋体" w:hAnsi="宋体" w:eastAsia="宋体" w:cs="宋体"/>
                <w:color w:val="auto"/>
                <w:sz w:val="21"/>
                <w:szCs w:val="21"/>
                <w:highlight w:val="none"/>
              </w:rPr>
              <w:t>1分</w:t>
            </w:r>
          </w:p>
        </w:tc>
        <w:tc>
          <w:tcPr>
            <w:tcW w:w="4295" w:type="dxa"/>
            <w:vAlign w:val="center"/>
          </w:tcPr>
          <w:p>
            <w:pPr>
              <w:ind w:firstLine="420" w:firstLineChars="200"/>
              <w:jc w:val="left"/>
              <w:rPr>
                <w:rStyle w:val="35"/>
                <w:rFonts w:ascii="宋体" w:hAnsi="宋体" w:eastAsia="宋体" w:cs="宋体"/>
                <w:color w:val="auto"/>
                <w:sz w:val="21"/>
                <w:szCs w:val="21"/>
                <w:highlight w:val="none"/>
              </w:rPr>
            </w:pPr>
            <w:r>
              <w:rPr>
                <w:rFonts w:hint="eastAsia" w:ascii="宋体" w:hAnsi="宋体" w:cs="宋体"/>
                <w:color w:val="auto"/>
                <w:szCs w:val="21"/>
                <w:highlight w:val="none"/>
              </w:rPr>
              <w:t>满足招标文件质量要求，工程质量保证措施明确、具体、可行、针对性好、各项落实得[1，0.8）分；基本满足招标文件质量要求，工程质量保证措施较明确、较具体、较可行、较落实得[0.8，0.7）分；一般满足招标文件质量要求，工程质量保证措施一般化、但对工程质量保证措施有认识得[0.7，0.6]分；没有提供施工质量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rPr>
            </w:pPr>
          </w:p>
        </w:tc>
        <w:tc>
          <w:tcPr>
            <w:tcW w:w="972" w:type="dxa"/>
            <w:vAlign w:val="center"/>
          </w:tcPr>
          <w:p>
            <w:pPr>
              <w:jc w:val="center"/>
              <w:rPr>
                <w:rFonts w:ascii="宋体" w:hAnsi="宋体" w:cs="宋体"/>
                <w:color w:val="auto"/>
                <w:szCs w:val="21"/>
                <w:highlight w:val="none"/>
              </w:rPr>
            </w:pPr>
            <w:r>
              <w:rPr>
                <w:rStyle w:val="35"/>
                <w:rFonts w:hint="eastAsia" w:ascii="宋体" w:hAnsi="宋体" w:eastAsia="宋体" w:cs="宋体"/>
                <w:color w:val="auto"/>
                <w:sz w:val="21"/>
                <w:szCs w:val="21"/>
                <w:highlight w:val="none"/>
              </w:rPr>
              <w:t>施工安全保障措施</w:t>
            </w:r>
          </w:p>
        </w:tc>
        <w:tc>
          <w:tcPr>
            <w:tcW w:w="777" w:type="dxa"/>
            <w:vAlign w:val="center"/>
          </w:tcPr>
          <w:p>
            <w:pPr>
              <w:spacing w:line="360" w:lineRule="auto"/>
              <w:jc w:val="center"/>
              <w:rPr>
                <w:rFonts w:ascii="宋体" w:hAnsi="宋体" w:cs="宋体"/>
                <w:color w:val="auto"/>
                <w:szCs w:val="21"/>
                <w:highlight w:val="none"/>
              </w:rPr>
            </w:pPr>
            <w:r>
              <w:rPr>
                <w:rStyle w:val="31"/>
                <w:rFonts w:hint="eastAsia" w:ascii="宋体" w:hAnsi="宋体" w:eastAsia="宋体" w:cs="宋体"/>
                <w:color w:val="auto"/>
                <w:sz w:val="21"/>
                <w:szCs w:val="21"/>
                <w:highlight w:val="none"/>
              </w:rPr>
              <w:t>0.5分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措施针对性好、具体、成熟得[0.5，0.4）分；措施针对性较好、较具体得 [0.4，0.35）分；措施不具体得[0.35，0.3]分；没有提供施工安全保障措施的，得0分。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rPr>
            </w:pPr>
          </w:p>
        </w:tc>
        <w:tc>
          <w:tcPr>
            <w:tcW w:w="972" w:type="dxa"/>
            <w:vAlign w:val="center"/>
          </w:tcPr>
          <w:p>
            <w:pPr>
              <w:jc w:val="center"/>
              <w:rPr>
                <w:rFonts w:ascii="宋体" w:hAnsi="宋体" w:cs="宋体"/>
                <w:color w:val="auto"/>
                <w:szCs w:val="21"/>
                <w:highlight w:val="none"/>
              </w:rPr>
            </w:pPr>
            <w:r>
              <w:rPr>
                <w:rStyle w:val="35"/>
                <w:rFonts w:hint="eastAsia" w:ascii="宋体" w:hAnsi="宋体" w:eastAsia="宋体" w:cs="宋体"/>
                <w:color w:val="auto"/>
                <w:sz w:val="21"/>
                <w:szCs w:val="21"/>
                <w:highlight w:val="none"/>
              </w:rPr>
              <w:t>文明施工与环境保护措施</w:t>
            </w:r>
          </w:p>
        </w:tc>
        <w:tc>
          <w:tcPr>
            <w:tcW w:w="777" w:type="dxa"/>
            <w:vAlign w:val="center"/>
          </w:tcPr>
          <w:p>
            <w:pPr>
              <w:spacing w:line="360" w:lineRule="auto"/>
              <w:jc w:val="center"/>
              <w:rPr>
                <w:rFonts w:ascii="宋体" w:hAnsi="宋体" w:cs="宋体"/>
                <w:color w:val="auto"/>
                <w:szCs w:val="21"/>
                <w:highlight w:val="none"/>
              </w:rPr>
            </w:pPr>
            <w:r>
              <w:rPr>
                <w:rStyle w:val="31"/>
                <w:rFonts w:hint="eastAsia" w:ascii="宋体" w:hAnsi="宋体" w:eastAsia="宋体" w:cs="宋体"/>
                <w:color w:val="auto"/>
                <w:sz w:val="21"/>
                <w:szCs w:val="21"/>
                <w:highlight w:val="none"/>
              </w:rPr>
              <w:t>0.5分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措施针对性好、具体、成熟得[0.5，0.4）分；措施针对性较好、较具体得[0.4，0.35）分；措施不具体得 [0.35，0.3]分；没有提供文明施工与环境保护措施的，得0分。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491" w:type="dxa"/>
            <w:gridSpan w:val="2"/>
            <w:vMerge w:val="restart"/>
            <w:vAlign w:val="center"/>
          </w:tcPr>
          <w:p>
            <w:pPr>
              <w:snapToGrid w:val="0"/>
              <w:spacing w:line="240" w:lineRule="atLeast"/>
              <w:jc w:val="center"/>
              <w:rPr>
                <w:rFonts w:ascii="宋体" w:hAnsi="宋体" w:cs="宋体"/>
                <w:color w:val="auto"/>
                <w:szCs w:val="21"/>
                <w:highlight w:val="none"/>
              </w:rPr>
            </w:pPr>
            <w:r>
              <w:rPr>
                <w:rStyle w:val="31"/>
                <w:rFonts w:hint="eastAsia" w:ascii="宋体" w:hAnsi="宋体" w:eastAsia="宋体" w:cs="宋体"/>
                <w:color w:val="auto"/>
                <w:sz w:val="21"/>
                <w:szCs w:val="21"/>
                <w:highlight w:val="none"/>
              </w:rPr>
              <w:t>项目管理机构</w:t>
            </w:r>
          </w:p>
        </w:tc>
        <w:tc>
          <w:tcPr>
            <w:tcW w:w="1062"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u w:val="single"/>
              </w:rPr>
              <w:t>1</w:t>
            </w:r>
            <w:r>
              <w:rPr>
                <w:rFonts w:hint="eastAsia" w:ascii="宋体" w:hAnsi="宋体" w:cs="宋体"/>
                <w:color w:val="auto"/>
                <w:szCs w:val="21"/>
                <w:highlight w:val="none"/>
              </w:rPr>
              <w:t>分</w:t>
            </w: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项目负责人任职资格与业绩</w:t>
            </w:r>
          </w:p>
        </w:tc>
        <w:tc>
          <w:tcPr>
            <w:tcW w:w="777" w:type="dxa"/>
            <w:vAlign w:val="center"/>
          </w:tcPr>
          <w:p>
            <w:pPr>
              <w:spacing w:line="360" w:lineRule="auto"/>
              <w:jc w:val="center"/>
              <w:rPr>
                <w:rStyle w:val="31"/>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0.4分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1、项目负责人在满足资格审查条件的最低要求时，得0.25分；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2、拟派的项目负责人</w:t>
            </w:r>
            <w:r>
              <w:rPr>
                <w:rFonts w:hint="eastAsia" w:ascii="宋体" w:hAnsi="宋体" w:cs="宋体"/>
                <w:color w:val="auto"/>
                <w:szCs w:val="21"/>
                <w:highlight w:val="none"/>
                <w:lang w:eastAsia="zh-CN"/>
              </w:rPr>
              <w:t>2019年1月1日</w:t>
            </w:r>
            <w:r>
              <w:rPr>
                <w:rFonts w:hint="eastAsia" w:ascii="宋体" w:hAnsi="宋体" w:cs="宋体"/>
                <w:color w:val="auto"/>
                <w:szCs w:val="21"/>
                <w:highlight w:val="none"/>
              </w:rPr>
              <w:t>至今【以交（竣）工验收时间为准】担任过质量合格的单项合同额不少于人民币4000万元的类似机电安装工程施工业绩的项目负责人或项目经理或项目副经理或技术负责人职务的得0.15分。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3、以上两项合计0.4分。同一项目（标段）业绩不重复计算。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项目技术负责人任职资格与业绩</w:t>
            </w:r>
          </w:p>
        </w:tc>
        <w:tc>
          <w:tcPr>
            <w:tcW w:w="777" w:type="dxa"/>
            <w:vAlign w:val="center"/>
          </w:tcPr>
          <w:p>
            <w:pPr>
              <w:spacing w:line="360" w:lineRule="auto"/>
              <w:jc w:val="center"/>
              <w:rPr>
                <w:rStyle w:val="31"/>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0.4分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1、项目技术负责人在满足资格审查条件的最低要求时，得0.25分；</w:t>
            </w:r>
          </w:p>
          <w:p>
            <w:pPr>
              <w:ind w:firstLine="420" w:firstLineChars="200"/>
              <w:jc w:val="left"/>
              <w:rPr>
                <w:rFonts w:ascii="宋体" w:hAnsi="宋体" w:cs="宋体"/>
                <w:color w:val="auto"/>
                <w:highlight w:val="none"/>
              </w:rPr>
            </w:pPr>
            <w:r>
              <w:rPr>
                <w:rFonts w:hint="eastAsia" w:ascii="宋体" w:hAnsi="宋体" w:cs="宋体"/>
                <w:color w:val="auto"/>
                <w:szCs w:val="21"/>
                <w:highlight w:val="none"/>
              </w:rPr>
              <w:t>2、拟派的项目技术负责人</w:t>
            </w:r>
            <w:r>
              <w:rPr>
                <w:rFonts w:hint="eastAsia" w:ascii="宋体" w:hAnsi="宋体" w:cs="宋体"/>
                <w:color w:val="auto"/>
                <w:szCs w:val="21"/>
                <w:highlight w:val="none"/>
                <w:lang w:eastAsia="zh-CN"/>
              </w:rPr>
              <w:t>2019年1月1日</w:t>
            </w:r>
            <w:r>
              <w:rPr>
                <w:rFonts w:hint="eastAsia" w:ascii="宋体" w:hAnsi="宋体" w:cs="宋体"/>
                <w:color w:val="auto"/>
                <w:szCs w:val="21"/>
                <w:highlight w:val="none"/>
              </w:rPr>
              <w:t>至今【以交（竣）工验收时间为准】担任过质量合格的单项合同额不少于人民币4000万元的类似机电安装工程施工业绩的项目负责人或项目经理或项目副经理或技术负责人职务的得0.15分。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3、以上两项合计0.4分。同一项目（标段）业绩不重复计算。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1491" w:type="dxa"/>
            <w:gridSpan w:val="2"/>
            <w:vMerge w:val="continue"/>
            <w:vAlign w:val="center"/>
          </w:tcPr>
          <w:p>
            <w:pPr>
              <w:snapToGrid w:val="0"/>
              <w:spacing w:line="240" w:lineRule="atLeast"/>
              <w:jc w:val="center"/>
              <w:rPr>
                <w:rFonts w:ascii="宋体" w:hAnsi="宋体" w:cs="宋体"/>
                <w:color w:val="auto"/>
                <w:szCs w:val="21"/>
                <w:highlight w:val="none"/>
              </w:rPr>
            </w:pPr>
          </w:p>
        </w:tc>
        <w:tc>
          <w:tcPr>
            <w:tcW w:w="1062" w:type="dxa"/>
            <w:vMerge w:val="continue"/>
            <w:vAlign w:val="center"/>
          </w:tcPr>
          <w:p>
            <w:pPr>
              <w:snapToGrid w:val="0"/>
              <w:spacing w:line="240" w:lineRule="atLeast"/>
              <w:jc w:val="center"/>
              <w:rPr>
                <w:rFonts w:ascii="宋体" w:hAnsi="宋体" w:cs="宋体"/>
                <w:color w:val="auto"/>
                <w:szCs w:val="21"/>
                <w:highlight w:val="none"/>
              </w:rPr>
            </w:pPr>
          </w:p>
        </w:tc>
        <w:tc>
          <w:tcPr>
            <w:tcW w:w="972" w:type="dxa"/>
            <w:vAlign w:val="center"/>
          </w:tcPr>
          <w:p>
            <w:pPr>
              <w:jc w:val="center"/>
              <w:rPr>
                <w:rStyle w:val="35"/>
                <w:rFonts w:ascii="宋体" w:hAnsi="宋体" w:eastAsia="宋体" w:cs="宋体"/>
                <w:color w:val="auto"/>
                <w:sz w:val="21"/>
                <w:szCs w:val="21"/>
                <w:highlight w:val="none"/>
              </w:rPr>
            </w:pPr>
            <w:r>
              <w:rPr>
                <w:rStyle w:val="35"/>
                <w:rFonts w:hint="eastAsia" w:ascii="宋体" w:hAnsi="宋体" w:eastAsia="宋体" w:cs="宋体"/>
                <w:color w:val="auto"/>
                <w:sz w:val="21"/>
                <w:szCs w:val="21"/>
                <w:highlight w:val="none"/>
              </w:rPr>
              <w:t>其他人员任职资格与业绩</w:t>
            </w:r>
          </w:p>
        </w:tc>
        <w:tc>
          <w:tcPr>
            <w:tcW w:w="777" w:type="dxa"/>
            <w:vAlign w:val="center"/>
          </w:tcPr>
          <w:p>
            <w:pPr>
              <w:spacing w:line="360" w:lineRule="auto"/>
              <w:jc w:val="center"/>
              <w:rPr>
                <w:rStyle w:val="31"/>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0.2分</w:t>
            </w:r>
          </w:p>
        </w:tc>
        <w:tc>
          <w:tcPr>
            <w:tcW w:w="4295" w:type="dxa"/>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1、其他人员在满足资格审查条件的最低要求时，得0.12分；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2、除满足资格审查条件的最低要求外，拟派的其他人员具有高级职称的，每个得0.04分，最多得0.08分；其余不得分。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3、以上两项合计0.2分。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1491" w:type="dxa"/>
            <w:gridSpan w:val="2"/>
            <w:vAlign w:val="center"/>
          </w:tcPr>
          <w:p>
            <w:pPr>
              <w:snapToGrid w:val="0"/>
              <w:spacing w:line="240" w:lineRule="atLeast"/>
              <w:jc w:val="center"/>
              <w:rPr>
                <w:rFonts w:ascii="宋体" w:hAnsi="宋体" w:cs="宋体"/>
                <w:color w:val="auto"/>
                <w:szCs w:val="21"/>
                <w:highlight w:val="none"/>
              </w:rPr>
            </w:pPr>
            <w:r>
              <w:rPr>
                <w:rStyle w:val="31"/>
                <w:rFonts w:hint="eastAsia" w:ascii="宋体" w:hAnsi="宋体" w:eastAsia="宋体" w:cs="宋体"/>
                <w:color w:val="auto"/>
                <w:sz w:val="21"/>
                <w:szCs w:val="21"/>
                <w:highlight w:val="none"/>
              </w:rPr>
              <w:t>评标价</w:t>
            </w:r>
          </w:p>
        </w:tc>
        <w:tc>
          <w:tcPr>
            <w:tcW w:w="106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u w:val="single"/>
              </w:rPr>
              <w:t>80</w:t>
            </w:r>
            <w:r>
              <w:rPr>
                <w:rFonts w:hint="eastAsia" w:ascii="宋体" w:hAnsi="宋体" w:cs="宋体"/>
                <w:color w:val="auto"/>
                <w:szCs w:val="21"/>
                <w:highlight w:val="none"/>
              </w:rPr>
              <w:t>分</w:t>
            </w:r>
          </w:p>
        </w:tc>
        <w:tc>
          <w:tcPr>
            <w:tcW w:w="6044" w:type="dxa"/>
            <w:gridSpan w:val="3"/>
            <w:vAlign w:val="center"/>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评标价得分计算公式示例：</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(1)如果投标人的评标价&gt;评标基准价，则评标价得分＝F－偏差率×100× D1；D1取 1.5 ；</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(2)如果投标人的评标价≤评标基准价，则评标价得分＝F＋偏差率× 100×D2；D2＝0.5。</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注：评标价得分计算保留小数点后四位，小数点后第五位“四舍五入”。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2.2.4(4)</w:t>
            </w:r>
          </w:p>
        </w:tc>
        <w:tc>
          <w:tcPr>
            <w:tcW w:w="772" w:type="dxa"/>
            <w:vMerge w:val="restart"/>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其他因素</w:t>
            </w:r>
          </w:p>
        </w:tc>
        <w:tc>
          <w:tcPr>
            <w:tcW w:w="719"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履约信誉</w:t>
            </w:r>
          </w:p>
        </w:tc>
        <w:tc>
          <w:tcPr>
            <w:tcW w:w="106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u w:val="single"/>
              </w:rPr>
              <w:t>10</w:t>
            </w:r>
            <w:r>
              <w:rPr>
                <w:rFonts w:hint="eastAsia" w:ascii="宋体" w:hAnsi="宋体" w:cs="宋体"/>
                <w:color w:val="auto"/>
                <w:szCs w:val="21"/>
                <w:highlight w:val="none"/>
              </w:rPr>
              <w:t>分</w:t>
            </w:r>
          </w:p>
        </w:tc>
        <w:tc>
          <w:tcPr>
            <w:tcW w:w="6044" w:type="dxa"/>
            <w:gridSpan w:val="3"/>
          </w:tcPr>
          <w:p>
            <w:pPr>
              <w:snapToGrid w:val="0"/>
              <w:spacing w:line="36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1. 信用等级分值（5分）</w:t>
            </w:r>
          </w:p>
          <w:p>
            <w:pPr>
              <w:snapToGrid w:val="0"/>
              <w:spacing w:line="36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AA、A、B、C级单位的信用等级分得分分别为5.00、4.75、4.45、3.65分。</w:t>
            </w:r>
          </w:p>
          <w:p>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注：信用等级的确定原则遵循投标人须知前附表10.2款的规定。</w:t>
            </w:r>
          </w:p>
          <w:p>
            <w:pPr>
              <w:pStyle w:val="8"/>
              <w:snapToGrid w:val="0"/>
              <w:spacing w:line="360" w:lineRule="exact"/>
              <w:rPr>
                <w:rFonts w:hAnsi="宋体" w:cs="宋体"/>
                <w:color w:val="auto"/>
                <w:szCs w:val="21"/>
                <w:highlight w:val="none"/>
              </w:rPr>
            </w:pPr>
            <w:r>
              <w:rPr>
                <w:rFonts w:hint="eastAsia" w:hAnsi="宋体" w:cs="宋体"/>
                <w:color w:val="auto"/>
                <w:szCs w:val="21"/>
                <w:highlight w:val="none"/>
              </w:rPr>
              <w:t>2. 履约情况（5分）</w:t>
            </w:r>
          </w:p>
          <w:p>
            <w:pPr>
              <w:pStyle w:val="8"/>
              <w:snapToGrid w:val="0"/>
              <w:spacing w:line="360" w:lineRule="exact"/>
              <w:rPr>
                <w:rFonts w:hAnsi="宋体" w:cs="宋体"/>
                <w:color w:val="auto"/>
                <w:szCs w:val="21"/>
                <w:highlight w:val="none"/>
              </w:rPr>
            </w:pPr>
            <w:r>
              <w:rPr>
                <w:rFonts w:hint="eastAsia" w:hAnsi="宋体" w:cs="宋体"/>
                <w:color w:val="auto"/>
                <w:szCs w:val="21"/>
                <w:highlight w:val="none"/>
              </w:rPr>
              <w:t>若没出现下述情形得满分；</w:t>
            </w:r>
          </w:p>
          <w:p>
            <w:pPr>
              <w:pStyle w:val="8"/>
              <w:snapToGrid w:val="0"/>
              <w:spacing w:line="360" w:lineRule="exact"/>
              <w:ind w:firstLine="420" w:firstLineChars="200"/>
              <w:rPr>
                <w:rFonts w:hAnsi="宋体" w:cs="宋体"/>
                <w:color w:val="auto"/>
                <w:szCs w:val="21"/>
                <w:highlight w:val="none"/>
              </w:rPr>
            </w:pPr>
            <w:r>
              <w:rPr>
                <w:rFonts w:hint="eastAsia" w:hAnsi="宋体" w:cs="宋体"/>
                <w:color w:val="auto"/>
                <w:szCs w:val="21"/>
                <w:highlight w:val="none"/>
              </w:rPr>
              <w:t>投标文件递交截止日前1年内，投标人因水运工程</w:t>
            </w:r>
            <w:r>
              <w:rPr>
                <w:rFonts w:hint="eastAsia" w:hAnsi="宋体" w:cs="宋体"/>
                <w:color w:val="auto"/>
                <w:szCs w:val="21"/>
                <w:highlight w:val="none"/>
                <w:lang w:val="zh-CN"/>
              </w:rPr>
              <w:t>（含附属设施）建设项目</w:t>
            </w:r>
            <w:r>
              <w:rPr>
                <w:rFonts w:hint="eastAsia" w:hAnsi="宋体" w:cs="宋体"/>
                <w:color w:val="auto"/>
                <w:szCs w:val="21"/>
                <w:highlight w:val="none"/>
              </w:rPr>
              <w:t>质量、安全、履约或招标投标问题等原因被：</w:t>
            </w:r>
          </w:p>
          <w:p>
            <w:pPr>
              <w:pStyle w:val="12"/>
              <w:spacing w:line="360" w:lineRule="exact"/>
              <w:ind w:left="105" w:leftChars="50" w:right="105" w:rightChars="50" w:firstLine="0" w:firstLineChars="0"/>
              <w:rPr>
                <w:color w:val="auto"/>
                <w:highlight w:val="none"/>
              </w:rPr>
            </w:pPr>
            <w:r>
              <w:rPr>
                <w:rFonts w:hint="eastAsia"/>
                <w:color w:val="auto"/>
                <w:highlight w:val="none"/>
              </w:rPr>
              <w:t>（1）交通运输部行政处罚的，扣5分/次。</w:t>
            </w:r>
          </w:p>
          <w:p>
            <w:pPr>
              <w:pStyle w:val="12"/>
              <w:spacing w:line="360" w:lineRule="exact"/>
              <w:ind w:left="105" w:leftChars="50" w:right="105" w:rightChars="50" w:firstLine="0" w:firstLineChars="0"/>
              <w:rPr>
                <w:color w:val="auto"/>
                <w:highlight w:val="none"/>
              </w:rPr>
            </w:pPr>
            <w:r>
              <w:rPr>
                <w:rFonts w:hint="eastAsia"/>
                <w:color w:val="auto"/>
                <w:highlight w:val="none"/>
              </w:rPr>
              <w:t>（2）广东省交通运输厅行政处罚的，扣3分/次。</w:t>
            </w:r>
          </w:p>
          <w:p>
            <w:pPr>
              <w:pStyle w:val="12"/>
              <w:spacing w:line="360" w:lineRule="exact"/>
              <w:ind w:left="105" w:leftChars="50" w:right="105" w:rightChars="50" w:firstLine="0" w:firstLineChars="0"/>
              <w:rPr>
                <w:color w:val="auto"/>
                <w:highlight w:val="none"/>
                <w:u w:val="single"/>
              </w:rPr>
            </w:pPr>
            <w:r>
              <w:rPr>
                <w:rFonts w:hint="eastAsia"/>
                <w:color w:val="auto"/>
                <w:highlight w:val="none"/>
                <w:u w:val="single"/>
              </w:rPr>
              <w:t>（3）项目所在地地级以上市交通运输局行政处罚的，扣1.5分/次。</w:t>
            </w:r>
            <w:r>
              <w:rPr>
                <w:rStyle w:val="17"/>
                <w:rFonts w:hint="eastAsia"/>
                <w:color w:val="auto"/>
                <w:highlight w:val="none"/>
                <w:u w:val="single"/>
              </w:rPr>
              <w:footnoteReference w:id="2"/>
            </w:r>
          </w:p>
          <w:p>
            <w:pPr>
              <w:pStyle w:val="12"/>
              <w:spacing w:line="360" w:lineRule="exact"/>
              <w:ind w:left="105" w:leftChars="50" w:right="105" w:rightChars="50" w:firstLine="0" w:firstLineChars="0"/>
              <w:rPr>
                <w:color w:val="auto"/>
                <w:highlight w:val="none"/>
                <w:u w:val="single"/>
              </w:rPr>
            </w:pPr>
            <w:r>
              <w:rPr>
                <w:rFonts w:hint="eastAsia"/>
                <w:color w:val="auto"/>
                <w:highlight w:val="none"/>
              </w:rPr>
              <w:t>（4）广东省交通运输厅正式约谈的，扣0.1分/次。</w:t>
            </w:r>
          </w:p>
          <w:p>
            <w:pPr>
              <w:pStyle w:val="8"/>
              <w:snapToGrid w:val="0"/>
              <w:spacing w:line="260" w:lineRule="exact"/>
              <w:ind w:firstLine="428" w:firstLineChars="204"/>
              <w:rPr>
                <w:rFonts w:hAnsi="宋体" w:cs="宋体"/>
                <w:color w:val="auto"/>
                <w:szCs w:val="21"/>
                <w:highlight w:val="none"/>
              </w:rPr>
            </w:pPr>
            <w:r>
              <w:rPr>
                <w:rFonts w:hint="eastAsia" w:hAnsi="宋体" w:cs="宋体"/>
                <w:color w:val="auto"/>
                <w:highlight w:val="none"/>
              </w:rPr>
              <w:t>注：</w:t>
            </w:r>
            <w:r>
              <w:rPr>
                <w:rFonts w:hint="eastAsia" w:hAnsi="宋体" w:cs="宋体"/>
                <w:color w:val="auto"/>
                <w:szCs w:val="21"/>
                <w:highlight w:val="none"/>
              </w:rPr>
              <w:t>同一事项同时被多个部门行政处罚或正式约谈只按最高的扣分计算1次</w:t>
            </w:r>
            <w:r>
              <w:rPr>
                <w:rFonts w:hint="eastAsia" w:hAnsi="宋体" w:cs="宋体"/>
                <w:color w:val="auto"/>
                <w:szCs w:val="21"/>
                <w:highlight w:val="none"/>
                <w:vertAlign w:val="superscript"/>
              </w:rPr>
              <w:footnoteReference w:id="3"/>
            </w:r>
            <w:r>
              <w:rPr>
                <w:rFonts w:hint="eastAsia" w:hAnsi="宋体" w:cs="宋体"/>
                <w:color w:val="auto"/>
                <w:szCs w:val="21"/>
                <w:highlight w:val="none"/>
              </w:rPr>
              <w:t>。如果扣完本项分值，可以从总分中扣。以联合体形式投标的，若各联合体成员任何一方或均存在上述情形的，对联合体各成员进行累计扣分。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772" w:type="dxa"/>
            <w:vMerge w:val="continue"/>
            <w:vAlign w:val="center"/>
          </w:tcPr>
          <w:p>
            <w:pPr>
              <w:snapToGrid w:val="0"/>
              <w:spacing w:line="240" w:lineRule="atLeast"/>
              <w:jc w:val="center"/>
              <w:rPr>
                <w:rFonts w:ascii="宋体" w:hAnsi="宋体" w:cs="宋体"/>
                <w:color w:val="auto"/>
                <w:szCs w:val="21"/>
                <w:highlight w:val="none"/>
              </w:rPr>
            </w:pPr>
          </w:p>
        </w:tc>
        <w:tc>
          <w:tcPr>
            <w:tcW w:w="719"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工程业绩</w:t>
            </w:r>
          </w:p>
        </w:tc>
        <w:tc>
          <w:tcPr>
            <w:tcW w:w="106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3分</w:t>
            </w:r>
          </w:p>
        </w:tc>
        <w:tc>
          <w:tcPr>
            <w:tcW w:w="6044" w:type="dxa"/>
            <w:gridSpan w:val="3"/>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1、投标人的工程业绩在满足资格审查条件的最低要求时，得1.8分；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2、在满足资格条件的基础上，投标人自</w:t>
            </w:r>
            <w:r>
              <w:rPr>
                <w:rFonts w:hint="eastAsia" w:ascii="宋体" w:hAnsi="宋体" w:cs="宋体"/>
                <w:color w:val="auto"/>
                <w:szCs w:val="21"/>
                <w:highlight w:val="none"/>
                <w:lang w:eastAsia="zh-CN"/>
              </w:rPr>
              <w:t>2019年1月1日</w:t>
            </w:r>
            <w:r>
              <w:rPr>
                <w:rFonts w:hint="eastAsia" w:ascii="宋体" w:hAnsi="宋体" w:cs="宋体"/>
                <w:color w:val="auto"/>
                <w:szCs w:val="21"/>
                <w:highlight w:val="none"/>
              </w:rPr>
              <w:t>至今【以交（竣）工验收时间为准】完成过质量合格的单项合同不少于人民币4000万元的类似机电安装工程施工业绩的，每增加一项加0.6分，最高加1.2分。</w:t>
            </w:r>
          </w:p>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两项合计满分3分。同一项目（标段）业绩不重复计算。时间以验收时间为准，工程造价以中标通知书为准。业绩证明材料需同时提供中标通知书复印件、合同协议书复印件和工程接收证书〔工程接收证书是指发包人或上级主管部门出具的工程(标段)交工验收证书、质量核验意见或无交工验收一次性竣工验收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772" w:type="dxa"/>
            <w:vMerge w:val="continue"/>
            <w:vAlign w:val="center"/>
          </w:tcPr>
          <w:p>
            <w:pPr>
              <w:snapToGrid w:val="0"/>
              <w:spacing w:line="240" w:lineRule="atLeast"/>
              <w:jc w:val="center"/>
              <w:rPr>
                <w:rFonts w:ascii="宋体" w:hAnsi="宋体" w:cs="宋体"/>
                <w:color w:val="auto"/>
                <w:szCs w:val="21"/>
                <w:highlight w:val="none"/>
              </w:rPr>
            </w:pPr>
          </w:p>
        </w:tc>
        <w:tc>
          <w:tcPr>
            <w:tcW w:w="719"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财务能力</w:t>
            </w:r>
          </w:p>
        </w:tc>
        <w:tc>
          <w:tcPr>
            <w:tcW w:w="1062"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0分</w:t>
            </w:r>
          </w:p>
        </w:tc>
        <w:tc>
          <w:tcPr>
            <w:tcW w:w="6044" w:type="dxa"/>
            <w:gridSpan w:val="3"/>
          </w:tcPr>
          <w:p>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068" w:type="dxa"/>
            <w:vMerge w:val="continue"/>
            <w:vAlign w:val="center"/>
          </w:tcPr>
          <w:p>
            <w:pPr>
              <w:snapToGrid w:val="0"/>
              <w:spacing w:line="240" w:lineRule="atLeast"/>
              <w:jc w:val="center"/>
              <w:rPr>
                <w:rFonts w:ascii="宋体" w:hAnsi="宋体" w:cs="宋体"/>
                <w:color w:val="auto"/>
                <w:szCs w:val="21"/>
                <w:highlight w:val="none"/>
              </w:rPr>
            </w:pPr>
          </w:p>
        </w:tc>
        <w:tc>
          <w:tcPr>
            <w:tcW w:w="772" w:type="dxa"/>
            <w:vMerge w:val="continue"/>
            <w:vAlign w:val="center"/>
          </w:tcPr>
          <w:p>
            <w:pPr>
              <w:snapToGrid w:val="0"/>
              <w:spacing w:line="240" w:lineRule="atLeast"/>
              <w:jc w:val="center"/>
              <w:rPr>
                <w:rFonts w:ascii="宋体" w:hAnsi="宋体" w:cs="宋体"/>
                <w:color w:val="auto"/>
                <w:szCs w:val="21"/>
                <w:highlight w:val="none"/>
              </w:rPr>
            </w:pPr>
          </w:p>
        </w:tc>
        <w:tc>
          <w:tcPr>
            <w:tcW w:w="719" w:type="dxa"/>
            <w:vAlign w:val="center"/>
          </w:tcPr>
          <w:p>
            <w:pPr>
              <w:snapToGrid w:val="0"/>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机械设备</w:t>
            </w:r>
          </w:p>
        </w:tc>
        <w:tc>
          <w:tcPr>
            <w:tcW w:w="1062" w:type="dxa"/>
            <w:vAlign w:val="center"/>
          </w:tcPr>
          <w:p>
            <w:pPr>
              <w:snapToGrid w:val="0"/>
              <w:spacing w:line="240" w:lineRule="atLeast"/>
              <w:jc w:val="center"/>
              <w:rPr>
                <w:rFonts w:ascii="宋体" w:hAnsi="宋体" w:cs="宋体"/>
                <w:color w:val="auto"/>
                <w:szCs w:val="21"/>
                <w:highlight w:val="none"/>
                <w:u w:val="single"/>
              </w:rPr>
            </w:pPr>
            <w:r>
              <w:rPr>
                <w:rFonts w:hint="eastAsia" w:ascii="宋体" w:hAnsi="宋体" w:cs="宋体"/>
                <w:color w:val="auto"/>
                <w:szCs w:val="21"/>
                <w:highlight w:val="none"/>
              </w:rPr>
              <w:t>0分</w:t>
            </w:r>
          </w:p>
        </w:tc>
        <w:tc>
          <w:tcPr>
            <w:tcW w:w="6044" w:type="dxa"/>
            <w:gridSpan w:val="3"/>
            <w:vAlign w:val="center"/>
          </w:tcPr>
          <w:p>
            <w:pPr>
              <w:rPr>
                <w:rFonts w:ascii="宋体" w:hAnsi="宋体" w:cs="宋体"/>
                <w:color w:val="auto"/>
                <w:szCs w:val="21"/>
                <w:highlight w:val="none"/>
              </w:rPr>
            </w:pPr>
            <w:r>
              <w:rPr>
                <w:rFonts w:hint="eastAsia" w:ascii="宋体" w:hAnsi="宋体" w:cs="宋体"/>
                <w:color w:val="auto"/>
                <w:szCs w:val="21"/>
                <w:highlight w:val="none"/>
              </w:rPr>
              <w:t>/</w:t>
            </w:r>
          </w:p>
        </w:tc>
      </w:tr>
    </w:tbl>
    <w:p>
      <w:pPr>
        <w:spacing w:line="360" w:lineRule="auto"/>
        <w:rPr>
          <w:rFonts w:ascii="宋体" w:hAnsi="宋体" w:cs="宋体"/>
          <w:color w:val="auto"/>
          <w:highlight w:val="none"/>
        </w:rPr>
        <w:sectPr>
          <w:footnotePr>
            <w:numRestart w:val="eachPage"/>
          </w:footnotePr>
          <w:pgSz w:w="11900" w:h="16840"/>
          <w:pgMar w:top="1417" w:right="1417" w:bottom="1417" w:left="1417" w:header="680" w:footer="680" w:gutter="0"/>
          <w:cols w:space="720" w:num="1"/>
          <w:docGrid w:linePitch="360" w:charSpace="0"/>
        </w:sectPr>
      </w:pPr>
    </w:p>
    <w:tbl>
      <w:tblPr>
        <w:tblStyle w:val="13"/>
        <w:tblW w:w="9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3" w:type="dxa"/>
            <w:gridSpan w:val="2"/>
          </w:tcPr>
          <w:p>
            <w:pPr>
              <w:spacing w:line="440" w:lineRule="exact"/>
              <w:rPr>
                <w:rFonts w:ascii="宋体" w:hAnsi="宋体" w:cs="宋体"/>
                <w:color w:val="auto"/>
                <w:szCs w:val="21"/>
                <w:highlight w:val="none"/>
              </w:rPr>
            </w:pPr>
            <w:r>
              <w:rPr>
                <w:rFonts w:hint="eastAsia" w:ascii="宋体" w:hAnsi="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8285"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285" w:type="dxa"/>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将评标办法原文第1条“评标方法”改为“评标方法、组织及工作程序”，原文内容修改如下：</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1.评标方法、组织及工作程序</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1.1评标方法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1.2评标组织</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1.2.1协助工作组</w:t>
            </w:r>
          </w:p>
          <w:p>
            <w:pPr>
              <w:spacing w:line="44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招标人可在评标工作开始前成立协助工作组，选派熟悉招标工作、政治素质高的人员组成，协助评标委员会工作。协助工作组人员的具体数量由招标人视评标工作量确定，评标责任由评标委员会负责。</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招标人可以协助评标委员会开展下列工作并提供相关信息：</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（1）根据招标文件，编制评标使用的相应表格；</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（2）对投标报价进行算术性校核（如采用固化工程量清单，本步骤省略）；</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（3）以评标标准和方法为依据，列出投标文件相对于招标文件的所有偏差，并进行归类汇总；</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（4）对投标人的资质、业绩、主要人员资历和目前在岗情况、信用等级进行核实。</w:t>
            </w:r>
          </w:p>
          <w:p>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1.2.2评标委员会</w:t>
            </w:r>
          </w:p>
          <w:p>
            <w:pPr>
              <w:autoSpaceDE w:val="0"/>
              <w:autoSpaceDN w:val="0"/>
              <w:adjustRightInd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评标委员会由招标人按国家、广东省等的有关规定依法组建。评标委员会的主要工作内容包括：</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（1）评标委员会开始评标工作之前，首先听取招标人、协助工作组关于工程情况和辅助工作的说明，并认真研读招标文件，获取评标所需的重要信息和数据；</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（2）对协助工作组提供的评标工作用表和评标内容进行核查。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（3）按照以下1.3款程序进行各项评审工作。</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1.3评审工作程序</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（一）第一个信封（商务及技术文件）：</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l、初步评审：包括形式评审与响应性评审、资格评审；</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2、详细评审（评审打分）：评标委员会首先对通过初步评审的投标文件第一个信封（商务及技术文件）进行详细评审，对投标人的施工组织设计、项目管理机构、其他因素等分别评审打分。</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（二）第二个信封（报价文件）：</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1、初步评审：</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（1）只有投标文件第一个信封通过详细评审的投标人才能继续参加第二个信封报价文件的形式评审与响应性评审；</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（2）报价算术性修正（如采用固化工程量清单，本步骤省略）；</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2、详细评审：计算评标基准价、评标价得分及综合得分；</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（三）投标文件相关信息的核查。</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（四）投标文件的澄清和说明(如有)</w:t>
            </w:r>
          </w:p>
          <w:p>
            <w:pPr>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（五）按评标办法规定推荐中标候选人，编写评标报告。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8285" w:type="dxa"/>
            <w:vAlign w:val="center"/>
          </w:tcPr>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将评标办法原文第3.2.2项修改如下：</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8285" w:type="dxa"/>
            <w:vAlign w:val="center"/>
          </w:tcPr>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将评标办法范本原文第3.2.3项细化如下：</w:t>
            </w:r>
          </w:p>
          <w:p>
            <w:pPr>
              <w:adjustRightInd w:val="0"/>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投标人的商务和技术得分=A+B+D。</w:t>
            </w:r>
          </w:p>
          <w:p>
            <w:pPr>
              <w:autoSpaceDE w:val="0"/>
              <w:autoSpaceDN w:val="0"/>
              <w:adjustRightInd w:val="0"/>
              <w:snapToGrid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u w:val="single"/>
              </w:rPr>
              <w:t>评标价、履约信誉</w:t>
            </w:r>
            <w:r>
              <w:rPr>
                <w:rFonts w:hint="eastAsia" w:ascii="宋体" w:hAnsi="宋体" w:cs="宋体"/>
                <w:color w:val="auto"/>
                <w:szCs w:val="21"/>
                <w:highlight w:val="none"/>
              </w:rPr>
              <w:t>得分外，投标文件各评分因素细分项得分均不应低于其权重分的60%，评分低于权重分值60%的，评标委员会成员应当在评标报告中作出说明。</w:t>
            </w:r>
          </w:p>
          <w:p>
            <w:pPr>
              <w:autoSpaceDE w:val="0"/>
              <w:autoSpaceDN w:val="0"/>
              <w:adjustRightInd w:val="0"/>
              <w:snapToGrid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评标委员会人数为7人时，计算投标人技术得分时:各评分因素细分项中取消一个最高、一个最低分后计算算术平均值的和为投标人的最终技术得分，平均值计算保留小数点后三位，小数点后第四位“四舍五入”。</w:t>
            </w:r>
          </w:p>
          <w:p>
            <w:pPr>
              <w:autoSpaceDE w:val="0"/>
              <w:autoSpaceDN w:val="0"/>
              <w:adjustRightInd w:val="0"/>
              <w:snapToGrid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以上评标委员会人数以实际参与评审的评标委员会人数数量为准。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3.5.2</w:t>
            </w:r>
          </w:p>
        </w:tc>
        <w:tc>
          <w:tcPr>
            <w:tcW w:w="8285" w:type="dxa"/>
            <w:vAlign w:val="center"/>
          </w:tcPr>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将评标办法原文第3.5.2项细化如下：</w:t>
            </w:r>
          </w:p>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投标人综合得分=投标人的商务和技术得分+C。（计算保留小数点后四位，小数点后第五位“四舍五入”）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3.6</w:t>
            </w:r>
          </w:p>
        </w:tc>
        <w:tc>
          <w:tcPr>
            <w:tcW w:w="8285" w:type="dxa"/>
            <w:vAlign w:val="center"/>
          </w:tcPr>
          <w:p>
            <w:pPr>
              <w:adjustRightInd w:val="0"/>
              <w:snapToGrid w:val="0"/>
              <w:spacing w:line="440" w:lineRule="exact"/>
              <w:ind w:right="124" w:rightChars="59"/>
              <w:rPr>
                <w:rFonts w:ascii="宋体" w:hAnsi="宋体" w:cs="宋体"/>
                <w:color w:val="auto"/>
                <w:szCs w:val="21"/>
                <w:highlight w:val="none"/>
              </w:rPr>
            </w:pPr>
            <w:r>
              <w:rPr>
                <w:rFonts w:hint="eastAsia" w:ascii="宋体" w:hAnsi="宋体" w:cs="宋体"/>
                <w:color w:val="auto"/>
                <w:szCs w:val="21"/>
                <w:highlight w:val="none"/>
              </w:rPr>
              <w:t>3.6.1项（2）目末增加以下条款：</w:t>
            </w:r>
          </w:p>
          <w:p>
            <w:pPr>
              <w:adjustRightInd w:val="0"/>
              <w:snapToGrid w:val="0"/>
              <w:spacing w:line="440" w:lineRule="exact"/>
              <w:ind w:firstLine="220" w:firstLineChars="105"/>
              <w:rPr>
                <w:rFonts w:ascii="宋体" w:hAnsi="宋体" w:cs="宋体"/>
                <w:color w:val="auto"/>
                <w:szCs w:val="21"/>
                <w:highlight w:val="none"/>
              </w:rPr>
            </w:pPr>
            <w:r>
              <w:rPr>
                <w:rFonts w:hint="eastAsia" w:ascii="宋体" w:hAnsi="宋体" w:cs="宋体"/>
                <w:color w:val="auto"/>
                <w:szCs w:val="21"/>
                <w:highlight w:val="none"/>
              </w:rPr>
              <w:t>g</w:t>
            </w:r>
            <w:r>
              <w:rPr>
                <w:rStyle w:val="31"/>
                <w:rFonts w:hint="eastAsia" w:ascii="宋体" w:hAnsi="宋体" w:eastAsia="宋体" w:cs="宋体"/>
                <w:color w:val="auto"/>
                <w:sz w:val="21"/>
                <w:szCs w:val="21"/>
                <w:highlight w:val="none"/>
              </w:rPr>
              <w:t>.当一家以上投标人评标价相同时，若各投标人工程量清单细目单价也相同，视为串标（一个标段仅一工作细目报价的除外）。</w:t>
            </w:r>
          </w:p>
          <w:p>
            <w:pPr>
              <w:adjustRightInd w:val="0"/>
              <w:snapToGrid w:val="0"/>
              <w:spacing w:line="440" w:lineRule="exact"/>
              <w:ind w:firstLine="220" w:firstLineChars="105"/>
              <w:rPr>
                <w:rStyle w:val="31"/>
                <w:rFonts w:ascii="宋体" w:hAnsi="宋体" w:eastAsia="宋体" w:cs="宋体"/>
                <w:color w:val="auto"/>
                <w:sz w:val="21"/>
                <w:szCs w:val="21"/>
                <w:highlight w:val="none"/>
              </w:rPr>
            </w:pPr>
            <w:r>
              <w:rPr>
                <w:rFonts w:hint="eastAsia" w:ascii="宋体" w:hAnsi="宋体" w:cs="宋体"/>
                <w:color w:val="auto"/>
                <w:szCs w:val="21"/>
                <w:highlight w:val="none"/>
              </w:rPr>
              <w:t>h.广东省实施《中华人民共和国招标投标法》办法第十六条规定的情形。</w:t>
            </w:r>
          </w:p>
          <w:p>
            <w:pPr>
              <w:adjustRightInd w:val="0"/>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增加3.6.2项：</w:t>
            </w:r>
          </w:p>
          <w:p>
            <w:pPr>
              <w:tabs>
                <w:tab w:val="left" w:pos="858"/>
              </w:tabs>
              <w:adjustRightInd w:val="0"/>
              <w:snapToGrid w:val="0"/>
              <w:spacing w:line="440" w:lineRule="exact"/>
              <w:rPr>
                <w:rFonts w:ascii="宋体" w:hAnsi="宋体" w:cs="宋体"/>
                <w:snapToGrid w:val="0"/>
                <w:color w:val="auto"/>
                <w:szCs w:val="21"/>
                <w:highlight w:val="none"/>
              </w:rPr>
            </w:pPr>
            <w:r>
              <w:rPr>
                <w:rFonts w:hint="eastAsia" w:ascii="宋体" w:hAnsi="宋体" w:cs="宋体"/>
                <w:color w:val="auto"/>
                <w:szCs w:val="21"/>
                <w:highlight w:val="none"/>
              </w:rPr>
              <w:t>3.6.2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3.9</w:t>
            </w:r>
          </w:p>
        </w:tc>
        <w:tc>
          <w:tcPr>
            <w:tcW w:w="8285" w:type="dxa"/>
            <w:vAlign w:val="center"/>
          </w:tcPr>
          <w:p>
            <w:pPr>
              <w:adjustRightInd w:val="0"/>
              <w:snapToGrid w:val="0"/>
              <w:spacing w:line="440" w:lineRule="exact"/>
              <w:rPr>
                <w:rFonts w:ascii="宋体" w:hAnsi="宋体" w:cs="宋体"/>
                <w:bCs/>
                <w:color w:val="auto"/>
                <w:szCs w:val="21"/>
                <w:highlight w:val="none"/>
              </w:rPr>
            </w:pPr>
            <w:r>
              <w:rPr>
                <w:rFonts w:hint="eastAsia" w:ascii="宋体" w:hAnsi="宋体" w:cs="宋体"/>
                <w:bCs/>
                <w:color w:val="auto"/>
                <w:szCs w:val="21"/>
                <w:highlight w:val="none"/>
              </w:rPr>
              <w:t>增加3.9.3-3.9.7</w:t>
            </w:r>
            <w:r>
              <w:rPr>
                <w:rFonts w:hint="eastAsia" w:ascii="宋体" w:hAnsi="宋体" w:cs="宋体"/>
                <w:color w:val="auto"/>
                <w:szCs w:val="21"/>
                <w:highlight w:val="none"/>
              </w:rPr>
              <w:t>项</w:t>
            </w:r>
            <w:r>
              <w:rPr>
                <w:rFonts w:hint="eastAsia" w:ascii="宋体" w:hAnsi="宋体" w:cs="宋体"/>
                <w:bCs/>
                <w:color w:val="auto"/>
                <w:szCs w:val="21"/>
                <w:highlight w:val="none"/>
              </w:rPr>
              <w:t>：</w:t>
            </w:r>
          </w:p>
          <w:p>
            <w:pPr>
              <w:adjustRightInd w:val="0"/>
              <w:snapToGrid w:val="0"/>
              <w:spacing w:line="440" w:lineRule="exact"/>
              <w:ind w:firstLine="432" w:firstLineChars="206"/>
              <w:rPr>
                <w:rFonts w:ascii="宋体" w:hAnsi="宋体" w:cs="宋体"/>
                <w:color w:val="auto"/>
                <w:szCs w:val="21"/>
                <w:highlight w:val="none"/>
              </w:rPr>
            </w:pPr>
            <w:r>
              <w:rPr>
                <w:rFonts w:hint="eastAsia" w:ascii="宋体" w:hAnsi="宋体" w:cs="宋体"/>
                <w:color w:val="auto"/>
                <w:szCs w:val="21"/>
                <w:highlight w:val="none"/>
              </w:rPr>
              <w:t>3.9.3通过第一个信封商务及技术文件评审的投标人少于3个使得投标明显缺乏竞争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pPr>
              <w:adjustRightInd w:val="0"/>
              <w:snapToGrid w:val="0"/>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3.9.4通过第一个信封商务及技术文件评审的投标人在3个及以上的，招标人应当按照招标文件规定的程序进行第二个信封报价文件开标；在对报价文件进行评审后，有效投标不足3个使得投标明显缺乏竞争的，评标委员会可以否决全部投标。未否决全部投标的，评标委员会应当在评标报告中阐明理由并推荐中标候选人。</w:t>
            </w:r>
          </w:p>
          <w:p>
            <w:pPr>
              <w:adjustRightInd w:val="0"/>
              <w:snapToGrid w:val="0"/>
              <w:spacing w:line="440" w:lineRule="exact"/>
              <w:ind w:firstLine="432" w:firstLineChars="206"/>
              <w:rPr>
                <w:rFonts w:ascii="宋体" w:hAnsi="宋体" w:cs="宋体"/>
                <w:color w:val="auto"/>
                <w:szCs w:val="21"/>
                <w:highlight w:val="none"/>
              </w:rPr>
            </w:pPr>
            <w:r>
              <w:rPr>
                <w:rFonts w:hint="eastAsia" w:ascii="宋体" w:hAnsi="宋体" w:cs="宋体"/>
                <w:color w:val="auto"/>
                <w:szCs w:val="21"/>
                <w:highlight w:val="none"/>
              </w:rPr>
              <w:t>3.9.5如果发生无法确定推荐中标候选人的其他意外情况，评标委员会可建议招标人重新招标。</w:t>
            </w:r>
          </w:p>
          <w:p>
            <w:pPr>
              <w:adjustRightInd w:val="0"/>
              <w:snapToGrid w:val="0"/>
              <w:spacing w:line="440" w:lineRule="exact"/>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3.9.6本招标文件规定的否决投标条款包含在以下条款：</w:t>
            </w:r>
          </w:p>
          <w:p>
            <w:pPr>
              <w:adjustRightInd w:val="0"/>
              <w:snapToGrid w:val="0"/>
              <w:spacing w:line="440" w:lineRule="exact"/>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（1）招标公告第3点 投标人资格要求；</w:t>
            </w:r>
          </w:p>
          <w:p>
            <w:pPr>
              <w:adjustRightInd w:val="0"/>
              <w:snapToGrid w:val="0"/>
              <w:spacing w:line="440" w:lineRule="exact"/>
              <w:ind w:right="124" w:rightChars="59"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投标人须知1.4.3项、1.4.4项、1.11.1项、1.12.2项、3.4.2项、3.6.1项；</w:t>
            </w:r>
          </w:p>
          <w:p>
            <w:pPr>
              <w:adjustRightInd w:val="0"/>
              <w:snapToGrid w:val="0"/>
              <w:spacing w:line="440" w:lineRule="exact"/>
              <w:ind w:firstLine="432" w:firstLineChars="206"/>
              <w:rPr>
                <w:rFonts w:ascii="宋体" w:hAnsi="宋体" w:cs="宋体"/>
                <w:color w:val="auto"/>
                <w:szCs w:val="21"/>
                <w:highlight w:val="none"/>
              </w:rPr>
            </w:pPr>
            <w:r>
              <w:rPr>
                <w:rFonts w:hint="eastAsia" w:ascii="宋体" w:hAnsi="宋体" w:cs="宋体"/>
                <w:color w:val="auto"/>
                <w:szCs w:val="21"/>
                <w:highlight w:val="none"/>
              </w:rPr>
              <w:t>（3）本评标办法的否决条款。</w:t>
            </w:r>
          </w:p>
        </w:tc>
      </w:tr>
    </w:tbl>
    <w:p>
      <w:pPr>
        <w:pStyle w:val="20"/>
        <w:shd w:val="clear" w:color="auto" w:fill="auto"/>
        <w:spacing w:before="0" w:line="360" w:lineRule="auto"/>
        <w:jc w:val="both"/>
        <w:rPr>
          <w:rFonts w:ascii="宋体" w:hAnsi="宋体" w:eastAsia="宋体" w:cs="宋体"/>
          <w:color w:val="auto"/>
          <w:szCs w:val="21"/>
          <w:highlight w:val="none"/>
        </w:rPr>
      </w:pPr>
    </w:p>
    <w:p>
      <w:pPr>
        <w:pStyle w:val="20"/>
        <w:shd w:val="clear" w:color="auto" w:fill="auto"/>
        <w:spacing w:before="0" w:line="360" w:lineRule="auto"/>
        <w:jc w:val="both"/>
        <w:rPr>
          <w:rStyle w:val="29"/>
          <w:rFonts w:ascii="宋体" w:hAnsi="宋体" w:eastAsia="宋体" w:cs="宋体"/>
          <w:b w:val="0"/>
          <w:bCs w:val="0"/>
          <w:color w:val="auto"/>
          <w:sz w:val="24"/>
          <w:szCs w:val="24"/>
          <w:highlight w:val="none"/>
        </w:rPr>
      </w:pPr>
    </w:p>
    <w:p>
      <w:pPr>
        <w:pStyle w:val="20"/>
        <w:shd w:val="clear" w:color="auto" w:fill="auto"/>
        <w:spacing w:before="0" w:line="360" w:lineRule="auto"/>
        <w:jc w:val="both"/>
        <w:rPr>
          <w:rStyle w:val="29"/>
          <w:rFonts w:ascii="宋体" w:hAnsi="宋体" w:eastAsia="宋体" w:cs="宋体"/>
          <w:b w:val="0"/>
          <w:bCs w:val="0"/>
          <w:color w:val="auto"/>
          <w:sz w:val="24"/>
          <w:szCs w:val="24"/>
          <w:highlight w:val="none"/>
        </w:rPr>
      </w:pPr>
    </w:p>
    <w:bookmarkEnd w:id="12"/>
    <w:bookmarkEnd w:id="13"/>
    <w:p>
      <w:pPr>
        <w:pStyle w:val="19"/>
        <w:rPr>
          <w:rFonts w:ascii="宋体" w:hAnsi="宋体" w:eastAsia="宋体" w:cs="宋体"/>
          <w:color w:val="auto"/>
          <w:sz w:val="52"/>
          <w:szCs w:val="52"/>
          <w:highlight w:val="none"/>
        </w:rPr>
      </w:pPr>
    </w:p>
    <w:p>
      <w:pPr>
        <w:pStyle w:val="19"/>
        <w:rPr>
          <w:rFonts w:ascii="宋体" w:hAnsi="宋体" w:eastAsia="宋体" w:cs="宋体"/>
          <w:color w:val="auto"/>
          <w:sz w:val="52"/>
          <w:szCs w:val="52"/>
          <w:highlight w:val="none"/>
        </w:rPr>
      </w:pPr>
    </w:p>
    <w:p>
      <w:pPr>
        <w:pStyle w:val="19"/>
        <w:rPr>
          <w:rFonts w:ascii="宋体" w:hAnsi="宋体" w:eastAsia="宋体" w:cs="宋体"/>
          <w:color w:val="auto"/>
          <w:sz w:val="52"/>
          <w:szCs w:val="52"/>
          <w:highlight w:val="none"/>
        </w:rPr>
      </w:pPr>
    </w:p>
    <w:p>
      <w:pPr>
        <w:pStyle w:val="19"/>
        <w:rPr>
          <w:rFonts w:ascii="宋体" w:hAnsi="宋体" w:eastAsia="宋体" w:cs="宋体"/>
          <w:color w:val="auto"/>
          <w:sz w:val="52"/>
          <w:szCs w:val="52"/>
          <w:highlight w:val="none"/>
        </w:rPr>
      </w:pPr>
    </w:p>
    <w:p>
      <w:pPr>
        <w:pStyle w:val="19"/>
        <w:rPr>
          <w:rFonts w:ascii="宋体" w:hAnsi="宋体" w:eastAsia="宋体" w:cs="宋体"/>
          <w:color w:val="auto"/>
          <w:sz w:val="52"/>
          <w:szCs w:val="52"/>
          <w:highlight w:val="none"/>
        </w:rPr>
      </w:pPr>
    </w:p>
    <w:p>
      <w:pPr>
        <w:pStyle w:val="4"/>
        <w:spacing w:before="0" w:after="0" w:line="360" w:lineRule="auto"/>
        <w:jc w:val="left"/>
        <w:rPr>
          <w:rStyle w:val="29"/>
          <w:rFonts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1．评标方法</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4"/>
        <w:spacing w:before="0" w:after="0" w:line="360" w:lineRule="auto"/>
        <w:jc w:val="left"/>
        <w:rPr>
          <w:rStyle w:val="29"/>
          <w:rFonts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2．评审标准</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2.1初步评审标准</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2.1.1形式评审标准：见评标办法前附表。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2.1.2资格评审标准：见评标办法前附表。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2.1.3响应性评审标准：见评标办法前附表。</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2.2分值构成与评分标准</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 xml:space="preserve"> 2.2.1分值构成</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（1）施工组织设计：见评标办法前附表；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（2）主要人员：见评标办法前附表；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（4）其他因素：见评标办法前附表。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2.2.2评标基准价计算：见评标办法前附表；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2.2.3投标报价的偏差率计算：见评标办法前附表；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2.2.4评分标准</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（1）施工组织设计评分标准：见评标办法前附表；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（2）主要人员评分标准：见评标办法前附表；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（3）投标报价评分标准：见评标办法前附表；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（4）其他因素评分标准：见评标办法前附表； </w:t>
      </w:r>
    </w:p>
    <w:p>
      <w:pPr>
        <w:pStyle w:val="4"/>
        <w:spacing w:before="0" w:after="0" w:line="360" w:lineRule="auto"/>
        <w:jc w:val="left"/>
        <w:rPr>
          <w:rStyle w:val="29"/>
          <w:rFonts w:ascii="宋体" w:hAnsi="宋体" w:eastAsia="宋体" w:cs="宋体"/>
          <w:b w:val="0"/>
          <w:bCs/>
          <w:color w:val="auto"/>
          <w:sz w:val="24"/>
          <w:szCs w:val="24"/>
          <w:highlight w:val="none"/>
        </w:rPr>
      </w:pPr>
      <w:r>
        <w:rPr>
          <w:rStyle w:val="29"/>
          <w:rFonts w:hint="eastAsia" w:ascii="宋体" w:hAnsi="宋体" w:eastAsia="宋体" w:cs="宋体"/>
          <w:b w:val="0"/>
          <w:bCs/>
          <w:color w:val="auto"/>
          <w:sz w:val="24"/>
          <w:szCs w:val="24"/>
          <w:highlight w:val="none"/>
        </w:rPr>
        <w:t>3．评标程序</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3.1第一个信封初步评审</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3.2第一个信封详细评审</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3.2.1评标委员会按本章第2.2款规定的量化因素和分值进行打分，并计算出各投标人的商务和技术得分。</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（1）按本章第2.2.4（1）目规定的评审因素和分值对施工组织设计部分计算出得分A；</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（2）按本章第2.2.4（2）目规定的评审因素和分值对主要人员部分计算出得分B；</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（3）按本章第2.2.4（4）目规定的评审因素和分值对其他部分计算出得分D。</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3.2.2投标人的商务和技术得分分值计算保留小数点后两位，小数点后第三位“四舍五入”。</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3.2.3投标人的商务和技术得分=A+B+D。</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3.3第二个信封开标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3.4第二个信封初步评审</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3.4.1评标委员会依据本章第2.1.1项、第2.1.3项规定的评审标准对投标文件第二个信封（报价文件）进行初步评审。有一项不符合评审标准的，评标委员会应否决其投标。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3.4.2</w:t>
      </w:r>
      <w:r>
        <w:rPr>
          <w:rStyle w:val="17"/>
          <w:rFonts w:hint="eastAsia" w:ascii="宋体" w:hAnsi="宋体" w:cs="宋体"/>
          <w:color w:val="auto"/>
          <w:szCs w:val="21"/>
          <w:highlight w:val="none"/>
        </w:rPr>
        <w:footnoteReference w:id="4"/>
      </w:r>
      <w:r>
        <w:rPr>
          <w:rFonts w:hint="eastAsia" w:ascii="宋体" w:hAnsi="宋体" w:cs="宋体"/>
          <w:color w:val="auto"/>
          <w:szCs w:val="21"/>
          <w:highlight w:val="none"/>
        </w:rPr>
        <w:t>投标报价有算术错误的，评标委员会按以下原则对投标报价进行修正，修正的价格经投标人书面确认后具有约束力。投标人不接受修正价格的，评标委员会应否决其投标。</w:t>
      </w:r>
    </w:p>
    <w:p>
      <w:pPr>
        <w:spacing w:line="360" w:lineRule="auto"/>
        <w:ind w:firstLine="371" w:firstLineChars="177"/>
        <w:rPr>
          <w:rFonts w:ascii="宋体" w:hAnsi="宋体" w:cs="宋体"/>
          <w:color w:val="auto"/>
          <w:szCs w:val="21"/>
          <w:highlight w:val="none"/>
        </w:rPr>
      </w:pPr>
      <w:r>
        <w:rPr>
          <w:rFonts w:ascii="宋体" w:hAnsi="宋体" w:cs="宋体"/>
          <w:color w:val="auto"/>
          <w:szCs w:val="21"/>
          <w:highlight w:val="none"/>
        </w:rPr>
        <w:t>(1)投标文件中的大写金额与小写金额不一致的，以大写金额为准；</w:t>
      </w:r>
    </w:p>
    <w:p>
      <w:pPr>
        <w:spacing w:line="360" w:lineRule="auto"/>
        <w:ind w:firstLine="371" w:firstLineChars="177"/>
        <w:rPr>
          <w:rFonts w:ascii="宋体" w:hAnsi="宋体" w:cs="宋体"/>
          <w:color w:val="auto"/>
          <w:szCs w:val="21"/>
          <w:highlight w:val="none"/>
        </w:rPr>
      </w:pPr>
      <w:r>
        <w:rPr>
          <w:rFonts w:ascii="宋体" w:hAnsi="宋体" w:cs="宋体"/>
          <w:color w:val="auto"/>
          <w:szCs w:val="21"/>
          <w:highlight w:val="none"/>
        </w:rPr>
        <w:t>(2)总价金额与依据单价计算出的结果不一致的，以单价金额为准修正总价，但单价金额小数点有明显错误的除外；</w:t>
      </w:r>
    </w:p>
    <w:p>
      <w:pPr>
        <w:spacing w:line="360" w:lineRule="auto"/>
        <w:ind w:firstLine="371" w:firstLineChars="177"/>
        <w:rPr>
          <w:rFonts w:ascii="宋体" w:hAnsi="宋体" w:cs="宋体"/>
          <w:color w:val="auto"/>
          <w:szCs w:val="21"/>
          <w:highlight w:val="none"/>
        </w:rPr>
      </w:pPr>
      <w:r>
        <w:rPr>
          <w:rFonts w:ascii="宋体" w:hAnsi="宋体" w:cs="宋体"/>
          <w:color w:val="auto"/>
          <w:szCs w:val="21"/>
          <w:highlight w:val="none"/>
        </w:rPr>
        <w:t>(3)当单价与数量相乘不等于合价时，以单价计算为准，如果单价有明显的小数点位置差错，应以标出的合价为准，同时对单价予以修正；</w:t>
      </w:r>
    </w:p>
    <w:p>
      <w:pPr>
        <w:spacing w:line="360" w:lineRule="auto"/>
        <w:ind w:firstLine="371" w:firstLineChars="177"/>
        <w:rPr>
          <w:rFonts w:ascii="宋体" w:hAnsi="宋体" w:cs="宋体"/>
          <w:color w:val="auto"/>
          <w:szCs w:val="21"/>
          <w:highlight w:val="none"/>
        </w:rPr>
      </w:pPr>
      <w:r>
        <w:rPr>
          <w:rFonts w:ascii="宋体" w:hAnsi="宋体" w:cs="宋体"/>
          <w:color w:val="auto"/>
          <w:szCs w:val="21"/>
          <w:highlight w:val="none"/>
        </w:rPr>
        <w:t>(4)当各子目的合价累计不等于总价时，应以各子目合价累计数为准，修正总价。</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3.4.3工程量清单中的投标报价有其他错误的，评标委员会按以下原则对投标报价进行修正，修正的价格经投标人书面确认后具有约束力。投标人不接受修正价格的，评标委员会应否决其投标。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(3)当单价与数量的乘积与合价(金额)虽然一致，但投标人修改了该子目的工程数量，则其合价按招标人给定的工程数量乘以投标人所报单价予以修正。</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3.4.4修正后的最终投标报价若超过最高投标限价(如有)，评标委员会应否决其投标。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3.4.5修正后的最终投标报价仅作为签订合同的一个依据，不参与评标价得分的计算。</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3.5第二个信封详细评审</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3.5.1评标委员会按本章第2.2.4（3）目规定的评审因素和分值对投标报价计算出得分C。投标报价得分分值计算保留小数点后两位，小数点后第三位“四舍五入”。</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3.5.2投标人得分=投标人的商务和技术得分+C</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3.5.3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3.6投标文件相关信息的核查</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3.6.1评标委员会应对在评标过程中发现的投标人与投标人之间、投标人与招标人之间存在的串通投标的情形进行评审和认定。投标人存在串通投标、弄虚作假、行贿等违法行为的，评标委员会应否决其投标。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（1）有下列情形之一的，属于投标人相互串通投标：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a.投标人之间协商投标报价等投标文件的实质性内容；</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b.投标人之间约定中标人；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c.投标人之间约定部分投标人放弃投标或中标；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d.属于同一集团、协会、商会等组织成员的投标人按照该组织要求协同投标；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e.投标人之间为谋取中标或排斥特定投标人而采取的其他联合行动。</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（2）有下列情形之一的，视为投标人相互串通投标：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a.不同投标人的投标文件由同一单位或个人编制；</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b.不同投标人委托同一单位或个人办理投标事宜；</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c.不同投标人的投标文件载明的项目管理成员为同一人；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d.不同投标人的投标文件异常一致或投标报价呈规律性差异；</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e.不同投标人的投标文件相互混装；</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f.不同投标人的投标保证金从同一单位或个人的账户转出。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（3）有下列情形之一的，属于招标人与投标人串通投标：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a.招标人在开标前开启投标文件并将有关信息泄露给其他投标人;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b.招标人直接或间接向投标人泄露标底、评标委员会成员等信息；</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c.招标人明示或暗示投标人压低或抬高投标报价；</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d.招标人授意投标人撤换、修改投标文件；</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e.招标人明示或暗示投标人为特定投标人中标提供方便；</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f.招标人与投标人为谋求特定投标人中标而采取的其他串通行为。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（4）投标人有下列情形之一的，属于弄虚作假的行为：</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a.使用通过受让或租借等方式获取的资格、资质证书投标；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b.使用伪造、变造的许可证件；</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c.提供虚假的财务状况或业绩；</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d.提供虚假的项目负责人或主要技术人员简历、劳动关系证明；</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e.提供虚假的信用状况；</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f.其他弄虚作假的行为。</w:t>
      </w:r>
    </w:p>
    <w:p>
      <w:pPr>
        <w:pStyle w:val="6"/>
        <w:spacing w:before="0" w:after="0"/>
        <w:ind w:left="425"/>
        <w:jc w:val="left"/>
        <w:rPr>
          <w:rStyle w:val="29"/>
          <w:rFonts w:ascii="宋体" w:hAnsi="宋体" w:cs="宋体"/>
          <w:b w:val="0"/>
          <w:bCs w:val="0"/>
          <w:iCs/>
          <w:color w:val="auto"/>
          <w:sz w:val="24"/>
          <w:szCs w:val="24"/>
          <w:highlight w:val="none"/>
        </w:rPr>
      </w:pPr>
      <w:r>
        <w:rPr>
          <w:rStyle w:val="29"/>
          <w:rFonts w:hint="eastAsia" w:ascii="宋体" w:hAnsi="宋体" w:cs="宋体"/>
          <w:b w:val="0"/>
          <w:bCs w:val="0"/>
          <w:iCs/>
          <w:color w:val="auto"/>
          <w:sz w:val="24"/>
          <w:szCs w:val="24"/>
          <w:highlight w:val="none"/>
        </w:rPr>
        <w:t>3.7投标文件的澄清和说明</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3.7.2 澄清和说明不得超出投标文件的范围或改变投标文件的实质性内容（算术性错误的修正除外）。投标人的书面澄清、说明属于投标文件的组成部分。</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3.7.3 评标委员会不得暗示或诱导投标人作出澄清、说明，对投标人提交的澄清、说明有疑问的，可以要求投标人进一步澄清或说明，直至满足评标委员会的要求。</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3.6.4 凡超出招标文件规定的或给招标人带来未曾要求的利益的变化、偏差或其他因素在评标时不予考虑。</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3.8不得否决投标的情形</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投标文件存在第二章“投标人须知”第1.12.3项所列情形的，均视为细微偏差，评标委员会不得否决投标人的投标，应按照第二章“投标人须知”第1.12.4项规定的原则处理。</w:t>
      </w:r>
    </w:p>
    <w:p>
      <w:pPr>
        <w:pStyle w:val="6"/>
        <w:spacing w:before="0" w:after="0"/>
        <w:ind w:left="425"/>
        <w:jc w:val="left"/>
        <w:rPr>
          <w:rStyle w:val="29"/>
          <w:rFonts w:ascii="宋体" w:hAnsi="宋体" w:cs="宋体"/>
          <w:b/>
          <w:bCs w:val="0"/>
          <w:iCs/>
          <w:color w:val="auto"/>
          <w:sz w:val="24"/>
          <w:szCs w:val="24"/>
          <w:highlight w:val="none"/>
        </w:rPr>
      </w:pPr>
      <w:r>
        <w:rPr>
          <w:rStyle w:val="29"/>
          <w:rFonts w:hint="eastAsia" w:ascii="宋体" w:hAnsi="宋体" w:cs="宋体"/>
          <w:b/>
          <w:bCs w:val="0"/>
          <w:iCs/>
          <w:color w:val="auto"/>
          <w:sz w:val="24"/>
          <w:szCs w:val="24"/>
          <w:highlight w:val="none"/>
        </w:rPr>
        <w:t>3.9评标结果</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3.9.1 除第二章“投标人须知”前附表授权直接确定中标人外，评标委员会按照得分由高到低的顺序推荐中标候选人，并标明排序。</w:t>
      </w:r>
    </w:p>
    <w:p>
      <w:pPr>
        <w:spacing w:line="360" w:lineRule="auto"/>
        <w:ind w:firstLine="371" w:firstLineChars="177"/>
        <w:rPr>
          <w:rFonts w:ascii="宋体" w:hAnsi="宋体" w:cs="宋体"/>
          <w:color w:val="auto"/>
          <w:szCs w:val="21"/>
          <w:highlight w:val="none"/>
        </w:rPr>
      </w:pPr>
      <w:r>
        <w:rPr>
          <w:rFonts w:hint="eastAsia" w:ascii="宋体" w:hAnsi="宋体" w:cs="宋体"/>
          <w:color w:val="auto"/>
          <w:szCs w:val="21"/>
          <w:highlight w:val="none"/>
        </w:rPr>
        <w:t>3.9.2 评标委员会完成评标后，应向招标人提交书面评标报告。</w:t>
      </w: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19"/>
        <w:rPr>
          <w:rFonts w:hint="default"/>
          <w:lang w:val="en-US" w:eastAsia="zh-CN"/>
        </w:rPr>
      </w:pPr>
    </w:p>
    <w:p>
      <w:pPr>
        <w:pStyle w:val="25"/>
        <w:jc w:val="center"/>
        <w:rPr>
          <w:rFonts w:ascii="宋体" w:hAnsi="宋体" w:eastAsia="宋体" w:cs="宋体"/>
          <w:b/>
          <w:bCs/>
          <w:sz w:val="30"/>
          <w:szCs w:val="30"/>
          <w:highlight w:val="none"/>
        </w:rPr>
      </w:pPr>
      <w:r>
        <w:rPr>
          <w:rFonts w:hint="eastAsia" w:ascii="宋体" w:hAnsi="宋体" w:eastAsia="宋体" w:cs="宋体"/>
          <w:b/>
          <w:bCs/>
          <w:kern w:val="44"/>
          <w:sz w:val="30"/>
          <w:szCs w:val="30"/>
          <w:highlight w:val="none"/>
        </w:rPr>
        <w:t>附录5 资格审查条件(项目负责人和项目技术负责人最低要求)</w:t>
      </w:r>
    </w:p>
    <w:tbl>
      <w:tblPr>
        <w:tblStyle w:val="13"/>
        <w:tblW w:w="9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931"/>
        <w:gridCol w:w="486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5" w:type="dxa"/>
            <w:vAlign w:val="center"/>
          </w:tcPr>
          <w:p>
            <w:pPr>
              <w:pStyle w:val="24"/>
              <w:spacing w:after="0" w:line="360" w:lineRule="auto"/>
              <w:jc w:val="center"/>
              <w:rPr>
                <w:rFonts w:ascii="宋体" w:hAnsi="宋体" w:eastAsia="宋体" w:cs="宋体"/>
                <w:b/>
                <w:bCs/>
                <w:highlight w:val="none"/>
              </w:rPr>
            </w:pPr>
            <w:r>
              <w:rPr>
                <w:rFonts w:hint="eastAsia" w:ascii="宋体" w:hAnsi="宋体" w:eastAsia="宋体" w:cs="宋体"/>
                <w:b/>
                <w:bCs/>
                <w:highlight w:val="none"/>
              </w:rPr>
              <w:t>人员</w:t>
            </w:r>
          </w:p>
        </w:tc>
        <w:tc>
          <w:tcPr>
            <w:tcW w:w="931" w:type="dxa"/>
            <w:vAlign w:val="center"/>
          </w:tcPr>
          <w:p>
            <w:pPr>
              <w:pStyle w:val="24"/>
              <w:spacing w:after="0" w:line="360" w:lineRule="auto"/>
              <w:jc w:val="center"/>
              <w:rPr>
                <w:rFonts w:ascii="宋体" w:hAnsi="宋体" w:eastAsia="宋体" w:cs="宋体"/>
                <w:b/>
                <w:bCs/>
                <w:highlight w:val="none"/>
              </w:rPr>
            </w:pPr>
            <w:r>
              <w:rPr>
                <w:rFonts w:hint="eastAsia" w:ascii="宋体" w:hAnsi="宋体" w:eastAsia="宋体" w:cs="宋体"/>
                <w:b/>
                <w:bCs/>
                <w:highlight w:val="none"/>
              </w:rPr>
              <w:t>数量</w:t>
            </w:r>
          </w:p>
        </w:tc>
        <w:tc>
          <w:tcPr>
            <w:tcW w:w="4860" w:type="dxa"/>
            <w:vAlign w:val="center"/>
          </w:tcPr>
          <w:p>
            <w:pPr>
              <w:pStyle w:val="24"/>
              <w:spacing w:after="0" w:line="360" w:lineRule="auto"/>
              <w:jc w:val="center"/>
              <w:rPr>
                <w:rFonts w:ascii="宋体" w:hAnsi="宋体" w:eastAsia="宋体" w:cs="宋体"/>
                <w:b/>
                <w:bCs/>
                <w:highlight w:val="none"/>
              </w:rPr>
            </w:pPr>
            <w:r>
              <w:rPr>
                <w:rFonts w:hint="eastAsia" w:ascii="宋体" w:hAnsi="宋体" w:eastAsia="宋体" w:cs="宋体"/>
                <w:b/>
                <w:bCs/>
                <w:highlight w:val="none"/>
              </w:rPr>
              <w:t>资格要求</w:t>
            </w:r>
          </w:p>
        </w:tc>
        <w:tc>
          <w:tcPr>
            <w:tcW w:w="1948" w:type="dxa"/>
            <w:vAlign w:val="center"/>
          </w:tcPr>
          <w:p>
            <w:pPr>
              <w:pStyle w:val="24"/>
              <w:spacing w:after="0" w:line="360" w:lineRule="auto"/>
              <w:jc w:val="center"/>
              <w:rPr>
                <w:rFonts w:ascii="宋体" w:hAnsi="宋体" w:eastAsia="宋体" w:cs="宋体"/>
                <w:b/>
                <w:bCs/>
                <w:highlight w:val="none"/>
              </w:rPr>
            </w:pPr>
            <w:r>
              <w:rPr>
                <w:rFonts w:hint="eastAsia" w:ascii="宋体" w:hAnsi="宋体" w:eastAsia="宋体" w:cs="宋体"/>
                <w:b/>
                <w:bCs/>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385" w:type="dxa"/>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项目负责人</w:t>
            </w:r>
          </w:p>
        </w:tc>
        <w:tc>
          <w:tcPr>
            <w:tcW w:w="931" w:type="dxa"/>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4860" w:type="dxa"/>
            <w:vAlign w:val="center"/>
          </w:tcPr>
          <w:p>
            <w:pPr>
              <w:pStyle w:val="19"/>
              <w:jc w:val="both"/>
              <w:rPr>
                <w:rFonts w:ascii="宋体" w:hAnsi="宋体" w:eastAsia="宋体" w:cs="宋体"/>
                <w:color w:val="auto"/>
                <w:highlight w:val="none"/>
              </w:rPr>
            </w:pPr>
            <w:r>
              <w:rPr>
                <w:rFonts w:hint="eastAsia" w:ascii="宋体" w:hAnsi="宋体" w:eastAsia="宋体" w:cs="宋体"/>
                <w:color w:val="auto"/>
                <w:highlight w:val="none"/>
              </w:rPr>
              <w:t>具有机电或电气工程系列专业</w:t>
            </w:r>
            <w:r>
              <w:rPr>
                <w:rFonts w:hint="eastAsia" w:ascii="宋体" w:hAnsi="宋体" w:eastAsia="宋体" w:cs="宋体"/>
                <w:color w:val="auto"/>
                <w:highlight w:val="none"/>
                <w:lang w:val="en-US" w:eastAsia="zh-CN"/>
              </w:rPr>
              <w:t>中</w:t>
            </w:r>
            <w:r>
              <w:rPr>
                <w:rFonts w:hint="eastAsia" w:ascii="宋体" w:hAnsi="宋体" w:eastAsia="宋体" w:cs="宋体"/>
                <w:color w:val="auto"/>
                <w:highlight w:val="none"/>
              </w:rPr>
              <w:t>级或以上职称，具有机电工程壹级注册建造师，具有有效的安全生产考核合格证书（B证），至少8年工作经验。</w:t>
            </w:r>
          </w:p>
        </w:tc>
        <w:tc>
          <w:tcPr>
            <w:tcW w:w="1948" w:type="dxa"/>
            <w:vMerge w:val="restart"/>
            <w:vAlign w:val="center"/>
          </w:tcPr>
          <w:p>
            <w:pPr>
              <w:pStyle w:val="19"/>
              <w:rPr>
                <w:rFonts w:ascii="宋体" w:hAnsi="宋体" w:eastAsia="宋体" w:cs="宋体"/>
                <w:color w:val="auto"/>
                <w:highlight w:val="none"/>
              </w:rPr>
            </w:pPr>
            <w:r>
              <w:rPr>
                <w:rFonts w:hint="eastAsia" w:ascii="宋体" w:hAnsi="宋体" w:eastAsia="宋体" w:cs="宋体"/>
                <w:color w:val="auto"/>
                <w:highlight w:val="none"/>
              </w:rPr>
              <w:t>无在岗项目（指目前未在其他项目上任职，或虽在其他项目任职但本项目中标后能够从该项目撤离）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385" w:type="dxa"/>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项目技术负责人</w:t>
            </w:r>
          </w:p>
        </w:tc>
        <w:tc>
          <w:tcPr>
            <w:tcW w:w="931" w:type="dxa"/>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4860" w:type="dxa"/>
            <w:vAlign w:val="center"/>
          </w:tcPr>
          <w:p>
            <w:pPr>
              <w:pStyle w:val="19"/>
              <w:rPr>
                <w:rFonts w:ascii="宋体" w:hAnsi="宋体" w:eastAsia="宋体" w:cs="宋体"/>
                <w:color w:val="auto"/>
                <w:highlight w:val="none"/>
              </w:rPr>
            </w:pPr>
            <w:r>
              <w:rPr>
                <w:rFonts w:hint="eastAsia" w:ascii="宋体" w:hAnsi="宋体" w:eastAsia="宋体" w:cs="宋体"/>
                <w:color w:val="auto"/>
                <w:highlight w:val="none"/>
              </w:rPr>
              <w:t>具有机电或电气工程系列专业高级或以上职称，具有有效的安全生产考核合格证书（B证），至少8年工作经验。</w:t>
            </w:r>
          </w:p>
        </w:tc>
        <w:tc>
          <w:tcPr>
            <w:tcW w:w="1948" w:type="dxa"/>
            <w:vMerge w:val="continue"/>
            <w:vAlign w:val="center"/>
          </w:tcPr>
          <w:p>
            <w:pPr>
              <w:pStyle w:val="19"/>
              <w:rPr>
                <w:rFonts w:ascii="宋体" w:hAnsi="宋体" w:eastAsia="宋体" w:cs="宋体"/>
                <w:color w:val="auto"/>
                <w:highlight w:val="none"/>
              </w:rPr>
            </w:pPr>
          </w:p>
        </w:tc>
      </w:tr>
    </w:tbl>
    <w:p>
      <w:pPr>
        <w:pStyle w:val="24"/>
        <w:spacing w:after="0" w:line="360" w:lineRule="auto"/>
        <w:jc w:val="both"/>
        <w:rPr>
          <w:rFonts w:ascii="宋体" w:hAnsi="宋体" w:eastAsia="宋体" w:cs="宋体"/>
          <w:sz w:val="18"/>
          <w:szCs w:val="18"/>
          <w:highlight w:val="none"/>
        </w:rPr>
      </w:pPr>
      <w:r>
        <w:rPr>
          <w:rFonts w:hint="eastAsia" w:ascii="宋体" w:hAnsi="宋体" w:eastAsia="宋体" w:cs="宋体"/>
          <w:sz w:val="18"/>
          <w:szCs w:val="18"/>
          <w:highlight w:val="none"/>
        </w:rPr>
        <w:t>注：1、资格要求的人员建造师注册证书、安全生产“三类人员”B类证书均应在投标人所在单位（即证书上单位名称应与投标人单位名称一致），否则视为无效。</w:t>
      </w:r>
    </w:p>
    <w:p>
      <w:pPr>
        <w:pStyle w:val="24"/>
        <w:spacing w:line="360" w:lineRule="auto"/>
        <w:jc w:val="both"/>
        <w:rPr>
          <w:rFonts w:ascii="宋体" w:hAnsi="宋体" w:eastAsia="宋体" w:cs="宋体"/>
          <w:highlight w:val="none"/>
        </w:rPr>
      </w:pPr>
      <w:r>
        <w:rPr>
          <w:rFonts w:hint="eastAsia" w:ascii="宋体" w:hAnsi="宋体" w:eastAsia="宋体" w:cs="宋体"/>
          <w:sz w:val="18"/>
          <w:szCs w:val="18"/>
          <w:highlight w:val="none"/>
        </w:rPr>
        <w:t>2、工作经验以</w:t>
      </w:r>
      <w:r>
        <w:rPr>
          <w:rFonts w:hint="eastAsia" w:ascii="宋体" w:hAnsi="宋体" w:eastAsia="宋体" w:cs="宋体"/>
          <w:kern w:val="44"/>
          <w:sz w:val="18"/>
          <w:szCs w:val="18"/>
          <w:highlight w:val="none"/>
        </w:rPr>
        <w:t>《拟委任的项目负责人和项目技术负责人资历表》中“经历栏"填入的最早从事工作开始时间起算</w:t>
      </w:r>
    </w:p>
    <w:p>
      <w:pPr>
        <w:pStyle w:val="19"/>
        <w:jc w:val="center"/>
        <w:rPr>
          <w:rFonts w:ascii="宋体" w:hAnsi="宋体" w:eastAsia="宋体" w:cs="宋体"/>
          <w:b/>
          <w:bCs/>
          <w:color w:val="auto"/>
          <w:kern w:val="44"/>
          <w:sz w:val="30"/>
          <w:szCs w:val="30"/>
          <w:highlight w:val="none"/>
        </w:rPr>
      </w:pPr>
      <w:r>
        <w:rPr>
          <w:rFonts w:hint="eastAsia" w:ascii="宋体" w:hAnsi="宋体" w:eastAsia="宋体" w:cs="宋体"/>
          <w:b/>
          <w:bCs/>
          <w:color w:val="auto"/>
          <w:kern w:val="44"/>
          <w:sz w:val="30"/>
          <w:szCs w:val="30"/>
          <w:highlight w:val="none"/>
        </w:rPr>
        <w:t>附录6资格审查条件(其他主要管理人员和技术人员最低要求)</w:t>
      </w:r>
    </w:p>
    <w:tbl>
      <w:tblPr>
        <w:tblStyle w:val="13"/>
        <w:tblW w:w="9185" w:type="dxa"/>
        <w:jc w:val="center"/>
        <w:tblLayout w:type="fixed"/>
        <w:tblCellMar>
          <w:top w:w="0" w:type="dxa"/>
          <w:left w:w="108" w:type="dxa"/>
          <w:bottom w:w="0" w:type="dxa"/>
          <w:right w:w="108" w:type="dxa"/>
        </w:tblCellMar>
      </w:tblPr>
      <w:tblGrid>
        <w:gridCol w:w="2370"/>
        <w:gridCol w:w="1616"/>
        <w:gridCol w:w="5199"/>
      </w:tblGrid>
      <w:tr>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b/>
                <w:bCs/>
                <w:highlight w:val="none"/>
              </w:rPr>
            </w:pPr>
            <w:r>
              <w:rPr>
                <w:rFonts w:hint="eastAsia" w:ascii="宋体" w:hAnsi="宋体" w:eastAsia="宋体" w:cs="宋体"/>
                <w:b/>
                <w:bCs/>
                <w:highlight w:val="none"/>
              </w:rPr>
              <w:t>人员</w:t>
            </w:r>
          </w:p>
        </w:tc>
        <w:tc>
          <w:tcPr>
            <w:tcW w:w="1616"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b/>
                <w:bCs/>
                <w:highlight w:val="none"/>
              </w:rPr>
            </w:pPr>
            <w:r>
              <w:rPr>
                <w:rFonts w:hint="eastAsia" w:ascii="宋体" w:hAnsi="宋体" w:eastAsia="宋体" w:cs="宋体"/>
                <w:b/>
                <w:bCs/>
                <w:highlight w:val="none"/>
              </w:rPr>
              <w:t>数量</w:t>
            </w:r>
          </w:p>
        </w:tc>
        <w:tc>
          <w:tcPr>
            <w:tcW w:w="5199"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b/>
                <w:bCs/>
                <w:highlight w:val="none"/>
              </w:rPr>
            </w:pPr>
            <w:r>
              <w:rPr>
                <w:rFonts w:hint="eastAsia" w:ascii="宋体" w:hAnsi="宋体" w:eastAsia="宋体" w:cs="宋体"/>
                <w:b/>
                <w:bCs/>
                <w:highlight w:val="none"/>
              </w:rPr>
              <w:t>资格要求</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电气工程师</w:t>
            </w:r>
          </w:p>
        </w:tc>
        <w:tc>
          <w:tcPr>
            <w:tcW w:w="1616"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000000" w:sz="4" w:space="0"/>
              <w:left w:val="single" w:color="000000" w:sz="4" w:space="0"/>
              <w:bottom w:val="single" w:color="000000" w:sz="4" w:space="0"/>
              <w:right w:val="single" w:color="000000" w:sz="4" w:space="0"/>
            </w:tcBorders>
            <w:vAlign w:val="center"/>
          </w:tcPr>
          <w:p>
            <w:pPr>
              <w:pStyle w:val="24"/>
              <w:spacing w:after="0"/>
              <w:rPr>
                <w:rFonts w:ascii="宋体" w:hAnsi="宋体" w:eastAsia="宋体" w:cs="宋体"/>
                <w:highlight w:val="none"/>
              </w:rPr>
            </w:pPr>
            <w:r>
              <w:rPr>
                <w:rFonts w:hint="eastAsia" w:ascii="宋体" w:hAnsi="宋体" w:eastAsia="宋体" w:cs="宋体"/>
                <w:highlight w:val="none"/>
              </w:rPr>
              <w:t>具有机电或电气工程相关专业高级或以上工程师职称</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安全工程师</w:t>
            </w:r>
          </w:p>
        </w:tc>
        <w:tc>
          <w:tcPr>
            <w:tcW w:w="1616"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000000" w:sz="4" w:space="0"/>
              <w:left w:val="single" w:color="000000" w:sz="4" w:space="0"/>
              <w:bottom w:val="single" w:color="000000" w:sz="4" w:space="0"/>
              <w:right w:val="single" w:color="000000" w:sz="4" w:space="0"/>
            </w:tcBorders>
            <w:vAlign w:val="center"/>
          </w:tcPr>
          <w:p>
            <w:pPr>
              <w:pStyle w:val="24"/>
              <w:spacing w:after="0"/>
              <w:rPr>
                <w:rFonts w:ascii="宋体" w:hAnsi="宋体" w:eastAsia="宋体" w:cs="宋体"/>
                <w:highlight w:val="none"/>
              </w:rPr>
            </w:pPr>
            <w:r>
              <w:rPr>
                <w:rFonts w:hint="eastAsia" w:ascii="宋体" w:hAnsi="宋体" w:eastAsia="宋体" w:cs="宋体"/>
                <w:highlight w:val="none"/>
              </w:rPr>
              <w:t>具有中华人民共和国应急管理部（或原国家安全生产监督管理总局）颁发的在有效期内的注册安全工程师证书（或提供“注册安全工程师注册管理系统”的网页查询截图，网络链接地址为：http://rmocse.chinasafety.ac.cn/Psearchs.aspx，否则不予认可）</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造价工程师</w:t>
            </w:r>
          </w:p>
        </w:tc>
        <w:tc>
          <w:tcPr>
            <w:tcW w:w="1616"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000000" w:sz="4" w:space="0"/>
              <w:left w:val="single" w:color="000000" w:sz="4" w:space="0"/>
              <w:bottom w:val="single" w:color="000000" w:sz="4" w:space="0"/>
              <w:right w:val="single" w:color="000000" w:sz="4" w:space="0"/>
            </w:tcBorders>
            <w:vAlign w:val="center"/>
          </w:tcPr>
          <w:p>
            <w:pPr>
              <w:pStyle w:val="24"/>
              <w:spacing w:after="0"/>
              <w:rPr>
                <w:rFonts w:ascii="宋体" w:hAnsi="宋体" w:eastAsia="宋体" w:cs="宋体"/>
                <w:highlight w:val="none"/>
              </w:rPr>
            </w:pPr>
            <w:r>
              <w:rPr>
                <w:rFonts w:hint="eastAsia" w:ascii="宋体" w:hAnsi="宋体" w:eastAsia="宋体" w:cs="宋体"/>
                <w:highlight w:val="none"/>
              </w:rPr>
              <w:t>持有中华人民共和国住房和城乡建设部颁发的在有效期内的注册造价工程师证</w:t>
            </w:r>
          </w:p>
        </w:tc>
      </w:tr>
      <w:tr>
        <w:tblPrEx>
          <w:tblCellMar>
            <w:top w:w="0" w:type="dxa"/>
            <w:left w:w="108" w:type="dxa"/>
            <w:bottom w:w="0" w:type="dxa"/>
            <w:right w:w="108" w:type="dxa"/>
          </w:tblCellMar>
        </w:tblPrEx>
        <w:trPr>
          <w:trHeight w:val="703" w:hRule="atLeast"/>
          <w:jc w:val="center"/>
        </w:trPr>
        <w:tc>
          <w:tcPr>
            <w:tcW w:w="2370"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施工员</w:t>
            </w:r>
          </w:p>
        </w:tc>
        <w:tc>
          <w:tcPr>
            <w:tcW w:w="1616" w:type="dxa"/>
            <w:tcBorders>
              <w:top w:val="single" w:color="000000" w:sz="4" w:space="0"/>
              <w:left w:val="single" w:color="000000" w:sz="4" w:space="0"/>
              <w:bottom w:val="single" w:color="000000"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3人</w:t>
            </w:r>
          </w:p>
        </w:tc>
        <w:tc>
          <w:tcPr>
            <w:tcW w:w="5199" w:type="dxa"/>
            <w:tcBorders>
              <w:top w:val="single" w:color="000000" w:sz="4" w:space="0"/>
              <w:left w:val="single" w:color="000000" w:sz="4" w:space="0"/>
              <w:bottom w:val="single" w:color="000000" w:sz="4" w:space="0"/>
              <w:right w:val="single" w:color="000000" w:sz="4" w:space="0"/>
            </w:tcBorders>
            <w:vAlign w:val="center"/>
          </w:tcPr>
          <w:p>
            <w:pPr>
              <w:pStyle w:val="24"/>
              <w:spacing w:after="0"/>
              <w:rPr>
                <w:rFonts w:ascii="宋体" w:hAnsi="宋体" w:eastAsia="宋体" w:cs="宋体"/>
                <w:highlight w:val="none"/>
              </w:rPr>
            </w:pPr>
            <w:r>
              <w:rPr>
                <w:rFonts w:hint="eastAsia" w:ascii="宋体" w:hAnsi="宋体" w:eastAsia="宋体" w:cs="宋体"/>
                <w:highlight w:val="none"/>
              </w:rPr>
              <w:t>具备施工员岗位证书</w:t>
            </w:r>
          </w:p>
        </w:tc>
      </w:tr>
      <w:tr>
        <w:tblPrEx>
          <w:tblCellMar>
            <w:top w:w="0" w:type="dxa"/>
            <w:left w:w="108" w:type="dxa"/>
            <w:bottom w:w="0" w:type="dxa"/>
            <w:right w:w="108" w:type="dxa"/>
          </w:tblCellMar>
        </w:tblPrEx>
        <w:trPr>
          <w:trHeight w:val="503" w:hRule="atLeast"/>
          <w:jc w:val="center"/>
        </w:trPr>
        <w:tc>
          <w:tcPr>
            <w:tcW w:w="2370" w:type="dxa"/>
            <w:tcBorders>
              <w:top w:val="single" w:color="000000"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质检员</w:t>
            </w:r>
          </w:p>
        </w:tc>
        <w:tc>
          <w:tcPr>
            <w:tcW w:w="1616" w:type="dxa"/>
            <w:tcBorders>
              <w:top w:val="single" w:color="000000"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000000" w:sz="4" w:space="0"/>
              <w:left w:val="single" w:color="000000" w:sz="4" w:space="0"/>
              <w:bottom w:val="single" w:color="auto" w:sz="4" w:space="0"/>
              <w:right w:val="single" w:color="000000" w:sz="4" w:space="0"/>
            </w:tcBorders>
            <w:vAlign w:val="center"/>
          </w:tcPr>
          <w:p>
            <w:pPr>
              <w:pStyle w:val="24"/>
              <w:spacing w:after="0"/>
              <w:jc w:val="both"/>
              <w:rPr>
                <w:rFonts w:ascii="宋体" w:hAnsi="宋体" w:eastAsia="宋体" w:cs="宋体"/>
                <w:highlight w:val="none"/>
              </w:rPr>
            </w:pPr>
            <w:r>
              <w:rPr>
                <w:rFonts w:hint="eastAsia" w:ascii="宋体" w:hAnsi="宋体" w:eastAsia="宋体" w:cs="宋体"/>
                <w:highlight w:val="none"/>
              </w:rPr>
              <w:t>具有有效的质检员或质安员或质量员上岗证</w:t>
            </w:r>
          </w:p>
        </w:tc>
      </w:tr>
      <w:tr>
        <w:tblPrEx>
          <w:tblCellMar>
            <w:top w:w="0" w:type="dxa"/>
            <w:left w:w="108" w:type="dxa"/>
            <w:bottom w:w="0" w:type="dxa"/>
            <w:right w:w="108" w:type="dxa"/>
          </w:tblCellMar>
        </w:tblPrEx>
        <w:trPr>
          <w:trHeight w:val="609" w:hRule="atLeast"/>
          <w:jc w:val="center"/>
        </w:trPr>
        <w:tc>
          <w:tcPr>
            <w:tcW w:w="2370" w:type="dxa"/>
            <w:tcBorders>
              <w:top w:val="single" w:color="auto"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资料员</w:t>
            </w:r>
          </w:p>
        </w:tc>
        <w:tc>
          <w:tcPr>
            <w:tcW w:w="1616" w:type="dxa"/>
            <w:tcBorders>
              <w:top w:val="single" w:color="auto"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auto" w:sz="4" w:space="0"/>
              <w:left w:val="single" w:color="000000" w:sz="4" w:space="0"/>
              <w:bottom w:val="single" w:color="auto" w:sz="4" w:space="0"/>
              <w:right w:val="single" w:color="000000" w:sz="4" w:space="0"/>
            </w:tcBorders>
            <w:vAlign w:val="center"/>
          </w:tcPr>
          <w:p>
            <w:pPr>
              <w:pStyle w:val="24"/>
              <w:spacing w:after="0"/>
              <w:jc w:val="both"/>
              <w:rPr>
                <w:rFonts w:ascii="宋体" w:hAnsi="宋体" w:eastAsia="宋体" w:cs="宋体"/>
                <w:highlight w:val="none"/>
              </w:rPr>
            </w:pPr>
            <w:r>
              <w:rPr>
                <w:rFonts w:hint="eastAsia" w:ascii="宋体" w:hAnsi="宋体" w:eastAsia="宋体" w:cs="宋体"/>
                <w:highlight w:val="none"/>
              </w:rPr>
              <w:t>具备资料员岗位证书</w:t>
            </w:r>
          </w:p>
        </w:tc>
      </w:tr>
      <w:tr>
        <w:tblPrEx>
          <w:tblCellMar>
            <w:top w:w="0" w:type="dxa"/>
            <w:left w:w="108" w:type="dxa"/>
            <w:bottom w:w="0" w:type="dxa"/>
            <w:right w:w="108" w:type="dxa"/>
          </w:tblCellMar>
        </w:tblPrEx>
        <w:trPr>
          <w:trHeight w:val="899" w:hRule="atLeast"/>
          <w:jc w:val="center"/>
        </w:trPr>
        <w:tc>
          <w:tcPr>
            <w:tcW w:w="2370" w:type="dxa"/>
            <w:tcBorders>
              <w:top w:val="single" w:color="auto"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专职安全员</w:t>
            </w:r>
          </w:p>
        </w:tc>
        <w:tc>
          <w:tcPr>
            <w:tcW w:w="1616" w:type="dxa"/>
            <w:tcBorders>
              <w:top w:val="single" w:color="auto" w:sz="4" w:space="0"/>
              <w:left w:val="single" w:color="000000" w:sz="4" w:space="0"/>
              <w:bottom w:val="single" w:color="auto" w:sz="4" w:space="0"/>
              <w:right w:val="single" w:color="000000" w:sz="4" w:space="0"/>
            </w:tcBorders>
            <w:vAlign w:val="center"/>
          </w:tcPr>
          <w:p>
            <w:pPr>
              <w:pStyle w:val="24"/>
              <w:spacing w:after="0"/>
              <w:jc w:val="center"/>
              <w:rPr>
                <w:rFonts w:ascii="宋体" w:hAnsi="宋体" w:eastAsia="宋体" w:cs="宋体"/>
                <w:highlight w:val="none"/>
              </w:rPr>
            </w:pPr>
            <w:r>
              <w:rPr>
                <w:rFonts w:hint="eastAsia" w:ascii="宋体" w:hAnsi="宋体" w:eastAsia="宋体" w:cs="宋体"/>
                <w:highlight w:val="none"/>
              </w:rPr>
              <w:t>1人</w:t>
            </w:r>
          </w:p>
        </w:tc>
        <w:tc>
          <w:tcPr>
            <w:tcW w:w="5199" w:type="dxa"/>
            <w:tcBorders>
              <w:top w:val="single" w:color="auto" w:sz="4" w:space="0"/>
              <w:left w:val="single" w:color="000000" w:sz="4" w:space="0"/>
              <w:bottom w:val="single" w:color="auto" w:sz="4" w:space="0"/>
              <w:right w:val="single" w:color="000000" w:sz="4" w:space="0"/>
            </w:tcBorders>
            <w:vAlign w:val="center"/>
          </w:tcPr>
          <w:p>
            <w:pPr>
              <w:pStyle w:val="24"/>
              <w:spacing w:after="0"/>
              <w:rPr>
                <w:rFonts w:ascii="宋体" w:hAnsi="宋体" w:eastAsia="宋体" w:cs="宋体"/>
                <w:highlight w:val="none"/>
              </w:rPr>
            </w:pPr>
            <w:r>
              <w:rPr>
                <w:rFonts w:hint="eastAsia" w:ascii="宋体" w:hAnsi="宋体" w:eastAsia="宋体" w:cs="宋体"/>
                <w:highlight w:val="none"/>
              </w:rPr>
              <w:t>须具有建设主管部门颁发的有效的安全生产考核合格证（C类）或建筑施工企业专职安全生产管理人员安全生产考核合格证书</w:t>
            </w:r>
          </w:p>
        </w:tc>
      </w:tr>
    </w:tbl>
    <w:p>
      <w:pPr>
        <w:pStyle w:val="19"/>
        <w:rPr>
          <w:rFonts w:ascii="宋体" w:hAnsi="宋体" w:eastAsia="宋体" w:cs="宋体"/>
          <w:b/>
          <w:bCs/>
          <w:color w:val="auto"/>
          <w:highlight w:val="none"/>
        </w:rPr>
      </w:pPr>
      <w:r>
        <w:rPr>
          <w:rFonts w:hint="eastAsia" w:ascii="宋体" w:hAnsi="宋体" w:eastAsia="宋体" w:cs="宋体"/>
          <w:color w:val="auto"/>
          <w:kern w:val="44"/>
          <w:sz w:val="18"/>
          <w:szCs w:val="18"/>
          <w:highlight w:val="none"/>
        </w:rPr>
        <w:t>注：1、附录6所要求人员按第八章投标文件格式表8-7、表8-7-1填报并附相关证明材料。</w:t>
      </w:r>
    </w:p>
    <w:p>
      <w:pPr>
        <w:jc w:val="left"/>
        <w:rPr>
          <w:rFonts w:ascii="宋体" w:hAnsi="宋体" w:cs="宋体"/>
          <w:b/>
          <w:bCs/>
          <w:color w:val="auto"/>
          <w:highlight w:val="none"/>
        </w:rPr>
      </w:pPr>
      <w:r>
        <w:rPr>
          <w:rFonts w:hint="eastAsia" w:ascii="宋体" w:hAnsi="宋体" w:cs="宋体"/>
          <w:b/>
          <w:bCs/>
          <w:color w:val="auto"/>
          <w:highlight w:val="none"/>
        </w:rPr>
        <w:t>2、以上人员一人一岗。</w:t>
      </w:r>
    </w:p>
    <w:p>
      <w:pPr>
        <w:jc w:val="left"/>
        <w:rPr>
          <w:rFonts w:ascii="宋体" w:hAnsi="宋体" w:cs="宋体"/>
          <w:color w:val="auto"/>
          <w:highlight w:val="none"/>
        </w:rPr>
      </w:pPr>
    </w:p>
    <w:p>
      <w:pPr>
        <w:jc w:val="left"/>
        <w:rPr>
          <w:rFonts w:ascii="宋体" w:hAnsi="宋体" w:cs="宋体"/>
          <w:color w:val="auto"/>
          <w:highlight w:val="none"/>
        </w:rPr>
      </w:pPr>
    </w:p>
    <w:p>
      <w:pPr>
        <w:jc w:val="left"/>
        <w:rPr>
          <w:rFonts w:ascii="宋体" w:hAnsi="宋体" w:cs="宋体"/>
          <w:color w:val="auto"/>
          <w:highlight w:val="none"/>
        </w:rPr>
        <w:sectPr>
          <w:headerReference r:id="rId4" w:type="default"/>
          <w:footerReference r:id="rId5" w:type="default"/>
          <w:pgSz w:w="11900" w:h="16840"/>
          <w:pgMar w:top="1417" w:right="1417" w:bottom="1417" w:left="1417" w:header="0" w:footer="667" w:gutter="0"/>
          <w:cols w:space="720" w:num="1"/>
        </w:sectPr>
      </w:pPr>
    </w:p>
    <w:p>
      <w:pPr>
        <w:jc w:val="left"/>
        <w:rPr>
          <w:rFonts w:ascii="宋体" w:hAnsi="宋体" w:cs="宋体"/>
          <w:b/>
          <w:bCs/>
          <w:color w:val="auto"/>
          <w:sz w:val="36"/>
          <w:szCs w:val="36"/>
          <w:highlight w:val="none"/>
        </w:rPr>
      </w:pPr>
    </w:p>
    <w:p>
      <w:pPr>
        <w:jc w:val="left"/>
        <w:rPr>
          <w:rFonts w:ascii="宋体" w:hAnsi="宋体" w:cs="宋体"/>
          <w:b/>
          <w:bCs/>
          <w:color w:val="auto"/>
          <w:w w:val="95"/>
          <w:sz w:val="47"/>
          <w:highlight w:val="none"/>
        </w:rPr>
      </w:pPr>
      <w:r>
        <w:rPr>
          <w:rFonts w:hint="eastAsia" w:ascii="宋体" w:hAnsi="宋体" w:cs="宋体"/>
          <w:b/>
          <w:bCs/>
          <w:color w:val="auto"/>
          <w:sz w:val="36"/>
          <w:szCs w:val="36"/>
          <w:highlight w:val="none"/>
        </w:rPr>
        <w:t xml:space="preserve">附件4                     </w:t>
      </w:r>
      <w:r>
        <w:rPr>
          <w:rFonts w:hint="eastAsia" w:ascii="宋体" w:hAnsi="宋体" w:cs="宋体"/>
          <w:b/>
          <w:bCs/>
          <w:color w:val="auto"/>
          <w:w w:val="95"/>
          <w:sz w:val="47"/>
          <w:highlight w:val="none"/>
        </w:rPr>
        <w:t>投标登记申请表</w:t>
      </w:r>
    </w:p>
    <w:p>
      <w:pPr>
        <w:pStyle w:val="2"/>
        <w:kinsoku w:val="0"/>
        <w:overflowPunct w:val="0"/>
        <w:spacing w:before="158" w:after="56"/>
        <w:ind w:right="499"/>
        <w:jc w:val="right"/>
        <w:rPr>
          <w:color w:val="auto"/>
          <w:sz w:val="25"/>
          <w:highlight w:val="none"/>
        </w:rPr>
      </w:pPr>
      <w:r>
        <w:rPr>
          <w:rFonts w:hint="eastAsia"/>
          <w:color w:val="auto"/>
          <w:sz w:val="25"/>
          <w:highlight w:val="none"/>
        </w:rPr>
        <w:t xml:space="preserve"> </w:t>
      </w:r>
      <w:r>
        <w:rPr>
          <w:rFonts w:hint="eastAsia"/>
          <w:color w:val="auto"/>
          <w:spacing w:val="3"/>
          <w:sz w:val="25"/>
          <w:highlight w:val="none"/>
        </w:rPr>
        <w:t xml:space="preserve"> </w:t>
      </w:r>
      <w:r>
        <w:rPr>
          <w:rFonts w:hint="eastAsia"/>
          <w:color w:val="auto"/>
          <w:sz w:val="25"/>
          <w:highlight w:val="none"/>
        </w:rPr>
        <w:t xml:space="preserve"> </w:t>
      </w:r>
      <w:r>
        <w:rPr>
          <w:rFonts w:hint="eastAsia"/>
          <w:color w:val="auto"/>
          <w:spacing w:val="1"/>
          <w:sz w:val="25"/>
          <w:highlight w:val="none"/>
        </w:rPr>
        <w:t xml:space="preserve"> </w:t>
      </w:r>
      <w:r>
        <w:rPr>
          <w:rFonts w:hint="eastAsia"/>
          <w:color w:val="auto"/>
          <w:sz w:val="25"/>
          <w:highlight w:val="none"/>
        </w:rPr>
        <w:t xml:space="preserve"> </w:t>
      </w:r>
      <w:r>
        <w:rPr>
          <w:rFonts w:hint="eastAsia"/>
          <w:color w:val="auto"/>
          <w:spacing w:val="3"/>
          <w:sz w:val="25"/>
          <w:highlight w:val="none"/>
        </w:rPr>
        <w:t xml:space="preserve"> </w:t>
      </w:r>
      <w:r>
        <w:rPr>
          <w:rFonts w:hint="eastAsia"/>
          <w:color w:val="auto"/>
          <w:sz w:val="25"/>
          <w:highlight w:val="none"/>
        </w:rPr>
        <w:t xml:space="preserve"> </w:t>
      </w:r>
      <w:r>
        <w:rPr>
          <w:rFonts w:hint="eastAsia"/>
          <w:color w:val="auto"/>
          <w:spacing w:val="1"/>
          <w:sz w:val="25"/>
          <w:highlight w:val="none"/>
        </w:rPr>
        <w:t xml:space="preserve"> </w:t>
      </w:r>
      <w:r>
        <w:rPr>
          <w:rFonts w:hint="eastAsia"/>
          <w:color w:val="auto"/>
          <w:sz w:val="25"/>
          <w:highlight w:val="none"/>
        </w:rPr>
        <w:t xml:space="preserve"> </w:t>
      </w:r>
      <w:r>
        <w:rPr>
          <w:rFonts w:hint="eastAsia"/>
          <w:color w:val="auto"/>
          <w:spacing w:val="3"/>
          <w:sz w:val="25"/>
          <w:highlight w:val="none"/>
        </w:rPr>
        <w:t xml:space="preserve"> </w:t>
      </w:r>
      <w:r>
        <w:rPr>
          <w:rFonts w:hint="eastAsia"/>
          <w:color w:val="auto"/>
          <w:sz w:val="25"/>
          <w:highlight w:val="none"/>
        </w:rPr>
        <w:t xml:space="preserve"> 年     月     日</w:t>
      </w:r>
    </w:p>
    <w:tbl>
      <w:tblPr>
        <w:tblStyle w:val="13"/>
        <w:tblW w:w="14298" w:type="dxa"/>
        <w:tblInd w:w="222" w:type="dxa"/>
        <w:tblLayout w:type="fixed"/>
        <w:tblCellMar>
          <w:top w:w="0" w:type="dxa"/>
          <w:left w:w="108" w:type="dxa"/>
          <w:bottom w:w="0" w:type="dxa"/>
          <w:right w:w="108" w:type="dxa"/>
        </w:tblCellMar>
      </w:tblPr>
      <w:tblGrid>
        <w:gridCol w:w="2643"/>
        <w:gridCol w:w="3967"/>
        <w:gridCol w:w="1577"/>
        <w:gridCol w:w="1589"/>
        <w:gridCol w:w="1777"/>
        <w:gridCol w:w="2745"/>
      </w:tblGrid>
      <w:tr>
        <w:tblPrEx>
          <w:tblCellMar>
            <w:top w:w="0" w:type="dxa"/>
            <w:left w:w="108" w:type="dxa"/>
            <w:bottom w:w="0" w:type="dxa"/>
            <w:right w:w="108" w:type="dxa"/>
          </w:tblCellMar>
        </w:tblPrEx>
        <w:trPr>
          <w:trHeight w:val="489"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4"/>
              <w:rPr>
                <w:color w:val="auto"/>
                <w:sz w:val="19"/>
                <w:highlight w:val="none"/>
              </w:rPr>
            </w:pPr>
          </w:p>
          <w:p>
            <w:pPr>
              <w:pStyle w:val="26"/>
              <w:kinsoku w:val="0"/>
              <w:overflowPunct w:val="0"/>
              <w:ind w:left="89" w:right="56"/>
              <w:jc w:val="center"/>
              <w:rPr>
                <w:color w:val="auto"/>
                <w:sz w:val="25"/>
                <w:highlight w:val="none"/>
              </w:rPr>
            </w:pPr>
            <w:r>
              <w:rPr>
                <w:rFonts w:hint="eastAsia"/>
                <w:color w:val="auto"/>
                <w:sz w:val="25"/>
                <w:highlight w:val="none"/>
              </w:rPr>
              <w:t>项目名称</w:t>
            </w:r>
          </w:p>
        </w:tc>
        <w:tc>
          <w:tcPr>
            <w:tcW w:w="7133" w:type="dxa"/>
            <w:gridSpan w:val="3"/>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c>
          <w:tcPr>
            <w:tcW w:w="1777"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95" w:line="312" w:lineRule="exact"/>
              <w:ind w:left="411"/>
              <w:rPr>
                <w:color w:val="auto"/>
                <w:sz w:val="25"/>
                <w:highlight w:val="none"/>
              </w:rPr>
            </w:pPr>
            <w:r>
              <w:rPr>
                <w:rFonts w:hint="eastAsia"/>
                <w:color w:val="auto"/>
                <w:sz w:val="25"/>
                <w:highlight w:val="none"/>
              </w:rPr>
              <w:t>项目编号</w:t>
            </w:r>
          </w:p>
          <w:p>
            <w:pPr>
              <w:pStyle w:val="26"/>
              <w:kinsoku w:val="0"/>
              <w:overflowPunct w:val="0"/>
              <w:spacing w:line="312" w:lineRule="exact"/>
              <w:ind w:left="473"/>
              <w:rPr>
                <w:color w:val="auto"/>
                <w:sz w:val="25"/>
                <w:highlight w:val="none"/>
              </w:rPr>
            </w:pPr>
            <w:r>
              <w:rPr>
                <w:rFonts w:hint="eastAsia"/>
                <w:color w:val="auto"/>
                <w:sz w:val="25"/>
                <w:highlight w:val="none"/>
              </w:rPr>
              <w:t>/标段号</w:t>
            </w:r>
          </w:p>
        </w:tc>
        <w:tc>
          <w:tcPr>
            <w:tcW w:w="2745"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r>
        <w:tblPrEx>
          <w:tblCellMar>
            <w:top w:w="0" w:type="dxa"/>
            <w:left w:w="108" w:type="dxa"/>
            <w:bottom w:w="0" w:type="dxa"/>
            <w:right w:w="108" w:type="dxa"/>
          </w:tblCellMar>
        </w:tblPrEx>
        <w:trPr>
          <w:trHeight w:val="426"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102" w:line="312" w:lineRule="exact"/>
              <w:ind w:left="89" w:right="56"/>
              <w:jc w:val="center"/>
              <w:rPr>
                <w:color w:val="auto"/>
                <w:sz w:val="25"/>
                <w:highlight w:val="none"/>
              </w:rPr>
            </w:pPr>
            <w:r>
              <w:rPr>
                <w:rFonts w:hint="eastAsia"/>
                <w:color w:val="auto"/>
                <w:sz w:val="25"/>
                <w:highlight w:val="none"/>
              </w:rPr>
              <w:t>投标人名称</w:t>
            </w:r>
          </w:p>
          <w:p>
            <w:pPr>
              <w:pStyle w:val="26"/>
              <w:kinsoku w:val="0"/>
              <w:overflowPunct w:val="0"/>
              <w:spacing w:line="312" w:lineRule="exact"/>
              <w:ind w:left="89" w:right="58"/>
              <w:jc w:val="center"/>
              <w:rPr>
                <w:color w:val="auto"/>
                <w:sz w:val="25"/>
                <w:highlight w:val="none"/>
              </w:rPr>
            </w:pPr>
            <w:r>
              <w:rPr>
                <w:rFonts w:hint="eastAsia"/>
                <w:color w:val="auto"/>
                <w:sz w:val="25"/>
                <w:highlight w:val="none"/>
              </w:rPr>
              <w:t>（企业编号）</w:t>
            </w:r>
          </w:p>
        </w:tc>
        <w:tc>
          <w:tcPr>
            <w:tcW w:w="3967"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c>
          <w:tcPr>
            <w:tcW w:w="1577"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10"/>
              <w:rPr>
                <w:color w:val="auto"/>
                <w:sz w:val="19"/>
                <w:highlight w:val="none"/>
              </w:rPr>
            </w:pPr>
          </w:p>
          <w:p>
            <w:pPr>
              <w:pStyle w:val="26"/>
              <w:kinsoku w:val="0"/>
              <w:overflowPunct w:val="0"/>
              <w:ind w:left="289"/>
              <w:rPr>
                <w:color w:val="auto"/>
                <w:sz w:val="25"/>
                <w:highlight w:val="none"/>
              </w:rPr>
            </w:pPr>
            <w:r>
              <w:rPr>
                <w:rFonts w:hint="eastAsia"/>
                <w:color w:val="auto"/>
                <w:sz w:val="25"/>
                <w:highlight w:val="none"/>
              </w:rPr>
              <w:t>被授权人</w:t>
            </w:r>
          </w:p>
        </w:tc>
        <w:tc>
          <w:tcPr>
            <w:tcW w:w="1589"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c>
          <w:tcPr>
            <w:tcW w:w="1777"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10"/>
              <w:rPr>
                <w:color w:val="auto"/>
                <w:sz w:val="19"/>
                <w:highlight w:val="none"/>
              </w:rPr>
            </w:pPr>
          </w:p>
          <w:p>
            <w:pPr>
              <w:pStyle w:val="26"/>
              <w:kinsoku w:val="0"/>
              <w:overflowPunct w:val="0"/>
              <w:ind w:left="413"/>
              <w:rPr>
                <w:color w:val="auto"/>
                <w:sz w:val="25"/>
                <w:highlight w:val="none"/>
              </w:rPr>
            </w:pPr>
            <w:r>
              <w:rPr>
                <w:rFonts w:hint="eastAsia"/>
                <w:color w:val="auto"/>
                <w:sz w:val="25"/>
                <w:highlight w:val="none"/>
              </w:rPr>
              <w:t>联系电话</w:t>
            </w:r>
          </w:p>
        </w:tc>
        <w:tc>
          <w:tcPr>
            <w:tcW w:w="2745"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r>
        <w:tblPrEx>
          <w:tblCellMar>
            <w:top w:w="0" w:type="dxa"/>
            <w:left w:w="108" w:type="dxa"/>
            <w:bottom w:w="0" w:type="dxa"/>
            <w:right w:w="108" w:type="dxa"/>
          </w:tblCellMar>
        </w:tblPrEx>
        <w:trPr>
          <w:trHeight w:val="516"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102" w:line="311" w:lineRule="exact"/>
              <w:ind w:left="89" w:right="56"/>
              <w:jc w:val="center"/>
              <w:rPr>
                <w:color w:val="auto"/>
                <w:sz w:val="25"/>
                <w:highlight w:val="none"/>
              </w:rPr>
            </w:pPr>
            <w:r>
              <w:rPr>
                <w:rFonts w:hint="eastAsia"/>
                <w:color w:val="auto"/>
                <w:sz w:val="25"/>
                <w:highlight w:val="none"/>
              </w:rPr>
              <w:t>项目负责人</w:t>
            </w:r>
          </w:p>
          <w:p>
            <w:pPr>
              <w:pStyle w:val="26"/>
              <w:kinsoku w:val="0"/>
              <w:overflowPunct w:val="0"/>
              <w:spacing w:line="311" w:lineRule="exact"/>
              <w:ind w:left="89" w:right="61"/>
              <w:jc w:val="center"/>
              <w:rPr>
                <w:color w:val="auto"/>
                <w:sz w:val="25"/>
                <w:highlight w:val="none"/>
              </w:rPr>
            </w:pPr>
            <w:r>
              <w:rPr>
                <w:rFonts w:hint="eastAsia"/>
                <w:color w:val="auto"/>
                <w:sz w:val="25"/>
                <w:highlight w:val="none"/>
              </w:rPr>
              <w:t>（经理/总监/其他）</w:t>
            </w:r>
          </w:p>
        </w:tc>
        <w:tc>
          <w:tcPr>
            <w:tcW w:w="3967"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spacing w:before="9"/>
              <w:rPr>
                <w:color w:val="auto"/>
                <w:sz w:val="19"/>
                <w:highlight w:val="none"/>
              </w:rPr>
            </w:pPr>
          </w:p>
          <w:p>
            <w:pPr>
              <w:pStyle w:val="26"/>
              <w:kinsoku w:val="0"/>
              <w:overflowPunct w:val="0"/>
              <w:spacing w:before="1"/>
              <w:ind w:left="450"/>
              <w:rPr>
                <w:color w:val="auto"/>
                <w:sz w:val="25"/>
                <w:highlight w:val="none"/>
              </w:rPr>
            </w:pPr>
            <w:r>
              <w:rPr>
                <w:rFonts w:hint="eastAsia"/>
                <w:color w:val="auto"/>
                <w:sz w:val="25"/>
                <w:highlight w:val="none"/>
              </w:rPr>
              <w:t>项目负责人资质证号</w:t>
            </w:r>
          </w:p>
        </w:tc>
        <w:tc>
          <w:tcPr>
            <w:tcW w:w="4522"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r>
        <w:tblPrEx>
          <w:tblCellMar>
            <w:top w:w="0" w:type="dxa"/>
            <w:left w:w="108" w:type="dxa"/>
            <w:bottom w:w="0" w:type="dxa"/>
            <w:right w:w="108" w:type="dxa"/>
          </w:tblCellMar>
        </w:tblPrEx>
        <w:trPr>
          <w:trHeight w:val="791"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9"/>
              <w:rPr>
                <w:color w:val="auto"/>
                <w:sz w:val="19"/>
                <w:highlight w:val="none"/>
              </w:rPr>
            </w:pPr>
          </w:p>
          <w:p>
            <w:pPr>
              <w:pStyle w:val="26"/>
              <w:kinsoku w:val="0"/>
              <w:overflowPunct w:val="0"/>
              <w:ind w:left="89" w:right="58"/>
              <w:jc w:val="center"/>
              <w:rPr>
                <w:color w:val="auto"/>
                <w:sz w:val="25"/>
                <w:highlight w:val="none"/>
              </w:rPr>
            </w:pPr>
            <w:r>
              <w:rPr>
                <w:rFonts w:hint="eastAsia"/>
                <w:color w:val="auto"/>
                <w:sz w:val="25"/>
                <w:highlight w:val="none"/>
              </w:rPr>
              <w:t>安全员</w:t>
            </w:r>
          </w:p>
        </w:tc>
        <w:tc>
          <w:tcPr>
            <w:tcW w:w="3967"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spacing w:before="9"/>
              <w:rPr>
                <w:color w:val="auto"/>
                <w:sz w:val="19"/>
                <w:highlight w:val="none"/>
              </w:rPr>
            </w:pPr>
          </w:p>
          <w:p>
            <w:pPr>
              <w:pStyle w:val="26"/>
              <w:kinsoku w:val="0"/>
              <w:overflowPunct w:val="0"/>
              <w:ind w:left="450"/>
              <w:rPr>
                <w:color w:val="auto"/>
                <w:sz w:val="25"/>
                <w:highlight w:val="none"/>
              </w:rPr>
            </w:pPr>
            <w:r>
              <w:rPr>
                <w:rFonts w:hint="eastAsia"/>
                <w:color w:val="auto"/>
                <w:sz w:val="25"/>
                <w:highlight w:val="none"/>
              </w:rPr>
              <w:t>安全员安全考核证号</w:t>
            </w:r>
          </w:p>
        </w:tc>
        <w:tc>
          <w:tcPr>
            <w:tcW w:w="4522"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r>
        <w:tblPrEx>
          <w:tblCellMar>
            <w:top w:w="0" w:type="dxa"/>
            <w:left w:w="108" w:type="dxa"/>
            <w:bottom w:w="0" w:type="dxa"/>
            <w:right w:w="108" w:type="dxa"/>
          </w:tblCellMar>
        </w:tblPrEx>
        <w:trPr>
          <w:trHeight w:val="642"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spacing w:before="179"/>
              <w:ind w:left="89" w:right="58"/>
              <w:jc w:val="center"/>
              <w:rPr>
                <w:color w:val="auto"/>
                <w:sz w:val="25"/>
                <w:highlight w:val="none"/>
              </w:rPr>
            </w:pPr>
            <w:r>
              <w:rPr>
                <w:rFonts w:hint="eastAsia"/>
                <w:color w:val="auto"/>
                <w:sz w:val="25"/>
                <w:highlight w:val="none"/>
              </w:rPr>
              <w:t>保证书</w:t>
            </w:r>
          </w:p>
        </w:tc>
        <w:tc>
          <w:tcPr>
            <w:tcW w:w="11655" w:type="dxa"/>
            <w:gridSpan w:val="5"/>
            <w:tcBorders>
              <w:top w:val="single" w:color="000000" w:sz="8" w:space="0"/>
              <w:left w:val="single" w:color="000000" w:sz="8" w:space="0"/>
              <w:bottom w:val="single" w:color="000000" w:sz="8" w:space="0"/>
              <w:right w:val="single" w:color="000000" w:sz="8" w:space="0"/>
            </w:tcBorders>
          </w:tcPr>
          <w:p>
            <w:pPr>
              <w:pStyle w:val="26"/>
              <w:kinsoku w:val="0"/>
              <w:overflowPunct w:val="0"/>
              <w:spacing w:before="179"/>
              <w:ind w:left="326"/>
              <w:rPr>
                <w:color w:val="auto"/>
                <w:sz w:val="25"/>
                <w:highlight w:val="none"/>
              </w:rPr>
            </w:pPr>
            <w:r>
              <w:rPr>
                <w:rFonts w:hint="eastAsia"/>
                <w:color w:val="auto"/>
                <w:sz w:val="25"/>
                <w:highlight w:val="none"/>
              </w:rPr>
              <w:t>我公司保证该项目由本单位承包，不接受他人挂靠，不转包，不非法分包。如有违犯，责任自负。</w:t>
            </w:r>
          </w:p>
        </w:tc>
      </w:tr>
      <w:tr>
        <w:tblPrEx>
          <w:tblCellMar>
            <w:top w:w="0" w:type="dxa"/>
            <w:left w:w="108" w:type="dxa"/>
            <w:bottom w:w="0" w:type="dxa"/>
            <w:right w:w="108" w:type="dxa"/>
          </w:tblCellMar>
        </w:tblPrEx>
        <w:trPr>
          <w:trHeight w:val="510"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jc w:val="center"/>
              <w:rPr>
                <w:color w:val="auto"/>
                <w:highlight w:val="none"/>
              </w:rPr>
            </w:pPr>
          </w:p>
          <w:p>
            <w:pPr>
              <w:pStyle w:val="26"/>
              <w:kinsoku w:val="0"/>
              <w:overflowPunct w:val="0"/>
              <w:ind w:right="56"/>
              <w:jc w:val="center"/>
              <w:rPr>
                <w:color w:val="auto"/>
                <w:sz w:val="25"/>
                <w:highlight w:val="none"/>
              </w:rPr>
            </w:pPr>
            <w:r>
              <w:rPr>
                <w:rFonts w:hint="eastAsia"/>
                <w:color w:val="auto"/>
                <w:sz w:val="25"/>
                <w:highlight w:val="none"/>
              </w:rPr>
              <w:t>投标人盖章</w:t>
            </w:r>
          </w:p>
        </w:tc>
        <w:tc>
          <w:tcPr>
            <w:tcW w:w="3967" w:type="dxa"/>
            <w:tcBorders>
              <w:top w:val="single" w:color="000000" w:sz="8" w:space="0"/>
              <w:left w:val="single" w:color="000000" w:sz="8" w:space="0"/>
              <w:bottom w:val="single" w:color="000000" w:sz="8" w:space="0"/>
              <w:right w:val="single" w:color="000000" w:sz="8" w:space="0"/>
            </w:tcBorders>
          </w:tcPr>
          <w:p>
            <w:pPr>
              <w:pStyle w:val="26"/>
              <w:kinsoku w:val="0"/>
              <w:overflowPunct w:val="0"/>
              <w:jc w:val="center"/>
              <w:rPr>
                <w:color w:val="auto"/>
                <w:highlight w:val="none"/>
              </w:rPr>
            </w:pPr>
          </w:p>
        </w:tc>
        <w:tc>
          <w:tcPr>
            <w:tcW w:w="3166"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jc w:val="center"/>
              <w:rPr>
                <w:color w:val="auto"/>
                <w:highlight w:val="none"/>
              </w:rPr>
            </w:pPr>
          </w:p>
          <w:p>
            <w:pPr>
              <w:pStyle w:val="26"/>
              <w:kinsoku w:val="0"/>
              <w:overflowPunct w:val="0"/>
              <w:jc w:val="center"/>
              <w:rPr>
                <w:color w:val="auto"/>
                <w:sz w:val="25"/>
                <w:highlight w:val="none"/>
              </w:rPr>
            </w:pPr>
            <w:r>
              <w:rPr>
                <w:rFonts w:hint="eastAsia"/>
                <w:color w:val="auto"/>
                <w:sz w:val="25"/>
                <w:highlight w:val="none"/>
              </w:rPr>
              <w:t>法定代表人盖章</w:t>
            </w:r>
          </w:p>
        </w:tc>
        <w:tc>
          <w:tcPr>
            <w:tcW w:w="4522" w:type="dxa"/>
            <w:gridSpan w:val="2"/>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r>
        <w:tblPrEx>
          <w:tblCellMar>
            <w:top w:w="0" w:type="dxa"/>
            <w:left w:w="108" w:type="dxa"/>
            <w:bottom w:w="0" w:type="dxa"/>
            <w:right w:w="108" w:type="dxa"/>
          </w:tblCellMar>
        </w:tblPrEx>
        <w:trPr>
          <w:trHeight w:val="898" w:hRule="atLeast"/>
        </w:trPr>
        <w:tc>
          <w:tcPr>
            <w:tcW w:w="2643" w:type="dxa"/>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p>
            <w:pPr>
              <w:pStyle w:val="26"/>
              <w:kinsoku w:val="0"/>
              <w:overflowPunct w:val="0"/>
              <w:spacing w:before="157"/>
              <w:ind w:left="89" w:right="56"/>
              <w:jc w:val="center"/>
              <w:rPr>
                <w:color w:val="auto"/>
                <w:sz w:val="25"/>
                <w:highlight w:val="none"/>
              </w:rPr>
            </w:pPr>
            <w:r>
              <w:rPr>
                <w:rFonts w:hint="eastAsia"/>
                <w:color w:val="auto"/>
                <w:sz w:val="25"/>
                <w:highlight w:val="none"/>
              </w:rPr>
              <w:t>招标人意见</w:t>
            </w:r>
          </w:p>
        </w:tc>
        <w:tc>
          <w:tcPr>
            <w:tcW w:w="11655" w:type="dxa"/>
            <w:gridSpan w:val="5"/>
            <w:tcBorders>
              <w:top w:val="single" w:color="000000" w:sz="8" w:space="0"/>
              <w:left w:val="single" w:color="000000" w:sz="8" w:space="0"/>
              <w:bottom w:val="single" w:color="000000" w:sz="8" w:space="0"/>
              <w:right w:val="single" w:color="000000" w:sz="8" w:space="0"/>
            </w:tcBorders>
          </w:tcPr>
          <w:p>
            <w:pPr>
              <w:pStyle w:val="26"/>
              <w:kinsoku w:val="0"/>
              <w:overflowPunct w:val="0"/>
              <w:rPr>
                <w:color w:val="auto"/>
                <w:highlight w:val="none"/>
              </w:rPr>
            </w:pPr>
          </w:p>
        </w:tc>
      </w:tr>
    </w:tbl>
    <w:p>
      <w:pPr>
        <w:pStyle w:val="2"/>
        <w:kinsoku w:val="0"/>
        <w:overflowPunct w:val="0"/>
        <w:spacing w:before="78"/>
        <w:jc w:val="right"/>
        <w:rPr>
          <w:color w:val="auto"/>
          <w:sz w:val="23"/>
          <w:highlight w:val="none"/>
        </w:rPr>
      </w:pPr>
      <w:r>
        <w:rPr>
          <w:rFonts w:hint="eastAsia"/>
          <w:color w:val="auto"/>
          <w:sz w:val="23"/>
          <w:highlight w:val="none"/>
        </w:rPr>
        <w:t>广州交易集团有限公司（广州公共资源交易中心）</w:t>
      </w:r>
    </w:p>
    <w:p>
      <w:pPr>
        <w:pStyle w:val="27"/>
        <w:numPr>
          <w:ilvl w:val="0"/>
          <w:numId w:val="4"/>
        </w:numPr>
        <w:tabs>
          <w:tab w:val="left" w:pos="365"/>
        </w:tabs>
        <w:kinsoku w:val="0"/>
        <w:overflowPunct w:val="0"/>
        <w:spacing w:before="97"/>
        <w:ind w:firstLine="420"/>
        <w:rPr>
          <w:rFonts w:ascii="宋体" w:hAnsi="宋体" w:cs="宋体"/>
          <w:color w:val="auto"/>
          <w:highlight w:val="none"/>
        </w:rPr>
      </w:pPr>
      <w:r>
        <w:rPr>
          <w:rFonts w:hint="eastAsia" w:ascii="宋体" w:hAnsi="宋体" w:cs="宋体"/>
          <w:color w:val="auto"/>
          <w:highlight w:val="none"/>
        </w:rPr>
        <w:t>本表内容不允许涂改或增删。</w:t>
      </w:r>
    </w:p>
    <w:p>
      <w:pPr>
        <w:pStyle w:val="27"/>
        <w:numPr>
          <w:ilvl w:val="0"/>
          <w:numId w:val="4"/>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如项目没有划分标段时，标段号不必填写。</w:t>
      </w:r>
    </w:p>
    <w:p>
      <w:pPr>
        <w:pStyle w:val="27"/>
        <w:numPr>
          <w:ilvl w:val="0"/>
          <w:numId w:val="4"/>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如一个项目中划分多个标段时，应将所投标段的标段号及项目编号填写完整。</w:t>
      </w:r>
    </w:p>
    <w:p>
      <w:pPr>
        <w:pStyle w:val="27"/>
        <w:numPr>
          <w:ilvl w:val="0"/>
          <w:numId w:val="4"/>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如为联合体投标时，必须将联合体的所有成员单位的全称填写完整。</w:t>
      </w:r>
    </w:p>
    <w:p>
      <w:pPr>
        <w:pStyle w:val="27"/>
        <w:numPr>
          <w:ilvl w:val="0"/>
          <w:numId w:val="4"/>
        </w:numPr>
        <w:tabs>
          <w:tab w:val="left" w:pos="365"/>
        </w:tabs>
        <w:kinsoku w:val="0"/>
        <w:overflowPunct w:val="0"/>
        <w:ind w:firstLine="420"/>
        <w:rPr>
          <w:rFonts w:ascii="宋体" w:hAnsi="宋体" w:cs="宋体"/>
          <w:color w:val="auto"/>
          <w:highlight w:val="none"/>
        </w:rPr>
      </w:pPr>
      <w:r>
        <w:rPr>
          <w:rFonts w:hint="eastAsia" w:ascii="宋体" w:hAnsi="宋体" w:cs="宋体"/>
          <w:color w:val="auto"/>
          <w:highlight w:val="none"/>
        </w:rPr>
        <w:t>本表由招标人保存。</w:t>
      </w:r>
    </w:p>
    <w:p>
      <w:pPr>
        <w:pStyle w:val="27"/>
        <w:numPr>
          <w:ilvl w:val="0"/>
          <w:numId w:val="4"/>
        </w:numPr>
        <w:tabs>
          <w:tab w:val="left" w:pos="365"/>
        </w:tabs>
        <w:kinsoku w:val="0"/>
        <w:overflowPunct w:val="0"/>
        <w:ind w:firstLine="420"/>
        <w:rPr>
          <w:rFonts w:ascii="宋体" w:hAnsi="宋体" w:cs="宋体"/>
          <w:b/>
          <w:bCs/>
          <w:color w:val="auto"/>
          <w:sz w:val="36"/>
          <w:szCs w:val="36"/>
          <w:highlight w:val="none"/>
        </w:rPr>
      </w:pPr>
      <w:r>
        <w:rPr>
          <w:rFonts w:hint="eastAsia" w:ascii="宋体" w:hAnsi="宋体" w:cs="宋体"/>
          <w:color w:val="auto"/>
          <w:highlight w:val="none"/>
        </w:rPr>
        <w:t>本表可在广州交易集团有限公司（广州公共资源交易中心）网站下载。</w:t>
      </w:r>
    </w:p>
    <w:p>
      <w:pPr>
        <w:pStyle w:val="28"/>
        <w:rPr>
          <w:rFonts w:ascii="宋体" w:hAnsi="宋体" w:cs="宋体"/>
          <w:color w:val="auto"/>
          <w:highlight w:val="none"/>
        </w:rPr>
      </w:pPr>
    </w:p>
    <w:p>
      <w:pPr>
        <w:rPr>
          <w:rFonts w:ascii="宋体" w:hAnsi="宋体" w:cs="宋体"/>
          <w:b/>
          <w:bCs/>
          <w:color w:val="auto"/>
          <w:sz w:val="36"/>
          <w:szCs w:val="36"/>
          <w:highlight w:val="none"/>
        </w:rPr>
      </w:pPr>
      <w:r>
        <w:rPr>
          <w:rFonts w:hint="eastAsia" w:ascii="宋体" w:hAnsi="宋体" w:cs="宋体"/>
          <w:b/>
          <w:bCs/>
          <w:color w:val="auto"/>
          <w:sz w:val="36"/>
          <w:szCs w:val="36"/>
          <w:highlight w:val="none"/>
        </w:rPr>
        <w:t>附件5</w:t>
      </w:r>
    </w:p>
    <w:p>
      <w:pPr>
        <w:pStyle w:val="28"/>
        <w:rPr>
          <w:rFonts w:ascii="宋体" w:hAnsi="宋体" w:cs="宋体"/>
          <w:bCs/>
          <w:color w:val="auto"/>
          <w:sz w:val="36"/>
          <w:szCs w:val="36"/>
          <w:highlight w:val="none"/>
        </w:rPr>
      </w:pPr>
      <w:r>
        <w:rPr>
          <w:rFonts w:hint="eastAsia" w:ascii="宋体" w:hAnsi="宋体" w:cs="宋体"/>
          <w:bCs/>
          <w:color w:val="auto"/>
          <w:sz w:val="36"/>
          <w:szCs w:val="36"/>
          <w:highlight w:val="none"/>
        </w:rPr>
        <w:t>招标文件领取登记表</w:t>
      </w:r>
    </w:p>
    <w:p>
      <w:pPr>
        <w:pStyle w:val="28"/>
        <w:rPr>
          <w:rFonts w:ascii="宋体" w:hAnsi="宋体" w:cs="宋体"/>
          <w:bCs/>
          <w:color w:val="auto"/>
          <w:sz w:val="36"/>
          <w:szCs w:val="36"/>
          <w:highlight w:val="none"/>
        </w:rPr>
      </w:pPr>
    </w:p>
    <w:tbl>
      <w:tblPr>
        <w:tblStyle w:val="13"/>
        <w:tblW w:w="14144"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92"/>
        <w:gridCol w:w="1930"/>
        <w:gridCol w:w="2390"/>
        <w:gridCol w:w="3030"/>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544" w:type="dxa"/>
            <w:gridSpan w:val="2"/>
            <w:vAlign w:val="center"/>
          </w:tcPr>
          <w:p>
            <w:pPr>
              <w:tabs>
                <w:tab w:val="left" w:pos="765"/>
              </w:tabs>
              <w:spacing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招标项目编号</w:t>
            </w:r>
          </w:p>
        </w:tc>
        <w:tc>
          <w:tcPr>
            <w:tcW w:w="4320" w:type="dxa"/>
            <w:gridSpan w:val="2"/>
            <w:vAlign w:val="center"/>
          </w:tcPr>
          <w:p>
            <w:pPr>
              <w:tabs>
                <w:tab w:val="left" w:pos="765"/>
              </w:tabs>
              <w:spacing w:line="460" w:lineRule="exact"/>
              <w:jc w:val="center"/>
              <w:rPr>
                <w:rFonts w:ascii="宋体" w:hAnsi="宋体" w:cs="宋体"/>
                <w:color w:val="auto"/>
                <w:sz w:val="28"/>
                <w:szCs w:val="28"/>
                <w:highlight w:val="none"/>
              </w:rPr>
            </w:pPr>
          </w:p>
        </w:tc>
        <w:tc>
          <w:tcPr>
            <w:tcW w:w="3030" w:type="dxa"/>
            <w:vAlign w:val="center"/>
          </w:tcPr>
          <w:p>
            <w:pPr>
              <w:tabs>
                <w:tab w:val="left" w:pos="765"/>
              </w:tabs>
              <w:spacing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投标登记时间</w:t>
            </w:r>
          </w:p>
        </w:tc>
        <w:tc>
          <w:tcPr>
            <w:tcW w:w="3250" w:type="dxa"/>
            <w:vAlign w:val="center"/>
          </w:tcPr>
          <w:p>
            <w:pPr>
              <w:tabs>
                <w:tab w:val="left" w:pos="765"/>
              </w:tabs>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2024年 月  日  时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544" w:type="dxa"/>
            <w:gridSpan w:val="2"/>
            <w:vAlign w:val="center"/>
          </w:tcPr>
          <w:p>
            <w:pPr>
              <w:tabs>
                <w:tab w:val="left" w:pos="765"/>
              </w:tabs>
              <w:spacing w:line="46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招标项目名称</w:t>
            </w:r>
          </w:p>
        </w:tc>
        <w:tc>
          <w:tcPr>
            <w:tcW w:w="10600" w:type="dxa"/>
            <w:gridSpan w:val="4"/>
            <w:vAlign w:val="center"/>
          </w:tcPr>
          <w:p>
            <w:pPr>
              <w:jc w:val="center"/>
              <w:rPr>
                <w:rFonts w:ascii="宋体" w:hAnsi="宋体" w:cs="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2" w:type="dxa"/>
            <w:vMerge w:val="restart"/>
            <w:textDirection w:val="tbRlV"/>
            <w:vAlign w:val="center"/>
          </w:tcPr>
          <w:p>
            <w:pPr>
              <w:tabs>
                <w:tab w:val="left" w:pos="765"/>
              </w:tabs>
              <w:spacing w:line="276" w:lineRule="auto"/>
              <w:ind w:left="113" w:right="113"/>
              <w:jc w:val="center"/>
              <w:rPr>
                <w:rFonts w:ascii="宋体" w:hAnsi="宋体" w:cs="宋体"/>
                <w:color w:val="auto"/>
                <w:sz w:val="28"/>
                <w:szCs w:val="28"/>
                <w:highlight w:val="none"/>
              </w:rPr>
            </w:pPr>
            <w:r>
              <w:rPr>
                <w:rFonts w:hint="eastAsia" w:ascii="宋体" w:hAnsi="宋体" w:cs="宋体"/>
                <w:color w:val="auto"/>
                <w:sz w:val="28"/>
                <w:szCs w:val="28"/>
                <w:highlight w:val="none"/>
              </w:rPr>
              <w:t>投 标 人 资 料</w:t>
            </w:r>
          </w:p>
        </w:tc>
        <w:tc>
          <w:tcPr>
            <w:tcW w:w="2592" w:type="dxa"/>
            <w:vAlign w:val="center"/>
          </w:tcPr>
          <w:p>
            <w:pPr>
              <w:tabs>
                <w:tab w:val="left" w:pos="765"/>
              </w:tabs>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投标人名称</w:t>
            </w:r>
          </w:p>
        </w:tc>
        <w:tc>
          <w:tcPr>
            <w:tcW w:w="4320" w:type="dxa"/>
            <w:gridSpan w:val="2"/>
            <w:vAlign w:val="center"/>
          </w:tcPr>
          <w:p>
            <w:pPr>
              <w:tabs>
                <w:tab w:val="left" w:pos="765"/>
              </w:tabs>
              <w:spacing w:line="500" w:lineRule="exact"/>
              <w:jc w:val="center"/>
              <w:rPr>
                <w:rFonts w:ascii="宋体" w:hAnsi="宋体" w:cs="宋体"/>
                <w:color w:val="auto"/>
                <w:sz w:val="28"/>
                <w:szCs w:val="28"/>
                <w:highlight w:val="none"/>
              </w:rPr>
            </w:pPr>
          </w:p>
        </w:tc>
        <w:tc>
          <w:tcPr>
            <w:tcW w:w="3030" w:type="dxa"/>
            <w:vAlign w:val="center"/>
          </w:tcPr>
          <w:p>
            <w:pPr>
              <w:tabs>
                <w:tab w:val="left" w:pos="765"/>
              </w:tabs>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p>
        </w:tc>
        <w:tc>
          <w:tcPr>
            <w:tcW w:w="3250" w:type="dxa"/>
            <w:vAlign w:val="center"/>
          </w:tcPr>
          <w:p>
            <w:pPr>
              <w:tabs>
                <w:tab w:val="left" w:pos="765"/>
              </w:tabs>
              <w:spacing w:line="50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2" w:type="dxa"/>
            <w:vMerge w:val="continue"/>
            <w:textDirection w:val="tbRlV"/>
            <w:vAlign w:val="center"/>
          </w:tcPr>
          <w:p>
            <w:pPr>
              <w:tabs>
                <w:tab w:val="left" w:pos="765"/>
              </w:tabs>
              <w:spacing w:line="276" w:lineRule="auto"/>
              <w:ind w:left="113" w:right="113"/>
              <w:jc w:val="center"/>
              <w:rPr>
                <w:rFonts w:ascii="宋体" w:hAnsi="宋体" w:cs="宋体"/>
                <w:color w:val="auto"/>
                <w:sz w:val="28"/>
                <w:szCs w:val="28"/>
                <w:highlight w:val="none"/>
              </w:rPr>
            </w:pPr>
          </w:p>
        </w:tc>
        <w:tc>
          <w:tcPr>
            <w:tcW w:w="2592" w:type="dxa"/>
            <w:vAlign w:val="center"/>
          </w:tcPr>
          <w:p>
            <w:pPr>
              <w:tabs>
                <w:tab w:val="left" w:pos="765"/>
              </w:tabs>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联系地址</w:t>
            </w:r>
          </w:p>
        </w:tc>
        <w:tc>
          <w:tcPr>
            <w:tcW w:w="4320" w:type="dxa"/>
            <w:gridSpan w:val="2"/>
            <w:vAlign w:val="center"/>
          </w:tcPr>
          <w:p>
            <w:pPr>
              <w:tabs>
                <w:tab w:val="left" w:pos="765"/>
              </w:tabs>
              <w:spacing w:line="500" w:lineRule="exact"/>
              <w:jc w:val="center"/>
              <w:rPr>
                <w:rFonts w:ascii="宋体" w:hAnsi="宋体" w:cs="宋体"/>
                <w:color w:val="auto"/>
                <w:sz w:val="28"/>
                <w:szCs w:val="28"/>
                <w:highlight w:val="none"/>
              </w:rPr>
            </w:pPr>
          </w:p>
        </w:tc>
        <w:tc>
          <w:tcPr>
            <w:tcW w:w="3030" w:type="dxa"/>
            <w:vAlign w:val="center"/>
          </w:tcPr>
          <w:p>
            <w:pPr>
              <w:tabs>
                <w:tab w:val="left" w:pos="765"/>
              </w:tabs>
              <w:spacing w:line="5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统一社会信用代码</w:t>
            </w:r>
          </w:p>
        </w:tc>
        <w:tc>
          <w:tcPr>
            <w:tcW w:w="3250" w:type="dxa"/>
            <w:vAlign w:val="center"/>
          </w:tcPr>
          <w:p>
            <w:pPr>
              <w:tabs>
                <w:tab w:val="left" w:pos="765"/>
              </w:tabs>
              <w:spacing w:line="50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52" w:type="dxa"/>
            <w:vMerge w:val="continue"/>
            <w:vAlign w:val="center"/>
          </w:tcPr>
          <w:p>
            <w:pPr>
              <w:tabs>
                <w:tab w:val="left" w:pos="765"/>
              </w:tabs>
              <w:spacing w:line="276" w:lineRule="auto"/>
              <w:jc w:val="center"/>
              <w:rPr>
                <w:rFonts w:ascii="宋体" w:hAnsi="宋体" w:cs="宋体"/>
                <w:color w:val="auto"/>
                <w:sz w:val="28"/>
                <w:szCs w:val="28"/>
                <w:highlight w:val="none"/>
              </w:rPr>
            </w:pPr>
          </w:p>
        </w:tc>
        <w:tc>
          <w:tcPr>
            <w:tcW w:w="2592"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领取资料组成</w:t>
            </w:r>
          </w:p>
        </w:tc>
        <w:tc>
          <w:tcPr>
            <w:tcW w:w="4320" w:type="dxa"/>
            <w:gridSpan w:val="2"/>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招标文件、工程量清单和图纸</w:t>
            </w:r>
          </w:p>
        </w:tc>
        <w:tc>
          <w:tcPr>
            <w:tcW w:w="3030"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是否提交登记书面文件</w:t>
            </w:r>
          </w:p>
        </w:tc>
        <w:tc>
          <w:tcPr>
            <w:tcW w:w="3250" w:type="dxa"/>
            <w:vAlign w:val="center"/>
          </w:tcPr>
          <w:p>
            <w:pPr>
              <w:tabs>
                <w:tab w:val="left" w:pos="765"/>
              </w:tabs>
              <w:spacing w:line="276"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52" w:type="dxa"/>
            <w:vMerge w:val="continue"/>
            <w:vAlign w:val="center"/>
          </w:tcPr>
          <w:p>
            <w:pPr>
              <w:tabs>
                <w:tab w:val="left" w:pos="765"/>
              </w:tabs>
              <w:spacing w:line="276" w:lineRule="auto"/>
              <w:jc w:val="center"/>
              <w:rPr>
                <w:rFonts w:ascii="宋体" w:hAnsi="宋体" w:cs="宋体"/>
                <w:color w:val="auto"/>
                <w:sz w:val="28"/>
                <w:szCs w:val="28"/>
                <w:highlight w:val="none"/>
              </w:rPr>
            </w:pPr>
          </w:p>
        </w:tc>
        <w:tc>
          <w:tcPr>
            <w:tcW w:w="2592" w:type="dxa"/>
            <w:vMerge w:val="restart"/>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经办人信息</w:t>
            </w:r>
          </w:p>
        </w:tc>
        <w:tc>
          <w:tcPr>
            <w:tcW w:w="1930"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经办人姓名</w:t>
            </w:r>
          </w:p>
        </w:tc>
        <w:tc>
          <w:tcPr>
            <w:tcW w:w="2390"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手机号码</w:t>
            </w:r>
          </w:p>
        </w:tc>
        <w:tc>
          <w:tcPr>
            <w:tcW w:w="3030"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电子邮箱</w:t>
            </w:r>
          </w:p>
        </w:tc>
        <w:tc>
          <w:tcPr>
            <w:tcW w:w="3250" w:type="dxa"/>
            <w:vAlign w:val="center"/>
          </w:tcPr>
          <w:p>
            <w:pPr>
              <w:tabs>
                <w:tab w:val="left" w:pos="765"/>
              </w:tabs>
              <w:spacing w:line="276"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52" w:type="dxa"/>
            <w:vMerge w:val="continue"/>
            <w:vAlign w:val="center"/>
          </w:tcPr>
          <w:p>
            <w:pPr>
              <w:tabs>
                <w:tab w:val="left" w:pos="765"/>
              </w:tabs>
              <w:spacing w:line="276" w:lineRule="auto"/>
              <w:jc w:val="center"/>
              <w:rPr>
                <w:rFonts w:ascii="宋体" w:hAnsi="宋体" w:cs="宋体"/>
                <w:color w:val="auto"/>
                <w:sz w:val="28"/>
                <w:szCs w:val="28"/>
                <w:highlight w:val="none"/>
              </w:rPr>
            </w:pPr>
          </w:p>
        </w:tc>
        <w:tc>
          <w:tcPr>
            <w:tcW w:w="2592" w:type="dxa"/>
            <w:vMerge w:val="continue"/>
            <w:vAlign w:val="center"/>
          </w:tcPr>
          <w:p>
            <w:pPr>
              <w:tabs>
                <w:tab w:val="left" w:pos="765"/>
              </w:tabs>
              <w:spacing w:line="276" w:lineRule="auto"/>
              <w:jc w:val="center"/>
              <w:rPr>
                <w:rFonts w:ascii="宋体" w:hAnsi="宋体" w:cs="宋体"/>
                <w:color w:val="auto"/>
                <w:sz w:val="28"/>
                <w:szCs w:val="28"/>
                <w:highlight w:val="none"/>
              </w:rPr>
            </w:pPr>
          </w:p>
        </w:tc>
        <w:tc>
          <w:tcPr>
            <w:tcW w:w="1930" w:type="dxa"/>
            <w:vAlign w:val="center"/>
          </w:tcPr>
          <w:p>
            <w:pPr>
              <w:tabs>
                <w:tab w:val="left" w:pos="765"/>
              </w:tabs>
              <w:spacing w:line="276" w:lineRule="auto"/>
              <w:jc w:val="center"/>
              <w:rPr>
                <w:rFonts w:ascii="宋体" w:hAnsi="宋体" w:cs="宋体"/>
                <w:color w:val="auto"/>
                <w:sz w:val="28"/>
                <w:szCs w:val="28"/>
                <w:highlight w:val="none"/>
              </w:rPr>
            </w:pPr>
          </w:p>
        </w:tc>
        <w:tc>
          <w:tcPr>
            <w:tcW w:w="2390" w:type="dxa"/>
            <w:vAlign w:val="center"/>
          </w:tcPr>
          <w:p>
            <w:pPr>
              <w:tabs>
                <w:tab w:val="left" w:pos="765"/>
              </w:tabs>
              <w:spacing w:line="276" w:lineRule="auto"/>
              <w:jc w:val="center"/>
              <w:rPr>
                <w:rFonts w:ascii="宋体" w:hAnsi="宋体" w:cs="宋体"/>
                <w:color w:val="auto"/>
                <w:sz w:val="28"/>
                <w:szCs w:val="28"/>
                <w:highlight w:val="none"/>
              </w:rPr>
            </w:pPr>
          </w:p>
        </w:tc>
        <w:tc>
          <w:tcPr>
            <w:tcW w:w="3030" w:type="dxa"/>
            <w:vAlign w:val="center"/>
          </w:tcPr>
          <w:p>
            <w:pPr>
              <w:tabs>
                <w:tab w:val="left" w:pos="765"/>
              </w:tabs>
              <w:spacing w:line="276" w:lineRule="auto"/>
              <w:jc w:val="center"/>
              <w:rPr>
                <w:rFonts w:ascii="宋体" w:hAnsi="宋体" w:cs="宋体"/>
                <w:color w:val="auto"/>
                <w:sz w:val="28"/>
                <w:szCs w:val="28"/>
                <w:highlight w:val="none"/>
              </w:rPr>
            </w:pPr>
          </w:p>
        </w:tc>
        <w:tc>
          <w:tcPr>
            <w:tcW w:w="3250" w:type="dxa"/>
            <w:vAlign w:val="center"/>
          </w:tcPr>
          <w:p>
            <w:pPr>
              <w:tabs>
                <w:tab w:val="left" w:pos="765"/>
              </w:tabs>
              <w:spacing w:line="276" w:lineRule="auto"/>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2" w:type="dxa"/>
            <w:vAlign w:val="center"/>
          </w:tcPr>
          <w:p>
            <w:pPr>
              <w:tabs>
                <w:tab w:val="left" w:pos="765"/>
              </w:tabs>
              <w:jc w:val="center"/>
              <w:rPr>
                <w:rFonts w:ascii="宋体" w:hAnsi="宋体" w:cs="宋体"/>
                <w:color w:val="auto"/>
                <w:sz w:val="28"/>
                <w:szCs w:val="28"/>
                <w:highlight w:val="none"/>
              </w:rPr>
            </w:pPr>
            <w:r>
              <w:rPr>
                <w:rFonts w:hint="eastAsia" w:ascii="宋体" w:hAnsi="宋体" w:cs="宋体"/>
                <w:color w:val="auto"/>
                <w:sz w:val="28"/>
                <w:szCs w:val="28"/>
                <w:highlight w:val="none"/>
              </w:rPr>
              <w:t>备注</w:t>
            </w:r>
          </w:p>
        </w:tc>
        <w:tc>
          <w:tcPr>
            <w:tcW w:w="13192" w:type="dxa"/>
            <w:gridSpan w:val="5"/>
            <w:vAlign w:val="center"/>
          </w:tcPr>
          <w:p>
            <w:pPr>
              <w:tabs>
                <w:tab w:val="left" w:pos="-96"/>
              </w:tabs>
              <w:rPr>
                <w:rFonts w:ascii="宋体" w:hAnsi="宋体" w:cs="宋体"/>
                <w:color w:val="auto"/>
                <w:sz w:val="28"/>
                <w:szCs w:val="28"/>
                <w:highlight w:val="none"/>
              </w:rPr>
            </w:pPr>
          </w:p>
        </w:tc>
      </w:tr>
    </w:tbl>
    <w:p>
      <w:pPr>
        <w:pStyle w:val="19"/>
        <w:spacing w:line="360" w:lineRule="auto"/>
        <w:rPr>
          <w:rFonts w:ascii="宋体" w:hAnsi="宋体" w:eastAsia="宋体" w:cs="宋体"/>
          <w:color w:val="auto"/>
          <w:highlight w:val="none"/>
        </w:rPr>
        <w:sectPr>
          <w:pgSz w:w="16838" w:h="11900" w:orient="landscape"/>
          <w:pgMar w:top="1417" w:right="1417" w:bottom="1417" w:left="1417" w:header="0" w:footer="669" w:gutter="0"/>
          <w:cols w:space="720" w:num="1"/>
        </w:sectPr>
      </w:pPr>
      <w:bookmarkStart w:id="14" w:name="_GoBack"/>
      <w:bookmarkEnd w:id="14"/>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方正宋三简体">
    <w:altName w:val="宋体"/>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Sylfaen">
    <w:panose1 w:val="010A0502050306030303"/>
    <w:charset w:val="00"/>
    <w:family w:val="roman"/>
    <w:pitch w:val="default"/>
    <w:sig w:usb0="04000687" w:usb1="00000000" w:usb2="00000000" w:usb3="00000000" w:csb0="2000009F" w:csb1="00000000"/>
  </w:font>
  <w:font w:name="MingLiU_HKSCS">
    <w:altName w:val="PMingLiU-ExtB"/>
    <w:panose1 w:val="000000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9"/>
                            <w:rPr>
                              <w:rStyle w:val="15"/>
                            </w:rPr>
                          </w:pPr>
                          <w:r>
                            <w:rPr>
                              <w:rStyle w:val="15"/>
                            </w:rPr>
                            <w:fldChar w:fldCharType="begin"/>
                          </w:r>
                          <w:r>
                            <w:rPr>
                              <w:rStyle w:val="15"/>
                            </w:rPr>
                            <w:instrText xml:space="preserve"> PAGE  \* MERGEFORMAT </w:instrText>
                          </w:r>
                          <w:r>
                            <w:rPr>
                              <w:rStyle w:val="15"/>
                            </w:rPr>
                            <w:fldChar w:fldCharType="separate"/>
                          </w:r>
                          <w:r>
                            <w:rPr>
                              <w:rStyle w:val="15"/>
                            </w:rPr>
                            <w:t>1</w:t>
                          </w:r>
                          <w:r>
                            <w:rPr>
                              <w:rStyle w:val="15"/>
                            </w:rPr>
                            <w:fldChar w:fldCharType="end"/>
                          </w:r>
                        </w:p>
                      </w:txbxContent>
                    </wps:txbx>
                    <wps:bodyPr vert="horz" wrap="none" lIns="0" tIns="0" rIns="0" bIns="0" anchor="t" anchorCtr="0">
                      <a:spAutoFit/>
                    </wps:bodyPr>
                  </wps:wsp>
                </a:graphicData>
              </a:graphic>
            </wp:anchor>
          </w:drawing>
        </mc:Choice>
        <mc:Fallback>
          <w:pict>
            <v:shape id="文本框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VAN99tsBAACuAwAADgAAAAAAAAAB&#10;ACAAAAAfAQAAZHJzL2Uyb0RvYy54bWxQSwUGAAAAAAYABgBZAQAAbAUAAAAA&#10;">
              <v:fill on="f" focussize="0,0"/>
              <v:stroke on="f"/>
              <v:imagedata o:title=""/>
              <o:lock v:ext="edit" aspectratio="f"/>
              <v:textbox inset="0mm,0mm,0mm,0mm" style="mso-fit-shape-to-text:t;">
                <w:txbxContent>
                  <w:p>
                    <w:pPr>
                      <w:pStyle w:val="9"/>
                      <w:rPr>
                        <w:rStyle w:val="15"/>
                      </w:rPr>
                    </w:pPr>
                    <w:r>
                      <w:rPr>
                        <w:rStyle w:val="15"/>
                      </w:rPr>
                      <w:fldChar w:fldCharType="begin"/>
                    </w:r>
                    <w:r>
                      <w:rPr>
                        <w:rStyle w:val="15"/>
                      </w:rPr>
                      <w:instrText xml:space="preserve"> PAGE  \* MERGEFORMAT </w:instrText>
                    </w:r>
                    <w:r>
                      <w:rPr>
                        <w:rStyle w:val="15"/>
                      </w:rPr>
                      <w:fldChar w:fldCharType="separate"/>
                    </w:r>
                    <w:r>
                      <w:rPr>
                        <w:rStyle w:val="15"/>
                      </w:rPr>
                      <w:t>1</w:t>
                    </w:r>
                    <w:r>
                      <w:rPr>
                        <w:rStyle w:val="15"/>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1"/>
        <w:adjustRightInd w:val="0"/>
        <w:ind w:left="180" w:hanging="180" w:hangingChars="100"/>
        <w:jc w:val="both"/>
        <w:textAlignment w:val="baseline"/>
        <w:rPr>
          <w:rFonts w:cs="宋体"/>
        </w:rPr>
      </w:pPr>
      <w:r>
        <w:rPr>
          <w:rStyle w:val="17"/>
          <w:rFonts w:hint="eastAsia" w:ascii="Times New Roman" w:hAnsi="Times New Roman"/>
        </w:rPr>
        <w:footnoteRef/>
      </w:r>
      <w:r>
        <w:rPr>
          <w:rFonts w:hint="eastAsia" w:cs="宋体"/>
        </w:rPr>
        <w:t>本款适用于招标人要求按附录6、附录7资格审查条件的要求进行</w:t>
      </w:r>
      <w:r>
        <w:rPr>
          <w:rFonts w:hint="eastAsia"/>
        </w:rPr>
        <w:t>填报的</w:t>
      </w:r>
      <w:r>
        <w:rPr>
          <w:rFonts w:hint="eastAsia" w:cs="宋体"/>
        </w:rPr>
        <w:t>情况。</w:t>
      </w:r>
    </w:p>
  </w:footnote>
  <w:footnote w:id="1">
    <w:p>
      <w:pPr>
        <w:pStyle w:val="11"/>
        <w:adjustRightInd w:val="0"/>
        <w:textAlignment w:val="baseline"/>
      </w:pPr>
      <w:r>
        <w:rPr>
          <w:rStyle w:val="17"/>
        </w:rPr>
        <w:footnoteRef/>
      </w:r>
      <w:r>
        <w:rPr>
          <w:rFonts w:hint="eastAsia"/>
        </w:rPr>
        <w:t>仅适用于允许联合体投标的情形。</w:t>
      </w:r>
    </w:p>
  </w:footnote>
  <w:footnote w:id="2">
    <w:p>
      <w:pPr>
        <w:pStyle w:val="11"/>
        <w:spacing w:line="240" w:lineRule="atLeast"/>
      </w:pPr>
      <w:r>
        <w:rPr>
          <w:rStyle w:val="17"/>
        </w:rPr>
        <w:footnoteRef/>
      </w:r>
      <w:r>
        <w:rPr>
          <w:rFonts w:hint="eastAsia"/>
        </w:rPr>
        <w:t>本条内容供招标人自行选择是否设置，下同。</w:t>
      </w:r>
    </w:p>
  </w:footnote>
  <w:footnote w:id="3">
    <w:p>
      <w:pPr>
        <w:pStyle w:val="11"/>
        <w:spacing w:line="240" w:lineRule="atLeast"/>
      </w:pPr>
      <w:r>
        <w:rPr>
          <w:rStyle w:val="17"/>
        </w:rPr>
        <w:footnoteRef/>
      </w:r>
      <w:r>
        <w:rPr>
          <w:rFonts w:hint="eastAsia" w:cs="宋体"/>
        </w:rPr>
        <w:t>本条内容所指的行政处罚和正式约谈是指本范本施行之日起发生的行政处罚和正式约谈。其中：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 w:id="4">
    <w:p>
      <w:pPr>
        <w:pStyle w:val="11"/>
        <w:rPr>
          <w:sz w:val="21"/>
          <w:szCs w:val="21"/>
        </w:rPr>
      </w:pPr>
      <w:r>
        <w:rPr>
          <w:rStyle w:val="17"/>
          <w:sz w:val="21"/>
          <w:szCs w:val="21"/>
        </w:rPr>
        <w:footnoteRef/>
      </w:r>
      <w:r>
        <w:rPr>
          <w:rFonts w:hint="eastAsia"/>
          <w:sz w:val="21"/>
          <w:szCs w:val="21"/>
        </w:rPr>
        <w:t>如本项目招标采用第二章“投标人须知”第3.2.1项(2)目规定的由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3.4.2项和第3.4.3项的规定对投标报价进行修正，第3.4.2项至第3.4.5项内容不适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364" w:hanging="217"/>
      </w:pPr>
      <w:rPr>
        <w:rFonts w:hint="eastAsia" w:ascii="宋体" w:hAnsi="宋体" w:eastAsia="宋体"/>
        <w:w w:val="102"/>
        <w:sz w:val="19"/>
        <w:u w:val="none"/>
      </w:rPr>
    </w:lvl>
    <w:lvl w:ilvl="1" w:tentative="0">
      <w:start w:val="1"/>
      <w:numFmt w:val="bullet"/>
      <w:lvlText w:val="•"/>
      <w:lvlJc w:val="left"/>
      <w:pPr>
        <w:ind w:left="1745" w:hanging="217"/>
      </w:pPr>
      <w:rPr>
        <w:rFonts w:hint="default"/>
        <w:u w:val="none"/>
      </w:rPr>
    </w:lvl>
    <w:lvl w:ilvl="2" w:tentative="0">
      <w:start w:val="1"/>
      <w:numFmt w:val="bullet"/>
      <w:lvlText w:val="•"/>
      <w:lvlJc w:val="left"/>
      <w:pPr>
        <w:ind w:left="3131" w:hanging="217"/>
      </w:pPr>
      <w:rPr>
        <w:rFonts w:hint="default"/>
        <w:u w:val="none"/>
      </w:rPr>
    </w:lvl>
    <w:lvl w:ilvl="3" w:tentative="0">
      <w:start w:val="1"/>
      <w:numFmt w:val="bullet"/>
      <w:lvlText w:val="•"/>
      <w:lvlJc w:val="left"/>
      <w:pPr>
        <w:ind w:left="4517" w:hanging="217"/>
      </w:pPr>
      <w:rPr>
        <w:rFonts w:hint="default"/>
        <w:u w:val="none"/>
      </w:rPr>
    </w:lvl>
    <w:lvl w:ilvl="4" w:tentative="0">
      <w:start w:val="1"/>
      <w:numFmt w:val="bullet"/>
      <w:lvlText w:val="•"/>
      <w:lvlJc w:val="left"/>
      <w:pPr>
        <w:ind w:left="5902" w:hanging="217"/>
      </w:pPr>
      <w:rPr>
        <w:rFonts w:hint="default"/>
        <w:u w:val="none"/>
      </w:rPr>
    </w:lvl>
    <w:lvl w:ilvl="5" w:tentative="0">
      <w:start w:val="1"/>
      <w:numFmt w:val="bullet"/>
      <w:lvlText w:val="•"/>
      <w:lvlJc w:val="left"/>
      <w:pPr>
        <w:ind w:left="7288" w:hanging="217"/>
      </w:pPr>
      <w:rPr>
        <w:rFonts w:hint="default"/>
        <w:u w:val="none"/>
      </w:rPr>
    </w:lvl>
    <w:lvl w:ilvl="6" w:tentative="0">
      <w:start w:val="1"/>
      <w:numFmt w:val="bullet"/>
      <w:lvlText w:val="•"/>
      <w:lvlJc w:val="left"/>
      <w:pPr>
        <w:ind w:left="8674" w:hanging="217"/>
      </w:pPr>
      <w:rPr>
        <w:rFonts w:hint="default"/>
        <w:u w:val="none"/>
      </w:rPr>
    </w:lvl>
    <w:lvl w:ilvl="7" w:tentative="0">
      <w:start w:val="1"/>
      <w:numFmt w:val="bullet"/>
      <w:lvlText w:val="•"/>
      <w:lvlJc w:val="left"/>
      <w:pPr>
        <w:ind w:left="10059" w:hanging="217"/>
      </w:pPr>
      <w:rPr>
        <w:rFonts w:hint="default"/>
        <w:u w:val="none"/>
      </w:rPr>
    </w:lvl>
    <w:lvl w:ilvl="8" w:tentative="0">
      <w:start w:val="1"/>
      <w:numFmt w:val="bullet"/>
      <w:lvlText w:val="•"/>
      <w:lvlJc w:val="left"/>
      <w:pPr>
        <w:ind w:left="11445" w:hanging="217"/>
      </w:pPr>
      <w:rPr>
        <w:rFonts w:hint="default"/>
        <w:u w:val="none"/>
      </w:rPr>
    </w:lvl>
  </w:abstractNum>
  <w:abstractNum w:abstractNumId="1">
    <w:nsid w:val="1A085AF1"/>
    <w:multiLevelType w:val="multilevel"/>
    <w:tmpl w:val="1A085AF1"/>
    <w:lvl w:ilvl="0"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1"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2"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3"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4"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5"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6"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7"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8"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abstractNum>
  <w:abstractNum w:abstractNumId="2">
    <w:nsid w:val="38FA074C"/>
    <w:multiLevelType w:val="multilevel"/>
    <w:tmpl w:val="38FA074C"/>
    <w:lvl w:ilvl="0"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1"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2"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3"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4"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5"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6"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7"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8"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abstractNum>
  <w:abstractNum w:abstractNumId="3">
    <w:nsid w:val="73E85863"/>
    <w:multiLevelType w:val="multilevel"/>
    <w:tmpl w:val="73E85863"/>
    <w:lvl w:ilvl="0"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1"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2"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3"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4"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5"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6"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7"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lvl w:ilvl="8" w:tentative="0">
      <w:start w:val="1"/>
      <w:numFmt w:val="decimal"/>
      <w:lvlText w:val="(%1)"/>
      <w:lvlJc w:val="left"/>
      <w:rPr>
        <w:rFonts w:ascii="MingLiU" w:hAnsi="MingLiU_HKSCS" w:cs="MingLiU"/>
        <w:b w:val="0"/>
        <w:bCs w:val="0"/>
        <w:i w:val="0"/>
        <w:iCs w:val="0"/>
        <w:smallCaps w:val="0"/>
        <w:strike w:val="0"/>
        <w:color w:val="000000"/>
        <w:spacing w:val="0"/>
        <w:w w:val="100"/>
        <w:position w:val="0"/>
        <w:sz w:val="22"/>
        <w:szCs w:val="22"/>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0185B"/>
    <w:rsid w:val="4C39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5"/>
    <w:qFormat/>
    <w:uiPriority w:val="0"/>
    <w:pPr>
      <w:keepNext/>
      <w:keepLines/>
      <w:spacing w:before="260" w:after="260" w:line="413" w:lineRule="auto"/>
      <w:outlineLvl w:val="2"/>
    </w:pPr>
    <w:rPr>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cs="宋体"/>
      <w:szCs w:val="21"/>
      <w:lang w:val="zh-CN" w:bidi="zh-CN"/>
    </w:rPr>
  </w:style>
  <w:style w:type="paragraph" w:styleId="5">
    <w:name w:val="Normal Indent"/>
    <w:basedOn w:val="1"/>
    <w:qFormat/>
    <w:uiPriority w:val="0"/>
    <w:pPr>
      <w:ind w:firstLine="420" w:firstLineChars="200"/>
    </w:pPr>
  </w:style>
  <w:style w:type="paragraph" w:styleId="7">
    <w:name w:val="Body Text 3"/>
    <w:basedOn w:val="1"/>
    <w:qFormat/>
    <w:uiPriority w:val="0"/>
    <w:rPr>
      <w:rFonts w:ascii="宋体"/>
      <w:sz w:val="24"/>
      <w:szCs w:val="20"/>
    </w:rPr>
  </w:style>
  <w:style w:type="paragraph" w:styleId="8">
    <w:name w:val="Plain Text"/>
    <w:basedOn w:val="1"/>
    <w:next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
    <w:qFormat/>
    <w:uiPriority w:val="0"/>
    <w:pPr>
      <w:snapToGrid w:val="0"/>
      <w:jc w:val="left"/>
    </w:pPr>
    <w:rPr>
      <w:rFonts w:ascii="宋体" w:hAnsi="宋体"/>
      <w:sz w:val="18"/>
      <w:szCs w:val="18"/>
    </w:rPr>
  </w:style>
  <w:style w:type="paragraph" w:styleId="12">
    <w:name w:val="Body Text First Indent"/>
    <w:basedOn w:val="2"/>
    <w:qFormat/>
    <w:uiPriority w:val="0"/>
    <w:pPr>
      <w:ind w:firstLine="420" w:firstLineChars="100"/>
    </w:pPr>
  </w:style>
  <w:style w:type="character" w:styleId="15">
    <w:name w:val="page number"/>
    <w:qFormat/>
    <w:uiPriority w:val="0"/>
  </w:style>
  <w:style w:type="character" w:styleId="16">
    <w:name w:val="Hyperlink"/>
    <w:qFormat/>
    <w:uiPriority w:val="0"/>
    <w:rPr>
      <w:color w:val="000000"/>
      <w:u w:val="none"/>
    </w:rPr>
  </w:style>
  <w:style w:type="character" w:styleId="17">
    <w:name w:val="footnote reference"/>
    <w:qFormat/>
    <w:uiPriority w:val="0"/>
    <w:rPr>
      <w:vertAlign w:val="superscript"/>
    </w:rPr>
  </w:style>
  <w:style w:type="paragraph" w:customStyle="1" w:styleId="18">
    <w:name w:val="CM86"/>
    <w:basedOn w:val="19"/>
    <w:next w:val="19"/>
    <w:qFormat/>
    <w:uiPriority w:val="0"/>
    <w:pPr>
      <w:spacing w:after="400"/>
    </w:pPr>
    <w:rPr>
      <w:rFonts w:cs="Times New Roman"/>
      <w:color w:val="auto"/>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正文文本 (2)1"/>
    <w:basedOn w:val="1"/>
    <w:link w:val="21"/>
    <w:qFormat/>
    <w:uiPriority w:val="99"/>
    <w:pPr>
      <w:shd w:val="clear" w:color="auto" w:fill="FFFFFF"/>
      <w:spacing w:before="300" w:line="439" w:lineRule="exact"/>
      <w:jc w:val="distribute"/>
    </w:pPr>
    <w:rPr>
      <w:rFonts w:ascii="MingLiU" w:eastAsia="MingLiU"/>
      <w:spacing w:val="20"/>
      <w:kern w:val="0"/>
      <w:sz w:val="22"/>
      <w:szCs w:val="20"/>
      <w:shd w:val="clear" w:color="auto" w:fill="FFFFFF"/>
    </w:rPr>
  </w:style>
  <w:style w:type="character" w:customStyle="1" w:styleId="21">
    <w:name w:val="正文文本 (2)_"/>
    <w:link w:val="20"/>
    <w:qFormat/>
    <w:locked/>
    <w:uiPriority w:val="99"/>
    <w:rPr>
      <w:rFonts w:ascii="MingLiU" w:eastAsia="MingLiU"/>
      <w:spacing w:val="20"/>
      <w:kern w:val="0"/>
      <w:sz w:val="22"/>
      <w:szCs w:val="20"/>
      <w:shd w:val="clear" w:color="auto" w:fill="FFFFFF"/>
    </w:rPr>
  </w:style>
  <w:style w:type="paragraph" w:customStyle="1" w:styleId="22">
    <w:name w:val="附件正文ffff"/>
    <w:basedOn w:val="1"/>
    <w:qFormat/>
    <w:uiPriority w:val="0"/>
    <w:pPr>
      <w:spacing w:line="340" w:lineRule="exact"/>
      <w:ind w:firstLine="436" w:firstLineChars="200"/>
    </w:pPr>
    <w:rPr>
      <w:rFonts w:ascii="方正宋三简体" w:eastAsia="方正宋三简体"/>
      <w:spacing w:val="4"/>
      <w:szCs w:val="20"/>
    </w:rPr>
  </w:style>
  <w:style w:type="paragraph" w:customStyle="1" w:styleId="23">
    <w:name w:val="CM68"/>
    <w:basedOn w:val="19"/>
    <w:next w:val="19"/>
    <w:qFormat/>
    <w:uiPriority w:val="0"/>
    <w:pPr>
      <w:spacing w:line="440" w:lineRule="atLeast"/>
    </w:pPr>
    <w:rPr>
      <w:rFonts w:cs="Times New Roman"/>
      <w:color w:val="auto"/>
    </w:rPr>
  </w:style>
  <w:style w:type="paragraph" w:customStyle="1" w:styleId="24">
    <w:name w:val="CM63"/>
    <w:basedOn w:val="19"/>
    <w:next w:val="1"/>
    <w:qFormat/>
    <w:uiPriority w:val="0"/>
    <w:pPr>
      <w:spacing w:after="903"/>
    </w:pPr>
    <w:rPr>
      <w:rFonts w:cs="Times New Roman"/>
      <w:color w:val="auto"/>
    </w:rPr>
  </w:style>
  <w:style w:type="paragraph" w:customStyle="1" w:styleId="25">
    <w:name w:val="CM65"/>
    <w:basedOn w:val="19"/>
    <w:next w:val="19"/>
    <w:qFormat/>
    <w:uiPriority w:val="0"/>
    <w:pPr>
      <w:spacing w:after="235"/>
    </w:pPr>
    <w:rPr>
      <w:rFonts w:cs="Times New Roman"/>
      <w:color w:val="auto"/>
    </w:rPr>
  </w:style>
  <w:style w:type="paragraph" w:customStyle="1" w:styleId="26">
    <w:name w:val="Table Paragraph"/>
    <w:basedOn w:val="1"/>
    <w:qFormat/>
    <w:uiPriority w:val="1"/>
    <w:rPr>
      <w:rFonts w:ascii="宋体" w:hAnsi="宋体" w:cs="宋体"/>
      <w:lang w:val="zh-CN" w:bidi="zh-CN"/>
    </w:rPr>
  </w:style>
  <w:style w:type="paragraph" w:customStyle="1" w:styleId="27">
    <w:name w:val="List Paragraph1"/>
    <w:basedOn w:val="1"/>
    <w:qFormat/>
    <w:uiPriority w:val="0"/>
    <w:pPr>
      <w:ind w:firstLine="420" w:firstLineChars="200"/>
    </w:pPr>
    <w:rPr>
      <w:rFonts w:ascii="Calibri" w:hAnsi="Calibri"/>
      <w:szCs w:val="22"/>
    </w:rPr>
  </w:style>
  <w:style w:type="paragraph" w:customStyle="1" w:styleId="28">
    <w:name w:val="样式 宋体 行距: 1.5 倍行距"/>
    <w:basedOn w:val="1"/>
    <w:qFormat/>
    <w:uiPriority w:val="0"/>
    <w:pPr>
      <w:jc w:val="center"/>
    </w:pPr>
    <w:rPr>
      <w:b/>
    </w:rPr>
  </w:style>
  <w:style w:type="character" w:customStyle="1" w:styleId="29">
    <w:name w:val="标题 1 Char1"/>
    <w:qFormat/>
    <w:locked/>
    <w:uiPriority w:val="0"/>
    <w:rPr>
      <w:b/>
      <w:bCs/>
      <w:kern w:val="44"/>
      <w:sz w:val="44"/>
      <w:szCs w:val="44"/>
    </w:rPr>
  </w:style>
  <w:style w:type="character" w:customStyle="1" w:styleId="30">
    <w:name w:val="正文文本 (2) + 间距 0 pt5"/>
    <w:qFormat/>
    <w:uiPriority w:val="99"/>
    <w:rPr>
      <w:rFonts w:ascii="MingLiU" w:eastAsia="MingLiU" w:cs="MingLiU"/>
      <w:spacing w:val="0"/>
      <w:sz w:val="22"/>
      <w:szCs w:val="22"/>
      <w:u w:val="none"/>
    </w:rPr>
  </w:style>
  <w:style w:type="character" w:customStyle="1" w:styleId="31">
    <w:name w:val="正文文本 (2) + 10 pt37"/>
    <w:qFormat/>
    <w:uiPriority w:val="0"/>
    <w:rPr>
      <w:rFonts w:ascii="MingLiU" w:eastAsia="MingLiU" w:cs="MingLiU"/>
      <w:spacing w:val="0"/>
      <w:sz w:val="20"/>
      <w:szCs w:val="20"/>
      <w:u w:val="none"/>
    </w:rPr>
  </w:style>
  <w:style w:type="character" w:customStyle="1" w:styleId="32">
    <w:name w:val="正文文本 (2) + 间距 -1 pt"/>
    <w:qFormat/>
    <w:uiPriority w:val="99"/>
    <w:rPr>
      <w:rFonts w:ascii="MingLiU" w:eastAsia="MingLiU" w:cs="MingLiU"/>
      <w:spacing w:val="-20"/>
      <w:sz w:val="22"/>
      <w:szCs w:val="22"/>
      <w:u w:val="none"/>
    </w:rPr>
  </w:style>
  <w:style w:type="character" w:customStyle="1" w:styleId="33">
    <w:name w:val="正文文本 (2) + 10 pt23"/>
    <w:qFormat/>
    <w:uiPriority w:val="99"/>
    <w:rPr>
      <w:rFonts w:ascii="MingLiU" w:eastAsia="MingLiU" w:cs="MingLiU"/>
      <w:b/>
      <w:bCs/>
      <w:spacing w:val="0"/>
      <w:sz w:val="20"/>
      <w:szCs w:val="20"/>
      <w:u w:val="none"/>
    </w:rPr>
  </w:style>
  <w:style w:type="character" w:customStyle="1" w:styleId="34">
    <w:name w:val="正文文本 (2) + Sylfaen13"/>
    <w:qFormat/>
    <w:uiPriority w:val="99"/>
    <w:rPr>
      <w:rFonts w:ascii="Sylfaen" w:hAnsi="Sylfaen" w:eastAsia="MingLiU" w:cs="Sylfaen"/>
      <w:spacing w:val="0"/>
      <w:sz w:val="14"/>
      <w:szCs w:val="14"/>
      <w:u w:val="none"/>
      <w:lang w:val="en-US" w:eastAsia="en-US"/>
    </w:rPr>
  </w:style>
  <w:style w:type="character" w:customStyle="1" w:styleId="35">
    <w:name w:val="正文文本 (2) + 间距 0 pt3"/>
    <w:qFormat/>
    <w:uiPriority w:val="99"/>
    <w:rPr>
      <w:rFonts w:ascii="MingLiU" w:eastAsia="MingLiU" w:cs="MingLiU"/>
      <w:spacing w:val="0"/>
      <w:sz w:val="22"/>
      <w:szCs w:val="22"/>
      <w:u w:val="none"/>
    </w:rPr>
  </w:style>
  <w:style w:type="character" w:customStyle="1" w:styleId="36">
    <w:name w:val="正文文本 (2) + 10 pt27"/>
    <w:qFormat/>
    <w:uiPriority w:val="99"/>
    <w:rPr>
      <w:rFonts w:ascii="MingLiU" w:eastAsia="MingLiU" w:cs="MingLiU"/>
      <w:spacing w:val="0"/>
      <w:w w:val="100"/>
      <w:sz w:val="20"/>
      <w:szCs w:val="20"/>
      <w:u w:val="none"/>
      <w:lang w:val="en-US" w:eastAsia="en-US"/>
    </w:rPr>
  </w:style>
  <w:style w:type="character" w:customStyle="1" w:styleId="37">
    <w:name w:val="正文文本 (2) + 10 pt34"/>
    <w:qFormat/>
    <w:uiPriority w:val="99"/>
    <w:rPr>
      <w:rFonts w:ascii="MingLiU" w:eastAsia="MingLiU" w:cs="MingLiU"/>
      <w:spacing w:val="-20"/>
      <w:sz w:val="20"/>
      <w:szCs w:val="20"/>
      <w:u w:val="none"/>
      <w:lang w:val="en-US" w:eastAsia="en-US"/>
    </w:rPr>
  </w:style>
  <w:style w:type="paragraph" w:customStyle="1" w:styleId="38">
    <w:name w:val="正文文本 (5)1"/>
    <w:basedOn w:val="1"/>
    <w:link w:val="39"/>
    <w:qFormat/>
    <w:uiPriority w:val="99"/>
    <w:pPr>
      <w:shd w:val="clear" w:color="auto" w:fill="FFFFFF"/>
      <w:spacing w:before="5100" w:line="240" w:lineRule="atLeast"/>
    </w:pPr>
    <w:rPr>
      <w:rFonts w:ascii="MingLiU" w:eastAsia="MingLiU"/>
      <w:kern w:val="0"/>
      <w:sz w:val="20"/>
      <w:szCs w:val="20"/>
    </w:rPr>
  </w:style>
  <w:style w:type="character" w:customStyle="1" w:styleId="39">
    <w:name w:val="正文文本 (5)_"/>
    <w:link w:val="38"/>
    <w:qFormat/>
    <w:locked/>
    <w:uiPriority w:val="99"/>
    <w:rPr>
      <w:rFonts w:ascii="MingLiU" w:eastAsia="MingLiU"/>
      <w:kern w:val="0"/>
      <w:sz w:val="20"/>
      <w:szCs w:val="20"/>
    </w:rPr>
  </w:style>
  <w:style w:type="paragraph" w:customStyle="1" w:styleId="40">
    <w:name w:val="表格标题 (5)"/>
    <w:basedOn w:val="1"/>
    <w:link w:val="41"/>
    <w:qFormat/>
    <w:uiPriority w:val="99"/>
    <w:pPr>
      <w:shd w:val="clear" w:color="auto" w:fill="FFFFFF"/>
      <w:spacing w:line="240" w:lineRule="atLeast"/>
    </w:pPr>
    <w:rPr>
      <w:rFonts w:ascii="MingLiU" w:eastAsia="MingLiU"/>
      <w:kern w:val="0"/>
      <w:sz w:val="22"/>
      <w:szCs w:val="22"/>
    </w:rPr>
  </w:style>
  <w:style w:type="character" w:customStyle="1" w:styleId="41">
    <w:name w:val="表格标题 (5)_"/>
    <w:link w:val="40"/>
    <w:qFormat/>
    <w:locked/>
    <w:uiPriority w:val="99"/>
    <w:rPr>
      <w:rFonts w:ascii="MingLiU" w:eastAsia="MingLiU"/>
      <w:kern w:val="0"/>
      <w:sz w:val="22"/>
      <w:szCs w:val="22"/>
    </w:rPr>
  </w:style>
  <w:style w:type="character" w:customStyle="1" w:styleId="42">
    <w:name w:val="正文文本 (2) + 10 pt24"/>
    <w:qFormat/>
    <w:uiPriority w:val="99"/>
    <w:rPr>
      <w:rFonts w:ascii="MingLiU" w:eastAsia="MingLiU" w:cs="MingLiU"/>
      <w:b/>
      <w:bCs/>
      <w:spacing w:val="0"/>
      <w:sz w:val="20"/>
      <w:szCs w:val="20"/>
      <w:u w:val="none"/>
    </w:rPr>
  </w:style>
  <w:style w:type="paragraph" w:customStyle="1" w:styleId="43">
    <w:name w:val="正文文本 (17)"/>
    <w:basedOn w:val="1"/>
    <w:qFormat/>
    <w:uiPriority w:val="99"/>
    <w:pPr>
      <w:shd w:val="clear" w:color="auto" w:fill="FFFFFF"/>
      <w:spacing w:line="240" w:lineRule="atLeast"/>
      <w:jc w:val="distribute"/>
    </w:pPr>
    <w:rPr>
      <w:rFonts w:ascii="MingLiU" w:eastAsia="MingLiU"/>
      <w:spacing w:val="-10"/>
      <w:sz w:val="22"/>
      <w:szCs w:val="22"/>
    </w:rPr>
  </w:style>
  <w:style w:type="character" w:customStyle="1" w:styleId="44">
    <w:name w:val="正文文本 (5) + 间距 -1 pt"/>
    <w:qFormat/>
    <w:uiPriority w:val="99"/>
    <w:rPr>
      <w:rFonts w:ascii="MingLiU" w:eastAsia="MingLiU" w:cs="MingLiU"/>
      <w:spacing w:val="-20"/>
      <w:sz w:val="20"/>
      <w:szCs w:val="20"/>
      <w:u w:val="none"/>
      <w:lang w:val="en-US" w:eastAsia="en-US"/>
    </w:rPr>
  </w:style>
  <w:style w:type="character" w:customStyle="1" w:styleId="45">
    <w:name w:val="正文文本 (17) + 间距 0 pt"/>
    <w:qFormat/>
    <w:uiPriority w:val="99"/>
    <w:rPr>
      <w:rFonts w:ascii="MingLiU" w:eastAsia="MingLiU" w:cs="MingLiU"/>
      <w:spacing w:val="0"/>
      <w:sz w:val="22"/>
      <w:szCs w:val="22"/>
      <w:u w:val="single"/>
    </w:rPr>
  </w:style>
  <w:style w:type="character" w:customStyle="1" w:styleId="46">
    <w:name w:val="正文文本 (7) + 间距 0 pt"/>
    <w:qFormat/>
    <w:uiPriority w:val="99"/>
    <w:rPr>
      <w:rFonts w:ascii="MingLiU" w:eastAsia="MingLiU" w:cs="MingLiU"/>
      <w:spacing w:val="0"/>
      <w:sz w:val="22"/>
      <w:szCs w:val="22"/>
      <w:u w:val="none"/>
    </w:rPr>
  </w:style>
  <w:style w:type="paragraph" w:customStyle="1" w:styleId="47">
    <w:name w:val="正文文本 (7)"/>
    <w:basedOn w:val="1"/>
    <w:qFormat/>
    <w:uiPriority w:val="99"/>
    <w:pPr>
      <w:shd w:val="clear" w:color="auto" w:fill="FFFFFF"/>
      <w:spacing w:before="120" w:after="300" w:line="240" w:lineRule="atLeast"/>
      <w:jc w:val="center"/>
    </w:pPr>
    <w:rPr>
      <w:rFonts w:ascii="MingLiU" w:eastAsia="MingLiU"/>
      <w:spacing w:val="1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2024-02-05T02:58:03Z</dcterms:created>
  <dc:creator>61729</dc:creator>
  <cp:lastModifiedBy>GGB-HJY</cp:lastModifiedBy>
  <dcterms:modified xsi:type="dcterms:W3CDTF">2024-02-05T03:00:57Z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4DFACEEF6E6141CC8FB70E5A5606417E</vt:lpwstr>
  </property>
</Properties>
</file>