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line="440" w:lineRule="auto"/>
        <w:jc w:val="center"/>
        <w:outlineLvl w:val="3"/>
      </w:pPr>
      <w:r>
        <w:rPr>
          <w:rFonts w:ascii="标宋" w:eastAsia="标宋" w:hint="eastAsia"/>
          <w:sz w:val="34.5"/>
          <w:szCs w:val="34.5"/>
          <w:u w:val="single"/>
          <w:color w:val="000000"/>
        </w:rPr>
        <w:t xml:space="preserve"> 广澳高速公路南沙至珠海段改扩建工程机电工程施工（JD1标） </w:t>
      </w:r>
      <w:r>
        <w:rPr>
          <w:rFonts w:ascii="标宋" w:eastAsia="标宋" w:hint="eastAsia"/>
          <w:sz w:val="34.5"/>
          <w:szCs w:val="34.5"/>
          <w:color w:val="000000"/>
        </w:rPr>
        <w:t xml:space="preserve">招标公告</w:t>
      </w:r>
    </w:p>
    <w:p>
      <w:pPr>
        <w:spacing w:line="280" w:lineRule="auto"/>
        <w:jc w:val="center"/>
      </w:pPr>
    </w:p>
    <w:p>
      <w:pPr>
        <w:outlineLvl w:val="3"/>
      </w:pPr>
      <w:r>
        <w:rPr>
          <w:rFonts w:ascii="" w:eastAsia="" w:hint="eastAsia"/>
          <w:sz w:val="21.0"/>
          <w:szCs w:val="21.0"/>
          <w:color w:val="000000"/>
        </w:rPr>
        <w:t xml:space="preserve">1.招标条件</w:t>
      </w:r>
    </w:p>
    <w:p>
      <w:pPr/>
      <w:r>
        <w:rPr>
          <w:rFonts w:ascii="标宋" w:eastAsia="标宋" w:hint="eastAsia"/>
          <w:sz w:val="21.0"/>
          <w:szCs w:val="21.0"/>
          <w:color w:val="000000"/>
        </w:rPr>
        <w:t xml:space="preserve">    本招标项目</w:t>
      </w:r>
      <w:r>
        <w:rPr>
          <w:rFonts w:ascii="标宋" w:eastAsia="标宋" w:hint="eastAsia"/>
          <w:sz w:val="21.0"/>
          <w:szCs w:val="21.0"/>
          <w:u w:val="single"/>
          <w:color w:val="000000"/>
        </w:rPr>
        <w:t xml:space="preserve"> 广澳高速公路南沙至珠海段改扩建工程 </w:t>
      </w:r>
      <w:r>
        <w:rPr>
          <w:rFonts w:ascii="标宋" w:eastAsia="标宋" w:hint="eastAsia"/>
          <w:sz w:val="21.0"/>
          <w:szCs w:val="21.0"/>
          <w:color w:val="000000"/>
        </w:rPr>
        <w:t xml:space="preserve">已由</w:t>
      </w:r>
      <w:r>
        <w:rPr>
          <w:rFonts w:ascii="标宋" w:eastAsia="标宋" w:hint="eastAsia"/>
          <w:sz w:val="21.0"/>
          <w:szCs w:val="21.0"/>
          <w:u w:val="single"/>
          <w:color w:val="000000"/>
        </w:rPr>
        <w:t xml:space="preserve">  广东省发展和改革委员会  </w:t>
      </w:r>
      <w:r>
        <w:rPr>
          <w:rFonts w:ascii="标宋" w:eastAsia="标宋" w:hint="eastAsia"/>
          <w:sz w:val="21.0"/>
          <w:szCs w:val="21.0"/>
          <w:color w:val="000000"/>
        </w:rPr>
        <w:t xml:space="preserve">以</w:t>
      </w:r>
      <w:r>
        <w:rPr>
          <w:rFonts w:ascii="标宋" w:eastAsia="标宋" w:hint="eastAsia"/>
          <w:sz w:val="21.0"/>
          <w:szCs w:val="21.0"/>
          <w:u w:val="single"/>
          <w:color w:val="000000"/>
        </w:rPr>
        <w:t xml:space="preserve">  《广东省发展改革委关于广澳高速公路南沙至珠海段改扩建工程项目核准的批复》（粤发改核准〔2022〕35号）  </w:t>
      </w:r>
      <w:r>
        <w:rPr>
          <w:rFonts w:ascii="标宋" w:eastAsia="标宋" w:hint="eastAsia"/>
          <w:sz w:val="21.0"/>
          <w:szCs w:val="21.0"/>
          <w:color w:val="000000"/>
        </w:rPr>
        <w:t xml:space="preserve">批准建设,施工图设计已由</w:t>
      </w:r>
      <w:r>
        <w:rPr>
          <w:rFonts w:ascii="标宋" w:eastAsia="标宋" w:hint="eastAsia"/>
          <w:sz w:val="21.0"/>
          <w:szCs w:val="21.0"/>
          <w:u w:val="single"/>
          <w:color w:val="000000"/>
        </w:rPr>
        <w:t xml:space="preserve">  广东省交通运输厅 </w:t>
      </w:r>
      <w:r>
        <w:rPr>
          <w:rFonts w:ascii="标宋" w:eastAsia="标宋" w:hint="eastAsia"/>
          <w:sz w:val="21.0"/>
          <w:szCs w:val="21.0"/>
          <w:color w:val="000000"/>
        </w:rPr>
        <w:t xml:space="preserve">以</w:t>
      </w:r>
      <w:r>
        <w:rPr>
          <w:rFonts w:ascii="标宋" w:eastAsia="标宋" w:hint="eastAsia"/>
          <w:sz w:val="21.0"/>
          <w:szCs w:val="21.0"/>
          <w:u w:val="single"/>
          <w:color w:val="000000"/>
        </w:rPr>
        <w:t xml:space="preserve">  粤交基〔2023〕   号 </w:t>
      </w:r>
      <w:r>
        <w:rPr>
          <w:rFonts w:ascii="标宋" w:eastAsia="标宋" w:hint="eastAsia"/>
          <w:sz w:val="21.0"/>
          <w:szCs w:val="21.0"/>
          <w:color w:val="000000"/>
        </w:rPr>
        <w:t xml:space="preserve">批准，项目业主为</w:t>
      </w:r>
      <w:r>
        <w:rPr>
          <w:rFonts w:ascii="标宋" w:eastAsia="标宋" w:hint="eastAsia"/>
          <w:sz w:val="21.0"/>
          <w:szCs w:val="21.0"/>
          <w:u w:val="single"/>
          <w:color w:val="000000"/>
        </w:rPr>
        <w:t xml:space="preserve">  京珠高速公路广珠段有限公司  </w:t>
      </w:r>
      <w:r>
        <w:rPr>
          <w:rFonts w:ascii="标宋" w:eastAsia="标宋" w:hint="eastAsia"/>
          <w:sz w:val="21.0"/>
          <w:szCs w:val="21.0"/>
          <w:color w:val="000000"/>
        </w:rPr>
        <w:t xml:space="preserve">，建设资金来自</w:t>
      </w:r>
      <w:r>
        <w:rPr>
          <w:rFonts w:ascii="标宋" w:eastAsia="标宋" w:hint="eastAsia"/>
          <w:sz w:val="21.0"/>
          <w:szCs w:val="21.0"/>
          <w:u w:val="single"/>
          <w:color w:val="000000"/>
        </w:rPr>
        <w:t xml:space="preserve">  企业自筹、银行贷款  </w:t>
      </w:r>
      <w:r>
        <w:rPr>
          <w:rFonts w:ascii="标宋" w:eastAsia="标宋" w:hint="eastAsia"/>
          <w:sz w:val="21.0"/>
          <w:szCs w:val="21.0"/>
          <w:color w:val="000000"/>
        </w:rPr>
        <w:t xml:space="preserve">,项目出资比例为</w:t>
      </w:r>
      <w:r>
        <w:rPr>
          <w:rFonts w:ascii="标宋" w:eastAsia="标宋" w:hint="eastAsia"/>
          <w:sz w:val="21.0"/>
          <w:szCs w:val="21.0"/>
          <w:u w:val="single"/>
          <w:color w:val="000000"/>
        </w:rPr>
        <w:t xml:space="preserve">  企业自筹不少于35%，其余为银行贷款 </w:t>
      </w:r>
      <w:r>
        <w:rPr>
          <w:rFonts w:ascii="标宋" w:eastAsia="标宋" w:hint="eastAsia"/>
          <w:sz w:val="21.0"/>
          <w:szCs w:val="21.0"/>
          <w:color w:val="000000"/>
        </w:rPr>
        <w:t xml:space="preserve">，招标人为</w:t>
      </w:r>
      <w:r>
        <w:rPr>
          <w:rFonts w:ascii="标宋" w:eastAsia="标宋" w:hint="eastAsia"/>
          <w:sz w:val="21.0"/>
          <w:szCs w:val="21.0"/>
          <w:u w:val="single"/>
          <w:color w:val="000000"/>
        </w:rPr>
        <w:t xml:space="preserve">  京珠高速公路广珠段有限公司  </w:t>
      </w:r>
      <w:r>
        <w:rPr>
          <w:rFonts w:ascii="标宋" w:eastAsia="标宋" w:hint="eastAsia"/>
          <w:sz w:val="21.0"/>
          <w:szCs w:val="21.0"/>
          <w:color w:val="000000"/>
        </w:rPr>
        <w:t xml:space="preserve">。项目已具备招标条件，现对该项目的施工采用资格后审方式进行公开招标。</w:t>
      </w:r>
    </w:p>
    <w:p>
      <w:pPr>
        <w:spacing w:line="280" w:lineRule="auto"/>
      </w:pPr>
    </w:p>
    <w:p>
      <w:pPr>
        <w:spacing w:line="280" w:lineRule="auto"/>
        <w:outlineLvl w:val="3"/>
      </w:pPr>
      <w:r>
        <w:rPr>
          <w:rFonts w:ascii="" w:eastAsia="" w:hint="eastAsia"/>
          <w:sz w:val="21.0"/>
          <w:szCs w:val="21.0"/>
          <w:color w:val="000000"/>
        </w:rPr>
        <w:t xml:space="preserve">2.项目概况与招标范围</w:t>
      </w:r>
    </w:p>
    <w:p>
      <w:pPr/>
      <w:r>
        <w:rPr>
          <w:rFonts w:ascii="" w:eastAsia="" w:hint="eastAsia"/>
          <w:sz w:val="21.0"/>
          <w:szCs w:val="21.0"/>
          <w:color w:val="000000"/>
        </w:rPr>
        <w:t xml:space="preserve">    2.1项目概况与招标范围</w:t>
      </w:r>
    </w:p>
    <w:p>
      <w:pPr/>
      <w:r>
        <w:rPr>
          <w:rFonts w:ascii="" w:eastAsia="" w:hint="eastAsia"/>
          <w:sz w:val="21.0"/>
          <w:szCs w:val="21.0"/>
          <w:color w:val="000000"/>
        </w:rPr>
        <w:t xml:space="preserve">     广澳高速公路南沙至珠海段改扩建工程（以下简称本项目）是京港澳高速G4的重要组成部分，起自广州市南沙区坦尾枢纽互通，接莞佛高速相应路段，沿既有广澳高速改扩建，经横沥、三角、民众、港口，火炬开发区、南朗街道，止于中山市下栅枢纽互通，接广澳高速下栅互通至月环互通段和广澳高速珠海支线，全长50.426公里。全线采用高速公路标准改扩建，起点至中山城区互通段采用双向十车道，设计速度120公里/小时；中山城区互通至终点段采用双向八车道，设计速度100公里/小时。</w:t>
      </w:r>
    </w:p>
    <w:p>
      <w:pPr/>
      <w:r>
        <w:rPr>
          <w:rFonts w:ascii="" w:eastAsia="" w:hint="eastAsia"/>
          <w:sz w:val="21.0"/>
          <w:szCs w:val="21.0"/>
          <w:color w:val="000000"/>
        </w:rPr>
        <w:t xml:space="preserve">    2.2标段划分</w:t>
      </w:r>
    </w:p>
    <w:p>
      <w:pPr>
        <w:spacing w:line="280" w:lineRule="auto"/>
      </w:pPr>
    </w:p>
    <w:p>
      <w:pPr/>
      <w:r>
        <w:rPr>
          <w:rFonts w:ascii="标宋" w:eastAsia="标宋" w:hint="eastAsia"/>
          <w:sz w:val="21.0"/>
          <w:szCs w:val="21.0"/>
          <w:color w:val="000000"/>
        </w:rPr>
        <w:t xml:space="preserve">本次招标共分</w:t>
      </w:r>
      <w:r>
        <w:rPr>
          <w:rFonts w:ascii="标宋" w:eastAsia="标宋" w:hint="eastAsia"/>
          <w:sz w:val="21.0"/>
          <w:szCs w:val="21.0"/>
          <w:u w:val="single"/>
          <w:color w:val="000000"/>
        </w:rPr>
        <w:t xml:space="preserve"> 1 </w:t>
      </w:r>
      <w:r>
        <w:rPr>
          <w:rFonts w:ascii="标宋" w:eastAsia="标宋" w:hint="eastAsia"/>
          <w:sz w:val="21.0"/>
          <w:szCs w:val="21.0"/>
          <w:color w:val="000000"/>
        </w:rPr>
        <w:t xml:space="preserve">个标类</w:t>
      </w:r>
      <w:r>
        <w:rPr>
          <w:rFonts w:ascii="标宋" w:eastAsia="标宋" w:hint="eastAsia"/>
          <w:sz w:val="21.0"/>
          <w:szCs w:val="21.0"/>
          <w:u w:val="single"/>
          <w:color w:val="000000"/>
        </w:rPr>
        <w:t xml:space="preserve"> 1 </w:t>
      </w:r>
      <w:r>
        <w:rPr>
          <w:rFonts w:ascii="标宋" w:eastAsia="标宋" w:hint="eastAsia"/>
          <w:sz w:val="21.0"/>
          <w:szCs w:val="21.0"/>
          <w:color w:val="000000"/>
        </w:rPr>
        <w:t xml:space="preserve">个合同段。具体见附件1。</w:t>
      </w:r>
    </w:p>
    <w:tbl>
      <w:tblPr>
        <w:tblW w:w="0" w:type="auto"/>
      </w:tblPr>
      <w:tblGrid>
        <w:gridCol w:w="1100"/>
        <w:gridCol w:w="1180"/>
        <w:gridCol w:w="1500"/>
        <w:gridCol w:w="1050"/>
        <w:gridCol w:w="1710"/>
        <w:gridCol w:w="2000"/>
        <w:gridCol w:w="1850"/>
      </w:tblGrid>
      <w:tr>
        <w:trPr>
          <w:trHeight w:val="450"/>
        </w:trPr>
        <w:tc>
          <w:tcPr>
            <w:tcBorders>
              <w:left w:val="single" w:color="000000" w:sz="5.0"/>
              <w:top w:val="single" w:color="000000" w:sz="5.0"/>
              <w:right w:val="single" w:color="000000" w:sz="5.0"/>
              <w:bottom w:val="single" w:color="000000" w:sz="5.0"/>
            </w:tcBorders>
            <w:tcW w:w="1650" w:type="dxa"/>
          </w:tcPr>
          <w:p>
            <w:pPr>
              <w:spacing w:line="280" w:lineRule="auto"/>
              <w:jc w:val="center"/>
            </w:pPr>
            <w:r>
              <w:rPr>
                <w:rFonts w:ascii="" w:eastAsia="" w:hint="eastAsia"/>
                <w:sz w:val="21.0"/>
                <w:szCs w:val="21.0"/>
                <w:b/>
                <w:color w:val="000000"/>
              </w:rPr>
              <w:t xml:space="preserve">标段类别</w:t>
            </w: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b/>
                <w:color w:val="000000"/>
              </w:rPr>
              <w:t xml:space="preserve">标段</w:t>
            </w:r>
          </w:p>
        </w:tc>
        <w:tc>
          <w:tcPr>
            <w:tcBorders>
              <w:left w:val="single" w:color="000000" w:sz="5.0"/>
              <w:top w:val="single" w:color="000000" w:sz="5.0"/>
              <w:right w:val="single" w:color="000000" w:sz="5.0"/>
              <w:bottom w:val="single" w:color="000000" w:sz="5.0"/>
            </w:tcBorders>
            <w:tcW w:w="2250" w:type="dxa"/>
          </w:tcPr>
          <w:p>
            <w:pPr>
              <w:spacing w:line="280" w:lineRule="auto"/>
              <w:jc w:val="center"/>
            </w:pPr>
            <w:r>
              <w:rPr>
                <w:rFonts w:ascii="" w:eastAsia="" w:hint="eastAsia"/>
                <w:sz w:val="21.0"/>
                <w:szCs w:val="21.0"/>
                <w:b/>
                <w:color w:val="000000"/>
              </w:rPr>
              <w:t xml:space="preserve">起讫桩号</w:t>
            </w:r>
          </w:p>
        </w:tc>
        <w:tc>
          <w:tcPr>
            <w:tcBorders>
              <w:left w:val="single" w:color="000000" w:sz="5.0"/>
              <w:top w:val="single" w:color="000000" w:sz="5.0"/>
              <w:right w:val="single" w:color="000000" w:sz="5.0"/>
              <w:bottom w:val="single" w:color="000000" w:sz="5.0"/>
            </w:tcBorders>
            <w:tcW w:w="1575" w:type="dxa"/>
          </w:tcPr>
          <w:p>
            <w:pPr>
              <w:spacing w:line="280" w:lineRule="auto"/>
              <w:jc w:val="center"/>
            </w:pPr>
            <w:r>
              <w:rPr>
                <w:rFonts w:ascii="" w:eastAsia="" w:hint="eastAsia"/>
                <w:sz w:val="21.0"/>
                <w:szCs w:val="21.0"/>
                <w:b/>
                <w:color w:val="000000"/>
              </w:rPr>
              <w:t xml:space="preserve">长度(KM)</w:t>
            </w:r>
          </w:p>
        </w:tc>
        <w:tc>
          <w:tcPr>
            <w:tcBorders>
              <w:left w:val="single" w:color="000000" w:sz="5.0"/>
              <w:top w:val="single" w:color="000000" w:sz="5.0"/>
              <w:right w:val="single" w:color="000000" w:sz="5.0"/>
              <w:bottom w:val="single" w:color="000000" w:sz="5.0"/>
            </w:tcBorders>
            <w:tcW w:w="2565" w:type="dxa"/>
          </w:tcPr>
          <w:p>
            <w:pPr>
              <w:spacing w:line="280" w:lineRule="auto"/>
              <w:jc w:val="center"/>
            </w:pPr>
            <w:r>
              <w:rPr>
                <w:rFonts w:ascii="" w:eastAsia="" w:hint="eastAsia"/>
                <w:sz w:val="21.0"/>
                <w:szCs w:val="21.0"/>
                <w:b/>
                <w:color w:val="000000"/>
              </w:rPr>
              <w:t xml:space="preserve">主要工程项目</w:t>
            </w:r>
          </w:p>
        </w:tc>
        <w:tc>
          <w:tcPr>
            <w:tcBorders>
              <w:left w:val="single" w:color="000000" w:sz="5.0"/>
              <w:top w:val="single" w:color="000000" w:sz="5.0"/>
              <w:right w:val="single" w:color="000000" w:sz="5.0"/>
              <w:bottom w:val="single" w:color="000000" w:sz="5.0"/>
            </w:tcBorders>
            <w:tcW w:w="3000" w:type="dxa"/>
          </w:tcPr>
          <w:p>
            <w:pPr>
              <w:spacing w:line="280" w:lineRule="auto"/>
              <w:jc w:val="center"/>
            </w:pPr>
            <w:r>
              <w:rPr>
                <w:rFonts w:ascii="" w:eastAsia="" w:hint="eastAsia"/>
                <w:sz w:val="21.0"/>
                <w:szCs w:val="21.0"/>
                <w:b/>
                <w:color w:val="000000"/>
              </w:rPr>
              <w:t xml:space="preserve">对投标人资质要求</w:t>
            </w:r>
          </w:p>
        </w:tc>
        <w:tc>
          <w:tcPr>
            <w:tcBorders>
              <w:left w:val="single" w:color="000000" w:sz="5.0"/>
              <w:top w:val="single" w:color="000000" w:sz="5.0"/>
              <w:right w:val="single" w:color="000000" w:sz="5.0"/>
              <w:bottom w:val="single" w:color="000000" w:sz="5.0"/>
            </w:tcBorders>
            <w:tcW w:w="2775" w:type="dxa"/>
          </w:tcPr>
          <w:p>
            <w:pPr>
              <w:spacing w:line="280" w:lineRule="auto"/>
              <w:jc w:val="center"/>
            </w:pPr>
            <w:r>
              <w:rPr>
                <w:rFonts w:ascii="" w:eastAsia="" w:hint="eastAsia"/>
                <w:sz w:val="21.0"/>
                <w:szCs w:val="21.0"/>
                <w:b/>
                <w:color w:val="000000"/>
              </w:rPr>
              <w:t xml:space="preserve">备注</w:t>
            </w:r>
          </w:p>
        </w:tc>
      </w:tr>
      <w:tr>
        <w:trPr>
          <w:trHeight w:val="450"/>
        </w:trPr>
        <w:tc>
          <w:tcPr>
            <w:tcBorders>
              <w:left w:val="single" w:color="000000" w:sz="5.0"/>
              <w:top w:val="single" w:color="000000" w:sz="5.0"/>
              <w:right w:val="single" w:color="000000" w:sz="5.0"/>
              <w:bottom w:val="single" w:color="000000" w:sz="5.0"/>
            </w:tcBorders>
            <w:tcW w:w="1650" w:type="dxa"/>
          </w:tcPr>
          <w:p>
            <w:pPr>
              <w:spacing w:line="280" w:lineRule="auto"/>
              <w:jc w:val="center"/>
            </w:pPr>
            <w:r>
              <w:rPr>
                <w:rFonts w:ascii="" w:eastAsia="" w:hint="eastAsia"/>
                <w:sz w:val="21.0"/>
                <w:szCs w:val="21.0"/>
                <w:color w:val="000000"/>
              </w:rPr>
              <w:t xml:space="preserve">I类机电工程</w:t>
            </w: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JD1标</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K17+700至K50+426（最终以批复施工图桩号为准）</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32.726</w:t>
            </w:r>
          </w:p>
        </w:tc>
        <w:tc>
          <w:tcPr>
            <w:tcBorders>
              <w:left w:val="single" w:color="000000" w:sz="5.0"/>
              <w:top w:val="single" w:color="000000" w:sz="5.0"/>
              <w:right w:val="single" w:color="000000" w:sz="5.0"/>
              <w:bottom w:val="single" w:color="000000" w:sz="5.0"/>
            </w:tcBorders>
            <w:tcW w:w="2565" w:type="dxa"/>
          </w:tcPr>
          <w:p>
            <w:pPr>
              <w:spacing w:line="280" w:lineRule="auto"/>
            </w:pPr>
            <w:r>
              <w:rPr>
                <w:rFonts w:ascii="" w:eastAsia="" w:hint="eastAsia"/>
                <w:sz w:val="21.0"/>
                <w:szCs w:val="21.0"/>
                <w:color w:val="000000"/>
              </w:rPr>
              <w:t xml:space="preserve">1.里程桩号范围内的机电工程施工，包括：收费、监控、通信系统、供配电及照明系统；</w:t>
            </w:r>
          </w:p>
          <w:p>
            <w:pPr>
              <w:spacing w:line="280" w:lineRule="auto"/>
            </w:pPr>
            <w:r>
              <w:rPr>
                <w:rFonts w:ascii="" w:eastAsia="" w:hint="eastAsia"/>
                <w:sz w:val="21.0"/>
                <w:szCs w:val="21.0"/>
                <w:color w:val="000000"/>
              </w:rPr>
              <w:t xml:space="preserve">2.全线范围内的通信管道工程施工；</w:t>
            </w:r>
          </w:p>
          <w:p>
            <w:pPr>
              <w:spacing w:line="280" w:lineRule="auto"/>
            </w:pPr>
            <w:r>
              <w:rPr>
                <w:rFonts w:ascii="" w:eastAsia="" w:hint="eastAsia"/>
                <w:sz w:val="21.0"/>
                <w:szCs w:val="21.0"/>
                <w:color w:val="000000"/>
              </w:rPr>
              <w:t xml:space="preserve">3.既有机电管线设施临时迁改。</w:t>
            </w:r>
          </w:p>
        </w:tc>
        <w:tc>
          <w:tcPr>
            <w:tcBorders>
              <w:left w:val="single" w:color="000000" w:sz="5.0"/>
              <w:top w:val="single" w:color="000000" w:sz="5.0"/>
              <w:right w:val="single" w:color="000000" w:sz="5.0"/>
              <w:bottom w:val="single" w:color="000000" w:sz="5.0"/>
            </w:tcBorders>
            <w:tcW w:w="3000" w:type="dxa"/>
          </w:tcPr>
          <w:p>
            <w:pPr>
              <w:spacing w:line="280" w:lineRule="auto"/>
            </w:pPr>
            <w:r>
              <w:rPr>
                <w:rFonts w:ascii="" w:eastAsia="" w:hint="eastAsia"/>
                <w:sz w:val="21.0"/>
                <w:szCs w:val="21.0"/>
                <w:color w:val="000000"/>
              </w:rPr>
              <w:t xml:space="preserve">1.具有独立法人资格，持有有效的企业法人营业执照；</w:t>
            </w:r>
          </w:p>
          <w:p>
            <w:pPr>
              <w:spacing w:line="280" w:lineRule="auto"/>
            </w:pPr>
            <w:r>
              <w:rPr>
                <w:rFonts w:ascii="" w:eastAsia="" w:hint="eastAsia"/>
                <w:sz w:val="21.0"/>
                <w:szCs w:val="21.0"/>
                <w:color w:val="000000"/>
              </w:rPr>
              <w:t xml:space="preserve">2.具备住房城乡建设主管部门核发的公路交通工程专业承包一级资质（公路机电工程分项）；</w:t>
            </w:r>
          </w:p>
          <w:p>
            <w:pPr>
              <w:spacing w:line="280" w:lineRule="auto"/>
            </w:pPr>
            <w:r>
              <w:rPr>
                <w:rFonts w:ascii="" w:eastAsia="" w:hint="eastAsia"/>
                <w:sz w:val="21.0"/>
                <w:szCs w:val="21.0"/>
                <w:color w:val="000000"/>
              </w:rPr>
              <w:t xml:space="preserve">3.持有有效的安全生产许可证。</w:t>
            </w:r>
          </w:p>
        </w:tc>
        <w:tc>
          <w:tcPr>
            <w:tcBorders>
              <w:left w:val="single" w:color="000000" w:sz="5.0"/>
              <w:top w:val="single" w:color="000000" w:sz="5.0"/>
              <w:right w:val="single" w:color="000000" w:sz="5.0"/>
              <w:bottom w:val="single" w:color="000000" w:sz="5.0"/>
            </w:tcBorders>
            <w:tcW w:w="2775" w:type="dxa"/>
          </w:tcPr>
          <w:p>
            <w:pPr>
              <w:spacing w:line="280" w:lineRule="auto"/>
            </w:pPr>
            <w:r>
              <w:rPr>
                <w:rFonts w:ascii="" w:eastAsia="" w:hint="eastAsia"/>
                <w:sz w:val="21.0"/>
                <w:szCs w:val="21.0"/>
                <w:color w:val="000000"/>
              </w:rPr>
              <w:t xml:space="preserve">详见附件2资格审查条件附录1至附录7</w:t>
            </w:r>
          </w:p>
        </w:tc>
      </w:tr>
    </w:tbl>
    <w:p>
      <w:pPr>
        <w:spacing w:line="280" w:lineRule="auto"/>
      </w:pPr>
      <w:r>
        <w:rPr>
          <w:rFonts w:ascii="标宋" w:eastAsia="标宋" w:hint="eastAsia"/>
          <w:sz w:val="21.0"/>
          <w:szCs w:val="21.0"/>
          <w:u w:val="single"/>
          <w:color w:val="000000"/>
        </w:rPr>
        <w:t xml:space="preserve">  注：1.具体工程数量以招标文件工程量清单为准。  </w:t>
      </w:r>
    </w:p>
    <w:p>
      <w:pPr>
        <w:spacing w:line="280" w:lineRule="auto"/>
      </w:pPr>
    </w:p>
    <w:p>
      <w:pPr>
        <w:spacing w:line="280" w:lineRule="auto"/>
        <w:outlineLvl w:val="3"/>
      </w:pPr>
      <w:r>
        <w:rPr>
          <w:rFonts w:ascii="" w:eastAsia="" w:hint="eastAsia"/>
          <w:sz w:val="21.0"/>
          <w:szCs w:val="21.0"/>
          <w:color w:val="000000"/>
        </w:rPr>
        <w:t xml:space="preserve">3.投标人资格条件</w:t>
      </w:r>
    </w:p>
    <w:p>
      <w:pPr/>
      <w:r>
        <w:rPr>
          <w:rFonts w:ascii="" w:eastAsia="" w:hint="eastAsia"/>
          <w:sz w:val="21.0"/>
          <w:szCs w:val="21.0"/>
          <w:color w:val="000000"/>
        </w:rPr>
        <w:t xml:space="preserve">    3.1本次招标要求投标人须具备上述第2.2款表中所列相应资质、财务能力、类似工程业绩，并在人员、设备等方面具有相应的施工能力。</w:t>
      </w:r>
    </w:p>
    <w:p>
      <w:pPr/>
      <w:r>
        <w:rPr>
          <w:rFonts w:ascii="" w:eastAsia="" w:hint="eastAsia"/>
          <w:sz w:val="21.0"/>
          <w:szCs w:val="21.0"/>
          <w:color w:val="000000"/>
        </w:rPr>
        <w:t xml:space="preserve">    3.2本次招标不接受联合体投标。</w:t>
      </w:r>
    </w:p>
    <w:p>
      <w:pPr/>
      <w:r>
        <w:rPr>
          <w:rFonts w:ascii="" w:eastAsia="" w:hint="eastAsia"/>
          <w:sz w:val="21.0"/>
          <w:szCs w:val="21.0"/>
          <w:color w:val="000000"/>
        </w:rPr>
        <w:t xml:space="preserve">    3.3.本项目机电工程施工共设两个标段，本次招标为JD1标，JD1标中标单位及其关联单位（符合本章节第3.4款规定的单位即为关联单位）不得参与后续机电工程施工（JD2标）招标的投标。</w:t>
      </w:r>
    </w:p>
    <w:p>
      <w:pPr/>
      <w:r>
        <w:rPr>
          <w:rFonts w:ascii="" w:eastAsia="" w:hint="eastAsia"/>
          <w:sz w:val="21.0"/>
          <w:szCs w:val="21.0"/>
          <w:color w:val="000000"/>
        </w:rPr>
        <w:t xml:space="preserve">    3.4与招标人存在利害关系可能影响招标公正性的法人，不得参加投标；若单位负责人[指单位的法定代表人或者法律、行政法规规定代表单位行使职权的主要负责人。]为同一人、或者存在控股[指出资额占有限责任公司资本总额50%以上或者其持有的股份占股份有限公司股本总额50%以上的，以及出资额或者持有股份的比例虽然不足50%，但依其出资额或者持有的股份所享有的表决权已足以对股东会、股东大会的决议产生重大影响的。]、管理关系[指不具有出资持股关系的其他单位之间存在的管理与被管理关系]的不同单位，不得参加同一标段投标或者未划分标段的同一招标项目投标，否则按否决其投标处理。</w:t>
      </w:r>
    </w:p>
    <w:p>
      <w:pPr/>
      <w:r>
        <w:rPr>
          <w:rFonts w:ascii="" w:eastAsia="" w:hint="eastAsia"/>
          <w:sz w:val="21.0"/>
          <w:szCs w:val="21.0"/>
          <w:color w:val="000000"/>
        </w:rPr>
        <w:t xml:space="preserve">    3.5在“信用中国”网站（https://creditchina.gov.cn)中被列入失信被执行人名单的投标人，在“国家企业信用信息公示系统”（https://gsxt.gov.cn）中被列入严重违法失信企业名单的投标人，均按否决投标处理。</w:t>
      </w:r>
    </w:p>
    <w:p>
      <w:pPr>
        <w:spacing w:line="280" w:lineRule="auto"/>
      </w:pPr>
    </w:p>
    <w:p>
      <w:pPr>
        <w:spacing w:line="280" w:lineRule="auto"/>
        <w:outlineLvl w:val="3"/>
      </w:pPr>
      <w:r>
        <w:rPr>
          <w:rFonts w:ascii="标宋" w:eastAsia="标宋" w:hint="eastAsia"/>
          <w:sz w:val="21.0"/>
          <w:szCs w:val="21.0"/>
          <w:color w:val="000000"/>
        </w:rPr>
        <w:t xml:space="preserve">4.招标文件的获取</w:t>
      </w:r>
    </w:p>
    <w:p>
      <w:pPr>
        <w:spacing w:line="280" w:lineRule="auto"/>
      </w:pPr>
      <w:r>
        <w:rPr>
          <w:rFonts w:ascii="标宋" w:eastAsia="标宋" w:hint="eastAsia"/>
          <w:sz w:val="21.0"/>
          <w:szCs w:val="21.0"/>
          <w:color w:val="000000"/>
        </w:rPr>
        <w:t xml:space="preserve">    4.1  凡有意参加投标者，请于</w:t>
      </w:r>
      <w:r>
        <w:rPr>
          <w:rFonts w:ascii="标宋" w:eastAsia="标宋" w:hint="eastAsia"/>
          <w:sz w:val="21.0"/>
          <w:szCs w:val="21.0"/>
          <w:u w:val="single"/>
          <w:color w:val="000000"/>
        </w:rPr>
        <w:t xml:space="preserve">  2024年02月06日  </w:t>
      </w:r>
      <w:r>
        <w:rPr>
          <w:rFonts w:ascii="标宋" w:eastAsia="标宋" w:hint="eastAsia"/>
          <w:sz w:val="21.0"/>
          <w:szCs w:val="21.0"/>
          <w:color w:val="000000"/>
        </w:rPr>
        <w:t xml:space="preserve">至</w:t>
      </w:r>
      <w:r>
        <w:rPr>
          <w:rFonts w:ascii="标宋" w:eastAsia="标宋" w:hint="eastAsia"/>
          <w:sz w:val="21.0"/>
          <w:szCs w:val="21.0"/>
          <w:u w:val="single"/>
          <w:color w:val="000000"/>
        </w:rPr>
        <w:t xml:space="preserve">  2024年02月18日  </w:t>
      </w:r>
      <w:r>
        <w:rPr>
          <w:rFonts w:ascii="标宋" w:eastAsia="标宋" w:hint="eastAsia"/>
          <w:sz w:val="21.0"/>
          <w:szCs w:val="21.0"/>
          <w:color w:val="000000"/>
        </w:rPr>
        <w:t xml:space="preserve">（法定公休日、法定节假日除外），登录</w:t>
      </w:r>
      <w:r>
        <w:rPr>
          <w:rFonts w:ascii="标宋" w:eastAsia="标宋" w:hint="eastAsia"/>
          <w:sz w:val="21.0"/>
          <w:szCs w:val="21.0"/>
          <w:u w:val="single"/>
          <w:color w:val="000000"/>
        </w:rPr>
        <w:t xml:space="preserve">  广州公共资源交易中心网站（http://www.gzggzy.cn）  </w:t>
      </w:r>
      <w:r>
        <w:rPr>
          <w:rFonts w:ascii="标宋" w:eastAsia="标宋" w:hint="eastAsia"/>
          <w:sz w:val="21.0"/>
          <w:szCs w:val="21.0"/>
          <w:color w:val="000000"/>
        </w:rPr>
        <w:t xml:space="preserve">选择对应标段进行投标登记，并在广东省公路水运工程建设项目电子招投标交易平台（http://jtcbs.gdcd.gov.cn:30887/tenderlogin） 进行账号注册。</w:t>
      </w:r>
      <w:r>
        <w:rPr>
          <w:rFonts w:ascii="标宋" w:eastAsia="标宋" w:hint="eastAsia"/>
          <w:sz w:val="21.0"/>
          <w:szCs w:val="21.0"/>
          <w:color w:val="000000"/>
        </w:rPr>
        <w:t xml:space="preserve">经招标人或招标代理确认投标登记成功后，投标人在广东省公路水运工程建设项目电子招投标交易平台自行下载招标文件等相关资料。</w:t>
      </w:r>
    </w:p>
    <w:p>
      <w:pPr>
        <w:spacing w:line="280" w:lineRule="auto"/>
      </w:pPr>
      <w:r>
        <w:rPr>
          <w:rFonts w:ascii="标宋" w:eastAsia="标宋" w:hint="eastAsia"/>
          <w:sz w:val="21.0"/>
          <w:szCs w:val="21.0"/>
          <w:color w:val="000000"/>
        </w:rPr>
        <w:t xml:space="preserve">    4.2 电子交易平台服务费每标段收取</w:t>
      </w:r>
      <w:r>
        <w:rPr>
          <w:rFonts w:ascii="标宋" w:eastAsia="标宋" w:hint="eastAsia"/>
          <w:sz w:val="21.0"/>
          <w:szCs w:val="21.0"/>
          <w:u w:val="single"/>
          <w:color w:val="000000"/>
        </w:rPr>
        <w:t xml:space="preserve">  1,000  </w:t>
      </w:r>
      <w:r>
        <w:rPr>
          <w:rFonts w:ascii="标宋" w:eastAsia="标宋" w:hint="eastAsia"/>
          <w:sz w:val="21.0"/>
          <w:szCs w:val="21.0"/>
          <w:color w:val="000000"/>
        </w:rPr>
        <w:t xml:space="preserve">元,售后不退（同一投标人在本次招标中参加多个标段投标的，需要按标段数量分别进行费用缴纳）。投标人须将缴费证明资料扫描件上传到广东省公路水运工程建设项目电子招投标交易平台，电子交易平台服务费缴纳方式为电汇或转账，由技术支持单位收取，须用单位账户转账，转账备注中写明项目名称。</w:t>
      </w:r>
    </w:p>
    <w:p>
      <w:pPr>
        <w:spacing w:line="280" w:lineRule="auto"/>
      </w:pPr>
    </w:p>
    <w:p>
      <w:pPr>
        <w:spacing w:line="280" w:lineRule="auto"/>
      </w:pPr>
      <w:r>
        <w:rPr>
          <w:rFonts w:ascii="标宋" w:eastAsia="标宋" w:hint="eastAsia"/>
          <w:sz w:val="21.0"/>
          <w:szCs w:val="21.0"/>
          <w:color w:val="000000"/>
        </w:rPr>
        <w:t xml:space="preserve">技术支持单位开户银行及账号如下：</w:t>
      </w:r>
    </w:p>
    <w:p>
      <w:pPr>
        <w:spacing w:line="280" w:lineRule="auto"/>
      </w:pPr>
      <w:r>
        <w:rPr>
          <w:rFonts w:ascii="标宋" w:eastAsia="标宋" w:hint="eastAsia"/>
          <w:sz w:val="21.0"/>
          <w:szCs w:val="21.0"/>
          <w:color w:val="000000"/>
        </w:rPr>
        <w:t xml:space="preserve">开户名称：</w:t>
      </w:r>
      <w:r>
        <w:rPr>
          <w:rFonts w:ascii="标宋" w:eastAsia="标宋" w:hint="eastAsia"/>
          <w:sz w:val="21.0"/>
          <w:szCs w:val="21.0"/>
          <w:u w:val="single"/>
          <w:color w:val="000000"/>
        </w:rPr>
        <w:t xml:space="preserve"> 广州市交正工程咨询有限公司 </w:t>
      </w:r>
    </w:p>
    <w:p>
      <w:pPr>
        <w:spacing w:line="280" w:lineRule="auto"/>
      </w:pPr>
      <w:r>
        <w:rPr>
          <w:rFonts w:ascii="标宋" w:eastAsia="标宋" w:hint="eastAsia"/>
          <w:sz w:val="21.0"/>
          <w:szCs w:val="21.0"/>
          <w:color w:val="000000"/>
        </w:rPr>
        <w:t xml:space="preserve">开户银行：</w:t>
      </w:r>
      <w:r>
        <w:rPr>
          <w:rFonts w:ascii="标宋" w:eastAsia="标宋" w:hint="eastAsia"/>
          <w:sz w:val="21.0"/>
          <w:szCs w:val="21.0"/>
          <w:u w:val="single"/>
          <w:color w:val="000000"/>
        </w:rPr>
        <w:t xml:space="preserve"> 中国工商银行广州花城支行  </w:t>
      </w:r>
    </w:p>
    <w:p>
      <w:pPr>
        <w:spacing w:line="280" w:lineRule="auto"/>
      </w:pPr>
      <w:r>
        <w:rPr>
          <w:rFonts w:ascii="标宋" w:eastAsia="标宋" w:hint="eastAsia"/>
          <w:sz w:val="21.0"/>
          <w:szCs w:val="21.0"/>
          <w:color w:val="000000"/>
        </w:rPr>
        <w:t xml:space="preserve">账号</w:t>
      </w:r>
      <w:r>
        <w:rPr>
          <w:rFonts w:ascii="标宋" w:eastAsia="标宋" w:hint="eastAsia"/>
          <w:sz w:val="21.0"/>
          <w:szCs w:val="21.0"/>
          <w:u w:val="single"/>
          <w:color w:val="000000"/>
        </w:rPr>
        <w:t xml:space="preserve"> 3602028519202301018 </w:t>
      </w:r>
    </w:p>
    <w:p>
      <w:pPr>
        <w:spacing w:line="280" w:lineRule="auto"/>
      </w:pPr>
      <w:r>
        <w:rPr>
          <w:rFonts w:ascii="标宋" w:eastAsia="标宋" w:hint="eastAsia"/>
          <w:sz w:val="21.0"/>
          <w:szCs w:val="21.0"/>
          <w:color w:val="000000"/>
        </w:rPr>
        <w:t xml:space="preserve">技术支持联系人及联系方式：</w:t>
      </w:r>
      <w:r>
        <w:rPr>
          <w:rFonts w:ascii="标宋" w:eastAsia="标宋" w:hint="eastAsia"/>
          <w:sz w:val="21.0"/>
          <w:szCs w:val="21.0"/>
          <w:u w:val="single"/>
          <w:color w:val="000000"/>
        </w:rPr>
        <w:t xml:space="preserve"> 王工、林工020-39185477 </w:t>
      </w:r>
    </w:p>
    <w:p>
      <w:pPr>
        <w:spacing w:line="280" w:lineRule="auto"/>
      </w:pPr>
    </w:p>
    <w:p>
      <w:pPr>
        <w:spacing w:line="280" w:lineRule="auto"/>
        <w:outlineLvl w:val="3"/>
      </w:pPr>
      <w:r>
        <w:rPr>
          <w:rFonts w:ascii="标宋" w:eastAsia="标宋" w:hint="eastAsia"/>
          <w:sz w:val="21.0"/>
          <w:szCs w:val="21.0"/>
          <w:color w:val="000000"/>
        </w:rPr>
        <w:t xml:space="preserve">5.投标文件的递交及相关事宜</w:t>
      </w:r>
    </w:p>
    <w:p>
      <w:pPr>
        <w:spacing w:line="280" w:lineRule="auto"/>
      </w:pPr>
      <w:r>
        <w:rPr>
          <w:rFonts w:ascii="标宋" w:eastAsia="标宋" w:hint="eastAsia"/>
          <w:sz w:val="21.0"/>
          <w:szCs w:val="21.0"/>
          <w:color w:val="000000"/>
        </w:rPr>
        <w:t xml:space="preserve">    5.1 招标人将不统一组织现场考察及召开投标预备会。</w:t>
      </w:r>
    </w:p>
    <w:p>
      <w:pPr>
        <w:spacing w:line="280" w:lineRule="auto"/>
      </w:pPr>
      <w:r>
        <w:rPr>
          <w:rFonts w:ascii="标宋" w:eastAsia="标宋" w:hint="eastAsia"/>
          <w:sz w:val="21.0"/>
          <w:szCs w:val="21.0"/>
          <w:color w:val="000000"/>
        </w:rPr>
        <w:t xml:space="preserve">    5.2 投标文件递交的截止时间(投标截止时间，下同)为</w:t>
      </w:r>
      <w:r>
        <w:rPr>
          <w:rFonts w:ascii="标宋" w:eastAsia="标宋" w:hint="eastAsia"/>
          <w:sz w:val="21.0"/>
          <w:szCs w:val="21.0"/>
          <w:u w:val="single"/>
          <w:color w:val="000000"/>
        </w:rPr>
        <w:t xml:space="preserve">  2024年03月13日09时30分  </w:t>
      </w:r>
      <w:r>
        <w:rPr>
          <w:rFonts w:ascii="" w:eastAsia="" w:hint="eastAsia"/>
          <w:sz w:val="21.0"/>
          <w:szCs w:val="21.0"/>
          <w:color w:val="000000"/>
        </w:rPr>
        <w:t xml:space="preserve">。</w:t>
      </w:r>
    </w:p>
    <w:p>
      <w:pPr>
        <w:spacing w:line="280" w:lineRule="auto"/>
      </w:pPr>
      <w:r>
        <w:rPr>
          <w:rFonts w:ascii="" w:eastAsia="" w:hint="eastAsia"/>
          <w:sz w:val="21.0"/>
          <w:szCs w:val="21.0"/>
          <w:color w:val="000000"/>
        </w:rPr>
        <w:t xml:space="preserve">    投标文件电子文件统一采用网络上传的方式，投标人于2024年2月19日00时00分至2024年3月13日9时30分将电子文件完整上传。递交投标文件纸质文件截止时间为2024年3月13日9时30分，投标人应于2024年3月13日9时0分至2024年3月13日9时30分将投标文件纸质文件递交至广州公共资源交易中心相应的开标室，具体开标室见交易中心大厅公告（广州市天河区天润路333号）。</w:t>
      </w:r>
    </w:p>
    <w:p>
      <w:pPr>
        <w:spacing w:line="280" w:lineRule="auto"/>
      </w:pPr>
      <w:r>
        <w:rPr>
          <w:rFonts w:ascii="" w:eastAsia="" w:hint="eastAsia"/>
          <w:sz w:val="21.0"/>
          <w:szCs w:val="21.0"/>
          <w:color w:val="000000"/>
        </w:rPr>
        <w:t xml:space="preserve">逾期送达的、未送达指定地点的或不按照招标文件要求密封的投标文件，招标人将予以拒收。</w:t>
      </w:r>
    </w:p>
    <w:p>
      <w:pPr>
        <w:spacing w:line="280" w:lineRule="auto"/>
      </w:pPr>
      <w:r>
        <w:rPr>
          <w:rFonts w:ascii="" w:eastAsia="" w:hint="eastAsia"/>
          <w:sz w:val="21.0"/>
          <w:szCs w:val="21.0"/>
          <w:color w:val="000000"/>
        </w:rPr>
        <w:t xml:space="preserve">     5.3逾期送达的、未送达指定地点的或不按照招标文件要求密封的投标文件，招标人将予以拒收。</w:t>
      </w:r>
    </w:p>
    <w:p>
      <w:pPr>
        <w:spacing w:line="280" w:lineRule="auto"/>
      </w:pPr>
      <w:r>
        <w:rPr>
          <w:rFonts w:ascii="" w:eastAsia="" w:hint="eastAsia"/>
          <w:sz w:val="21.0"/>
          <w:szCs w:val="21.0"/>
          <w:color w:val="000000"/>
        </w:rPr>
        <w:t xml:space="preserve">     5.4投标人应落实广州市疫情防控政策及广州公共资源交易中心防疫要求，如投标人因未做好防疫工作导致无法按时递交投标文件，且未提前书面告知招标人，视为无故放弃投标。</w:t>
      </w:r>
    </w:p>
    <w:p>
      <w:pPr>
        <w:spacing w:line="280" w:lineRule="auto"/>
      </w:pPr>
    </w:p>
    <w:p>
      <w:pPr>
        <w:spacing w:line="280" w:lineRule="auto"/>
        <w:outlineLvl w:val="3"/>
      </w:pPr>
      <w:r>
        <w:rPr>
          <w:rFonts w:ascii="标宋" w:eastAsia="标宋" w:hint="eastAsia"/>
          <w:sz w:val="21.0"/>
          <w:szCs w:val="21.0"/>
          <w:color w:val="000000"/>
        </w:rPr>
        <w:t xml:space="preserve">6.发布公告的媒介</w:t>
      </w:r>
    </w:p>
    <w:p>
      <w:pPr>
        <w:spacing w:line="280" w:lineRule="auto"/>
      </w:pPr>
      <w:r>
        <w:rPr>
          <w:rFonts w:ascii="" w:eastAsia="" w:hint="eastAsia"/>
          <w:sz w:val="21.0"/>
          <w:szCs w:val="21.0"/>
          <w:color w:val="000000"/>
        </w:rPr>
        <w:t xml:space="preserve">    本次招标公告同时在广东省招标投标监管网、广州公共资源交易中心网、粤采易阳光采购平台上发布。如公告详细内容不一致者，以广东省招标投标监管网公告为准。</w:t>
      </w:r>
    </w:p>
    <w:p>
      <w:pPr>
        <w:spacing w:line="280" w:lineRule="auto"/>
      </w:pPr>
      <w:r>
        <w:rPr>
          <w:rFonts w:ascii="" w:eastAsia="" w:hint="eastAsia"/>
          <w:sz w:val="21.0"/>
          <w:szCs w:val="21.0"/>
          <w:color w:val="000000"/>
        </w:rPr>
        <w:t xml:space="preserve">7.在规定的投标期间，如某个标段报名并购买招标文件的投标人不足3家时，招标人有权选择以下任一方式：（1）在广东省招标投标监管网及广州公共资源交易中心网站发布公告延长上述投标人家数不足的标段投标登记时间，在延期投标登记时间内，已投标登记投标人的资料仍有效并可自行补充资料，未投标登记的投标人可根据公告的约定进行投标登记；（2）对上述投标人家数不足的标段依法重新组织招标或不再招标。</w:t>
      </w:r>
    </w:p>
    <w:p>
      <w:pPr>
        <w:spacing w:line="280" w:lineRule="auto"/>
        <w:jc w:val="center"/>
      </w:pPr>
    </w:p>
    <w:p>
      <w:pPr>
        <w:spacing w:line="280" w:lineRule="auto"/>
        <w:outlineLvl w:val="3"/>
      </w:pPr>
      <w:r>
        <w:rPr>
          <w:rFonts w:ascii="标宋" w:eastAsia="标宋" w:hint="eastAsia"/>
          <w:sz w:val="21.0"/>
          <w:szCs w:val="21.0"/>
          <w:color w:val="000000"/>
        </w:rPr>
        <w:t xml:space="preserve">8.联系方式</w:t>
      </w:r>
    </w:p>
    <w:p>
      <w:pPr>
        <w:spacing w:line="280" w:lineRule="auto"/>
        <w:jc w:val="center"/>
      </w:pPr>
    </w:p>
    <w:tbl>
      <w:tblPr>
        <w:tblW w:w="0" w:type="auto"/>
      </w:tblPr>
      <w:tblGrid>
        <w:gridCol w:w="3240"/>
        <w:gridCol w:w="3300"/>
      </w:tblGrid>
      <w:tr>
        <w:trPr>
          <w:trHeight w:val="2220"/>
        </w:trPr>
        <w:tc>
          <w:tcPr>
            <w:tcBorders/>
            <w:tcW w:w="4860" w:type="dxa"/>
          </w:tcPr>
          <w:p>
            <w:pPr/>
            <w:r>
              <w:rPr>
                <w:rFonts w:ascii="标宋" w:eastAsia="标宋" w:hint="eastAsia"/>
                <w:sz w:val="21.0"/>
                <w:szCs w:val="21.0"/>
                <w:color w:val="000000"/>
              </w:rPr>
              <w:t xml:space="preserve">招标人：  京珠高速公路广珠段有限公司</w:t>
            </w:r>
          </w:p>
          <w:p>
            <w:pPr/>
            <w:r>
              <w:rPr>
                <w:rFonts w:ascii="标宋" w:eastAsia="标宋" w:hint="eastAsia"/>
                <w:sz w:val="21.0"/>
                <w:szCs w:val="21.0"/>
                <w:color w:val="000000"/>
              </w:rPr>
              <w:t xml:space="preserve">地址：  中山市南朗镇关塘村京珠高速公路广珠段改扩建管理处</w:t>
            </w:r>
          </w:p>
          <w:p>
            <w:pPr/>
            <w:r>
              <w:rPr>
                <w:rFonts w:ascii="标宋" w:eastAsia="标宋" w:hint="eastAsia"/>
                <w:sz w:val="21.0"/>
                <w:szCs w:val="21.0"/>
                <w:color w:val="000000"/>
              </w:rPr>
              <w:t xml:space="preserve">邮政编码：  510000</w:t>
            </w:r>
          </w:p>
          <w:p>
            <w:pPr/>
            <w:r>
              <w:rPr>
                <w:rFonts w:ascii="标宋" w:eastAsia="标宋" w:hint="eastAsia"/>
                <w:sz w:val="21.0"/>
                <w:szCs w:val="21.0"/>
                <w:color w:val="000000"/>
              </w:rPr>
              <w:t xml:space="preserve">联系人：  李先生、屈先生</w:t>
            </w:r>
          </w:p>
          <w:p>
            <w:pPr/>
            <w:r>
              <w:rPr>
                <w:rFonts w:ascii="标宋" w:eastAsia="标宋" w:hint="eastAsia"/>
                <w:sz w:val="21.0"/>
                <w:szCs w:val="21.0"/>
                <w:color w:val="000000"/>
              </w:rPr>
              <w:t xml:space="preserve">电 话：  17675687815</w:t>
            </w:r>
          </w:p>
          <w:p>
            <w:pPr/>
            <w:r>
              <w:rPr>
                <w:rFonts w:ascii="标宋" w:eastAsia="标宋" w:hint="eastAsia"/>
                <w:sz w:val="21.0"/>
                <w:szCs w:val="21.0"/>
                <w:color w:val="000000"/>
              </w:rPr>
              <w:t xml:space="preserve">传 真：  </w:t>
            </w:r>
          </w:p>
          <w:p>
            <w:pPr/>
            <w:r>
              <w:rPr>
                <w:rFonts w:ascii="标宋" w:eastAsia="标宋" w:hint="eastAsia"/>
                <w:sz w:val="21.0"/>
                <w:szCs w:val="21.0"/>
                <w:color w:val="000000"/>
              </w:rPr>
              <w:t xml:space="preserve">电子邮件：  29700042@qq.com</w:t>
            </w:r>
          </w:p>
        </w:tc>
        <w:tc>
          <w:tcPr>
            <w:tcBorders/>
            <w:tcW w:w="4950" w:type="dxa"/>
          </w:tcPr>
          <w:p>
            <w:pPr/>
            <w:r>
              <w:rPr>
                <w:rFonts w:ascii="" w:eastAsia="" w:hint="eastAsia"/>
                <w:sz w:val="21.0"/>
                <w:szCs w:val="21.0"/>
                <w:color w:val="000000"/>
              </w:rPr>
              <w:t xml:space="preserve"/>
            </w:r>
          </w:p>
          <w:p>
            <w:pPr/>
            <w:r>
              <w:rPr>
                <w:rFonts w:ascii="" w:eastAsia="" w:hint="eastAsia"/>
                <w:sz w:val="21.0"/>
                <w:szCs w:val="21.0"/>
                <w:color w:val="000000"/>
              </w:rPr>
              <w:t xml:space="preserve"/>
            </w:r>
          </w:p>
        </w:tc>
      </w:tr>
    </w:tbl>
    <w:p>
      <w:pPr>
        <w:spacing w:line="280" w:lineRule="auto"/>
      </w:pPr>
      <w:r>
        <w:rPr>
          <w:rFonts w:ascii="" w:eastAsia="" w:hint="eastAsia"/>
          <w:sz w:val="21.0"/>
          <w:szCs w:val="21.0"/>
          <w:color w:val="000000"/>
        </w:rPr>
        <w:t xml:space="preserve">                                                      2024年02月06日</w:t>
      </w:r>
    </w:p>
    <w:p>
      <w:pPr>
        <w:spacing w:line="280" w:lineRule="auto"/>
      </w:pPr>
    </w:p>
    <w:p>
      <w:pPr>
        <w:spacing w:line="280" w:lineRule="auto"/>
      </w:pPr>
    </w:p>
    <w:p>
      <w:pPr>
        <w:spacing w:line="280" w:lineRule="auto"/>
      </w:pPr>
    </w:p>
    <w:p>
      <w:pPr>
        <w:spacing w:line="280" w:lineRule="auto"/>
      </w:pPr>
    </w:p>
    <w:p>
      <w:pPr>
        <w:spacing w:line="280" w:lineRule="auto"/>
      </w:pPr>
      <w:r>
        <w:rPr>
          <w:rFonts w:ascii="" w:eastAsia="" w:hint="eastAsia"/>
          <w:sz w:val="21.0"/>
          <w:szCs w:val="21.0"/>
          <w:color w:val="000000"/>
        </w:rPr>
        <w:t xml:space="preserve">附件</w:t>
      </w:r>
    </w:p>
    <w:p>
      <w:pPr>
        <w:spacing w:line="280" w:lineRule="auto"/>
      </w:pPr>
      <w:r>
        <w:rPr>
          <w:rFonts w:ascii="" w:eastAsia="" w:hint="eastAsia"/>
          <w:sz w:val="21.0"/>
          <w:szCs w:val="21.0"/>
          <w:color w:val="000000"/>
        </w:rPr>
        <w:t xml:space="preserve">附件1：标段的划分及主要工程项目情况</w:t>
      </w:r>
    </w:p>
    <w:p>
      <w:pPr>
        <w:spacing w:line="280" w:lineRule="auto"/>
      </w:pPr>
      <w:r>
        <w:rPr>
          <w:rFonts w:ascii="" w:eastAsia="" w:hint="eastAsia"/>
          <w:sz w:val="21.0"/>
          <w:szCs w:val="21.0"/>
          <w:color w:val="000000"/>
        </w:rPr>
        <w:t xml:space="preserve">附件2：资格审查条件附录</w:t>
      </w:r>
      <w:r>
        <w:rPr>
          <w:rFonts w:ascii="" w:eastAsia="" w:hint="eastAsia"/>
          <w:sz w:val="21.0"/>
          <w:szCs w:val="21.0"/>
          <w:u w:val="single"/>
          <w:color w:val="000000"/>
        </w:rPr>
        <w:t xml:space="preserve">1</w:t>
      </w:r>
      <w:r>
        <w:rPr>
          <w:rFonts w:ascii="" w:eastAsia="" w:hint="eastAsia"/>
          <w:sz w:val="21.0"/>
          <w:szCs w:val="21.0"/>
          <w:color w:val="000000"/>
        </w:rPr>
        <w:t xml:space="preserve">至附录</w:t>
      </w:r>
      <w:r>
        <w:rPr>
          <w:rFonts w:ascii="" w:eastAsia="" w:hint="eastAsia"/>
          <w:sz w:val="21.0"/>
          <w:szCs w:val="21.0"/>
          <w:u w:val="single"/>
          <w:color w:val="000000"/>
        </w:rPr>
        <w:t xml:space="preserve">7</w:t>
      </w:r>
    </w:p>
    <w:p>
      <w:pPr>
        <w:spacing w:line="280" w:lineRule="auto"/>
      </w:pPr>
      <w:r>
        <w:rPr>
          <w:rFonts w:ascii="" w:eastAsia="" w:hint="eastAsia"/>
          <w:sz w:val="21.0"/>
          <w:szCs w:val="21.0"/>
          <w:color w:val="000000"/>
        </w:rPr>
        <w:t xml:space="preserve">附件3：评标办法</w:t>
      </w:r>
    </w:p>
    <w:p>
      <w:pPr>
        <w:spacing w:line="280" w:lineRule="auto"/>
      </w:pPr>
      <w:r>
        <w:rPr>
          <w:rFonts w:ascii="" w:eastAsia="" w:hint="eastAsia"/>
          <w:sz w:val="21.0"/>
          <w:szCs w:val="21.0"/>
          <w:color w:val="000000"/>
        </w:rPr>
        <w:t xml:space="preserve">以上附件可从发布公告的网站媒介上下载</w:t>
      </w:r>
    </w:p>
    <w:sectPr>
      <w:headerReference w:type="default" r:id="rId6"/>
      <w:pgSz w:w="11895" w:h="16830"/>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361" w:rsidRDefault="007D4361" w:rsidP="00FB4EB6">
      <w:r>
        <w:separator/>
      </w:r>
    </w:p>
  </w:endnote>
  <w:endnote w:type="continuationSeparator" w:id="0">
    <w:p w:rsidR="007D4361" w:rsidRDefault="007D4361" w:rsidP="00FB4E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361" w:rsidRDefault="007D4361" w:rsidP="00FB4EB6">
      <w:r>
        <w:separator/>
      </w:r>
    </w:p>
  </w:footnote>
  <w:footnote w:type="continuationSeparator" w:id="0">
    <w:p w:rsidR="007D4361" w:rsidRDefault="007D4361" w:rsidP="00FB4E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4EB6"/>
    <w:rsid w:val="00042A47"/>
    <w:rsid w:val="000F0DDC"/>
    <w:rsid w:val="001C6EE4"/>
    <w:rsid w:val="001D3119"/>
    <w:rsid w:val="00220E97"/>
    <w:rsid w:val="003B5F21"/>
    <w:rsid w:val="004E4AE8"/>
    <w:rsid w:val="00563D4F"/>
    <w:rsid w:val="005E0DA2"/>
    <w:rsid w:val="00657103"/>
    <w:rsid w:val="007D1547"/>
    <w:rsid w:val="007D4361"/>
    <w:rsid w:val="008B57B6"/>
    <w:rsid w:val="008E041F"/>
    <w:rsid w:val="00922B72"/>
    <w:rsid w:val="009D1018"/>
    <w:rsid w:val="00BE5625"/>
    <w:rsid w:val="00D317F6"/>
    <w:rsid w:val="00F6648A"/>
    <w:rsid w:val="00FB4E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5F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B4E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B4EB6"/>
    <w:rPr>
      <w:kern w:val="2"/>
      <w:sz w:val="18"/>
      <w:szCs w:val="18"/>
    </w:rPr>
  </w:style>
  <w:style w:type="paragraph" w:styleId="a4">
    <w:name w:val="footer"/>
    <w:basedOn w:val="a"/>
    <w:link w:val="Char0"/>
    <w:rsid w:val="00FB4EB6"/>
    <w:pPr>
      <w:tabs>
        <w:tab w:val="center" w:pos="4153"/>
        <w:tab w:val="right" w:pos="8306"/>
      </w:tabs>
      <w:snapToGrid w:val="0"/>
      <w:jc w:val="left"/>
    </w:pPr>
    <w:rPr>
      <w:sz w:val="18"/>
      <w:szCs w:val="18"/>
    </w:rPr>
  </w:style>
  <w:style w:type="character" w:customStyle="1" w:styleId="Char0">
    <w:name w:val="页脚 Char"/>
    <w:basedOn w:val="a0"/>
    <w:link w:val="a4"/>
    <w:rsid w:val="00FB4EB6"/>
    <w:rPr>
      <w:kern w:val="2"/>
      <w:sz w:val="18"/>
      <w:szCs w:val="18"/>
    </w:rPr>
  </w:style>
  <w:style w:type="table" w:styleId="a5">
    <w:name w:val="Table Grid"/>
    <w:basedOn w:val="a1"/>
    <w:rsid w:val="00BF4FD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wanghg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wanghg</dc:creator>
  <cp:keywords/>
  <dc:description/>
  <cp:lastModifiedBy>wanghg</cp:lastModifiedBy>
  <cp:revision>1</cp:revision>
  <dcterms:created xsi:type="dcterms:W3CDTF">2010-04-22T11:37:00Z</dcterms:created>
  <dcterms:modified xsi:type="dcterms:W3CDTF">2010-04-22T11:38:00Z</dcterms:modified>
</cp:coreProperties>
</file>