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hint="eastAsia"/>
          <w:b/>
          <w:bCs/>
          <w:spacing w:val="40"/>
          <w:sz w:val="44"/>
          <w:szCs w:val="44"/>
        </w:rPr>
      </w:pPr>
      <w:r>
        <w:rPr>
          <w:rFonts w:hint="eastAsia"/>
          <w:b/>
          <w:bCs/>
          <w:spacing w:val="40"/>
          <w:sz w:val="44"/>
          <w:szCs w:val="44"/>
        </w:rPr>
        <w:t xml:space="preserve"> </w:t>
      </w:r>
    </w:p>
    <w:p>
      <w:pPr>
        <w:spacing w:line="360" w:lineRule="auto"/>
        <w:ind w:left="359" w:leftChars="171"/>
        <w:jc w:val="center"/>
        <w:rPr>
          <w:rFonts w:hint="eastAsia"/>
          <w:b/>
          <w:bCs/>
          <w:spacing w:val="40"/>
          <w:sz w:val="44"/>
          <w:szCs w:val="44"/>
        </w:rPr>
      </w:pPr>
      <w:r>
        <w:rPr>
          <w:rFonts w:hint="eastAsia" w:ascii="宋体" w:hAnsi="宋体" w:cs="宋体"/>
          <w:b/>
          <w:bCs/>
          <w:spacing w:val="40"/>
          <w:sz w:val="44"/>
          <w:szCs w:val="44"/>
          <w:lang w:eastAsia="zh-CN"/>
        </w:rPr>
        <w:t>全国重点文物保护单位黄埔军校旧址孙总理纪念碑修缮工程</w:t>
      </w:r>
    </w:p>
    <w:p>
      <w:pPr>
        <w:spacing w:line="360" w:lineRule="auto"/>
        <w:ind w:left="359" w:leftChars="171"/>
        <w:jc w:val="center"/>
        <w:rPr>
          <w:b/>
          <w:bCs/>
          <w:spacing w:val="40"/>
          <w:sz w:val="44"/>
          <w:szCs w:val="44"/>
        </w:rPr>
      </w:pPr>
    </w:p>
    <w:p>
      <w:pPr>
        <w:spacing w:line="360" w:lineRule="auto"/>
        <w:jc w:val="center"/>
        <w:rPr>
          <w:sz w:val="36"/>
          <w:u w:val="single"/>
        </w:rPr>
      </w:pPr>
    </w:p>
    <w:p>
      <w:pPr>
        <w:spacing w:line="360" w:lineRule="auto"/>
        <w:jc w:val="center"/>
        <w:rPr>
          <w:sz w:val="36"/>
          <w:u w:val="single"/>
        </w:rPr>
      </w:pPr>
    </w:p>
    <w:p>
      <w:pPr>
        <w:spacing w:line="360" w:lineRule="auto"/>
        <w:jc w:val="center"/>
        <w:rPr>
          <w:sz w:val="36"/>
          <w:u w:val="single"/>
        </w:rPr>
      </w:pPr>
    </w:p>
    <w:p>
      <w:pPr>
        <w:spacing w:line="360" w:lineRule="auto"/>
        <w:jc w:val="center"/>
        <w:rPr>
          <w:b/>
          <w:bCs/>
          <w:spacing w:val="26"/>
          <w:sz w:val="110"/>
          <w:szCs w:val="110"/>
          <w14:shadow w14:blurRad="50800" w14:dist="38100" w14:dir="2700000" w14:sx="100000" w14:sy="100000" w14:kx="0" w14:ky="0" w14:algn="tl">
            <w14:srgbClr w14:val="000000">
              <w14:alpha w14:val="60000"/>
            </w14:srgbClr>
          </w14:shadow>
        </w:rPr>
      </w:pPr>
      <w:r>
        <w:rPr>
          <w:rFonts w:hint="eastAsia"/>
          <w:b/>
          <w:bCs/>
          <w:spacing w:val="26"/>
          <w:sz w:val="110"/>
          <w:szCs w:val="110"/>
          <w14:shadow w14:blurRad="50800" w14:dist="38100" w14:dir="2700000" w14:sx="100000" w14:sy="100000" w14:kx="0" w14:ky="0" w14:algn="tl">
            <w14:srgbClr w14:val="000000">
              <w14:alpha w14:val="60000"/>
            </w14:srgbClr>
          </w14:shadow>
        </w:rPr>
        <w:t>招标公告</w:t>
      </w:r>
    </w:p>
    <w:p>
      <w:pPr>
        <w:spacing w:line="360" w:lineRule="auto"/>
        <w:jc w:val="center"/>
        <w:rPr>
          <w:sz w:val="32"/>
        </w:rPr>
      </w:pPr>
    </w:p>
    <w:p>
      <w:pPr>
        <w:spacing w:line="360" w:lineRule="auto"/>
        <w:rPr>
          <w:rFonts w:hint="eastAsia"/>
          <w:sz w:val="52"/>
        </w:rPr>
      </w:pPr>
    </w:p>
    <w:p>
      <w:pPr>
        <w:spacing w:line="360" w:lineRule="auto"/>
        <w:rPr>
          <w:sz w:val="52"/>
        </w:rPr>
      </w:pPr>
    </w:p>
    <w:p>
      <w:pPr>
        <w:spacing w:line="360" w:lineRule="auto"/>
        <w:rPr>
          <w:sz w:val="52"/>
        </w:rPr>
      </w:pPr>
    </w:p>
    <w:p>
      <w:pPr>
        <w:spacing w:line="360" w:lineRule="auto"/>
        <w:ind w:left="638" w:leftChars="304" w:firstLine="600" w:firstLineChars="200"/>
        <w:rPr>
          <w:rFonts w:hint="eastAsia" w:eastAsia="宋体"/>
          <w:sz w:val="30"/>
          <w:szCs w:val="30"/>
          <w:u w:val="single"/>
          <w:lang w:eastAsia="zh-CN"/>
        </w:rPr>
      </w:pPr>
      <w:r>
        <w:rPr>
          <w:rFonts w:hint="eastAsia"/>
          <w:sz w:val="30"/>
          <w:szCs w:val="30"/>
        </w:rPr>
        <w:t>招  标 单 位：</w:t>
      </w:r>
      <w:r>
        <w:rPr>
          <w:rFonts w:hint="eastAsia"/>
          <w:sz w:val="30"/>
          <w:szCs w:val="30"/>
          <w:u w:val="single"/>
          <w:lang w:eastAsia="zh-CN"/>
        </w:rPr>
        <w:t>辛亥革命纪念馆</w:t>
      </w:r>
    </w:p>
    <w:p>
      <w:pPr>
        <w:spacing w:line="360" w:lineRule="auto"/>
        <w:ind w:left="638" w:leftChars="304" w:firstLine="600" w:firstLineChars="200"/>
        <w:rPr>
          <w:rFonts w:hint="eastAsia"/>
          <w:sz w:val="30"/>
          <w:szCs w:val="30"/>
          <w:u w:val="single"/>
        </w:rPr>
      </w:pPr>
      <w:r>
        <w:rPr>
          <w:rFonts w:hint="eastAsia"/>
          <w:sz w:val="30"/>
          <w:szCs w:val="30"/>
        </w:rPr>
        <w:t>招标代理机构：</w:t>
      </w:r>
      <w:r>
        <w:rPr>
          <w:rFonts w:hint="eastAsia"/>
          <w:sz w:val="30"/>
          <w:szCs w:val="30"/>
          <w:u w:val="single"/>
        </w:rPr>
        <w:t>粤廉(广东)招标代理有限公司</w:t>
      </w:r>
    </w:p>
    <w:p>
      <w:pPr>
        <w:spacing w:line="360" w:lineRule="auto"/>
        <w:ind w:left="638" w:leftChars="304" w:firstLine="640" w:firstLineChars="200"/>
        <w:rPr>
          <w:rFonts w:hint="eastAsia" w:ascii="宋体" w:hAnsi="宋体" w:cs="宋体"/>
          <w:sz w:val="32"/>
          <w:highlight w:val="none"/>
        </w:rPr>
      </w:pPr>
      <w:r>
        <w:rPr>
          <w:rFonts w:hint="eastAsia" w:ascii="宋体" w:hAnsi="宋体" w:cs="宋体"/>
          <w:sz w:val="32"/>
        </w:rPr>
        <w:t>日        期：</w:t>
      </w:r>
      <w:r>
        <w:rPr>
          <w:rFonts w:hint="eastAsia" w:ascii="宋体" w:hAnsi="宋体" w:cs="宋体"/>
          <w:sz w:val="32"/>
          <w:u w:val="single"/>
        </w:rPr>
        <w:t>202</w:t>
      </w:r>
      <w:r>
        <w:rPr>
          <w:rFonts w:hint="eastAsia" w:ascii="宋体" w:hAnsi="宋体" w:cs="宋体"/>
          <w:sz w:val="32"/>
          <w:highlight w:val="none"/>
          <w:u w:val="single"/>
          <w:lang w:val="en-US" w:eastAsia="zh-CN"/>
        </w:rPr>
        <w:t>4</w:t>
      </w:r>
      <w:r>
        <w:rPr>
          <w:rFonts w:hint="eastAsia" w:ascii="宋体" w:hAnsi="宋体" w:cs="宋体"/>
          <w:sz w:val="32"/>
          <w:highlight w:val="none"/>
        </w:rPr>
        <w:t>年</w:t>
      </w:r>
      <w:r>
        <w:rPr>
          <w:rFonts w:hint="eastAsia" w:ascii="宋体" w:hAnsi="宋体" w:cs="宋体"/>
          <w:sz w:val="32"/>
          <w:highlight w:val="none"/>
          <w:u w:val="single"/>
          <w:lang w:val="en-US" w:eastAsia="zh-CN"/>
        </w:rPr>
        <w:t>02</w:t>
      </w:r>
      <w:r>
        <w:rPr>
          <w:rFonts w:hint="eastAsia" w:ascii="宋体" w:hAnsi="宋体" w:cs="宋体"/>
          <w:sz w:val="32"/>
          <w:highlight w:val="none"/>
        </w:rPr>
        <w:t>月</w:t>
      </w:r>
    </w:p>
    <w:p>
      <w:pPr>
        <w:spacing w:line="360" w:lineRule="auto"/>
        <w:jc w:val="center"/>
        <w:rPr>
          <w:color w:val="000000"/>
          <w:sz w:val="24"/>
          <w:highlight w:val="none"/>
        </w:rPr>
      </w:pPr>
      <w:r>
        <w:rPr>
          <w:rFonts w:hint="eastAsia"/>
          <w:color w:val="000000"/>
          <w:sz w:val="24"/>
        </w:rPr>
        <w:br w:type="page"/>
      </w:r>
      <w:r>
        <w:rPr>
          <w:rFonts w:hint="eastAsia"/>
          <w:b/>
          <w:bCs/>
          <w:color w:val="000000"/>
          <w:sz w:val="40"/>
          <w:szCs w:val="36"/>
          <w:lang w:eastAsia="zh-CN"/>
        </w:rPr>
        <w:t>全国重点文物保护单位黄埔军校旧址孙总理纪念碑修缮</w:t>
      </w:r>
      <w:r>
        <w:rPr>
          <w:rFonts w:hint="eastAsia"/>
          <w:b/>
          <w:bCs/>
          <w:color w:val="000000"/>
          <w:sz w:val="40"/>
          <w:szCs w:val="36"/>
          <w:highlight w:val="none"/>
          <w:lang w:eastAsia="zh-CN"/>
        </w:rPr>
        <w:t>工程</w:t>
      </w:r>
      <w:r>
        <w:rPr>
          <w:rFonts w:hint="eastAsia"/>
          <w:b/>
          <w:bCs/>
          <w:color w:val="000000"/>
          <w:sz w:val="40"/>
          <w:szCs w:val="36"/>
          <w:highlight w:val="none"/>
        </w:rPr>
        <w:t>招标公告</w:t>
      </w:r>
    </w:p>
    <w:p>
      <w:pPr>
        <w:spacing w:line="480" w:lineRule="auto"/>
        <w:ind w:firstLine="537" w:firstLineChars="224"/>
        <w:jc w:val="center"/>
        <w:rPr>
          <w:color w:val="000000"/>
          <w:sz w:val="24"/>
          <w:highlight w:val="none"/>
        </w:rPr>
      </w:pPr>
    </w:p>
    <w:p>
      <w:pPr>
        <w:spacing w:line="360" w:lineRule="auto"/>
        <w:ind w:firstLine="537" w:firstLineChars="224"/>
        <w:contextualSpacing/>
        <w:rPr>
          <w:rFonts w:ascii="宋体" w:hAnsi="宋体"/>
          <w:color w:val="000000"/>
          <w:sz w:val="24"/>
          <w:highlight w:val="none"/>
        </w:rPr>
      </w:pPr>
      <w:r>
        <w:rPr>
          <w:rFonts w:hint="eastAsia" w:ascii="宋体" w:hAnsi="宋体"/>
          <w:color w:val="000000"/>
          <w:sz w:val="24"/>
          <w:highlight w:val="none"/>
        </w:rPr>
        <w:t>根据</w:t>
      </w:r>
      <w:r>
        <w:rPr>
          <w:rFonts w:hint="eastAsia" w:ascii="宋体" w:hAnsi="宋体"/>
          <w:color w:val="000000"/>
          <w:sz w:val="24"/>
          <w:highlight w:val="none"/>
          <w:u w:val="single"/>
        </w:rPr>
        <w:t>粤文物审〔2023〕140号</w:t>
      </w:r>
      <w:r>
        <w:rPr>
          <w:rFonts w:hint="eastAsia" w:ascii="宋体" w:hAnsi="宋体"/>
          <w:color w:val="000000"/>
          <w:sz w:val="24"/>
          <w:highlight w:val="none"/>
        </w:rPr>
        <w:t>批准，并且图纸和技术资料满足施工需要，</w:t>
      </w:r>
      <w:r>
        <w:rPr>
          <w:rFonts w:hint="eastAsia" w:ascii="宋体" w:hAnsi="宋体"/>
          <w:color w:val="000000"/>
          <w:sz w:val="24"/>
          <w:highlight w:val="none"/>
          <w:u w:val="single"/>
          <w:lang w:eastAsia="zh-CN"/>
        </w:rPr>
        <w:t>辛亥革命纪念馆</w:t>
      </w:r>
      <w:r>
        <w:rPr>
          <w:rFonts w:hint="eastAsia" w:ascii="宋体" w:hAnsi="宋体"/>
          <w:color w:val="000000"/>
          <w:sz w:val="24"/>
          <w:highlight w:val="none"/>
        </w:rPr>
        <w:t>现对</w:t>
      </w:r>
      <w:r>
        <w:rPr>
          <w:rFonts w:hint="eastAsia" w:ascii="宋体" w:hAnsi="宋体"/>
          <w:color w:val="000000"/>
          <w:sz w:val="24"/>
          <w:highlight w:val="none"/>
          <w:u w:val="single"/>
          <w:lang w:eastAsia="zh-CN"/>
        </w:rPr>
        <w:t>全国重点文物保护单位黄埔军校旧址孙总理纪念碑修缮工程</w:t>
      </w:r>
      <w:r>
        <w:rPr>
          <w:rFonts w:hint="eastAsia" w:ascii="宋体" w:hAnsi="宋体"/>
          <w:color w:val="000000"/>
          <w:sz w:val="24"/>
          <w:highlight w:val="none"/>
        </w:rPr>
        <w:t>进行施工</w:t>
      </w:r>
      <w:r>
        <w:rPr>
          <w:rFonts w:hint="eastAsia"/>
          <w:color w:val="000000"/>
          <w:sz w:val="24"/>
          <w:highlight w:val="none"/>
        </w:rPr>
        <w:t>总承包</w:t>
      </w:r>
      <w:r>
        <w:rPr>
          <w:rFonts w:hint="eastAsia" w:ascii="宋体" w:hAnsi="宋体"/>
          <w:color w:val="000000"/>
          <w:sz w:val="24"/>
          <w:highlight w:val="none"/>
        </w:rPr>
        <w:t>公开招标，选定承包人。</w:t>
      </w:r>
    </w:p>
    <w:p>
      <w:pPr>
        <w:tabs>
          <w:tab w:val="center" w:pos="4415"/>
        </w:tabs>
        <w:spacing w:line="360" w:lineRule="auto"/>
        <w:ind w:firstLine="537" w:firstLineChars="224"/>
        <w:contextualSpacing/>
        <w:rPr>
          <w:rFonts w:hint="eastAsia" w:ascii="宋体" w:hAnsi="宋体"/>
          <w:color w:val="000000"/>
          <w:sz w:val="24"/>
          <w:u w:val="single"/>
        </w:rPr>
      </w:pPr>
      <w:r>
        <w:rPr>
          <w:rFonts w:hint="eastAsia" w:ascii="宋体" w:hAnsi="宋体"/>
          <w:color w:val="000000"/>
          <w:sz w:val="24"/>
        </w:rPr>
        <w:t>一、工程名称：</w:t>
      </w:r>
      <w:r>
        <w:rPr>
          <w:rFonts w:hint="eastAsia" w:ascii="宋体" w:hAnsi="宋体"/>
          <w:color w:val="000000"/>
          <w:sz w:val="24"/>
          <w:u w:val="single"/>
          <w:lang w:eastAsia="zh-CN"/>
        </w:rPr>
        <w:t>全国重点文物保护单位黄埔军校旧址孙总理纪念碑修缮工程</w:t>
      </w:r>
    </w:p>
    <w:p>
      <w:pPr>
        <w:tabs>
          <w:tab w:val="center" w:pos="4415"/>
        </w:tabs>
        <w:spacing w:line="360" w:lineRule="auto"/>
        <w:ind w:firstLine="1017" w:firstLineChars="424"/>
        <w:contextualSpacing/>
        <w:rPr>
          <w:rFonts w:hint="default" w:ascii="宋体" w:hAnsi="宋体" w:eastAsia="宋体"/>
          <w:color w:val="000000"/>
          <w:sz w:val="24"/>
          <w:u w:val="single"/>
          <w:lang w:val="en-US" w:eastAsia="zh-CN"/>
        </w:rPr>
      </w:pPr>
      <w:r>
        <w:rPr>
          <w:rFonts w:hint="eastAsia" w:ascii="宋体"/>
          <w:color w:val="000000"/>
          <w:sz w:val="24"/>
        </w:rPr>
        <w:t>项目代码：</w:t>
      </w:r>
      <w:r>
        <w:rPr>
          <w:rFonts w:hint="eastAsia" w:ascii="宋体"/>
          <w:color w:val="000000"/>
          <w:sz w:val="24"/>
          <w:u w:val="single"/>
        </w:rPr>
        <w:t>231</w:t>
      </w:r>
      <w:r>
        <w:rPr>
          <w:rFonts w:hint="eastAsia" w:ascii="宋体"/>
          <w:color w:val="000000"/>
          <w:sz w:val="24"/>
          <w:u w:val="single"/>
          <w:lang w:val="en-US" w:eastAsia="zh-CN"/>
        </w:rPr>
        <w:t>2</w:t>
      </w:r>
      <w:r>
        <w:rPr>
          <w:rFonts w:hint="eastAsia" w:ascii="宋体"/>
          <w:color w:val="000000"/>
          <w:sz w:val="24"/>
          <w:u w:val="single"/>
        </w:rPr>
        <w:t>-440112-04-0</w:t>
      </w:r>
      <w:r>
        <w:rPr>
          <w:rFonts w:hint="eastAsia" w:ascii="宋体"/>
          <w:color w:val="000000"/>
          <w:sz w:val="24"/>
          <w:u w:val="single"/>
          <w:lang w:val="en-US" w:eastAsia="zh-CN"/>
        </w:rPr>
        <w:t>1</w:t>
      </w:r>
      <w:r>
        <w:rPr>
          <w:rFonts w:hint="eastAsia" w:ascii="宋体"/>
          <w:color w:val="000000"/>
          <w:sz w:val="24"/>
          <w:u w:val="single"/>
        </w:rPr>
        <w:t>-</w:t>
      </w:r>
      <w:r>
        <w:rPr>
          <w:rFonts w:hint="eastAsia" w:ascii="宋体"/>
          <w:color w:val="000000"/>
          <w:sz w:val="24"/>
          <w:u w:val="single"/>
          <w:lang w:val="en-US" w:eastAsia="zh-CN"/>
        </w:rPr>
        <w:t>698543</w:t>
      </w:r>
    </w:p>
    <w:p>
      <w:pPr>
        <w:spacing w:line="360" w:lineRule="auto"/>
        <w:ind w:firstLine="537" w:firstLineChars="224"/>
        <w:contextualSpacing/>
        <w:rPr>
          <w:rFonts w:hint="eastAsia" w:ascii="宋体" w:eastAsia="宋体"/>
          <w:color w:val="000000"/>
          <w:sz w:val="24"/>
          <w:u w:val="single"/>
          <w:lang w:eastAsia="zh-CN"/>
        </w:rPr>
      </w:pPr>
      <w:r>
        <w:rPr>
          <w:rFonts w:hint="eastAsia" w:ascii="宋体" w:hAnsi="宋体"/>
          <w:color w:val="000000"/>
          <w:sz w:val="24"/>
        </w:rPr>
        <w:t>二、招标单位：</w:t>
      </w:r>
      <w:r>
        <w:rPr>
          <w:rFonts w:hint="eastAsia" w:ascii="宋体" w:hAnsi="宋体"/>
          <w:color w:val="000000"/>
          <w:sz w:val="24"/>
          <w:u w:val="single"/>
          <w:lang w:eastAsia="zh-CN"/>
        </w:rPr>
        <w:t>辛亥革命纪念馆</w:t>
      </w:r>
    </w:p>
    <w:p>
      <w:pPr>
        <w:spacing w:line="360" w:lineRule="auto"/>
        <w:ind w:firstLine="960" w:firstLineChars="400"/>
        <w:contextualSpacing/>
        <w:rPr>
          <w:rFonts w:hint="eastAsia" w:ascii="宋体" w:hAnsi="宋体" w:eastAsia="宋体" w:cs="宋体"/>
          <w:color w:val="000000"/>
          <w:sz w:val="24"/>
          <w:szCs w:val="24"/>
          <w:highlight w:val="none"/>
          <w:u w:val="single"/>
          <w:lang w:eastAsia="zh-CN"/>
        </w:rPr>
      </w:pPr>
      <w:r>
        <w:rPr>
          <w:rFonts w:hint="eastAsia" w:ascii="宋体" w:hAnsi="宋体" w:cs="宋体"/>
          <w:color w:val="000000"/>
          <w:sz w:val="24"/>
          <w:szCs w:val="24"/>
          <w:highlight w:val="none"/>
          <w:u w:val="single"/>
        </w:rPr>
        <w:t>联系人：</w:t>
      </w:r>
      <w:r>
        <w:rPr>
          <w:rFonts w:hint="eastAsia" w:ascii="宋体" w:hAnsi="宋体" w:cs="宋体"/>
          <w:color w:val="000000"/>
          <w:sz w:val="24"/>
          <w:szCs w:val="24"/>
          <w:highlight w:val="none"/>
          <w:u w:val="single"/>
          <w:lang w:val="en-US" w:eastAsia="zh-CN"/>
        </w:rPr>
        <w:t>杨工</w:t>
      </w:r>
      <w:r>
        <w:rPr>
          <w:rFonts w:hint="eastAsia" w:ascii="宋体" w:hAnsi="宋体" w:cs="宋体"/>
          <w:color w:val="000000"/>
          <w:sz w:val="24"/>
          <w:szCs w:val="24"/>
          <w:highlight w:val="none"/>
          <w:u w:val="single"/>
        </w:rPr>
        <w:t xml:space="preserve">      联系电话：</w:t>
      </w:r>
      <w:r>
        <w:rPr>
          <w:rFonts w:hint="eastAsia" w:ascii="宋体" w:hAnsi="宋体" w:cs="宋体"/>
          <w:color w:val="000000"/>
          <w:sz w:val="24"/>
          <w:szCs w:val="24"/>
          <w:highlight w:val="none"/>
          <w:u w:val="single"/>
          <w:lang w:eastAsia="zh-CN"/>
        </w:rPr>
        <w:t>020-32065846</w:t>
      </w:r>
    </w:p>
    <w:p>
      <w:pPr>
        <w:spacing w:line="360" w:lineRule="auto"/>
        <w:ind w:firstLine="960" w:firstLineChars="400"/>
        <w:contextualSpacing/>
        <w:rPr>
          <w:rFonts w:hint="eastAsia" w:ascii="宋体" w:hAnsi="宋体" w:cs="宋体"/>
          <w:color w:val="000000"/>
          <w:sz w:val="24"/>
          <w:szCs w:val="24"/>
          <w:highlight w:val="none"/>
          <w:u w:val="single"/>
        </w:rPr>
      </w:pPr>
      <w:r>
        <w:rPr>
          <w:rFonts w:hint="eastAsia" w:ascii="宋体" w:hAnsi="宋体" w:cs="宋体"/>
          <w:color w:val="000000"/>
          <w:sz w:val="24"/>
          <w:szCs w:val="24"/>
          <w:highlight w:val="none"/>
          <w:u w:val="single"/>
        </w:rPr>
        <w:t>联系地址：广州市黄埔区长洲岛金洲北路563号</w:t>
      </w:r>
    </w:p>
    <w:p>
      <w:pPr>
        <w:spacing w:line="360" w:lineRule="auto"/>
        <w:ind w:firstLine="960" w:firstLineChars="400"/>
        <w:contextualSpacing/>
        <w:rPr>
          <w:rFonts w:ascii="宋体"/>
          <w:color w:val="000000"/>
          <w:sz w:val="24"/>
          <w:highlight w:val="none"/>
          <w:u w:val="single"/>
        </w:rPr>
      </w:pPr>
      <w:r>
        <w:rPr>
          <w:rFonts w:hint="eastAsia" w:ascii="宋体" w:hAnsi="宋体"/>
          <w:color w:val="000000"/>
          <w:sz w:val="24"/>
          <w:highlight w:val="none"/>
        </w:rPr>
        <w:t>招标代理机构：</w:t>
      </w:r>
      <w:r>
        <w:rPr>
          <w:rFonts w:ascii="宋体" w:hAnsi="宋体" w:cs="宋体"/>
          <w:color w:val="000000"/>
          <w:sz w:val="24"/>
          <w:szCs w:val="24"/>
          <w:highlight w:val="none"/>
          <w:u w:val="single"/>
        </w:rPr>
        <w:t>粤廉(广东)招标代理有限公司</w:t>
      </w:r>
    </w:p>
    <w:p>
      <w:pPr>
        <w:spacing w:line="360" w:lineRule="auto"/>
        <w:ind w:firstLine="1017" w:firstLineChars="424"/>
        <w:contextualSpacing/>
        <w:rPr>
          <w:rFonts w:ascii="宋体" w:hAnsi="宋体" w:cs="宋体"/>
          <w:color w:val="000000"/>
          <w:sz w:val="24"/>
          <w:szCs w:val="24"/>
          <w:highlight w:val="none"/>
          <w:u w:val="single"/>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u w:val="single"/>
          <w:lang w:val="en-US" w:eastAsia="zh-CN"/>
        </w:rPr>
        <w:t>沈工</w:t>
      </w:r>
      <w:r>
        <w:rPr>
          <w:rFonts w:hint="eastAsia" w:ascii="宋体" w:hAnsi="宋体" w:cs="宋体"/>
          <w:color w:val="000000"/>
          <w:sz w:val="24"/>
          <w:szCs w:val="24"/>
          <w:highlight w:val="none"/>
        </w:rPr>
        <w:t xml:space="preserve">    　联系电话：</w:t>
      </w:r>
      <w:r>
        <w:rPr>
          <w:rFonts w:ascii="宋体" w:hAnsi="宋体" w:cs="宋体"/>
          <w:color w:val="000000"/>
          <w:sz w:val="24"/>
          <w:szCs w:val="24"/>
          <w:highlight w:val="none"/>
          <w:u w:val="single"/>
        </w:rPr>
        <w:t>020-37889367</w:t>
      </w:r>
    </w:p>
    <w:p>
      <w:pPr>
        <w:spacing w:line="360" w:lineRule="auto"/>
        <w:ind w:firstLine="1017" w:firstLineChars="424"/>
        <w:contextualSpacing/>
        <w:rPr>
          <w:rFonts w:ascii="宋体" w:hAnsi="宋体"/>
          <w:color w:val="000000"/>
          <w:sz w:val="24"/>
        </w:rPr>
      </w:pPr>
      <w:r>
        <w:rPr>
          <w:rFonts w:hint="eastAsia" w:ascii="宋体" w:hAnsi="宋体"/>
          <w:color w:val="000000"/>
          <w:sz w:val="24"/>
        </w:rPr>
        <w:t>联系地址：</w:t>
      </w:r>
      <w:r>
        <w:rPr>
          <w:rFonts w:ascii="宋体" w:hAnsi="宋体"/>
          <w:color w:val="000000"/>
          <w:sz w:val="24"/>
          <w:u w:val="single"/>
        </w:rPr>
        <w:t>广州市天河区广汕二路13号天河软件园凤凰园区三楼</w:t>
      </w:r>
      <w:r>
        <w:rPr>
          <w:rFonts w:hint="eastAsia" w:ascii="宋体" w:hAnsi="宋体"/>
          <w:color w:val="000000"/>
          <w:sz w:val="24"/>
          <w:u w:val="single"/>
        </w:rPr>
        <w:t>307</w:t>
      </w:r>
    </w:p>
    <w:p>
      <w:pPr>
        <w:spacing w:line="360" w:lineRule="auto"/>
        <w:ind w:firstLine="1017" w:firstLineChars="424"/>
        <w:contextualSpacing/>
        <w:rPr>
          <w:rFonts w:ascii="宋体"/>
          <w:color w:val="000000"/>
          <w:sz w:val="24"/>
          <w:highlight w:val="none"/>
        </w:rPr>
      </w:pPr>
      <w:r>
        <w:rPr>
          <w:rFonts w:hint="eastAsia" w:ascii="宋体" w:hAnsi="宋体"/>
          <w:color w:val="000000"/>
          <w:sz w:val="24"/>
          <w:highlight w:val="none"/>
        </w:rPr>
        <w:t>招标监督机构：</w:t>
      </w:r>
      <w:r>
        <w:rPr>
          <w:rFonts w:hint="eastAsia" w:ascii="宋体" w:hAnsi="宋体"/>
          <w:color w:val="000000"/>
          <w:sz w:val="24"/>
          <w:highlight w:val="none"/>
          <w:u w:val="single"/>
        </w:rPr>
        <w:t>广州市黄埔区文化广电旅游局</w:t>
      </w:r>
    </w:p>
    <w:p>
      <w:pPr>
        <w:spacing w:line="360" w:lineRule="auto"/>
        <w:ind w:firstLine="1017" w:firstLineChars="424"/>
        <w:contextualSpacing/>
        <w:rPr>
          <w:rFonts w:hint="eastAsia" w:ascii="宋体" w:hAnsi="宋体" w:cs="宋体"/>
          <w:color w:val="000000"/>
          <w:sz w:val="24"/>
          <w:szCs w:val="24"/>
          <w:highlight w:val="none"/>
          <w:u w:val="single"/>
        </w:rPr>
      </w:pPr>
      <w:r>
        <w:rPr>
          <w:rFonts w:hint="eastAsia" w:ascii="宋体" w:hAnsi="宋体"/>
          <w:color w:val="000000"/>
          <w:sz w:val="24"/>
          <w:highlight w:val="none"/>
        </w:rPr>
        <w:t>监督电话：</w:t>
      </w:r>
      <w:r>
        <w:rPr>
          <w:rFonts w:hint="eastAsia" w:ascii="宋体" w:hAnsi="宋体" w:eastAsia="宋体" w:cs="宋体"/>
          <w:color w:val="auto"/>
          <w:sz w:val="24"/>
          <w:szCs w:val="24"/>
          <w:highlight w:val="none"/>
          <w:u w:val="single"/>
        </w:rPr>
        <w:t>020-82375709</w:t>
      </w:r>
    </w:p>
    <w:p>
      <w:pPr>
        <w:spacing w:line="360" w:lineRule="auto"/>
        <w:ind w:firstLine="1017" w:firstLineChars="424"/>
        <w:contextualSpacing/>
        <w:rPr>
          <w:rFonts w:ascii="宋体"/>
          <w:color w:val="000000"/>
          <w:sz w:val="24"/>
          <w:highlight w:val="none"/>
        </w:rPr>
      </w:pPr>
      <w:r>
        <w:rPr>
          <w:rFonts w:hint="eastAsia" w:ascii="宋体" w:hAnsi="宋体"/>
          <w:color w:val="000000"/>
          <w:sz w:val="24"/>
          <w:highlight w:val="none"/>
        </w:rPr>
        <w:t>联系地址：</w:t>
      </w:r>
      <w:r>
        <w:rPr>
          <w:rFonts w:hint="eastAsia" w:ascii="宋体" w:hAnsi="宋体"/>
          <w:color w:val="000000"/>
          <w:sz w:val="24"/>
          <w:highlight w:val="none"/>
          <w:u w:val="single"/>
        </w:rPr>
        <w:t>广州市黄埔区香雪大道中87号广垦商务大厦</w:t>
      </w:r>
      <w:r>
        <w:rPr>
          <w:rFonts w:hint="eastAsia" w:ascii="宋体" w:hAnsi="宋体"/>
          <w:color w:val="000000"/>
          <w:sz w:val="24"/>
          <w:highlight w:val="none"/>
          <w:u w:val="single"/>
          <w:lang w:val="en-US" w:eastAsia="zh-CN"/>
        </w:rPr>
        <w:t>A2栋</w:t>
      </w:r>
      <w:r>
        <w:rPr>
          <w:rFonts w:hint="eastAsia" w:ascii="宋体" w:hAnsi="宋体"/>
          <w:color w:val="000000"/>
          <w:sz w:val="24"/>
          <w:highlight w:val="none"/>
          <w:u w:val="single"/>
        </w:rPr>
        <w:t>12楼</w:t>
      </w:r>
    </w:p>
    <w:p>
      <w:pPr>
        <w:numPr>
          <w:ilvl w:val="0"/>
          <w:numId w:val="3"/>
        </w:numPr>
        <w:spacing w:line="360" w:lineRule="auto"/>
        <w:ind w:firstLine="538"/>
        <w:contextualSpacing/>
        <w:rPr>
          <w:rFonts w:hint="eastAsia" w:ascii="宋体" w:hAnsi="宋体"/>
          <w:color w:val="000000"/>
          <w:sz w:val="24"/>
          <w:highlight w:val="none"/>
        </w:rPr>
      </w:pPr>
      <w:r>
        <w:rPr>
          <w:rFonts w:hint="eastAsia" w:ascii="宋体" w:hAnsi="宋体"/>
          <w:color w:val="000000"/>
          <w:sz w:val="24"/>
        </w:rPr>
        <w:t>建设地点：</w:t>
      </w:r>
      <w:r>
        <w:rPr>
          <w:rFonts w:hint="eastAsia" w:ascii="宋体" w:hAnsi="宋体" w:eastAsia="宋体"/>
          <w:color w:val="000000"/>
          <w:sz w:val="24"/>
          <w:u w:val="none"/>
          <w:lang w:eastAsia="zh-CN"/>
        </w:rPr>
        <w:t>广州</w:t>
      </w:r>
      <w:r>
        <w:rPr>
          <w:rFonts w:hint="eastAsia" w:ascii="宋体" w:hAnsi="宋体" w:eastAsia="宋体"/>
          <w:color w:val="000000"/>
          <w:sz w:val="24"/>
          <w:highlight w:val="none"/>
          <w:u w:val="none"/>
          <w:lang w:eastAsia="zh-CN"/>
        </w:rPr>
        <w:t>市</w:t>
      </w:r>
      <w:r>
        <w:rPr>
          <w:rFonts w:hint="eastAsia" w:ascii="宋体" w:hAnsi="宋体" w:eastAsia="宋体"/>
          <w:color w:val="000000"/>
          <w:sz w:val="24"/>
          <w:highlight w:val="none"/>
          <w:u w:val="none"/>
          <w:lang w:val="en-US" w:eastAsia="zh-CN"/>
        </w:rPr>
        <w:t>黄埔</w:t>
      </w:r>
      <w:r>
        <w:rPr>
          <w:rFonts w:hint="eastAsia" w:ascii="宋体" w:hAnsi="宋体" w:eastAsia="宋体"/>
          <w:color w:val="000000"/>
          <w:sz w:val="24"/>
          <w:highlight w:val="none"/>
          <w:u w:val="none"/>
          <w:lang w:eastAsia="zh-CN"/>
        </w:rPr>
        <w:t>区</w:t>
      </w:r>
      <w:r>
        <w:rPr>
          <w:rFonts w:hint="eastAsia" w:ascii="宋体" w:hAnsi="宋体"/>
          <w:color w:val="000000"/>
          <w:sz w:val="24"/>
          <w:highlight w:val="none"/>
          <w:u w:val="none"/>
          <w:lang w:val="en-US" w:eastAsia="zh-CN"/>
        </w:rPr>
        <w:t>长洲街道军校路170号中山公园八卦山上</w:t>
      </w:r>
    </w:p>
    <w:p>
      <w:pPr>
        <w:numPr>
          <w:ilvl w:val="0"/>
          <w:numId w:val="3"/>
        </w:numPr>
        <w:spacing w:line="360" w:lineRule="auto"/>
        <w:ind w:firstLine="538"/>
        <w:contextualSpacing/>
        <w:rPr>
          <w:rFonts w:hint="eastAsia" w:ascii="宋体"/>
          <w:color w:val="000000"/>
          <w:sz w:val="24"/>
          <w:highlight w:val="none"/>
          <w:u w:val="single"/>
        </w:rPr>
      </w:pPr>
      <w:r>
        <w:rPr>
          <w:rFonts w:hint="eastAsia" w:ascii="宋体" w:hAnsi="宋体"/>
          <w:color w:val="000000"/>
          <w:sz w:val="24"/>
          <w:highlight w:val="none"/>
        </w:rPr>
        <w:t>项目概况：</w:t>
      </w:r>
      <w:r>
        <w:rPr>
          <w:rFonts w:hint="eastAsia" w:ascii="宋体" w:hAnsi="宋体" w:eastAsia="宋体"/>
          <w:color w:val="000000"/>
          <w:sz w:val="24"/>
          <w:highlight w:val="none"/>
          <w:u w:val="single"/>
          <w:lang w:val="en-US" w:eastAsia="zh-CN"/>
        </w:rPr>
        <w:t>本工程总占地面积6458.91平方米，其中纪念碑占地面积19.99平方米纪念碑广场占地面积1328.05平方米，景观广场占地面积1293.11平方米，边坡占地面积3817.76平方米</w:t>
      </w:r>
      <w:r>
        <w:rPr>
          <w:rFonts w:hint="eastAsia" w:ascii="宋体" w:hAnsi="宋体" w:eastAsia="宋体"/>
          <w:color w:val="000000"/>
          <w:sz w:val="24"/>
          <w:highlight w:val="none"/>
          <w:u w:val="single"/>
        </w:rPr>
        <w:t>。建设内容主要为边坡支护工程与文物</w:t>
      </w:r>
      <w:r>
        <w:rPr>
          <w:rFonts w:hint="eastAsia" w:ascii="宋体" w:hAnsi="宋体"/>
          <w:color w:val="000000"/>
          <w:sz w:val="24"/>
          <w:highlight w:val="none"/>
          <w:u w:val="single"/>
          <w:lang w:eastAsia="zh-CN"/>
        </w:rPr>
        <w:t>本体</w:t>
      </w:r>
      <w:r>
        <w:rPr>
          <w:rFonts w:hint="eastAsia" w:ascii="宋体" w:hAnsi="宋体" w:eastAsia="宋体"/>
          <w:color w:val="000000"/>
          <w:sz w:val="24"/>
          <w:highlight w:val="none"/>
          <w:u w:val="single"/>
        </w:rPr>
        <w:t>修缮，工程内容包括土建工程、绿化工程（其中包含挂牌古树的保护措施）、给排水工程、室外工程等内容。</w:t>
      </w:r>
    </w:p>
    <w:p>
      <w:pPr>
        <w:spacing w:line="360" w:lineRule="auto"/>
        <w:ind w:firstLine="480" w:firstLineChars="200"/>
        <w:contextualSpacing/>
        <w:rPr>
          <w:rFonts w:ascii="宋体"/>
          <w:color w:val="000000"/>
          <w:sz w:val="24"/>
          <w:highlight w:val="none"/>
          <w:u w:val="single"/>
        </w:rPr>
      </w:pPr>
      <w:r>
        <w:rPr>
          <w:rFonts w:hint="eastAsia" w:ascii="宋体" w:hAnsi="宋体"/>
          <w:color w:val="000000"/>
          <w:sz w:val="24"/>
          <w:highlight w:val="none"/>
        </w:rPr>
        <w:t>五、标段划分及各标段招标内容、规模和最高投标限价：</w:t>
      </w:r>
    </w:p>
    <w:p>
      <w:pPr>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1、本工程划分为</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个标段。</w:t>
      </w:r>
    </w:p>
    <w:p>
      <w:pPr>
        <w:spacing w:line="360" w:lineRule="auto"/>
        <w:ind w:firstLine="537" w:firstLineChars="224"/>
        <w:contextualSpacing/>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2、招标内容</w:t>
      </w:r>
      <w:r>
        <w:rPr>
          <w:rFonts w:ascii="宋体" w:hAnsi="宋体" w:cs="宋体"/>
          <w:color w:val="000000"/>
          <w:sz w:val="24"/>
          <w:szCs w:val="24"/>
          <w:highlight w:val="none"/>
        </w:rPr>
        <w:t>、</w:t>
      </w:r>
      <w:r>
        <w:rPr>
          <w:rFonts w:hint="eastAsia" w:ascii="宋体" w:hAnsi="宋体" w:cs="宋体"/>
          <w:color w:val="000000"/>
          <w:sz w:val="24"/>
          <w:szCs w:val="24"/>
          <w:highlight w:val="none"/>
        </w:rPr>
        <w:t>规模：</w:t>
      </w:r>
      <w:r>
        <w:rPr>
          <w:rFonts w:hint="eastAsia" w:ascii="宋体" w:hAnsi="宋体" w:eastAsia="宋体"/>
          <w:color w:val="000000"/>
          <w:sz w:val="24"/>
          <w:highlight w:val="none"/>
          <w:u w:val="single"/>
          <w:lang w:val="en-US" w:eastAsia="zh-CN"/>
        </w:rPr>
        <w:t>本工程总占地面积6458.91平方米，其中纪念碑占地面积19.99平方米纪念碑广场占地面积1328.05平方米，景观广场占地面积1293.11平方米，边坡占地面积3817.76平方米</w:t>
      </w:r>
      <w:r>
        <w:rPr>
          <w:rFonts w:hint="eastAsia" w:ascii="宋体" w:hAnsi="宋体" w:eastAsia="宋体"/>
          <w:color w:val="000000"/>
          <w:sz w:val="24"/>
          <w:highlight w:val="none"/>
          <w:u w:val="single"/>
        </w:rPr>
        <w:t>。建设内容主要为边坡支护工程与文物</w:t>
      </w:r>
      <w:r>
        <w:rPr>
          <w:rFonts w:hint="eastAsia" w:ascii="宋体" w:hAnsi="宋体"/>
          <w:color w:val="000000"/>
          <w:sz w:val="24"/>
          <w:highlight w:val="none"/>
          <w:u w:val="single"/>
          <w:lang w:eastAsia="zh-CN"/>
        </w:rPr>
        <w:t>本体</w:t>
      </w:r>
      <w:r>
        <w:rPr>
          <w:rFonts w:hint="eastAsia" w:ascii="宋体" w:hAnsi="宋体" w:eastAsia="宋体"/>
          <w:color w:val="000000"/>
          <w:sz w:val="24"/>
          <w:highlight w:val="none"/>
          <w:u w:val="single"/>
        </w:rPr>
        <w:t>修缮，工程内容包括土建工程、绿化工程（其中包含挂牌古树的保护措施）、给排水工程、室外工程等内容。具体内容以本项目施工图纸和工程量清单及招标过程中所发出的相关文件为准。</w:t>
      </w:r>
    </w:p>
    <w:p>
      <w:pPr>
        <w:spacing w:line="360" w:lineRule="auto"/>
        <w:ind w:firstLine="537" w:firstLineChars="224"/>
        <w:contextualSpacing/>
        <w:rPr>
          <w:rFonts w:ascii="宋体"/>
          <w:color w:val="000000"/>
          <w:sz w:val="24"/>
          <w:highlight w:val="none"/>
        </w:rPr>
      </w:pPr>
      <w:r>
        <w:rPr>
          <w:rFonts w:hint="eastAsia" w:ascii="宋体" w:hAnsi="宋体" w:cs="宋体"/>
          <w:color w:val="000000"/>
          <w:sz w:val="24"/>
          <w:szCs w:val="24"/>
          <w:u w:val="single"/>
        </w:rPr>
        <w:t>3、最高投标限价</w:t>
      </w:r>
      <w:r>
        <w:rPr>
          <w:rFonts w:hint="eastAsia" w:ascii="宋体" w:hAnsi="宋体" w:cs="宋体"/>
          <w:color w:val="auto"/>
          <w:sz w:val="24"/>
          <w:szCs w:val="24"/>
          <w:u w:val="single"/>
        </w:rPr>
        <w:t>：2422073.88元。</w:t>
      </w:r>
      <w:r>
        <w:rPr>
          <w:rFonts w:hint="eastAsia" w:ascii="宋体" w:hAnsi="宋体" w:cs="宋体"/>
          <w:color w:val="000000"/>
          <w:sz w:val="24"/>
          <w:szCs w:val="24"/>
          <w:u w:val="single"/>
        </w:rPr>
        <w:t>详见招标人最终发出的《最高投标限价公布函》，投标总报价超过最高投标限价的投标文件将被拒绝。本工程根据国家和省有关计价规范设置最高投标限价</w:t>
      </w:r>
      <w:r>
        <w:rPr>
          <w:rFonts w:hint="eastAsia" w:ascii="宋体" w:hAnsi="宋体"/>
          <w:color w:val="000000"/>
          <w:sz w:val="24"/>
          <w:szCs w:val="24"/>
          <w:u w:val="single"/>
        </w:rPr>
        <w:t>。</w:t>
      </w:r>
    </w:p>
    <w:p>
      <w:pPr>
        <w:spacing w:line="360" w:lineRule="auto"/>
        <w:ind w:firstLine="537" w:firstLineChars="224"/>
        <w:contextualSpacing/>
        <w:rPr>
          <w:rFonts w:ascii="宋体" w:hAnsi="宋体"/>
          <w:color w:val="000000"/>
          <w:sz w:val="24"/>
          <w:highlight w:val="none"/>
          <w:u w:val="single"/>
        </w:rPr>
      </w:pPr>
      <w:r>
        <w:rPr>
          <w:rFonts w:hint="eastAsia" w:ascii="宋体" w:hAnsi="宋体"/>
          <w:color w:val="000000"/>
          <w:sz w:val="24"/>
          <w:highlight w:val="none"/>
        </w:rPr>
        <w:t>六、资金来源：</w:t>
      </w:r>
      <w:r>
        <w:rPr>
          <w:rFonts w:hint="eastAsia" w:ascii="宋体" w:hAnsi="宋体" w:cs="宋体"/>
          <w:color w:val="000000"/>
          <w:sz w:val="24"/>
          <w:szCs w:val="24"/>
          <w:highlight w:val="none"/>
          <w:u w:val="single"/>
        </w:rPr>
        <w:t>区财政资金</w:t>
      </w:r>
    </w:p>
    <w:p>
      <w:pPr>
        <w:spacing w:line="360" w:lineRule="auto"/>
        <w:ind w:left="120" w:leftChars="57" w:firstLine="417" w:firstLineChars="174"/>
        <w:contextualSpacing/>
        <w:rPr>
          <w:rFonts w:ascii="宋体"/>
          <w:color w:val="000000"/>
          <w:sz w:val="24"/>
        </w:rPr>
      </w:pPr>
      <w:r>
        <w:rPr>
          <w:rFonts w:hint="eastAsia" w:ascii="宋体" w:hAnsi="宋体"/>
          <w:color w:val="000000"/>
          <w:sz w:val="24"/>
        </w:rPr>
        <w:t>注：政府投资项目一律不得以建筑业企业带资承包的方式进行建设。</w:t>
      </w:r>
    </w:p>
    <w:p>
      <w:pPr>
        <w:spacing w:line="360" w:lineRule="auto"/>
        <w:ind w:left="435"/>
        <w:contextualSpacing/>
        <w:rPr>
          <w:rFonts w:ascii="宋体" w:hAnsi="宋体" w:cs="宋体"/>
          <w:color w:val="000000"/>
          <w:sz w:val="24"/>
          <w:szCs w:val="24"/>
        </w:rPr>
      </w:pPr>
      <w:r>
        <w:rPr>
          <w:rFonts w:hint="eastAsia" w:ascii="宋体" w:hAnsi="宋体" w:cs="宋体"/>
          <w:color w:val="000000"/>
          <w:kern w:val="0"/>
          <w:sz w:val="24"/>
          <w:szCs w:val="24"/>
        </w:rPr>
        <w:t>七、</w:t>
      </w:r>
      <w:r>
        <w:rPr>
          <w:rFonts w:hint="eastAsia" w:ascii="宋体" w:hAnsi="宋体"/>
          <w:color w:val="000000"/>
          <w:sz w:val="24"/>
        </w:rPr>
        <w:t>公告发布日期、</w:t>
      </w:r>
      <w:r>
        <w:rPr>
          <w:rFonts w:hint="eastAsia" w:ascii="宋体" w:hAnsi="宋体" w:cs="宋体"/>
          <w:color w:val="000000"/>
          <w:sz w:val="24"/>
          <w:szCs w:val="24"/>
        </w:rPr>
        <w:t>递交投标文件时间与开标时间：</w:t>
      </w:r>
    </w:p>
    <w:p>
      <w:pPr>
        <w:spacing w:line="360" w:lineRule="auto"/>
        <w:ind w:firstLine="480" w:firstLineChars="200"/>
        <w:contextualSpacing/>
        <w:rPr>
          <w:rFonts w:ascii="宋体" w:hAnsi="宋体"/>
          <w:color w:val="000000"/>
          <w:sz w:val="24"/>
        </w:rPr>
      </w:pPr>
      <w:r>
        <w:rPr>
          <w:rFonts w:hint="eastAsia" w:ascii="宋体" w:hAnsi="宋体" w:cs="宋体"/>
          <w:color w:val="000000"/>
          <w:sz w:val="24"/>
          <w:szCs w:val="24"/>
        </w:rPr>
        <w:t>1、</w:t>
      </w:r>
      <w:r>
        <w:rPr>
          <w:rFonts w:hint="eastAsia" w:ascii="宋体" w:hAnsi="宋体"/>
          <w:color w:val="000000"/>
          <w:sz w:val="24"/>
        </w:rPr>
        <w:t>公告发布日期（含本日）：</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w:t>
      </w:r>
      <w:r>
        <w:rPr>
          <w:rFonts w:ascii="宋体" w:hAnsi="宋体" w:cs="宋体"/>
          <w:color w:val="000000"/>
          <w:sz w:val="24"/>
          <w:szCs w:val="24"/>
          <w:u w:val="single"/>
        </w:rPr>
        <w:t xml:space="preserve">  </w:t>
      </w:r>
      <w:r>
        <w:rPr>
          <w:rFonts w:hint="eastAsia" w:ascii="宋体" w:hAnsi="宋体" w:cs="宋体"/>
          <w:color w:val="000000"/>
          <w:sz w:val="24"/>
          <w:szCs w:val="24"/>
        </w:rPr>
        <w:t>时</w:t>
      </w:r>
      <w:r>
        <w:rPr>
          <w:rFonts w:ascii="宋体" w:hAnsi="宋体" w:cs="宋体"/>
          <w:color w:val="000000"/>
          <w:sz w:val="24"/>
          <w:szCs w:val="24"/>
          <w:u w:val="single"/>
        </w:rPr>
        <w:t xml:space="preserve">  </w:t>
      </w:r>
      <w:r>
        <w:rPr>
          <w:rFonts w:hint="eastAsia" w:ascii="宋体" w:hAnsi="宋体" w:cs="宋体"/>
          <w:color w:val="000000"/>
          <w:sz w:val="24"/>
          <w:szCs w:val="24"/>
        </w:rPr>
        <w:t>分至</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w:t>
      </w:r>
      <w:r>
        <w:rPr>
          <w:rFonts w:ascii="宋体" w:hAnsi="宋体" w:cs="宋体"/>
          <w:color w:val="000000"/>
          <w:sz w:val="24"/>
          <w:szCs w:val="24"/>
          <w:u w:val="single"/>
        </w:rPr>
        <w:t xml:space="preserve">  </w:t>
      </w:r>
      <w:r>
        <w:rPr>
          <w:rFonts w:hint="eastAsia" w:ascii="宋体" w:hAnsi="宋体" w:cs="宋体"/>
          <w:color w:val="000000"/>
          <w:sz w:val="24"/>
          <w:szCs w:val="24"/>
        </w:rPr>
        <w:t>时</w:t>
      </w:r>
      <w:r>
        <w:rPr>
          <w:rFonts w:ascii="宋体" w:hAnsi="宋体" w:cs="宋体"/>
          <w:color w:val="000000"/>
          <w:sz w:val="24"/>
          <w:szCs w:val="24"/>
          <w:u w:val="single"/>
        </w:rPr>
        <w:t xml:space="preserve">  </w:t>
      </w:r>
      <w:r>
        <w:rPr>
          <w:rFonts w:hint="eastAsia" w:ascii="宋体" w:hAnsi="宋体" w:cs="宋体"/>
          <w:color w:val="000000"/>
          <w:sz w:val="24"/>
          <w:szCs w:val="24"/>
        </w:rPr>
        <w:t>分</w:t>
      </w:r>
    </w:p>
    <w:p>
      <w:pPr>
        <w:spacing w:line="360" w:lineRule="auto"/>
        <w:ind w:left="435"/>
        <w:contextualSpacing/>
        <w:rPr>
          <w:rFonts w:ascii="宋体" w:cs="宋体"/>
          <w:color w:val="000000"/>
          <w:kern w:val="0"/>
          <w:sz w:val="24"/>
          <w:szCs w:val="24"/>
        </w:rPr>
      </w:pPr>
      <w:r>
        <w:rPr>
          <w:rFonts w:hint="eastAsia" w:ascii="宋体" w:hAnsi="宋体"/>
          <w:color w:val="000000"/>
          <w:sz w:val="24"/>
        </w:rPr>
        <w:t>凡有意参加投标者，请登录</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olor w:val="000000"/>
          <w:sz w:val="24"/>
        </w:rPr>
        <w:t>网站下载电子招标文件。</w:t>
      </w:r>
    </w:p>
    <w:p>
      <w:pPr>
        <w:widowControl/>
        <w:spacing w:line="360" w:lineRule="auto"/>
        <w:ind w:firstLine="480" w:firstLineChars="200"/>
        <w:contextualSpacing/>
        <w:jc w:val="left"/>
        <w:rPr>
          <w:rFonts w:ascii="宋体" w:hAnsi="宋体" w:cs="宋体"/>
          <w:color w:val="000000"/>
          <w:kern w:val="0"/>
          <w:sz w:val="24"/>
          <w:szCs w:val="24"/>
        </w:rPr>
      </w:pPr>
      <w:r>
        <w:rPr>
          <w:rFonts w:hint="eastAsia" w:ascii="宋体" w:hAnsi="宋体" w:cs="宋体"/>
          <w:color w:val="000000"/>
          <w:kern w:val="0"/>
          <w:sz w:val="24"/>
          <w:szCs w:val="24"/>
        </w:rPr>
        <w:t>注：发布招标公告的时间为招标公告发出之日起至投标截止时间止。</w:t>
      </w:r>
    </w:p>
    <w:p>
      <w:pPr>
        <w:widowControl/>
        <w:spacing w:line="360" w:lineRule="auto"/>
        <w:ind w:left="809" w:leftChars="214" w:hanging="360" w:hangingChars="150"/>
        <w:contextualSpacing/>
        <w:jc w:val="left"/>
        <w:rPr>
          <w:rFonts w:ascii="宋体" w:hAnsi="宋体" w:cs="宋体"/>
          <w:color w:val="000000"/>
          <w:sz w:val="24"/>
          <w:szCs w:val="24"/>
        </w:rPr>
      </w:pPr>
      <w:r>
        <w:rPr>
          <w:rFonts w:hint="eastAsia" w:ascii="宋体" w:hAnsi="宋体" w:cs="宋体"/>
          <w:color w:val="000000"/>
          <w:sz w:val="24"/>
          <w:szCs w:val="24"/>
        </w:rPr>
        <w:t>2、递交投标文件起始时间：</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w:t>
      </w:r>
      <w:r>
        <w:rPr>
          <w:rFonts w:ascii="宋体" w:hAnsi="宋体" w:cs="宋体"/>
          <w:color w:val="000000"/>
          <w:sz w:val="24"/>
          <w:szCs w:val="24"/>
          <w:u w:val="single"/>
        </w:rPr>
        <w:t xml:space="preserve">  </w:t>
      </w:r>
      <w:r>
        <w:rPr>
          <w:rFonts w:hint="eastAsia" w:ascii="宋体" w:hAnsi="宋体" w:cs="宋体"/>
          <w:color w:val="000000"/>
          <w:sz w:val="24"/>
          <w:szCs w:val="24"/>
        </w:rPr>
        <w:t>时</w:t>
      </w:r>
      <w:r>
        <w:rPr>
          <w:rFonts w:ascii="宋体" w:hAnsi="宋体" w:cs="宋体"/>
          <w:color w:val="000000"/>
          <w:sz w:val="24"/>
          <w:szCs w:val="24"/>
          <w:u w:val="single"/>
        </w:rPr>
        <w:t xml:space="preserve">  </w:t>
      </w:r>
      <w:r>
        <w:rPr>
          <w:rFonts w:hint="eastAsia" w:ascii="宋体" w:hAnsi="宋体" w:cs="宋体"/>
          <w:color w:val="000000"/>
          <w:sz w:val="24"/>
          <w:szCs w:val="24"/>
        </w:rPr>
        <w:t>分；</w:t>
      </w:r>
    </w:p>
    <w:p>
      <w:pPr>
        <w:widowControl/>
        <w:spacing w:line="360" w:lineRule="auto"/>
        <w:ind w:left="764" w:leftChars="364" w:firstLine="1440" w:firstLineChars="600"/>
        <w:contextualSpacing/>
        <w:jc w:val="left"/>
        <w:rPr>
          <w:rFonts w:ascii="宋体" w:hAnsi="宋体" w:cs="宋体"/>
          <w:color w:val="000000"/>
          <w:sz w:val="24"/>
          <w:szCs w:val="24"/>
        </w:rPr>
      </w:pPr>
      <w:r>
        <w:rPr>
          <w:rFonts w:hint="eastAsia" w:ascii="宋体" w:hAnsi="宋体" w:cs="宋体"/>
          <w:color w:val="000000"/>
          <w:sz w:val="24"/>
          <w:szCs w:val="24"/>
        </w:rPr>
        <w:t>截止时间：</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w:t>
      </w:r>
      <w:r>
        <w:rPr>
          <w:rFonts w:ascii="宋体" w:hAnsi="宋体" w:cs="宋体"/>
          <w:color w:val="000000"/>
          <w:sz w:val="24"/>
          <w:szCs w:val="24"/>
          <w:u w:val="single"/>
        </w:rPr>
        <w:t xml:space="preserve">  </w:t>
      </w:r>
      <w:r>
        <w:rPr>
          <w:rFonts w:hint="eastAsia" w:ascii="宋体" w:hAnsi="宋体" w:cs="宋体"/>
          <w:color w:val="000000"/>
          <w:sz w:val="24"/>
          <w:szCs w:val="24"/>
        </w:rPr>
        <w:t>时</w:t>
      </w:r>
      <w:r>
        <w:rPr>
          <w:rFonts w:ascii="宋体" w:hAnsi="宋体" w:cs="宋体"/>
          <w:color w:val="000000"/>
          <w:sz w:val="24"/>
          <w:szCs w:val="24"/>
          <w:u w:val="single"/>
        </w:rPr>
        <w:t xml:space="preserve">  </w:t>
      </w:r>
      <w:r>
        <w:rPr>
          <w:rFonts w:hint="eastAsia" w:ascii="宋体" w:hAnsi="宋体" w:cs="宋体"/>
          <w:color w:val="000000"/>
          <w:sz w:val="24"/>
          <w:szCs w:val="24"/>
        </w:rPr>
        <w:t xml:space="preserve">分。 </w:t>
      </w:r>
    </w:p>
    <w:p>
      <w:pPr>
        <w:widowControl/>
        <w:spacing w:line="360" w:lineRule="auto"/>
        <w:ind w:firstLine="480"/>
        <w:contextualSpacing/>
        <w:jc w:val="left"/>
        <w:rPr>
          <w:rFonts w:ascii="宋体" w:hAnsi="宋体" w:cs="宋体"/>
          <w:color w:val="000000"/>
          <w:sz w:val="24"/>
          <w:szCs w:val="24"/>
          <w:u w:val="single"/>
        </w:rPr>
      </w:pPr>
      <w:r>
        <w:rPr>
          <w:rFonts w:hint="eastAsia" w:ascii="宋体" w:hAnsi="宋体" w:cs="宋体"/>
          <w:color w:val="000000"/>
          <w:sz w:val="24"/>
          <w:szCs w:val="24"/>
        </w:rPr>
        <w:t>3、开标开始时间：</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w:t>
      </w:r>
      <w:r>
        <w:rPr>
          <w:rFonts w:ascii="宋体" w:hAnsi="宋体" w:cs="宋体"/>
          <w:color w:val="000000"/>
          <w:sz w:val="24"/>
          <w:szCs w:val="24"/>
          <w:u w:val="single"/>
        </w:rPr>
        <w:t xml:space="preserve">  </w:t>
      </w:r>
      <w:r>
        <w:rPr>
          <w:rFonts w:hint="eastAsia" w:ascii="宋体" w:hAnsi="宋体" w:cs="宋体"/>
          <w:color w:val="000000"/>
          <w:sz w:val="24"/>
          <w:szCs w:val="24"/>
        </w:rPr>
        <w:t>时</w:t>
      </w:r>
      <w:r>
        <w:rPr>
          <w:rFonts w:ascii="宋体" w:hAnsi="宋体" w:cs="宋体"/>
          <w:color w:val="000000"/>
          <w:sz w:val="24"/>
          <w:szCs w:val="24"/>
          <w:u w:val="single"/>
        </w:rPr>
        <w:t xml:space="preserve">  </w:t>
      </w:r>
      <w:r>
        <w:rPr>
          <w:rFonts w:hint="eastAsia" w:ascii="宋体" w:hAnsi="宋体" w:cs="宋体"/>
          <w:color w:val="000000"/>
          <w:sz w:val="24"/>
          <w:szCs w:val="24"/>
        </w:rPr>
        <w:t>分。</w:t>
      </w:r>
    </w:p>
    <w:p>
      <w:pPr>
        <w:widowControl/>
        <w:spacing w:line="360" w:lineRule="auto"/>
        <w:ind w:firstLine="480" w:firstLineChars="200"/>
        <w:contextualSpacing/>
        <w:jc w:val="left"/>
        <w:rPr>
          <w:rFonts w:ascii="宋体" w:hAnsi="宋体" w:cs="宋体"/>
          <w:color w:val="000000"/>
          <w:sz w:val="24"/>
          <w:szCs w:val="24"/>
        </w:rPr>
      </w:pPr>
      <w:r>
        <w:rPr>
          <w:rFonts w:hint="eastAsia" w:ascii="宋体" w:hAnsi="宋体" w:cs="宋体"/>
          <w:color w:val="000000"/>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pPr>
        <w:spacing w:line="360" w:lineRule="auto"/>
        <w:ind w:firstLine="480" w:firstLineChars="200"/>
        <w:contextualSpacing/>
        <w:rPr>
          <w:rFonts w:hint="eastAsia" w:ascii="宋体" w:hAnsi="宋体" w:cs="仿宋_GB2312"/>
          <w:color w:val="000000"/>
          <w:sz w:val="24"/>
          <w:szCs w:val="24"/>
        </w:rPr>
      </w:pPr>
      <w:r>
        <w:rPr>
          <w:rFonts w:hint="eastAsia" w:ascii="宋体" w:hAnsi="宋体" w:cs="宋体"/>
          <w:color w:val="000000"/>
          <w:sz w:val="24"/>
          <w:szCs w:val="24"/>
        </w:rPr>
        <w:t>5、</w:t>
      </w:r>
      <w:r>
        <w:rPr>
          <w:rFonts w:hint="eastAsia" w:ascii="宋体" w:hAnsi="宋体"/>
          <w:bCs/>
          <w:color w:val="000000"/>
          <w:sz w:val="24"/>
        </w:rPr>
        <w:t>投标人通过</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olor w:val="000000"/>
          <w:sz w:val="24"/>
        </w:rPr>
        <w:t>递交电子投标文件。</w:t>
      </w:r>
      <w:r>
        <w:rPr>
          <w:rFonts w:hint="eastAsia" w:ascii="宋体" w:hAnsi="宋体" w:cs="仿宋_GB2312"/>
          <w:color w:val="000000"/>
          <w:sz w:val="24"/>
          <w:szCs w:val="24"/>
        </w:rPr>
        <w:t>投标人应在递交投标文件截止时间前，登录</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s="仿宋_GB2312"/>
          <w:color w:val="000000"/>
          <w:sz w:val="24"/>
          <w:szCs w:val="24"/>
        </w:rPr>
        <w:t>网站办理网上投标登记手续。按照</w:t>
      </w:r>
      <w:r>
        <w:rPr>
          <w:rFonts w:hint="eastAsia" w:ascii="宋体" w:hAnsi="宋体" w:cs="宋体"/>
          <w:color w:val="000000"/>
          <w:sz w:val="24"/>
          <w:szCs w:val="24"/>
          <w:u w:val="single"/>
          <w:lang w:eastAsia="zh-CN"/>
        </w:rPr>
        <w:t>广州公共资源交易中心</w:t>
      </w:r>
      <w:r>
        <w:rPr>
          <w:rFonts w:hint="eastAsia" w:ascii="宋体" w:hAnsi="宋体" w:cs="仿宋_GB2312"/>
          <w:color w:val="000000"/>
          <w:sz w:val="24"/>
          <w:szCs w:val="24"/>
        </w:rPr>
        <w:t>交易平台关于全流程电子化项目的相关指南进行操作。详见：</w:t>
      </w:r>
      <w:r>
        <w:rPr>
          <w:rFonts w:hint="eastAsia" w:ascii="宋体" w:hAnsi="宋体" w:cs="宋体"/>
          <w:color w:val="000000"/>
          <w:sz w:val="24"/>
          <w:szCs w:val="24"/>
          <w:u w:val="single"/>
        </w:rPr>
        <w:t>广州公共资源交易中心网站http:// www.gzggzy.cn）《建设工程全流程电子化项目操作指南》</w:t>
      </w:r>
      <w:r>
        <w:rPr>
          <w:rFonts w:hint="eastAsia" w:ascii="宋体" w:hAnsi="宋体" w:cs="仿宋_GB2312"/>
          <w:color w:val="000000"/>
          <w:sz w:val="24"/>
          <w:szCs w:val="24"/>
        </w:rPr>
        <w:t>。</w:t>
      </w:r>
    </w:p>
    <w:p>
      <w:pPr>
        <w:widowControl/>
        <w:spacing w:line="360" w:lineRule="auto"/>
        <w:ind w:firstLine="480" w:firstLineChars="200"/>
        <w:contextualSpacing/>
        <w:jc w:val="left"/>
        <w:rPr>
          <w:rFonts w:ascii="宋体" w:cs="宋体"/>
          <w:color w:val="000000"/>
          <w:kern w:val="0"/>
          <w:sz w:val="24"/>
          <w:szCs w:val="24"/>
        </w:rPr>
      </w:pPr>
      <w:r>
        <w:rPr>
          <w:rFonts w:hint="eastAsia" w:ascii="宋体" w:hAnsi="宋体" w:cs="宋体"/>
          <w:color w:val="000000"/>
          <w:kern w:val="0"/>
          <w:sz w:val="24"/>
          <w:szCs w:val="24"/>
        </w:rPr>
        <w:t>八、招标文件获取方式：</w:t>
      </w:r>
    </w:p>
    <w:p>
      <w:pPr>
        <w:widowControl/>
        <w:spacing w:line="360" w:lineRule="auto"/>
        <w:ind w:firstLine="480" w:firstLineChars="200"/>
        <w:contextualSpacing/>
        <w:jc w:val="left"/>
        <w:rPr>
          <w:rFonts w:ascii="宋体" w:cs="宋体"/>
          <w:color w:val="000000"/>
          <w:kern w:val="0"/>
          <w:sz w:val="24"/>
          <w:szCs w:val="24"/>
        </w:rPr>
      </w:pPr>
      <w:r>
        <w:rPr>
          <w:rFonts w:hint="eastAsia" w:ascii="宋体" w:hAnsi="宋体" w:cs="宋体"/>
          <w:color w:val="000000"/>
          <w:kern w:val="0"/>
          <w:sz w:val="24"/>
          <w:szCs w:val="24"/>
        </w:rPr>
        <w:t>本项目招标文件随招标公告一并在</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olor w:val="000000"/>
          <w:sz w:val="24"/>
        </w:rPr>
        <w:t>网站发布。招标文件</w:t>
      </w:r>
      <w:r>
        <w:rPr>
          <w:rFonts w:hint="eastAsia" w:ascii="宋体" w:hAnsi="宋体" w:cs="宋体"/>
          <w:color w:val="000000"/>
          <w:kern w:val="0"/>
          <w:sz w:val="24"/>
          <w:szCs w:val="24"/>
        </w:rPr>
        <w:t>一经在</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发布，视为发售给投标人，招标文件由投标人自行在</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网站下载。</w:t>
      </w:r>
    </w:p>
    <w:p>
      <w:pPr>
        <w:spacing w:line="360" w:lineRule="auto"/>
        <w:ind w:firstLine="537" w:firstLineChars="224"/>
        <w:contextualSpacing/>
        <w:rPr>
          <w:rFonts w:ascii="宋体"/>
          <w:color w:val="000000"/>
          <w:sz w:val="24"/>
        </w:rPr>
      </w:pPr>
      <w:r>
        <w:rPr>
          <w:rFonts w:hint="eastAsia" w:ascii="宋体" w:hAnsi="宋体"/>
          <w:color w:val="000000"/>
          <w:sz w:val="24"/>
        </w:rPr>
        <w:t>九、投标人合格条件：</w:t>
      </w:r>
    </w:p>
    <w:p>
      <w:pPr>
        <w:spacing w:line="360" w:lineRule="auto"/>
        <w:ind w:firstLine="537" w:firstLineChars="224"/>
        <w:contextualSpacing/>
        <w:rPr>
          <w:rFonts w:ascii="宋体"/>
          <w:color w:val="000000"/>
          <w:sz w:val="24"/>
        </w:rPr>
      </w:pPr>
      <w:r>
        <w:rPr>
          <w:rFonts w:ascii="宋体" w:hAnsi="宋体"/>
          <w:color w:val="000000"/>
          <w:sz w:val="24"/>
        </w:rPr>
        <w:t>1</w:t>
      </w:r>
      <w:r>
        <w:rPr>
          <w:rFonts w:hint="eastAsia" w:ascii="宋体" w:hAnsi="宋体"/>
          <w:color w:val="000000"/>
          <w:sz w:val="24"/>
        </w:rPr>
        <w:t>、投标人参加投标的意思表达清楚，投标人代表被授权有效。</w:t>
      </w:r>
    </w:p>
    <w:p>
      <w:pPr>
        <w:spacing w:line="360" w:lineRule="auto"/>
        <w:ind w:firstLine="537" w:firstLineChars="224"/>
        <w:contextualSpacing/>
        <w:rPr>
          <w:rFonts w:ascii="宋体"/>
          <w:color w:val="000000"/>
          <w:sz w:val="24"/>
        </w:rPr>
      </w:pPr>
      <w:r>
        <w:rPr>
          <w:rFonts w:ascii="宋体" w:hAnsi="宋体"/>
          <w:color w:val="000000"/>
          <w:sz w:val="24"/>
        </w:rPr>
        <w:t>2</w:t>
      </w:r>
      <w:r>
        <w:rPr>
          <w:rFonts w:hint="eastAsia" w:ascii="宋体" w:hAnsi="宋体"/>
          <w:color w:val="000000"/>
          <w:sz w:val="24"/>
        </w:rPr>
        <w:t>、投标人</w:t>
      </w:r>
      <w:r>
        <w:rPr>
          <w:rFonts w:hint="eastAsia" w:ascii="宋体" w:hAnsi="宋体" w:cs="宋体"/>
          <w:color w:val="auto"/>
          <w:sz w:val="24"/>
          <w:szCs w:val="24"/>
          <w:highlight w:val="none"/>
          <w:u w:val="single"/>
        </w:rPr>
        <w:t>（联合体各方）</w:t>
      </w:r>
      <w:r>
        <w:rPr>
          <w:rFonts w:hint="eastAsia" w:ascii="宋体" w:hAnsi="宋体"/>
          <w:color w:val="000000"/>
          <w:sz w:val="24"/>
        </w:rPr>
        <w:t>均具有独立法人资格，按国家法律经营。</w:t>
      </w:r>
    </w:p>
    <w:p>
      <w:pPr>
        <w:spacing w:line="360" w:lineRule="auto"/>
        <w:ind w:firstLine="537" w:firstLineChars="224"/>
        <w:contextualSpacing/>
        <w:rPr>
          <w:rFonts w:ascii="宋体"/>
          <w:color w:val="000000"/>
          <w:sz w:val="24"/>
        </w:rPr>
      </w:pPr>
      <w:r>
        <w:rPr>
          <w:rFonts w:ascii="宋体" w:hAnsi="宋体"/>
          <w:color w:val="000000"/>
          <w:sz w:val="24"/>
        </w:rPr>
        <w:t>3</w:t>
      </w:r>
      <w:r>
        <w:rPr>
          <w:rFonts w:hint="eastAsia" w:ascii="宋体" w:hAnsi="宋体"/>
          <w:color w:val="000000"/>
          <w:sz w:val="24"/>
        </w:rPr>
        <w:t>、投标人</w:t>
      </w:r>
      <w:r>
        <w:rPr>
          <w:rFonts w:hint="eastAsia" w:ascii="宋体" w:hAnsi="宋体" w:cs="宋体"/>
          <w:color w:val="auto"/>
          <w:sz w:val="24"/>
          <w:szCs w:val="24"/>
          <w:highlight w:val="none"/>
          <w:u w:val="single"/>
        </w:rPr>
        <w:t>（联合体各方）</w:t>
      </w:r>
      <w:r>
        <w:rPr>
          <w:rFonts w:hint="eastAsia" w:ascii="宋体" w:hAnsi="宋体"/>
          <w:color w:val="000000"/>
          <w:sz w:val="24"/>
        </w:rPr>
        <w:t>均持有建设行政主管部门颁发的企业资质证书及安全生产许可证；</w:t>
      </w:r>
    </w:p>
    <w:p>
      <w:pPr>
        <w:pStyle w:val="97"/>
        <w:ind w:firstLine="539"/>
        <w:contextualSpacing/>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、投标人应</w:t>
      </w:r>
      <w:r>
        <w:rPr>
          <w:rFonts w:hint="eastAsia" w:ascii="宋体" w:hAnsi="宋体" w:eastAsia="宋体"/>
          <w:sz w:val="24"/>
          <w:szCs w:val="24"/>
          <w:lang w:val="en-US" w:eastAsia="zh-CN"/>
        </w:rPr>
        <w:t>同时</w:t>
      </w:r>
      <w:r>
        <w:rPr>
          <w:rFonts w:hint="eastAsia" w:ascii="宋体" w:hAnsi="宋体" w:eastAsia="宋体"/>
          <w:sz w:val="24"/>
          <w:szCs w:val="24"/>
        </w:rPr>
        <w:t>具备以下</w:t>
      </w:r>
      <w:r>
        <w:rPr>
          <w:rFonts w:hint="eastAsia" w:ascii="宋体" w:hAnsi="宋体" w:eastAsia="宋体"/>
          <w:sz w:val="24"/>
          <w:szCs w:val="24"/>
          <w:lang w:val="en-US" w:eastAsia="zh-CN"/>
        </w:rPr>
        <w:t>①+②</w:t>
      </w:r>
      <w:r>
        <w:rPr>
          <w:rFonts w:hint="eastAsia" w:ascii="宋体" w:hAnsi="宋体" w:eastAsia="宋体"/>
          <w:sz w:val="24"/>
          <w:szCs w:val="24"/>
        </w:rPr>
        <w:t>资质：</w:t>
      </w:r>
      <w:r>
        <w:rPr>
          <w:rFonts w:ascii="宋体" w:hAnsi="宋体" w:eastAsia="宋体"/>
          <w:sz w:val="24"/>
          <w:szCs w:val="24"/>
        </w:rPr>
        <w:t xml:space="preserve"> </w:t>
      </w:r>
    </w:p>
    <w:p>
      <w:pPr>
        <w:pStyle w:val="97"/>
        <w:ind w:firstLine="539"/>
        <w:contextualSpacing/>
        <w:rPr>
          <w:rFonts w:hint="eastAsia" w:ascii="宋体" w:hAnsi="宋体" w:eastAsia="宋体"/>
          <w:sz w:val="24"/>
          <w:szCs w:val="24"/>
          <w:u w:val="single"/>
          <w:lang w:val="en-US" w:eastAsia="zh-CN"/>
        </w:rPr>
      </w:pPr>
      <w:r>
        <w:rPr>
          <w:rFonts w:hint="eastAsia" w:ascii="宋体" w:hAnsi="宋体" w:eastAsia="宋体"/>
          <w:sz w:val="24"/>
          <w:szCs w:val="24"/>
          <w:u w:val="single"/>
          <w:lang w:val="en-US" w:eastAsia="zh-CN"/>
        </w:rPr>
        <w:t>①</w:t>
      </w:r>
      <w:r>
        <w:rPr>
          <w:rFonts w:hint="eastAsia" w:ascii="宋体" w:hAnsi="宋体" w:eastAsia="宋体"/>
          <w:sz w:val="24"/>
          <w:szCs w:val="24"/>
          <w:u w:val="single"/>
        </w:rPr>
        <w:t>具备有效期内的文物主管部门</w:t>
      </w:r>
      <w:r>
        <w:rPr>
          <w:rFonts w:hint="eastAsia" w:ascii="宋体" w:hAnsi="宋体" w:eastAsia="宋体"/>
          <w:sz w:val="24"/>
          <w:szCs w:val="24"/>
          <w:u w:val="single"/>
          <w:lang w:val="en-US" w:eastAsia="zh-CN"/>
        </w:rPr>
        <w:t>颁发</w:t>
      </w:r>
      <w:r>
        <w:rPr>
          <w:rFonts w:hint="eastAsia" w:ascii="宋体" w:hAnsi="宋体" w:eastAsia="宋体"/>
          <w:sz w:val="24"/>
          <w:szCs w:val="24"/>
          <w:u w:val="single"/>
        </w:rPr>
        <w:t>的文物保护工程施工一级资质</w:t>
      </w:r>
      <w:r>
        <w:rPr>
          <w:rFonts w:hint="eastAsia" w:ascii="宋体" w:hAnsi="宋体" w:eastAsia="宋体"/>
          <w:sz w:val="24"/>
          <w:szCs w:val="24"/>
          <w:u w:val="single"/>
          <w:lang w:val="en-US" w:eastAsia="zh-CN"/>
        </w:rPr>
        <w:t>；</w:t>
      </w:r>
    </w:p>
    <w:p>
      <w:pPr>
        <w:pStyle w:val="97"/>
        <w:ind w:firstLine="539"/>
        <w:contextualSpacing/>
        <w:rPr>
          <w:rFonts w:hint="eastAsia" w:ascii="宋体" w:hAnsi="宋体" w:eastAsia="宋体"/>
          <w:sz w:val="24"/>
          <w:szCs w:val="24"/>
          <w:u w:val="single"/>
          <w:lang w:eastAsia="zh-CN"/>
        </w:rPr>
      </w:pPr>
      <w:r>
        <w:rPr>
          <w:rFonts w:hint="eastAsia" w:ascii="宋体" w:hAnsi="宋体" w:eastAsia="宋体"/>
          <w:sz w:val="24"/>
          <w:szCs w:val="24"/>
          <w:highlight w:val="none"/>
          <w:u w:val="single"/>
          <w:lang w:val="en-US" w:eastAsia="zh-CN"/>
        </w:rPr>
        <w:t>②</w:t>
      </w:r>
      <w:r>
        <w:rPr>
          <w:rFonts w:hint="eastAsia" w:ascii="宋体" w:hAnsi="宋体" w:eastAsia="宋体"/>
          <w:sz w:val="24"/>
          <w:szCs w:val="24"/>
          <w:highlight w:val="none"/>
          <w:u w:val="single"/>
        </w:rPr>
        <w:t>具备有效期内的</w:t>
      </w:r>
      <w:r>
        <w:rPr>
          <w:rFonts w:hint="eastAsia" w:ascii="宋体" w:hAnsi="宋体" w:eastAsia="宋体"/>
          <w:sz w:val="24"/>
          <w:szCs w:val="24"/>
          <w:highlight w:val="none"/>
          <w:u w:val="single"/>
          <w:lang w:val="en-US" w:eastAsia="zh-CN"/>
        </w:rPr>
        <w:t>自然资源部门（原国土资源部门）颁发的地质灾害治理工程施工甲级资质。</w:t>
      </w:r>
    </w:p>
    <w:p>
      <w:pPr>
        <w:pStyle w:val="97"/>
        <w:ind w:firstLine="539"/>
        <w:contextualSpacing/>
        <w:rPr>
          <w:rFonts w:ascii="宋体" w:hAnsi="宋体" w:eastAsia="宋体"/>
          <w:sz w:val="24"/>
          <w:szCs w:val="24"/>
        </w:rPr>
      </w:pPr>
      <w:r>
        <w:rPr>
          <w:rFonts w:hint="eastAsia" w:ascii="宋体" w:hAnsi="宋体" w:eastAsia="宋体"/>
          <w:sz w:val="24"/>
          <w:szCs w:val="24"/>
        </w:rPr>
        <w:t>投标人拟担任本工程项目负责人的人员为：具备有效期内</w:t>
      </w:r>
      <w:r>
        <w:rPr>
          <w:rFonts w:hint="eastAsia" w:ascii="宋体" w:hAnsi="宋体" w:eastAsia="宋体"/>
          <w:sz w:val="24"/>
          <w:szCs w:val="24"/>
          <w:highlight w:val="none"/>
        </w:rPr>
        <w:t>的</w:t>
      </w:r>
      <w:r>
        <w:rPr>
          <w:rFonts w:hint="eastAsia" w:ascii="宋体" w:hAnsi="宋体" w:eastAsia="宋体"/>
          <w:sz w:val="24"/>
          <w:szCs w:val="24"/>
          <w:highlight w:val="none"/>
          <w:u w:val="single"/>
          <w:lang w:val="en-US" w:eastAsia="zh-CN"/>
        </w:rPr>
        <w:t>建筑</w:t>
      </w:r>
      <w:r>
        <w:rPr>
          <w:rFonts w:hint="eastAsia" w:ascii="宋体" w:hAnsi="宋体" w:eastAsia="宋体"/>
          <w:sz w:val="24"/>
          <w:szCs w:val="24"/>
          <w:highlight w:val="none"/>
          <w:u w:val="single"/>
        </w:rPr>
        <w:t>工程专业</w:t>
      </w:r>
      <w:r>
        <w:rPr>
          <w:rFonts w:hint="eastAsia" w:ascii="宋体" w:hAnsi="宋体" w:eastAsia="宋体"/>
          <w:sz w:val="24"/>
          <w:szCs w:val="24"/>
          <w:highlight w:val="none"/>
          <w:u w:val="single"/>
          <w:lang w:val="en-US" w:eastAsia="zh-CN"/>
        </w:rPr>
        <w:t>一</w:t>
      </w:r>
      <w:r>
        <w:rPr>
          <w:rFonts w:hint="eastAsia" w:ascii="宋体" w:hAnsi="宋体" w:eastAsia="宋体"/>
          <w:sz w:val="24"/>
          <w:szCs w:val="24"/>
          <w:highlight w:val="none"/>
          <w:u w:val="single"/>
        </w:rPr>
        <w:t>级</w:t>
      </w:r>
      <w:r>
        <w:rPr>
          <w:rFonts w:hint="eastAsia" w:ascii="宋体" w:hAnsi="宋体" w:eastAsia="宋体"/>
          <w:sz w:val="24"/>
          <w:szCs w:val="24"/>
          <w:highlight w:val="none"/>
        </w:rPr>
        <w:t>注册</w:t>
      </w:r>
      <w:r>
        <w:rPr>
          <w:rFonts w:hint="eastAsia" w:ascii="宋体" w:hAnsi="宋体" w:eastAsia="宋体"/>
          <w:sz w:val="24"/>
          <w:szCs w:val="24"/>
        </w:rPr>
        <w:t>建造师；</w:t>
      </w:r>
    </w:p>
    <w:p>
      <w:pPr>
        <w:pStyle w:val="97"/>
        <w:ind w:firstLine="420" w:firstLineChars="200"/>
        <w:contextualSpacing/>
        <w:rPr>
          <w:rFonts w:hint="eastAsia" w:ascii="宋体" w:hAnsi="宋体" w:eastAsia="宋体" w:cs="宋体"/>
          <w:sz w:val="21"/>
          <w:szCs w:val="16"/>
          <w:lang w:eastAsia="zh-CN"/>
        </w:rPr>
      </w:pPr>
      <w:r>
        <w:rPr>
          <w:rFonts w:hint="eastAsia" w:ascii="宋体" w:hAnsi="宋体" w:eastAsia="宋体" w:cs="宋体"/>
          <w:sz w:val="21"/>
          <w:szCs w:val="16"/>
        </w:rPr>
        <w:t>注：①文物主管部门颁发的文物保护工程施工资质证书有效期按《文物保护工程施工资质管理办法（试行）》（文物保发〔2014〕13号）、《国家文物局关于文物保护工程资质管理制度改革的通知》（文物保发〔2021〕30号）执行</w:t>
      </w:r>
      <w:r>
        <w:rPr>
          <w:rFonts w:hint="eastAsia" w:ascii="宋体" w:hAnsi="宋体" w:eastAsia="宋体" w:cs="宋体"/>
          <w:sz w:val="21"/>
          <w:szCs w:val="16"/>
          <w:lang w:eastAsia="zh-CN"/>
        </w:rPr>
        <w:t>。</w:t>
      </w:r>
    </w:p>
    <w:p>
      <w:pPr>
        <w:pStyle w:val="97"/>
        <w:ind w:firstLine="420" w:firstLineChars="200"/>
        <w:contextualSpacing/>
        <w:rPr>
          <w:rFonts w:hint="eastAsia" w:ascii="宋体" w:hAnsi="宋体" w:eastAsia="宋体" w:cs="宋体"/>
          <w:sz w:val="21"/>
          <w:szCs w:val="16"/>
          <w:lang w:val="en-US" w:eastAsia="zh-CN"/>
        </w:rPr>
      </w:pPr>
      <w:r>
        <w:rPr>
          <w:rFonts w:hint="eastAsia" w:ascii="宋体" w:hAnsi="宋体" w:eastAsia="宋体" w:cs="宋体"/>
          <w:sz w:val="21"/>
          <w:szCs w:val="16"/>
          <w:lang w:val="en-US" w:eastAsia="zh-CN"/>
        </w:rPr>
        <w:t>②自然资源部门（原国土资源部门）颁发的地质灾害治理工程施工</w:t>
      </w:r>
      <w:r>
        <w:rPr>
          <w:rFonts w:hint="eastAsia" w:ascii="宋体" w:hAnsi="宋体" w:eastAsia="宋体" w:cs="宋体"/>
          <w:sz w:val="21"/>
          <w:szCs w:val="16"/>
        </w:rPr>
        <w:t>资质证书有效期</w:t>
      </w:r>
      <w:r>
        <w:rPr>
          <w:rFonts w:hint="eastAsia" w:ascii="宋体" w:hAnsi="宋体" w:eastAsia="宋体" w:cs="宋体"/>
          <w:sz w:val="21"/>
          <w:szCs w:val="16"/>
          <w:lang w:val="en-US" w:eastAsia="zh-CN"/>
        </w:rPr>
        <w:t>按《</w:t>
      </w:r>
      <w:r>
        <w:rPr>
          <w:rFonts w:hint="eastAsia" w:ascii="宋体" w:hAnsi="宋体" w:eastAsia="宋体" w:cs="宋体"/>
          <w:sz w:val="21"/>
          <w:szCs w:val="16"/>
        </w:rPr>
        <w:t>地质灾害防治单位资质管理办法</w:t>
      </w:r>
      <w:r>
        <w:rPr>
          <w:rFonts w:hint="eastAsia" w:ascii="宋体" w:hAnsi="宋体" w:eastAsia="宋体" w:cs="宋体"/>
          <w:sz w:val="21"/>
          <w:szCs w:val="16"/>
          <w:lang w:val="en-US" w:eastAsia="zh-CN"/>
        </w:rPr>
        <w:t>》</w:t>
      </w:r>
      <w:r>
        <w:rPr>
          <w:rFonts w:hint="eastAsia" w:ascii="宋体" w:hAnsi="宋体" w:eastAsia="宋体" w:cs="宋体"/>
          <w:sz w:val="21"/>
          <w:szCs w:val="16"/>
        </w:rPr>
        <w:t>（自然资源部令</w:t>
      </w:r>
      <w:r>
        <w:rPr>
          <w:rFonts w:hint="eastAsia" w:ascii="宋体" w:hAnsi="宋体" w:eastAsia="宋体" w:cs="宋体"/>
          <w:sz w:val="21"/>
          <w:szCs w:val="16"/>
          <w:lang w:val="en-US" w:eastAsia="zh-CN"/>
        </w:rPr>
        <w:t>第8号</w:t>
      </w:r>
      <w:r>
        <w:rPr>
          <w:rFonts w:hint="eastAsia" w:ascii="宋体" w:hAnsi="宋体" w:eastAsia="宋体" w:cs="宋体"/>
          <w:sz w:val="21"/>
          <w:szCs w:val="16"/>
        </w:rPr>
        <w:t>）执行</w:t>
      </w:r>
      <w:r>
        <w:rPr>
          <w:rFonts w:hint="eastAsia" w:ascii="宋体" w:hAnsi="宋体" w:eastAsia="宋体" w:cs="宋体"/>
          <w:sz w:val="21"/>
          <w:szCs w:val="16"/>
          <w:lang w:eastAsia="zh-CN"/>
        </w:rPr>
        <w:t>。</w:t>
      </w:r>
    </w:p>
    <w:p>
      <w:pPr>
        <w:pStyle w:val="97"/>
        <w:ind w:firstLine="420" w:firstLineChars="200"/>
        <w:contextualSpacing/>
        <w:rPr>
          <w:rFonts w:hint="eastAsia" w:ascii="宋体" w:hAnsi="宋体" w:eastAsia="宋体" w:cs="宋体"/>
          <w:sz w:val="21"/>
          <w:szCs w:val="16"/>
        </w:rPr>
      </w:pPr>
      <w:r>
        <w:rPr>
          <w:rFonts w:hint="eastAsia" w:ascii="宋体" w:hAnsi="宋体" w:eastAsia="宋体" w:cs="宋体"/>
          <w:sz w:val="21"/>
          <w:szCs w:val="16"/>
          <w:lang w:val="en-US" w:eastAsia="zh-CN"/>
        </w:rPr>
        <w:t>③</w:t>
      </w:r>
      <w:r>
        <w:rPr>
          <w:rFonts w:hint="eastAsia" w:ascii="宋体" w:hAnsi="宋体" w:eastAsia="宋体" w:cs="宋体"/>
          <w:sz w:val="21"/>
          <w:szCs w:val="16"/>
        </w:rPr>
        <w:t>根据《住房和城乡建设部办公厅关于全面实行一级建造师电子注册证书的通知》（建办市〔2021〕40号），自2022年1月1日起，一级建造师统一使用电子证书，纸质证书作废。</w:t>
      </w:r>
    </w:p>
    <w:p>
      <w:pPr>
        <w:pStyle w:val="97"/>
        <w:ind w:firstLine="420" w:firstLineChars="200"/>
        <w:contextualSpacing/>
        <w:rPr>
          <w:rFonts w:hint="eastAsia" w:ascii="宋体" w:hAnsi="宋体" w:eastAsia="宋体" w:cs="宋体"/>
          <w:sz w:val="21"/>
          <w:szCs w:val="16"/>
        </w:rPr>
      </w:pPr>
      <w:r>
        <w:rPr>
          <w:rFonts w:hint="eastAsia" w:ascii="宋体" w:hAnsi="宋体" w:eastAsia="宋体" w:cs="宋体"/>
          <w:sz w:val="21"/>
          <w:szCs w:val="16"/>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97"/>
        <w:ind w:firstLine="480" w:firstLineChars="200"/>
        <w:contextualSpacing/>
        <w:rPr>
          <w:rFonts w:ascii="宋体" w:hAnsi="宋体" w:eastAsia="宋体"/>
          <w:sz w:val="24"/>
          <w:szCs w:val="24"/>
        </w:rPr>
      </w:pPr>
      <w:r>
        <w:rPr>
          <w:rFonts w:ascii="宋体" w:hAnsi="宋体" w:eastAsia="宋体"/>
          <w:sz w:val="24"/>
          <w:szCs w:val="24"/>
        </w:rPr>
        <w:t>项目负责人在任职期间不得担任专职安全员，项目专职安全员在任职期间也不得担任项目负责人，项目负责人和专职安全员不为同一人。</w:t>
      </w:r>
    </w:p>
    <w:p>
      <w:pPr>
        <w:pStyle w:val="97"/>
        <w:ind w:firstLine="480" w:firstLineChars="200"/>
        <w:contextualSpacing/>
        <w:rPr>
          <w:rFonts w:ascii="宋体" w:hAnsi="宋体" w:eastAsia="宋体"/>
          <w:sz w:val="24"/>
          <w:szCs w:val="24"/>
          <w:highlight w:val="none"/>
        </w:rPr>
      </w:pPr>
      <w:r>
        <w:rPr>
          <w:rFonts w:ascii="宋体" w:hAnsi="宋体" w:eastAsia="宋体"/>
          <w:sz w:val="24"/>
          <w:szCs w:val="24"/>
        </w:rPr>
        <w:t>5</w:t>
      </w:r>
      <w:r>
        <w:rPr>
          <w:rFonts w:hint="eastAsia" w:ascii="宋体" w:hAnsi="宋体" w:eastAsia="宋体"/>
          <w:sz w:val="24"/>
          <w:szCs w:val="24"/>
        </w:rPr>
        <w:t>、项目负责人持有</w:t>
      </w:r>
      <w:r>
        <w:rPr>
          <w:rFonts w:hint="eastAsia" w:ascii="宋体" w:hAnsi="宋体" w:eastAsia="宋体"/>
          <w:sz w:val="24"/>
          <w:szCs w:val="24"/>
          <w:u w:val="single"/>
        </w:rPr>
        <w:t>在有效期内的</w:t>
      </w:r>
      <w:r>
        <w:rPr>
          <w:rFonts w:hint="eastAsia" w:ascii="宋体" w:hAnsi="宋体" w:eastAsia="宋体"/>
          <w:sz w:val="24"/>
          <w:szCs w:val="24"/>
        </w:rPr>
        <w:t>安全生产考核合格证（B类）或建筑施工企业项目负责人安全生产考核合格证书；</w:t>
      </w:r>
    </w:p>
    <w:p>
      <w:pPr>
        <w:pStyle w:val="97"/>
        <w:ind w:firstLine="480" w:firstLineChars="200"/>
        <w:contextualSpacing/>
        <w:rPr>
          <w:rFonts w:ascii="宋体" w:hAnsi="宋体" w:eastAsia="宋体"/>
          <w:sz w:val="24"/>
          <w:szCs w:val="24"/>
          <w:highlight w:val="none"/>
          <w:u w:val="single"/>
        </w:rPr>
      </w:pPr>
      <w:r>
        <w:rPr>
          <w:rFonts w:hint="eastAsia" w:ascii="宋体" w:hAnsi="宋体" w:eastAsia="宋体"/>
          <w:sz w:val="24"/>
          <w:szCs w:val="24"/>
          <w:highlight w:val="none"/>
        </w:rPr>
        <w:t>6、投标人拟担任本工程技术负责人的资格要求为：</w:t>
      </w:r>
      <w:r>
        <w:rPr>
          <w:rFonts w:hint="eastAsia" w:ascii="宋体" w:hAnsi="宋体" w:eastAsia="宋体"/>
          <w:sz w:val="24"/>
          <w:szCs w:val="24"/>
          <w:highlight w:val="none"/>
          <w:lang w:val="en-US" w:eastAsia="zh-CN"/>
        </w:rPr>
        <w:t>具有</w:t>
      </w:r>
      <w:r>
        <w:rPr>
          <w:rFonts w:hint="eastAsia" w:ascii="宋体" w:hAnsi="Calibri" w:eastAsia="宋体"/>
          <w:kern w:val="2"/>
          <w:sz w:val="24"/>
          <w:szCs w:val="22"/>
          <w:highlight w:val="none"/>
          <w:u w:val="single"/>
          <w:lang w:val="en-US" w:eastAsia="zh-CN"/>
        </w:rPr>
        <w:t>建筑</w:t>
      </w:r>
      <w:r>
        <w:rPr>
          <w:rFonts w:hint="eastAsia" w:ascii="宋体" w:hAnsi="Calibri" w:eastAsia="宋体"/>
          <w:kern w:val="2"/>
          <w:sz w:val="24"/>
          <w:szCs w:val="22"/>
          <w:highlight w:val="none"/>
          <w:u w:val="single"/>
        </w:rPr>
        <w:t>工程</w:t>
      </w:r>
      <w:r>
        <w:rPr>
          <w:rFonts w:hint="eastAsia" w:ascii="宋体" w:hAnsi="Calibri" w:eastAsia="宋体"/>
          <w:kern w:val="2"/>
          <w:sz w:val="24"/>
          <w:szCs w:val="22"/>
          <w:highlight w:val="none"/>
          <w:u w:val="single"/>
          <w:lang w:val="en-US" w:eastAsia="zh-CN"/>
        </w:rPr>
        <w:t>类高</w:t>
      </w:r>
      <w:r>
        <w:rPr>
          <w:rFonts w:hint="eastAsia" w:ascii="宋体" w:hAnsi="Calibri" w:eastAsia="宋体"/>
          <w:kern w:val="2"/>
          <w:sz w:val="24"/>
          <w:szCs w:val="22"/>
          <w:highlight w:val="none"/>
          <w:u w:val="single"/>
        </w:rPr>
        <w:t>级或以上</w:t>
      </w:r>
      <w:r>
        <w:rPr>
          <w:rFonts w:hint="eastAsia" w:ascii="宋体" w:hAnsi="Calibri" w:eastAsia="宋体"/>
          <w:kern w:val="2"/>
          <w:sz w:val="24"/>
          <w:szCs w:val="22"/>
          <w:highlight w:val="none"/>
          <w:u w:val="single"/>
          <w:lang w:val="en-US" w:eastAsia="zh-CN"/>
        </w:rPr>
        <w:t>工程师</w:t>
      </w:r>
      <w:r>
        <w:rPr>
          <w:rFonts w:hint="eastAsia" w:ascii="宋体" w:hAnsi="Calibri" w:eastAsia="宋体"/>
          <w:kern w:val="2"/>
          <w:sz w:val="24"/>
          <w:szCs w:val="22"/>
          <w:highlight w:val="none"/>
          <w:u w:val="single"/>
        </w:rPr>
        <w:t>职称。</w:t>
      </w:r>
    </w:p>
    <w:p>
      <w:pPr>
        <w:spacing w:line="360" w:lineRule="auto"/>
        <w:ind w:firstLine="537" w:firstLineChars="224"/>
        <w:contextualSpacing/>
        <w:rPr>
          <w:rFonts w:hint="eastAsia" w:ascii="宋体" w:hAnsi="宋体"/>
          <w:color w:val="000000"/>
          <w:kern w:val="0"/>
          <w:sz w:val="24"/>
          <w:highlight w:val="none"/>
        </w:rPr>
      </w:pPr>
      <w:r>
        <w:rPr>
          <w:rFonts w:hint="eastAsia" w:ascii="宋体" w:hAnsi="宋体"/>
          <w:color w:val="000000"/>
          <w:kern w:val="0"/>
          <w:sz w:val="24"/>
          <w:highlight w:val="none"/>
        </w:rPr>
        <w:t>7、</w:t>
      </w:r>
      <w:r>
        <w:rPr>
          <w:rFonts w:hint="eastAsia" w:ascii="宋体" w:hAnsi="宋体"/>
          <w:color w:val="000000"/>
          <w:sz w:val="24"/>
          <w:szCs w:val="24"/>
          <w:highlight w:val="none"/>
        </w:rPr>
        <w:t>专职安全员须具有</w:t>
      </w:r>
      <w:r>
        <w:rPr>
          <w:rFonts w:hint="eastAsia" w:ascii="宋体" w:hAnsi="宋体"/>
          <w:sz w:val="24"/>
          <w:szCs w:val="24"/>
          <w:highlight w:val="none"/>
          <w:u w:val="single"/>
        </w:rPr>
        <w:t>在有效期内的</w:t>
      </w:r>
      <w:r>
        <w:rPr>
          <w:rFonts w:hint="eastAsia" w:ascii="宋体" w:hAnsi="宋体"/>
          <w:color w:val="000000"/>
          <w:sz w:val="24"/>
          <w:szCs w:val="24"/>
          <w:highlight w:val="none"/>
        </w:rPr>
        <w:t>安全生产考核合格证（C类）或建筑施工企业专职安全生产管理人员安全生产考核合格证书（C3类）</w:t>
      </w:r>
      <w:r>
        <w:rPr>
          <w:rFonts w:hint="eastAsia" w:ascii="宋体" w:hAnsi="宋体"/>
          <w:color w:val="000000"/>
          <w:kern w:val="0"/>
          <w:sz w:val="24"/>
          <w:highlight w:val="none"/>
        </w:rPr>
        <w:t>。</w:t>
      </w:r>
    </w:p>
    <w:p>
      <w:pPr>
        <w:spacing w:line="360" w:lineRule="auto"/>
        <w:ind w:firstLine="537" w:firstLineChars="224"/>
        <w:contextualSpacing/>
        <w:rPr>
          <w:rFonts w:ascii="宋体"/>
          <w:color w:val="000000"/>
          <w:sz w:val="24"/>
        </w:rPr>
      </w:pPr>
      <w:r>
        <w:rPr>
          <w:rFonts w:hint="eastAsia" w:ascii="宋体" w:hAnsi="宋体" w:cs="宋体"/>
          <w:color w:val="000000"/>
          <w:sz w:val="24"/>
          <w:szCs w:val="24"/>
          <w:highlight w:val="none"/>
        </w:rPr>
        <w:t>8、</w:t>
      </w:r>
      <w:r>
        <w:rPr>
          <w:rFonts w:hint="eastAsia" w:ascii="宋体" w:hAnsi="宋体"/>
          <w:color w:val="000000"/>
          <w:sz w:val="24"/>
          <w:highlight w:val="none"/>
        </w:rPr>
        <w:t>投标人已按照附件一的内容签署盖章的投标人声</w:t>
      </w:r>
      <w:r>
        <w:rPr>
          <w:rFonts w:hint="eastAsia" w:ascii="宋体" w:hAnsi="宋体"/>
          <w:color w:val="000000"/>
          <w:sz w:val="24"/>
        </w:rPr>
        <w:t>明。</w:t>
      </w:r>
    </w:p>
    <w:p>
      <w:pPr>
        <w:spacing w:line="360" w:lineRule="auto"/>
        <w:ind w:firstLine="537" w:firstLineChars="224"/>
        <w:contextualSpacing/>
        <w:rPr>
          <w:rFonts w:ascii="宋体"/>
          <w:color w:val="000000"/>
          <w:sz w:val="24"/>
        </w:rPr>
      </w:pPr>
      <w:r>
        <w:rPr>
          <w:rFonts w:hint="eastAsia" w:ascii="宋体" w:hAnsi="宋体"/>
          <w:color w:val="000000"/>
          <w:sz w:val="24"/>
          <w:szCs w:val="24"/>
        </w:rPr>
        <w:t>9、关于联合体投标：</w:t>
      </w:r>
      <w:r>
        <w:rPr>
          <w:rFonts w:hint="eastAsia" w:ascii="宋体" w:hAnsi="宋体" w:cs="宋体"/>
          <w:color w:val="auto"/>
          <w:sz w:val="24"/>
          <w:szCs w:val="24"/>
          <w:highlight w:val="none"/>
          <w:u w:val="single"/>
        </w:rPr>
        <w:t>本项目接受联合体投标。</w:t>
      </w:r>
      <w:r>
        <w:rPr>
          <w:rFonts w:hint="eastAsia" w:ascii="宋体" w:hAnsi="宋体"/>
          <w:color w:val="auto"/>
          <w:sz w:val="24"/>
          <w:szCs w:val="24"/>
          <w:highlight w:val="none"/>
          <w:u w:val="single"/>
        </w:rPr>
        <w:t>但只接受最多由</w:t>
      </w:r>
      <w:r>
        <w:rPr>
          <w:rFonts w:hint="eastAsia" w:ascii="宋体" w:hAnsi="宋体"/>
          <w:color w:val="auto"/>
          <w:kern w:val="0"/>
          <w:sz w:val="24"/>
          <w:szCs w:val="24"/>
          <w:highlight w:val="none"/>
          <w:u w:val="single"/>
        </w:rPr>
        <w:t>2家单位</w:t>
      </w:r>
      <w:r>
        <w:rPr>
          <w:rFonts w:hint="eastAsia" w:ascii="宋体" w:hAnsi="宋体"/>
          <w:color w:val="auto"/>
          <w:sz w:val="24"/>
          <w:szCs w:val="24"/>
          <w:highlight w:val="none"/>
          <w:u w:val="single"/>
        </w:rPr>
        <w:t>组成的联合体</w:t>
      </w:r>
      <w:r>
        <w:rPr>
          <w:rFonts w:hint="eastAsia" w:ascii="宋体" w:hAnsi="宋体"/>
          <w:color w:val="auto"/>
          <w:sz w:val="24"/>
          <w:szCs w:val="24"/>
          <w:highlight w:val="none"/>
          <w:u w:val="single"/>
          <w:lang w:eastAsia="zh-CN"/>
        </w:rPr>
        <w:t>。</w:t>
      </w:r>
      <w:r>
        <w:rPr>
          <w:rFonts w:hint="eastAsia" w:ascii="宋体" w:hAnsi="宋体" w:cs="宋体"/>
          <w:color w:val="auto"/>
          <w:sz w:val="24"/>
          <w:szCs w:val="24"/>
          <w:highlight w:val="none"/>
          <w:u w:val="single"/>
        </w:rPr>
        <w:t>组成联合体投标的须由</w:t>
      </w:r>
      <w:r>
        <w:rPr>
          <w:rFonts w:hint="eastAsia" w:ascii="宋体" w:hAnsi="宋体" w:cs="宋体"/>
          <w:color w:val="auto"/>
          <w:sz w:val="24"/>
          <w:szCs w:val="24"/>
          <w:highlight w:val="none"/>
          <w:u w:val="single"/>
          <w:lang w:val="en-US" w:eastAsia="zh-CN"/>
        </w:rPr>
        <w:t>具备</w:t>
      </w:r>
      <w:r>
        <w:rPr>
          <w:rFonts w:hint="eastAsia" w:ascii="宋体" w:hAnsi="宋体" w:eastAsia="宋体"/>
          <w:sz w:val="24"/>
          <w:szCs w:val="24"/>
          <w:u w:val="single"/>
        </w:rPr>
        <w:t>文物保护工程施工一级资质</w:t>
      </w:r>
      <w:r>
        <w:rPr>
          <w:rFonts w:hint="eastAsia" w:ascii="宋体" w:hAnsi="宋体" w:eastAsia="宋体"/>
          <w:sz w:val="24"/>
          <w:szCs w:val="24"/>
          <w:u w:val="single"/>
          <w:lang w:val="en-US" w:eastAsia="zh-CN"/>
        </w:rPr>
        <w:t>的单位</w:t>
      </w:r>
      <w:r>
        <w:rPr>
          <w:rFonts w:hint="eastAsia" w:ascii="宋体" w:hAnsi="宋体" w:cs="宋体"/>
          <w:color w:val="auto"/>
          <w:sz w:val="24"/>
          <w:szCs w:val="24"/>
          <w:highlight w:val="none"/>
          <w:u w:val="single"/>
        </w:rPr>
        <w:t>为牵头人，并签订联合</w:t>
      </w:r>
      <w:r>
        <w:rPr>
          <w:rFonts w:hint="eastAsia" w:ascii="宋体" w:hAnsi="宋体" w:cs="宋体"/>
          <w:color w:val="auto"/>
          <w:sz w:val="24"/>
          <w:szCs w:val="24"/>
          <w:highlight w:val="none"/>
          <w:u w:val="single"/>
          <w:lang w:eastAsia="zh-CN"/>
        </w:rPr>
        <w:t>体</w:t>
      </w:r>
      <w:r>
        <w:rPr>
          <w:rFonts w:hint="eastAsia" w:ascii="宋体" w:hAnsi="宋体" w:cs="宋体"/>
          <w:color w:val="auto"/>
          <w:sz w:val="24"/>
          <w:szCs w:val="24"/>
          <w:highlight w:val="none"/>
          <w:u w:val="single"/>
        </w:rPr>
        <w:t>协议</w:t>
      </w:r>
      <w:r>
        <w:rPr>
          <w:rFonts w:hint="eastAsia" w:ascii="宋体" w:hAnsi="宋体"/>
          <w:color w:val="auto"/>
          <w:sz w:val="24"/>
          <w:szCs w:val="24"/>
          <w:highlight w:val="none"/>
          <w:u w:val="single"/>
        </w:rPr>
        <w:t>（格式按附件二）</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联合体工作协议应明确约定各方拟承担的工作和责任</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项目负责人由联合体主办方派驻</w:t>
      </w:r>
      <w:r>
        <w:rPr>
          <w:rFonts w:hint="eastAsia" w:ascii="宋体" w:hAnsi="宋体" w:cs="宋体"/>
          <w:color w:val="auto"/>
          <w:sz w:val="24"/>
          <w:szCs w:val="24"/>
          <w:highlight w:val="none"/>
          <w:u w:val="single"/>
        </w:rPr>
        <w:t>。</w:t>
      </w:r>
      <w:r>
        <w:rPr>
          <w:rFonts w:hint="eastAsia" w:ascii="宋体" w:hAnsi="宋体"/>
          <w:color w:val="auto"/>
          <w:sz w:val="24"/>
          <w:szCs w:val="24"/>
          <w:highlight w:val="none"/>
          <w:u w:val="single"/>
        </w:rPr>
        <w:t>联合体各方不得再以自己名义单独或加入其他联合体参加本项目的投标</w:t>
      </w:r>
      <w:r>
        <w:rPr>
          <w:rFonts w:hint="eastAsia" w:ascii="宋体" w:hAnsi="宋体" w:cs="宋体"/>
          <w:color w:val="000000"/>
          <w:sz w:val="24"/>
          <w:szCs w:val="24"/>
          <w:u w:val="single"/>
        </w:rPr>
        <w:t>。</w:t>
      </w:r>
    </w:p>
    <w:p>
      <w:pPr>
        <w:spacing w:line="360" w:lineRule="auto"/>
        <w:ind w:firstLine="537" w:firstLineChars="224"/>
        <w:contextualSpacing/>
        <w:rPr>
          <w:rFonts w:hint="eastAsia" w:ascii="宋体" w:hAnsi="宋体"/>
          <w:color w:val="000000"/>
          <w:sz w:val="24"/>
          <w:highlight w:val="none"/>
        </w:rPr>
      </w:pPr>
      <w:r>
        <w:rPr>
          <w:rFonts w:hint="eastAsia" w:ascii="宋体" w:hAnsi="宋体"/>
          <w:color w:val="000000"/>
          <w:sz w:val="24"/>
        </w:rPr>
        <w:t>10、</w:t>
      </w:r>
      <w:r>
        <w:rPr>
          <w:rFonts w:hint="eastAsia" w:ascii="宋体" w:hAnsi="宋体"/>
          <w:color w:val="000000"/>
          <w:sz w:val="24"/>
          <w:highlight w:val="none"/>
          <w:u w:val="single"/>
        </w:rPr>
        <w:t>投标登记前，投标人</w:t>
      </w:r>
      <w:r>
        <w:rPr>
          <w:rFonts w:hint="eastAsia" w:ascii="宋体" w:hAnsi="宋体" w:cs="宋体"/>
          <w:color w:val="auto"/>
          <w:sz w:val="24"/>
          <w:szCs w:val="24"/>
          <w:highlight w:val="none"/>
          <w:u w:val="single"/>
        </w:rPr>
        <w:t>（联合体各方）</w:t>
      </w:r>
      <w:r>
        <w:rPr>
          <w:rFonts w:hint="eastAsia" w:ascii="宋体" w:hAnsi="宋体"/>
          <w:color w:val="000000"/>
          <w:sz w:val="24"/>
          <w:highlight w:val="none"/>
          <w:u w:val="single"/>
        </w:rPr>
        <w:t>须在</w:t>
      </w:r>
      <w:r>
        <w:rPr>
          <w:rFonts w:hint="eastAsia" w:ascii="宋体" w:hAnsi="宋体"/>
          <w:color w:val="000000"/>
          <w:sz w:val="24"/>
          <w:highlight w:val="none"/>
          <w:u w:val="single"/>
          <w:lang w:eastAsia="zh-CN"/>
        </w:rPr>
        <w:t>广州公共资源交易中心</w:t>
      </w:r>
      <w:r>
        <w:rPr>
          <w:rFonts w:hint="eastAsia" w:ascii="宋体" w:hAnsi="宋体"/>
          <w:color w:val="000000"/>
          <w:sz w:val="24"/>
          <w:highlight w:val="none"/>
          <w:u w:val="single"/>
        </w:rPr>
        <w:t>企业库办理企业信息登记及拟担任本工程项目负责人、专职安全员须是本企业信息登记中的在册人员。企业信息取自投标截止时间投标人在</w:t>
      </w:r>
      <w:r>
        <w:rPr>
          <w:rFonts w:hint="eastAsia" w:ascii="宋体" w:hAnsi="宋体"/>
          <w:color w:val="000000"/>
          <w:sz w:val="24"/>
          <w:highlight w:val="none"/>
          <w:u w:val="single"/>
          <w:lang w:eastAsia="zh-CN"/>
        </w:rPr>
        <w:t>广州公共资源交易中心</w:t>
      </w:r>
      <w:r>
        <w:rPr>
          <w:rFonts w:hint="eastAsia" w:ascii="宋体" w:hAnsi="宋体"/>
          <w:color w:val="000000"/>
          <w:sz w:val="24"/>
          <w:highlight w:val="none"/>
          <w:u w:val="single"/>
        </w:rPr>
        <w:t>企业库内登记的信息，若招标人延长递交投标文件截止时间的，企业信息的评审时点也相应延长。</w:t>
      </w:r>
    </w:p>
    <w:p>
      <w:pPr>
        <w:spacing w:line="360" w:lineRule="auto"/>
        <w:ind w:firstLine="537" w:firstLineChars="224"/>
        <w:contextualSpacing/>
        <w:rPr>
          <w:rFonts w:hint="eastAsia" w:ascii="宋体" w:hAnsi="宋体"/>
          <w:color w:val="000000"/>
          <w:sz w:val="24"/>
          <w:u w:val="single"/>
        </w:rPr>
      </w:pPr>
      <w:r>
        <w:rPr>
          <w:rFonts w:hint="eastAsia" w:ascii="宋体" w:hAnsi="宋体"/>
          <w:color w:val="000000"/>
          <w:sz w:val="24"/>
          <w:u w:val="none"/>
        </w:rPr>
        <w:t>11、</w:t>
      </w:r>
      <w:r>
        <w:rPr>
          <w:rFonts w:hint="eastAsia" w:ascii="宋体" w:hAnsi="宋体"/>
          <w:color w:val="000000"/>
          <w:sz w:val="24"/>
          <w:szCs w:val="24"/>
        </w:rPr>
        <w:t>投标人</w:t>
      </w:r>
      <w:r>
        <w:rPr>
          <w:rFonts w:hint="eastAsia" w:ascii="宋体" w:hAnsi="宋体" w:cs="宋体"/>
          <w:color w:val="auto"/>
          <w:sz w:val="24"/>
          <w:szCs w:val="24"/>
          <w:highlight w:val="none"/>
          <w:u w:val="single"/>
        </w:rPr>
        <w:t>（联合体各方）</w:t>
      </w:r>
      <w:r>
        <w:rPr>
          <w:rFonts w:hint="eastAsia" w:ascii="宋体" w:hAnsi="宋体"/>
          <w:color w:val="000000"/>
          <w:sz w:val="24"/>
          <w:szCs w:val="24"/>
        </w:rPr>
        <w:t>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000000"/>
          <w:sz w:val="24"/>
          <w:szCs w:val="24"/>
          <w:u w:val="single"/>
        </w:rPr>
        <w:t>均按不符合投标人合格条件处理</w:t>
      </w:r>
      <w:r>
        <w:rPr>
          <w:rFonts w:hint="eastAsia" w:ascii="宋体" w:hAnsi="宋体"/>
          <w:color w:val="000000"/>
          <w:sz w:val="24"/>
          <w:szCs w:val="24"/>
        </w:rPr>
        <w:t>。</w:t>
      </w:r>
    </w:p>
    <w:p>
      <w:pPr>
        <w:spacing w:line="440" w:lineRule="exact"/>
        <w:ind w:firstLine="537" w:firstLineChars="224"/>
        <w:jc w:val="left"/>
        <w:rPr>
          <w:rFonts w:hint="eastAsia" w:ascii="宋体" w:hAnsi="宋体"/>
          <w:color w:val="000000"/>
          <w:sz w:val="24"/>
        </w:rPr>
      </w:pPr>
      <w:r>
        <w:rPr>
          <w:rFonts w:ascii="宋体" w:hAnsi="宋体"/>
          <w:color w:val="000000"/>
          <w:sz w:val="24"/>
          <w:u w:val="none"/>
        </w:rPr>
        <w:t>1</w:t>
      </w:r>
      <w:r>
        <w:rPr>
          <w:rFonts w:hint="eastAsia" w:ascii="宋体" w:hAnsi="宋体"/>
          <w:color w:val="000000"/>
          <w:sz w:val="24"/>
          <w:u w:val="none"/>
        </w:rPr>
        <w:t>2、</w:t>
      </w:r>
      <w:r>
        <w:rPr>
          <w:rFonts w:hint="eastAsia" w:ascii="宋体" w:hAnsi="宋体"/>
          <w:color w:val="000000"/>
          <w:sz w:val="24"/>
          <w:szCs w:val="24"/>
        </w:rPr>
        <w:t>投标人</w:t>
      </w:r>
      <w:r>
        <w:rPr>
          <w:rFonts w:hint="eastAsia" w:ascii="宋体" w:hAnsi="宋体" w:cs="宋体"/>
          <w:color w:val="auto"/>
          <w:sz w:val="24"/>
          <w:szCs w:val="24"/>
          <w:highlight w:val="none"/>
          <w:u w:val="single"/>
        </w:rPr>
        <w:t>（联合体各方）</w:t>
      </w:r>
      <w:r>
        <w:rPr>
          <w:rFonts w:hint="eastAsia" w:ascii="宋体" w:hAnsi="宋体" w:cs="宋体"/>
          <w:sz w:val="24"/>
          <w:szCs w:val="24"/>
        </w:rPr>
        <w:t>未被列入拖欠农民工工资失信联合惩戒对象名单。</w:t>
      </w:r>
      <w:r>
        <w:rPr>
          <w:rFonts w:hint="eastAsia" w:ascii="宋体"/>
          <w:kern w:val="0"/>
          <w:sz w:val="24"/>
          <w:szCs w:val="24"/>
        </w:rPr>
        <w:t>[注：因联合惩戒措施表述存在细微差别，惩戒措施与上文不完全一致但措施内容相同的，也应属于被限制参与相关项目的投标。]</w:t>
      </w:r>
    </w:p>
    <w:p>
      <w:pPr>
        <w:ind w:firstLine="537" w:firstLineChars="224"/>
        <w:rPr>
          <w:rFonts w:ascii="宋体"/>
          <w:color w:val="000000"/>
          <w:sz w:val="24"/>
        </w:rPr>
      </w:pPr>
      <w:r>
        <w:rPr>
          <w:rFonts w:hint="eastAsia" w:ascii="宋体" w:hAnsi="宋体"/>
          <w:color w:val="000000"/>
          <w:sz w:val="24"/>
        </w:rPr>
        <w:t>注：未在招标公告第九条单列的资审合格条件，不作为资审不合格的依据。</w:t>
      </w:r>
    </w:p>
    <w:p>
      <w:pPr>
        <w:spacing w:line="360" w:lineRule="auto"/>
        <w:ind w:firstLine="480" w:firstLineChars="200"/>
        <w:contextualSpacing/>
        <w:rPr>
          <w:rFonts w:ascii="宋体" w:cs="宋体"/>
          <w:color w:val="000000"/>
          <w:sz w:val="24"/>
          <w:szCs w:val="24"/>
        </w:rPr>
      </w:pPr>
      <w:r>
        <w:rPr>
          <w:rFonts w:hint="eastAsia" w:ascii="宋体" w:hAnsi="宋体" w:cs="宋体"/>
          <w:color w:val="000000"/>
          <w:sz w:val="24"/>
          <w:szCs w:val="24"/>
        </w:rPr>
        <w:t>十、资格审查方式：</w:t>
      </w:r>
    </w:p>
    <w:p>
      <w:pPr>
        <w:widowControl/>
        <w:spacing w:line="360" w:lineRule="auto"/>
        <w:ind w:firstLine="480" w:firstLineChars="200"/>
        <w:contextualSpacing/>
        <w:rPr>
          <w:rFonts w:ascii="宋体" w:cs="宋体"/>
          <w:color w:val="000000"/>
          <w:sz w:val="24"/>
          <w:szCs w:val="24"/>
        </w:rPr>
      </w:pPr>
      <w:r>
        <w:rPr>
          <w:rFonts w:hint="eastAsia" w:ascii="宋体" w:hAnsi="宋体" w:cs="宋体"/>
          <w:color w:val="000000"/>
          <w:sz w:val="24"/>
          <w:szCs w:val="24"/>
        </w:rPr>
        <w:t>本工程采用资格后审方式，由评标委员会负责资格审查</w:t>
      </w:r>
      <w:r>
        <w:rPr>
          <w:rFonts w:hint="eastAsia" w:ascii="宋体" w:hAnsi="宋体" w:cs="宋体"/>
          <w:color w:val="000000"/>
          <w:sz w:val="24"/>
          <w:szCs w:val="24"/>
          <w:u w:val="single"/>
        </w:rPr>
        <w:t>及评标工作</w:t>
      </w:r>
      <w:r>
        <w:rPr>
          <w:rFonts w:hint="eastAsia" w:ascii="宋体" w:hAnsi="宋体" w:cs="宋体"/>
          <w:color w:val="000000"/>
          <w:sz w:val="24"/>
          <w:szCs w:val="24"/>
        </w:rPr>
        <w:t>。</w:t>
      </w:r>
    </w:p>
    <w:p>
      <w:pPr>
        <w:spacing w:line="360" w:lineRule="auto"/>
        <w:contextualSpacing/>
        <w:rPr>
          <w:rFonts w:ascii="宋体" w:hAnsi="宋体"/>
          <w:color w:val="000000"/>
          <w:sz w:val="24"/>
        </w:rPr>
      </w:pPr>
      <w:r>
        <w:rPr>
          <w:rFonts w:hint="eastAsia" w:ascii="宋体" w:hAnsi="宋体"/>
          <w:color w:val="000000"/>
          <w:sz w:val="24"/>
        </w:rPr>
        <w:t xml:space="preserve">    十一、资格审查结果将在</w:t>
      </w:r>
      <w:r>
        <w:rPr>
          <w:rFonts w:hint="eastAsia" w:ascii="宋体" w:hAnsi="宋体" w:cs="宋体"/>
          <w:color w:val="000000"/>
          <w:sz w:val="24"/>
          <w:szCs w:val="24"/>
          <w:u w:val="single"/>
          <w:lang w:eastAsia="zh-CN"/>
        </w:rPr>
        <w:t>广州公共资源交易中心</w:t>
      </w:r>
      <w:r>
        <w:rPr>
          <w:rFonts w:hint="eastAsia" w:ascii="宋体" w:hAnsi="宋体"/>
          <w:color w:val="000000"/>
          <w:sz w:val="24"/>
          <w:szCs w:val="24"/>
        </w:rPr>
        <w:t>交易平台</w:t>
      </w:r>
      <w:r>
        <w:rPr>
          <w:rFonts w:hint="eastAsia" w:ascii="宋体" w:hAnsi="宋体"/>
          <w:color w:val="000000"/>
          <w:sz w:val="24"/>
        </w:rPr>
        <w:t>和广东省招标投标监管网公示，</w:t>
      </w:r>
      <w:r>
        <w:rPr>
          <w:rFonts w:hint="eastAsia" w:ascii="宋体" w:hAnsi="宋体"/>
          <w:bCs/>
          <w:color w:val="000000"/>
          <w:sz w:val="24"/>
        </w:rPr>
        <w:t>公示时间不得少于3日。</w:t>
      </w:r>
    </w:p>
    <w:p>
      <w:pPr>
        <w:spacing w:line="360" w:lineRule="auto"/>
        <w:ind w:firstLine="480"/>
        <w:contextualSpacing/>
        <w:rPr>
          <w:rFonts w:hint="eastAsia" w:ascii="宋体" w:hAnsi="宋体"/>
          <w:color w:val="000000"/>
          <w:sz w:val="24"/>
        </w:rPr>
      </w:pPr>
      <w:r>
        <w:rPr>
          <w:rFonts w:hint="eastAsia" w:ascii="宋体" w:hAnsi="宋体"/>
          <w:color w:val="000000"/>
          <w:sz w:val="24"/>
        </w:rPr>
        <w:t>十二、满足资格审查合格条件的投标人不足 3 名或通过有效性审查的投标人不足3名时为招标失败。招标人分析招标失败原因，修正招标方案，报有关管理部门核准后，重新组织招标。</w:t>
      </w:r>
    </w:p>
    <w:p>
      <w:pPr>
        <w:spacing w:line="360" w:lineRule="auto"/>
        <w:ind w:firstLine="480"/>
        <w:contextualSpacing/>
        <w:rPr>
          <w:rFonts w:ascii="宋体" w:hAnsi="宋体"/>
          <w:color w:val="000000"/>
          <w:sz w:val="24"/>
          <w:u w:val="single"/>
        </w:rPr>
      </w:pPr>
      <w:r>
        <w:rPr>
          <w:rFonts w:hint="eastAsia" w:ascii="宋体" w:hAnsi="宋体" w:cs="宋体"/>
          <w:color w:val="000000"/>
          <w:sz w:val="24"/>
          <w:szCs w:val="24"/>
        </w:rPr>
        <w:t>十三、</w:t>
      </w:r>
      <w:r>
        <w:rPr>
          <w:rFonts w:hint="eastAsia" w:ascii="宋体" w:hAnsi="宋体"/>
          <w:color w:val="000000"/>
          <w:sz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十四、</w:t>
      </w:r>
      <w:r>
        <w:rPr>
          <w:rFonts w:hint="eastAsia" w:ascii="宋体" w:hAnsi="宋体"/>
          <w:color w:val="000000"/>
          <w:sz w:val="24"/>
          <w:u w:val="none"/>
        </w:rPr>
        <w:t>投标文件全部采用电子文档，投标人按招标文件要求提交投标文件。</w:t>
      </w:r>
      <w:r>
        <w:rPr>
          <w:rFonts w:hint="eastAsia" w:ascii="宋体" w:hAnsi="宋体" w:cs="宋体"/>
          <w:sz w:val="24"/>
          <w:szCs w:val="24"/>
        </w:rPr>
        <w:t>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firstLine="537" w:firstLineChars="224"/>
        <w:contextualSpacing/>
        <w:rPr>
          <w:rFonts w:hint="eastAsia" w:ascii="宋体" w:hAnsi="宋体"/>
          <w:color w:val="000000"/>
          <w:sz w:val="24"/>
        </w:rPr>
      </w:pPr>
      <w:r>
        <w:rPr>
          <w:rFonts w:hint="eastAsia" w:ascii="宋体" w:hAnsi="宋体" w:cs="宋体"/>
          <w:color w:val="000000"/>
          <w:sz w:val="24"/>
          <w:szCs w:val="24"/>
        </w:rPr>
        <w:t>十五、潜在投标人或利害关系人对本招标公告及招标文件有异议的，应当在投标截止时间10日前向招标人书面提出。</w:t>
      </w:r>
    </w:p>
    <w:p>
      <w:pPr>
        <w:spacing w:line="360" w:lineRule="auto"/>
        <w:ind w:firstLine="537" w:firstLineChars="224"/>
        <w:contextualSpacing/>
        <w:rPr>
          <w:rFonts w:hint="eastAsia" w:ascii="宋体" w:hAnsi="宋体" w:eastAsia="宋体"/>
          <w:color w:val="000000"/>
          <w:sz w:val="24"/>
          <w:highlight w:val="none"/>
          <w:u w:val="single"/>
          <w:lang w:eastAsia="zh-CN"/>
        </w:rPr>
      </w:pPr>
      <w:r>
        <w:rPr>
          <w:rFonts w:hint="eastAsia" w:ascii="宋体" w:hAnsi="宋体"/>
          <w:color w:val="000000"/>
          <w:sz w:val="24"/>
          <w:highlight w:val="none"/>
        </w:rPr>
        <w:t>异议受理部门：</w:t>
      </w:r>
      <w:r>
        <w:rPr>
          <w:rFonts w:hint="eastAsia" w:ascii="宋体" w:hAnsi="宋体"/>
          <w:color w:val="000000"/>
          <w:sz w:val="24"/>
          <w:highlight w:val="none"/>
          <w:u w:val="single"/>
          <w:lang w:eastAsia="zh-CN"/>
        </w:rPr>
        <w:t>辛亥革命纪念馆</w:t>
      </w:r>
    </w:p>
    <w:p>
      <w:pPr>
        <w:spacing w:line="360" w:lineRule="auto"/>
        <w:ind w:firstLine="537" w:firstLineChars="224"/>
        <w:contextualSpacing/>
        <w:rPr>
          <w:rFonts w:hint="default" w:ascii="宋体" w:hAnsi="宋体" w:eastAsia="宋体"/>
          <w:color w:val="000000"/>
          <w:sz w:val="24"/>
          <w:highlight w:val="none"/>
          <w:u w:val="single"/>
          <w:lang w:val="en-US" w:eastAsia="zh-CN"/>
        </w:rPr>
      </w:pPr>
      <w:r>
        <w:rPr>
          <w:rFonts w:hint="eastAsia" w:ascii="宋体" w:hAnsi="宋体"/>
          <w:color w:val="000000"/>
          <w:sz w:val="24"/>
          <w:highlight w:val="none"/>
          <w:u w:val="single"/>
        </w:rPr>
        <w:t>异议受理电话：020-32065846     联系人：</w:t>
      </w:r>
      <w:r>
        <w:rPr>
          <w:rFonts w:hint="eastAsia" w:ascii="宋体" w:hAnsi="宋体"/>
          <w:color w:val="000000"/>
          <w:sz w:val="24"/>
          <w:highlight w:val="none"/>
          <w:u w:val="single"/>
          <w:lang w:val="en-US" w:eastAsia="zh-CN"/>
        </w:rPr>
        <w:t>杨工</w:t>
      </w:r>
    </w:p>
    <w:p>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single"/>
        </w:rPr>
        <w:t>地址：</w:t>
      </w:r>
      <w:r>
        <w:rPr>
          <w:rFonts w:hint="eastAsia" w:ascii="宋体" w:hAnsi="宋体" w:cs="宋体"/>
          <w:color w:val="000000"/>
          <w:sz w:val="24"/>
          <w:szCs w:val="24"/>
          <w:highlight w:val="none"/>
          <w:u w:val="single"/>
        </w:rPr>
        <w:t>广州市黄埔区长洲岛金洲北路563号</w:t>
      </w:r>
    </w:p>
    <w:p>
      <w:pPr>
        <w:spacing w:line="360" w:lineRule="auto"/>
        <w:ind w:firstLine="537" w:firstLineChars="224"/>
        <w:contextualSpacing/>
        <w:rPr>
          <w:rFonts w:hint="eastAsia" w:ascii="宋体"/>
          <w:color w:val="000000"/>
          <w:sz w:val="24"/>
          <w:u w:val="single"/>
        </w:rPr>
      </w:pPr>
      <w:r>
        <w:rPr>
          <w:rFonts w:hint="eastAsia" w:ascii="宋体" w:hAnsi="宋体"/>
          <w:color w:val="000000"/>
          <w:sz w:val="24"/>
          <w:highlight w:val="none"/>
          <w:u w:val="single"/>
        </w:rPr>
        <w:t>注：潜在投标人或利害关系人可以通过线下或线上</w:t>
      </w:r>
      <w:r>
        <w:rPr>
          <w:rFonts w:hint="eastAsia" w:ascii="宋体" w:hAnsi="宋体"/>
          <w:color w:val="000000"/>
          <w:sz w:val="24"/>
          <w:u w:val="single"/>
        </w:rPr>
        <w:t>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540" w:firstLineChars="225"/>
        <w:contextualSpacing/>
        <w:rPr>
          <w:rFonts w:ascii="宋体"/>
          <w:color w:val="000000"/>
          <w:sz w:val="24"/>
          <w:highlight w:val="none"/>
        </w:rPr>
      </w:pPr>
      <w:r>
        <w:rPr>
          <w:rFonts w:hint="eastAsia" w:ascii="宋体" w:hAnsi="宋体"/>
          <w:color w:val="000000"/>
          <w:sz w:val="24"/>
        </w:rPr>
        <w:t>十六、本公</w:t>
      </w:r>
      <w:r>
        <w:rPr>
          <w:rFonts w:hint="eastAsia" w:ascii="宋体" w:hAnsi="宋体"/>
          <w:color w:val="000000"/>
          <w:sz w:val="24"/>
          <w:highlight w:val="none"/>
        </w:rPr>
        <w:t>告在广州公共资源交易网（网址：http://www.gzggzy.cn）、广东省招标投标监管网（网址：http://zbtb.gd.gov.cn）和中国招标投标公共服务平台（网址：http://www.cebpubservice.com/）发布，本公告的修改、补充，在广州公共资源交易网发布。</w:t>
      </w:r>
    </w:p>
    <w:p>
      <w:pPr>
        <w:spacing w:line="360" w:lineRule="auto"/>
        <w:ind w:firstLine="537" w:firstLineChars="224"/>
        <w:contextualSpacing/>
        <w:rPr>
          <w:rFonts w:ascii="宋体"/>
          <w:color w:val="000000"/>
          <w:sz w:val="24"/>
        </w:rPr>
      </w:pPr>
      <w:r>
        <w:rPr>
          <w:rFonts w:hint="eastAsia" w:ascii="宋体" w:hAnsi="宋体" w:cs="宋体"/>
          <w:color w:val="000000"/>
          <w:sz w:val="24"/>
          <w:szCs w:val="24"/>
          <w:highlight w:val="none"/>
        </w:rPr>
        <w:t>十七、</w:t>
      </w:r>
      <w:r>
        <w:rPr>
          <w:rFonts w:hint="eastAsia" w:ascii="宋体" w:hAnsi="宋体"/>
          <w:color w:val="000000"/>
          <w:sz w:val="24"/>
          <w:highlight w:val="none"/>
        </w:rPr>
        <w:t>本招标公告及招标文件使用GZZB2018-3招标文件范本。本公告与范本</w:t>
      </w:r>
      <w:r>
        <w:rPr>
          <w:rFonts w:hint="eastAsia" w:ascii="宋体" w:hAnsi="宋体"/>
          <w:color w:val="000000"/>
          <w:sz w:val="24"/>
        </w:rPr>
        <w:t>内容不同之处均以下划线标明，所有标明下划线部分属于本公告的组成部分，同其他部分具有同样的效力。</w:t>
      </w:r>
    </w:p>
    <w:p>
      <w:pPr>
        <w:spacing w:line="460" w:lineRule="exact"/>
        <w:ind w:firstLine="537" w:firstLineChars="224"/>
        <w:contextualSpacing/>
        <w:rPr>
          <w:rFonts w:hint="eastAsia" w:ascii="宋体" w:hAnsi="宋体"/>
          <w:bCs/>
          <w:sz w:val="24"/>
          <w:szCs w:val="24"/>
          <w:u w:val="single"/>
        </w:rPr>
      </w:pPr>
      <w:r>
        <w:rPr>
          <w:rFonts w:hint="eastAsia" w:ascii="宋体" w:hAnsi="宋体" w:cs="宋体"/>
          <w:color w:val="000000"/>
          <w:sz w:val="24"/>
          <w:szCs w:val="24"/>
        </w:rPr>
        <w:t>十八、</w:t>
      </w:r>
      <w:r>
        <w:rPr>
          <w:rFonts w:hint="eastAsia" w:ascii="宋体" w:hAnsi="宋体"/>
          <w:color w:val="000000"/>
          <w:sz w:val="24"/>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bCs/>
          <w:sz w:val="24"/>
          <w:szCs w:val="24"/>
          <w:u w:val="single"/>
        </w:rPr>
        <w:t>如招标人需发布补充公告的，以最后发布的补充公告的时间起计算编制投标文件时间，并需在补充公告中明确说明。</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1.将中标工程转包或者违法分包的;</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2.在中标工程中不执行质量、安全生产相关规定的，造成质量或安全事故的；</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3.存在围标或串标情形的;</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4.在投标文件中提供虚假材料的；</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5.存在行贿情形的;</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6.拖欠农民工工资的；</w:t>
      </w:r>
    </w:p>
    <w:p>
      <w:pPr>
        <w:spacing w:line="460" w:lineRule="exact"/>
        <w:ind w:firstLine="537" w:firstLineChars="224"/>
        <w:contextualSpacing/>
        <w:rPr>
          <w:rFonts w:hint="eastAsia" w:ascii="宋体"/>
          <w:color w:val="000000"/>
          <w:sz w:val="24"/>
          <w:u w:val="none"/>
        </w:rPr>
      </w:pPr>
      <w:r>
        <w:rPr>
          <w:rFonts w:hint="eastAsia" w:ascii="宋体"/>
          <w:color w:val="000000"/>
          <w:sz w:val="24"/>
          <w:u w:val="none"/>
        </w:rPr>
        <w:t>7.未按照国家、省、市有关建筑施工实名制管理和工人工资支付分账管理的规定执行，被行政监管部门处罚的。</w:t>
      </w:r>
    </w:p>
    <w:p>
      <w:pPr>
        <w:spacing w:line="460" w:lineRule="exact"/>
        <w:ind w:firstLine="537" w:firstLineChars="224"/>
        <w:contextualSpacing/>
        <w:rPr>
          <w:rFonts w:hint="eastAsia" w:ascii="宋体"/>
          <w:color w:val="000000"/>
          <w:sz w:val="24"/>
          <w:u w:val="single"/>
        </w:rPr>
      </w:pPr>
      <w:r>
        <w:rPr>
          <w:rFonts w:hint="eastAsia" w:ascii="宋体"/>
          <w:color w:val="000000"/>
          <w:sz w:val="24"/>
          <w:u w:val="single"/>
        </w:rPr>
        <w:t>8.中标人在项目实施过程中选取的专业分包单位或劳务企业或劳务班组长与投标时不一致的；</w:t>
      </w:r>
    </w:p>
    <w:p>
      <w:pPr>
        <w:spacing w:line="360" w:lineRule="auto"/>
        <w:ind w:firstLine="537" w:firstLineChars="224"/>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.中标人未按规定购买安全生产责任保险的。</w:t>
      </w:r>
    </w:p>
    <w:p>
      <w:pPr>
        <w:pStyle w:val="6"/>
        <w:rPr>
          <w:rFonts w:hint="eastAsia"/>
        </w:rPr>
      </w:pPr>
    </w:p>
    <w:p>
      <w:pPr>
        <w:spacing w:line="360" w:lineRule="auto"/>
        <w:ind w:right="46" w:rightChars="22"/>
        <w:jc w:val="right"/>
        <w:rPr>
          <w:rFonts w:hint="eastAsia" w:ascii="宋体" w:hAnsi="宋体" w:eastAsia="宋体" w:cs="宋体"/>
          <w:bCs/>
          <w:color w:val="000000"/>
          <w:sz w:val="24"/>
          <w:szCs w:val="24"/>
          <w:lang w:eastAsia="zh-CN"/>
        </w:rPr>
      </w:pPr>
      <w:r>
        <w:rPr>
          <w:rFonts w:hint="eastAsia" w:ascii="宋体" w:hAnsi="宋体" w:cs="宋体"/>
          <w:bCs/>
          <w:color w:val="000000"/>
          <w:sz w:val="24"/>
          <w:szCs w:val="24"/>
        </w:rPr>
        <w:t>招标人：</w:t>
      </w:r>
      <w:r>
        <w:rPr>
          <w:rFonts w:hint="eastAsia" w:ascii="宋体" w:hAnsi="宋体" w:cs="宋体"/>
          <w:bCs/>
          <w:color w:val="000000"/>
          <w:sz w:val="24"/>
          <w:szCs w:val="24"/>
          <w:lang w:eastAsia="zh-CN"/>
        </w:rPr>
        <w:t>辛亥革命纪念馆</w:t>
      </w:r>
    </w:p>
    <w:p>
      <w:pPr>
        <w:spacing w:line="360" w:lineRule="auto"/>
        <w:ind w:right="46" w:rightChars="22" w:firstLine="5280" w:firstLineChars="2200"/>
        <w:jc w:val="right"/>
        <w:rPr>
          <w:rFonts w:ascii="宋体" w:hAnsi="宋体" w:cs="宋体"/>
          <w:color w:val="000000"/>
          <w:sz w:val="24"/>
          <w:szCs w:val="24"/>
          <w:u w:val="single"/>
        </w:rPr>
      </w:pPr>
      <w:r>
        <w:rPr>
          <w:rFonts w:hint="eastAsia" w:ascii="宋体" w:hAnsi="宋体" w:cs="宋体"/>
          <w:color w:val="000000"/>
          <w:sz w:val="24"/>
          <w:szCs w:val="24"/>
        </w:rPr>
        <w:t>代理单位：</w:t>
      </w:r>
      <w:r>
        <w:rPr>
          <w:rFonts w:ascii="宋体" w:hAnsi="宋体" w:cs="宋体"/>
          <w:color w:val="000000"/>
          <w:sz w:val="24"/>
          <w:szCs w:val="24"/>
        </w:rPr>
        <w:t>粤廉(广东)招标代理有限公司</w:t>
      </w:r>
    </w:p>
    <w:p>
      <w:pPr>
        <w:wordWrap w:val="0"/>
        <w:spacing w:line="360" w:lineRule="auto"/>
        <w:ind w:right="97" w:rightChars="46" w:firstLine="4860" w:firstLineChars="2025"/>
        <w:contextualSpacing/>
        <w:jc w:val="right"/>
        <w:rPr>
          <w:rFonts w:ascii="宋体"/>
          <w:color w:val="000000"/>
          <w:sz w:val="24"/>
        </w:rPr>
      </w:pP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spacing w:line="480" w:lineRule="auto"/>
        <w:ind w:firstLine="537" w:firstLineChars="224"/>
        <w:rPr>
          <w:rFonts w:ascii="宋体"/>
          <w:color w:val="000000"/>
          <w:sz w:val="24"/>
        </w:rPr>
        <w:sectPr>
          <w:footerReference r:id="rId3" w:type="default"/>
          <w:footerReference r:id="rId4" w:type="even"/>
          <w:endnotePr>
            <w:numFmt w:val="decimal"/>
          </w:endnotePr>
          <w:pgSz w:w="11906" w:h="16838"/>
          <w:pgMar w:top="1440" w:right="1134" w:bottom="1440" w:left="1134" w:header="851" w:footer="992" w:gutter="0"/>
          <w:cols w:space="720" w:num="1"/>
          <w:docGrid w:type="lines" w:linePitch="312" w:charSpace="0"/>
        </w:sectPr>
      </w:pPr>
    </w:p>
    <w:p>
      <w:pPr>
        <w:spacing w:line="360" w:lineRule="auto"/>
        <w:rPr>
          <w:b/>
          <w:color w:val="000000"/>
          <w:sz w:val="44"/>
        </w:rPr>
      </w:pPr>
      <w:r>
        <w:rPr>
          <w:rFonts w:hint="eastAsia" w:ascii="宋体" w:hAnsi="宋体"/>
          <w:color w:val="000000"/>
          <w:sz w:val="24"/>
        </w:rPr>
        <w:t>附件一：</w:t>
      </w:r>
    </w:p>
    <w:p>
      <w:pPr>
        <w:jc w:val="center"/>
        <w:rPr>
          <w:b/>
          <w:color w:val="000000"/>
          <w:sz w:val="44"/>
          <w:szCs w:val="44"/>
        </w:rPr>
      </w:pPr>
      <w:r>
        <w:rPr>
          <w:rFonts w:hint="eastAsia"/>
          <w:b/>
          <w:color w:val="000000"/>
          <w:kern w:val="0"/>
          <w:sz w:val="44"/>
          <w:szCs w:val="44"/>
        </w:rPr>
        <w:t>投标人</w:t>
      </w:r>
      <w:r>
        <w:rPr>
          <w:rFonts w:hint="eastAsia"/>
          <w:b/>
          <w:color w:val="000000"/>
          <w:sz w:val="44"/>
          <w:szCs w:val="44"/>
        </w:rPr>
        <w:t>声明</w:t>
      </w:r>
    </w:p>
    <w:p>
      <w:pPr>
        <w:pStyle w:val="97"/>
        <w:ind w:firstLine="0"/>
        <w:rPr>
          <w:rFonts w:ascii="宋体" w:hAnsi="宋体" w:eastAsia="宋体"/>
          <w:sz w:val="24"/>
          <w:szCs w:val="24"/>
          <w:highlight w:val="none"/>
        </w:rPr>
      </w:pPr>
      <w:r>
        <w:rPr>
          <w:rFonts w:hint="eastAsia" w:ascii="宋体" w:hAnsi="宋体" w:eastAsia="宋体" w:cs="宋体"/>
          <w:spacing w:val="-2"/>
          <w:sz w:val="24"/>
          <w:szCs w:val="24"/>
          <w:highlight w:val="none"/>
          <w:u w:val="single"/>
          <w:lang w:eastAsia="zh-CN"/>
        </w:rPr>
        <w:t>辛亥革命纪念馆、</w:t>
      </w:r>
      <w:r>
        <w:rPr>
          <w:rFonts w:hint="eastAsia" w:ascii="宋体" w:hAnsi="宋体" w:eastAsia="宋体" w:cs="宋体"/>
          <w:spacing w:val="-2"/>
          <w:sz w:val="24"/>
          <w:szCs w:val="24"/>
          <w:highlight w:val="none"/>
          <w:u w:val="single"/>
        </w:rPr>
        <w:t>广州市黄埔区文化广电旅游局</w:t>
      </w:r>
      <w:r>
        <w:rPr>
          <w:rFonts w:hint="eastAsia" w:ascii="宋体" w:hAnsi="宋体" w:eastAsia="宋体"/>
          <w:sz w:val="24"/>
          <w:szCs w:val="24"/>
          <w:highlight w:val="none"/>
        </w:rPr>
        <w:t>：</w:t>
      </w:r>
    </w:p>
    <w:p>
      <w:pPr>
        <w:pStyle w:val="97"/>
        <w:rPr>
          <w:rFonts w:ascii="宋体" w:hAnsi="宋体" w:eastAsia="宋体"/>
          <w:sz w:val="24"/>
          <w:szCs w:val="24"/>
        </w:rPr>
      </w:pPr>
      <w:r>
        <w:rPr>
          <w:rFonts w:hint="eastAsia" w:ascii="宋体" w:hAnsi="宋体" w:eastAsia="宋体"/>
          <w:sz w:val="24"/>
          <w:szCs w:val="24"/>
        </w:rPr>
        <w:t>本公司就参加</w:t>
      </w:r>
      <w:r>
        <w:rPr>
          <w:rFonts w:hint="eastAsia" w:ascii="宋体" w:hAnsi="宋体" w:eastAsia="宋体"/>
          <w:sz w:val="24"/>
          <w:szCs w:val="24"/>
          <w:u w:val="single"/>
          <w:lang w:eastAsia="zh-CN"/>
        </w:rPr>
        <w:t>全国重点文物保护单位黄埔军校旧址孙总理纪念碑修缮工程</w:t>
      </w:r>
      <w:r>
        <w:rPr>
          <w:rFonts w:hint="eastAsia" w:ascii="宋体" w:hAnsi="宋体" w:eastAsia="宋体"/>
          <w:sz w:val="24"/>
          <w:szCs w:val="24"/>
        </w:rPr>
        <w:t>投标工作，作出郑重声明：</w:t>
      </w:r>
    </w:p>
    <w:p>
      <w:pPr>
        <w:pStyle w:val="97"/>
        <w:rPr>
          <w:rFonts w:ascii="宋体" w:hAnsi="宋体" w:eastAsia="宋体"/>
          <w:sz w:val="24"/>
          <w:szCs w:val="24"/>
        </w:rPr>
      </w:pPr>
      <w:r>
        <w:rPr>
          <w:rFonts w:hint="eastAsia" w:ascii="宋体" w:hAnsi="宋体" w:eastAsia="宋体"/>
          <w:sz w:val="24"/>
          <w:szCs w:val="24"/>
        </w:rPr>
        <w:t>一、本公司保证投标文件及其后提供的一切材料都是真实的。如我司成为本项目中标候选人，我司同意并授权招标人将我司投标文件商务部分的人员、业绩、奖项等资料进行公开。</w:t>
      </w:r>
    </w:p>
    <w:p>
      <w:pPr>
        <w:pStyle w:val="97"/>
        <w:rPr>
          <w:rFonts w:ascii="宋体" w:hAnsi="宋体" w:eastAsia="宋体"/>
          <w:sz w:val="24"/>
          <w:szCs w:val="24"/>
        </w:rPr>
      </w:pPr>
      <w:r>
        <w:rPr>
          <w:rFonts w:hint="eastAsia" w:ascii="宋体" w:hAnsi="宋体" w:eastAsia="宋体"/>
          <w:sz w:val="24"/>
          <w:szCs w:val="24"/>
        </w:rPr>
        <w:t>二、本公司保证在本项目投标中不与其他单位围标、串标，不出让投标资格，不向招标人或评标委员会成员行贿。</w:t>
      </w:r>
    </w:p>
    <w:p>
      <w:pPr>
        <w:pStyle w:val="97"/>
        <w:rPr>
          <w:rFonts w:ascii="宋体" w:hAnsi="宋体" w:eastAsia="宋体"/>
          <w:sz w:val="24"/>
          <w:szCs w:val="24"/>
        </w:rPr>
      </w:pPr>
      <w:r>
        <w:rPr>
          <w:rFonts w:hint="eastAsia" w:ascii="宋体" w:hAnsi="宋体" w:eastAsia="宋体"/>
          <w:sz w:val="24"/>
          <w:szCs w:val="24"/>
        </w:rPr>
        <w:t>三、本公司不存在下列情形之一：</w:t>
      </w:r>
    </w:p>
    <w:p>
      <w:pPr>
        <w:pStyle w:val="97"/>
        <w:rPr>
          <w:rFonts w:hint="eastAsia" w:ascii="宋体" w:hAnsi="宋体" w:eastAsia="宋体"/>
          <w:sz w:val="24"/>
          <w:szCs w:val="24"/>
        </w:rPr>
      </w:pPr>
      <w:r>
        <w:rPr>
          <w:rFonts w:hint="eastAsia" w:ascii="宋体" w:hAnsi="宋体" w:eastAsia="宋体"/>
          <w:sz w:val="24"/>
          <w:szCs w:val="24"/>
        </w:rPr>
        <w:t>（一）为招标人不具有独立法人资格的附属机构（单位）；</w:t>
      </w:r>
    </w:p>
    <w:p>
      <w:pPr>
        <w:pStyle w:val="97"/>
        <w:rPr>
          <w:rFonts w:hint="eastAsia" w:ascii="宋体" w:hAnsi="宋体" w:eastAsia="宋体"/>
          <w:sz w:val="24"/>
          <w:szCs w:val="24"/>
        </w:rPr>
      </w:pPr>
      <w:r>
        <w:rPr>
          <w:rFonts w:hint="eastAsia" w:ascii="宋体" w:hAnsi="宋体" w:eastAsia="宋体"/>
          <w:sz w:val="24"/>
          <w:szCs w:val="24"/>
        </w:rPr>
        <w:t>（二）为本标段前期准备提供设计或咨询服务或者与本项目设计人或提供咨询服务的机构存在附属关系的；</w:t>
      </w:r>
    </w:p>
    <w:p>
      <w:pPr>
        <w:pStyle w:val="97"/>
        <w:rPr>
          <w:rFonts w:hint="eastAsia" w:ascii="宋体" w:hAnsi="宋体" w:eastAsia="宋体"/>
          <w:sz w:val="24"/>
          <w:szCs w:val="24"/>
        </w:rPr>
      </w:pPr>
      <w:r>
        <w:rPr>
          <w:rFonts w:hint="eastAsia" w:ascii="宋体" w:hAnsi="宋体" w:eastAsia="宋体"/>
          <w:sz w:val="24"/>
          <w:szCs w:val="24"/>
        </w:rPr>
        <w:t>（三）为本标段监理人或者与本标段监理人存在隶属关系或者其他利害关系；</w:t>
      </w:r>
    </w:p>
    <w:p>
      <w:pPr>
        <w:pStyle w:val="97"/>
        <w:rPr>
          <w:rFonts w:hint="eastAsia" w:ascii="宋体" w:hAnsi="宋体" w:eastAsia="宋体"/>
          <w:sz w:val="24"/>
          <w:szCs w:val="24"/>
        </w:rPr>
      </w:pPr>
      <w:r>
        <w:rPr>
          <w:rFonts w:hint="eastAsia" w:ascii="宋体" w:hAnsi="宋体" w:eastAsia="宋体"/>
          <w:sz w:val="24"/>
          <w:szCs w:val="24"/>
        </w:rPr>
        <w:t>（四）为本标段的代建人；</w:t>
      </w:r>
    </w:p>
    <w:p>
      <w:pPr>
        <w:pStyle w:val="97"/>
        <w:rPr>
          <w:rFonts w:hint="eastAsia" w:ascii="宋体" w:hAnsi="宋体" w:eastAsia="宋体"/>
          <w:sz w:val="24"/>
          <w:szCs w:val="24"/>
        </w:rPr>
      </w:pPr>
      <w:r>
        <w:rPr>
          <w:rFonts w:hint="eastAsia" w:ascii="宋体" w:hAnsi="宋体" w:eastAsia="宋体"/>
          <w:sz w:val="24"/>
          <w:szCs w:val="24"/>
        </w:rPr>
        <w:t>（五）为本标段提供招标代理服务的；</w:t>
      </w:r>
    </w:p>
    <w:p>
      <w:pPr>
        <w:pStyle w:val="97"/>
        <w:rPr>
          <w:rFonts w:hint="eastAsia" w:ascii="宋体" w:hAnsi="宋体" w:eastAsia="宋体"/>
          <w:sz w:val="24"/>
          <w:szCs w:val="24"/>
        </w:rPr>
      </w:pPr>
      <w:r>
        <w:rPr>
          <w:rFonts w:hint="eastAsia" w:ascii="宋体" w:hAnsi="宋体" w:eastAsia="宋体"/>
          <w:sz w:val="24"/>
          <w:szCs w:val="24"/>
        </w:rPr>
        <w:t>（六）与本标段的监理人或代建人或招标代理机构同为一个法定代表人的；</w:t>
      </w:r>
    </w:p>
    <w:p>
      <w:pPr>
        <w:pStyle w:val="97"/>
        <w:rPr>
          <w:rFonts w:hint="eastAsia" w:ascii="宋体" w:hAnsi="宋体" w:eastAsia="宋体"/>
          <w:sz w:val="24"/>
          <w:szCs w:val="24"/>
        </w:rPr>
      </w:pPr>
      <w:r>
        <w:rPr>
          <w:rFonts w:hint="eastAsia" w:ascii="宋体" w:hAnsi="宋体" w:eastAsia="宋体"/>
          <w:sz w:val="24"/>
          <w:szCs w:val="24"/>
        </w:rPr>
        <w:t>（七）与本标段的监理人或代建人或招标代理机构互相控股或参股的；</w:t>
      </w:r>
    </w:p>
    <w:p>
      <w:pPr>
        <w:pStyle w:val="97"/>
        <w:rPr>
          <w:rFonts w:hint="eastAsia" w:ascii="宋体" w:hAnsi="宋体" w:eastAsia="宋体"/>
          <w:sz w:val="24"/>
          <w:szCs w:val="24"/>
        </w:rPr>
      </w:pPr>
      <w:r>
        <w:rPr>
          <w:rFonts w:hint="eastAsia" w:ascii="宋体" w:hAnsi="宋体" w:eastAsia="宋体"/>
          <w:sz w:val="24"/>
          <w:szCs w:val="24"/>
        </w:rPr>
        <w:t>（八）与本标段的监理人或代建人或招标代理机构相互任职或工作的；</w:t>
      </w:r>
    </w:p>
    <w:p>
      <w:pPr>
        <w:pStyle w:val="97"/>
        <w:rPr>
          <w:rFonts w:hint="eastAsia" w:ascii="宋体" w:hAnsi="宋体" w:eastAsia="宋体"/>
          <w:sz w:val="24"/>
          <w:szCs w:val="24"/>
        </w:rPr>
      </w:pPr>
      <w:r>
        <w:rPr>
          <w:rFonts w:hint="eastAsia" w:ascii="宋体" w:hAnsi="宋体" w:eastAsia="宋体"/>
          <w:sz w:val="24"/>
          <w:szCs w:val="24"/>
        </w:rPr>
        <w:t>（九）与本标段的检测机构有隶属关系或者其他利害关系；</w:t>
      </w:r>
    </w:p>
    <w:p>
      <w:pPr>
        <w:pStyle w:val="97"/>
        <w:rPr>
          <w:rFonts w:hint="eastAsia" w:ascii="宋体" w:hAnsi="宋体" w:eastAsia="宋体"/>
          <w:sz w:val="24"/>
          <w:szCs w:val="24"/>
        </w:rPr>
      </w:pPr>
      <w:r>
        <w:rPr>
          <w:rFonts w:hint="eastAsia" w:ascii="宋体" w:hAnsi="宋体" w:eastAsia="宋体"/>
          <w:sz w:val="24"/>
          <w:szCs w:val="24"/>
        </w:rPr>
        <w:t xml:space="preserve">（十）与招标人存在利害关系且可能影响招标公正性； </w:t>
      </w:r>
    </w:p>
    <w:p>
      <w:pPr>
        <w:pStyle w:val="97"/>
        <w:rPr>
          <w:rFonts w:hint="eastAsia" w:ascii="宋体" w:hAnsi="宋体" w:eastAsia="宋体"/>
          <w:sz w:val="24"/>
          <w:szCs w:val="24"/>
        </w:rPr>
      </w:pPr>
      <w:r>
        <w:rPr>
          <w:rFonts w:hint="eastAsia" w:ascii="宋体" w:hAnsi="宋体" w:eastAsia="宋体"/>
          <w:sz w:val="24"/>
          <w:szCs w:val="24"/>
        </w:rPr>
        <w:t>（十一）被依法暂停或取消投标资格的；（</w:t>
      </w:r>
      <w:r>
        <w:rPr>
          <w:rFonts w:hint="eastAsia" w:ascii="宋体" w:hAnsi="宋体" w:eastAsia="宋体"/>
          <w:sz w:val="24"/>
          <w:szCs w:val="24"/>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sz w:val="24"/>
          <w:szCs w:val="24"/>
        </w:rPr>
        <w:t xml:space="preserve">） </w:t>
      </w:r>
    </w:p>
    <w:p>
      <w:pPr>
        <w:pStyle w:val="97"/>
        <w:rPr>
          <w:rFonts w:hint="eastAsia" w:ascii="宋体" w:hAnsi="宋体" w:eastAsia="宋体"/>
          <w:sz w:val="24"/>
          <w:szCs w:val="24"/>
        </w:rPr>
      </w:pPr>
      <w:r>
        <w:rPr>
          <w:rFonts w:hint="eastAsia" w:ascii="宋体" w:hAnsi="宋体" w:eastAsia="宋体"/>
          <w:sz w:val="24"/>
          <w:szCs w:val="24"/>
        </w:rPr>
        <w:t>（十二）被责令停产停业、暂扣或者吊销许可证、暂扣或者吊销执照的（</w:t>
      </w:r>
      <w:r>
        <w:rPr>
          <w:rFonts w:hint="eastAsia" w:ascii="宋体" w:hAnsi="宋体" w:eastAsia="宋体"/>
          <w:sz w:val="24"/>
          <w:szCs w:val="24"/>
          <w:lang w:val="zh-CN"/>
        </w:rPr>
        <w:t>本项事实应当以根据《中华人民共和国行政处罚法》依法作出并已经生效的行政处罚决定为认定依据。</w:t>
      </w:r>
      <w:r>
        <w:rPr>
          <w:rFonts w:hint="eastAsia" w:ascii="宋体" w:hAnsi="宋体" w:eastAsia="宋体"/>
          <w:sz w:val="24"/>
          <w:szCs w:val="24"/>
        </w:rPr>
        <w:t>）；</w:t>
      </w:r>
    </w:p>
    <w:p>
      <w:pPr>
        <w:pStyle w:val="97"/>
        <w:rPr>
          <w:rFonts w:hint="eastAsia" w:ascii="宋体" w:hAnsi="宋体" w:eastAsia="宋体"/>
          <w:sz w:val="24"/>
          <w:szCs w:val="24"/>
        </w:rPr>
      </w:pPr>
      <w:r>
        <w:rPr>
          <w:rFonts w:hint="eastAsia" w:ascii="宋体" w:hAnsi="宋体" w:eastAsia="宋体"/>
          <w:sz w:val="24"/>
          <w:szCs w:val="24"/>
        </w:rPr>
        <w:t>（十三）进入清算程序，或被宣布破产，或其他丧失履约能力的情形；</w:t>
      </w:r>
    </w:p>
    <w:p>
      <w:pPr>
        <w:pStyle w:val="97"/>
        <w:rPr>
          <w:rFonts w:hint="eastAsia" w:ascii="宋体" w:hAnsi="宋体" w:eastAsia="宋体"/>
          <w:sz w:val="24"/>
          <w:szCs w:val="24"/>
        </w:rPr>
      </w:pPr>
      <w:r>
        <w:rPr>
          <w:rFonts w:hint="eastAsia" w:ascii="宋体" w:hAnsi="宋体" w:eastAsia="宋体"/>
          <w:sz w:val="24"/>
          <w:szCs w:val="24"/>
        </w:rPr>
        <w:t>（十四）在最近三年内有严重违约或重大工程质量问题的；（</w:t>
      </w:r>
      <w:r>
        <w:rPr>
          <w:rFonts w:hint="eastAsia" w:ascii="宋体" w:hAnsi="宋体" w:eastAsia="宋体"/>
          <w:sz w:val="24"/>
          <w:szCs w:val="24"/>
          <w:lang w:val="zh-CN"/>
        </w:rPr>
        <w:t>“严重违约”事实应当以</w:t>
      </w:r>
      <w:r>
        <w:rPr>
          <w:rFonts w:hint="eastAsia" w:ascii="宋体" w:hAnsi="宋体" w:eastAsia="宋体"/>
          <w:sz w:val="24"/>
          <w:szCs w:val="24"/>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97"/>
        <w:rPr>
          <w:rFonts w:hint="eastAsia" w:ascii="宋体" w:hAnsi="宋体" w:eastAsia="宋体"/>
          <w:sz w:val="24"/>
          <w:szCs w:val="24"/>
        </w:rPr>
      </w:pPr>
      <w:r>
        <w:rPr>
          <w:rFonts w:hint="eastAsia" w:ascii="宋体" w:hAnsi="宋体" w:eastAsia="宋体"/>
          <w:sz w:val="24"/>
          <w:szCs w:val="24"/>
        </w:rPr>
        <w:t>（十五）法律法规规定的其他情形。</w:t>
      </w:r>
    </w:p>
    <w:p>
      <w:pPr>
        <w:pStyle w:val="97"/>
        <w:rPr>
          <w:rFonts w:ascii="宋体" w:hAnsi="宋体" w:eastAsia="宋体"/>
          <w:sz w:val="24"/>
          <w:szCs w:val="24"/>
        </w:rPr>
      </w:pPr>
      <w:r>
        <w:rPr>
          <w:rFonts w:hint="eastAsia" w:ascii="宋体" w:hAnsi="宋体" w:eastAsia="宋体"/>
          <w:sz w:val="24"/>
          <w:szCs w:val="24"/>
        </w:rPr>
        <w:t>四、本公司保证：本项目拟派的项目负责人没有在其他在建项目中任施工单位项目负责人，本项目拟派的专职安全员没有在其他在建项目中任职。</w:t>
      </w:r>
    </w:p>
    <w:p>
      <w:pPr>
        <w:pStyle w:val="97"/>
        <w:rPr>
          <w:rFonts w:hint="eastAsia" w:ascii="宋体" w:hAnsi="宋体" w:eastAsia="宋体"/>
          <w:sz w:val="24"/>
          <w:szCs w:val="24"/>
        </w:rPr>
      </w:pPr>
      <w:r>
        <w:rPr>
          <w:rFonts w:hint="eastAsia" w:ascii="宋体" w:hAnsi="宋体" w:eastAsia="宋体"/>
          <w:sz w:val="24"/>
          <w:szCs w:val="24"/>
        </w:rPr>
        <w:t>五、</w:t>
      </w:r>
      <w:r>
        <w:rPr>
          <w:rFonts w:hint="eastAsia" w:ascii="宋体" w:hAnsi="宋体" w:eastAsia="宋体"/>
          <w:b/>
          <w:bCs/>
          <w:sz w:val="24"/>
          <w:szCs w:val="24"/>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97"/>
        <w:rPr>
          <w:rFonts w:ascii="宋体" w:hAnsi="宋体" w:eastAsia="宋体"/>
          <w:sz w:val="24"/>
          <w:szCs w:val="24"/>
        </w:rPr>
      </w:pPr>
      <w:r>
        <w:rPr>
          <w:rFonts w:hint="eastAsia" w:ascii="宋体" w:hAnsi="宋体" w:eastAsia="宋体"/>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97"/>
        <w:rPr>
          <w:rFonts w:ascii="宋体" w:hAnsi="宋体" w:eastAsia="宋体"/>
          <w:sz w:val="24"/>
          <w:szCs w:val="24"/>
        </w:rPr>
      </w:pPr>
      <w:r>
        <w:rPr>
          <w:rFonts w:hint="eastAsia" w:ascii="宋体" w:hAnsi="宋体" w:eastAsia="宋体"/>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97"/>
        <w:rPr>
          <w:rFonts w:ascii="宋体" w:hAnsi="宋体" w:eastAsia="宋体"/>
          <w:sz w:val="24"/>
          <w:szCs w:val="24"/>
        </w:rPr>
      </w:pPr>
      <w:r>
        <w:rPr>
          <w:rFonts w:hint="eastAsia" w:ascii="宋体" w:hAnsi="宋体" w:eastAsia="宋体"/>
          <w:sz w:val="24"/>
          <w:szCs w:val="24"/>
        </w:rPr>
        <w:t>八、与本公司单位负责人为同一人或者与本公司存在控股、管理关系的其他单位包括：</w:t>
      </w:r>
      <w:r>
        <w:rPr>
          <w:rFonts w:hint="eastAsia" w:ascii="宋体" w:hAnsi="宋体" w:eastAsia="宋体"/>
          <w:sz w:val="24"/>
          <w:szCs w:val="24"/>
          <w:u w:val="single"/>
        </w:rPr>
        <w:t xml:space="preserve">                    </w:t>
      </w:r>
      <w:r>
        <w:rPr>
          <w:rFonts w:hint="eastAsia" w:ascii="宋体" w:hAnsi="宋体" w:eastAsia="宋体"/>
          <w:sz w:val="24"/>
          <w:szCs w:val="24"/>
        </w:rPr>
        <w:t>。（注：本条由投标人如实填写，如有，应列出全部满足招标公告资质要求的相关单位的名称；如无，则填写“无”。）</w:t>
      </w:r>
    </w:p>
    <w:p>
      <w:pPr>
        <w:pStyle w:val="97"/>
        <w:rPr>
          <w:rFonts w:hint="eastAsia" w:ascii="宋体" w:hAnsi="宋体" w:eastAsia="宋体"/>
          <w:sz w:val="24"/>
          <w:szCs w:val="24"/>
        </w:rPr>
      </w:pPr>
      <w:r>
        <w:rPr>
          <w:rFonts w:hint="eastAsia" w:ascii="宋体" w:hAnsi="宋体" w:eastAsia="宋体"/>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97"/>
        <w:rPr>
          <w:rFonts w:ascii="宋体" w:hAnsi="宋体" w:eastAsia="宋体"/>
          <w:sz w:val="24"/>
          <w:szCs w:val="24"/>
        </w:rPr>
      </w:pPr>
      <w:r>
        <w:rPr>
          <w:rFonts w:hint="eastAsia" w:ascii="宋体" w:hAnsi="宋体" w:eastAsia="宋体"/>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 xml:space="preserve"> 十一、本单位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处罚有效期内）；</w:t>
      </w:r>
    </w:p>
    <w:p>
      <w:pPr>
        <w:widowControl/>
        <w:spacing w:line="360" w:lineRule="auto"/>
        <w:jc w:val="left"/>
        <w:rPr>
          <w:rFonts w:hint="eastAsia" w:ascii="宋体" w:hAnsi="宋体"/>
          <w:color w:val="000000"/>
          <w:kern w:val="0"/>
          <w:sz w:val="24"/>
          <w:szCs w:val="24"/>
        </w:rPr>
      </w:pPr>
      <w:r>
        <w:rPr>
          <w:rFonts w:hint="eastAsia" w:ascii="宋体" w:hAnsi="宋体"/>
          <w:color w:val="000000"/>
          <w:kern w:val="0"/>
          <w:sz w:val="24"/>
          <w:szCs w:val="24"/>
        </w:rPr>
        <w:t xml:space="preserve">     十二、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处罚有效期内）的单位或个体经营者运输。</w:t>
      </w:r>
    </w:p>
    <w:p>
      <w:pPr>
        <w:widowControl/>
        <w:spacing w:line="360" w:lineRule="auto"/>
        <w:jc w:val="left"/>
        <w:rPr>
          <w:rFonts w:hint="eastAsia" w:ascii="宋体" w:hAnsi="宋体"/>
          <w:color w:val="000000"/>
          <w:kern w:val="0"/>
          <w:sz w:val="24"/>
          <w:szCs w:val="24"/>
        </w:rPr>
      </w:pPr>
      <w:r>
        <w:rPr>
          <w:rFonts w:hint="eastAsia" w:ascii="宋体" w:hAnsi="宋体"/>
          <w:color w:val="000000"/>
          <w:kern w:val="0"/>
          <w:sz w:val="24"/>
          <w:szCs w:val="24"/>
        </w:rPr>
        <w:t xml:space="preserve">    十三、本单位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widowControl/>
        <w:spacing w:line="360" w:lineRule="auto"/>
        <w:ind w:firstLine="480"/>
        <w:jc w:val="left"/>
        <w:rPr>
          <w:rFonts w:hint="eastAsia" w:ascii="宋体" w:hAnsi="宋体"/>
          <w:color w:val="000000"/>
          <w:kern w:val="0"/>
          <w:sz w:val="24"/>
          <w:szCs w:val="24"/>
        </w:rPr>
      </w:pPr>
      <w:r>
        <w:rPr>
          <w:rFonts w:hint="eastAsia" w:ascii="宋体" w:hAnsi="宋体"/>
          <w:color w:val="000000"/>
          <w:kern w:val="0"/>
          <w:sz w:val="24"/>
          <w:szCs w:val="24"/>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widowControl/>
        <w:spacing w:line="360" w:lineRule="auto"/>
        <w:ind w:firstLine="480"/>
        <w:jc w:val="left"/>
        <w:rPr>
          <w:rFonts w:hint="eastAsia" w:ascii="宋体" w:hAnsi="宋体"/>
          <w:color w:val="000000"/>
          <w:sz w:val="24"/>
          <w:szCs w:val="24"/>
        </w:rPr>
      </w:pPr>
      <w:r>
        <w:rPr>
          <w:rFonts w:hint="eastAsia" w:ascii="宋体" w:hAnsi="宋体"/>
          <w:color w:val="000000"/>
          <w:kern w:val="0"/>
          <w:sz w:val="24"/>
          <w:szCs w:val="24"/>
        </w:rPr>
        <w:t>十四、本单位或拟派项目负责人、拟派专职安全员未因安全生产违法行为或失信行为被有关行政主管部门采取本行业或者职业禁入等联合惩戒措施（有效期内）。</w:t>
      </w:r>
    </w:p>
    <w:p>
      <w:pPr>
        <w:pStyle w:val="97"/>
        <w:ind w:firstLine="480" w:firstLineChars="200"/>
        <w:jc w:val="left"/>
        <w:rPr>
          <w:rFonts w:ascii="宋体" w:hAnsi="宋体" w:eastAsia="宋体"/>
          <w:sz w:val="24"/>
          <w:szCs w:val="24"/>
        </w:rPr>
      </w:pPr>
      <w:r>
        <w:rPr>
          <w:rFonts w:hint="eastAsia" w:ascii="宋体" w:hAnsi="宋体" w:eastAsia="宋体"/>
          <w:sz w:val="24"/>
          <w:szCs w:val="24"/>
        </w:rPr>
        <w:t>十五、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97"/>
        <w:rPr>
          <w:rFonts w:ascii="宋体" w:hAnsi="宋体" w:eastAsia="宋体"/>
          <w:sz w:val="24"/>
          <w:szCs w:val="24"/>
        </w:rPr>
      </w:pPr>
      <w:r>
        <w:rPr>
          <w:rFonts w:hint="eastAsia" w:ascii="宋体" w:hAnsi="宋体" w:eastAsia="宋体"/>
          <w:sz w:val="24"/>
          <w:szCs w:val="24"/>
        </w:rPr>
        <w:t>特此声明</w:t>
      </w:r>
    </w:p>
    <w:p>
      <w:pPr>
        <w:pStyle w:val="96"/>
        <w:ind w:left="629" w:right="1449"/>
        <w:jc w:val="both"/>
        <w:rPr>
          <w:rFonts w:ascii="宋体" w:hAnsi="宋体" w:eastAsia="宋体"/>
          <w:sz w:val="24"/>
          <w:szCs w:val="24"/>
        </w:rPr>
      </w:pPr>
      <w:r>
        <w:rPr>
          <w:rFonts w:hint="eastAsia" w:ascii="宋体" w:hAnsi="宋体" w:eastAsia="宋体"/>
          <w:sz w:val="24"/>
          <w:szCs w:val="24"/>
        </w:rPr>
        <w:t xml:space="preserve">                          声明企业：</w:t>
      </w:r>
    </w:p>
    <w:p>
      <w:pPr>
        <w:pStyle w:val="97"/>
        <w:ind w:right="1179" w:firstLine="0"/>
        <w:rPr>
          <w:rFonts w:ascii="宋体" w:hAnsi="宋体" w:eastAsia="宋体"/>
          <w:sz w:val="24"/>
          <w:szCs w:val="24"/>
        </w:rPr>
      </w:pPr>
      <w:r>
        <w:rPr>
          <w:rFonts w:hint="eastAsia" w:ascii="宋体" w:hAnsi="宋体" w:eastAsia="宋体"/>
          <w:sz w:val="24"/>
          <w:szCs w:val="24"/>
        </w:rPr>
        <w:t xml:space="preserve">                             法定代表人签字：</w:t>
      </w:r>
    </w:p>
    <w:p>
      <w:pPr>
        <w:pStyle w:val="97"/>
        <w:ind w:right="1179" w:firstLine="0"/>
        <w:rPr>
          <w:rFonts w:ascii="宋体" w:hAnsi="宋体" w:eastAsia="宋体"/>
          <w:sz w:val="24"/>
          <w:szCs w:val="24"/>
        </w:rPr>
      </w:pPr>
      <w:r>
        <w:rPr>
          <w:rFonts w:hint="eastAsia" w:ascii="宋体" w:hAnsi="宋体" w:eastAsia="宋体"/>
          <w:sz w:val="24"/>
          <w:szCs w:val="24"/>
        </w:rPr>
        <w:t xml:space="preserve">                             项目负责人签字：</w:t>
      </w:r>
    </w:p>
    <w:p>
      <w:pPr>
        <w:pStyle w:val="97"/>
        <w:ind w:right="879" w:firstLine="2160" w:firstLineChars="900"/>
        <w:jc w:val="left"/>
        <w:rPr>
          <w:rFonts w:ascii="宋体" w:hAnsi="宋体" w:eastAsia="宋体"/>
          <w:sz w:val="24"/>
          <w:szCs w:val="24"/>
        </w:rPr>
      </w:pPr>
      <w:r>
        <w:rPr>
          <w:rFonts w:hint="eastAsia" w:ascii="宋体" w:hAnsi="宋体" w:eastAsia="宋体"/>
          <w:sz w:val="24"/>
          <w:szCs w:val="24"/>
        </w:rPr>
        <w:t xml:space="preserve">           技术负责人签字：</w:t>
      </w:r>
    </w:p>
    <w:p>
      <w:pPr>
        <w:pStyle w:val="97"/>
        <w:ind w:right="70" w:firstLine="2160" w:firstLineChars="900"/>
        <w:jc w:val="right"/>
        <w:rPr>
          <w:rFonts w:ascii="宋体" w:hAnsi="宋体" w:eastAsia="宋体"/>
          <w:sz w:val="24"/>
          <w:szCs w:val="24"/>
        </w:rPr>
      </w:pPr>
      <w:r>
        <w:rPr>
          <w:rFonts w:hint="eastAsia" w:ascii="宋体" w:hAnsi="宋体" w:eastAsia="宋体"/>
          <w:sz w:val="24"/>
          <w:szCs w:val="24"/>
        </w:rPr>
        <w:t>年   月   日</w:t>
      </w:r>
    </w:p>
    <w:p>
      <w:pPr>
        <w:spacing w:line="360" w:lineRule="auto"/>
        <w:jc w:val="right"/>
        <w:rPr>
          <w:rFonts w:ascii="宋体"/>
          <w:color w:val="000000"/>
          <w:sz w:val="24"/>
          <w:szCs w:val="24"/>
        </w:rPr>
      </w:pPr>
      <w:r>
        <w:rPr>
          <w:rFonts w:hint="eastAsia" w:ascii="宋体" w:hAnsi="宋体"/>
          <w:color w:val="000000"/>
          <w:kern w:val="0"/>
          <w:sz w:val="24"/>
          <w:szCs w:val="24"/>
        </w:rPr>
        <w:t>（企业公章）</w:t>
      </w:r>
    </w:p>
    <w:p>
      <w:pPr>
        <w:widowControl/>
        <w:snapToGrid w:val="0"/>
        <w:spacing w:line="360" w:lineRule="auto"/>
        <w:ind w:right="102"/>
        <w:jc w:val="left"/>
        <w:rPr>
          <w:rFonts w:hint="eastAsia" w:ascii="宋体" w:hAnsi="宋体" w:cs="宋体"/>
          <w:sz w:val="24"/>
        </w:rPr>
      </w:pPr>
    </w:p>
    <w:p>
      <w:pPr>
        <w:widowControl/>
        <w:snapToGrid w:val="0"/>
        <w:spacing w:line="360" w:lineRule="auto"/>
        <w:ind w:right="102"/>
        <w:jc w:val="left"/>
        <w:rPr>
          <w:rFonts w:hint="eastAsia" w:ascii="宋体" w:hAnsi="宋体"/>
          <w:color w:val="auto"/>
          <w:szCs w:val="21"/>
          <w:highlight w:val="none"/>
        </w:rPr>
      </w:pPr>
      <w:r>
        <w:rPr>
          <w:rFonts w:hint="eastAsia" w:ascii="宋体" w:hAnsi="宋体"/>
          <w:color w:val="auto"/>
          <w:szCs w:val="21"/>
          <w:highlight w:val="none"/>
        </w:rPr>
        <w:t>注：若联合体投标的，本声明需由联合体各方</w:t>
      </w:r>
      <w:r>
        <w:rPr>
          <w:rFonts w:hint="eastAsia" w:ascii="宋体" w:hAnsi="宋体"/>
          <w:color w:val="auto"/>
          <w:szCs w:val="21"/>
          <w:highlight w:val="none"/>
          <w:lang w:val="en-US" w:eastAsia="zh-CN"/>
        </w:rPr>
        <w:t>共同</w:t>
      </w:r>
      <w:r>
        <w:rPr>
          <w:rFonts w:hint="eastAsia" w:ascii="宋体" w:hAnsi="宋体"/>
          <w:color w:val="auto"/>
          <w:szCs w:val="21"/>
          <w:highlight w:val="none"/>
        </w:rPr>
        <w:t>提供；第八条由联合体各方分别填写；“声明企业”需填写联合体各方名称，并由联合体各方盖公章；“法定代表人签字”分别由联合体</w:t>
      </w:r>
      <w:r>
        <w:rPr>
          <w:rFonts w:hint="eastAsia" w:ascii="宋体" w:hAnsi="宋体"/>
          <w:color w:val="auto"/>
          <w:szCs w:val="21"/>
          <w:highlight w:val="none"/>
          <w:lang w:val="en-US" w:eastAsia="zh-CN"/>
        </w:rPr>
        <w:t>各</w:t>
      </w:r>
      <w:r>
        <w:rPr>
          <w:rFonts w:hint="eastAsia" w:ascii="宋体" w:hAnsi="宋体"/>
          <w:color w:val="auto"/>
          <w:szCs w:val="21"/>
          <w:highlight w:val="none"/>
        </w:rPr>
        <w:t>方的法定代表人签字、 “项目负责人签字”、“技术负责人签字”由项目负责人和技术负责人签字即可。</w:t>
      </w:r>
    </w:p>
    <w:p>
      <w:r>
        <w:br w:type="page"/>
      </w:r>
    </w:p>
    <w:p>
      <w:pPr>
        <w:pStyle w:val="9"/>
        <w:autoSpaceDE w:val="0"/>
        <w:spacing w:line="360" w:lineRule="auto"/>
        <w:ind w:firstLine="0" w:firstLineChars="0"/>
        <w:rPr>
          <w:color w:val="auto"/>
          <w:highlight w:val="none"/>
        </w:rPr>
      </w:pPr>
      <w:r>
        <w:rPr>
          <w:rFonts w:hint="eastAsia" w:ascii="宋体" w:hAnsi="宋体"/>
          <w:color w:val="auto"/>
          <w:highlight w:val="none"/>
        </w:rPr>
        <w:t>附件二：（</w:t>
      </w:r>
      <w:r>
        <w:rPr>
          <w:rFonts w:hint="eastAsia" w:ascii="宋体" w:hAnsi="宋体"/>
          <w:b/>
          <w:bCs/>
          <w:color w:val="auto"/>
          <w:highlight w:val="none"/>
        </w:rPr>
        <w:t>参考格式</w:t>
      </w:r>
      <w:r>
        <w:rPr>
          <w:rFonts w:hint="eastAsia" w:ascii="宋体" w:hAnsi="宋体"/>
          <w:color w:val="auto"/>
          <w:highlight w:val="none"/>
        </w:rPr>
        <w:t>）</w:t>
      </w:r>
    </w:p>
    <w:p>
      <w:pPr>
        <w:autoSpaceDE w:val="0"/>
        <w:spacing w:line="360" w:lineRule="auto"/>
        <w:ind w:right="-46"/>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联合体投标协议书</w:t>
      </w:r>
    </w:p>
    <w:p>
      <w:pPr>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(联合体主办方单位名称)、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(联合体成员方单位名称)自愿组成联合体，共同参加</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投标。现就联合体投标事宜订立如下协议。</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为联合体主办方。</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3．联合体将严格按照招标文件的各项要求，递交投标文件，履行合同，并对外承担连带责任。</w:t>
      </w:r>
    </w:p>
    <w:p>
      <w:pPr>
        <w:topLinePunct/>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p>
    <w:p>
      <w:pPr>
        <w:widowControl/>
        <w:shd w:val="clear" w:color="auto" w:fill="FFFFFF"/>
        <w:topLinePunct/>
        <w:snapToGrid w:val="0"/>
        <w:spacing w:line="440" w:lineRule="exact"/>
        <w:ind w:left="141" w:leftChars="67" w:firstLine="480" w:firstLineChars="200"/>
        <w:jc w:val="left"/>
        <w:rPr>
          <w:rFonts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联合体主办方单位名称）：作为本项目总负责单位，除承担本项目的施工外，还对本招标项目的进度、质量、安全、投资控制、管理、协调等负全责，具体按合同要求。</w:t>
      </w:r>
    </w:p>
    <w:p>
      <w:pPr>
        <w:widowControl/>
        <w:shd w:val="clear" w:color="auto" w:fill="FFFFFF"/>
        <w:topLinePunct/>
        <w:snapToGrid w:val="0"/>
        <w:spacing w:line="440" w:lineRule="exact"/>
        <w:ind w:left="2059" w:leftChars="295" w:hanging="1440" w:hangingChars="600"/>
        <w:jc w:val="left"/>
        <w:rPr>
          <w:rFonts w:hint="eastAsia"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u w:val="single"/>
        </w:rPr>
        <w:t>        </w:t>
      </w:r>
      <w:bookmarkStart w:id="0" w:name="_GoBack"/>
      <w:bookmarkEnd w:id="0"/>
      <w:r>
        <w:rPr>
          <w:rFonts w:hint="eastAsia" w:ascii="宋体" w:hAnsi="宋体" w:cs="宋体"/>
          <w:color w:val="auto"/>
          <w:sz w:val="24"/>
          <w:highlight w:val="none"/>
          <w:u w:val="single"/>
        </w:rPr>
        <w:t> </w:t>
      </w:r>
      <w:r>
        <w:rPr>
          <w:rFonts w:hint="eastAsia" w:ascii="宋体" w:hAnsi="宋体" w:cs="宋体"/>
          <w:color w:val="auto"/>
          <w:sz w:val="24"/>
          <w:highlight w:val="none"/>
        </w:rPr>
        <w:t>（联合体成员方单位名称）：主要承担本项目的      工作，具体按合同要求。</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5．本协议书自签署之日起生效，合同履行完毕后自动失效。 </w:t>
      </w:r>
    </w:p>
    <w:p>
      <w:pPr>
        <w:topLinePunct/>
        <w:autoSpaceDE w:val="0"/>
        <w:spacing w:line="440" w:lineRule="exact"/>
        <w:ind w:firstLine="480" w:firstLineChars="200"/>
        <w:rPr>
          <w:rFonts w:ascii="宋体" w:hAnsi="宋体" w:cs="宋体"/>
          <w:color w:val="auto"/>
          <w:sz w:val="24"/>
          <w:highlight w:val="none"/>
        </w:rPr>
      </w:pP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联合体主办方名称：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topLinePunct/>
        <w:autoSpaceDE w:val="0"/>
        <w:spacing w:line="440" w:lineRule="exact"/>
        <w:rPr>
          <w:rFonts w:ascii="宋体" w:hAnsi="宋体" w:cs="宋体"/>
          <w:color w:val="auto"/>
          <w:sz w:val="24"/>
          <w:highlight w:val="none"/>
        </w:rPr>
      </w:pPr>
      <w:r>
        <w:rPr>
          <w:rFonts w:hint="eastAsia" w:ascii="宋体" w:hAnsi="宋体" w:cs="宋体"/>
          <w:color w:val="auto"/>
          <w:sz w:val="24"/>
          <w:highlight w:val="none"/>
        </w:rPr>
        <w:t xml:space="preserve">    成员名称：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autoSpaceDE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autoSpaceDE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注：①单独投标的，无需提交本协议书；本格式仅供参考，投标人可自行修改。</w:t>
      </w:r>
    </w:p>
    <w:p>
      <w:pPr>
        <w:autoSpaceDE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 签订本协议书时无需提交法定代表人证明书。</w:t>
      </w:r>
    </w:p>
    <w:p>
      <w:pPr>
        <w:pStyle w:val="33"/>
      </w:pPr>
    </w:p>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134" w:right="1418" w:bottom="1247" w:left="1418" w:header="851" w:footer="90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sto MT">
    <w:altName w:val="Segoe Print"/>
    <w:panose1 w:val="02040603050505030304"/>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separate"/>
    </w:r>
    <w:r>
      <w:rPr>
        <w:rStyle w:val="38"/>
      </w:rPr>
      <w:t>1</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separate"/>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jc w:val="center"/>
      <w:rPr>
        <w:rStyle w:val="38"/>
      </w:rPr>
    </w:pPr>
    <w:r>
      <w:fldChar w:fldCharType="begin"/>
    </w:r>
    <w:r>
      <w:rPr>
        <w:rStyle w:val="38"/>
      </w:rPr>
      <w:instrText xml:space="preserve">PAGE  </w:instrText>
    </w:r>
    <w:r>
      <w:fldChar w:fldCharType="separate"/>
    </w:r>
    <w:r>
      <w:rPr>
        <w:rStyle w:val="38"/>
      </w:rPr>
      <w:t>10</w:t>
    </w:r>
    <w:r>
      <w:fldChar w:fldCharType="end"/>
    </w:r>
  </w:p>
  <w:p>
    <w:pPr>
      <w:pStyle w:val="24"/>
      <w:framePr w:wrap="around" w:vAnchor="text" w:hAnchor="margin" w:xAlign="outside" w:y="1"/>
      <w:ind w:left="-4410" w:leftChars="-2100" w:right="-4439" w:rightChars="-2114"/>
      <w:rPr>
        <w:rStyle w:val="38"/>
      </w:rPr>
    </w:pPr>
  </w:p>
  <w:p>
    <w:pPr>
      <w:pStyle w:val="2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8"/>
      </w:rPr>
    </w:pPr>
    <w:r>
      <w:fldChar w:fldCharType="begin"/>
    </w:r>
    <w:r>
      <w:rPr>
        <w:rStyle w:val="38"/>
      </w:rPr>
      <w:instrText xml:space="preserve">PAGE  </w:instrText>
    </w:r>
    <w:r>
      <w:fldChar w:fldCharType="separate"/>
    </w:r>
    <w:r>
      <w:rPr>
        <w:rStyle w:val="38"/>
        <w:rFonts w:hint="eastAsia"/>
      </w:rPr>
      <w:t>一</w:t>
    </w:r>
    <w:r>
      <w:rPr>
        <w:rStyle w:val="38"/>
      </w:rPr>
      <w:t>–2</w:t>
    </w:r>
    <w:r>
      <w:fldChar w:fldCharType="end"/>
    </w:r>
  </w:p>
  <w:p>
    <w:pPr>
      <w:pStyle w:val="24"/>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38"/>
      </w:rPr>
      <w:instrText xml:space="preserve"> PAGE </w:instrText>
    </w:r>
    <w:r>
      <w:fldChar w:fldCharType="separate"/>
    </w:r>
    <w:r>
      <w:rPr>
        <w:rStyle w:val="38"/>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103"/>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1">
    <w:nsid w:val="0000000B"/>
    <w:multiLevelType w:val="multilevel"/>
    <w:tmpl w:val="0000000B"/>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0C"/>
    <w:multiLevelType w:val="singleLevel"/>
    <w:tmpl w:val="0000000C"/>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4"/>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YTUwMGIzZjQ1NTcwMDUzNmUxMDRlYTY2N2JlZWIifQ=="/>
    <w:docVar w:name="KSO_WPS_MARK_KEY" w:val="04343883-e746-4bf9-a6e6-cc4ffa925b51"/>
  </w:docVars>
  <w:rsids>
    <w:rsidRoot w:val="00172A27"/>
    <w:rsid w:val="0000534B"/>
    <w:rsid w:val="00033DE4"/>
    <w:rsid w:val="00041CB5"/>
    <w:rsid w:val="00042C6D"/>
    <w:rsid w:val="00057809"/>
    <w:rsid w:val="0007034D"/>
    <w:rsid w:val="00071554"/>
    <w:rsid w:val="000722E2"/>
    <w:rsid w:val="000976C5"/>
    <w:rsid w:val="000D1C66"/>
    <w:rsid w:val="000D620A"/>
    <w:rsid w:val="000E4ACD"/>
    <w:rsid w:val="001041D3"/>
    <w:rsid w:val="0010445F"/>
    <w:rsid w:val="00142A2F"/>
    <w:rsid w:val="001433D5"/>
    <w:rsid w:val="00153468"/>
    <w:rsid w:val="0018165F"/>
    <w:rsid w:val="00186FD6"/>
    <w:rsid w:val="00187116"/>
    <w:rsid w:val="001A7B23"/>
    <w:rsid w:val="001B1A4D"/>
    <w:rsid w:val="001B5169"/>
    <w:rsid w:val="001B77C4"/>
    <w:rsid w:val="001C0E07"/>
    <w:rsid w:val="001D0F74"/>
    <w:rsid w:val="001D35D5"/>
    <w:rsid w:val="001E036C"/>
    <w:rsid w:val="001E0F9D"/>
    <w:rsid w:val="001F5613"/>
    <w:rsid w:val="00266D16"/>
    <w:rsid w:val="00292E68"/>
    <w:rsid w:val="00294021"/>
    <w:rsid w:val="002973DB"/>
    <w:rsid w:val="002A3FE4"/>
    <w:rsid w:val="002B269B"/>
    <w:rsid w:val="002B347B"/>
    <w:rsid w:val="002C755F"/>
    <w:rsid w:val="00310284"/>
    <w:rsid w:val="00311BF6"/>
    <w:rsid w:val="00316F7D"/>
    <w:rsid w:val="003223EB"/>
    <w:rsid w:val="003251CC"/>
    <w:rsid w:val="00342AFD"/>
    <w:rsid w:val="0034310C"/>
    <w:rsid w:val="00353FFD"/>
    <w:rsid w:val="00364C03"/>
    <w:rsid w:val="00365916"/>
    <w:rsid w:val="003757BD"/>
    <w:rsid w:val="00386D33"/>
    <w:rsid w:val="003958DF"/>
    <w:rsid w:val="00397595"/>
    <w:rsid w:val="003B5608"/>
    <w:rsid w:val="003B56E4"/>
    <w:rsid w:val="003C1F7C"/>
    <w:rsid w:val="003E708A"/>
    <w:rsid w:val="003F2F8E"/>
    <w:rsid w:val="003F445C"/>
    <w:rsid w:val="003F7B87"/>
    <w:rsid w:val="004157B2"/>
    <w:rsid w:val="0042336C"/>
    <w:rsid w:val="00431695"/>
    <w:rsid w:val="00435B5D"/>
    <w:rsid w:val="00442F41"/>
    <w:rsid w:val="00470CE4"/>
    <w:rsid w:val="004759BE"/>
    <w:rsid w:val="0047737D"/>
    <w:rsid w:val="00481EDA"/>
    <w:rsid w:val="00484B7F"/>
    <w:rsid w:val="0048765C"/>
    <w:rsid w:val="00495D95"/>
    <w:rsid w:val="004A35C9"/>
    <w:rsid w:val="004C3F46"/>
    <w:rsid w:val="004D1D35"/>
    <w:rsid w:val="004D4E07"/>
    <w:rsid w:val="004D5F7F"/>
    <w:rsid w:val="004E139D"/>
    <w:rsid w:val="004E37FD"/>
    <w:rsid w:val="004E7D9E"/>
    <w:rsid w:val="004F66DC"/>
    <w:rsid w:val="004F7C3C"/>
    <w:rsid w:val="0050503C"/>
    <w:rsid w:val="005254A8"/>
    <w:rsid w:val="00525589"/>
    <w:rsid w:val="0052691E"/>
    <w:rsid w:val="005355DB"/>
    <w:rsid w:val="00543C67"/>
    <w:rsid w:val="0054759A"/>
    <w:rsid w:val="00552880"/>
    <w:rsid w:val="005551A6"/>
    <w:rsid w:val="005641E4"/>
    <w:rsid w:val="00565B51"/>
    <w:rsid w:val="0058353B"/>
    <w:rsid w:val="00583A8B"/>
    <w:rsid w:val="00584F73"/>
    <w:rsid w:val="005D560B"/>
    <w:rsid w:val="005E784D"/>
    <w:rsid w:val="00601AA4"/>
    <w:rsid w:val="00604F31"/>
    <w:rsid w:val="00615A71"/>
    <w:rsid w:val="0063226C"/>
    <w:rsid w:val="00643F9A"/>
    <w:rsid w:val="00645815"/>
    <w:rsid w:val="0064667F"/>
    <w:rsid w:val="00646989"/>
    <w:rsid w:val="006549DC"/>
    <w:rsid w:val="00657E2F"/>
    <w:rsid w:val="006614BC"/>
    <w:rsid w:val="00666BDA"/>
    <w:rsid w:val="006A2B8C"/>
    <w:rsid w:val="006B2B4E"/>
    <w:rsid w:val="006C40B2"/>
    <w:rsid w:val="006C7F29"/>
    <w:rsid w:val="006D6AB4"/>
    <w:rsid w:val="00703634"/>
    <w:rsid w:val="00704947"/>
    <w:rsid w:val="00731701"/>
    <w:rsid w:val="007336F7"/>
    <w:rsid w:val="00735637"/>
    <w:rsid w:val="007419FB"/>
    <w:rsid w:val="00744B84"/>
    <w:rsid w:val="00751029"/>
    <w:rsid w:val="007602B1"/>
    <w:rsid w:val="00772ABF"/>
    <w:rsid w:val="00787DD2"/>
    <w:rsid w:val="00791445"/>
    <w:rsid w:val="00796A75"/>
    <w:rsid w:val="007A2011"/>
    <w:rsid w:val="007C1C13"/>
    <w:rsid w:val="007C45E2"/>
    <w:rsid w:val="007C6531"/>
    <w:rsid w:val="007D460D"/>
    <w:rsid w:val="007D4813"/>
    <w:rsid w:val="007D752D"/>
    <w:rsid w:val="007E3572"/>
    <w:rsid w:val="007E42AB"/>
    <w:rsid w:val="00801743"/>
    <w:rsid w:val="00802A9C"/>
    <w:rsid w:val="00804625"/>
    <w:rsid w:val="00822275"/>
    <w:rsid w:val="008347F3"/>
    <w:rsid w:val="00841F96"/>
    <w:rsid w:val="00855EF8"/>
    <w:rsid w:val="00861C26"/>
    <w:rsid w:val="008752E6"/>
    <w:rsid w:val="00877C19"/>
    <w:rsid w:val="00880102"/>
    <w:rsid w:val="0088319E"/>
    <w:rsid w:val="008844E4"/>
    <w:rsid w:val="008A41C5"/>
    <w:rsid w:val="008A779E"/>
    <w:rsid w:val="008B7EE6"/>
    <w:rsid w:val="008C2279"/>
    <w:rsid w:val="008C7EE4"/>
    <w:rsid w:val="008F2702"/>
    <w:rsid w:val="008F55C3"/>
    <w:rsid w:val="00913A69"/>
    <w:rsid w:val="00920887"/>
    <w:rsid w:val="00930E34"/>
    <w:rsid w:val="0094102A"/>
    <w:rsid w:val="00946C2F"/>
    <w:rsid w:val="009555A6"/>
    <w:rsid w:val="0096092C"/>
    <w:rsid w:val="00971848"/>
    <w:rsid w:val="00975259"/>
    <w:rsid w:val="00977985"/>
    <w:rsid w:val="0098424D"/>
    <w:rsid w:val="009B2B13"/>
    <w:rsid w:val="009B6FF5"/>
    <w:rsid w:val="009C4768"/>
    <w:rsid w:val="009C63D7"/>
    <w:rsid w:val="009D44CC"/>
    <w:rsid w:val="009E0391"/>
    <w:rsid w:val="009E261D"/>
    <w:rsid w:val="009E41AC"/>
    <w:rsid w:val="00A06468"/>
    <w:rsid w:val="00A074E5"/>
    <w:rsid w:val="00A075A9"/>
    <w:rsid w:val="00A12D16"/>
    <w:rsid w:val="00A21402"/>
    <w:rsid w:val="00A36D45"/>
    <w:rsid w:val="00A40E81"/>
    <w:rsid w:val="00A43F5B"/>
    <w:rsid w:val="00A46804"/>
    <w:rsid w:val="00A63F4F"/>
    <w:rsid w:val="00A657C4"/>
    <w:rsid w:val="00A77A39"/>
    <w:rsid w:val="00A836BC"/>
    <w:rsid w:val="00A858AD"/>
    <w:rsid w:val="00A9375A"/>
    <w:rsid w:val="00A96026"/>
    <w:rsid w:val="00A96695"/>
    <w:rsid w:val="00AA5EB1"/>
    <w:rsid w:val="00AB26E5"/>
    <w:rsid w:val="00AB34AA"/>
    <w:rsid w:val="00AB7189"/>
    <w:rsid w:val="00AB7369"/>
    <w:rsid w:val="00AB78CE"/>
    <w:rsid w:val="00AB7F32"/>
    <w:rsid w:val="00AD4B53"/>
    <w:rsid w:val="00AE009B"/>
    <w:rsid w:val="00AF42A0"/>
    <w:rsid w:val="00B01683"/>
    <w:rsid w:val="00B068B9"/>
    <w:rsid w:val="00B105C0"/>
    <w:rsid w:val="00B10AE2"/>
    <w:rsid w:val="00B11D63"/>
    <w:rsid w:val="00B12428"/>
    <w:rsid w:val="00B20295"/>
    <w:rsid w:val="00B304F2"/>
    <w:rsid w:val="00B55292"/>
    <w:rsid w:val="00B5744E"/>
    <w:rsid w:val="00B6092E"/>
    <w:rsid w:val="00B67F2C"/>
    <w:rsid w:val="00B91A7F"/>
    <w:rsid w:val="00B96F6D"/>
    <w:rsid w:val="00BB2F86"/>
    <w:rsid w:val="00BB5CC9"/>
    <w:rsid w:val="00BB7754"/>
    <w:rsid w:val="00BC2493"/>
    <w:rsid w:val="00BF12A1"/>
    <w:rsid w:val="00BF62C2"/>
    <w:rsid w:val="00C01307"/>
    <w:rsid w:val="00C01EA9"/>
    <w:rsid w:val="00C32EA0"/>
    <w:rsid w:val="00C53EA9"/>
    <w:rsid w:val="00C53FB9"/>
    <w:rsid w:val="00C62E22"/>
    <w:rsid w:val="00C910BA"/>
    <w:rsid w:val="00C956CA"/>
    <w:rsid w:val="00C97ACD"/>
    <w:rsid w:val="00CD76F6"/>
    <w:rsid w:val="00CE7576"/>
    <w:rsid w:val="00CF731B"/>
    <w:rsid w:val="00D55294"/>
    <w:rsid w:val="00D634C2"/>
    <w:rsid w:val="00D66B38"/>
    <w:rsid w:val="00D678FF"/>
    <w:rsid w:val="00D8199B"/>
    <w:rsid w:val="00D82A33"/>
    <w:rsid w:val="00D86396"/>
    <w:rsid w:val="00D910F0"/>
    <w:rsid w:val="00DA1DA5"/>
    <w:rsid w:val="00DB132E"/>
    <w:rsid w:val="00DB2ED8"/>
    <w:rsid w:val="00DB79CA"/>
    <w:rsid w:val="00DD0DFA"/>
    <w:rsid w:val="00DE5897"/>
    <w:rsid w:val="00DE5E42"/>
    <w:rsid w:val="00DF36D1"/>
    <w:rsid w:val="00E016A9"/>
    <w:rsid w:val="00E16C13"/>
    <w:rsid w:val="00E2195E"/>
    <w:rsid w:val="00E41BDA"/>
    <w:rsid w:val="00E532CC"/>
    <w:rsid w:val="00E65DFC"/>
    <w:rsid w:val="00E76C85"/>
    <w:rsid w:val="00E86B57"/>
    <w:rsid w:val="00E9315C"/>
    <w:rsid w:val="00EB5634"/>
    <w:rsid w:val="00EC2355"/>
    <w:rsid w:val="00EC5C56"/>
    <w:rsid w:val="00EE75F1"/>
    <w:rsid w:val="00EF252D"/>
    <w:rsid w:val="00F13FEA"/>
    <w:rsid w:val="00F1447E"/>
    <w:rsid w:val="00F233AB"/>
    <w:rsid w:val="00F25C25"/>
    <w:rsid w:val="00F3340E"/>
    <w:rsid w:val="00F457AD"/>
    <w:rsid w:val="00F574E2"/>
    <w:rsid w:val="00F66728"/>
    <w:rsid w:val="00F72E49"/>
    <w:rsid w:val="00FA47E6"/>
    <w:rsid w:val="00FC3AA0"/>
    <w:rsid w:val="00FC69C5"/>
    <w:rsid w:val="00FD73E3"/>
    <w:rsid w:val="00FE7E06"/>
    <w:rsid w:val="00FF6FF6"/>
    <w:rsid w:val="01AC289E"/>
    <w:rsid w:val="066D764A"/>
    <w:rsid w:val="06AA71B7"/>
    <w:rsid w:val="06D35FB4"/>
    <w:rsid w:val="071A1A94"/>
    <w:rsid w:val="071B1B70"/>
    <w:rsid w:val="075C1AB8"/>
    <w:rsid w:val="093E6351"/>
    <w:rsid w:val="0B7C3034"/>
    <w:rsid w:val="0C82405B"/>
    <w:rsid w:val="0C9E65B8"/>
    <w:rsid w:val="0E40220A"/>
    <w:rsid w:val="0EC741CC"/>
    <w:rsid w:val="0EC97F51"/>
    <w:rsid w:val="0EEB1960"/>
    <w:rsid w:val="13783FFA"/>
    <w:rsid w:val="143E13B6"/>
    <w:rsid w:val="164E143C"/>
    <w:rsid w:val="18227552"/>
    <w:rsid w:val="1B30109C"/>
    <w:rsid w:val="1CCD7FA6"/>
    <w:rsid w:val="20955535"/>
    <w:rsid w:val="20E8359B"/>
    <w:rsid w:val="22701067"/>
    <w:rsid w:val="255E7D6E"/>
    <w:rsid w:val="25E76599"/>
    <w:rsid w:val="26D64FE3"/>
    <w:rsid w:val="277F6431"/>
    <w:rsid w:val="27AC1F06"/>
    <w:rsid w:val="296306C3"/>
    <w:rsid w:val="29C96D48"/>
    <w:rsid w:val="29E3158D"/>
    <w:rsid w:val="2A0F38BE"/>
    <w:rsid w:val="2AAA0704"/>
    <w:rsid w:val="2AB05704"/>
    <w:rsid w:val="2B2412C8"/>
    <w:rsid w:val="2BAF2344"/>
    <w:rsid w:val="2C2C2F57"/>
    <w:rsid w:val="2CEC7421"/>
    <w:rsid w:val="2D723F12"/>
    <w:rsid w:val="2DF73EA7"/>
    <w:rsid w:val="2E3C7CED"/>
    <w:rsid w:val="2E544216"/>
    <w:rsid w:val="32B9158D"/>
    <w:rsid w:val="335D5E39"/>
    <w:rsid w:val="35000071"/>
    <w:rsid w:val="353D243C"/>
    <w:rsid w:val="36B93D76"/>
    <w:rsid w:val="38561630"/>
    <w:rsid w:val="39E41A24"/>
    <w:rsid w:val="3CD20775"/>
    <w:rsid w:val="3DD3007C"/>
    <w:rsid w:val="3E692761"/>
    <w:rsid w:val="40FC716A"/>
    <w:rsid w:val="427D60E9"/>
    <w:rsid w:val="42FD1DE4"/>
    <w:rsid w:val="46560EA5"/>
    <w:rsid w:val="485B27A2"/>
    <w:rsid w:val="48A41964"/>
    <w:rsid w:val="49CD0B3C"/>
    <w:rsid w:val="4A196F9C"/>
    <w:rsid w:val="4C8D15E3"/>
    <w:rsid w:val="4C911D67"/>
    <w:rsid w:val="4CDE2259"/>
    <w:rsid w:val="4CF45D11"/>
    <w:rsid w:val="4FA55C05"/>
    <w:rsid w:val="4FFB7527"/>
    <w:rsid w:val="502C222D"/>
    <w:rsid w:val="50B42F9C"/>
    <w:rsid w:val="52384942"/>
    <w:rsid w:val="533C0E9D"/>
    <w:rsid w:val="53425999"/>
    <w:rsid w:val="54A451DD"/>
    <w:rsid w:val="54A877B3"/>
    <w:rsid w:val="5752039F"/>
    <w:rsid w:val="584D2D6C"/>
    <w:rsid w:val="59EF3692"/>
    <w:rsid w:val="5BE831B6"/>
    <w:rsid w:val="5C8B4DDE"/>
    <w:rsid w:val="5DE461E3"/>
    <w:rsid w:val="632C6BF4"/>
    <w:rsid w:val="651C188A"/>
    <w:rsid w:val="662937A6"/>
    <w:rsid w:val="679722CA"/>
    <w:rsid w:val="69CB28F2"/>
    <w:rsid w:val="69F334A4"/>
    <w:rsid w:val="69FA3260"/>
    <w:rsid w:val="6A1B2B92"/>
    <w:rsid w:val="6AB51291"/>
    <w:rsid w:val="6AB66C0E"/>
    <w:rsid w:val="6B23393F"/>
    <w:rsid w:val="6B5D20B4"/>
    <w:rsid w:val="6BB14F56"/>
    <w:rsid w:val="6BE17177"/>
    <w:rsid w:val="6C6B6A9B"/>
    <w:rsid w:val="6DA700B4"/>
    <w:rsid w:val="6DD01619"/>
    <w:rsid w:val="6E83180C"/>
    <w:rsid w:val="6E8C2E06"/>
    <w:rsid w:val="6F9831FE"/>
    <w:rsid w:val="701324F0"/>
    <w:rsid w:val="72D37256"/>
    <w:rsid w:val="733F506D"/>
    <w:rsid w:val="73E84F83"/>
    <w:rsid w:val="73FA6448"/>
    <w:rsid w:val="75C92B9F"/>
    <w:rsid w:val="76AB5219"/>
    <w:rsid w:val="785978ED"/>
    <w:rsid w:val="78CE1884"/>
    <w:rsid w:val="7A022356"/>
    <w:rsid w:val="7A5E7AB1"/>
    <w:rsid w:val="7A63739C"/>
    <w:rsid w:val="7A734A50"/>
    <w:rsid w:val="7ABE5FF2"/>
    <w:rsid w:val="7ED230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46"/>
    <w:qFormat/>
    <w:uiPriority w:val="0"/>
    <w:pPr>
      <w:keepNext/>
      <w:keepLines/>
      <w:spacing w:after="120" w:afterLines="0" w:line="360" w:lineRule="auto"/>
      <w:outlineLvl w:val="0"/>
    </w:pPr>
    <w:rPr>
      <w:kern w:val="44"/>
      <w:sz w:val="28"/>
      <w:szCs w:val="28"/>
    </w:rPr>
  </w:style>
  <w:style w:type="paragraph" w:styleId="6">
    <w:name w:val="heading 2"/>
    <w:basedOn w:val="1"/>
    <w:next w:val="1"/>
    <w:link w:val="47"/>
    <w:autoRedefine/>
    <w:qFormat/>
    <w:uiPriority w:val="0"/>
    <w:pPr>
      <w:keepNext/>
      <w:keepLines/>
      <w:spacing w:before="120" w:beforeLines="0" w:after="120" w:afterLines="0" w:line="415" w:lineRule="auto"/>
      <w:ind w:left="454"/>
      <w:jc w:val="center"/>
      <w:outlineLvl w:val="1"/>
    </w:pPr>
    <w:rPr>
      <w:rFonts w:ascii="Arial" w:hAnsi="Arial"/>
      <w:b/>
      <w:color w:val="000000"/>
      <w:kern w:val="0"/>
      <w:sz w:val="24"/>
      <w:szCs w:val="24"/>
    </w:rPr>
  </w:style>
  <w:style w:type="paragraph" w:styleId="7">
    <w:name w:val="heading 3"/>
    <w:basedOn w:val="1"/>
    <w:next w:val="1"/>
    <w:link w:val="48"/>
    <w:qFormat/>
    <w:uiPriority w:val="0"/>
    <w:pPr>
      <w:widowControl/>
      <w:spacing w:before="100" w:beforeLines="0" w:beforeAutospacing="1" w:after="100" w:afterLines="0" w:afterAutospacing="1"/>
      <w:jc w:val="left"/>
      <w:outlineLvl w:val="2"/>
    </w:pPr>
    <w:rPr>
      <w:rFonts w:ascii="宋体" w:hAnsi="宋体"/>
      <w:kern w:val="0"/>
      <w:sz w:val="27"/>
      <w:szCs w:val="27"/>
    </w:rPr>
  </w:style>
  <w:style w:type="paragraph" w:styleId="8">
    <w:name w:val="heading 4"/>
    <w:basedOn w:val="7"/>
    <w:next w:val="9"/>
    <w:link w:val="49"/>
    <w:autoRedefine/>
    <w:qFormat/>
    <w:uiPriority w:val="0"/>
    <w:pPr>
      <w:keepNext/>
      <w:keepLines/>
      <w:widowControl w:val="0"/>
      <w:numPr>
        <w:ilvl w:val="3"/>
        <w:numId w:val="1"/>
      </w:numPr>
      <w:spacing w:before="156" w:beforeLines="50" w:beforeAutospacing="0" w:after="156" w:afterLines="50" w:afterAutospacing="0" w:line="360" w:lineRule="auto"/>
      <w:outlineLvl w:val="3"/>
    </w:pPr>
    <w:rPr>
      <w:rFonts w:ascii="Arial" w:hAnsi="Arial"/>
      <w:color w:val="000000"/>
      <w:sz w:val="20"/>
      <w:szCs w:val="21"/>
    </w:rPr>
  </w:style>
  <w:style w:type="paragraph" w:styleId="10">
    <w:name w:val="heading 5"/>
    <w:basedOn w:val="8"/>
    <w:next w:val="9"/>
    <w:link w:val="50"/>
    <w:qFormat/>
    <w:uiPriority w:val="0"/>
    <w:pPr>
      <w:spacing w:line="240" w:lineRule="exact"/>
      <w:outlineLvl w:val="4"/>
    </w:pPr>
  </w:style>
  <w:style w:type="paragraph" w:styleId="11">
    <w:name w:val="heading 6"/>
    <w:basedOn w:val="1"/>
    <w:next w:val="1"/>
    <w:link w:val="51"/>
    <w:autoRedefine/>
    <w:qFormat/>
    <w:uiPriority w:val="0"/>
    <w:pPr>
      <w:keepNext/>
      <w:keepLines/>
      <w:numPr>
        <w:ilvl w:val="5"/>
        <w:numId w:val="2"/>
      </w:numPr>
      <w:spacing w:before="240" w:beforeLines="0" w:after="64" w:afterLines="0" w:line="320" w:lineRule="auto"/>
      <w:outlineLvl w:val="5"/>
    </w:pPr>
    <w:rPr>
      <w:rFonts w:ascii="Arial" w:hAnsi="Arial" w:eastAsia="黑体"/>
      <w:b/>
      <w:bCs/>
      <w:kern w:val="0"/>
      <w:sz w:val="24"/>
      <w:szCs w:val="24"/>
    </w:rPr>
  </w:style>
  <w:style w:type="paragraph" w:styleId="12">
    <w:name w:val="heading 7"/>
    <w:basedOn w:val="1"/>
    <w:next w:val="9"/>
    <w:link w:val="52"/>
    <w:autoRedefine/>
    <w:qFormat/>
    <w:uiPriority w:val="0"/>
    <w:pPr>
      <w:keepNext/>
      <w:keepLines/>
      <w:numPr>
        <w:ilvl w:val="6"/>
        <w:numId w:val="1"/>
      </w:numPr>
      <w:spacing w:before="240" w:beforeLines="0" w:after="64" w:afterLines="0" w:line="320" w:lineRule="auto"/>
      <w:outlineLvl w:val="6"/>
    </w:pPr>
    <w:rPr>
      <w:rFonts w:ascii="Times New Roman" w:hAnsi="Times New Roman"/>
      <w:b/>
      <w:kern w:val="0"/>
      <w:sz w:val="24"/>
      <w:szCs w:val="20"/>
    </w:rPr>
  </w:style>
  <w:style w:type="paragraph" w:styleId="13">
    <w:name w:val="heading 8"/>
    <w:basedOn w:val="1"/>
    <w:next w:val="9"/>
    <w:link w:val="53"/>
    <w:autoRedefine/>
    <w:qFormat/>
    <w:uiPriority w:val="0"/>
    <w:pPr>
      <w:keepNext/>
      <w:keepLines/>
      <w:numPr>
        <w:ilvl w:val="7"/>
        <w:numId w:val="1"/>
      </w:numPr>
      <w:spacing w:before="240" w:beforeLines="0" w:after="64" w:afterLines="0" w:line="320" w:lineRule="auto"/>
      <w:outlineLvl w:val="7"/>
    </w:pPr>
    <w:rPr>
      <w:rFonts w:ascii="Arial" w:hAnsi="Arial" w:eastAsia="黑体"/>
      <w:kern w:val="0"/>
      <w:sz w:val="24"/>
      <w:szCs w:val="20"/>
    </w:rPr>
  </w:style>
  <w:style w:type="paragraph" w:styleId="14">
    <w:name w:val="heading 9"/>
    <w:basedOn w:val="1"/>
    <w:next w:val="9"/>
    <w:link w:val="54"/>
    <w:autoRedefine/>
    <w:qFormat/>
    <w:uiPriority w:val="0"/>
    <w:pPr>
      <w:keepNext/>
      <w:keepLines/>
      <w:numPr>
        <w:ilvl w:val="8"/>
        <w:numId w:val="1"/>
      </w:numPr>
      <w:spacing w:before="240" w:beforeLines="0" w:after="64" w:afterLines="0" w:line="320" w:lineRule="auto"/>
      <w:outlineLvl w:val="8"/>
    </w:pPr>
    <w:rPr>
      <w:rFonts w:ascii="Arial" w:hAnsi="Arial" w:eastAsia="黑体"/>
      <w:kern w:val="0"/>
      <w:sz w:val="20"/>
      <w:szCs w:val="20"/>
    </w:rPr>
  </w:style>
  <w:style w:type="character" w:default="1" w:styleId="35">
    <w:name w:val="Default Paragraph Font"/>
    <w:qFormat/>
    <w:uiPriority w:val="0"/>
  </w:style>
  <w:style w:type="table" w:default="1" w:styleId="34">
    <w:name w:val="Normal Table"/>
    <w:unhideWhenUsed/>
    <w:qFormat/>
    <w:uiPriority w:val="99"/>
    <w:tblPr>
      <w:tblCellMar>
        <w:top w:w="0" w:type="dxa"/>
        <w:left w:w="108" w:type="dxa"/>
        <w:bottom w:w="0" w:type="dxa"/>
        <w:right w:w="108" w:type="dxa"/>
      </w:tblCellMar>
    </w:tblPr>
  </w:style>
  <w:style w:type="paragraph" w:styleId="3">
    <w:name w:val="Title"/>
    <w:basedOn w:val="1"/>
    <w:next w:val="1"/>
    <w:link w:val="44"/>
    <w:autoRedefine/>
    <w:qFormat/>
    <w:uiPriority w:val="0"/>
    <w:pPr>
      <w:spacing w:before="120" w:beforeLines="0" w:after="60" w:afterLines="0"/>
      <w:jc w:val="center"/>
    </w:pPr>
    <w:rPr>
      <w:rFonts w:ascii="Arial" w:hAnsi="Arial"/>
      <w:b/>
      <w:kern w:val="0"/>
      <w:sz w:val="44"/>
      <w:szCs w:val="20"/>
    </w:rPr>
  </w:style>
  <w:style w:type="paragraph" w:styleId="4">
    <w:name w:val="Body Text First Indent"/>
    <w:basedOn w:val="5"/>
    <w:next w:val="5"/>
    <w:link w:val="45"/>
    <w:autoRedefine/>
    <w:qFormat/>
    <w:uiPriority w:val="0"/>
    <w:pPr>
      <w:ind w:firstLine="420"/>
    </w:pPr>
  </w:style>
  <w:style w:type="paragraph" w:styleId="5">
    <w:name w:val="Body Text"/>
    <w:basedOn w:val="1"/>
    <w:next w:val="3"/>
    <w:link w:val="43"/>
    <w:qFormat/>
    <w:uiPriority w:val="0"/>
    <w:pPr>
      <w:spacing w:after="120" w:afterLines="0"/>
    </w:pPr>
    <w:rPr>
      <w:rFonts w:ascii="Times New Roman" w:hAnsi="Times New Roman"/>
      <w:kern w:val="0"/>
      <w:sz w:val="20"/>
      <w:szCs w:val="20"/>
    </w:rPr>
  </w:style>
  <w:style w:type="paragraph" w:styleId="9">
    <w:name w:val="Normal Indent"/>
    <w:basedOn w:val="1"/>
    <w:qFormat/>
    <w:uiPriority w:val="0"/>
    <w:pPr>
      <w:ind w:firstLine="420"/>
    </w:pPr>
    <w:rPr>
      <w:rFonts w:ascii="Times New Roman" w:hAnsi="Times New Roman"/>
      <w:szCs w:val="20"/>
    </w:rPr>
  </w:style>
  <w:style w:type="paragraph" w:styleId="15">
    <w:name w:val="Document Map"/>
    <w:basedOn w:val="1"/>
    <w:link w:val="55"/>
    <w:autoRedefine/>
    <w:qFormat/>
    <w:uiPriority w:val="0"/>
    <w:pPr>
      <w:shd w:val="clear" w:color="auto" w:fill="000080"/>
    </w:pPr>
    <w:rPr>
      <w:rFonts w:ascii="Times New Roman" w:hAnsi="Times New Roman"/>
      <w:kern w:val="0"/>
      <w:sz w:val="20"/>
      <w:szCs w:val="20"/>
      <w:shd w:val="clear" w:color="auto" w:fill="000080"/>
    </w:rPr>
  </w:style>
  <w:style w:type="paragraph" w:styleId="16">
    <w:name w:val="annotation text"/>
    <w:basedOn w:val="1"/>
    <w:link w:val="56"/>
    <w:autoRedefine/>
    <w:qFormat/>
    <w:uiPriority w:val="0"/>
    <w:pPr>
      <w:spacing w:line="360" w:lineRule="auto"/>
      <w:ind w:firstLine="523" w:firstLineChars="218"/>
      <w:jc w:val="left"/>
    </w:pPr>
    <w:rPr>
      <w:rFonts w:ascii="宋体" w:hAnsi="宋体"/>
      <w:kern w:val="0"/>
      <w:sz w:val="24"/>
      <w:szCs w:val="24"/>
    </w:rPr>
  </w:style>
  <w:style w:type="paragraph" w:styleId="17">
    <w:name w:val="Body Text Indent"/>
    <w:basedOn w:val="1"/>
    <w:link w:val="57"/>
    <w:autoRedefine/>
    <w:qFormat/>
    <w:uiPriority w:val="0"/>
    <w:pPr>
      <w:ind w:firstLine="570"/>
    </w:pPr>
    <w:rPr>
      <w:rFonts w:ascii="Times New Roman" w:hAnsi="Times New Roman"/>
      <w:kern w:val="0"/>
      <w:sz w:val="28"/>
      <w:szCs w:val="20"/>
    </w:rPr>
  </w:style>
  <w:style w:type="paragraph" w:styleId="18">
    <w:name w:val="toc 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styleId="19">
    <w:name w:val="Plain Text"/>
    <w:basedOn w:val="1"/>
    <w:next w:val="1"/>
    <w:link w:val="58"/>
    <w:qFormat/>
    <w:uiPriority w:val="0"/>
    <w:rPr>
      <w:rFonts w:ascii="宋体" w:hAnsi="Courier New"/>
      <w:kern w:val="0"/>
      <w:sz w:val="20"/>
      <w:szCs w:val="20"/>
    </w:rPr>
  </w:style>
  <w:style w:type="paragraph" w:styleId="20">
    <w:name w:val="Date"/>
    <w:basedOn w:val="1"/>
    <w:next w:val="1"/>
    <w:link w:val="59"/>
    <w:autoRedefine/>
    <w:qFormat/>
    <w:uiPriority w:val="0"/>
    <w:rPr>
      <w:rFonts w:ascii="Times New Roman" w:hAnsi="Times New Roman"/>
      <w:kern w:val="0"/>
      <w:sz w:val="20"/>
      <w:szCs w:val="20"/>
    </w:rPr>
  </w:style>
  <w:style w:type="paragraph" w:styleId="21">
    <w:name w:val="Body Text Indent 2"/>
    <w:basedOn w:val="1"/>
    <w:link w:val="60"/>
    <w:autoRedefine/>
    <w:qFormat/>
    <w:uiPriority w:val="0"/>
    <w:pPr>
      <w:spacing w:line="400" w:lineRule="exact"/>
      <w:ind w:left="425"/>
    </w:pPr>
    <w:rPr>
      <w:rFonts w:ascii="Times New Roman" w:hAnsi="Times New Roman"/>
      <w:color w:val="000000"/>
      <w:kern w:val="0"/>
      <w:sz w:val="24"/>
      <w:szCs w:val="20"/>
    </w:rPr>
  </w:style>
  <w:style w:type="paragraph" w:styleId="22">
    <w:name w:val="endnote text"/>
    <w:basedOn w:val="1"/>
    <w:link w:val="61"/>
    <w:autoRedefine/>
    <w:qFormat/>
    <w:uiPriority w:val="0"/>
    <w:pPr>
      <w:snapToGrid w:val="0"/>
      <w:jc w:val="left"/>
    </w:pPr>
    <w:rPr>
      <w:rFonts w:ascii="Times New Roman" w:hAnsi="Times New Roman"/>
      <w:kern w:val="0"/>
      <w:sz w:val="20"/>
      <w:szCs w:val="20"/>
    </w:rPr>
  </w:style>
  <w:style w:type="paragraph" w:styleId="23">
    <w:name w:val="Balloon Text"/>
    <w:basedOn w:val="1"/>
    <w:link w:val="62"/>
    <w:qFormat/>
    <w:uiPriority w:val="0"/>
    <w:rPr>
      <w:rFonts w:ascii="Times New Roman" w:hAnsi="Times New Roman"/>
      <w:kern w:val="0"/>
      <w:sz w:val="18"/>
      <w:szCs w:val="18"/>
    </w:rPr>
  </w:style>
  <w:style w:type="paragraph" w:styleId="24">
    <w:name w:val="footer"/>
    <w:basedOn w:val="1"/>
    <w:link w:val="63"/>
    <w:autoRedefine/>
    <w:qFormat/>
    <w:uiPriority w:val="0"/>
    <w:pPr>
      <w:tabs>
        <w:tab w:val="center" w:pos="4153"/>
        <w:tab w:val="right" w:pos="8306"/>
      </w:tabs>
      <w:snapToGrid w:val="0"/>
      <w:jc w:val="left"/>
    </w:pPr>
    <w:rPr>
      <w:kern w:val="0"/>
      <w:sz w:val="18"/>
      <w:szCs w:val="18"/>
    </w:rPr>
  </w:style>
  <w:style w:type="paragraph" w:styleId="25">
    <w:name w:val="header"/>
    <w:basedOn w:val="1"/>
    <w:link w:val="64"/>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65"/>
    <w:qFormat/>
    <w:uiPriority w:val="0"/>
    <w:pPr>
      <w:snapToGrid w:val="0"/>
      <w:spacing w:line="360" w:lineRule="auto"/>
      <w:ind w:firstLine="523" w:firstLineChars="218"/>
      <w:jc w:val="left"/>
    </w:pPr>
    <w:rPr>
      <w:rFonts w:ascii="宋体" w:hAnsi="宋体"/>
      <w:kern w:val="0"/>
      <w:sz w:val="18"/>
      <w:szCs w:val="18"/>
    </w:rPr>
  </w:style>
  <w:style w:type="paragraph" w:styleId="28">
    <w:name w:val="Body Text Indent 3"/>
    <w:basedOn w:val="1"/>
    <w:link w:val="66"/>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paragraph" w:styleId="29">
    <w:name w:val="toc 2"/>
    <w:basedOn w:val="1"/>
    <w:next w:val="1"/>
    <w:autoRedefine/>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67"/>
    <w:qFormat/>
    <w:uiPriority w:val="0"/>
    <w:rPr>
      <w:rFonts w:ascii="宋体" w:hAnsi="宋体"/>
      <w:kern w:val="0"/>
      <w:sz w:val="20"/>
      <w:szCs w:val="24"/>
      <w:u w:val="single"/>
    </w:rPr>
  </w:style>
  <w:style w:type="paragraph" w:styleId="31">
    <w:name w:val="index 1"/>
    <w:basedOn w:val="1"/>
    <w:next w:val="1"/>
    <w:qFormat/>
    <w:uiPriority w:val="0"/>
    <w:rPr>
      <w:rFonts w:ascii="Times New Roman" w:hAnsi="Times New Roman" w:eastAsia="仿宋_GB2312"/>
      <w:sz w:val="28"/>
      <w:szCs w:val="20"/>
    </w:rPr>
  </w:style>
  <w:style w:type="paragraph" w:styleId="32">
    <w:name w:val="annotation subject"/>
    <w:basedOn w:val="16"/>
    <w:next w:val="16"/>
    <w:link w:val="68"/>
    <w:qFormat/>
    <w:uiPriority w:val="0"/>
    <w:rPr>
      <w:b/>
      <w:bCs/>
    </w:rPr>
  </w:style>
  <w:style w:type="paragraph" w:styleId="33">
    <w:name w:val="Body Text First Indent 2"/>
    <w:basedOn w:val="17"/>
    <w:qFormat/>
    <w:uiPriority w:val="0"/>
    <w:pPr>
      <w:ind w:left="0" w:leftChars="0" w:firstLine="960" w:firstLineChars="200"/>
    </w:pPr>
    <w:rPr>
      <w:sz w:val="24"/>
      <w:szCs w:val="20"/>
    </w:rPr>
  </w:style>
  <w:style w:type="character" w:styleId="36">
    <w:name w:val="Strong"/>
    <w:qFormat/>
    <w:uiPriority w:val="0"/>
    <w:rPr>
      <w:b/>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autoRedefine/>
    <w:qFormat/>
    <w:uiPriority w:val="0"/>
    <w:rPr>
      <w:color w:val="954F72"/>
      <w:u w:val="single"/>
    </w:rPr>
  </w:style>
  <w:style w:type="character" w:styleId="40">
    <w:name w:val="Hyperlink"/>
    <w:autoRedefine/>
    <w:qFormat/>
    <w:uiPriority w:val="0"/>
    <w:rPr>
      <w:color w:val="0000FF"/>
      <w:u w:val="single"/>
    </w:rPr>
  </w:style>
  <w:style w:type="character" w:styleId="41">
    <w:name w:val="annotation reference"/>
    <w:autoRedefine/>
    <w:qFormat/>
    <w:uiPriority w:val="0"/>
    <w:rPr>
      <w:sz w:val="21"/>
      <w:szCs w:val="21"/>
    </w:rPr>
  </w:style>
  <w:style w:type="character" w:styleId="42">
    <w:name w:val="footnote reference"/>
    <w:qFormat/>
    <w:uiPriority w:val="0"/>
    <w:rPr>
      <w:vertAlign w:val="superscript"/>
    </w:rPr>
  </w:style>
  <w:style w:type="character" w:customStyle="1" w:styleId="43">
    <w:name w:val="正文文本 Char"/>
    <w:link w:val="5"/>
    <w:autoRedefine/>
    <w:qFormat/>
    <w:uiPriority w:val="0"/>
    <w:rPr>
      <w:rFonts w:ascii="Times New Roman" w:hAnsi="Times New Roman" w:eastAsia="宋体" w:cs="Times New Roman"/>
      <w:szCs w:val="20"/>
    </w:rPr>
  </w:style>
  <w:style w:type="character" w:customStyle="1" w:styleId="44">
    <w:name w:val="标题 Char"/>
    <w:link w:val="3"/>
    <w:autoRedefine/>
    <w:qFormat/>
    <w:uiPriority w:val="0"/>
    <w:rPr>
      <w:rFonts w:ascii="Arial" w:hAnsi="Arial" w:eastAsia="宋体" w:cs="Times New Roman"/>
      <w:b/>
      <w:sz w:val="44"/>
      <w:szCs w:val="20"/>
    </w:rPr>
  </w:style>
  <w:style w:type="character" w:customStyle="1" w:styleId="45">
    <w:name w:val="正文首行缩进 Char"/>
    <w:link w:val="4"/>
    <w:autoRedefine/>
    <w:qFormat/>
    <w:uiPriority w:val="0"/>
  </w:style>
  <w:style w:type="character" w:customStyle="1" w:styleId="46">
    <w:name w:val="标题 1 Char"/>
    <w:link w:val="2"/>
    <w:autoRedefine/>
    <w:qFormat/>
    <w:uiPriority w:val="0"/>
    <w:rPr>
      <w:rFonts w:ascii="Arial" w:hAnsi="Arial" w:eastAsia="宋体"/>
      <w:b/>
      <w:kern w:val="44"/>
      <w:sz w:val="28"/>
      <w:szCs w:val="28"/>
    </w:rPr>
  </w:style>
  <w:style w:type="character" w:customStyle="1" w:styleId="47">
    <w:name w:val="标题 2 Char"/>
    <w:link w:val="6"/>
    <w:autoRedefine/>
    <w:qFormat/>
    <w:uiPriority w:val="0"/>
    <w:rPr>
      <w:rFonts w:ascii="Arial" w:hAnsi="Arial" w:eastAsia="宋体" w:cs="Times New Roman"/>
      <w:b/>
      <w:color w:val="000000"/>
      <w:sz w:val="24"/>
      <w:szCs w:val="24"/>
    </w:rPr>
  </w:style>
  <w:style w:type="character" w:customStyle="1" w:styleId="48">
    <w:name w:val="标题 3 Char"/>
    <w:link w:val="7"/>
    <w:autoRedefine/>
    <w:qFormat/>
    <w:uiPriority w:val="0"/>
    <w:rPr>
      <w:rFonts w:ascii="宋体" w:hAnsi="宋体" w:eastAsia="宋体" w:cs="宋体"/>
      <w:kern w:val="0"/>
      <w:sz w:val="27"/>
      <w:szCs w:val="27"/>
    </w:rPr>
  </w:style>
  <w:style w:type="character" w:customStyle="1" w:styleId="49">
    <w:name w:val="标题 4 Char"/>
    <w:link w:val="8"/>
    <w:autoRedefine/>
    <w:qFormat/>
    <w:uiPriority w:val="0"/>
    <w:rPr>
      <w:rFonts w:ascii="Arial" w:hAnsi="Arial" w:eastAsia="宋体" w:cs="Times New Roman"/>
      <w:color w:val="000000"/>
      <w:szCs w:val="21"/>
    </w:rPr>
  </w:style>
  <w:style w:type="character" w:customStyle="1" w:styleId="50">
    <w:name w:val="标题 5 Char"/>
    <w:link w:val="10"/>
    <w:autoRedefine/>
    <w:qFormat/>
    <w:uiPriority w:val="0"/>
    <w:rPr>
      <w:rFonts w:ascii="Arial" w:hAnsi="Arial" w:eastAsia="宋体" w:cs="Times New Roman"/>
      <w:color w:val="000000"/>
      <w:szCs w:val="21"/>
    </w:rPr>
  </w:style>
  <w:style w:type="character" w:customStyle="1" w:styleId="51">
    <w:name w:val="标题 6 Char"/>
    <w:link w:val="11"/>
    <w:autoRedefine/>
    <w:qFormat/>
    <w:uiPriority w:val="0"/>
    <w:rPr>
      <w:rFonts w:ascii="Arial" w:hAnsi="Arial" w:eastAsia="黑体" w:cs="Times New Roman"/>
      <w:b/>
      <w:bCs/>
      <w:sz w:val="24"/>
      <w:szCs w:val="24"/>
    </w:rPr>
  </w:style>
  <w:style w:type="character" w:customStyle="1" w:styleId="52">
    <w:name w:val="标题 7 Char"/>
    <w:link w:val="12"/>
    <w:autoRedefine/>
    <w:qFormat/>
    <w:uiPriority w:val="0"/>
    <w:rPr>
      <w:rFonts w:ascii="Times New Roman" w:hAnsi="Times New Roman" w:eastAsia="宋体" w:cs="Times New Roman"/>
      <w:b/>
      <w:sz w:val="24"/>
      <w:szCs w:val="20"/>
    </w:rPr>
  </w:style>
  <w:style w:type="character" w:customStyle="1" w:styleId="53">
    <w:name w:val="标题 8 Char"/>
    <w:link w:val="13"/>
    <w:autoRedefine/>
    <w:qFormat/>
    <w:uiPriority w:val="0"/>
    <w:rPr>
      <w:rFonts w:ascii="Arial" w:hAnsi="Arial" w:eastAsia="黑体" w:cs="Times New Roman"/>
      <w:sz w:val="24"/>
      <w:szCs w:val="20"/>
    </w:rPr>
  </w:style>
  <w:style w:type="character" w:customStyle="1" w:styleId="54">
    <w:name w:val="标题 9 Char"/>
    <w:link w:val="14"/>
    <w:autoRedefine/>
    <w:qFormat/>
    <w:uiPriority w:val="0"/>
    <w:rPr>
      <w:rFonts w:ascii="Arial" w:hAnsi="Arial" w:eastAsia="黑体" w:cs="Times New Roman"/>
      <w:szCs w:val="20"/>
    </w:rPr>
  </w:style>
  <w:style w:type="character" w:customStyle="1" w:styleId="55">
    <w:name w:val="文档结构图 Char"/>
    <w:link w:val="15"/>
    <w:autoRedefine/>
    <w:qFormat/>
    <w:uiPriority w:val="0"/>
    <w:rPr>
      <w:rFonts w:ascii="Times New Roman" w:hAnsi="Times New Roman" w:eastAsia="宋体" w:cs="Times New Roman"/>
      <w:szCs w:val="20"/>
      <w:shd w:val="clear" w:color="auto" w:fill="000080"/>
    </w:rPr>
  </w:style>
  <w:style w:type="character" w:customStyle="1" w:styleId="56">
    <w:name w:val="批注文字 Char"/>
    <w:link w:val="16"/>
    <w:autoRedefine/>
    <w:qFormat/>
    <w:uiPriority w:val="0"/>
    <w:rPr>
      <w:rFonts w:ascii="宋体" w:hAnsi="宋体" w:eastAsia="宋体" w:cs="Times New Roman"/>
      <w:sz w:val="24"/>
      <w:szCs w:val="24"/>
    </w:rPr>
  </w:style>
  <w:style w:type="character" w:customStyle="1" w:styleId="57">
    <w:name w:val="正文文本缩进 Char"/>
    <w:link w:val="17"/>
    <w:autoRedefine/>
    <w:qFormat/>
    <w:uiPriority w:val="0"/>
    <w:rPr>
      <w:rFonts w:ascii="Times New Roman" w:hAnsi="Times New Roman" w:eastAsia="宋体" w:cs="Times New Roman"/>
      <w:sz w:val="28"/>
      <w:szCs w:val="20"/>
    </w:rPr>
  </w:style>
  <w:style w:type="character" w:customStyle="1" w:styleId="58">
    <w:name w:val="纯文本 Char"/>
    <w:link w:val="19"/>
    <w:autoRedefine/>
    <w:qFormat/>
    <w:uiPriority w:val="0"/>
    <w:rPr>
      <w:rFonts w:ascii="宋体" w:hAnsi="Courier New" w:eastAsia="宋体" w:cs="Times New Roman"/>
      <w:szCs w:val="20"/>
    </w:rPr>
  </w:style>
  <w:style w:type="character" w:customStyle="1" w:styleId="59">
    <w:name w:val="日期 Char"/>
    <w:link w:val="20"/>
    <w:autoRedefine/>
    <w:qFormat/>
    <w:uiPriority w:val="0"/>
    <w:rPr>
      <w:rFonts w:ascii="Times New Roman" w:hAnsi="Times New Roman" w:eastAsia="宋体" w:cs="Times New Roman"/>
      <w:szCs w:val="20"/>
    </w:rPr>
  </w:style>
  <w:style w:type="character" w:customStyle="1" w:styleId="60">
    <w:name w:val="正文文本缩进 2 Char"/>
    <w:link w:val="21"/>
    <w:autoRedefine/>
    <w:qFormat/>
    <w:uiPriority w:val="0"/>
    <w:rPr>
      <w:rFonts w:ascii="Times New Roman" w:hAnsi="Times New Roman" w:eastAsia="宋体" w:cs="Times New Roman"/>
      <w:color w:val="000000"/>
      <w:sz w:val="24"/>
      <w:szCs w:val="20"/>
    </w:rPr>
  </w:style>
  <w:style w:type="character" w:customStyle="1" w:styleId="61">
    <w:name w:val="尾注文本 Char"/>
    <w:link w:val="22"/>
    <w:autoRedefine/>
    <w:qFormat/>
    <w:uiPriority w:val="0"/>
    <w:rPr>
      <w:rFonts w:ascii="Times New Roman" w:hAnsi="Times New Roman" w:eastAsia="宋体" w:cs="Times New Roman"/>
      <w:szCs w:val="20"/>
    </w:rPr>
  </w:style>
  <w:style w:type="character" w:customStyle="1" w:styleId="62">
    <w:name w:val="批注框文本 Char"/>
    <w:link w:val="23"/>
    <w:autoRedefine/>
    <w:qFormat/>
    <w:uiPriority w:val="0"/>
    <w:rPr>
      <w:rFonts w:ascii="Times New Roman" w:hAnsi="Times New Roman" w:eastAsia="宋体" w:cs="Times New Roman"/>
      <w:sz w:val="18"/>
      <w:szCs w:val="18"/>
    </w:rPr>
  </w:style>
  <w:style w:type="character" w:customStyle="1" w:styleId="63">
    <w:name w:val="页脚 Char"/>
    <w:link w:val="24"/>
    <w:autoRedefine/>
    <w:qFormat/>
    <w:uiPriority w:val="0"/>
    <w:rPr>
      <w:rFonts w:ascii="Calibri" w:hAnsi="Calibri" w:eastAsia="宋体" w:cs="Times New Roman"/>
      <w:sz w:val="18"/>
      <w:szCs w:val="18"/>
    </w:rPr>
  </w:style>
  <w:style w:type="character" w:customStyle="1" w:styleId="64">
    <w:name w:val="页眉 Char"/>
    <w:link w:val="25"/>
    <w:autoRedefine/>
    <w:qFormat/>
    <w:uiPriority w:val="0"/>
    <w:rPr>
      <w:rFonts w:ascii="Calibri" w:hAnsi="Calibri" w:eastAsia="宋体" w:cs="Times New Roman"/>
      <w:sz w:val="18"/>
      <w:szCs w:val="18"/>
    </w:rPr>
  </w:style>
  <w:style w:type="character" w:customStyle="1" w:styleId="65">
    <w:name w:val="脚注文本 Char"/>
    <w:link w:val="27"/>
    <w:autoRedefine/>
    <w:qFormat/>
    <w:uiPriority w:val="0"/>
    <w:rPr>
      <w:rFonts w:ascii="宋体" w:hAnsi="宋体" w:eastAsia="宋体" w:cs="Times New Roman"/>
      <w:sz w:val="18"/>
      <w:szCs w:val="18"/>
    </w:rPr>
  </w:style>
  <w:style w:type="character" w:customStyle="1" w:styleId="66">
    <w:name w:val="正文文本缩进 3 Char"/>
    <w:link w:val="28"/>
    <w:autoRedefine/>
    <w:qFormat/>
    <w:uiPriority w:val="0"/>
    <w:rPr>
      <w:rFonts w:ascii="Times New Roman" w:hAnsi="Times New Roman" w:eastAsia="宋体" w:cs="Times New Roman"/>
      <w:color w:val="000000"/>
      <w:sz w:val="24"/>
      <w:szCs w:val="20"/>
    </w:rPr>
  </w:style>
  <w:style w:type="character" w:customStyle="1" w:styleId="67">
    <w:name w:val="正文文本 2 Char"/>
    <w:link w:val="30"/>
    <w:autoRedefine/>
    <w:qFormat/>
    <w:uiPriority w:val="0"/>
    <w:rPr>
      <w:rFonts w:ascii="宋体" w:hAnsi="宋体" w:eastAsia="宋体" w:cs="Times New Roman"/>
      <w:szCs w:val="24"/>
      <w:u w:val="single"/>
    </w:rPr>
  </w:style>
  <w:style w:type="character" w:customStyle="1" w:styleId="68">
    <w:name w:val="批注主题 Char"/>
    <w:link w:val="32"/>
    <w:autoRedefine/>
    <w:qFormat/>
    <w:uiPriority w:val="0"/>
    <w:rPr>
      <w:rFonts w:ascii="宋体" w:hAnsi="宋体" w:eastAsia="宋体" w:cs="Times New Roman"/>
      <w:b/>
      <w:bCs/>
      <w:sz w:val="24"/>
      <w:szCs w:val="24"/>
    </w:rPr>
  </w:style>
  <w:style w:type="character" w:customStyle="1" w:styleId="69">
    <w:name w:val="正文文本缩进 2 字符"/>
    <w:autoRedefine/>
    <w:qFormat/>
    <w:uiPriority w:val="0"/>
    <w:rPr>
      <w:rFonts w:ascii="Calibri" w:hAnsi="Calibri" w:eastAsia="宋体" w:cs="Times New Roman"/>
    </w:rPr>
  </w:style>
  <w:style w:type="character" w:customStyle="1" w:styleId="70">
    <w:name w:val="标题 9 字符"/>
    <w:qFormat/>
    <w:uiPriority w:val="0"/>
    <w:rPr>
      <w:rFonts w:ascii="等线 Light" w:hAnsi="等线 Light" w:eastAsia="等线 Light" w:cs="Times New Roman"/>
      <w:szCs w:val="21"/>
    </w:rPr>
  </w:style>
  <w:style w:type="character" w:customStyle="1" w:styleId="71">
    <w:name w:val="文档结构图 字符"/>
    <w:autoRedefine/>
    <w:qFormat/>
    <w:uiPriority w:val="0"/>
    <w:rPr>
      <w:rFonts w:ascii="Microsoft YaHei UI" w:hAnsi="Calibri" w:eastAsia="Microsoft YaHei UI" w:cs="Times New Roman"/>
      <w:sz w:val="18"/>
      <w:szCs w:val="18"/>
    </w:rPr>
  </w:style>
  <w:style w:type="character" w:customStyle="1" w:styleId="72">
    <w:name w:val="页眉 字符"/>
    <w:autoRedefine/>
    <w:qFormat/>
    <w:uiPriority w:val="0"/>
    <w:rPr>
      <w:rFonts w:ascii="Calibri" w:hAnsi="Calibri" w:eastAsia="宋体" w:cs="Times New Roman"/>
      <w:sz w:val="18"/>
      <w:szCs w:val="18"/>
    </w:rPr>
  </w:style>
  <w:style w:type="character" w:customStyle="1" w:styleId="73">
    <w:name w:val="正文首行缩进 字符"/>
    <w:autoRedefine/>
    <w:qFormat/>
    <w:uiPriority w:val="0"/>
    <w:rPr>
      <w:rFonts w:ascii="Calibri" w:hAnsi="Calibri" w:eastAsia="宋体" w:cs="Times New Roman"/>
    </w:rPr>
  </w:style>
  <w:style w:type="character" w:customStyle="1" w:styleId="74">
    <w:name w:val="正文文本缩进 3 字符"/>
    <w:autoRedefine/>
    <w:qFormat/>
    <w:uiPriority w:val="0"/>
    <w:rPr>
      <w:rFonts w:ascii="Calibri" w:hAnsi="Calibri" w:eastAsia="宋体" w:cs="Times New Roman"/>
      <w:sz w:val="16"/>
      <w:szCs w:val="16"/>
    </w:rPr>
  </w:style>
  <w:style w:type="character" w:customStyle="1" w:styleId="75">
    <w:name w:val="批注主题 字符"/>
    <w:autoRedefine/>
    <w:qFormat/>
    <w:uiPriority w:val="0"/>
    <w:rPr>
      <w:rFonts w:ascii="Calibri" w:hAnsi="Calibri" w:eastAsia="宋体" w:cs="Times New Roman"/>
      <w:b/>
      <w:bCs/>
    </w:rPr>
  </w:style>
  <w:style w:type="character" w:customStyle="1" w:styleId="76">
    <w:name w:val="批注框文本 字符"/>
    <w:autoRedefine/>
    <w:qFormat/>
    <w:uiPriority w:val="0"/>
    <w:rPr>
      <w:rFonts w:ascii="Calibri" w:hAnsi="Calibri" w:eastAsia="宋体" w:cs="Times New Roman"/>
      <w:sz w:val="18"/>
      <w:szCs w:val="18"/>
    </w:rPr>
  </w:style>
  <w:style w:type="character" w:customStyle="1" w:styleId="77">
    <w:name w:val="标题 3 字符"/>
    <w:qFormat/>
    <w:uiPriority w:val="0"/>
    <w:rPr>
      <w:rFonts w:ascii="Calibri" w:hAnsi="Calibri" w:eastAsia="宋体" w:cs="Times New Roman"/>
      <w:b/>
      <w:bCs/>
      <w:sz w:val="32"/>
      <w:szCs w:val="32"/>
    </w:rPr>
  </w:style>
  <w:style w:type="character" w:customStyle="1" w:styleId="78">
    <w:name w:val="页脚 字符"/>
    <w:autoRedefine/>
    <w:qFormat/>
    <w:uiPriority w:val="0"/>
    <w:rPr>
      <w:rFonts w:ascii="Calibri" w:hAnsi="Calibri" w:eastAsia="宋体" w:cs="Times New Roman"/>
      <w:sz w:val="18"/>
      <w:szCs w:val="18"/>
    </w:rPr>
  </w:style>
  <w:style w:type="character" w:customStyle="1" w:styleId="79">
    <w:name w:val="标题 7 字符"/>
    <w:autoRedefine/>
    <w:qFormat/>
    <w:uiPriority w:val="0"/>
    <w:rPr>
      <w:rFonts w:ascii="Calibri" w:hAnsi="Calibri" w:eastAsia="宋体" w:cs="Times New Roman"/>
      <w:b/>
      <w:bCs/>
      <w:sz w:val="24"/>
      <w:szCs w:val="24"/>
    </w:rPr>
  </w:style>
  <w:style w:type="character" w:customStyle="1" w:styleId="80">
    <w:name w:val="正文文本缩进 字符"/>
    <w:autoRedefine/>
    <w:qFormat/>
    <w:uiPriority w:val="0"/>
    <w:rPr>
      <w:rFonts w:ascii="Calibri" w:hAnsi="Calibri" w:eastAsia="宋体" w:cs="Times New Roman"/>
    </w:rPr>
  </w:style>
  <w:style w:type="character" w:customStyle="1" w:styleId="81">
    <w:name w:val="正文文本 2 字符"/>
    <w:qFormat/>
    <w:uiPriority w:val="0"/>
    <w:rPr>
      <w:rFonts w:ascii="Calibri" w:hAnsi="Calibri" w:eastAsia="宋体" w:cs="Times New Roman"/>
    </w:rPr>
  </w:style>
  <w:style w:type="character" w:customStyle="1" w:styleId="82">
    <w:name w:val="纯文本 字符"/>
    <w:autoRedefine/>
    <w:qFormat/>
    <w:uiPriority w:val="0"/>
    <w:rPr>
      <w:rFonts w:ascii="等线" w:hAnsi="Courier New" w:cs="Courier New"/>
    </w:rPr>
  </w:style>
  <w:style w:type="character" w:customStyle="1" w:styleId="83">
    <w:name w:val="标题 2 字符"/>
    <w:autoRedefine/>
    <w:qFormat/>
    <w:uiPriority w:val="0"/>
    <w:rPr>
      <w:rFonts w:ascii="等线 Light" w:hAnsi="等线 Light" w:eastAsia="等线 Light" w:cs="Times New Roman"/>
      <w:b/>
      <w:bCs/>
      <w:sz w:val="32"/>
      <w:szCs w:val="32"/>
    </w:rPr>
  </w:style>
  <w:style w:type="character" w:customStyle="1" w:styleId="84">
    <w:name w:val="标题 字符"/>
    <w:qFormat/>
    <w:uiPriority w:val="0"/>
    <w:rPr>
      <w:rFonts w:ascii="等线 Light" w:hAnsi="等线 Light" w:eastAsia="等线 Light" w:cs="Times New Roman"/>
      <w:b/>
      <w:bCs/>
      <w:sz w:val="32"/>
      <w:szCs w:val="32"/>
    </w:rPr>
  </w:style>
  <w:style w:type="character" w:customStyle="1" w:styleId="85">
    <w:name w:val="日期 字符"/>
    <w:autoRedefine/>
    <w:qFormat/>
    <w:uiPriority w:val="0"/>
    <w:rPr>
      <w:rFonts w:ascii="Calibri" w:hAnsi="Calibri" w:eastAsia="宋体" w:cs="Times New Roman"/>
    </w:rPr>
  </w:style>
  <w:style w:type="character" w:customStyle="1" w:styleId="86">
    <w:name w:val="标题 5 字符"/>
    <w:autoRedefine/>
    <w:qFormat/>
    <w:uiPriority w:val="0"/>
    <w:rPr>
      <w:rFonts w:ascii="Calibri" w:hAnsi="Calibri" w:eastAsia="宋体" w:cs="Times New Roman"/>
      <w:b/>
      <w:bCs/>
      <w:sz w:val="28"/>
      <w:szCs w:val="28"/>
    </w:rPr>
  </w:style>
  <w:style w:type="character" w:customStyle="1" w:styleId="87">
    <w:name w:val="标题 1 字符"/>
    <w:autoRedefine/>
    <w:qFormat/>
    <w:uiPriority w:val="0"/>
    <w:rPr>
      <w:rFonts w:ascii="Calibri" w:hAnsi="Calibri" w:eastAsia="宋体" w:cs="Times New Roman"/>
      <w:b/>
      <w:bCs/>
      <w:kern w:val="44"/>
      <w:sz w:val="44"/>
      <w:szCs w:val="44"/>
    </w:rPr>
  </w:style>
  <w:style w:type="character" w:customStyle="1" w:styleId="88">
    <w:name w:val="批注文字 字符"/>
    <w:autoRedefine/>
    <w:qFormat/>
    <w:uiPriority w:val="0"/>
    <w:rPr>
      <w:rFonts w:ascii="Calibri" w:hAnsi="Calibri" w:eastAsia="宋体" w:cs="Times New Roman"/>
    </w:rPr>
  </w:style>
  <w:style w:type="character" w:customStyle="1" w:styleId="89">
    <w:name w:val="标题 8 字符"/>
    <w:qFormat/>
    <w:uiPriority w:val="0"/>
    <w:rPr>
      <w:rFonts w:ascii="等线 Light" w:hAnsi="等线 Light" w:eastAsia="等线 Light" w:cs="Times New Roman"/>
      <w:sz w:val="24"/>
      <w:szCs w:val="24"/>
    </w:rPr>
  </w:style>
  <w:style w:type="character" w:customStyle="1" w:styleId="90">
    <w:name w:val="正文文本 字符"/>
    <w:autoRedefine/>
    <w:qFormat/>
    <w:uiPriority w:val="0"/>
    <w:rPr>
      <w:rFonts w:ascii="Calibri" w:hAnsi="Calibri" w:eastAsia="宋体" w:cs="Times New Roman"/>
    </w:rPr>
  </w:style>
  <w:style w:type="character" w:customStyle="1" w:styleId="91">
    <w:name w:val="尾注文本 字符"/>
    <w:autoRedefine/>
    <w:qFormat/>
    <w:uiPriority w:val="0"/>
    <w:rPr>
      <w:rFonts w:ascii="Calibri" w:hAnsi="Calibri" w:eastAsia="宋体" w:cs="Times New Roman"/>
    </w:rPr>
  </w:style>
  <w:style w:type="character" w:customStyle="1" w:styleId="92">
    <w:name w:val="标题 6 字符"/>
    <w:autoRedefine/>
    <w:qFormat/>
    <w:uiPriority w:val="0"/>
    <w:rPr>
      <w:rFonts w:ascii="等线 Light" w:hAnsi="等线 Light" w:eastAsia="等线 Light" w:cs="Times New Roman"/>
      <w:b/>
      <w:bCs/>
      <w:sz w:val="24"/>
      <w:szCs w:val="24"/>
    </w:rPr>
  </w:style>
  <w:style w:type="character" w:customStyle="1" w:styleId="93">
    <w:name w:val="标题 4 字符"/>
    <w:autoRedefine/>
    <w:qFormat/>
    <w:uiPriority w:val="0"/>
    <w:rPr>
      <w:rFonts w:ascii="等线 Light" w:hAnsi="等线 Light" w:eastAsia="等线 Light" w:cs="Times New Roman"/>
      <w:b/>
      <w:bCs/>
      <w:sz w:val="28"/>
      <w:szCs w:val="28"/>
    </w:rPr>
  </w:style>
  <w:style w:type="character" w:customStyle="1" w:styleId="94">
    <w:name w:val="脚注文本 字符"/>
    <w:qFormat/>
    <w:uiPriority w:val="0"/>
    <w:rPr>
      <w:rFonts w:ascii="Calibri" w:hAnsi="Calibri" w:eastAsia="宋体" w:cs="Times New Roman"/>
      <w:sz w:val="18"/>
      <w:szCs w:val="18"/>
    </w:rPr>
  </w:style>
  <w:style w:type="paragraph" w:customStyle="1" w:styleId="95">
    <w:name w:val="_Style 93"/>
    <w:basedOn w:val="2"/>
    <w:next w:val="1"/>
    <w:autoRedefine/>
    <w:qFormat/>
    <w:uiPriority w:val="0"/>
    <w:pPr>
      <w:widowControl/>
      <w:spacing w:before="480" w:beforeLines="0" w:after="0" w:afterLines="0" w:line="276" w:lineRule="auto"/>
      <w:outlineLvl w:val="9"/>
    </w:pPr>
    <w:rPr>
      <w:rFonts w:ascii="Cambria" w:hAnsi="Cambria"/>
      <w:color w:val="365F91"/>
      <w:kern w:val="0"/>
    </w:rPr>
  </w:style>
  <w:style w:type="paragraph" w:customStyle="1" w:styleId="96">
    <w:name w:val="发文落款"/>
    <w:basedOn w:val="97"/>
    <w:autoRedefine/>
    <w:qFormat/>
    <w:uiPriority w:val="0"/>
    <w:pPr>
      <w:ind w:left="4094" w:right="607" w:firstLine="0"/>
      <w:jc w:val="center"/>
    </w:pPr>
  </w:style>
  <w:style w:type="paragraph" w:customStyle="1" w:styleId="97">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表头"/>
    <w:basedOn w:val="1"/>
    <w:autoRedefine/>
    <w:qFormat/>
    <w:uiPriority w:val="0"/>
    <w:pPr>
      <w:spacing w:line="360" w:lineRule="auto"/>
      <w:jc w:val="center"/>
    </w:pPr>
    <w:rPr>
      <w:rFonts w:ascii="黑体" w:hAnsi="Times New Roman" w:eastAsia="黑体"/>
      <w:kern w:val="0"/>
      <w:sz w:val="24"/>
      <w:szCs w:val="20"/>
    </w:rPr>
  </w:style>
  <w:style w:type="paragraph" w:customStyle="1" w:styleId="99">
    <w:name w:val="Char Char Char Char"/>
    <w:basedOn w:val="1"/>
    <w:autoRedefine/>
    <w:qFormat/>
    <w:uiPriority w:val="0"/>
    <w:rPr>
      <w:rFonts w:ascii="Times New Roman" w:hAnsi="Times New Roman"/>
      <w:sz w:val="30"/>
      <w:szCs w:val="24"/>
    </w:rPr>
  </w:style>
  <w:style w:type="paragraph" w:styleId="100">
    <w:name w:val="List Paragraph"/>
    <w:basedOn w:val="1"/>
    <w:autoRedefine/>
    <w:qFormat/>
    <w:uiPriority w:val="0"/>
    <w:pPr>
      <w:ind w:firstLine="420" w:firstLineChars="200"/>
    </w:pPr>
    <w:rPr>
      <w:rFonts w:ascii="Times New Roman" w:hAnsi="Times New Roman"/>
      <w:szCs w:val="20"/>
    </w:rPr>
  </w:style>
  <w:style w:type="paragraph" w:customStyle="1" w:styleId="101">
    <w:name w:val="Blockquote"/>
    <w:basedOn w:val="1"/>
    <w:autoRedefine/>
    <w:qFormat/>
    <w:uiPriority w:val="0"/>
    <w:pPr>
      <w:autoSpaceDE w:val="0"/>
      <w:autoSpaceDN w:val="0"/>
      <w:adjustRightInd w:val="0"/>
      <w:spacing w:before="100" w:beforeLines="0" w:after="100" w:afterLines="0"/>
      <w:ind w:left="360" w:right="360"/>
      <w:jc w:val="left"/>
    </w:pPr>
    <w:rPr>
      <w:rFonts w:ascii="Times New Roman" w:hAnsi="Times New Roman"/>
      <w:kern w:val="0"/>
      <w:sz w:val="24"/>
      <w:szCs w:val="20"/>
    </w:rPr>
  </w:style>
  <w:style w:type="paragraph" w:customStyle="1" w:styleId="102">
    <w:name w:val="公文标题"/>
    <w:basedOn w:val="7"/>
    <w:autoRedefine/>
    <w:qFormat/>
    <w:uiPriority w:val="0"/>
    <w:pPr>
      <w:keepNext/>
      <w:keepLines/>
      <w:widowControl w:val="0"/>
      <w:spacing w:before="0" w:beforeLines="0" w:beforeAutospacing="0" w:after="0" w:afterLines="0" w:afterAutospacing="0"/>
      <w:ind w:left="1469" w:right="1542"/>
    </w:pPr>
    <w:rPr>
      <w:rFonts w:hAnsi="Times New Roman" w:cs="Times New Roman"/>
      <w:b/>
      <w:kern w:val="2"/>
      <w:sz w:val="44"/>
      <w:szCs w:val="21"/>
    </w:rPr>
  </w:style>
  <w:style w:type="paragraph" w:customStyle="1" w:styleId="103">
    <w:name w:val="Char1"/>
    <w:basedOn w:val="1"/>
    <w:autoRedefine/>
    <w:qFormat/>
    <w:uiPriority w:val="0"/>
    <w:pPr>
      <w:numPr>
        <w:ilvl w:val="0"/>
        <w:numId w:val="1"/>
      </w:numPr>
    </w:pPr>
    <w:rPr>
      <w:rFonts w:ascii="Times New Roman" w:hAnsi="Times New Roman"/>
      <w:sz w:val="24"/>
      <w:szCs w:val="24"/>
    </w:rPr>
  </w:style>
  <w:style w:type="paragraph" w:customStyle="1" w:styleId="104">
    <w:name w:val="_Style 102"/>
    <w:autoRedefine/>
    <w:qFormat/>
    <w:uiPriority w:val="0"/>
    <w:rPr>
      <w:rFonts w:ascii="Times New Roman" w:hAnsi="Times New Roman" w:eastAsia="宋体" w:cs="Times New Roman"/>
      <w:kern w:val="2"/>
      <w:sz w:val="21"/>
      <w:lang w:val="en-US" w:eastAsia="zh-CN" w:bidi="ar-SA"/>
    </w:rPr>
  </w:style>
  <w:style w:type="paragraph" w:customStyle="1" w:styleId="105">
    <w:name w:val="Char"/>
    <w:basedOn w:val="1"/>
    <w:autoRedefine/>
    <w:qFormat/>
    <w:uiPriority w:val="0"/>
    <w:rPr>
      <w:rFonts w:ascii="Tahoma" w:hAnsi="Tahoma"/>
      <w:sz w:val="24"/>
      <w:szCs w:val="20"/>
    </w:rPr>
  </w:style>
  <w:style w:type="paragraph" w:customStyle="1" w:styleId="106">
    <w:name w:val="Char Char Char1 Char"/>
    <w:basedOn w:val="15"/>
    <w:autoRedefine/>
    <w:qFormat/>
    <w:uiPriority w:val="0"/>
    <w:rPr>
      <w:rFonts w:ascii="Tahoma" w:hAnsi="Tahoma"/>
      <w:sz w:val="24"/>
      <w:szCs w:val="24"/>
    </w:rPr>
  </w:style>
  <w:style w:type="paragraph" w:customStyle="1" w:styleId="107">
    <w:name w:val="_Style 25"/>
    <w:autoRedefine/>
    <w:qFormat/>
    <w:uiPriority w:val="0"/>
    <w:rPr>
      <w:rFonts w:ascii="Times New Roman" w:hAnsi="Times New Roman" w:eastAsia="宋体" w:cs="Times New Roman"/>
      <w:lang w:val="en-US" w:eastAsia="zh-CN" w:bidi="ar-SA"/>
    </w:rPr>
  </w:style>
  <w:style w:type="paragraph" w:customStyle="1" w:styleId="108">
    <w:name w:val="公文抬头"/>
    <w:basedOn w:val="9"/>
    <w:autoRedefine/>
    <w:qFormat/>
    <w:uiPriority w:val="0"/>
    <w:pPr>
      <w:ind w:firstLine="0"/>
    </w:pPr>
    <w:rPr>
      <w:rFonts w:ascii="仿宋_GB2312" w:eastAsia="仿宋_GB231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8748</Words>
  <Characters>9150</Characters>
  <Lines>57</Lines>
  <Paragraphs>16</Paragraphs>
  <TotalTime>25</TotalTime>
  <ScaleCrop>false</ScaleCrop>
  <LinksUpToDate>false</LinksUpToDate>
  <CharactersWithSpaces>9594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2022-07-05T09:21:00Z</dcterms:created>
  <dc:creator>管理员</dc:creator>
  <cp:lastModifiedBy>Administrator</cp:lastModifiedBy>
  <cp:lastPrinted>2022-08-17T06:41:00Z</cp:lastPrinted>
  <dcterms:modified xsi:type="dcterms:W3CDTF">2024-02-04T02:58:04Z</dcterms:modified>
  <dc:title>黄埔区创新大道北（均和-广河高速段）建设工程（非EPC部分）施工总承包招标公告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6B0BE31A651E4021874DE92F9008DB95_13</vt:lpwstr>
  </property>
</Properties>
</file>