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F3" w:rsidRDefault="004962AC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设计任务书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一、项目概况：</w:t>
      </w:r>
    </w:p>
    <w:p w:rsidR="009077F3" w:rsidRDefault="004962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项目背景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月份中共广州市委外事工作委员会审定印发《广州市国际化街区试点建设名单》，广州设计之都街区被列为白云区国际化试点街区。根据《广州设计之都国际化街区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工作计划》安排，为更好的提升项目品质，打造设计之都品牌价值，由广州市白云城市开发投资集团有限公司（下称白云城投）对广州设计之都中区（主要范围为黄边村留用地项目范围的园区内部干路、支路进行街道特色和文化氛围打造，进一步提升设计之都园区沿路景观设施、绿化配植、兼顾街道步行者的视觉感受。</w:t>
      </w:r>
      <w:bookmarkStart w:id="0" w:name="_GoBack"/>
      <w:bookmarkEnd w:id="0"/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</w:t>
      </w:r>
      <w:r>
        <w:rPr>
          <w:rFonts w:ascii="宋体" w:hAnsi="宋体" w:cs="宋体" w:hint="eastAsia"/>
          <w:sz w:val="24"/>
        </w:rPr>
        <w:t>位于白云区鹤龙街空港大道以西，黄边北路以南，云启路以东，鹤龙东路以北，距离地铁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号线黄边站</w:t>
      </w:r>
      <w:r>
        <w:rPr>
          <w:rFonts w:ascii="宋体" w:hAnsi="宋体" w:cs="宋体" w:hint="eastAsia"/>
          <w:sz w:val="24"/>
        </w:rPr>
        <w:t>50</w:t>
      </w:r>
      <w:r>
        <w:rPr>
          <w:rFonts w:ascii="宋体" w:hAnsi="宋体" w:cs="宋体" w:hint="eastAsia"/>
          <w:sz w:val="24"/>
        </w:rPr>
        <w:t>米，属于广州设计之都中区一期启动区，地块包含国有出让用地和黄边村留用地。经现场调查，设计之都中区一期已建设完成并投入使用，由于现状道路交通及市政基础设施已无法满足园区运营需求，因此本项目建设十分紧迫。</w:t>
      </w:r>
    </w:p>
    <w:p w:rsidR="009077F3" w:rsidRDefault="004962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项目范围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本项目主要改造范围：北至黄边北路，南至鹤瑞路，西至黄边二横路，东至广云路，总面积约为</w:t>
      </w:r>
      <w:r>
        <w:rPr>
          <w:rFonts w:ascii="宋体" w:hAnsi="宋体" w:cs="宋体" w:hint="eastAsia"/>
          <w:sz w:val="24"/>
        </w:rPr>
        <w:t>14.7</w:t>
      </w:r>
      <w:r>
        <w:rPr>
          <w:rFonts w:ascii="宋体" w:hAnsi="宋体" w:cs="宋体" w:hint="eastAsia"/>
          <w:sz w:val="24"/>
        </w:rPr>
        <w:t>公顷。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宋体" w:hAnsi="宋体" w:cs="宋体"/>
          <w:sz w:val="24"/>
        </w:rPr>
      </w:pPr>
      <w:r>
        <w:rPr>
          <w:rFonts w:ascii="宋体" w:hAnsi="宋体"/>
          <w:noProof/>
        </w:rPr>
        <w:drawing>
          <wp:inline distT="0" distB="0" distL="0" distR="0">
            <wp:extent cx="5274310" cy="1819910"/>
            <wp:effectExtent l="0" t="0" r="2540" b="8890"/>
            <wp:docPr id="1750" name="图片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图片 1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项目范围图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主要建设内容包括：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本次工作围绕“精细化、品质化、标准化”的设计目标，充分借鉴国</w:t>
      </w:r>
      <w:r>
        <w:rPr>
          <w:rFonts w:ascii="宋体" w:hAnsi="宋体" w:cs="宋体" w:hint="eastAsia"/>
          <w:sz w:val="24"/>
        </w:rPr>
        <w:t>内外相关城市的发展经验，以国际化街区建设为契机，以广州设计之都整体规划为导向。梳理广州设计之都公共开敞空间、建筑、环境建设</w:t>
      </w:r>
      <w:r>
        <w:rPr>
          <w:rFonts w:ascii="宋体" w:hAnsi="宋体" w:cs="宋体" w:hint="eastAsia"/>
          <w:sz w:val="24"/>
        </w:rPr>
        <w:lastRenderedPageBreak/>
        <w:t>问题，遵循高质量发展的理念，以人们获得更多幸福感为核心，对现有空间、环境与设施进行研究，充分挖掘城市文化底蕴，提升重要城市节点，打造广州市高标准国际化示范街区。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Times New Roman" w:hAnsi="Times New Roman" w:cs="Times New Roman"/>
          <w:sz w:val="24"/>
        </w:rPr>
        <w:t>本项目建设</w:t>
      </w:r>
      <w:r>
        <w:rPr>
          <w:rFonts w:ascii="Times New Roman" w:hAnsi="Times New Roman" w:cs="Times New Roman" w:hint="eastAsia"/>
          <w:sz w:val="24"/>
        </w:rPr>
        <w:t>总投资为</w:t>
      </w:r>
      <w:r>
        <w:rPr>
          <w:rFonts w:ascii="Times New Roman" w:hAnsi="Times New Roman" w:cs="Times New Roman" w:hint="eastAsia"/>
          <w:sz w:val="24"/>
        </w:rPr>
        <w:t xml:space="preserve"> 4700.00</w:t>
      </w:r>
      <w:r>
        <w:rPr>
          <w:rFonts w:ascii="Times New Roman" w:hAnsi="Times New Roman" w:cs="Times New Roman" w:hint="eastAsia"/>
          <w:sz w:val="24"/>
        </w:rPr>
        <w:t>万元，其中建安费为</w:t>
      </w:r>
      <w:r>
        <w:rPr>
          <w:rFonts w:ascii="Times New Roman" w:hAnsi="Times New Roman" w:cs="Times New Roman" w:hint="eastAsia"/>
          <w:sz w:val="24"/>
        </w:rPr>
        <w:t>3700.00</w:t>
      </w:r>
      <w:r>
        <w:rPr>
          <w:rFonts w:ascii="Times New Roman" w:hAnsi="Times New Roman" w:cs="Times New Roman" w:hint="eastAsia"/>
          <w:sz w:val="24"/>
        </w:rPr>
        <w:t>万</w:t>
      </w:r>
      <w:r>
        <w:rPr>
          <w:rFonts w:ascii="Times New Roman" w:hAnsi="Times New Roman" w:cs="Times New Roman" w:hint="eastAsia"/>
          <w:sz w:val="24"/>
        </w:rPr>
        <w:t>元</w:t>
      </w:r>
    </w:p>
    <w:p w:rsidR="009077F3" w:rsidRDefault="004962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资金来源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资金来源为企业自有资金。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二、设计依据：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、本设计任务书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、建设单位提供的基础资料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、国家、行业以及地方现行有效的相关法律法规、规范标准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《中华人民共和国城乡规划法》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《广东省城乡规划条例》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《广州市城乡规划程序规定》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《广州市城乡规划技术规定》等法律、法规和规范性文件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《公园设计规范》</w:t>
      </w:r>
      <w:r>
        <w:rPr>
          <w:rFonts w:ascii="宋体" w:hAnsi="宋体" w:cs="宋体" w:hint="eastAsia"/>
          <w:sz w:val="24"/>
        </w:rPr>
        <w:t>GB51192-2016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《无障碍设计规范》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GB 50763-2012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《城市道路交叉口设计规程》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CJJ 152-2010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《广州市城市道路全要素设计手册》；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《广州市城市家具建设指引》</w:t>
      </w:r>
      <w:r>
        <w:rPr>
          <w:rFonts w:ascii="宋体" w:hAnsi="宋体" w:cs="宋体" w:hint="eastAsia"/>
          <w:sz w:val="24"/>
        </w:rPr>
        <w:t>2020.12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《路面标线涂料》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JT/T 280-2022 )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《广州市绿化条例》</w:t>
      </w:r>
      <w:r>
        <w:rPr>
          <w:rFonts w:ascii="宋体" w:hAnsi="宋体" w:cs="宋体" w:hint="eastAsia"/>
          <w:sz w:val="24"/>
        </w:rPr>
        <w:t>(2022</w:t>
      </w:r>
      <w:r>
        <w:rPr>
          <w:rFonts w:ascii="宋体" w:hAnsi="宋体" w:cs="宋体" w:hint="eastAsia"/>
          <w:sz w:val="24"/>
        </w:rPr>
        <w:t>年修订</w:t>
      </w:r>
      <w:r>
        <w:rPr>
          <w:rFonts w:ascii="宋体" w:hAnsi="宋体" w:cs="宋体" w:hint="eastAsia"/>
          <w:sz w:val="24"/>
        </w:rPr>
        <w:t>)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《城市道路绿化规划与设计规范》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CJJ 75-1997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《园林绿化工程施工及验收规范》</w:t>
      </w:r>
      <w:r>
        <w:rPr>
          <w:rFonts w:ascii="宋体" w:hAnsi="宋体" w:cs="宋体" w:hint="eastAsia"/>
          <w:sz w:val="24"/>
        </w:rPr>
        <w:t>(CJJ 82-2012)</w:t>
      </w:r>
      <w:r>
        <w:rPr>
          <w:rFonts w:ascii="宋体" w:hAnsi="宋体" w:cs="宋体" w:hint="eastAsia"/>
          <w:sz w:val="24"/>
        </w:rPr>
        <w:t>；</w:t>
      </w:r>
    </w:p>
    <w:p w:rsidR="009077F3" w:rsidRDefault="004962AC">
      <w:pPr>
        <w:pStyle w:val="af2"/>
        <w:numPr>
          <w:ilvl w:val="0"/>
          <w:numId w:val="3"/>
        </w:numPr>
        <w:spacing w:line="360" w:lineRule="auto"/>
        <w:ind w:left="0" w:right="280" w:firstLineChars="267" w:firstLine="6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国家、广东省和广州市的有关政策、法规。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其它现行国家、行业、地方法律法规及标准。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三、设计原则：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整体设计方案应满足国家和省、市有关建设方针、政策、规范、规程，街区规划景观节点布置合理，符合设计标准、质量要求，满足项目的使用功能和便于维护管理的要求。设计应充分考虑当地的自然环境，如地形、气候、水文等条件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lastRenderedPageBreak/>
        <w:t>兼顾功能性和美观性。在满足基本的景观功能的同时，通过绿化配置、照明设计等方式，提升街区的美观度。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四、建设内容：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（一）主要建设内容</w:t>
      </w:r>
    </w:p>
    <w:p w:rsidR="009077F3" w:rsidRDefault="004962AC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本项目主要包含总体策划方案、街区品质提升方案两大内容。具体工作内容如下：</w:t>
      </w:r>
    </w:p>
    <w:p w:rsidR="009077F3" w:rsidRDefault="004962AC">
      <w:pPr>
        <w:pStyle w:val="af2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总体策划方案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深入研究规划地段的区位、交通条件、景观资源和人的活动需求，从有利于提高城市整体空间质量、保持城市活力、促进资源共享的角度出发，利用相应的技术手段进行空间形态分布、目标人群、优势资源等分析，对街区空间结构进行梳理，对比国际著名街区的空间环境，进行街区定位策划、功能布局、空间引导及上位规划情况，突出城市特色塑造及街区空间的重塑。</w:t>
      </w:r>
    </w:p>
    <w:p w:rsidR="009077F3" w:rsidRDefault="004962AC">
      <w:pPr>
        <w:pStyle w:val="2"/>
        <w:numPr>
          <w:ilvl w:val="0"/>
          <w:numId w:val="5"/>
        </w:numPr>
        <w:spacing w:line="360" w:lineRule="auto"/>
        <w:ind w:left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景观功能优化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研究上位规划的成果，提出总体策划目标，并对基地进行详细的摸查，梳理街区内景观及环境</w:t>
      </w:r>
      <w:r>
        <w:rPr>
          <w:rFonts w:ascii="宋体" w:hAnsi="宋体" w:cs="宋体" w:hint="eastAsia"/>
          <w:sz w:val="24"/>
        </w:rPr>
        <w:t>提升项目库。</w:t>
      </w:r>
    </w:p>
    <w:p w:rsidR="009077F3" w:rsidRDefault="004962AC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提出空间优化指引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划定街区空间优化范围，提出更新目标与原则，规范停车位，活化步道空间，增设绿色弹性空间。</w:t>
      </w:r>
    </w:p>
    <w:p w:rsidR="009077F3" w:rsidRDefault="004962AC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绿化空间提升指引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践行生态文明理念，结合场地问题特色，提出适合本项目的具有可行性的整体设计构思及定位，开展街区绿化美化工作。</w:t>
      </w:r>
    </w:p>
    <w:p w:rsidR="009077F3" w:rsidRDefault="004962AC">
      <w:pPr>
        <w:pStyle w:val="2"/>
        <w:numPr>
          <w:ilvl w:val="0"/>
          <w:numId w:val="5"/>
        </w:numPr>
        <w:spacing w:line="360" w:lineRule="auto"/>
        <w:ind w:left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提出建设时序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按照整体策划情况，提出合理建设时序，指导实施方案及工程施工有序推进。</w:t>
      </w:r>
    </w:p>
    <w:p w:rsidR="009077F3" w:rsidRDefault="004962AC">
      <w:pPr>
        <w:pStyle w:val="2"/>
        <w:numPr>
          <w:ilvl w:val="0"/>
          <w:numId w:val="5"/>
        </w:numPr>
        <w:spacing w:line="360" w:lineRule="auto"/>
        <w:ind w:left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制定统筹保障机制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按照各职能部门责任，划定各自实施范围，提出建设、设计、实施等各单位的责任分工，保障项目落地实施。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街区环境品质提升工程设计方案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结合总体策划方案的要求，对街区现状摸查的基础上，进行详细设计，以指导下一步工程实施。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1</w:t>
      </w:r>
      <w:r>
        <w:rPr>
          <w:rFonts w:ascii="宋体" w:hAnsi="宋体" w:cs="宋体" w:hint="eastAsia"/>
          <w:b/>
          <w:bCs/>
          <w:sz w:val="24"/>
        </w:rPr>
        <w:t>）总体方案</w:t>
      </w:r>
    </w:p>
    <w:p w:rsidR="009077F3" w:rsidRDefault="004962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明确街区建设策略与提升要求，制定品质提升项目。建设内容含</w:t>
      </w:r>
      <w:r>
        <w:rPr>
          <w:rFonts w:ascii="宋体" w:hAnsi="宋体" w:cs="宋体" w:hint="eastAsia"/>
          <w:bCs/>
          <w:sz w:val="24"/>
        </w:rPr>
        <w:t>地下空间标识系统设计（含智慧停车系统）</w:t>
      </w:r>
      <w:r>
        <w:rPr>
          <w:rFonts w:ascii="宋体" w:hAnsi="宋体" w:cs="宋体" w:hint="eastAsia"/>
          <w:sz w:val="24"/>
        </w:rPr>
        <w:t>、园区外围非机动车划线及设置止车桩工程、南塔大堂门口水景升级工程、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区室外垃圾收集点立面提升工程、新建街区慢跑道工程、）新建两处篮球场、羽毛球场工程、园区内新建运动光电运动设施工程、园区内新建可移动城市家具工程、黄边地铁</w:t>
      </w: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出口广场景观提升工程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设计之都一期警务室</w:t>
      </w:r>
      <w:r>
        <w:rPr>
          <w:rFonts w:ascii="宋体" w:hAnsi="宋体" w:cs="宋体" w:hint="eastAsia"/>
          <w:sz w:val="24"/>
        </w:rPr>
        <w:t>等。具体落实情况按现场指示。</w:t>
      </w:r>
    </w:p>
    <w:p w:rsidR="009077F3" w:rsidRDefault="004962AC">
      <w:pPr>
        <w:pStyle w:val="2"/>
        <w:spacing w:line="360" w:lineRule="auto"/>
        <w:ind w:leftChars="0" w:left="0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）节点设计方案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梳理整体开敞空间风格，分析城市天际线，及特色产业功能区，对重要节点分类设计不同材料及色彩改造方案，根据街道的尺度、性质，设计城市界面等构成要素，以展示国际化街区为目标，完善空间界面更新方案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</w:p>
    <w:p w:rsidR="009077F3" w:rsidRDefault="004962AC">
      <w:pPr>
        <w:pStyle w:val="2"/>
        <w:spacing w:line="360" w:lineRule="auto"/>
        <w:ind w:leftChars="0" w:left="0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）工程投资测算及效益评估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提出建设计划，并对近期建设工程进行初步投资估算，同时进行包括经济、社会和环境等综合效益的评估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六、工程设计技术要求：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（一）基本原则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、本项目为限额设计。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、各阶段、各专业的图纸必须符合国家现行的技术规范及标准要求，对施工图有指导意义，可作为施工图的设计依据。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、应遵循适用、实用和</w:t>
      </w:r>
      <w:r>
        <w:rPr>
          <w:rFonts w:ascii="宋体" w:hAnsi="宋体" w:cs="宋体" w:hint="eastAsia"/>
          <w:sz w:val="24"/>
        </w:rPr>
        <w:t>美观的原则，并且具有可实施性和较好的经济性。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、设计选用的材料应满足环保、易清洁、易保养、造价合理等的要求。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七、成果要求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计成果包括但不限于：总体策划方案、街区环境品质提升设计方案包括汇报文件、规划文本（含效果图）、施工图设计、施工图预算编制等。上述成果由承接单位以纸质文件、计算机文件两种形式提供，具体如下：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）汇报文件、规划文本规格以</w:t>
      </w:r>
      <w:r>
        <w:rPr>
          <w:rFonts w:ascii="宋体" w:hAnsi="宋体" w:cs="宋体" w:hint="eastAsia"/>
          <w:sz w:val="24"/>
        </w:rPr>
        <w:t>A3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297mm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420mm</w:t>
      </w:r>
      <w:r>
        <w:rPr>
          <w:rFonts w:ascii="宋体" w:hAnsi="宋体" w:cs="宋体" w:hint="eastAsia"/>
          <w:sz w:val="24"/>
        </w:rPr>
        <w:t>）为主，相关图件规格根据表达需要合理确定，力求清晰、完整，标注齐全、准确，同类图纸规格尽量统一。文本和图件合订为一本完整的书面成果，最终成果提供纸质文件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份。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）计算机文件以光盘形式提供，其中说明文件采用</w:t>
      </w:r>
      <w:r>
        <w:rPr>
          <w:rFonts w:ascii="宋体" w:hAnsi="宋体" w:cs="宋体" w:hint="eastAsia"/>
          <w:sz w:val="24"/>
        </w:rPr>
        <w:t>Microsoft word2007</w:t>
      </w:r>
      <w:r>
        <w:rPr>
          <w:rFonts w:ascii="宋体" w:hAnsi="宋体" w:cs="宋体" w:hint="eastAsia"/>
          <w:sz w:val="24"/>
        </w:rPr>
        <w:lastRenderedPageBreak/>
        <w:t>的</w:t>
      </w:r>
      <w:r>
        <w:rPr>
          <w:rFonts w:ascii="宋体" w:hAnsi="宋体" w:cs="宋体" w:hint="eastAsia"/>
          <w:sz w:val="24"/>
        </w:rPr>
        <w:t>doc</w:t>
      </w:r>
      <w:r>
        <w:rPr>
          <w:rFonts w:ascii="宋体" w:hAnsi="宋体" w:cs="宋体" w:hint="eastAsia"/>
          <w:sz w:val="24"/>
        </w:rPr>
        <w:t>格式文件，图形文件按组织编制单位要求格式提供，最终成提供光盘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份。</w:t>
      </w:r>
    </w:p>
    <w:p w:rsidR="009077F3" w:rsidRDefault="004962A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各专业建设标准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）地下空间标识系统设计（含智慧停车系统）（应包括但不限于以下内容）：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地空公共空间使用情况，全面考虑使用者需求，系统地规划标识的位置、内容设计、形式选择、材料等，打造出科学合理、使用美观的标识系统，为设计之都地下空间的用户提供便捷、安全、高效的导向和指示服务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）园区外围非机动车划线及设置止车桩设计（应包括但不限于以下内容）：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为规划园区外围的非机动车停放，需要进行划线设计。根据现状非机动车的数量和停放需求，合理规划非机动车停车区的位置、尺寸和数量。同时确保划线清晰、规划、易于辨识。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sz w:val="24"/>
        </w:rPr>
        <w:t>南塔大堂门口水景升级设计：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水景观提升是水景升级工程的重要组成部分，主要包括以</w:t>
      </w:r>
      <w:r>
        <w:rPr>
          <w:rFonts w:ascii="宋体" w:hAnsi="宋体" w:cs="宋体" w:hint="eastAsia"/>
          <w:sz w:val="24"/>
        </w:rPr>
        <w:t>下几个方面：根据周围环境和文化特色，设计出具有特色的水景，提高景观效果。在水景周围种植适合的水生植物，增强水景的绿化效果，提高水体的自净能力。利用灯光效果营造出优美的水景氛围，提高景观的观赏性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区室外垃圾收集点立面提升设计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垃圾收集点作为公共设施，应考虑将其与周围环境相融合，设计时，应采用简洁、大方的风格，避免过多的装饰，以突出其实用性。同时，颜色选择也应考虑与周围环境的协调性，以增强整体美感。功能布局是垃圾收集点立面提升设计的核心。应充分考虑各类垃圾的收集需求，合理设置垃圾桶的位置和种类。同时，</w:t>
      </w:r>
      <w:r>
        <w:rPr>
          <w:rFonts w:ascii="宋体" w:hAnsi="宋体" w:cs="宋体" w:hint="eastAsia"/>
          <w:sz w:val="24"/>
        </w:rPr>
        <w:t>应注重人性化设计，如设置便于轮椅使用的设施，提供夜间照明等。垃圾收集点需要经受住各种恶劣环境条件的考验，因此，其立面的材料选择和结构设计应充分考虑耐用性。应选择耐腐蚀、抗磨损的材料，并合理设计结构，以增强整体稳定性。同时，应定期进行维护和保养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）新建街区慢跑道设计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根据街区规模和设计需求，园区内选址新建一条</w:t>
      </w:r>
      <w:r>
        <w:rPr>
          <w:rFonts w:ascii="宋体" w:hAnsi="宋体" w:cs="宋体" w:hint="eastAsia"/>
          <w:sz w:val="24"/>
        </w:rPr>
        <w:t>1.5</w:t>
      </w:r>
      <w:r>
        <w:rPr>
          <w:rFonts w:ascii="宋体" w:hAnsi="宋体" w:cs="宋体" w:hint="eastAsia"/>
          <w:sz w:val="24"/>
        </w:rPr>
        <w:t>米宽跑道。跑道路面材料应选择防滑、耐磨、抗冲击的材料，如塑胶、沥青等，以提高跑道的使用寿命</w:t>
      </w:r>
      <w:r>
        <w:rPr>
          <w:rFonts w:ascii="宋体" w:hAnsi="宋体" w:cs="宋体" w:hint="eastAsia"/>
          <w:sz w:val="24"/>
        </w:rPr>
        <w:lastRenderedPageBreak/>
        <w:t>和安全性。跑道选择易于辨识的颜色，便于慢跑者保持视觉舒适和识别。根据街区的地形地貌，合理设计坡度，使慢</w:t>
      </w:r>
      <w:r>
        <w:rPr>
          <w:rFonts w:ascii="宋体" w:hAnsi="宋体" w:cs="宋体" w:hint="eastAsia"/>
          <w:sz w:val="24"/>
        </w:rPr>
        <w:t>跑者在运动过程中能够适时调整跑步节奏。在跑道沿线设置休息区、无障碍通道和设施，提供座椅、饮水设备等设施，方便慢跑者休息。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）新建两处篮球场、羽毛球场设计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新建篮球场：标准篮球场尺寸为长</w:t>
      </w:r>
      <w:r>
        <w:rPr>
          <w:rFonts w:ascii="宋体" w:hAnsi="宋体" w:cs="宋体" w:hint="eastAsia"/>
          <w:sz w:val="24"/>
        </w:rPr>
        <w:t>28</w:t>
      </w:r>
      <w:r>
        <w:rPr>
          <w:rFonts w:ascii="宋体" w:hAnsi="宋体" w:cs="宋体" w:hint="eastAsia"/>
          <w:sz w:val="24"/>
        </w:rPr>
        <w:t>米，宽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米，总面积为</w:t>
      </w:r>
      <w:r>
        <w:rPr>
          <w:rFonts w:ascii="宋体" w:hAnsi="宋体" w:cs="宋体" w:hint="eastAsia"/>
          <w:sz w:val="24"/>
        </w:rPr>
        <w:t>420</w:t>
      </w:r>
      <w:r>
        <w:rPr>
          <w:rFonts w:ascii="宋体" w:hAnsi="宋体" w:cs="宋体" w:hint="eastAsia"/>
          <w:sz w:val="24"/>
        </w:rPr>
        <w:t>平方米。考虑缓冲区，场地面积可适当增加。地面材料应选用抗滑、耐磨、有弹性的材料，如专业篮球地垫或丙烯酸涂料等。保证球员在快速移动时的安全。根据国际篮球联合会（</w:t>
      </w:r>
      <w:r>
        <w:rPr>
          <w:rFonts w:ascii="宋体" w:hAnsi="宋体" w:cs="宋体" w:hint="eastAsia"/>
          <w:sz w:val="24"/>
        </w:rPr>
        <w:t>FIBA</w:t>
      </w:r>
      <w:r>
        <w:rPr>
          <w:rFonts w:ascii="宋体" w:hAnsi="宋体" w:cs="宋体" w:hint="eastAsia"/>
          <w:sz w:val="24"/>
        </w:rPr>
        <w:t>）标准，安装标准高度的篮球架，便于球员投篮和训练。设置适当的照明系统，保证比赛和训练时的视线清晰。同时，在场边配备急救箱和安全</w:t>
      </w:r>
      <w:r>
        <w:rPr>
          <w:rFonts w:ascii="宋体" w:hAnsi="宋体" w:cs="宋体" w:hint="eastAsia"/>
          <w:sz w:val="24"/>
        </w:rPr>
        <w:t>围网。</w:t>
      </w:r>
    </w:p>
    <w:p w:rsidR="009077F3" w:rsidRDefault="004962A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新建羽毛球场：标准羽毛球场尺寸为长</w:t>
      </w:r>
      <w:r>
        <w:rPr>
          <w:rFonts w:ascii="宋体" w:hAnsi="宋体" w:cs="宋体" w:hint="eastAsia"/>
          <w:sz w:val="24"/>
        </w:rPr>
        <w:t>13.40</w:t>
      </w:r>
      <w:r>
        <w:rPr>
          <w:rFonts w:ascii="宋体" w:hAnsi="宋体" w:cs="宋体" w:hint="eastAsia"/>
          <w:sz w:val="24"/>
        </w:rPr>
        <w:t>米，宽</w:t>
      </w:r>
      <w:r>
        <w:rPr>
          <w:rFonts w:ascii="宋体" w:hAnsi="宋体" w:cs="宋体" w:hint="eastAsia"/>
          <w:sz w:val="24"/>
        </w:rPr>
        <w:t>6.10</w:t>
      </w:r>
      <w:r>
        <w:rPr>
          <w:rFonts w:ascii="宋体" w:hAnsi="宋体" w:cs="宋体" w:hint="eastAsia"/>
          <w:sz w:val="24"/>
        </w:rPr>
        <w:t>米，双打场地宽为</w:t>
      </w:r>
      <w:r>
        <w:rPr>
          <w:rFonts w:ascii="宋体" w:hAnsi="宋体" w:cs="宋体" w:hint="eastAsia"/>
          <w:sz w:val="24"/>
        </w:rPr>
        <w:t>6.73</w:t>
      </w:r>
      <w:r>
        <w:rPr>
          <w:rFonts w:ascii="宋体" w:hAnsi="宋体" w:cs="宋体" w:hint="eastAsia"/>
          <w:sz w:val="24"/>
        </w:rPr>
        <w:t>米，单打场地宽为</w:t>
      </w:r>
      <w:r>
        <w:rPr>
          <w:rFonts w:ascii="宋体" w:hAnsi="宋体" w:cs="宋体" w:hint="eastAsia"/>
          <w:sz w:val="24"/>
        </w:rPr>
        <w:t>5.50</w:t>
      </w:r>
      <w:r>
        <w:rPr>
          <w:rFonts w:ascii="宋体" w:hAnsi="宋体" w:cs="宋体" w:hint="eastAsia"/>
          <w:sz w:val="24"/>
        </w:rPr>
        <w:t>米。考虑到缓冲区，场地面积可适当增加。地面应选用有弹性的材料，如木地板或专业羽毛球地垫。保证球员在快速移动时的稳定性和安全性。安装标准高度的网柱，便于拉网和比赛进行。根据国际羽毛球联合会（</w:t>
      </w:r>
      <w:r>
        <w:rPr>
          <w:rFonts w:ascii="宋体" w:hAnsi="宋体" w:cs="宋体" w:hint="eastAsia"/>
          <w:sz w:val="24"/>
        </w:rPr>
        <w:t>IBF</w:t>
      </w:r>
      <w:r>
        <w:rPr>
          <w:rFonts w:ascii="宋体" w:hAnsi="宋体" w:cs="宋体" w:hint="eastAsia"/>
          <w:sz w:val="24"/>
        </w:rPr>
        <w:t>）标准，选择合适的羽毛球和球网。设置适当的照明系统，确保比赛和训练时的视线清晰。同时，保持场地良好的通风环境，避免球员因高温而影响比赛表现。在羽毛球场周围设置休息区，提供座椅、饮水设备等设施，方便球员休息</w:t>
      </w:r>
      <w:r>
        <w:rPr>
          <w:rFonts w:ascii="宋体" w:hAnsi="宋体" w:cs="宋体" w:hint="eastAsia"/>
          <w:sz w:val="24"/>
        </w:rPr>
        <w:t>。同时考虑设置更衣室，便于球员更换装备和存放物品。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）园区内新建光电运动设施设计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园区内购置光电运动设施，并配备场地、绿化、</w:t>
      </w:r>
      <w:r>
        <w:rPr>
          <w:rFonts w:ascii="宋体" w:hAnsi="宋体" w:cs="宋体"/>
          <w:sz w:val="24"/>
        </w:rPr>
        <w:t>电源及供电系统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安全保护装置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环境监控系统</w:t>
      </w:r>
      <w:r>
        <w:rPr>
          <w:rFonts w:ascii="宋体" w:hAnsi="宋体" w:cs="宋体" w:hint="eastAsia"/>
          <w:sz w:val="24"/>
        </w:rPr>
        <w:t>等，根据光电运动设施的使用情况进行数据收集、用户分析等。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）园区内新建可移动城市家具设计</w:t>
      </w:r>
    </w:p>
    <w:p w:rsidR="009077F3" w:rsidRDefault="004962AC">
      <w:pPr>
        <w:pStyle w:val="2"/>
        <w:spacing w:line="360" w:lineRule="auto"/>
        <w:ind w:leftChars="0" w:left="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园区内新设置一批设计精良、功能齐全、方便移动和安装的家具产品，旨在为城市公共空间提供实用的设施。</w:t>
      </w:r>
      <w:r>
        <w:rPr>
          <w:rFonts w:ascii="宋体" w:hAnsi="宋体" w:cs="宋体"/>
          <w:sz w:val="24"/>
        </w:rPr>
        <w:t>可移动城市家具种类繁多</w:t>
      </w:r>
      <w:r>
        <w:rPr>
          <w:rFonts w:ascii="宋体" w:hAnsi="宋体" w:cs="宋体" w:hint="eastAsia"/>
          <w:sz w:val="24"/>
        </w:rPr>
        <w:t>，将为设计之都提供</w:t>
      </w:r>
      <w:r>
        <w:rPr>
          <w:rFonts w:ascii="宋体" w:hAnsi="宋体" w:cs="宋体"/>
          <w:sz w:val="24"/>
        </w:rPr>
        <w:t>座椅</w:t>
      </w:r>
      <w:r>
        <w:rPr>
          <w:rFonts w:ascii="宋体" w:hAnsi="宋体" w:cs="宋体" w:hint="eastAsia"/>
          <w:sz w:val="24"/>
        </w:rPr>
        <w:t>、桌子、</w:t>
      </w:r>
      <w:r>
        <w:rPr>
          <w:rFonts w:ascii="宋体" w:hAnsi="宋体" w:cs="宋体"/>
          <w:sz w:val="24"/>
        </w:rPr>
        <w:t>灯具</w:t>
      </w:r>
      <w:r>
        <w:rPr>
          <w:rFonts w:ascii="宋体" w:hAnsi="宋体" w:cs="宋体" w:hint="eastAsia"/>
          <w:sz w:val="24"/>
        </w:rPr>
        <w:t>等设施，根据园区使用者的习惯和反馈进行调整和循环使用。这些家具产品通过合理的规划和布局，可以提升</w:t>
      </w:r>
      <w:r>
        <w:rPr>
          <w:rFonts w:ascii="宋体" w:hAnsi="宋体" w:cs="宋体" w:hint="eastAsia"/>
          <w:sz w:val="24"/>
        </w:rPr>
        <w:t>城市的美观度，增强市民的归属感和幸福感。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lastRenderedPageBreak/>
        <w:t>（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黄边地铁</w:t>
      </w: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出口广场景观提升</w:t>
      </w:r>
      <w:r>
        <w:rPr>
          <w:rFonts w:ascii="宋体" w:hAnsi="宋体" w:cs="宋体" w:hint="eastAsia"/>
          <w:bCs/>
          <w:sz w:val="24"/>
        </w:rPr>
        <w:t>设计（应包括但不限于以下内容）：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该项目的目标是改善广场的景观环境，提升其美观度和舒适度，为市民和游客提供一个更好的公共空间。该广场的提升工程包括以下五个方面。绿化景观改造：增加绿化植被，优化植物配置，提升广场的绿化覆盖率和景观效果。可以包括种植花卉、灌木、乔木等植物，以及设置花坛、草坪等绿化景观。铺装改造：对广场的地面铺装进行改造，采用美观、耐用的材料，提升广场的整体质感。可以包括铺设石材、地砖、防腐木等材料。照明改造：增加和优化广场的照明设施，提高广场的亮度和夜间景观效果。可以包括设置路灯、地灯、景观灯等照明设施。公共设施改造：增加和完</w:t>
      </w:r>
      <w:r>
        <w:rPr>
          <w:rFonts w:ascii="宋体" w:hAnsi="宋体" w:cs="宋体" w:hint="eastAsia"/>
          <w:sz w:val="24"/>
        </w:rPr>
        <w:t>善广场的公共设施，提供市民和游客便捷的服务。可以包括设置座椅、垃圾桶、信息牌等公共设施。艺术装饰：通过添加雕塑、壁画等艺术装饰，提升广场的文化氛围和艺术品质。</w:t>
      </w:r>
    </w:p>
    <w:p w:rsidR="009077F3" w:rsidRDefault="004962AC">
      <w:pPr>
        <w:pStyle w:val="2"/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）设计之都警务室的</w:t>
      </w:r>
      <w:r>
        <w:rPr>
          <w:rFonts w:ascii="宋体" w:hAnsi="宋体" w:cs="宋体" w:hint="eastAsia"/>
          <w:bCs/>
          <w:sz w:val="24"/>
        </w:rPr>
        <w:t>相关设计</w:t>
      </w:r>
      <w:r>
        <w:rPr>
          <w:rFonts w:ascii="宋体" w:hAnsi="宋体" w:cs="宋体" w:hint="eastAsia"/>
          <w:sz w:val="24"/>
        </w:rPr>
        <w:t>。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11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bCs/>
          <w:sz w:val="24"/>
        </w:rPr>
        <w:t>海绵城市相关设计（应包括但不限于以下内容）：</w:t>
      </w:r>
    </w:p>
    <w:p w:rsidR="009077F3" w:rsidRDefault="004962A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符合广州市白云区海绵城市建设的要求。</w:t>
      </w:r>
    </w:p>
    <w:p w:rsidR="009077F3" w:rsidRDefault="004962AC">
      <w:pPr>
        <w:numPr>
          <w:ilvl w:val="255"/>
          <w:numId w:val="0"/>
        </w:numPr>
        <w:spacing w:line="360" w:lineRule="auto"/>
        <w:ind w:left="426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（三）现场施工服务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）对施工前的设计问题进行跟踪、修改（含施工图技术交底和现场服务）；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）材料定版，苗木采购；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）按时参加定期举行的例会和专题会议，确保有关工程依照施工图执行，对施工中的设计问题进行跟踪，原则上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日内提出调整意见；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）配合变更设计出图及流程审查；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）配合竣工图编制；</w:t>
      </w:r>
    </w:p>
    <w:p w:rsidR="009077F3" w:rsidRDefault="004962AC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）参加竣工验收，进行效果确认。</w:t>
      </w:r>
    </w:p>
    <w:p w:rsidR="009077F3" w:rsidRDefault="004962A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八、工期计划</w:t>
      </w:r>
    </w:p>
    <w:tbl>
      <w:tblPr>
        <w:tblW w:w="822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48"/>
        <w:gridCol w:w="2724"/>
        <w:gridCol w:w="2099"/>
      </w:tblGrid>
      <w:tr w:rsidR="009077F3">
        <w:trPr>
          <w:trHeight w:val="381"/>
        </w:trPr>
        <w:tc>
          <w:tcPr>
            <w:tcW w:w="851" w:type="dxa"/>
            <w:shd w:val="clear" w:color="auto" w:fill="9FD3A4" w:themeFill="background1" w:themeFillShade="D9"/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spacing w:val="1"/>
                <w:kern w:val="0"/>
                <w:szCs w:val="20"/>
              </w:rPr>
              <w:t>序号</w:t>
            </w:r>
          </w:p>
        </w:tc>
        <w:tc>
          <w:tcPr>
            <w:tcW w:w="2548" w:type="dxa"/>
            <w:shd w:val="clear" w:color="auto" w:fill="9FD3A4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  <w:t>工作内容</w:t>
            </w:r>
          </w:p>
        </w:tc>
        <w:tc>
          <w:tcPr>
            <w:tcW w:w="2724" w:type="dxa"/>
            <w:shd w:val="clear" w:color="auto" w:fill="9FD3A4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  <w:t>时间安排</w:t>
            </w:r>
          </w:p>
        </w:tc>
        <w:tc>
          <w:tcPr>
            <w:tcW w:w="2099" w:type="dxa"/>
            <w:shd w:val="clear" w:color="auto" w:fill="9FD3A4" w:themeFill="background1" w:themeFillShade="D9"/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cs="Tahoma" w:hint="eastAsia"/>
                <w:b/>
                <w:bCs/>
                <w:spacing w:val="1"/>
                <w:kern w:val="0"/>
                <w:szCs w:val="20"/>
              </w:rPr>
              <w:t>备注</w:t>
            </w:r>
          </w:p>
        </w:tc>
      </w:tr>
      <w:tr w:rsidR="009077F3">
        <w:trPr>
          <w:trHeight w:val="381"/>
        </w:trPr>
        <w:tc>
          <w:tcPr>
            <w:tcW w:w="851" w:type="dxa"/>
            <w:shd w:val="clear" w:color="auto" w:fill="CCE8CF" w:themeFill="background1"/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1</w:t>
            </w:r>
          </w:p>
        </w:tc>
        <w:tc>
          <w:tcPr>
            <w:tcW w:w="2548" w:type="dxa"/>
            <w:shd w:val="clear" w:color="auto" w:fill="CCE8C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设计之都国际化街区品质提升方案</w:t>
            </w:r>
          </w:p>
        </w:tc>
        <w:tc>
          <w:tcPr>
            <w:tcW w:w="2724" w:type="dxa"/>
            <w:shd w:val="clear" w:color="auto" w:fill="CCE8C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40</w:t>
            </w:r>
            <w:r>
              <w:rPr>
                <w:rFonts w:ascii="宋体" w:hAnsi="宋体"/>
                <w:bCs/>
                <w:sz w:val="22"/>
              </w:rPr>
              <w:t>个</w:t>
            </w:r>
            <w:r>
              <w:rPr>
                <w:rFonts w:ascii="宋体" w:hAnsi="宋体" w:hint="eastAsia"/>
                <w:bCs/>
                <w:sz w:val="22"/>
              </w:rPr>
              <w:t>自然日</w:t>
            </w:r>
          </w:p>
        </w:tc>
        <w:tc>
          <w:tcPr>
            <w:tcW w:w="2099" w:type="dxa"/>
            <w:vMerge w:val="restart"/>
            <w:shd w:val="clear" w:color="auto" w:fill="CCE8CF" w:themeFill="background1"/>
            <w:vAlign w:val="center"/>
          </w:tcPr>
          <w:p w:rsidR="009077F3" w:rsidRDefault="004962AC">
            <w:pPr>
              <w:ind w:firstLine="440"/>
              <w:jc w:val="left"/>
              <w:rPr>
                <w:rFonts w:ascii="宋体" w:hAnsi="宋体" w:cs="Tahoma"/>
                <w:b/>
                <w:bCs/>
                <w:spacing w:val="1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sz w:val="22"/>
              </w:rPr>
              <w:t>总工期不包括各阶段专家评审时间。若中途因甲方原因而造成工期延误，则工作进度相应顺延。</w:t>
            </w:r>
          </w:p>
        </w:tc>
      </w:tr>
      <w:tr w:rsidR="009077F3">
        <w:trPr>
          <w:trHeight w:val="346"/>
        </w:trPr>
        <w:tc>
          <w:tcPr>
            <w:tcW w:w="851" w:type="dxa"/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2</w:t>
            </w:r>
          </w:p>
        </w:tc>
        <w:tc>
          <w:tcPr>
            <w:tcW w:w="254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设计之都国际化街区品质提升方案施工图设计</w:t>
            </w:r>
          </w:p>
        </w:tc>
        <w:tc>
          <w:tcPr>
            <w:tcW w:w="27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40</w:t>
            </w:r>
            <w:r>
              <w:rPr>
                <w:rFonts w:ascii="宋体" w:hAnsi="宋体"/>
                <w:bCs/>
                <w:sz w:val="22"/>
              </w:rPr>
              <w:t>个</w:t>
            </w:r>
            <w:r>
              <w:rPr>
                <w:rFonts w:ascii="宋体" w:hAnsi="宋体" w:hint="eastAsia"/>
                <w:bCs/>
                <w:sz w:val="22"/>
              </w:rPr>
              <w:t>自然日</w:t>
            </w:r>
          </w:p>
        </w:tc>
        <w:tc>
          <w:tcPr>
            <w:tcW w:w="2099" w:type="dxa"/>
            <w:vMerge/>
            <w:vAlign w:val="center"/>
          </w:tcPr>
          <w:p w:rsidR="009077F3" w:rsidRDefault="009077F3">
            <w:pPr>
              <w:jc w:val="center"/>
              <w:rPr>
                <w:rFonts w:ascii="宋体" w:hAnsi="宋体"/>
              </w:rPr>
            </w:pPr>
          </w:p>
        </w:tc>
      </w:tr>
      <w:tr w:rsidR="009077F3">
        <w:trPr>
          <w:trHeight w:val="346"/>
        </w:trPr>
        <w:tc>
          <w:tcPr>
            <w:tcW w:w="851" w:type="dxa"/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3</w:t>
            </w:r>
          </w:p>
        </w:tc>
        <w:tc>
          <w:tcPr>
            <w:tcW w:w="254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设计之都国际化街区品质提升方案</w:t>
            </w:r>
            <w:r>
              <w:rPr>
                <w:rFonts w:hint="eastAsia"/>
              </w:rPr>
              <w:t>施工图</w:t>
            </w:r>
            <w:r>
              <w:rPr>
                <w:rFonts w:ascii="宋体" w:hAnsi="宋体" w:hint="eastAsia"/>
                <w:bCs/>
                <w:sz w:val="22"/>
              </w:rPr>
              <w:t>预算书编制</w:t>
            </w:r>
          </w:p>
        </w:tc>
        <w:tc>
          <w:tcPr>
            <w:tcW w:w="27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77F3" w:rsidRDefault="004962AC">
            <w:pPr>
              <w:widowControl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19</w:t>
            </w:r>
            <w:r>
              <w:rPr>
                <w:rFonts w:ascii="宋体" w:hAnsi="宋体" w:hint="eastAsia"/>
                <w:bCs/>
                <w:sz w:val="22"/>
              </w:rPr>
              <w:t>个</w:t>
            </w:r>
            <w:r>
              <w:rPr>
                <w:rFonts w:ascii="宋体" w:hAnsi="宋体" w:hint="eastAsia"/>
                <w:bCs/>
                <w:sz w:val="22"/>
              </w:rPr>
              <w:t>自然日</w:t>
            </w:r>
          </w:p>
        </w:tc>
        <w:tc>
          <w:tcPr>
            <w:tcW w:w="2099" w:type="dxa"/>
            <w:vMerge/>
            <w:vAlign w:val="center"/>
          </w:tcPr>
          <w:p w:rsidR="009077F3" w:rsidRDefault="009077F3">
            <w:pPr>
              <w:jc w:val="center"/>
              <w:rPr>
                <w:rFonts w:ascii="宋体" w:hAnsi="宋体"/>
              </w:rPr>
            </w:pPr>
          </w:p>
        </w:tc>
      </w:tr>
    </w:tbl>
    <w:p w:rsidR="009077F3" w:rsidRDefault="009077F3"/>
    <w:sectPr w:rsidR="0090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AC" w:rsidRDefault="004962AC" w:rsidP="00D73C9E">
      <w:r>
        <w:separator/>
      </w:r>
    </w:p>
  </w:endnote>
  <w:endnote w:type="continuationSeparator" w:id="0">
    <w:p w:rsidR="004962AC" w:rsidRDefault="004962AC" w:rsidP="00D7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AC" w:rsidRDefault="004962AC" w:rsidP="00D73C9E">
      <w:r>
        <w:separator/>
      </w:r>
    </w:p>
  </w:footnote>
  <w:footnote w:type="continuationSeparator" w:id="0">
    <w:p w:rsidR="004962AC" w:rsidRDefault="004962AC" w:rsidP="00D7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第%1章"/>
      <w:lvlJc w:val="left"/>
      <w:pPr>
        <w:ind w:left="2406" w:hanging="420"/>
      </w:pPr>
      <w:rPr>
        <w:rFonts w:ascii="黑体" w:eastAsia="黑体" w:hAnsi="黑体" w:cs="宋体" w:hint="default"/>
        <w:szCs w:val="32"/>
      </w:rPr>
    </w:lvl>
    <w:lvl w:ilvl="1">
      <w:start w:val="160"/>
      <w:numFmt w:val="decimal"/>
      <w:suff w:val="nothing"/>
      <w:lvlText w:val="%1.%2"/>
      <w:lvlJc w:val="left"/>
      <w:pPr>
        <w:ind w:left="1288" w:hanging="720"/>
      </w:pPr>
      <w:rPr>
        <w:rFonts w:ascii="Times New Roman" w:eastAsia="仿宋_GB2312" w:hAnsi="Times New Roman" w:hint="default"/>
        <w:sz w:val="28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1146" w:hanging="720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420"/>
        </w:tabs>
        <w:ind w:left="1080" w:hanging="108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ind w:left="126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27E233E"/>
    <w:multiLevelType w:val="multilevel"/>
    <w:tmpl w:val="127E233E"/>
    <w:lvl w:ilvl="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F56571D"/>
    <w:multiLevelType w:val="multilevel"/>
    <w:tmpl w:val="4F56571D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YTI2MmRiOTg4MGRkZGQyMmJiYzNhMzY0YzZkNDMifQ=="/>
  </w:docVars>
  <w:rsids>
    <w:rsidRoot w:val="00A67669"/>
    <w:rsid w:val="00056906"/>
    <w:rsid w:val="000619CF"/>
    <w:rsid w:val="0012140B"/>
    <w:rsid w:val="00207D73"/>
    <w:rsid w:val="0023066B"/>
    <w:rsid w:val="00244908"/>
    <w:rsid w:val="002A5CE9"/>
    <w:rsid w:val="002C2E6C"/>
    <w:rsid w:val="00321205"/>
    <w:rsid w:val="003866B2"/>
    <w:rsid w:val="003C2FA6"/>
    <w:rsid w:val="003D1601"/>
    <w:rsid w:val="0044032E"/>
    <w:rsid w:val="004962AC"/>
    <w:rsid w:val="004E12D5"/>
    <w:rsid w:val="004F2909"/>
    <w:rsid w:val="0058776A"/>
    <w:rsid w:val="005B178A"/>
    <w:rsid w:val="005C1645"/>
    <w:rsid w:val="00635C58"/>
    <w:rsid w:val="00675873"/>
    <w:rsid w:val="006E1F9B"/>
    <w:rsid w:val="006F5CAC"/>
    <w:rsid w:val="007077D3"/>
    <w:rsid w:val="00795DDF"/>
    <w:rsid w:val="007F4FFC"/>
    <w:rsid w:val="0081430F"/>
    <w:rsid w:val="00886DAC"/>
    <w:rsid w:val="008C41F8"/>
    <w:rsid w:val="009077F3"/>
    <w:rsid w:val="009241BD"/>
    <w:rsid w:val="00977997"/>
    <w:rsid w:val="0098293E"/>
    <w:rsid w:val="009C5530"/>
    <w:rsid w:val="00A238D6"/>
    <w:rsid w:val="00A31B82"/>
    <w:rsid w:val="00A67669"/>
    <w:rsid w:val="00AF0323"/>
    <w:rsid w:val="00B13960"/>
    <w:rsid w:val="00B449FC"/>
    <w:rsid w:val="00B520FE"/>
    <w:rsid w:val="00C76EAC"/>
    <w:rsid w:val="00D31A1E"/>
    <w:rsid w:val="00D64BAF"/>
    <w:rsid w:val="00D73C9E"/>
    <w:rsid w:val="00D77121"/>
    <w:rsid w:val="00DC7D3D"/>
    <w:rsid w:val="00DD421E"/>
    <w:rsid w:val="00E356D3"/>
    <w:rsid w:val="00EB699E"/>
    <w:rsid w:val="00EF66D0"/>
    <w:rsid w:val="00F73D71"/>
    <w:rsid w:val="00F874AE"/>
    <w:rsid w:val="027D4F23"/>
    <w:rsid w:val="03745440"/>
    <w:rsid w:val="072159D5"/>
    <w:rsid w:val="0CB1205F"/>
    <w:rsid w:val="185F6D73"/>
    <w:rsid w:val="193D3463"/>
    <w:rsid w:val="24967F5F"/>
    <w:rsid w:val="27C11484"/>
    <w:rsid w:val="28855955"/>
    <w:rsid w:val="3738701E"/>
    <w:rsid w:val="3A9C28D2"/>
    <w:rsid w:val="40AD2766"/>
    <w:rsid w:val="47C87EA8"/>
    <w:rsid w:val="48EC0F26"/>
    <w:rsid w:val="4A682F9F"/>
    <w:rsid w:val="4D3756A0"/>
    <w:rsid w:val="4FFD25DC"/>
    <w:rsid w:val="56222B52"/>
    <w:rsid w:val="59953097"/>
    <w:rsid w:val="607F64A3"/>
    <w:rsid w:val="60F5158E"/>
    <w:rsid w:val="7F8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3F9FD"/>
  <w15:docId w15:val="{1D7CA40D-0C78-4DAB-BA02-C39BCA2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paragraph" w:styleId="20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9"/>
    <w:qFormat/>
    <w:pPr>
      <w:numPr>
        <w:ilvl w:val="2"/>
        <w:numId w:val="1"/>
      </w:numPr>
      <w:tabs>
        <w:tab w:val="left" w:pos="426"/>
      </w:tabs>
      <w:ind w:firstLine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pPr>
      <w:ind w:leftChars="200" w:left="420"/>
    </w:pPr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qFormat/>
    <w:pPr>
      <w:pBdr>
        <w:top w:val="single" w:sz="4" w:space="1" w:color="auto"/>
      </w:pBdr>
    </w:pPr>
    <w:rPr>
      <w:b/>
      <w:bCs/>
    </w:rPr>
  </w:style>
  <w:style w:type="paragraph" w:styleId="a6">
    <w:name w:val="Plain Text"/>
    <w:basedOn w:val="a"/>
    <w:autoRedefine/>
    <w:qFormat/>
    <w:rPr>
      <w:rFonts w:ascii="宋体" w:hAnsi="宋体" w:cs="Courier New"/>
      <w:sz w:val="20"/>
      <w:szCs w:val="20"/>
      <w:lang w:val="zh-CN"/>
    </w:r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paragraph" w:customStyle="1" w:styleId="BodyText1I">
    <w:name w:val="BodyText1I"/>
    <w:basedOn w:val="BodyText"/>
    <w:autoRedefine/>
    <w:qFormat/>
    <w:pPr>
      <w:spacing w:before="100" w:beforeAutospacing="1" w:line="580" w:lineRule="exact"/>
    </w:pPr>
    <w:rPr>
      <w:sz w:val="32"/>
      <w:szCs w:val="32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</w:style>
  <w:style w:type="paragraph" w:customStyle="1" w:styleId="NormalIndent1">
    <w:name w:val="Normal Indent1"/>
    <w:basedOn w:val="1"/>
    <w:autoRedefine/>
    <w:qFormat/>
    <w:pPr>
      <w:ind w:firstLine="624"/>
      <w:jc w:val="left"/>
    </w:pPr>
  </w:style>
  <w:style w:type="paragraph" w:customStyle="1" w:styleId="1">
    <w:name w:val="正文1"/>
    <w:next w:val="NormalIndent1"/>
    <w:autoRedefine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21">
    <w:name w:val="正文2"/>
    <w:next w:val="NormalIndent1"/>
    <w:autoRedefine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af1">
    <w:name w:val="首行缩进两字"/>
    <w:basedOn w:val="a"/>
    <w:autoRedefine/>
    <w:qFormat/>
    <w:pPr>
      <w:ind w:firstLineChars="200" w:firstLine="549"/>
      <w:jc w:val="left"/>
    </w:pPr>
    <w:rPr>
      <w:rFonts w:ascii="宋体" w:hAnsi="宋体" w:cs="Times New Roman"/>
      <w:color w:val="000000"/>
      <w:kern w:val="0"/>
      <w:sz w:val="28"/>
      <w:szCs w:val="20"/>
    </w:rPr>
  </w:style>
  <w:style w:type="character" w:customStyle="1" w:styleId="a8">
    <w:name w:val="批注框文本 字符"/>
    <w:basedOn w:val="a0"/>
    <w:link w:val="a7"/>
    <w:autoRedefine/>
    <w:qFormat/>
    <w:rPr>
      <w:rFonts w:ascii="Calibri" w:hAnsi="Calibri" w:cs="Calibri"/>
      <w:kern w:val="2"/>
      <w:sz w:val="18"/>
      <w:szCs w:val="18"/>
    </w:r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qFormat/>
    <w:rPr>
      <w:rFonts w:ascii="Calibri" w:hAnsi="Calibri" w:cs="Calibri"/>
      <w:kern w:val="2"/>
      <w:sz w:val="18"/>
      <w:szCs w:val="18"/>
    </w:rPr>
  </w:style>
  <w:style w:type="character" w:customStyle="1" w:styleId="aa">
    <w:name w:val="页脚 字符"/>
    <w:basedOn w:val="a0"/>
    <w:link w:val="a9"/>
    <w:autoRedefine/>
    <w:qFormat/>
    <w:rPr>
      <w:rFonts w:ascii="Calibri" w:hAnsi="Calibri" w:cs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cs="Calibri"/>
      <w:kern w:val="2"/>
      <w:sz w:val="21"/>
      <w:szCs w:val="24"/>
    </w:rPr>
  </w:style>
  <w:style w:type="character" w:customStyle="1" w:styleId="ae">
    <w:name w:val="批注主题 字符"/>
    <w:basedOn w:val="a4"/>
    <w:link w:val="ad"/>
    <w:autoRedefine/>
    <w:qFormat/>
    <w:rPr>
      <w:rFonts w:cs="Calibri"/>
      <w:b/>
      <w:bCs/>
      <w:kern w:val="2"/>
      <w:sz w:val="21"/>
      <w:szCs w:val="24"/>
    </w:rPr>
  </w:style>
  <w:style w:type="paragraph" w:customStyle="1" w:styleId="Style3">
    <w:name w:val="_Style 3"/>
    <w:autoRedefine/>
    <w:qFormat/>
    <w:pPr>
      <w:widowControl w:val="0"/>
      <w:ind w:firstLineChars="200" w:firstLine="420"/>
      <w:jc w:val="both"/>
    </w:pPr>
    <w:rPr>
      <w:rFonts w:ascii="Calibri" w:hAnsi="Calibri"/>
      <w:kern w:val="2"/>
      <w:szCs w:val="24"/>
    </w:rPr>
  </w:style>
  <w:style w:type="paragraph" w:customStyle="1" w:styleId="Style6">
    <w:name w:val="_Style 6"/>
    <w:basedOn w:val="a"/>
    <w:next w:val="af2"/>
    <w:autoRedefine/>
    <w:uiPriority w:val="34"/>
    <w:qFormat/>
    <w:pPr>
      <w:adjustRightInd w:val="0"/>
      <w:snapToGrid w:val="0"/>
      <w:spacing w:line="312" w:lineRule="auto"/>
      <w:ind w:firstLineChars="200" w:firstLine="420"/>
    </w:pPr>
    <w:rPr>
      <w:rFonts w:cs="Times New Roman"/>
      <w:sz w:val="20"/>
      <w:szCs w:val="20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宋体" w:hint="eastAsia"/>
      <w:color w:val="000000"/>
      <w:sz w:val="24"/>
    </w:rPr>
  </w:style>
  <w:style w:type="paragraph" w:customStyle="1" w:styleId="af3">
    <w:name w:val="表、图名样式"/>
    <w:basedOn w:val="a"/>
    <w:autoRedefine/>
    <w:qFormat/>
    <w:pPr>
      <w:adjustRightInd w:val="0"/>
      <w:snapToGrid w:val="0"/>
      <w:jc w:val="center"/>
    </w:pPr>
    <w:rPr>
      <w:rFonts w:eastAsia="黑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2F17-CB7F-4ACC-9517-EEEE38F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743</Words>
  <Characters>4236</Characters>
  <Application>Microsoft Office Word</Application>
  <DocSecurity>0</DocSecurity>
  <Lines>35</Lines>
  <Paragraphs>9</Paragraphs>
  <ScaleCrop>false</ScaleCrop>
  <Company>微软中国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Jiccie</dc:creator>
  <cp:lastModifiedBy>NTKO</cp:lastModifiedBy>
  <cp:revision>4</cp:revision>
  <cp:lastPrinted>2020-11-11T12:00:00Z</cp:lastPrinted>
  <dcterms:created xsi:type="dcterms:W3CDTF">2024-01-15T10:21:00Z</dcterms:created>
  <dcterms:modified xsi:type="dcterms:W3CDTF">2024-02-04T08:49:00Z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CD47666F0392453D95CD191050C1858F_13</vt:lpwstr>
  </property>
</Properties>
</file>